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10" w:rsidRPr="009863DD" w:rsidRDefault="00EC3410" w:rsidP="00EC3410">
      <w:pPr>
        <w:jc w:val="center"/>
        <w:rPr>
          <w:b/>
          <w:sz w:val="20"/>
        </w:rPr>
      </w:pPr>
      <w:r>
        <w:rPr>
          <w:rFonts w:ascii="Arial" w:hAnsi="Arial" w:cs="Arial"/>
          <w:noProof/>
          <w:lang w:val="en-US"/>
        </w:rPr>
        <w:drawing>
          <wp:inline distT="0" distB="0" distL="0" distR="0" wp14:anchorId="52F0FCCD" wp14:editId="021F33F8">
            <wp:extent cx="992160" cy="93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160" cy="936000"/>
                    </a:xfrm>
                    <a:prstGeom prst="rect">
                      <a:avLst/>
                    </a:prstGeom>
                    <a:noFill/>
                  </pic:spPr>
                </pic:pic>
              </a:graphicData>
            </a:graphic>
          </wp:inline>
        </w:drawing>
      </w:r>
    </w:p>
    <w:p w:rsidR="00EC3410" w:rsidRPr="009863DD" w:rsidRDefault="00EC3410" w:rsidP="00EC3410">
      <w:pPr>
        <w:jc w:val="center"/>
        <w:rPr>
          <w:rFonts w:ascii="Arial" w:hAnsi="Arial" w:cs="Arial"/>
          <w:b/>
          <w:sz w:val="20"/>
        </w:rPr>
      </w:pPr>
      <w:r w:rsidRPr="009863DD">
        <w:rPr>
          <w:rFonts w:ascii="Arial" w:hAnsi="Arial" w:cs="Arial"/>
          <w:b/>
          <w:sz w:val="20"/>
        </w:rPr>
        <w:t xml:space="preserve">GAUTENG </w:t>
      </w:r>
      <w:r>
        <w:rPr>
          <w:rFonts w:ascii="Arial" w:hAnsi="Arial" w:cs="Arial"/>
          <w:b/>
          <w:sz w:val="20"/>
        </w:rPr>
        <w:t>LOCAL DIVISION</w:t>
      </w:r>
      <w:r w:rsidRPr="009863DD">
        <w:rPr>
          <w:rFonts w:ascii="Arial" w:hAnsi="Arial" w:cs="Arial"/>
          <w:b/>
          <w:sz w:val="20"/>
        </w:rPr>
        <w:t>, JOHANNESBURG</w:t>
      </w:r>
    </w:p>
    <w:p w:rsidR="00EC3410" w:rsidRPr="009863DD" w:rsidRDefault="00EC3410" w:rsidP="00EC3410">
      <w:pPr>
        <w:jc w:val="right"/>
        <w:rPr>
          <w:rFonts w:ascii="Arial" w:hAnsi="Arial" w:cs="Arial"/>
          <w:b/>
          <w:sz w:val="20"/>
        </w:rPr>
      </w:pPr>
      <w:r w:rsidRPr="009863DD">
        <w:rPr>
          <w:rFonts w:ascii="Arial" w:hAnsi="Arial" w:cs="Arial"/>
          <w:b/>
          <w:sz w:val="20"/>
        </w:rPr>
        <w:t xml:space="preserve">CASE NO:   </w:t>
      </w:r>
      <w:r>
        <w:rPr>
          <w:rFonts w:ascii="Arial" w:hAnsi="Arial" w:cs="Arial"/>
          <w:b/>
          <w:sz w:val="20"/>
        </w:rPr>
        <w:t>2019/25865</w:t>
      </w:r>
    </w:p>
    <w:p w:rsidR="00EC3410" w:rsidRPr="009863DD" w:rsidRDefault="00EC3410" w:rsidP="00EC3410">
      <w:pPr>
        <w:jc w:val="both"/>
        <w:rPr>
          <w:sz w:val="20"/>
        </w:rPr>
      </w:pPr>
    </w:p>
    <w:p w:rsidR="00EC3410" w:rsidRPr="009863DD" w:rsidRDefault="001A41D4" w:rsidP="00EC3410">
      <w:pPr>
        <w:jc w:val="both"/>
        <w:rPr>
          <w:sz w:val="20"/>
        </w:rPr>
      </w:pPr>
      <w:r>
        <w:rPr>
          <w:noProof/>
          <w:sz w:val="20"/>
          <w:lang w:val="en-US"/>
        </w:rPr>
        <mc:AlternateContent>
          <mc:Choice Requires="wps">
            <w:drawing>
              <wp:anchor distT="0" distB="0" distL="114300" distR="114300" simplePos="0" relativeHeight="251659264" behindDoc="0" locked="0" layoutInCell="1" allowOverlap="1" wp14:anchorId="5452CFF9" wp14:editId="0801731B">
                <wp:simplePos x="0" y="0"/>
                <wp:positionH relativeFrom="margin">
                  <wp:align>left</wp:align>
                </wp:positionH>
                <wp:positionV relativeFrom="paragraph">
                  <wp:posOffset>7620</wp:posOffset>
                </wp:positionV>
                <wp:extent cx="3314700" cy="126365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3650"/>
                        </a:xfrm>
                        <a:prstGeom prst="rect">
                          <a:avLst/>
                        </a:prstGeom>
                        <a:solidFill>
                          <a:srgbClr val="FFFFFF"/>
                        </a:solidFill>
                        <a:ln w="9525">
                          <a:solidFill>
                            <a:srgbClr val="000000"/>
                          </a:solidFill>
                          <a:miter lim="800000"/>
                          <a:headEnd/>
                          <a:tailEnd/>
                        </a:ln>
                      </wps:spPr>
                      <wps:txbx>
                        <w:txbxContent>
                          <w:p w:rsidR="00900FA6" w:rsidRPr="00913F95" w:rsidRDefault="00900FA6" w:rsidP="00EC3410">
                            <w:pPr>
                              <w:jc w:val="center"/>
                              <w:rPr>
                                <w:rFonts w:ascii="Century Gothic" w:hAnsi="Century Gothic"/>
                                <w:b/>
                                <w:sz w:val="20"/>
                              </w:rPr>
                            </w:pPr>
                          </w:p>
                          <w:p w:rsidR="00900FA6" w:rsidRDefault="00900FA6" w:rsidP="00EC3410">
                            <w:pPr>
                              <w:widowControl/>
                              <w:numPr>
                                <w:ilvl w:val="0"/>
                                <w:numId w:val="2"/>
                              </w:numPr>
                              <w:rPr>
                                <w:rFonts w:ascii="Century Gothic" w:hAnsi="Century Gothic"/>
                                <w:sz w:val="20"/>
                              </w:rPr>
                            </w:pPr>
                            <w:r>
                              <w:rPr>
                                <w:rFonts w:ascii="Century Gothic" w:hAnsi="Century Gothic"/>
                                <w:sz w:val="20"/>
                              </w:rPr>
                              <w:t xml:space="preserve">REPORTABLE:  </w:t>
                            </w:r>
                            <w:r>
                              <w:rPr>
                                <w:rFonts w:ascii="Century Gothic" w:hAnsi="Century Gothic"/>
                                <w:b/>
                                <w:sz w:val="20"/>
                              </w:rPr>
                              <w:t>YES</w:t>
                            </w:r>
                          </w:p>
                          <w:p w:rsidR="00900FA6" w:rsidRPr="00913F95" w:rsidRDefault="00900FA6" w:rsidP="00EC3410">
                            <w:pPr>
                              <w:widowControl/>
                              <w:numPr>
                                <w:ilvl w:val="0"/>
                                <w:numId w:val="2"/>
                              </w:numPr>
                              <w:rPr>
                                <w:rFonts w:ascii="Century Gothic" w:hAnsi="Century Gothic"/>
                                <w:sz w:val="20"/>
                              </w:rPr>
                            </w:pPr>
                            <w:r w:rsidRPr="00913F95">
                              <w:rPr>
                                <w:rFonts w:ascii="Century Gothic" w:hAnsi="Century Gothic"/>
                                <w:sz w:val="20"/>
                              </w:rPr>
                              <w:t xml:space="preserve">OF INTEREST TO OTHER JUDGES: </w:t>
                            </w:r>
                            <w:r w:rsidRPr="00EC3410">
                              <w:rPr>
                                <w:rFonts w:ascii="Century Gothic" w:hAnsi="Century Gothic"/>
                                <w:b/>
                                <w:sz w:val="20"/>
                              </w:rPr>
                              <w:t>YES</w:t>
                            </w:r>
                          </w:p>
                          <w:p w:rsidR="00900FA6" w:rsidRPr="00913F95" w:rsidRDefault="00900FA6" w:rsidP="00EC3410">
                            <w:pPr>
                              <w:widowControl/>
                              <w:numPr>
                                <w:ilvl w:val="0"/>
                                <w:numId w:val="2"/>
                              </w:numPr>
                              <w:rPr>
                                <w:rFonts w:ascii="Century Gothic" w:hAnsi="Century Gothic"/>
                                <w:sz w:val="20"/>
                              </w:rPr>
                            </w:pPr>
                            <w:r w:rsidRPr="00913F95">
                              <w:rPr>
                                <w:rFonts w:ascii="Century Gothic" w:hAnsi="Century Gothic"/>
                                <w:sz w:val="20"/>
                              </w:rPr>
                              <w:t>REVISED</w:t>
                            </w:r>
                            <w:r>
                              <w:rPr>
                                <w:rFonts w:ascii="Century Gothic" w:hAnsi="Century Gothic"/>
                                <w:sz w:val="20"/>
                              </w:rPr>
                              <w:t xml:space="preserve">. </w:t>
                            </w:r>
                            <w:r w:rsidRPr="00537F03">
                              <w:rPr>
                                <w:rFonts w:ascii="Century Gothic" w:hAnsi="Century Gothic"/>
                                <w:b/>
                                <w:sz w:val="20"/>
                              </w:rPr>
                              <w:t>YES</w:t>
                            </w:r>
                            <w:r>
                              <w:rPr>
                                <w:rFonts w:ascii="Century Gothic" w:hAnsi="Century Gothic"/>
                                <w:b/>
                                <w:sz w:val="20"/>
                              </w:rPr>
                              <w:t xml:space="preserve"> </w:t>
                            </w:r>
                          </w:p>
                          <w:p w:rsidR="00900FA6" w:rsidRDefault="00900FA6" w:rsidP="00EC3410">
                            <w:pPr>
                              <w:rPr>
                                <w:rFonts w:ascii="Century Gothic" w:hAnsi="Century Gothic"/>
                                <w:b/>
                                <w:sz w:val="18"/>
                                <w:szCs w:val="18"/>
                              </w:rPr>
                            </w:pPr>
                            <w:r w:rsidRPr="00084341">
                              <w:rPr>
                                <w:rFonts w:ascii="Century Gothic" w:hAnsi="Century Gothic"/>
                                <w:b/>
                                <w:sz w:val="18"/>
                                <w:szCs w:val="18"/>
                              </w:rPr>
                              <w:t xml:space="preserve">        </w:t>
                            </w:r>
                          </w:p>
                          <w:p w:rsidR="00900FA6" w:rsidRPr="00084341" w:rsidRDefault="00900FA6" w:rsidP="001B1DE6">
                            <w:pPr>
                              <w:rPr>
                                <w:rFonts w:ascii="Century Gothic" w:hAnsi="Century Gothic"/>
                                <w:b/>
                                <w:sz w:val="18"/>
                                <w:szCs w:val="18"/>
                              </w:rPr>
                            </w:pPr>
                            <w:r>
                              <w:rPr>
                                <w:rFonts w:ascii="Century Gothic" w:hAnsi="Century Gothic"/>
                                <w:b/>
                                <w:sz w:val="18"/>
                                <w:szCs w:val="18"/>
                              </w:rPr>
                              <w:t xml:space="preserve">22 February 2023         </w:t>
                            </w:r>
                            <w:r w:rsidRPr="00084341">
                              <w:rPr>
                                <w:rFonts w:ascii="Century Gothic" w:hAnsi="Century Gothic"/>
                                <w:b/>
                                <w:sz w:val="18"/>
                                <w:szCs w:val="18"/>
                              </w:rPr>
                              <w:tab/>
                            </w:r>
                            <w:r>
                              <w:rPr>
                                <w:rFonts w:ascii="Century Gothic" w:hAnsi="Century Gothic"/>
                                <w:b/>
                                <w:sz w:val="18"/>
                                <w:szCs w:val="18"/>
                              </w:rPr>
                              <w:tab/>
                              <w:t xml:space="preserve"> </w:t>
                            </w:r>
                            <w:r w:rsidRPr="00084341">
                              <w:rPr>
                                <w:rFonts w:ascii="Century Gothic" w:hAnsi="Century Gothic"/>
                                <w:b/>
                                <w:sz w:val="18"/>
                                <w:szCs w:val="18"/>
                              </w:rPr>
                              <w:t>...</w:t>
                            </w:r>
                            <w:r>
                              <w:rPr>
                                <w:rFonts w:ascii="Century Gothic" w:hAnsi="Century Gothic"/>
                                <w:b/>
                                <w:sz w:val="18"/>
                                <w:szCs w:val="18"/>
                              </w:rPr>
                              <w:t>..........................</w:t>
                            </w:r>
                          </w:p>
                          <w:p w:rsidR="00900FA6" w:rsidRPr="00084341" w:rsidRDefault="00900FA6" w:rsidP="00EC3410">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52CFF9" id="_x0000_t202" coordsize="21600,21600" o:spt="202" path="m,l,21600r21600,l21600,xe">
                <v:stroke joinstyle="miter"/>
                <v:path gradientshapeok="t" o:connecttype="rect"/>
              </v:shapetype>
              <v:shape id="Text Box 1" o:spid="_x0000_s1026" type="#_x0000_t202" style="position:absolute;left:0;text-align:left;margin-left:0;margin-top:.6pt;width:261pt;height: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">
                <v:textbox>
                  <w:txbxContent>
                    <w:p w:rsidR="00900FA6" w:rsidRPr="00913F95" w:rsidRDefault="00900FA6" w:rsidP="00EC3410">
                      <w:pPr>
                        <w:jc w:val="center"/>
                        <w:rPr>
                          <w:rFonts w:ascii="Century Gothic" w:hAnsi="Century Gothic"/>
                          <w:b/>
                          <w:sz w:val="20"/>
                        </w:rPr>
                      </w:pPr>
                    </w:p>
                    <w:p w:rsidR="00900FA6" w:rsidRDefault="00900FA6" w:rsidP="00EC3410">
                      <w:pPr>
                        <w:widowControl/>
                        <w:numPr>
                          <w:ilvl w:val="0"/>
                          <w:numId w:val="2"/>
                        </w:numPr>
                        <w:rPr>
                          <w:rFonts w:ascii="Century Gothic" w:hAnsi="Century Gothic"/>
                          <w:sz w:val="20"/>
                        </w:rPr>
                      </w:pPr>
                      <w:r>
                        <w:rPr>
                          <w:rFonts w:ascii="Century Gothic" w:hAnsi="Century Gothic"/>
                          <w:sz w:val="20"/>
                        </w:rPr>
                        <w:t xml:space="preserve">REPORTABLE:  </w:t>
                      </w:r>
                      <w:r>
                        <w:rPr>
                          <w:rFonts w:ascii="Century Gothic" w:hAnsi="Century Gothic"/>
                          <w:b/>
                          <w:sz w:val="20"/>
                        </w:rPr>
                        <w:t>YES</w:t>
                      </w:r>
                    </w:p>
                    <w:p w:rsidR="00900FA6" w:rsidRPr="00913F95" w:rsidRDefault="00900FA6" w:rsidP="00EC3410">
                      <w:pPr>
                        <w:widowControl/>
                        <w:numPr>
                          <w:ilvl w:val="0"/>
                          <w:numId w:val="2"/>
                        </w:numPr>
                        <w:rPr>
                          <w:rFonts w:ascii="Century Gothic" w:hAnsi="Century Gothic"/>
                          <w:sz w:val="20"/>
                        </w:rPr>
                      </w:pPr>
                      <w:r w:rsidRPr="00913F95">
                        <w:rPr>
                          <w:rFonts w:ascii="Century Gothic" w:hAnsi="Century Gothic"/>
                          <w:sz w:val="20"/>
                        </w:rPr>
                        <w:t xml:space="preserve">OF INTEREST TO OTHER JUDGES: </w:t>
                      </w:r>
                      <w:r w:rsidRPr="00EC3410">
                        <w:rPr>
                          <w:rFonts w:ascii="Century Gothic" w:hAnsi="Century Gothic"/>
                          <w:b/>
                          <w:sz w:val="20"/>
                        </w:rPr>
                        <w:t>YES</w:t>
                      </w:r>
                    </w:p>
                    <w:p w:rsidR="00900FA6" w:rsidRPr="00913F95" w:rsidRDefault="00900FA6" w:rsidP="00EC3410">
                      <w:pPr>
                        <w:widowControl/>
                        <w:numPr>
                          <w:ilvl w:val="0"/>
                          <w:numId w:val="2"/>
                        </w:numPr>
                        <w:rPr>
                          <w:rFonts w:ascii="Century Gothic" w:hAnsi="Century Gothic"/>
                          <w:sz w:val="20"/>
                        </w:rPr>
                      </w:pPr>
                      <w:r w:rsidRPr="00913F95">
                        <w:rPr>
                          <w:rFonts w:ascii="Century Gothic" w:hAnsi="Century Gothic"/>
                          <w:sz w:val="20"/>
                        </w:rPr>
                        <w:t>REVISED</w:t>
                      </w:r>
                      <w:r>
                        <w:rPr>
                          <w:rFonts w:ascii="Century Gothic" w:hAnsi="Century Gothic"/>
                          <w:sz w:val="20"/>
                        </w:rPr>
                        <w:t xml:space="preserve">. </w:t>
                      </w:r>
                      <w:r w:rsidRPr="00537F03">
                        <w:rPr>
                          <w:rFonts w:ascii="Century Gothic" w:hAnsi="Century Gothic"/>
                          <w:b/>
                          <w:sz w:val="20"/>
                        </w:rPr>
                        <w:t>YES</w:t>
                      </w:r>
                      <w:r>
                        <w:rPr>
                          <w:rFonts w:ascii="Century Gothic" w:hAnsi="Century Gothic"/>
                          <w:b/>
                          <w:sz w:val="20"/>
                        </w:rPr>
                        <w:t xml:space="preserve"> </w:t>
                      </w:r>
                    </w:p>
                    <w:p w:rsidR="00900FA6" w:rsidRDefault="00900FA6" w:rsidP="00EC3410">
                      <w:pPr>
                        <w:rPr>
                          <w:rFonts w:ascii="Century Gothic" w:hAnsi="Century Gothic"/>
                          <w:b/>
                          <w:sz w:val="18"/>
                          <w:szCs w:val="18"/>
                        </w:rPr>
                      </w:pPr>
                      <w:r w:rsidRPr="00084341">
                        <w:rPr>
                          <w:rFonts w:ascii="Century Gothic" w:hAnsi="Century Gothic"/>
                          <w:b/>
                          <w:sz w:val="18"/>
                          <w:szCs w:val="18"/>
                        </w:rPr>
                        <w:t xml:space="preserve">        </w:t>
                      </w:r>
                    </w:p>
                    <w:p w:rsidR="00900FA6" w:rsidRPr="00084341" w:rsidRDefault="00900FA6" w:rsidP="001B1DE6">
                      <w:pPr>
                        <w:rPr>
                          <w:rFonts w:ascii="Century Gothic" w:hAnsi="Century Gothic"/>
                          <w:b/>
                          <w:sz w:val="18"/>
                          <w:szCs w:val="18"/>
                        </w:rPr>
                      </w:pPr>
                      <w:r>
                        <w:rPr>
                          <w:rFonts w:ascii="Century Gothic" w:hAnsi="Century Gothic"/>
                          <w:b/>
                          <w:sz w:val="18"/>
                          <w:szCs w:val="18"/>
                        </w:rPr>
                        <w:t xml:space="preserve">22 February 2023         </w:t>
                      </w:r>
                      <w:r w:rsidRPr="00084341">
                        <w:rPr>
                          <w:rFonts w:ascii="Century Gothic" w:hAnsi="Century Gothic"/>
                          <w:b/>
                          <w:sz w:val="18"/>
                          <w:szCs w:val="18"/>
                        </w:rPr>
                        <w:tab/>
                      </w:r>
                      <w:r>
                        <w:rPr>
                          <w:rFonts w:ascii="Century Gothic" w:hAnsi="Century Gothic"/>
                          <w:b/>
                          <w:sz w:val="18"/>
                          <w:szCs w:val="18"/>
                        </w:rPr>
                        <w:tab/>
                        <w:t xml:space="preserve"> </w:t>
                      </w:r>
                      <w:r w:rsidRPr="00084341">
                        <w:rPr>
                          <w:rFonts w:ascii="Century Gothic" w:hAnsi="Century Gothic"/>
                          <w:b/>
                          <w:sz w:val="18"/>
                          <w:szCs w:val="18"/>
                        </w:rPr>
                        <w:t>...</w:t>
                      </w:r>
                      <w:r>
                        <w:rPr>
                          <w:rFonts w:ascii="Century Gothic" w:hAnsi="Century Gothic"/>
                          <w:b/>
                          <w:sz w:val="18"/>
                          <w:szCs w:val="18"/>
                        </w:rPr>
                        <w:t>..........................</w:t>
                      </w:r>
                    </w:p>
                    <w:p w:rsidR="00900FA6" w:rsidRPr="00084341" w:rsidRDefault="00900FA6" w:rsidP="00EC3410">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 xml:space="preserve"> SIGNATURE</w:t>
                      </w:r>
                    </w:p>
                  </w:txbxContent>
                </v:textbox>
                <w10:wrap anchorx="margin"/>
              </v:shape>
            </w:pict>
          </mc:Fallback>
        </mc:AlternateContent>
      </w:r>
    </w:p>
    <w:p w:rsidR="00EC3410" w:rsidRPr="009863DD" w:rsidRDefault="00EC3410" w:rsidP="00EC3410">
      <w:pPr>
        <w:jc w:val="both"/>
        <w:rPr>
          <w:sz w:val="20"/>
        </w:rPr>
      </w:pPr>
    </w:p>
    <w:p w:rsidR="00EC3410" w:rsidRPr="009863DD" w:rsidRDefault="00EC3410" w:rsidP="00EC3410">
      <w:pPr>
        <w:jc w:val="both"/>
        <w:rPr>
          <w:sz w:val="20"/>
        </w:rPr>
      </w:pPr>
    </w:p>
    <w:p w:rsidR="00EC3410" w:rsidRPr="009863DD" w:rsidRDefault="00EC3410" w:rsidP="00EC3410">
      <w:pPr>
        <w:jc w:val="both"/>
        <w:rPr>
          <w:sz w:val="20"/>
        </w:rPr>
      </w:pPr>
    </w:p>
    <w:p w:rsidR="00EC3410" w:rsidRDefault="00EC3410" w:rsidP="00EC3410">
      <w:pPr>
        <w:rPr>
          <w:rFonts w:ascii="Arial" w:hAnsi="Arial" w:cs="Arial"/>
          <w:sz w:val="20"/>
        </w:rPr>
      </w:pPr>
    </w:p>
    <w:p w:rsidR="00EC3410" w:rsidRDefault="00EC3410" w:rsidP="00EC3410">
      <w:pPr>
        <w:rPr>
          <w:rFonts w:ascii="Arial" w:hAnsi="Arial" w:cs="Arial"/>
          <w:sz w:val="20"/>
        </w:rPr>
      </w:pPr>
    </w:p>
    <w:p w:rsidR="00EC3410" w:rsidRDefault="00EC3410" w:rsidP="00EC3410">
      <w:r w:rsidRPr="009863DD">
        <w:rPr>
          <w:rFonts w:ascii="Arial" w:hAnsi="Arial" w:cs="Arial"/>
          <w:sz w:val="20"/>
        </w:rPr>
        <w:t>In</w:t>
      </w:r>
    </w:p>
    <w:p w:rsidR="00EC3410" w:rsidRDefault="00EC3410"/>
    <w:p w:rsidR="00EC3410" w:rsidRDefault="00EC3410"/>
    <w:p w:rsidR="00EC3410" w:rsidRPr="001A41D4" w:rsidRDefault="00EC3410" w:rsidP="00EC3410">
      <w:pPr>
        <w:jc w:val="both"/>
        <w:rPr>
          <w:rFonts w:ascii="Arial" w:hAnsi="Arial" w:cs="Arial"/>
          <w:sz w:val="22"/>
          <w:szCs w:val="22"/>
        </w:rPr>
      </w:pPr>
      <w:r w:rsidRPr="001A41D4">
        <w:rPr>
          <w:rFonts w:ascii="Arial" w:hAnsi="Arial" w:cs="Arial"/>
          <w:sz w:val="22"/>
          <w:szCs w:val="22"/>
        </w:rPr>
        <w:t>In the matter between:</w:t>
      </w:r>
    </w:p>
    <w:p w:rsidR="00EC3410" w:rsidRPr="001A41D4" w:rsidRDefault="00EC3410" w:rsidP="00EC3410">
      <w:pPr>
        <w:jc w:val="both"/>
        <w:rPr>
          <w:rFonts w:ascii="Arial" w:hAnsi="Arial" w:cs="Arial"/>
          <w:sz w:val="22"/>
          <w:szCs w:val="22"/>
        </w:rPr>
      </w:pPr>
    </w:p>
    <w:p w:rsidR="00EC3410" w:rsidRPr="001A41D4" w:rsidRDefault="00EC3410" w:rsidP="00EC3410">
      <w:pPr>
        <w:tabs>
          <w:tab w:val="right" w:pos="9072"/>
        </w:tabs>
        <w:jc w:val="both"/>
        <w:rPr>
          <w:rFonts w:ascii="Arial" w:hAnsi="Arial" w:cs="Arial"/>
          <w:sz w:val="22"/>
          <w:szCs w:val="22"/>
        </w:rPr>
      </w:pPr>
      <w:bookmarkStart w:id="0" w:name="_GoBack"/>
      <w:r w:rsidRPr="001A41D4">
        <w:rPr>
          <w:rFonts w:ascii="Arial" w:hAnsi="Arial" w:cs="Arial"/>
          <w:b/>
          <w:sz w:val="22"/>
          <w:szCs w:val="22"/>
        </w:rPr>
        <w:t>CITY OF EKURHULENI METROPOLITAN MUNICIPALITY</w:t>
      </w:r>
      <w:bookmarkEnd w:id="0"/>
      <w:r w:rsidRPr="001A41D4">
        <w:rPr>
          <w:rFonts w:ascii="Arial" w:hAnsi="Arial" w:cs="Arial"/>
          <w:sz w:val="22"/>
          <w:szCs w:val="22"/>
        </w:rPr>
        <w:tab/>
        <w:t>Applicant</w:t>
      </w:r>
    </w:p>
    <w:p w:rsidR="00EC3410" w:rsidRPr="001A41D4" w:rsidRDefault="00EC3410" w:rsidP="00EC3410">
      <w:pPr>
        <w:jc w:val="both"/>
        <w:rPr>
          <w:rFonts w:ascii="Arial" w:hAnsi="Arial" w:cs="Arial"/>
          <w:sz w:val="22"/>
          <w:szCs w:val="22"/>
        </w:rPr>
      </w:pPr>
    </w:p>
    <w:p w:rsidR="00EC3410" w:rsidRPr="001A41D4" w:rsidRDefault="00EC3410" w:rsidP="00EC3410">
      <w:pPr>
        <w:jc w:val="both"/>
        <w:rPr>
          <w:rFonts w:ascii="Arial" w:hAnsi="Arial" w:cs="Arial"/>
          <w:sz w:val="22"/>
          <w:szCs w:val="22"/>
        </w:rPr>
      </w:pPr>
      <w:r w:rsidRPr="001A41D4">
        <w:rPr>
          <w:rFonts w:ascii="Arial" w:hAnsi="Arial" w:cs="Arial"/>
          <w:sz w:val="22"/>
          <w:szCs w:val="22"/>
        </w:rPr>
        <w:t>and</w:t>
      </w:r>
    </w:p>
    <w:p w:rsidR="00EC3410" w:rsidRPr="001A41D4" w:rsidRDefault="00EC3410" w:rsidP="00EC3410">
      <w:pPr>
        <w:jc w:val="both"/>
        <w:rPr>
          <w:rFonts w:ascii="Arial" w:hAnsi="Arial" w:cs="Arial"/>
          <w:sz w:val="22"/>
          <w:szCs w:val="22"/>
        </w:rPr>
      </w:pPr>
    </w:p>
    <w:p w:rsidR="00EC3410" w:rsidRPr="001A41D4" w:rsidRDefault="00265B88" w:rsidP="00EC3410">
      <w:pPr>
        <w:tabs>
          <w:tab w:val="right" w:pos="9072"/>
        </w:tabs>
        <w:ind w:left="5955" w:hanging="5955"/>
        <w:rPr>
          <w:rFonts w:ascii="Arial" w:hAnsi="Arial" w:cs="Arial"/>
          <w:b/>
          <w:sz w:val="22"/>
          <w:szCs w:val="22"/>
        </w:rPr>
      </w:pPr>
      <w:r w:rsidRPr="001A41D4">
        <w:rPr>
          <w:rFonts w:ascii="Arial" w:hAnsi="Arial" w:cs="Arial"/>
          <w:b/>
          <w:sz w:val="22"/>
          <w:szCs w:val="22"/>
        </w:rPr>
        <w:t xml:space="preserve">THE </w:t>
      </w:r>
      <w:r w:rsidR="00EC3410" w:rsidRPr="001A41D4">
        <w:rPr>
          <w:rFonts w:ascii="Arial" w:hAnsi="Arial" w:cs="Arial"/>
          <w:b/>
          <w:sz w:val="22"/>
          <w:szCs w:val="22"/>
        </w:rPr>
        <w:t xml:space="preserve">UNKNOWN INDIVIDUALS TRESPASSING AND/OR </w:t>
      </w:r>
    </w:p>
    <w:p w:rsidR="00EC3410" w:rsidRPr="001A41D4" w:rsidRDefault="00EC3410" w:rsidP="00EC3410">
      <w:pPr>
        <w:tabs>
          <w:tab w:val="right" w:pos="9072"/>
        </w:tabs>
        <w:ind w:left="5955" w:hanging="5955"/>
        <w:rPr>
          <w:rFonts w:ascii="Arial" w:hAnsi="Arial" w:cs="Arial"/>
          <w:b/>
          <w:sz w:val="22"/>
          <w:szCs w:val="22"/>
        </w:rPr>
      </w:pPr>
      <w:r w:rsidRPr="001A41D4">
        <w:rPr>
          <w:rFonts w:ascii="Arial" w:hAnsi="Arial" w:cs="Arial"/>
          <w:b/>
          <w:sz w:val="22"/>
          <w:szCs w:val="22"/>
        </w:rPr>
        <w:t>ATTEMPTING TO INVADE AND OR SETTLE ON THE</w:t>
      </w:r>
    </w:p>
    <w:p w:rsidR="00EC3410" w:rsidRPr="001A41D4" w:rsidRDefault="00EC3410" w:rsidP="00EC3410">
      <w:pPr>
        <w:tabs>
          <w:tab w:val="right" w:pos="9072"/>
        </w:tabs>
        <w:ind w:left="5955" w:hanging="5955"/>
        <w:rPr>
          <w:rFonts w:ascii="Arial" w:hAnsi="Arial" w:cs="Arial"/>
          <w:b/>
          <w:sz w:val="22"/>
          <w:szCs w:val="22"/>
        </w:rPr>
      </w:pPr>
      <w:r w:rsidRPr="001A41D4">
        <w:rPr>
          <w:rFonts w:ascii="Arial" w:hAnsi="Arial" w:cs="Arial"/>
          <w:b/>
          <w:sz w:val="22"/>
          <w:szCs w:val="22"/>
        </w:rPr>
        <w:t>IMMOVEABLE PROPERTY DESCRIBED AS FARM RIET-</w:t>
      </w:r>
    </w:p>
    <w:p w:rsidR="00EC3410" w:rsidRPr="001A41D4" w:rsidRDefault="00265B88" w:rsidP="00EC3410">
      <w:pPr>
        <w:tabs>
          <w:tab w:val="right" w:pos="9072"/>
        </w:tabs>
        <w:ind w:left="5955" w:hanging="5955"/>
        <w:rPr>
          <w:rFonts w:ascii="Arial" w:hAnsi="Arial" w:cs="Arial"/>
          <w:b/>
          <w:sz w:val="22"/>
          <w:szCs w:val="22"/>
        </w:rPr>
      </w:pPr>
      <w:r w:rsidRPr="001A41D4">
        <w:rPr>
          <w:rFonts w:ascii="Arial" w:hAnsi="Arial" w:cs="Arial"/>
          <w:b/>
          <w:sz w:val="22"/>
          <w:szCs w:val="22"/>
        </w:rPr>
        <w:t xml:space="preserve">FONTEIN 153 (AND ALSO KNOWN AS </w:t>
      </w:r>
      <w:r w:rsidR="00EC3410" w:rsidRPr="001A41D4">
        <w:rPr>
          <w:rFonts w:ascii="Arial" w:hAnsi="Arial" w:cs="Arial"/>
          <w:b/>
          <w:sz w:val="22"/>
          <w:szCs w:val="22"/>
        </w:rPr>
        <w:t>PALM RIDGE</w:t>
      </w:r>
    </w:p>
    <w:p w:rsidR="00EC3410" w:rsidRPr="001A41D4" w:rsidRDefault="00EC3410" w:rsidP="00EC3410">
      <w:pPr>
        <w:tabs>
          <w:tab w:val="right" w:pos="9072"/>
        </w:tabs>
        <w:ind w:left="5955" w:hanging="5955"/>
        <w:rPr>
          <w:rFonts w:ascii="Arial" w:hAnsi="Arial" w:cs="Arial"/>
          <w:b/>
          <w:sz w:val="22"/>
          <w:szCs w:val="22"/>
        </w:rPr>
      </w:pPr>
      <w:r w:rsidRPr="001A41D4">
        <w:rPr>
          <w:rFonts w:ascii="Arial" w:hAnsi="Arial" w:cs="Arial"/>
          <w:b/>
          <w:sz w:val="22"/>
          <w:szCs w:val="22"/>
        </w:rPr>
        <w:t>EXTENSIONS 10, 18 TO 30)</w:t>
      </w:r>
      <w:r w:rsidRPr="001A41D4">
        <w:rPr>
          <w:rFonts w:ascii="Arial" w:hAnsi="Arial" w:cs="Arial"/>
          <w:sz w:val="22"/>
          <w:szCs w:val="22"/>
        </w:rPr>
        <w:tab/>
      </w:r>
      <w:r w:rsidRPr="001A41D4">
        <w:rPr>
          <w:rFonts w:ascii="Arial" w:hAnsi="Arial" w:cs="Arial"/>
          <w:sz w:val="22"/>
          <w:szCs w:val="22"/>
        </w:rPr>
        <w:tab/>
        <w:t>First Respondent</w:t>
      </w:r>
    </w:p>
    <w:p w:rsidR="00EC3410" w:rsidRPr="001A41D4" w:rsidRDefault="00EC3410" w:rsidP="00EC3410">
      <w:pPr>
        <w:tabs>
          <w:tab w:val="right" w:pos="9072"/>
        </w:tabs>
        <w:ind w:left="5955" w:hanging="5955"/>
        <w:rPr>
          <w:rFonts w:ascii="Arial" w:hAnsi="Arial" w:cs="Arial"/>
          <w:sz w:val="22"/>
          <w:szCs w:val="22"/>
        </w:rPr>
      </w:pPr>
    </w:p>
    <w:p w:rsidR="00EC3410" w:rsidRPr="001A41D4" w:rsidRDefault="00EC3410" w:rsidP="00EC3410">
      <w:pPr>
        <w:tabs>
          <w:tab w:val="right" w:pos="9072"/>
        </w:tabs>
        <w:ind w:left="5955" w:hanging="5955"/>
        <w:rPr>
          <w:rFonts w:ascii="Arial" w:hAnsi="Arial" w:cs="Arial"/>
          <w:sz w:val="22"/>
          <w:szCs w:val="22"/>
        </w:rPr>
      </w:pPr>
      <w:r w:rsidRPr="001A41D4">
        <w:rPr>
          <w:rFonts w:ascii="Arial" w:hAnsi="Arial" w:cs="Arial"/>
          <w:b/>
          <w:sz w:val="22"/>
          <w:szCs w:val="22"/>
        </w:rPr>
        <w:t>SOUTH AFRICAN POLICE SERVICES (EDEN PARK)</w:t>
      </w:r>
      <w:r w:rsidRPr="001A41D4">
        <w:rPr>
          <w:rFonts w:ascii="Arial" w:hAnsi="Arial" w:cs="Arial"/>
          <w:b/>
          <w:sz w:val="22"/>
          <w:szCs w:val="22"/>
        </w:rPr>
        <w:tab/>
      </w:r>
      <w:r w:rsidRPr="001A41D4">
        <w:rPr>
          <w:rFonts w:ascii="Arial" w:hAnsi="Arial" w:cs="Arial"/>
          <w:sz w:val="22"/>
          <w:szCs w:val="22"/>
        </w:rPr>
        <w:tab/>
        <w:t>Second Respondent</w:t>
      </w:r>
    </w:p>
    <w:p w:rsidR="00EC3410" w:rsidRPr="001A41D4" w:rsidRDefault="00EC3410" w:rsidP="00EC3410">
      <w:pPr>
        <w:tabs>
          <w:tab w:val="right" w:pos="9072"/>
        </w:tabs>
        <w:ind w:left="5955" w:hanging="5955"/>
        <w:rPr>
          <w:rFonts w:ascii="Arial" w:hAnsi="Arial" w:cs="Arial"/>
          <w:sz w:val="22"/>
          <w:szCs w:val="22"/>
        </w:rPr>
      </w:pPr>
    </w:p>
    <w:p w:rsidR="00EC3410" w:rsidRPr="001A41D4" w:rsidRDefault="00EC3410" w:rsidP="00EC3410">
      <w:pPr>
        <w:tabs>
          <w:tab w:val="right" w:pos="9072"/>
        </w:tabs>
        <w:ind w:left="5955" w:hanging="5955"/>
        <w:rPr>
          <w:rFonts w:ascii="Arial" w:hAnsi="Arial" w:cs="Arial"/>
          <w:b/>
          <w:sz w:val="22"/>
          <w:szCs w:val="22"/>
        </w:rPr>
      </w:pPr>
      <w:r w:rsidRPr="001A41D4">
        <w:rPr>
          <w:rFonts w:ascii="Arial" w:hAnsi="Arial" w:cs="Arial"/>
          <w:b/>
          <w:sz w:val="22"/>
          <w:szCs w:val="22"/>
        </w:rPr>
        <w:t xml:space="preserve">CITY OF EKURHULENI METROPOLITAN </w:t>
      </w:r>
    </w:p>
    <w:p w:rsidR="00EC3410" w:rsidRPr="001A41D4" w:rsidRDefault="00EC3410" w:rsidP="00EC3410">
      <w:pPr>
        <w:tabs>
          <w:tab w:val="right" w:pos="9072"/>
        </w:tabs>
        <w:ind w:left="5955" w:hanging="5955"/>
        <w:rPr>
          <w:rFonts w:ascii="Arial" w:hAnsi="Arial" w:cs="Arial"/>
          <w:sz w:val="22"/>
          <w:szCs w:val="22"/>
        </w:rPr>
      </w:pPr>
      <w:r w:rsidRPr="001A41D4">
        <w:rPr>
          <w:rFonts w:ascii="Arial" w:hAnsi="Arial" w:cs="Arial"/>
          <w:b/>
          <w:sz w:val="22"/>
          <w:szCs w:val="22"/>
        </w:rPr>
        <w:t>POLICE DEPARTMENT</w:t>
      </w:r>
      <w:r w:rsidRPr="001A41D4">
        <w:rPr>
          <w:rFonts w:ascii="Arial" w:hAnsi="Arial" w:cs="Arial"/>
          <w:sz w:val="22"/>
          <w:szCs w:val="22"/>
        </w:rPr>
        <w:tab/>
      </w:r>
      <w:r w:rsidRPr="001A41D4">
        <w:rPr>
          <w:rFonts w:ascii="Arial" w:hAnsi="Arial" w:cs="Arial"/>
          <w:sz w:val="22"/>
          <w:szCs w:val="22"/>
        </w:rPr>
        <w:tab/>
        <w:t>Third Respondent</w:t>
      </w:r>
    </w:p>
    <w:p w:rsidR="00EC3410" w:rsidRPr="001A41D4" w:rsidRDefault="00EC3410" w:rsidP="00EC3410">
      <w:pPr>
        <w:tabs>
          <w:tab w:val="right" w:pos="9072"/>
        </w:tabs>
        <w:ind w:left="5955" w:hanging="5955"/>
        <w:rPr>
          <w:rFonts w:ascii="Arial" w:hAnsi="Arial" w:cs="Arial"/>
          <w:sz w:val="22"/>
          <w:szCs w:val="22"/>
        </w:rPr>
      </w:pPr>
    </w:p>
    <w:p w:rsidR="00EC3410" w:rsidRPr="001A41D4" w:rsidRDefault="00EC3410" w:rsidP="00EC3410">
      <w:pPr>
        <w:tabs>
          <w:tab w:val="right" w:pos="9072"/>
        </w:tabs>
        <w:ind w:left="5955" w:hanging="5955"/>
        <w:rPr>
          <w:rFonts w:ascii="Arial" w:hAnsi="Arial" w:cs="Arial"/>
          <w:sz w:val="22"/>
          <w:szCs w:val="22"/>
        </w:rPr>
      </w:pPr>
      <w:r w:rsidRPr="001A41D4">
        <w:rPr>
          <w:rFonts w:ascii="Arial" w:hAnsi="Arial" w:cs="Arial"/>
          <w:b/>
          <w:sz w:val="22"/>
          <w:szCs w:val="22"/>
        </w:rPr>
        <w:t>TEMI CONSTRUCTION</w:t>
      </w:r>
      <w:r w:rsidRPr="001A41D4">
        <w:rPr>
          <w:rFonts w:ascii="Arial" w:hAnsi="Arial" w:cs="Arial"/>
          <w:sz w:val="22"/>
          <w:szCs w:val="22"/>
        </w:rPr>
        <w:tab/>
      </w:r>
      <w:r w:rsidRPr="001A41D4">
        <w:rPr>
          <w:rFonts w:ascii="Arial" w:hAnsi="Arial" w:cs="Arial"/>
          <w:sz w:val="22"/>
          <w:szCs w:val="22"/>
        </w:rPr>
        <w:tab/>
        <w:t>Fourth Respondent</w:t>
      </w:r>
    </w:p>
    <w:p w:rsidR="00EC3410" w:rsidRPr="001A41D4" w:rsidRDefault="00EC3410" w:rsidP="00EC3410">
      <w:pPr>
        <w:tabs>
          <w:tab w:val="right" w:pos="9072"/>
        </w:tabs>
        <w:ind w:left="5955" w:hanging="5955"/>
        <w:rPr>
          <w:rFonts w:ascii="Arial" w:hAnsi="Arial" w:cs="Arial"/>
          <w:sz w:val="22"/>
          <w:szCs w:val="22"/>
        </w:rPr>
      </w:pPr>
    </w:p>
    <w:p w:rsidR="00EC3410" w:rsidRPr="001A41D4" w:rsidRDefault="00EC3410" w:rsidP="00EC3410">
      <w:pPr>
        <w:tabs>
          <w:tab w:val="right" w:pos="9072"/>
        </w:tabs>
        <w:ind w:left="5955" w:hanging="5955"/>
        <w:rPr>
          <w:rFonts w:ascii="Arial" w:hAnsi="Arial" w:cs="Arial"/>
          <w:sz w:val="22"/>
          <w:szCs w:val="22"/>
        </w:rPr>
      </w:pPr>
      <w:r w:rsidRPr="001A41D4">
        <w:rPr>
          <w:rFonts w:ascii="Arial" w:hAnsi="Arial" w:cs="Arial"/>
          <w:b/>
          <w:sz w:val="22"/>
          <w:szCs w:val="22"/>
        </w:rPr>
        <w:t>MOKGOLOKWANE CIVILS</w:t>
      </w:r>
      <w:r w:rsidRPr="001A41D4">
        <w:rPr>
          <w:rFonts w:ascii="Arial" w:hAnsi="Arial" w:cs="Arial"/>
          <w:sz w:val="22"/>
          <w:szCs w:val="22"/>
        </w:rPr>
        <w:tab/>
      </w:r>
      <w:r w:rsidRPr="001A41D4">
        <w:rPr>
          <w:rFonts w:ascii="Arial" w:hAnsi="Arial" w:cs="Arial"/>
          <w:sz w:val="22"/>
          <w:szCs w:val="22"/>
        </w:rPr>
        <w:tab/>
        <w:t>Fifth Respondent</w:t>
      </w:r>
    </w:p>
    <w:p w:rsidR="00EC3410" w:rsidRPr="001A41D4" w:rsidRDefault="00EC3410" w:rsidP="00EC3410">
      <w:pPr>
        <w:tabs>
          <w:tab w:val="right" w:pos="9072"/>
        </w:tabs>
        <w:ind w:left="5955" w:hanging="5955"/>
        <w:rPr>
          <w:rFonts w:ascii="Arial" w:hAnsi="Arial" w:cs="Arial"/>
          <w:sz w:val="22"/>
          <w:szCs w:val="22"/>
        </w:rPr>
      </w:pPr>
    </w:p>
    <w:p w:rsidR="00EC3410" w:rsidRPr="001A41D4" w:rsidRDefault="00EC3410" w:rsidP="00EC3410">
      <w:pPr>
        <w:tabs>
          <w:tab w:val="right" w:pos="9072"/>
        </w:tabs>
        <w:ind w:left="5955" w:hanging="5955"/>
        <w:rPr>
          <w:rFonts w:ascii="Arial" w:hAnsi="Arial" w:cs="Arial"/>
          <w:sz w:val="22"/>
          <w:szCs w:val="22"/>
        </w:rPr>
      </w:pPr>
      <w:r w:rsidRPr="001A41D4">
        <w:rPr>
          <w:rFonts w:ascii="Arial" w:hAnsi="Arial" w:cs="Arial"/>
          <w:b/>
          <w:sz w:val="22"/>
          <w:szCs w:val="22"/>
        </w:rPr>
        <w:t>BUYANEMPUMELELO TRADING CC</w:t>
      </w:r>
      <w:r w:rsidRPr="001A41D4">
        <w:rPr>
          <w:rFonts w:ascii="Arial" w:hAnsi="Arial" w:cs="Arial"/>
          <w:sz w:val="22"/>
          <w:szCs w:val="22"/>
        </w:rPr>
        <w:tab/>
      </w:r>
      <w:r w:rsidRPr="001A41D4">
        <w:rPr>
          <w:rFonts w:ascii="Arial" w:hAnsi="Arial" w:cs="Arial"/>
          <w:sz w:val="22"/>
          <w:szCs w:val="22"/>
        </w:rPr>
        <w:tab/>
        <w:t>Sixth Respondent</w:t>
      </w:r>
    </w:p>
    <w:p w:rsidR="00EC3410" w:rsidRPr="001A41D4" w:rsidRDefault="00EC3410" w:rsidP="00EC3410">
      <w:pPr>
        <w:tabs>
          <w:tab w:val="right" w:pos="9072"/>
        </w:tabs>
        <w:ind w:left="5955" w:hanging="5955"/>
        <w:rPr>
          <w:rFonts w:ascii="Arial" w:hAnsi="Arial" w:cs="Arial"/>
          <w:sz w:val="22"/>
          <w:szCs w:val="22"/>
        </w:rPr>
      </w:pPr>
    </w:p>
    <w:p w:rsidR="00EC3410" w:rsidRPr="001A41D4" w:rsidRDefault="00EC3410" w:rsidP="00EC3410">
      <w:pPr>
        <w:tabs>
          <w:tab w:val="right" w:pos="9072"/>
        </w:tabs>
        <w:ind w:left="5955" w:hanging="5955"/>
        <w:rPr>
          <w:rFonts w:ascii="Arial" w:hAnsi="Arial" w:cs="Arial"/>
          <w:sz w:val="22"/>
          <w:szCs w:val="22"/>
        </w:rPr>
      </w:pPr>
      <w:r w:rsidRPr="001A41D4">
        <w:rPr>
          <w:rFonts w:ascii="Arial" w:hAnsi="Arial" w:cs="Arial"/>
          <w:b/>
          <w:sz w:val="22"/>
          <w:szCs w:val="22"/>
        </w:rPr>
        <w:t>MOTHEO GROUP</w:t>
      </w:r>
      <w:r w:rsidRPr="001A41D4">
        <w:rPr>
          <w:rFonts w:ascii="Arial" w:hAnsi="Arial" w:cs="Arial"/>
          <w:sz w:val="22"/>
          <w:szCs w:val="22"/>
        </w:rPr>
        <w:tab/>
      </w:r>
      <w:r w:rsidRPr="001A41D4">
        <w:rPr>
          <w:rFonts w:ascii="Arial" w:hAnsi="Arial" w:cs="Arial"/>
          <w:sz w:val="22"/>
          <w:szCs w:val="22"/>
        </w:rPr>
        <w:tab/>
        <w:t>Seventh Respondent</w:t>
      </w:r>
    </w:p>
    <w:p w:rsidR="00534696" w:rsidRPr="001A41D4" w:rsidRDefault="00534696" w:rsidP="00EC3410">
      <w:pPr>
        <w:tabs>
          <w:tab w:val="right" w:pos="9072"/>
        </w:tabs>
        <w:ind w:left="5955" w:hanging="5955"/>
        <w:rPr>
          <w:rFonts w:ascii="Arial" w:hAnsi="Arial" w:cs="Arial"/>
          <w:sz w:val="22"/>
          <w:szCs w:val="22"/>
        </w:rPr>
      </w:pPr>
    </w:p>
    <w:p w:rsidR="00534696" w:rsidRPr="001A41D4" w:rsidRDefault="00A67020" w:rsidP="00A67020">
      <w:pPr>
        <w:tabs>
          <w:tab w:val="right" w:pos="9072"/>
        </w:tabs>
        <w:spacing w:line="360" w:lineRule="auto"/>
        <w:ind w:left="5954" w:hanging="5954"/>
        <w:rPr>
          <w:rFonts w:ascii="Arial" w:hAnsi="Arial" w:cs="Arial"/>
          <w:b/>
          <w:sz w:val="22"/>
          <w:szCs w:val="22"/>
        </w:rPr>
      </w:pPr>
      <w:r w:rsidRPr="001A41D4">
        <w:rPr>
          <w:rFonts w:ascii="Arial" w:hAnsi="Arial" w:cs="Arial"/>
          <w:b/>
          <w:sz w:val="22"/>
          <w:szCs w:val="22"/>
        </w:rPr>
        <w:t>THE FURTHER RESPONDENTS and 998 currently represented</w:t>
      </w:r>
    </w:p>
    <w:p w:rsidR="00EC3410" w:rsidRPr="001A41D4" w:rsidRDefault="00A67020" w:rsidP="001A41D4">
      <w:pPr>
        <w:tabs>
          <w:tab w:val="right" w:pos="9072"/>
        </w:tabs>
        <w:spacing w:line="360" w:lineRule="auto"/>
        <w:ind w:left="5954" w:hanging="5954"/>
        <w:rPr>
          <w:rFonts w:ascii="Arial" w:hAnsi="Arial" w:cs="Arial"/>
          <w:sz w:val="22"/>
          <w:szCs w:val="22"/>
        </w:rPr>
      </w:pPr>
      <w:r w:rsidRPr="001A41D4">
        <w:rPr>
          <w:rFonts w:ascii="Arial" w:hAnsi="Arial" w:cs="Arial"/>
          <w:b/>
          <w:sz w:val="22"/>
          <w:szCs w:val="22"/>
        </w:rPr>
        <w:t>by Swikwambana P Attorneys</w:t>
      </w:r>
      <w:r w:rsidRPr="001A41D4">
        <w:rPr>
          <w:rFonts w:ascii="Arial" w:hAnsi="Arial" w:cs="Arial"/>
          <w:b/>
          <w:sz w:val="22"/>
          <w:szCs w:val="22"/>
        </w:rPr>
        <w:tab/>
      </w:r>
      <w:r w:rsidRPr="001A41D4">
        <w:rPr>
          <w:rFonts w:ascii="Arial" w:hAnsi="Arial" w:cs="Arial"/>
          <w:sz w:val="22"/>
          <w:szCs w:val="22"/>
        </w:rPr>
        <w:tab/>
        <w:t xml:space="preserve">Eighth </w:t>
      </w:r>
      <w:r w:rsidR="009D7049" w:rsidRPr="001A41D4">
        <w:rPr>
          <w:rFonts w:ascii="Arial" w:hAnsi="Arial" w:cs="Arial"/>
          <w:sz w:val="22"/>
          <w:szCs w:val="22"/>
        </w:rPr>
        <w:t>Respondent</w:t>
      </w:r>
    </w:p>
    <w:p w:rsidR="00EC3410" w:rsidRDefault="00EC3410" w:rsidP="00EC3410">
      <w:pPr>
        <w:jc w:val="center"/>
        <w:rPr>
          <w:rFonts w:ascii="Arial" w:hAnsi="Arial" w:cs="Arial"/>
          <w:lang w:val="en-GB"/>
        </w:rPr>
      </w:pPr>
      <w:r>
        <w:rPr>
          <w:rFonts w:ascii="Arial" w:hAnsi="Arial" w:cs="Arial"/>
          <w:lang w:val="en-GB"/>
        </w:rPr>
        <w:t>___________________________________________________________</w:t>
      </w:r>
    </w:p>
    <w:p w:rsidR="00EC3410" w:rsidRDefault="00EC3410" w:rsidP="00EC3410">
      <w:pPr>
        <w:jc w:val="center"/>
        <w:rPr>
          <w:rFonts w:ascii="Arial" w:hAnsi="Arial" w:cs="Arial"/>
          <w:b/>
          <w:lang w:val="en-GB"/>
        </w:rPr>
      </w:pPr>
    </w:p>
    <w:p w:rsidR="00EC3410" w:rsidRDefault="00960A95" w:rsidP="00EC3410">
      <w:pPr>
        <w:jc w:val="center"/>
        <w:rPr>
          <w:rFonts w:ascii="Arial" w:hAnsi="Arial" w:cs="Arial"/>
          <w:b/>
          <w:lang w:val="en-GB"/>
        </w:rPr>
      </w:pPr>
      <w:r>
        <w:rPr>
          <w:rFonts w:ascii="Arial" w:hAnsi="Arial" w:cs="Arial"/>
          <w:b/>
          <w:lang w:val="en-GB"/>
        </w:rPr>
        <w:t>JUDGMENT</w:t>
      </w:r>
    </w:p>
    <w:p w:rsidR="00EC3410" w:rsidRDefault="00EC3410" w:rsidP="00EC3410">
      <w:pPr>
        <w:jc w:val="center"/>
        <w:rPr>
          <w:rFonts w:ascii="Arial" w:hAnsi="Arial" w:cs="Arial"/>
          <w:b/>
          <w:lang w:val="en-GB"/>
        </w:rPr>
      </w:pPr>
      <w:r>
        <w:rPr>
          <w:rFonts w:ascii="Arial" w:hAnsi="Arial" w:cs="Arial"/>
          <w:lang w:val="en-GB"/>
        </w:rPr>
        <w:t>___________________________________________________________</w:t>
      </w:r>
    </w:p>
    <w:p w:rsidR="001A41D4" w:rsidRDefault="001A41D4" w:rsidP="001A41D4">
      <w:pPr>
        <w:pStyle w:val="TOCHeading"/>
        <w:tabs>
          <w:tab w:val="clear" w:pos="709"/>
        </w:tabs>
        <w:ind w:left="0" w:firstLine="0"/>
        <w:jc w:val="both"/>
        <w:rPr>
          <w:rFonts w:ascii="Arial" w:eastAsia="Times New Roman" w:hAnsi="Arial" w:cs="Arial"/>
          <w:szCs w:val="24"/>
        </w:rPr>
      </w:pPr>
    </w:p>
    <w:p w:rsidR="00EC3410" w:rsidRDefault="00EC3410" w:rsidP="001A41D4">
      <w:pPr>
        <w:pStyle w:val="TOCHeading"/>
        <w:tabs>
          <w:tab w:val="clear" w:pos="709"/>
        </w:tabs>
        <w:ind w:left="0" w:firstLine="0"/>
        <w:jc w:val="both"/>
        <w:rPr>
          <w:rFonts w:ascii="Arial" w:eastAsia="Times New Roman" w:hAnsi="Arial" w:cs="Arial"/>
          <w:szCs w:val="24"/>
        </w:rPr>
      </w:pPr>
      <w:r w:rsidRPr="00EC3410">
        <w:rPr>
          <w:rFonts w:ascii="Arial" w:eastAsia="Times New Roman" w:hAnsi="Arial" w:cs="Arial"/>
          <w:szCs w:val="24"/>
        </w:rPr>
        <w:t>SPILG, J</w:t>
      </w:r>
    </w:p>
    <w:p w:rsidR="001A41D4" w:rsidRDefault="001A41D4" w:rsidP="00EC3410">
      <w:pPr>
        <w:rPr>
          <w:rFonts w:ascii="Arial" w:hAnsi="Arial" w:cs="Arial"/>
          <w:b/>
        </w:rPr>
      </w:pPr>
    </w:p>
    <w:p w:rsidR="00EC3410" w:rsidRDefault="00EC3410" w:rsidP="00EC3410">
      <w:pPr>
        <w:rPr>
          <w:rFonts w:ascii="Arial" w:hAnsi="Arial" w:cs="Arial"/>
          <w:b/>
        </w:rPr>
      </w:pPr>
      <w:r w:rsidRPr="00EC3410">
        <w:rPr>
          <w:rFonts w:ascii="Arial" w:hAnsi="Arial" w:cs="Arial"/>
          <w:b/>
        </w:rPr>
        <w:lastRenderedPageBreak/>
        <w:t>INTRODUCTION</w:t>
      </w:r>
    </w:p>
    <w:p w:rsidR="00EC3410" w:rsidRPr="00CE4950" w:rsidRDefault="00EC3410" w:rsidP="00EC3410">
      <w:pPr>
        <w:rPr>
          <w:rFonts w:ascii="Arial" w:hAnsi="Arial" w:cs="Arial"/>
          <w:b/>
        </w:rPr>
      </w:pPr>
    </w:p>
    <w:p w:rsidR="000740E2" w:rsidRDefault="00A756BF" w:rsidP="00D50855">
      <w:pPr>
        <w:pStyle w:val="ListParagraph"/>
        <w:numPr>
          <w:ilvl w:val="0"/>
          <w:numId w:val="3"/>
        </w:numPr>
        <w:spacing w:line="360" w:lineRule="auto"/>
        <w:rPr>
          <w:rFonts w:ascii="Arial" w:hAnsi="Arial" w:cs="Arial"/>
        </w:rPr>
      </w:pPr>
      <w:r>
        <w:rPr>
          <w:rFonts w:ascii="Arial" w:hAnsi="Arial" w:cs="Arial"/>
        </w:rPr>
        <w:t>Two</w:t>
      </w:r>
      <w:r w:rsidR="00785E03">
        <w:rPr>
          <w:rFonts w:ascii="Arial" w:hAnsi="Arial" w:cs="Arial"/>
        </w:rPr>
        <w:t xml:space="preserve"> </w:t>
      </w:r>
      <w:r w:rsidR="00900FA6">
        <w:rPr>
          <w:rFonts w:ascii="Arial" w:hAnsi="Arial" w:cs="Arial"/>
        </w:rPr>
        <w:t xml:space="preserve">separate </w:t>
      </w:r>
      <w:r w:rsidR="00785E03">
        <w:rPr>
          <w:rFonts w:ascii="Arial" w:hAnsi="Arial" w:cs="Arial"/>
        </w:rPr>
        <w:t>inc</w:t>
      </w:r>
      <w:r w:rsidR="000740E2">
        <w:rPr>
          <w:rFonts w:ascii="Arial" w:hAnsi="Arial" w:cs="Arial"/>
        </w:rPr>
        <w:t xml:space="preserve">idents </w:t>
      </w:r>
      <w:r w:rsidR="00900FA6">
        <w:rPr>
          <w:rFonts w:ascii="Arial" w:hAnsi="Arial" w:cs="Arial"/>
        </w:rPr>
        <w:t xml:space="preserve">occurred </w:t>
      </w:r>
      <w:r w:rsidR="00DA6D05">
        <w:rPr>
          <w:rFonts w:ascii="Arial" w:hAnsi="Arial" w:cs="Arial"/>
        </w:rPr>
        <w:t xml:space="preserve"> </w:t>
      </w:r>
      <w:r w:rsidR="000740E2">
        <w:rPr>
          <w:rFonts w:ascii="Arial" w:hAnsi="Arial" w:cs="Arial"/>
        </w:rPr>
        <w:t>at the RDP housing deve</w:t>
      </w:r>
      <w:r w:rsidR="00785E03">
        <w:rPr>
          <w:rFonts w:ascii="Arial" w:hAnsi="Arial" w:cs="Arial"/>
        </w:rPr>
        <w:t xml:space="preserve">lopment (also referred to as </w:t>
      </w:r>
      <w:r w:rsidR="00DA6D05">
        <w:rPr>
          <w:rFonts w:ascii="Arial" w:hAnsi="Arial" w:cs="Arial"/>
        </w:rPr>
        <w:t xml:space="preserve">the housing </w:t>
      </w:r>
      <w:r w:rsidR="00C06312" w:rsidRPr="00DA6D05">
        <w:rPr>
          <w:rFonts w:ascii="Arial" w:hAnsi="Arial" w:cs="Arial"/>
        </w:rPr>
        <w:t>project)</w:t>
      </w:r>
      <w:r w:rsidR="008C4115">
        <w:rPr>
          <w:rFonts w:ascii="Arial" w:hAnsi="Arial" w:cs="Arial"/>
        </w:rPr>
        <w:t xml:space="preserve"> in Palm Ridge which ga</w:t>
      </w:r>
      <w:r w:rsidR="000740E2">
        <w:rPr>
          <w:rFonts w:ascii="Arial" w:hAnsi="Arial" w:cs="Arial"/>
        </w:rPr>
        <w:t xml:space="preserve">ve rise to the issues </w:t>
      </w:r>
      <w:r w:rsidR="00DA6D05">
        <w:rPr>
          <w:rFonts w:ascii="Arial" w:hAnsi="Arial" w:cs="Arial"/>
        </w:rPr>
        <w:t>before</w:t>
      </w:r>
      <w:r w:rsidR="005724CF">
        <w:rPr>
          <w:rFonts w:ascii="Arial" w:hAnsi="Arial" w:cs="Arial"/>
        </w:rPr>
        <w:t xml:space="preserve"> this court</w:t>
      </w:r>
      <w:r w:rsidR="000740E2">
        <w:rPr>
          <w:rFonts w:ascii="Arial" w:hAnsi="Arial" w:cs="Arial"/>
        </w:rPr>
        <w:t>.</w:t>
      </w:r>
      <w:r w:rsidR="005724CF">
        <w:rPr>
          <w:rStyle w:val="FootnoteReference"/>
          <w:rFonts w:ascii="Arial" w:hAnsi="Arial" w:cs="Arial"/>
        </w:rPr>
        <w:footnoteReference w:id="1"/>
      </w:r>
      <w:r w:rsidR="000740E2">
        <w:rPr>
          <w:rFonts w:ascii="Arial" w:hAnsi="Arial" w:cs="Arial"/>
        </w:rPr>
        <w:t xml:space="preserve"> </w:t>
      </w:r>
    </w:p>
    <w:p w:rsidR="00A756BF" w:rsidRDefault="00A756BF" w:rsidP="00A756BF">
      <w:pPr>
        <w:pStyle w:val="ListParagraph"/>
        <w:spacing w:line="360" w:lineRule="auto"/>
        <w:ind w:left="360"/>
        <w:rPr>
          <w:rFonts w:ascii="Arial" w:hAnsi="Arial" w:cs="Arial"/>
        </w:rPr>
      </w:pPr>
    </w:p>
    <w:p w:rsidR="00DF331C" w:rsidRDefault="00C06312" w:rsidP="00A756BF">
      <w:pPr>
        <w:pStyle w:val="ListParagraph"/>
        <w:spacing w:line="360" w:lineRule="auto"/>
        <w:ind w:left="360"/>
        <w:rPr>
          <w:rFonts w:ascii="Arial" w:hAnsi="Arial" w:cs="Arial"/>
        </w:rPr>
      </w:pPr>
      <w:r>
        <w:rPr>
          <w:rFonts w:ascii="Arial" w:hAnsi="Arial" w:cs="Arial"/>
        </w:rPr>
        <w:t>Each involved</w:t>
      </w:r>
      <w:r w:rsidR="00A756BF">
        <w:rPr>
          <w:rFonts w:ascii="Arial" w:hAnsi="Arial" w:cs="Arial"/>
        </w:rPr>
        <w:t xml:space="preserve"> a different group of people who attempted to</w:t>
      </w:r>
      <w:r w:rsidR="009D7049">
        <w:rPr>
          <w:rFonts w:ascii="Arial" w:hAnsi="Arial" w:cs="Arial"/>
        </w:rPr>
        <w:t>,</w:t>
      </w:r>
      <w:r w:rsidR="00A756BF">
        <w:rPr>
          <w:rFonts w:ascii="Arial" w:hAnsi="Arial" w:cs="Arial"/>
        </w:rPr>
        <w:t xml:space="preserve"> </w:t>
      </w:r>
      <w:r>
        <w:rPr>
          <w:rFonts w:ascii="Arial" w:hAnsi="Arial" w:cs="Arial"/>
        </w:rPr>
        <w:t>or had</w:t>
      </w:r>
      <w:r w:rsidR="009D7049">
        <w:rPr>
          <w:rFonts w:ascii="Arial" w:hAnsi="Arial" w:cs="Arial"/>
        </w:rPr>
        <w:t xml:space="preserve"> already,</w:t>
      </w:r>
      <w:r>
        <w:rPr>
          <w:rFonts w:ascii="Arial" w:hAnsi="Arial" w:cs="Arial"/>
        </w:rPr>
        <w:t xml:space="preserve"> </w:t>
      </w:r>
      <w:r w:rsidR="00A756BF">
        <w:rPr>
          <w:rFonts w:ascii="Arial" w:hAnsi="Arial" w:cs="Arial"/>
        </w:rPr>
        <w:t xml:space="preserve">come onto the development. </w:t>
      </w:r>
    </w:p>
    <w:p w:rsidR="00DF331C" w:rsidRDefault="00DF331C" w:rsidP="00A756BF">
      <w:pPr>
        <w:pStyle w:val="ListParagraph"/>
        <w:spacing w:line="360" w:lineRule="auto"/>
        <w:ind w:left="360"/>
        <w:rPr>
          <w:rFonts w:ascii="Arial" w:hAnsi="Arial" w:cs="Arial"/>
        </w:rPr>
      </w:pPr>
    </w:p>
    <w:p w:rsidR="00DF331C" w:rsidRDefault="00A756BF" w:rsidP="00FA1EAA">
      <w:pPr>
        <w:pStyle w:val="ListParagraph"/>
        <w:numPr>
          <w:ilvl w:val="0"/>
          <w:numId w:val="3"/>
        </w:numPr>
        <w:spacing w:line="360" w:lineRule="auto"/>
        <w:rPr>
          <w:rFonts w:ascii="Arial" w:hAnsi="Arial" w:cs="Arial"/>
        </w:rPr>
      </w:pPr>
      <w:r>
        <w:rPr>
          <w:rFonts w:ascii="Arial" w:hAnsi="Arial" w:cs="Arial"/>
        </w:rPr>
        <w:t xml:space="preserve">It is common cause that the incident which concerns the first group (who the court papers identify as the first </w:t>
      </w:r>
      <w:r w:rsidR="00C06312">
        <w:rPr>
          <w:rFonts w:ascii="Arial" w:hAnsi="Arial" w:cs="Arial"/>
        </w:rPr>
        <w:t>respondent</w:t>
      </w:r>
      <w:r>
        <w:rPr>
          <w:rFonts w:ascii="Arial" w:hAnsi="Arial" w:cs="Arial"/>
        </w:rPr>
        <w:t xml:space="preserve">) took place in </w:t>
      </w:r>
      <w:r w:rsidRPr="009D7049">
        <w:rPr>
          <w:rFonts w:ascii="Arial" w:hAnsi="Arial" w:cs="Arial"/>
        </w:rPr>
        <w:t>July 2019.</w:t>
      </w:r>
      <w:r>
        <w:rPr>
          <w:rFonts w:ascii="Arial" w:hAnsi="Arial" w:cs="Arial"/>
        </w:rPr>
        <w:t xml:space="preserve"> </w:t>
      </w:r>
    </w:p>
    <w:p w:rsidR="00FA1EAA" w:rsidRDefault="00FA1EAA" w:rsidP="00FA1EAA">
      <w:pPr>
        <w:pStyle w:val="ListParagraph"/>
        <w:spacing w:line="360" w:lineRule="auto"/>
        <w:ind w:left="360"/>
        <w:rPr>
          <w:rFonts w:ascii="Arial" w:hAnsi="Arial" w:cs="Arial"/>
        </w:rPr>
      </w:pPr>
    </w:p>
    <w:p w:rsidR="00FA1EAA" w:rsidRDefault="00FA1EAA" w:rsidP="00FA1EAA">
      <w:pPr>
        <w:pStyle w:val="ListParagraph"/>
        <w:spacing w:line="360" w:lineRule="auto"/>
        <w:ind w:left="360"/>
        <w:rPr>
          <w:rFonts w:ascii="Arial" w:hAnsi="Arial" w:cs="Arial"/>
        </w:rPr>
      </w:pPr>
      <w:r>
        <w:rPr>
          <w:rFonts w:ascii="Arial" w:hAnsi="Arial" w:cs="Arial"/>
        </w:rPr>
        <w:t xml:space="preserve">The applicant, which </w:t>
      </w:r>
      <w:r w:rsidR="00C06312">
        <w:rPr>
          <w:rFonts w:ascii="Arial" w:hAnsi="Arial" w:cs="Arial"/>
        </w:rPr>
        <w:t>is the</w:t>
      </w:r>
      <w:r w:rsidR="00323D69">
        <w:rPr>
          <w:rFonts w:ascii="Arial" w:hAnsi="Arial" w:cs="Arial"/>
        </w:rPr>
        <w:t xml:space="preserve"> City of Ekurhuleni </w:t>
      </w:r>
      <w:r>
        <w:rPr>
          <w:rFonts w:ascii="Arial" w:hAnsi="Arial" w:cs="Arial"/>
        </w:rPr>
        <w:t xml:space="preserve">Metropolitan </w:t>
      </w:r>
      <w:r w:rsidR="00C06312">
        <w:rPr>
          <w:rFonts w:ascii="Arial" w:hAnsi="Arial" w:cs="Arial"/>
        </w:rPr>
        <w:t>Municipality</w:t>
      </w:r>
      <w:r>
        <w:rPr>
          <w:rFonts w:ascii="Arial" w:hAnsi="Arial" w:cs="Arial"/>
        </w:rPr>
        <w:t xml:space="preserve"> (“</w:t>
      </w:r>
      <w:r w:rsidRPr="00FA1EAA">
        <w:rPr>
          <w:rFonts w:ascii="Arial" w:hAnsi="Arial" w:cs="Arial"/>
          <w:i/>
        </w:rPr>
        <w:t>the Metro</w:t>
      </w:r>
      <w:r w:rsidR="00323D69">
        <w:rPr>
          <w:rFonts w:ascii="Arial" w:hAnsi="Arial" w:cs="Arial"/>
        </w:rPr>
        <w:t>”),</w:t>
      </w:r>
      <w:r>
        <w:rPr>
          <w:rFonts w:ascii="Arial" w:hAnsi="Arial" w:cs="Arial"/>
        </w:rPr>
        <w:t xml:space="preserve"> brought an urgent application against anyone attempting to occupy the development. </w:t>
      </w:r>
      <w:r w:rsidR="00860E11">
        <w:rPr>
          <w:rFonts w:ascii="Arial" w:hAnsi="Arial" w:cs="Arial"/>
        </w:rPr>
        <w:t>T</w:t>
      </w:r>
      <w:r>
        <w:rPr>
          <w:rFonts w:ascii="Arial" w:hAnsi="Arial" w:cs="Arial"/>
        </w:rPr>
        <w:t>hose who came to</w:t>
      </w:r>
      <w:r w:rsidR="00860E11">
        <w:rPr>
          <w:rFonts w:ascii="Arial" w:hAnsi="Arial" w:cs="Arial"/>
        </w:rPr>
        <w:t xml:space="preserve"> oppose the</w:t>
      </w:r>
      <w:r>
        <w:rPr>
          <w:rFonts w:ascii="Arial" w:hAnsi="Arial" w:cs="Arial"/>
        </w:rPr>
        <w:t xml:space="preserve"> </w:t>
      </w:r>
      <w:r w:rsidR="00860E11">
        <w:rPr>
          <w:rFonts w:ascii="Arial" w:hAnsi="Arial" w:cs="Arial"/>
        </w:rPr>
        <w:t>inte</w:t>
      </w:r>
      <w:r w:rsidR="00DA6D05">
        <w:rPr>
          <w:rFonts w:ascii="Arial" w:hAnsi="Arial" w:cs="Arial"/>
        </w:rPr>
        <w:t>rim order granted at the time (</w:t>
      </w:r>
      <w:r w:rsidR="00860E11">
        <w:rPr>
          <w:rFonts w:ascii="Arial" w:hAnsi="Arial" w:cs="Arial"/>
        </w:rPr>
        <w:t>in July 2019</w:t>
      </w:r>
      <w:r w:rsidR="00DA6D05">
        <w:rPr>
          <w:rFonts w:ascii="Arial" w:hAnsi="Arial" w:cs="Arial"/>
        </w:rPr>
        <w:t>)</w:t>
      </w:r>
      <w:r w:rsidR="00860E11">
        <w:rPr>
          <w:rFonts w:ascii="Arial" w:hAnsi="Arial" w:cs="Arial"/>
        </w:rPr>
        <w:t xml:space="preserve"> p</w:t>
      </w:r>
      <w:r w:rsidR="00DA6D05">
        <w:rPr>
          <w:rFonts w:ascii="Arial" w:hAnsi="Arial" w:cs="Arial"/>
        </w:rPr>
        <w:t>ut their names on a list</w:t>
      </w:r>
      <w:r w:rsidR="00860E11">
        <w:rPr>
          <w:rFonts w:ascii="Arial" w:hAnsi="Arial" w:cs="Arial"/>
        </w:rPr>
        <w:t xml:space="preserve"> required by </w:t>
      </w:r>
      <w:r w:rsidR="00DA6D05">
        <w:rPr>
          <w:rFonts w:ascii="Arial" w:hAnsi="Arial" w:cs="Arial"/>
        </w:rPr>
        <w:t xml:space="preserve">the </w:t>
      </w:r>
      <w:r w:rsidR="00860E11">
        <w:rPr>
          <w:rFonts w:ascii="Arial" w:hAnsi="Arial" w:cs="Arial"/>
        </w:rPr>
        <w:t xml:space="preserve">court order and </w:t>
      </w:r>
      <w:r>
        <w:rPr>
          <w:rFonts w:ascii="Arial" w:hAnsi="Arial" w:cs="Arial"/>
        </w:rPr>
        <w:t>identified themselves</w:t>
      </w:r>
      <w:r w:rsidR="00860E11">
        <w:rPr>
          <w:rFonts w:ascii="Arial" w:hAnsi="Arial" w:cs="Arial"/>
        </w:rPr>
        <w:t xml:space="preserve"> as falling within the first </w:t>
      </w:r>
      <w:r w:rsidR="00C06312">
        <w:rPr>
          <w:rFonts w:ascii="Arial" w:hAnsi="Arial" w:cs="Arial"/>
        </w:rPr>
        <w:t>respondent</w:t>
      </w:r>
      <w:r w:rsidR="00860E11">
        <w:rPr>
          <w:rFonts w:ascii="Arial" w:hAnsi="Arial" w:cs="Arial"/>
        </w:rPr>
        <w:t xml:space="preserve"> group. </w:t>
      </w:r>
      <w:r w:rsidR="000774C7">
        <w:rPr>
          <w:rFonts w:ascii="Arial" w:hAnsi="Arial" w:cs="Arial"/>
        </w:rPr>
        <w:t xml:space="preserve">This </w:t>
      </w:r>
      <w:r w:rsidR="009D7049">
        <w:rPr>
          <w:rFonts w:ascii="Arial" w:hAnsi="Arial" w:cs="Arial"/>
        </w:rPr>
        <w:t>occurred sometime later in October</w:t>
      </w:r>
      <w:r w:rsidR="000774C7">
        <w:rPr>
          <w:rFonts w:ascii="Arial" w:hAnsi="Arial" w:cs="Arial"/>
        </w:rPr>
        <w:t xml:space="preserve"> of that year</w:t>
      </w:r>
      <w:r w:rsidR="009D7049">
        <w:rPr>
          <w:rFonts w:ascii="Arial" w:hAnsi="Arial" w:cs="Arial"/>
        </w:rPr>
        <w:t>.</w:t>
      </w:r>
    </w:p>
    <w:p w:rsidR="00DF331C" w:rsidRDefault="00DF331C" w:rsidP="00A756BF">
      <w:pPr>
        <w:pStyle w:val="ListParagraph"/>
        <w:spacing w:line="360" w:lineRule="auto"/>
        <w:ind w:left="360"/>
        <w:rPr>
          <w:rFonts w:ascii="Arial" w:hAnsi="Arial" w:cs="Arial"/>
        </w:rPr>
      </w:pPr>
    </w:p>
    <w:p w:rsidR="006B6996" w:rsidRDefault="009D7049" w:rsidP="00347BF6">
      <w:pPr>
        <w:pStyle w:val="ListParagraph"/>
        <w:numPr>
          <w:ilvl w:val="0"/>
          <w:numId w:val="3"/>
        </w:numPr>
        <w:spacing w:line="360" w:lineRule="auto"/>
        <w:rPr>
          <w:rFonts w:ascii="Arial" w:hAnsi="Arial" w:cs="Arial"/>
        </w:rPr>
      </w:pPr>
      <w:r w:rsidRPr="00B65937">
        <w:rPr>
          <w:rFonts w:ascii="Arial" w:hAnsi="Arial" w:cs="Arial"/>
        </w:rPr>
        <w:t xml:space="preserve">Initially </w:t>
      </w:r>
      <w:r w:rsidR="00DF331C" w:rsidRPr="00B65937">
        <w:rPr>
          <w:rFonts w:ascii="Arial" w:hAnsi="Arial" w:cs="Arial"/>
        </w:rPr>
        <w:t>the</w:t>
      </w:r>
      <w:r w:rsidR="00FA1EAA" w:rsidRPr="00B65937">
        <w:rPr>
          <w:rFonts w:ascii="Arial" w:hAnsi="Arial" w:cs="Arial"/>
        </w:rPr>
        <w:t xml:space="preserve"> </w:t>
      </w:r>
      <w:r w:rsidR="00C06312" w:rsidRPr="00B65937">
        <w:rPr>
          <w:rFonts w:ascii="Arial" w:hAnsi="Arial" w:cs="Arial"/>
        </w:rPr>
        <w:t>Metro</w:t>
      </w:r>
      <w:r w:rsidR="006B6996" w:rsidRPr="00B65937">
        <w:rPr>
          <w:rFonts w:ascii="Arial" w:hAnsi="Arial" w:cs="Arial"/>
        </w:rPr>
        <w:t xml:space="preserve"> claimed that</w:t>
      </w:r>
      <w:r w:rsidR="00C06312" w:rsidRPr="00B65937">
        <w:rPr>
          <w:rFonts w:ascii="Arial" w:hAnsi="Arial" w:cs="Arial"/>
        </w:rPr>
        <w:t xml:space="preserve"> the</w:t>
      </w:r>
      <w:r w:rsidR="00DF331C" w:rsidRPr="00B65937">
        <w:rPr>
          <w:rFonts w:ascii="Arial" w:hAnsi="Arial" w:cs="Arial"/>
        </w:rPr>
        <w:t xml:space="preserve"> second incident</w:t>
      </w:r>
      <w:r w:rsidR="008C4115">
        <w:rPr>
          <w:rFonts w:ascii="Arial" w:hAnsi="Arial" w:cs="Arial"/>
        </w:rPr>
        <w:t>,</w:t>
      </w:r>
      <w:r w:rsidR="00DF331C" w:rsidRPr="00B65937">
        <w:rPr>
          <w:rFonts w:ascii="Arial" w:hAnsi="Arial" w:cs="Arial"/>
        </w:rPr>
        <w:t xml:space="preserve"> </w:t>
      </w:r>
      <w:r w:rsidR="00B65937">
        <w:rPr>
          <w:rFonts w:ascii="Arial" w:hAnsi="Arial" w:cs="Arial"/>
        </w:rPr>
        <w:t>involving a fresh land grab by another group</w:t>
      </w:r>
      <w:r w:rsidR="008C4115">
        <w:rPr>
          <w:rFonts w:ascii="Arial" w:hAnsi="Arial" w:cs="Arial"/>
        </w:rPr>
        <w:t>,</w:t>
      </w:r>
      <w:r w:rsidR="00B65937">
        <w:rPr>
          <w:rFonts w:ascii="Arial" w:hAnsi="Arial" w:cs="Arial"/>
        </w:rPr>
        <w:t xml:space="preserve"> </w:t>
      </w:r>
      <w:r w:rsidR="00DF331C" w:rsidRPr="00B65937">
        <w:rPr>
          <w:rFonts w:ascii="Arial" w:hAnsi="Arial" w:cs="Arial"/>
        </w:rPr>
        <w:t>occurred in June 2021</w:t>
      </w:r>
      <w:r w:rsidR="00B65937">
        <w:rPr>
          <w:rFonts w:ascii="Arial" w:hAnsi="Arial" w:cs="Arial"/>
        </w:rPr>
        <w:t xml:space="preserve">. It </w:t>
      </w:r>
      <w:r w:rsidR="006B6996" w:rsidRPr="00B65937">
        <w:rPr>
          <w:rFonts w:ascii="Arial" w:hAnsi="Arial" w:cs="Arial"/>
        </w:rPr>
        <w:t>brought an application to join th</w:t>
      </w:r>
      <w:r w:rsidR="00B65937">
        <w:rPr>
          <w:rFonts w:ascii="Arial" w:hAnsi="Arial" w:cs="Arial"/>
        </w:rPr>
        <w:t>is new group i</w:t>
      </w:r>
      <w:r w:rsidR="006B6996" w:rsidRPr="00B65937">
        <w:rPr>
          <w:rFonts w:ascii="Arial" w:hAnsi="Arial" w:cs="Arial"/>
        </w:rPr>
        <w:t xml:space="preserve">n the </w:t>
      </w:r>
      <w:r w:rsidR="008C4115">
        <w:rPr>
          <w:rFonts w:ascii="Arial" w:hAnsi="Arial" w:cs="Arial"/>
        </w:rPr>
        <w:t>original</w:t>
      </w:r>
      <w:r w:rsidR="006B6996" w:rsidRPr="00B65937">
        <w:rPr>
          <w:rFonts w:ascii="Arial" w:hAnsi="Arial" w:cs="Arial"/>
        </w:rPr>
        <w:t xml:space="preserve"> proceedings. </w:t>
      </w:r>
    </w:p>
    <w:p w:rsidR="00B65937" w:rsidRPr="00B65937" w:rsidRDefault="00B65937" w:rsidP="00B65937">
      <w:pPr>
        <w:pStyle w:val="ListParagraph"/>
        <w:spacing w:line="360" w:lineRule="auto"/>
        <w:ind w:left="360"/>
        <w:rPr>
          <w:rFonts w:ascii="Arial" w:hAnsi="Arial" w:cs="Arial"/>
        </w:rPr>
      </w:pPr>
    </w:p>
    <w:p w:rsidR="00E912FB" w:rsidRDefault="006B6996" w:rsidP="00B65937">
      <w:pPr>
        <w:pStyle w:val="ListParagraph"/>
        <w:numPr>
          <w:ilvl w:val="0"/>
          <w:numId w:val="3"/>
        </w:numPr>
        <w:spacing w:line="360" w:lineRule="auto"/>
        <w:rPr>
          <w:rFonts w:ascii="Arial" w:hAnsi="Arial" w:cs="Arial"/>
        </w:rPr>
      </w:pPr>
      <w:r>
        <w:rPr>
          <w:rFonts w:ascii="Arial" w:hAnsi="Arial" w:cs="Arial"/>
        </w:rPr>
        <w:t>The Metro contended that</w:t>
      </w:r>
      <w:r w:rsidR="008C4115">
        <w:rPr>
          <w:rFonts w:ascii="Arial" w:hAnsi="Arial" w:cs="Arial"/>
        </w:rPr>
        <w:t>, while it remained pending,</w:t>
      </w:r>
      <w:r>
        <w:rPr>
          <w:rFonts w:ascii="Arial" w:hAnsi="Arial" w:cs="Arial"/>
        </w:rPr>
        <w:t xml:space="preserve"> the </w:t>
      </w:r>
      <w:r w:rsidR="00B65937">
        <w:rPr>
          <w:rFonts w:ascii="Arial" w:hAnsi="Arial" w:cs="Arial"/>
        </w:rPr>
        <w:t xml:space="preserve">interim </w:t>
      </w:r>
      <w:r>
        <w:rPr>
          <w:rFonts w:ascii="Arial" w:hAnsi="Arial" w:cs="Arial"/>
        </w:rPr>
        <w:t>order granted in July 2019 covered any subsequent attempt at occupati</w:t>
      </w:r>
      <w:r w:rsidR="008C4115">
        <w:rPr>
          <w:rFonts w:ascii="Arial" w:hAnsi="Arial" w:cs="Arial"/>
        </w:rPr>
        <w:t>on of the development by others</w:t>
      </w:r>
      <w:r w:rsidR="007F210F">
        <w:rPr>
          <w:rFonts w:ascii="Arial" w:hAnsi="Arial" w:cs="Arial"/>
        </w:rPr>
        <w:t>,</w:t>
      </w:r>
      <w:r w:rsidR="00E912FB">
        <w:rPr>
          <w:rFonts w:ascii="Arial" w:hAnsi="Arial" w:cs="Arial"/>
        </w:rPr>
        <w:t xml:space="preserve"> therefore </w:t>
      </w:r>
      <w:r>
        <w:rPr>
          <w:rFonts w:ascii="Arial" w:hAnsi="Arial" w:cs="Arial"/>
        </w:rPr>
        <w:t>entitl</w:t>
      </w:r>
      <w:r w:rsidR="007F210F">
        <w:rPr>
          <w:rFonts w:ascii="Arial" w:hAnsi="Arial" w:cs="Arial"/>
        </w:rPr>
        <w:t>ing it</w:t>
      </w:r>
      <w:r>
        <w:rPr>
          <w:rFonts w:ascii="Arial" w:hAnsi="Arial" w:cs="Arial"/>
        </w:rPr>
        <w:t xml:space="preserve"> to join</w:t>
      </w:r>
      <w:r w:rsidR="00B65937">
        <w:rPr>
          <w:rFonts w:ascii="Arial" w:hAnsi="Arial" w:cs="Arial"/>
        </w:rPr>
        <w:t xml:space="preserve"> th</w:t>
      </w:r>
      <w:r w:rsidR="00E912FB">
        <w:rPr>
          <w:rFonts w:ascii="Arial" w:hAnsi="Arial" w:cs="Arial"/>
        </w:rPr>
        <w:t>is new group who</w:t>
      </w:r>
      <w:r w:rsidR="000774C7">
        <w:rPr>
          <w:rFonts w:ascii="Arial" w:hAnsi="Arial" w:cs="Arial"/>
        </w:rPr>
        <w:t>, it alleged,</w:t>
      </w:r>
      <w:r w:rsidR="00E912FB">
        <w:rPr>
          <w:rFonts w:ascii="Arial" w:hAnsi="Arial" w:cs="Arial"/>
        </w:rPr>
        <w:t xml:space="preserve"> were attempting to invade the RDP development. </w:t>
      </w:r>
    </w:p>
    <w:p w:rsidR="00E912FB" w:rsidRPr="00E912FB" w:rsidRDefault="00E912FB" w:rsidP="00E912FB">
      <w:pPr>
        <w:pStyle w:val="ListParagraph"/>
        <w:rPr>
          <w:rFonts w:ascii="Arial" w:hAnsi="Arial" w:cs="Arial"/>
        </w:rPr>
      </w:pPr>
    </w:p>
    <w:p w:rsidR="00B65937" w:rsidRDefault="00B65937" w:rsidP="00E912FB">
      <w:pPr>
        <w:pStyle w:val="ListParagraph"/>
        <w:spacing w:line="360" w:lineRule="auto"/>
        <w:ind w:left="360"/>
        <w:rPr>
          <w:rFonts w:ascii="Arial" w:hAnsi="Arial" w:cs="Arial"/>
        </w:rPr>
      </w:pPr>
      <w:r>
        <w:rPr>
          <w:rFonts w:ascii="Arial" w:hAnsi="Arial" w:cs="Arial"/>
        </w:rPr>
        <w:t xml:space="preserve">This group came to be cited as the eighth respondent. </w:t>
      </w:r>
    </w:p>
    <w:p w:rsidR="00FA1EAA" w:rsidRDefault="00FA1EAA" w:rsidP="00FA1EAA">
      <w:pPr>
        <w:pStyle w:val="ListParagraph"/>
        <w:spacing w:line="360" w:lineRule="auto"/>
        <w:ind w:left="360"/>
        <w:rPr>
          <w:rFonts w:ascii="Arial" w:hAnsi="Arial" w:cs="Arial"/>
        </w:rPr>
      </w:pPr>
    </w:p>
    <w:p w:rsidR="00A756BF" w:rsidRDefault="00E912FB" w:rsidP="00E912FB">
      <w:pPr>
        <w:pStyle w:val="ListParagraph"/>
        <w:numPr>
          <w:ilvl w:val="0"/>
          <w:numId w:val="3"/>
        </w:numPr>
        <w:spacing w:line="360" w:lineRule="auto"/>
        <w:rPr>
          <w:rFonts w:ascii="Arial" w:hAnsi="Arial" w:cs="Arial"/>
        </w:rPr>
      </w:pPr>
      <w:r>
        <w:rPr>
          <w:rFonts w:ascii="Arial" w:hAnsi="Arial" w:cs="Arial"/>
        </w:rPr>
        <w:t>The eighth respondent group allege t</w:t>
      </w:r>
      <w:r w:rsidR="00DF331C">
        <w:rPr>
          <w:rFonts w:ascii="Arial" w:hAnsi="Arial" w:cs="Arial"/>
        </w:rPr>
        <w:t xml:space="preserve">hat they </w:t>
      </w:r>
      <w:r w:rsidR="009D7049">
        <w:rPr>
          <w:rFonts w:ascii="Arial" w:hAnsi="Arial" w:cs="Arial"/>
        </w:rPr>
        <w:t xml:space="preserve">comprise </w:t>
      </w:r>
      <w:r w:rsidR="00FA1EAA">
        <w:rPr>
          <w:rFonts w:ascii="Arial" w:hAnsi="Arial" w:cs="Arial"/>
        </w:rPr>
        <w:t xml:space="preserve">both individuals who </w:t>
      </w:r>
      <w:r w:rsidR="00DF331C">
        <w:rPr>
          <w:rFonts w:ascii="Arial" w:hAnsi="Arial" w:cs="Arial"/>
        </w:rPr>
        <w:t xml:space="preserve">were allocated RDP houses and </w:t>
      </w:r>
      <w:r w:rsidR="00860E11">
        <w:rPr>
          <w:rFonts w:ascii="Arial" w:hAnsi="Arial" w:cs="Arial"/>
        </w:rPr>
        <w:t xml:space="preserve">had </w:t>
      </w:r>
      <w:r w:rsidR="00DF331C">
        <w:rPr>
          <w:rFonts w:ascii="Arial" w:hAnsi="Arial" w:cs="Arial"/>
        </w:rPr>
        <w:t xml:space="preserve">resided in the </w:t>
      </w:r>
      <w:r w:rsidR="00C06312">
        <w:rPr>
          <w:rFonts w:ascii="Arial" w:hAnsi="Arial" w:cs="Arial"/>
        </w:rPr>
        <w:t>development</w:t>
      </w:r>
      <w:r w:rsidR="00DF331C">
        <w:rPr>
          <w:rFonts w:ascii="Arial" w:hAnsi="Arial" w:cs="Arial"/>
        </w:rPr>
        <w:t xml:space="preserve"> </w:t>
      </w:r>
      <w:r w:rsidR="00FA1EAA">
        <w:rPr>
          <w:rFonts w:ascii="Arial" w:hAnsi="Arial" w:cs="Arial"/>
        </w:rPr>
        <w:t>since January 2020</w:t>
      </w:r>
      <w:r w:rsidR="00860E11">
        <w:rPr>
          <w:rFonts w:ascii="Arial" w:hAnsi="Arial" w:cs="Arial"/>
        </w:rPr>
        <w:t xml:space="preserve"> </w:t>
      </w:r>
      <w:r w:rsidR="00860E11">
        <w:rPr>
          <w:rFonts w:ascii="Arial" w:hAnsi="Arial" w:cs="Arial"/>
        </w:rPr>
        <w:lastRenderedPageBreak/>
        <w:t>as well as others who</w:t>
      </w:r>
      <w:r w:rsidR="00DF331C">
        <w:rPr>
          <w:rFonts w:ascii="Arial" w:hAnsi="Arial" w:cs="Arial"/>
        </w:rPr>
        <w:t xml:space="preserve"> came onto the development by </w:t>
      </w:r>
      <w:r w:rsidR="00DF331C" w:rsidRPr="003C162A">
        <w:rPr>
          <w:rFonts w:ascii="Arial" w:hAnsi="Arial" w:cs="Arial"/>
        </w:rPr>
        <w:t xml:space="preserve">no later than </w:t>
      </w:r>
      <w:r w:rsidR="003C162A" w:rsidRPr="003C162A">
        <w:rPr>
          <w:rFonts w:ascii="Arial" w:hAnsi="Arial" w:cs="Arial"/>
        </w:rPr>
        <w:t>th</w:t>
      </w:r>
      <w:r w:rsidR="009D7049">
        <w:rPr>
          <w:rFonts w:ascii="Arial" w:hAnsi="Arial" w:cs="Arial"/>
        </w:rPr>
        <w:t>at date</w:t>
      </w:r>
      <w:r w:rsidR="00A756BF" w:rsidRPr="00FA1EAA">
        <w:rPr>
          <w:rFonts w:ascii="Arial" w:hAnsi="Arial" w:cs="Arial"/>
        </w:rPr>
        <w:t>.</w:t>
      </w:r>
      <w:r w:rsidR="00A756BF">
        <w:rPr>
          <w:rStyle w:val="FootnoteReference"/>
          <w:rFonts w:ascii="Arial" w:hAnsi="Arial" w:cs="Arial"/>
        </w:rPr>
        <w:footnoteReference w:id="2"/>
      </w:r>
      <w:r w:rsidR="00A756BF" w:rsidRPr="00FA1EAA">
        <w:rPr>
          <w:rFonts w:ascii="Arial" w:hAnsi="Arial" w:cs="Arial"/>
        </w:rPr>
        <w:t xml:space="preserve"> </w:t>
      </w:r>
    </w:p>
    <w:p w:rsidR="00FA1EAA" w:rsidRDefault="00FA1EAA" w:rsidP="00FA1EAA">
      <w:pPr>
        <w:pStyle w:val="ListParagraph"/>
        <w:spacing w:line="360" w:lineRule="auto"/>
        <w:ind w:left="360"/>
        <w:rPr>
          <w:rFonts w:ascii="Arial" w:hAnsi="Arial" w:cs="Arial"/>
        </w:rPr>
      </w:pPr>
    </w:p>
    <w:p w:rsidR="008C4115" w:rsidRDefault="008C4115" w:rsidP="00F06E4F">
      <w:pPr>
        <w:spacing w:line="360" w:lineRule="auto"/>
        <w:rPr>
          <w:rFonts w:ascii="Arial" w:hAnsi="Arial" w:cs="Arial"/>
          <w:b/>
        </w:rPr>
      </w:pPr>
    </w:p>
    <w:p w:rsidR="00F06E4F" w:rsidRPr="00F06E4F" w:rsidRDefault="007F210F" w:rsidP="00F06E4F">
      <w:pPr>
        <w:spacing w:line="360" w:lineRule="auto"/>
        <w:rPr>
          <w:rFonts w:ascii="Arial" w:hAnsi="Arial" w:cs="Arial"/>
          <w:b/>
        </w:rPr>
      </w:pPr>
      <w:r w:rsidRPr="00F06E4F">
        <w:rPr>
          <w:rFonts w:ascii="Arial" w:hAnsi="Arial" w:cs="Arial"/>
          <w:b/>
        </w:rPr>
        <w:t>THE FIRST INCIDENT</w:t>
      </w:r>
      <w:r>
        <w:rPr>
          <w:rFonts w:ascii="Arial" w:hAnsi="Arial" w:cs="Arial"/>
          <w:b/>
        </w:rPr>
        <w:t xml:space="preserve"> </w:t>
      </w:r>
      <w:r w:rsidR="00F06E4F">
        <w:rPr>
          <w:rFonts w:ascii="Arial" w:hAnsi="Arial" w:cs="Arial"/>
          <w:b/>
        </w:rPr>
        <w:t>(</w:t>
      </w:r>
      <w:r w:rsidR="00A07FE4">
        <w:rPr>
          <w:rFonts w:ascii="Arial" w:hAnsi="Arial" w:cs="Arial"/>
          <w:b/>
        </w:rPr>
        <w:t xml:space="preserve">which concerns </w:t>
      </w:r>
      <w:r w:rsidR="00F06E4F">
        <w:rPr>
          <w:rFonts w:ascii="Arial" w:hAnsi="Arial" w:cs="Arial"/>
          <w:b/>
        </w:rPr>
        <w:t xml:space="preserve">the first </w:t>
      </w:r>
      <w:r w:rsidR="002601F7">
        <w:rPr>
          <w:rFonts w:ascii="Arial" w:hAnsi="Arial" w:cs="Arial"/>
          <w:b/>
        </w:rPr>
        <w:t>respondent</w:t>
      </w:r>
      <w:r w:rsidR="000774C7">
        <w:rPr>
          <w:rFonts w:ascii="Arial" w:hAnsi="Arial" w:cs="Arial"/>
          <w:b/>
        </w:rPr>
        <w:t xml:space="preserve"> group</w:t>
      </w:r>
      <w:r w:rsidR="00F06E4F">
        <w:rPr>
          <w:rFonts w:ascii="Arial" w:hAnsi="Arial" w:cs="Arial"/>
          <w:b/>
        </w:rPr>
        <w:t>)</w:t>
      </w:r>
    </w:p>
    <w:p w:rsidR="001D3270" w:rsidRDefault="0042669E" w:rsidP="00F70439">
      <w:pPr>
        <w:pStyle w:val="ListParagraph"/>
        <w:spacing w:line="360" w:lineRule="auto"/>
        <w:ind w:left="360"/>
        <w:rPr>
          <w:rFonts w:ascii="Arial" w:hAnsi="Arial" w:cs="Arial"/>
        </w:rPr>
      </w:pPr>
      <w:r>
        <w:rPr>
          <w:rFonts w:ascii="Arial" w:hAnsi="Arial" w:cs="Arial"/>
        </w:rPr>
        <w:t xml:space="preserve"> </w:t>
      </w:r>
    </w:p>
    <w:p w:rsidR="00F06E4F" w:rsidRDefault="001D3270" w:rsidP="001D3270">
      <w:pPr>
        <w:pStyle w:val="ListParagraph"/>
        <w:numPr>
          <w:ilvl w:val="0"/>
          <w:numId w:val="3"/>
        </w:numPr>
        <w:spacing w:line="360" w:lineRule="auto"/>
        <w:rPr>
          <w:rFonts w:ascii="Arial" w:hAnsi="Arial" w:cs="Arial"/>
        </w:rPr>
      </w:pPr>
      <w:r w:rsidRPr="001D3270">
        <w:rPr>
          <w:rFonts w:ascii="Arial" w:hAnsi="Arial" w:cs="Arial"/>
        </w:rPr>
        <w:t>The first incident</w:t>
      </w:r>
      <w:r>
        <w:rPr>
          <w:rFonts w:ascii="Arial" w:hAnsi="Arial" w:cs="Arial"/>
        </w:rPr>
        <w:t xml:space="preserve"> </w:t>
      </w:r>
      <w:r w:rsidR="00A07FE4">
        <w:rPr>
          <w:rFonts w:ascii="Arial" w:hAnsi="Arial" w:cs="Arial"/>
        </w:rPr>
        <w:t xml:space="preserve">was an alleged land invasion attempted by a group of individuals </w:t>
      </w:r>
      <w:r>
        <w:rPr>
          <w:rFonts w:ascii="Arial" w:hAnsi="Arial" w:cs="Arial"/>
        </w:rPr>
        <w:t xml:space="preserve">in </w:t>
      </w:r>
      <w:r w:rsidRPr="009D7049">
        <w:rPr>
          <w:rFonts w:ascii="Arial" w:hAnsi="Arial" w:cs="Arial"/>
        </w:rPr>
        <w:t>July 2019</w:t>
      </w:r>
      <w:r w:rsidR="00D82E43">
        <w:rPr>
          <w:rStyle w:val="FootnoteReference"/>
          <w:rFonts w:ascii="Arial" w:hAnsi="Arial" w:cs="Arial"/>
        </w:rPr>
        <w:footnoteReference w:id="3"/>
      </w:r>
      <w:r w:rsidR="00A07FE4" w:rsidRPr="009D7049">
        <w:rPr>
          <w:rFonts w:ascii="Arial" w:hAnsi="Arial" w:cs="Arial"/>
        </w:rPr>
        <w:t>.</w:t>
      </w:r>
      <w:r w:rsidR="00A07FE4">
        <w:rPr>
          <w:rFonts w:ascii="Arial" w:hAnsi="Arial" w:cs="Arial"/>
        </w:rPr>
        <w:t xml:space="preserve">  </w:t>
      </w:r>
      <w:r w:rsidR="0042669E">
        <w:rPr>
          <w:rFonts w:ascii="Arial" w:hAnsi="Arial" w:cs="Arial"/>
        </w:rPr>
        <w:t xml:space="preserve">The Metro brought </w:t>
      </w:r>
      <w:r w:rsidR="00F06E4F">
        <w:rPr>
          <w:rFonts w:ascii="Arial" w:hAnsi="Arial" w:cs="Arial"/>
        </w:rPr>
        <w:t xml:space="preserve">an urgent </w:t>
      </w:r>
      <w:r w:rsidR="00715583" w:rsidRPr="00715583">
        <w:rPr>
          <w:rFonts w:ascii="Arial" w:hAnsi="Arial" w:cs="Arial"/>
          <w:i/>
        </w:rPr>
        <w:t>ex parte</w:t>
      </w:r>
      <w:r w:rsidR="00715583">
        <w:rPr>
          <w:rFonts w:ascii="Arial" w:hAnsi="Arial" w:cs="Arial"/>
        </w:rPr>
        <w:t xml:space="preserve"> </w:t>
      </w:r>
      <w:r w:rsidR="00F06E4F">
        <w:rPr>
          <w:rFonts w:ascii="Arial" w:hAnsi="Arial" w:cs="Arial"/>
        </w:rPr>
        <w:t>application interdicting those who it identified as “</w:t>
      </w:r>
      <w:r w:rsidR="002601F7" w:rsidRPr="00FD7BD5">
        <w:rPr>
          <w:rFonts w:ascii="Arial" w:hAnsi="Arial" w:cs="Arial"/>
          <w:i/>
        </w:rPr>
        <w:t>The Unknown Indi</w:t>
      </w:r>
      <w:r w:rsidR="00F06E4F" w:rsidRPr="00FD7BD5">
        <w:rPr>
          <w:rFonts w:ascii="Arial" w:hAnsi="Arial" w:cs="Arial"/>
          <w:i/>
        </w:rPr>
        <w:t xml:space="preserve">viduals </w:t>
      </w:r>
      <w:r w:rsidR="002601F7" w:rsidRPr="00FD7BD5">
        <w:rPr>
          <w:rFonts w:ascii="Arial" w:hAnsi="Arial" w:cs="Arial"/>
          <w:i/>
        </w:rPr>
        <w:t>Trespassing</w:t>
      </w:r>
      <w:r w:rsidR="00F06E4F" w:rsidRPr="002601F7">
        <w:rPr>
          <w:rFonts w:ascii="Arial" w:hAnsi="Arial" w:cs="Arial"/>
          <w:b/>
          <w:i/>
        </w:rPr>
        <w:t xml:space="preserve"> </w:t>
      </w:r>
      <w:r w:rsidR="00F06E4F" w:rsidRPr="00F06E4F">
        <w:rPr>
          <w:rFonts w:ascii="Arial" w:hAnsi="Arial" w:cs="Arial"/>
          <w:i/>
        </w:rPr>
        <w:t xml:space="preserve">and/or Attempting to Invade and/or Settle on the </w:t>
      </w:r>
      <w:r w:rsidR="002601F7" w:rsidRPr="00F06E4F">
        <w:rPr>
          <w:rFonts w:ascii="Arial" w:hAnsi="Arial" w:cs="Arial"/>
          <w:i/>
        </w:rPr>
        <w:t>Immovable</w:t>
      </w:r>
      <w:r w:rsidR="00F06E4F" w:rsidRPr="00F06E4F">
        <w:rPr>
          <w:rFonts w:ascii="Arial" w:hAnsi="Arial" w:cs="Arial"/>
          <w:i/>
        </w:rPr>
        <w:t xml:space="preserve"> Property Described as Farm Rietfontein 153 (also known as Palm </w:t>
      </w:r>
      <w:r w:rsidR="002601F7" w:rsidRPr="00F06E4F">
        <w:rPr>
          <w:rFonts w:ascii="Arial" w:hAnsi="Arial" w:cs="Arial"/>
          <w:i/>
        </w:rPr>
        <w:t>Ridge</w:t>
      </w:r>
      <w:r w:rsidR="00F06E4F" w:rsidRPr="00F06E4F">
        <w:rPr>
          <w:rFonts w:ascii="Arial" w:hAnsi="Arial" w:cs="Arial"/>
          <w:i/>
        </w:rPr>
        <w:t xml:space="preserve"> </w:t>
      </w:r>
      <w:r w:rsidR="00F06E4F" w:rsidRPr="009D7049">
        <w:rPr>
          <w:rFonts w:ascii="Arial" w:hAnsi="Arial" w:cs="Arial"/>
          <w:i/>
        </w:rPr>
        <w:t>extensions 10 and 18 to</w:t>
      </w:r>
      <w:r w:rsidR="00F06E4F" w:rsidRPr="00F06E4F">
        <w:rPr>
          <w:rFonts w:ascii="Arial" w:hAnsi="Arial" w:cs="Arial"/>
          <w:i/>
        </w:rPr>
        <w:t xml:space="preserve"> 30)”</w:t>
      </w:r>
      <w:r w:rsidR="00F06E4F">
        <w:rPr>
          <w:rFonts w:ascii="Arial" w:hAnsi="Arial" w:cs="Arial"/>
        </w:rPr>
        <w:t xml:space="preserve"> from trespassing </w:t>
      </w:r>
      <w:r w:rsidR="002601F7">
        <w:rPr>
          <w:rFonts w:ascii="Arial" w:hAnsi="Arial" w:cs="Arial"/>
        </w:rPr>
        <w:t>on,</w:t>
      </w:r>
      <w:r w:rsidR="00F06E4F">
        <w:rPr>
          <w:rFonts w:ascii="Arial" w:hAnsi="Arial" w:cs="Arial"/>
        </w:rPr>
        <w:t xml:space="preserve"> invading or settling in the development. </w:t>
      </w:r>
    </w:p>
    <w:p w:rsidR="00715583" w:rsidRDefault="00715583" w:rsidP="00715583">
      <w:pPr>
        <w:pStyle w:val="ListParagraph"/>
        <w:spacing w:line="360" w:lineRule="auto"/>
        <w:ind w:left="360"/>
        <w:rPr>
          <w:rFonts w:ascii="Arial" w:hAnsi="Arial" w:cs="Arial"/>
        </w:rPr>
      </w:pPr>
    </w:p>
    <w:p w:rsidR="00715583" w:rsidRDefault="0042669E" w:rsidP="00715583">
      <w:pPr>
        <w:pStyle w:val="ListParagraph"/>
        <w:spacing w:line="360" w:lineRule="auto"/>
        <w:ind w:left="360"/>
        <w:rPr>
          <w:rFonts w:ascii="Arial" w:hAnsi="Arial" w:cs="Arial"/>
        </w:rPr>
      </w:pPr>
      <w:r>
        <w:rPr>
          <w:rFonts w:ascii="Arial" w:hAnsi="Arial" w:cs="Arial"/>
        </w:rPr>
        <w:t xml:space="preserve">I granted </w:t>
      </w:r>
      <w:r w:rsidR="00715583">
        <w:rPr>
          <w:rFonts w:ascii="Arial" w:hAnsi="Arial" w:cs="Arial"/>
        </w:rPr>
        <w:t xml:space="preserve">urgent interim relief </w:t>
      </w:r>
      <w:r>
        <w:rPr>
          <w:rFonts w:ascii="Arial" w:hAnsi="Arial" w:cs="Arial"/>
        </w:rPr>
        <w:t xml:space="preserve">on the </w:t>
      </w:r>
      <w:r w:rsidR="008C4115">
        <w:rPr>
          <w:rFonts w:ascii="Arial" w:hAnsi="Arial" w:cs="Arial"/>
        </w:rPr>
        <w:t xml:space="preserve">morning </w:t>
      </w:r>
      <w:r>
        <w:rPr>
          <w:rFonts w:ascii="Arial" w:hAnsi="Arial" w:cs="Arial"/>
        </w:rPr>
        <w:t>it was sought,</w:t>
      </w:r>
      <w:r w:rsidR="00715583">
        <w:rPr>
          <w:rFonts w:ascii="Arial" w:hAnsi="Arial" w:cs="Arial"/>
        </w:rPr>
        <w:t xml:space="preserve"> </w:t>
      </w:r>
      <w:r w:rsidR="008C4115">
        <w:rPr>
          <w:rFonts w:ascii="Arial" w:hAnsi="Arial" w:cs="Arial"/>
        </w:rPr>
        <w:t xml:space="preserve">which was </w:t>
      </w:r>
      <w:r w:rsidR="006F2C95">
        <w:rPr>
          <w:rFonts w:ascii="Arial" w:hAnsi="Arial" w:cs="Arial"/>
        </w:rPr>
        <w:t xml:space="preserve">on </w:t>
      </w:r>
      <w:r w:rsidR="006F2C95" w:rsidRPr="009D7049">
        <w:rPr>
          <w:rFonts w:ascii="Arial" w:hAnsi="Arial" w:cs="Arial"/>
        </w:rPr>
        <w:t>24</w:t>
      </w:r>
      <w:r w:rsidR="00715583" w:rsidRPr="009D7049">
        <w:rPr>
          <w:rFonts w:ascii="Arial" w:hAnsi="Arial" w:cs="Arial"/>
        </w:rPr>
        <w:t xml:space="preserve"> July 2019</w:t>
      </w:r>
      <w:r w:rsidR="000774C7">
        <w:rPr>
          <w:rFonts w:ascii="Arial" w:hAnsi="Arial" w:cs="Arial"/>
        </w:rPr>
        <w:t>.</w:t>
      </w:r>
      <w:r w:rsidR="00715583">
        <w:rPr>
          <w:rFonts w:ascii="Arial" w:hAnsi="Arial" w:cs="Arial"/>
        </w:rPr>
        <w:t xml:space="preserve"> </w:t>
      </w:r>
    </w:p>
    <w:p w:rsidR="001D3270" w:rsidRPr="00F06E4F" w:rsidRDefault="001D3270" w:rsidP="00F06E4F">
      <w:pPr>
        <w:spacing w:line="360" w:lineRule="auto"/>
        <w:rPr>
          <w:rFonts w:ascii="Arial" w:hAnsi="Arial" w:cs="Arial"/>
        </w:rPr>
      </w:pPr>
      <w:r w:rsidRPr="00F06E4F">
        <w:rPr>
          <w:rFonts w:ascii="Arial" w:hAnsi="Arial" w:cs="Arial"/>
        </w:rPr>
        <w:t xml:space="preserve"> </w:t>
      </w:r>
    </w:p>
    <w:p w:rsidR="0042669E" w:rsidRDefault="0042669E" w:rsidP="00772652">
      <w:pPr>
        <w:pStyle w:val="ListParagraph"/>
        <w:numPr>
          <w:ilvl w:val="0"/>
          <w:numId w:val="3"/>
        </w:numPr>
        <w:spacing w:line="360" w:lineRule="auto"/>
        <w:rPr>
          <w:rFonts w:ascii="Arial" w:hAnsi="Arial" w:cs="Arial"/>
        </w:rPr>
      </w:pPr>
      <w:r w:rsidRPr="0042669E">
        <w:rPr>
          <w:rFonts w:ascii="Arial" w:hAnsi="Arial" w:cs="Arial"/>
        </w:rPr>
        <w:t>As already mentioned, t</w:t>
      </w:r>
      <w:r w:rsidR="000740E2" w:rsidRPr="0042669E">
        <w:rPr>
          <w:rFonts w:ascii="Arial" w:hAnsi="Arial" w:cs="Arial"/>
        </w:rPr>
        <w:t>h</w:t>
      </w:r>
      <w:r w:rsidR="00715583" w:rsidRPr="0042669E">
        <w:rPr>
          <w:rFonts w:ascii="Arial" w:hAnsi="Arial" w:cs="Arial"/>
        </w:rPr>
        <w:t>e</w:t>
      </w:r>
      <w:r w:rsidR="007E33D1" w:rsidRPr="0042669E">
        <w:rPr>
          <w:rFonts w:ascii="Arial" w:hAnsi="Arial" w:cs="Arial"/>
        </w:rPr>
        <w:t xml:space="preserve"> </w:t>
      </w:r>
      <w:r w:rsidR="00F70439" w:rsidRPr="0042669E">
        <w:rPr>
          <w:rFonts w:ascii="Arial" w:hAnsi="Arial" w:cs="Arial"/>
        </w:rPr>
        <w:t xml:space="preserve">incident </w:t>
      </w:r>
      <w:r w:rsidR="00715583" w:rsidRPr="0042669E">
        <w:rPr>
          <w:rFonts w:ascii="Arial" w:hAnsi="Arial" w:cs="Arial"/>
        </w:rPr>
        <w:t>giving rise</w:t>
      </w:r>
      <w:r w:rsidR="009D7049">
        <w:rPr>
          <w:rFonts w:ascii="Arial" w:hAnsi="Arial" w:cs="Arial"/>
        </w:rPr>
        <w:t xml:space="preserve"> to</w:t>
      </w:r>
      <w:r w:rsidR="00715583" w:rsidRPr="0042669E">
        <w:rPr>
          <w:rFonts w:ascii="Arial" w:hAnsi="Arial" w:cs="Arial"/>
        </w:rPr>
        <w:t xml:space="preserve"> the urgent </w:t>
      </w:r>
      <w:r w:rsidR="002601F7" w:rsidRPr="0042669E">
        <w:rPr>
          <w:rFonts w:ascii="Arial" w:hAnsi="Arial" w:cs="Arial"/>
        </w:rPr>
        <w:t>application</w:t>
      </w:r>
      <w:r w:rsidR="00715583" w:rsidRPr="0042669E">
        <w:rPr>
          <w:rFonts w:ascii="Arial" w:hAnsi="Arial" w:cs="Arial"/>
        </w:rPr>
        <w:t xml:space="preserve"> </w:t>
      </w:r>
      <w:r w:rsidR="00E912FB">
        <w:rPr>
          <w:rFonts w:ascii="Arial" w:hAnsi="Arial" w:cs="Arial"/>
        </w:rPr>
        <w:t>involved</w:t>
      </w:r>
      <w:r w:rsidR="000740E2" w:rsidRPr="0042669E">
        <w:rPr>
          <w:rFonts w:ascii="Arial" w:hAnsi="Arial" w:cs="Arial"/>
        </w:rPr>
        <w:t xml:space="preserve"> </w:t>
      </w:r>
      <w:r w:rsidR="005724CF" w:rsidRPr="0042669E">
        <w:rPr>
          <w:rFonts w:ascii="Arial" w:hAnsi="Arial" w:cs="Arial"/>
        </w:rPr>
        <w:t xml:space="preserve">the </w:t>
      </w:r>
      <w:r w:rsidR="000740E2" w:rsidRPr="0042669E">
        <w:rPr>
          <w:rFonts w:ascii="Arial" w:hAnsi="Arial" w:cs="Arial"/>
        </w:rPr>
        <w:t xml:space="preserve">group who </w:t>
      </w:r>
      <w:r w:rsidR="00F70439" w:rsidRPr="0042669E">
        <w:rPr>
          <w:rFonts w:ascii="Arial" w:hAnsi="Arial" w:cs="Arial"/>
        </w:rPr>
        <w:t xml:space="preserve">comprise the first respondent. </w:t>
      </w:r>
    </w:p>
    <w:p w:rsidR="0042669E" w:rsidRDefault="0042669E" w:rsidP="0042669E">
      <w:pPr>
        <w:pStyle w:val="ListParagraph"/>
        <w:spacing w:line="360" w:lineRule="auto"/>
        <w:ind w:left="360"/>
        <w:rPr>
          <w:rFonts w:ascii="Arial" w:hAnsi="Arial" w:cs="Arial"/>
        </w:rPr>
      </w:pPr>
    </w:p>
    <w:p w:rsidR="0042669E" w:rsidRDefault="0042669E" w:rsidP="00F70439">
      <w:pPr>
        <w:pStyle w:val="ListParagraph"/>
        <w:spacing w:line="360" w:lineRule="auto"/>
        <w:ind w:left="360"/>
        <w:rPr>
          <w:rFonts w:ascii="Arial" w:hAnsi="Arial" w:cs="Arial"/>
        </w:rPr>
      </w:pPr>
      <w:r w:rsidRPr="0042669E">
        <w:rPr>
          <w:rFonts w:ascii="Arial" w:hAnsi="Arial" w:cs="Arial"/>
        </w:rPr>
        <w:t xml:space="preserve">Members of </w:t>
      </w:r>
      <w:r w:rsidR="00F06E4F" w:rsidRPr="0042669E">
        <w:rPr>
          <w:rFonts w:ascii="Arial" w:hAnsi="Arial" w:cs="Arial"/>
        </w:rPr>
        <w:t xml:space="preserve">this </w:t>
      </w:r>
      <w:r w:rsidR="00F70439" w:rsidRPr="0042669E">
        <w:rPr>
          <w:rFonts w:ascii="Arial" w:hAnsi="Arial" w:cs="Arial"/>
        </w:rPr>
        <w:t>group</w:t>
      </w:r>
      <w:r w:rsidR="000740E2" w:rsidRPr="0042669E">
        <w:rPr>
          <w:rFonts w:ascii="Arial" w:hAnsi="Arial" w:cs="Arial"/>
        </w:rPr>
        <w:t xml:space="preserve"> reside in </w:t>
      </w:r>
      <w:r w:rsidR="002601F7" w:rsidRPr="0042669E">
        <w:rPr>
          <w:rFonts w:ascii="Arial" w:hAnsi="Arial" w:cs="Arial"/>
        </w:rPr>
        <w:t xml:space="preserve">the </w:t>
      </w:r>
      <w:r w:rsidR="00067143">
        <w:rPr>
          <w:rFonts w:ascii="Arial" w:hAnsi="Arial" w:cs="Arial"/>
        </w:rPr>
        <w:t xml:space="preserve">greater </w:t>
      </w:r>
      <w:r w:rsidR="002601F7" w:rsidRPr="0042669E">
        <w:rPr>
          <w:rFonts w:ascii="Arial" w:hAnsi="Arial" w:cs="Arial"/>
        </w:rPr>
        <w:t>Palm</w:t>
      </w:r>
      <w:r w:rsidR="000740E2" w:rsidRPr="0042669E">
        <w:rPr>
          <w:rFonts w:ascii="Arial" w:hAnsi="Arial" w:cs="Arial"/>
        </w:rPr>
        <w:t xml:space="preserve"> Ridge are</w:t>
      </w:r>
      <w:r w:rsidR="005724CF" w:rsidRPr="0042669E">
        <w:rPr>
          <w:rFonts w:ascii="Arial" w:hAnsi="Arial" w:cs="Arial"/>
        </w:rPr>
        <w:t>a</w:t>
      </w:r>
      <w:r>
        <w:rPr>
          <w:rFonts w:ascii="Arial" w:hAnsi="Arial" w:cs="Arial"/>
        </w:rPr>
        <w:t xml:space="preserve">. </w:t>
      </w:r>
      <w:r w:rsidR="00461C48">
        <w:rPr>
          <w:rStyle w:val="FootnoteReference"/>
          <w:rFonts w:ascii="Arial" w:hAnsi="Arial" w:cs="Arial"/>
        </w:rPr>
        <w:footnoteReference w:id="4"/>
      </w:r>
    </w:p>
    <w:p w:rsidR="00B356B5" w:rsidRPr="0042669E" w:rsidRDefault="0042669E" w:rsidP="0042669E">
      <w:pPr>
        <w:pStyle w:val="ListParagraph"/>
        <w:numPr>
          <w:ilvl w:val="0"/>
          <w:numId w:val="3"/>
        </w:numPr>
        <w:spacing w:line="360" w:lineRule="auto"/>
        <w:rPr>
          <w:rFonts w:ascii="Arial" w:hAnsi="Arial" w:cs="Arial"/>
        </w:rPr>
      </w:pPr>
      <w:r>
        <w:rPr>
          <w:rFonts w:ascii="Arial" w:hAnsi="Arial" w:cs="Arial"/>
        </w:rPr>
        <w:lastRenderedPageBreak/>
        <w:t xml:space="preserve">Those comprising the first </w:t>
      </w:r>
      <w:r w:rsidR="00C06312">
        <w:rPr>
          <w:rFonts w:ascii="Arial" w:hAnsi="Arial" w:cs="Arial"/>
        </w:rPr>
        <w:t>respondent</w:t>
      </w:r>
      <w:r>
        <w:rPr>
          <w:rFonts w:ascii="Arial" w:hAnsi="Arial" w:cs="Arial"/>
        </w:rPr>
        <w:t xml:space="preserve"> </w:t>
      </w:r>
      <w:r w:rsidR="00E912FB">
        <w:rPr>
          <w:rFonts w:ascii="Arial" w:hAnsi="Arial" w:cs="Arial"/>
        </w:rPr>
        <w:t>group</w:t>
      </w:r>
      <w:r w:rsidR="00FD7BD5">
        <w:rPr>
          <w:rFonts w:ascii="Arial" w:hAnsi="Arial" w:cs="Arial"/>
        </w:rPr>
        <w:t xml:space="preserve"> initially </w:t>
      </w:r>
      <w:r w:rsidR="00C06312" w:rsidRPr="0042669E">
        <w:rPr>
          <w:rFonts w:ascii="Arial" w:hAnsi="Arial" w:cs="Arial"/>
        </w:rPr>
        <w:t>claim</w:t>
      </w:r>
      <w:r w:rsidR="00FD7BD5">
        <w:rPr>
          <w:rFonts w:ascii="Arial" w:hAnsi="Arial" w:cs="Arial"/>
        </w:rPr>
        <w:t>ed</w:t>
      </w:r>
      <w:r w:rsidR="00F70439" w:rsidRPr="0042669E">
        <w:rPr>
          <w:rFonts w:ascii="Arial" w:hAnsi="Arial" w:cs="Arial"/>
        </w:rPr>
        <w:t xml:space="preserve"> that </w:t>
      </w:r>
      <w:r w:rsidR="002601F7" w:rsidRPr="0042669E">
        <w:rPr>
          <w:rFonts w:ascii="Arial" w:hAnsi="Arial" w:cs="Arial"/>
        </w:rPr>
        <w:t>they</w:t>
      </w:r>
      <w:r w:rsidR="00B356B5" w:rsidRPr="0042669E">
        <w:rPr>
          <w:rFonts w:ascii="Arial" w:hAnsi="Arial" w:cs="Arial"/>
        </w:rPr>
        <w:t xml:space="preserve"> should</w:t>
      </w:r>
      <w:r w:rsidR="00F70439" w:rsidRPr="0042669E">
        <w:rPr>
          <w:rFonts w:ascii="Arial" w:hAnsi="Arial" w:cs="Arial"/>
        </w:rPr>
        <w:t xml:space="preserve"> have been allocated housing in the development but </w:t>
      </w:r>
      <w:r w:rsidR="00B356B5" w:rsidRPr="0042669E">
        <w:rPr>
          <w:rFonts w:ascii="Arial" w:hAnsi="Arial" w:cs="Arial"/>
        </w:rPr>
        <w:t xml:space="preserve">due to </w:t>
      </w:r>
      <w:r w:rsidR="005724CF" w:rsidRPr="0042669E">
        <w:rPr>
          <w:rFonts w:ascii="Arial" w:hAnsi="Arial" w:cs="Arial"/>
        </w:rPr>
        <w:t xml:space="preserve">corruption and maladministration </w:t>
      </w:r>
      <w:r w:rsidR="00FD7BD5">
        <w:rPr>
          <w:rFonts w:ascii="Arial" w:hAnsi="Arial" w:cs="Arial"/>
        </w:rPr>
        <w:t>others were</w:t>
      </w:r>
      <w:r w:rsidR="00B356B5" w:rsidRPr="0042669E">
        <w:rPr>
          <w:rFonts w:ascii="Arial" w:hAnsi="Arial" w:cs="Arial"/>
        </w:rPr>
        <w:t xml:space="preserve"> given preference. </w:t>
      </w:r>
    </w:p>
    <w:p w:rsidR="00B356B5" w:rsidRDefault="00B356B5" w:rsidP="00F70439">
      <w:pPr>
        <w:pStyle w:val="ListParagraph"/>
        <w:spacing w:line="360" w:lineRule="auto"/>
        <w:ind w:left="360"/>
        <w:rPr>
          <w:rFonts w:ascii="Arial" w:hAnsi="Arial" w:cs="Arial"/>
        </w:rPr>
      </w:pPr>
    </w:p>
    <w:p w:rsidR="000740E2" w:rsidRDefault="00B356B5" w:rsidP="00F70439">
      <w:pPr>
        <w:pStyle w:val="ListParagraph"/>
        <w:spacing w:line="360" w:lineRule="auto"/>
        <w:ind w:left="360"/>
        <w:rPr>
          <w:rFonts w:ascii="Arial" w:hAnsi="Arial" w:cs="Arial"/>
        </w:rPr>
      </w:pPr>
      <w:r>
        <w:rPr>
          <w:rFonts w:ascii="Arial" w:hAnsi="Arial" w:cs="Arial"/>
        </w:rPr>
        <w:t xml:space="preserve">Some </w:t>
      </w:r>
      <w:r w:rsidR="0042669E">
        <w:rPr>
          <w:rFonts w:ascii="Arial" w:hAnsi="Arial" w:cs="Arial"/>
        </w:rPr>
        <w:t xml:space="preserve">in this group </w:t>
      </w:r>
      <w:r>
        <w:rPr>
          <w:rFonts w:ascii="Arial" w:hAnsi="Arial" w:cs="Arial"/>
        </w:rPr>
        <w:t xml:space="preserve">produced documents </w:t>
      </w:r>
      <w:r w:rsidR="0042669E">
        <w:rPr>
          <w:rFonts w:ascii="Arial" w:hAnsi="Arial" w:cs="Arial"/>
        </w:rPr>
        <w:t>showing t</w:t>
      </w:r>
      <w:r>
        <w:rPr>
          <w:rFonts w:ascii="Arial" w:hAnsi="Arial" w:cs="Arial"/>
        </w:rPr>
        <w:t xml:space="preserve">hat </w:t>
      </w:r>
      <w:r w:rsidR="00C06312">
        <w:rPr>
          <w:rFonts w:ascii="Arial" w:hAnsi="Arial" w:cs="Arial"/>
        </w:rPr>
        <w:t>their names</w:t>
      </w:r>
      <w:r>
        <w:rPr>
          <w:rFonts w:ascii="Arial" w:hAnsi="Arial" w:cs="Arial"/>
        </w:rPr>
        <w:t xml:space="preserve"> </w:t>
      </w:r>
      <w:r w:rsidR="00942F02">
        <w:rPr>
          <w:rFonts w:ascii="Arial" w:hAnsi="Arial" w:cs="Arial"/>
        </w:rPr>
        <w:t xml:space="preserve">had been placed </w:t>
      </w:r>
      <w:r>
        <w:rPr>
          <w:rFonts w:ascii="Arial" w:hAnsi="Arial" w:cs="Arial"/>
        </w:rPr>
        <w:t xml:space="preserve">on the official </w:t>
      </w:r>
      <w:r w:rsidR="00942F02">
        <w:rPr>
          <w:rFonts w:ascii="Arial" w:hAnsi="Arial" w:cs="Arial"/>
        </w:rPr>
        <w:t xml:space="preserve">RDP housing </w:t>
      </w:r>
      <w:r>
        <w:rPr>
          <w:rFonts w:ascii="Arial" w:hAnsi="Arial" w:cs="Arial"/>
        </w:rPr>
        <w:t xml:space="preserve">list </w:t>
      </w:r>
      <w:r w:rsidR="005A5064">
        <w:rPr>
          <w:rFonts w:ascii="Arial" w:hAnsi="Arial" w:cs="Arial"/>
        </w:rPr>
        <w:t>in 1996. That is over a quarter of a century ago</w:t>
      </w:r>
      <w:r>
        <w:rPr>
          <w:rFonts w:ascii="Arial" w:hAnsi="Arial" w:cs="Arial"/>
        </w:rPr>
        <w:t xml:space="preserve">. </w:t>
      </w:r>
      <w:r w:rsidR="00F70439">
        <w:rPr>
          <w:rFonts w:ascii="Arial" w:hAnsi="Arial" w:cs="Arial"/>
        </w:rPr>
        <w:t xml:space="preserve"> </w:t>
      </w:r>
    </w:p>
    <w:p w:rsidR="0042669E" w:rsidRDefault="0042669E" w:rsidP="00F70439">
      <w:pPr>
        <w:pStyle w:val="ListParagraph"/>
        <w:spacing w:line="360" w:lineRule="auto"/>
        <w:ind w:left="360"/>
        <w:rPr>
          <w:rFonts w:ascii="Arial" w:hAnsi="Arial" w:cs="Arial"/>
        </w:rPr>
      </w:pPr>
    </w:p>
    <w:p w:rsidR="00942F02" w:rsidRDefault="00942F02" w:rsidP="00F70439">
      <w:pPr>
        <w:pStyle w:val="ListParagraph"/>
        <w:spacing w:line="360" w:lineRule="auto"/>
        <w:ind w:left="360"/>
        <w:rPr>
          <w:rFonts w:ascii="Arial" w:hAnsi="Arial" w:cs="Arial"/>
        </w:rPr>
      </w:pPr>
      <w:r>
        <w:rPr>
          <w:rFonts w:ascii="Arial" w:hAnsi="Arial" w:cs="Arial"/>
        </w:rPr>
        <w:t>Their anger and frustration wa</w:t>
      </w:r>
      <w:r w:rsidR="00B356B5">
        <w:rPr>
          <w:rFonts w:ascii="Arial" w:hAnsi="Arial" w:cs="Arial"/>
        </w:rPr>
        <w:t xml:space="preserve">s </w:t>
      </w:r>
      <w:r w:rsidR="002601F7">
        <w:rPr>
          <w:rFonts w:ascii="Arial" w:hAnsi="Arial" w:cs="Arial"/>
        </w:rPr>
        <w:t>exacerbated</w:t>
      </w:r>
      <w:r w:rsidR="00B356B5">
        <w:rPr>
          <w:rFonts w:ascii="Arial" w:hAnsi="Arial" w:cs="Arial"/>
        </w:rPr>
        <w:t xml:space="preserve"> by a concern that this </w:t>
      </w:r>
      <w:r>
        <w:rPr>
          <w:rFonts w:ascii="Arial" w:hAnsi="Arial" w:cs="Arial"/>
        </w:rPr>
        <w:t xml:space="preserve">project </w:t>
      </w:r>
      <w:r w:rsidR="00B356B5">
        <w:rPr>
          <w:rFonts w:ascii="Arial" w:hAnsi="Arial" w:cs="Arial"/>
        </w:rPr>
        <w:t xml:space="preserve">will be the last </w:t>
      </w:r>
      <w:r w:rsidR="002601F7">
        <w:rPr>
          <w:rFonts w:ascii="Arial" w:hAnsi="Arial" w:cs="Arial"/>
        </w:rPr>
        <w:t>RDP development</w:t>
      </w:r>
      <w:r w:rsidR="00B356B5">
        <w:rPr>
          <w:rFonts w:ascii="Arial" w:hAnsi="Arial" w:cs="Arial"/>
        </w:rPr>
        <w:t xml:space="preserve"> in the area. If so, then</w:t>
      </w:r>
      <w:r w:rsidR="005A5064">
        <w:rPr>
          <w:rFonts w:ascii="Arial" w:hAnsi="Arial" w:cs="Arial"/>
        </w:rPr>
        <w:t xml:space="preserve"> when they eventually are given housing they will have to relocate </w:t>
      </w:r>
      <w:r w:rsidR="00C86150">
        <w:rPr>
          <w:rFonts w:ascii="Arial" w:hAnsi="Arial" w:cs="Arial"/>
        </w:rPr>
        <w:t xml:space="preserve">a considerable distance away </w:t>
      </w:r>
      <w:r w:rsidR="005A5064">
        <w:rPr>
          <w:rFonts w:ascii="Arial" w:hAnsi="Arial" w:cs="Arial"/>
        </w:rPr>
        <w:t>from the</w:t>
      </w:r>
      <w:r w:rsidR="00662035">
        <w:rPr>
          <w:rFonts w:ascii="Arial" w:hAnsi="Arial" w:cs="Arial"/>
        </w:rPr>
        <w:t xml:space="preserve"> areas</w:t>
      </w:r>
      <w:r w:rsidR="005A5064">
        <w:rPr>
          <w:rFonts w:ascii="Arial" w:hAnsi="Arial" w:cs="Arial"/>
        </w:rPr>
        <w:t xml:space="preserve"> where they and</w:t>
      </w:r>
      <w:r w:rsidR="00662035">
        <w:rPr>
          <w:rFonts w:ascii="Arial" w:hAnsi="Arial" w:cs="Arial"/>
        </w:rPr>
        <w:t xml:space="preserve"> their families</w:t>
      </w:r>
      <w:r w:rsidR="005A5064">
        <w:rPr>
          <w:rFonts w:ascii="Arial" w:hAnsi="Arial" w:cs="Arial"/>
        </w:rPr>
        <w:t xml:space="preserve"> </w:t>
      </w:r>
      <w:r w:rsidR="00F22F5E">
        <w:rPr>
          <w:rFonts w:ascii="Arial" w:hAnsi="Arial" w:cs="Arial"/>
        </w:rPr>
        <w:t>have established re</w:t>
      </w:r>
      <w:r w:rsidR="00662035">
        <w:rPr>
          <w:rFonts w:ascii="Arial" w:hAnsi="Arial" w:cs="Arial"/>
        </w:rPr>
        <w:t>lationships</w:t>
      </w:r>
      <w:r w:rsidR="005A5064">
        <w:rPr>
          <w:rFonts w:ascii="Arial" w:hAnsi="Arial" w:cs="Arial"/>
        </w:rPr>
        <w:t xml:space="preserve">, enjoy a familiar environment and community and </w:t>
      </w:r>
      <w:r w:rsidR="007F210F">
        <w:rPr>
          <w:rFonts w:ascii="Arial" w:hAnsi="Arial" w:cs="Arial"/>
        </w:rPr>
        <w:t xml:space="preserve">where </w:t>
      </w:r>
      <w:r w:rsidR="005A5064">
        <w:rPr>
          <w:rFonts w:ascii="Arial" w:hAnsi="Arial" w:cs="Arial"/>
        </w:rPr>
        <w:t>their children</w:t>
      </w:r>
      <w:r w:rsidR="00F22F5E">
        <w:rPr>
          <w:rFonts w:ascii="Arial" w:hAnsi="Arial" w:cs="Arial"/>
        </w:rPr>
        <w:t xml:space="preserve"> </w:t>
      </w:r>
      <w:r w:rsidR="00662035">
        <w:rPr>
          <w:rFonts w:ascii="Arial" w:hAnsi="Arial" w:cs="Arial"/>
        </w:rPr>
        <w:t>have</w:t>
      </w:r>
      <w:r w:rsidR="007F210F">
        <w:rPr>
          <w:rFonts w:ascii="Arial" w:hAnsi="Arial" w:cs="Arial"/>
        </w:rPr>
        <w:t xml:space="preserve"> also</w:t>
      </w:r>
      <w:r w:rsidR="00662035">
        <w:rPr>
          <w:rFonts w:ascii="Arial" w:hAnsi="Arial" w:cs="Arial"/>
        </w:rPr>
        <w:t xml:space="preserve"> integrated into a particular schooling </w:t>
      </w:r>
      <w:r w:rsidR="007F210F">
        <w:rPr>
          <w:rFonts w:ascii="Arial" w:hAnsi="Arial" w:cs="Arial"/>
        </w:rPr>
        <w:t xml:space="preserve">and social </w:t>
      </w:r>
      <w:r w:rsidR="00662035">
        <w:rPr>
          <w:rFonts w:ascii="Arial" w:hAnsi="Arial" w:cs="Arial"/>
        </w:rPr>
        <w:t xml:space="preserve">environment. </w:t>
      </w:r>
      <w:r w:rsidR="00C86150">
        <w:rPr>
          <w:rStyle w:val="FootnoteReference"/>
          <w:rFonts w:ascii="Arial" w:hAnsi="Arial" w:cs="Arial"/>
        </w:rPr>
        <w:footnoteReference w:id="5"/>
      </w:r>
    </w:p>
    <w:p w:rsidR="00942F02" w:rsidRDefault="00942F02" w:rsidP="00F70439">
      <w:pPr>
        <w:pStyle w:val="ListParagraph"/>
        <w:spacing w:line="360" w:lineRule="auto"/>
        <w:ind w:left="360"/>
        <w:rPr>
          <w:rFonts w:ascii="Arial" w:hAnsi="Arial" w:cs="Arial"/>
        </w:rPr>
      </w:pPr>
    </w:p>
    <w:p w:rsidR="001D3270" w:rsidRDefault="00942F02" w:rsidP="00F70439">
      <w:pPr>
        <w:pStyle w:val="ListParagraph"/>
        <w:spacing w:line="360" w:lineRule="auto"/>
        <w:ind w:left="360"/>
        <w:rPr>
          <w:rFonts w:ascii="Arial" w:hAnsi="Arial" w:cs="Arial"/>
        </w:rPr>
      </w:pPr>
      <w:r>
        <w:rPr>
          <w:rFonts w:ascii="Arial" w:hAnsi="Arial" w:cs="Arial"/>
        </w:rPr>
        <w:t xml:space="preserve">It is evident that </w:t>
      </w:r>
      <w:r w:rsidR="00B356B5">
        <w:rPr>
          <w:rFonts w:ascii="Arial" w:hAnsi="Arial" w:cs="Arial"/>
        </w:rPr>
        <w:t>th</w:t>
      </w:r>
      <w:r w:rsidR="001D3270">
        <w:rPr>
          <w:rFonts w:ascii="Arial" w:hAnsi="Arial" w:cs="Arial"/>
        </w:rPr>
        <w:t xml:space="preserve">e reality for the individual households making up the group is that </w:t>
      </w:r>
      <w:r w:rsidR="000774C7">
        <w:rPr>
          <w:rFonts w:ascii="Arial" w:hAnsi="Arial" w:cs="Arial"/>
        </w:rPr>
        <w:t>w</w:t>
      </w:r>
      <w:r w:rsidR="008C4115">
        <w:rPr>
          <w:rFonts w:ascii="Arial" w:hAnsi="Arial" w:cs="Arial"/>
        </w:rPr>
        <w:t>h</w:t>
      </w:r>
      <w:r w:rsidR="000774C7">
        <w:rPr>
          <w:rFonts w:ascii="Arial" w:hAnsi="Arial" w:cs="Arial"/>
        </w:rPr>
        <w:t xml:space="preserve">en they are eventually provided housing </w:t>
      </w:r>
      <w:r w:rsidR="001D3270">
        <w:rPr>
          <w:rFonts w:ascii="Arial" w:hAnsi="Arial" w:cs="Arial"/>
        </w:rPr>
        <w:t xml:space="preserve">they will suffer an involuntary removal </w:t>
      </w:r>
      <w:r w:rsidR="002601F7">
        <w:rPr>
          <w:rFonts w:ascii="Arial" w:hAnsi="Arial" w:cs="Arial"/>
        </w:rPr>
        <w:t>and displacement</w:t>
      </w:r>
      <w:r w:rsidR="0042669E">
        <w:rPr>
          <w:rFonts w:ascii="Arial" w:hAnsi="Arial" w:cs="Arial"/>
        </w:rPr>
        <w:t xml:space="preserve"> to an area </w:t>
      </w:r>
      <w:r w:rsidR="00C86150">
        <w:rPr>
          <w:rFonts w:ascii="Arial" w:hAnsi="Arial" w:cs="Arial"/>
        </w:rPr>
        <w:t xml:space="preserve">which will be a considerable distance from where they </w:t>
      </w:r>
      <w:r w:rsidR="00461C48">
        <w:rPr>
          <w:rFonts w:ascii="Arial" w:hAnsi="Arial" w:cs="Arial"/>
        </w:rPr>
        <w:t>have resided</w:t>
      </w:r>
      <w:r w:rsidR="00C86150">
        <w:rPr>
          <w:rFonts w:ascii="Arial" w:hAnsi="Arial" w:cs="Arial"/>
        </w:rPr>
        <w:t xml:space="preserve">. </w:t>
      </w:r>
      <w:r w:rsidR="001D3270">
        <w:rPr>
          <w:rFonts w:ascii="Arial" w:hAnsi="Arial" w:cs="Arial"/>
        </w:rPr>
        <w:t xml:space="preserve"> The papers </w:t>
      </w:r>
      <w:r>
        <w:rPr>
          <w:rFonts w:ascii="Arial" w:hAnsi="Arial" w:cs="Arial"/>
        </w:rPr>
        <w:t xml:space="preserve">do not </w:t>
      </w:r>
      <w:r w:rsidR="00F22F5E">
        <w:rPr>
          <w:rFonts w:ascii="Arial" w:hAnsi="Arial" w:cs="Arial"/>
        </w:rPr>
        <w:t>indicate</w:t>
      </w:r>
      <w:r>
        <w:rPr>
          <w:rFonts w:ascii="Arial" w:hAnsi="Arial" w:cs="Arial"/>
        </w:rPr>
        <w:t xml:space="preserve"> </w:t>
      </w:r>
      <w:r w:rsidR="002601F7">
        <w:rPr>
          <w:rFonts w:ascii="Arial" w:hAnsi="Arial" w:cs="Arial"/>
        </w:rPr>
        <w:t>that</w:t>
      </w:r>
      <w:r w:rsidR="001D3270">
        <w:rPr>
          <w:rFonts w:ascii="Arial" w:hAnsi="Arial" w:cs="Arial"/>
        </w:rPr>
        <w:t xml:space="preserve"> the authorities have allayed their fears by suggest</w:t>
      </w:r>
      <w:r w:rsidR="00067143">
        <w:rPr>
          <w:rFonts w:ascii="Arial" w:hAnsi="Arial" w:cs="Arial"/>
        </w:rPr>
        <w:t>ing</w:t>
      </w:r>
      <w:r w:rsidR="001D3270">
        <w:rPr>
          <w:rFonts w:ascii="Arial" w:hAnsi="Arial" w:cs="Arial"/>
        </w:rPr>
        <w:t xml:space="preserve"> otherwise. </w:t>
      </w:r>
    </w:p>
    <w:p w:rsidR="00B356B5" w:rsidRPr="001D3270" w:rsidRDefault="00B356B5" w:rsidP="001D3270">
      <w:pPr>
        <w:spacing w:line="360" w:lineRule="auto"/>
        <w:rPr>
          <w:rFonts w:ascii="Arial" w:hAnsi="Arial" w:cs="Arial"/>
        </w:rPr>
      </w:pPr>
      <w:r w:rsidRPr="001D3270">
        <w:rPr>
          <w:rFonts w:ascii="Arial" w:hAnsi="Arial" w:cs="Arial"/>
        </w:rPr>
        <w:t xml:space="preserve">   </w:t>
      </w:r>
    </w:p>
    <w:p w:rsidR="007E33D1" w:rsidRDefault="00F06E4F" w:rsidP="00D50855">
      <w:pPr>
        <w:pStyle w:val="ListParagraph"/>
        <w:numPr>
          <w:ilvl w:val="0"/>
          <w:numId w:val="3"/>
        </w:numPr>
        <w:spacing w:line="360" w:lineRule="auto"/>
        <w:rPr>
          <w:rFonts w:ascii="Arial" w:hAnsi="Arial" w:cs="Arial"/>
        </w:rPr>
      </w:pPr>
      <w:r>
        <w:rPr>
          <w:rFonts w:ascii="Arial" w:hAnsi="Arial" w:cs="Arial"/>
        </w:rPr>
        <w:t>T</w:t>
      </w:r>
      <w:r w:rsidR="00715583">
        <w:rPr>
          <w:rFonts w:ascii="Arial" w:hAnsi="Arial" w:cs="Arial"/>
        </w:rPr>
        <w:t>he</w:t>
      </w:r>
      <w:r>
        <w:rPr>
          <w:rFonts w:ascii="Arial" w:hAnsi="Arial" w:cs="Arial"/>
        </w:rPr>
        <w:t xml:space="preserve"> </w:t>
      </w:r>
      <w:r w:rsidR="00715583">
        <w:rPr>
          <w:rFonts w:ascii="Arial" w:hAnsi="Arial" w:cs="Arial"/>
        </w:rPr>
        <w:t xml:space="preserve">first </w:t>
      </w:r>
      <w:r w:rsidR="002601F7">
        <w:rPr>
          <w:rFonts w:ascii="Arial" w:hAnsi="Arial" w:cs="Arial"/>
        </w:rPr>
        <w:t>respondent’s</w:t>
      </w:r>
      <w:r w:rsidR="00722B60">
        <w:rPr>
          <w:rFonts w:ascii="Arial" w:hAnsi="Arial" w:cs="Arial"/>
        </w:rPr>
        <w:t xml:space="preserve"> </w:t>
      </w:r>
      <w:r>
        <w:rPr>
          <w:rFonts w:ascii="Arial" w:hAnsi="Arial" w:cs="Arial"/>
        </w:rPr>
        <w:t>main contention</w:t>
      </w:r>
      <w:r w:rsidR="007E33D1">
        <w:rPr>
          <w:rFonts w:ascii="Arial" w:hAnsi="Arial" w:cs="Arial"/>
        </w:rPr>
        <w:t>s</w:t>
      </w:r>
      <w:r>
        <w:rPr>
          <w:rFonts w:ascii="Arial" w:hAnsi="Arial" w:cs="Arial"/>
        </w:rPr>
        <w:t xml:space="preserve"> with regard to </w:t>
      </w:r>
      <w:r w:rsidR="007E33D1">
        <w:rPr>
          <w:rFonts w:ascii="Arial" w:hAnsi="Arial" w:cs="Arial"/>
        </w:rPr>
        <w:t xml:space="preserve">the urgent relief obtained </w:t>
      </w:r>
      <w:r w:rsidR="002601F7">
        <w:rPr>
          <w:rFonts w:ascii="Arial" w:hAnsi="Arial" w:cs="Arial"/>
        </w:rPr>
        <w:t>are that</w:t>
      </w:r>
      <w:r w:rsidR="007E33D1">
        <w:rPr>
          <w:rFonts w:ascii="Arial" w:hAnsi="Arial" w:cs="Arial"/>
        </w:rPr>
        <w:t>;</w:t>
      </w:r>
    </w:p>
    <w:p w:rsidR="00722B60" w:rsidRDefault="00722B60" w:rsidP="00722B60">
      <w:pPr>
        <w:pStyle w:val="ListParagraph"/>
        <w:spacing w:line="360" w:lineRule="auto"/>
        <w:ind w:left="360"/>
        <w:rPr>
          <w:rFonts w:ascii="Arial" w:hAnsi="Arial" w:cs="Arial"/>
        </w:rPr>
      </w:pPr>
    </w:p>
    <w:p w:rsidR="000740E2" w:rsidRDefault="00715583" w:rsidP="007E33D1">
      <w:pPr>
        <w:pStyle w:val="ListParagraph"/>
        <w:numPr>
          <w:ilvl w:val="1"/>
          <w:numId w:val="3"/>
        </w:numPr>
        <w:spacing w:line="360" w:lineRule="auto"/>
        <w:rPr>
          <w:rFonts w:ascii="Arial" w:hAnsi="Arial" w:cs="Arial"/>
        </w:rPr>
      </w:pPr>
      <w:r>
        <w:rPr>
          <w:rFonts w:ascii="Arial" w:hAnsi="Arial" w:cs="Arial"/>
        </w:rPr>
        <w:t>they were already in occupation of house</w:t>
      </w:r>
      <w:r w:rsidR="007E33D1">
        <w:rPr>
          <w:rFonts w:ascii="Arial" w:hAnsi="Arial" w:cs="Arial"/>
        </w:rPr>
        <w:t>s</w:t>
      </w:r>
      <w:r>
        <w:rPr>
          <w:rFonts w:ascii="Arial" w:hAnsi="Arial" w:cs="Arial"/>
        </w:rPr>
        <w:t xml:space="preserve"> in the </w:t>
      </w:r>
      <w:r w:rsidR="009A5346">
        <w:rPr>
          <w:rFonts w:ascii="Arial" w:hAnsi="Arial" w:cs="Arial"/>
        </w:rPr>
        <w:t xml:space="preserve">development </w:t>
      </w:r>
      <w:r>
        <w:rPr>
          <w:rFonts w:ascii="Arial" w:hAnsi="Arial" w:cs="Arial"/>
        </w:rPr>
        <w:t xml:space="preserve">and </w:t>
      </w:r>
      <w:r w:rsidR="002601F7">
        <w:rPr>
          <w:rFonts w:ascii="Arial" w:hAnsi="Arial" w:cs="Arial"/>
        </w:rPr>
        <w:t>this</w:t>
      </w:r>
      <w:r>
        <w:rPr>
          <w:rFonts w:ascii="Arial" w:hAnsi="Arial" w:cs="Arial"/>
        </w:rPr>
        <w:t xml:space="preserve"> was </w:t>
      </w:r>
      <w:r w:rsidR="002601F7">
        <w:rPr>
          <w:rFonts w:ascii="Arial" w:hAnsi="Arial" w:cs="Arial"/>
        </w:rPr>
        <w:t>known</w:t>
      </w:r>
      <w:r>
        <w:rPr>
          <w:rFonts w:ascii="Arial" w:hAnsi="Arial" w:cs="Arial"/>
        </w:rPr>
        <w:t xml:space="preserve"> to the Metro when the application was launched. </w:t>
      </w:r>
      <w:r w:rsidR="00C06312">
        <w:rPr>
          <w:rFonts w:ascii="Arial" w:hAnsi="Arial" w:cs="Arial"/>
        </w:rPr>
        <w:t>Accordingly,</w:t>
      </w:r>
      <w:r>
        <w:rPr>
          <w:rFonts w:ascii="Arial" w:hAnsi="Arial" w:cs="Arial"/>
        </w:rPr>
        <w:t xml:space="preserve"> the relief sought was not only misconceived but </w:t>
      </w:r>
      <w:r w:rsidR="00C86150">
        <w:rPr>
          <w:rFonts w:ascii="Arial" w:hAnsi="Arial" w:cs="Arial"/>
        </w:rPr>
        <w:t>disingenuous</w:t>
      </w:r>
      <w:r w:rsidR="007E33D1">
        <w:rPr>
          <w:rFonts w:ascii="Arial" w:hAnsi="Arial" w:cs="Arial"/>
        </w:rPr>
        <w:t>;</w:t>
      </w:r>
    </w:p>
    <w:p w:rsidR="00F22F5E" w:rsidRDefault="00F22F5E" w:rsidP="00F22F5E">
      <w:pPr>
        <w:pStyle w:val="ListParagraph"/>
        <w:spacing w:line="360" w:lineRule="auto"/>
        <w:ind w:left="1080"/>
        <w:rPr>
          <w:rFonts w:ascii="Arial" w:hAnsi="Arial" w:cs="Arial"/>
        </w:rPr>
      </w:pPr>
    </w:p>
    <w:p w:rsidR="00C86150" w:rsidRPr="00F22F5E" w:rsidRDefault="009A5346" w:rsidP="00F22F5E">
      <w:pPr>
        <w:pStyle w:val="ListParagraph"/>
        <w:numPr>
          <w:ilvl w:val="1"/>
          <w:numId w:val="3"/>
        </w:numPr>
        <w:spacing w:line="360" w:lineRule="auto"/>
        <w:rPr>
          <w:rFonts w:ascii="Arial" w:hAnsi="Arial" w:cs="Arial"/>
        </w:rPr>
      </w:pPr>
      <w:r w:rsidRPr="00F22F5E">
        <w:rPr>
          <w:rFonts w:ascii="Arial" w:hAnsi="Arial" w:cs="Arial"/>
        </w:rPr>
        <w:t xml:space="preserve">even if they were on the development for a brief time, they had erected structures and the Metro had taken the law into its own hands by forcibly removing </w:t>
      </w:r>
      <w:r w:rsidRPr="00413836">
        <w:rPr>
          <w:rFonts w:ascii="Arial" w:hAnsi="Arial" w:cs="Arial"/>
        </w:rPr>
        <w:t>them without a court o</w:t>
      </w:r>
      <w:r w:rsidR="00413836">
        <w:rPr>
          <w:rFonts w:ascii="Arial" w:hAnsi="Arial" w:cs="Arial"/>
        </w:rPr>
        <w:t>rder first being served on them.</w:t>
      </w:r>
    </w:p>
    <w:p w:rsidR="007E33D1" w:rsidRDefault="007E33D1" w:rsidP="007E33D1">
      <w:pPr>
        <w:pStyle w:val="ListParagraph"/>
        <w:numPr>
          <w:ilvl w:val="1"/>
          <w:numId w:val="3"/>
        </w:numPr>
        <w:spacing w:line="360" w:lineRule="auto"/>
        <w:rPr>
          <w:rFonts w:ascii="Arial" w:hAnsi="Arial" w:cs="Arial"/>
        </w:rPr>
      </w:pPr>
      <w:r>
        <w:rPr>
          <w:rFonts w:ascii="Arial" w:hAnsi="Arial" w:cs="Arial"/>
        </w:rPr>
        <w:lastRenderedPageBreak/>
        <w:t xml:space="preserve">they took </w:t>
      </w:r>
      <w:r w:rsidR="002601F7">
        <w:rPr>
          <w:rFonts w:ascii="Arial" w:hAnsi="Arial" w:cs="Arial"/>
        </w:rPr>
        <w:t>occupation</w:t>
      </w:r>
      <w:r>
        <w:rPr>
          <w:rFonts w:ascii="Arial" w:hAnsi="Arial" w:cs="Arial"/>
        </w:rPr>
        <w:t xml:space="preserve"> to protect their interests in ensuring a fair allocation of housing in the project and to prevent what they said was an i</w:t>
      </w:r>
      <w:r w:rsidR="00F22F5E">
        <w:rPr>
          <w:rFonts w:ascii="Arial" w:hAnsi="Arial" w:cs="Arial"/>
        </w:rPr>
        <w:t>mminent land invasion by others.</w:t>
      </w:r>
    </w:p>
    <w:p w:rsidR="007E33D1" w:rsidRPr="007E33D1" w:rsidRDefault="007E33D1" w:rsidP="007E33D1">
      <w:pPr>
        <w:pStyle w:val="ListParagraph"/>
        <w:rPr>
          <w:rFonts w:ascii="Arial" w:hAnsi="Arial" w:cs="Arial"/>
        </w:rPr>
      </w:pPr>
    </w:p>
    <w:p w:rsidR="003344BD" w:rsidRDefault="003344BD" w:rsidP="003344BD">
      <w:pPr>
        <w:pStyle w:val="ListParagraph"/>
        <w:numPr>
          <w:ilvl w:val="0"/>
          <w:numId w:val="3"/>
        </w:numPr>
        <w:spacing w:line="360" w:lineRule="auto"/>
        <w:rPr>
          <w:rFonts w:ascii="Arial" w:hAnsi="Arial" w:cs="Arial"/>
        </w:rPr>
      </w:pPr>
      <w:r>
        <w:rPr>
          <w:rFonts w:ascii="Arial" w:hAnsi="Arial" w:cs="Arial"/>
        </w:rPr>
        <w:t xml:space="preserve">It is however common cause </w:t>
      </w:r>
      <w:r w:rsidR="002601F7">
        <w:rPr>
          <w:rFonts w:ascii="Arial" w:hAnsi="Arial" w:cs="Arial"/>
        </w:rPr>
        <w:t>that at the time the first resp</w:t>
      </w:r>
      <w:r>
        <w:rPr>
          <w:rFonts w:ascii="Arial" w:hAnsi="Arial" w:cs="Arial"/>
        </w:rPr>
        <w:t>on</w:t>
      </w:r>
      <w:r w:rsidR="002601F7">
        <w:rPr>
          <w:rFonts w:ascii="Arial" w:hAnsi="Arial" w:cs="Arial"/>
        </w:rPr>
        <w:t>d</w:t>
      </w:r>
      <w:r>
        <w:rPr>
          <w:rFonts w:ascii="Arial" w:hAnsi="Arial" w:cs="Arial"/>
        </w:rPr>
        <w:t xml:space="preserve">ent filed its </w:t>
      </w:r>
      <w:r w:rsidR="008264BF">
        <w:rPr>
          <w:rFonts w:ascii="Arial" w:hAnsi="Arial" w:cs="Arial"/>
        </w:rPr>
        <w:t>conditional</w:t>
      </w:r>
      <w:r>
        <w:rPr>
          <w:rFonts w:ascii="Arial" w:hAnsi="Arial" w:cs="Arial"/>
        </w:rPr>
        <w:t xml:space="preserve"> </w:t>
      </w:r>
      <w:r w:rsidR="008264BF">
        <w:rPr>
          <w:rFonts w:ascii="Arial" w:hAnsi="Arial" w:cs="Arial"/>
        </w:rPr>
        <w:t>answering</w:t>
      </w:r>
      <w:r>
        <w:rPr>
          <w:rFonts w:ascii="Arial" w:hAnsi="Arial" w:cs="Arial"/>
        </w:rPr>
        <w:t xml:space="preserve"> </w:t>
      </w:r>
      <w:r w:rsidR="008264BF">
        <w:rPr>
          <w:rFonts w:ascii="Arial" w:hAnsi="Arial" w:cs="Arial"/>
        </w:rPr>
        <w:t>affidavit</w:t>
      </w:r>
      <w:r w:rsidR="00067143">
        <w:rPr>
          <w:rFonts w:ascii="Arial" w:hAnsi="Arial" w:cs="Arial"/>
        </w:rPr>
        <w:t>,</w:t>
      </w:r>
      <w:r>
        <w:rPr>
          <w:rFonts w:ascii="Arial" w:hAnsi="Arial" w:cs="Arial"/>
        </w:rPr>
        <w:t xml:space="preserve"> </w:t>
      </w:r>
      <w:r w:rsidR="00942F02">
        <w:rPr>
          <w:rFonts w:ascii="Arial" w:hAnsi="Arial" w:cs="Arial"/>
        </w:rPr>
        <w:t xml:space="preserve">those who </w:t>
      </w:r>
      <w:r w:rsidR="00C86150">
        <w:rPr>
          <w:rFonts w:ascii="Arial" w:hAnsi="Arial" w:cs="Arial"/>
        </w:rPr>
        <w:t>c</w:t>
      </w:r>
      <w:r w:rsidR="00942F02">
        <w:rPr>
          <w:rFonts w:ascii="Arial" w:hAnsi="Arial" w:cs="Arial"/>
        </w:rPr>
        <w:t xml:space="preserve">laimed to fall within its ambit </w:t>
      </w:r>
      <w:r w:rsidR="008264BF">
        <w:rPr>
          <w:rFonts w:ascii="Arial" w:hAnsi="Arial" w:cs="Arial"/>
        </w:rPr>
        <w:t>were</w:t>
      </w:r>
      <w:r>
        <w:rPr>
          <w:rFonts w:ascii="Arial" w:hAnsi="Arial" w:cs="Arial"/>
        </w:rPr>
        <w:t xml:space="preserve"> neither in occupation nor possession of any site in the </w:t>
      </w:r>
      <w:r w:rsidR="008264BF">
        <w:rPr>
          <w:rFonts w:ascii="Arial" w:hAnsi="Arial" w:cs="Arial"/>
        </w:rPr>
        <w:t>development</w:t>
      </w:r>
      <w:r>
        <w:rPr>
          <w:rFonts w:ascii="Arial" w:hAnsi="Arial" w:cs="Arial"/>
        </w:rPr>
        <w:t>.</w:t>
      </w:r>
    </w:p>
    <w:p w:rsidR="00F22F5E" w:rsidRDefault="00F22F5E" w:rsidP="00F22F5E">
      <w:pPr>
        <w:pStyle w:val="ListParagraph"/>
        <w:spacing w:line="360" w:lineRule="auto"/>
        <w:ind w:left="360"/>
        <w:rPr>
          <w:rFonts w:ascii="Arial" w:hAnsi="Arial" w:cs="Arial"/>
        </w:rPr>
      </w:pPr>
    </w:p>
    <w:p w:rsidR="00E03FA4" w:rsidRDefault="00F22F5E" w:rsidP="003344BD">
      <w:pPr>
        <w:pStyle w:val="ListParagraph"/>
        <w:numPr>
          <w:ilvl w:val="0"/>
          <w:numId w:val="3"/>
        </w:numPr>
        <w:spacing w:line="360" w:lineRule="auto"/>
        <w:rPr>
          <w:rFonts w:ascii="Arial" w:hAnsi="Arial" w:cs="Arial"/>
        </w:rPr>
      </w:pPr>
      <w:r>
        <w:rPr>
          <w:rFonts w:ascii="Arial" w:hAnsi="Arial" w:cs="Arial"/>
        </w:rPr>
        <w:t>Perhaps of greatest significance is that</w:t>
      </w:r>
      <w:r w:rsidR="00662035">
        <w:rPr>
          <w:rFonts w:ascii="Arial" w:hAnsi="Arial" w:cs="Arial"/>
        </w:rPr>
        <w:t xml:space="preserve"> the 880 </w:t>
      </w:r>
      <w:r w:rsidR="00067143">
        <w:rPr>
          <w:rFonts w:ascii="Arial" w:hAnsi="Arial" w:cs="Arial"/>
        </w:rPr>
        <w:t xml:space="preserve">household heads </w:t>
      </w:r>
      <w:r w:rsidR="00662035">
        <w:rPr>
          <w:rFonts w:ascii="Arial" w:hAnsi="Arial" w:cs="Arial"/>
        </w:rPr>
        <w:t>who identified themselves as comprising the first respondent group</w:t>
      </w:r>
      <w:r w:rsidR="00E03FA4">
        <w:rPr>
          <w:rFonts w:ascii="Arial" w:hAnsi="Arial" w:cs="Arial"/>
        </w:rPr>
        <w:t xml:space="preserve"> said that they “</w:t>
      </w:r>
      <w:r w:rsidR="00E03FA4" w:rsidRPr="00E03FA4">
        <w:rPr>
          <w:rFonts w:ascii="Arial" w:hAnsi="Arial" w:cs="Arial"/>
          <w:i/>
        </w:rPr>
        <w:t>reside</w:t>
      </w:r>
      <w:r w:rsidR="00D93F8B">
        <w:rPr>
          <w:rFonts w:ascii="Arial" w:hAnsi="Arial" w:cs="Arial"/>
          <w:i/>
        </w:rPr>
        <w:t xml:space="preserve"> </w:t>
      </w:r>
      <w:r w:rsidR="00E03FA4" w:rsidRPr="00E03FA4">
        <w:rPr>
          <w:rFonts w:ascii="Arial" w:hAnsi="Arial" w:cs="Arial"/>
          <w:i/>
        </w:rPr>
        <w:t xml:space="preserve">in and around the </w:t>
      </w:r>
      <w:r w:rsidR="00DA411B" w:rsidRPr="00E03FA4">
        <w:rPr>
          <w:rFonts w:ascii="Arial" w:hAnsi="Arial" w:cs="Arial"/>
          <w:i/>
        </w:rPr>
        <w:t>townships</w:t>
      </w:r>
      <w:r w:rsidR="00E03FA4" w:rsidRPr="00E03FA4">
        <w:rPr>
          <w:rFonts w:ascii="Arial" w:hAnsi="Arial" w:cs="Arial"/>
          <w:i/>
        </w:rPr>
        <w:t xml:space="preserve"> of Katlehong and Thokoza, as well as the immediate surrounding areas situated within the jurisdiction of … the City of Ekurhuleni</w:t>
      </w:r>
      <w:r w:rsidR="00E03FA4">
        <w:rPr>
          <w:rFonts w:ascii="Arial" w:hAnsi="Arial" w:cs="Arial"/>
        </w:rPr>
        <w:t xml:space="preserve">” </w:t>
      </w:r>
      <w:r w:rsidR="00E03FA4">
        <w:rPr>
          <w:rStyle w:val="FootnoteReference"/>
          <w:rFonts w:ascii="Arial" w:hAnsi="Arial" w:cs="Arial"/>
        </w:rPr>
        <w:footnoteReference w:id="6"/>
      </w:r>
      <w:r w:rsidR="00662035">
        <w:rPr>
          <w:rFonts w:ascii="Arial" w:hAnsi="Arial" w:cs="Arial"/>
        </w:rPr>
        <w:t xml:space="preserve"> </w:t>
      </w:r>
    </w:p>
    <w:p w:rsidR="006B11CB" w:rsidRPr="006B11CB" w:rsidRDefault="006B11CB" w:rsidP="006B11CB">
      <w:pPr>
        <w:pStyle w:val="ListParagraph"/>
        <w:rPr>
          <w:rFonts w:ascii="Arial" w:hAnsi="Arial" w:cs="Arial"/>
        </w:rPr>
      </w:pPr>
    </w:p>
    <w:p w:rsidR="007F210F" w:rsidRDefault="006B11CB" w:rsidP="006B11CB">
      <w:pPr>
        <w:pStyle w:val="ListParagraph"/>
        <w:spacing w:line="360" w:lineRule="auto"/>
        <w:ind w:left="360"/>
        <w:rPr>
          <w:rFonts w:ascii="Arial" w:hAnsi="Arial" w:cs="Arial"/>
        </w:rPr>
      </w:pPr>
      <w:r>
        <w:rPr>
          <w:rFonts w:ascii="Arial" w:hAnsi="Arial" w:cs="Arial"/>
        </w:rPr>
        <w:t xml:space="preserve">A little later the deponent to the </w:t>
      </w:r>
      <w:r w:rsidR="008C4115">
        <w:rPr>
          <w:rFonts w:ascii="Arial" w:hAnsi="Arial" w:cs="Arial"/>
        </w:rPr>
        <w:t xml:space="preserve">answering </w:t>
      </w:r>
      <w:r>
        <w:rPr>
          <w:rFonts w:ascii="Arial" w:hAnsi="Arial" w:cs="Arial"/>
        </w:rPr>
        <w:t xml:space="preserve">affidavit said </w:t>
      </w:r>
      <w:r w:rsidR="00A85A0F">
        <w:rPr>
          <w:rFonts w:ascii="Arial" w:hAnsi="Arial" w:cs="Arial"/>
        </w:rPr>
        <w:t xml:space="preserve">that many in the group are also old age State pensioners, low-income earners and unemployed people who are </w:t>
      </w:r>
      <w:r w:rsidR="00A85A0F" w:rsidRPr="00A85A0F">
        <w:rPr>
          <w:rFonts w:ascii="Arial" w:hAnsi="Arial" w:cs="Arial"/>
          <w:i/>
        </w:rPr>
        <w:t>“homeless, shack and backyard dwellers</w:t>
      </w:r>
      <w:r w:rsidR="00A85A0F">
        <w:rPr>
          <w:rFonts w:ascii="Arial" w:hAnsi="Arial" w:cs="Arial"/>
          <w:i/>
        </w:rPr>
        <w:t xml:space="preserve">” </w:t>
      </w:r>
      <w:r w:rsidR="00A85A0F">
        <w:rPr>
          <w:rFonts w:ascii="Arial" w:hAnsi="Arial" w:cs="Arial"/>
        </w:rPr>
        <w:t xml:space="preserve">while others are </w:t>
      </w:r>
      <w:r w:rsidR="006F2895">
        <w:rPr>
          <w:rFonts w:ascii="Arial" w:hAnsi="Arial" w:cs="Arial"/>
        </w:rPr>
        <w:t xml:space="preserve">members of the </w:t>
      </w:r>
      <w:r w:rsidR="006F2895" w:rsidRPr="006F2895">
        <w:rPr>
          <w:rFonts w:ascii="Arial" w:hAnsi="Arial" w:cs="Arial"/>
        </w:rPr>
        <w:t>uMkhonto we Sizwe Military Veterans Association (“</w:t>
      </w:r>
      <w:r w:rsidR="006F2895" w:rsidRPr="006F2895">
        <w:rPr>
          <w:rFonts w:ascii="Arial" w:hAnsi="Arial" w:cs="Arial"/>
          <w:i/>
        </w:rPr>
        <w:t>the MK Veterans</w:t>
      </w:r>
      <w:r w:rsidR="006F2895" w:rsidRPr="006F2895">
        <w:rPr>
          <w:rFonts w:ascii="Arial" w:hAnsi="Arial" w:cs="Arial"/>
        </w:rPr>
        <w:t xml:space="preserve">”) </w:t>
      </w:r>
      <w:r w:rsidR="006F2895">
        <w:rPr>
          <w:rFonts w:ascii="Arial" w:hAnsi="Arial" w:cs="Arial"/>
        </w:rPr>
        <w:t xml:space="preserve"> </w:t>
      </w:r>
      <w:r w:rsidR="00A85A0F">
        <w:rPr>
          <w:rFonts w:ascii="Arial" w:hAnsi="Arial" w:cs="Arial"/>
        </w:rPr>
        <w:t>who, despite having applied</w:t>
      </w:r>
      <w:r w:rsidR="006F2895">
        <w:rPr>
          <w:rFonts w:ascii="Arial" w:hAnsi="Arial" w:cs="Arial"/>
        </w:rPr>
        <w:t>, are still waiting for housing</w:t>
      </w:r>
      <w:r w:rsidR="007F210F">
        <w:rPr>
          <w:rFonts w:ascii="Arial" w:hAnsi="Arial" w:cs="Arial"/>
        </w:rPr>
        <w:t>.</w:t>
      </w:r>
      <w:r w:rsidR="00A85A0F">
        <w:rPr>
          <w:rStyle w:val="FootnoteReference"/>
          <w:rFonts w:ascii="Arial" w:hAnsi="Arial" w:cs="Arial"/>
        </w:rPr>
        <w:footnoteReference w:id="7"/>
      </w:r>
    </w:p>
    <w:p w:rsidR="007F210F" w:rsidRDefault="007F210F" w:rsidP="006B11CB">
      <w:pPr>
        <w:pStyle w:val="ListParagraph"/>
        <w:spacing w:line="360" w:lineRule="auto"/>
        <w:ind w:left="360"/>
        <w:rPr>
          <w:rFonts w:ascii="Arial" w:hAnsi="Arial" w:cs="Arial"/>
        </w:rPr>
      </w:pPr>
    </w:p>
    <w:p w:rsidR="006B11CB" w:rsidRPr="00A85A0F" w:rsidRDefault="006F2895" w:rsidP="006B11CB">
      <w:pPr>
        <w:pStyle w:val="ListParagraph"/>
        <w:spacing w:line="360" w:lineRule="auto"/>
        <w:ind w:left="360"/>
        <w:rPr>
          <w:rFonts w:ascii="Arial" w:hAnsi="Arial" w:cs="Arial"/>
        </w:rPr>
      </w:pPr>
      <w:r>
        <w:rPr>
          <w:rFonts w:ascii="Arial" w:hAnsi="Arial" w:cs="Arial"/>
        </w:rPr>
        <w:t>In this</w:t>
      </w:r>
      <w:r w:rsidR="00DA411B">
        <w:rPr>
          <w:rFonts w:ascii="Arial" w:hAnsi="Arial" w:cs="Arial"/>
        </w:rPr>
        <w:t xml:space="preserve"> context it must be noted that </w:t>
      </w:r>
      <w:r>
        <w:rPr>
          <w:rFonts w:ascii="Arial" w:hAnsi="Arial" w:cs="Arial"/>
        </w:rPr>
        <w:t>ther</w:t>
      </w:r>
      <w:r w:rsidR="00DA411B">
        <w:rPr>
          <w:rFonts w:ascii="Arial" w:hAnsi="Arial" w:cs="Arial"/>
        </w:rPr>
        <w:t>e</w:t>
      </w:r>
      <w:r>
        <w:rPr>
          <w:rFonts w:ascii="Arial" w:hAnsi="Arial" w:cs="Arial"/>
        </w:rPr>
        <w:t xml:space="preserve"> are </w:t>
      </w:r>
      <w:r w:rsidR="007F210F">
        <w:rPr>
          <w:rFonts w:ascii="Arial" w:hAnsi="Arial" w:cs="Arial"/>
        </w:rPr>
        <w:t>also</w:t>
      </w:r>
      <w:r w:rsidR="000774C7">
        <w:rPr>
          <w:rFonts w:ascii="Arial" w:hAnsi="Arial" w:cs="Arial"/>
        </w:rPr>
        <w:t xml:space="preserve"> some 670</w:t>
      </w:r>
      <w:r w:rsidR="007F210F">
        <w:rPr>
          <w:rFonts w:ascii="Arial" w:hAnsi="Arial" w:cs="Arial"/>
        </w:rPr>
        <w:t xml:space="preserve"> </w:t>
      </w:r>
      <w:r>
        <w:rPr>
          <w:rFonts w:ascii="Arial" w:hAnsi="Arial" w:cs="Arial"/>
        </w:rPr>
        <w:t xml:space="preserve">MK Veterans who have in fact been allocated RDP houses in the development and </w:t>
      </w:r>
      <w:r w:rsidR="007F210F">
        <w:rPr>
          <w:rFonts w:ascii="Arial" w:hAnsi="Arial" w:cs="Arial"/>
        </w:rPr>
        <w:t>who</w:t>
      </w:r>
      <w:r w:rsidR="008C4115">
        <w:rPr>
          <w:rFonts w:ascii="Arial" w:hAnsi="Arial" w:cs="Arial"/>
        </w:rPr>
        <w:t xml:space="preserve"> the Metro alleges would be </w:t>
      </w:r>
      <w:r>
        <w:rPr>
          <w:rFonts w:ascii="Arial" w:hAnsi="Arial" w:cs="Arial"/>
        </w:rPr>
        <w:t>prevented from taking occupation b</w:t>
      </w:r>
      <w:r w:rsidR="000774C7">
        <w:rPr>
          <w:rFonts w:ascii="Arial" w:hAnsi="Arial" w:cs="Arial"/>
        </w:rPr>
        <w:t xml:space="preserve">y reason </w:t>
      </w:r>
      <w:r>
        <w:rPr>
          <w:rFonts w:ascii="Arial" w:hAnsi="Arial" w:cs="Arial"/>
        </w:rPr>
        <w:t xml:space="preserve">any unlawful land occupation. </w:t>
      </w:r>
      <w:r w:rsidR="00A85A0F">
        <w:rPr>
          <w:rFonts w:ascii="Arial" w:hAnsi="Arial" w:cs="Arial"/>
        </w:rPr>
        <w:t xml:space="preserve"> </w:t>
      </w:r>
    </w:p>
    <w:p w:rsidR="00E03FA4" w:rsidRPr="00E03FA4" w:rsidRDefault="00E03FA4" w:rsidP="00E03FA4">
      <w:pPr>
        <w:pStyle w:val="ListParagraph"/>
        <w:rPr>
          <w:rFonts w:ascii="Arial" w:hAnsi="Arial" w:cs="Arial"/>
        </w:rPr>
      </w:pPr>
    </w:p>
    <w:p w:rsidR="008C4115" w:rsidRDefault="008C4115" w:rsidP="007F210F">
      <w:pPr>
        <w:pStyle w:val="ListParagraph"/>
        <w:numPr>
          <w:ilvl w:val="0"/>
          <w:numId w:val="3"/>
        </w:numPr>
        <w:spacing w:line="360" w:lineRule="auto"/>
        <w:rPr>
          <w:rFonts w:ascii="Arial" w:hAnsi="Arial" w:cs="Arial"/>
        </w:rPr>
      </w:pPr>
      <w:r>
        <w:rPr>
          <w:rFonts w:ascii="Arial" w:hAnsi="Arial" w:cs="Arial"/>
        </w:rPr>
        <w:t xml:space="preserve">Moreover, </w:t>
      </w:r>
      <w:r w:rsidR="00D42B16">
        <w:rPr>
          <w:rFonts w:ascii="Arial" w:hAnsi="Arial" w:cs="Arial"/>
        </w:rPr>
        <w:t>the Metro was unaware of the identities of those who were attempting to occupy the development</w:t>
      </w:r>
      <w:r>
        <w:rPr>
          <w:rFonts w:ascii="Arial" w:hAnsi="Arial" w:cs="Arial"/>
        </w:rPr>
        <w:t xml:space="preserve"> and cited </w:t>
      </w:r>
      <w:r w:rsidR="006B11CB">
        <w:rPr>
          <w:rFonts w:ascii="Arial" w:hAnsi="Arial" w:cs="Arial"/>
        </w:rPr>
        <w:t>them as</w:t>
      </w:r>
      <w:r w:rsidR="00D42B16">
        <w:rPr>
          <w:rFonts w:ascii="Arial" w:hAnsi="Arial" w:cs="Arial"/>
        </w:rPr>
        <w:t xml:space="preserve"> </w:t>
      </w:r>
      <w:r w:rsidR="00D42B16" w:rsidRPr="009364BF">
        <w:rPr>
          <w:rFonts w:ascii="Arial" w:hAnsi="Arial" w:cs="Arial"/>
        </w:rPr>
        <w:t>“</w:t>
      </w:r>
      <w:r w:rsidR="00D42B16" w:rsidRPr="009364BF">
        <w:rPr>
          <w:rFonts w:ascii="Arial" w:hAnsi="Arial" w:cs="Arial"/>
          <w:i/>
        </w:rPr>
        <w:t>The Unknown Individuals Trespassing and/or Attempting to Invade and/or Settle on the</w:t>
      </w:r>
      <w:r w:rsidR="00D42B16">
        <w:rPr>
          <w:rFonts w:ascii="Arial" w:hAnsi="Arial" w:cs="Arial"/>
          <w:i/>
        </w:rPr>
        <w:t xml:space="preserve"> </w:t>
      </w:r>
      <w:r w:rsidR="00D42B16" w:rsidRPr="009364BF">
        <w:rPr>
          <w:rFonts w:ascii="Arial" w:hAnsi="Arial" w:cs="Arial"/>
          <w:i/>
        </w:rPr>
        <w:t>Immoveable Property described as Farm Rietfontein 153 (and also known as Palm Ridge Extensions 10, 18 to 30)”</w:t>
      </w:r>
      <w:r>
        <w:rPr>
          <w:rFonts w:ascii="Arial" w:hAnsi="Arial" w:cs="Arial"/>
        </w:rPr>
        <w:t>.</w:t>
      </w:r>
    </w:p>
    <w:p w:rsidR="008C4115" w:rsidRDefault="008C4115" w:rsidP="008C4115">
      <w:pPr>
        <w:pStyle w:val="ListParagraph"/>
        <w:spacing w:line="360" w:lineRule="auto"/>
        <w:ind w:left="360"/>
        <w:rPr>
          <w:rFonts w:ascii="Arial" w:hAnsi="Arial" w:cs="Arial"/>
        </w:rPr>
      </w:pPr>
    </w:p>
    <w:p w:rsidR="006B11CB" w:rsidRDefault="008C4115" w:rsidP="008C4115">
      <w:pPr>
        <w:pStyle w:val="ListParagraph"/>
        <w:spacing w:line="360" w:lineRule="auto"/>
        <w:ind w:left="360"/>
        <w:rPr>
          <w:rFonts w:ascii="Arial" w:hAnsi="Arial" w:cs="Arial"/>
        </w:rPr>
      </w:pPr>
      <w:r>
        <w:rPr>
          <w:rFonts w:ascii="Arial" w:hAnsi="Arial" w:cs="Arial"/>
        </w:rPr>
        <w:t xml:space="preserve">It therefore </w:t>
      </w:r>
      <w:r w:rsidR="00D42B16">
        <w:rPr>
          <w:rFonts w:ascii="Arial" w:hAnsi="Arial" w:cs="Arial"/>
        </w:rPr>
        <w:t xml:space="preserve">sought an </w:t>
      </w:r>
      <w:r w:rsidR="00D42B16" w:rsidRPr="009364BF">
        <w:rPr>
          <w:rFonts w:ascii="Arial" w:hAnsi="Arial" w:cs="Arial"/>
        </w:rPr>
        <w:t>additional order in line with the procedure ide</w:t>
      </w:r>
      <w:r w:rsidR="007F210F">
        <w:rPr>
          <w:rFonts w:ascii="Arial" w:hAnsi="Arial" w:cs="Arial"/>
        </w:rPr>
        <w:t>ntified by the Full C</w:t>
      </w:r>
      <w:r w:rsidR="00D42B16" w:rsidRPr="009364BF">
        <w:rPr>
          <w:rFonts w:ascii="Arial" w:hAnsi="Arial" w:cs="Arial"/>
        </w:rPr>
        <w:t xml:space="preserve">ourt in </w:t>
      </w:r>
      <w:r w:rsidR="00D42B16" w:rsidRPr="009364BF">
        <w:rPr>
          <w:rFonts w:ascii="Arial" w:hAnsi="Arial" w:cs="Arial"/>
          <w:i/>
        </w:rPr>
        <w:t>Mtshali and others v Masawi and others</w:t>
      </w:r>
      <w:r w:rsidR="00D42B16" w:rsidRPr="009364BF">
        <w:rPr>
          <w:rFonts w:ascii="Arial" w:hAnsi="Arial" w:cs="Arial"/>
        </w:rPr>
        <w:t xml:space="preserve"> 2017 (4) SA 632 (GJ) at </w:t>
      </w:r>
      <w:r w:rsidR="00D42B16" w:rsidRPr="009364BF">
        <w:rPr>
          <w:rFonts w:ascii="Arial" w:hAnsi="Arial" w:cs="Arial"/>
        </w:rPr>
        <w:lastRenderedPageBreak/>
        <w:t xml:space="preserve">para 201, </w:t>
      </w:r>
      <w:r w:rsidR="000774C7">
        <w:rPr>
          <w:rFonts w:ascii="Arial" w:hAnsi="Arial" w:cs="Arial"/>
        </w:rPr>
        <w:t xml:space="preserve">which </w:t>
      </w:r>
      <w:r w:rsidR="00D42B16" w:rsidRPr="009364BF">
        <w:rPr>
          <w:rFonts w:ascii="Arial" w:hAnsi="Arial" w:cs="Arial"/>
        </w:rPr>
        <w:t>requir</w:t>
      </w:r>
      <w:r w:rsidR="000774C7">
        <w:rPr>
          <w:rFonts w:ascii="Arial" w:hAnsi="Arial" w:cs="Arial"/>
        </w:rPr>
        <w:t>e</w:t>
      </w:r>
      <w:r w:rsidR="00D42B16" w:rsidRPr="009364BF">
        <w:rPr>
          <w:rFonts w:ascii="Arial" w:hAnsi="Arial" w:cs="Arial"/>
        </w:rPr>
        <w:t xml:space="preserve"> those </w:t>
      </w:r>
      <w:r w:rsidR="00D42B16">
        <w:rPr>
          <w:rFonts w:ascii="Arial" w:hAnsi="Arial" w:cs="Arial"/>
        </w:rPr>
        <w:t xml:space="preserve">who </w:t>
      </w:r>
      <w:r w:rsidR="00D42B16" w:rsidRPr="009364BF">
        <w:rPr>
          <w:rFonts w:ascii="Arial" w:hAnsi="Arial" w:cs="Arial"/>
        </w:rPr>
        <w:t>intend</w:t>
      </w:r>
      <w:r w:rsidR="00D42B16">
        <w:rPr>
          <w:rFonts w:ascii="Arial" w:hAnsi="Arial" w:cs="Arial"/>
        </w:rPr>
        <w:t>ed</w:t>
      </w:r>
      <w:r w:rsidR="00D42B16" w:rsidRPr="009364BF">
        <w:rPr>
          <w:rFonts w:ascii="Arial" w:hAnsi="Arial" w:cs="Arial"/>
        </w:rPr>
        <w:t xml:space="preserve"> oppos</w:t>
      </w:r>
      <w:r w:rsidR="00D42B16">
        <w:rPr>
          <w:rFonts w:ascii="Arial" w:hAnsi="Arial" w:cs="Arial"/>
        </w:rPr>
        <w:t>ing</w:t>
      </w:r>
      <w:r w:rsidR="00D42B16" w:rsidRPr="009364BF">
        <w:rPr>
          <w:rFonts w:ascii="Arial" w:hAnsi="Arial" w:cs="Arial"/>
        </w:rPr>
        <w:t xml:space="preserve"> the application to</w:t>
      </w:r>
      <w:r w:rsidR="00D42B16">
        <w:rPr>
          <w:rFonts w:ascii="Arial" w:hAnsi="Arial" w:cs="Arial"/>
        </w:rPr>
        <w:t xml:space="preserve"> </w:t>
      </w:r>
      <w:r w:rsidR="00D42B16" w:rsidRPr="009364BF">
        <w:rPr>
          <w:rFonts w:ascii="Arial" w:hAnsi="Arial" w:cs="Arial"/>
        </w:rPr>
        <w:t xml:space="preserve">identify themselves </w:t>
      </w:r>
      <w:r w:rsidR="00D42B16">
        <w:rPr>
          <w:rFonts w:ascii="Arial" w:hAnsi="Arial" w:cs="Arial"/>
        </w:rPr>
        <w:t>by name and physical address</w:t>
      </w:r>
      <w:r w:rsidR="006B11CB">
        <w:rPr>
          <w:rFonts w:ascii="Arial" w:hAnsi="Arial" w:cs="Arial"/>
        </w:rPr>
        <w:t xml:space="preserve">. </w:t>
      </w:r>
    </w:p>
    <w:p w:rsidR="007B0567" w:rsidRDefault="007B0567" w:rsidP="00D42B16">
      <w:pPr>
        <w:pStyle w:val="ListParagraph"/>
        <w:spacing w:line="360" w:lineRule="auto"/>
        <w:ind w:left="360"/>
        <w:rPr>
          <w:rFonts w:ascii="Arial" w:hAnsi="Arial" w:cs="Arial"/>
        </w:rPr>
      </w:pPr>
    </w:p>
    <w:p w:rsidR="007B0567" w:rsidRDefault="002B4782" w:rsidP="00D42B16">
      <w:pPr>
        <w:pStyle w:val="ListParagraph"/>
        <w:spacing w:line="360" w:lineRule="auto"/>
        <w:ind w:left="360"/>
        <w:rPr>
          <w:rFonts w:ascii="Arial" w:hAnsi="Arial" w:cs="Arial"/>
        </w:rPr>
      </w:pPr>
      <w:r>
        <w:rPr>
          <w:rFonts w:ascii="Arial" w:hAnsi="Arial" w:cs="Arial"/>
        </w:rPr>
        <w:t>Two features of</w:t>
      </w:r>
      <w:r w:rsidR="007B0567">
        <w:rPr>
          <w:rFonts w:ascii="Arial" w:hAnsi="Arial" w:cs="Arial"/>
        </w:rPr>
        <w:t xml:space="preserve"> the list </w:t>
      </w:r>
      <w:r w:rsidR="008C4115">
        <w:rPr>
          <w:rFonts w:ascii="Arial" w:hAnsi="Arial" w:cs="Arial"/>
        </w:rPr>
        <w:t xml:space="preserve">that was later produced by the first respondent group </w:t>
      </w:r>
      <w:r w:rsidR="007B0567">
        <w:rPr>
          <w:rFonts w:ascii="Arial" w:hAnsi="Arial" w:cs="Arial"/>
        </w:rPr>
        <w:t xml:space="preserve">stand out. </w:t>
      </w:r>
    </w:p>
    <w:p w:rsidR="006B11CB" w:rsidRDefault="006B11CB" w:rsidP="00D42B16">
      <w:pPr>
        <w:pStyle w:val="ListParagraph"/>
        <w:spacing w:line="360" w:lineRule="auto"/>
        <w:ind w:left="360"/>
        <w:rPr>
          <w:rFonts w:ascii="Arial" w:hAnsi="Arial" w:cs="Arial"/>
        </w:rPr>
      </w:pPr>
    </w:p>
    <w:p w:rsidR="00320D6C" w:rsidRDefault="006B11CB" w:rsidP="00D42B16">
      <w:pPr>
        <w:pStyle w:val="ListParagraph"/>
        <w:spacing w:line="360" w:lineRule="auto"/>
        <w:ind w:left="360"/>
        <w:rPr>
          <w:rFonts w:ascii="Arial" w:hAnsi="Arial" w:cs="Arial"/>
        </w:rPr>
      </w:pPr>
      <w:r>
        <w:rPr>
          <w:rFonts w:ascii="Arial" w:hAnsi="Arial" w:cs="Arial"/>
        </w:rPr>
        <w:t>The</w:t>
      </w:r>
      <w:r w:rsidR="007B0567">
        <w:rPr>
          <w:rFonts w:ascii="Arial" w:hAnsi="Arial" w:cs="Arial"/>
        </w:rPr>
        <w:t xml:space="preserve"> first is that </w:t>
      </w:r>
      <w:r w:rsidR="00CF2D62">
        <w:rPr>
          <w:rFonts w:ascii="Arial" w:hAnsi="Arial" w:cs="Arial"/>
        </w:rPr>
        <w:t xml:space="preserve">half of the first respondent group </w:t>
      </w:r>
      <w:r w:rsidR="007B0567">
        <w:rPr>
          <w:rFonts w:ascii="Arial" w:hAnsi="Arial" w:cs="Arial"/>
        </w:rPr>
        <w:t xml:space="preserve">can produce an </w:t>
      </w:r>
      <w:r w:rsidR="00DA411B">
        <w:rPr>
          <w:rFonts w:ascii="Arial" w:hAnsi="Arial" w:cs="Arial"/>
        </w:rPr>
        <w:t>official reference number acknowled</w:t>
      </w:r>
      <w:r w:rsidR="007B0567">
        <w:rPr>
          <w:rFonts w:ascii="Arial" w:hAnsi="Arial" w:cs="Arial"/>
        </w:rPr>
        <w:t xml:space="preserve">ging </w:t>
      </w:r>
      <w:r w:rsidR="00CF2D62">
        <w:rPr>
          <w:rFonts w:ascii="Arial" w:hAnsi="Arial" w:cs="Arial"/>
        </w:rPr>
        <w:t>their application</w:t>
      </w:r>
      <w:r w:rsidR="007B0567">
        <w:rPr>
          <w:rFonts w:ascii="Arial" w:hAnsi="Arial" w:cs="Arial"/>
        </w:rPr>
        <w:t xml:space="preserve"> for housing. The </w:t>
      </w:r>
      <w:r>
        <w:rPr>
          <w:rFonts w:ascii="Arial" w:hAnsi="Arial" w:cs="Arial"/>
        </w:rPr>
        <w:t>lis</w:t>
      </w:r>
      <w:r w:rsidR="00893EF1">
        <w:rPr>
          <w:rFonts w:ascii="Arial" w:hAnsi="Arial" w:cs="Arial"/>
        </w:rPr>
        <w:t>t provided</w:t>
      </w:r>
      <w:r>
        <w:rPr>
          <w:rFonts w:ascii="Arial" w:hAnsi="Arial" w:cs="Arial"/>
        </w:rPr>
        <w:t xml:space="preserve"> (Annexure AA1) </w:t>
      </w:r>
      <w:r w:rsidR="00C152AD">
        <w:rPr>
          <w:rFonts w:ascii="Arial" w:hAnsi="Arial" w:cs="Arial"/>
        </w:rPr>
        <w:t xml:space="preserve">shows that 446 household heads </w:t>
      </w:r>
      <w:r w:rsidR="00A85A0F">
        <w:rPr>
          <w:rFonts w:ascii="Arial" w:hAnsi="Arial" w:cs="Arial"/>
        </w:rPr>
        <w:t xml:space="preserve">have been on a waiting list for housing since </w:t>
      </w:r>
      <w:r w:rsidR="00CF2D62">
        <w:rPr>
          <w:rFonts w:ascii="Arial" w:hAnsi="Arial" w:cs="Arial"/>
        </w:rPr>
        <w:t xml:space="preserve">either </w:t>
      </w:r>
      <w:r w:rsidR="00A85A0F">
        <w:rPr>
          <w:rFonts w:ascii="Arial" w:hAnsi="Arial" w:cs="Arial"/>
        </w:rPr>
        <w:t>1996</w:t>
      </w:r>
      <w:r w:rsidR="00893EF1">
        <w:rPr>
          <w:rFonts w:ascii="Arial" w:hAnsi="Arial" w:cs="Arial"/>
        </w:rPr>
        <w:t xml:space="preserve"> (</w:t>
      </w:r>
      <w:r w:rsidR="00A85A0F">
        <w:rPr>
          <w:rFonts w:ascii="Arial" w:hAnsi="Arial" w:cs="Arial"/>
        </w:rPr>
        <w:t xml:space="preserve">identified as receiving a C-Form </w:t>
      </w:r>
      <w:r w:rsidR="00893EF1">
        <w:rPr>
          <w:rFonts w:ascii="Arial" w:hAnsi="Arial" w:cs="Arial"/>
        </w:rPr>
        <w:t>bearing a reference number which acknowledged</w:t>
      </w:r>
      <w:r w:rsidR="00A85A0F">
        <w:rPr>
          <w:rFonts w:ascii="Arial" w:hAnsi="Arial" w:cs="Arial"/>
        </w:rPr>
        <w:t xml:space="preserve"> receipt of their application</w:t>
      </w:r>
      <w:r w:rsidR="00893EF1">
        <w:rPr>
          <w:rFonts w:ascii="Arial" w:hAnsi="Arial" w:cs="Arial"/>
        </w:rPr>
        <w:t>)</w:t>
      </w:r>
      <w:r w:rsidR="00CF2D62">
        <w:rPr>
          <w:rFonts w:ascii="Arial" w:hAnsi="Arial" w:cs="Arial"/>
        </w:rPr>
        <w:t xml:space="preserve"> or </w:t>
      </w:r>
      <w:r w:rsidR="008C4115">
        <w:rPr>
          <w:rFonts w:ascii="Arial" w:hAnsi="Arial" w:cs="Arial"/>
        </w:rPr>
        <w:t xml:space="preserve">had </w:t>
      </w:r>
      <w:r w:rsidR="00893EF1">
        <w:rPr>
          <w:rFonts w:ascii="Arial" w:hAnsi="Arial" w:cs="Arial"/>
        </w:rPr>
        <w:t>applied for housing from 2000 onward</w:t>
      </w:r>
      <w:r w:rsidR="00CF2D62">
        <w:rPr>
          <w:rFonts w:ascii="Arial" w:hAnsi="Arial" w:cs="Arial"/>
        </w:rPr>
        <w:t xml:space="preserve"> and </w:t>
      </w:r>
      <w:r w:rsidR="00893EF1">
        <w:rPr>
          <w:rFonts w:ascii="Arial" w:hAnsi="Arial" w:cs="Arial"/>
        </w:rPr>
        <w:t xml:space="preserve">received a </w:t>
      </w:r>
      <w:r w:rsidR="00DA411B">
        <w:rPr>
          <w:rFonts w:ascii="Arial" w:hAnsi="Arial" w:cs="Arial"/>
        </w:rPr>
        <w:t>Government</w:t>
      </w:r>
      <w:r w:rsidR="00893EF1">
        <w:rPr>
          <w:rFonts w:ascii="Arial" w:hAnsi="Arial" w:cs="Arial"/>
        </w:rPr>
        <w:t xml:space="preserve"> generated sms or other official notification which also bore a reference number.</w:t>
      </w:r>
      <w:r w:rsidR="00CF2D62">
        <w:rPr>
          <w:rFonts w:ascii="Arial" w:hAnsi="Arial" w:cs="Arial"/>
        </w:rPr>
        <w:t xml:space="preserve"> A </w:t>
      </w:r>
      <w:r w:rsidR="00DA411B">
        <w:rPr>
          <w:rFonts w:ascii="Arial" w:hAnsi="Arial" w:cs="Arial"/>
        </w:rPr>
        <w:t>further</w:t>
      </w:r>
      <w:r w:rsidR="00CF2D62">
        <w:rPr>
          <w:rFonts w:ascii="Arial" w:hAnsi="Arial" w:cs="Arial"/>
        </w:rPr>
        <w:t xml:space="preserve"> twelve or so claim to be from a special MK </w:t>
      </w:r>
      <w:r w:rsidR="00DA411B">
        <w:rPr>
          <w:rFonts w:ascii="Arial" w:hAnsi="Arial" w:cs="Arial"/>
        </w:rPr>
        <w:t>Veterans</w:t>
      </w:r>
      <w:r w:rsidR="00CF2D62">
        <w:rPr>
          <w:rFonts w:ascii="Arial" w:hAnsi="Arial" w:cs="Arial"/>
        </w:rPr>
        <w:t xml:space="preserve"> unit but have not produced any reference</w:t>
      </w:r>
      <w:r w:rsidR="000774C7">
        <w:rPr>
          <w:rFonts w:ascii="Arial" w:hAnsi="Arial" w:cs="Arial"/>
        </w:rPr>
        <w:t xml:space="preserve"> number to </w:t>
      </w:r>
      <w:r w:rsidR="00CF2D62">
        <w:rPr>
          <w:rFonts w:ascii="Arial" w:hAnsi="Arial" w:cs="Arial"/>
        </w:rPr>
        <w:t xml:space="preserve"> indicat</w:t>
      </w:r>
      <w:r w:rsidR="000774C7">
        <w:rPr>
          <w:rFonts w:ascii="Arial" w:hAnsi="Arial" w:cs="Arial"/>
        </w:rPr>
        <w:t>e</w:t>
      </w:r>
      <w:r w:rsidR="00CF2D62">
        <w:rPr>
          <w:rFonts w:ascii="Arial" w:hAnsi="Arial" w:cs="Arial"/>
        </w:rPr>
        <w:t xml:space="preserve"> that they are on a housing list.</w:t>
      </w:r>
      <w:r w:rsidR="00CF2D62">
        <w:rPr>
          <w:rStyle w:val="FootnoteReference"/>
          <w:rFonts w:ascii="Arial" w:hAnsi="Arial" w:cs="Arial"/>
        </w:rPr>
        <w:footnoteReference w:id="8"/>
      </w:r>
      <w:r w:rsidR="00CF2D62">
        <w:rPr>
          <w:rFonts w:ascii="Arial" w:hAnsi="Arial" w:cs="Arial"/>
        </w:rPr>
        <w:t xml:space="preserve"> </w:t>
      </w:r>
    </w:p>
    <w:p w:rsidR="00320D6C" w:rsidRDefault="00320D6C" w:rsidP="00D42B16">
      <w:pPr>
        <w:pStyle w:val="ListParagraph"/>
        <w:spacing w:line="360" w:lineRule="auto"/>
        <w:ind w:left="360"/>
        <w:rPr>
          <w:rFonts w:ascii="Arial" w:hAnsi="Arial" w:cs="Arial"/>
        </w:rPr>
      </w:pPr>
    </w:p>
    <w:p w:rsidR="0019294C" w:rsidRDefault="00320D6C" w:rsidP="00D42B16">
      <w:pPr>
        <w:pStyle w:val="ListParagraph"/>
        <w:spacing w:line="360" w:lineRule="auto"/>
        <w:ind w:left="360"/>
        <w:rPr>
          <w:rFonts w:ascii="Arial" w:hAnsi="Arial" w:cs="Arial"/>
        </w:rPr>
      </w:pPr>
      <w:r>
        <w:rPr>
          <w:rFonts w:ascii="Arial" w:hAnsi="Arial" w:cs="Arial"/>
        </w:rPr>
        <w:t xml:space="preserve">Secondly, the </w:t>
      </w:r>
      <w:r w:rsidR="00DA411B">
        <w:rPr>
          <w:rFonts w:ascii="Arial" w:hAnsi="Arial" w:cs="Arial"/>
        </w:rPr>
        <w:t>overwhelming</w:t>
      </w:r>
      <w:r>
        <w:rPr>
          <w:rFonts w:ascii="Arial" w:hAnsi="Arial" w:cs="Arial"/>
        </w:rPr>
        <w:t xml:space="preserve"> number of persons in the group reside on an</w:t>
      </w:r>
      <w:r w:rsidR="00B35A65">
        <w:rPr>
          <w:rFonts w:ascii="Arial" w:hAnsi="Arial" w:cs="Arial"/>
        </w:rPr>
        <w:t xml:space="preserve"> erf or stand in a proclaimed township </w:t>
      </w:r>
      <w:r>
        <w:rPr>
          <w:rFonts w:ascii="Arial" w:hAnsi="Arial" w:cs="Arial"/>
        </w:rPr>
        <w:t>since they identify their address by reference to a street name and number within a</w:t>
      </w:r>
      <w:r w:rsidR="008F215C">
        <w:rPr>
          <w:rFonts w:ascii="Arial" w:hAnsi="Arial" w:cs="Arial"/>
        </w:rPr>
        <w:t xml:space="preserve">n established </w:t>
      </w:r>
      <w:r>
        <w:rPr>
          <w:rFonts w:ascii="Arial" w:hAnsi="Arial" w:cs="Arial"/>
        </w:rPr>
        <w:t>township</w:t>
      </w:r>
      <w:r w:rsidR="00B35A65">
        <w:rPr>
          <w:rFonts w:ascii="Arial" w:hAnsi="Arial" w:cs="Arial"/>
        </w:rPr>
        <w:t xml:space="preserve"> development</w:t>
      </w:r>
      <w:r w:rsidR="002B4782">
        <w:rPr>
          <w:rFonts w:ascii="Arial" w:hAnsi="Arial" w:cs="Arial"/>
        </w:rPr>
        <w:t>. This does not</w:t>
      </w:r>
      <w:r w:rsidR="00DA411B">
        <w:rPr>
          <w:rFonts w:ascii="Arial" w:hAnsi="Arial" w:cs="Arial"/>
        </w:rPr>
        <w:t xml:space="preserve"> mean</w:t>
      </w:r>
      <w:r>
        <w:rPr>
          <w:rFonts w:ascii="Arial" w:hAnsi="Arial" w:cs="Arial"/>
        </w:rPr>
        <w:t xml:space="preserve"> that they live in the main house</w:t>
      </w:r>
      <w:r w:rsidR="008C4115">
        <w:rPr>
          <w:rFonts w:ascii="Arial" w:hAnsi="Arial" w:cs="Arial"/>
        </w:rPr>
        <w:t xml:space="preserve">. On the contrary they </w:t>
      </w:r>
      <w:r w:rsidR="002B4782">
        <w:rPr>
          <w:rFonts w:ascii="Arial" w:hAnsi="Arial" w:cs="Arial"/>
        </w:rPr>
        <w:t xml:space="preserve">all appear to claim </w:t>
      </w:r>
      <w:r w:rsidR="008C4115">
        <w:rPr>
          <w:rFonts w:ascii="Arial" w:hAnsi="Arial" w:cs="Arial"/>
        </w:rPr>
        <w:t xml:space="preserve">to </w:t>
      </w:r>
      <w:r>
        <w:rPr>
          <w:rFonts w:ascii="Arial" w:hAnsi="Arial" w:cs="Arial"/>
        </w:rPr>
        <w:t>only occupy a so-called backyard shack</w:t>
      </w:r>
      <w:r w:rsidR="00067143">
        <w:rPr>
          <w:rFonts w:ascii="Arial" w:hAnsi="Arial" w:cs="Arial"/>
        </w:rPr>
        <w:t>, and th</w:t>
      </w:r>
      <w:r w:rsidR="008C4115">
        <w:rPr>
          <w:rFonts w:ascii="Arial" w:hAnsi="Arial" w:cs="Arial"/>
        </w:rPr>
        <w:t>is</w:t>
      </w:r>
      <w:r w:rsidR="00067143">
        <w:rPr>
          <w:rFonts w:ascii="Arial" w:hAnsi="Arial" w:cs="Arial"/>
        </w:rPr>
        <w:t xml:space="preserve"> allegation is accepted by the court.</w:t>
      </w:r>
    </w:p>
    <w:p w:rsidR="0019294C" w:rsidRDefault="0019294C" w:rsidP="00D42B16">
      <w:pPr>
        <w:pStyle w:val="ListParagraph"/>
        <w:spacing w:line="360" w:lineRule="auto"/>
        <w:ind w:left="360"/>
        <w:rPr>
          <w:rFonts w:ascii="Arial" w:hAnsi="Arial" w:cs="Arial"/>
        </w:rPr>
      </w:pPr>
    </w:p>
    <w:p w:rsidR="008665E7" w:rsidRDefault="003344BD" w:rsidP="003344BD">
      <w:pPr>
        <w:pStyle w:val="ListParagraph"/>
        <w:numPr>
          <w:ilvl w:val="0"/>
          <w:numId w:val="3"/>
        </w:numPr>
        <w:spacing w:line="360" w:lineRule="auto"/>
        <w:rPr>
          <w:rFonts w:ascii="Arial" w:hAnsi="Arial" w:cs="Arial"/>
        </w:rPr>
      </w:pPr>
      <w:r>
        <w:rPr>
          <w:rFonts w:ascii="Arial" w:hAnsi="Arial" w:cs="Arial"/>
        </w:rPr>
        <w:t xml:space="preserve">The litigation got bogged down </w:t>
      </w:r>
      <w:r w:rsidR="00942F02">
        <w:rPr>
          <w:rFonts w:ascii="Arial" w:hAnsi="Arial" w:cs="Arial"/>
        </w:rPr>
        <w:t xml:space="preserve">as it was necessary to </w:t>
      </w:r>
      <w:r>
        <w:rPr>
          <w:rFonts w:ascii="Arial" w:hAnsi="Arial" w:cs="Arial"/>
        </w:rPr>
        <w:t>extend</w:t>
      </w:r>
      <w:r w:rsidR="00942F02">
        <w:rPr>
          <w:rFonts w:ascii="Arial" w:hAnsi="Arial" w:cs="Arial"/>
        </w:rPr>
        <w:t xml:space="preserve"> </w:t>
      </w:r>
      <w:r>
        <w:rPr>
          <w:rFonts w:ascii="Arial" w:hAnsi="Arial" w:cs="Arial"/>
        </w:rPr>
        <w:t>times for filing</w:t>
      </w:r>
      <w:r w:rsidR="00942F02">
        <w:rPr>
          <w:rFonts w:ascii="Arial" w:hAnsi="Arial" w:cs="Arial"/>
        </w:rPr>
        <w:t xml:space="preserve"> </w:t>
      </w:r>
      <w:r w:rsidR="0043454C">
        <w:rPr>
          <w:rFonts w:ascii="Arial" w:hAnsi="Arial" w:cs="Arial"/>
        </w:rPr>
        <w:t>affidavits and</w:t>
      </w:r>
      <w:r w:rsidR="00942F02">
        <w:rPr>
          <w:rFonts w:ascii="Arial" w:hAnsi="Arial" w:cs="Arial"/>
        </w:rPr>
        <w:t xml:space="preserve"> for </w:t>
      </w:r>
      <w:r>
        <w:rPr>
          <w:rFonts w:ascii="Arial" w:hAnsi="Arial" w:cs="Arial"/>
        </w:rPr>
        <w:t xml:space="preserve">complying with court orders </w:t>
      </w:r>
      <w:r w:rsidR="00942F02">
        <w:rPr>
          <w:rFonts w:ascii="Arial" w:hAnsi="Arial" w:cs="Arial"/>
        </w:rPr>
        <w:t xml:space="preserve">requiring the </w:t>
      </w:r>
      <w:r>
        <w:rPr>
          <w:rFonts w:ascii="Arial" w:hAnsi="Arial" w:cs="Arial"/>
        </w:rPr>
        <w:t>identif</w:t>
      </w:r>
      <w:r w:rsidR="00942F02">
        <w:rPr>
          <w:rFonts w:ascii="Arial" w:hAnsi="Arial" w:cs="Arial"/>
        </w:rPr>
        <w:t>ication of h</w:t>
      </w:r>
      <w:r>
        <w:rPr>
          <w:rFonts w:ascii="Arial" w:hAnsi="Arial" w:cs="Arial"/>
        </w:rPr>
        <w:t xml:space="preserve">ousehold heads and their family members who </w:t>
      </w:r>
      <w:r w:rsidR="0043454C">
        <w:rPr>
          <w:rFonts w:ascii="Arial" w:hAnsi="Arial" w:cs="Arial"/>
        </w:rPr>
        <w:t xml:space="preserve">contended that they fell within the </w:t>
      </w:r>
      <w:r w:rsidR="008264BF">
        <w:rPr>
          <w:rFonts w:ascii="Arial" w:hAnsi="Arial" w:cs="Arial"/>
        </w:rPr>
        <w:t>first res</w:t>
      </w:r>
      <w:r>
        <w:rPr>
          <w:rFonts w:ascii="Arial" w:hAnsi="Arial" w:cs="Arial"/>
        </w:rPr>
        <w:t>po</w:t>
      </w:r>
      <w:r w:rsidR="008264BF">
        <w:rPr>
          <w:rFonts w:ascii="Arial" w:hAnsi="Arial" w:cs="Arial"/>
        </w:rPr>
        <w:t>ndent</w:t>
      </w:r>
      <w:r>
        <w:rPr>
          <w:rFonts w:ascii="Arial" w:hAnsi="Arial" w:cs="Arial"/>
        </w:rPr>
        <w:t xml:space="preserve"> group. </w:t>
      </w:r>
    </w:p>
    <w:p w:rsidR="005F6086" w:rsidRPr="005F6086" w:rsidRDefault="005F6086" w:rsidP="005F6086">
      <w:pPr>
        <w:pStyle w:val="ListParagraph"/>
        <w:rPr>
          <w:rFonts w:ascii="Arial" w:hAnsi="Arial" w:cs="Arial"/>
        </w:rPr>
      </w:pPr>
    </w:p>
    <w:p w:rsidR="005F6086" w:rsidRDefault="005F6086" w:rsidP="003344BD">
      <w:pPr>
        <w:pStyle w:val="ListParagraph"/>
        <w:numPr>
          <w:ilvl w:val="0"/>
          <w:numId w:val="3"/>
        </w:numPr>
        <w:spacing w:line="360" w:lineRule="auto"/>
        <w:rPr>
          <w:rFonts w:ascii="Arial" w:hAnsi="Arial" w:cs="Arial"/>
        </w:rPr>
      </w:pPr>
      <w:r>
        <w:rPr>
          <w:rFonts w:ascii="Arial" w:hAnsi="Arial" w:cs="Arial"/>
        </w:rPr>
        <w:t>The first respondent</w:t>
      </w:r>
      <w:r w:rsidR="0043454C">
        <w:rPr>
          <w:rFonts w:ascii="Arial" w:hAnsi="Arial" w:cs="Arial"/>
        </w:rPr>
        <w:t xml:space="preserve"> </w:t>
      </w:r>
      <w:r w:rsidR="00C86150">
        <w:rPr>
          <w:rFonts w:ascii="Arial" w:hAnsi="Arial" w:cs="Arial"/>
        </w:rPr>
        <w:t xml:space="preserve">group also </w:t>
      </w:r>
      <w:r>
        <w:rPr>
          <w:rFonts w:ascii="Arial" w:hAnsi="Arial" w:cs="Arial"/>
        </w:rPr>
        <w:t>counterclaimed</w:t>
      </w:r>
      <w:r w:rsidR="00C86150">
        <w:rPr>
          <w:rFonts w:ascii="Arial" w:hAnsi="Arial" w:cs="Arial"/>
        </w:rPr>
        <w:t xml:space="preserve"> that they</w:t>
      </w:r>
      <w:r>
        <w:rPr>
          <w:rFonts w:ascii="Arial" w:hAnsi="Arial" w:cs="Arial"/>
        </w:rPr>
        <w:t>;</w:t>
      </w:r>
    </w:p>
    <w:p w:rsidR="005F6086" w:rsidRPr="005F6086" w:rsidRDefault="005F6086" w:rsidP="005F6086">
      <w:pPr>
        <w:pStyle w:val="ListParagraph"/>
        <w:rPr>
          <w:rFonts w:ascii="Arial" w:hAnsi="Arial" w:cs="Arial"/>
        </w:rPr>
      </w:pPr>
    </w:p>
    <w:p w:rsidR="005F6086" w:rsidRPr="00461C48" w:rsidRDefault="00C86150" w:rsidP="005F6086">
      <w:pPr>
        <w:pStyle w:val="ListParagraph"/>
        <w:numPr>
          <w:ilvl w:val="1"/>
          <w:numId w:val="3"/>
        </w:numPr>
        <w:spacing w:line="360" w:lineRule="auto"/>
        <w:rPr>
          <w:rFonts w:ascii="Arial" w:hAnsi="Arial" w:cs="Arial"/>
        </w:rPr>
      </w:pPr>
      <w:r>
        <w:rPr>
          <w:rFonts w:ascii="Arial" w:hAnsi="Arial" w:cs="Arial"/>
        </w:rPr>
        <w:t xml:space="preserve">were </w:t>
      </w:r>
      <w:r w:rsidR="005F6086">
        <w:rPr>
          <w:rFonts w:ascii="Arial" w:hAnsi="Arial" w:cs="Arial"/>
        </w:rPr>
        <w:t xml:space="preserve">entitled to the allocation lists and </w:t>
      </w:r>
      <w:r w:rsidR="002B4782">
        <w:rPr>
          <w:rFonts w:ascii="Arial" w:hAnsi="Arial" w:cs="Arial"/>
        </w:rPr>
        <w:t xml:space="preserve">be furnished with </w:t>
      </w:r>
      <w:r w:rsidR="005F6086" w:rsidRPr="00461C48">
        <w:rPr>
          <w:rFonts w:ascii="Arial" w:hAnsi="Arial" w:cs="Arial"/>
        </w:rPr>
        <w:t xml:space="preserve">the criteria for determining </w:t>
      </w:r>
      <w:r w:rsidR="008264BF" w:rsidRPr="00461C48">
        <w:rPr>
          <w:rFonts w:ascii="Arial" w:hAnsi="Arial" w:cs="Arial"/>
        </w:rPr>
        <w:t>preference.</w:t>
      </w:r>
      <w:r w:rsidR="005F6086" w:rsidRPr="00461C48">
        <w:rPr>
          <w:rFonts w:ascii="Arial" w:hAnsi="Arial" w:cs="Arial"/>
        </w:rPr>
        <w:t xml:space="preserve"> </w:t>
      </w:r>
    </w:p>
    <w:p w:rsidR="005F6086" w:rsidRDefault="00C86150" w:rsidP="005F6086">
      <w:pPr>
        <w:pStyle w:val="ListParagraph"/>
        <w:numPr>
          <w:ilvl w:val="1"/>
          <w:numId w:val="3"/>
        </w:numPr>
        <w:spacing w:line="360" w:lineRule="auto"/>
        <w:rPr>
          <w:rFonts w:ascii="Arial" w:hAnsi="Arial" w:cs="Arial"/>
        </w:rPr>
      </w:pPr>
      <w:r>
        <w:rPr>
          <w:rFonts w:ascii="Arial" w:hAnsi="Arial" w:cs="Arial"/>
        </w:rPr>
        <w:lastRenderedPageBreak/>
        <w:t>were</w:t>
      </w:r>
      <w:r w:rsidR="00FD7BD5">
        <w:rPr>
          <w:rFonts w:ascii="Arial" w:hAnsi="Arial" w:cs="Arial"/>
        </w:rPr>
        <w:t xml:space="preserve"> entitled to </w:t>
      </w:r>
      <w:r w:rsidR="002B4782">
        <w:rPr>
          <w:rFonts w:ascii="Arial" w:hAnsi="Arial" w:cs="Arial"/>
        </w:rPr>
        <w:t>a spoliation order with</w:t>
      </w:r>
      <w:r w:rsidR="00FD7BD5" w:rsidRPr="00067143">
        <w:rPr>
          <w:rFonts w:ascii="Arial" w:hAnsi="Arial" w:cs="Arial"/>
        </w:rPr>
        <w:t xml:space="preserve"> r</w:t>
      </w:r>
      <w:r w:rsidR="005F6086" w:rsidRPr="00067143">
        <w:rPr>
          <w:rFonts w:ascii="Arial" w:hAnsi="Arial" w:cs="Arial"/>
        </w:rPr>
        <w:t>eturn of goods and possessions</w:t>
      </w:r>
      <w:r w:rsidR="005F6086">
        <w:rPr>
          <w:rFonts w:ascii="Arial" w:hAnsi="Arial" w:cs="Arial"/>
        </w:rPr>
        <w:t xml:space="preserve"> </w:t>
      </w:r>
      <w:r w:rsidR="0043454C">
        <w:rPr>
          <w:rFonts w:ascii="Arial" w:hAnsi="Arial" w:cs="Arial"/>
        </w:rPr>
        <w:t>taken by the Metro when evicting them.</w:t>
      </w:r>
    </w:p>
    <w:p w:rsidR="00FB61C6" w:rsidRPr="00FB61C6" w:rsidRDefault="00FB61C6" w:rsidP="00FB61C6">
      <w:pPr>
        <w:pStyle w:val="ListParagraph"/>
        <w:rPr>
          <w:rFonts w:ascii="Arial" w:hAnsi="Arial" w:cs="Arial"/>
        </w:rPr>
      </w:pPr>
    </w:p>
    <w:p w:rsidR="005B0A6F" w:rsidRDefault="00FB61C6" w:rsidP="00FB61C6">
      <w:pPr>
        <w:pStyle w:val="ListParagraph"/>
        <w:numPr>
          <w:ilvl w:val="0"/>
          <w:numId w:val="3"/>
        </w:numPr>
        <w:spacing w:line="360" w:lineRule="auto"/>
        <w:rPr>
          <w:rFonts w:ascii="Arial" w:hAnsi="Arial" w:cs="Arial"/>
        </w:rPr>
      </w:pPr>
      <w:r>
        <w:rPr>
          <w:rFonts w:ascii="Arial" w:hAnsi="Arial" w:cs="Arial"/>
        </w:rPr>
        <w:t>Since the Metro contended that the information sought for the production of the allocation lists and the criteria for determining preference w</w:t>
      </w:r>
      <w:r w:rsidR="000774C7">
        <w:rPr>
          <w:rFonts w:ascii="Arial" w:hAnsi="Arial" w:cs="Arial"/>
        </w:rPr>
        <w:t>as</w:t>
      </w:r>
      <w:r>
        <w:rPr>
          <w:rFonts w:ascii="Arial" w:hAnsi="Arial" w:cs="Arial"/>
        </w:rPr>
        <w:t xml:space="preserve"> with t</w:t>
      </w:r>
      <w:r w:rsidR="00E912FB">
        <w:rPr>
          <w:rFonts w:ascii="Arial" w:hAnsi="Arial" w:cs="Arial"/>
        </w:rPr>
        <w:t>he P</w:t>
      </w:r>
      <w:r>
        <w:rPr>
          <w:rFonts w:ascii="Arial" w:hAnsi="Arial" w:cs="Arial"/>
        </w:rPr>
        <w:t xml:space="preserve">rovincial body, the court was willing to consider </w:t>
      </w:r>
      <w:r w:rsidR="005B0A6F">
        <w:rPr>
          <w:rFonts w:ascii="Arial" w:hAnsi="Arial" w:cs="Arial"/>
        </w:rPr>
        <w:t xml:space="preserve">granting that part of the counter-application </w:t>
      </w:r>
      <w:r>
        <w:rPr>
          <w:rFonts w:ascii="Arial" w:hAnsi="Arial" w:cs="Arial"/>
        </w:rPr>
        <w:t xml:space="preserve">once the Gauteng </w:t>
      </w:r>
      <w:r w:rsidR="00C06312">
        <w:rPr>
          <w:rFonts w:ascii="Arial" w:hAnsi="Arial" w:cs="Arial"/>
        </w:rPr>
        <w:t>Government</w:t>
      </w:r>
      <w:r>
        <w:rPr>
          <w:rFonts w:ascii="Arial" w:hAnsi="Arial" w:cs="Arial"/>
        </w:rPr>
        <w:t xml:space="preserve"> was joined. </w:t>
      </w:r>
    </w:p>
    <w:p w:rsidR="000774C7" w:rsidRDefault="000774C7" w:rsidP="000774C7">
      <w:pPr>
        <w:pStyle w:val="ListParagraph"/>
        <w:spacing w:line="360" w:lineRule="auto"/>
        <w:ind w:left="360"/>
        <w:rPr>
          <w:rFonts w:ascii="Arial" w:hAnsi="Arial" w:cs="Arial"/>
        </w:rPr>
      </w:pPr>
    </w:p>
    <w:p w:rsidR="005B0A6F" w:rsidRPr="000774C7" w:rsidRDefault="000774C7" w:rsidP="000774C7">
      <w:pPr>
        <w:pStyle w:val="ListParagraph"/>
        <w:numPr>
          <w:ilvl w:val="0"/>
          <w:numId w:val="3"/>
        </w:numPr>
        <w:spacing w:line="360" w:lineRule="auto"/>
        <w:rPr>
          <w:rFonts w:ascii="Arial" w:hAnsi="Arial" w:cs="Arial"/>
        </w:rPr>
      </w:pPr>
      <w:r>
        <w:rPr>
          <w:rFonts w:ascii="Arial" w:hAnsi="Arial" w:cs="Arial"/>
          <w:i/>
        </w:rPr>
        <w:t xml:space="preserve">Prima </w:t>
      </w:r>
      <w:r w:rsidR="00FB61C6" w:rsidRPr="000774C7">
        <w:rPr>
          <w:rFonts w:ascii="Arial" w:hAnsi="Arial" w:cs="Arial"/>
          <w:i/>
        </w:rPr>
        <w:t>facie</w:t>
      </w:r>
      <w:r w:rsidR="005B0A6F" w:rsidRPr="000774C7">
        <w:rPr>
          <w:rFonts w:ascii="Arial" w:hAnsi="Arial" w:cs="Arial"/>
        </w:rPr>
        <w:t xml:space="preserve"> I was inclined to grant the relief sought</w:t>
      </w:r>
      <w:r w:rsidR="00FB61C6" w:rsidRPr="000774C7">
        <w:rPr>
          <w:rFonts w:ascii="Arial" w:hAnsi="Arial" w:cs="Arial"/>
        </w:rPr>
        <w:t xml:space="preserve"> because it would </w:t>
      </w:r>
      <w:r w:rsidR="005B0A6F" w:rsidRPr="000774C7">
        <w:rPr>
          <w:rFonts w:ascii="Arial" w:hAnsi="Arial" w:cs="Arial"/>
        </w:rPr>
        <w:t xml:space="preserve">reveal whether there had been corruption or maladministration in the allocation of </w:t>
      </w:r>
      <w:r w:rsidR="00C06312" w:rsidRPr="000774C7">
        <w:rPr>
          <w:rFonts w:ascii="Arial" w:hAnsi="Arial" w:cs="Arial"/>
        </w:rPr>
        <w:t>housing as</w:t>
      </w:r>
      <w:r w:rsidR="005B0A6F" w:rsidRPr="000774C7">
        <w:rPr>
          <w:rFonts w:ascii="Arial" w:hAnsi="Arial" w:cs="Arial"/>
        </w:rPr>
        <w:t xml:space="preserve"> alleged</w:t>
      </w:r>
      <w:r w:rsidR="008F215C" w:rsidRPr="000774C7">
        <w:rPr>
          <w:rFonts w:ascii="Arial" w:hAnsi="Arial" w:cs="Arial"/>
        </w:rPr>
        <w:t>;</w:t>
      </w:r>
      <w:r w:rsidR="005B0A6F" w:rsidRPr="000774C7">
        <w:rPr>
          <w:rFonts w:ascii="Arial" w:hAnsi="Arial" w:cs="Arial"/>
        </w:rPr>
        <w:t xml:space="preserve"> the information </w:t>
      </w:r>
      <w:r w:rsidR="00FD7BD5" w:rsidRPr="000774C7">
        <w:rPr>
          <w:rFonts w:ascii="Arial" w:hAnsi="Arial" w:cs="Arial"/>
        </w:rPr>
        <w:t>being</w:t>
      </w:r>
      <w:r w:rsidR="005B0A6F" w:rsidRPr="000774C7">
        <w:rPr>
          <w:rFonts w:ascii="Arial" w:hAnsi="Arial" w:cs="Arial"/>
        </w:rPr>
        <w:t xml:space="preserve"> peculiarly within the knowledge of </w:t>
      </w:r>
      <w:r w:rsidR="00FD7BD5" w:rsidRPr="000774C7">
        <w:rPr>
          <w:rFonts w:ascii="Arial" w:hAnsi="Arial" w:cs="Arial"/>
        </w:rPr>
        <w:t xml:space="preserve">either or </w:t>
      </w:r>
      <w:r w:rsidR="00067143" w:rsidRPr="000774C7">
        <w:rPr>
          <w:rFonts w:ascii="Arial" w:hAnsi="Arial" w:cs="Arial"/>
        </w:rPr>
        <w:t>both spheres of G</w:t>
      </w:r>
      <w:r w:rsidR="005B0A6F" w:rsidRPr="000774C7">
        <w:rPr>
          <w:rFonts w:ascii="Arial" w:hAnsi="Arial" w:cs="Arial"/>
        </w:rPr>
        <w:t xml:space="preserve">overnment. </w:t>
      </w:r>
      <w:r w:rsidR="00977E9C" w:rsidRPr="000774C7">
        <w:rPr>
          <w:rFonts w:ascii="Arial" w:hAnsi="Arial" w:cs="Arial"/>
        </w:rPr>
        <w:t>However, d</w:t>
      </w:r>
      <w:r w:rsidR="005B5C8B" w:rsidRPr="000774C7">
        <w:rPr>
          <w:rFonts w:ascii="Arial" w:hAnsi="Arial" w:cs="Arial"/>
        </w:rPr>
        <w:t xml:space="preserve">espite </w:t>
      </w:r>
      <w:r w:rsidR="00977E9C" w:rsidRPr="000774C7">
        <w:rPr>
          <w:rFonts w:ascii="Arial" w:hAnsi="Arial" w:cs="Arial"/>
        </w:rPr>
        <w:t xml:space="preserve">filing a joinder application </w:t>
      </w:r>
      <w:r w:rsidR="005B5C8B" w:rsidRPr="000774C7">
        <w:rPr>
          <w:rFonts w:ascii="Arial" w:hAnsi="Arial" w:cs="Arial"/>
        </w:rPr>
        <w:t>t</w:t>
      </w:r>
      <w:r w:rsidR="005B0A6F" w:rsidRPr="000774C7">
        <w:rPr>
          <w:rFonts w:ascii="Arial" w:hAnsi="Arial" w:cs="Arial"/>
        </w:rPr>
        <w:t xml:space="preserve">he first </w:t>
      </w:r>
      <w:r w:rsidR="00C06312" w:rsidRPr="000774C7">
        <w:rPr>
          <w:rFonts w:ascii="Arial" w:hAnsi="Arial" w:cs="Arial"/>
        </w:rPr>
        <w:t>respondent’s</w:t>
      </w:r>
      <w:r w:rsidR="005B5C8B" w:rsidRPr="000774C7">
        <w:rPr>
          <w:rFonts w:ascii="Arial" w:hAnsi="Arial" w:cs="Arial"/>
        </w:rPr>
        <w:t xml:space="preserve"> counsel</w:t>
      </w:r>
      <w:r w:rsidR="005B0A6F" w:rsidRPr="000774C7">
        <w:rPr>
          <w:rFonts w:ascii="Arial" w:hAnsi="Arial" w:cs="Arial"/>
        </w:rPr>
        <w:t xml:space="preserve"> </w:t>
      </w:r>
      <w:r w:rsidR="00977E9C" w:rsidRPr="000774C7">
        <w:rPr>
          <w:rFonts w:ascii="Arial" w:hAnsi="Arial" w:cs="Arial"/>
        </w:rPr>
        <w:t xml:space="preserve">advised that it would not be pursued and </w:t>
      </w:r>
      <w:r w:rsidR="005B0A6F" w:rsidRPr="000774C7">
        <w:rPr>
          <w:rFonts w:ascii="Arial" w:hAnsi="Arial" w:cs="Arial"/>
        </w:rPr>
        <w:t>informed the co</w:t>
      </w:r>
      <w:r w:rsidR="00977E9C" w:rsidRPr="000774C7">
        <w:rPr>
          <w:rFonts w:ascii="Arial" w:hAnsi="Arial" w:cs="Arial"/>
        </w:rPr>
        <w:t>urt that they were or had been engaged i</w:t>
      </w:r>
      <w:r w:rsidR="005B0A6F" w:rsidRPr="000774C7">
        <w:rPr>
          <w:rFonts w:ascii="Arial" w:hAnsi="Arial" w:cs="Arial"/>
        </w:rPr>
        <w:t xml:space="preserve">n discussions with the authorities. </w:t>
      </w:r>
    </w:p>
    <w:p w:rsidR="005B0A6F" w:rsidRDefault="005B0A6F" w:rsidP="005B0A6F">
      <w:pPr>
        <w:pStyle w:val="ListParagraph"/>
        <w:spacing w:line="360" w:lineRule="auto"/>
        <w:ind w:left="360"/>
        <w:rPr>
          <w:rFonts w:ascii="Arial" w:hAnsi="Arial" w:cs="Arial"/>
        </w:rPr>
      </w:pPr>
    </w:p>
    <w:p w:rsidR="00FB61C6" w:rsidRPr="00C54048" w:rsidRDefault="00977E9C" w:rsidP="002B4782">
      <w:pPr>
        <w:spacing w:line="360" w:lineRule="auto"/>
        <w:ind w:left="360"/>
        <w:rPr>
          <w:rFonts w:ascii="Arial" w:hAnsi="Arial" w:cs="Arial"/>
          <w:b/>
        </w:rPr>
      </w:pPr>
      <w:r>
        <w:rPr>
          <w:rFonts w:ascii="Arial" w:hAnsi="Arial" w:cs="Arial"/>
        </w:rPr>
        <w:t xml:space="preserve">Since </w:t>
      </w:r>
      <w:r w:rsidRPr="00977E9C">
        <w:rPr>
          <w:rFonts w:ascii="Arial" w:hAnsi="Arial" w:cs="Arial"/>
        </w:rPr>
        <w:t xml:space="preserve">I was not prepared to consider directing production if the </w:t>
      </w:r>
      <w:r w:rsidR="005B0A6F" w:rsidRPr="00977E9C">
        <w:rPr>
          <w:rFonts w:ascii="Arial" w:hAnsi="Arial" w:cs="Arial"/>
        </w:rPr>
        <w:t>Gauteng Government</w:t>
      </w:r>
      <w:r w:rsidRPr="00977E9C">
        <w:rPr>
          <w:rFonts w:ascii="Arial" w:hAnsi="Arial" w:cs="Arial"/>
        </w:rPr>
        <w:t xml:space="preserve"> was not joined</w:t>
      </w:r>
      <w:r>
        <w:rPr>
          <w:rFonts w:ascii="Arial" w:hAnsi="Arial" w:cs="Arial"/>
        </w:rPr>
        <w:t>, the</w:t>
      </w:r>
      <w:r w:rsidR="005B0A6F" w:rsidRPr="00977E9C">
        <w:rPr>
          <w:rFonts w:ascii="Arial" w:hAnsi="Arial" w:cs="Arial"/>
        </w:rPr>
        <w:t xml:space="preserve"> only counter-application</w:t>
      </w:r>
      <w:r>
        <w:rPr>
          <w:rFonts w:ascii="Arial" w:hAnsi="Arial" w:cs="Arial"/>
        </w:rPr>
        <w:t xml:space="preserve"> which </w:t>
      </w:r>
      <w:r w:rsidR="005B0A6F" w:rsidRPr="00977E9C">
        <w:rPr>
          <w:rFonts w:ascii="Arial" w:hAnsi="Arial" w:cs="Arial"/>
        </w:rPr>
        <w:t>remain</w:t>
      </w:r>
      <w:r>
        <w:rPr>
          <w:rFonts w:ascii="Arial" w:hAnsi="Arial" w:cs="Arial"/>
        </w:rPr>
        <w:t>ed</w:t>
      </w:r>
      <w:r w:rsidR="005B0A6F" w:rsidRPr="00977E9C">
        <w:rPr>
          <w:rFonts w:ascii="Arial" w:hAnsi="Arial" w:cs="Arial"/>
        </w:rPr>
        <w:t xml:space="preserve"> was</w:t>
      </w:r>
      <w:r w:rsidR="002B4782">
        <w:rPr>
          <w:rFonts w:ascii="Arial" w:hAnsi="Arial" w:cs="Arial"/>
        </w:rPr>
        <w:t xml:space="preserve"> based on </w:t>
      </w:r>
      <w:r w:rsidR="00794390">
        <w:rPr>
          <w:rFonts w:ascii="Arial" w:hAnsi="Arial" w:cs="Arial"/>
        </w:rPr>
        <w:t xml:space="preserve">spoliation and </w:t>
      </w:r>
      <w:r w:rsidR="00C06312" w:rsidRPr="00977E9C">
        <w:rPr>
          <w:rFonts w:ascii="Arial" w:hAnsi="Arial" w:cs="Arial"/>
        </w:rPr>
        <w:t>return</w:t>
      </w:r>
      <w:r w:rsidR="005B0A6F" w:rsidRPr="00977E9C">
        <w:rPr>
          <w:rFonts w:ascii="Arial" w:hAnsi="Arial" w:cs="Arial"/>
        </w:rPr>
        <w:t xml:space="preserve"> of possessions allegedly taken by Metro officials or their agents</w:t>
      </w:r>
      <w:r>
        <w:rPr>
          <w:rFonts w:ascii="Arial" w:hAnsi="Arial" w:cs="Arial"/>
        </w:rPr>
        <w:t>.</w:t>
      </w:r>
    </w:p>
    <w:p w:rsidR="00FB61C6" w:rsidRDefault="00FB61C6" w:rsidP="005B0A6F">
      <w:pPr>
        <w:pStyle w:val="ListParagraph"/>
        <w:spacing w:line="360" w:lineRule="auto"/>
        <w:ind w:left="360"/>
        <w:rPr>
          <w:rFonts w:ascii="Arial" w:hAnsi="Arial" w:cs="Arial"/>
        </w:rPr>
      </w:pPr>
      <w:r>
        <w:rPr>
          <w:rFonts w:ascii="Arial" w:hAnsi="Arial" w:cs="Arial"/>
        </w:rPr>
        <w:t xml:space="preserve"> </w:t>
      </w:r>
    </w:p>
    <w:p w:rsidR="00C86150" w:rsidRDefault="008665E7" w:rsidP="003344BD">
      <w:pPr>
        <w:pStyle w:val="ListParagraph"/>
        <w:numPr>
          <w:ilvl w:val="0"/>
          <w:numId w:val="3"/>
        </w:numPr>
        <w:spacing w:line="360" w:lineRule="auto"/>
        <w:rPr>
          <w:rFonts w:ascii="Arial" w:hAnsi="Arial" w:cs="Arial"/>
        </w:rPr>
      </w:pPr>
      <w:r>
        <w:rPr>
          <w:rFonts w:ascii="Arial" w:hAnsi="Arial" w:cs="Arial"/>
        </w:rPr>
        <w:t xml:space="preserve">In </w:t>
      </w:r>
      <w:r w:rsidR="008264BF">
        <w:rPr>
          <w:rFonts w:ascii="Arial" w:hAnsi="Arial" w:cs="Arial"/>
        </w:rPr>
        <w:t>terms</w:t>
      </w:r>
      <w:r>
        <w:rPr>
          <w:rFonts w:ascii="Arial" w:hAnsi="Arial" w:cs="Arial"/>
        </w:rPr>
        <w:t xml:space="preserve"> of the list </w:t>
      </w:r>
      <w:r w:rsidR="008264BF">
        <w:rPr>
          <w:rFonts w:ascii="Arial" w:hAnsi="Arial" w:cs="Arial"/>
        </w:rPr>
        <w:t>finally</w:t>
      </w:r>
      <w:r>
        <w:rPr>
          <w:rFonts w:ascii="Arial" w:hAnsi="Arial" w:cs="Arial"/>
        </w:rPr>
        <w:t xml:space="preserve"> supplied (annexure “AA1” to the </w:t>
      </w:r>
      <w:r w:rsidRPr="005B5C8B">
        <w:rPr>
          <w:rFonts w:ascii="Arial" w:hAnsi="Arial" w:cs="Arial"/>
        </w:rPr>
        <w:t>combined</w:t>
      </w:r>
      <w:r>
        <w:rPr>
          <w:rFonts w:ascii="Arial" w:hAnsi="Arial" w:cs="Arial"/>
        </w:rPr>
        <w:t xml:space="preserve"> answering affidavit</w:t>
      </w:r>
      <w:r w:rsidR="00417950">
        <w:rPr>
          <w:rStyle w:val="FootnoteReference"/>
          <w:rFonts w:ascii="Arial" w:hAnsi="Arial" w:cs="Arial"/>
        </w:rPr>
        <w:footnoteReference w:id="9"/>
      </w:r>
      <w:r>
        <w:rPr>
          <w:rFonts w:ascii="Arial" w:hAnsi="Arial" w:cs="Arial"/>
        </w:rPr>
        <w:t>)</w:t>
      </w:r>
      <w:r w:rsidR="002B4782">
        <w:rPr>
          <w:rFonts w:ascii="Arial" w:hAnsi="Arial" w:cs="Arial"/>
        </w:rPr>
        <w:t>,</w:t>
      </w:r>
      <w:r>
        <w:rPr>
          <w:rFonts w:ascii="Arial" w:hAnsi="Arial" w:cs="Arial"/>
        </w:rPr>
        <w:t xml:space="preserve"> the </w:t>
      </w:r>
      <w:r w:rsidR="008264BF">
        <w:rPr>
          <w:rFonts w:ascii="Arial" w:hAnsi="Arial" w:cs="Arial"/>
        </w:rPr>
        <w:t>first</w:t>
      </w:r>
      <w:r>
        <w:rPr>
          <w:rFonts w:ascii="Arial" w:hAnsi="Arial" w:cs="Arial"/>
        </w:rPr>
        <w:t xml:space="preserve"> </w:t>
      </w:r>
      <w:r w:rsidR="008264BF">
        <w:rPr>
          <w:rFonts w:ascii="Arial" w:hAnsi="Arial" w:cs="Arial"/>
        </w:rPr>
        <w:t>respondent</w:t>
      </w:r>
      <w:r>
        <w:rPr>
          <w:rFonts w:ascii="Arial" w:hAnsi="Arial" w:cs="Arial"/>
        </w:rPr>
        <w:t xml:space="preserve"> group compris</w:t>
      </w:r>
      <w:r w:rsidR="008F215C">
        <w:rPr>
          <w:rFonts w:ascii="Arial" w:hAnsi="Arial" w:cs="Arial"/>
        </w:rPr>
        <w:t>es 880 households of</w:t>
      </w:r>
      <w:r w:rsidR="005B5C8B">
        <w:rPr>
          <w:rFonts w:ascii="Arial" w:hAnsi="Arial" w:cs="Arial"/>
        </w:rPr>
        <w:t xml:space="preserve"> over</w:t>
      </w:r>
      <w:r w:rsidR="008F215C">
        <w:rPr>
          <w:rFonts w:ascii="Arial" w:hAnsi="Arial" w:cs="Arial"/>
        </w:rPr>
        <w:t xml:space="preserve"> 1 500</w:t>
      </w:r>
      <w:r>
        <w:rPr>
          <w:rFonts w:ascii="Arial" w:hAnsi="Arial" w:cs="Arial"/>
        </w:rPr>
        <w:t xml:space="preserve"> individuals</w:t>
      </w:r>
      <w:r w:rsidR="00C86150">
        <w:rPr>
          <w:rFonts w:ascii="Arial" w:hAnsi="Arial" w:cs="Arial"/>
        </w:rPr>
        <w:t>.</w:t>
      </w:r>
    </w:p>
    <w:p w:rsidR="007E33D1" w:rsidRDefault="008665E7" w:rsidP="00C86150">
      <w:pPr>
        <w:pStyle w:val="ListParagraph"/>
        <w:spacing w:line="360" w:lineRule="auto"/>
        <w:ind w:left="360"/>
        <w:rPr>
          <w:rFonts w:ascii="Arial" w:hAnsi="Arial" w:cs="Arial"/>
        </w:rPr>
      </w:pPr>
      <w:r>
        <w:rPr>
          <w:rFonts w:ascii="Arial" w:hAnsi="Arial" w:cs="Arial"/>
        </w:rPr>
        <w:t xml:space="preserve"> </w:t>
      </w:r>
      <w:r w:rsidR="003344BD">
        <w:rPr>
          <w:rFonts w:ascii="Arial" w:hAnsi="Arial" w:cs="Arial"/>
        </w:rPr>
        <w:t xml:space="preserve"> </w:t>
      </w:r>
    </w:p>
    <w:p w:rsidR="00C86150" w:rsidRDefault="00C86150" w:rsidP="003344BD">
      <w:pPr>
        <w:pStyle w:val="ListParagraph"/>
        <w:numPr>
          <w:ilvl w:val="0"/>
          <w:numId w:val="3"/>
        </w:numPr>
        <w:spacing w:line="360" w:lineRule="auto"/>
        <w:rPr>
          <w:rFonts w:ascii="Arial" w:hAnsi="Arial" w:cs="Arial"/>
        </w:rPr>
      </w:pPr>
      <w:r>
        <w:rPr>
          <w:rFonts w:ascii="Arial" w:hAnsi="Arial" w:cs="Arial"/>
        </w:rPr>
        <w:t>Three issues arise for consideration in</w:t>
      </w:r>
      <w:r w:rsidR="001E1F2A">
        <w:rPr>
          <w:rFonts w:ascii="Arial" w:hAnsi="Arial" w:cs="Arial"/>
        </w:rPr>
        <w:t xml:space="preserve"> </w:t>
      </w:r>
      <w:r>
        <w:rPr>
          <w:rFonts w:ascii="Arial" w:hAnsi="Arial" w:cs="Arial"/>
        </w:rPr>
        <w:t xml:space="preserve">respect of the application against the first </w:t>
      </w:r>
      <w:r w:rsidR="00C06312">
        <w:rPr>
          <w:rFonts w:ascii="Arial" w:hAnsi="Arial" w:cs="Arial"/>
        </w:rPr>
        <w:t>respondent</w:t>
      </w:r>
      <w:r>
        <w:rPr>
          <w:rFonts w:ascii="Arial" w:hAnsi="Arial" w:cs="Arial"/>
        </w:rPr>
        <w:t xml:space="preserve"> group and </w:t>
      </w:r>
      <w:r w:rsidR="00C06312">
        <w:rPr>
          <w:rFonts w:ascii="Arial" w:hAnsi="Arial" w:cs="Arial"/>
        </w:rPr>
        <w:t>their</w:t>
      </w:r>
      <w:r>
        <w:rPr>
          <w:rFonts w:ascii="Arial" w:hAnsi="Arial" w:cs="Arial"/>
        </w:rPr>
        <w:t xml:space="preserve"> </w:t>
      </w:r>
      <w:r w:rsidR="002B4782">
        <w:rPr>
          <w:rFonts w:ascii="Arial" w:hAnsi="Arial" w:cs="Arial"/>
        </w:rPr>
        <w:t xml:space="preserve">own </w:t>
      </w:r>
      <w:r>
        <w:rPr>
          <w:rFonts w:ascii="Arial" w:hAnsi="Arial" w:cs="Arial"/>
        </w:rPr>
        <w:t>counter-</w:t>
      </w:r>
      <w:r w:rsidR="00C06312">
        <w:rPr>
          <w:rFonts w:ascii="Arial" w:hAnsi="Arial" w:cs="Arial"/>
        </w:rPr>
        <w:t>application</w:t>
      </w:r>
      <w:r>
        <w:rPr>
          <w:rFonts w:ascii="Arial" w:hAnsi="Arial" w:cs="Arial"/>
        </w:rPr>
        <w:t>:</w:t>
      </w:r>
    </w:p>
    <w:p w:rsidR="00C86150" w:rsidRDefault="00C86150" w:rsidP="00C86150">
      <w:pPr>
        <w:pStyle w:val="ListParagraph"/>
        <w:spacing w:line="360" w:lineRule="auto"/>
        <w:ind w:left="360"/>
        <w:rPr>
          <w:rFonts w:ascii="Arial" w:hAnsi="Arial" w:cs="Arial"/>
        </w:rPr>
      </w:pPr>
    </w:p>
    <w:p w:rsidR="00C86150" w:rsidRPr="00067143" w:rsidRDefault="008C4115" w:rsidP="00C86150">
      <w:pPr>
        <w:pStyle w:val="ListParagraph"/>
        <w:numPr>
          <w:ilvl w:val="1"/>
          <w:numId w:val="3"/>
        </w:numPr>
        <w:spacing w:line="360" w:lineRule="auto"/>
        <w:rPr>
          <w:rFonts w:ascii="Arial" w:hAnsi="Arial" w:cs="Arial"/>
        </w:rPr>
      </w:pPr>
      <w:r>
        <w:rPr>
          <w:rFonts w:ascii="Arial" w:hAnsi="Arial" w:cs="Arial"/>
        </w:rPr>
        <w:t>Whether, a</w:t>
      </w:r>
      <w:r w:rsidR="000774C7">
        <w:rPr>
          <w:rFonts w:ascii="Arial" w:hAnsi="Arial" w:cs="Arial"/>
        </w:rPr>
        <w:t xml:space="preserve">t the time </w:t>
      </w:r>
      <w:r w:rsidR="000774C7" w:rsidRPr="00067143">
        <w:rPr>
          <w:rFonts w:ascii="Arial" w:hAnsi="Arial" w:cs="Arial"/>
        </w:rPr>
        <w:t>when they were allegedly removed by the Metro</w:t>
      </w:r>
      <w:r>
        <w:rPr>
          <w:rFonts w:ascii="Arial" w:hAnsi="Arial" w:cs="Arial"/>
        </w:rPr>
        <w:t>, the</w:t>
      </w:r>
      <w:r w:rsidR="00D857D9">
        <w:rPr>
          <w:rFonts w:ascii="Arial" w:hAnsi="Arial" w:cs="Arial"/>
        </w:rPr>
        <w:t xml:space="preserve"> first respondent members </w:t>
      </w:r>
      <w:r>
        <w:rPr>
          <w:rFonts w:ascii="Arial" w:hAnsi="Arial" w:cs="Arial"/>
        </w:rPr>
        <w:t xml:space="preserve">were </w:t>
      </w:r>
      <w:r w:rsidR="00977E9C" w:rsidRPr="00067143">
        <w:rPr>
          <w:rFonts w:ascii="Arial" w:hAnsi="Arial" w:cs="Arial"/>
        </w:rPr>
        <w:t xml:space="preserve">already </w:t>
      </w:r>
      <w:r w:rsidR="009A5346" w:rsidRPr="00067143">
        <w:rPr>
          <w:rFonts w:ascii="Arial" w:hAnsi="Arial" w:cs="Arial"/>
        </w:rPr>
        <w:t>in</w:t>
      </w:r>
      <w:r w:rsidR="00D857D9">
        <w:rPr>
          <w:rFonts w:ascii="Arial" w:hAnsi="Arial" w:cs="Arial"/>
        </w:rPr>
        <w:t xml:space="preserve"> occupation on</w:t>
      </w:r>
      <w:r w:rsidR="00977E9C" w:rsidRPr="00067143">
        <w:rPr>
          <w:rFonts w:ascii="Arial" w:hAnsi="Arial" w:cs="Arial"/>
        </w:rPr>
        <w:t xml:space="preserve"> </w:t>
      </w:r>
      <w:r w:rsidR="009A5346" w:rsidRPr="00067143">
        <w:rPr>
          <w:rFonts w:ascii="Arial" w:hAnsi="Arial" w:cs="Arial"/>
        </w:rPr>
        <w:t xml:space="preserve">the development so as to qualify for protection under </w:t>
      </w:r>
      <w:r w:rsidR="001E1F2A" w:rsidRPr="00067143">
        <w:rPr>
          <w:rFonts w:ascii="Arial" w:hAnsi="Arial" w:cs="Arial"/>
        </w:rPr>
        <w:t xml:space="preserve">the Prevention of Illegal Eviction from and Unlawful </w:t>
      </w:r>
      <w:r w:rsidR="00C06312" w:rsidRPr="00067143">
        <w:rPr>
          <w:rFonts w:ascii="Arial" w:hAnsi="Arial" w:cs="Arial"/>
        </w:rPr>
        <w:t>Occupation of</w:t>
      </w:r>
      <w:r w:rsidR="001E1F2A" w:rsidRPr="00067143">
        <w:rPr>
          <w:rFonts w:ascii="Arial" w:hAnsi="Arial" w:cs="Arial"/>
        </w:rPr>
        <w:t xml:space="preserve"> Land Act 19 of 1998 (“</w:t>
      </w:r>
      <w:r w:rsidR="001E1F2A" w:rsidRPr="00067143">
        <w:rPr>
          <w:rFonts w:ascii="Arial" w:hAnsi="Arial" w:cs="Arial"/>
          <w:i/>
        </w:rPr>
        <w:t>PIE</w:t>
      </w:r>
      <w:r w:rsidR="001E1F2A" w:rsidRPr="00067143">
        <w:rPr>
          <w:rFonts w:ascii="Arial" w:hAnsi="Arial" w:cs="Arial"/>
        </w:rPr>
        <w:t>”)</w:t>
      </w:r>
      <w:r w:rsidR="001414DF" w:rsidRPr="00067143">
        <w:rPr>
          <w:rFonts w:ascii="Arial" w:hAnsi="Arial" w:cs="Arial"/>
        </w:rPr>
        <w:t xml:space="preserve">. This issue would </w:t>
      </w:r>
      <w:r w:rsidR="00DA411B" w:rsidRPr="00067143">
        <w:rPr>
          <w:rFonts w:ascii="Arial" w:hAnsi="Arial" w:cs="Arial"/>
        </w:rPr>
        <w:lastRenderedPageBreak/>
        <w:t>also include</w:t>
      </w:r>
      <w:r w:rsidR="001414DF" w:rsidRPr="00067143">
        <w:rPr>
          <w:rFonts w:ascii="Arial" w:hAnsi="Arial" w:cs="Arial"/>
        </w:rPr>
        <w:t xml:space="preserve"> </w:t>
      </w:r>
      <w:r w:rsidR="00977E9C" w:rsidRPr="00067143">
        <w:rPr>
          <w:rFonts w:ascii="Arial" w:hAnsi="Arial" w:cs="Arial"/>
        </w:rPr>
        <w:t xml:space="preserve">a consideration of </w:t>
      </w:r>
      <w:r w:rsidR="001414DF" w:rsidRPr="00067143">
        <w:rPr>
          <w:rFonts w:ascii="Arial" w:hAnsi="Arial" w:cs="Arial"/>
        </w:rPr>
        <w:t>the purpose of the occupation.</w:t>
      </w:r>
    </w:p>
    <w:p w:rsidR="009A5346" w:rsidRPr="00067143" w:rsidRDefault="009A5346" w:rsidP="009A5346">
      <w:pPr>
        <w:pStyle w:val="ListParagraph"/>
        <w:spacing w:line="360" w:lineRule="auto"/>
        <w:ind w:left="1080"/>
        <w:rPr>
          <w:rFonts w:ascii="Arial" w:hAnsi="Arial" w:cs="Arial"/>
        </w:rPr>
      </w:pPr>
    </w:p>
    <w:p w:rsidR="009A5346" w:rsidRPr="00067143" w:rsidRDefault="00977E9C" w:rsidP="00C86150">
      <w:pPr>
        <w:pStyle w:val="ListParagraph"/>
        <w:numPr>
          <w:ilvl w:val="1"/>
          <w:numId w:val="3"/>
        </w:numPr>
        <w:spacing w:line="360" w:lineRule="auto"/>
        <w:rPr>
          <w:rFonts w:ascii="Arial" w:hAnsi="Arial" w:cs="Arial"/>
        </w:rPr>
      </w:pPr>
      <w:r w:rsidRPr="00067143">
        <w:rPr>
          <w:rFonts w:ascii="Arial" w:hAnsi="Arial" w:cs="Arial"/>
        </w:rPr>
        <w:t>W</w:t>
      </w:r>
      <w:r w:rsidR="009A5346" w:rsidRPr="00067143">
        <w:rPr>
          <w:rFonts w:ascii="Arial" w:hAnsi="Arial" w:cs="Arial"/>
        </w:rPr>
        <w:t xml:space="preserve">hether the </w:t>
      </w:r>
      <w:r w:rsidR="00A033F1" w:rsidRPr="00067143">
        <w:rPr>
          <w:rFonts w:ascii="Arial" w:hAnsi="Arial" w:cs="Arial"/>
        </w:rPr>
        <w:t xml:space="preserve">group was in </w:t>
      </w:r>
      <w:r w:rsidR="00D857D9">
        <w:rPr>
          <w:rFonts w:ascii="Arial" w:hAnsi="Arial" w:cs="Arial"/>
        </w:rPr>
        <w:t xml:space="preserve">peaceful and undisturbed </w:t>
      </w:r>
      <w:r w:rsidR="00A033F1" w:rsidRPr="00067143">
        <w:rPr>
          <w:rFonts w:ascii="Arial" w:hAnsi="Arial" w:cs="Arial"/>
        </w:rPr>
        <w:t xml:space="preserve">possession of land on the development and whether the </w:t>
      </w:r>
      <w:r w:rsidR="009A5346" w:rsidRPr="00067143">
        <w:rPr>
          <w:rFonts w:ascii="Arial" w:hAnsi="Arial" w:cs="Arial"/>
        </w:rPr>
        <w:t>Metro was entitled to rely on counter-spoliation to remove them;</w:t>
      </w:r>
    </w:p>
    <w:p w:rsidR="009A5346" w:rsidRPr="00067143" w:rsidRDefault="009A5346" w:rsidP="009A5346">
      <w:pPr>
        <w:pStyle w:val="ListParagraph"/>
        <w:rPr>
          <w:rFonts w:ascii="Arial" w:hAnsi="Arial" w:cs="Arial"/>
        </w:rPr>
      </w:pPr>
    </w:p>
    <w:p w:rsidR="008C4115" w:rsidRPr="00250AC1" w:rsidRDefault="00A033F1" w:rsidP="008C4115">
      <w:pPr>
        <w:pStyle w:val="ListParagraph"/>
        <w:numPr>
          <w:ilvl w:val="1"/>
          <w:numId w:val="3"/>
        </w:numPr>
        <w:spacing w:line="360" w:lineRule="auto"/>
        <w:rPr>
          <w:rFonts w:ascii="Arial" w:hAnsi="Arial" w:cs="Arial"/>
        </w:rPr>
      </w:pPr>
      <w:r w:rsidRPr="00067143">
        <w:rPr>
          <w:rFonts w:ascii="Arial" w:hAnsi="Arial" w:cs="Arial"/>
        </w:rPr>
        <w:t>W</w:t>
      </w:r>
      <w:r w:rsidR="005B0A6F" w:rsidRPr="00067143">
        <w:rPr>
          <w:rFonts w:ascii="Arial" w:hAnsi="Arial" w:cs="Arial"/>
        </w:rPr>
        <w:t>hat possessions</w:t>
      </w:r>
      <w:r w:rsidR="00067143">
        <w:rPr>
          <w:rFonts w:ascii="Arial" w:hAnsi="Arial" w:cs="Arial"/>
        </w:rPr>
        <w:t>, i</w:t>
      </w:r>
      <w:r w:rsidRPr="00067143">
        <w:rPr>
          <w:rFonts w:ascii="Arial" w:hAnsi="Arial" w:cs="Arial"/>
        </w:rPr>
        <w:t xml:space="preserve">f any, owned by </w:t>
      </w:r>
      <w:r w:rsidR="00DA411B" w:rsidRPr="00067143">
        <w:rPr>
          <w:rFonts w:ascii="Arial" w:hAnsi="Arial" w:cs="Arial"/>
        </w:rPr>
        <w:t>individual members</w:t>
      </w:r>
      <w:r w:rsidRPr="00067143">
        <w:rPr>
          <w:rFonts w:ascii="Arial" w:hAnsi="Arial" w:cs="Arial"/>
        </w:rPr>
        <w:t xml:space="preserve"> of the group</w:t>
      </w:r>
      <w:r w:rsidR="00067143">
        <w:rPr>
          <w:rFonts w:ascii="Arial" w:hAnsi="Arial" w:cs="Arial"/>
        </w:rPr>
        <w:t xml:space="preserve"> were taken by the Metro? </w:t>
      </w:r>
      <w:r w:rsidR="00794390">
        <w:rPr>
          <w:rFonts w:ascii="Arial" w:hAnsi="Arial" w:cs="Arial"/>
        </w:rPr>
        <w:t xml:space="preserve"> </w:t>
      </w:r>
    </w:p>
    <w:p w:rsidR="005B0A6F" w:rsidRPr="005B0A6F" w:rsidRDefault="005B0A6F" w:rsidP="005B0A6F">
      <w:pPr>
        <w:pStyle w:val="ListParagraph"/>
        <w:rPr>
          <w:rFonts w:ascii="Arial" w:hAnsi="Arial" w:cs="Arial"/>
        </w:rPr>
      </w:pPr>
    </w:p>
    <w:p w:rsidR="00A033F1" w:rsidRDefault="00A033F1" w:rsidP="007E33D1">
      <w:pPr>
        <w:spacing w:line="360" w:lineRule="auto"/>
        <w:rPr>
          <w:rFonts w:ascii="Arial" w:hAnsi="Arial" w:cs="Arial"/>
          <w:b/>
        </w:rPr>
      </w:pPr>
    </w:p>
    <w:p w:rsidR="007E33D1" w:rsidRDefault="002B4782" w:rsidP="007E33D1">
      <w:pPr>
        <w:spacing w:line="360" w:lineRule="auto"/>
        <w:rPr>
          <w:rFonts w:ascii="Arial" w:hAnsi="Arial" w:cs="Arial"/>
          <w:b/>
        </w:rPr>
      </w:pPr>
      <w:r w:rsidRPr="007E33D1">
        <w:rPr>
          <w:rFonts w:ascii="Arial" w:hAnsi="Arial" w:cs="Arial"/>
          <w:b/>
        </w:rPr>
        <w:t>THE SECOND INCIDENT</w:t>
      </w:r>
      <w:r>
        <w:rPr>
          <w:rFonts w:ascii="Arial" w:hAnsi="Arial" w:cs="Arial"/>
          <w:b/>
        </w:rPr>
        <w:t xml:space="preserve"> </w:t>
      </w:r>
      <w:r w:rsidR="003344BD">
        <w:rPr>
          <w:rFonts w:ascii="Arial" w:hAnsi="Arial" w:cs="Arial"/>
          <w:b/>
        </w:rPr>
        <w:t>(</w:t>
      </w:r>
      <w:r w:rsidR="0043454C">
        <w:rPr>
          <w:rFonts w:ascii="Arial" w:hAnsi="Arial" w:cs="Arial"/>
          <w:b/>
        </w:rPr>
        <w:t xml:space="preserve">which concerns </w:t>
      </w:r>
      <w:r w:rsidR="008264BF">
        <w:rPr>
          <w:rFonts w:ascii="Arial" w:hAnsi="Arial" w:cs="Arial"/>
          <w:b/>
        </w:rPr>
        <w:t>the eighth res</w:t>
      </w:r>
      <w:r w:rsidR="008665E7">
        <w:rPr>
          <w:rFonts w:ascii="Arial" w:hAnsi="Arial" w:cs="Arial"/>
          <w:b/>
        </w:rPr>
        <w:t>pon</w:t>
      </w:r>
      <w:r w:rsidR="008264BF">
        <w:rPr>
          <w:rFonts w:ascii="Arial" w:hAnsi="Arial" w:cs="Arial"/>
          <w:b/>
        </w:rPr>
        <w:t>dent</w:t>
      </w:r>
      <w:r w:rsidR="000774C7">
        <w:rPr>
          <w:rFonts w:ascii="Arial" w:hAnsi="Arial" w:cs="Arial"/>
          <w:b/>
        </w:rPr>
        <w:t xml:space="preserve"> group</w:t>
      </w:r>
      <w:r w:rsidR="008665E7">
        <w:rPr>
          <w:rFonts w:ascii="Arial" w:hAnsi="Arial" w:cs="Arial"/>
          <w:b/>
        </w:rPr>
        <w:t xml:space="preserve">) </w:t>
      </w:r>
      <w:r w:rsidR="003344BD">
        <w:rPr>
          <w:rFonts w:ascii="Arial" w:hAnsi="Arial" w:cs="Arial"/>
          <w:b/>
        </w:rPr>
        <w:t xml:space="preserve"> </w:t>
      </w:r>
    </w:p>
    <w:p w:rsidR="007E33D1" w:rsidRPr="007E33D1" w:rsidRDefault="007E33D1" w:rsidP="007E33D1">
      <w:pPr>
        <w:spacing w:line="360" w:lineRule="auto"/>
        <w:rPr>
          <w:rFonts w:ascii="Arial" w:hAnsi="Arial" w:cs="Arial"/>
          <w:b/>
        </w:rPr>
      </w:pPr>
    </w:p>
    <w:p w:rsidR="00772652" w:rsidRDefault="003344BD" w:rsidP="007E33D1">
      <w:pPr>
        <w:pStyle w:val="ListParagraph"/>
        <w:numPr>
          <w:ilvl w:val="0"/>
          <w:numId w:val="3"/>
        </w:numPr>
        <w:spacing w:line="360" w:lineRule="auto"/>
        <w:rPr>
          <w:rFonts w:ascii="Arial" w:hAnsi="Arial" w:cs="Arial"/>
        </w:rPr>
      </w:pPr>
      <w:r>
        <w:rPr>
          <w:rFonts w:ascii="Arial" w:hAnsi="Arial" w:cs="Arial"/>
        </w:rPr>
        <w:t xml:space="preserve">While the procedural steps in respect of the urgent application involving the first </w:t>
      </w:r>
      <w:r w:rsidR="008264BF">
        <w:rPr>
          <w:rFonts w:ascii="Arial" w:hAnsi="Arial" w:cs="Arial"/>
        </w:rPr>
        <w:t>respondent</w:t>
      </w:r>
      <w:r>
        <w:rPr>
          <w:rFonts w:ascii="Arial" w:hAnsi="Arial" w:cs="Arial"/>
        </w:rPr>
        <w:t xml:space="preserve"> were still ongoing, i</w:t>
      </w:r>
      <w:r w:rsidR="007E33D1">
        <w:rPr>
          <w:rFonts w:ascii="Arial" w:hAnsi="Arial" w:cs="Arial"/>
        </w:rPr>
        <w:t>n</w:t>
      </w:r>
      <w:r w:rsidR="005B5C8B">
        <w:rPr>
          <w:rFonts w:ascii="Arial" w:hAnsi="Arial" w:cs="Arial"/>
        </w:rPr>
        <w:t xml:space="preserve"> May</w:t>
      </w:r>
      <w:r w:rsidR="007E33D1">
        <w:rPr>
          <w:rFonts w:ascii="Arial" w:hAnsi="Arial" w:cs="Arial"/>
        </w:rPr>
        <w:t xml:space="preserve"> 2021 the Metro </w:t>
      </w:r>
      <w:r>
        <w:rPr>
          <w:rFonts w:ascii="Arial" w:hAnsi="Arial" w:cs="Arial"/>
        </w:rPr>
        <w:t xml:space="preserve">brought another urgent </w:t>
      </w:r>
      <w:r w:rsidRPr="0043454C">
        <w:rPr>
          <w:rFonts w:ascii="Arial" w:hAnsi="Arial" w:cs="Arial"/>
          <w:i/>
        </w:rPr>
        <w:t>ex parte</w:t>
      </w:r>
      <w:r>
        <w:rPr>
          <w:rFonts w:ascii="Arial" w:hAnsi="Arial" w:cs="Arial"/>
        </w:rPr>
        <w:t xml:space="preserve"> application to join other people who it claimed were </w:t>
      </w:r>
      <w:r w:rsidR="00772652">
        <w:rPr>
          <w:rFonts w:ascii="Arial" w:hAnsi="Arial" w:cs="Arial"/>
        </w:rPr>
        <w:t xml:space="preserve">at that moment in the process of trying </w:t>
      </w:r>
      <w:r>
        <w:rPr>
          <w:rFonts w:ascii="Arial" w:hAnsi="Arial" w:cs="Arial"/>
        </w:rPr>
        <w:t xml:space="preserve">to invade the development. </w:t>
      </w:r>
    </w:p>
    <w:p w:rsidR="00772652" w:rsidRDefault="00772652" w:rsidP="00772652">
      <w:pPr>
        <w:pStyle w:val="ListParagraph"/>
        <w:spacing w:line="360" w:lineRule="auto"/>
        <w:ind w:left="360"/>
        <w:rPr>
          <w:rFonts w:ascii="Arial" w:hAnsi="Arial" w:cs="Arial"/>
        </w:rPr>
      </w:pPr>
    </w:p>
    <w:p w:rsidR="003344BD" w:rsidRDefault="003344BD" w:rsidP="00772652">
      <w:pPr>
        <w:pStyle w:val="ListParagraph"/>
        <w:spacing w:line="360" w:lineRule="auto"/>
        <w:ind w:left="360"/>
        <w:rPr>
          <w:rFonts w:ascii="Arial" w:hAnsi="Arial" w:cs="Arial"/>
        </w:rPr>
      </w:pPr>
      <w:r>
        <w:rPr>
          <w:rFonts w:ascii="Arial" w:hAnsi="Arial" w:cs="Arial"/>
        </w:rPr>
        <w:t xml:space="preserve">The Metro </w:t>
      </w:r>
      <w:r w:rsidR="008264BF">
        <w:rPr>
          <w:rFonts w:ascii="Arial" w:hAnsi="Arial" w:cs="Arial"/>
        </w:rPr>
        <w:t>identified</w:t>
      </w:r>
      <w:r>
        <w:rPr>
          <w:rFonts w:ascii="Arial" w:hAnsi="Arial" w:cs="Arial"/>
        </w:rPr>
        <w:t xml:space="preserve"> thi</w:t>
      </w:r>
      <w:r w:rsidR="008665E7">
        <w:rPr>
          <w:rFonts w:ascii="Arial" w:hAnsi="Arial" w:cs="Arial"/>
        </w:rPr>
        <w:t>s</w:t>
      </w:r>
      <w:r>
        <w:rPr>
          <w:rFonts w:ascii="Arial" w:hAnsi="Arial" w:cs="Arial"/>
        </w:rPr>
        <w:t xml:space="preserve"> group as “</w:t>
      </w:r>
      <w:r w:rsidRPr="0043454C">
        <w:rPr>
          <w:rFonts w:ascii="Arial" w:hAnsi="Arial" w:cs="Arial"/>
          <w:i/>
        </w:rPr>
        <w:t xml:space="preserve">further </w:t>
      </w:r>
      <w:r w:rsidR="008264BF" w:rsidRPr="0043454C">
        <w:rPr>
          <w:rFonts w:ascii="Arial" w:hAnsi="Arial" w:cs="Arial"/>
          <w:i/>
        </w:rPr>
        <w:t>Respondents</w:t>
      </w:r>
      <w:r>
        <w:rPr>
          <w:rFonts w:ascii="Arial" w:hAnsi="Arial" w:cs="Arial"/>
        </w:rPr>
        <w:t>”. T</w:t>
      </w:r>
      <w:r w:rsidR="008665E7">
        <w:rPr>
          <w:rFonts w:ascii="Arial" w:hAnsi="Arial" w:cs="Arial"/>
        </w:rPr>
        <w:t>hey were jo</w:t>
      </w:r>
      <w:r>
        <w:rPr>
          <w:rFonts w:ascii="Arial" w:hAnsi="Arial" w:cs="Arial"/>
        </w:rPr>
        <w:t xml:space="preserve">ined as the eighth </w:t>
      </w:r>
      <w:r w:rsidR="008264BF">
        <w:rPr>
          <w:rFonts w:ascii="Arial" w:hAnsi="Arial" w:cs="Arial"/>
        </w:rPr>
        <w:t>respondent</w:t>
      </w:r>
      <w:r>
        <w:rPr>
          <w:rFonts w:ascii="Arial" w:hAnsi="Arial" w:cs="Arial"/>
        </w:rPr>
        <w:t xml:space="preserve">. </w:t>
      </w:r>
    </w:p>
    <w:p w:rsidR="003344BD" w:rsidRDefault="003344BD" w:rsidP="003344BD">
      <w:pPr>
        <w:pStyle w:val="ListParagraph"/>
        <w:spacing w:line="360" w:lineRule="auto"/>
        <w:ind w:left="360"/>
        <w:rPr>
          <w:rFonts w:ascii="Arial" w:hAnsi="Arial" w:cs="Arial"/>
        </w:rPr>
      </w:pPr>
    </w:p>
    <w:p w:rsidR="000774C7" w:rsidRPr="000774C7" w:rsidRDefault="002B4782" w:rsidP="00AF22DC">
      <w:pPr>
        <w:pStyle w:val="ListParagraph"/>
        <w:numPr>
          <w:ilvl w:val="0"/>
          <w:numId w:val="3"/>
        </w:numPr>
        <w:spacing w:line="360" w:lineRule="auto"/>
        <w:rPr>
          <w:rFonts w:ascii="Arial" w:hAnsi="Arial" w:cs="Arial"/>
        </w:rPr>
      </w:pPr>
      <w:r>
        <w:rPr>
          <w:rFonts w:ascii="Arial" w:hAnsi="Arial" w:cs="Arial"/>
        </w:rPr>
        <w:t>M</w:t>
      </w:r>
      <w:r w:rsidR="008264BF" w:rsidRPr="008665E7">
        <w:rPr>
          <w:rFonts w:ascii="Arial" w:hAnsi="Arial" w:cs="Arial"/>
        </w:rPr>
        <w:t>embers</w:t>
      </w:r>
      <w:r w:rsidR="007E33D1" w:rsidRPr="008665E7">
        <w:rPr>
          <w:rFonts w:ascii="Arial" w:hAnsi="Arial" w:cs="Arial"/>
        </w:rPr>
        <w:t xml:space="preserve"> of this group </w:t>
      </w:r>
      <w:r w:rsidR="008665E7">
        <w:rPr>
          <w:rFonts w:ascii="Arial" w:hAnsi="Arial" w:cs="Arial"/>
        </w:rPr>
        <w:t>do n</w:t>
      </w:r>
      <w:r w:rsidR="00772652">
        <w:rPr>
          <w:rFonts w:ascii="Arial" w:hAnsi="Arial" w:cs="Arial"/>
        </w:rPr>
        <w:t>ot identify themselves with th</w:t>
      </w:r>
      <w:r w:rsidR="008665E7">
        <w:rPr>
          <w:rFonts w:ascii="Arial" w:hAnsi="Arial" w:cs="Arial"/>
        </w:rPr>
        <w:t>e</w:t>
      </w:r>
      <w:r>
        <w:rPr>
          <w:rFonts w:ascii="Arial" w:hAnsi="Arial" w:cs="Arial"/>
        </w:rPr>
        <w:t xml:space="preserve"> residents living in </w:t>
      </w:r>
      <w:r w:rsidR="00EE2C3B">
        <w:rPr>
          <w:rFonts w:ascii="Arial" w:hAnsi="Arial" w:cs="Arial"/>
        </w:rPr>
        <w:t>the greater</w:t>
      </w:r>
      <w:r w:rsidR="008F215C">
        <w:rPr>
          <w:rFonts w:ascii="Arial" w:hAnsi="Arial" w:cs="Arial"/>
        </w:rPr>
        <w:t xml:space="preserve"> </w:t>
      </w:r>
      <w:r w:rsidR="004742A0">
        <w:rPr>
          <w:rFonts w:ascii="Arial" w:hAnsi="Arial" w:cs="Arial"/>
        </w:rPr>
        <w:t xml:space="preserve">Palm Ridge </w:t>
      </w:r>
      <w:r w:rsidR="00250AC1">
        <w:rPr>
          <w:rFonts w:ascii="Arial" w:hAnsi="Arial" w:cs="Arial"/>
        </w:rPr>
        <w:t xml:space="preserve">area </w:t>
      </w:r>
      <w:r w:rsidR="004742A0">
        <w:rPr>
          <w:rFonts w:ascii="Arial" w:hAnsi="Arial" w:cs="Arial"/>
        </w:rPr>
        <w:t xml:space="preserve">who </w:t>
      </w:r>
      <w:r w:rsidR="00EE2C3B">
        <w:rPr>
          <w:rFonts w:ascii="Arial" w:hAnsi="Arial" w:cs="Arial"/>
        </w:rPr>
        <w:t>claimed to</w:t>
      </w:r>
      <w:r w:rsidR="004742A0">
        <w:rPr>
          <w:rFonts w:ascii="Arial" w:hAnsi="Arial" w:cs="Arial"/>
        </w:rPr>
        <w:t xml:space="preserve"> have an </w:t>
      </w:r>
      <w:r w:rsidR="008665E7">
        <w:rPr>
          <w:rFonts w:ascii="Arial" w:hAnsi="Arial" w:cs="Arial"/>
        </w:rPr>
        <w:t>interest in the regular allocation of houses in the project</w:t>
      </w:r>
      <w:r w:rsidR="00AF22DC">
        <w:rPr>
          <w:rFonts w:ascii="Arial" w:hAnsi="Arial" w:cs="Arial"/>
        </w:rPr>
        <w:t xml:space="preserve"> (i.e. the first respondent group)</w:t>
      </w:r>
      <w:r w:rsidR="008665E7">
        <w:rPr>
          <w:rFonts w:ascii="Arial" w:hAnsi="Arial" w:cs="Arial"/>
        </w:rPr>
        <w:t xml:space="preserve">. </w:t>
      </w:r>
      <w:r w:rsidR="008665E7">
        <w:rPr>
          <w:rFonts w:ascii="Arial" w:hAnsi="Arial" w:cs="Arial"/>
          <w:b/>
        </w:rPr>
        <w:t xml:space="preserve"> </w:t>
      </w:r>
    </w:p>
    <w:p w:rsidR="000774C7" w:rsidRDefault="000774C7" w:rsidP="000774C7">
      <w:pPr>
        <w:pStyle w:val="ListParagraph"/>
        <w:spacing w:line="360" w:lineRule="auto"/>
        <w:ind w:left="360"/>
        <w:rPr>
          <w:rFonts w:ascii="Arial" w:hAnsi="Arial" w:cs="Arial"/>
          <w:b/>
        </w:rPr>
      </w:pPr>
    </w:p>
    <w:p w:rsidR="003662EF" w:rsidRPr="00A033F1" w:rsidRDefault="004742A0" w:rsidP="000774C7">
      <w:pPr>
        <w:pStyle w:val="ListParagraph"/>
        <w:spacing w:line="360" w:lineRule="auto"/>
        <w:ind w:left="360"/>
        <w:rPr>
          <w:rFonts w:ascii="Arial" w:hAnsi="Arial" w:cs="Arial"/>
        </w:rPr>
      </w:pPr>
      <w:r w:rsidRPr="00A033F1">
        <w:rPr>
          <w:rFonts w:ascii="Arial" w:hAnsi="Arial" w:cs="Arial"/>
        </w:rPr>
        <w:t xml:space="preserve">Save for </w:t>
      </w:r>
      <w:r w:rsidR="003662EF" w:rsidRPr="00A033F1">
        <w:rPr>
          <w:rFonts w:ascii="Arial" w:hAnsi="Arial" w:cs="Arial"/>
        </w:rPr>
        <w:t xml:space="preserve">seven </w:t>
      </w:r>
      <w:r w:rsidR="00C06312" w:rsidRPr="00A033F1">
        <w:rPr>
          <w:rFonts w:ascii="Arial" w:hAnsi="Arial" w:cs="Arial"/>
        </w:rPr>
        <w:t>individuals</w:t>
      </w:r>
      <w:r w:rsidR="003662EF" w:rsidRPr="00A033F1">
        <w:rPr>
          <w:rFonts w:ascii="Arial" w:hAnsi="Arial" w:cs="Arial"/>
        </w:rPr>
        <w:t xml:space="preserve">, none of </w:t>
      </w:r>
      <w:r w:rsidR="00C06312" w:rsidRPr="00A033F1">
        <w:rPr>
          <w:rFonts w:ascii="Arial" w:hAnsi="Arial" w:cs="Arial"/>
        </w:rPr>
        <w:t>the family</w:t>
      </w:r>
      <w:r w:rsidR="00A033F1">
        <w:rPr>
          <w:rFonts w:ascii="Arial" w:hAnsi="Arial" w:cs="Arial"/>
        </w:rPr>
        <w:t xml:space="preserve"> heads listed i</w:t>
      </w:r>
      <w:r w:rsidR="003662EF" w:rsidRPr="00A033F1">
        <w:rPr>
          <w:rFonts w:ascii="Arial" w:hAnsi="Arial" w:cs="Arial"/>
        </w:rPr>
        <w:t xml:space="preserve">n </w:t>
      </w:r>
      <w:r w:rsidR="00772652" w:rsidRPr="00A033F1">
        <w:rPr>
          <w:rFonts w:ascii="Arial" w:hAnsi="Arial" w:cs="Arial"/>
        </w:rPr>
        <w:t>the annexure</w:t>
      </w:r>
      <w:r w:rsidR="003662EF" w:rsidRPr="00A033F1">
        <w:rPr>
          <w:rFonts w:ascii="Arial" w:hAnsi="Arial" w:cs="Arial"/>
        </w:rPr>
        <w:t xml:space="preserve"> to </w:t>
      </w:r>
      <w:r w:rsidR="0043454C" w:rsidRPr="00A033F1">
        <w:rPr>
          <w:rFonts w:ascii="Arial" w:hAnsi="Arial" w:cs="Arial"/>
        </w:rPr>
        <w:t xml:space="preserve">the eighth </w:t>
      </w:r>
      <w:r w:rsidR="00C06312" w:rsidRPr="00A033F1">
        <w:rPr>
          <w:rFonts w:ascii="Arial" w:hAnsi="Arial" w:cs="Arial"/>
        </w:rPr>
        <w:t>respondent’s</w:t>
      </w:r>
      <w:r w:rsidR="0043454C" w:rsidRPr="00A033F1">
        <w:rPr>
          <w:rFonts w:ascii="Arial" w:hAnsi="Arial" w:cs="Arial"/>
        </w:rPr>
        <w:t xml:space="preserve"> </w:t>
      </w:r>
      <w:r w:rsidR="00772652" w:rsidRPr="00A033F1">
        <w:rPr>
          <w:rFonts w:ascii="Arial" w:hAnsi="Arial" w:cs="Arial"/>
        </w:rPr>
        <w:t xml:space="preserve">papers </w:t>
      </w:r>
      <w:r w:rsidR="0043454C" w:rsidRPr="00A033F1">
        <w:rPr>
          <w:rFonts w:ascii="Arial" w:hAnsi="Arial" w:cs="Arial"/>
        </w:rPr>
        <w:t xml:space="preserve">claim to </w:t>
      </w:r>
      <w:r w:rsidR="003662EF" w:rsidRPr="00A033F1">
        <w:rPr>
          <w:rFonts w:ascii="Arial" w:hAnsi="Arial" w:cs="Arial"/>
        </w:rPr>
        <w:t xml:space="preserve">have applied for RDP housing, subsidised </w:t>
      </w:r>
      <w:r w:rsidR="008264BF" w:rsidRPr="00A033F1">
        <w:rPr>
          <w:rFonts w:ascii="Arial" w:hAnsi="Arial" w:cs="Arial"/>
        </w:rPr>
        <w:t>housing or</w:t>
      </w:r>
      <w:r w:rsidR="003662EF" w:rsidRPr="00A033F1">
        <w:rPr>
          <w:rFonts w:ascii="Arial" w:hAnsi="Arial" w:cs="Arial"/>
        </w:rPr>
        <w:t xml:space="preserve"> to have put their name on any list for emergency housing.  </w:t>
      </w:r>
    </w:p>
    <w:p w:rsidR="003662EF" w:rsidRDefault="003662EF" w:rsidP="003662EF">
      <w:pPr>
        <w:pStyle w:val="ListParagraph"/>
        <w:spacing w:line="360" w:lineRule="auto"/>
        <w:ind w:left="360"/>
        <w:rPr>
          <w:rFonts w:ascii="Arial" w:hAnsi="Arial" w:cs="Arial"/>
        </w:rPr>
      </w:pPr>
    </w:p>
    <w:p w:rsidR="003662EF" w:rsidRDefault="003662EF" w:rsidP="003662EF">
      <w:pPr>
        <w:pStyle w:val="ListParagraph"/>
        <w:spacing w:line="360" w:lineRule="auto"/>
        <w:ind w:left="360"/>
        <w:rPr>
          <w:rFonts w:ascii="Arial" w:hAnsi="Arial" w:cs="Arial"/>
        </w:rPr>
      </w:pPr>
      <w:r>
        <w:rPr>
          <w:rFonts w:ascii="Arial" w:hAnsi="Arial" w:cs="Arial"/>
        </w:rPr>
        <w:t xml:space="preserve">The Metro </w:t>
      </w:r>
      <w:r w:rsidR="008264BF">
        <w:rPr>
          <w:rFonts w:ascii="Arial" w:hAnsi="Arial" w:cs="Arial"/>
        </w:rPr>
        <w:t>accepts that</w:t>
      </w:r>
      <w:r>
        <w:rPr>
          <w:rFonts w:ascii="Arial" w:hAnsi="Arial" w:cs="Arial"/>
        </w:rPr>
        <w:t xml:space="preserve"> those who have proof of being lawfully allocated a RDP house in the development are not subject to the application. They are </w:t>
      </w:r>
      <w:r w:rsidR="008264BF">
        <w:rPr>
          <w:rFonts w:ascii="Arial" w:hAnsi="Arial" w:cs="Arial"/>
        </w:rPr>
        <w:t>therefore</w:t>
      </w:r>
      <w:r>
        <w:rPr>
          <w:rFonts w:ascii="Arial" w:hAnsi="Arial" w:cs="Arial"/>
        </w:rPr>
        <w:t xml:space="preserve"> excluded from further consideration.</w:t>
      </w:r>
      <w:r>
        <w:rPr>
          <w:rStyle w:val="FootnoteReference"/>
          <w:rFonts w:ascii="Arial" w:hAnsi="Arial" w:cs="Arial"/>
        </w:rPr>
        <w:footnoteReference w:id="10"/>
      </w:r>
      <w:r w:rsidR="004742A0">
        <w:rPr>
          <w:rFonts w:ascii="Arial" w:hAnsi="Arial" w:cs="Arial"/>
        </w:rPr>
        <w:t xml:space="preserve"> </w:t>
      </w:r>
    </w:p>
    <w:p w:rsidR="007F588B" w:rsidRDefault="007F588B" w:rsidP="007E33D1">
      <w:pPr>
        <w:pStyle w:val="ListParagraph"/>
        <w:spacing w:line="360" w:lineRule="auto"/>
        <w:ind w:left="360"/>
        <w:rPr>
          <w:rFonts w:ascii="Arial" w:hAnsi="Arial" w:cs="Arial"/>
        </w:rPr>
      </w:pPr>
    </w:p>
    <w:p w:rsidR="00722B60" w:rsidRDefault="00C06312" w:rsidP="00AF22DC">
      <w:pPr>
        <w:pStyle w:val="ListParagraph"/>
        <w:numPr>
          <w:ilvl w:val="0"/>
          <w:numId w:val="3"/>
        </w:numPr>
        <w:spacing w:line="360" w:lineRule="auto"/>
        <w:rPr>
          <w:rFonts w:ascii="Arial" w:hAnsi="Arial" w:cs="Arial"/>
        </w:rPr>
      </w:pPr>
      <w:r>
        <w:rPr>
          <w:rFonts w:ascii="Arial" w:hAnsi="Arial" w:cs="Arial"/>
        </w:rPr>
        <w:lastRenderedPageBreak/>
        <w:t>Accordingly,</w:t>
      </w:r>
      <w:r w:rsidR="004742A0">
        <w:rPr>
          <w:rFonts w:ascii="Arial" w:hAnsi="Arial" w:cs="Arial"/>
        </w:rPr>
        <w:t xml:space="preserve"> no person who has identified himself </w:t>
      </w:r>
      <w:r w:rsidR="00722B60">
        <w:rPr>
          <w:rFonts w:ascii="Arial" w:hAnsi="Arial" w:cs="Arial"/>
        </w:rPr>
        <w:t xml:space="preserve">or </w:t>
      </w:r>
      <w:r w:rsidR="008264BF">
        <w:rPr>
          <w:rFonts w:ascii="Arial" w:hAnsi="Arial" w:cs="Arial"/>
        </w:rPr>
        <w:t>herself</w:t>
      </w:r>
      <w:r w:rsidR="007F588B">
        <w:rPr>
          <w:rFonts w:ascii="Arial" w:hAnsi="Arial" w:cs="Arial"/>
        </w:rPr>
        <w:t xml:space="preserve"> </w:t>
      </w:r>
      <w:r w:rsidR="004742A0">
        <w:rPr>
          <w:rFonts w:ascii="Arial" w:hAnsi="Arial" w:cs="Arial"/>
        </w:rPr>
        <w:t xml:space="preserve">as part of the eighth </w:t>
      </w:r>
      <w:r w:rsidR="008264BF">
        <w:rPr>
          <w:rFonts w:ascii="Arial" w:hAnsi="Arial" w:cs="Arial"/>
        </w:rPr>
        <w:t>respondent</w:t>
      </w:r>
      <w:r w:rsidR="004742A0">
        <w:rPr>
          <w:rFonts w:ascii="Arial" w:hAnsi="Arial" w:cs="Arial"/>
        </w:rPr>
        <w:t xml:space="preserve"> </w:t>
      </w:r>
      <w:r w:rsidR="00722B60">
        <w:rPr>
          <w:rFonts w:ascii="Arial" w:hAnsi="Arial" w:cs="Arial"/>
        </w:rPr>
        <w:t xml:space="preserve">group </w:t>
      </w:r>
      <w:r w:rsidR="004742A0">
        <w:rPr>
          <w:rFonts w:ascii="Arial" w:hAnsi="Arial" w:cs="Arial"/>
        </w:rPr>
        <w:t xml:space="preserve">can seek refuge among those who </w:t>
      </w:r>
      <w:r w:rsidR="007F588B">
        <w:rPr>
          <w:rFonts w:ascii="Arial" w:hAnsi="Arial" w:cs="Arial"/>
        </w:rPr>
        <w:t>have in fact been allocated housing.</w:t>
      </w:r>
      <w:r w:rsidR="00722B60">
        <w:rPr>
          <w:rFonts w:ascii="Arial" w:hAnsi="Arial" w:cs="Arial"/>
        </w:rPr>
        <w:t xml:space="preserve"> </w:t>
      </w:r>
    </w:p>
    <w:p w:rsidR="00722B60" w:rsidRDefault="00722B60" w:rsidP="007E33D1">
      <w:pPr>
        <w:pStyle w:val="ListParagraph"/>
        <w:spacing w:line="360" w:lineRule="auto"/>
        <w:ind w:left="360"/>
        <w:rPr>
          <w:rFonts w:ascii="Arial" w:hAnsi="Arial" w:cs="Arial"/>
        </w:rPr>
      </w:pPr>
    </w:p>
    <w:p w:rsidR="007E33D1" w:rsidRDefault="00722B60" w:rsidP="007E33D1">
      <w:pPr>
        <w:pStyle w:val="ListParagraph"/>
        <w:spacing w:line="360" w:lineRule="auto"/>
        <w:ind w:left="360"/>
        <w:rPr>
          <w:rFonts w:ascii="Arial" w:hAnsi="Arial" w:cs="Arial"/>
        </w:rPr>
      </w:pPr>
      <w:r>
        <w:rPr>
          <w:rFonts w:ascii="Arial" w:hAnsi="Arial" w:cs="Arial"/>
        </w:rPr>
        <w:t xml:space="preserve">The eighth respondent group </w:t>
      </w:r>
      <w:r w:rsidR="004742A0">
        <w:rPr>
          <w:rFonts w:ascii="Arial" w:hAnsi="Arial" w:cs="Arial"/>
        </w:rPr>
        <w:t xml:space="preserve">profess to have no right other than the protection afforded by </w:t>
      </w:r>
      <w:r w:rsidR="0043454C">
        <w:rPr>
          <w:rFonts w:ascii="Arial" w:hAnsi="Arial" w:cs="Arial"/>
        </w:rPr>
        <w:t xml:space="preserve">the common </w:t>
      </w:r>
      <w:r w:rsidR="004742A0">
        <w:rPr>
          <w:rFonts w:ascii="Arial" w:hAnsi="Arial" w:cs="Arial"/>
        </w:rPr>
        <w:t xml:space="preserve">law </w:t>
      </w:r>
      <w:r w:rsidR="008264BF">
        <w:rPr>
          <w:rFonts w:ascii="Arial" w:hAnsi="Arial" w:cs="Arial"/>
        </w:rPr>
        <w:t>against spoliation</w:t>
      </w:r>
      <w:r w:rsidR="00772652">
        <w:rPr>
          <w:rFonts w:ascii="Arial" w:hAnsi="Arial" w:cs="Arial"/>
        </w:rPr>
        <w:t xml:space="preserve"> and the provisions of PIE.</w:t>
      </w:r>
      <w:r w:rsidR="007F588B">
        <w:rPr>
          <w:rFonts w:ascii="Arial" w:hAnsi="Arial" w:cs="Arial"/>
        </w:rPr>
        <w:t xml:space="preserve"> </w:t>
      </w:r>
      <w:r w:rsidR="004742A0">
        <w:rPr>
          <w:rFonts w:ascii="Arial" w:hAnsi="Arial" w:cs="Arial"/>
        </w:rPr>
        <w:t xml:space="preserve"> </w:t>
      </w:r>
    </w:p>
    <w:p w:rsidR="007E33D1" w:rsidRDefault="007E33D1" w:rsidP="007E33D1">
      <w:pPr>
        <w:pStyle w:val="ListParagraph"/>
        <w:spacing w:line="360" w:lineRule="auto"/>
        <w:ind w:left="360"/>
        <w:rPr>
          <w:rFonts w:ascii="Arial" w:hAnsi="Arial" w:cs="Arial"/>
        </w:rPr>
      </w:pPr>
    </w:p>
    <w:p w:rsidR="007E33D1" w:rsidRPr="001D3270" w:rsidRDefault="007E33D1" w:rsidP="007E33D1">
      <w:pPr>
        <w:spacing w:line="360" w:lineRule="auto"/>
        <w:rPr>
          <w:rFonts w:ascii="Arial" w:hAnsi="Arial" w:cs="Arial"/>
        </w:rPr>
      </w:pPr>
      <w:r w:rsidRPr="001D3270">
        <w:rPr>
          <w:rFonts w:ascii="Arial" w:hAnsi="Arial" w:cs="Arial"/>
        </w:rPr>
        <w:t xml:space="preserve">   </w:t>
      </w:r>
    </w:p>
    <w:p w:rsidR="00520A62" w:rsidRPr="005B5C8B" w:rsidRDefault="007F588B" w:rsidP="00AF22DC">
      <w:pPr>
        <w:pStyle w:val="ListParagraph"/>
        <w:numPr>
          <w:ilvl w:val="0"/>
          <w:numId w:val="3"/>
        </w:numPr>
        <w:spacing w:line="360" w:lineRule="auto"/>
        <w:rPr>
          <w:rFonts w:ascii="Arial" w:hAnsi="Arial" w:cs="Arial"/>
        </w:rPr>
      </w:pPr>
      <w:r>
        <w:rPr>
          <w:rFonts w:ascii="Arial" w:hAnsi="Arial" w:cs="Arial"/>
        </w:rPr>
        <w:t>The eighth</w:t>
      </w:r>
      <w:r w:rsidR="007E33D1">
        <w:rPr>
          <w:rFonts w:ascii="Arial" w:hAnsi="Arial" w:cs="Arial"/>
        </w:rPr>
        <w:t xml:space="preserve"> </w:t>
      </w:r>
      <w:r w:rsidR="0043454C">
        <w:rPr>
          <w:rFonts w:ascii="Arial" w:hAnsi="Arial" w:cs="Arial"/>
        </w:rPr>
        <w:t>respondent</w:t>
      </w:r>
      <w:r w:rsidR="007E33D1">
        <w:rPr>
          <w:rFonts w:ascii="Arial" w:hAnsi="Arial" w:cs="Arial"/>
        </w:rPr>
        <w:t xml:space="preserve"> </w:t>
      </w:r>
      <w:r w:rsidR="00722B60">
        <w:rPr>
          <w:rFonts w:ascii="Arial" w:hAnsi="Arial" w:cs="Arial"/>
        </w:rPr>
        <w:t>contend</w:t>
      </w:r>
      <w:r w:rsidR="0043454C">
        <w:rPr>
          <w:rFonts w:ascii="Arial" w:hAnsi="Arial" w:cs="Arial"/>
        </w:rPr>
        <w:t>s</w:t>
      </w:r>
      <w:r w:rsidR="00722B60">
        <w:rPr>
          <w:rFonts w:ascii="Arial" w:hAnsi="Arial" w:cs="Arial"/>
        </w:rPr>
        <w:t xml:space="preserve"> that</w:t>
      </w:r>
      <w:r w:rsidR="005B5C8B">
        <w:rPr>
          <w:rFonts w:ascii="Arial" w:hAnsi="Arial" w:cs="Arial"/>
        </w:rPr>
        <w:t xml:space="preserve"> </w:t>
      </w:r>
      <w:r w:rsidR="001414DF">
        <w:rPr>
          <w:rFonts w:ascii="Arial" w:hAnsi="Arial" w:cs="Arial"/>
        </w:rPr>
        <w:t xml:space="preserve">all </w:t>
      </w:r>
      <w:r w:rsidR="00A033F1">
        <w:rPr>
          <w:rFonts w:ascii="Arial" w:hAnsi="Arial" w:cs="Arial"/>
        </w:rPr>
        <w:t>who fall</w:t>
      </w:r>
      <w:r w:rsidR="001414DF">
        <w:rPr>
          <w:rFonts w:ascii="Arial" w:hAnsi="Arial" w:cs="Arial"/>
        </w:rPr>
        <w:t xml:space="preserve"> within its group </w:t>
      </w:r>
      <w:r w:rsidR="00A033F1">
        <w:rPr>
          <w:rFonts w:ascii="Arial" w:hAnsi="Arial" w:cs="Arial"/>
        </w:rPr>
        <w:t>were</w:t>
      </w:r>
      <w:r w:rsidR="000A07C8" w:rsidRPr="005B5C8B">
        <w:rPr>
          <w:rFonts w:ascii="Arial" w:hAnsi="Arial" w:cs="Arial"/>
        </w:rPr>
        <w:t xml:space="preserve"> on the development since no later than </w:t>
      </w:r>
      <w:r w:rsidR="003C162A" w:rsidRPr="005B5C8B">
        <w:rPr>
          <w:rFonts w:ascii="Arial" w:hAnsi="Arial" w:cs="Arial"/>
        </w:rPr>
        <w:t>January</w:t>
      </w:r>
      <w:r w:rsidR="000A07C8" w:rsidRPr="005B5C8B">
        <w:rPr>
          <w:rFonts w:ascii="Arial" w:hAnsi="Arial" w:cs="Arial"/>
        </w:rPr>
        <w:t xml:space="preserve"> 2020</w:t>
      </w:r>
      <w:r w:rsidR="00A033F1">
        <w:rPr>
          <w:rFonts w:ascii="Arial" w:hAnsi="Arial" w:cs="Arial"/>
        </w:rPr>
        <w:t xml:space="preserve"> and therefore</w:t>
      </w:r>
      <w:r w:rsidR="00520A62" w:rsidRPr="005B5C8B">
        <w:rPr>
          <w:rFonts w:ascii="Arial" w:hAnsi="Arial" w:cs="Arial"/>
        </w:rPr>
        <w:t>;</w:t>
      </w:r>
    </w:p>
    <w:p w:rsidR="00520A62" w:rsidRPr="00520A62" w:rsidRDefault="00520A62" w:rsidP="00520A62">
      <w:pPr>
        <w:pStyle w:val="ListParagraph"/>
        <w:rPr>
          <w:rFonts w:ascii="Arial" w:hAnsi="Arial" w:cs="Arial"/>
        </w:rPr>
      </w:pPr>
    </w:p>
    <w:p w:rsidR="00772652" w:rsidRDefault="00A033F1" w:rsidP="002B4782">
      <w:pPr>
        <w:pStyle w:val="ListParagraph"/>
        <w:numPr>
          <w:ilvl w:val="1"/>
          <w:numId w:val="15"/>
        </w:numPr>
        <w:spacing w:line="360" w:lineRule="auto"/>
        <w:rPr>
          <w:rFonts w:ascii="Arial" w:hAnsi="Arial" w:cs="Arial"/>
        </w:rPr>
      </w:pPr>
      <w:r>
        <w:rPr>
          <w:rFonts w:ascii="Arial" w:hAnsi="Arial" w:cs="Arial"/>
        </w:rPr>
        <w:t xml:space="preserve">they </w:t>
      </w:r>
      <w:r w:rsidR="00772652">
        <w:rPr>
          <w:rFonts w:ascii="Arial" w:hAnsi="Arial" w:cs="Arial"/>
        </w:rPr>
        <w:t xml:space="preserve">cannot </w:t>
      </w:r>
      <w:r w:rsidR="00D857D9">
        <w:rPr>
          <w:rFonts w:ascii="Arial" w:hAnsi="Arial" w:cs="Arial"/>
        </w:rPr>
        <w:t xml:space="preserve">fall </w:t>
      </w:r>
      <w:r w:rsidR="00772652">
        <w:rPr>
          <w:rFonts w:ascii="Arial" w:hAnsi="Arial" w:cs="Arial"/>
        </w:rPr>
        <w:t>within the purview of an application brou</w:t>
      </w:r>
      <w:r w:rsidR="000A07C8">
        <w:rPr>
          <w:rFonts w:ascii="Arial" w:hAnsi="Arial" w:cs="Arial"/>
        </w:rPr>
        <w:t>gh</w:t>
      </w:r>
      <w:r w:rsidR="00772652">
        <w:rPr>
          <w:rFonts w:ascii="Arial" w:hAnsi="Arial" w:cs="Arial"/>
        </w:rPr>
        <w:t>t a year earlier to prevent a land invasion;</w:t>
      </w:r>
    </w:p>
    <w:p w:rsidR="00772652" w:rsidRDefault="00772652" w:rsidP="00772652">
      <w:pPr>
        <w:pStyle w:val="ListParagraph"/>
        <w:spacing w:line="360" w:lineRule="auto"/>
        <w:ind w:left="1800"/>
        <w:rPr>
          <w:rFonts w:ascii="Arial" w:hAnsi="Arial" w:cs="Arial"/>
        </w:rPr>
      </w:pPr>
    </w:p>
    <w:p w:rsidR="00722B60" w:rsidRPr="00D857D9" w:rsidRDefault="00A033F1" w:rsidP="002B4782">
      <w:pPr>
        <w:pStyle w:val="ListParagraph"/>
        <w:numPr>
          <w:ilvl w:val="1"/>
          <w:numId w:val="15"/>
        </w:numPr>
        <w:spacing w:line="360" w:lineRule="auto"/>
        <w:rPr>
          <w:rFonts w:ascii="Arial" w:hAnsi="Arial" w:cs="Arial"/>
        </w:rPr>
      </w:pPr>
      <w:r>
        <w:rPr>
          <w:rFonts w:ascii="Arial" w:hAnsi="Arial" w:cs="Arial"/>
        </w:rPr>
        <w:t xml:space="preserve">they </w:t>
      </w:r>
      <w:r w:rsidR="00520A62">
        <w:rPr>
          <w:rFonts w:ascii="Arial" w:hAnsi="Arial" w:cs="Arial"/>
        </w:rPr>
        <w:t xml:space="preserve">cannot be </w:t>
      </w:r>
      <w:r w:rsidR="008264BF">
        <w:rPr>
          <w:rFonts w:ascii="Arial" w:hAnsi="Arial" w:cs="Arial"/>
        </w:rPr>
        <w:t>subject</w:t>
      </w:r>
      <w:r w:rsidR="00520A62">
        <w:rPr>
          <w:rFonts w:ascii="Arial" w:hAnsi="Arial" w:cs="Arial"/>
        </w:rPr>
        <w:t xml:space="preserve"> to the application, </w:t>
      </w:r>
      <w:r w:rsidR="008264BF">
        <w:rPr>
          <w:rFonts w:ascii="Arial" w:hAnsi="Arial" w:cs="Arial"/>
        </w:rPr>
        <w:t>which applies</w:t>
      </w:r>
      <w:r w:rsidR="00520A62">
        <w:rPr>
          <w:rFonts w:ascii="Arial" w:hAnsi="Arial" w:cs="Arial"/>
        </w:rPr>
        <w:t xml:space="preserve"> </w:t>
      </w:r>
      <w:r w:rsidR="006F5F44">
        <w:rPr>
          <w:rFonts w:ascii="Arial" w:hAnsi="Arial" w:cs="Arial"/>
        </w:rPr>
        <w:t>only to persons who are tres</w:t>
      </w:r>
      <w:r w:rsidR="001414DF">
        <w:rPr>
          <w:rFonts w:ascii="Arial" w:hAnsi="Arial" w:cs="Arial"/>
        </w:rPr>
        <w:t>passing or about to invade land</w:t>
      </w:r>
      <w:r w:rsidR="001414DF" w:rsidRPr="00D857D9">
        <w:rPr>
          <w:rFonts w:ascii="Arial" w:hAnsi="Arial" w:cs="Arial"/>
        </w:rPr>
        <w:t>-</w:t>
      </w:r>
      <w:r w:rsidR="006F5F44" w:rsidRPr="00D857D9">
        <w:rPr>
          <w:rFonts w:ascii="Arial" w:hAnsi="Arial" w:cs="Arial"/>
        </w:rPr>
        <w:t xml:space="preserve"> not those who have already secured occupation </w:t>
      </w:r>
      <w:r w:rsidR="00D857D9">
        <w:rPr>
          <w:rFonts w:ascii="Arial" w:hAnsi="Arial" w:cs="Arial"/>
        </w:rPr>
        <w:t>on</w:t>
      </w:r>
      <w:r w:rsidR="00520A62" w:rsidRPr="00D857D9">
        <w:rPr>
          <w:rFonts w:ascii="Arial" w:hAnsi="Arial" w:cs="Arial"/>
        </w:rPr>
        <w:t xml:space="preserve"> the development. </w:t>
      </w:r>
    </w:p>
    <w:p w:rsidR="001642FB" w:rsidRPr="001642FB" w:rsidRDefault="001642FB" w:rsidP="001642FB">
      <w:pPr>
        <w:pStyle w:val="ListParagraph"/>
        <w:rPr>
          <w:rFonts w:ascii="Arial" w:hAnsi="Arial" w:cs="Arial"/>
        </w:rPr>
      </w:pPr>
    </w:p>
    <w:p w:rsidR="00706D4B" w:rsidRDefault="00706D4B" w:rsidP="002B4782">
      <w:pPr>
        <w:pStyle w:val="ListParagraph"/>
        <w:numPr>
          <w:ilvl w:val="1"/>
          <w:numId w:val="15"/>
        </w:numPr>
        <w:spacing w:line="360" w:lineRule="auto"/>
        <w:rPr>
          <w:rFonts w:ascii="Arial" w:hAnsi="Arial" w:cs="Arial"/>
        </w:rPr>
      </w:pPr>
      <w:r>
        <w:rPr>
          <w:rFonts w:ascii="Arial" w:hAnsi="Arial" w:cs="Arial"/>
        </w:rPr>
        <w:t xml:space="preserve">they were </w:t>
      </w:r>
      <w:r w:rsidR="009A095D">
        <w:rPr>
          <w:rFonts w:ascii="Arial" w:hAnsi="Arial" w:cs="Arial"/>
        </w:rPr>
        <w:t>(</w:t>
      </w:r>
      <w:r>
        <w:rPr>
          <w:rFonts w:ascii="Arial" w:hAnsi="Arial" w:cs="Arial"/>
        </w:rPr>
        <w:t>in any event</w:t>
      </w:r>
      <w:r w:rsidR="009A095D">
        <w:rPr>
          <w:rFonts w:ascii="Arial" w:hAnsi="Arial" w:cs="Arial"/>
        </w:rPr>
        <w:t>)</w:t>
      </w:r>
      <w:r>
        <w:rPr>
          <w:rFonts w:ascii="Arial" w:hAnsi="Arial" w:cs="Arial"/>
        </w:rPr>
        <w:t xml:space="preserve"> in occupation of sites o</w:t>
      </w:r>
      <w:r w:rsidR="001642FB" w:rsidRPr="001642FB">
        <w:rPr>
          <w:rFonts w:ascii="Arial" w:hAnsi="Arial" w:cs="Arial"/>
        </w:rPr>
        <w:t xml:space="preserve">n </w:t>
      </w:r>
      <w:r w:rsidR="001642FB" w:rsidRPr="006C5AE2">
        <w:rPr>
          <w:rFonts w:ascii="Arial" w:hAnsi="Arial" w:cs="Arial"/>
        </w:rPr>
        <w:t xml:space="preserve">the development </w:t>
      </w:r>
      <w:r w:rsidR="005B5C8B" w:rsidRPr="006C5AE2">
        <w:rPr>
          <w:rFonts w:ascii="Arial" w:hAnsi="Arial" w:cs="Arial"/>
        </w:rPr>
        <w:t>for</w:t>
      </w:r>
      <w:r w:rsidR="00250AC1">
        <w:rPr>
          <w:rFonts w:ascii="Arial" w:hAnsi="Arial" w:cs="Arial"/>
        </w:rPr>
        <w:t xml:space="preserve"> well</w:t>
      </w:r>
      <w:r w:rsidR="005B5C8B" w:rsidRPr="006C5AE2">
        <w:rPr>
          <w:rFonts w:ascii="Arial" w:hAnsi="Arial" w:cs="Arial"/>
        </w:rPr>
        <w:t xml:space="preserve"> </w:t>
      </w:r>
      <w:r w:rsidR="00250AC1">
        <w:rPr>
          <w:rFonts w:ascii="Arial" w:hAnsi="Arial" w:cs="Arial"/>
        </w:rPr>
        <w:t xml:space="preserve">over </w:t>
      </w:r>
      <w:r w:rsidR="001642FB" w:rsidRPr="006C5AE2">
        <w:rPr>
          <w:rFonts w:ascii="Arial" w:hAnsi="Arial" w:cs="Arial"/>
        </w:rPr>
        <w:t>a year</w:t>
      </w:r>
      <w:r w:rsidR="001642FB" w:rsidRPr="001642FB">
        <w:rPr>
          <w:rFonts w:ascii="Arial" w:hAnsi="Arial" w:cs="Arial"/>
        </w:rPr>
        <w:t xml:space="preserve"> before being joined as a party to the urgent application and therefore can remain on the development until their fate is determined u</w:t>
      </w:r>
      <w:r>
        <w:rPr>
          <w:rFonts w:ascii="Arial" w:hAnsi="Arial" w:cs="Arial"/>
        </w:rPr>
        <w:t>nder the provisions of PIE.</w:t>
      </w:r>
    </w:p>
    <w:p w:rsidR="00706D4B" w:rsidRPr="00706D4B" w:rsidRDefault="00706D4B" w:rsidP="00706D4B">
      <w:pPr>
        <w:pStyle w:val="ListParagraph"/>
        <w:rPr>
          <w:rFonts w:ascii="Arial" w:hAnsi="Arial" w:cs="Arial"/>
        </w:rPr>
      </w:pPr>
    </w:p>
    <w:p w:rsidR="00772652" w:rsidRPr="009A095D" w:rsidRDefault="00706D4B" w:rsidP="009A095D">
      <w:pPr>
        <w:spacing w:line="360" w:lineRule="auto"/>
        <w:ind w:left="360"/>
        <w:rPr>
          <w:rFonts w:ascii="Arial" w:hAnsi="Arial" w:cs="Arial"/>
        </w:rPr>
      </w:pPr>
      <w:r w:rsidRPr="009A095D">
        <w:rPr>
          <w:rFonts w:ascii="Arial" w:hAnsi="Arial" w:cs="Arial"/>
        </w:rPr>
        <w:t xml:space="preserve">As I </w:t>
      </w:r>
      <w:r w:rsidR="009A095D" w:rsidRPr="009A095D">
        <w:rPr>
          <w:rFonts w:ascii="Arial" w:hAnsi="Arial" w:cs="Arial"/>
        </w:rPr>
        <w:t xml:space="preserve">intend </w:t>
      </w:r>
      <w:r w:rsidRPr="009A095D">
        <w:rPr>
          <w:rFonts w:ascii="Arial" w:hAnsi="Arial" w:cs="Arial"/>
        </w:rPr>
        <w:t>demonstrat</w:t>
      </w:r>
      <w:r w:rsidR="009A095D">
        <w:rPr>
          <w:rFonts w:ascii="Arial" w:hAnsi="Arial" w:cs="Arial"/>
        </w:rPr>
        <w:t>ing</w:t>
      </w:r>
      <w:r w:rsidRPr="009A095D">
        <w:rPr>
          <w:rFonts w:ascii="Arial" w:hAnsi="Arial" w:cs="Arial"/>
        </w:rPr>
        <w:t xml:space="preserve"> the effect is that, </w:t>
      </w:r>
      <w:r w:rsidR="001414DF" w:rsidRPr="009A095D">
        <w:rPr>
          <w:rFonts w:ascii="Arial" w:hAnsi="Arial" w:cs="Arial"/>
        </w:rPr>
        <w:t>provided they are homeless</w:t>
      </w:r>
      <w:r w:rsidR="009A095D" w:rsidRPr="009A095D">
        <w:rPr>
          <w:rFonts w:ascii="Arial" w:hAnsi="Arial" w:cs="Arial"/>
        </w:rPr>
        <w:t xml:space="preserve"> and otherwise qualify for occupation under PIE</w:t>
      </w:r>
      <w:r w:rsidR="001414DF" w:rsidRPr="009A095D">
        <w:rPr>
          <w:rFonts w:ascii="Arial" w:hAnsi="Arial" w:cs="Arial"/>
        </w:rPr>
        <w:t>,</w:t>
      </w:r>
      <w:r w:rsidR="001642FB" w:rsidRPr="009A095D">
        <w:rPr>
          <w:rFonts w:ascii="Arial" w:hAnsi="Arial" w:cs="Arial"/>
        </w:rPr>
        <w:t xml:space="preserve"> they will remain on the </w:t>
      </w:r>
      <w:r w:rsidR="00C06312" w:rsidRPr="009A095D">
        <w:rPr>
          <w:rFonts w:ascii="Arial" w:hAnsi="Arial" w:cs="Arial"/>
        </w:rPr>
        <w:t>development</w:t>
      </w:r>
      <w:r w:rsidR="001642FB" w:rsidRPr="009A095D">
        <w:rPr>
          <w:rFonts w:ascii="Arial" w:hAnsi="Arial" w:cs="Arial"/>
        </w:rPr>
        <w:t xml:space="preserve"> until tem</w:t>
      </w:r>
      <w:r w:rsidR="001414DF" w:rsidRPr="009A095D">
        <w:rPr>
          <w:rFonts w:ascii="Arial" w:hAnsi="Arial" w:cs="Arial"/>
        </w:rPr>
        <w:t>porary emergency shelter is provided</w:t>
      </w:r>
      <w:r w:rsidR="009A095D">
        <w:rPr>
          <w:rFonts w:ascii="Arial" w:hAnsi="Arial" w:cs="Arial"/>
        </w:rPr>
        <w:t>- which could take a number of years</w:t>
      </w:r>
      <w:r w:rsidR="001642FB" w:rsidRPr="009A095D">
        <w:rPr>
          <w:rFonts w:ascii="Arial" w:hAnsi="Arial" w:cs="Arial"/>
        </w:rPr>
        <w:t>.</w:t>
      </w:r>
    </w:p>
    <w:p w:rsidR="00520A62" w:rsidRPr="00520A62" w:rsidRDefault="00520A62" w:rsidP="00520A62">
      <w:pPr>
        <w:pStyle w:val="ListParagraph"/>
        <w:rPr>
          <w:rFonts w:ascii="Arial" w:hAnsi="Arial" w:cs="Arial"/>
        </w:rPr>
      </w:pPr>
    </w:p>
    <w:p w:rsidR="00C903DC" w:rsidRDefault="00520A62" w:rsidP="00AF22DC">
      <w:pPr>
        <w:pStyle w:val="ListParagraph"/>
        <w:numPr>
          <w:ilvl w:val="0"/>
          <w:numId w:val="3"/>
        </w:numPr>
        <w:spacing w:line="360" w:lineRule="auto"/>
        <w:rPr>
          <w:rFonts w:ascii="Arial" w:hAnsi="Arial" w:cs="Arial"/>
        </w:rPr>
      </w:pPr>
      <w:r w:rsidRPr="00706D4B">
        <w:rPr>
          <w:rFonts w:ascii="Arial" w:hAnsi="Arial" w:cs="Arial"/>
        </w:rPr>
        <w:t xml:space="preserve">The </w:t>
      </w:r>
      <w:r w:rsidR="000A07C8" w:rsidRPr="00706D4B">
        <w:rPr>
          <w:rFonts w:ascii="Arial" w:hAnsi="Arial" w:cs="Arial"/>
        </w:rPr>
        <w:t xml:space="preserve">eighth respondent </w:t>
      </w:r>
      <w:r w:rsidRPr="00706D4B">
        <w:rPr>
          <w:rFonts w:ascii="Arial" w:hAnsi="Arial" w:cs="Arial"/>
        </w:rPr>
        <w:t xml:space="preserve">group </w:t>
      </w:r>
      <w:r w:rsidR="003E7818" w:rsidRPr="00706D4B">
        <w:rPr>
          <w:rFonts w:ascii="Arial" w:hAnsi="Arial" w:cs="Arial"/>
        </w:rPr>
        <w:t>comprises</w:t>
      </w:r>
      <w:r w:rsidR="009A095D">
        <w:rPr>
          <w:rFonts w:ascii="Arial" w:hAnsi="Arial" w:cs="Arial"/>
        </w:rPr>
        <w:t xml:space="preserve"> 225 </w:t>
      </w:r>
      <w:r w:rsidR="003662EF" w:rsidRPr="00706D4B">
        <w:rPr>
          <w:rFonts w:ascii="Arial" w:hAnsi="Arial" w:cs="Arial"/>
        </w:rPr>
        <w:t>households (excluding the seven</w:t>
      </w:r>
      <w:r w:rsidR="003E7818" w:rsidRPr="00706D4B">
        <w:rPr>
          <w:rFonts w:ascii="Arial" w:hAnsi="Arial" w:cs="Arial"/>
        </w:rPr>
        <w:t xml:space="preserve"> mentioned </w:t>
      </w:r>
      <w:r w:rsidR="008264BF" w:rsidRPr="00706D4B">
        <w:rPr>
          <w:rFonts w:ascii="Arial" w:hAnsi="Arial" w:cs="Arial"/>
        </w:rPr>
        <w:t>earlier) of</w:t>
      </w:r>
      <w:r w:rsidR="00706D4B">
        <w:rPr>
          <w:rFonts w:ascii="Arial" w:hAnsi="Arial" w:cs="Arial"/>
        </w:rPr>
        <w:t xml:space="preserve"> more than 700 individuals.</w:t>
      </w:r>
      <w:r w:rsidR="00706D4B">
        <w:rPr>
          <w:rStyle w:val="FootnoteReference"/>
          <w:rFonts w:ascii="Arial" w:hAnsi="Arial" w:cs="Arial"/>
        </w:rPr>
        <w:footnoteReference w:id="11"/>
      </w:r>
    </w:p>
    <w:p w:rsidR="00DF0667" w:rsidRDefault="00DF0667" w:rsidP="00DF0667">
      <w:pPr>
        <w:pStyle w:val="ListParagraph"/>
        <w:spacing w:line="360" w:lineRule="auto"/>
        <w:ind w:left="360"/>
        <w:rPr>
          <w:rFonts w:ascii="Arial" w:hAnsi="Arial" w:cs="Arial"/>
        </w:rPr>
      </w:pPr>
    </w:p>
    <w:p w:rsidR="00DF0667" w:rsidRDefault="00DF0667" w:rsidP="00AF22DC">
      <w:pPr>
        <w:pStyle w:val="ListParagraph"/>
        <w:numPr>
          <w:ilvl w:val="0"/>
          <w:numId w:val="3"/>
        </w:numPr>
        <w:spacing w:line="360" w:lineRule="auto"/>
        <w:rPr>
          <w:rFonts w:ascii="Arial" w:hAnsi="Arial" w:cs="Arial"/>
        </w:rPr>
      </w:pPr>
      <w:r>
        <w:rPr>
          <w:rFonts w:ascii="Arial" w:hAnsi="Arial" w:cs="Arial"/>
        </w:rPr>
        <w:t>While the list provided by the f</w:t>
      </w:r>
      <w:r w:rsidR="00F86E32">
        <w:rPr>
          <w:rFonts w:ascii="Arial" w:hAnsi="Arial" w:cs="Arial"/>
        </w:rPr>
        <w:t xml:space="preserve">irst respondent identified </w:t>
      </w:r>
      <w:r>
        <w:rPr>
          <w:rFonts w:ascii="Arial" w:hAnsi="Arial" w:cs="Arial"/>
        </w:rPr>
        <w:t xml:space="preserve">the overwhelming number of households falling within its group </w:t>
      </w:r>
      <w:r w:rsidR="00F86E32">
        <w:rPr>
          <w:rFonts w:ascii="Arial" w:hAnsi="Arial" w:cs="Arial"/>
        </w:rPr>
        <w:t xml:space="preserve">to be living </w:t>
      </w:r>
      <w:r>
        <w:rPr>
          <w:rFonts w:ascii="Arial" w:hAnsi="Arial" w:cs="Arial"/>
        </w:rPr>
        <w:t xml:space="preserve">at street addresses in </w:t>
      </w:r>
      <w:r>
        <w:rPr>
          <w:rFonts w:ascii="Arial" w:hAnsi="Arial" w:cs="Arial"/>
        </w:rPr>
        <w:lastRenderedPageBreak/>
        <w:t>established townships</w:t>
      </w:r>
      <w:r w:rsidR="00F86E32">
        <w:rPr>
          <w:rFonts w:ascii="Arial" w:hAnsi="Arial" w:cs="Arial"/>
        </w:rPr>
        <w:t>,</w:t>
      </w:r>
      <w:r>
        <w:rPr>
          <w:rFonts w:ascii="Arial" w:hAnsi="Arial" w:cs="Arial"/>
        </w:rPr>
        <w:t xml:space="preserve"> the list provided by the eight respondent </w:t>
      </w:r>
      <w:r w:rsidR="000774C7">
        <w:rPr>
          <w:rFonts w:ascii="Arial" w:hAnsi="Arial" w:cs="Arial"/>
        </w:rPr>
        <w:t xml:space="preserve">claimed that </w:t>
      </w:r>
      <w:r>
        <w:rPr>
          <w:rFonts w:ascii="Arial" w:hAnsi="Arial" w:cs="Arial"/>
        </w:rPr>
        <w:t>all</w:t>
      </w:r>
      <w:r w:rsidR="00F86E32">
        <w:rPr>
          <w:rFonts w:ascii="Arial" w:hAnsi="Arial" w:cs="Arial"/>
        </w:rPr>
        <w:t xml:space="preserve"> </w:t>
      </w:r>
      <w:r w:rsidR="000774C7">
        <w:rPr>
          <w:rFonts w:ascii="Arial" w:hAnsi="Arial" w:cs="Arial"/>
        </w:rPr>
        <w:t xml:space="preserve">were </w:t>
      </w:r>
      <w:r>
        <w:rPr>
          <w:rFonts w:ascii="Arial" w:hAnsi="Arial" w:cs="Arial"/>
        </w:rPr>
        <w:t xml:space="preserve">living on the </w:t>
      </w:r>
      <w:r w:rsidR="00D857D9">
        <w:rPr>
          <w:rFonts w:ascii="Arial" w:hAnsi="Arial" w:cs="Arial"/>
        </w:rPr>
        <w:t>development</w:t>
      </w:r>
      <w:r>
        <w:rPr>
          <w:rFonts w:ascii="Arial" w:hAnsi="Arial" w:cs="Arial"/>
        </w:rPr>
        <w:t xml:space="preserve">. </w:t>
      </w:r>
    </w:p>
    <w:p w:rsidR="001E1F2A" w:rsidRPr="001E1F2A" w:rsidRDefault="001E1F2A" w:rsidP="001E1F2A">
      <w:pPr>
        <w:pStyle w:val="ListParagraph"/>
        <w:rPr>
          <w:rFonts w:ascii="Arial" w:hAnsi="Arial" w:cs="Arial"/>
        </w:rPr>
      </w:pPr>
    </w:p>
    <w:p w:rsidR="001E1F2A" w:rsidRDefault="001E1F2A" w:rsidP="00AF22DC">
      <w:pPr>
        <w:pStyle w:val="ListParagraph"/>
        <w:numPr>
          <w:ilvl w:val="0"/>
          <w:numId w:val="3"/>
        </w:numPr>
        <w:spacing w:line="360" w:lineRule="auto"/>
        <w:rPr>
          <w:rFonts w:ascii="Arial" w:hAnsi="Arial" w:cs="Arial"/>
        </w:rPr>
      </w:pPr>
      <w:r>
        <w:rPr>
          <w:rFonts w:ascii="Arial" w:hAnsi="Arial" w:cs="Arial"/>
        </w:rPr>
        <w:t xml:space="preserve">The issues which must be considered in </w:t>
      </w:r>
      <w:r w:rsidR="00C06312">
        <w:rPr>
          <w:rFonts w:ascii="Arial" w:hAnsi="Arial" w:cs="Arial"/>
        </w:rPr>
        <w:t>relation</w:t>
      </w:r>
      <w:r>
        <w:rPr>
          <w:rFonts w:ascii="Arial" w:hAnsi="Arial" w:cs="Arial"/>
        </w:rPr>
        <w:t xml:space="preserve"> to th</w:t>
      </w:r>
      <w:r w:rsidR="00891CDD">
        <w:rPr>
          <w:rFonts w:ascii="Arial" w:hAnsi="Arial" w:cs="Arial"/>
        </w:rPr>
        <w:t>os</w:t>
      </w:r>
      <w:r>
        <w:rPr>
          <w:rFonts w:ascii="Arial" w:hAnsi="Arial" w:cs="Arial"/>
        </w:rPr>
        <w:t xml:space="preserve">e </w:t>
      </w:r>
      <w:r w:rsidR="00891CDD">
        <w:rPr>
          <w:rFonts w:ascii="Arial" w:hAnsi="Arial" w:cs="Arial"/>
        </w:rPr>
        <w:t xml:space="preserve">who make up the </w:t>
      </w:r>
      <w:r>
        <w:rPr>
          <w:rFonts w:ascii="Arial" w:hAnsi="Arial" w:cs="Arial"/>
        </w:rPr>
        <w:t xml:space="preserve">eighth </w:t>
      </w:r>
      <w:r w:rsidR="00C06312">
        <w:rPr>
          <w:rFonts w:ascii="Arial" w:hAnsi="Arial" w:cs="Arial"/>
        </w:rPr>
        <w:t>respondent</w:t>
      </w:r>
      <w:r>
        <w:rPr>
          <w:rFonts w:ascii="Arial" w:hAnsi="Arial" w:cs="Arial"/>
        </w:rPr>
        <w:t xml:space="preserve"> are;</w:t>
      </w:r>
    </w:p>
    <w:p w:rsidR="001E1F2A" w:rsidRDefault="001E1F2A" w:rsidP="001E1F2A">
      <w:pPr>
        <w:pStyle w:val="ListParagraph"/>
        <w:spacing w:line="360" w:lineRule="auto"/>
        <w:ind w:left="360"/>
        <w:rPr>
          <w:rFonts w:ascii="Arial" w:hAnsi="Arial" w:cs="Arial"/>
        </w:rPr>
      </w:pPr>
    </w:p>
    <w:p w:rsidR="001E1F2A" w:rsidRDefault="001E1F2A" w:rsidP="002B4782">
      <w:pPr>
        <w:pStyle w:val="ListParagraph"/>
        <w:numPr>
          <w:ilvl w:val="1"/>
          <w:numId w:val="15"/>
        </w:numPr>
        <w:spacing w:line="360" w:lineRule="auto"/>
        <w:rPr>
          <w:rFonts w:ascii="Arial" w:hAnsi="Arial" w:cs="Arial"/>
        </w:rPr>
      </w:pPr>
      <w:r>
        <w:rPr>
          <w:rFonts w:ascii="Arial" w:hAnsi="Arial" w:cs="Arial"/>
        </w:rPr>
        <w:t xml:space="preserve">whether they can be impacted by an order made </w:t>
      </w:r>
      <w:r w:rsidR="006C5AE2">
        <w:rPr>
          <w:rFonts w:ascii="Arial" w:hAnsi="Arial" w:cs="Arial"/>
        </w:rPr>
        <w:t xml:space="preserve">some six months </w:t>
      </w:r>
      <w:r>
        <w:rPr>
          <w:rFonts w:ascii="Arial" w:hAnsi="Arial" w:cs="Arial"/>
        </w:rPr>
        <w:t xml:space="preserve">before they </w:t>
      </w:r>
      <w:r w:rsidR="006C5AE2">
        <w:rPr>
          <w:rFonts w:ascii="Arial" w:hAnsi="Arial" w:cs="Arial"/>
        </w:rPr>
        <w:t>claim to have co</w:t>
      </w:r>
      <w:r>
        <w:rPr>
          <w:rFonts w:ascii="Arial" w:hAnsi="Arial" w:cs="Arial"/>
        </w:rPr>
        <w:t>me onto the development;</w:t>
      </w:r>
    </w:p>
    <w:p w:rsidR="001E1F2A" w:rsidRDefault="001E1F2A" w:rsidP="001E1F2A">
      <w:pPr>
        <w:pStyle w:val="ListParagraph"/>
        <w:spacing w:line="360" w:lineRule="auto"/>
        <w:ind w:left="1080"/>
        <w:rPr>
          <w:rFonts w:ascii="Arial" w:hAnsi="Arial" w:cs="Arial"/>
        </w:rPr>
      </w:pPr>
      <w:r>
        <w:rPr>
          <w:rFonts w:ascii="Arial" w:hAnsi="Arial" w:cs="Arial"/>
        </w:rPr>
        <w:t xml:space="preserve"> </w:t>
      </w:r>
    </w:p>
    <w:p w:rsidR="001E1F2A" w:rsidRPr="006C5AE2" w:rsidRDefault="000A07C8" w:rsidP="002B4782">
      <w:pPr>
        <w:pStyle w:val="ListParagraph"/>
        <w:numPr>
          <w:ilvl w:val="1"/>
          <w:numId w:val="15"/>
        </w:numPr>
        <w:spacing w:line="360" w:lineRule="auto"/>
        <w:rPr>
          <w:rFonts w:ascii="Arial" w:hAnsi="Arial" w:cs="Arial"/>
        </w:rPr>
      </w:pPr>
      <w:r>
        <w:rPr>
          <w:rFonts w:ascii="Arial" w:hAnsi="Arial" w:cs="Arial"/>
        </w:rPr>
        <w:t xml:space="preserve">whether </w:t>
      </w:r>
      <w:r w:rsidR="001E1F2A">
        <w:rPr>
          <w:rFonts w:ascii="Arial" w:hAnsi="Arial" w:cs="Arial"/>
        </w:rPr>
        <w:t xml:space="preserve">they </w:t>
      </w:r>
      <w:r>
        <w:rPr>
          <w:rFonts w:ascii="Arial" w:hAnsi="Arial" w:cs="Arial"/>
        </w:rPr>
        <w:t xml:space="preserve">were already </w:t>
      </w:r>
      <w:r w:rsidR="006C5AE2">
        <w:rPr>
          <w:rFonts w:ascii="Arial" w:hAnsi="Arial" w:cs="Arial"/>
        </w:rPr>
        <w:t xml:space="preserve">on the development by January 2020 or only </w:t>
      </w:r>
      <w:r w:rsidR="00E01AB8">
        <w:rPr>
          <w:rFonts w:ascii="Arial" w:hAnsi="Arial" w:cs="Arial"/>
        </w:rPr>
        <w:t xml:space="preserve">attempted to take occupation </w:t>
      </w:r>
      <w:r w:rsidR="006C5AE2">
        <w:rPr>
          <w:rFonts w:ascii="Arial" w:hAnsi="Arial" w:cs="Arial"/>
        </w:rPr>
        <w:t>in May 2021</w:t>
      </w:r>
      <w:r w:rsidR="00250AC1">
        <w:rPr>
          <w:rFonts w:ascii="Arial" w:hAnsi="Arial" w:cs="Arial"/>
        </w:rPr>
        <w:t xml:space="preserve"> (when they were first joined as a party)</w:t>
      </w:r>
      <w:r w:rsidR="006C5AE2">
        <w:rPr>
          <w:rFonts w:ascii="Arial" w:hAnsi="Arial" w:cs="Arial"/>
        </w:rPr>
        <w:t>.</w:t>
      </w:r>
    </w:p>
    <w:p w:rsidR="001E1F2A" w:rsidRDefault="001E1F2A" w:rsidP="001E1F2A">
      <w:pPr>
        <w:pStyle w:val="ListParagraph"/>
        <w:spacing w:line="360" w:lineRule="auto"/>
        <w:ind w:left="1080"/>
        <w:rPr>
          <w:rFonts w:ascii="Arial" w:hAnsi="Arial" w:cs="Arial"/>
        </w:rPr>
      </w:pPr>
    </w:p>
    <w:p w:rsidR="009C658B" w:rsidRDefault="009C658B" w:rsidP="009C658B">
      <w:pPr>
        <w:spacing w:line="360" w:lineRule="auto"/>
        <w:rPr>
          <w:rFonts w:ascii="Arial" w:hAnsi="Arial" w:cs="Arial"/>
        </w:rPr>
      </w:pPr>
    </w:p>
    <w:p w:rsidR="009C658B" w:rsidRDefault="009C658B" w:rsidP="009C658B">
      <w:pPr>
        <w:spacing w:line="360" w:lineRule="auto"/>
        <w:rPr>
          <w:rFonts w:ascii="Arial" w:hAnsi="Arial" w:cs="Arial"/>
          <w:b/>
        </w:rPr>
      </w:pPr>
      <w:r w:rsidRPr="009C658B">
        <w:rPr>
          <w:rFonts w:ascii="Arial" w:hAnsi="Arial" w:cs="Arial"/>
          <w:b/>
        </w:rPr>
        <w:t>DISCUSSION</w:t>
      </w:r>
    </w:p>
    <w:p w:rsidR="008969CB" w:rsidRDefault="008969CB" w:rsidP="009C658B">
      <w:pPr>
        <w:spacing w:line="360" w:lineRule="auto"/>
        <w:rPr>
          <w:rFonts w:ascii="Arial" w:hAnsi="Arial" w:cs="Arial"/>
          <w:b/>
        </w:rPr>
      </w:pPr>
    </w:p>
    <w:p w:rsidR="008969CB" w:rsidRDefault="008969CB" w:rsidP="009C658B">
      <w:pPr>
        <w:spacing w:line="360" w:lineRule="auto"/>
        <w:rPr>
          <w:rFonts w:ascii="Arial" w:hAnsi="Arial" w:cs="Arial"/>
          <w:b/>
        </w:rPr>
      </w:pPr>
      <w:r>
        <w:rPr>
          <w:rFonts w:ascii="Arial" w:hAnsi="Arial" w:cs="Arial"/>
          <w:b/>
        </w:rPr>
        <w:t xml:space="preserve">Competing rights and interests </w:t>
      </w:r>
    </w:p>
    <w:p w:rsidR="00FD5A63" w:rsidRPr="009C658B" w:rsidRDefault="00FD5A63" w:rsidP="009C658B">
      <w:pPr>
        <w:spacing w:line="360" w:lineRule="auto"/>
        <w:rPr>
          <w:rFonts w:ascii="Arial" w:hAnsi="Arial" w:cs="Arial"/>
          <w:b/>
        </w:rPr>
      </w:pPr>
    </w:p>
    <w:p w:rsidR="00DF0667" w:rsidRDefault="00DF0667" w:rsidP="00AF22DC">
      <w:pPr>
        <w:pStyle w:val="ListParagraph"/>
        <w:numPr>
          <w:ilvl w:val="0"/>
          <w:numId w:val="3"/>
        </w:numPr>
        <w:spacing w:line="360" w:lineRule="auto"/>
        <w:rPr>
          <w:rFonts w:ascii="Arial" w:hAnsi="Arial" w:cs="Arial"/>
        </w:rPr>
      </w:pPr>
      <w:r>
        <w:rPr>
          <w:rFonts w:ascii="Arial" w:hAnsi="Arial" w:cs="Arial"/>
        </w:rPr>
        <w:t xml:space="preserve">It should already be evident that this case cannot be considered from a single factual or legal perspective. A number of competing rights and interests are impacted and in turn they have broader ramifications which </w:t>
      </w:r>
      <w:r w:rsidR="00F86E32">
        <w:rPr>
          <w:rFonts w:ascii="Arial" w:hAnsi="Arial" w:cs="Arial"/>
        </w:rPr>
        <w:t xml:space="preserve">should not </w:t>
      </w:r>
      <w:r>
        <w:rPr>
          <w:rFonts w:ascii="Arial" w:hAnsi="Arial" w:cs="Arial"/>
        </w:rPr>
        <w:t xml:space="preserve">be overlooked.  </w:t>
      </w:r>
      <w:r w:rsidRPr="00FD5A63">
        <w:rPr>
          <w:rFonts w:ascii="Arial" w:hAnsi="Arial" w:cs="Arial"/>
          <w:highlight w:val="yellow"/>
        </w:rPr>
        <w:t xml:space="preserve"> </w:t>
      </w:r>
    </w:p>
    <w:p w:rsidR="00DF0667" w:rsidRDefault="00DF0667" w:rsidP="00DF0667">
      <w:pPr>
        <w:pStyle w:val="ListParagraph"/>
        <w:spacing w:line="360" w:lineRule="auto"/>
        <w:ind w:left="360"/>
        <w:rPr>
          <w:rFonts w:ascii="Arial" w:hAnsi="Arial" w:cs="Arial"/>
        </w:rPr>
      </w:pPr>
    </w:p>
    <w:p w:rsidR="001642FB" w:rsidRDefault="00DF0667" w:rsidP="00AF22DC">
      <w:pPr>
        <w:pStyle w:val="ListParagraph"/>
        <w:numPr>
          <w:ilvl w:val="0"/>
          <w:numId w:val="3"/>
        </w:numPr>
        <w:spacing w:line="360" w:lineRule="auto"/>
        <w:rPr>
          <w:rFonts w:ascii="Arial" w:hAnsi="Arial" w:cs="Arial"/>
        </w:rPr>
      </w:pPr>
      <w:r>
        <w:rPr>
          <w:rFonts w:ascii="Arial" w:hAnsi="Arial" w:cs="Arial"/>
        </w:rPr>
        <w:t xml:space="preserve">The </w:t>
      </w:r>
      <w:r w:rsidR="001642FB">
        <w:rPr>
          <w:rFonts w:ascii="Arial" w:hAnsi="Arial" w:cs="Arial"/>
        </w:rPr>
        <w:t xml:space="preserve">introductory paragraphs </w:t>
      </w:r>
      <w:r>
        <w:rPr>
          <w:rFonts w:ascii="Arial" w:hAnsi="Arial" w:cs="Arial"/>
        </w:rPr>
        <w:t xml:space="preserve">to this judgment reveal </w:t>
      </w:r>
      <w:r w:rsidR="001642FB">
        <w:rPr>
          <w:rFonts w:ascii="Arial" w:hAnsi="Arial" w:cs="Arial"/>
        </w:rPr>
        <w:t>tha</w:t>
      </w:r>
      <w:r w:rsidR="00891CDD">
        <w:rPr>
          <w:rFonts w:ascii="Arial" w:hAnsi="Arial" w:cs="Arial"/>
        </w:rPr>
        <w:t>t t</w:t>
      </w:r>
      <w:r w:rsidR="000B34BB">
        <w:rPr>
          <w:rFonts w:ascii="Arial" w:hAnsi="Arial" w:cs="Arial"/>
        </w:rPr>
        <w:t>he Metro has been involved in</w:t>
      </w:r>
      <w:r w:rsidR="001642FB">
        <w:rPr>
          <w:rFonts w:ascii="Arial" w:hAnsi="Arial" w:cs="Arial"/>
        </w:rPr>
        <w:t xml:space="preserve"> putting up a massive </w:t>
      </w:r>
      <w:r w:rsidR="00C06312">
        <w:rPr>
          <w:rFonts w:ascii="Arial" w:hAnsi="Arial" w:cs="Arial"/>
        </w:rPr>
        <w:t>housing</w:t>
      </w:r>
      <w:r w:rsidR="001642FB">
        <w:rPr>
          <w:rFonts w:ascii="Arial" w:hAnsi="Arial" w:cs="Arial"/>
        </w:rPr>
        <w:t xml:space="preserve"> development </w:t>
      </w:r>
      <w:r w:rsidR="00C06312">
        <w:rPr>
          <w:rFonts w:ascii="Arial" w:hAnsi="Arial" w:cs="Arial"/>
        </w:rPr>
        <w:t>consist</w:t>
      </w:r>
      <w:r w:rsidR="000B34BB">
        <w:rPr>
          <w:rFonts w:ascii="Arial" w:hAnsi="Arial" w:cs="Arial"/>
        </w:rPr>
        <w:t>ing</w:t>
      </w:r>
      <w:r w:rsidR="001642FB">
        <w:rPr>
          <w:rFonts w:ascii="Arial" w:hAnsi="Arial" w:cs="Arial"/>
        </w:rPr>
        <w:t xml:space="preserve"> of </w:t>
      </w:r>
      <w:r w:rsidR="00F86E32">
        <w:rPr>
          <w:rFonts w:ascii="Arial" w:hAnsi="Arial" w:cs="Arial"/>
        </w:rPr>
        <w:t xml:space="preserve">just under </w:t>
      </w:r>
      <w:r w:rsidR="001642FB">
        <w:rPr>
          <w:rFonts w:ascii="Arial" w:hAnsi="Arial" w:cs="Arial"/>
        </w:rPr>
        <w:t xml:space="preserve">6000 houses </w:t>
      </w:r>
      <w:r w:rsidR="00250AC1">
        <w:rPr>
          <w:rFonts w:ascii="Arial" w:hAnsi="Arial" w:cs="Arial"/>
        </w:rPr>
        <w:t>in respect to</w:t>
      </w:r>
      <w:r w:rsidR="000774C7">
        <w:rPr>
          <w:rFonts w:ascii="Arial" w:hAnsi="Arial" w:cs="Arial"/>
        </w:rPr>
        <w:t xml:space="preserve"> which</w:t>
      </w:r>
      <w:r w:rsidR="001642FB">
        <w:rPr>
          <w:rFonts w:ascii="Arial" w:hAnsi="Arial" w:cs="Arial"/>
        </w:rPr>
        <w:t xml:space="preserve"> only those</w:t>
      </w:r>
      <w:r w:rsidR="00D857D9">
        <w:rPr>
          <w:rFonts w:ascii="Arial" w:hAnsi="Arial" w:cs="Arial"/>
        </w:rPr>
        <w:t xml:space="preserve"> on a waiting list for RDP housing</w:t>
      </w:r>
      <w:r w:rsidR="001642FB">
        <w:rPr>
          <w:rFonts w:ascii="Arial" w:hAnsi="Arial" w:cs="Arial"/>
        </w:rPr>
        <w:t xml:space="preserve"> qualify.</w:t>
      </w:r>
      <w:r w:rsidR="00E01AB8">
        <w:rPr>
          <w:rFonts w:ascii="Arial" w:hAnsi="Arial" w:cs="Arial"/>
        </w:rPr>
        <w:t xml:space="preserve"> </w:t>
      </w:r>
    </w:p>
    <w:p w:rsidR="001642FB" w:rsidRDefault="001642FB" w:rsidP="001642FB">
      <w:pPr>
        <w:pStyle w:val="ListParagraph"/>
        <w:spacing w:line="360" w:lineRule="auto"/>
        <w:ind w:left="360"/>
        <w:rPr>
          <w:rFonts w:ascii="Arial" w:hAnsi="Arial" w:cs="Arial"/>
        </w:rPr>
      </w:pPr>
    </w:p>
    <w:p w:rsidR="00766DC3" w:rsidRPr="008C4115" w:rsidRDefault="00C06312" w:rsidP="008C4115">
      <w:pPr>
        <w:pStyle w:val="ListParagraph"/>
        <w:numPr>
          <w:ilvl w:val="0"/>
          <w:numId w:val="3"/>
        </w:numPr>
        <w:spacing w:line="360" w:lineRule="auto"/>
        <w:rPr>
          <w:rFonts w:ascii="Arial" w:hAnsi="Arial" w:cs="Arial"/>
          <w:i/>
        </w:rPr>
      </w:pPr>
      <w:r>
        <w:rPr>
          <w:rFonts w:ascii="Arial" w:hAnsi="Arial" w:cs="Arial"/>
        </w:rPr>
        <w:t xml:space="preserve">In </w:t>
      </w:r>
      <w:r w:rsidRPr="009B0064">
        <w:rPr>
          <w:rFonts w:ascii="Arial" w:hAnsi="Arial" w:cs="Arial"/>
          <w:i/>
        </w:rPr>
        <w:t>Thubakgale</w:t>
      </w:r>
      <w:r w:rsidR="00A520CD" w:rsidRPr="009B0064">
        <w:rPr>
          <w:rFonts w:ascii="Arial" w:hAnsi="Arial" w:cs="Arial"/>
          <w:i/>
        </w:rPr>
        <w:t xml:space="preserve"> and Others v Ekurhuleni Metropolitan Municipality </w:t>
      </w:r>
      <w:r w:rsidR="00A520CD" w:rsidRPr="008C4115">
        <w:rPr>
          <w:rFonts w:ascii="Arial" w:hAnsi="Arial" w:cs="Arial"/>
          <w:i/>
        </w:rPr>
        <w:t>and Others</w:t>
      </w:r>
      <w:r w:rsidR="00A520CD" w:rsidRPr="008C4115">
        <w:rPr>
          <w:rFonts w:ascii="Arial" w:hAnsi="Arial" w:cs="Arial"/>
        </w:rPr>
        <w:t xml:space="preserve"> [2021] ZACC 45</w:t>
      </w:r>
      <w:r w:rsidR="009B0064" w:rsidRPr="008C4115">
        <w:rPr>
          <w:rFonts w:ascii="Arial" w:hAnsi="Arial" w:cs="Arial"/>
        </w:rPr>
        <w:t xml:space="preserve">; 2022 (8) BCLR 985 (CC) </w:t>
      </w:r>
      <w:r w:rsidR="00F16CB5" w:rsidRPr="008C4115">
        <w:rPr>
          <w:rFonts w:ascii="Arial" w:hAnsi="Arial" w:cs="Arial"/>
        </w:rPr>
        <w:t xml:space="preserve">at paras 146 to 148 </w:t>
      </w:r>
      <w:r w:rsidR="00F76C03" w:rsidRPr="008C4115">
        <w:rPr>
          <w:rFonts w:ascii="Arial" w:hAnsi="Arial" w:cs="Arial"/>
        </w:rPr>
        <w:t xml:space="preserve">the majority </w:t>
      </w:r>
      <w:r w:rsidR="00A520CD" w:rsidRPr="008C4115">
        <w:rPr>
          <w:rFonts w:ascii="Arial" w:hAnsi="Arial" w:cs="Arial"/>
        </w:rPr>
        <w:t>decision of Jaf</w:t>
      </w:r>
      <w:r w:rsidRPr="008C4115">
        <w:rPr>
          <w:rFonts w:ascii="Arial" w:hAnsi="Arial" w:cs="Arial"/>
        </w:rPr>
        <w:t>t</w:t>
      </w:r>
      <w:r w:rsidR="00A520CD" w:rsidRPr="008C4115">
        <w:rPr>
          <w:rFonts w:ascii="Arial" w:hAnsi="Arial" w:cs="Arial"/>
        </w:rPr>
        <w:t xml:space="preserve">a J </w:t>
      </w:r>
      <w:r w:rsidR="00F76C03" w:rsidRPr="008C4115">
        <w:rPr>
          <w:rFonts w:ascii="Arial" w:hAnsi="Arial" w:cs="Arial"/>
        </w:rPr>
        <w:t xml:space="preserve">held that </w:t>
      </w:r>
      <w:r w:rsidR="00A520CD" w:rsidRPr="008C4115">
        <w:rPr>
          <w:rFonts w:ascii="Arial" w:hAnsi="Arial" w:cs="Arial"/>
        </w:rPr>
        <w:t>s 26</w:t>
      </w:r>
      <w:r w:rsidR="00766DC3" w:rsidRPr="008C4115">
        <w:rPr>
          <w:rFonts w:ascii="Arial" w:hAnsi="Arial" w:cs="Arial"/>
        </w:rPr>
        <w:t>(1)</w:t>
      </w:r>
      <w:r w:rsidR="00F16CB5" w:rsidRPr="008C4115">
        <w:rPr>
          <w:rFonts w:ascii="Arial" w:hAnsi="Arial" w:cs="Arial"/>
        </w:rPr>
        <w:t xml:space="preserve"> of the </w:t>
      </w:r>
      <w:r w:rsidR="00DA411B" w:rsidRPr="008C4115">
        <w:rPr>
          <w:rFonts w:ascii="Arial" w:hAnsi="Arial" w:cs="Arial"/>
        </w:rPr>
        <w:t>Constitution,</w:t>
      </w:r>
      <w:r w:rsidR="00A520CD" w:rsidRPr="008C4115">
        <w:rPr>
          <w:rFonts w:ascii="Arial" w:hAnsi="Arial" w:cs="Arial"/>
        </w:rPr>
        <w:t xml:space="preserve"> </w:t>
      </w:r>
      <w:r w:rsidR="00F16CB5" w:rsidRPr="008C4115">
        <w:rPr>
          <w:rFonts w:ascii="Arial" w:hAnsi="Arial" w:cs="Arial"/>
        </w:rPr>
        <w:t xml:space="preserve">which is to be read with </w:t>
      </w:r>
      <w:r w:rsidR="00250AC1">
        <w:rPr>
          <w:rFonts w:ascii="Arial" w:hAnsi="Arial" w:cs="Arial"/>
        </w:rPr>
        <w:t xml:space="preserve">  </w:t>
      </w:r>
      <w:r w:rsidR="00F16CB5" w:rsidRPr="008C4115">
        <w:rPr>
          <w:rFonts w:ascii="Arial" w:hAnsi="Arial" w:cs="Arial"/>
        </w:rPr>
        <w:t>s 26 (2</w:t>
      </w:r>
      <w:r w:rsidR="00DA411B" w:rsidRPr="008C4115">
        <w:rPr>
          <w:rFonts w:ascii="Arial" w:hAnsi="Arial" w:cs="Arial"/>
        </w:rPr>
        <w:t>), only</w:t>
      </w:r>
      <w:r w:rsidR="00A520CD" w:rsidRPr="008C4115">
        <w:rPr>
          <w:rFonts w:ascii="Arial" w:hAnsi="Arial" w:cs="Arial"/>
        </w:rPr>
        <w:t xml:space="preserve"> imposes a </w:t>
      </w:r>
      <w:r w:rsidR="00F76C03" w:rsidRPr="008C4115">
        <w:rPr>
          <w:rFonts w:ascii="Arial" w:hAnsi="Arial" w:cs="Arial"/>
        </w:rPr>
        <w:t xml:space="preserve">negative obligation not to interfere </w:t>
      </w:r>
      <w:r w:rsidR="00F16CB5" w:rsidRPr="008C4115">
        <w:rPr>
          <w:rFonts w:ascii="Arial" w:hAnsi="Arial" w:cs="Arial"/>
        </w:rPr>
        <w:t>with the enjoyment of the right</w:t>
      </w:r>
      <w:r w:rsidR="0035217F" w:rsidRPr="008C4115">
        <w:rPr>
          <w:rFonts w:ascii="Arial" w:hAnsi="Arial" w:cs="Arial"/>
        </w:rPr>
        <w:t xml:space="preserve"> to housing</w:t>
      </w:r>
      <w:r w:rsidR="0062675E" w:rsidRPr="008C4115">
        <w:rPr>
          <w:rFonts w:ascii="Arial" w:hAnsi="Arial" w:cs="Arial"/>
        </w:rPr>
        <w:t xml:space="preserve">. This is </w:t>
      </w:r>
      <w:r w:rsidR="00F16CB5" w:rsidRPr="008C4115">
        <w:rPr>
          <w:rFonts w:ascii="Arial" w:hAnsi="Arial" w:cs="Arial"/>
        </w:rPr>
        <w:t>because s</w:t>
      </w:r>
      <w:r w:rsidR="00766DC3" w:rsidRPr="008C4115">
        <w:rPr>
          <w:rFonts w:ascii="Arial" w:hAnsi="Arial" w:cs="Arial"/>
        </w:rPr>
        <w:t xml:space="preserve"> 26(</w:t>
      </w:r>
      <w:r w:rsidR="00F16CB5" w:rsidRPr="008C4115">
        <w:rPr>
          <w:rFonts w:ascii="Arial" w:hAnsi="Arial" w:cs="Arial"/>
        </w:rPr>
        <w:t>1</w:t>
      </w:r>
      <w:r w:rsidR="00766DC3" w:rsidRPr="008C4115">
        <w:rPr>
          <w:rFonts w:ascii="Arial" w:hAnsi="Arial" w:cs="Arial"/>
        </w:rPr>
        <w:t>) does not give rise to a</w:t>
      </w:r>
      <w:r w:rsidR="000774C7" w:rsidRPr="008C4115">
        <w:rPr>
          <w:rFonts w:ascii="Arial" w:hAnsi="Arial" w:cs="Arial"/>
        </w:rPr>
        <w:t>n enforceable</w:t>
      </w:r>
      <w:r w:rsidR="00766DC3" w:rsidRPr="008C4115">
        <w:rPr>
          <w:rFonts w:ascii="Arial" w:hAnsi="Arial" w:cs="Arial"/>
        </w:rPr>
        <w:t xml:space="preserve"> self-standing and indepe</w:t>
      </w:r>
      <w:r w:rsidR="000774C7" w:rsidRPr="008C4115">
        <w:rPr>
          <w:rFonts w:ascii="Arial" w:hAnsi="Arial" w:cs="Arial"/>
        </w:rPr>
        <w:t>ndent positive right</w:t>
      </w:r>
      <w:r w:rsidR="00250AC1">
        <w:rPr>
          <w:rFonts w:ascii="Arial" w:hAnsi="Arial" w:cs="Arial"/>
        </w:rPr>
        <w:t xml:space="preserve">, but is subject to </w:t>
      </w:r>
      <w:r w:rsidR="00766DC3" w:rsidRPr="008C4115">
        <w:rPr>
          <w:rFonts w:ascii="Arial" w:hAnsi="Arial" w:cs="Arial"/>
        </w:rPr>
        <w:t xml:space="preserve">the considerations </w:t>
      </w:r>
      <w:r w:rsidR="00766DC3" w:rsidRPr="008C4115">
        <w:rPr>
          <w:rFonts w:ascii="Arial" w:hAnsi="Arial" w:cs="Arial"/>
        </w:rPr>
        <w:lastRenderedPageBreak/>
        <w:t xml:space="preserve">mentioned in </w:t>
      </w:r>
      <w:r w:rsidRPr="008C4115">
        <w:rPr>
          <w:rFonts w:ascii="Arial" w:hAnsi="Arial" w:cs="Arial"/>
        </w:rPr>
        <w:t>sub</w:t>
      </w:r>
      <w:r w:rsidR="0035217F" w:rsidRPr="008C4115">
        <w:rPr>
          <w:rFonts w:ascii="Arial" w:hAnsi="Arial" w:cs="Arial"/>
        </w:rPr>
        <w:t>section</w:t>
      </w:r>
      <w:r w:rsidRPr="008C4115">
        <w:rPr>
          <w:rFonts w:ascii="Arial" w:hAnsi="Arial" w:cs="Arial"/>
        </w:rPr>
        <w:t xml:space="preserve"> (</w:t>
      </w:r>
      <w:r w:rsidR="00F16CB5" w:rsidRPr="008C4115">
        <w:rPr>
          <w:rFonts w:ascii="Arial" w:hAnsi="Arial" w:cs="Arial"/>
        </w:rPr>
        <w:t>2)</w:t>
      </w:r>
      <w:r w:rsidR="00250AC1">
        <w:rPr>
          <w:rFonts w:ascii="Arial" w:hAnsi="Arial" w:cs="Arial"/>
        </w:rPr>
        <w:t xml:space="preserve"> </w:t>
      </w:r>
      <w:r w:rsidR="00766DC3" w:rsidRPr="008C4115">
        <w:rPr>
          <w:rFonts w:ascii="Arial" w:hAnsi="Arial" w:cs="Arial"/>
        </w:rPr>
        <w:t xml:space="preserve">to take reasonable legislative and other measures to realise the right of access to adequate housing. </w:t>
      </w:r>
      <w:r w:rsidR="00F16CB5" w:rsidRPr="008C4115">
        <w:rPr>
          <w:rFonts w:ascii="Arial" w:hAnsi="Arial" w:cs="Arial"/>
        </w:rPr>
        <w:t xml:space="preserve"> </w:t>
      </w:r>
      <w:r w:rsidR="00766DC3" w:rsidRPr="008C4115">
        <w:rPr>
          <w:rFonts w:ascii="Arial" w:hAnsi="Arial" w:cs="Arial"/>
        </w:rPr>
        <w:t xml:space="preserve">Jafta J expressed it in the following terms at para 149; </w:t>
      </w:r>
    </w:p>
    <w:p w:rsidR="00766DC3" w:rsidRDefault="00766DC3" w:rsidP="00766DC3">
      <w:pPr>
        <w:spacing w:line="360" w:lineRule="auto"/>
        <w:ind w:firstLine="720"/>
        <w:rPr>
          <w:rFonts w:ascii="Arial" w:hAnsi="Arial" w:cs="Arial"/>
        </w:rPr>
      </w:pPr>
    </w:p>
    <w:p w:rsidR="001642FB" w:rsidRPr="00766DC3" w:rsidRDefault="00766DC3" w:rsidP="00766DC3">
      <w:pPr>
        <w:spacing w:line="360" w:lineRule="auto"/>
        <w:ind w:left="720"/>
        <w:rPr>
          <w:rFonts w:ascii="Arial" w:hAnsi="Arial" w:cs="Arial"/>
        </w:rPr>
      </w:pPr>
      <w:r>
        <w:rPr>
          <w:rFonts w:ascii="Arial" w:hAnsi="Arial" w:cs="Arial"/>
        </w:rPr>
        <w:t>“</w:t>
      </w:r>
      <w:r w:rsidRPr="00766DC3">
        <w:rPr>
          <w:rFonts w:ascii="Arial" w:hAnsi="Arial" w:cs="Arial"/>
          <w:i/>
        </w:rPr>
        <w:t>It is the open-endedness of this obligation, which rules out direct enforcement. Without direct enforcement there can be no legal basis for concluding that certain individuals must be given houses by a particular date. That proposition cannot flow from section 26(2) as interpreted by this Court</w:t>
      </w:r>
      <w:r w:rsidRPr="00766DC3">
        <w:rPr>
          <w:rFonts w:ascii="Arial" w:hAnsi="Arial" w:cs="Arial"/>
        </w:rPr>
        <w:t>.</w:t>
      </w:r>
      <w:r>
        <w:rPr>
          <w:rFonts w:ascii="Arial" w:hAnsi="Arial" w:cs="Arial"/>
        </w:rPr>
        <w:t>”</w:t>
      </w:r>
      <w:r>
        <w:rPr>
          <w:rStyle w:val="FootnoteReference"/>
          <w:rFonts w:ascii="Arial" w:hAnsi="Arial" w:cs="Arial"/>
        </w:rPr>
        <w:footnoteReference w:id="12"/>
      </w:r>
      <w:r w:rsidR="00A520CD" w:rsidRPr="00766DC3">
        <w:rPr>
          <w:rFonts w:ascii="Arial" w:hAnsi="Arial" w:cs="Arial"/>
        </w:rPr>
        <w:t xml:space="preserve"> </w:t>
      </w:r>
    </w:p>
    <w:p w:rsidR="008969CB" w:rsidRDefault="008969CB" w:rsidP="00A43FE4">
      <w:pPr>
        <w:pStyle w:val="ListParagraph"/>
        <w:spacing w:line="360" w:lineRule="auto"/>
        <w:ind w:left="360"/>
        <w:rPr>
          <w:rFonts w:ascii="Arial" w:hAnsi="Arial" w:cs="Arial"/>
        </w:rPr>
      </w:pPr>
    </w:p>
    <w:p w:rsidR="00A43FE4" w:rsidRDefault="0062675E" w:rsidP="00A43FE4">
      <w:pPr>
        <w:pStyle w:val="ListParagraph"/>
        <w:spacing w:line="360" w:lineRule="auto"/>
        <w:ind w:left="360"/>
        <w:rPr>
          <w:rFonts w:ascii="Arial" w:hAnsi="Arial" w:cs="Arial"/>
        </w:rPr>
      </w:pPr>
      <w:r>
        <w:rPr>
          <w:rFonts w:ascii="Arial" w:hAnsi="Arial" w:cs="Arial"/>
        </w:rPr>
        <w:t>The minority view expressed by Majiedt J in</w:t>
      </w:r>
      <w:r w:rsidR="00F76C03">
        <w:rPr>
          <w:rFonts w:ascii="Arial" w:hAnsi="Arial" w:cs="Arial"/>
        </w:rPr>
        <w:t xml:space="preserve"> </w:t>
      </w:r>
      <w:r w:rsidR="00C06312" w:rsidRPr="0062675E">
        <w:rPr>
          <w:rFonts w:ascii="Arial" w:hAnsi="Arial" w:cs="Arial"/>
          <w:i/>
        </w:rPr>
        <w:t xml:space="preserve">Thubakgale </w:t>
      </w:r>
      <w:r w:rsidR="00C06312">
        <w:rPr>
          <w:rFonts w:ascii="Arial" w:hAnsi="Arial" w:cs="Arial"/>
          <w:i/>
        </w:rPr>
        <w:t>was</w:t>
      </w:r>
      <w:r>
        <w:rPr>
          <w:rFonts w:ascii="Arial" w:hAnsi="Arial" w:cs="Arial"/>
        </w:rPr>
        <w:t xml:space="preserve"> that the State </w:t>
      </w:r>
      <w:r w:rsidR="00C06312">
        <w:rPr>
          <w:rFonts w:ascii="Arial" w:hAnsi="Arial" w:cs="Arial"/>
        </w:rPr>
        <w:t>had</w:t>
      </w:r>
      <w:r>
        <w:rPr>
          <w:rFonts w:ascii="Arial" w:hAnsi="Arial" w:cs="Arial"/>
        </w:rPr>
        <w:t xml:space="preserve"> already taken </w:t>
      </w:r>
      <w:r w:rsidRPr="0062675E">
        <w:rPr>
          <w:rFonts w:ascii="Arial" w:hAnsi="Arial" w:cs="Arial"/>
        </w:rPr>
        <w:t>reasonable legislative measures to progressively realise the right to housing</w:t>
      </w:r>
      <w:r w:rsidR="009B0064">
        <w:rPr>
          <w:rFonts w:ascii="Arial" w:hAnsi="Arial" w:cs="Arial"/>
        </w:rPr>
        <w:t>,</w:t>
      </w:r>
      <w:r>
        <w:rPr>
          <w:rFonts w:ascii="Arial" w:hAnsi="Arial" w:cs="Arial"/>
        </w:rPr>
        <w:t xml:space="preserve"> through the</w:t>
      </w:r>
      <w:r w:rsidRPr="0062675E">
        <w:rPr>
          <w:rFonts w:ascii="Arial" w:hAnsi="Arial" w:cs="Arial"/>
        </w:rPr>
        <w:t xml:space="preserve"> Housing Act and the National Housing Code</w:t>
      </w:r>
      <w:r w:rsidR="009B0064">
        <w:rPr>
          <w:rFonts w:ascii="Arial" w:hAnsi="Arial" w:cs="Arial"/>
        </w:rPr>
        <w:t>,</w:t>
      </w:r>
      <w:r>
        <w:rPr>
          <w:rFonts w:ascii="Arial" w:hAnsi="Arial" w:cs="Arial"/>
        </w:rPr>
        <w:t xml:space="preserve"> and established vested rights on which the </w:t>
      </w:r>
      <w:r w:rsidR="00C06312">
        <w:rPr>
          <w:rFonts w:ascii="Arial" w:hAnsi="Arial" w:cs="Arial"/>
        </w:rPr>
        <w:t>applicants</w:t>
      </w:r>
      <w:r>
        <w:rPr>
          <w:rFonts w:ascii="Arial" w:hAnsi="Arial" w:cs="Arial"/>
        </w:rPr>
        <w:t xml:space="preserve"> could rely </w:t>
      </w:r>
      <w:r w:rsidR="00A43FE4">
        <w:rPr>
          <w:rFonts w:ascii="Arial" w:hAnsi="Arial" w:cs="Arial"/>
        </w:rPr>
        <w:t xml:space="preserve">and could enforce. </w:t>
      </w:r>
      <w:r w:rsidR="00C06312">
        <w:rPr>
          <w:rFonts w:ascii="Arial" w:hAnsi="Arial" w:cs="Arial"/>
        </w:rPr>
        <w:t>Accordingly,</w:t>
      </w:r>
      <w:r w:rsidR="00A43FE4">
        <w:rPr>
          <w:rFonts w:ascii="Arial" w:hAnsi="Arial" w:cs="Arial"/>
        </w:rPr>
        <w:t xml:space="preserve"> the minority judgment </w:t>
      </w:r>
      <w:r>
        <w:rPr>
          <w:rFonts w:ascii="Arial" w:hAnsi="Arial" w:cs="Arial"/>
        </w:rPr>
        <w:t xml:space="preserve">  </w:t>
      </w:r>
      <w:r w:rsidR="00A43FE4">
        <w:rPr>
          <w:rFonts w:ascii="Arial" w:hAnsi="Arial" w:cs="Arial"/>
        </w:rPr>
        <w:t xml:space="preserve">considered that it was not dealing with </w:t>
      </w:r>
      <w:r w:rsidR="00F86E32">
        <w:rPr>
          <w:rFonts w:ascii="Arial" w:hAnsi="Arial" w:cs="Arial"/>
        </w:rPr>
        <w:t xml:space="preserve">the situation </w:t>
      </w:r>
      <w:r w:rsidR="00A43FE4">
        <w:rPr>
          <w:rFonts w:ascii="Arial" w:hAnsi="Arial" w:cs="Arial"/>
        </w:rPr>
        <w:t xml:space="preserve">where the </w:t>
      </w:r>
      <w:r w:rsidR="00C06312">
        <w:rPr>
          <w:rFonts w:ascii="Arial" w:hAnsi="Arial" w:cs="Arial"/>
        </w:rPr>
        <w:t>State</w:t>
      </w:r>
      <w:r w:rsidR="0035217F">
        <w:rPr>
          <w:rFonts w:ascii="Arial" w:hAnsi="Arial" w:cs="Arial"/>
        </w:rPr>
        <w:t xml:space="preserve"> had failed to take </w:t>
      </w:r>
      <w:r w:rsidR="00C06312">
        <w:rPr>
          <w:rFonts w:ascii="Arial" w:hAnsi="Arial" w:cs="Arial"/>
        </w:rPr>
        <w:t>reasonable legislative</w:t>
      </w:r>
      <w:r w:rsidR="00A43FE4">
        <w:rPr>
          <w:rFonts w:ascii="Arial" w:hAnsi="Arial" w:cs="Arial"/>
        </w:rPr>
        <w:t xml:space="preserve"> measures </w:t>
      </w:r>
      <w:r w:rsidR="00A43FE4" w:rsidRPr="00A43FE4">
        <w:rPr>
          <w:rFonts w:ascii="Arial" w:hAnsi="Arial" w:cs="Arial"/>
        </w:rPr>
        <w:t>to progressive</w:t>
      </w:r>
      <w:r w:rsidR="00A43FE4">
        <w:rPr>
          <w:rFonts w:ascii="Arial" w:hAnsi="Arial" w:cs="Arial"/>
        </w:rPr>
        <w:t xml:space="preserve">ly realise the right to housing, </w:t>
      </w:r>
      <w:r w:rsidR="00C06312">
        <w:rPr>
          <w:rFonts w:ascii="Arial" w:hAnsi="Arial" w:cs="Arial"/>
        </w:rPr>
        <w:t>because</w:t>
      </w:r>
      <w:r w:rsidR="00A43FE4">
        <w:rPr>
          <w:rFonts w:ascii="Arial" w:hAnsi="Arial" w:cs="Arial"/>
        </w:rPr>
        <w:t xml:space="preserve"> it had </w:t>
      </w:r>
      <w:r w:rsidR="009B0064">
        <w:rPr>
          <w:rFonts w:ascii="Arial" w:hAnsi="Arial" w:cs="Arial"/>
        </w:rPr>
        <w:t xml:space="preserve">already </w:t>
      </w:r>
      <w:r w:rsidR="00A43FE4">
        <w:rPr>
          <w:rFonts w:ascii="Arial" w:hAnsi="Arial" w:cs="Arial"/>
        </w:rPr>
        <w:t xml:space="preserve">taken </w:t>
      </w:r>
      <w:r w:rsidR="00C06312">
        <w:rPr>
          <w:rFonts w:ascii="Arial" w:hAnsi="Arial" w:cs="Arial"/>
        </w:rPr>
        <w:t>such</w:t>
      </w:r>
      <w:r w:rsidR="0035217F">
        <w:rPr>
          <w:rFonts w:ascii="Arial" w:hAnsi="Arial" w:cs="Arial"/>
        </w:rPr>
        <w:t xml:space="preserve"> measures</w:t>
      </w:r>
      <w:r w:rsidR="00A43FE4">
        <w:rPr>
          <w:rFonts w:ascii="Arial" w:hAnsi="Arial" w:cs="Arial"/>
        </w:rPr>
        <w:t xml:space="preserve">, but rather </w:t>
      </w:r>
      <w:r w:rsidR="00891CDD">
        <w:rPr>
          <w:rFonts w:ascii="Arial" w:hAnsi="Arial" w:cs="Arial"/>
        </w:rPr>
        <w:t xml:space="preserve">that </w:t>
      </w:r>
      <w:r w:rsidR="00A43FE4">
        <w:rPr>
          <w:rFonts w:ascii="Arial" w:hAnsi="Arial" w:cs="Arial"/>
        </w:rPr>
        <w:t xml:space="preserve">it had </w:t>
      </w:r>
      <w:r w:rsidRPr="0062675E">
        <w:rPr>
          <w:rFonts w:ascii="Arial" w:hAnsi="Arial" w:cs="Arial"/>
        </w:rPr>
        <w:t xml:space="preserve">failed to meet its obligations </w:t>
      </w:r>
      <w:r w:rsidR="00A43FE4">
        <w:rPr>
          <w:rFonts w:ascii="Arial" w:hAnsi="Arial" w:cs="Arial"/>
        </w:rPr>
        <w:t xml:space="preserve">established under such legislation </w:t>
      </w:r>
      <w:r w:rsidR="00891CDD">
        <w:rPr>
          <w:rFonts w:ascii="Arial" w:hAnsi="Arial" w:cs="Arial"/>
        </w:rPr>
        <w:t>(</w:t>
      </w:r>
      <w:r w:rsidR="00A43FE4">
        <w:rPr>
          <w:rFonts w:ascii="Arial" w:hAnsi="Arial" w:cs="Arial"/>
        </w:rPr>
        <w:t>being the Housing Act and National Housing Code</w:t>
      </w:r>
      <w:r w:rsidR="00891CDD">
        <w:rPr>
          <w:rFonts w:ascii="Arial" w:hAnsi="Arial" w:cs="Arial"/>
        </w:rPr>
        <w:t>)</w:t>
      </w:r>
      <w:r w:rsidR="00A43FE4">
        <w:rPr>
          <w:rFonts w:ascii="Arial" w:hAnsi="Arial" w:cs="Arial"/>
        </w:rPr>
        <w:t>.</w:t>
      </w:r>
    </w:p>
    <w:p w:rsidR="00891CDD" w:rsidRDefault="00891CDD" w:rsidP="001642FB">
      <w:pPr>
        <w:pStyle w:val="ListParagraph"/>
        <w:spacing w:line="360" w:lineRule="auto"/>
        <w:ind w:left="360"/>
        <w:rPr>
          <w:rFonts w:ascii="Arial" w:hAnsi="Arial" w:cs="Arial"/>
        </w:rPr>
      </w:pPr>
    </w:p>
    <w:p w:rsidR="00891CDD" w:rsidRDefault="00A43FE4" w:rsidP="00AF22DC">
      <w:pPr>
        <w:pStyle w:val="ListParagraph"/>
        <w:numPr>
          <w:ilvl w:val="0"/>
          <w:numId w:val="3"/>
        </w:numPr>
        <w:spacing w:line="360" w:lineRule="auto"/>
        <w:rPr>
          <w:rFonts w:ascii="Arial" w:hAnsi="Arial" w:cs="Arial"/>
        </w:rPr>
      </w:pPr>
      <w:r>
        <w:rPr>
          <w:rFonts w:ascii="Arial" w:hAnsi="Arial" w:cs="Arial"/>
        </w:rPr>
        <w:t xml:space="preserve">The case before the Constitutional Court concerned </w:t>
      </w:r>
      <w:r w:rsidR="0062675E" w:rsidRPr="0062675E">
        <w:rPr>
          <w:rFonts w:ascii="Arial" w:hAnsi="Arial" w:cs="Arial"/>
        </w:rPr>
        <w:t xml:space="preserve">subsidies </w:t>
      </w:r>
      <w:r>
        <w:rPr>
          <w:rFonts w:ascii="Arial" w:hAnsi="Arial" w:cs="Arial"/>
        </w:rPr>
        <w:t>which had already been allocated to the applicants under housing legislation</w:t>
      </w:r>
      <w:r w:rsidR="00F86E32">
        <w:rPr>
          <w:rFonts w:ascii="Arial" w:hAnsi="Arial" w:cs="Arial"/>
        </w:rPr>
        <w:t>,</w:t>
      </w:r>
      <w:r>
        <w:rPr>
          <w:rFonts w:ascii="Arial" w:hAnsi="Arial" w:cs="Arial"/>
        </w:rPr>
        <w:t xml:space="preserve"> but because of</w:t>
      </w:r>
      <w:r w:rsidR="00891CDD">
        <w:rPr>
          <w:rFonts w:ascii="Arial" w:hAnsi="Arial" w:cs="Arial"/>
        </w:rPr>
        <w:t xml:space="preserve"> </w:t>
      </w:r>
      <w:r w:rsidRPr="00891CDD">
        <w:rPr>
          <w:rFonts w:ascii="Arial" w:hAnsi="Arial" w:cs="Arial"/>
        </w:rPr>
        <w:t>“</w:t>
      </w:r>
      <w:r w:rsidR="0062675E" w:rsidRPr="00891CDD">
        <w:rPr>
          <w:rFonts w:ascii="Arial" w:hAnsi="Arial" w:cs="Arial"/>
          <w:i/>
        </w:rPr>
        <w:t>the egregious failure of the Municipality, qua organ of state, to comply with its constitutional obligation to give effect to the right to housing, as encapsulated in the reas</w:t>
      </w:r>
      <w:r w:rsidRPr="00891CDD">
        <w:rPr>
          <w:rFonts w:ascii="Arial" w:hAnsi="Arial" w:cs="Arial"/>
          <w:i/>
        </w:rPr>
        <w:t>onable measures enacted by the State”</w:t>
      </w:r>
      <w:r>
        <w:rPr>
          <w:rStyle w:val="FootnoteReference"/>
          <w:rFonts w:ascii="Arial" w:hAnsi="Arial" w:cs="Arial"/>
          <w:i/>
        </w:rPr>
        <w:footnoteReference w:id="13"/>
      </w:r>
      <w:r w:rsidR="00891CDD">
        <w:rPr>
          <w:rFonts w:ascii="Arial" w:hAnsi="Arial" w:cs="Arial"/>
          <w:i/>
        </w:rPr>
        <w:t xml:space="preserve"> </w:t>
      </w:r>
      <w:r w:rsidR="00EE2C3B">
        <w:rPr>
          <w:rFonts w:ascii="Arial" w:hAnsi="Arial" w:cs="Arial"/>
        </w:rPr>
        <w:t>Ma</w:t>
      </w:r>
      <w:r w:rsidR="000774C7">
        <w:rPr>
          <w:rFonts w:ascii="Arial" w:hAnsi="Arial" w:cs="Arial"/>
        </w:rPr>
        <w:t>jie</w:t>
      </w:r>
      <w:r w:rsidR="00EE2C3B">
        <w:rPr>
          <w:rFonts w:ascii="Arial" w:hAnsi="Arial" w:cs="Arial"/>
        </w:rPr>
        <w:t>d</w:t>
      </w:r>
      <w:r w:rsidR="000774C7">
        <w:rPr>
          <w:rFonts w:ascii="Arial" w:hAnsi="Arial" w:cs="Arial"/>
        </w:rPr>
        <w:t xml:space="preserve">t J considered that they </w:t>
      </w:r>
      <w:r w:rsidR="006919A7" w:rsidRPr="00891CDD">
        <w:rPr>
          <w:rFonts w:ascii="Arial" w:hAnsi="Arial" w:cs="Arial"/>
        </w:rPr>
        <w:t xml:space="preserve"> were entitled to an effective remedy for the infringement of “</w:t>
      </w:r>
      <w:r w:rsidR="006919A7" w:rsidRPr="00891CDD">
        <w:rPr>
          <w:rFonts w:ascii="Arial" w:hAnsi="Arial" w:cs="Arial"/>
          <w:i/>
        </w:rPr>
        <w:t>their vested rights to a house, granted more than 20 years ago in terms of the national housing policy</w:t>
      </w:r>
      <w:r w:rsidR="006919A7" w:rsidRPr="00891CDD">
        <w:rPr>
          <w:rFonts w:ascii="Arial" w:hAnsi="Arial" w:cs="Arial"/>
        </w:rPr>
        <w:t xml:space="preserve">”. </w:t>
      </w:r>
    </w:p>
    <w:p w:rsidR="00891CDD" w:rsidRDefault="00891CDD" w:rsidP="00891CDD">
      <w:pPr>
        <w:pStyle w:val="ListParagraph"/>
        <w:spacing w:line="360" w:lineRule="auto"/>
        <w:ind w:left="360"/>
        <w:rPr>
          <w:rFonts w:ascii="Arial" w:hAnsi="Arial" w:cs="Arial"/>
        </w:rPr>
      </w:pPr>
    </w:p>
    <w:p w:rsidR="006919A7" w:rsidRPr="00891CDD" w:rsidRDefault="00C06312" w:rsidP="00891CDD">
      <w:pPr>
        <w:pStyle w:val="ListParagraph"/>
        <w:spacing w:line="360" w:lineRule="auto"/>
        <w:ind w:left="360"/>
        <w:rPr>
          <w:rFonts w:ascii="Arial" w:hAnsi="Arial" w:cs="Arial"/>
        </w:rPr>
      </w:pPr>
      <w:r w:rsidRPr="00891CDD">
        <w:rPr>
          <w:rFonts w:ascii="Arial" w:hAnsi="Arial" w:cs="Arial"/>
        </w:rPr>
        <w:t>Majiedt</w:t>
      </w:r>
      <w:r w:rsidR="006919A7" w:rsidRPr="00891CDD">
        <w:rPr>
          <w:rFonts w:ascii="Arial" w:hAnsi="Arial" w:cs="Arial"/>
        </w:rPr>
        <w:t xml:space="preserve"> J also referred in this context to section 237 of the Constitution which requires that all “</w:t>
      </w:r>
      <w:r w:rsidR="006919A7" w:rsidRPr="00891CDD">
        <w:rPr>
          <w:rFonts w:ascii="Arial" w:hAnsi="Arial" w:cs="Arial"/>
          <w:i/>
        </w:rPr>
        <w:t>constitutional obligations must be performed diligently and without delay</w:t>
      </w:r>
      <w:r w:rsidR="006919A7" w:rsidRPr="00891CDD">
        <w:rPr>
          <w:rFonts w:ascii="Arial" w:hAnsi="Arial" w:cs="Arial"/>
        </w:rPr>
        <w:t xml:space="preserve">” and </w:t>
      </w:r>
      <w:r w:rsidRPr="00891CDD">
        <w:rPr>
          <w:rFonts w:ascii="Arial" w:hAnsi="Arial" w:cs="Arial"/>
        </w:rPr>
        <w:t xml:space="preserve">cited </w:t>
      </w:r>
      <w:r w:rsidRPr="00891CDD">
        <w:rPr>
          <w:rFonts w:ascii="Arial" w:hAnsi="Arial" w:cs="Arial"/>
          <w:i/>
        </w:rPr>
        <w:t>Nokotyana</w:t>
      </w:r>
      <w:r w:rsidR="00EE2CEE" w:rsidRPr="00891CDD">
        <w:rPr>
          <w:rFonts w:ascii="Arial" w:hAnsi="Arial" w:cs="Arial"/>
          <w:i/>
        </w:rPr>
        <w:t xml:space="preserve"> v Ekurhuleni Metropolitan Municipality </w:t>
      </w:r>
      <w:r w:rsidR="00EE2CEE" w:rsidRPr="00891CDD">
        <w:rPr>
          <w:rFonts w:ascii="Arial" w:hAnsi="Arial" w:cs="Arial"/>
        </w:rPr>
        <w:t xml:space="preserve">[2009] </w:t>
      </w:r>
      <w:r w:rsidR="00EE2CEE" w:rsidRPr="00891CDD">
        <w:rPr>
          <w:rFonts w:ascii="Arial" w:hAnsi="Arial" w:cs="Arial"/>
        </w:rPr>
        <w:lastRenderedPageBreak/>
        <w:t xml:space="preserve">ZACC 33; 2010 (4) BCLR </w:t>
      </w:r>
      <w:r w:rsidR="009B0064" w:rsidRPr="00891CDD">
        <w:rPr>
          <w:rFonts w:ascii="Arial" w:hAnsi="Arial" w:cs="Arial"/>
        </w:rPr>
        <w:t>312 (CC)</w:t>
      </w:r>
      <w:r w:rsidR="00EE2CEE" w:rsidRPr="00891CDD">
        <w:rPr>
          <w:rFonts w:ascii="Arial" w:hAnsi="Arial" w:cs="Arial"/>
        </w:rPr>
        <w:t xml:space="preserve"> </w:t>
      </w:r>
      <w:r w:rsidR="006919A7" w:rsidRPr="00891CDD">
        <w:rPr>
          <w:rFonts w:ascii="Arial" w:hAnsi="Arial" w:cs="Arial"/>
        </w:rPr>
        <w:t xml:space="preserve"> as </w:t>
      </w:r>
      <w:r w:rsidRPr="00891CDD">
        <w:rPr>
          <w:rFonts w:ascii="Arial" w:hAnsi="Arial" w:cs="Arial"/>
        </w:rPr>
        <w:t>authority which</w:t>
      </w:r>
      <w:r w:rsidR="006919A7" w:rsidRPr="00891CDD">
        <w:rPr>
          <w:rFonts w:ascii="Arial" w:hAnsi="Arial" w:cs="Arial"/>
        </w:rPr>
        <w:t xml:space="preserve"> “</w:t>
      </w:r>
      <w:r w:rsidR="006919A7" w:rsidRPr="00891CDD">
        <w:rPr>
          <w:rFonts w:ascii="Arial" w:hAnsi="Arial" w:cs="Arial"/>
          <w:i/>
        </w:rPr>
        <w:t>establishes a close relationship bet</w:t>
      </w:r>
      <w:r w:rsidR="00EE2CEE" w:rsidRPr="00891CDD">
        <w:rPr>
          <w:rFonts w:ascii="Arial" w:hAnsi="Arial" w:cs="Arial"/>
          <w:i/>
        </w:rPr>
        <w:t xml:space="preserve">ween socio-economic rights and </w:t>
      </w:r>
      <w:r w:rsidR="006919A7" w:rsidRPr="00891CDD">
        <w:rPr>
          <w:rFonts w:ascii="Arial" w:hAnsi="Arial" w:cs="Arial"/>
          <w:i/>
        </w:rPr>
        <w:t>section 237 of the Constitution</w:t>
      </w:r>
      <w:r w:rsidR="006919A7" w:rsidRPr="00891CDD">
        <w:rPr>
          <w:rFonts w:ascii="Arial" w:hAnsi="Arial" w:cs="Arial"/>
        </w:rPr>
        <w:t>”</w:t>
      </w:r>
      <w:r w:rsidR="00891CDD">
        <w:rPr>
          <w:rFonts w:ascii="Arial" w:hAnsi="Arial" w:cs="Arial"/>
        </w:rPr>
        <w:t>.</w:t>
      </w:r>
      <w:r w:rsidR="00EE2CEE">
        <w:rPr>
          <w:rStyle w:val="FootnoteReference"/>
          <w:rFonts w:ascii="Arial" w:hAnsi="Arial" w:cs="Arial"/>
        </w:rPr>
        <w:footnoteReference w:id="14"/>
      </w:r>
    </w:p>
    <w:p w:rsidR="0062675E" w:rsidRDefault="0062675E" w:rsidP="001642FB">
      <w:pPr>
        <w:pStyle w:val="ListParagraph"/>
        <w:spacing w:line="360" w:lineRule="auto"/>
        <w:ind w:left="360"/>
        <w:rPr>
          <w:rFonts w:ascii="Arial" w:hAnsi="Arial" w:cs="Arial"/>
        </w:rPr>
      </w:pPr>
    </w:p>
    <w:p w:rsidR="00FB5B3B" w:rsidRDefault="00891CDD" w:rsidP="00AF22DC">
      <w:pPr>
        <w:pStyle w:val="ListParagraph"/>
        <w:numPr>
          <w:ilvl w:val="0"/>
          <w:numId w:val="3"/>
        </w:numPr>
        <w:spacing w:line="360" w:lineRule="auto"/>
        <w:rPr>
          <w:rFonts w:ascii="Arial" w:hAnsi="Arial" w:cs="Arial"/>
        </w:rPr>
      </w:pPr>
      <w:r>
        <w:rPr>
          <w:rFonts w:ascii="Arial" w:hAnsi="Arial" w:cs="Arial"/>
        </w:rPr>
        <w:t xml:space="preserve">As I understand it, </w:t>
      </w:r>
      <w:r w:rsidR="00EE2CEE">
        <w:rPr>
          <w:rFonts w:ascii="Arial" w:hAnsi="Arial" w:cs="Arial"/>
        </w:rPr>
        <w:t xml:space="preserve">the decision of </w:t>
      </w:r>
      <w:r w:rsidR="00C06312" w:rsidRPr="00EE2CEE">
        <w:rPr>
          <w:rFonts w:ascii="Arial" w:hAnsi="Arial" w:cs="Arial"/>
          <w:i/>
        </w:rPr>
        <w:t>Thubakgale</w:t>
      </w:r>
      <w:r w:rsidR="00C06312">
        <w:rPr>
          <w:rFonts w:ascii="Arial" w:hAnsi="Arial" w:cs="Arial"/>
        </w:rPr>
        <w:t xml:space="preserve"> </w:t>
      </w:r>
      <w:r w:rsidR="00030778">
        <w:rPr>
          <w:rFonts w:ascii="Arial" w:hAnsi="Arial" w:cs="Arial"/>
        </w:rPr>
        <w:t xml:space="preserve">does not </w:t>
      </w:r>
      <w:r w:rsidR="00C9381A">
        <w:rPr>
          <w:rFonts w:ascii="Arial" w:hAnsi="Arial" w:cs="Arial"/>
        </w:rPr>
        <w:t xml:space="preserve">affect </w:t>
      </w:r>
      <w:r w:rsidR="00030778">
        <w:rPr>
          <w:rFonts w:ascii="Arial" w:hAnsi="Arial" w:cs="Arial"/>
        </w:rPr>
        <w:t>the</w:t>
      </w:r>
      <w:r w:rsidR="00FB5B3B">
        <w:rPr>
          <w:rFonts w:ascii="Arial" w:hAnsi="Arial" w:cs="Arial"/>
        </w:rPr>
        <w:t xml:space="preserve"> obligation imposed by the common law on a Municipa</w:t>
      </w:r>
      <w:r w:rsidR="00C06312">
        <w:rPr>
          <w:rFonts w:ascii="Arial" w:hAnsi="Arial" w:cs="Arial"/>
        </w:rPr>
        <w:t>li</w:t>
      </w:r>
      <w:r w:rsidR="00FB5B3B">
        <w:rPr>
          <w:rFonts w:ascii="Arial" w:hAnsi="Arial" w:cs="Arial"/>
        </w:rPr>
        <w:t>ty to secure vacant pos</w:t>
      </w:r>
      <w:r w:rsidR="00C9381A">
        <w:rPr>
          <w:rFonts w:ascii="Arial" w:hAnsi="Arial" w:cs="Arial"/>
        </w:rPr>
        <w:t xml:space="preserve">session in favour of a person </w:t>
      </w:r>
      <w:r w:rsidR="00FB5B3B">
        <w:rPr>
          <w:rFonts w:ascii="Arial" w:hAnsi="Arial" w:cs="Arial"/>
        </w:rPr>
        <w:t>who it has</w:t>
      </w:r>
      <w:r w:rsidR="00C9381A">
        <w:rPr>
          <w:rFonts w:ascii="Arial" w:hAnsi="Arial" w:cs="Arial"/>
        </w:rPr>
        <w:t xml:space="preserve"> </w:t>
      </w:r>
      <w:r w:rsidR="000774C7">
        <w:rPr>
          <w:rFonts w:ascii="Arial" w:hAnsi="Arial" w:cs="Arial"/>
        </w:rPr>
        <w:t>identified as being</w:t>
      </w:r>
      <w:r>
        <w:rPr>
          <w:rFonts w:ascii="Arial" w:hAnsi="Arial" w:cs="Arial"/>
        </w:rPr>
        <w:t xml:space="preserve"> entitled to </w:t>
      </w:r>
      <w:r w:rsidR="00C9381A">
        <w:rPr>
          <w:rFonts w:ascii="Arial" w:hAnsi="Arial" w:cs="Arial"/>
        </w:rPr>
        <w:t>occup</w:t>
      </w:r>
      <w:r>
        <w:rPr>
          <w:rFonts w:ascii="Arial" w:hAnsi="Arial" w:cs="Arial"/>
        </w:rPr>
        <w:t xml:space="preserve">y and </w:t>
      </w:r>
      <w:r w:rsidR="00C9381A">
        <w:rPr>
          <w:rFonts w:ascii="Arial" w:hAnsi="Arial" w:cs="Arial"/>
        </w:rPr>
        <w:t>take transfer of an RDP house</w:t>
      </w:r>
      <w:r>
        <w:rPr>
          <w:rFonts w:ascii="Arial" w:hAnsi="Arial" w:cs="Arial"/>
        </w:rPr>
        <w:t>,</w:t>
      </w:r>
      <w:r w:rsidR="00C9381A">
        <w:rPr>
          <w:rFonts w:ascii="Arial" w:hAnsi="Arial" w:cs="Arial"/>
        </w:rPr>
        <w:t xml:space="preserve"> as in the present case.</w:t>
      </w:r>
      <w:r w:rsidR="00FB5B3B">
        <w:rPr>
          <w:rFonts w:ascii="Arial" w:hAnsi="Arial" w:cs="Arial"/>
        </w:rPr>
        <w:t xml:space="preserve"> </w:t>
      </w:r>
    </w:p>
    <w:p w:rsidR="00FB5B3B" w:rsidRDefault="00FB5B3B" w:rsidP="00FB5B3B">
      <w:pPr>
        <w:pStyle w:val="ListParagraph"/>
        <w:spacing w:line="360" w:lineRule="auto"/>
        <w:ind w:left="360"/>
        <w:rPr>
          <w:rFonts w:ascii="Arial" w:hAnsi="Arial" w:cs="Arial"/>
        </w:rPr>
      </w:pPr>
    </w:p>
    <w:p w:rsidR="005923F6" w:rsidRDefault="00C9381A" w:rsidP="00FB5B3B">
      <w:pPr>
        <w:pStyle w:val="ListParagraph"/>
        <w:spacing w:line="360" w:lineRule="auto"/>
        <w:ind w:left="360"/>
        <w:rPr>
          <w:rFonts w:ascii="Arial" w:hAnsi="Arial" w:cs="Arial"/>
        </w:rPr>
      </w:pPr>
      <w:r>
        <w:rPr>
          <w:rFonts w:ascii="Arial" w:hAnsi="Arial" w:cs="Arial"/>
        </w:rPr>
        <w:t xml:space="preserve">In other words, while </w:t>
      </w:r>
      <w:r w:rsidRPr="00EE2CEE">
        <w:rPr>
          <w:rFonts w:ascii="Arial" w:hAnsi="Arial" w:cs="Arial"/>
          <w:i/>
        </w:rPr>
        <w:t>Thubakgale</w:t>
      </w:r>
      <w:r w:rsidR="000B34BB">
        <w:rPr>
          <w:rFonts w:ascii="Arial" w:hAnsi="Arial" w:cs="Arial"/>
        </w:rPr>
        <w:t xml:space="preserve"> restricts </w:t>
      </w:r>
      <w:r w:rsidR="00FB5B3B">
        <w:rPr>
          <w:rFonts w:ascii="Arial" w:hAnsi="Arial" w:cs="Arial"/>
        </w:rPr>
        <w:t xml:space="preserve">the remedy available to a person allocated </w:t>
      </w:r>
      <w:r>
        <w:rPr>
          <w:rFonts w:ascii="Arial" w:hAnsi="Arial" w:cs="Arial"/>
        </w:rPr>
        <w:t xml:space="preserve">a </w:t>
      </w:r>
      <w:r w:rsidR="00FB5B3B">
        <w:rPr>
          <w:rFonts w:ascii="Arial" w:hAnsi="Arial" w:cs="Arial"/>
        </w:rPr>
        <w:t>RDP ho</w:t>
      </w:r>
      <w:r w:rsidR="00C02FBC">
        <w:rPr>
          <w:rFonts w:ascii="Arial" w:hAnsi="Arial" w:cs="Arial"/>
        </w:rPr>
        <w:t>use</w:t>
      </w:r>
      <w:r>
        <w:rPr>
          <w:rFonts w:ascii="Arial" w:hAnsi="Arial" w:cs="Arial"/>
        </w:rPr>
        <w:t xml:space="preserve"> to </w:t>
      </w:r>
      <w:r w:rsidR="00FB5B3B">
        <w:rPr>
          <w:rFonts w:ascii="Arial" w:hAnsi="Arial" w:cs="Arial"/>
        </w:rPr>
        <w:t xml:space="preserve">contempt of court proceedings for the enforcement of a court order against the </w:t>
      </w:r>
      <w:r w:rsidR="00F86E32">
        <w:rPr>
          <w:rFonts w:ascii="Arial" w:hAnsi="Arial" w:cs="Arial"/>
        </w:rPr>
        <w:t xml:space="preserve">appropriate </w:t>
      </w:r>
      <w:r w:rsidR="00FB5B3B">
        <w:rPr>
          <w:rFonts w:ascii="Arial" w:hAnsi="Arial" w:cs="Arial"/>
        </w:rPr>
        <w:t xml:space="preserve">authority, there remains an entitlement to insist </w:t>
      </w:r>
      <w:r>
        <w:rPr>
          <w:rFonts w:ascii="Arial" w:hAnsi="Arial" w:cs="Arial"/>
        </w:rPr>
        <w:t>on th</w:t>
      </w:r>
      <w:r w:rsidR="00F86E32">
        <w:rPr>
          <w:rFonts w:ascii="Arial" w:hAnsi="Arial" w:cs="Arial"/>
        </w:rPr>
        <w:t xml:space="preserve">at </w:t>
      </w:r>
      <w:r>
        <w:rPr>
          <w:rFonts w:ascii="Arial" w:hAnsi="Arial" w:cs="Arial"/>
        </w:rPr>
        <w:t>authorit</w:t>
      </w:r>
      <w:r w:rsidR="00C02FBC">
        <w:rPr>
          <w:rFonts w:ascii="Arial" w:hAnsi="Arial" w:cs="Arial"/>
        </w:rPr>
        <w:t xml:space="preserve">y </w:t>
      </w:r>
      <w:r w:rsidR="00FB5B3B">
        <w:rPr>
          <w:rFonts w:ascii="Arial" w:hAnsi="Arial" w:cs="Arial"/>
        </w:rPr>
        <w:t>securing vacant possession and</w:t>
      </w:r>
      <w:r>
        <w:rPr>
          <w:rFonts w:ascii="Arial" w:hAnsi="Arial" w:cs="Arial"/>
        </w:rPr>
        <w:t xml:space="preserve">, </w:t>
      </w:r>
      <w:r w:rsidR="00FB5B3B">
        <w:rPr>
          <w:rFonts w:ascii="Arial" w:hAnsi="Arial" w:cs="Arial"/>
        </w:rPr>
        <w:t xml:space="preserve">because of its common law </w:t>
      </w:r>
      <w:r w:rsidR="007B5D35">
        <w:rPr>
          <w:rFonts w:ascii="Arial" w:hAnsi="Arial" w:cs="Arial"/>
        </w:rPr>
        <w:t>obligation</w:t>
      </w:r>
      <w:r w:rsidR="00FB5B3B">
        <w:rPr>
          <w:rFonts w:ascii="Arial" w:hAnsi="Arial" w:cs="Arial"/>
        </w:rPr>
        <w:t xml:space="preserve">, </w:t>
      </w:r>
      <w:r w:rsidR="00C02FBC">
        <w:rPr>
          <w:rFonts w:ascii="Arial" w:hAnsi="Arial" w:cs="Arial"/>
        </w:rPr>
        <w:t xml:space="preserve">the authority </w:t>
      </w:r>
      <w:r w:rsidR="00FB5B3B">
        <w:rPr>
          <w:rFonts w:ascii="Arial" w:hAnsi="Arial" w:cs="Arial"/>
        </w:rPr>
        <w:t xml:space="preserve">may of its own volition bring such an application to court.  </w:t>
      </w:r>
    </w:p>
    <w:p w:rsidR="007B5D35" w:rsidRDefault="007B5D35" w:rsidP="00FB5B3B">
      <w:pPr>
        <w:pStyle w:val="ListParagraph"/>
        <w:spacing w:line="360" w:lineRule="auto"/>
        <w:ind w:left="360"/>
        <w:rPr>
          <w:rFonts w:ascii="Arial" w:hAnsi="Arial" w:cs="Arial"/>
        </w:rPr>
      </w:pPr>
    </w:p>
    <w:p w:rsidR="007B5D35" w:rsidRDefault="00C06312" w:rsidP="00AF22DC">
      <w:pPr>
        <w:pStyle w:val="ListParagraph"/>
        <w:numPr>
          <w:ilvl w:val="0"/>
          <w:numId w:val="3"/>
        </w:numPr>
        <w:spacing w:line="360" w:lineRule="auto"/>
        <w:rPr>
          <w:rFonts w:ascii="Arial" w:hAnsi="Arial" w:cs="Arial"/>
        </w:rPr>
      </w:pPr>
      <w:r>
        <w:rPr>
          <w:rFonts w:ascii="Arial" w:hAnsi="Arial" w:cs="Arial"/>
        </w:rPr>
        <w:t>However,</w:t>
      </w:r>
      <w:r w:rsidR="007B5D35">
        <w:rPr>
          <w:rFonts w:ascii="Arial" w:hAnsi="Arial" w:cs="Arial"/>
        </w:rPr>
        <w:t xml:space="preserve"> the allocat</w:t>
      </w:r>
      <w:r w:rsidR="0035217F">
        <w:rPr>
          <w:rFonts w:ascii="Arial" w:hAnsi="Arial" w:cs="Arial"/>
        </w:rPr>
        <w:t xml:space="preserve">ion </w:t>
      </w:r>
      <w:r w:rsidR="007B5D35">
        <w:rPr>
          <w:rFonts w:ascii="Arial" w:hAnsi="Arial" w:cs="Arial"/>
        </w:rPr>
        <w:t xml:space="preserve">of an RDP house </w:t>
      </w:r>
      <w:r w:rsidR="0035217F">
        <w:rPr>
          <w:rFonts w:ascii="Arial" w:hAnsi="Arial" w:cs="Arial"/>
        </w:rPr>
        <w:t xml:space="preserve">by the municipality </w:t>
      </w:r>
      <w:r w:rsidR="007B5D35">
        <w:rPr>
          <w:rFonts w:ascii="Arial" w:hAnsi="Arial" w:cs="Arial"/>
        </w:rPr>
        <w:t>will not secure vacant possession</w:t>
      </w:r>
      <w:r w:rsidR="0035217F">
        <w:rPr>
          <w:rFonts w:ascii="Arial" w:hAnsi="Arial" w:cs="Arial"/>
        </w:rPr>
        <w:t xml:space="preserve"> for the beneficiary </w:t>
      </w:r>
      <w:r w:rsidR="007B5D35">
        <w:rPr>
          <w:rFonts w:ascii="Arial" w:hAnsi="Arial" w:cs="Arial"/>
        </w:rPr>
        <w:t xml:space="preserve">if </w:t>
      </w:r>
      <w:r w:rsidR="0035217F">
        <w:rPr>
          <w:rFonts w:ascii="Arial" w:hAnsi="Arial" w:cs="Arial"/>
        </w:rPr>
        <w:t xml:space="preserve">someone who has unlawfully occupied </w:t>
      </w:r>
      <w:r w:rsidR="00896172">
        <w:rPr>
          <w:rFonts w:ascii="Arial" w:hAnsi="Arial" w:cs="Arial"/>
        </w:rPr>
        <w:t xml:space="preserve">it </w:t>
      </w:r>
      <w:r w:rsidR="0035217F">
        <w:rPr>
          <w:rFonts w:ascii="Arial" w:hAnsi="Arial" w:cs="Arial"/>
        </w:rPr>
        <w:t>enjoys</w:t>
      </w:r>
      <w:r w:rsidR="007B5D35">
        <w:rPr>
          <w:rFonts w:ascii="Arial" w:hAnsi="Arial" w:cs="Arial"/>
        </w:rPr>
        <w:t xml:space="preserve"> protection under PIE. </w:t>
      </w:r>
    </w:p>
    <w:p w:rsidR="007B5D35" w:rsidRDefault="007B5D35" w:rsidP="007B5D35">
      <w:pPr>
        <w:pStyle w:val="ListParagraph"/>
        <w:spacing w:line="360" w:lineRule="auto"/>
        <w:ind w:left="360"/>
        <w:rPr>
          <w:rFonts w:ascii="Arial" w:hAnsi="Arial" w:cs="Arial"/>
        </w:rPr>
      </w:pPr>
    </w:p>
    <w:p w:rsidR="00572B3D" w:rsidRDefault="007B5D35" w:rsidP="00AF22DC">
      <w:pPr>
        <w:pStyle w:val="ListParagraph"/>
        <w:numPr>
          <w:ilvl w:val="0"/>
          <w:numId w:val="3"/>
        </w:numPr>
        <w:spacing w:line="360" w:lineRule="auto"/>
        <w:rPr>
          <w:rFonts w:ascii="Arial" w:hAnsi="Arial" w:cs="Arial"/>
        </w:rPr>
      </w:pPr>
      <w:r>
        <w:rPr>
          <w:rFonts w:ascii="Arial" w:hAnsi="Arial" w:cs="Arial"/>
        </w:rPr>
        <w:t>T</w:t>
      </w:r>
      <w:r w:rsidR="00376AF3">
        <w:rPr>
          <w:rFonts w:ascii="Arial" w:hAnsi="Arial" w:cs="Arial"/>
        </w:rPr>
        <w:t>he court in</w:t>
      </w:r>
      <w:r w:rsidR="00507FB7">
        <w:rPr>
          <w:rFonts w:ascii="Arial" w:hAnsi="Arial" w:cs="Arial"/>
        </w:rPr>
        <w:t xml:space="preserve"> </w:t>
      </w:r>
      <w:r w:rsidRPr="00EE2CEE">
        <w:rPr>
          <w:rFonts w:ascii="Arial" w:hAnsi="Arial" w:cs="Arial"/>
          <w:i/>
        </w:rPr>
        <w:t>Thubakgale</w:t>
      </w:r>
      <w:r>
        <w:rPr>
          <w:rFonts w:ascii="Arial" w:hAnsi="Arial" w:cs="Arial"/>
          <w:i/>
        </w:rPr>
        <w:t xml:space="preserve"> </w:t>
      </w:r>
      <w:r w:rsidR="00376AF3">
        <w:rPr>
          <w:rFonts w:ascii="Arial" w:hAnsi="Arial" w:cs="Arial"/>
        </w:rPr>
        <w:t>noted that</w:t>
      </w:r>
      <w:r w:rsidR="00507FB7">
        <w:rPr>
          <w:rFonts w:ascii="Arial" w:hAnsi="Arial" w:cs="Arial"/>
        </w:rPr>
        <w:t xml:space="preserve"> because </w:t>
      </w:r>
      <w:r w:rsidR="0035217F">
        <w:rPr>
          <w:rFonts w:ascii="Arial" w:hAnsi="Arial" w:cs="Arial"/>
        </w:rPr>
        <w:t xml:space="preserve">the </w:t>
      </w:r>
      <w:r w:rsidR="00507FB7">
        <w:rPr>
          <w:rFonts w:ascii="Arial" w:hAnsi="Arial" w:cs="Arial"/>
        </w:rPr>
        <w:t xml:space="preserve">High Court </w:t>
      </w:r>
      <w:r w:rsidR="0035217F">
        <w:rPr>
          <w:rFonts w:ascii="Arial" w:hAnsi="Arial" w:cs="Arial"/>
        </w:rPr>
        <w:t xml:space="preserve">order </w:t>
      </w:r>
      <w:r w:rsidR="00507FB7">
        <w:rPr>
          <w:rFonts w:ascii="Arial" w:hAnsi="Arial" w:cs="Arial"/>
        </w:rPr>
        <w:t>to provide the applicants with hous</w:t>
      </w:r>
      <w:r w:rsidR="00F86E32">
        <w:rPr>
          <w:rFonts w:ascii="Arial" w:hAnsi="Arial" w:cs="Arial"/>
        </w:rPr>
        <w:t>ing</w:t>
      </w:r>
      <w:r w:rsidR="00507FB7">
        <w:rPr>
          <w:rFonts w:ascii="Arial" w:hAnsi="Arial" w:cs="Arial"/>
        </w:rPr>
        <w:t xml:space="preserve"> </w:t>
      </w:r>
      <w:r w:rsidR="00376AF3">
        <w:rPr>
          <w:rFonts w:ascii="Arial" w:hAnsi="Arial" w:cs="Arial"/>
        </w:rPr>
        <w:t xml:space="preserve">did not form part of the </w:t>
      </w:r>
      <w:r w:rsidR="00C06312">
        <w:rPr>
          <w:rFonts w:ascii="Arial" w:hAnsi="Arial" w:cs="Arial"/>
        </w:rPr>
        <w:t>appeal, it</w:t>
      </w:r>
      <w:r w:rsidR="00376AF3">
        <w:rPr>
          <w:rFonts w:ascii="Arial" w:hAnsi="Arial" w:cs="Arial"/>
        </w:rPr>
        <w:t xml:space="preserve"> could not ove</w:t>
      </w:r>
      <w:r w:rsidR="00F86E32">
        <w:rPr>
          <w:rFonts w:ascii="Arial" w:hAnsi="Arial" w:cs="Arial"/>
        </w:rPr>
        <w:t xml:space="preserve">rturn the initial order granted which </w:t>
      </w:r>
      <w:r w:rsidR="00376AF3">
        <w:rPr>
          <w:rFonts w:ascii="Arial" w:hAnsi="Arial" w:cs="Arial"/>
        </w:rPr>
        <w:t>requir</w:t>
      </w:r>
      <w:r w:rsidR="00F86E32">
        <w:rPr>
          <w:rFonts w:ascii="Arial" w:hAnsi="Arial" w:cs="Arial"/>
        </w:rPr>
        <w:t>ed</w:t>
      </w:r>
      <w:r w:rsidR="00376AF3">
        <w:rPr>
          <w:rFonts w:ascii="Arial" w:hAnsi="Arial" w:cs="Arial"/>
        </w:rPr>
        <w:t xml:space="preserve"> the Municipality to </w:t>
      </w:r>
      <w:r w:rsidR="00507FB7">
        <w:rPr>
          <w:rFonts w:ascii="Arial" w:hAnsi="Arial" w:cs="Arial"/>
        </w:rPr>
        <w:t xml:space="preserve">do </w:t>
      </w:r>
      <w:r w:rsidR="00F86E32">
        <w:rPr>
          <w:rFonts w:ascii="Arial" w:hAnsi="Arial" w:cs="Arial"/>
        </w:rPr>
        <w:t>just that</w:t>
      </w:r>
      <w:r w:rsidR="00376AF3">
        <w:rPr>
          <w:rFonts w:ascii="Arial" w:hAnsi="Arial" w:cs="Arial"/>
        </w:rPr>
        <w:t xml:space="preserve">.  </w:t>
      </w:r>
    </w:p>
    <w:p w:rsidR="00572B3D" w:rsidRDefault="00572B3D" w:rsidP="00572B3D">
      <w:pPr>
        <w:pStyle w:val="ListParagraph"/>
        <w:spacing w:line="360" w:lineRule="auto"/>
        <w:ind w:left="360"/>
        <w:rPr>
          <w:rFonts w:ascii="Arial" w:hAnsi="Arial" w:cs="Arial"/>
        </w:rPr>
      </w:pPr>
    </w:p>
    <w:p w:rsidR="00572B3D" w:rsidRPr="0035217F" w:rsidRDefault="00376AF3" w:rsidP="00896172">
      <w:pPr>
        <w:pStyle w:val="ListParagraph"/>
        <w:spacing w:line="360" w:lineRule="auto"/>
        <w:ind w:left="360"/>
        <w:rPr>
          <w:rFonts w:ascii="Arial" w:hAnsi="Arial" w:cs="Arial"/>
        </w:rPr>
      </w:pPr>
      <w:r>
        <w:rPr>
          <w:rFonts w:ascii="Arial" w:hAnsi="Arial" w:cs="Arial"/>
        </w:rPr>
        <w:t xml:space="preserve">It </w:t>
      </w:r>
      <w:r w:rsidR="00572B3D">
        <w:rPr>
          <w:rFonts w:ascii="Arial" w:hAnsi="Arial" w:cs="Arial"/>
        </w:rPr>
        <w:t xml:space="preserve">however </w:t>
      </w:r>
      <w:r>
        <w:rPr>
          <w:rFonts w:ascii="Arial" w:hAnsi="Arial" w:cs="Arial"/>
        </w:rPr>
        <w:t>held</w:t>
      </w:r>
      <w:r w:rsidR="00896172">
        <w:rPr>
          <w:rFonts w:ascii="Arial" w:hAnsi="Arial" w:cs="Arial"/>
        </w:rPr>
        <w:t xml:space="preserve"> </w:t>
      </w:r>
      <w:r w:rsidR="00572B3D" w:rsidRPr="0035217F">
        <w:rPr>
          <w:rFonts w:ascii="Arial" w:hAnsi="Arial" w:cs="Arial"/>
        </w:rPr>
        <w:t>that:</w:t>
      </w:r>
    </w:p>
    <w:p w:rsidR="00572B3D" w:rsidRDefault="00572B3D" w:rsidP="00572B3D">
      <w:pPr>
        <w:pStyle w:val="ListParagraph"/>
        <w:spacing w:line="360" w:lineRule="auto"/>
        <w:ind w:left="1080"/>
        <w:rPr>
          <w:rFonts w:ascii="Arial" w:hAnsi="Arial" w:cs="Arial"/>
        </w:rPr>
      </w:pPr>
    </w:p>
    <w:p w:rsidR="00572B3D" w:rsidRDefault="00572B3D" w:rsidP="00572B3D">
      <w:pPr>
        <w:pStyle w:val="ListParagraph"/>
        <w:spacing w:line="360" w:lineRule="auto"/>
        <w:ind w:left="1440"/>
        <w:rPr>
          <w:rFonts w:ascii="Arial" w:hAnsi="Arial" w:cs="Arial"/>
          <w:i/>
        </w:rPr>
      </w:pPr>
      <w:r>
        <w:rPr>
          <w:rFonts w:ascii="Arial" w:hAnsi="Arial" w:cs="Arial"/>
          <w:i/>
        </w:rPr>
        <w:t>“</w:t>
      </w:r>
      <w:r w:rsidRPr="00572B3D">
        <w:rPr>
          <w:rFonts w:ascii="Arial" w:hAnsi="Arial" w:cs="Arial"/>
          <w:i/>
        </w:rPr>
        <w:t>In the context of socio-economic rights, the mere adoption of reasonable legislative and other measures gives content to those rights.</w:t>
      </w:r>
      <w:r>
        <w:rPr>
          <w:rFonts w:ascii="Arial" w:hAnsi="Arial" w:cs="Arial"/>
          <w:i/>
        </w:rPr>
        <w:t xml:space="preserve"> </w:t>
      </w:r>
      <w:r w:rsidRPr="00572B3D">
        <w:rPr>
          <w:rFonts w:ascii="Arial" w:hAnsi="Arial" w:cs="Arial"/>
          <w:i/>
        </w:rPr>
        <w:t>And reasonableness is the only standard that can be invoked judicially in challenging what was done by the state pertaining to socio-economic rights. “</w:t>
      </w:r>
      <w:r>
        <w:rPr>
          <w:rStyle w:val="FootnoteReference"/>
          <w:rFonts w:ascii="Arial" w:hAnsi="Arial" w:cs="Arial"/>
          <w:i/>
        </w:rPr>
        <w:footnoteReference w:id="15"/>
      </w:r>
    </w:p>
    <w:p w:rsidR="00572B3D" w:rsidRDefault="00896172" w:rsidP="00896172">
      <w:pPr>
        <w:pStyle w:val="ListParagraph"/>
        <w:spacing w:line="360" w:lineRule="auto"/>
        <w:ind w:left="1440"/>
        <w:rPr>
          <w:rFonts w:ascii="Arial" w:hAnsi="Arial" w:cs="Arial"/>
        </w:rPr>
      </w:pPr>
      <w:r>
        <w:rPr>
          <w:rFonts w:ascii="Arial" w:hAnsi="Arial" w:cs="Arial"/>
        </w:rPr>
        <w:lastRenderedPageBreak/>
        <w:t>(</w:t>
      </w:r>
      <w:r w:rsidRPr="0035217F">
        <w:rPr>
          <w:rFonts w:ascii="Arial" w:hAnsi="Arial" w:cs="Arial"/>
        </w:rPr>
        <w:t>at para 166</w:t>
      </w:r>
      <w:r>
        <w:rPr>
          <w:rFonts w:ascii="Arial" w:hAnsi="Arial" w:cs="Arial"/>
        </w:rPr>
        <w:t>)</w:t>
      </w:r>
    </w:p>
    <w:p w:rsidR="00572B3D" w:rsidRDefault="00572B3D" w:rsidP="00572B3D">
      <w:pPr>
        <w:pStyle w:val="ListParagraph"/>
        <w:spacing w:line="360" w:lineRule="auto"/>
        <w:ind w:left="1080"/>
        <w:rPr>
          <w:rFonts w:ascii="Arial" w:hAnsi="Arial" w:cs="Arial"/>
        </w:rPr>
      </w:pPr>
    </w:p>
    <w:p w:rsidR="00376AF3" w:rsidRPr="00896172" w:rsidRDefault="00896172" w:rsidP="00896172">
      <w:pPr>
        <w:pStyle w:val="ListParagraph"/>
        <w:spacing w:line="360" w:lineRule="auto"/>
        <w:ind w:left="360"/>
        <w:rPr>
          <w:rFonts w:ascii="Arial" w:hAnsi="Arial" w:cs="Arial"/>
        </w:rPr>
      </w:pPr>
      <w:r w:rsidRPr="00896172">
        <w:rPr>
          <w:rFonts w:ascii="Arial" w:hAnsi="Arial" w:cs="Arial"/>
        </w:rPr>
        <w:t xml:space="preserve">and </w:t>
      </w:r>
      <w:r w:rsidR="00376AF3" w:rsidRPr="00896172">
        <w:rPr>
          <w:rFonts w:ascii="Arial" w:hAnsi="Arial" w:cs="Arial"/>
        </w:rPr>
        <w:t>that the;</w:t>
      </w:r>
    </w:p>
    <w:p w:rsidR="00376AF3" w:rsidRPr="00376AF3" w:rsidRDefault="00376AF3" w:rsidP="00376AF3">
      <w:pPr>
        <w:pStyle w:val="ListParagraph"/>
        <w:rPr>
          <w:rFonts w:ascii="Arial" w:hAnsi="Arial" w:cs="Arial"/>
        </w:rPr>
      </w:pPr>
    </w:p>
    <w:p w:rsidR="00376AF3" w:rsidRDefault="00376AF3" w:rsidP="00572B3D">
      <w:pPr>
        <w:spacing w:line="360" w:lineRule="auto"/>
        <w:ind w:left="1440"/>
        <w:rPr>
          <w:rFonts w:ascii="Arial" w:hAnsi="Arial" w:cs="Arial"/>
          <w:i/>
        </w:rPr>
      </w:pPr>
      <w:r>
        <w:rPr>
          <w:rFonts w:ascii="Arial" w:hAnsi="Arial" w:cs="Arial"/>
        </w:rPr>
        <w:t>“</w:t>
      </w:r>
      <w:r w:rsidRPr="00376AF3">
        <w:rPr>
          <w:rFonts w:ascii="Arial" w:hAnsi="Arial" w:cs="Arial"/>
          <w:i/>
        </w:rPr>
        <w:t xml:space="preserve">only route through which socio-economic rights may be enforced by the Judiciary is the review of measures taken by the </w:t>
      </w:r>
      <w:r w:rsidR="007D78D8">
        <w:rPr>
          <w:rFonts w:ascii="Arial" w:hAnsi="Arial" w:cs="Arial"/>
          <w:i/>
        </w:rPr>
        <w:t>S</w:t>
      </w:r>
      <w:r w:rsidRPr="00376AF3">
        <w:rPr>
          <w:rFonts w:ascii="Arial" w:hAnsi="Arial" w:cs="Arial"/>
          <w:i/>
        </w:rPr>
        <w:t>tate on the ground of reasonableness</w:t>
      </w:r>
      <w:r>
        <w:rPr>
          <w:rFonts w:ascii="Arial" w:hAnsi="Arial" w:cs="Arial"/>
          <w:i/>
        </w:rPr>
        <w:t>”</w:t>
      </w:r>
      <w:r>
        <w:rPr>
          <w:rStyle w:val="FootnoteReference"/>
          <w:rFonts w:ascii="Arial" w:hAnsi="Arial" w:cs="Arial"/>
          <w:i/>
        </w:rPr>
        <w:footnoteReference w:id="16"/>
      </w:r>
    </w:p>
    <w:p w:rsidR="00896172" w:rsidRDefault="00896172" w:rsidP="00896172">
      <w:pPr>
        <w:spacing w:line="360" w:lineRule="auto"/>
        <w:ind w:left="1440"/>
        <w:rPr>
          <w:rFonts w:ascii="Arial" w:hAnsi="Arial" w:cs="Arial"/>
        </w:rPr>
      </w:pPr>
      <w:r w:rsidRPr="00896172">
        <w:rPr>
          <w:rFonts w:ascii="Arial" w:hAnsi="Arial" w:cs="Arial"/>
        </w:rPr>
        <w:t>(at para 166</w:t>
      </w:r>
      <w:r>
        <w:rPr>
          <w:rFonts w:ascii="Arial" w:hAnsi="Arial" w:cs="Arial"/>
        </w:rPr>
        <w:t>)</w:t>
      </w:r>
    </w:p>
    <w:p w:rsidR="00896172" w:rsidRDefault="00896172" w:rsidP="00896172">
      <w:pPr>
        <w:spacing w:line="360" w:lineRule="auto"/>
        <w:ind w:left="1440"/>
        <w:rPr>
          <w:rFonts w:ascii="Arial" w:hAnsi="Arial" w:cs="Arial"/>
        </w:rPr>
      </w:pPr>
    </w:p>
    <w:p w:rsidR="00A72DE9" w:rsidRPr="00896172" w:rsidRDefault="00896172" w:rsidP="00AF22DC">
      <w:pPr>
        <w:pStyle w:val="ListParagraph"/>
        <w:numPr>
          <w:ilvl w:val="0"/>
          <w:numId w:val="3"/>
        </w:numPr>
        <w:spacing w:line="360" w:lineRule="auto"/>
        <w:rPr>
          <w:rFonts w:ascii="Arial" w:hAnsi="Arial" w:cs="Arial"/>
        </w:rPr>
      </w:pPr>
      <w:r w:rsidRPr="00896172">
        <w:rPr>
          <w:rFonts w:ascii="Arial" w:hAnsi="Arial" w:cs="Arial"/>
        </w:rPr>
        <w:t>The Constitutional Court further held (at paras 168, 169, 170</w:t>
      </w:r>
      <w:r w:rsidR="00D857D9">
        <w:rPr>
          <w:rFonts w:ascii="Arial" w:hAnsi="Arial" w:cs="Arial"/>
        </w:rPr>
        <w:t xml:space="preserve"> and</w:t>
      </w:r>
      <w:r w:rsidRPr="00896172">
        <w:rPr>
          <w:rFonts w:ascii="Arial" w:hAnsi="Arial" w:cs="Arial"/>
        </w:rPr>
        <w:t>186</w:t>
      </w:r>
      <w:r w:rsidR="00DA411B" w:rsidRPr="00896172">
        <w:rPr>
          <w:rFonts w:ascii="Arial" w:hAnsi="Arial" w:cs="Arial"/>
        </w:rPr>
        <w:t>) that</w:t>
      </w:r>
      <w:r w:rsidRPr="00896172">
        <w:rPr>
          <w:rFonts w:ascii="Arial" w:hAnsi="Arial" w:cs="Arial"/>
        </w:rPr>
        <w:t xml:space="preserve"> </w:t>
      </w:r>
      <w:r w:rsidR="00572B3D" w:rsidRPr="00896172">
        <w:rPr>
          <w:rFonts w:ascii="Arial" w:hAnsi="Arial" w:cs="Arial"/>
        </w:rPr>
        <w:t xml:space="preserve">the High Court was not entitled to order that </w:t>
      </w:r>
      <w:r w:rsidR="00B95EBE" w:rsidRPr="00896172">
        <w:rPr>
          <w:rFonts w:ascii="Arial" w:hAnsi="Arial" w:cs="Arial"/>
        </w:rPr>
        <w:t>the applicants receive a house from</w:t>
      </w:r>
      <w:r w:rsidR="00572B3D" w:rsidRPr="00896172">
        <w:rPr>
          <w:rFonts w:ascii="Arial" w:hAnsi="Arial" w:cs="Arial"/>
        </w:rPr>
        <w:t xml:space="preserve"> </w:t>
      </w:r>
      <w:r w:rsidR="00B95EBE" w:rsidRPr="00896172">
        <w:rPr>
          <w:rFonts w:ascii="Arial" w:hAnsi="Arial" w:cs="Arial"/>
        </w:rPr>
        <w:t xml:space="preserve">the Municipality because </w:t>
      </w:r>
      <w:r w:rsidR="00C06312" w:rsidRPr="00896172">
        <w:rPr>
          <w:rFonts w:ascii="Arial" w:hAnsi="Arial" w:cs="Arial"/>
        </w:rPr>
        <w:t>that order</w:t>
      </w:r>
      <w:r w:rsidR="00A72DE9" w:rsidRPr="00896172">
        <w:rPr>
          <w:rFonts w:ascii="Arial" w:hAnsi="Arial" w:cs="Arial"/>
        </w:rPr>
        <w:t xml:space="preserve"> was;</w:t>
      </w:r>
    </w:p>
    <w:p w:rsidR="00A72DE9" w:rsidRDefault="00A72DE9" w:rsidP="00A72DE9">
      <w:pPr>
        <w:spacing w:line="360" w:lineRule="auto"/>
        <w:rPr>
          <w:rFonts w:ascii="Arial" w:hAnsi="Arial" w:cs="Arial"/>
        </w:rPr>
      </w:pPr>
    </w:p>
    <w:p w:rsidR="00A72DE9" w:rsidRPr="00A72DE9" w:rsidRDefault="00A72DE9" w:rsidP="00A72DE9">
      <w:pPr>
        <w:spacing w:line="360" w:lineRule="auto"/>
        <w:ind w:left="1440"/>
        <w:rPr>
          <w:rFonts w:ascii="Arial" w:hAnsi="Arial" w:cs="Arial"/>
        </w:rPr>
      </w:pPr>
      <w:r w:rsidRPr="00A72DE9">
        <w:rPr>
          <w:rFonts w:ascii="Arial" w:hAnsi="Arial" w:cs="Arial"/>
          <w:i/>
        </w:rPr>
        <w:t>“at odds with the jurisprudence of this Court on the role played by the courts in enforcing socio-economic rights.</w:t>
      </w:r>
      <w:r>
        <w:rPr>
          <w:rStyle w:val="FootnoteReference"/>
          <w:rFonts w:ascii="Arial" w:hAnsi="Arial" w:cs="Arial"/>
          <w:i/>
        </w:rPr>
        <w:footnoteReference w:id="17"/>
      </w:r>
    </w:p>
    <w:p w:rsidR="00A72DE9" w:rsidRDefault="00A72DE9" w:rsidP="00A72DE9">
      <w:pPr>
        <w:pStyle w:val="ListParagraph"/>
        <w:spacing w:line="360" w:lineRule="auto"/>
        <w:ind w:left="1080"/>
        <w:rPr>
          <w:rFonts w:ascii="Arial" w:hAnsi="Arial" w:cs="Arial"/>
        </w:rPr>
      </w:pPr>
    </w:p>
    <w:p w:rsidR="00572B3D" w:rsidRPr="0035217F" w:rsidRDefault="00A72DE9" w:rsidP="0035217F">
      <w:pPr>
        <w:spacing w:line="360" w:lineRule="auto"/>
        <w:ind w:firstLine="720"/>
        <w:rPr>
          <w:rFonts w:ascii="Arial" w:hAnsi="Arial" w:cs="Arial"/>
        </w:rPr>
      </w:pPr>
      <w:r w:rsidRPr="0035217F">
        <w:rPr>
          <w:rFonts w:ascii="Arial" w:hAnsi="Arial" w:cs="Arial"/>
        </w:rPr>
        <w:t xml:space="preserve">and </w:t>
      </w:r>
      <w:r w:rsidR="00C06312" w:rsidRPr="0035217F">
        <w:rPr>
          <w:rFonts w:ascii="Arial" w:hAnsi="Arial" w:cs="Arial"/>
        </w:rPr>
        <w:t>that the</w:t>
      </w:r>
      <w:r w:rsidRPr="0035217F">
        <w:rPr>
          <w:rFonts w:ascii="Arial" w:hAnsi="Arial" w:cs="Arial"/>
        </w:rPr>
        <w:t xml:space="preserve"> applicants </w:t>
      </w:r>
      <w:r w:rsidR="00C06312" w:rsidRPr="0035217F">
        <w:rPr>
          <w:rFonts w:ascii="Arial" w:hAnsi="Arial" w:cs="Arial"/>
        </w:rPr>
        <w:t>would</w:t>
      </w:r>
      <w:r w:rsidRPr="0035217F">
        <w:rPr>
          <w:rFonts w:ascii="Arial" w:hAnsi="Arial" w:cs="Arial"/>
        </w:rPr>
        <w:t xml:space="preserve"> only be </w:t>
      </w:r>
      <w:r w:rsidR="00B95EBE" w:rsidRPr="0035217F">
        <w:rPr>
          <w:rFonts w:ascii="Arial" w:hAnsi="Arial" w:cs="Arial"/>
        </w:rPr>
        <w:t>entitled to:</w:t>
      </w:r>
    </w:p>
    <w:p w:rsidR="00B95EBE" w:rsidRDefault="00B95EBE" w:rsidP="00B95EBE">
      <w:pPr>
        <w:pStyle w:val="ListParagraph"/>
        <w:spacing w:line="360" w:lineRule="auto"/>
        <w:ind w:left="1080"/>
        <w:rPr>
          <w:rFonts w:ascii="Arial" w:hAnsi="Arial" w:cs="Arial"/>
        </w:rPr>
      </w:pPr>
    </w:p>
    <w:p w:rsidR="00B95EBE" w:rsidRPr="00B95EBE" w:rsidRDefault="00B95EBE" w:rsidP="00B95EBE">
      <w:pPr>
        <w:pStyle w:val="ListParagraph"/>
        <w:spacing w:line="360" w:lineRule="auto"/>
        <w:ind w:left="1440"/>
        <w:rPr>
          <w:rFonts w:ascii="Arial" w:hAnsi="Arial" w:cs="Arial"/>
          <w:i/>
        </w:rPr>
      </w:pPr>
      <w:r w:rsidRPr="00B95EBE">
        <w:rPr>
          <w:rFonts w:ascii="Arial" w:hAnsi="Arial" w:cs="Arial"/>
          <w:i/>
        </w:rPr>
        <w:t xml:space="preserve">“a </w:t>
      </w:r>
      <w:r w:rsidR="00C06312" w:rsidRPr="00B95EBE">
        <w:rPr>
          <w:rFonts w:ascii="Arial" w:hAnsi="Arial" w:cs="Arial"/>
          <w:i/>
        </w:rPr>
        <w:t>reasonable action</w:t>
      </w:r>
      <w:r w:rsidRPr="00B95EBE">
        <w:rPr>
          <w:rFonts w:ascii="Arial" w:hAnsi="Arial" w:cs="Arial"/>
          <w:i/>
        </w:rPr>
        <w:t xml:space="preserve"> undertaken within available resources to </w:t>
      </w:r>
    </w:p>
    <w:p w:rsidR="00B95EBE" w:rsidRDefault="00B95EBE" w:rsidP="00B95EBE">
      <w:pPr>
        <w:pStyle w:val="ListParagraph"/>
        <w:spacing w:line="360" w:lineRule="auto"/>
        <w:ind w:left="1440"/>
        <w:rPr>
          <w:rFonts w:ascii="Arial" w:hAnsi="Arial" w:cs="Arial"/>
          <w:i/>
        </w:rPr>
      </w:pPr>
      <w:r w:rsidRPr="00B95EBE">
        <w:rPr>
          <w:rFonts w:ascii="Arial" w:hAnsi="Arial" w:cs="Arial"/>
          <w:i/>
        </w:rPr>
        <w:t>progressively realise those rights”</w:t>
      </w:r>
      <w:r w:rsidR="00A72DE9">
        <w:rPr>
          <w:rFonts w:ascii="Arial" w:hAnsi="Arial" w:cs="Arial"/>
        </w:rPr>
        <w:t>;</w:t>
      </w:r>
      <w:r>
        <w:rPr>
          <w:rFonts w:ascii="Arial" w:hAnsi="Arial" w:cs="Arial"/>
          <w:i/>
        </w:rPr>
        <w:t xml:space="preserve"> </w:t>
      </w:r>
      <w:r>
        <w:rPr>
          <w:rStyle w:val="FootnoteReference"/>
          <w:rFonts w:ascii="Arial" w:hAnsi="Arial" w:cs="Arial"/>
          <w:i/>
        </w:rPr>
        <w:footnoteReference w:id="18"/>
      </w:r>
    </w:p>
    <w:p w:rsidR="00A72DE9" w:rsidRDefault="00A72DE9" w:rsidP="00B95EBE">
      <w:pPr>
        <w:pStyle w:val="ListParagraph"/>
        <w:spacing w:line="360" w:lineRule="auto"/>
        <w:ind w:left="1440"/>
        <w:rPr>
          <w:rFonts w:ascii="Arial" w:hAnsi="Arial" w:cs="Arial"/>
          <w:i/>
        </w:rPr>
      </w:pPr>
    </w:p>
    <w:p w:rsidR="00A72DE9" w:rsidRPr="009B0064" w:rsidRDefault="00A72DE9" w:rsidP="009B0064">
      <w:pPr>
        <w:spacing w:line="360" w:lineRule="auto"/>
        <w:ind w:firstLine="720"/>
        <w:rPr>
          <w:rFonts w:ascii="Arial" w:hAnsi="Arial" w:cs="Arial"/>
        </w:rPr>
      </w:pPr>
      <w:r w:rsidRPr="009B0064">
        <w:rPr>
          <w:rFonts w:ascii="Arial" w:hAnsi="Arial" w:cs="Arial"/>
        </w:rPr>
        <w:t xml:space="preserve">or </w:t>
      </w:r>
      <w:r w:rsidR="00C06312" w:rsidRPr="009B0064">
        <w:rPr>
          <w:rFonts w:ascii="Arial" w:hAnsi="Arial" w:cs="Arial"/>
        </w:rPr>
        <w:t>an order</w:t>
      </w:r>
      <w:r w:rsidRPr="009B0064">
        <w:rPr>
          <w:rFonts w:ascii="Arial" w:hAnsi="Arial" w:cs="Arial"/>
        </w:rPr>
        <w:t xml:space="preserve"> to</w:t>
      </w:r>
    </w:p>
    <w:p w:rsidR="00A72DE9" w:rsidRDefault="00A72DE9" w:rsidP="00B95EBE">
      <w:pPr>
        <w:pStyle w:val="ListParagraph"/>
        <w:spacing w:line="360" w:lineRule="auto"/>
        <w:ind w:left="1440"/>
        <w:rPr>
          <w:rFonts w:ascii="Arial" w:hAnsi="Arial" w:cs="Arial"/>
        </w:rPr>
      </w:pPr>
    </w:p>
    <w:p w:rsidR="00A72DE9" w:rsidRPr="0035217F" w:rsidRDefault="00D857D9" w:rsidP="009B0064">
      <w:pPr>
        <w:spacing w:line="360" w:lineRule="auto"/>
        <w:ind w:left="720" w:firstLine="720"/>
        <w:rPr>
          <w:rFonts w:ascii="Arial" w:hAnsi="Arial" w:cs="Arial"/>
          <w:i/>
        </w:rPr>
      </w:pPr>
      <w:r>
        <w:rPr>
          <w:rFonts w:ascii="Arial" w:hAnsi="Arial" w:cs="Arial"/>
          <w:i/>
        </w:rPr>
        <w:t>“</w:t>
      </w:r>
      <w:r w:rsidR="00A72DE9" w:rsidRPr="0035217F">
        <w:rPr>
          <w:rFonts w:ascii="Arial" w:hAnsi="Arial" w:cs="Arial"/>
          <w:i/>
        </w:rPr>
        <w:t>seek the eviction of the unlawful occupiers”</w:t>
      </w:r>
      <w:r w:rsidR="00A72DE9">
        <w:rPr>
          <w:rStyle w:val="FootnoteReference"/>
          <w:rFonts w:ascii="Arial" w:hAnsi="Arial" w:cs="Arial"/>
          <w:i/>
        </w:rPr>
        <w:footnoteReference w:id="19"/>
      </w:r>
      <w:r w:rsidR="00A72DE9" w:rsidRPr="0035217F">
        <w:rPr>
          <w:rFonts w:ascii="Arial" w:hAnsi="Arial" w:cs="Arial"/>
          <w:i/>
        </w:rPr>
        <w:t xml:space="preserve"> </w:t>
      </w:r>
    </w:p>
    <w:p w:rsidR="00376AF3" w:rsidRPr="00376AF3" w:rsidRDefault="00376AF3" w:rsidP="00376AF3">
      <w:pPr>
        <w:pStyle w:val="ListParagraph"/>
        <w:rPr>
          <w:rFonts w:ascii="Arial" w:hAnsi="Arial" w:cs="Arial"/>
        </w:rPr>
      </w:pPr>
    </w:p>
    <w:p w:rsidR="00507FB7" w:rsidRDefault="007B5D35" w:rsidP="00AF22DC">
      <w:pPr>
        <w:pStyle w:val="ListParagraph"/>
        <w:numPr>
          <w:ilvl w:val="0"/>
          <w:numId w:val="3"/>
        </w:numPr>
        <w:spacing w:line="360" w:lineRule="auto"/>
        <w:rPr>
          <w:rFonts w:ascii="Arial" w:hAnsi="Arial" w:cs="Arial"/>
        </w:rPr>
      </w:pPr>
      <w:r>
        <w:rPr>
          <w:rFonts w:ascii="Arial" w:hAnsi="Arial" w:cs="Arial"/>
        </w:rPr>
        <w:t xml:space="preserve"> </w:t>
      </w:r>
      <w:r w:rsidR="00507FB7">
        <w:rPr>
          <w:rFonts w:ascii="Arial" w:hAnsi="Arial" w:cs="Arial"/>
        </w:rPr>
        <w:t xml:space="preserve">The effect of </w:t>
      </w:r>
      <w:r w:rsidR="00507FB7" w:rsidRPr="00507FB7">
        <w:rPr>
          <w:rFonts w:ascii="Arial" w:hAnsi="Arial" w:cs="Arial"/>
          <w:i/>
        </w:rPr>
        <w:t>Thubakgale</w:t>
      </w:r>
      <w:r w:rsidR="00507FB7">
        <w:rPr>
          <w:rFonts w:ascii="Arial" w:hAnsi="Arial" w:cs="Arial"/>
          <w:i/>
        </w:rPr>
        <w:t xml:space="preserve"> </w:t>
      </w:r>
      <w:r w:rsidR="0035217F">
        <w:rPr>
          <w:rFonts w:ascii="Arial" w:hAnsi="Arial" w:cs="Arial"/>
        </w:rPr>
        <w:t>is that the M</w:t>
      </w:r>
      <w:r w:rsidR="00507FB7">
        <w:rPr>
          <w:rFonts w:ascii="Arial" w:hAnsi="Arial" w:cs="Arial"/>
        </w:rPr>
        <w:t xml:space="preserve">unicipality or a person who has been allocated RDP housing or other forms of subsidised housing must apply </w:t>
      </w:r>
      <w:r w:rsidR="00C06312">
        <w:rPr>
          <w:rFonts w:ascii="Arial" w:hAnsi="Arial" w:cs="Arial"/>
        </w:rPr>
        <w:t>to evict</w:t>
      </w:r>
      <w:r w:rsidR="00507FB7">
        <w:rPr>
          <w:rFonts w:ascii="Arial" w:hAnsi="Arial" w:cs="Arial"/>
        </w:rPr>
        <w:t xml:space="preserve"> the </w:t>
      </w:r>
      <w:r w:rsidR="00C06312">
        <w:rPr>
          <w:rFonts w:ascii="Arial" w:hAnsi="Arial" w:cs="Arial"/>
        </w:rPr>
        <w:t>unlawful</w:t>
      </w:r>
      <w:r w:rsidR="00507FB7">
        <w:rPr>
          <w:rFonts w:ascii="Arial" w:hAnsi="Arial" w:cs="Arial"/>
        </w:rPr>
        <w:t xml:space="preserve"> occupier. </w:t>
      </w:r>
    </w:p>
    <w:p w:rsidR="00507FB7" w:rsidRDefault="00C06312" w:rsidP="006144C6">
      <w:pPr>
        <w:pStyle w:val="ListParagraph"/>
        <w:spacing w:line="360" w:lineRule="auto"/>
        <w:ind w:left="360"/>
        <w:rPr>
          <w:rFonts w:ascii="Arial" w:hAnsi="Arial" w:cs="Arial"/>
        </w:rPr>
      </w:pPr>
      <w:r>
        <w:rPr>
          <w:rFonts w:ascii="Arial" w:hAnsi="Arial" w:cs="Arial"/>
        </w:rPr>
        <w:lastRenderedPageBreak/>
        <w:t>However,</w:t>
      </w:r>
      <w:r w:rsidR="00507FB7">
        <w:rPr>
          <w:rFonts w:ascii="Arial" w:hAnsi="Arial" w:cs="Arial"/>
        </w:rPr>
        <w:t xml:space="preserve"> provided the occupier claims protection under PI</w:t>
      </w:r>
      <w:r w:rsidR="00387D29">
        <w:rPr>
          <w:rFonts w:ascii="Arial" w:hAnsi="Arial" w:cs="Arial"/>
        </w:rPr>
        <w:t xml:space="preserve">E no eviction is likely to </w:t>
      </w:r>
      <w:r w:rsidR="00507FB7">
        <w:rPr>
          <w:rFonts w:ascii="Arial" w:hAnsi="Arial" w:cs="Arial"/>
        </w:rPr>
        <w:t xml:space="preserve">occur from State owned land </w:t>
      </w:r>
      <w:r w:rsidR="006144C6">
        <w:rPr>
          <w:rFonts w:ascii="Arial" w:hAnsi="Arial" w:cs="Arial"/>
        </w:rPr>
        <w:t>(</w:t>
      </w:r>
      <w:r w:rsidR="00387D29">
        <w:rPr>
          <w:rFonts w:ascii="Arial" w:hAnsi="Arial" w:cs="Arial"/>
        </w:rPr>
        <w:t>if the occupier is homeless</w:t>
      </w:r>
      <w:r w:rsidR="006144C6">
        <w:rPr>
          <w:rFonts w:ascii="Arial" w:hAnsi="Arial" w:cs="Arial"/>
        </w:rPr>
        <w:t xml:space="preserve">) for as long as </w:t>
      </w:r>
      <w:r w:rsidR="00387D29">
        <w:rPr>
          <w:rFonts w:ascii="Arial" w:hAnsi="Arial" w:cs="Arial"/>
        </w:rPr>
        <w:t xml:space="preserve">the </w:t>
      </w:r>
      <w:r w:rsidR="00507FB7">
        <w:rPr>
          <w:rFonts w:ascii="Arial" w:hAnsi="Arial" w:cs="Arial"/>
        </w:rPr>
        <w:t>a</w:t>
      </w:r>
      <w:r w:rsidR="000B22D3">
        <w:rPr>
          <w:rFonts w:ascii="Arial" w:hAnsi="Arial" w:cs="Arial"/>
        </w:rPr>
        <w:t xml:space="preserve">uthorities </w:t>
      </w:r>
      <w:r>
        <w:rPr>
          <w:rFonts w:ascii="Arial" w:hAnsi="Arial" w:cs="Arial"/>
        </w:rPr>
        <w:t>are</w:t>
      </w:r>
      <w:r w:rsidR="00387D29">
        <w:rPr>
          <w:rFonts w:ascii="Arial" w:hAnsi="Arial" w:cs="Arial"/>
        </w:rPr>
        <w:t xml:space="preserve"> unable to pr</w:t>
      </w:r>
      <w:r w:rsidR="00507FB7">
        <w:rPr>
          <w:rFonts w:ascii="Arial" w:hAnsi="Arial" w:cs="Arial"/>
        </w:rPr>
        <w:t>ovide temporary emergency shelter</w:t>
      </w:r>
      <w:r w:rsidR="00896172">
        <w:rPr>
          <w:rFonts w:ascii="Arial" w:hAnsi="Arial" w:cs="Arial"/>
        </w:rPr>
        <w:t>.</w:t>
      </w:r>
      <w:r w:rsidR="00507FB7">
        <w:rPr>
          <w:rFonts w:ascii="Arial" w:hAnsi="Arial" w:cs="Arial"/>
        </w:rPr>
        <w:t xml:space="preserve">   </w:t>
      </w:r>
    </w:p>
    <w:p w:rsidR="000B22D3" w:rsidRPr="000B22D3" w:rsidRDefault="000B22D3" w:rsidP="000B22D3">
      <w:pPr>
        <w:pStyle w:val="ListParagraph"/>
        <w:rPr>
          <w:rFonts w:ascii="Arial" w:hAnsi="Arial" w:cs="Arial"/>
        </w:rPr>
      </w:pPr>
    </w:p>
    <w:p w:rsidR="00CE7038" w:rsidRDefault="002626F6" w:rsidP="000B22D3">
      <w:pPr>
        <w:pStyle w:val="ListParagraph"/>
        <w:spacing w:line="360" w:lineRule="auto"/>
        <w:ind w:left="360"/>
        <w:rPr>
          <w:rFonts w:ascii="Arial" w:hAnsi="Arial" w:cs="Arial"/>
        </w:rPr>
      </w:pPr>
      <w:r>
        <w:rPr>
          <w:rFonts w:ascii="Arial" w:hAnsi="Arial" w:cs="Arial"/>
        </w:rPr>
        <w:t>And therein lies the rub,</w:t>
      </w:r>
      <w:r w:rsidR="000B22D3">
        <w:rPr>
          <w:rFonts w:ascii="Arial" w:hAnsi="Arial" w:cs="Arial"/>
        </w:rPr>
        <w:t xml:space="preserve"> for a number of interrelated </w:t>
      </w:r>
      <w:r w:rsidR="00CE7038">
        <w:rPr>
          <w:rFonts w:ascii="Arial" w:hAnsi="Arial" w:cs="Arial"/>
        </w:rPr>
        <w:t>reasons.</w:t>
      </w:r>
    </w:p>
    <w:p w:rsidR="00CE7038" w:rsidRDefault="00CE7038" w:rsidP="000B22D3">
      <w:pPr>
        <w:pStyle w:val="ListParagraph"/>
        <w:spacing w:line="360" w:lineRule="auto"/>
        <w:ind w:left="360"/>
        <w:rPr>
          <w:rFonts w:ascii="Arial" w:hAnsi="Arial" w:cs="Arial"/>
        </w:rPr>
      </w:pPr>
    </w:p>
    <w:p w:rsidR="00CE7038" w:rsidRDefault="000B22D3" w:rsidP="00AF22DC">
      <w:pPr>
        <w:pStyle w:val="ListParagraph"/>
        <w:numPr>
          <w:ilvl w:val="0"/>
          <w:numId w:val="3"/>
        </w:numPr>
        <w:spacing w:line="360" w:lineRule="auto"/>
        <w:rPr>
          <w:rFonts w:ascii="Arial" w:hAnsi="Arial" w:cs="Arial"/>
        </w:rPr>
      </w:pPr>
      <w:r>
        <w:rPr>
          <w:rFonts w:ascii="Arial" w:hAnsi="Arial" w:cs="Arial"/>
        </w:rPr>
        <w:t>Firstly</w:t>
      </w:r>
      <w:r w:rsidR="006C2C0B">
        <w:rPr>
          <w:rFonts w:ascii="Arial" w:hAnsi="Arial" w:cs="Arial"/>
        </w:rPr>
        <w:t>,</w:t>
      </w:r>
      <w:r>
        <w:rPr>
          <w:rFonts w:ascii="Arial" w:hAnsi="Arial" w:cs="Arial"/>
        </w:rPr>
        <w:t xml:space="preserve"> there are already some 1.2 million people in Gauteng whose names are on a </w:t>
      </w:r>
      <w:r w:rsidR="006144C6">
        <w:rPr>
          <w:rFonts w:ascii="Arial" w:hAnsi="Arial" w:cs="Arial"/>
        </w:rPr>
        <w:t xml:space="preserve">waiting </w:t>
      </w:r>
      <w:r>
        <w:rPr>
          <w:rFonts w:ascii="Arial" w:hAnsi="Arial" w:cs="Arial"/>
        </w:rPr>
        <w:t>list for RDP housing</w:t>
      </w:r>
      <w:r>
        <w:rPr>
          <w:rStyle w:val="FootnoteReference"/>
          <w:rFonts w:ascii="Arial" w:hAnsi="Arial" w:cs="Arial"/>
        </w:rPr>
        <w:footnoteReference w:id="20"/>
      </w:r>
      <w:r>
        <w:rPr>
          <w:rFonts w:ascii="Arial" w:hAnsi="Arial" w:cs="Arial"/>
        </w:rPr>
        <w:t xml:space="preserve">. </w:t>
      </w:r>
      <w:r w:rsidRPr="000B22D3">
        <w:rPr>
          <w:rFonts w:ascii="Arial" w:hAnsi="Arial" w:cs="Arial"/>
        </w:rPr>
        <w:t xml:space="preserve">The list was introduced in 1996. </w:t>
      </w:r>
    </w:p>
    <w:p w:rsidR="002626F6" w:rsidRDefault="00CE7038" w:rsidP="00CE7038">
      <w:pPr>
        <w:pStyle w:val="ListParagraph"/>
        <w:spacing w:line="360" w:lineRule="auto"/>
        <w:ind w:left="360"/>
        <w:rPr>
          <w:rFonts w:ascii="Arial" w:hAnsi="Arial" w:cs="Arial"/>
        </w:rPr>
      </w:pPr>
      <w:r>
        <w:rPr>
          <w:rFonts w:ascii="Arial" w:hAnsi="Arial" w:cs="Arial"/>
        </w:rPr>
        <w:t>However only 10 000 housing units are built annually</w:t>
      </w:r>
      <w:r w:rsidR="002626F6">
        <w:rPr>
          <w:rFonts w:ascii="Arial" w:hAnsi="Arial" w:cs="Arial"/>
        </w:rPr>
        <w:t xml:space="preserve">. </w:t>
      </w:r>
    </w:p>
    <w:p w:rsidR="002626F6" w:rsidRDefault="002626F6" w:rsidP="00CE7038">
      <w:pPr>
        <w:pStyle w:val="ListParagraph"/>
        <w:spacing w:line="360" w:lineRule="auto"/>
        <w:ind w:left="360"/>
        <w:rPr>
          <w:rFonts w:ascii="Arial" w:hAnsi="Arial" w:cs="Arial"/>
        </w:rPr>
      </w:pPr>
    </w:p>
    <w:p w:rsidR="000B22D3" w:rsidRDefault="002626F6" w:rsidP="00CE7038">
      <w:pPr>
        <w:pStyle w:val="ListParagraph"/>
        <w:spacing w:line="360" w:lineRule="auto"/>
        <w:ind w:left="360"/>
        <w:rPr>
          <w:rFonts w:ascii="Arial" w:hAnsi="Arial" w:cs="Arial"/>
        </w:rPr>
      </w:pPr>
      <w:r>
        <w:rPr>
          <w:rFonts w:ascii="Arial" w:hAnsi="Arial" w:cs="Arial"/>
        </w:rPr>
        <w:t>B</w:t>
      </w:r>
      <w:r w:rsidR="00C06312">
        <w:rPr>
          <w:rFonts w:ascii="Arial" w:hAnsi="Arial" w:cs="Arial"/>
        </w:rPr>
        <w:t>ecause</w:t>
      </w:r>
      <w:r w:rsidR="00CE7038">
        <w:rPr>
          <w:rFonts w:ascii="Arial" w:hAnsi="Arial" w:cs="Arial"/>
        </w:rPr>
        <w:t xml:space="preserve"> of this </w:t>
      </w:r>
      <w:r w:rsidR="007D78D8">
        <w:rPr>
          <w:rFonts w:ascii="Arial" w:hAnsi="Arial" w:cs="Arial"/>
        </w:rPr>
        <w:t xml:space="preserve">enormous </w:t>
      </w:r>
      <w:r w:rsidR="00CE7038">
        <w:rPr>
          <w:rFonts w:ascii="Arial" w:hAnsi="Arial" w:cs="Arial"/>
        </w:rPr>
        <w:t>variance</w:t>
      </w:r>
      <w:r>
        <w:rPr>
          <w:rFonts w:ascii="Arial" w:hAnsi="Arial" w:cs="Arial"/>
        </w:rPr>
        <w:t>,</w:t>
      </w:r>
      <w:r w:rsidR="00CE7038">
        <w:rPr>
          <w:rFonts w:ascii="Arial" w:hAnsi="Arial" w:cs="Arial"/>
        </w:rPr>
        <w:t xml:space="preserve"> the housing allocation policy has been revised to prioritise those </w:t>
      </w:r>
      <w:r w:rsidR="00C06312">
        <w:rPr>
          <w:rFonts w:ascii="Arial" w:hAnsi="Arial" w:cs="Arial"/>
        </w:rPr>
        <w:t>who</w:t>
      </w:r>
      <w:r w:rsidR="00CE7038">
        <w:rPr>
          <w:rFonts w:ascii="Arial" w:hAnsi="Arial" w:cs="Arial"/>
        </w:rPr>
        <w:t xml:space="preserve"> had applied for</w:t>
      </w:r>
      <w:r w:rsidR="007D78D8">
        <w:rPr>
          <w:rFonts w:ascii="Arial" w:hAnsi="Arial" w:cs="Arial"/>
        </w:rPr>
        <w:t xml:space="preserve"> housing between 1996 and 2000.</w:t>
      </w:r>
      <w:r w:rsidR="00CE7038">
        <w:rPr>
          <w:rStyle w:val="FootnoteReference"/>
          <w:rFonts w:ascii="Arial" w:hAnsi="Arial" w:cs="Arial"/>
        </w:rPr>
        <w:footnoteReference w:id="21"/>
      </w:r>
      <w:r w:rsidR="00CE7038">
        <w:rPr>
          <w:rFonts w:ascii="Arial" w:hAnsi="Arial" w:cs="Arial"/>
        </w:rPr>
        <w:t xml:space="preserve"> </w:t>
      </w:r>
    </w:p>
    <w:p w:rsidR="007D78D8" w:rsidRDefault="007D78D8" w:rsidP="000B22D3">
      <w:pPr>
        <w:pStyle w:val="ListParagraph"/>
        <w:spacing w:line="360" w:lineRule="auto"/>
        <w:ind w:left="360"/>
        <w:rPr>
          <w:rFonts w:ascii="Arial" w:hAnsi="Arial" w:cs="Arial"/>
        </w:rPr>
      </w:pPr>
    </w:p>
    <w:p w:rsidR="006C2C0B" w:rsidRDefault="00CE7038" w:rsidP="000B22D3">
      <w:pPr>
        <w:pStyle w:val="ListParagraph"/>
        <w:spacing w:line="360" w:lineRule="auto"/>
        <w:ind w:left="360"/>
        <w:rPr>
          <w:rFonts w:ascii="Arial" w:hAnsi="Arial" w:cs="Arial"/>
        </w:rPr>
      </w:pPr>
      <w:r>
        <w:rPr>
          <w:rFonts w:ascii="Arial" w:hAnsi="Arial" w:cs="Arial"/>
        </w:rPr>
        <w:t>Leaving aside the prospect of a significant change in budget allocation</w:t>
      </w:r>
      <w:r w:rsidR="00896172">
        <w:rPr>
          <w:rFonts w:ascii="Arial" w:hAnsi="Arial" w:cs="Arial"/>
        </w:rPr>
        <w:t xml:space="preserve"> or the adoption of more vigorous planning and development of low cost housing schemes</w:t>
      </w:r>
      <w:r w:rsidR="002626F6">
        <w:rPr>
          <w:rFonts w:ascii="Arial" w:hAnsi="Arial" w:cs="Arial"/>
        </w:rPr>
        <w:t>,</w:t>
      </w:r>
      <w:r>
        <w:rPr>
          <w:rFonts w:ascii="Arial" w:hAnsi="Arial" w:cs="Arial"/>
        </w:rPr>
        <w:t xml:space="preserve"> the arithmetic is </w:t>
      </w:r>
      <w:r w:rsidR="002626F6">
        <w:rPr>
          <w:rFonts w:ascii="Arial" w:hAnsi="Arial" w:cs="Arial"/>
        </w:rPr>
        <w:t>clear</w:t>
      </w:r>
      <w:r w:rsidR="00896172">
        <w:rPr>
          <w:rFonts w:ascii="Arial" w:hAnsi="Arial" w:cs="Arial"/>
        </w:rPr>
        <w:t>:</w:t>
      </w:r>
      <w:r w:rsidR="004443C2">
        <w:rPr>
          <w:rFonts w:ascii="Arial" w:hAnsi="Arial" w:cs="Arial"/>
        </w:rPr>
        <w:t xml:space="preserve"> I</w:t>
      </w:r>
      <w:r>
        <w:rPr>
          <w:rFonts w:ascii="Arial" w:hAnsi="Arial" w:cs="Arial"/>
        </w:rPr>
        <w:t xml:space="preserve">t will take </w:t>
      </w:r>
      <w:r w:rsidR="006C2C0B">
        <w:rPr>
          <w:rFonts w:ascii="Arial" w:hAnsi="Arial" w:cs="Arial"/>
        </w:rPr>
        <w:t>another quarter of a century</w:t>
      </w:r>
      <w:r>
        <w:rPr>
          <w:rFonts w:ascii="Arial" w:hAnsi="Arial" w:cs="Arial"/>
        </w:rPr>
        <w:t xml:space="preserve"> for </w:t>
      </w:r>
      <w:r w:rsidR="00C06312">
        <w:rPr>
          <w:rFonts w:ascii="Arial" w:hAnsi="Arial" w:cs="Arial"/>
        </w:rPr>
        <w:t>the 256</w:t>
      </w:r>
      <w:r w:rsidRPr="00CE7038">
        <w:rPr>
          <w:rFonts w:ascii="Arial" w:hAnsi="Arial" w:cs="Arial"/>
        </w:rPr>
        <w:t xml:space="preserve"> 651 people </w:t>
      </w:r>
      <w:r>
        <w:rPr>
          <w:rFonts w:ascii="Arial" w:hAnsi="Arial" w:cs="Arial"/>
        </w:rPr>
        <w:t xml:space="preserve">whose names were put on the list </w:t>
      </w:r>
      <w:r w:rsidRPr="00CE7038">
        <w:rPr>
          <w:rFonts w:ascii="Arial" w:hAnsi="Arial" w:cs="Arial"/>
        </w:rPr>
        <w:t>between 1996 and 2000</w:t>
      </w:r>
      <w:r>
        <w:rPr>
          <w:rFonts w:ascii="Arial" w:hAnsi="Arial" w:cs="Arial"/>
        </w:rPr>
        <w:t xml:space="preserve"> to receive houses before the other 1 million </w:t>
      </w:r>
      <w:r w:rsidR="004443C2">
        <w:rPr>
          <w:rFonts w:ascii="Arial" w:hAnsi="Arial" w:cs="Arial"/>
        </w:rPr>
        <w:t xml:space="preserve">get their </w:t>
      </w:r>
      <w:r w:rsidR="007D78D8">
        <w:rPr>
          <w:rFonts w:ascii="Arial" w:hAnsi="Arial" w:cs="Arial"/>
        </w:rPr>
        <w:t>opportunity</w:t>
      </w:r>
      <w:r w:rsidR="004443C2">
        <w:rPr>
          <w:rFonts w:ascii="Arial" w:hAnsi="Arial" w:cs="Arial"/>
        </w:rPr>
        <w:t xml:space="preserve">. </w:t>
      </w:r>
      <w:r w:rsidR="006C2C0B">
        <w:rPr>
          <w:rFonts w:ascii="Arial" w:hAnsi="Arial" w:cs="Arial"/>
        </w:rPr>
        <w:t xml:space="preserve"> </w:t>
      </w:r>
    </w:p>
    <w:p w:rsidR="006C2C0B" w:rsidRDefault="006C2C0B" w:rsidP="000B22D3">
      <w:pPr>
        <w:pStyle w:val="ListParagraph"/>
        <w:spacing w:line="360" w:lineRule="auto"/>
        <w:ind w:left="360"/>
        <w:rPr>
          <w:rFonts w:ascii="Arial" w:hAnsi="Arial" w:cs="Arial"/>
        </w:rPr>
      </w:pPr>
    </w:p>
    <w:p w:rsidR="006B6007" w:rsidRDefault="006B6007" w:rsidP="00AF22DC">
      <w:pPr>
        <w:pStyle w:val="ListParagraph"/>
        <w:numPr>
          <w:ilvl w:val="0"/>
          <w:numId w:val="3"/>
        </w:numPr>
        <w:spacing w:line="360" w:lineRule="auto"/>
        <w:rPr>
          <w:rFonts w:ascii="Arial" w:hAnsi="Arial" w:cs="Arial"/>
        </w:rPr>
      </w:pPr>
      <w:r>
        <w:rPr>
          <w:rFonts w:ascii="Arial" w:hAnsi="Arial" w:cs="Arial"/>
        </w:rPr>
        <w:t xml:space="preserve">Another factor is that </w:t>
      </w:r>
      <w:r w:rsidR="004443C2">
        <w:rPr>
          <w:rFonts w:ascii="Arial" w:hAnsi="Arial" w:cs="Arial"/>
        </w:rPr>
        <w:t xml:space="preserve">someone </w:t>
      </w:r>
      <w:r>
        <w:rPr>
          <w:rFonts w:ascii="Arial" w:hAnsi="Arial" w:cs="Arial"/>
        </w:rPr>
        <w:t xml:space="preserve">who has been provided with temporary emergency shelter </w:t>
      </w:r>
      <w:r w:rsidR="004443C2">
        <w:rPr>
          <w:rFonts w:ascii="Arial" w:hAnsi="Arial" w:cs="Arial"/>
        </w:rPr>
        <w:t xml:space="preserve">is likely to </w:t>
      </w:r>
      <w:r w:rsidR="00387D29">
        <w:rPr>
          <w:rFonts w:ascii="Arial" w:hAnsi="Arial" w:cs="Arial"/>
        </w:rPr>
        <w:t>remain there indefinitely</w:t>
      </w:r>
      <w:r w:rsidR="002626F6">
        <w:rPr>
          <w:rFonts w:ascii="Arial" w:hAnsi="Arial" w:cs="Arial"/>
        </w:rPr>
        <w:t xml:space="preserve">. This </w:t>
      </w:r>
      <w:r w:rsidR="00387D29">
        <w:rPr>
          <w:rFonts w:ascii="Arial" w:hAnsi="Arial" w:cs="Arial"/>
        </w:rPr>
        <w:t>result</w:t>
      </w:r>
      <w:r w:rsidR="002626F6">
        <w:rPr>
          <w:rFonts w:ascii="Arial" w:hAnsi="Arial" w:cs="Arial"/>
        </w:rPr>
        <w:t>s</w:t>
      </w:r>
      <w:r w:rsidR="004443C2">
        <w:rPr>
          <w:rFonts w:ascii="Arial" w:hAnsi="Arial" w:cs="Arial"/>
        </w:rPr>
        <w:t xml:space="preserve"> in</w:t>
      </w:r>
      <w:r w:rsidR="00387D29">
        <w:rPr>
          <w:rFonts w:ascii="Arial" w:hAnsi="Arial" w:cs="Arial"/>
        </w:rPr>
        <w:t xml:space="preserve"> bottleneck</w:t>
      </w:r>
      <w:r w:rsidR="004443C2">
        <w:rPr>
          <w:rFonts w:ascii="Arial" w:hAnsi="Arial" w:cs="Arial"/>
        </w:rPr>
        <w:t>s</w:t>
      </w:r>
      <w:r w:rsidR="00387D29">
        <w:rPr>
          <w:rFonts w:ascii="Arial" w:hAnsi="Arial" w:cs="Arial"/>
        </w:rPr>
        <w:t xml:space="preserve"> preventing </w:t>
      </w:r>
      <w:r w:rsidR="004443C2">
        <w:rPr>
          <w:rFonts w:ascii="Arial" w:hAnsi="Arial" w:cs="Arial"/>
        </w:rPr>
        <w:t xml:space="preserve">others from receiving </w:t>
      </w:r>
      <w:r w:rsidR="00387D29">
        <w:rPr>
          <w:rFonts w:ascii="Arial" w:hAnsi="Arial" w:cs="Arial"/>
        </w:rPr>
        <w:t>emergency accommodation unless new shelters are provided either on available land or other land is acquired</w:t>
      </w:r>
      <w:r w:rsidR="00726E57">
        <w:rPr>
          <w:rFonts w:ascii="Arial" w:hAnsi="Arial" w:cs="Arial"/>
        </w:rPr>
        <w:t>;</w:t>
      </w:r>
      <w:r w:rsidR="000A3C37">
        <w:rPr>
          <w:rFonts w:ascii="Arial" w:hAnsi="Arial" w:cs="Arial"/>
        </w:rPr>
        <w:t xml:space="preserve"> bearing in mind </w:t>
      </w:r>
      <w:r w:rsidR="000A3C37" w:rsidRPr="00D857D9">
        <w:rPr>
          <w:rFonts w:ascii="Arial" w:hAnsi="Arial" w:cs="Arial"/>
        </w:rPr>
        <w:t xml:space="preserve">that </w:t>
      </w:r>
      <w:r w:rsidR="00C06312" w:rsidRPr="00D857D9">
        <w:rPr>
          <w:rFonts w:ascii="Arial" w:hAnsi="Arial" w:cs="Arial"/>
        </w:rPr>
        <w:t>there</w:t>
      </w:r>
      <w:r w:rsidR="00387D29" w:rsidRPr="00D857D9">
        <w:rPr>
          <w:rFonts w:ascii="Arial" w:hAnsi="Arial" w:cs="Arial"/>
        </w:rPr>
        <w:t xml:space="preserve"> is case law</w:t>
      </w:r>
      <w:r w:rsidR="005E5DFB" w:rsidRPr="00D857D9">
        <w:rPr>
          <w:rFonts w:ascii="Arial" w:hAnsi="Arial" w:cs="Arial"/>
        </w:rPr>
        <w:t xml:space="preserve"> </w:t>
      </w:r>
      <w:r w:rsidR="002626F6" w:rsidRPr="00D857D9">
        <w:rPr>
          <w:rFonts w:ascii="Arial" w:hAnsi="Arial" w:cs="Arial"/>
        </w:rPr>
        <w:t xml:space="preserve">which </w:t>
      </w:r>
      <w:r w:rsidR="005E5DFB" w:rsidRPr="00D857D9">
        <w:rPr>
          <w:rFonts w:ascii="Arial" w:hAnsi="Arial" w:cs="Arial"/>
        </w:rPr>
        <w:t>requir</w:t>
      </w:r>
      <w:r w:rsidR="002626F6" w:rsidRPr="00D857D9">
        <w:rPr>
          <w:rFonts w:ascii="Arial" w:hAnsi="Arial" w:cs="Arial"/>
        </w:rPr>
        <w:t>es</w:t>
      </w:r>
      <w:r w:rsidR="005E5DFB" w:rsidRPr="00D857D9">
        <w:rPr>
          <w:rFonts w:ascii="Arial" w:hAnsi="Arial" w:cs="Arial"/>
        </w:rPr>
        <w:t xml:space="preserve"> </w:t>
      </w:r>
      <w:r w:rsidR="000774C7">
        <w:rPr>
          <w:rFonts w:ascii="Arial" w:hAnsi="Arial" w:cs="Arial"/>
        </w:rPr>
        <w:t>accommodation</w:t>
      </w:r>
      <w:r w:rsidR="004443C2">
        <w:rPr>
          <w:rFonts w:ascii="Arial" w:hAnsi="Arial" w:cs="Arial"/>
        </w:rPr>
        <w:t xml:space="preserve"> </w:t>
      </w:r>
      <w:r w:rsidR="005E5DFB">
        <w:rPr>
          <w:rFonts w:ascii="Arial" w:hAnsi="Arial" w:cs="Arial"/>
        </w:rPr>
        <w:t>to</w:t>
      </w:r>
      <w:r w:rsidR="00387D29">
        <w:rPr>
          <w:rFonts w:ascii="Arial" w:hAnsi="Arial" w:cs="Arial"/>
        </w:rPr>
        <w:t xml:space="preserve"> </w:t>
      </w:r>
      <w:r w:rsidR="006F2C95">
        <w:rPr>
          <w:rFonts w:ascii="Arial" w:hAnsi="Arial" w:cs="Arial"/>
        </w:rPr>
        <w:t xml:space="preserve">be </w:t>
      </w:r>
      <w:r w:rsidR="00387D29">
        <w:rPr>
          <w:rFonts w:ascii="Arial" w:hAnsi="Arial" w:cs="Arial"/>
        </w:rPr>
        <w:t>provided within reasonable</w:t>
      </w:r>
      <w:r w:rsidR="005E5DFB">
        <w:rPr>
          <w:rFonts w:ascii="Arial" w:hAnsi="Arial" w:cs="Arial"/>
        </w:rPr>
        <w:t xml:space="preserve"> proximity to where the occupier</w:t>
      </w:r>
      <w:r w:rsidR="00387D29">
        <w:rPr>
          <w:rFonts w:ascii="Arial" w:hAnsi="Arial" w:cs="Arial"/>
        </w:rPr>
        <w:t xml:space="preserve"> </w:t>
      </w:r>
      <w:r w:rsidR="005E5DFB">
        <w:rPr>
          <w:rFonts w:ascii="Arial" w:hAnsi="Arial" w:cs="Arial"/>
        </w:rPr>
        <w:t>was</w:t>
      </w:r>
      <w:r w:rsidR="00387D29">
        <w:rPr>
          <w:rFonts w:ascii="Arial" w:hAnsi="Arial" w:cs="Arial"/>
        </w:rPr>
        <w:t xml:space="preserve"> </w:t>
      </w:r>
      <w:r w:rsidR="00250AC1">
        <w:rPr>
          <w:rFonts w:ascii="Arial" w:hAnsi="Arial" w:cs="Arial"/>
        </w:rPr>
        <w:t>living at the time</w:t>
      </w:r>
      <w:r w:rsidR="00387D29">
        <w:rPr>
          <w:rFonts w:ascii="Arial" w:hAnsi="Arial" w:cs="Arial"/>
        </w:rPr>
        <w:t>.</w:t>
      </w:r>
    </w:p>
    <w:p w:rsidR="006B6007" w:rsidRDefault="006B6007" w:rsidP="006B6007">
      <w:pPr>
        <w:pStyle w:val="ListParagraph"/>
        <w:spacing w:line="360" w:lineRule="auto"/>
        <w:ind w:left="360"/>
        <w:rPr>
          <w:rFonts w:ascii="Arial" w:hAnsi="Arial" w:cs="Arial"/>
        </w:rPr>
      </w:pPr>
    </w:p>
    <w:p w:rsidR="002626F6" w:rsidRDefault="006C2C0B" w:rsidP="006B6007">
      <w:pPr>
        <w:pStyle w:val="ListParagraph"/>
        <w:spacing w:line="360" w:lineRule="auto"/>
        <w:ind w:left="360"/>
        <w:rPr>
          <w:rFonts w:ascii="Arial" w:hAnsi="Arial" w:cs="Arial"/>
        </w:rPr>
      </w:pPr>
      <w:r>
        <w:rPr>
          <w:rFonts w:ascii="Arial" w:hAnsi="Arial" w:cs="Arial"/>
        </w:rPr>
        <w:t xml:space="preserve">The structuring of </w:t>
      </w:r>
      <w:r w:rsidR="00C06312">
        <w:rPr>
          <w:rFonts w:ascii="Arial" w:hAnsi="Arial" w:cs="Arial"/>
        </w:rPr>
        <w:t>the National</w:t>
      </w:r>
      <w:r w:rsidRPr="006C2C0B">
        <w:rPr>
          <w:rFonts w:ascii="Arial" w:hAnsi="Arial" w:cs="Arial"/>
        </w:rPr>
        <w:t xml:space="preserve"> Housing Code</w:t>
      </w:r>
      <w:r>
        <w:rPr>
          <w:rFonts w:ascii="Arial" w:hAnsi="Arial" w:cs="Arial"/>
        </w:rPr>
        <w:t xml:space="preserve"> r</w:t>
      </w:r>
      <w:r w:rsidR="00A723C4">
        <w:rPr>
          <w:rFonts w:ascii="Arial" w:hAnsi="Arial" w:cs="Arial"/>
        </w:rPr>
        <w:t xml:space="preserve">ead </w:t>
      </w:r>
      <w:r>
        <w:rPr>
          <w:rFonts w:ascii="Arial" w:hAnsi="Arial" w:cs="Arial"/>
        </w:rPr>
        <w:t>with the Housing A</w:t>
      </w:r>
      <w:r w:rsidR="00A723C4">
        <w:rPr>
          <w:rFonts w:ascii="Arial" w:hAnsi="Arial" w:cs="Arial"/>
        </w:rPr>
        <w:t xml:space="preserve">ct and related initiatives </w:t>
      </w:r>
      <w:r>
        <w:rPr>
          <w:rFonts w:ascii="Arial" w:hAnsi="Arial" w:cs="Arial"/>
        </w:rPr>
        <w:t xml:space="preserve">enables authorities to provide for temporary emergency shelter in cases of natural </w:t>
      </w:r>
      <w:r w:rsidR="00C06312">
        <w:rPr>
          <w:rFonts w:ascii="Arial" w:hAnsi="Arial" w:cs="Arial"/>
        </w:rPr>
        <w:t>disasters</w:t>
      </w:r>
      <w:r w:rsidR="004443C2">
        <w:rPr>
          <w:rFonts w:ascii="Arial" w:hAnsi="Arial" w:cs="Arial"/>
        </w:rPr>
        <w:t xml:space="preserve"> and</w:t>
      </w:r>
      <w:r>
        <w:rPr>
          <w:rFonts w:ascii="Arial" w:hAnsi="Arial" w:cs="Arial"/>
        </w:rPr>
        <w:t xml:space="preserve"> is also used in cases of PIE evictions. </w:t>
      </w:r>
      <w:r w:rsidR="002626F6">
        <w:rPr>
          <w:rFonts w:ascii="Arial" w:hAnsi="Arial" w:cs="Arial"/>
        </w:rPr>
        <w:t>But the</w:t>
      </w:r>
      <w:r w:rsidR="004443C2">
        <w:rPr>
          <w:rFonts w:ascii="Arial" w:hAnsi="Arial" w:cs="Arial"/>
        </w:rPr>
        <w:t xml:space="preserve">y </w:t>
      </w:r>
      <w:r w:rsidR="002626F6">
        <w:rPr>
          <w:rFonts w:ascii="Arial" w:hAnsi="Arial" w:cs="Arial"/>
        </w:rPr>
        <w:t xml:space="preserve"> </w:t>
      </w:r>
      <w:r w:rsidR="008955C5">
        <w:rPr>
          <w:rFonts w:ascii="Arial" w:hAnsi="Arial" w:cs="Arial"/>
        </w:rPr>
        <w:t xml:space="preserve"> compete with </w:t>
      </w:r>
      <w:r w:rsidR="00726E57">
        <w:rPr>
          <w:rFonts w:ascii="Arial" w:hAnsi="Arial" w:cs="Arial"/>
        </w:rPr>
        <w:t xml:space="preserve">each </w:t>
      </w:r>
      <w:r w:rsidR="008955C5">
        <w:rPr>
          <w:rFonts w:ascii="Arial" w:hAnsi="Arial" w:cs="Arial"/>
        </w:rPr>
        <w:t xml:space="preserve">other for </w:t>
      </w:r>
      <w:r w:rsidR="004443C2">
        <w:rPr>
          <w:rFonts w:ascii="Arial" w:hAnsi="Arial" w:cs="Arial"/>
        </w:rPr>
        <w:t>a scarce resourc</w:t>
      </w:r>
      <w:r w:rsidR="008955C5">
        <w:rPr>
          <w:rFonts w:ascii="Arial" w:hAnsi="Arial" w:cs="Arial"/>
        </w:rPr>
        <w:t xml:space="preserve">e as </w:t>
      </w:r>
      <w:r w:rsidR="004443C2">
        <w:rPr>
          <w:rFonts w:ascii="Arial" w:hAnsi="Arial" w:cs="Arial"/>
        </w:rPr>
        <w:t xml:space="preserve">is </w:t>
      </w:r>
      <w:r w:rsidR="008955C5">
        <w:rPr>
          <w:rFonts w:ascii="Arial" w:hAnsi="Arial" w:cs="Arial"/>
        </w:rPr>
        <w:t xml:space="preserve">evident from the need to </w:t>
      </w:r>
      <w:r w:rsidR="008955C5">
        <w:rPr>
          <w:rFonts w:ascii="Arial" w:hAnsi="Arial" w:cs="Arial"/>
        </w:rPr>
        <w:lastRenderedPageBreak/>
        <w:t xml:space="preserve">provide emergency shelter for those rendered homeless in the wake of the recent floods.  </w:t>
      </w:r>
    </w:p>
    <w:p w:rsidR="002626F6" w:rsidRDefault="002626F6" w:rsidP="006B6007">
      <w:pPr>
        <w:pStyle w:val="ListParagraph"/>
        <w:spacing w:line="360" w:lineRule="auto"/>
        <w:ind w:left="360"/>
        <w:rPr>
          <w:rFonts w:ascii="Arial" w:hAnsi="Arial" w:cs="Arial"/>
        </w:rPr>
      </w:pPr>
    </w:p>
    <w:p w:rsidR="006B6007" w:rsidRDefault="004443C2" w:rsidP="006B6007">
      <w:pPr>
        <w:pStyle w:val="ListParagraph"/>
        <w:spacing w:line="360" w:lineRule="auto"/>
        <w:ind w:left="360"/>
        <w:rPr>
          <w:rFonts w:ascii="Arial" w:hAnsi="Arial" w:cs="Arial"/>
        </w:rPr>
      </w:pPr>
      <w:r>
        <w:rPr>
          <w:rFonts w:ascii="Arial" w:hAnsi="Arial" w:cs="Arial"/>
        </w:rPr>
        <w:t>O</w:t>
      </w:r>
      <w:r w:rsidR="006C2C0B">
        <w:rPr>
          <w:rFonts w:ascii="Arial" w:hAnsi="Arial" w:cs="Arial"/>
        </w:rPr>
        <w:t xml:space="preserve">nce </w:t>
      </w:r>
      <w:r w:rsidR="00C06312">
        <w:rPr>
          <w:rFonts w:ascii="Arial" w:hAnsi="Arial" w:cs="Arial"/>
        </w:rPr>
        <w:t xml:space="preserve">provided </w:t>
      </w:r>
      <w:r w:rsidR="005E5DFB">
        <w:rPr>
          <w:rFonts w:ascii="Arial" w:hAnsi="Arial" w:cs="Arial"/>
        </w:rPr>
        <w:t xml:space="preserve">with </w:t>
      </w:r>
      <w:r w:rsidR="00726E57">
        <w:rPr>
          <w:rFonts w:ascii="Arial" w:hAnsi="Arial" w:cs="Arial"/>
        </w:rPr>
        <w:t xml:space="preserve">such </w:t>
      </w:r>
      <w:r w:rsidR="006C2C0B">
        <w:rPr>
          <w:rFonts w:ascii="Arial" w:hAnsi="Arial" w:cs="Arial"/>
        </w:rPr>
        <w:t xml:space="preserve">shelter </w:t>
      </w:r>
      <w:r w:rsidR="005E5DFB">
        <w:rPr>
          <w:rFonts w:ascii="Arial" w:hAnsi="Arial" w:cs="Arial"/>
        </w:rPr>
        <w:t>a</w:t>
      </w:r>
      <w:r w:rsidR="006C2C0B">
        <w:rPr>
          <w:rFonts w:ascii="Arial" w:hAnsi="Arial" w:cs="Arial"/>
        </w:rPr>
        <w:t xml:space="preserve"> </w:t>
      </w:r>
      <w:r w:rsidR="005E5DFB">
        <w:rPr>
          <w:rFonts w:ascii="Arial" w:hAnsi="Arial" w:cs="Arial"/>
        </w:rPr>
        <w:t xml:space="preserve">person </w:t>
      </w:r>
      <w:r w:rsidR="006C2C0B">
        <w:rPr>
          <w:rFonts w:ascii="Arial" w:hAnsi="Arial" w:cs="Arial"/>
        </w:rPr>
        <w:t>should</w:t>
      </w:r>
      <w:r w:rsidR="002626F6">
        <w:rPr>
          <w:rFonts w:ascii="Arial" w:hAnsi="Arial" w:cs="Arial"/>
        </w:rPr>
        <w:t xml:space="preserve">, as the term implies, </w:t>
      </w:r>
      <w:r w:rsidR="006C2C0B">
        <w:rPr>
          <w:rFonts w:ascii="Arial" w:hAnsi="Arial" w:cs="Arial"/>
        </w:rPr>
        <w:t>only remain there</w:t>
      </w:r>
      <w:r w:rsidR="00A723C4">
        <w:rPr>
          <w:rFonts w:ascii="Arial" w:hAnsi="Arial" w:cs="Arial"/>
        </w:rPr>
        <w:t xml:space="preserve"> </w:t>
      </w:r>
      <w:r w:rsidR="006C2C0B">
        <w:rPr>
          <w:rFonts w:ascii="Arial" w:hAnsi="Arial" w:cs="Arial"/>
        </w:rPr>
        <w:t xml:space="preserve">temporarily </w:t>
      </w:r>
      <w:r w:rsidR="00A723C4">
        <w:rPr>
          <w:rFonts w:ascii="Arial" w:hAnsi="Arial" w:cs="Arial"/>
        </w:rPr>
        <w:t xml:space="preserve">before progressing to more permanent housing and </w:t>
      </w:r>
      <w:r w:rsidR="00250AC1">
        <w:rPr>
          <w:rFonts w:ascii="Arial" w:hAnsi="Arial" w:cs="Arial"/>
        </w:rPr>
        <w:t>being</w:t>
      </w:r>
      <w:r w:rsidR="000774C7">
        <w:rPr>
          <w:rFonts w:ascii="Arial" w:hAnsi="Arial" w:cs="Arial"/>
        </w:rPr>
        <w:t xml:space="preserve"> eligible</w:t>
      </w:r>
      <w:r w:rsidR="00A723C4">
        <w:rPr>
          <w:rFonts w:ascii="Arial" w:hAnsi="Arial" w:cs="Arial"/>
        </w:rPr>
        <w:t xml:space="preserve"> for subsidised housing</w:t>
      </w:r>
      <w:r w:rsidR="006B6007">
        <w:rPr>
          <w:rFonts w:ascii="Arial" w:hAnsi="Arial" w:cs="Arial"/>
        </w:rPr>
        <w:t xml:space="preserve"> as provided for in the Code</w:t>
      </w:r>
      <w:r w:rsidR="00A723C4">
        <w:rPr>
          <w:rFonts w:ascii="Arial" w:hAnsi="Arial" w:cs="Arial"/>
        </w:rPr>
        <w:t xml:space="preserve">. </w:t>
      </w:r>
    </w:p>
    <w:p w:rsidR="006B6007" w:rsidRDefault="006B6007" w:rsidP="006B6007">
      <w:pPr>
        <w:pStyle w:val="ListParagraph"/>
        <w:spacing w:line="360" w:lineRule="auto"/>
        <w:ind w:left="360"/>
        <w:rPr>
          <w:rFonts w:ascii="Arial" w:hAnsi="Arial" w:cs="Arial"/>
        </w:rPr>
      </w:pPr>
    </w:p>
    <w:p w:rsidR="000774C7" w:rsidRDefault="004443C2" w:rsidP="006B6007">
      <w:pPr>
        <w:pStyle w:val="ListParagraph"/>
        <w:spacing w:line="360" w:lineRule="auto"/>
        <w:ind w:left="360"/>
        <w:rPr>
          <w:rFonts w:ascii="Arial" w:hAnsi="Arial" w:cs="Arial"/>
        </w:rPr>
      </w:pPr>
      <w:r>
        <w:rPr>
          <w:rFonts w:ascii="Arial" w:hAnsi="Arial" w:cs="Arial"/>
        </w:rPr>
        <w:t xml:space="preserve">However </w:t>
      </w:r>
      <w:r w:rsidR="006B6007">
        <w:rPr>
          <w:rFonts w:ascii="Arial" w:hAnsi="Arial" w:cs="Arial"/>
        </w:rPr>
        <w:t>the authorities</w:t>
      </w:r>
      <w:r>
        <w:rPr>
          <w:rFonts w:ascii="Arial" w:hAnsi="Arial" w:cs="Arial"/>
        </w:rPr>
        <w:t xml:space="preserve"> claim to be unable to </w:t>
      </w:r>
      <w:r w:rsidR="00A723C4">
        <w:rPr>
          <w:rFonts w:ascii="Arial" w:hAnsi="Arial" w:cs="Arial"/>
        </w:rPr>
        <w:t xml:space="preserve">provide for more permanent housing due to the enormous backlog </w:t>
      </w:r>
      <w:r w:rsidR="006B6007">
        <w:rPr>
          <w:rFonts w:ascii="Arial" w:hAnsi="Arial" w:cs="Arial"/>
        </w:rPr>
        <w:t xml:space="preserve">mentioned </w:t>
      </w:r>
      <w:r w:rsidR="00726E57">
        <w:rPr>
          <w:rFonts w:ascii="Arial" w:hAnsi="Arial" w:cs="Arial"/>
        </w:rPr>
        <w:t>earlier</w:t>
      </w:r>
      <w:r w:rsidR="006B6007">
        <w:rPr>
          <w:rFonts w:ascii="Arial" w:hAnsi="Arial" w:cs="Arial"/>
        </w:rPr>
        <w:t xml:space="preserve">. </w:t>
      </w:r>
      <w:r>
        <w:rPr>
          <w:rFonts w:ascii="Arial" w:hAnsi="Arial" w:cs="Arial"/>
        </w:rPr>
        <w:t>In the r</w:t>
      </w:r>
      <w:r w:rsidR="006B6007">
        <w:rPr>
          <w:rFonts w:ascii="Arial" w:hAnsi="Arial" w:cs="Arial"/>
        </w:rPr>
        <w:t>esult</w:t>
      </w:r>
      <w:r>
        <w:rPr>
          <w:rFonts w:ascii="Arial" w:hAnsi="Arial" w:cs="Arial"/>
        </w:rPr>
        <w:t>,</w:t>
      </w:r>
      <w:r w:rsidR="006B6007">
        <w:rPr>
          <w:rFonts w:ascii="Arial" w:hAnsi="Arial" w:cs="Arial"/>
        </w:rPr>
        <w:t xml:space="preserve"> those who have been provided with emergency shelter remain there</w:t>
      </w:r>
      <w:r w:rsidR="00250AC1">
        <w:rPr>
          <w:rFonts w:ascii="Arial" w:hAnsi="Arial" w:cs="Arial"/>
        </w:rPr>
        <w:t xml:space="preserve"> for a considerable time, if not </w:t>
      </w:r>
      <w:r w:rsidR="006B6007">
        <w:rPr>
          <w:rFonts w:ascii="Arial" w:hAnsi="Arial" w:cs="Arial"/>
        </w:rPr>
        <w:t xml:space="preserve">indefinitely. </w:t>
      </w:r>
    </w:p>
    <w:p w:rsidR="000774C7" w:rsidRDefault="000774C7" w:rsidP="006B6007">
      <w:pPr>
        <w:pStyle w:val="ListParagraph"/>
        <w:spacing w:line="360" w:lineRule="auto"/>
        <w:ind w:left="360"/>
        <w:rPr>
          <w:rFonts w:ascii="Arial" w:hAnsi="Arial" w:cs="Arial"/>
        </w:rPr>
      </w:pPr>
    </w:p>
    <w:p w:rsidR="000B22D3" w:rsidRDefault="006B6007" w:rsidP="006B6007">
      <w:pPr>
        <w:pStyle w:val="ListParagraph"/>
        <w:spacing w:line="360" w:lineRule="auto"/>
        <w:ind w:left="360"/>
        <w:rPr>
          <w:rFonts w:ascii="Arial" w:hAnsi="Arial" w:cs="Arial"/>
        </w:rPr>
      </w:pPr>
      <w:r>
        <w:rPr>
          <w:rFonts w:ascii="Arial" w:hAnsi="Arial" w:cs="Arial"/>
        </w:rPr>
        <w:t xml:space="preserve">The common </w:t>
      </w:r>
      <w:r w:rsidR="00C06312">
        <w:rPr>
          <w:rFonts w:ascii="Arial" w:hAnsi="Arial" w:cs="Arial"/>
        </w:rPr>
        <w:t>cause facts</w:t>
      </w:r>
      <w:r>
        <w:rPr>
          <w:rFonts w:ascii="Arial" w:hAnsi="Arial" w:cs="Arial"/>
        </w:rPr>
        <w:t xml:space="preserve"> set out in a number of reported </w:t>
      </w:r>
      <w:r w:rsidR="00C06312">
        <w:rPr>
          <w:rFonts w:ascii="Arial" w:hAnsi="Arial" w:cs="Arial"/>
        </w:rPr>
        <w:t>judgments</w:t>
      </w:r>
      <w:r>
        <w:rPr>
          <w:rFonts w:ascii="Arial" w:hAnsi="Arial" w:cs="Arial"/>
        </w:rPr>
        <w:t xml:space="preserve"> confirm that those who have been given temporary emergency shelter are still there despite </w:t>
      </w:r>
      <w:r w:rsidR="002626F6">
        <w:rPr>
          <w:rFonts w:ascii="Arial" w:hAnsi="Arial" w:cs="Arial"/>
        </w:rPr>
        <w:t xml:space="preserve">the </w:t>
      </w:r>
      <w:r w:rsidR="002353EE">
        <w:rPr>
          <w:rFonts w:ascii="Arial" w:hAnsi="Arial" w:cs="Arial"/>
        </w:rPr>
        <w:t>pass</w:t>
      </w:r>
      <w:r w:rsidR="00CB5922">
        <w:rPr>
          <w:rFonts w:ascii="Arial" w:hAnsi="Arial" w:cs="Arial"/>
        </w:rPr>
        <w:t>age</w:t>
      </w:r>
      <w:r w:rsidR="002353EE">
        <w:rPr>
          <w:rFonts w:ascii="Arial" w:hAnsi="Arial" w:cs="Arial"/>
        </w:rPr>
        <w:t xml:space="preserve"> </w:t>
      </w:r>
      <w:r w:rsidR="002626F6">
        <w:rPr>
          <w:rFonts w:ascii="Arial" w:hAnsi="Arial" w:cs="Arial"/>
        </w:rPr>
        <w:t xml:space="preserve">of </w:t>
      </w:r>
      <w:r w:rsidR="00CE0669">
        <w:rPr>
          <w:rFonts w:ascii="Arial" w:hAnsi="Arial" w:cs="Arial"/>
        </w:rPr>
        <w:t>many years</w:t>
      </w:r>
      <w:r w:rsidR="002626F6">
        <w:rPr>
          <w:rFonts w:ascii="Arial" w:hAnsi="Arial" w:cs="Arial"/>
        </w:rPr>
        <w:t>.</w:t>
      </w:r>
      <w:r>
        <w:rPr>
          <w:rStyle w:val="FootnoteReference"/>
          <w:rFonts w:ascii="Arial" w:hAnsi="Arial" w:cs="Arial"/>
        </w:rPr>
        <w:footnoteReference w:id="22"/>
      </w:r>
      <w:r>
        <w:rPr>
          <w:rFonts w:ascii="Arial" w:hAnsi="Arial" w:cs="Arial"/>
        </w:rPr>
        <w:t xml:space="preserve">  </w:t>
      </w:r>
      <w:r w:rsidR="00A723C4">
        <w:rPr>
          <w:rFonts w:ascii="Arial" w:hAnsi="Arial" w:cs="Arial"/>
        </w:rPr>
        <w:t xml:space="preserve"> </w:t>
      </w:r>
    </w:p>
    <w:p w:rsidR="006B6007" w:rsidRDefault="006B6007" w:rsidP="006B6007">
      <w:pPr>
        <w:pStyle w:val="ListParagraph"/>
        <w:spacing w:line="360" w:lineRule="auto"/>
        <w:ind w:left="360"/>
        <w:rPr>
          <w:rFonts w:ascii="Arial" w:hAnsi="Arial" w:cs="Arial"/>
        </w:rPr>
      </w:pPr>
    </w:p>
    <w:p w:rsidR="00F666AE" w:rsidRDefault="00025D81" w:rsidP="00025D81">
      <w:pPr>
        <w:pStyle w:val="ListParagraph"/>
        <w:numPr>
          <w:ilvl w:val="0"/>
          <w:numId w:val="3"/>
        </w:numPr>
        <w:spacing w:line="360" w:lineRule="auto"/>
        <w:rPr>
          <w:rFonts w:ascii="Arial" w:hAnsi="Arial" w:cs="Arial"/>
        </w:rPr>
      </w:pPr>
      <w:r>
        <w:rPr>
          <w:rFonts w:ascii="Arial" w:hAnsi="Arial" w:cs="Arial"/>
        </w:rPr>
        <w:t>Finally,</w:t>
      </w:r>
      <w:r w:rsidR="00726E57">
        <w:rPr>
          <w:rFonts w:ascii="Arial" w:hAnsi="Arial" w:cs="Arial"/>
        </w:rPr>
        <w:t xml:space="preserve"> courts are</w:t>
      </w:r>
      <w:r w:rsidR="00387D29">
        <w:rPr>
          <w:rFonts w:ascii="Arial" w:hAnsi="Arial" w:cs="Arial"/>
        </w:rPr>
        <w:t xml:space="preserve"> confro</w:t>
      </w:r>
      <w:r w:rsidR="00F666AE">
        <w:rPr>
          <w:rFonts w:ascii="Arial" w:hAnsi="Arial" w:cs="Arial"/>
        </w:rPr>
        <w:t xml:space="preserve">nted </w:t>
      </w:r>
      <w:r w:rsidR="00726E57">
        <w:rPr>
          <w:rFonts w:ascii="Arial" w:hAnsi="Arial" w:cs="Arial"/>
        </w:rPr>
        <w:t xml:space="preserve">as a fact </w:t>
      </w:r>
      <w:r w:rsidR="00F666AE">
        <w:rPr>
          <w:rFonts w:ascii="Arial" w:hAnsi="Arial" w:cs="Arial"/>
        </w:rPr>
        <w:t>with mass land invasions of</w:t>
      </w:r>
      <w:r w:rsidR="00387D29">
        <w:rPr>
          <w:rFonts w:ascii="Arial" w:hAnsi="Arial" w:cs="Arial"/>
        </w:rPr>
        <w:t xml:space="preserve"> </w:t>
      </w:r>
      <w:r w:rsidR="00F666AE">
        <w:rPr>
          <w:rFonts w:ascii="Arial" w:hAnsi="Arial" w:cs="Arial"/>
        </w:rPr>
        <w:t xml:space="preserve">both </w:t>
      </w:r>
      <w:r w:rsidR="00387D29">
        <w:rPr>
          <w:rFonts w:ascii="Arial" w:hAnsi="Arial" w:cs="Arial"/>
        </w:rPr>
        <w:t>S</w:t>
      </w:r>
      <w:r w:rsidR="00F666AE">
        <w:rPr>
          <w:rFonts w:ascii="Arial" w:hAnsi="Arial" w:cs="Arial"/>
        </w:rPr>
        <w:t>t</w:t>
      </w:r>
      <w:r w:rsidR="00387D29">
        <w:rPr>
          <w:rFonts w:ascii="Arial" w:hAnsi="Arial" w:cs="Arial"/>
        </w:rPr>
        <w:t xml:space="preserve">ate owned </w:t>
      </w:r>
      <w:r w:rsidR="00F666AE">
        <w:rPr>
          <w:rFonts w:ascii="Arial" w:hAnsi="Arial" w:cs="Arial"/>
        </w:rPr>
        <w:t xml:space="preserve">and private </w:t>
      </w:r>
      <w:r w:rsidR="00387D29">
        <w:rPr>
          <w:rFonts w:ascii="Arial" w:hAnsi="Arial" w:cs="Arial"/>
        </w:rPr>
        <w:t>land. The present case involves just over 1000 households.</w:t>
      </w:r>
    </w:p>
    <w:p w:rsidR="005E5DFB" w:rsidRDefault="005E5DFB" w:rsidP="005E5DFB">
      <w:pPr>
        <w:pStyle w:val="ListParagraph"/>
        <w:spacing w:line="360" w:lineRule="auto"/>
        <w:ind w:left="360"/>
        <w:rPr>
          <w:rFonts w:ascii="Arial" w:hAnsi="Arial" w:cs="Arial"/>
        </w:rPr>
      </w:pPr>
    </w:p>
    <w:p w:rsidR="00F666AE" w:rsidRDefault="00F666AE" w:rsidP="00AF22DC">
      <w:pPr>
        <w:pStyle w:val="ListParagraph"/>
        <w:numPr>
          <w:ilvl w:val="0"/>
          <w:numId w:val="3"/>
        </w:numPr>
        <w:spacing w:line="360" w:lineRule="auto"/>
        <w:rPr>
          <w:rFonts w:ascii="Arial" w:hAnsi="Arial" w:cs="Arial"/>
        </w:rPr>
      </w:pPr>
      <w:r w:rsidRPr="005E5DFB">
        <w:rPr>
          <w:rFonts w:ascii="Arial" w:hAnsi="Arial" w:cs="Arial"/>
        </w:rPr>
        <w:t xml:space="preserve">The competing rights, interests and obligations with which the present case is </w:t>
      </w:r>
      <w:r w:rsidR="00C06312" w:rsidRPr="005E5DFB">
        <w:rPr>
          <w:rFonts w:ascii="Arial" w:hAnsi="Arial" w:cs="Arial"/>
        </w:rPr>
        <w:t>concerned may</w:t>
      </w:r>
      <w:r w:rsidRPr="005E5DFB">
        <w:rPr>
          <w:rFonts w:ascii="Arial" w:hAnsi="Arial" w:cs="Arial"/>
        </w:rPr>
        <w:t xml:space="preserve"> be identified as follows </w:t>
      </w:r>
      <w:r w:rsidR="004443C2">
        <w:rPr>
          <w:rFonts w:ascii="Arial" w:hAnsi="Arial" w:cs="Arial"/>
        </w:rPr>
        <w:t xml:space="preserve">(and bearing in mind case law and </w:t>
      </w:r>
      <w:r w:rsidR="005E5DFB">
        <w:rPr>
          <w:rFonts w:ascii="Arial" w:hAnsi="Arial" w:cs="Arial"/>
        </w:rPr>
        <w:t xml:space="preserve">the recent </w:t>
      </w:r>
      <w:r w:rsidR="00B94E8B" w:rsidRPr="005E5DFB">
        <w:rPr>
          <w:rFonts w:ascii="Arial" w:hAnsi="Arial" w:cs="Arial"/>
          <w:i/>
        </w:rPr>
        <w:t>Thubakgale</w:t>
      </w:r>
      <w:r w:rsidR="005E5DFB">
        <w:rPr>
          <w:rFonts w:ascii="Arial" w:hAnsi="Arial" w:cs="Arial"/>
          <w:i/>
        </w:rPr>
        <w:t xml:space="preserve"> </w:t>
      </w:r>
      <w:r w:rsidR="005E5DFB">
        <w:rPr>
          <w:rFonts w:ascii="Arial" w:hAnsi="Arial" w:cs="Arial"/>
        </w:rPr>
        <w:t>decision</w:t>
      </w:r>
      <w:r w:rsidR="004443C2">
        <w:rPr>
          <w:rFonts w:ascii="Arial" w:hAnsi="Arial" w:cs="Arial"/>
        </w:rPr>
        <w:t>)</w:t>
      </w:r>
      <w:r w:rsidR="005E5DFB">
        <w:rPr>
          <w:rFonts w:ascii="Arial" w:hAnsi="Arial" w:cs="Arial"/>
        </w:rPr>
        <w:t>;</w:t>
      </w:r>
      <w:r w:rsidR="00B94E8B" w:rsidRPr="005E5DFB">
        <w:rPr>
          <w:rFonts w:ascii="Arial" w:hAnsi="Arial" w:cs="Arial"/>
        </w:rPr>
        <w:t xml:space="preserve"> </w:t>
      </w:r>
    </w:p>
    <w:p w:rsidR="00ED1560" w:rsidRPr="00ED1560" w:rsidRDefault="00ED1560" w:rsidP="00ED1560">
      <w:pPr>
        <w:pStyle w:val="ListParagraph"/>
        <w:rPr>
          <w:rFonts w:ascii="Arial" w:hAnsi="Arial" w:cs="Arial"/>
        </w:rPr>
      </w:pPr>
    </w:p>
    <w:p w:rsidR="00F666AE" w:rsidRPr="00F666AE" w:rsidRDefault="00F666AE" w:rsidP="00F666AE">
      <w:pPr>
        <w:pStyle w:val="ListParagraph"/>
        <w:rPr>
          <w:rFonts w:ascii="Arial" w:hAnsi="Arial" w:cs="Arial"/>
        </w:rPr>
      </w:pPr>
    </w:p>
    <w:p w:rsidR="00ED1560" w:rsidRDefault="00ED1560" w:rsidP="00250AC1">
      <w:pPr>
        <w:pStyle w:val="ListParagraph"/>
        <w:numPr>
          <w:ilvl w:val="0"/>
          <w:numId w:val="23"/>
        </w:numPr>
        <w:spacing w:line="360" w:lineRule="auto"/>
        <w:rPr>
          <w:rFonts w:ascii="Arial" w:hAnsi="Arial" w:cs="Arial"/>
        </w:rPr>
      </w:pPr>
      <w:r>
        <w:rPr>
          <w:rFonts w:ascii="Arial" w:hAnsi="Arial" w:cs="Arial"/>
        </w:rPr>
        <w:t>the right of a person in actual possession of land not to b</w:t>
      </w:r>
      <w:r w:rsidR="006144C6">
        <w:rPr>
          <w:rFonts w:ascii="Arial" w:hAnsi="Arial" w:cs="Arial"/>
        </w:rPr>
        <w:t>e evicted without a court order;</w:t>
      </w:r>
    </w:p>
    <w:p w:rsidR="00ED1560" w:rsidRDefault="00ED1560" w:rsidP="00ED1560">
      <w:pPr>
        <w:pStyle w:val="ListParagraph"/>
        <w:spacing w:line="360" w:lineRule="auto"/>
        <w:ind w:left="1080"/>
        <w:rPr>
          <w:rFonts w:ascii="Arial" w:hAnsi="Arial" w:cs="Arial"/>
        </w:rPr>
      </w:pPr>
    </w:p>
    <w:p w:rsidR="00F666AE" w:rsidRDefault="00F666AE" w:rsidP="00250AC1">
      <w:pPr>
        <w:pStyle w:val="ListParagraph"/>
        <w:numPr>
          <w:ilvl w:val="0"/>
          <w:numId w:val="23"/>
        </w:numPr>
        <w:spacing w:line="360" w:lineRule="auto"/>
        <w:rPr>
          <w:rFonts w:ascii="Arial" w:hAnsi="Arial" w:cs="Arial"/>
        </w:rPr>
      </w:pPr>
      <w:r>
        <w:rPr>
          <w:rFonts w:ascii="Arial" w:hAnsi="Arial" w:cs="Arial"/>
        </w:rPr>
        <w:t xml:space="preserve">the right which those entitled to RDP housing have to evict </w:t>
      </w:r>
      <w:r w:rsidR="001F63EF">
        <w:rPr>
          <w:rFonts w:ascii="Arial" w:hAnsi="Arial" w:cs="Arial"/>
        </w:rPr>
        <w:t xml:space="preserve">under due process </w:t>
      </w:r>
      <w:r>
        <w:rPr>
          <w:rFonts w:ascii="Arial" w:hAnsi="Arial" w:cs="Arial"/>
        </w:rPr>
        <w:t>anyone in unlawful occupation;</w:t>
      </w:r>
    </w:p>
    <w:p w:rsidR="002353EE" w:rsidRDefault="002353EE" w:rsidP="002353EE">
      <w:pPr>
        <w:pStyle w:val="ListParagraph"/>
        <w:spacing w:line="360" w:lineRule="auto"/>
        <w:ind w:left="1080"/>
        <w:rPr>
          <w:rFonts w:ascii="Arial" w:hAnsi="Arial" w:cs="Arial"/>
        </w:rPr>
      </w:pPr>
    </w:p>
    <w:p w:rsidR="001F63EF" w:rsidRDefault="001F63EF" w:rsidP="00250AC1">
      <w:pPr>
        <w:pStyle w:val="ListParagraph"/>
        <w:numPr>
          <w:ilvl w:val="0"/>
          <w:numId w:val="23"/>
        </w:numPr>
        <w:spacing w:line="360" w:lineRule="auto"/>
        <w:rPr>
          <w:rFonts w:ascii="Arial" w:hAnsi="Arial" w:cs="Arial"/>
        </w:rPr>
      </w:pPr>
      <w:r>
        <w:rPr>
          <w:rFonts w:ascii="Arial" w:hAnsi="Arial" w:cs="Arial"/>
        </w:rPr>
        <w:t xml:space="preserve">the right of the Metro as </w:t>
      </w:r>
      <w:r w:rsidR="00ED1560">
        <w:rPr>
          <w:rFonts w:ascii="Arial" w:hAnsi="Arial" w:cs="Arial"/>
        </w:rPr>
        <w:t xml:space="preserve">an </w:t>
      </w:r>
      <w:r>
        <w:rPr>
          <w:rFonts w:ascii="Arial" w:hAnsi="Arial" w:cs="Arial"/>
        </w:rPr>
        <w:t>owner of the land to free and undisturbed possession and not to be deprived of possession without a court order</w:t>
      </w:r>
    </w:p>
    <w:p w:rsidR="00F666AE" w:rsidRDefault="00F666AE" w:rsidP="00250AC1">
      <w:pPr>
        <w:pStyle w:val="ListParagraph"/>
        <w:numPr>
          <w:ilvl w:val="0"/>
          <w:numId w:val="23"/>
        </w:numPr>
        <w:spacing w:line="360" w:lineRule="auto"/>
        <w:rPr>
          <w:rFonts w:ascii="Arial" w:hAnsi="Arial" w:cs="Arial"/>
        </w:rPr>
      </w:pPr>
      <w:r>
        <w:rPr>
          <w:rFonts w:ascii="Arial" w:hAnsi="Arial" w:cs="Arial"/>
        </w:rPr>
        <w:lastRenderedPageBreak/>
        <w:t>the obligation which the Metro has to provide vacant possession to persons who have been allocated RDP houses</w:t>
      </w:r>
      <w:r w:rsidR="004443C2">
        <w:rPr>
          <w:rFonts w:ascii="Arial" w:hAnsi="Arial" w:cs="Arial"/>
        </w:rPr>
        <w:t xml:space="preserve"> and to evict </w:t>
      </w:r>
      <w:r>
        <w:rPr>
          <w:rFonts w:ascii="Arial" w:hAnsi="Arial" w:cs="Arial"/>
        </w:rPr>
        <w:t xml:space="preserve">anyone in unlawful occupation; </w:t>
      </w:r>
    </w:p>
    <w:p w:rsidR="002C5DF5" w:rsidRPr="002C5DF5" w:rsidRDefault="002C5DF5" w:rsidP="002C5DF5">
      <w:pPr>
        <w:pStyle w:val="ListParagraph"/>
        <w:rPr>
          <w:rFonts w:ascii="Arial" w:hAnsi="Arial" w:cs="Arial"/>
        </w:rPr>
      </w:pPr>
    </w:p>
    <w:p w:rsidR="002C5DF5" w:rsidRPr="002C5DF5" w:rsidRDefault="00726E57" w:rsidP="00250AC1">
      <w:pPr>
        <w:pStyle w:val="ListParagraph"/>
        <w:numPr>
          <w:ilvl w:val="0"/>
          <w:numId w:val="23"/>
        </w:numPr>
        <w:spacing w:line="360" w:lineRule="auto"/>
        <w:rPr>
          <w:rFonts w:ascii="Arial" w:hAnsi="Arial" w:cs="Arial"/>
        </w:rPr>
      </w:pPr>
      <w:r>
        <w:rPr>
          <w:rFonts w:ascii="Arial" w:hAnsi="Arial" w:cs="Arial"/>
        </w:rPr>
        <w:t>the</w:t>
      </w:r>
      <w:r w:rsidR="002C5DF5">
        <w:rPr>
          <w:rFonts w:ascii="Arial" w:hAnsi="Arial" w:cs="Arial"/>
        </w:rPr>
        <w:t xml:space="preserve"> obligation of the Municipality and other spheres of government to </w:t>
      </w:r>
      <w:r w:rsidR="002C5DF5" w:rsidRPr="002C5DF5">
        <w:rPr>
          <w:rFonts w:ascii="Arial" w:hAnsi="Arial" w:cs="Arial"/>
        </w:rPr>
        <w:t xml:space="preserve">adopt reasonable legislative and other measures </w:t>
      </w:r>
      <w:r w:rsidR="002C5DF5">
        <w:rPr>
          <w:rFonts w:ascii="Arial" w:hAnsi="Arial" w:cs="Arial"/>
        </w:rPr>
        <w:t>to give content to the right to housing</w:t>
      </w:r>
      <w:r w:rsidR="002C5DF5">
        <w:rPr>
          <w:rStyle w:val="FootnoteReference"/>
          <w:rFonts w:ascii="Arial" w:hAnsi="Arial" w:cs="Arial"/>
        </w:rPr>
        <w:footnoteReference w:id="23"/>
      </w:r>
      <w:r w:rsidR="002C5DF5">
        <w:rPr>
          <w:rFonts w:ascii="Arial" w:hAnsi="Arial" w:cs="Arial"/>
        </w:rPr>
        <w:t xml:space="preserve"> which</w:t>
      </w:r>
      <w:r w:rsidR="006144C6">
        <w:rPr>
          <w:rFonts w:ascii="Arial" w:hAnsi="Arial" w:cs="Arial"/>
        </w:rPr>
        <w:t>,</w:t>
      </w:r>
      <w:r w:rsidR="002C5DF5">
        <w:rPr>
          <w:rFonts w:ascii="Arial" w:hAnsi="Arial" w:cs="Arial"/>
        </w:rPr>
        <w:t xml:space="preserve"> in the context of the National Housing Code and other initiatives</w:t>
      </w:r>
      <w:r w:rsidR="006144C6">
        <w:rPr>
          <w:rFonts w:ascii="Arial" w:hAnsi="Arial" w:cs="Arial"/>
        </w:rPr>
        <w:t>,</w:t>
      </w:r>
      <w:r w:rsidR="002C5DF5">
        <w:rPr>
          <w:rFonts w:ascii="Arial" w:hAnsi="Arial" w:cs="Arial"/>
        </w:rPr>
        <w:t xml:space="preserve"> is to provide RDP and other subsidised forms of permanent housing for </w:t>
      </w:r>
      <w:r w:rsidR="00C06312">
        <w:rPr>
          <w:rFonts w:ascii="Arial" w:hAnsi="Arial" w:cs="Arial"/>
        </w:rPr>
        <w:t>those</w:t>
      </w:r>
      <w:r w:rsidR="002C5DF5">
        <w:rPr>
          <w:rFonts w:ascii="Arial" w:hAnsi="Arial" w:cs="Arial"/>
        </w:rPr>
        <w:t xml:space="preserve"> entitled to it</w:t>
      </w:r>
      <w:r w:rsidR="002353EE">
        <w:rPr>
          <w:rFonts w:ascii="Arial" w:hAnsi="Arial" w:cs="Arial"/>
        </w:rPr>
        <w:t>;</w:t>
      </w:r>
    </w:p>
    <w:p w:rsidR="00F666AE" w:rsidRDefault="00F666AE" w:rsidP="00F666AE">
      <w:pPr>
        <w:pStyle w:val="ListParagraph"/>
        <w:spacing w:line="360" w:lineRule="auto"/>
        <w:ind w:left="1080"/>
        <w:rPr>
          <w:rFonts w:ascii="Arial" w:hAnsi="Arial" w:cs="Arial"/>
        </w:rPr>
      </w:pPr>
    </w:p>
    <w:p w:rsidR="006B6007" w:rsidRDefault="00F666AE" w:rsidP="00250AC1">
      <w:pPr>
        <w:pStyle w:val="ListParagraph"/>
        <w:numPr>
          <w:ilvl w:val="0"/>
          <w:numId w:val="23"/>
        </w:numPr>
        <w:spacing w:line="360" w:lineRule="auto"/>
        <w:rPr>
          <w:rFonts w:ascii="Arial" w:hAnsi="Arial" w:cs="Arial"/>
        </w:rPr>
      </w:pPr>
      <w:r>
        <w:rPr>
          <w:rFonts w:ascii="Arial" w:hAnsi="Arial" w:cs="Arial"/>
        </w:rPr>
        <w:t xml:space="preserve">the </w:t>
      </w:r>
      <w:r w:rsidR="00C75BA8">
        <w:rPr>
          <w:rFonts w:ascii="Arial" w:hAnsi="Arial" w:cs="Arial"/>
        </w:rPr>
        <w:t xml:space="preserve">protective </w:t>
      </w:r>
      <w:r>
        <w:rPr>
          <w:rFonts w:ascii="Arial" w:hAnsi="Arial" w:cs="Arial"/>
        </w:rPr>
        <w:t xml:space="preserve">right </w:t>
      </w:r>
      <w:r w:rsidR="002353EE">
        <w:rPr>
          <w:rFonts w:ascii="Arial" w:hAnsi="Arial" w:cs="Arial"/>
        </w:rPr>
        <w:t xml:space="preserve">conferred by occupation to </w:t>
      </w:r>
      <w:r>
        <w:rPr>
          <w:rFonts w:ascii="Arial" w:hAnsi="Arial" w:cs="Arial"/>
        </w:rPr>
        <w:t>an un</w:t>
      </w:r>
      <w:r w:rsidR="00C75BA8">
        <w:rPr>
          <w:rFonts w:ascii="Arial" w:hAnsi="Arial" w:cs="Arial"/>
        </w:rPr>
        <w:t xml:space="preserve">lawful occupier who is </w:t>
      </w:r>
      <w:r w:rsidR="00C06312">
        <w:rPr>
          <w:rFonts w:ascii="Arial" w:hAnsi="Arial" w:cs="Arial"/>
        </w:rPr>
        <w:t>otherwise</w:t>
      </w:r>
      <w:r w:rsidR="00250AC1">
        <w:rPr>
          <w:rFonts w:ascii="Arial" w:hAnsi="Arial" w:cs="Arial"/>
        </w:rPr>
        <w:t xml:space="preserve"> homeless</w:t>
      </w:r>
      <w:r w:rsidR="00C75BA8">
        <w:rPr>
          <w:rFonts w:ascii="Arial" w:hAnsi="Arial" w:cs="Arial"/>
        </w:rPr>
        <w:t xml:space="preserve"> </w:t>
      </w:r>
      <w:r>
        <w:rPr>
          <w:rFonts w:ascii="Arial" w:hAnsi="Arial" w:cs="Arial"/>
        </w:rPr>
        <w:t xml:space="preserve">not to be </w:t>
      </w:r>
      <w:r w:rsidR="00C06312">
        <w:rPr>
          <w:rFonts w:ascii="Arial" w:hAnsi="Arial" w:cs="Arial"/>
        </w:rPr>
        <w:t>evicted unless</w:t>
      </w:r>
      <w:r w:rsidR="00C75BA8">
        <w:rPr>
          <w:rFonts w:ascii="Arial" w:hAnsi="Arial" w:cs="Arial"/>
        </w:rPr>
        <w:t xml:space="preserve"> </w:t>
      </w:r>
      <w:r w:rsidR="00B94E8B">
        <w:rPr>
          <w:rFonts w:ascii="Arial" w:hAnsi="Arial" w:cs="Arial"/>
        </w:rPr>
        <w:t>alternativ</w:t>
      </w:r>
      <w:r w:rsidR="005E5DFB">
        <w:rPr>
          <w:rFonts w:ascii="Arial" w:hAnsi="Arial" w:cs="Arial"/>
        </w:rPr>
        <w:t xml:space="preserve">e </w:t>
      </w:r>
      <w:r w:rsidR="004443C2">
        <w:rPr>
          <w:rFonts w:ascii="Arial" w:hAnsi="Arial" w:cs="Arial"/>
        </w:rPr>
        <w:t>accommodation is provided- this</w:t>
      </w:r>
      <w:r w:rsidR="005E5DFB">
        <w:rPr>
          <w:rFonts w:ascii="Arial" w:hAnsi="Arial" w:cs="Arial"/>
        </w:rPr>
        <w:t xml:space="preserve"> is </w:t>
      </w:r>
      <w:r w:rsidR="00B94E8B">
        <w:rPr>
          <w:rFonts w:ascii="Arial" w:hAnsi="Arial" w:cs="Arial"/>
        </w:rPr>
        <w:t xml:space="preserve">in the nature of a </w:t>
      </w:r>
      <w:r w:rsidR="002C5DF5">
        <w:rPr>
          <w:rFonts w:ascii="Arial" w:hAnsi="Arial" w:cs="Arial"/>
        </w:rPr>
        <w:t xml:space="preserve">basic </w:t>
      </w:r>
      <w:r w:rsidR="00B94E8B">
        <w:rPr>
          <w:rFonts w:ascii="Arial" w:hAnsi="Arial" w:cs="Arial"/>
        </w:rPr>
        <w:t>prefabricated Wendy house type structure with a communal abl</w:t>
      </w:r>
      <w:r w:rsidR="000774C7">
        <w:rPr>
          <w:rFonts w:ascii="Arial" w:hAnsi="Arial" w:cs="Arial"/>
        </w:rPr>
        <w:t>ution facility immediately near</w:t>
      </w:r>
      <w:r w:rsidR="00B94E8B">
        <w:rPr>
          <w:rFonts w:ascii="Arial" w:hAnsi="Arial" w:cs="Arial"/>
        </w:rPr>
        <w:t>by. I</w:t>
      </w:r>
      <w:r w:rsidR="00B94E8B" w:rsidRPr="00B94E8B">
        <w:rPr>
          <w:rFonts w:ascii="Arial" w:hAnsi="Arial" w:cs="Arial"/>
        </w:rPr>
        <w:t xml:space="preserve">n </w:t>
      </w:r>
      <w:r w:rsidR="00B94E8B" w:rsidRPr="00B94E8B">
        <w:rPr>
          <w:rFonts w:ascii="Arial" w:hAnsi="Arial" w:cs="Arial"/>
          <w:i/>
        </w:rPr>
        <w:t>Mazibuko</w:t>
      </w:r>
      <w:r w:rsidR="00B94E8B" w:rsidRPr="00B94E8B">
        <w:rPr>
          <w:rFonts w:ascii="Arial" w:hAnsi="Arial" w:cs="Arial"/>
        </w:rPr>
        <w:t xml:space="preserve"> the term used is “ </w:t>
      </w:r>
      <w:r w:rsidR="00B94E8B" w:rsidRPr="005E5DFB">
        <w:rPr>
          <w:rFonts w:ascii="Arial" w:hAnsi="Arial" w:cs="Arial"/>
          <w:i/>
        </w:rPr>
        <w:t>those most desperately in need</w:t>
      </w:r>
      <w:r w:rsidR="00B94E8B">
        <w:rPr>
          <w:rFonts w:ascii="Arial" w:hAnsi="Arial" w:cs="Arial"/>
        </w:rPr>
        <w:t xml:space="preserve">  “and in </w:t>
      </w:r>
      <w:r w:rsidR="00B94E8B" w:rsidRPr="00EE2CEE">
        <w:rPr>
          <w:rFonts w:ascii="Arial" w:hAnsi="Arial" w:cs="Arial"/>
          <w:i/>
        </w:rPr>
        <w:t>Thubakgale</w:t>
      </w:r>
      <w:r w:rsidR="00B94E8B">
        <w:rPr>
          <w:rFonts w:ascii="Arial" w:hAnsi="Arial" w:cs="Arial"/>
        </w:rPr>
        <w:t xml:space="preserve">  </w:t>
      </w:r>
      <w:r w:rsidR="00B94E8B" w:rsidRPr="00B94E8B">
        <w:rPr>
          <w:rFonts w:ascii="Arial" w:hAnsi="Arial" w:cs="Arial"/>
        </w:rPr>
        <w:t xml:space="preserve">the term  </w:t>
      </w:r>
      <w:r w:rsidR="00B94E8B" w:rsidRPr="005E5DFB">
        <w:rPr>
          <w:rFonts w:ascii="Arial" w:hAnsi="Arial" w:cs="Arial"/>
          <w:i/>
        </w:rPr>
        <w:t>“</w:t>
      </w:r>
      <w:r w:rsidR="00C06312" w:rsidRPr="005E5DFB">
        <w:rPr>
          <w:rFonts w:ascii="Arial" w:hAnsi="Arial" w:cs="Arial"/>
          <w:i/>
        </w:rPr>
        <w:t>desperately</w:t>
      </w:r>
      <w:r w:rsidR="00B94E8B" w:rsidRPr="005E5DFB">
        <w:rPr>
          <w:rFonts w:ascii="Arial" w:hAnsi="Arial" w:cs="Arial"/>
          <w:i/>
        </w:rPr>
        <w:t xml:space="preserve"> poor”</w:t>
      </w:r>
      <w:r w:rsidR="00B94E8B">
        <w:rPr>
          <w:rFonts w:ascii="Arial" w:hAnsi="Arial" w:cs="Arial"/>
        </w:rPr>
        <w:t xml:space="preserve"> is also used</w:t>
      </w:r>
      <w:r w:rsidR="005E5DFB">
        <w:rPr>
          <w:rFonts w:ascii="Arial" w:hAnsi="Arial" w:cs="Arial"/>
        </w:rPr>
        <w:t>.</w:t>
      </w:r>
      <w:r w:rsidR="00B94E8B">
        <w:rPr>
          <w:rStyle w:val="FootnoteReference"/>
          <w:rFonts w:ascii="Arial" w:hAnsi="Arial" w:cs="Arial"/>
        </w:rPr>
        <w:footnoteReference w:id="24"/>
      </w:r>
    </w:p>
    <w:p w:rsidR="006423BA" w:rsidRPr="006423BA" w:rsidRDefault="006423BA" w:rsidP="006423BA">
      <w:pPr>
        <w:pStyle w:val="ListParagraph"/>
        <w:rPr>
          <w:rFonts w:ascii="Arial" w:hAnsi="Arial" w:cs="Arial"/>
        </w:rPr>
      </w:pPr>
    </w:p>
    <w:p w:rsidR="002353EE" w:rsidRPr="002353EE" w:rsidRDefault="005E5DFB" w:rsidP="00250AC1">
      <w:pPr>
        <w:pStyle w:val="ListParagraph"/>
        <w:numPr>
          <w:ilvl w:val="0"/>
          <w:numId w:val="23"/>
        </w:numPr>
        <w:spacing w:line="360" w:lineRule="auto"/>
        <w:rPr>
          <w:rFonts w:ascii="Arial" w:hAnsi="Arial" w:cs="Arial"/>
        </w:rPr>
      </w:pPr>
      <w:r>
        <w:rPr>
          <w:rFonts w:ascii="Arial" w:hAnsi="Arial" w:cs="Arial"/>
        </w:rPr>
        <w:t>t</w:t>
      </w:r>
      <w:r w:rsidR="006423BA" w:rsidRPr="006423BA">
        <w:rPr>
          <w:rFonts w:ascii="Arial" w:hAnsi="Arial" w:cs="Arial"/>
        </w:rPr>
        <w:t>he</w:t>
      </w:r>
      <w:r w:rsidR="006423BA">
        <w:rPr>
          <w:rFonts w:ascii="Arial" w:hAnsi="Arial" w:cs="Arial"/>
        </w:rPr>
        <w:t xml:space="preserve"> interest</w:t>
      </w:r>
      <w:r w:rsidR="002F2334">
        <w:rPr>
          <w:rFonts w:ascii="Arial" w:hAnsi="Arial" w:cs="Arial"/>
        </w:rPr>
        <w:t xml:space="preserve">s of </w:t>
      </w:r>
      <w:r w:rsidR="006423BA" w:rsidRPr="006423BA">
        <w:rPr>
          <w:rFonts w:ascii="Arial" w:hAnsi="Arial" w:cs="Arial"/>
        </w:rPr>
        <w:t xml:space="preserve">those who put their names down for RDP housing or other housing allocations a long time ago </w:t>
      </w:r>
      <w:r w:rsidR="002F2334">
        <w:rPr>
          <w:rFonts w:ascii="Arial" w:hAnsi="Arial" w:cs="Arial"/>
        </w:rPr>
        <w:t xml:space="preserve">to </w:t>
      </w:r>
      <w:r w:rsidR="002353EE">
        <w:rPr>
          <w:rFonts w:ascii="Arial" w:hAnsi="Arial" w:cs="Arial"/>
        </w:rPr>
        <w:t xml:space="preserve">retain </w:t>
      </w:r>
      <w:r w:rsidR="00A352F0">
        <w:rPr>
          <w:rFonts w:ascii="Arial" w:hAnsi="Arial" w:cs="Arial"/>
        </w:rPr>
        <w:t>their position o</w:t>
      </w:r>
      <w:r w:rsidR="006423BA">
        <w:rPr>
          <w:rFonts w:ascii="Arial" w:hAnsi="Arial" w:cs="Arial"/>
        </w:rPr>
        <w:t xml:space="preserve">n the </w:t>
      </w:r>
      <w:r w:rsidR="00A352F0">
        <w:rPr>
          <w:rFonts w:ascii="Arial" w:hAnsi="Arial" w:cs="Arial"/>
        </w:rPr>
        <w:t xml:space="preserve">waiting </w:t>
      </w:r>
      <w:r w:rsidR="006423BA">
        <w:rPr>
          <w:rFonts w:ascii="Arial" w:hAnsi="Arial" w:cs="Arial"/>
        </w:rPr>
        <w:t>list</w:t>
      </w:r>
      <w:r w:rsidR="00A352F0">
        <w:rPr>
          <w:rFonts w:ascii="Arial" w:hAnsi="Arial" w:cs="Arial"/>
        </w:rPr>
        <w:t>s</w:t>
      </w:r>
      <w:r w:rsidR="006423BA">
        <w:rPr>
          <w:rFonts w:ascii="Arial" w:hAnsi="Arial" w:cs="Arial"/>
        </w:rPr>
        <w:t xml:space="preserve"> and not be leapfrogged </w:t>
      </w:r>
      <w:r w:rsidR="002F2334">
        <w:rPr>
          <w:rFonts w:ascii="Arial" w:hAnsi="Arial" w:cs="Arial"/>
        </w:rPr>
        <w:t xml:space="preserve">by others who </w:t>
      </w:r>
      <w:r w:rsidR="007A222B">
        <w:rPr>
          <w:rFonts w:ascii="Arial" w:hAnsi="Arial" w:cs="Arial"/>
        </w:rPr>
        <w:t>may have</w:t>
      </w:r>
      <w:r w:rsidR="006423BA" w:rsidRPr="006423BA">
        <w:rPr>
          <w:rFonts w:ascii="Arial" w:hAnsi="Arial" w:cs="Arial"/>
        </w:rPr>
        <w:t xml:space="preserve"> never applied. </w:t>
      </w:r>
      <w:r w:rsidR="00030778">
        <w:rPr>
          <w:rStyle w:val="FootnoteReference"/>
          <w:rFonts w:ascii="Arial" w:hAnsi="Arial" w:cs="Arial"/>
        </w:rPr>
        <w:footnoteReference w:id="25"/>
      </w:r>
      <w:r w:rsidR="006423BA" w:rsidRPr="006423BA">
        <w:rPr>
          <w:rFonts w:ascii="Arial" w:hAnsi="Arial" w:cs="Arial"/>
        </w:rPr>
        <w:t xml:space="preserve"> </w:t>
      </w:r>
    </w:p>
    <w:p w:rsidR="002C5DF5" w:rsidRPr="002C5DF5" w:rsidRDefault="002C5DF5" w:rsidP="002C5DF5">
      <w:pPr>
        <w:pStyle w:val="ListParagraph"/>
        <w:rPr>
          <w:rFonts w:ascii="Arial" w:hAnsi="Arial" w:cs="Arial"/>
        </w:rPr>
      </w:pPr>
    </w:p>
    <w:p w:rsidR="0040261D" w:rsidRDefault="0040261D" w:rsidP="00AF22DC">
      <w:pPr>
        <w:pStyle w:val="ListParagraph"/>
        <w:numPr>
          <w:ilvl w:val="0"/>
          <w:numId w:val="3"/>
        </w:numPr>
        <w:spacing w:line="360" w:lineRule="auto"/>
        <w:rPr>
          <w:rFonts w:ascii="Arial" w:hAnsi="Arial" w:cs="Arial"/>
        </w:rPr>
      </w:pPr>
      <w:r>
        <w:rPr>
          <w:rFonts w:ascii="Arial" w:hAnsi="Arial" w:cs="Arial"/>
        </w:rPr>
        <w:t xml:space="preserve">The stark reality </w:t>
      </w:r>
      <w:r w:rsidR="002C5DF5">
        <w:rPr>
          <w:rFonts w:ascii="Arial" w:hAnsi="Arial" w:cs="Arial"/>
        </w:rPr>
        <w:t>i</w:t>
      </w:r>
      <w:r w:rsidR="00726E57">
        <w:rPr>
          <w:rFonts w:ascii="Arial" w:hAnsi="Arial" w:cs="Arial"/>
        </w:rPr>
        <w:t>n respect of State owned land i</w:t>
      </w:r>
      <w:r w:rsidR="002C5DF5">
        <w:rPr>
          <w:rFonts w:ascii="Arial" w:hAnsi="Arial" w:cs="Arial"/>
        </w:rPr>
        <w:t xml:space="preserve">s </w:t>
      </w:r>
      <w:r>
        <w:rPr>
          <w:rFonts w:ascii="Arial" w:hAnsi="Arial" w:cs="Arial"/>
        </w:rPr>
        <w:t xml:space="preserve">therefore: </w:t>
      </w:r>
    </w:p>
    <w:p w:rsidR="00A352F0" w:rsidRDefault="00A352F0" w:rsidP="00A352F0">
      <w:pPr>
        <w:pStyle w:val="ListParagraph"/>
        <w:spacing w:line="360" w:lineRule="auto"/>
        <w:ind w:left="360"/>
        <w:rPr>
          <w:rFonts w:ascii="Arial" w:hAnsi="Arial" w:cs="Arial"/>
        </w:rPr>
      </w:pPr>
    </w:p>
    <w:p w:rsidR="0040261D" w:rsidRDefault="002C5DF5" w:rsidP="00A352F0">
      <w:pPr>
        <w:pStyle w:val="ListParagraph"/>
        <w:numPr>
          <w:ilvl w:val="1"/>
          <w:numId w:val="3"/>
        </w:numPr>
        <w:spacing w:line="360" w:lineRule="auto"/>
        <w:rPr>
          <w:rFonts w:ascii="Arial" w:hAnsi="Arial" w:cs="Arial"/>
        </w:rPr>
      </w:pPr>
      <w:r w:rsidRPr="00A352F0">
        <w:rPr>
          <w:rFonts w:ascii="Arial" w:hAnsi="Arial" w:cs="Arial"/>
        </w:rPr>
        <w:t xml:space="preserve">unless temporary emergency accommodation is provided to those who have invaded and occupied land </w:t>
      </w:r>
      <w:r w:rsidR="0040261D" w:rsidRPr="00A352F0">
        <w:rPr>
          <w:rFonts w:ascii="Arial" w:hAnsi="Arial" w:cs="Arial"/>
        </w:rPr>
        <w:t>and who would otherwise be homeless, no order of court evictin</w:t>
      </w:r>
      <w:r w:rsidR="00A352F0">
        <w:rPr>
          <w:rFonts w:ascii="Arial" w:hAnsi="Arial" w:cs="Arial"/>
        </w:rPr>
        <w:t>g them on behalf of either the M</w:t>
      </w:r>
      <w:r w:rsidR="0040261D" w:rsidRPr="00A352F0">
        <w:rPr>
          <w:rFonts w:ascii="Arial" w:hAnsi="Arial" w:cs="Arial"/>
        </w:rPr>
        <w:t>unicipality or the person who has been allocated the property will be granted;</w:t>
      </w:r>
    </w:p>
    <w:p w:rsidR="00A352F0" w:rsidRDefault="00A352F0" w:rsidP="00A352F0">
      <w:pPr>
        <w:pStyle w:val="ListParagraph"/>
        <w:spacing w:line="360" w:lineRule="auto"/>
        <w:ind w:left="1080"/>
        <w:rPr>
          <w:rFonts w:ascii="Arial" w:hAnsi="Arial" w:cs="Arial"/>
        </w:rPr>
      </w:pPr>
    </w:p>
    <w:p w:rsidR="00A147D5" w:rsidRDefault="00954016" w:rsidP="00A352F0">
      <w:pPr>
        <w:pStyle w:val="ListParagraph"/>
        <w:numPr>
          <w:ilvl w:val="1"/>
          <w:numId w:val="3"/>
        </w:numPr>
        <w:spacing w:line="360" w:lineRule="auto"/>
        <w:rPr>
          <w:rFonts w:ascii="Arial" w:hAnsi="Arial" w:cs="Arial"/>
        </w:rPr>
      </w:pPr>
      <w:r w:rsidRPr="00A352F0">
        <w:rPr>
          <w:rFonts w:ascii="Arial" w:hAnsi="Arial" w:cs="Arial"/>
        </w:rPr>
        <w:t>f</w:t>
      </w:r>
      <w:r w:rsidR="00A147D5" w:rsidRPr="00A352F0">
        <w:rPr>
          <w:rFonts w:ascii="Arial" w:hAnsi="Arial" w:cs="Arial"/>
        </w:rPr>
        <w:t>or reasons which will be</w:t>
      </w:r>
      <w:r w:rsidRPr="00A352F0">
        <w:rPr>
          <w:rFonts w:ascii="Arial" w:hAnsi="Arial" w:cs="Arial"/>
        </w:rPr>
        <w:t xml:space="preserve"> discussed </w:t>
      </w:r>
      <w:r w:rsidR="00A147D5" w:rsidRPr="00A352F0">
        <w:rPr>
          <w:rFonts w:ascii="Arial" w:hAnsi="Arial" w:cs="Arial"/>
        </w:rPr>
        <w:t xml:space="preserve">later, </w:t>
      </w:r>
      <w:r w:rsidR="003011BD" w:rsidRPr="00A352F0">
        <w:rPr>
          <w:rFonts w:ascii="Arial" w:hAnsi="Arial" w:cs="Arial"/>
        </w:rPr>
        <w:t xml:space="preserve">even if a </w:t>
      </w:r>
      <w:r w:rsidR="00A147D5" w:rsidRPr="00A352F0">
        <w:rPr>
          <w:rFonts w:ascii="Arial" w:hAnsi="Arial" w:cs="Arial"/>
        </w:rPr>
        <w:t>legal distinction</w:t>
      </w:r>
      <w:r w:rsidR="003011BD" w:rsidRPr="00A352F0">
        <w:rPr>
          <w:rFonts w:ascii="Arial" w:hAnsi="Arial" w:cs="Arial"/>
        </w:rPr>
        <w:t xml:space="preserve"> is drawn between </w:t>
      </w:r>
      <w:r w:rsidR="00A147D5" w:rsidRPr="00A352F0">
        <w:rPr>
          <w:rFonts w:ascii="Arial" w:hAnsi="Arial" w:cs="Arial"/>
        </w:rPr>
        <w:t>“</w:t>
      </w:r>
      <w:r w:rsidR="00A147D5" w:rsidRPr="00A352F0">
        <w:rPr>
          <w:rFonts w:ascii="Arial" w:hAnsi="Arial" w:cs="Arial"/>
          <w:i/>
        </w:rPr>
        <w:t>possession</w:t>
      </w:r>
      <w:r w:rsidR="00A147D5" w:rsidRPr="00A352F0">
        <w:rPr>
          <w:rFonts w:ascii="Arial" w:hAnsi="Arial" w:cs="Arial"/>
        </w:rPr>
        <w:t>”</w:t>
      </w:r>
      <w:r w:rsidR="003011BD" w:rsidRPr="00A352F0">
        <w:rPr>
          <w:rFonts w:ascii="Arial" w:hAnsi="Arial" w:cs="Arial"/>
        </w:rPr>
        <w:t>,</w:t>
      </w:r>
      <w:r w:rsidR="00A147D5" w:rsidRPr="00A352F0">
        <w:rPr>
          <w:rFonts w:ascii="Arial" w:hAnsi="Arial" w:cs="Arial"/>
        </w:rPr>
        <w:t xml:space="preserve"> so as to protect</w:t>
      </w:r>
      <w:r w:rsidRPr="00A352F0">
        <w:rPr>
          <w:rFonts w:ascii="Arial" w:hAnsi="Arial" w:cs="Arial"/>
        </w:rPr>
        <w:t xml:space="preserve"> an</w:t>
      </w:r>
      <w:r w:rsidR="00A147D5" w:rsidRPr="00A352F0">
        <w:rPr>
          <w:rFonts w:ascii="Arial" w:hAnsi="Arial" w:cs="Arial"/>
        </w:rPr>
        <w:t xml:space="preserve"> indi</w:t>
      </w:r>
      <w:r w:rsidRPr="00A352F0">
        <w:rPr>
          <w:rFonts w:ascii="Arial" w:hAnsi="Arial" w:cs="Arial"/>
        </w:rPr>
        <w:t>vidual</w:t>
      </w:r>
      <w:r w:rsidR="00A147D5" w:rsidRPr="00A352F0">
        <w:rPr>
          <w:rFonts w:ascii="Arial" w:hAnsi="Arial" w:cs="Arial"/>
        </w:rPr>
        <w:t xml:space="preserve"> against </w:t>
      </w:r>
      <w:r w:rsidRPr="00A352F0">
        <w:rPr>
          <w:rFonts w:ascii="Arial" w:hAnsi="Arial" w:cs="Arial"/>
        </w:rPr>
        <w:t>an owner</w:t>
      </w:r>
      <w:r w:rsidR="00A147D5" w:rsidRPr="00A352F0">
        <w:rPr>
          <w:rFonts w:ascii="Arial" w:hAnsi="Arial" w:cs="Arial"/>
        </w:rPr>
        <w:t xml:space="preserve"> evicting without a court order</w:t>
      </w:r>
      <w:r w:rsidR="003011BD" w:rsidRPr="00A352F0">
        <w:rPr>
          <w:rFonts w:ascii="Arial" w:hAnsi="Arial" w:cs="Arial"/>
        </w:rPr>
        <w:t>,</w:t>
      </w:r>
      <w:r w:rsidR="00A147D5" w:rsidRPr="00A352F0">
        <w:rPr>
          <w:rFonts w:ascii="Arial" w:hAnsi="Arial" w:cs="Arial"/>
        </w:rPr>
        <w:t xml:space="preserve"> and “</w:t>
      </w:r>
      <w:r w:rsidR="00A147D5" w:rsidRPr="00A352F0">
        <w:rPr>
          <w:rFonts w:ascii="Arial" w:hAnsi="Arial" w:cs="Arial"/>
          <w:i/>
        </w:rPr>
        <w:t>occupation</w:t>
      </w:r>
      <w:r w:rsidR="00A147D5" w:rsidRPr="00A352F0">
        <w:rPr>
          <w:rFonts w:ascii="Arial" w:hAnsi="Arial" w:cs="Arial"/>
        </w:rPr>
        <w:t>”</w:t>
      </w:r>
      <w:r w:rsidR="003011BD" w:rsidRPr="00A352F0">
        <w:rPr>
          <w:rFonts w:ascii="Arial" w:hAnsi="Arial" w:cs="Arial"/>
        </w:rPr>
        <w:t>,</w:t>
      </w:r>
      <w:r w:rsidR="00A147D5" w:rsidRPr="00A352F0">
        <w:rPr>
          <w:rFonts w:ascii="Arial" w:hAnsi="Arial" w:cs="Arial"/>
        </w:rPr>
        <w:t xml:space="preserve"> so as to protect </w:t>
      </w:r>
      <w:r w:rsidRPr="00A352F0">
        <w:rPr>
          <w:rFonts w:ascii="Arial" w:hAnsi="Arial" w:cs="Arial"/>
        </w:rPr>
        <w:t xml:space="preserve">an </w:t>
      </w:r>
      <w:r w:rsidR="00A147D5" w:rsidRPr="00A352F0">
        <w:rPr>
          <w:rFonts w:ascii="Arial" w:hAnsi="Arial" w:cs="Arial"/>
        </w:rPr>
        <w:lastRenderedPageBreak/>
        <w:t>unlawful occupier</w:t>
      </w:r>
      <w:r w:rsidRPr="00A352F0">
        <w:rPr>
          <w:rFonts w:ascii="Arial" w:hAnsi="Arial" w:cs="Arial"/>
        </w:rPr>
        <w:t xml:space="preserve"> </w:t>
      </w:r>
      <w:r w:rsidR="00A147D5" w:rsidRPr="00A352F0">
        <w:rPr>
          <w:rFonts w:ascii="Arial" w:hAnsi="Arial" w:cs="Arial"/>
        </w:rPr>
        <w:t>from eviction</w:t>
      </w:r>
      <w:r w:rsidR="003011BD" w:rsidRPr="00A352F0">
        <w:rPr>
          <w:rFonts w:ascii="Arial" w:hAnsi="Arial" w:cs="Arial"/>
        </w:rPr>
        <w:t>,</w:t>
      </w:r>
      <w:r w:rsidR="00A147D5" w:rsidRPr="00A352F0">
        <w:rPr>
          <w:rFonts w:ascii="Arial" w:hAnsi="Arial" w:cs="Arial"/>
        </w:rPr>
        <w:t xml:space="preserve"> </w:t>
      </w:r>
      <w:r w:rsidR="003011BD" w:rsidRPr="00A352F0">
        <w:rPr>
          <w:rFonts w:ascii="Arial" w:hAnsi="Arial" w:cs="Arial"/>
        </w:rPr>
        <w:t>once a spoliation order is granted</w:t>
      </w:r>
      <w:r w:rsidR="000774C7">
        <w:rPr>
          <w:rFonts w:ascii="Arial" w:hAnsi="Arial" w:cs="Arial"/>
        </w:rPr>
        <w:t xml:space="preserve"> </w:t>
      </w:r>
      <w:r w:rsidR="00CB5922" w:rsidRPr="00A352F0">
        <w:rPr>
          <w:rFonts w:ascii="Arial" w:hAnsi="Arial" w:cs="Arial"/>
        </w:rPr>
        <w:t>p</w:t>
      </w:r>
      <w:r w:rsidR="003011BD" w:rsidRPr="00A352F0">
        <w:rPr>
          <w:rFonts w:ascii="Arial" w:hAnsi="Arial" w:cs="Arial"/>
        </w:rPr>
        <w:t>ossession</w:t>
      </w:r>
      <w:r w:rsidR="00A352F0">
        <w:rPr>
          <w:rFonts w:ascii="Arial" w:hAnsi="Arial" w:cs="Arial"/>
        </w:rPr>
        <w:t xml:space="preserve"> (</w:t>
      </w:r>
      <w:r w:rsidR="00CB5922" w:rsidRPr="00A352F0">
        <w:rPr>
          <w:rFonts w:ascii="Arial" w:hAnsi="Arial" w:cs="Arial"/>
        </w:rPr>
        <w:t xml:space="preserve">whether in the form understood for a mandament van spolie or </w:t>
      </w:r>
      <w:r w:rsidR="00A352F0">
        <w:rPr>
          <w:rFonts w:ascii="Arial" w:hAnsi="Arial" w:cs="Arial"/>
        </w:rPr>
        <w:t>otherwise)</w:t>
      </w:r>
      <w:r w:rsidR="00DA411B" w:rsidRPr="00A352F0">
        <w:rPr>
          <w:rFonts w:ascii="Arial" w:hAnsi="Arial" w:cs="Arial"/>
        </w:rPr>
        <w:t xml:space="preserve"> becomes</w:t>
      </w:r>
      <w:r w:rsidR="003011BD" w:rsidRPr="00A352F0">
        <w:rPr>
          <w:rFonts w:ascii="Arial" w:hAnsi="Arial" w:cs="Arial"/>
        </w:rPr>
        <w:t xml:space="preserve"> </w:t>
      </w:r>
      <w:r w:rsidR="003011BD" w:rsidRPr="00A352F0">
        <w:rPr>
          <w:rFonts w:ascii="Arial" w:hAnsi="Arial" w:cs="Arial"/>
          <w:i/>
        </w:rPr>
        <w:t>de facto</w:t>
      </w:r>
      <w:r w:rsidR="003011BD" w:rsidRPr="00A352F0">
        <w:rPr>
          <w:rFonts w:ascii="Arial" w:hAnsi="Arial" w:cs="Arial"/>
        </w:rPr>
        <w:t xml:space="preserve"> </w:t>
      </w:r>
      <w:r w:rsidRPr="00A352F0">
        <w:rPr>
          <w:rFonts w:ascii="Arial" w:hAnsi="Arial" w:cs="Arial"/>
        </w:rPr>
        <w:t xml:space="preserve">occupation under PIE </w:t>
      </w:r>
      <w:r w:rsidR="003011BD" w:rsidRPr="00A352F0">
        <w:rPr>
          <w:rFonts w:ascii="Arial" w:hAnsi="Arial" w:cs="Arial"/>
        </w:rPr>
        <w:t>and remains so until the authorities provide temporary emergency shelter;</w:t>
      </w:r>
    </w:p>
    <w:p w:rsidR="00250AC1" w:rsidRPr="00250AC1" w:rsidRDefault="00250AC1" w:rsidP="00250AC1">
      <w:pPr>
        <w:pStyle w:val="ListParagraph"/>
        <w:rPr>
          <w:rFonts w:ascii="Arial" w:hAnsi="Arial" w:cs="Arial"/>
        </w:rPr>
      </w:pPr>
    </w:p>
    <w:p w:rsidR="002F2334" w:rsidRDefault="0040261D" w:rsidP="00A352F0">
      <w:pPr>
        <w:pStyle w:val="ListParagraph"/>
        <w:numPr>
          <w:ilvl w:val="1"/>
          <w:numId w:val="3"/>
        </w:numPr>
        <w:spacing w:line="360" w:lineRule="auto"/>
        <w:rPr>
          <w:rFonts w:ascii="Arial" w:hAnsi="Arial" w:cs="Arial"/>
        </w:rPr>
      </w:pPr>
      <w:r w:rsidRPr="00A352F0">
        <w:rPr>
          <w:rFonts w:ascii="Arial" w:hAnsi="Arial" w:cs="Arial"/>
        </w:rPr>
        <w:t xml:space="preserve">there is little prospect that temporary emergency accommodation will be provided within </w:t>
      </w:r>
      <w:r w:rsidR="00954016" w:rsidRPr="00A352F0">
        <w:rPr>
          <w:rFonts w:ascii="Arial" w:hAnsi="Arial" w:cs="Arial"/>
        </w:rPr>
        <w:t xml:space="preserve">a period </w:t>
      </w:r>
      <w:r w:rsidR="007A222B" w:rsidRPr="00A352F0">
        <w:rPr>
          <w:rFonts w:ascii="Arial" w:hAnsi="Arial" w:cs="Arial"/>
        </w:rPr>
        <w:t xml:space="preserve">of </w:t>
      </w:r>
      <w:r w:rsidRPr="00A352F0">
        <w:rPr>
          <w:rFonts w:ascii="Arial" w:hAnsi="Arial" w:cs="Arial"/>
        </w:rPr>
        <w:t>six or even twelve months</w:t>
      </w:r>
      <w:r w:rsidR="00177BC3" w:rsidRPr="00A352F0">
        <w:rPr>
          <w:rFonts w:ascii="Arial" w:hAnsi="Arial" w:cs="Arial"/>
        </w:rPr>
        <w:t xml:space="preserve"> </w:t>
      </w:r>
      <w:r w:rsidRPr="00A352F0">
        <w:rPr>
          <w:rFonts w:ascii="Arial" w:hAnsi="Arial" w:cs="Arial"/>
        </w:rPr>
        <w:t>for the large number of pe</w:t>
      </w:r>
      <w:r w:rsidR="007A222B" w:rsidRPr="00A352F0">
        <w:rPr>
          <w:rFonts w:ascii="Arial" w:hAnsi="Arial" w:cs="Arial"/>
        </w:rPr>
        <w:t>ople</w:t>
      </w:r>
      <w:r w:rsidRPr="00A352F0">
        <w:rPr>
          <w:rFonts w:ascii="Arial" w:hAnsi="Arial" w:cs="Arial"/>
        </w:rPr>
        <w:t xml:space="preserve"> who require shelters</w:t>
      </w:r>
      <w:r w:rsidR="001C1298" w:rsidRPr="00A352F0">
        <w:rPr>
          <w:rFonts w:ascii="Arial" w:hAnsi="Arial" w:cs="Arial"/>
        </w:rPr>
        <w:t xml:space="preserve"> due to the bottleneck described earlier</w:t>
      </w:r>
      <w:r w:rsidR="00177BC3" w:rsidRPr="00A352F0">
        <w:rPr>
          <w:rFonts w:ascii="Arial" w:hAnsi="Arial" w:cs="Arial"/>
        </w:rPr>
        <w:t>- and possibly exacerbated</w:t>
      </w:r>
      <w:r w:rsidR="00844DE6" w:rsidRPr="00A352F0">
        <w:rPr>
          <w:rFonts w:ascii="Arial" w:hAnsi="Arial" w:cs="Arial"/>
        </w:rPr>
        <w:t xml:space="preserve"> in some metropolitan areas</w:t>
      </w:r>
      <w:r w:rsidR="00177BC3" w:rsidRPr="00A352F0">
        <w:rPr>
          <w:rFonts w:ascii="Arial" w:hAnsi="Arial" w:cs="Arial"/>
        </w:rPr>
        <w:t xml:space="preserve"> by the incidence of homelessness </w:t>
      </w:r>
      <w:r w:rsidR="007A222B" w:rsidRPr="00A352F0">
        <w:rPr>
          <w:rFonts w:ascii="Arial" w:hAnsi="Arial" w:cs="Arial"/>
        </w:rPr>
        <w:t xml:space="preserve">caused by </w:t>
      </w:r>
      <w:r w:rsidR="00A147D5" w:rsidRPr="00A352F0">
        <w:rPr>
          <w:rFonts w:ascii="Arial" w:hAnsi="Arial" w:cs="Arial"/>
        </w:rPr>
        <w:t xml:space="preserve">the </w:t>
      </w:r>
      <w:r w:rsidR="00177BC3" w:rsidRPr="00A352F0">
        <w:rPr>
          <w:rFonts w:ascii="Arial" w:hAnsi="Arial" w:cs="Arial"/>
        </w:rPr>
        <w:t xml:space="preserve">recent </w:t>
      </w:r>
      <w:r w:rsidR="00A147D5" w:rsidRPr="00A352F0">
        <w:rPr>
          <w:rFonts w:ascii="Arial" w:hAnsi="Arial" w:cs="Arial"/>
        </w:rPr>
        <w:t>flood</w:t>
      </w:r>
      <w:r w:rsidR="00177BC3" w:rsidRPr="00A352F0">
        <w:rPr>
          <w:rFonts w:ascii="Arial" w:hAnsi="Arial" w:cs="Arial"/>
        </w:rPr>
        <w:t>s</w:t>
      </w:r>
      <w:r w:rsidR="001C1298" w:rsidRPr="00A352F0">
        <w:rPr>
          <w:rFonts w:ascii="Arial" w:hAnsi="Arial" w:cs="Arial"/>
        </w:rPr>
        <w:t>;</w:t>
      </w:r>
      <w:r w:rsidR="002F2334" w:rsidRPr="00A352F0">
        <w:rPr>
          <w:rFonts w:ascii="Arial" w:hAnsi="Arial" w:cs="Arial"/>
        </w:rPr>
        <w:t xml:space="preserve"> </w:t>
      </w:r>
    </w:p>
    <w:p w:rsidR="00A352F0" w:rsidRPr="00A352F0" w:rsidRDefault="00A352F0" w:rsidP="00A352F0">
      <w:pPr>
        <w:pStyle w:val="ListParagraph"/>
        <w:rPr>
          <w:rFonts w:ascii="Arial" w:hAnsi="Arial" w:cs="Arial"/>
        </w:rPr>
      </w:pPr>
    </w:p>
    <w:p w:rsidR="00A352F0" w:rsidRDefault="003011BD" w:rsidP="00A352F0">
      <w:pPr>
        <w:pStyle w:val="ListParagraph"/>
        <w:numPr>
          <w:ilvl w:val="1"/>
          <w:numId w:val="3"/>
        </w:numPr>
        <w:spacing w:line="360" w:lineRule="auto"/>
        <w:rPr>
          <w:rFonts w:ascii="Arial" w:hAnsi="Arial" w:cs="Arial"/>
        </w:rPr>
      </w:pPr>
      <w:r w:rsidRPr="00A352F0">
        <w:rPr>
          <w:rFonts w:ascii="Arial" w:hAnsi="Arial" w:cs="Arial"/>
        </w:rPr>
        <w:t xml:space="preserve">in cases where occupation has occurred </w:t>
      </w:r>
      <w:r w:rsidR="00ED1560" w:rsidRPr="00A352F0">
        <w:rPr>
          <w:rFonts w:ascii="Arial" w:hAnsi="Arial" w:cs="Arial"/>
        </w:rPr>
        <w:t xml:space="preserve">which is subject to </w:t>
      </w:r>
      <w:r w:rsidRPr="00A352F0">
        <w:rPr>
          <w:rFonts w:ascii="Arial" w:hAnsi="Arial" w:cs="Arial"/>
        </w:rPr>
        <w:t xml:space="preserve">PIE of land lawfully allocated </w:t>
      </w:r>
      <w:r w:rsidR="00EE2C3B" w:rsidRPr="00A352F0">
        <w:rPr>
          <w:rFonts w:ascii="Arial" w:hAnsi="Arial" w:cs="Arial"/>
        </w:rPr>
        <w:t>under housing</w:t>
      </w:r>
      <w:r w:rsidRPr="00A352F0">
        <w:rPr>
          <w:rFonts w:ascii="Arial" w:hAnsi="Arial" w:cs="Arial"/>
        </w:rPr>
        <w:t xml:space="preserve"> programs initiated by authorities under </w:t>
      </w:r>
      <w:r w:rsidR="00CB5922" w:rsidRPr="00A352F0">
        <w:rPr>
          <w:rFonts w:ascii="Arial" w:hAnsi="Arial" w:cs="Arial"/>
        </w:rPr>
        <w:t xml:space="preserve">   </w:t>
      </w:r>
      <w:r w:rsidRPr="00A352F0">
        <w:rPr>
          <w:rFonts w:ascii="Arial" w:hAnsi="Arial" w:cs="Arial"/>
        </w:rPr>
        <w:t xml:space="preserve">s 26 of the Constitution, the fate of those entitled to the allocation is </w:t>
      </w:r>
      <w:r w:rsidR="00DA411B" w:rsidRPr="00A352F0">
        <w:rPr>
          <w:rFonts w:ascii="Arial" w:hAnsi="Arial" w:cs="Arial"/>
        </w:rPr>
        <w:t>unbilically</w:t>
      </w:r>
      <w:r w:rsidRPr="00A352F0">
        <w:rPr>
          <w:rFonts w:ascii="Arial" w:hAnsi="Arial" w:cs="Arial"/>
        </w:rPr>
        <w:t xml:space="preserve"> linked to t</w:t>
      </w:r>
      <w:r w:rsidR="00ED1560" w:rsidRPr="00A352F0">
        <w:rPr>
          <w:rFonts w:ascii="Arial" w:hAnsi="Arial" w:cs="Arial"/>
        </w:rPr>
        <w:t>he time it will take to provide</w:t>
      </w:r>
      <w:r w:rsidRPr="00A352F0">
        <w:rPr>
          <w:rFonts w:ascii="Arial" w:hAnsi="Arial" w:cs="Arial"/>
        </w:rPr>
        <w:t xml:space="preserve"> the unlawful occupier</w:t>
      </w:r>
      <w:r w:rsidR="00ED1560" w:rsidRPr="00A352F0">
        <w:rPr>
          <w:rFonts w:ascii="Arial" w:hAnsi="Arial" w:cs="Arial"/>
        </w:rPr>
        <w:t>s</w:t>
      </w:r>
      <w:r w:rsidRPr="00A352F0">
        <w:rPr>
          <w:rFonts w:ascii="Arial" w:hAnsi="Arial" w:cs="Arial"/>
        </w:rPr>
        <w:t xml:space="preserve"> with temporary emer</w:t>
      </w:r>
      <w:r w:rsidR="00ED1560" w:rsidRPr="00A352F0">
        <w:rPr>
          <w:rFonts w:ascii="Arial" w:hAnsi="Arial" w:cs="Arial"/>
        </w:rPr>
        <w:t>g</w:t>
      </w:r>
      <w:r w:rsidRPr="00A352F0">
        <w:rPr>
          <w:rFonts w:ascii="Arial" w:hAnsi="Arial" w:cs="Arial"/>
        </w:rPr>
        <w:t>ency accommodation</w:t>
      </w:r>
      <w:r w:rsidR="000774C7">
        <w:rPr>
          <w:rFonts w:ascii="Arial" w:hAnsi="Arial" w:cs="Arial"/>
        </w:rPr>
        <w:t xml:space="preserve">. This </w:t>
      </w:r>
      <w:r w:rsidRPr="00A352F0">
        <w:rPr>
          <w:rFonts w:ascii="Arial" w:hAnsi="Arial" w:cs="Arial"/>
        </w:rPr>
        <w:t>might</w:t>
      </w:r>
      <w:r w:rsidR="00ED1560" w:rsidRPr="00A352F0">
        <w:rPr>
          <w:rFonts w:ascii="Arial" w:hAnsi="Arial" w:cs="Arial"/>
        </w:rPr>
        <w:t xml:space="preserve"> occur </w:t>
      </w:r>
      <w:r w:rsidRPr="00A352F0">
        <w:rPr>
          <w:rFonts w:ascii="Arial" w:hAnsi="Arial" w:cs="Arial"/>
        </w:rPr>
        <w:t>only after several years</w:t>
      </w:r>
      <w:r w:rsidR="00A352F0">
        <w:rPr>
          <w:rFonts w:ascii="Arial" w:hAnsi="Arial" w:cs="Arial"/>
        </w:rPr>
        <w:t>;</w:t>
      </w:r>
      <w:r w:rsidRPr="00A352F0">
        <w:rPr>
          <w:rFonts w:ascii="Arial" w:hAnsi="Arial" w:cs="Arial"/>
        </w:rPr>
        <w:t xml:space="preserve"> festering even greater discontent</w:t>
      </w:r>
      <w:r w:rsidR="00ED1560" w:rsidRPr="00A352F0">
        <w:rPr>
          <w:rFonts w:ascii="Arial" w:hAnsi="Arial" w:cs="Arial"/>
        </w:rPr>
        <w:t xml:space="preserve"> on the part of those allocated housing and those who are still waiting for an allocation despite putting their names on</w:t>
      </w:r>
      <w:r w:rsidR="000774C7">
        <w:rPr>
          <w:rFonts w:ascii="Arial" w:hAnsi="Arial" w:cs="Arial"/>
        </w:rPr>
        <w:t xml:space="preserve"> waiting</w:t>
      </w:r>
      <w:r w:rsidR="00ED1560" w:rsidRPr="00A352F0">
        <w:rPr>
          <w:rFonts w:ascii="Arial" w:hAnsi="Arial" w:cs="Arial"/>
        </w:rPr>
        <w:t xml:space="preserve"> lists a quarter of a century ago. </w:t>
      </w:r>
      <w:r w:rsidRPr="00A352F0">
        <w:rPr>
          <w:rFonts w:ascii="Arial" w:hAnsi="Arial" w:cs="Arial"/>
        </w:rPr>
        <w:t xml:space="preserve"> </w:t>
      </w:r>
    </w:p>
    <w:p w:rsidR="00A352F0" w:rsidRPr="00A352F0" w:rsidRDefault="00A352F0" w:rsidP="00A352F0">
      <w:pPr>
        <w:pStyle w:val="ListParagraph"/>
        <w:rPr>
          <w:rFonts w:ascii="Arial" w:hAnsi="Arial" w:cs="Arial"/>
        </w:rPr>
      </w:pPr>
    </w:p>
    <w:p w:rsidR="002F2334" w:rsidRPr="00A352F0" w:rsidRDefault="003011BD" w:rsidP="00A352F0">
      <w:pPr>
        <w:pStyle w:val="ListParagraph"/>
        <w:numPr>
          <w:ilvl w:val="1"/>
          <w:numId w:val="3"/>
        </w:numPr>
        <w:spacing w:line="360" w:lineRule="auto"/>
        <w:rPr>
          <w:rFonts w:ascii="Arial" w:hAnsi="Arial" w:cs="Arial"/>
        </w:rPr>
      </w:pPr>
      <w:r w:rsidRPr="00A352F0">
        <w:rPr>
          <w:rFonts w:ascii="Arial" w:hAnsi="Arial" w:cs="Arial"/>
        </w:rPr>
        <w:t xml:space="preserve"> </w:t>
      </w:r>
      <w:r w:rsidR="00A352F0">
        <w:rPr>
          <w:rFonts w:ascii="Arial" w:hAnsi="Arial" w:cs="Arial"/>
        </w:rPr>
        <w:t>f</w:t>
      </w:r>
      <w:r w:rsidR="00ED1560" w:rsidRPr="00A352F0">
        <w:rPr>
          <w:rFonts w:ascii="Arial" w:hAnsi="Arial" w:cs="Arial"/>
        </w:rPr>
        <w:t>urthermore</w:t>
      </w:r>
      <w:r w:rsidR="00A352F0">
        <w:rPr>
          <w:rFonts w:ascii="Arial" w:hAnsi="Arial" w:cs="Arial"/>
        </w:rPr>
        <w:t>,</w:t>
      </w:r>
      <w:r w:rsidR="00ED1560" w:rsidRPr="00A352F0">
        <w:rPr>
          <w:rFonts w:ascii="Arial" w:hAnsi="Arial" w:cs="Arial"/>
        </w:rPr>
        <w:t xml:space="preserve"> </w:t>
      </w:r>
      <w:r w:rsidR="002F2334" w:rsidRPr="00A352F0">
        <w:rPr>
          <w:rFonts w:ascii="Arial" w:hAnsi="Arial" w:cs="Arial"/>
        </w:rPr>
        <w:t>the intere</w:t>
      </w:r>
      <w:r w:rsidR="000774C7">
        <w:rPr>
          <w:rFonts w:ascii="Arial" w:hAnsi="Arial" w:cs="Arial"/>
        </w:rPr>
        <w:t>sts of those whose names are on</w:t>
      </w:r>
      <w:r w:rsidR="00A352F0">
        <w:rPr>
          <w:rFonts w:ascii="Arial" w:hAnsi="Arial" w:cs="Arial"/>
        </w:rPr>
        <w:t xml:space="preserve"> </w:t>
      </w:r>
      <w:r w:rsidR="002F2334" w:rsidRPr="00A352F0">
        <w:rPr>
          <w:rFonts w:ascii="Arial" w:hAnsi="Arial" w:cs="Arial"/>
        </w:rPr>
        <w:t>lists for housing may not be fully ventilated or taken into account in the papers presented before</w:t>
      </w:r>
      <w:r w:rsidR="008E1935" w:rsidRPr="00A352F0">
        <w:rPr>
          <w:rFonts w:ascii="Arial" w:hAnsi="Arial" w:cs="Arial"/>
        </w:rPr>
        <w:t xml:space="preserve"> a</w:t>
      </w:r>
      <w:r w:rsidR="002F2334" w:rsidRPr="00A352F0">
        <w:rPr>
          <w:rFonts w:ascii="Arial" w:hAnsi="Arial" w:cs="Arial"/>
        </w:rPr>
        <w:t xml:space="preserve"> court</w:t>
      </w:r>
      <w:r w:rsidR="00844DE6" w:rsidRPr="00A352F0">
        <w:rPr>
          <w:rFonts w:ascii="Arial" w:hAnsi="Arial" w:cs="Arial"/>
        </w:rPr>
        <w:t>,</w:t>
      </w:r>
      <w:r w:rsidR="002F2334" w:rsidRPr="00A352F0">
        <w:rPr>
          <w:rFonts w:ascii="Arial" w:hAnsi="Arial" w:cs="Arial"/>
        </w:rPr>
        <w:t xml:space="preserve"> with the risk that they </w:t>
      </w:r>
      <w:r w:rsidR="00ED1560" w:rsidRPr="00A352F0">
        <w:rPr>
          <w:rFonts w:ascii="Arial" w:hAnsi="Arial" w:cs="Arial"/>
        </w:rPr>
        <w:t xml:space="preserve">will be </w:t>
      </w:r>
      <w:r w:rsidR="002F2334" w:rsidRPr="00A352F0">
        <w:rPr>
          <w:rFonts w:ascii="Arial" w:hAnsi="Arial" w:cs="Arial"/>
        </w:rPr>
        <w:t>prejudicially affected by a</w:t>
      </w:r>
      <w:r w:rsidR="00250AC1">
        <w:rPr>
          <w:rFonts w:ascii="Arial" w:hAnsi="Arial" w:cs="Arial"/>
        </w:rPr>
        <w:t xml:space="preserve"> </w:t>
      </w:r>
      <w:r w:rsidR="00DA411B" w:rsidRPr="00A352F0">
        <w:rPr>
          <w:rFonts w:ascii="Arial" w:hAnsi="Arial" w:cs="Arial"/>
        </w:rPr>
        <w:t>court order</w:t>
      </w:r>
      <w:r w:rsidR="00250AC1">
        <w:rPr>
          <w:rFonts w:ascii="Arial" w:hAnsi="Arial" w:cs="Arial"/>
        </w:rPr>
        <w:t xml:space="preserve"> despite not being heard or bringing their own counter-application for relief which might have regard to their constitutional rights in the application of PIE</w:t>
      </w:r>
      <w:r w:rsidR="007A222B" w:rsidRPr="00A352F0">
        <w:rPr>
          <w:rFonts w:ascii="Arial" w:hAnsi="Arial" w:cs="Arial"/>
        </w:rPr>
        <w:t>.</w:t>
      </w:r>
      <w:r w:rsidR="00250AC1">
        <w:rPr>
          <w:rStyle w:val="FootnoteReference"/>
          <w:rFonts w:ascii="Arial" w:hAnsi="Arial" w:cs="Arial"/>
        </w:rPr>
        <w:footnoteReference w:id="26"/>
      </w:r>
    </w:p>
    <w:p w:rsidR="00E02BC3" w:rsidRPr="00E02BC3" w:rsidRDefault="00E02BC3" w:rsidP="00E02BC3">
      <w:pPr>
        <w:pStyle w:val="ListParagraph"/>
        <w:rPr>
          <w:rFonts w:ascii="Arial" w:hAnsi="Arial" w:cs="Arial"/>
        </w:rPr>
      </w:pPr>
    </w:p>
    <w:p w:rsidR="00E02BC3" w:rsidRDefault="00E02BC3" w:rsidP="00AF22DC">
      <w:pPr>
        <w:pStyle w:val="ListParagraph"/>
        <w:numPr>
          <w:ilvl w:val="0"/>
          <w:numId w:val="3"/>
        </w:numPr>
        <w:spacing w:line="360" w:lineRule="auto"/>
        <w:rPr>
          <w:rFonts w:ascii="Arial" w:hAnsi="Arial" w:cs="Arial"/>
        </w:rPr>
      </w:pPr>
      <w:r>
        <w:rPr>
          <w:rFonts w:ascii="Arial" w:hAnsi="Arial" w:cs="Arial"/>
        </w:rPr>
        <w:t xml:space="preserve">It </w:t>
      </w:r>
      <w:r w:rsidR="00ED1560">
        <w:rPr>
          <w:rFonts w:ascii="Arial" w:hAnsi="Arial" w:cs="Arial"/>
        </w:rPr>
        <w:t xml:space="preserve">is evident therefore </w:t>
      </w:r>
      <w:r>
        <w:rPr>
          <w:rFonts w:ascii="Arial" w:hAnsi="Arial" w:cs="Arial"/>
        </w:rPr>
        <w:t xml:space="preserve">that not one interested party can claim </w:t>
      </w:r>
      <w:r w:rsidR="00ED1560">
        <w:rPr>
          <w:rFonts w:ascii="Arial" w:hAnsi="Arial" w:cs="Arial"/>
        </w:rPr>
        <w:t xml:space="preserve">exclusivity to </w:t>
      </w:r>
      <w:r>
        <w:rPr>
          <w:rFonts w:ascii="Arial" w:hAnsi="Arial" w:cs="Arial"/>
        </w:rPr>
        <w:t>any overarching legal right</w:t>
      </w:r>
      <w:r w:rsidR="00ED1560">
        <w:rPr>
          <w:rFonts w:ascii="Arial" w:hAnsi="Arial" w:cs="Arial"/>
        </w:rPr>
        <w:t xml:space="preserve"> or principle let alone a</w:t>
      </w:r>
      <w:r w:rsidR="00A02230">
        <w:rPr>
          <w:rFonts w:ascii="Arial" w:hAnsi="Arial" w:cs="Arial"/>
        </w:rPr>
        <w:t xml:space="preserve"> singularity </w:t>
      </w:r>
      <w:r w:rsidR="00ED1560">
        <w:rPr>
          <w:rFonts w:ascii="Arial" w:hAnsi="Arial" w:cs="Arial"/>
        </w:rPr>
        <w:t xml:space="preserve">in respect of all </w:t>
      </w:r>
      <w:r w:rsidR="00DA411B">
        <w:rPr>
          <w:rFonts w:ascii="Arial" w:hAnsi="Arial" w:cs="Arial"/>
        </w:rPr>
        <w:t>relevant constitutional</w:t>
      </w:r>
      <w:r w:rsidR="00A02230">
        <w:rPr>
          <w:rFonts w:ascii="Arial" w:hAnsi="Arial" w:cs="Arial"/>
        </w:rPr>
        <w:t xml:space="preserve"> values </w:t>
      </w:r>
      <w:r w:rsidR="00ED1560">
        <w:rPr>
          <w:rFonts w:ascii="Arial" w:hAnsi="Arial" w:cs="Arial"/>
        </w:rPr>
        <w:t xml:space="preserve">or </w:t>
      </w:r>
      <w:r w:rsidR="00A02230">
        <w:rPr>
          <w:rFonts w:ascii="Arial" w:hAnsi="Arial" w:cs="Arial"/>
        </w:rPr>
        <w:t>protections</w:t>
      </w:r>
      <w:r w:rsidR="00ED1560">
        <w:rPr>
          <w:rFonts w:ascii="Arial" w:hAnsi="Arial" w:cs="Arial"/>
        </w:rPr>
        <w:t xml:space="preserve"> under </w:t>
      </w:r>
      <w:r w:rsidR="00DA411B">
        <w:rPr>
          <w:rFonts w:ascii="Arial" w:hAnsi="Arial" w:cs="Arial"/>
        </w:rPr>
        <w:t xml:space="preserve">the </w:t>
      </w:r>
      <w:r w:rsidR="00A352F0">
        <w:rPr>
          <w:rFonts w:ascii="Arial" w:hAnsi="Arial" w:cs="Arial"/>
        </w:rPr>
        <w:t xml:space="preserve">several </w:t>
      </w:r>
      <w:r w:rsidR="00DA411B">
        <w:rPr>
          <w:rFonts w:ascii="Arial" w:hAnsi="Arial" w:cs="Arial"/>
        </w:rPr>
        <w:t>Bill</w:t>
      </w:r>
      <w:r w:rsidR="00ED1560">
        <w:rPr>
          <w:rFonts w:ascii="Arial" w:hAnsi="Arial" w:cs="Arial"/>
        </w:rPr>
        <w:t xml:space="preserve"> of Rights provisions</w:t>
      </w:r>
      <w:r w:rsidR="00A02230">
        <w:rPr>
          <w:rFonts w:ascii="Arial" w:hAnsi="Arial" w:cs="Arial"/>
        </w:rPr>
        <w:t>.</w:t>
      </w:r>
      <w:r>
        <w:rPr>
          <w:rFonts w:ascii="Arial" w:hAnsi="Arial" w:cs="Arial"/>
        </w:rPr>
        <w:t xml:space="preserve"> </w:t>
      </w:r>
    </w:p>
    <w:p w:rsidR="00E02BC3" w:rsidRDefault="00E02BC3" w:rsidP="00E02BC3">
      <w:pPr>
        <w:pStyle w:val="ListParagraph"/>
        <w:spacing w:line="360" w:lineRule="auto"/>
        <w:ind w:left="360"/>
        <w:rPr>
          <w:rFonts w:ascii="Arial" w:hAnsi="Arial" w:cs="Arial"/>
        </w:rPr>
      </w:pPr>
    </w:p>
    <w:p w:rsidR="00E02BC3" w:rsidRDefault="00E02BC3" w:rsidP="00E02BC3">
      <w:pPr>
        <w:pStyle w:val="ListParagraph"/>
        <w:spacing w:line="360" w:lineRule="auto"/>
        <w:ind w:left="360"/>
        <w:rPr>
          <w:rFonts w:ascii="Arial" w:hAnsi="Arial" w:cs="Arial"/>
        </w:rPr>
      </w:pPr>
      <w:r>
        <w:rPr>
          <w:rFonts w:ascii="Arial" w:hAnsi="Arial" w:cs="Arial"/>
        </w:rPr>
        <w:t>The rule of law decries the use of power or force whether it is to take the property of another or to take the law i</w:t>
      </w:r>
      <w:r w:rsidR="00A352F0">
        <w:rPr>
          <w:rFonts w:ascii="Arial" w:hAnsi="Arial" w:cs="Arial"/>
        </w:rPr>
        <w:t xml:space="preserve">nto one’s own hands without </w:t>
      </w:r>
      <w:r>
        <w:rPr>
          <w:rFonts w:ascii="Arial" w:hAnsi="Arial" w:cs="Arial"/>
        </w:rPr>
        <w:t>due process</w:t>
      </w:r>
      <w:r w:rsidR="00A352F0">
        <w:rPr>
          <w:rFonts w:ascii="Arial" w:hAnsi="Arial" w:cs="Arial"/>
        </w:rPr>
        <w:t>.</w:t>
      </w:r>
      <w:r>
        <w:rPr>
          <w:rFonts w:ascii="Arial" w:hAnsi="Arial" w:cs="Arial"/>
        </w:rPr>
        <w:t xml:space="preserve"> In short </w:t>
      </w:r>
      <w:r>
        <w:rPr>
          <w:rFonts w:ascii="Arial" w:hAnsi="Arial" w:cs="Arial"/>
        </w:rPr>
        <w:lastRenderedPageBreak/>
        <w:t>no-one is above the law</w:t>
      </w:r>
      <w:r w:rsidR="00A02230">
        <w:rPr>
          <w:rFonts w:ascii="Arial" w:hAnsi="Arial" w:cs="Arial"/>
        </w:rPr>
        <w:t xml:space="preserve">, neither the spoliator who </w:t>
      </w:r>
      <w:r w:rsidR="00250AC1">
        <w:rPr>
          <w:rFonts w:ascii="Arial" w:hAnsi="Arial" w:cs="Arial"/>
        </w:rPr>
        <w:t xml:space="preserve">acts unlawfully and </w:t>
      </w:r>
      <w:r w:rsidR="00A02230">
        <w:rPr>
          <w:rFonts w:ascii="Arial" w:hAnsi="Arial" w:cs="Arial"/>
        </w:rPr>
        <w:t xml:space="preserve">commits a criminal offence or an owner who without a court order evicts a person who is in possession of his or her property. </w:t>
      </w:r>
    </w:p>
    <w:p w:rsidR="00A02230" w:rsidRDefault="00A02230" w:rsidP="00E02BC3">
      <w:pPr>
        <w:pStyle w:val="ListParagraph"/>
        <w:spacing w:line="360" w:lineRule="auto"/>
        <w:ind w:left="360"/>
        <w:rPr>
          <w:rFonts w:ascii="Arial" w:hAnsi="Arial" w:cs="Arial"/>
        </w:rPr>
      </w:pPr>
    </w:p>
    <w:p w:rsidR="00CB14D0" w:rsidRDefault="00A02230" w:rsidP="00E02BC3">
      <w:pPr>
        <w:pStyle w:val="ListParagraph"/>
        <w:spacing w:line="360" w:lineRule="auto"/>
        <w:ind w:left="360"/>
        <w:rPr>
          <w:rFonts w:ascii="Arial" w:hAnsi="Arial" w:cs="Arial"/>
        </w:rPr>
      </w:pPr>
      <w:r>
        <w:rPr>
          <w:rFonts w:ascii="Arial" w:hAnsi="Arial" w:cs="Arial"/>
        </w:rPr>
        <w:t>The keeping of public order is threatened in both instances</w:t>
      </w:r>
      <w:r w:rsidR="00BD10FE">
        <w:rPr>
          <w:rFonts w:ascii="Arial" w:hAnsi="Arial" w:cs="Arial"/>
        </w:rPr>
        <w:t xml:space="preserve"> and in both </w:t>
      </w:r>
      <w:r w:rsidR="00DA411B">
        <w:rPr>
          <w:rFonts w:ascii="Arial" w:hAnsi="Arial" w:cs="Arial"/>
        </w:rPr>
        <w:t>instances</w:t>
      </w:r>
      <w:r w:rsidR="00BD10FE">
        <w:rPr>
          <w:rFonts w:ascii="Arial" w:hAnsi="Arial" w:cs="Arial"/>
        </w:rPr>
        <w:t xml:space="preserve"> the conduc</w:t>
      </w:r>
      <w:r w:rsidR="00A352F0">
        <w:rPr>
          <w:rFonts w:ascii="Arial" w:hAnsi="Arial" w:cs="Arial"/>
        </w:rPr>
        <w:t>t is unlawful in the broader sense</w:t>
      </w:r>
      <w:r w:rsidR="00BD10FE">
        <w:rPr>
          <w:rFonts w:ascii="Arial" w:hAnsi="Arial" w:cs="Arial"/>
        </w:rPr>
        <w:t xml:space="preserve">. </w:t>
      </w:r>
      <w:r>
        <w:rPr>
          <w:rFonts w:ascii="Arial" w:hAnsi="Arial" w:cs="Arial"/>
        </w:rPr>
        <w:t xml:space="preserve">It cannot be </w:t>
      </w:r>
      <w:r w:rsidR="00BD10FE">
        <w:rPr>
          <w:rFonts w:ascii="Arial" w:hAnsi="Arial" w:cs="Arial"/>
        </w:rPr>
        <w:t>correct that the least violent outcome wins the day because that would undermine the foundation of the rule of law</w:t>
      </w:r>
      <w:r w:rsidR="00CB14D0">
        <w:rPr>
          <w:rFonts w:ascii="Arial" w:hAnsi="Arial" w:cs="Arial"/>
        </w:rPr>
        <w:t xml:space="preserve"> and invite a state of lawlessness</w:t>
      </w:r>
      <w:r w:rsidR="00BD10FE">
        <w:rPr>
          <w:rFonts w:ascii="Arial" w:hAnsi="Arial" w:cs="Arial"/>
        </w:rPr>
        <w:t xml:space="preserve">. </w:t>
      </w:r>
      <w:r w:rsidR="00250AC1">
        <w:rPr>
          <w:rStyle w:val="FootnoteReference"/>
          <w:rFonts w:ascii="Arial" w:hAnsi="Arial" w:cs="Arial"/>
        </w:rPr>
        <w:footnoteReference w:id="27"/>
      </w:r>
    </w:p>
    <w:p w:rsidR="00CB14D0" w:rsidRDefault="00CB14D0" w:rsidP="00E02BC3">
      <w:pPr>
        <w:pStyle w:val="ListParagraph"/>
        <w:spacing w:line="360" w:lineRule="auto"/>
        <w:ind w:left="360"/>
        <w:rPr>
          <w:rFonts w:ascii="Arial" w:hAnsi="Arial" w:cs="Arial"/>
        </w:rPr>
      </w:pPr>
    </w:p>
    <w:p w:rsidR="00A02230" w:rsidRPr="00C32D55" w:rsidRDefault="00BD10FE" w:rsidP="00C32D55">
      <w:pPr>
        <w:pStyle w:val="ListParagraph"/>
        <w:spacing w:line="360" w:lineRule="auto"/>
        <w:ind w:left="360"/>
        <w:rPr>
          <w:rFonts w:ascii="Arial" w:hAnsi="Arial" w:cs="Arial"/>
        </w:rPr>
      </w:pPr>
      <w:r>
        <w:rPr>
          <w:rFonts w:ascii="Arial" w:hAnsi="Arial" w:cs="Arial"/>
        </w:rPr>
        <w:t>The rule of law requires compliance with the law not an abdication to power or anarchy</w:t>
      </w:r>
      <w:r w:rsidR="000774C7">
        <w:rPr>
          <w:rFonts w:ascii="Arial" w:hAnsi="Arial" w:cs="Arial"/>
        </w:rPr>
        <w:t>;</w:t>
      </w:r>
      <w:r>
        <w:rPr>
          <w:rFonts w:ascii="Arial" w:hAnsi="Arial" w:cs="Arial"/>
        </w:rPr>
        <w:t xml:space="preserve"> whether its source be government</w:t>
      </w:r>
      <w:r w:rsidR="00A352F0">
        <w:rPr>
          <w:rFonts w:ascii="Arial" w:hAnsi="Arial" w:cs="Arial"/>
        </w:rPr>
        <w:t xml:space="preserve"> or individual groups</w:t>
      </w:r>
      <w:r w:rsidR="00813413">
        <w:rPr>
          <w:rFonts w:ascii="Arial" w:hAnsi="Arial" w:cs="Arial"/>
        </w:rPr>
        <w:t xml:space="preserve">. Moreover </w:t>
      </w:r>
      <w:r w:rsidR="005F32FF">
        <w:rPr>
          <w:rFonts w:ascii="Arial" w:hAnsi="Arial" w:cs="Arial"/>
        </w:rPr>
        <w:t>the Preamble to the Constit</w:t>
      </w:r>
      <w:r w:rsidR="00C32D55">
        <w:rPr>
          <w:rFonts w:ascii="Arial" w:hAnsi="Arial" w:cs="Arial"/>
        </w:rPr>
        <w:t>ut</w:t>
      </w:r>
      <w:r w:rsidR="005F32FF">
        <w:rPr>
          <w:rFonts w:ascii="Arial" w:hAnsi="Arial" w:cs="Arial"/>
        </w:rPr>
        <w:t xml:space="preserve">ion adopts the foundational principle </w:t>
      </w:r>
      <w:r w:rsidR="00DA411B">
        <w:rPr>
          <w:rFonts w:ascii="Arial" w:hAnsi="Arial" w:cs="Arial"/>
        </w:rPr>
        <w:t>that “</w:t>
      </w:r>
      <w:r w:rsidR="00C32D55" w:rsidRPr="00C32D55">
        <w:rPr>
          <w:rFonts w:ascii="Arial" w:hAnsi="Arial" w:cs="Arial"/>
          <w:i/>
        </w:rPr>
        <w:t>every citizen is equally protected by law</w:t>
      </w:r>
      <w:r w:rsidR="00C32D55">
        <w:rPr>
          <w:rFonts w:ascii="Arial" w:hAnsi="Arial" w:cs="Arial"/>
        </w:rPr>
        <w:t xml:space="preserve">”, s 1(c) provides for the </w:t>
      </w:r>
      <w:r w:rsidR="00DA411B">
        <w:rPr>
          <w:rFonts w:ascii="Arial" w:hAnsi="Arial" w:cs="Arial"/>
        </w:rPr>
        <w:t>“(</w:t>
      </w:r>
      <w:r w:rsidR="00C32D55" w:rsidRPr="00C32D55">
        <w:rPr>
          <w:rFonts w:ascii="Arial" w:hAnsi="Arial" w:cs="Arial"/>
          <w:i/>
        </w:rPr>
        <w:t>s)upremacy</w:t>
      </w:r>
      <w:r w:rsidR="00C32D55">
        <w:rPr>
          <w:rFonts w:ascii="Arial" w:hAnsi="Arial" w:cs="Arial"/>
        </w:rPr>
        <w:t xml:space="preserve"> </w:t>
      </w:r>
      <w:r w:rsidR="00C32D55" w:rsidRPr="00C32D55">
        <w:rPr>
          <w:rFonts w:ascii="Arial" w:hAnsi="Arial" w:cs="Arial"/>
          <w:i/>
        </w:rPr>
        <w:t>of the Constitution and the rule of law</w:t>
      </w:r>
      <w:r w:rsidR="00DA411B">
        <w:rPr>
          <w:rFonts w:ascii="Arial" w:hAnsi="Arial" w:cs="Arial"/>
        </w:rPr>
        <w:t>”.</w:t>
      </w:r>
      <w:r w:rsidR="00C32D55" w:rsidRPr="00C32D55">
        <w:rPr>
          <w:rFonts w:ascii="Arial" w:hAnsi="Arial" w:cs="Arial"/>
        </w:rPr>
        <w:t xml:space="preserve"> </w:t>
      </w:r>
      <w:r w:rsidR="00C32D55">
        <w:rPr>
          <w:rFonts w:ascii="Arial" w:hAnsi="Arial" w:cs="Arial"/>
        </w:rPr>
        <w:t xml:space="preserve">and </w:t>
      </w:r>
      <w:r w:rsidR="00813413" w:rsidRPr="00C32D55">
        <w:rPr>
          <w:rFonts w:ascii="Arial" w:hAnsi="Arial" w:cs="Arial"/>
        </w:rPr>
        <w:t>s 12(</w:t>
      </w:r>
      <w:r w:rsidR="00C32D55">
        <w:rPr>
          <w:rFonts w:ascii="Arial" w:hAnsi="Arial" w:cs="Arial"/>
        </w:rPr>
        <w:t>1</w:t>
      </w:r>
      <w:r w:rsidR="00813413" w:rsidRPr="00C32D55">
        <w:rPr>
          <w:rFonts w:ascii="Arial" w:hAnsi="Arial" w:cs="Arial"/>
        </w:rPr>
        <w:t>)</w:t>
      </w:r>
      <w:r w:rsidR="00C32D55">
        <w:rPr>
          <w:rFonts w:ascii="Arial" w:hAnsi="Arial" w:cs="Arial"/>
        </w:rPr>
        <w:t>(c)</w:t>
      </w:r>
      <w:r w:rsidR="00813413" w:rsidRPr="00C32D55">
        <w:rPr>
          <w:rFonts w:ascii="Arial" w:hAnsi="Arial" w:cs="Arial"/>
        </w:rPr>
        <w:t xml:space="preserve"> expressly pr</w:t>
      </w:r>
      <w:r w:rsidR="000774C7">
        <w:rPr>
          <w:rFonts w:ascii="Arial" w:hAnsi="Arial" w:cs="Arial"/>
        </w:rPr>
        <w:t>otects</w:t>
      </w:r>
      <w:r w:rsidR="00813413" w:rsidRPr="00C32D55">
        <w:rPr>
          <w:rFonts w:ascii="Arial" w:hAnsi="Arial" w:cs="Arial"/>
        </w:rPr>
        <w:t xml:space="preserve"> the right to freedom and security of person </w:t>
      </w:r>
      <w:r w:rsidR="00C32D55">
        <w:rPr>
          <w:rFonts w:ascii="Arial" w:hAnsi="Arial" w:cs="Arial"/>
        </w:rPr>
        <w:t xml:space="preserve">which </w:t>
      </w:r>
      <w:r w:rsidR="00813413" w:rsidRPr="00C32D55">
        <w:rPr>
          <w:rFonts w:ascii="Arial" w:hAnsi="Arial" w:cs="Arial"/>
        </w:rPr>
        <w:t xml:space="preserve">includes the right to be free from all forms of violence </w:t>
      </w:r>
      <w:r w:rsidR="00C32D55">
        <w:rPr>
          <w:rFonts w:ascii="Arial" w:hAnsi="Arial" w:cs="Arial"/>
        </w:rPr>
        <w:t>“</w:t>
      </w:r>
      <w:r w:rsidR="00813413" w:rsidRPr="00C32D55">
        <w:rPr>
          <w:rFonts w:ascii="Arial" w:hAnsi="Arial" w:cs="Arial"/>
          <w:i/>
        </w:rPr>
        <w:t>from either public or private sources</w:t>
      </w:r>
      <w:r w:rsidR="00C32D55">
        <w:rPr>
          <w:rFonts w:ascii="Arial" w:hAnsi="Arial" w:cs="Arial"/>
        </w:rPr>
        <w:t>”</w:t>
      </w:r>
      <w:r w:rsidR="00813413" w:rsidRPr="00C32D55">
        <w:rPr>
          <w:rFonts w:ascii="Arial" w:hAnsi="Arial" w:cs="Arial"/>
        </w:rPr>
        <w:t>.</w:t>
      </w:r>
    </w:p>
    <w:p w:rsidR="00CB14D0" w:rsidRDefault="00CB14D0" w:rsidP="00E02BC3">
      <w:pPr>
        <w:pStyle w:val="ListParagraph"/>
        <w:spacing w:line="360" w:lineRule="auto"/>
        <w:ind w:left="360"/>
        <w:rPr>
          <w:rFonts w:ascii="Arial" w:hAnsi="Arial" w:cs="Arial"/>
        </w:rPr>
      </w:pPr>
    </w:p>
    <w:p w:rsidR="00BD10FE" w:rsidRDefault="00BD10FE" w:rsidP="005F32FF">
      <w:pPr>
        <w:pStyle w:val="ListParagraph"/>
        <w:spacing w:line="360" w:lineRule="auto"/>
        <w:ind w:left="360"/>
        <w:rPr>
          <w:rFonts w:ascii="Arial" w:hAnsi="Arial" w:cs="Arial"/>
        </w:rPr>
      </w:pPr>
      <w:r>
        <w:rPr>
          <w:rFonts w:ascii="Arial" w:hAnsi="Arial" w:cs="Arial"/>
        </w:rPr>
        <w:t xml:space="preserve">All those who the housing policy has failed, whether it be a person </w:t>
      </w:r>
      <w:r w:rsidR="00236725">
        <w:rPr>
          <w:rFonts w:ascii="Arial" w:hAnsi="Arial" w:cs="Arial"/>
        </w:rPr>
        <w:t xml:space="preserve">who after 25 </w:t>
      </w:r>
      <w:r w:rsidR="00DA411B">
        <w:rPr>
          <w:rFonts w:ascii="Arial" w:hAnsi="Arial" w:cs="Arial"/>
        </w:rPr>
        <w:t>years</w:t>
      </w:r>
      <w:r w:rsidR="00236725">
        <w:rPr>
          <w:rFonts w:ascii="Arial" w:hAnsi="Arial" w:cs="Arial"/>
        </w:rPr>
        <w:t xml:space="preserve"> is about to take delivery of </w:t>
      </w:r>
      <w:r w:rsidR="000774C7">
        <w:rPr>
          <w:rFonts w:ascii="Arial" w:hAnsi="Arial" w:cs="Arial"/>
        </w:rPr>
        <w:t xml:space="preserve">an </w:t>
      </w:r>
      <w:r w:rsidR="00236725">
        <w:rPr>
          <w:rFonts w:ascii="Arial" w:hAnsi="Arial" w:cs="Arial"/>
        </w:rPr>
        <w:t xml:space="preserve">allocated RDP house </w:t>
      </w:r>
      <w:r>
        <w:rPr>
          <w:rFonts w:ascii="Arial" w:hAnsi="Arial" w:cs="Arial"/>
        </w:rPr>
        <w:t xml:space="preserve">or the destitute family who </w:t>
      </w:r>
      <w:r w:rsidR="00813413">
        <w:rPr>
          <w:rFonts w:ascii="Arial" w:hAnsi="Arial" w:cs="Arial"/>
        </w:rPr>
        <w:t xml:space="preserve">is homeless, will </w:t>
      </w:r>
      <w:r w:rsidR="00CB14D0">
        <w:rPr>
          <w:rFonts w:ascii="Arial" w:hAnsi="Arial" w:cs="Arial"/>
        </w:rPr>
        <w:t xml:space="preserve">claim equal reliance </w:t>
      </w:r>
      <w:r w:rsidR="005F32FF">
        <w:rPr>
          <w:rFonts w:ascii="Arial" w:hAnsi="Arial" w:cs="Arial"/>
        </w:rPr>
        <w:t>on the foundational principle</w:t>
      </w:r>
      <w:r w:rsidR="008969CB">
        <w:rPr>
          <w:rFonts w:ascii="Arial" w:hAnsi="Arial" w:cs="Arial"/>
        </w:rPr>
        <w:t>s</w:t>
      </w:r>
      <w:r w:rsidR="005F32FF">
        <w:rPr>
          <w:rFonts w:ascii="Arial" w:hAnsi="Arial" w:cs="Arial"/>
        </w:rPr>
        <w:t xml:space="preserve"> that they are entitled to a society based on social justice, </w:t>
      </w:r>
      <w:r w:rsidR="005F32FF" w:rsidRPr="005F32FF">
        <w:rPr>
          <w:rFonts w:ascii="Arial" w:hAnsi="Arial" w:cs="Arial"/>
        </w:rPr>
        <w:t>democratic values, fundamental human rights</w:t>
      </w:r>
      <w:r w:rsidR="005F32FF">
        <w:rPr>
          <w:rFonts w:ascii="Arial" w:hAnsi="Arial" w:cs="Arial"/>
        </w:rPr>
        <w:t xml:space="preserve"> where </w:t>
      </w:r>
      <w:r w:rsidR="005F32FF" w:rsidRPr="005F32FF">
        <w:rPr>
          <w:rFonts w:ascii="Arial" w:hAnsi="Arial" w:cs="Arial"/>
        </w:rPr>
        <w:t>every citizen is equally</w:t>
      </w:r>
      <w:r w:rsidR="005F32FF">
        <w:rPr>
          <w:rFonts w:ascii="Arial" w:hAnsi="Arial" w:cs="Arial"/>
        </w:rPr>
        <w:t xml:space="preserve"> </w:t>
      </w:r>
      <w:r w:rsidR="005F32FF" w:rsidRPr="005F32FF">
        <w:rPr>
          <w:rFonts w:ascii="Arial" w:hAnsi="Arial" w:cs="Arial"/>
        </w:rPr>
        <w:t>protected by law</w:t>
      </w:r>
      <w:r w:rsidR="005F32FF">
        <w:rPr>
          <w:rFonts w:ascii="Arial" w:hAnsi="Arial" w:cs="Arial"/>
        </w:rPr>
        <w:t xml:space="preserve"> and whose </w:t>
      </w:r>
      <w:r w:rsidR="005F32FF" w:rsidRPr="005F32FF">
        <w:rPr>
          <w:rFonts w:ascii="Arial" w:hAnsi="Arial" w:cs="Arial"/>
        </w:rPr>
        <w:t xml:space="preserve">quality of life </w:t>
      </w:r>
      <w:r w:rsidR="005F32FF">
        <w:rPr>
          <w:rFonts w:ascii="Arial" w:hAnsi="Arial" w:cs="Arial"/>
        </w:rPr>
        <w:t xml:space="preserve">is improved </w:t>
      </w:r>
      <w:r w:rsidR="005F32FF" w:rsidRPr="005F32FF">
        <w:rPr>
          <w:rFonts w:ascii="Arial" w:hAnsi="Arial" w:cs="Arial"/>
        </w:rPr>
        <w:t xml:space="preserve">( </w:t>
      </w:r>
      <w:r w:rsidR="005F32FF">
        <w:rPr>
          <w:rFonts w:ascii="Arial" w:hAnsi="Arial" w:cs="Arial"/>
        </w:rPr>
        <w:t xml:space="preserve">see the Preamble to the </w:t>
      </w:r>
      <w:r w:rsidR="00236725">
        <w:rPr>
          <w:rFonts w:ascii="Arial" w:hAnsi="Arial" w:cs="Arial"/>
        </w:rPr>
        <w:t>Constitutional</w:t>
      </w:r>
      <w:r w:rsidR="005F32FF">
        <w:rPr>
          <w:rFonts w:ascii="Arial" w:hAnsi="Arial" w:cs="Arial"/>
        </w:rPr>
        <w:t xml:space="preserve">) as expressly illustrated by the </w:t>
      </w:r>
      <w:r w:rsidR="00236725">
        <w:rPr>
          <w:rFonts w:ascii="Arial" w:hAnsi="Arial" w:cs="Arial"/>
        </w:rPr>
        <w:t xml:space="preserve">right to dignity </w:t>
      </w:r>
      <w:r w:rsidR="00813413">
        <w:rPr>
          <w:rFonts w:ascii="Arial" w:hAnsi="Arial" w:cs="Arial"/>
        </w:rPr>
        <w:t>under s 10</w:t>
      </w:r>
      <w:r w:rsidR="005F32FF">
        <w:rPr>
          <w:rFonts w:ascii="Arial" w:hAnsi="Arial" w:cs="Arial"/>
        </w:rPr>
        <w:t xml:space="preserve">, </w:t>
      </w:r>
      <w:r w:rsidR="00813413">
        <w:rPr>
          <w:rFonts w:ascii="Arial" w:hAnsi="Arial" w:cs="Arial"/>
        </w:rPr>
        <w:t>and the right of access to adequate housing under ss</w:t>
      </w:r>
      <w:r>
        <w:rPr>
          <w:rFonts w:ascii="Arial" w:hAnsi="Arial" w:cs="Arial"/>
        </w:rPr>
        <w:t xml:space="preserve"> </w:t>
      </w:r>
      <w:r w:rsidR="00813413">
        <w:rPr>
          <w:rFonts w:ascii="Arial" w:hAnsi="Arial" w:cs="Arial"/>
        </w:rPr>
        <w:t>26 (1) and (2)</w:t>
      </w:r>
      <w:r w:rsidR="00915D06">
        <w:rPr>
          <w:rFonts w:ascii="Arial" w:hAnsi="Arial" w:cs="Arial"/>
        </w:rPr>
        <w:t xml:space="preserve"> a</w:t>
      </w:r>
      <w:r w:rsidR="005F32FF">
        <w:rPr>
          <w:rFonts w:ascii="Arial" w:hAnsi="Arial" w:cs="Arial"/>
        </w:rPr>
        <w:t xml:space="preserve">s well as </w:t>
      </w:r>
      <w:r w:rsidR="00915D06">
        <w:rPr>
          <w:rFonts w:ascii="Arial" w:hAnsi="Arial" w:cs="Arial"/>
        </w:rPr>
        <w:t>to land under s 25(5)</w:t>
      </w:r>
      <w:r w:rsidR="00813413">
        <w:rPr>
          <w:rFonts w:ascii="Arial" w:hAnsi="Arial" w:cs="Arial"/>
        </w:rPr>
        <w:t>.</w:t>
      </w:r>
      <w:r w:rsidR="00813413">
        <w:rPr>
          <w:rStyle w:val="FootnoteReference"/>
          <w:rFonts w:ascii="Arial" w:hAnsi="Arial" w:cs="Arial"/>
        </w:rPr>
        <w:footnoteReference w:id="28"/>
      </w:r>
    </w:p>
    <w:p w:rsidR="00813413" w:rsidRDefault="00813413" w:rsidP="00E02BC3">
      <w:pPr>
        <w:pStyle w:val="ListParagraph"/>
        <w:spacing w:line="360" w:lineRule="auto"/>
        <w:ind w:left="360"/>
        <w:rPr>
          <w:rFonts w:ascii="Arial" w:hAnsi="Arial" w:cs="Arial"/>
        </w:rPr>
      </w:pPr>
      <w:r>
        <w:rPr>
          <w:rFonts w:ascii="Arial" w:hAnsi="Arial" w:cs="Arial"/>
        </w:rPr>
        <w:lastRenderedPageBreak/>
        <w:t xml:space="preserve">Those whose land is being invaded and those who are being prevented from doing so without a court order will rely respectively on s </w:t>
      </w:r>
      <w:r w:rsidR="00915D06">
        <w:rPr>
          <w:rFonts w:ascii="Arial" w:hAnsi="Arial" w:cs="Arial"/>
        </w:rPr>
        <w:t>25(1) and s 26(3).</w:t>
      </w:r>
      <w:r w:rsidR="00915D06">
        <w:rPr>
          <w:rStyle w:val="FootnoteReference"/>
          <w:rFonts w:ascii="Arial" w:hAnsi="Arial" w:cs="Arial"/>
        </w:rPr>
        <w:footnoteReference w:id="29"/>
      </w:r>
    </w:p>
    <w:p w:rsidR="002F2334" w:rsidRDefault="002F2334" w:rsidP="002F2334">
      <w:pPr>
        <w:pStyle w:val="ListParagraph"/>
        <w:spacing w:line="360" w:lineRule="auto"/>
        <w:ind w:left="1080"/>
        <w:rPr>
          <w:rFonts w:ascii="Arial" w:hAnsi="Arial" w:cs="Arial"/>
        </w:rPr>
      </w:pPr>
    </w:p>
    <w:p w:rsidR="008969CB" w:rsidRDefault="008969CB" w:rsidP="007446B5">
      <w:pPr>
        <w:spacing w:line="360" w:lineRule="auto"/>
        <w:rPr>
          <w:rFonts w:ascii="Arial" w:hAnsi="Arial" w:cs="Arial"/>
          <w:b/>
        </w:rPr>
      </w:pPr>
    </w:p>
    <w:p w:rsidR="007446B5" w:rsidRDefault="008969CB" w:rsidP="007446B5">
      <w:pPr>
        <w:spacing w:line="360" w:lineRule="auto"/>
        <w:rPr>
          <w:rFonts w:ascii="Arial" w:hAnsi="Arial" w:cs="Arial"/>
          <w:b/>
        </w:rPr>
      </w:pPr>
      <w:r>
        <w:rPr>
          <w:rFonts w:ascii="Arial" w:hAnsi="Arial" w:cs="Arial"/>
          <w:b/>
        </w:rPr>
        <w:t>S</w:t>
      </w:r>
      <w:r w:rsidRPr="007446B5">
        <w:rPr>
          <w:rFonts w:ascii="Arial" w:hAnsi="Arial" w:cs="Arial"/>
          <w:b/>
        </w:rPr>
        <w:t xml:space="preserve">ocial, political and </w:t>
      </w:r>
      <w:r>
        <w:rPr>
          <w:rFonts w:ascii="Arial" w:hAnsi="Arial" w:cs="Arial"/>
          <w:b/>
        </w:rPr>
        <w:t>economic dynamics</w:t>
      </w:r>
    </w:p>
    <w:p w:rsidR="00FD5A63" w:rsidRPr="007446B5" w:rsidRDefault="00FD5A63" w:rsidP="007446B5">
      <w:pPr>
        <w:spacing w:line="360" w:lineRule="auto"/>
        <w:rPr>
          <w:rFonts w:ascii="Arial" w:hAnsi="Arial" w:cs="Arial"/>
          <w:b/>
        </w:rPr>
      </w:pPr>
    </w:p>
    <w:p w:rsidR="00FD5A63" w:rsidRDefault="008969CB" w:rsidP="00AF22DC">
      <w:pPr>
        <w:pStyle w:val="ListParagraph"/>
        <w:numPr>
          <w:ilvl w:val="0"/>
          <w:numId w:val="3"/>
        </w:numPr>
        <w:spacing w:line="360" w:lineRule="auto"/>
        <w:rPr>
          <w:rFonts w:ascii="Arial" w:hAnsi="Arial" w:cs="Arial"/>
        </w:rPr>
      </w:pPr>
      <w:r>
        <w:rPr>
          <w:rFonts w:ascii="Arial" w:hAnsi="Arial" w:cs="Arial"/>
        </w:rPr>
        <w:t>As already alluded to, t</w:t>
      </w:r>
      <w:r w:rsidR="00F666AE">
        <w:rPr>
          <w:rFonts w:ascii="Arial" w:hAnsi="Arial" w:cs="Arial"/>
        </w:rPr>
        <w:t xml:space="preserve">he </w:t>
      </w:r>
      <w:r w:rsidR="00EE2C3B">
        <w:rPr>
          <w:rFonts w:ascii="Arial" w:hAnsi="Arial" w:cs="Arial"/>
        </w:rPr>
        <w:t>issues involve</w:t>
      </w:r>
      <w:r w:rsidR="00E85366">
        <w:rPr>
          <w:rFonts w:ascii="Arial" w:hAnsi="Arial" w:cs="Arial"/>
        </w:rPr>
        <w:t xml:space="preserve"> </w:t>
      </w:r>
      <w:r w:rsidR="007446B5">
        <w:rPr>
          <w:rFonts w:ascii="Arial" w:hAnsi="Arial" w:cs="Arial"/>
        </w:rPr>
        <w:t xml:space="preserve">social, political and </w:t>
      </w:r>
      <w:r w:rsidR="008264BF">
        <w:rPr>
          <w:rFonts w:ascii="Arial" w:hAnsi="Arial" w:cs="Arial"/>
        </w:rPr>
        <w:t>economic</w:t>
      </w:r>
      <w:r w:rsidR="007446B5">
        <w:rPr>
          <w:rFonts w:ascii="Arial" w:hAnsi="Arial" w:cs="Arial"/>
        </w:rPr>
        <w:t xml:space="preserve"> </w:t>
      </w:r>
      <w:r w:rsidR="00FD5A63">
        <w:rPr>
          <w:rFonts w:ascii="Arial" w:hAnsi="Arial" w:cs="Arial"/>
        </w:rPr>
        <w:t>considerations</w:t>
      </w:r>
      <w:r w:rsidR="004B2277">
        <w:rPr>
          <w:rFonts w:ascii="Arial" w:hAnsi="Arial" w:cs="Arial"/>
        </w:rPr>
        <w:t xml:space="preserve"> which have </w:t>
      </w:r>
      <w:r w:rsidR="00844DE6">
        <w:rPr>
          <w:rFonts w:ascii="Arial" w:hAnsi="Arial" w:cs="Arial"/>
        </w:rPr>
        <w:t>broad</w:t>
      </w:r>
      <w:r w:rsidR="00E85366">
        <w:rPr>
          <w:rFonts w:ascii="Arial" w:hAnsi="Arial" w:cs="Arial"/>
        </w:rPr>
        <w:t xml:space="preserve"> ramifications.</w:t>
      </w:r>
      <w:r w:rsidR="00B21219">
        <w:rPr>
          <w:rFonts w:ascii="Arial" w:hAnsi="Arial" w:cs="Arial"/>
          <w:b/>
        </w:rPr>
        <w:t xml:space="preserve"> </w:t>
      </w:r>
      <w:r w:rsidR="00FD5A63">
        <w:rPr>
          <w:rFonts w:ascii="Arial" w:hAnsi="Arial" w:cs="Arial"/>
        </w:rPr>
        <w:t>The extent to which the</w:t>
      </w:r>
      <w:r w:rsidR="004B2277">
        <w:rPr>
          <w:rFonts w:ascii="Arial" w:hAnsi="Arial" w:cs="Arial"/>
        </w:rPr>
        <w:t xml:space="preserve"> court  should take these into account</w:t>
      </w:r>
      <w:r w:rsidR="00F07DDA">
        <w:rPr>
          <w:rFonts w:ascii="Arial" w:hAnsi="Arial" w:cs="Arial"/>
        </w:rPr>
        <w:t xml:space="preserve"> when</w:t>
      </w:r>
      <w:r>
        <w:rPr>
          <w:rFonts w:ascii="Arial" w:hAnsi="Arial" w:cs="Arial"/>
        </w:rPr>
        <w:t xml:space="preserve"> called on to do s</w:t>
      </w:r>
      <w:r w:rsidR="00F07DDA">
        <w:rPr>
          <w:rFonts w:ascii="Arial" w:hAnsi="Arial" w:cs="Arial"/>
        </w:rPr>
        <w:t>o</w:t>
      </w:r>
      <w:r>
        <w:rPr>
          <w:rFonts w:ascii="Arial" w:hAnsi="Arial" w:cs="Arial"/>
        </w:rPr>
        <w:t xml:space="preserve"> </w:t>
      </w:r>
      <w:r w:rsidR="004B2277">
        <w:rPr>
          <w:rFonts w:ascii="Arial" w:hAnsi="Arial" w:cs="Arial"/>
        </w:rPr>
        <w:t xml:space="preserve"> is </w:t>
      </w:r>
      <w:r w:rsidR="00FD5A63">
        <w:rPr>
          <w:rFonts w:ascii="Arial" w:hAnsi="Arial" w:cs="Arial"/>
        </w:rPr>
        <w:t xml:space="preserve">ultimately  </w:t>
      </w:r>
      <w:r w:rsidR="004B2277">
        <w:rPr>
          <w:rFonts w:ascii="Arial" w:hAnsi="Arial" w:cs="Arial"/>
        </w:rPr>
        <w:t>informed</w:t>
      </w:r>
      <w:r w:rsidR="00FD5A63">
        <w:rPr>
          <w:rFonts w:ascii="Arial" w:hAnsi="Arial" w:cs="Arial"/>
        </w:rPr>
        <w:t xml:space="preserve"> by the socio-economic rights provisions in the Constitution </w:t>
      </w:r>
      <w:r w:rsidR="003B597D">
        <w:rPr>
          <w:rFonts w:ascii="Arial" w:hAnsi="Arial" w:cs="Arial"/>
        </w:rPr>
        <w:t xml:space="preserve">which provide for </w:t>
      </w:r>
      <w:r w:rsidR="007B0AE6">
        <w:rPr>
          <w:rFonts w:ascii="Arial" w:hAnsi="Arial" w:cs="Arial"/>
        </w:rPr>
        <w:t>the “</w:t>
      </w:r>
      <w:r w:rsidR="007B0AE6" w:rsidRPr="007B0AE6">
        <w:rPr>
          <w:rFonts w:ascii="Arial" w:hAnsi="Arial" w:cs="Arial"/>
          <w:i/>
        </w:rPr>
        <w:t>progressive realisation</w:t>
      </w:r>
      <w:r w:rsidR="007B0AE6">
        <w:rPr>
          <w:rFonts w:ascii="Arial" w:hAnsi="Arial" w:cs="Arial"/>
        </w:rPr>
        <w:t xml:space="preserve">” of the </w:t>
      </w:r>
      <w:r w:rsidR="00E85366">
        <w:rPr>
          <w:rFonts w:ascii="Arial" w:hAnsi="Arial" w:cs="Arial"/>
        </w:rPr>
        <w:t xml:space="preserve">affected </w:t>
      </w:r>
      <w:r w:rsidR="007B0AE6">
        <w:rPr>
          <w:rFonts w:ascii="Arial" w:hAnsi="Arial" w:cs="Arial"/>
        </w:rPr>
        <w:t>right having regard to available State resources.</w:t>
      </w:r>
      <w:r w:rsidR="007B0AE6">
        <w:rPr>
          <w:rStyle w:val="FootnoteReference"/>
          <w:rFonts w:ascii="Arial" w:hAnsi="Arial" w:cs="Arial"/>
        </w:rPr>
        <w:footnoteReference w:id="30"/>
      </w:r>
      <w:r w:rsidR="007B0AE6">
        <w:rPr>
          <w:rFonts w:ascii="Arial" w:hAnsi="Arial" w:cs="Arial"/>
        </w:rPr>
        <w:t xml:space="preserve"> </w:t>
      </w:r>
      <w:r w:rsidR="00124CD8">
        <w:rPr>
          <w:rFonts w:ascii="Arial" w:hAnsi="Arial" w:cs="Arial"/>
        </w:rPr>
        <w:t xml:space="preserve"> </w:t>
      </w:r>
    </w:p>
    <w:p w:rsidR="003B597D" w:rsidRDefault="003B597D" w:rsidP="003B597D">
      <w:pPr>
        <w:pStyle w:val="ListParagraph"/>
        <w:spacing w:line="360" w:lineRule="auto"/>
        <w:ind w:left="360"/>
        <w:rPr>
          <w:rFonts w:ascii="Arial" w:hAnsi="Arial" w:cs="Arial"/>
        </w:rPr>
      </w:pPr>
    </w:p>
    <w:p w:rsidR="005923F6" w:rsidRPr="003B597D" w:rsidRDefault="003B597D" w:rsidP="00AF22DC">
      <w:pPr>
        <w:pStyle w:val="ListParagraph"/>
        <w:numPr>
          <w:ilvl w:val="0"/>
          <w:numId w:val="3"/>
        </w:numPr>
        <w:spacing w:line="360" w:lineRule="auto"/>
        <w:rPr>
          <w:rFonts w:ascii="Arial" w:hAnsi="Arial" w:cs="Arial"/>
        </w:rPr>
      </w:pPr>
      <w:r>
        <w:rPr>
          <w:rFonts w:ascii="Arial" w:hAnsi="Arial" w:cs="Arial"/>
        </w:rPr>
        <w:t>In the present circ</w:t>
      </w:r>
      <w:r w:rsidR="006423BA">
        <w:rPr>
          <w:rFonts w:ascii="Arial" w:hAnsi="Arial" w:cs="Arial"/>
        </w:rPr>
        <w:t xml:space="preserve">umstances, </w:t>
      </w:r>
      <w:r w:rsidR="009C658B" w:rsidRPr="003B597D">
        <w:rPr>
          <w:rFonts w:ascii="Arial" w:hAnsi="Arial" w:cs="Arial"/>
        </w:rPr>
        <w:t xml:space="preserve">the </w:t>
      </w:r>
      <w:r w:rsidR="00E86149" w:rsidRPr="003B597D">
        <w:rPr>
          <w:rFonts w:ascii="Arial" w:hAnsi="Arial" w:cs="Arial"/>
        </w:rPr>
        <w:t xml:space="preserve">hopelessness, </w:t>
      </w:r>
      <w:r w:rsidR="008264BF" w:rsidRPr="003B597D">
        <w:rPr>
          <w:rFonts w:ascii="Arial" w:hAnsi="Arial" w:cs="Arial"/>
        </w:rPr>
        <w:t>frustration and</w:t>
      </w:r>
      <w:r w:rsidR="00E86149" w:rsidRPr="003B597D">
        <w:rPr>
          <w:rFonts w:ascii="Arial" w:hAnsi="Arial" w:cs="Arial"/>
        </w:rPr>
        <w:t xml:space="preserve"> despair </w:t>
      </w:r>
      <w:r w:rsidR="00EF24AB" w:rsidRPr="003B597D">
        <w:rPr>
          <w:rFonts w:ascii="Arial" w:hAnsi="Arial" w:cs="Arial"/>
        </w:rPr>
        <w:t xml:space="preserve">in which </w:t>
      </w:r>
      <w:r w:rsidR="008264BF" w:rsidRPr="003B597D">
        <w:rPr>
          <w:rFonts w:ascii="Arial" w:hAnsi="Arial" w:cs="Arial"/>
        </w:rPr>
        <w:t>individuals</w:t>
      </w:r>
      <w:r w:rsidR="009C658B" w:rsidRPr="003B597D">
        <w:rPr>
          <w:rFonts w:ascii="Arial" w:hAnsi="Arial" w:cs="Arial"/>
        </w:rPr>
        <w:t xml:space="preserve"> </w:t>
      </w:r>
      <w:r w:rsidR="00E86149" w:rsidRPr="003B597D">
        <w:rPr>
          <w:rFonts w:ascii="Arial" w:hAnsi="Arial" w:cs="Arial"/>
        </w:rPr>
        <w:t xml:space="preserve">seeking </w:t>
      </w:r>
      <w:r>
        <w:rPr>
          <w:rFonts w:ascii="Arial" w:hAnsi="Arial" w:cs="Arial"/>
        </w:rPr>
        <w:t xml:space="preserve">a roof over their heads, </w:t>
      </w:r>
      <w:r w:rsidR="00632476">
        <w:rPr>
          <w:rFonts w:ascii="Arial" w:hAnsi="Arial" w:cs="Arial"/>
        </w:rPr>
        <w:t xml:space="preserve">a most basic </w:t>
      </w:r>
      <w:r w:rsidR="008E1935">
        <w:rPr>
          <w:rFonts w:ascii="Arial" w:hAnsi="Arial" w:cs="Arial"/>
        </w:rPr>
        <w:t>socio-economic right</w:t>
      </w:r>
      <w:r w:rsidR="00E86149" w:rsidRPr="003B597D">
        <w:rPr>
          <w:rFonts w:ascii="Arial" w:hAnsi="Arial" w:cs="Arial"/>
        </w:rPr>
        <w:t xml:space="preserve">, </w:t>
      </w:r>
      <w:r>
        <w:rPr>
          <w:rFonts w:ascii="Arial" w:hAnsi="Arial" w:cs="Arial"/>
        </w:rPr>
        <w:t xml:space="preserve">find </w:t>
      </w:r>
      <w:r w:rsidR="00E86149" w:rsidRPr="003B597D">
        <w:rPr>
          <w:rFonts w:ascii="Arial" w:hAnsi="Arial" w:cs="Arial"/>
        </w:rPr>
        <w:t>themselves</w:t>
      </w:r>
      <w:r w:rsidR="00124CD8">
        <w:rPr>
          <w:rFonts w:ascii="Arial" w:hAnsi="Arial" w:cs="Arial"/>
        </w:rPr>
        <w:t xml:space="preserve"> and the extent to which this </w:t>
      </w:r>
      <w:r w:rsidR="00124CD8" w:rsidRPr="006423BA">
        <w:rPr>
          <w:rFonts w:ascii="Arial" w:hAnsi="Arial" w:cs="Arial"/>
        </w:rPr>
        <w:t>impacts on social stability</w:t>
      </w:r>
      <w:r w:rsidR="006423BA">
        <w:rPr>
          <w:rFonts w:ascii="Arial" w:hAnsi="Arial" w:cs="Arial"/>
        </w:rPr>
        <w:t xml:space="preserve"> </w:t>
      </w:r>
      <w:r w:rsidR="007A222B">
        <w:rPr>
          <w:rFonts w:ascii="Arial" w:hAnsi="Arial" w:cs="Arial"/>
        </w:rPr>
        <w:t xml:space="preserve">ought </w:t>
      </w:r>
      <w:r w:rsidR="00DA411B">
        <w:rPr>
          <w:rFonts w:ascii="Arial" w:hAnsi="Arial" w:cs="Arial"/>
        </w:rPr>
        <w:t>to be</w:t>
      </w:r>
      <w:r w:rsidR="006423BA">
        <w:rPr>
          <w:rFonts w:ascii="Arial" w:hAnsi="Arial" w:cs="Arial"/>
        </w:rPr>
        <w:t xml:space="preserve"> </w:t>
      </w:r>
      <w:r w:rsidR="00915D06">
        <w:rPr>
          <w:rFonts w:ascii="Arial" w:hAnsi="Arial" w:cs="Arial"/>
        </w:rPr>
        <w:t xml:space="preserve">taken into considered, but not at the </w:t>
      </w:r>
      <w:r w:rsidR="00DA411B">
        <w:rPr>
          <w:rFonts w:ascii="Arial" w:hAnsi="Arial" w:cs="Arial"/>
        </w:rPr>
        <w:t>expense</w:t>
      </w:r>
      <w:r w:rsidR="00915D06">
        <w:rPr>
          <w:rFonts w:ascii="Arial" w:hAnsi="Arial" w:cs="Arial"/>
        </w:rPr>
        <w:t xml:space="preserve"> of undermining the rule of law entrenched as it is by the Constitution</w:t>
      </w:r>
      <w:r w:rsidR="00250AC1">
        <w:rPr>
          <w:rFonts w:ascii="Arial" w:hAnsi="Arial" w:cs="Arial"/>
        </w:rPr>
        <w:t xml:space="preserve">. </w:t>
      </w:r>
      <w:r w:rsidR="00250AC1">
        <w:rPr>
          <w:rStyle w:val="FootnoteReference"/>
          <w:rFonts w:ascii="Arial" w:hAnsi="Arial" w:cs="Arial"/>
        </w:rPr>
        <w:footnoteReference w:id="31"/>
      </w:r>
    </w:p>
    <w:p w:rsidR="005923F6" w:rsidRDefault="005923F6" w:rsidP="005923F6">
      <w:pPr>
        <w:pStyle w:val="ListParagraph"/>
        <w:spacing w:line="360" w:lineRule="auto"/>
        <w:ind w:left="360"/>
        <w:rPr>
          <w:rFonts w:ascii="Arial" w:hAnsi="Arial" w:cs="Arial"/>
        </w:rPr>
      </w:pPr>
    </w:p>
    <w:p w:rsidR="00F27B74" w:rsidRPr="002F2334" w:rsidRDefault="006423BA" w:rsidP="002F2334">
      <w:pPr>
        <w:pStyle w:val="ListParagraph"/>
        <w:spacing w:line="360" w:lineRule="auto"/>
        <w:ind w:left="360"/>
        <w:rPr>
          <w:rFonts w:ascii="Arial" w:hAnsi="Arial" w:cs="Arial"/>
        </w:rPr>
      </w:pPr>
      <w:r>
        <w:rPr>
          <w:rFonts w:ascii="Arial" w:hAnsi="Arial" w:cs="Arial"/>
        </w:rPr>
        <w:t xml:space="preserve">Then there is the </w:t>
      </w:r>
      <w:r w:rsidR="008264BF">
        <w:rPr>
          <w:rFonts w:ascii="Arial" w:hAnsi="Arial" w:cs="Arial"/>
        </w:rPr>
        <w:t>unenviable</w:t>
      </w:r>
      <w:r w:rsidR="005923F6">
        <w:rPr>
          <w:rFonts w:ascii="Arial" w:hAnsi="Arial" w:cs="Arial"/>
        </w:rPr>
        <w:t xml:space="preserve"> position </w:t>
      </w:r>
      <w:r w:rsidR="003B597D">
        <w:rPr>
          <w:rFonts w:ascii="Arial" w:hAnsi="Arial" w:cs="Arial"/>
        </w:rPr>
        <w:t xml:space="preserve">faced by </w:t>
      </w:r>
      <w:r w:rsidR="00632476">
        <w:rPr>
          <w:rFonts w:ascii="Arial" w:hAnsi="Arial" w:cs="Arial"/>
        </w:rPr>
        <w:t xml:space="preserve">municipal (and then </w:t>
      </w:r>
      <w:r w:rsidR="005923F6">
        <w:rPr>
          <w:rFonts w:ascii="Arial" w:hAnsi="Arial" w:cs="Arial"/>
        </w:rPr>
        <w:t>provincial</w:t>
      </w:r>
      <w:r w:rsidR="00632476">
        <w:rPr>
          <w:rFonts w:ascii="Arial" w:hAnsi="Arial" w:cs="Arial"/>
        </w:rPr>
        <w:t>)</w:t>
      </w:r>
      <w:r w:rsidR="005923F6">
        <w:rPr>
          <w:rFonts w:ascii="Arial" w:hAnsi="Arial" w:cs="Arial"/>
        </w:rPr>
        <w:t xml:space="preserve"> authorities </w:t>
      </w:r>
      <w:r w:rsidR="00855CEE">
        <w:rPr>
          <w:rFonts w:ascii="Arial" w:hAnsi="Arial" w:cs="Arial"/>
        </w:rPr>
        <w:t>responsible for providing housing under various initiatives</w:t>
      </w:r>
      <w:r w:rsidR="00E85366">
        <w:rPr>
          <w:rFonts w:ascii="Arial" w:hAnsi="Arial" w:cs="Arial"/>
        </w:rPr>
        <w:t xml:space="preserve"> and</w:t>
      </w:r>
      <w:r w:rsidR="00124CD8">
        <w:rPr>
          <w:rFonts w:ascii="Arial" w:hAnsi="Arial" w:cs="Arial"/>
        </w:rPr>
        <w:t xml:space="preserve"> </w:t>
      </w:r>
      <w:r w:rsidR="00E85366">
        <w:rPr>
          <w:rFonts w:ascii="Arial" w:hAnsi="Arial" w:cs="Arial"/>
        </w:rPr>
        <w:t xml:space="preserve">legislative </w:t>
      </w:r>
      <w:r w:rsidR="00124CD8">
        <w:rPr>
          <w:rFonts w:ascii="Arial" w:hAnsi="Arial" w:cs="Arial"/>
        </w:rPr>
        <w:t>obligations</w:t>
      </w:r>
      <w:r w:rsidR="003B597D">
        <w:rPr>
          <w:rFonts w:ascii="Arial" w:hAnsi="Arial" w:cs="Arial"/>
        </w:rPr>
        <w:t>. Thes</w:t>
      </w:r>
      <w:r w:rsidR="00124CD8">
        <w:rPr>
          <w:rFonts w:ascii="Arial" w:hAnsi="Arial" w:cs="Arial"/>
        </w:rPr>
        <w:t>e</w:t>
      </w:r>
      <w:r w:rsidR="003B597D">
        <w:rPr>
          <w:rFonts w:ascii="Arial" w:hAnsi="Arial" w:cs="Arial"/>
        </w:rPr>
        <w:t xml:space="preserve"> </w:t>
      </w:r>
      <w:r w:rsidR="008264BF">
        <w:rPr>
          <w:rFonts w:ascii="Arial" w:hAnsi="Arial" w:cs="Arial"/>
        </w:rPr>
        <w:t>includ</w:t>
      </w:r>
      <w:r w:rsidR="003B597D">
        <w:rPr>
          <w:rFonts w:ascii="Arial" w:hAnsi="Arial" w:cs="Arial"/>
        </w:rPr>
        <w:t xml:space="preserve">e the provision of </w:t>
      </w:r>
      <w:r w:rsidR="008264BF">
        <w:rPr>
          <w:rFonts w:ascii="Arial" w:hAnsi="Arial" w:cs="Arial"/>
        </w:rPr>
        <w:t>RDP</w:t>
      </w:r>
      <w:r w:rsidR="00855CEE">
        <w:rPr>
          <w:rFonts w:ascii="Arial" w:hAnsi="Arial" w:cs="Arial"/>
        </w:rPr>
        <w:t xml:space="preserve"> housing, </w:t>
      </w:r>
      <w:r w:rsidR="00855CEE" w:rsidRPr="006423BA">
        <w:rPr>
          <w:rFonts w:ascii="Arial" w:hAnsi="Arial" w:cs="Arial"/>
        </w:rPr>
        <w:t>subsidised housing</w:t>
      </w:r>
      <w:r w:rsidR="00855CEE">
        <w:rPr>
          <w:rFonts w:ascii="Arial" w:hAnsi="Arial" w:cs="Arial"/>
        </w:rPr>
        <w:t xml:space="preserve"> and emergency housing programs in circumstances where resources and finances are stretched while the number of people requiring housing has escalated</w:t>
      </w:r>
      <w:r w:rsidR="00632476">
        <w:rPr>
          <w:rFonts w:ascii="Arial" w:hAnsi="Arial" w:cs="Arial"/>
        </w:rPr>
        <w:t xml:space="preserve">, exacerbated </w:t>
      </w:r>
      <w:r>
        <w:rPr>
          <w:rFonts w:ascii="Arial" w:hAnsi="Arial" w:cs="Arial"/>
        </w:rPr>
        <w:t xml:space="preserve">as it was over the past two years </w:t>
      </w:r>
      <w:r w:rsidR="00632476">
        <w:rPr>
          <w:rFonts w:ascii="Arial" w:hAnsi="Arial" w:cs="Arial"/>
        </w:rPr>
        <w:t xml:space="preserve">by the COVID </w:t>
      </w:r>
      <w:r w:rsidR="00632476">
        <w:rPr>
          <w:rFonts w:ascii="Arial" w:hAnsi="Arial" w:cs="Arial"/>
        </w:rPr>
        <w:lastRenderedPageBreak/>
        <w:t>pandemic</w:t>
      </w:r>
      <w:r w:rsidR="00855CEE">
        <w:rPr>
          <w:rFonts w:ascii="Arial" w:hAnsi="Arial" w:cs="Arial"/>
        </w:rPr>
        <w:t xml:space="preserve">. </w:t>
      </w:r>
      <w:r w:rsidR="00124CD8">
        <w:rPr>
          <w:rFonts w:ascii="Arial" w:hAnsi="Arial" w:cs="Arial"/>
        </w:rPr>
        <w:t xml:space="preserve"> </w:t>
      </w:r>
    </w:p>
    <w:p w:rsidR="00450A99" w:rsidRDefault="00450A99" w:rsidP="005923F6">
      <w:pPr>
        <w:pStyle w:val="ListParagraph"/>
        <w:spacing w:line="360" w:lineRule="auto"/>
        <w:ind w:left="360"/>
        <w:rPr>
          <w:rFonts w:ascii="Arial" w:hAnsi="Arial" w:cs="Arial"/>
        </w:rPr>
      </w:pPr>
    </w:p>
    <w:p w:rsidR="00834415" w:rsidRDefault="005923F6" w:rsidP="005923F6">
      <w:pPr>
        <w:pStyle w:val="ListParagraph"/>
        <w:spacing w:line="360" w:lineRule="auto"/>
        <w:ind w:left="360"/>
        <w:rPr>
          <w:rFonts w:ascii="Arial" w:hAnsi="Arial" w:cs="Arial"/>
        </w:rPr>
      </w:pPr>
      <w:r>
        <w:rPr>
          <w:rFonts w:ascii="Arial" w:hAnsi="Arial" w:cs="Arial"/>
        </w:rPr>
        <w:t>T</w:t>
      </w:r>
      <w:r w:rsidR="007C587B">
        <w:rPr>
          <w:rFonts w:ascii="Arial" w:hAnsi="Arial" w:cs="Arial"/>
        </w:rPr>
        <w:t xml:space="preserve">he court </w:t>
      </w:r>
      <w:r w:rsidR="008264BF">
        <w:rPr>
          <w:rFonts w:ascii="Arial" w:hAnsi="Arial" w:cs="Arial"/>
        </w:rPr>
        <w:t>however cannot</w:t>
      </w:r>
      <w:r>
        <w:rPr>
          <w:rFonts w:ascii="Arial" w:hAnsi="Arial" w:cs="Arial"/>
        </w:rPr>
        <w:t xml:space="preserve"> ignore that </w:t>
      </w:r>
      <w:r w:rsidR="00E86149">
        <w:rPr>
          <w:rFonts w:ascii="Arial" w:hAnsi="Arial" w:cs="Arial"/>
        </w:rPr>
        <w:t xml:space="preserve">some of the root causes which </w:t>
      </w:r>
      <w:r w:rsidR="00EF24AB">
        <w:rPr>
          <w:rFonts w:ascii="Arial" w:hAnsi="Arial" w:cs="Arial"/>
        </w:rPr>
        <w:t>ha</w:t>
      </w:r>
      <w:r>
        <w:rPr>
          <w:rFonts w:ascii="Arial" w:hAnsi="Arial" w:cs="Arial"/>
        </w:rPr>
        <w:t>ve</w:t>
      </w:r>
      <w:r w:rsidR="00EF24AB">
        <w:rPr>
          <w:rFonts w:ascii="Arial" w:hAnsi="Arial" w:cs="Arial"/>
        </w:rPr>
        <w:t xml:space="preserve"> led so many to resort to </w:t>
      </w:r>
      <w:r w:rsidR="00450A99">
        <w:rPr>
          <w:rFonts w:ascii="Arial" w:hAnsi="Arial" w:cs="Arial"/>
        </w:rPr>
        <w:t>land in</w:t>
      </w:r>
      <w:r w:rsidR="00BE2900">
        <w:rPr>
          <w:rFonts w:ascii="Arial" w:hAnsi="Arial" w:cs="Arial"/>
        </w:rPr>
        <w:t xml:space="preserve">vasions and in </w:t>
      </w:r>
      <w:r w:rsidR="007A222B">
        <w:rPr>
          <w:rFonts w:ascii="Arial" w:hAnsi="Arial" w:cs="Arial"/>
        </w:rPr>
        <w:t xml:space="preserve">some </w:t>
      </w:r>
      <w:r w:rsidR="00BE2900">
        <w:rPr>
          <w:rFonts w:ascii="Arial" w:hAnsi="Arial" w:cs="Arial"/>
        </w:rPr>
        <w:t>cases paying money</w:t>
      </w:r>
      <w:r w:rsidR="00450A99">
        <w:rPr>
          <w:rFonts w:ascii="Arial" w:hAnsi="Arial" w:cs="Arial"/>
        </w:rPr>
        <w:t xml:space="preserve"> to those who organise land grabs, </w:t>
      </w:r>
      <w:r w:rsidR="007C587B">
        <w:rPr>
          <w:rFonts w:ascii="Arial" w:hAnsi="Arial" w:cs="Arial"/>
        </w:rPr>
        <w:t xml:space="preserve">are attributable to </w:t>
      </w:r>
      <w:r w:rsidR="00E86149">
        <w:rPr>
          <w:rFonts w:ascii="Arial" w:hAnsi="Arial" w:cs="Arial"/>
        </w:rPr>
        <w:t>raised expectations</w:t>
      </w:r>
      <w:r w:rsidR="007C587B">
        <w:rPr>
          <w:rFonts w:ascii="Arial" w:hAnsi="Arial" w:cs="Arial"/>
        </w:rPr>
        <w:t xml:space="preserve"> due to e</w:t>
      </w:r>
      <w:r w:rsidR="00493FB8">
        <w:rPr>
          <w:rFonts w:ascii="Arial" w:hAnsi="Arial" w:cs="Arial"/>
        </w:rPr>
        <w:t>ither unfulfilled or unrealis</w:t>
      </w:r>
      <w:r w:rsidR="007A222B">
        <w:rPr>
          <w:rFonts w:ascii="Arial" w:hAnsi="Arial" w:cs="Arial"/>
        </w:rPr>
        <w:t>tic</w:t>
      </w:r>
      <w:r w:rsidR="007C587B">
        <w:rPr>
          <w:rFonts w:ascii="Arial" w:hAnsi="Arial" w:cs="Arial"/>
        </w:rPr>
        <w:t xml:space="preserve"> </w:t>
      </w:r>
      <w:r w:rsidR="00450A99">
        <w:rPr>
          <w:rFonts w:ascii="Arial" w:hAnsi="Arial" w:cs="Arial"/>
        </w:rPr>
        <w:t>promises</w:t>
      </w:r>
      <w:r w:rsidR="00E86149">
        <w:rPr>
          <w:rFonts w:ascii="Arial" w:hAnsi="Arial" w:cs="Arial"/>
        </w:rPr>
        <w:t>, corruption</w:t>
      </w:r>
      <w:r w:rsidR="006A4633">
        <w:rPr>
          <w:rFonts w:ascii="Arial" w:hAnsi="Arial" w:cs="Arial"/>
        </w:rPr>
        <w:t xml:space="preserve"> </w:t>
      </w:r>
      <w:r w:rsidR="008264BF">
        <w:rPr>
          <w:rFonts w:ascii="Arial" w:hAnsi="Arial" w:cs="Arial"/>
        </w:rPr>
        <w:t>and other</w:t>
      </w:r>
      <w:r w:rsidR="00E86149">
        <w:rPr>
          <w:rFonts w:ascii="Arial" w:hAnsi="Arial" w:cs="Arial"/>
        </w:rPr>
        <w:t xml:space="preserve"> forms </w:t>
      </w:r>
      <w:r w:rsidR="008264BF">
        <w:rPr>
          <w:rFonts w:ascii="Arial" w:hAnsi="Arial" w:cs="Arial"/>
        </w:rPr>
        <w:t>of maladministration</w:t>
      </w:r>
      <w:r w:rsidR="00E86149">
        <w:rPr>
          <w:rFonts w:ascii="Arial" w:hAnsi="Arial" w:cs="Arial"/>
        </w:rPr>
        <w:t xml:space="preserve"> </w:t>
      </w:r>
      <w:r w:rsidR="00EF24AB">
        <w:rPr>
          <w:rFonts w:ascii="Arial" w:hAnsi="Arial" w:cs="Arial"/>
        </w:rPr>
        <w:t xml:space="preserve">that </w:t>
      </w:r>
      <w:r w:rsidR="006A4633">
        <w:rPr>
          <w:rFonts w:ascii="Arial" w:hAnsi="Arial" w:cs="Arial"/>
        </w:rPr>
        <w:t xml:space="preserve">fall </w:t>
      </w:r>
      <w:r w:rsidR="00EF24AB">
        <w:rPr>
          <w:rFonts w:ascii="Arial" w:hAnsi="Arial" w:cs="Arial"/>
        </w:rPr>
        <w:t xml:space="preserve">within </w:t>
      </w:r>
      <w:r w:rsidR="006A4633">
        <w:rPr>
          <w:rFonts w:ascii="Arial" w:hAnsi="Arial" w:cs="Arial"/>
        </w:rPr>
        <w:t>the executive and administrative arms of government</w:t>
      </w:r>
      <w:r w:rsidR="00834415">
        <w:rPr>
          <w:rFonts w:ascii="Arial" w:hAnsi="Arial" w:cs="Arial"/>
        </w:rPr>
        <w:t xml:space="preserve">. </w:t>
      </w:r>
    </w:p>
    <w:p w:rsidR="00834415" w:rsidRDefault="00834415" w:rsidP="005923F6">
      <w:pPr>
        <w:pStyle w:val="ListParagraph"/>
        <w:spacing w:line="360" w:lineRule="auto"/>
        <w:ind w:left="360"/>
        <w:rPr>
          <w:rFonts w:ascii="Arial" w:hAnsi="Arial" w:cs="Arial"/>
        </w:rPr>
      </w:pPr>
    </w:p>
    <w:p w:rsidR="007C587B" w:rsidRDefault="00C06312" w:rsidP="00AF22DC">
      <w:pPr>
        <w:pStyle w:val="ListParagraph"/>
        <w:numPr>
          <w:ilvl w:val="0"/>
          <w:numId w:val="3"/>
        </w:numPr>
        <w:spacing w:line="360" w:lineRule="auto"/>
        <w:rPr>
          <w:rFonts w:ascii="Arial" w:hAnsi="Arial" w:cs="Arial"/>
        </w:rPr>
      </w:pPr>
      <w:r>
        <w:rPr>
          <w:rFonts w:ascii="Arial" w:hAnsi="Arial" w:cs="Arial"/>
        </w:rPr>
        <w:t xml:space="preserve">In </w:t>
      </w:r>
      <w:r w:rsidRPr="00493FB8">
        <w:rPr>
          <w:rFonts w:ascii="Arial" w:hAnsi="Arial" w:cs="Arial"/>
          <w:i/>
        </w:rPr>
        <w:t>Thubakgale</w:t>
      </w:r>
      <w:r>
        <w:rPr>
          <w:rFonts w:ascii="Arial" w:hAnsi="Arial" w:cs="Arial"/>
        </w:rPr>
        <w:t xml:space="preserve"> the</w:t>
      </w:r>
      <w:r w:rsidR="00834415">
        <w:rPr>
          <w:rFonts w:ascii="Arial" w:hAnsi="Arial" w:cs="Arial"/>
        </w:rPr>
        <w:t xml:space="preserve"> court was scathing of the applicant in the present case. Although </w:t>
      </w:r>
      <w:r>
        <w:rPr>
          <w:rFonts w:ascii="Arial" w:hAnsi="Arial" w:cs="Arial"/>
        </w:rPr>
        <w:t>Majiedt</w:t>
      </w:r>
      <w:r w:rsidR="00493FB8">
        <w:rPr>
          <w:rFonts w:ascii="Arial" w:hAnsi="Arial" w:cs="Arial"/>
        </w:rPr>
        <w:t xml:space="preserve"> J was in the minority</w:t>
      </w:r>
      <w:r w:rsidR="00F07DDA">
        <w:rPr>
          <w:rFonts w:ascii="Arial" w:hAnsi="Arial" w:cs="Arial"/>
        </w:rPr>
        <w:t>,</w:t>
      </w:r>
      <w:r w:rsidR="00493FB8">
        <w:rPr>
          <w:rFonts w:ascii="Arial" w:hAnsi="Arial" w:cs="Arial"/>
        </w:rPr>
        <w:t xml:space="preserve"> there</w:t>
      </w:r>
      <w:r w:rsidR="006A446E">
        <w:rPr>
          <w:rFonts w:ascii="Arial" w:hAnsi="Arial" w:cs="Arial"/>
        </w:rPr>
        <w:t xml:space="preserve"> </w:t>
      </w:r>
      <w:r w:rsidR="00834415">
        <w:rPr>
          <w:rFonts w:ascii="Arial" w:hAnsi="Arial" w:cs="Arial"/>
        </w:rPr>
        <w:t>appear</w:t>
      </w:r>
      <w:r w:rsidR="006A446E">
        <w:rPr>
          <w:rFonts w:ascii="Arial" w:hAnsi="Arial" w:cs="Arial"/>
        </w:rPr>
        <w:t>s</w:t>
      </w:r>
      <w:r w:rsidR="00834415">
        <w:rPr>
          <w:rFonts w:ascii="Arial" w:hAnsi="Arial" w:cs="Arial"/>
        </w:rPr>
        <w:t xml:space="preserve"> </w:t>
      </w:r>
      <w:r w:rsidR="006A446E">
        <w:rPr>
          <w:rFonts w:ascii="Arial" w:hAnsi="Arial" w:cs="Arial"/>
        </w:rPr>
        <w:t xml:space="preserve">to be no </w:t>
      </w:r>
      <w:r w:rsidR="00834415">
        <w:rPr>
          <w:rFonts w:ascii="Arial" w:hAnsi="Arial" w:cs="Arial"/>
        </w:rPr>
        <w:t xml:space="preserve">quarrel with </w:t>
      </w:r>
      <w:r w:rsidR="00AC67A8">
        <w:rPr>
          <w:rFonts w:ascii="Arial" w:hAnsi="Arial" w:cs="Arial"/>
        </w:rPr>
        <w:t>his</w:t>
      </w:r>
      <w:r w:rsidR="00834415">
        <w:rPr>
          <w:rFonts w:ascii="Arial" w:hAnsi="Arial" w:cs="Arial"/>
        </w:rPr>
        <w:t xml:space="preserve"> factual summation of the </w:t>
      </w:r>
      <w:r w:rsidR="00493FB8">
        <w:rPr>
          <w:rFonts w:ascii="Arial" w:hAnsi="Arial" w:cs="Arial"/>
        </w:rPr>
        <w:t>present applicant</w:t>
      </w:r>
      <w:r w:rsidR="00AC67A8">
        <w:rPr>
          <w:rFonts w:ascii="Arial" w:hAnsi="Arial" w:cs="Arial"/>
        </w:rPr>
        <w:t>’s conduct</w:t>
      </w:r>
      <w:r w:rsidR="00493FB8">
        <w:rPr>
          <w:rFonts w:ascii="Arial" w:hAnsi="Arial" w:cs="Arial"/>
        </w:rPr>
        <w:t xml:space="preserve">. At para </w:t>
      </w:r>
      <w:r w:rsidR="00834415">
        <w:rPr>
          <w:rFonts w:ascii="Arial" w:hAnsi="Arial" w:cs="Arial"/>
        </w:rPr>
        <w:t>16 the following was said:</w:t>
      </w:r>
    </w:p>
    <w:p w:rsidR="00834415" w:rsidRDefault="00834415" w:rsidP="00834415">
      <w:pPr>
        <w:pStyle w:val="ListParagraph"/>
        <w:spacing w:line="360" w:lineRule="auto"/>
        <w:ind w:left="360"/>
        <w:rPr>
          <w:rFonts w:ascii="Arial" w:hAnsi="Arial" w:cs="Arial"/>
        </w:rPr>
      </w:pPr>
    </w:p>
    <w:p w:rsidR="00834415" w:rsidRPr="00834415" w:rsidRDefault="00834415" w:rsidP="00834415">
      <w:pPr>
        <w:pStyle w:val="ListParagraph"/>
        <w:spacing w:line="360" w:lineRule="auto"/>
        <w:rPr>
          <w:rFonts w:ascii="Arial" w:hAnsi="Arial" w:cs="Arial"/>
        </w:rPr>
      </w:pPr>
      <w:r w:rsidRPr="00834415">
        <w:rPr>
          <w:rFonts w:ascii="Arial" w:hAnsi="Arial" w:cs="Arial"/>
          <w:i/>
        </w:rPr>
        <w:t>“The Municipality and its officials obdurately refused, over a long period of time and in the face of numerous court orders, to comply with their constitutional obligations and to take the requisite steps to correct the mismanagement and corruption that has led to the deprivation of the applicants’ right to adequate housing.”</w:t>
      </w:r>
      <w:r>
        <w:rPr>
          <w:rStyle w:val="FootnoteReference"/>
          <w:rFonts w:ascii="Arial" w:hAnsi="Arial" w:cs="Arial"/>
          <w:i/>
        </w:rPr>
        <w:footnoteReference w:id="32"/>
      </w:r>
    </w:p>
    <w:p w:rsidR="00F27B74" w:rsidRDefault="00F27B74" w:rsidP="005923F6">
      <w:pPr>
        <w:pStyle w:val="ListParagraph"/>
        <w:spacing w:line="360" w:lineRule="auto"/>
        <w:ind w:left="360"/>
        <w:rPr>
          <w:rFonts w:ascii="Arial" w:hAnsi="Arial" w:cs="Arial"/>
        </w:rPr>
      </w:pPr>
    </w:p>
    <w:p w:rsidR="004C20BA" w:rsidRDefault="00997F53" w:rsidP="00AF22DC">
      <w:pPr>
        <w:pStyle w:val="ListParagraph"/>
        <w:numPr>
          <w:ilvl w:val="0"/>
          <w:numId w:val="3"/>
        </w:numPr>
        <w:spacing w:line="360" w:lineRule="auto"/>
        <w:rPr>
          <w:rFonts w:ascii="Arial" w:hAnsi="Arial" w:cs="Arial"/>
        </w:rPr>
      </w:pPr>
      <w:r>
        <w:rPr>
          <w:rFonts w:ascii="Arial" w:hAnsi="Arial" w:cs="Arial"/>
        </w:rPr>
        <w:t xml:space="preserve">In the present </w:t>
      </w:r>
      <w:r w:rsidR="005C2C6D">
        <w:rPr>
          <w:rFonts w:ascii="Arial" w:hAnsi="Arial" w:cs="Arial"/>
        </w:rPr>
        <w:t>case there</w:t>
      </w:r>
      <w:r>
        <w:rPr>
          <w:rFonts w:ascii="Arial" w:hAnsi="Arial" w:cs="Arial"/>
        </w:rPr>
        <w:t xml:space="preserve"> were </w:t>
      </w:r>
      <w:r w:rsidR="001E1F2A">
        <w:rPr>
          <w:rFonts w:ascii="Arial" w:hAnsi="Arial" w:cs="Arial"/>
        </w:rPr>
        <w:t>allegations of maladministration and money changing hands to secur</w:t>
      </w:r>
      <w:r>
        <w:rPr>
          <w:rFonts w:ascii="Arial" w:hAnsi="Arial" w:cs="Arial"/>
        </w:rPr>
        <w:t>e an improper allocation to a p</w:t>
      </w:r>
      <w:r w:rsidR="001E1F2A">
        <w:rPr>
          <w:rFonts w:ascii="Arial" w:hAnsi="Arial" w:cs="Arial"/>
        </w:rPr>
        <w:t>erson not entitled to a RDP</w:t>
      </w:r>
      <w:r>
        <w:rPr>
          <w:rFonts w:ascii="Arial" w:hAnsi="Arial" w:cs="Arial"/>
        </w:rPr>
        <w:t xml:space="preserve"> house or who already had </w:t>
      </w:r>
      <w:r w:rsidR="001E1F2A">
        <w:rPr>
          <w:rFonts w:ascii="Arial" w:hAnsi="Arial" w:cs="Arial"/>
        </w:rPr>
        <w:t>an</w:t>
      </w:r>
      <w:r w:rsidR="00CB5922">
        <w:rPr>
          <w:rFonts w:ascii="Arial" w:hAnsi="Arial" w:cs="Arial"/>
        </w:rPr>
        <w:t>other</w:t>
      </w:r>
      <w:r w:rsidR="001E1F2A">
        <w:rPr>
          <w:rFonts w:ascii="Arial" w:hAnsi="Arial" w:cs="Arial"/>
        </w:rPr>
        <w:t xml:space="preserve"> RDP </w:t>
      </w:r>
      <w:r>
        <w:rPr>
          <w:rFonts w:ascii="Arial" w:hAnsi="Arial" w:cs="Arial"/>
        </w:rPr>
        <w:t>house</w:t>
      </w:r>
      <w:r w:rsidR="008E1935">
        <w:rPr>
          <w:rFonts w:ascii="Arial" w:hAnsi="Arial" w:cs="Arial"/>
        </w:rPr>
        <w:t xml:space="preserve">. </w:t>
      </w:r>
    </w:p>
    <w:p w:rsidR="004C20BA" w:rsidRDefault="004C20BA" w:rsidP="004C20BA">
      <w:pPr>
        <w:pStyle w:val="ListParagraph"/>
        <w:spacing w:line="360" w:lineRule="auto"/>
        <w:ind w:left="360"/>
        <w:rPr>
          <w:rFonts w:ascii="Arial" w:hAnsi="Arial" w:cs="Arial"/>
        </w:rPr>
      </w:pPr>
    </w:p>
    <w:p w:rsidR="004C20BA" w:rsidRDefault="005C2C6D" w:rsidP="004C20BA">
      <w:pPr>
        <w:pStyle w:val="ListParagraph"/>
        <w:spacing w:line="360" w:lineRule="auto"/>
        <w:ind w:left="360"/>
        <w:rPr>
          <w:rFonts w:ascii="Arial" w:hAnsi="Arial" w:cs="Arial"/>
        </w:rPr>
      </w:pPr>
      <w:r>
        <w:rPr>
          <w:rFonts w:ascii="Arial" w:hAnsi="Arial" w:cs="Arial"/>
        </w:rPr>
        <w:t>However,</w:t>
      </w:r>
      <w:r w:rsidR="00997F53">
        <w:rPr>
          <w:rFonts w:ascii="Arial" w:hAnsi="Arial" w:cs="Arial"/>
        </w:rPr>
        <w:t xml:space="preserve"> the relief to which these allegations ha</w:t>
      </w:r>
      <w:r w:rsidR="004C20BA">
        <w:rPr>
          <w:rFonts w:ascii="Arial" w:hAnsi="Arial" w:cs="Arial"/>
        </w:rPr>
        <w:t>s</w:t>
      </w:r>
      <w:r w:rsidR="008E1935">
        <w:rPr>
          <w:rFonts w:ascii="Arial" w:hAnsi="Arial" w:cs="Arial"/>
        </w:rPr>
        <w:t xml:space="preserve"> relevance required</w:t>
      </w:r>
      <w:r w:rsidR="00997F53">
        <w:rPr>
          <w:rFonts w:ascii="Arial" w:hAnsi="Arial" w:cs="Arial"/>
        </w:rPr>
        <w:t xml:space="preserve"> the joining of the Gauteng Province and this was not done</w:t>
      </w:r>
      <w:r w:rsidR="008E1935">
        <w:rPr>
          <w:rFonts w:ascii="Arial" w:hAnsi="Arial" w:cs="Arial"/>
        </w:rPr>
        <w:t>. In the mean</w:t>
      </w:r>
      <w:r w:rsidR="00997F53">
        <w:rPr>
          <w:rFonts w:ascii="Arial" w:hAnsi="Arial" w:cs="Arial"/>
        </w:rPr>
        <w:t>while</w:t>
      </w:r>
      <w:r w:rsidR="00F07DDA">
        <w:rPr>
          <w:rFonts w:ascii="Arial" w:hAnsi="Arial" w:cs="Arial"/>
        </w:rPr>
        <w:t>,</w:t>
      </w:r>
      <w:r w:rsidR="00997F53">
        <w:rPr>
          <w:rFonts w:ascii="Arial" w:hAnsi="Arial" w:cs="Arial"/>
        </w:rPr>
        <w:t xml:space="preserve"> ongoing </w:t>
      </w:r>
      <w:r>
        <w:rPr>
          <w:rFonts w:ascii="Arial" w:hAnsi="Arial" w:cs="Arial"/>
        </w:rPr>
        <w:t>discussions</w:t>
      </w:r>
      <w:r w:rsidR="00997F53">
        <w:rPr>
          <w:rFonts w:ascii="Arial" w:hAnsi="Arial" w:cs="Arial"/>
        </w:rPr>
        <w:t xml:space="preserve"> ensued between</w:t>
      </w:r>
      <w:r w:rsidR="008E1935">
        <w:rPr>
          <w:rFonts w:ascii="Arial" w:hAnsi="Arial" w:cs="Arial"/>
        </w:rPr>
        <w:t xml:space="preserve"> </w:t>
      </w:r>
      <w:r w:rsidR="006F2C95">
        <w:rPr>
          <w:rFonts w:ascii="Arial" w:hAnsi="Arial" w:cs="Arial"/>
        </w:rPr>
        <w:t>the legal</w:t>
      </w:r>
      <w:r w:rsidR="00997F53">
        <w:rPr>
          <w:rFonts w:ascii="Arial" w:hAnsi="Arial" w:cs="Arial"/>
        </w:rPr>
        <w:t xml:space="preserve"> </w:t>
      </w:r>
      <w:r>
        <w:rPr>
          <w:rFonts w:ascii="Arial" w:hAnsi="Arial" w:cs="Arial"/>
        </w:rPr>
        <w:t>representatives</w:t>
      </w:r>
      <w:r w:rsidR="00997F53">
        <w:rPr>
          <w:rFonts w:ascii="Arial" w:hAnsi="Arial" w:cs="Arial"/>
        </w:rPr>
        <w:t xml:space="preserve"> which appeared </w:t>
      </w:r>
      <w:r>
        <w:rPr>
          <w:rFonts w:ascii="Arial" w:hAnsi="Arial" w:cs="Arial"/>
        </w:rPr>
        <w:t>to</w:t>
      </w:r>
      <w:r w:rsidR="00997F53">
        <w:rPr>
          <w:rFonts w:ascii="Arial" w:hAnsi="Arial" w:cs="Arial"/>
        </w:rPr>
        <w:t xml:space="preserve"> relate to providing housing</w:t>
      </w:r>
      <w:r w:rsidR="00AC67A8" w:rsidRPr="00AC67A8">
        <w:rPr>
          <w:rFonts w:ascii="Arial" w:hAnsi="Arial" w:cs="Arial"/>
        </w:rPr>
        <w:t xml:space="preserve"> </w:t>
      </w:r>
      <w:r w:rsidR="00AC67A8">
        <w:rPr>
          <w:rFonts w:ascii="Arial" w:hAnsi="Arial" w:cs="Arial"/>
        </w:rPr>
        <w:t>within the development</w:t>
      </w:r>
      <w:r w:rsidR="00997F53">
        <w:rPr>
          <w:rFonts w:ascii="Arial" w:hAnsi="Arial" w:cs="Arial"/>
        </w:rPr>
        <w:t xml:space="preserve"> for </w:t>
      </w:r>
      <w:r>
        <w:rPr>
          <w:rFonts w:ascii="Arial" w:hAnsi="Arial" w:cs="Arial"/>
        </w:rPr>
        <w:t>those</w:t>
      </w:r>
      <w:r w:rsidR="00AC67A8">
        <w:rPr>
          <w:rFonts w:ascii="Arial" w:hAnsi="Arial" w:cs="Arial"/>
        </w:rPr>
        <w:t xml:space="preserve"> entitled to an </w:t>
      </w:r>
      <w:r w:rsidR="00997F53">
        <w:rPr>
          <w:rFonts w:ascii="Arial" w:hAnsi="Arial" w:cs="Arial"/>
        </w:rPr>
        <w:t>allocat</w:t>
      </w:r>
      <w:r w:rsidR="00AC67A8">
        <w:rPr>
          <w:rFonts w:ascii="Arial" w:hAnsi="Arial" w:cs="Arial"/>
        </w:rPr>
        <w:t>ion</w:t>
      </w:r>
      <w:r w:rsidR="00997F53">
        <w:rPr>
          <w:rFonts w:ascii="Arial" w:hAnsi="Arial" w:cs="Arial"/>
        </w:rPr>
        <w:t xml:space="preserve">. </w:t>
      </w:r>
    </w:p>
    <w:p w:rsidR="004C20BA" w:rsidRDefault="004C20BA" w:rsidP="004C20BA">
      <w:pPr>
        <w:pStyle w:val="ListParagraph"/>
        <w:spacing w:line="360" w:lineRule="auto"/>
        <w:ind w:left="360"/>
        <w:rPr>
          <w:rFonts w:ascii="Arial" w:hAnsi="Arial" w:cs="Arial"/>
        </w:rPr>
      </w:pPr>
    </w:p>
    <w:p w:rsidR="0047254D" w:rsidRDefault="008E1935" w:rsidP="00AF22DC">
      <w:pPr>
        <w:pStyle w:val="ListParagraph"/>
        <w:numPr>
          <w:ilvl w:val="0"/>
          <w:numId w:val="3"/>
        </w:numPr>
        <w:spacing w:line="360" w:lineRule="auto"/>
        <w:rPr>
          <w:rFonts w:ascii="Arial" w:hAnsi="Arial" w:cs="Arial"/>
        </w:rPr>
      </w:pPr>
      <w:r w:rsidRPr="008E1935">
        <w:rPr>
          <w:rFonts w:ascii="Arial" w:hAnsi="Arial" w:cs="Arial"/>
        </w:rPr>
        <w:t>T</w:t>
      </w:r>
      <w:r w:rsidR="004F6828" w:rsidRPr="008E1935">
        <w:rPr>
          <w:rFonts w:ascii="Arial" w:hAnsi="Arial" w:cs="Arial"/>
        </w:rPr>
        <w:t>he Metro relies on the enforcement of rights of ownership</w:t>
      </w:r>
      <w:r w:rsidR="004C20BA">
        <w:rPr>
          <w:rFonts w:ascii="Arial" w:hAnsi="Arial" w:cs="Arial"/>
        </w:rPr>
        <w:t xml:space="preserve"> and furthermore </w:t>
      </w:r>
      <w:r w:rsidR="004F6828" w:rsidRPr="008E1935">
        <w:rPr>
          <w:rFonts w:ascii="Arial" w:hAnsi="Arial" w:cs="Arial"/>
        </w:rPr>
        <w:t>claimed to have brought the application in order “</w:t>
      </w:r>
      <w:r w:rsidR="004F6828" w:rsidRPr="008E1935">
        <w:rPr>
          <w:rFonts w:ascii="Arial" w:hAnsi="Arial" w:cs="Arial"/>
          <w:i/>
        </w:rPr>
        <w:t>to protect its By</w:t>
      </w:r>
      <w:r w:rsidR="00597BB1">
        <w:rPr>
          <w:rFonts w:ascii="Arial" w:hAnsi="Arial" w:cs="Arial"/>
          <w:i/>
        </w:rPr>
        <w:t>e</w:t>
      </w:r>
      <w:r w:rsidR="004F6828" w:rsidRPr="008E1935">
        <w:rPr>
          <w:rFonts w:ascii="Arial" w:hAnsi="Arial" w:cs="Arial"/>
          <w:i/>
        </w:rPr>
        <w:t xml:space="preserve"> Laws and prevent people from taking the law into their own hands by invading the houses built by the applicant in compliance with its constitutional mandate”</w:t>
      </w:r>
      <w:r w:rsidR="0047254D">
        <w:rPr>
          <w:rFonts w:ascii="Arial" w:hAnsi="Arial" w:cs="Arial"/>
        </w:rPr>
        <w:t>.</w:t>
      </w:r>
    </w:p>
    <w:p w:rsidR="004F6828" w:rsidRPr="008E1935" w:rsidRDefault="0047254D" w:rsidP="0047254D">
      <w:pPr>
        <w:pStyle w:val="ListParagraph"/>
        <w:spacing w:line="360" w:lineRule="auto"/>
        <w:ind w:left="360"/>
        <w:rPr>
          <w:rFonts w:ascii="Arial" w:hAnsi="Arial" w:cs="Arial"/>
        </w:rPr>
      </w:pPr>
      <w:r>
        <w:rPr>
          <w:rFonts w:ascii="Arial" w:hAnsi="Arial" w:cs="Arial"/>
        </w:rPr>
        <w:lastRenderedPageBreak/>
        <w:t>The applicant added that:</w:t>
      </w:r>
      <w:r w:rsidR="004F6828" w:rsidRPr="008E1935">
        <w:rPr>
          <w:rFonts w:ascii="Arial" w:hAnsi="Arial" w:cs="Arial"/>
        </w:rPr>
        <w:t xml:space="preserve"> “</w:t>
      </w:r>
      <w:r w:rsidR="004F6828" w:rsidRPr="008E1935">
        <w:rPr>
          <w:rFonts w:ascii="Arial" w:hAnsi="Arial" w:cs="Arial"/>
          <w:i/>
        </w:rPr>
        <w:t>Critically, it was estimated and agreed between the applicant and the intended beneficiaries that the first group of beneficiaries will be given their houses mid-August 2019”</w:t>
      </w:r>
      <w:r w:rsidR="004F6828" w:rsidRPr="008E1935">
        <w:rPr>
          <w:rFonts w:ascii="Arial" w:hAnsi="Arial" w:cs="Arial"/>
        </w:rPr>
        <w:t xml:space="preserve">. </w:t>
      </w:r>
    </w:p>
    <w:p w:rsidR="004F6828" w:rsidRDefault="004F6828" w:rsidP="004F6828">
      <w:pPr>
        <w:pStyle w:val="ListParagraph"/>
        <w:spacing w:line="360" w:lineRule="auto"/>
        <w:ind w:left="360"/>
        <w:rPr>
          <w:rFonts w:ascii="Arial" w:hAnsi="Arial" w:cs="Arial"/>
        </w:rPr>
      </w:pPr>
    </w:p>
    <w:p w:rsidR="004F6828" w:rsidRDefault="0047254D" w:rsidP="004F6828">
      <w:pPr>
        <w:pStyle w:val="ListParagraph"/>
        <w:spacing w:line="360" w:lineRule="auto"/>
        <w:ind w:left="360"/>
        <w:rPr>
          <w:rFonts w:ascii="Arial" w:hAnsi="Arial" w:cs="Arial"/>
        </w:rPr>
      </w:pPr>
      <w:r>
        <w:rPr>
          <w:rFonts w:ascii="Arial" w:hAnsi="Arial" w:cs="Arial"/>
        </w:rPr>
        <w:t xml:space="preserve">It also </w:t>
      </w:r>
      <w:r w:rsidR="004F6828">
        <w:rPr>
          <w:rFonts w:ascii="Arial" w:hAnsi="Arial" w:cs="Arial"/>
        </w:rPr>
        <w:t xml:space="preserve">warned </w:t>
      </w:r>
      <w:r w:rsidR="004F6828" w:rsidRPr="008E1935">
        <w:rPr>
          <w:rFonts w:ascii="Arial" w:hAnsi="Arial" w:cs="Arial"/>
        </w:rPr>
        <w:t>that the beneficiaries may themselves ta</w:t>
      </w:r>
      <w:r>
        <w:rPr>
          <w:rFonts w:ascii="Arial" w:hAnsi="Arial" w:cs="Arial"/>
        </w:rPr>
        <w:t>ke occupation of the structures</w:t>
      </w:r>
      <w:r w:rsidR="004F6828" w:rsidRPr="008E1935">
        <w:rPr>
          <w:rFonts w:ascii="Arial" w:hAnsi="Arial" w:cs="Arial"/>
        </w:rPr>
        <w:t xml:space="preserve"> </w:t>
      </w:r>
      <w:r>
        <w:rPr>
          <w:rFonts w:ascii="Arial" w:hAnsi="Arial" w:cs="Arial"/>
        </w:rPr>
        <w:t>(</w:t>
      </w:r>
      <w:r w:rsidR="004F6828" w:rsidRPr="008E1935">
        <w:rPr>
          <w:rFonts w:ascii="Arial" w:hAnsi="Arial" w:cs="Arial"/>
        </w:rPr>
        <w:t>even if incomplete</w:t>
      </w:r>
      <w:r>
        <w:rPr>
          <w:rFonts w:ascii="Arial" w:hAnsi="Arial" w:cs="Arial"/>
        </w:rPr>
        <w:t>)</w:t>
      </w:r>
      <w:r w:rsidR="004F6828" w:rsidRPr="008E1935">
        <w:rPr>
          <w:rFonts w:ascii="Arial" w:hAnsi="Arial" w:cs="Arial"/>
        </w:rPr>
        <w:t xml:space="preserve"> </w:t>
      </w:r>
      <w:r>
        <w:rPr>
          <w:rFonts w:ascii="Arial" w:hAnsi="Arial" w:cs="Arial"/>
        </w:rPr>
        <w:t xml:space="preserve">and </w:t>
      </w:r>
      <w:r w:rsidR="004F6828" w:rsidRPr="008E1935">
        <w:rPr>
          <w:rFonts w:ascii="Arial" w:hAnsi="Arial" w:cs="Arial"/>
        </w:rPr>
        <w:t>that the</w:t>
      </w:r>
      <w:r w:rsidR="004F6828">
        <w:rPr>
          <w:rFonts w:ascii="Arial" w:hAnsi="Arial" w:cs="Arial"/>
        </w:rPr>
        <w:t xml:space="preserve"> conduct of those against whom the </w:t>
      </w:r>
      <w:r>
        <w:rPr>
          <w:rFonts w:ascii="Arial" w:hAnsi="Arial" w:cs="Arial"/>
        </w:rPr>
        <w:t>order was sought</w:t>
      </w:r>
      <w:r w:rsidR="004F6828">
        <w:rPr>
          <w:rFonts w:ascii="Arial" w:hAnsi="Arial" w:cs="Arial"/>
        </w:rPr>
        <w:t xml:space="preserve"> has the potential </w:t>
      </w:r>
      <w:r w:rsidR="00AC67A8">
        <w:rPr>
          <w:rFonts w:ascii="Arial" w:hAnsi="Arial" w:cs="Arial"/>
        </w:rPr>
        <w:t>of disrupting peace in the area and</w:t>
      </w:r>
      <w:r w:rsidR="004F6828">
        <w:rPr>
          <w:rFonts w:ascii="Arial" w:hAnsi="Arial" w:cs="Arial"/>
        </w:rPr>
        <w:t xml:space="preserve"> disrupting the Metro’s objectives</w:t>
      </w:r>
      <w:r>
        <w:rPr>
          <w:rFonts w:ascii="Arial" w:hAnsi="Arial" w:cs="Arial"/>
        </w:rPr>
        <w:t xml:space="preserve">. The legitimate concern was raised that </w:t>
      </w:r>
      <w:r w:rsidR="004F6828">
        <w:rPr>
          <w:rFonts w:ascii="Arial" w:hAnsi="Arial" w:cs="Arial"/>
        </w:rPr>
        <w:t>should the Met</w:t>
      </w:r>
      <w:r>
        <w:rPr>
          <w:rFonts w:ascii="Arial" w:hAnsi="Arial" w:cs="Arial"/>
        </w:rPr>
        <w:t>ro not be granted the order sought then</w:t>
      </w:r>
      <w:r w:rsidR="004F6828">
        <w:rPr>
          <w:rFonts w:ascii="Arial" w:hAnsi="Arial" w:cs="Arial"/>
        </w:rPr>
        <w:t xml:space="preserve"> there was a likelihood that unlawful activities would increase, </w:t>
      </w:r>
      <w:r w:rsidR="00DA411B">
        <w:rPr>
          <w:rFonts w:ascii="Arial" w:hAnsi="Arial" w:cs="Arial"/>
        </w:rPr>
        <w:t>that more</w:t>
      </w:r>
      <w:r>
        <w:rPr>
          <w:rFonts w:ascii="Arial" w:hAnsi="Arial" w:cs="Arial"/>
        </w:rPr>
        <w:t xml:space="preserve"> people would be mobilis</w:t>
      </w:r>
      <w:r w:rsidR="004F6828">
        <w:rPr>
          <w:rFonts w:ascii="Arial" w:hAnsi="Arial" w:cs="Arial"/>
        </w:rPr>
        <w:t xml:space="preserve">ed and invade the project which </w:t>
      </w:r>
      <w:r w:rsidR="00AC67A8">
        <w:rPr>
          <w:rFonts w:ascii="Arial" w:hAnsi="Arial" w:cs="Arial"/>
        </w:rPr>
        <w:t xml:space="preserve">in turn </w:t>
      </w:r>
      <w:r w:rsidR="004F6828">
        <w:rPr>
          <w:rFonts w:ascii="Arial" w:hAnsi="Arial" w:cs="Arial"/>
        </w:rPr>
        <w:t>would lead to the unlawful appropriat</w:t>
      </w:r>
      <w:r>
        <w:rPr>
          <w:rFonts w:ascii="Arial" w:hAnsi="Arial" w:cs="Arial"/>
        </w:rPr>
        <w:t xml:space="preserve">ion </w:t>
      </w:r>
      <w:r w:rsidR="00597BB1">
        <w:rPr>
          <w:rFonts w:ascii="Arial" w:hAnsi="Arial" w:cs="Arial"/>
        </w:rPr>
        <w:t>in the development of</w:t>
      </w:r>
      <w:r w:rsidR="000774C7">
        <w:rPr>
          <w:rFonts w:ascii="Arial" w:hAnsi="Arial" w:cs="Arial"/>
        </w:rPr>
        <w:t xml:space="preserve"> more</w:t>
      </w:r>
      <w:r w:rsidR="00597BB1">
        <w:rPr>
          <w:rFonts w:ascii="Arial" w:hAnsi="Arial" w:cs="Arial"/>
        </w:rPr>
        <w:t xml:space="preserve"> homes and stands </w:t>
      </w:r>
      <w:r w:rsidR="004F6828">
        <w:rPr>
          <w:rFonts w:ascii="Arial" w:hAnsi="Arial" w:cs="Arial"/>
        </w:rPr>
        <w:t>by others.</w:t>
      </w:r>
    </w:p>
    <w:p w:rsidR="004F6828" w:rsidRDefault="004F6828" w:rsidP="004F6828">
      <w:pPr>
        <w:pStyle w:val="ListParagraph"/>
        <w:spacing w:line="360" w:lineRule="auto"/>
        <w:ind w:left="360"/>
        <w:rPr>
          <w:rFonts w:ascii="Arial" w:hAnsi="Arial" w:cs="Arial"/>
        </w:rPr>
      </w:pPr>
    </w:p>
    <w:p w:rsidR="00871F86" w:rsidRPr="00871F86" w:rsidRDefault="004F6828" w:rsidP="00AF22DC">
      <w:pPr>
        <w:pStyle w:val="ListParagraph"/>
        <w:numPr>
          <w:ilvl w:val="0"/>
          <w:numId w:val="3"/>
        </w:numPr>
        <w:spacing w:line="360" w:lineRule="auto"/>
        <w:rPr>
          <w:rFonts w:ascii="Arial" w:hAnsi="Arial" w:cs="Arial"/>
        </w:rPr>
      </w:pPr>
      <w:r>
        <w:rPr>
          <w:rFonts w:ascii="Arial" w:hAnsi="Arial" w:cs="Arial"/>
        </w:rPr>
        <w:t>B</w:t>
      </w:r>
      <w:r w:rsidR="00871F86">
        <w:rPr>
          <w:rFonts w:ascii="Arial" w:hAnsi="Arial" w:cs="Arial"/>
        </w:rPr>
        <w:t xml:space="preserve">y contrast many in the first respondent group believed that </w:t>
      </w:r>
      <w:r w:rsidR="00871F86" w:rsidRPr="00871F86">
        <w:rPr>
          <w:rFonts w:ascii="Arial" w:hAnsi="Arial" w:cs="Arial"/>
        </w:rPr>
        <w:t>they had a prior and stronger right to the houses than did the beneficiaries identified by the Metro.</w:t>
      </w:r>
    </w:p>
    <w:p w:rsidR="00871F86" w:rsidRPr="00871F86" w:rsidRDefault="00871F86" w:rsidP="00871F86">
      <w:pPr>
        <w:pStyle w:val="ListParagraph"/>
        <w:spacing w:line="360" w:lineRule="auto"/>
        <w:ind w:left="360"/>
        <w:rPr>
          <w:rFonts w:ascii="Arial" w:hAnsi="Arial" w:cs="Arial"/>
        </w:rPr>
      </w:pPr>
    </w:p>
    <w:p w:rsidR="00871F86" w:rsidRDefault="00871F86" w:rsidP="00871F86">
      <w:pPr>
        <w:pStyle w:val="ListParagraph"/>
        <w:spacing w:line="360" w:lineRule="auto"/>
        <w:ind w:left="360"/>
        <w:rPr>
          <w:rFonts w:ascii="Arial" w:hAnsi="Arial" w:cs="Arial"/>
        </w:rPr>
      </w:pPr>
      <w:r w:rsidRPr="00871F86">
        <w:rPr>
          <w:rFonts w:ascii="Arial" w:hAnsi="Arial" w:cs="Arial"/>
        </w:rPr>
        <w:t xml:space="preserve">It </w:t>
      </w:r>
      <w:r>
        <w:rPr>
          <w:rFonts w:ascii="Arial" w:hAnsi="Arial" w:cs="Arial"/>
        </w:rPr>
        <w:t>was also ev</w:t>
      </w:r>
      <w:r w:rsidRPr="00871F86">
        <w:rPr>
          <w:rFonts w:ascii="Arial" w:hAnsi="Arial" w:cs="Arial"/>
        </w:rPr>
        <w:t xml:space="preserve">ident that some of the much older people </w:t>
      </w:r>
      <w:r>
        <w:rPr>
          <w:rFonts w:ascii="Arial" w:hAnsi="Arial" w:cs="Arial"/>
        </w:rPr>
        <w:t xml:space="preserve">had </w:t>
      </w:r>
      <w:r w:rsidR="00AC67A8">
        <w:rPr>
          <w:rFonts w:ascii="Arial" w:hAnsi="Arial" w:cs="Arial"/>
        </w:rPr>
        <w:t>placed their names over 25</w:t>
      </w:r>
      <w:r w:rsidRPr="00871F86">
        <w:rPr>
          <w:rFonts w:ascii="Arial" w:hAnsi="Arial" w:cs="Arial"/>
        </w:rPr>
        <w:t xml:space="preserve"> years ago on official </w:t>
      </w:r>
      <w:r w:rsidR="00F07DDA">
        <w:rPr>
          <w:rFonts w:ascii="Arial" w:hAnsi="Arial" w:cs="Arial"/>
        </w:rPr>
        <w:t xml:space="preserve">waiting </w:t>
      </w:r>
      <w:r w:rsidRPr="00871F86">
        <w:rPr>
          <w:rFonts w:ascii="Arial" w:hAnsi="Arial" w:cs="Arial"/>
        </w:rPr>
        <w:t xml:space="preserve">lists for RDP housing and believed that beneficiaries identified by the officials in the Metro had jumped the queue. In another case before me during the same urgent court week </w:t>
      </w:r>
      <w:r w:rsidR="005C2C6D" w:rsidRPr="00871F86">
        <w:rPr>
          <w:rFonts w:ascii="Arial" w:hAnsi="Arial" w:cs="Arial"/>
        </w:rPr>
        <w:t>the respondents</w:t>
      </w:r>
      <w:r w:rsidRPr="00871F86">
        <w:rPr>
          <w:rFonts w:ascii="Arial" w:hAnsi="Arial" w:cs="Arial"/>
        </w:rPr>
        <w:t xml:space="preserve"> </w:t>
      </w:r>
      <w:r w:rsidR="005C2C6D" w:rsidRPr="00871F86">
        <w:rPr>
          <w:rFonts w:ascii="Arial" w:hAnsi="Arial" w:cs="Arial"/>
        </w:rPr>
        <w:t>there,</w:t>
      </w:r>
      <w:r w:rsidRPr="00871F86">
        <w:rPr>
          <w:rFonts w:ascii="Arial" w:hAnsi="Arial" w:cs="Arial"/>
        </w:rPr>
        <w:t xml:space="preserve"> who had participated in an abortive land invasion on different land but within the same Metro, claimed that corrupt officials had imp</w:t>
      </w:r>
      <w:r w:rsidR="00AC67A8">
        <w:rPr>
          <w:rFonts w:ascii="Arial" w:hAnsi="Arial" w:cs="Arial"/>
        </w:rPr>
        <w:t>roperly allocated homes and</w:t>
      </w:r>
      <w:r w:rsidRPr="00871F86">
        <w:rPr>
          <w:rFonts w:ascii="Arial" w:hAnsi="Arial" w:cs="Arial"/>
        </w:rPr>
        <w:t xml:space="preserve"> that there were </w:t>
      </w:r>
      <w:r w:rsidR="00AC67A8">
        <w:rPr>
          <w:rFonts w:ascii="Arial" w:hAnsi="Arial" w:cs="Arial"/>
        </w:rPr>
        <w:t xml:space="preserve">also </w:t>
      </w:r>
      <w:r w:rsidRPr="00871F86">
        <w:rPr>
          <w:rFonts w:ascii="Arial" w:hAnsi="Arial" w:cs="Arial"/>
        </w:rPr>
        <w:t xml:space="preserve">those who used their influence to obtain an additional property which </w:t>
      </w:r>
      <w:r w:rsidR="008E1935">
        <w:rPr>
          <w:rFonts w:ascii="Arial" w:hAnsi="Arial" w:cs="Arial"/>
        </w:rPr>
        <w:t xml:space="preserve">they </w:t>
      </w:r>
      <w:r w:rsidR="00AC67A8">
        <w:rPr>
          <w:rFonts w:ascii="Arial" w:hAnsi="Arial" w:cs="Arial"/>
        </w:rPr>
        <w:t>w</w:t>
      </w:r>
      <w:r w:rsidRPr="00871F86">
        <w:rPr>
          <w:rFonts w:ascii="Arial" w:hAnsi="Arial" w:cs="Arial"/>
        </w:rPr>
        <w:t>ould then on-sell or rent</w:t>
      </w:r>
      <w:r w:rsidR="000774C7">
        <w:rPr>
          <w:rFonts w:ascii="Arial" w:hAnsi="Arial" w:cs="Arial"/>
        </w:rPr>
        <w:t xml:space="preserve"> out</w:t>
      </w:r>
      <w:r w:rsidRPr="00871F86">
        <w:rPr>
          <w:rFonts w:ascii="Arial" w:hAnsi="Arial" w:cs="Arial"/>
        </w:rPr>
        <w:t>.</w:t>
      </w:r>
      <w:r>
        <w:rPr>
          <w:rFonts w:ascii="Arial" w:hAnsi="Arial" w:cs="Arial"/>
        </w:rPr>
        <w:t xml:space="preserve"> </w:t>
      </w:r>
    </w:p>
    <w:p w:rsidR="00DE518C" w:rsidRDefault="00DE518C" w:rsidP="00871F86">
      <w:pPr>
        <w:pStyle w:val="ListParagraph"/>
        <w:spacing w:line="360" w:lineRule="auto"/>
        <w:ind w:left="360"/>
        <w:rPr>
          <w:rFonts w:ascii="Arial" w:hAnsi="Arial" w:cs="Arial"/>
        </w:rPr>
      </w:pPr>
    </w:p>
    <w:p w:rsidR="00DE518C" w:rsidRDefault="00DE518C" w:rsidP="00AF22DC">
      <w:pPr>
        <w:pStyle w:val="ListParagraph"/>
        <w:numPr>
          <w:ilvl w:val="0"/>
          <w:numId w:val="3"/>
        </w:numPr>
        <w:spacing w:line="360" w:lineRule="auto"/>
        <w:rPr>
          <w:rFonts w:ascii="Arial" w:hAnsi="Arial" w:cs="Arial"/>
        </w:rPr>
      </w:pPr>
      <w:r w:rsidRPr="004C20BA">
        <w:rPr>
          <w:rFonts w:ascii="Arial" w:hAnsi="Arial" w:cs="Arial"/>
        </w:rPr>
        <w:t xml:space="preserve">But it is also evident </w:t>
      </w:r>
      <w:r w:rsidR="00DA411B" w:rsidRPr="004C20BA">
        <w:rPr>
          <w:rFonts w:ascii="Arial" w:hAnsi="Arial" w:cs="Arial"/>
        </w:rPr>
        <w:t>that those</w:t>
      </w:r>
      <w:r w:rsidRPr="004C20BA">
        <w:rPr>
          <w:rFonts w:ascii="Arial" w:hAnsi="Arial" w:cs="Arial"/>
        </w:rPr>
        <w:t xml:space="preserve"> who have lawfully been allocated RDP housing in the </w:t>
      </w:r>
      <w:r>
        <w:rPr>
          <w:rFonts w:ascii="Arial" w:hAnsi="Arial" w:cs="Arial"/>
        </w:rPr>
        <w:t xml:space="preserve">Metro owned </w:t>
      </w:r>
      <w:r w:rsidRPr="004C20BA">
        <w:rPr>
          <w:rFonts w:ascii="Arial" w:hAnsi="Arial" w:cs="Arial"/>
        </w:rPr>
        <w:t xml:space="preserve">development, such as </w:t>
      </w:r>
      <w:r w:rsidR="006F2895">
        <w:rPr>
          <w:rFonts w:ascii="Arial" w:hAnsi="Arial" w:cs="Arial"/>
        </w:rPr>
        <w:t xml:space="preserve">MK Veteran </w:t>
      </w:r>
      <w:r w:rsidRPr="004C20BA">
        <w:rPr>
          <w:rFonts w:ascii="Arial" w:hAnsi="Arial" w:cs="Arial"/>
        </w:rPr>
        <w:t xml:space="preserve">members and those to whom </w:t>
      </w:r>
      <w:r w:rsidR="000774C7">
        <w:rPr>
          <w:rFonts w:ascii="Arial" w:hAnsi="Arial" w:cs="Arial"/>
        </w:rPr>
        <w:t xml:space="preserve">a </w:t>
      </w:r>
      <w:r w:rsidRPr="004C20BA">
        <w:rPr>
          <w:rFonts w:ascii="Arial" w:hAnsi="Arial" w:cs="Arial"/>
        </w:rPr>
        <w:t xml:space="preserve">Land Claims Court judgment applies, cannot take occupation if those who have resorted to land invasion are </w:t>
      </w:r>
      <w:r w:rsidR="00AC67A8">
        <w:rPr>
          <w:rFonts w:ascii="Arial" w:hAnsi="Arial" w:cs="Arial"/>
        </w:rPr>
        <w:t xml:space="preserve">in fact </w:t>
      </w:r>
      <w:r w:rsidRPr="004C20BA">
        <w:rPr>
          <w:rFonts w:ascii="Arial" w:hAnsi="Arial" w:cs="Arial"/>
        </w:rPr>
        <w:t xml:space="preserve">homeless and have </w:t>
      </w:r>
      <w:r w:rsidR="00DA411B" w:rsidRPr="004C20BA">
        <w:rPr>
          <w:rFonts w:ascii="Arial" w:hAnsi="Arial" w:cs="Arial"/>
        </w:rPr>
        <w:t>taken occupation on</w:t>
      </w:r>
      <w:r w:rsidRPr="004C20BA">
        <w:rPr>
          <w:rFonts w:ascii="Arial" w:hAnsi="Arial" w:cs="Arial"/>
        </w:rPr>
        <w:t xml:space="preserve"> the development- at least not until temporary emergency shelter is provided.</w:t>
      </w:r>
    </w:p>
    <w:p w:rsidR="001E1F2A" w:rsidRDefault="001E1F2A" w:rsidP="001E1F2A">
      <w:pPr>
        <w:pStyle w:val="ListParagraph"/>
        <w:spacing w:line="360" w:lineRule="auto"/>
        <w:ind w:left="360"/>
        <w:rPr>
          <w:rFonts w:ascii="Arial" w:hAnsi="Arial" w:cs="Arial"/>
        </w:rPr>
      </w:pPr>
    </w:p>
    <w:p w:rsidR="00997F53" w:rsidRDefault="008E1935" w:rsidP="00250AC1">
      <w:pPr>
        <w:pStyle w:val="ListParagraph"/>
        <w:numPr>
          <w:ilvl w:val="0"/>
          <w:numId w:val="3"/>
        </w:numPr>
        <w:spacing w:line="360" w:lineRule="auto"/>
        <w:rPr>
          <w:rFonts w:ascii="Arial" w:hAnsi="Arial" w:cs="Arial"/>
        </w:rPr>
      </w:pPr>
      <w:r>
        <w:rPr>
          <w:rFonts w:ascii="Arial" w:hAnsi="Arial" w:cs="Arial"/>
        </w:rPr>
        <w:t xml:space="preserve">In this context </w:t>
      </w:r>
      <w:r w:rsidR="00EE193D">
        <w:rPr>
          <w:rFonts w:ascii="Arial" w:hAnsi="Arial" w:cs="Arial"/>
        </w:rPr>
        <w:t xml:space="preserve">one should also </w:t>
      </w:r>
      <w:r w:rsidR="00E85366">
        <w:rPr>
          <w:rFonts w:ascii="Arial" w:hAnsi="Arial" w:cs="Arial"/>
        </w:rPr>
        <w:t xml:space="preserve">take cognisance </w:t>
      </w:r>
      <w:r w:rsidR="00EE193D">
        <w:rPr>
          <w:rFonts w:ascii="Arial" w:hAnsi="Arial" w:cs="Arial"/>
        </w:rPr>
        <w:t xml:space="preserve">of </w:t>
      </w:r>
      <w:r>
        <w:rPr>
          <w:rFonts w:ascii="Arial" w:hAnsi="Arial" w:cs="Arial"/>
        </w:rPr>
        <w:t>the</w:t>
      </w:r>
      <w:r w:rsidR="006F2C95">
        <w:rPr>
          <w:rFonts w:ascii="Arial" w:hAnsi="Arial" w:cs="Arial"/>
        </w:rPr>
        <w:t xml:space="preserve"> consequences</w:t>
      </w:r>
      <w:r w:rsidR="00EE193D">
        <w:rPr>
          <w:rFonts w:ascii="Arial" w:hAnsi="Arial" w:cs="Arial"/>
        </w:rPr>
        <w:t xml:space="preserve"> brought about by </w:t>
      </w:r>
      <w:r w:rsidR="006F2895">
        <w:rPr>
          <w:rFonts w:ascii="Arial" w:hAnsi="Arial" w:cs="Arial"/>
        </w:rPr>
        <w:t>PIE</w:t>
      </w:r>
      <w:r w:rsidR="00EE193D">
        <w:rPr>
          <w:rFonts w:ascii="Arial" w:hAnsi="Arial" w:cs="Arial"/>
        </w:rPr>
        <w:t xml:space="preserve"> on existing real and personal rights</w:t>
      </w:r>
      <w:r w:rsidR="002E68A1">
        <w:rPr>
          <w:rFonts w:ascii="Arial" w:hAnsi="Arial" w:cs="Arial"/>
        </w:rPr>
        <w:t xml:space="preserve">. </w:t>
      </w:r>
    </w:p>
    <w:p w:rsidR="00713E28" w:rsidRDefault="00450A99" w:rsidP="00250AC1">
      <w:pPr>
        <w:pStyle w:val="ListParagraph"/>
        <w:spacing w:line="360" w:lineRule="auto"/>
        <w:ind w:left="360"/>
        <w:rPr>
          <w:rFonts w:ascii="Arial" w:hAnsi="Arial" w:cs="Arial"/>
        </w:rPr>
      </w:pPr>
      <w:r>
        <w:rPr>
          <w:rFonts w:ascii="Arial" w:hAnsi="Arial" w:cs="Arial"/>
        </w:rPr>
        <w:lastRenderedPageBreak/>
        <w:t>Prior to the enactment of</w:t>
      </w:r>
      <w:r w:rsidR="00BE2900">
        <w:rPr>
          <w:rFonts w:ascii="Arial" w:hAnsi="Arial" w:cs="Arial"/>
        </w:rPr>
        <w:t xml:space="preserve"> PIE</w:t>
      </w:r>
      <w:r w:rsidR="009226C4">
        <w:rPr>
          <w:rFonts w:ascii="Arial" w:hAnsi="Arial" w:cs="Arial"/>
        </w:rPr>
        <w:t>,</w:t>
      </w:r>
      <w:r w:rsidR="00DE518C">
        <w:rPr>
          <w:rFonts w:ascii="Arial" w:hAnsi="Arial" w:cs="Arial"/>
        </w:rPr>
        <w:t xml:space="preserve"> </w:t>
      </w:r>
      <w:r w:rsidR="002E68A1">
        <w:rPr>
          <w:rFonts w:ascii="Arial" w:hAnsi="Arial" w:cs="Arial"/>
        </w:rPr>
        <w:t xml:space="preserve">unlawful occupation </w:t>
      </w:r>
      <w:r w:rsidR="009226C4">
        <w:rPr>
          <w:rFonts w:ascii="Arial" w:hAnsi="Arial" w:cs="Arial"/>
        </w:rPr>
        <w:t xml:space="preserve">was </w:t>
      </w:r>
      <w:r>
        <w:rPr>
          <w:rFonts w:ascii="Arial" w:hAnsi="Arial" w:cs="Arial"/>
        </w:rPr>
        <w:t xml:space="preserve">swiftly met </w:t>
      </w:r>
      <w:r w:rsidR="002E68A1">
        <w:rPr>
          <w:rFonts w:ascii="Arial" w:hAnsi="Arial" w:cs="Arial"/>
        </w:rPr>
        <w:t>with a</w:t>
      </w:r>
      <w:r w:rsidR="00704CA8">
        <w:rPr>
          <w:rFonts w:ascii="Arial" w:hAnsi="Arial" w:cs="Arial"/>
        </w:rPr>
        <w:t xml:space="preserve">n </w:t>
      </w:r>
      <w:r w:rsidR="00AC67A8">
        <w:rPr>
          <w:rFonts w:ascii="Arial" w:hAnsi="Arial" w:cs="Arial"/>
        </w:rPr>
        <w:t xml:space="preserve">urgent eviction </w:t>
      </w:r>
      <w:r w:rsidR="002E68A1">
        <w:rPr>
          <w:rFonts w:ascii="Arial" w:hAnsi="Arial" w:cs="Arial"/>
        </w:rPr>
        <w:t xml:space="preserve">application. </w:t>
      </w:r>
    </w:p>
    <w:p w:rsidR="00713E28" w:rsidRDefault="00713E28" w:rsidP="00713E28">
      <w:pPr>
        <w:pStyle w:val="ListParagraph"/>
        <w:spacing w:line="360" w:lineRule="auto"/>
        <w:ind w:left="360"/>
        <w:rPr>
          <w:rFonts w:ascii="Arial" w:hAnsi="Arial" w:cs="Arial"/>
        </w:rPr>
      </w:pPr>
    </w:p>
    <w:p w:rsidR="00713E28" w:rsidRDefault="002E68A1" w:rsidP="00713E28">
      <w:pPr>
        <w:pStyle w:val="ListParagraph"/>
        <w:spacing w:line="360" w:lineRule="auto"/>
        <w:ind w:left="360"/>
        <w:rPr>
          <w:rFonts w:ascii="Arial" w:hAnsi="Arial" w:cs="Arial"/>
        </w:rPr>
      </w:pPr>
      <w:r>
        <w:rPr>
          <w:rFonts w:ascii="Arial" w:hAnsi="Arial" w:cs="Arial"/>
        </w:rPr>
        <w:t xml:space="preserve">Now, </w:t>
      </w:r>
      <w:r w:rsidR="00C32D55">
        <w:rPr>
          <w:rFonts w:ascii="Arial" w:hAnsi="Arial" w:cs="Arial"/>
        </w:rPr>
        <w:t xml:space="preserve">provided </w:t>
      </w:r>
      <w:r>
        <w:rPr>
          <w:rFonts w:ascii="Arial" w:hAnsi="Arial" w:cs="Arial"/>
        </w:rPr>
        <w:t xml:space="preserve">there is </w:t>
      </w:r>
      <w:r w:rsidR="00C32D55">
        <w:rPr>
          <w:rFonts w:ascii="Arial" w:hAnsi="Arial" w:cs="Arial"/>
        </w:rPr>
        <w:t xml:space="preserve">unlawful </w:t>
      </w:r>
      <w:r>
        <w:rPr>
          <w:rFonts w:ascii="Arial" w:hAnsi="Arial" w:cs="Arial"/>
        </w:rPr>
        <w:t>occupation</w:t>
      </w:r>
      <w:r w:rsidR="00DE518C">
        <w:rPr>
          <w:rFonts w:ascii="Arial" w:hAnsi="Arial" w:cs="Arial"/>
        </w:rPr>
        <w:t xml:space="preserve"> by a per</w:t>
      </w:r>
      <w:r w:rsidR="00597BB1">
        <w:rPr>
          <w:rFonts w:ascii="Arial" w:hAnsi="Arial" w:cs="Arial"/>
        </w:rPr>
        <w:t>s</w:t>
      </w:r>
      <w:r w:rsidR="00DE518C">
        <w:rPr>
          <w:rFonts w:ascii="Arial" w:hAnsi="Arial" w:cs="Arial"/>
        </w:rPr>
        <w:t>on claiming to be homeless</w:t>
      </w:r>
      <w:r>
        <w:rPr>
          <w:rFonts w:ascii="Arial" w:hAnsi="Arial" w:cs="Arial"/>
        </w:rPr>
        <w:t xml:space="preserve">, </w:t>
      </w:r>
      <w:r w:rsidR="00C32D55">
        <w:rPr>
          <w:rFonts w:ascii="Arial" w:hAnsi="Arial" w:cs="Arial"/>
        </w:rPr>
        <w:t>such</w:t>
      </w:r>
      <w:r>
        <w:rPr>
          <w:rFonts w:ascii="Arial" w:hAnsi="Arial" w:cs="Arial"/>
        </w:rPr>
        <w:t xml:space="preserve"> occupier </w:t>
      </w:r>
      <w:r w:rsidR="00BE2900">
        <w:rPr>
          <w:rFonts w:ascii="Arial" w:hAnsi="Arial" w:cs="Arial"/>
        </w:rPr>
        <w:t xml:space="preserve">is </w:t>
      </w:r>
      <w:r w:rsidR="00704CA8">
        <w:rPr>
          <w:rFonts w:ascii="Arial" w:hAnsi="Arial" w:cs="Arial"/>
        </w:rPr>
        <w:t>likely t</w:t>
      </w:r>
      <w:r w:rsidR="00BE2900">
        <w:rPr>
          <w:rFonts w:ascii="Arial" w:hAnsi="Arial" w:cs="Arial"/>
        </w:rPr>
        <w:t xml:space="preserve">o benefit from </w:t>
      </w:r>
      <w:r w:rsidR="00704CA8">
        <w:rPr>
          <w:rFonts w:ascii="Arial" w:hAnsi="Arial" w:cs="Arial"/>
        </w:rPr>
        <w:t xml:space="preserve">two or more </w:t>
      </w:r>
      <w:r w:rsidR="00450A99">
        <w:rPr>
          <w:rFonts w:ascii="Arial" w:hAnsi="Arial" w:cs="Arial"/>
        </w:rPr>
        <w:t xml:space="preserve">years of </w:t>
      </w:r>
      <w:r w:rsidR="00704CA8">
        <w:rPr>
          <w:rFonts w:ascii="Arial" w:hAnsi="Arial" w:cs="Arial"/>
        </w:rPr>
        <w:t xml:space="preserve">occupation on the property before being </w:t>
      </w:r>
      <w:r w:rsidR="00BE2900">
        <w:rPr>
          <w:rFonts w:ascii="Arial" w:hAnsi="Arial" w:cs="Arial"/>
        </w:rPr>
        <w:t xml:space="preserve">provided with </w:t>
      </w:r>
      <w:r w:rsidR="00704CA8">
        <w:rPr>
          <w:rFonts w:ascii="Arial" w:hAnsi="Arial" w:cs="Arial"/>
        </w:rPr>
        <w:t>temporary shelter</w:t>
      </w:r>
      <w:r w:rsidR="00CA3A8E">
        <w:rPr>
          <w:rFonts w:ascii="Arial" w:hAnsi="Arial" w:cs="Arial"/>
        </w:rPr>
        <w:t xml:space="preserve"> by a municipality</w:t>
      </w:r>
      <w:r w:rsidR="005E618F">
        <w:rPr>
          <w:rFonts w:ascii="Arial" w:hAnsi="Arial" w:cs="Arial"/>
        </w:rPr>
        <w:t>,</w:t>
      </w:r>
      <w:r w:rsidR="00DE518C">
        <w:rPr>
          <w:rFonts w:ascii="Arial" w:hAnsi="Arial" w:cs="Arial"/>
        </w:rPr>
        <w:t xml:space="preserve"> unless a court determines prior to then that the individual was not (and presumable is not still) homeless</w:t>
      </w:r>
      <w:r w:rsidR="00C32D55">
        <w:rPr>
          <w:rFonts w:ascii="Arial" w:hAnsi="Arial" w:cs="Arial"/>
        </w:rPr>
        <w:t xml:space="preserve"> or </w:t>
      </w:r>
      <w:r w:rsidR="00F07DDA">
        <w:rPr>
          <w:rFonts w:ascii="Arial" w:hAnsi="Arial" w:cs="Arial"/>
        </w:rPr>
        <w:t xml:space="preserve">that </w:t>
      </w:r>
      <w:r w:rsidR="00C32D55">
        <w:rPr>
          <w:rFonts w:ascii="Arial" w:hAnsi="Arial" w:cs="Arial"/>
        </w:rPr>
        <w:t xml:space="preserve">the extraordinary remedy of </w:t>
      </w:r>
      <w:r w:rsidR="005E618F">
        <w:rPr>
          <w:rFonts w:ascii="Arial" w:hAnsi="Arial" w:cs="Arial"/>
        </w:rPr>
        <w:t xml:space="preserve">an </w:t>
      </w:r>
      <w:r w:rsidR="00C32D55">
        <w:rPr>
          <w:rFonts w:ascii="Arial" w:hAnsi="Arial" w:cs="Arial"/>
        </w:rPr>
        <w:t>urgent eviction under s 5 of PIE applies</w:t>
      </w:r>
      <w:r w:rsidR="00713E28">
        <w:rPr>
          <w:rFonts w:ascii="Arial" w:hAnsi="Arial" w:cs="Arial"/>
        </w:rPr>
        <w:t>.</w:t>
      </w:r>
      <w:r w:rsidR="00713E28">
        <w:rPr>
          <w:rStyle w:val="FootnoteReference"/>
          <w:rFonts w:ascii="Arial" w:hAnsi="Arial" w:cs="Arial"/>
        </w:rPr>
        <w:footnoteReference w:id="33"/>
      </w:r>
    </w:p>
    <w:p w:rsidR="00713E28" w:rsidRDefault="00C32D55" w:rsidP="00713E28">
      <w:pPr>
        <w:pStyle w:val="ListParagraph"/>
        <w:spacing w:line="360" w:lineRule="auto"/>
        <w:ind w:left="360"/>
        <w:rPr>
          <w:rFonts w:ascii="Arial" w:hAnsi="Arial" w:cs="Arial"/>
        </w:rPr>
      </w:pPr>
      <w:r>
        <w:rPr>
          <w:rFonts w:ascii="Arial" w:hAnsi="Arial" w:cs="Arial"/>
        </w:rPr>
        <w:t xml:space="preserve"> </w:t>
      </w:r>
    </w:p>
    <w:p w:rsidR="00DE518C" w:rsidRPr="00F07DDA" w:rsidRDefault="00DE518C" w:rsidP="00F07DDA">
      <w:pPr>
        <w:spacing w:line="360" w:lineRule="auto"/>
        <w:ind w:firstLine="360"/>
        <w:rPr>
          <w:rFonts w:ascii="Arial" w:hAnsi="Arial" w:cs="Arial"/>
        </w:rPr>
      </w:pPr>
      <w:r w:rsidRPr="00F07DDA">
        <w:rPr>
          <w:rFonts w:ascii="Arial" w:hAnsi="Arial" w:cs="Arial"/>
        </w:rPr>
        <w:t>The reasons are that;</w:t>
      </w:r>
    </w:p>
    <w:p w:rsidR="00F07DDA" w:rsidRDefault="00F07DDA" w:rsidP="00F07DDA">
      <w:pPr>
        <w:pStyle w:val="ListParagraph"/>
        <w:spacing w:line="360" w:lineRule="auto"/>
        <w:ind w:left="360"/>
        <w:rPr>
          <w:rFonts w:ascii="Arial" w:hAnsi="Arial" w:cs="Arial"/>
        </w:rPr>
      </w:pPr>
    </w:p>
    <w:p w:rsidR="007446B5" w:rsidRDefault="00FA5A82" w:rsidP="00F07DDA">
      <w:pPr>
        <w:pStyle w:val="ListParagraph"/>
        <w:numPr>
          <w:ilvl w:val="1"/>
          <w:numId w:val="3"/>
        </w:numPr>
        <w:spacing w:line="360" w:lineRule="auto"/>
        <w:rPr>
          <w:rFonts w:ascii="Arial" w:hAnsi="Arial" w:cs="Arial"/>
        </w:rPr>
      </w:pPr>
      <w:r w:rsidRPr="00F07DDA">
        <w:rPr>
          <w:rFonts w:ascii="Arial" w:hAnsi="Arial" w:cs="Arial"/>
        </w:rPr>
        <w:t xml:space="preserve">an owner’s right to prevent occupation of land is met if the other party can demonstrate a better right to be on </w:t>
      </w:r>
      <w:r w:rsidR="00AC67A8" w:rsidRPr="00F07DDA">
        <w:rPr>
          <w:rFonts w:ascii="Arial" w:hAnsi="Arial" w:cs="Arial"/>
        </w:rPr>
        <w:t>it</w:t>
      </w:r>
      <w:r w:rsidRPr="00F07DDA">
        <w:rPr>
          <w:rFonts w:ascii="Arial" w:hAnsi="Arial" w:cs="Arial"/>
        </w:rPr>
        <w:t xml:space="preserve">. </w:t>
      </w:r>
      <w:r w:rsidR="002B062F" w:rsidRPr="00F07DDA">
        <w:rPr>
          <w:rFonts w:ascii="Arial" w:hAnsi="Arial" w:cs="Arial"/>
        </w:rPr>
        <w:t>In practical terms, t</w:t>
      </w:r>
      <w:r w:rsidRPr="00F07DDA">
        <w:rPr>
          <w:rFonts w:ascii="Arial" w:hAnsi="Arial" w:cs="Arial"/>
        </w:rPr>
        <w:t xml:space="preserve">he provisions of PIE afford </w:t>
      </w:r>
      <w:r w:rsidR="002B062F" w:rsidRPr="00F07DDA">
        <w:rPr>
          <w:rFonts w:ascii="Arial" w:hAnsi="Arial" w:cs="Arial"/>
        </w:rPr>
        <w:t xml:space="preserve">a homeless </w:t>
      </w:r>
      <w:r w:rsidRPr="00F07DDA">
        <w:rPr>
          <w:rFonts w:ascii="Arial" w:hAnsi="Arial" w:cs="Arial"/>
        </w:rPr>
        <w:t xml:space="preserve">person a </w:t>
      </w:r>
      <w:r w:rsidR="00597BB1" w:rsidRPr="00F07DDA">
        <w:rPr>
          <w:rFonts w:ascii="Arial" w:hAnsi="Arial" w:cs="Arial"/>
        </w:rPr>
        <w:t xml:space="preserve">superior </w:t>
      </w:r>
      <w:r w:rsidRPr="00F07DDA">
        <w:rPr>
          <w:rFonts w:ascii="Arial" w:hAnsi="Arial" w:cs="Arial"/>
        </w:rPr>
        <w:t>right</w:t>
      </w:r>
      <w:r w:rsidR="00597BB1" w:rsidRPr="00F07DDA">
        <w:rPr>
          <w:rFonts w:ascii="Arial" w:hAnsi="Arial" w:cs="Arial"/>
        </w:rPr>
        <w:t xml:space="preserve"> to occupy and possess </w:t>
      </w:r>
      <w:r w:rsidRPr="00F07DDA">
        <w:rPr>
          <w:rFonts w:ascii="Arial" w:hAnsi="Arial" w:cs="Arial"/>
        </w:rPr>
        <w:t>than that held by the actual owner</w:t>
      </w:r>
      <w:r w:rsidR="00597BB1" w:rsidRPr="00F07DDA">
        <w:rPr>
          <w:rFonts w:ascii="Arial" w:hAnsi="Arial" w:cs="Arial"/>
        </w:rPr>
        <w:t>,</w:t>
      </w:r>
      <w:r w:rsidRPr="00F07DDA">
        <w:rPr>
          <w:rFonts w:ascii="Arial" w:hAnsi="Arial" w:cs="Arial"/>
        </w:rPr>
        <w:t xml:space="preserve"> </w:t>
      </w:r>
      <w:r w:rsidR="00597BB1" w:rsidRPr="00F07DDA">
        <w:rPr>
          <w:rFonts w:ascii="Arial" w:hAnsi="Arial" w:cs="Arial"/>
        </w:rPr>
        <w:t>at least until (</w:t>
      </w:r>
      <w:r w:rsidR="002B062F" w:rsidRPr="00F07DDA">
        <w:rPr>
          <w:rFonts w:ascii="Arial" w:hAnsi="Arial" w:cs="Arial"/>
        </w:rPr>
        <w:t>if the owner is the State</w:t>
      </w:r>
      <w:r w:rsidR="00597BB1" w:rsidRPr="00F07DDA">
        <w:rPr>
          <w:rFonts w:ascii="Arial" w:hAnsi="Arial" w:cs="Arial"/>
        </w:rPr>
        <w:t>)</w:t>
      </w:r>
      <w:r w:rsidR="002B062F" w:rsidRPr="00F07DDA">
        <w:rPr>
          <w:rFonts w:ascii="Arial" w:hAnsi="Arial" w:cs="Arial"/>
        </w:rPr>
        <w:t xml:space="preserve"> it </w:t>
      </w:r>
      <w:r w:rsidR="00F07DDA">
        <w:rPr>
          <w:rFonts w:ascii="Arial" w:hAnsi="Arial" w:cs="Arial"/>
        </w:rPr>
        <w:t xml:space="preserve">is able to </w:t>
      </w:r>
      <w:r w:rsidR="002B062F" w:rsidRPr="00F07DDA">
        <w:rPr>
          <w:rFonts w:ascii="Arial" w:hAnsi="Arial" w:cs="Arial"/>
        </w:rPr>
        <w:t>provide altern</w:t>
      </w:r>
      <w:r w:rsidR="00DE518C" w:rsidRPr="00F07DDA">
        <w:rPr>
          <w:rFonts w:ascii="Arial" w:hAnsi="Arial" w:cs="Arial"/>
        </w:rPr>
        <w:t>ative temporary shelter;</w:t>
      </w:r>
      <w:r w:rsidR="00597BB1" w:rsidRPr="00F07DDA">
        <w:rPr>
          <w:rFonts w:ascii="Arial" w:hAnsi="Arial" w:cs="Arial"/>
        </w:rPr>
        <w:t xml:space="preserve"> </w:t>
      </w:r>
    </w:p>
    <w:p w:rsidR="00F07DDA" w:rsidRDefault="00F07DDA" w:rsidP="00F07DDA">
      <w:pPr>
        <w:pStyle w:val="ListParagraph"/>
        <w:spacing w:line="360" w:lineRule="auto"/>
        <w:ind w:left="1080"/>
        <w:rPr>
          <w:rFonts w:ascii="Arial" w:hAnsi="Arial" w:cs="Arial"/>
        </w:rPr>
      </w:pPr>
    </w:p>
    <w:p w:rsidR="00457D4E" w:rsidRPr="00F07DDA" w:rsidRDefault="00DE518C" w:rsidP="00F07DDA">
      <w:pPr>
        <w:pStyle w:val="ListParagraph"/>
        <w:numPr>
          <w:ilvl w:val="1"/>
          <w:numId w:val="3"/>
        </w:numPr>
        <w:spacing w:line="360" w:lineRule="auto"/>
        <w:rPr>
          <w:rFonts w:ascii="Arial" w:hAnsi="Arial" w:cs="Arial"/>
        </w:rPr>
      </w:pPr>
      <w:r w:rsidRPr="00F07DDA">
        <w:rPr>
          <w:rFonts w:ascii="Arial" w:hAnsi="Arial" w:cs="Arial"/>
        </w:rPr>
        <w:t xml:space="preserve">those who may have had </w:t>
      </w:r>
      <w:r w:rsidR="004E0054" w:rsidRPr="00F07DDA">
        <w:rPr>
          <w:rFonts w:ascii="Arial" w:hAnsi="Arial" w:cs="Arial"/>
        </w:rPr>
        <w:t xml:space="preserve">poor but </w:t>
      </w:r>
      <w:r w:rsidR="00DA411B" w:rsidRPr="00F07DDA">
        <w:rPr>
          <w:rFonts w:ascii="Arial" w:hAnsi="Arial" w:cs="Arial"/>
        </w:rPr>
        <w:t>adequate shelter</w:t>
      </w:r>
      <w:r w:rsidR="00713E28" w:rsidRPr="00F07DDA">
        <w:rPr>
          <w:rFonts w:ascii="Arial" w:hAnsi="Arial" w:cs="Arial"/>
        </w:rPr>
        <w:t xml:space="preserve"> </w:t>
      </w:r>
      <w:r w:rsidR="00F07DDA">
        <w:rPr>
          <w:rFonts w:ascii="Arial" w:hAnsi="Arial" w:cs="Arial"/>
        </w:rPr>
        <w:t xml:space="preserve">elsewhere </w:t>
      </w:r>
      <w:r w:rsidR="004E0054" w:rsidRPr="00F07DDA">
        <w:rPr>
          <w:rFonts w:ascii="Arial" w:hAnsi="Arial" w:cs="Arial"/>
        </w:rPr>
        <w:t xml:space="preserve">at the time </w:t>
      </w:r>
      <w:r w:rsidR="00713E28" w:rsidRPr="00F07DDA">
        <w:rPr>
          <w:rFonts w:ascii="Arial" w:hAnsi="Arial" w:cs="Arial"/>
        </w:rPr>
        <w:t>they unlawfully occupied</w:t>
      </w:r>
      <w:r w:rsidR="00F07DDA">
        <w:rPr>
          <w:rFonts w:ascii="Arial" w:hAnsi="Arial" w:cs="Arial"/>
        </w:rPr>
        <w:t xml:space="preserve"> the land in question </w:t>
      </w:r>
      <w:r w:rsidR="00713E28" w:rsidRPr="00F07DDA">
        <w:rPr>
          <w:rFonts w:ascii="Arial" w:hAnsi="Arial" w:cs="Arial"/>
        </w:rPr>
        <w:t>in order to improve their living conditions</w:t>
      </w:r>
      <w:r w:rsidR="009C7E27">
        <w:rPr>
          <w:rFonts w:ascii="Arial" w:hAnsi="Arial" w:cs="Arial"/>
        </w:rPr>
        <w:t>,</w:t>
      </w:r>
      <w:r w:rsidR="00713E28" w:rsidRPr="00F07DDA">
        <w:rPr>
          <w:rFonts w:ascii="Arial" w:hAnsi="Arial" w:cs="Arial"/>
        </w:rPr>
        <w:t xml:space="preserve"> </w:t>
      </w:r>
      <w:r w:rsidR="004E0054" w:rsidRPr="00F07DDA">
        <w:rPr>
          <w:rFonts w:ascii="Arial" w:hAnsi="Arial" w:cs="Arial"/>
        </w:rPr>
        <w:t>may well be unable to return to their former place</w:t>
      </w:r>
      <w:r w:rsidR="00713E28" w:rsidRPr="00F07DDA">
        <w:rPr>
          <w:rFonts w:ascii="Arial" w:hAnsi="Arial" w:cs="Arial"/>
        </w:rPr>
        <w:t xml:space="preserve"> by the time the case is ready to be heard</w:t>
      </w:r>
      <w:r w:rsidR="004E0054" w:rsidRPr="00F07DDA">
        <w:rPr>
          <w:rFonts w:ascii="Arial" w:hAnsi="Arial" w:cs="Arial"/>
        </w:rPr>
        <w:t xml:space="preserve">, with the result that </w:t>
      </w:r>
      <w:r w:rsidR="00713E28" w:rsidRPr="00F07DDA">
        <w:rPr>
          <w:rFonts w:ascii="Arial" w:hAnsi="Arial" w:cs="Arial"/>
        </w:rPr>
        <w:t xml:space="preserve">they are now </w:t>
      </w:r>
      <w:r w:rsidR="00DA411B" w:rsidRPr="00F07DDA">
        <w:rPr>
          <w:rFonts w:ascii="Arial" w:hAnsi="Arial" w:cs="Arial"/>
        </w:rPr>
        <w:t>rendered homeless</w:t>
      </w:r>
      <w:r w:rsidR="004E0054" w:rsidRPr="00F07DDA">
        <w:rPr>
          <w:rFonts w:ascii="Arial" w:hAnsi="Arial" w:cs="Arial"/>
        </w:rPr>
        <w:t xml:space="preserve">. This </w:t>
      </w:r>
      <w:r w:rsidR="00713E28" w:rsidRPr="00F07DDA">
        <w:rPr>
          <w:rFonts w:ascii="Arial" w:hAnsi="Arial" w:cs="Arial"/>
        </w:rPr>
        <w:t xml:space="preserve">may occur </w:t>
      </w:r>
      <w:r w:rsidR="00AC67A8" w:rsidRPr="00F07DDA">
        <w:rPr>
          <w:rFonts w:ascii="Arial" w:hAnsi="Arial" w:cs="Arial"/>
        </w:rPr>
        <w:t xml:space="preserve">due to the </w:t>
      </w:r>
      <w:r w:rsidR="004E0054" w:rsidRPr="00F07DDA">
        <w:rPr>
          <w:rFonts w:ascii="Arial" w:hAnsi="Arial" w:cs="Arial"/>
        </w:rPr>
        <w:t xml:space="preserve">length of time it ordinarily takes to enable </w:t>
      </w:r>
      <w:r w:rsidR="00A42D53" w:rsidRPr="00F07DDA">
        <w:rPr>
          <w:rFonts w:ascii="Arial" w:hAnsi="Arial" w:cs="Arial"/>
        </w:rPr>
        <w:t xml:space="preserve">their legal representatives to identify the large </w:t>
      </w:r>
      <w:r w:rsidR="00DA411B" w:rsidRPr="00F07DDA">
        <w:rPr>
          <w:rFonts w:ascii="Arial" w:hAnsi="Arial" w:cs="Arial"/>
        </w:rPr>
        <w:t>number of</w:t>
      </w:r>
      <w:r w:rsidR="004E0054" w:rsidRPr="00F07DDA">
        <w:rPr>
          <w:rFonts w:ascii="Arial" w:hAnsi="Arial" w:cs="Arial"/>
        </w:rPr>
        <w:t xml:space="preserve"> persons </w:t>
      </w:r>
      <w:r w:rsidR="00713E28" w:rsidRPr="00F07DDA">
        <w:rPr>
          <w:rFonts w:ascii="Arial" w:hAnsi="Arial" w:cs="Arial"/>
        </w:rPr>
        <w:t xml:space="preserve">who have intruded on land </w:t>
      </w:r>
      <w:r w:rsidR="00A42D53" w:rsidRPr="00F07DDA">
        <w:rPr>
          <w:rFonts w:ascii="Arial" w:hAnsi="Arial" w:cs="Arial"/>
        </w:rPr>
        <w:t xml:space="preserve">and seek protection under PIE </w:t>
      </w:r>
      <w:r w:rsidR="009C7E27">
        <w:rPr>
          <w:rFonts w:ascii="Arial" w:hAnsi="Arial" w:cs="Arial"/>
        </w:rPr>
        <w:t>or</w:t>
      </w:r>
      <w:r w:rsidR="004E0054" w:rsidRPr="00F07DDA">
        <w:rPr>
          <w:rFonts w:ascii="Arial" w:hAnsi="Arial" w:cs="Arial"/>
        </w:rPr>
        <w:t xml:space="preserve"> </w:t>
      </w:r>
      <w:r w:rsidR="009C7E27">
        <w:rPr>
          <w:rFonts w:ascii="Arial" w:hAnsi="Arial" w:cs="Arial"/>
        </w:rPr>
        <w:t xml:space="preserve">to enable all the </w:t>
      </w:r>
      <w:r w:rsidR="00457D4E" w:rsidRPr="00F07DDA">
        <w:rPr>
          <w:rFonts w:ascii="Arial" w:hAnsi="Arial" w:cs="Arial"/>
        </w:rPr>
        <w:t xml:space="preserve">parties to </w:t>
      </w:r>
      <w:r w:rsidR="004E0054" w:rsidRPr="00F07DDA">
        <w:rPr>
          <w:rFonts w:ascii="Arial" w:hAnsi="Arial" w:cs="Arial"/>
        </w:rPr>
        <w:t xml:space="preserve">be given a fair hearing. </w:t>
      </w:r>
      <w:r w:rsidR="00A42D53">
        <w:rPr>
          <w:rStyle w:val="FootnoteReference"/>
          <w:rFonts w:ascii="Arial" w:hAnsi="Arial" w:cs="Arial"/>
        </w:rPr>
        <w:footnoteReference w:id="34"/>
      </w:r>
    </w:p>
    <w:p w:rsidR="00025D81" w:rsidRDefault="00025D81" w:rsidP="00457D4E">
      <w:pPr>
        <w:spacing w:line="360" w:lineRule="auto"/>
        <w:ind w:left="360"/>
        <w:rPr>
          <w:rFonts w:ascii="Arial" w:hAnsi="Arial" w:cs="Arial"/>
        </w:rPr>
      </w:pPr>
    </w:p>
    <w:p w:rsidR="00DE518C" w:rsidRPr="00DE3781" w:rsidRDefault="00457D4E" w:rsidP="00457D4E">
      <w:pPr>
        <w:spacing w:line="360" w:lineRule="auto"/>
        <w:ind w:left="360"/>
        <w:rPr>
          <w:rFonts w:ascii="Arial" w:hAnsi="Arial" w:cs="Arial"/>
          <w:b/>
        </w:rPr>
      </w:pPr>
      <w:r>
        <w:rPr>
          <w:rFonts w:ascii="Arial" w:hAnsi="Arial" w:cs="Arial"/>
        </w:rPr>
        <w:t>The question therefore arises whether these consequences are also factors to be taken into account when considering what amounts to “</w:t>
      </w:r>
      <w:r w:rsidRPr="00457D4E">
        <w:rPr>
          <w:rFonts w:ascii="Arial" w:hAnsi="Arial" w:cs="Arial"/>
          <w:i/>
        </w:rPr>
        <w:t>possession</w:t>
      </w:r>
      <w:r>
        <w:rPr>
          <w:rFonts w:ascii="Arial" w:hAnsi="Arial" w:cs="Arial"/>
        </w:rPr>
        <w:t>”, when counter-spoliation may be resorted to and, insofar as PIE is concerned what constitutes “</w:t>
      </w:r>
      <w:r w:rsidRPr="00457D4E">
        <w:rPr>
          <w:rFonts w:ascii="Arial" w:hAnsi="Arial" w:cs="Arial"/>
          <w:i/>
        </w:rPr>
        <w:t>occupation</w:t>
      </w:r>
      <w:r>
        <w:rPr>
          <w:rFonts w:ascii="Arial" w:hAnsi="Arial" w:cs="Arial"/>
        </w:rPr>
        <w:t xml:space="preserve">”. The last question arises because if possession defeats </w:t>
      </w:r>
      <w:r w:rsidR="00DE3781">
        <w:rPr>
          <w:rFonts w:ascii="Arial" w:hAnsi="Arial" w:cs="Arial"/>
        </w:rPr>
        <w:lastRenderedPageBreak/>
        <w:t xml:space="preserve">the right to self-help </w:t>
      </w:r>
      <w:r w:rsidR="00DA411B" w:rsidRPr="00DE3781">
        <w:rPr>
          <w:rFonts w:ascii="Arial" w:hAnsi="Arial" w:cs="Arial"/>
          <w:i/>
        </w:rPr>
        <w:t>via</w:t>
      </w:r>
      <w:r w:rsidR="00DA411B">
        <w:rPr>
          <w:rFonts w:ascii="Arial" w:hAnsi="Arial" w:cs="Arial"/>
        </w:rPr>
        <w:t xml:space="preserve"> counter</w:t>
      </w:r>
      <w:r>
        <w:rPr>
          <w:rFonts w:ascii="Arial" w:hAnsi="Arial" w:cs="Arial"/>
        </w:rPr>
        <w:t>-spoliation then</w:t>
      </w:r>
      <w:r w:rsidR="00A42D53">
        <w:rPr>
          <w:rFonts w:ascii="Arial" w:hAnsi="Arial" w:cs="Arial"/>
        </w:rPr>
        <w:t xml:space="preserve"> is </w:t>
      </w:r>
      <w:r w:rsidR="00DA411B">
        <w:rPr>
          <w:rFonts w:ascii="Arial" w:hAnsi="Arial" w:cs="Arial"/>
        </w:rPr>
        <w:t>it possible</w:t>
      </w:r>
      <w:r w:rsidR="009C7E27">
        <w:rPr>
          <w:rFonts w:ascii="Arial" w:hAnsi="Arial" w:cs="Arial"/>
        </w:rPr>
        <w:t>,</w:t>
      </w:r>
      <w:r w:rsidR="00A42D53">
        <w:rPr>
          <w:rFonts w:ascii="Arial" w:hAnsi="Arial" w:cs="Arial"/>
        </w:rPr>
        <w:t xml:space="preserve"> realistically</w:t>
      </w:r>
      <w:r w:rsidR="009C7E27">
        <w:rPr>
          <w:rFonts w:ascii="Arial" w:hAnsi="Arial" w:cs="Arial"/>
        </w:rPr>
        <w:t>,</w:t>
      </w:r>
      <w:r w:rsidR="00A42D53">
        <w:rPr>
          <w:rFonts w:ascii="Arial" w:hAnsi="Arial" w:cs="Arial"/>
        </w:rPr>
        <w:t xml:space="preserve"> for the</w:t>
      </w:r>
      <w:r>
        <w:rPr>
          <w:rFonts w:ascii="Arial" w:hAnsi="Arial" w:cs="Arial"/>
        </w:rPr>
        <w:t xml:space="preserve"> landowner </w:t>
      </w:r>
      <w:r w:rsidR="00A42D53">
        <w:rPr>
          <w:rFonts w:ascii="Arial" w:hAnsi="Arial" w:cs="Arial"/>
        </w:rPr>
        <w:t xml:space="preserve">to </w:t>
      </w:r>
      <w:r>
        <w:rPr>
          <w:rFonts w:ascii="Arial" w:hAnsi="Arial" w:cs="Arial"/>
        </w:rPr>
        <w:t>bring an urgent application for eviction before “</w:t>
      </w:r>
      <w:r w:rsidRPr="00DE3781">
        <w:rPr>
          <w:rFonts w:ascii="Arial" w:hAnsi="Arial" w:cs="Arial"/>
          <w:i/>
        </w:rPr>
        <w:t>possession</w:t>
      </w:r>
      <w:r>
        <w:rPr>
          <w:rFonts w:ascii="Arial" w:hAnsi="Arial" w:cs="Arial"/>
        </w:rPr>
        <w:t xml:space="preserve">” </w:t>
      </w:r>
      <w:r w:rsidR="00DE3781">
        <w:rPr>
          <w:rFonts w:ascii="Arial" w:hAnsi="Arial" w:cs="Arial"/>
        </w:rPr>
        <w:t>hardens into “</w:t>
      </w:r>
      <w:r w:rsidR="00DE3781" w:rsidRPr="00611AF8">
        <w:rPr>
          <w:rFonts w:ascii="Arial" w:hAnsi="Arial" w:cs="Arial"/>
          <w:i/>
        </w:rPr>
        <w:t>occupation”</w:t>
      </w:r>
      <w:r w:rsidR="00DE3781" w:rsidRPr="00611AF8">
        <w:rPr>
          <w:rFonts w:ascii="Arial" w:hAnsi="Arial" w:cs="Arial"/>
        </w:rPr>
        <w:t xml:space="preserve"> for the purposes of PIE</w:t>
      </w:r>
      <w:r w:rsidR="00A42D53" w:rsidRPr="00611AF8">
        <w:rPr>
          <w:rFonts w:ascii="Arial" w:hAnsi="Arial" w:cs="Arial"/>
        </w:rPr>
        <w:t xml:space="preserve"> and can the acquisition of occupation under PIE be suspended pending the case’s finalisation</w:t>
      </w:r>
      <w:r w:rsidR="000774C7" w:rsidRPr="00611AF8">
        <w:rPr>
          <w:rFonts w:ascii="Arial" w:hAnsi="Arial" w:cs="Arial"/>
        </w:rPr>
        <w:t>?</w:t>
      </w:r>
      <w:r w:rsidR="00A42D53">
        <w:rPr>
          <w:rFonts w:ascii="Arial" w:hAnsi="Arial" w:cs="Arial"/>
        </w:rPr>
        <w:t xml:space="preserve"> </w:t>
      </w:r>
    </w:p>
    <w:p w:rsidR="00FA5A82" w:rsidRPr="00834415" w:rsidRDefault="00FA5A82" w:rsidP="007446B5">
      <w:pPr>
        <w:pStyle w:val="ListParagraph"/>
        <w:spacing w:line="360" w:lineRule="auto"/>
        <w:ind w:left="360"/>
        <w:rPr>
          <w:rFonts w:ascii="Arial" w:hAnsi="Arial" w:cs="Arial"/>
          <w:b/>
        </w:rPr>
      </w:pPr>
    </w:p>
    <w:p w:rsidR="00A002C0" w:rsidRDefault="009E5B38" w:rsidP="00AF22DC">
      <w:pPr>
        <w:pStyle w:val="ListParagraph"/>
        <w:numPr>
          <w:ilvl w:val="0"/>
          <w:numId w:val="3"/>
        </w:numPr>
        <w:spacing w:line="360" w:lineRule="auto"/>
        <w:rPr>
          <w:rFonts w:ascii="Arial" w:hAnsi="Arial" w:cs="Arial"/>
        </w:rPr>
      </w:pPr>
      <w:r>
        <w:rPr>
          <w:rFonts w:ascii="Arial" w:hAnsi="Arial" w:cs="Arial"/>
        </w:rPr>
        <w:t xml:space="preserve">The upshot remains that </w:t>
      </w:r>
      <w:r w:rsidR="00A42D53">
        <w:rPr>
          <w:rFonts w:ascii="Arial" w:hAnsi="Arial" w:cs="Arial"/>
        </w:rPr>
        <w:t>c</w:t>
      </w:r>
      <w:r w:rsidR="0025365B">
        <w:rPr>
          <w:rFonts w:ascii="Arial" w:hAnsi="Arial" w:cs="Arial"/>
        </w:rPr>
        <w:t>ourt</w:t>
      </w:r>
      <w:r w:rsidR="00997F53">
        <w:rPr>
          <w:rFonts w:ascii="Arial" w:hAnsi="Arial" w:cs="Arial"/>
        </w:rPr>
        <w:t>s</w:t>
      </w:r>
      <w:r w:rsidR="0025365B">
        <w:rPr>
          <w:rFonts w:ascii="Arial" w:hAnsi="Arial" w:cs="Arial"/>
        </w:rPr>
        <w:t xml:space="preserve"> </w:t>
      </w:r>
      <w:r w:rsidR="008264BF">
        <w:rPr>
          <w:rFonts w:ascii="Arial" w:hAnsi="Arial" w:cs="Arial"/>
        </w:rPr>
        <w:t>are being</w:t>
      </w:r>
      <w:r w:rsidR="006A4633">
        <w:rPr>
          <w:rFonts w:ascii="Arial" w:hAnsi="Arial" w:cs="Arial"/>
        </w:rPr>
        <w:t xml:space="preserve"> called on to resolve these </w:t>
      </w:r>
      <w:r w:rsidR="009226C4">
        <w:rPr>
          <w:rFonts w:ascii="Arial" w:hAnsi="Arial" w:cs="Arial"/>
        </w:rPr>
        <w:t>multi-</w:t>
      </w:r>
      <w:r w:rsidR="00A002C0">
        <w:rPr>
          <w:rFonts w:ascii="Arial" w:hAnsi="Arial" w:cs="Arial"/>
        </w:rPr>
        <w:t xml:space="preserve">faceted </w:t>
      </w:r>
      <w:r w:rsidR="009C7E27">
        <w:rPr>
          <w:rFonts w:ascii="Arial" w:hAnsi="Arial" w:cs="Arial"/>
        </w:rPr>
        <w:t xml:space="preserve">and complex </w:t>
      </w:r>
      <w:r w:rsidR="00A02883">
        <w:rPr>
          <w:rFonts w:ascii="Arial" w:hAnsi="Arial" w:cs="Arial"/>
        </w:rPr>
        <w:t>social</w:t>
      </w:r>
      <w:r w:rsidR="00CA3A8E">
        <w:rPr>
          <w:rFonts w:ascii="Arial" w:hAnsi="Arial" w:cs="Arial"/>
        </w:rPr>
        <w:t>,</w:t>
      </w:r>
      <w:r w:rsidR="00EA37EB">
        <w:rPr>
          <w:rFonts w:ascii="Arial" w:hAnsi="Arial" w:cs="Arial"/>
        </w:rPr>
        <w:t xml:space="preserve"> political and economic </w:t>
      </w:r>
      <w:r w:rsidR="00A02883">
        <w:rPr>
          <w:rFonts w:ascii="Arial" w:hAnsi="Arial" w:cs="Arial"/>
        </w:rPr>
        <w:t xml:space="preserve">issues </w:t>
      </w:r>
      <w:r w:rsidR="006A4633">
        <w:rPr>
          <w:rFonts w:ascii="Arial" w:hAnsi="Arial" w:cs="Arial"/>
        </w:rPr>
        <w:t>by</w:t>
      </w:r>
      <w:r w:rsidR="00E86149">
        <w:rPr>
          <w:rFonts w:ascii="Arial" w:hAnsi="Arial" w:cs="Arial"/>
        </w:rPr>
        <w:t xml:space="preserve"> apply</w:t>
      </w:r>
      <w:r w:rsidR="006A4633">
        <w:rPr>
          <w:rFonts w:ascii="Arial" w:hAnsi="Arial" w:cs="Arial"/>
        </w:rPr>
        <w:t>ing</w:t>
      </w:r>
      <w:r w:rsidR="00E86149">
        <w:rPr>
          <w:rFonts w:ascii="Arial" w:hAnsi="Arial" w:cs="Arial"/>
        </w:rPr>
        <w:t xml:space="preserve"> legal principles </w:t>
      </w:r>
      <w:r w:rsidR="00A002C0">
        <w:rPr>
          <w:rFonts w:ascii="Arial" w:hAnsi="Arial" w:cs="Arial"/>
        </w:rPr>
        <w:t xml:space="preserve">and legislation </w:t>
      </w:r>
      <w:r w:rsidR="00E86149">
        <w:rPr>
          <w:rFonts w:ascii="Arial" w:hAnsi="Arial" w:cs="Arial"/>
        </w:rPr>
        <w:t xml:space="preserve">informed by our </w:t>
      </w:r>
      <w:r w:rsidR="006A4633">
        <w:rPr>
          <w:rFonts w:ascii="Arial" w:hAnsi="Arial" w:cs="Arial"/>
        </w:rPr>
        <w:t xml:space="preserve">Bill of Rights. </w:t>
      </w:r>
    </w:p>
    <w:p w:rsidR="00250AC1" w:rsidRDefault="00250AC1" w:rsidP="009E5B38">
      <w:pPr>
        <w:pStyle w:val="ListParagraph"/>
        <w:spacing w:line="360" w:lineRule="auto"/>
        <w:ind w:left="360"/>
        <w:rPr>
          <w:rFonts w:ascii="Arial" w:hAnsi="Arial" w:cs="Arial"/>
        </w:rPr>
      </w:pPr>
    </w:p>
    <w:p w:rsidR="00CA3A8E" w:rsidRPr="009E5B38" w:rsidRDefault="00EF24AB" w:rsidP="009E5B38">
      <w:pPr>
        <w:pStyle w:val="ListParagraph"/>
        <w:spacing w:line="360" w:lineRule="auto"/>
        <w:ind w:left="360"/>
        <w:rPr>
          <w:rFonts w:ascii="Arial" w:hAnsi="Arial" w:cs="Arial"/>
          <w:b/>
        </w:rPr>
      </w:pPr>
      <w:r>
        <w:rPr>
          <w:rFonts w:ascii="Arial" w:hAnsi="Arial" w:cs="Arial"/>
        </w:rPr>
        <w:t xml:space="preserve">The difficulty </w:t>
      </w:r>
      <w:r w:rsidR="00EA37EB">
        <w:rPr>
          <w:rFonts w:ascii="Arial" w:hAnsi="Arial" w:cs="Arial"/>
        </w:rPr>
        <w:t>is that some</w:t>
      </w:r>
      <w:r>
        <w:rPr>
          <w:rFonts w:ascii="Arial" w:hAnsi="Arial" w:cs="Arial"/>
        </w:rPr>
        <w:t xml:space="preserve"> legal </w:t>
      </w:r>
      <w:r w:rsidR="008264BF">
        <w:rPr>
          <w:rFonts w:ascii="Arial" w:hAnsi="Arial" w:cs="Arial"/>
        </w:rPr>
        <w:t>principles</w:t>
      </w:r>
      <w:r w:rsidR="00F27B74">
        <w:rPr>
          <w:rFonts w:ascii="Arial" w:hAnsi="Arial" w:cs="Arial"/>
        </w:rPr>
        <w:t xml:space="preserve"> </w:t>
      </w:r>
      <w:r w:rsidR="007446B5">
        <w:rPr>
          <w:rFonts w:ascii="Arial" w:hAnsi="Arial" w:cs="Arial"/>
        </w:rPr>
        <w:t xml:space="preserve">are unlikely to have </w:t>
      </w:r>
      <w:r w:rsidR="00F27B74">
        <w:rPr>
          <w:rFonts w:ascii="Arial" w:hAnsi="Arial" w:cs="Arial"/>
        </w:rPr>
        <w:t>comprehen</w:t>
      </w:r>
      <w:r>
        <w:rPr>
          <w:rFonts w:ascii="Arial" w:hAnsi="Arial" w:cs="Arial"/>
        </w:rPr>
        <w:t>d</w:t>
      </w:r>
      <w:r w:rsidR="00EA37EB">
        <w:rPr>
          <w:rFonts w:ascii="Arial" w:hAnsi="Arial" w:cs="Arial"/>
        </w:rPr>
        <w:t>ed</w:t>
      </w:r>
      <w:r>
        <w:rPr>
          <w:rFonts w:ascii="Arial" w:hAnsi="Arial" w:cs="Arial"/>
        </w:rPr>
        <w:t xml:space="preserve"> </w:t>
      </w:r>
      <w:r w:rsidR="009226C4">
        <w:rPr>
          <w:rFonts w:ascii="Arial" w:hAnsi="Arial" w:cs="Arial"/>
        </w:rPr>
        <w:t>the</w:t>
      </w:r>
      <w:r w:rsidR="00A002C0">
        <w:rPr>
          <w:rFonts w:ascii="Arial" w:hAnsi="Arial" w:cs="Arial"/>
        </w:rPr>
        <w:t xml:space="preserve"> </w:t>
      </w:r>
      <w:r w:rsidR="009226C4">
        <w:rPr>
          <w:rFonts w:ascii="Arial" w:hAnsi="Arial" w:cs="Arial"/>
        </w:rPr>
        <w:t>type of situatio</w:t>
      </w:r>
      <w:r w:rsidR="00A002C0">
        <w:rPr>
          <w:rFonts w:ascii="Arial" w:hAnsi="Arial" w:cs="Arial"/>
        </w:rPr>
        <w:t>ns</w:t>
      </w:r>
      <w:r w:rsidR="00F27B74">
        <w:rPr>
          <w:rFonts w:ascii="Arial" w:hAnsi="Arial" w:cs="Arial"/>
        </w:rPr>
        <w:t xml:space="preserve"> </w:t>
      </w:r>
      <w:r w:rsidR="00EA37EB">
        <w:rPr>
          <w:rFonts w:ascii="Arial" w:hAnsi="Arial" w:cs="Arial"/>
        </w:rPr>
        <w:t xml:space="preserve">which </w:t>
      </w:r>
      <w:r w:rsidR="00CA3A8E">
        <w:rPr>
          <w:rFonts w:ascii="Arial" w:hAnsi="Arial" w:cs="Arial"/>
        </w:rPr>
        <w:t>are being encountered</w:t>
      </w:r>
      <w:r w:rsidR="00997F53">
        <w:rPr>
          <w:rFonts w:ascii="Arial" w:hAnsi="Arial" w:cs="Arial"/>
        </w:rPr>
        <w:t xml:space="preserve">. </w:t>
      </w:r>
      <w:r w:rsidR="00250AC1">
        <w:rPr>
          <w:rFonts w:ascii="Arial" w:hAnsi="Arial" w:cs="Arial"/>
        </w:rPr>
        <w:t>However some observations are apposite with regard to legislation</w:t>
      </w:r>
      <w:r w:rsidR="009E5B38">
        <w:rPr>
          <w:rFonts w:ascii="Arial" w:hAnsi="Arial" w:cs="Arial"/>
        </w:rPr>
        <w:t>.</w:t>
      </w:r>
    </w:p>
    <w:p w:rsidR="009C7E27" w:rsidRDefault="009C7E27" w:rsidP="00A002C0">
      <w:pPr>
        <w:pStyle w:val="ListParagraph"/>
        <w:spacing w:line="360" w:lineRule="auto"/>
        <w:ind w:left="360"/>
        <w:rPr>
          <w:rFonts w:ascii="Arial" w:hAnsi="Arial" w:cs="Arial"/>
        </w:rPr>
      </w:pPr>
    </w:p>
    <w:p w:rsidR="00AD0DAF" w:rsidRDefault="00AD0DAF" w:rsidP="009C7E27">
      <w:pPr>
        <w:pStyle w:val="ListParagraph"/>
        <w:spacing w:line="360" w:lineRule="auto"/>
        <w:ind w:left="0"/>
        <w:rPr>
          <w:rFonts w:ascii="Arial" w:hAnsi="Arial" w:cs="Arial"/>
          <w:b/>
        </w:rPr>
      </w:pPr>
    </w:p>
    <w:p w:rsidR="009C7E27" w:rsidRDefault="009C7E27" w:rsidP="009C7E27">
      <w:pPr>
        <w:pStyle w:val="ListParagraph"/>
        <w:spacing w:line="360" w:lineRule="auto"/>
        <w:ind w:left="0"/>
        <w:rPr>
          <w:rFonts w:ascii="Arial" w:hAnsi="Arial" w:cs="Arial"/>
          <w:b/>
        </w:rPr>
      </w:pPr>
      <w:r>
        <w:rPr>
          <w:rFonts w:ascii="Arial" w:hAnsi="Arial" w:cs="Arial"/>
          <w:b/>
        </w:rPr>
        <w:t>Legislation</w:t>
      </w:r>
    </w:p>
    <w:p w:rsidR="009C7E27" w:rsidRPr="009C7E27" w:rsidRDefault="009C7E27" w:rsidP="009C7E27">
      <w:pPr>
        <w:pStyle w:val="ListParagraph"/>
        <w:spacing w:line="360" w:lineRule="auto"/>
        <w:ind w:left="0"/>
        <w:rPr>
          <w:rFonts w:ascii="Arial" w:hAnsi="Arial" w:cs="Arial"/>
          <w:b/>
        </w:rPr>
      </w:pPr>
    </w:p>
    <w:p w:rsidR="00A02883" w:rsidRDefault="00A002C0" w:rsidP="00AF22DC">
      <w:pPr>
        <w:pStyle w:val="ListParagraph"/>
        <w:numPr>
          <w:ilvl w:val="0"/>
          <w:numId w:val="3"/>
        </w:numPr>
        <w:spacing w:line="360" w:lineRule="auto"/>
        <w:rPr>
          <w:rFonts w:ascii="Arial" w:hAnsi="Arial" w:cs="Arial"/>
        </w:rPr>
      </w:pPr>
      <w:r>
        <w:rPr>
          <w:rFonts w:ascii="Arial" w:hAnsi="Arial" w:cs="Arial"/>
        </w:rPr>
        <w:t xml:space="preserve">The </w:t>
      </w:r>
      <w:r w:rsidR="008264BF">
        <w:rPr>
          <w:rFonts w:ascii="Arial" w:hAnsi="Arial" w:cs="Arial"/>
        </w:rPr>
        <w:t>legislature</w:t>
      </w:r>
      <w:r w:rsidR="00EF24AB">
        <w:rPr>
          <w:rFonts w:ascii="Arial" w:hAnsi="Arial" w:cs="Arial"/>
        </w:rPr>
        <w:t xml:space="preserve"> is </w:t>
      </w:r>
      <w:r w:rsidR="008264BF">
        <w:rPr>
          <w:rFonts w:ascii="Arial" w:hAnsi="Arial" w:cs="Arial"/>
        </w:rPr>
        <w:t>responsible</w:t>
      </w:r>
      <w:r w:rsidR="00CA3A8E">
        <w:rPr>
          <w:rFonts w:ascii="Arial" w:hAnsi="Arial" w:cs="Arial"/>
        </w:rPr>
        <w:t xml:space="preserve"> for fashioning laws</w:t>
      </w:r>
      <w:r w:rsidR="00EF24AB">
        <w:rPr>
          <w:rFonts w:ascii="Arial" w:hAnsi="Arial" w:cs="Arial"/>
        </w:rPr>
        <w:t xml:space="preserve"> which </w:t>
      </w:r>
      <w:r w:rsidR="00CA3A8E">
        <w:rPr>
          <w:rFonts w:ascii="Arial" w:hAnsi="Arial" w:cs="Arial"/>
        </w:rPr>
        <w:t>implement</w:t>
      </w:r>
      <w:r w:rsidR="00EF24AB">
        <w:rPr>
          <w:rFonts w:ascii="Arial" w:hAnsi="Arial" w:cs="Arial"/>
        </w:rPr>
        <w:t xml:space="preserve"> </w:t>
      </w:r>
      <w:r w:rsidR="008264BF">
        <w:rPr>
          <w:rFonts w:ascii="Arial" w:hAnsi="Arial" w:cs="Arial"/>
        </w:rPr>
        <w:t>national policy</w:t>
      </w:r>
      <w:r w:rsidR="00CA3A8E">
        <w:rPr>
          <w:rFonts w:ascii="Arial" w:hAnsi="Arial" w:cs="Arial"/>
        </w:rPr>
        <w:t>. The c</w:t>
      </w:r>
      <w:r w:rsidR="008264BF">
        <w:rPr>
          <w:rFonts w:ascii="Arial" w:hAnsi="Arial" w:cs="Arial"/>
        </w:rPr>
        <w:t>ourts</w:t>
      </w:r>
      <w:r w:rsidR="00250AC1">
        <w:rPr>
          <w:rFonts w:ascii="Arial" w:hAnsi="Arial" w:cs="Arial"/>
        </w:rPr>
        <w:t>’</w:t>
      </w:r>
      <w:r w:rsidR="008264BF">
        <w:rPr>
          <w:rFonts w:ascii="Arial" w:hAnsi="Arial" w:cs="Arial"/>
        </w:rPr>
        <w:t xml:space="preserve"> re</w:t>
      </w:r>
      <w:r w:rsidR="00EF24AB">
        <w:rPr>
          <w:rFonts w:ascii="Arial" w:hAnsi="Arial" w:cs="Arial"/>
        </w:rPr>
        <w:t>s</w:t>
      </w:r>
      <w:r w:rsidR="008264BF">
        <w:rPr>
          <w:rFonts w:ascii="Arial" w:hAnsi="Arial" w:cs="Arial"/>
        </w:rPr>
        <w:t>p</w:t>
      </w:r>
      <w:r w:rsidR="00EF24AB">
        <w:rPr>
          <w:rFonts w:ascii="Arial" w:hAnsi="Arial" w:cs="Arial"/>
        </w:rPr>
        <w:t>on</w:t>
      </w:r>
      <w:r w:rsidR="008264BF">
        <w:rPr>
          <w:rFonts w:ascii="Arial" w:hAnsi="Arial" w:cs="Arial"/>
        </w:rPr>
        <w:t>si</w:t>
      </w:r>
      <w:r w:rsidR="00EF24AB">
        <w:rPr>
          <w:rFonts w:ascii="Arial" w:hAnsi="Arial" w:cs="Arial"/>
        </w:rPr>
        <w:t>bili</w:t>
      </w:r>
      <w:r w:rsidR="008264BF">
        <w:rPr>
          <w:rFonts w:ascii="Arial" w:hAnsi="Arial" w:cs="Arial"/>
        </w:rPr>
        <w:t>t</w:t>
      </w:r>
      <w:r w:rsidR="00CA3A8E">
        <w:rPr>
          <w:rFonts w:ascii="Arial" w:hAnsi="Arial" w:cs="Arial"/>
        </w:rPr>
        <w:t>y</w:t>
      </w:r>
      <w:r w:rsidR="00EF24AB">
        <w:rPr>
          <w:rFonts w:ascii="Arial" w:hAnsi="Arial" w:cs="Arial"/>
        </w:rPr>
        <w:t xml:space="preserve"> when called on to do </w:t>
      </w:r>
      <w:r w:rsidR="008264BF">
        <w:rPr>
          <w:rFonts w:ascii="Arial" w:hAnsi="Arial" w:cs="Arial"/>
        </w:rPr>
        <w:t>so</w:t>
      </w:r>
      <w:r w:rsidR="00EF24AB">
        <w:rPr>
          <w:rFonts w:ascii="Arial" w:hAnsi="Arial" w:cs="Arial"/>
        </w:rPr>
        <w:t xml:space="preserve">, is to </w:t>
      </w:r>
      <w:r w:rsidR="00C04825">
        <w:rPr>
          <w:rFonts w:ascii="Arial" w:hAnsi="Arial" w:cs="Arial"/>
        </w:rPr>
        <w:t>subject</w:t>
      </w:r>
      <w:r w:rsidR="00CA3A8E">
        <w:rPr>
          <w:rFonts w:ascii="Arial" w:hAnsi="Arial" w:cs="Arial"/>
        </w:rPr>
        <w:t xml:space="preserve"> </w:t>
      </w:r>
      <w:r w:rsidR="005C2C6D">
        <w:rPr>
          <w:rFonts w:ascii="Arial" w:hAnsi="Arial" w:cs="Arial"/>
        </w:rPr>
        <w:t>legislation to</w:t>
      </w:r>
      <w:r w:rsidR="00C04825">
        <w:rPr>
          <w:rFonts w:ascii="Arial" w:hAnsi="Arial" w:cs="Arial"/>
        </w:rPr>
        <w:t xml:space="preserve"> </w:t>
      </w:r>
      <w:r w:rsidR="00EF24AB">
        <w:rPr>
          <w:rFonts w:ascii="Arial" w:hAnsi="Arial" w:cs="Arial"/>
        </w:rPr>
        <w:t>Constitution</w:t>
      </w:r>
      <w:r w:rsidR="00C04825">
        <w:rPr>
          <w:rFonts w:ascii="Arial" w:hAnsi="Arial" w:cs="Arial"/>
        </w:rPr>
        <w:t xml:space="preserve">al scrutiny. </w:t>
      </w:r>
      <w:r w:rsidR="00CA3A8E">
        <w:rPr>
          <w:rFonts w:ascii="Arial" w:hAnsi="Arial" w:cs="Arial"/>
        </w:rPr>
        <w:t xml:space="preserve">Unfortunately </w:t>
      </w:r>
      <w:r>
        <w:rPr>
          <w:rFonts w:ascii="Arial" w:hAnsi="Arial" w:cs="Arial"/>
        </w:rPr>
        <w:t xml:space="preserve">the legislature has been slow to </w:t>
      </w:r>
      <w:r w:rsidR="009C7E27">
        <w:rPr>
          <w:rFonts w:ascii="Arial" w:hAnsi="Arial" w:cs="Arial"/>
        </w:rPr>
        <w:t xml:space="preserve">clarify its objectives in </w:t>
      </w:r>
      <w:r>
        <w:rPr>
          <w:rFonts w:ascii="Arial" w:hAnsi="Arial" w:cs="Arial"/>
        </w:rPr>
        <w:t xml:space="preserve">a number </w:t>
      </w:r>
      <w:r w:rsidR="00414487">
        <w:rPr>
          <w:rFonts w:ascii="Arial" w:hAnsi="Arial" w:cs="Arial"/>
        </w:rPr>
        <w:t xml:space="preserve">of </w:t>
      </w:r>
      <w:r w:rsidR="009C7E27">
        <w:rPr>
          <w:rFonts w:ascii="Arial" w:hAnsi="Arial" w:cs="Arial"/>
        </w:rPr>
        <w:t xml:space="preserve">important </w:t>
      </w:r>
      <w:r w:rsidR="00414487">
        <w:rPr>
          <w:rFonts w:ascii="Arial" w:hAnsi="Arial" w:cs="Arial"/>
        </w:rPr>
        <w:t xml:space="preserve">statutes. This has </w:t>
      </w:r>
      <w:r w:rsidR="008264BF">
        <w:rPr>
          <w:rFonts w:ascii="Arial" w:hAnsi="Arial" w:cs="Arial"/>
        </w:rPr>
        <w:t>resulted in courts</w:t>
      </w:r>
      <w:r w:rsidR="00414487">
        <w:rPr>
          <w:rFonts w:ascii="Arial" w:hAnsi="Arial" w:cs="Arial"/>
        </w:rPr>
        <w:t xml:space="preserve"> being called on to make sense, through a process of interpretation, </w:t>
      </w:r>
      <w:r w:rsidR="008264BF">
        <w:rPr>
          <w:rFonts w:ascii="Arial" w:hAnsi="Arial" w:cs="Arial"/>
        </w:rPr>
        <w:t>of what</w:t>
      </w:r>
      <w:r w:rsidR="00414487">
        <w:rPr>
          <w:rFonts w:ascii="Arial" w:hAnsi="Arial" w:cs="Arial"/>
        </w:rPr>
        <w:t xml:space="preserve"> </w:t>
      </w:r>
      <w:r w:rsidR="00EE1123">
        <w:rPr>
          <w:rFonts w:ascii="Arial" w:hAnsi="Arial" w:cs="Arial"/>
        </w:rPr>
        <w:t>should</w:t>
      </w:r>
      <w:r w:rsidR="00414487">
        <w:rPr>
          <w:rFonts w:ascii="Arial" w:hAnsi="Arial" w:cs="Arial"/>
        </w:rPr>
        <w:t xml:space="preserve"> have been more clearly formulated by </w:t>
      </w:r>
      <w:r w:rsidR="00CA3A8E">
        <w:rPr>
          <w:rFonts w:ascii="Arial" w:hAnsi="Arial" w:cs="Arial"/>
        </w:rPr>
        <w:t>Parliament</w:t>
      </w:r>
      <w:r w:rsidR="009C7E27">
        <w:rPr>
          <w:rFonts w:ascii="Arial" w:hAnsi="Arial" w:cs="Arial"/>
        </w:rPr>
        <w:t>.</w:t>
      </w:r>
      <w:r w:rsidR="00C04825">
        <w:rPr>
          <w:rStyle w:val="FootnoteReference"/>
          <w:rFonts w:ascii="Arial" w:hAnsi="Arial" w:cs="Arial"/>
        </w:rPr>
        <w:footnoteReference w:id="35"/>
      </w:r>
      <w:r w:rsidR="00C04825">
        <w:rPr>
          <w:rFonts w:ascii="Arial" w:hAnsi="Arial" w:cs="Arial"/>
        </w:rPr>
        <w:t xml:space="preserve"> </w:t>
      </w:r>
    </w:p>
    <w:p w:rsidR="00A02883" w:rsidRDefault="00A02883" w:rsidP="00A002C0">
      <w:pPr>
        <w:pStyle w:val="ListParagraph"/>
        <w:spacing w:line="360" w:lineRule="auto"/>
        <w:ind w:left="360"/>
        <w:rPr>
          <w:rFonts w:ascii="Arial" w:hAnsi="Arial" w:cs="Arial"/>
        </w:rPr>
      </w:pPr>
    </w:p>
    <w:p w:rsidR="00AD0DAF" w:rsidRDefault="00C04825" w:rsidP="00CA3A8E">
      <w:pPr>
        <w:pStyle w:val="ListParagraph"/>
        <w:spacing w:line="360" w:lineRule="auto"/>
        <w:ind w:left="360"/>
        <w:rPr>
          <w:rFonts w:ascii="Arial" w:hAnsi="Arial" w:cs="Arial"/>
        </w:rPr>
      </w:pPr>
      <w:r>
        <w:rPr>
          <w:rFonts w:ascii="Arial" w:hAnsi="Arial" w:cs="Arial"/>
        </w:rPr>
        <w:t>The</w:t>
      </w:r>
      <w:r w:rsidR="00196057">
        <w:rPr>
          <w:rFonts w:ascii="Arial" w:hAnsi="Arial" w:cs="Arial"/>
        </w:rPr>
        <w:t>re has also been a</w:t>
      </w:r>
      <w:r>
        <w:rPr>
          <w:rFonts w:ascii="Arial" w:hAnsi="Arial" w:cs="Arial"/>
        </w:rPr>
        <w:t xml:space="preserve"> </w:t>
      </w:r>
      <w:r w:rsidR="008264BF">
        <w:rPr>
          <w:rFonts w:ascii="Arial" w:hAnsi="Arial" w:cs="Arial"/>
        </w:rPr>
        <w:t>failure</w:t>
      </w:r>
      <w:r>
        <w:rPr>
          <w:rFonts w:ascii="Arial" w:hAnsi="Arial" w:cs="Arial"/>
        </w:rPr>
        <w:t xml:space="preserve"> to effect remedial legislation despite </w:t>
      </w:r>
      <w:r w:rsidR="00EE193D">
        <w:rPr>
          <w:rFonts w:ascii="Arial" w:hAnsi="Arial" w:cs="Arial"/>
        </w:rPr>
        <w:t xml:space="preserve">Parliament </w:t>
      </w:r>
      <w:r>
        <w:rPr>
          <w:rFonts w:ascii="Arial" w:hAnsi="Arial" w:cs="Arial"/>
        </w:rPr>
        <w:lastRenderedPageBreak/>
        <w:t xml:space="preserve">being given </w:t>
      </w:r>
      <w:r w:rsidR="00196057">
        <w:rPr>
          <w:rFonts w:ascii="Arial" w:hAnsi="Arial" w:cs="Arial"/>
        </w:rPr>
        <w:t>t</w:t>
      </w:r>
      <w:r w:rsidR="00414487">
        <w:rPr>
          <w:rFonts w:ascii="Arial" w:hAnsi="Arial" w:cs="Arial"/>
        </w:rPr>
        <w:t xml:space="preserve">ime to do so.  </w:t>
      </w:r>
    </w:p>
    <w:p w:rsidR="00AD0DAF" w:rsidRDefault="00AD0DAF" w:rsidP="00CA3A8E">
      <w:pPr>
        <w:pStyle w:val="ListParagraph"/>
        <w:spacing w:line="360" w:lineRule="auto"/>
        <w:ind w:left="360"/>
        <w:rPr>
          <w:rFonts w:ascii="Arial" w:hAnsi="Arial" w:cs="Arial"/>
        </w:rPr>
      </w:pPr>
    </w:p>
    <w:p w:rsidR="00EE193D" w:rsidRPr="00EE193D" w:rsidRDefault="00414487" w:rsidP="00CA3A8E">
      <w:pPr>
        <w:pStyle w:val="ListParagraph"/>
        <w:spacing w:line="360" w:lineRule="auto"/>
        <w:ind w:left="360"/>
        <w:rPr>
          <w:rFonts w:ascii="Arial" w:hAnsi="Arial" w:cs="Arial"/>
          <w:b/>
        </w:rPr>
      </w:pPr>
      <w:r>
        <w:rPr>
          <w:rFonts w:ascii="Arial" w:hAnsi="Arial" w:cs="Arial"/>
        </w:rPr>
        <w:t xml:space="preserve">This arose in respect of land reform legislation where </w:t>
      </w:r>
      <w:r w:rsidR="00C04825">
        <w:rPr>
          <w:rFonts w:ascii="Arial" w:hAnsi="Arial" w:cs="Arial"/>
        </w:rPr>
        <w:t>the Constitutional Court</w:t>
      </w:r>
      <w:r w:rsidR="00354EC1">
        <w:rPr>
          <w:rFonts w:ascii="Arial" w:hAnsi="Arial" w:cs="Arial"/>
        </w:rPr>
        <w:t xml:space="preserve"> </w:t>
      </w:r>
      <w:r w:rsidR="00CB5922">
        <w:rPr>
          <w:rFonts w:ascii="Arial" w:hAnsi="Arial" w:cs="Arial"/>
        </w:rPr>
        <w:t>gave</w:t>
      </w:r>
      <w:r>
        <w:rPr>
          <w:rFonts w:ascii="Arial" w:hAnsi="Arial" w:cs="Arial"/>
        </w:rPr>
        <w:t xml:space="preserve"> Parliam</w:t>
      </w:r>
      <w:r w:rsidR="003468B1">
        <w:rPr>
          <w:rFonts w:ascii="Arial" w:hAnsi="Arial" w:cs="Arial"/>
        </w:rPr>
        <w:t>ent</w:t>
      </w:r>
      <w:r>
        <w:rPr>
          <w:rFonts w:ascii="Arial" w:hAnsi="Arial" w:cs="Arial"/>
        </w:rPr>
        <w:t xml:space="preserve"> two years to re-enact </w:t>
      </w:r>
      <w:r w:rsidR="008264BF">
        <w:rPr>
          <w:rFonts w:ascii="Arial" w:hAnsi="Arial" w:cs="Arial"/>
        </w:rPr>
        <w:t>the Restitution</w:t>
      </w:r>
      <w:r w:rsidR="005329B8">
        <w:rPr>
          <w:rFonts w:ascii="Arial" w:hAnsi="Arial" w:cs="Arial"/>
        </w:rPr>
        <w:t xml:space="preserve"> of Land Rights </w:t>
      </w:r>
      <w:r w:rsidR="0068407E">
        <w:rPr>
          <w:rFonts w:ascii="Arial" w:hAnsi="Arial" w:cs="Arial"/>
        </w:rPr>
        <w:t>Amendment Act</w:t>
      </w:r>
      <w:r w:rsidR="00EE1123">
        <w:rPr>
          <w:rFonts w:ascii="Arial" w:hAnsi="Arial" w:cs="Arial"/>
        </w:rPr>
        <w:t xml:space="preserve"> 15 of 2014</w:t>
      </w:r>
      <w:r w:rsidR="00EA37EB">
        <w:rPr>
          <w:rFonts w:ascii="Arial" w:hAnsi="Arial" w:cs="Arial"/>
        </w:rPr>
        <w:t xml:space="preserve">. </w:t>
      </w:r>
    </w:p>
    <w:p w:rsidR="00EE193D" w:rsidRDefault="00EE193D" w:rsidP="00CA3A8E">
      <w:pPr>
        <w:pStyle w:val="ListParagraph"/>
        <w:spacing w:line="360" w:lineRule="auto"/>
        <w:ind w:left="360"/>
        <w:rPr>
          <w:rFonts w:ascii="Arial" w:hAnsi="Arial" w:cs="Arial"/>
        </w:rPr>
      </w:pPr>
    </w:p>
    <w:p w:rsidR="007446B5" w:rsidRDefault="00E0009D" w:rsidP="00CA3A8E">
      <w:pPr>
        <w:pStyle w:val="ListParagraph"/>
        <w:spacing w:line="360" w:lineRule="auto"/>
        <w:ind w:left="360"/>
        <w:rPr>
          <w:rFonts w:ascii="Arial" w:hAnsi="Arial" w:cs="Arial"/>
        </w:rPr>
      </w:pPr>
      <w:r>
        <w:rPr>
          <w:rFonts w:ascii="Arial" w:hAnsi="Arial" w:cs="Arial"/>
        </w:rPr>
        <w:t xml:space="preserve">The failure to do so has </w:t>
      </w:r>
      <w:r w:rsidR="007446B5">
        <w:rPr>
          <w:rFonts w:ascii="Arial" w:hAnsi="Arial" w:cs="Arial"/>
        </w:rPr>
        <w:t xml:space="preserve">seen </w:t>
      </w:r>
      <w:r>
        <w:rPr>
          <w:rFonts w:ascii="Arial" w:hAnsi="Arial" w:cs="Arial"/>
        </w:rPr>
        <w:t xml:space="preserve">claimed land </w:t>
      </w:r>
      <w:r w:rsidR="00EE1123">
        <w:rPr>
          <w:rFonts w:ascii="Arial" w:hAnsi="Arial" w:cs="Arial"/>
        </w:rPr>
        <w:t xml:space="preserve">being unlawfully invaded with the consequence of </w:t>
      </w:r>
      <w:r w:rsidR="00354EC1">
        <w:rPr>
          <w:rFonts w:ascii="Arial" w:hAnsi="Arial" w:cs="Arial"/>
        </w:rPr>
        <w:t>adversely affect</w:t>
      </w:r>
      <w:r w:rsidR="00EE1123">
        <w:rPr>
          <w:rFonts w:ascii="Arial" w:hAnsi="Arial" w:cs="Arial"/>
        </w:rPr>
        <w:t>ing</w:t>
      </w:r>
      <w:r w:rsidR="00354EC1">
        <w:rPr>
          <w:rFonts w:ascii="Arial" w:hAnsi="Arial" w:cs="Arial"/>
        </w:rPr>
        <w:t xml:space="preserve"> the ability of claimants dispossessed of land under ap</w:t>
      </w:r>
      <w:r w:rsidR="00EE1123">
        <w:rPr>
          <w:rFonts w:ascii="Arial" w:hAnsi="Arial" w:cs="Arial"/>
        </w:rPr>
        <w:t>artheid</w:t>
      </w:r>
      <w:r w:rsidR="00354EC1">
        <w:rPr>
          <w:rFonts w:ascii="Arial" w:hAnsi="Arial" w:cs="Arial"/>
        </w:rPr>
        <w:t xml:space="preserve"> to </w:t>
      </w:r>
      <w:r w:rsidR="00EE1123">
        <w:rPr>
          <w:rFonts w:ascii="Arial" w:hAnsi="Arial" w:cs="Arial"/>
        </w:rPr>
        <w:t xml:space="preserve">reclaim </w:t>
      </w:r>
      <w:r w:rsidR="00354EC1">
        <w:rPr>
          <w:rFonts w:ascii="Arial" w:hAnsi="Arial" w:cs="Arial"/>
        </w:rPr>
        <w:t>ancestral land despite lodging claims for restoration as far back as 1998</w:t>
      </w:r>
      <w:r w:rsidR="00354EC1">
        <w:rPr>
          <w:rStyle w:val="FootnoteReference"/>
          <w:rFonts w:ascii="Arial" w:hAnsi="Arial" w:cs="Arial"/>
        </w:rPr>
        <w:footnoteReference w:id="36"/>
      </w:r>
      <w:r w:rsidR="00354EC1">
        <w:rPr>
          <w:rFonts w:ascii="Arial" w:hAnsi="Arial" w:cs="Arial"/>
        </w:rPr>
        <w:t>. I</w:t>
      </w:r>
      <w:r w:rsidR="0030658E">
        <w:rPr>
          <w:rFonts w:ascii="Arial" w:hAnsi="Arial" w:cs="Arial"/>
        </w:rPr>
        <w:t xml:space="preserve">f it is not possible to restore land to </w:t>
      </w:r>
      <w:r w:rsidR="002E22ED">
        <w:rPr>
          <w:rFonts w:ascii="Arial" w:hAnsi="Arial" w:cs="Arial"/>
        </w:rPr>
        <w:t xml:space="preserve">its </w:t>
      </w:r>
      <w:r w:rsidR="0030658E">
        <w:rPr>
          <w:rFonts w:ascii="Arial" w:hAnsi="Arial" w:cs="Arial"/>
        </w:rPr>
        <w:t xml:space="preserve">lawful claimants then the </w:t>
      </w:r>
      <w:r w:rsidR="00354EC1">
        <w:rPr>
          <w:rFonts w:ascii="Arial" w:hAnsi="Arial" w:cs="Arial"/>
          <w:i/>
        </w:rPr>
        <w:t xml:space="preserve">fiscus </w:t>
      </w:r>
      <w:r w:rsidR="0030658E">
        <w:rPr>
          <w:rFonts w:ascii="Arial" w:hAnsi="Arial" w:cs="Arial"/>
        </w:rPr>
        <w:t>has to find the money to pay out a jus</w:t>
      </w:r>
      <w:r w:rsidR="00AD0DAF">
        <w:rPr>
          <w:rFonts w:ascii="Arial" w:hAnsi="Arial" w:cs="Arial"/>
        </w:rPr>
        <w:t xml:space="preserve">t and equitable compensation </w:t>
      </w:r>
      <w:r w:rsidR="0030658E">
        <w:rPr>
          <w:rFonts w:ascii="Arial" w:hAnsi="Arial" w:cs="Arial"/>
        </w:rPr>
        <w:t xml:space="preserve">or </w:t>
      </w:r>
      <w:r w:rsidR="00EE1123">
        <w:rPr>
          <w:rFonts w:ascii="Arial" w:hAnsi="Arial" w:cs="Arial"/>
        </w:rPr>
        <w:t xml:space="preserve">to </w:t>
      </w:r>
      <w:r w:rsidR="0030658E">
        <w:rPr>
          <w:rFonts w:ascii="Arial" w:hAnsi="Arial" w:cs="Arial"/>
        </w:rPr>
        <w:t>procure alternative suitable land.</w:t>
      </w:r>
      <w:r w:rsidR="001B08D9">
        <w:rPr>
          <w:rStyle w:val="FootnoteReference"/>
          <w:rFonts w:ascii="Arial" w:hAnsi="Arial" w:cs="Arial"/>
        </w:rPr>
        <w:footnoteReference w:id="37"/>
      </w:r>
    </w:p>
    <w:p w:rsidR="00040853" w:rsidRDefault="00040853" w:rsidP="007E33D1">
      <w:pPr>
        <w:spacing w:line="360" w:lineRule="auto"/>
        <w:rPr>
          <w:rFonts w:ascii="Arial" w:hAnsi="Arial" w:cs="Arial"/>
          <w:b/>
        </w:rPr>
      </w:pPr>
    </w:p>
    <w:p w:rsidR="00AD0DAF" w:rsidRDefault="00AD0DAF" w:rsidP="007E33D1">
      <w:pPr>
        <w:spacing w:line="360" w:lineRule="auto"/>
        <w:rPr>
          <w:rFonts w:ascii="Arial" w:hAnsi="Arial" w:cs="Arial"/>
          <w:b/>
        </w:rPr>
      </w:pPr>
    </w:p>
    <w:p w:rsidR="007E33D1" w:rsidRPr="002C1886" w:rsidRDefault="002C1886" w:rsidP="007E33D1">
      <w:pPr>
        <w:spacing w:line="360" w:lineRule="auto"/>
        <w:rPr>
          <w:rFonts w:ascii="Arial" w:hAnsi="Arial" w:cs="Arial"/>
          <w:b/>
        </w:rPr>
      </w:pPr>
      <w:r>
        <w:rPr>
          <w:rFonts w:ascii="Arial" w:hAnsi="Arial" w:cs="Arial"/>
          <w:b/>
        </w:rPr>
        <w:t xml:space="preserve">THE </w:t>
      </w:r>
      <w:r w:rsidRPr="002C1886">
        <w:rPr>
          <w:rFonts w:ascii="Arial" w:hAnsi="Arial" w:cs="Arial"/>
          <w:b/>
        </w:rPr>
        <w:t>FIRST RESPONDENT GROUP</w:t>
      </w:r>
    </w:p>
    <w:p w:rsidR="000740E2" w:rsidRDefault="000740E2" w:rsidP="000740E2">
      <w:pPr>
        <w:pStyle w:val="ListParagraph"/>
        <w:spacing w:line="360" w:lineRule="auto"/>
        <w:ind w:left="360"/>
        <w:rPr>
          <w:rFonts w:ascii="Arial" w:hAnsi="Arial" w:cs="Arial"/>
        </w:rPr>
      </w:pPr>
    </w:p>
    <w:p w:rsidR="002C1886" w:rsidRPr="00871F86" w:rsidRDefault="005C2C6D" w:rsidP="002C1886">
      <w:pPr>
        <w:spacing w:line="360" w:lineRule="auto"/>
        <w:rPr>
          <w:rFonts w:ascii="Arial" w:hAnsi="Arial" w:cs="Arial"/>
          <w:b/>
        </w:rPr>
      </w:pPr>
      <w:r w:rsidRPr="00871F86">
        <w:rPr>
          <w:rFonts w:ascii="Arial" w:hAnsi="Arial" w:cs="Arial"/>
          <w:b/>
        </w:rPr>
        <w:t>T</w:t>
      </w:r>
      <w:r>
        <w:rPr>
          <w:rFonts w:ascii="Arial" w:hAnsi="Arial" w:cs="Arial"/>
          <w:b/>
        </w:rPr>
        <w:t>he application</w:t>
      </w:r>
      <w:r w:rsidR="002C1886" w:rsidRPr="00871F86">
        <w:rPr>
          <w:rFonts w:ascii="Arial" w:hAnsi="Arial" w:cs="Arial"/>
          <w:b/>
        </w:rPr>
        <w:t xml:space="preserve"> </w:t>
      </w:r>
    </w:p>
    <w:p w:rsidR="002C1886" w:rsidRPr="007E33D1" w:rsidRDefault="002C1886" w:rsidP="002C1886">
      <w:pPr>
        <w:spacing w:line="360" w:lineRule="auto"/>
        <w:rPr>
          <w:rFonts w:ascii="Arial" w:hAnsi="Arial" w:cs="Arial"/>
        </w:rPr>
      </w:pPr>
    </w:p>
    <w:p w:rsidR="002E22ED" w:rsidRDefault="005C2C6D" w:rsidP="00AF22DC">
      <w:pPr>
        <w:pStyle w:val="ListParagraph"/>
        <w:numPr>
          <w:ilvl w:val="0"/>
          <w:numId w:val="3"/>
        </w:numPr>
        <w:spacing w:line="360" w:lineRule="auto"/>
        <w:rPr>
          <w:rFonts w:ascii="Arial" w:hAnsi="Arial" w:cs="Arial"/>
        </w:rPr>
      </w:pPr>
      <w:r>
        <w:rPr>
          <w:rFonts w:ascii="Arial" w:hAnsi="Arial" w:cs="Arial"/>
        </w:rPr>
        <w:t xml:space="preserve"> </w:t>
      </w:r>
      <w:r w:rsidR="002E22ED" w:rsidRPr="00CE4950">
        <w:rPr>
          <w:rFonts w:ascii="Arial" w:hAnsi="Arial" w:cs="Arial"/>
        </w:rPr>
        <w:t xml:space="preserve">On 24 July 2019 the </w:t>
      </w:r>
      <w:r w:rsidR="000319F0">
        <w:rPr>
          <w:rFonts w:ascii="Arial" w:hAnsi="Arial" w:cs="Arial"/>
        </w:rPr>
        <w:t xml:space="preserve">Metro </w:t>
      </w:r>
      <w:r w:rsidR="002E22ED">
        <w:rPr>
          <w:rFonts w:ascii="Arial" w:hAnsi="Arial" w:cs="Arial"/>
        </w:rPr>
        <w:t>brought an urgent application</w:t>
      </w:r>
      <w:r w:rsidR="000319F0">
        <w:rPr>
          <w:rFonts w:ascii="Arial" w:hAnsi="Arial" w:cs="Arial"/>
        </w:rPr>
        <w:t>,</w:t>
      </w:r>
      <w:r w:rsidR="002E22ED">
        <w:rPr>
          <w:rFonts w:ascii="Arial" w:hAnsi="Arial" w:cs="Arial"/>
        </w:rPr>
        <w:t xml:space="preserve"> without notice</w:t>
      </w:r>
      <w:r w:rsidR="000319F0">
        <w:rPr>
          <w:rFonts w:ascii="Arial" w:hAnsi="Arial" w:cs="Arial"/>
        </w:rPr>
        <w:t>,</w:t>
      </w:r>
      <w:r w:rsidR="002E22ED">
        <w:rPr>
          <w:rFonts w:ascii="Arial" w:hAnsi="Arial" w:cs="Arial"/>
        </w:rPr>
        <w:t xml:space="preserve"> for the </w:t>
      </w:r>
      <w:r w:rsidR="00C46922">
        <w:rPr>
          <w:rFonts w:ascii="Arial" w:hAnsi="Arial" w:cs="Arial"/>
        </w:rPr>
        <w:t>grant o</w:t>
      </w:r>
      <w:r w:rsidR="002E22ED">
        <w:rPr>
          <w:rFonts w:ascii="Arial" w:hAnsi="Arial" w:cs="Arial"/>
        </w:rPr>
        <w:t xml:space="preserve">f a </w:t>
      </w:r>
      <w:r w:rsidR="002E22ED">
        <w:rPr>
          <w:rFonts w:ascii="Arial" w:hAnsi="Arial" w:cs="Arial"/>
          <w:i/>
        </w:rPr>
        <w:t xml:space="preserve">rule nisi </w:t>
      </w:r>
      <w:r w:rsidR="002E22ED">
        <w:rPr>
          <w:rFonts w:ascii="Arial" w:hAnsi="Arial" w:cs="Arial"/>
        </w:rPr>
        <w:t>to operate with immediate effect. It sought orders against the first respondent or “</w:t>
      </w:r>
      <w:r w:rsidR="002E22ED">
        <w:rPr>
          <w:rFonts w:ascii="Arial" w:hAnsi="Arial" w:cs="Arial"/>
          <w:i/>
        </w:rPr>
        <w:t>any other interested person/s or group/s”</w:t>
      </w:r>
      <w:r w:rsidR="002E22ED">
        <w:rPr>
          <w:rFonts w:ascii="Arial" w:hAnsi="Arial" w:cs="Arial"/>
        </w:rPr>
        <w:t>;</w:t>
      </w:r>
    </w:p>
    <w:p w:rsidR="002E22ED" w:rsidRDefault="002E22ED" w:rsidP="002E22ED">
      <w:pPr>
        <w:pStyle w:val="ListParagraph"/>
        <w:spacing w:line="360" w:lineRule="auto"/>
        <w:ind w:left="1080"/>
        <w:rPr>
          <w:rFonts w:ascii="Arial" w:hAnsi="Arial" w:cs="Arial"/>
        </w:rPr>
      </w:pPr>
    </w:p>
    <w:p w:rsidR="002E22ED" w:rsidRDefault="002E22ED" w:rsidP="00AD0DAF">
      <w:pPr>
        <w:pStyle w:val="ListParagraph"/>
        <w:numPr>
          <w:ilvl w:val="0"/>
          <w:numId w:val="16"/>
        </w:numPr>
        <w:spacing w:line="360" w:lineRule="auto"/>
        <w:rPr>
          <w:rFonts w:ascii="Arial" w:hAnsi="Arial" w:cs="Arial"/>
        </w:rPr>
      </w:pPr>
      <w:r>
        <w:rPr>
          <w:rFonts w:ascii="Arial" w:hAnsi="Arial" w:cs="Arial"/>
        </w:rPr>
        <w:lastRenderedPageBreak/>
        <w:t>interdicting them from “</w:t>
      </w:r>
      <w:r>
        <w:rPr>
          <w:rFonts w:ascii="Arial" w:hAnsi="Arial" w:cs="Arial"/>
          <w:i/>
        </w:rPr>
        <w:t xml:space="preserve">trespassing, invading, marking the structures and or settling on the complete or incomplete houses, slaps and vacant land” </w:t>
      </w:r>
      <w:r>
        <w:rPr>
          <w:rFonts w:ascii="Arial" w:hAnsi="Arial" w:cs="Arial"/>
        </w:rPr>
        <w:t>on the Farm Rietfontein 153 (</w:t>
      </w:r>
      <w:r w:rsidR="000774C7">
        <w:rPr>
          <w:rFonts w:ascii="Arial" w:hAnsi="Arial" w:cs="Arial"/>
        </w:rPr>
        <w:t>“</w:t>
      </w:r>
      <w:r w:rsidR="000774C7">
        <w:rPr>
          <w:rFonts w:ascii="Arial" w:hAnsi="Arial" w:cs="Arial"/>
          <w:i/>
        </w:rPr>
        <w:t>the d</w:t>
      </w:r>
      <w:r>
        <w:rPr>
          <w:rFonts w:ascii="Arial" w:hAnsi="Arial" w:cs="Arial"/>
          <w:i/>
        </w:rPr>
        <w:t>evelopment</w:t>
      </w:r>
      <w:r w:rsidR="000774C7">
        <w:rPr>
          <w:rFonts w:ascii="Arial" w:hAnsi="Arial" w:cs="Arial"/>
          <w:i/>
        </w:rPr>
        <w:t>”</w:t>
      </w:r>
      <w:r>
        <w:rPr>
          <w:rFonts w:ascii="Arial" w:hAnsi="Arial" w:cs="Arial"/>
        </w:rPr>
        <w:t>)</w:t>
      </w:r>
    </w:p>
    <w:p w:rsidR="002E22ED" w:rsidRDefault="002E22ED" w:rsidP="002E22ED">
      <w:pPr>
        <w:pStyle w:val="ListParagraph"/>
        <w:spacing w:line="360" w:lineRule="auto"/>
        <w:ind w:left="1080"/>
        <w:rPr>
          <w:rFonts w:ascii="Arial" w:hAnsi="Arial" w:cs="Arial"/>
        </w:rPr>
      </w:pPr>
    </w:p>
    <w:p w:rsidR="002E22ED" w:rsidRDefault="002E22ED" w:rsidP="00AD0DAF">
      <w:pPr>
        <w:pStyle w:val="ListParagraph"/>
        <w:numPr>
          <w:ilvl w:val="0"/>
          <w:numId w:val="16"/>
        </w:numPr>
        <w:spacing w:line="360" w:lineRule="auto"/>
        <w:rPr>
          <w:rFonts w:ascii="Arial" w:hAnsi="Arial" w:cs="Arial"/>
        </w:rPr>
      </w:pPr>
      <w:r>
        <w:rPr>
          <w:rFonts w:ascii="Arial" w:hAnsi="Arial" w:cs="Arial"/>
        </w:rPr>
        <w:t>interdicting them from intimidating, harassing, provoking or insulting the third to seventh respondents who are build</w:t>
      </w:r>
      <w:r w:rsidR="00040853">
        <w:rPr>
          <w:rFonts w:ascii="Arial" w:hAnsi="Arial" w:cs="Arial"/>
        </w:rPr>
        <w:t>ing contractors engaged at the d</w:t>
      </w:r>
      <w:r>
        <w:rPr>
          <w:rFonts w:ascii="Arial" w:hAnsi="Arial" w:cs="Arial"/>
        </w:rPr>
        <w:t>evelopment to construct in total</w:t>
      </w:r>
      <w:r w:rsidR="00C904EA">
        <w:rPr>
          <w:rFonts w:ascii="Arial" w:hAnsi="Arial" w:cs="Arial"/>
        </w:rPr>
        <w:t xml:space="preserve"> some 5670 houses of which 670 we</w:t>
      </w:r>
      <w:r>
        <w:rPr>
          <w:rFonts w:ascii="Arial" w:hAnsi="Arial" w:cs="Arial"/>
        </w:rPr>
        <w:t xml:space="preserve">re earmarked for </w:t>
      </w:r>
      <w:r w:rsidR="00040853">
        <w:rPr>
          <w:rFonts w:ascii="Arial" w:hAnsi="Arial" w:cs="Arial"/>
        </w:rPr>
        <w:t>MK</w:t>
      </w:r>
      <w:r w:rsidR="006F2895">
        <w:rPr>
          <w:rFonts w:ascii="Arial" w:hAnsi="Arial" w:cs="Arial"/>
        </w:rPr>
        <w:t xml:space="preserve"> V</w:t>
      </w:r>
      <w:r>
        <w:rPr>
          <w:rFonts w:ascii="Arial" w:hAnsi="Arial" w:cs="Arial"/>
        </w:rPr>
        <w:t>eterans</w:t>
      </w:r>
      <w:r w:rsidR="00C904EA">
        <w:rPr>
          <w:rFonts w:ascii="Arial" w:hAnsi="Arial" w:cs="Arial"/>
        </w:rPr>
        <w:t>.</w:t>
      </w:r>
      <w:r>
        <w:rPr>
          <w:rFonts w:ascii="Arial" w:hAnsi="Arial" w:cs="Arial"/>
        </w:rPr>
        <w:t xml:space="preserve"> </w:t>
      </w:r>
    </w:p>
    <w:p w:rsidR="002E22ED" w:rsidRPr="00035710" w:rsidRDefault="002E22ED" w:rsidP="002E22ED">
      <w:pPr>
        <w:spacing w:line="360" w:lineRule="auto"/>
        <w:rPr>
          <w:rFonts w:ascii="Arial" w:hAnsi="Arial" w:cs="Arial"/>
        </w:rPr>
      </w:pPr>
    </w:p>
    <w:p w:rsidR="002E22ED" w:rsidRDefault="002E22ED" w:rsidP="00AD0DAF">
      <w:pPr>
        <w:pStyle w:val="ListParagraph"/>
        <w:numPr>
          <w:ilvl w:val="0"/>
          <w:numId w:val="16"/>
        </w:numPr>
        <w:spacing w:line="360" w:lineRule="auto"/>
        <w:rPr>
          <w:rFonts w:ascii="Arial" w:hAnsi="Arial" w:cs="Arial"/>
        </w:rPr>
      </w:pPr>
      <w:r>
        <w:rPr>
          <w:rFonts w:ascii="Arial" w:hAnsi="Arial" w:cs="Arial"/>
        </w:rPr>
        <w:t xml:space="preserve">directing the removal of </w:t>
      </w:r>
      <w:r w:rsidR="00CF7AD9">
        <w:rPr>
          <w:rFonts w:ascii="Arial" w:hAnsi="Arial" w:cs="Arial"/>
        </w:rPr>
        <w:t>t</w:t>
      </w:r>
      <w:r>
        <w:rPr>
          <w:rFonts w:ascii="Arial" w:hAnsi="Arial" w:cs="Arial"/>
        </w:rPr>
        <w:t>heir markings on the houses and slaps and requiring them to remove their movable property from the sites, failing which the sheriff would be entitled to do so;</w:t>
      </w:r>
    </w:p>
    <w:p w:rsidR="002E22ED" w:rsidRPr="00D50855" w:rsidRDefault="002E22ED" w:rsidP="002E22ED">
      <w:pPr>
        <w:pStyle w:val="ListParagraph"/>
        <w:rPr>
          <w:rFonts w:ascii="Arial" w:hAnsi="Arial" w:cs="Arial"/>
        </w:rPr>
      </w:pPr>
    </w:p>
    <w:p w:rsidR="002E22ED" w:rsidRDefault="002E22ED" w:rsidP="00AF22DC">
      <w:pPr>
        <w:pStyle w:val="ListParagraph"/>
        <w:numPr>
          <w:ilvl w:val="0"/>
          <w:numId w:val="3"/>
        </w:numPr>
        <w:spacing w:line="360" w:lineRule="auto"/>
        <w:rPr>
          <w:rFonts w:ascii="Arial" w:hAnsi="Arial" w:cs="Arial"/>
        </w:rPr>
      </w:pPr>
      <w:r>
        <w:rPr>
          <w:rFonts w:ascii="Arial" w:hAnsi="Arial" w:cs="Arial"/>
        </w:rPr>
        <w:t>The Metro was unaware of the identities of those who</w:t>
      </w:r>
      <w:r w:rsidR="000319F0">
        <w:rPr>
          <w:rFonts w:ascii="Arial" w:hAnsi="Arial" w:cs="Arial"/>
        </w:rPr>
        <w:t xml:space="preserve"> were attempting to occupy the d</w:t>
      </w:r>
      <w:r>
        <w:rPr>
          <w:rFonts w:ascii="Arial" w:hAnsi="Arial" w:cs="Arial"/>
        </w:rPr>
        <w:t>evelopment and therefore;</w:t>
      </w:r>
    </w:p>
    <w:p w:rsidR="002E22ED" w:rsidRDefault="002E22ED" w:rsidP="002E22ED">
      <w:pPr>
        <w:pStyle w:val="ListParagraph"/>
        <w:spacing w:line="360" w:lineRule="auto"/>
        <w:ind w:left="360"/>
        <w:rPr>
          <w:rFonts w:ascii="Arial" w:hAnsi="Arial" w:cs="Arial"/>
        </w:rPr>
      </w:pPr>
    </w:p>
    <w:p w:rsidR="002E22ED" w:rsidRPr="00CF7AD9" w:rsidRDefault="002E22ED" w:rsidP="00AD0DAF">
      <w:pPr>
        <w:pStyle w:val="ListParagraph"/>
        <w:numPr>
          <w:ilvl w:val="0"/>
          <w:numId w:val="17"/>
        </w:numPr>
        <w:spacing w:line="360" w:lineRule="auto"/>
        <w:rPr>
          <w:rFonts w:ascii="Arial" w:hAnsi="Arial" w:cs="Arial"/>
          <w:i/>
        </w:rPr>
      </w:pPr>
      <w:r>
        <w:rPr>
          <w:rFonts w:ascii="Arial" w:hAnsi="Arial" w:cs="Arial"/>
        </w:rPr>
        <w:t xml:space="preserve">cited them as </w:t>
      </w:r>
      <w:r w:rsidRPr="009364BF">
        <w:rPr>
          <w:rFonts w:ascii="Arial" w:hAnsi="Arial" w:cs="Arial"/>
        </w:rPr>
        <w:t>“</w:t>
      </w:r>
      <w:r w:rsidRPr="009364BF">
        <w:rPr>
          <w:rFonts w:ascii="Arial" w:hAnsi="Arial" w:cs="Arial"/>
          <w:i/>
        </w:rPr>
        <w:t>The Unknown Individuals Trespassing and/or Attempting to Invade and/or Settle on the</w:t>
      </w:r>
      <w:r>
        <w:rPr>
          <w:rFonts w:ascii="Arial" w:hAnsi="Arial" w:cs="Arial"/>
          <w:i/>
        </w:rPr>
        <w:t xml:space="preserve"> </w:t>
      </w:r>
      <w:r w:rsidRPr="009364BF">
        <w:rPr>
          <w:rFonts w:ascii="Arial" w:hAnsi="Arial" w:cs="Arial"/>
          <w:i/>
        </w:rPr>
        <w:t>Immoveable Property described as Farm Rietfontein 153 (and also known as Palm Ridge Extensions 10, 18 to 30)”</w:t>
      </w:r>
      <w:r>
        <w:rPr>
          <w:rFonts w:ascii="Arial" w:hAnsi="Arial" w:cs="Arial"/>
        </w:rPr>
        <w:t>.</w:t>
      </w:r>
    </w:p>
    <w:p w:rsidR="002E22ED" w:rsidRPr="009364BF" w:rsidRDefault="002E22ED" w:rsidP="002E22ED">
      <w:pPr>
        <w:pStyle w:val="ListParagraph"/>
        <w:spacing w:line="360" w:lineRule="auto"/>
        <w:ind w:left="1080"/>
        <w:rPr>
          <w:rFonts w:ascii="Arial" w:hAnsi="Arial" w:cs="Arial"/>
          <w:i/>
        </w:rPr>
      </w:pPr>
    </w:p>
    <w:p w:rsidR="002E22ED" w:rsidRDefault="002E22ED" w:rsidP="00AD0DAF">
      <w:pPr>
        <w:pStyle w:val="ListParagraph"/>
        <w:numPr>
          <w:ilvl w:val="0"/>
          <w:numId w:val="17"/>
        </w:numPr>
        <w:spacing w:line="360" w:lineRule="auto"/>
        <w:rPr>
          <w:rFonts w:ascii="Arial" w:hAnsi="Arial" w:cs="Arial"/>
        </w:rPr>
      </w:pPr>
      <w:r>
        <w:rPr>
          <w:rFonts w:ascii="Arial" w:hAnsi="Arial" w:cs="Arial"/>
        </w:rPr>
        <w:t xml:space="preserve">sought an </w:t>
      </w:r>
      <w:r w:rsidRPr="009364BF">
        <w:rPr>
          <w:rFonts w:ascii="Arial" w:hAnsi="Arial" w:cs="Arial"/>
        </w:rPr>
        <w:t xml:space="preserve">additional order in line with the procedure identified by the full court in </w:t>
      </w:r>
      <w:r w:rsidRPr="00C560B0">
        <w:rPr>
          <w:rFonts w:ascii="Arial" w:hAnsi="Arial" w:cs="Arial"/>
          <w:i/>
        </w:rPr>
        <w:t>Mtshali and others v Masawi and others</w:t>
      </w:r>
      <w:r w:rsidRPr="00C560B0">
        <w:rPr>
          <w:rFonts w:ascii="Arial" w:hAnsi="Arial" w:cs="Arial"/>
        </w:rPr>
        <w:t xml:space="preserve"> 2017</w:t>
      </w:r>
      <w:r w:rsidRPr="009364BF">
        <w:rPr>
          <w:rFonts w:ascii="Arial" w:hAnsi="Arial" w:cs="Arial"/>
        </w:rPr>
        <w:t xml:space="preserve"> (4) SA 632 (GJ) at para 201, requiring those </w:t>
      </w:r>
      <w:r>
        <w:rPr>
          <w:rFonts w:ascii="Arial" w:hAnsi="Arial" w:cs="Arial"/>
        </w:rPr>
        <w:t xml:space="preserve">who </w:t>
      </w:r>
      <w:r w:rsidRPr="009364BF">
        <w:rPr>
          <w:rFonts w:ascii="Arial" w:hAnsi="Arial" w:cs="Arial"/>
        </w:rPr>
        <w:t>intend</w:t>
      </w:r>
      <w:r>
        <w:rPr>
          <w:rFonts w:ascii="Arial" w:hAnsi="Arial" w:cs="Arial"/>
        </w:rPr>
        <w:t>ed</w:t>
      </w:r>
      <w:r w:rsidRPr="009364BF">
        <w:rPr>
          <w:rFonts w:ascii="Arial" w:hAnsi="Arial" w:cs="Arial"/>
        </w:rPr>
        <w:t xml:space="preserve"> oppos</w:t>
      </w:r>
      <w:r>
        <w:rPr>
          <w:rFonts w:ascii="Arial" w:hAnsi="Arial" w:cs="Arial"/>
        </w:rPr>
        <w:t>ing</w:t>
      </w:r>
      <w:r w:rsidRPr="009364BF">
        <w:rPr>
          <w:rFonts w:ascii="Arial" w:hAnsi="Arial" w:cs="Arial"/>
        </w:rPr>
        <w:t xml:space="preserve"> the application to</w:t>
      </w:r>
      <w:r>
        <w:rPr>
          <w:rFonts w:ascii="Arial" w:hAnsi="Arial" w:cs="Arial"/>
        </w:rPr>
        <w:t xml:space="preserve"> </w:t>
      </w:r>
      <w:r w:rsidRPr="009364BF">
        <w:rPr>
          <w:rFonts w:ascii="Arial" w:hAnsi="Arial" w:cs="Arial"/>
        </w:rPr>
        <w:t xml:space="preserve">identify themselves </w:t>
      </w:r>
      <w:r>
        <w:rPr>
          <w:rFonts w:ascii="Arial" w:hAnsi="Arial" w:cs="Arial"/>
        </w:rPr>
        <w:t>by name and physical address;</w:t>
      </w:r>
    </w:p>
    <w:p w:rsidR="002E22ED" w:rsidRDefault="002E22ED" w:rsidP="002E22ED">
      <w:pPr>
        <w:pStyle w:val="ListParagraph"/>
        <w:spacing w:line="360" w:lineRule="auto"/>
        <w:ind w:left="1080"/>
        <w:rPr>
          <w:rFonts w:ascii="Arial" w:hAnsi="Arial" w:cs="Arial"/>
        </w:rPr>
      </w:pPr>
    </w:p>
    <w:p w:rsidR="002E22ED" w:rsidRPr="001A07E3" w:rsidRDefault="002E22ED" w:rsidP="002E22ED">
      <w:pPr>
        <w:spacing w:line="360" w:lineRule="auto"/>
        <w:ind w:left="720"/>
        <w:rPr>
          <w:rFonts w:ascii="Arial" w:hAnsi="Arial" w:cs="Arial"/>
        </w:rPr>
      </w:pPr>
      <w:r>
        <w:rPr>
          <w:rFonts w:ascii="Arial" w:hAnsi="Arial" w:cs="Arial"/>
        </w:rPr>
        <w:t>Th</w:t>
      </w:r>
      <w:r w:rsidRPr="001A07E3">
        <w:rPr>
          <w:rFonts w:ascii="Arial" w:hAnsi="Arial" w:cs="Arial"/>
        </w:rPr>
        <w:t xml:space="preserve">e applicant also sought an order which would automatically result in the joinder of any person who so identified himself or herself. </w:t>
      </w:r>
    </w:p>
    <w:p w:rsidR="002E22ED" w:rsidRPr="00046CEC" w:rsidRDefault="002E22ED" w:rsidP="002E22ED">
      <w:pPr>
        <w:pStyle w:val="ListParagraph"/>
        <w:spacing w:line="360" w:lineRule="auto"/>
        <w:ind w:left="360"/>
        <w:rPr>
          <w:rFonts w:ascii="Arial" w:hAnsi="Arial" w:cs="Arial"/>
        </w:rPr>
      </w:pPr>
    </w:p>
    <w:p w:rsidR="002E22ED" w:rsidRDefault="002E22ED" w:rsidP="00AF22DC">
      <w:pPr>
        <w:pStyle w:val="ListParagraph"/>
        <w:numPr>
          <w:ilvl w:val="0"/>
          <w:numId w:val="3"/>
        </w:numPr>
        <w:spacing w:line="360" w:lineRule="auto"/>
        <w:rPr>
          <w:rFonts w:ascii="Arial" w:hAnsi="Arial" w:cs="Arial"/>
        </w:rPr>
      </w:pPr>
      <w:r>
        <w:rPr>
          <w:rFonts w:ascii="Arial" w:hAnsi="Arial" w:cs="Arial"/>
        </w:rPr>
        <w:t xml:space="preserve">In </w:t>
      </w:r>
      <w:r w:rsidR="00DA411B">
        <w:rPr>
          <w:rFonts w:ascii="Arial" w:hAnsi="Arial" w:cs="Arial"/>
        </w:rPr>
        <w:t>addition,</w:t>
      </w:r>
      <w:r>
        <w:rPr>
          <w:rFonts w:ascii="Arial" w:hAnsi="Arial" w:cs="Arial"/>
        </w:rPr>
        <w:t xml:space="preserve"> the Metro applied for an order d</w:t>
      </w:r>
      <w:r w:rsidRPr="00CF4BC6">
        <w:rPr>
          <w:rFonts w:ascii="Arial" w:hAnsi="Arial" w:cs="Arial"/>
        </w:rPr>
        <w:t>irect</w:t>
      </w:r>
      <w:r>
        <w:rPr>
          <w:rFonts w:ascii="Arial" w:hAnsi="Arial" w:cs="Arial"/>
        </w:rPr>
        <w:t>ing</w:t>
      </w:r>
      <w:r w:rsidRPr="00CF4BC6">
        <w:rPr>
          <w:rFonts w:ascii="Arial" w:hAnsi="Arial" w:cs="Arial"/>
        </w:rPr>
        <w:t xml:space="preserve"> the South African Police Services at Eden Park and the City of Ekurhuleni Metropolitan Police Department in G</w:t>
      </w:r>
      <w:r>
        <w:rPr>
          <w:rFonts w:ascii="Arial" w:hAnsi="Arial" w:cs="Arial"/>
        </w:rPr>
        <w:t>e</w:t>
      </w:r>
      <w:r w:rsidRPr="00CF4BC6">
        <w:rPr>
          <w:rFonts w:ascii="Arial" w:hAnsi="Arial" w:cs="Arial"/>
        </w:rPr>
        <w:t>r</w:t>
      </w:r>
      <w:r>
        <w:rPr>
          <w:rFonts w:ascii="Arial" w:hAnsi="Arial" w:cs="Arial"/>
        </w:rPr>
        <w:t>m</w:t>
      </w:r>
      <w:r w:rsidRPr="00CF4BC6">
        <w:rPr>
          <w:rFonts w:ascii="Arial" w:hAnsi="Arial" w:cs="Arial"/>
        </w:rPr>
        <w:t>iston (</w:t>
      </w:r>
      <w:r w:rsidRPr="00CF4BC6">
        <w:rPr>
          <w:rFonts w:ascii="Arial" w:hAnsi="Arial" w:cs="Arial"/>
          <w:i/>
        </w:rPr>
        <w:t>SAPS</w:t>
      </w:r>
      <w:r w:rsidRPr="00CF4BC6">
        <w:rPr>
          <w:rFonts w:ascii="Arial" w:hAnsi="Arial" w:cs="Arial"/>
        </w:rPr>
        <w:t xml:space="preserve"> and </w:t>
      </w:r>
      <w:r w:rsidRPr="00CF4BC6">
        <w:rPr>
          <w:rFonts w:ascii="Arial" w:hAnsi="Arial" w:cs="Arial"/>
          <w:i/>
        </w:rPr>
        <w:t>EMPD</w:t>
      </w:r>
      <w:r w:rsidRPr="00CF4BC6">
        <w:rPr>
          <w:rFonts w:ascii="Arial" w:hAnsi="Arial" w:cs="Arial"/>
        </w:rPr>
        <w:t xml:space="preserve">) to prevent </w:t>
      </w:r>
      <w:r>
        <w:rPr>
          <w:rFonts w:ascii="Arial" w:hAnsi="Arial" w:cs="Arial"/>
        </w:rPr>
        <w:t xml:space="preserve">the </w:t>
      </w:r>
      <w:r w:rsidR="00B42070">
        <w:rPr>
          <w:rFonts w:ascii="Arial" w:hAnsi="Arial" w:cs="Arial"/>
        </w:rPr>
        <w:t>“</w:t>
      </w:r>
      <w:r w:rsidR="00B42070" w:rsidRPr="00B42070">
        <w:rPr>
          <w:rFonts w:ascii="Arial" w:hAnsi="Arial" w:cs="Arial"/>
          <w:i/>
        </w:rPr>
        <w:t>unknown individuals</w:t>
      </w:r>
      <w:r w:rsidR="00B42070">
        <w:rPr>
          <w:rFonts w:ascii="Arial" w:hAnsi="Arial" w:cs="Arial"/>
        </w:rPr>
        <w:t xml:space="preserve">” cited as the </w:t>
      </w:r>
      <w:r>
        <w:rPr>
          <w:rFonts w:ascii="Arial" w:hAnsi="Arial" w:cs="Arial"/>
        </w:rPr>
        <w:t>first respondents from trespassing, attempting to invade, settle on, mark or tak</w:t>
      </w:r>
      <w:r w:rsidR="00B42070">
        <w:rPr>
          <w:rFonts w:ascii="Arial" w:hAnsi="Arial" w:cs="Arial"/>
        </w:rPr>
        <w:t>ing</w:t>
      </w:r>
      <w:r>
        <w:rPr>
          <w:rFonts w:ascii="Arial" w:hAnsi="Arial" w:cs="Arial"/>
        </w:rPr>
        <w:t xml:space="preserve"> occupation of any of the structures or </w:t>
      </w:r>
      <w:r w:rsidR="00B42070">
        <w:rPr>
          <w:rFonts w:ascii="Arial" w:hAnsi="Arial" w:cs="Arial"/>
        </w:rPr>
        <w:t>of vacant land on the d</w:t>
      </w:r>
      <w:r>
        <w:rPr>
          <w:rFonts w:ascii="Arial" w:hAnsi="Arial" w:cs="Arial"/>
        </w:rPr>
        <w:t xml:space="preserve">evelopment. </w:t>
      </w:r>
    </w:p>
    <w:p w:rsidR="00C904EA" w:rsidRPr="00C904EA" w:rsidRDefault="00C904EA" w:rsidP="00C904EA">
      <w:pPr>
        <w:pStyle w:val="ListParagraph"/>
        <w:rPr>
          <w:rFonts w:ascii="Arial" w:hAnsi="Arial" w:cs="Arial"/>
        </w:rPr>
      </w:pPr>
    </w:p>
    <w:p w:rsidR="00C904EA" w:rsidRDefault="00C904EA" w:rsidP="00AF22DC">
      <w:pPr>
        <w:pStyle w:val="ListParagraph"/>
        <w:numPr>
          <w:ilvl w:val="0"/>
          <w:numId w:val="3"/>
        </w:numPr>
        <w:spacing w:line="360" w:lineRule="auto"/>
        <w:rPr>
          <w:rFonts w:ascii="Arial" w:hAnsi="Arial" w:cs="Arial"/>
        </w:rPr>
      </w:pPr>
      <w:r w:rsidRPr="00AF7FF7">
        <w:rPr>
          <w:rFonts w:ascii="Arial" w:hAnsi="Arial" w:cs="Arial"/>
        </w:rPr>
        <w:lastRenderedPageBreak/>
        <w:t xml:space="preserve">The grounds for </w:t>
      </w:r>
      <w:r w:rsidR="00B42070">
        <w:rPr>
          <w:rFonts w:ascii="Arial" w:hAnsi="Arial" w:cs="Arial"/>
        </w:rPr>
        <w:t xml:space="preserve">granting </w:t>
      </w:r>
      <w:r>
        <w:rPr>
          <w:rFonts w:ascii="Arial" w:hAnsi="Arial" w:cs="Arial"/>
        </w:rPr>
        <w:t>the order we</w:t>
      </w:r>
      <w:r w:rsidR="006D0463">
        <w:rPr>
          <w:rFonts w:ascii="Arial" w:hAnsi="Arial" w:cs="Arial"/>
        </w:rPr>
        <w:t xml:space="preserve">re set out in </w:t>
      </w:r>
      <w:r w:rsidRPr="00AF7FF7">
        <w:rPr>
          <w:rFonts w:ascii="Arial" w:hAnsi="Arial" w:cs="Arial"/>
        </w:rPr>
        <w:t xml:space="preserve">written reasons provided </w:t>
      </w:r>
      <w:r w:rsidR="00C46922">
        <w:rPr>
          <w:rFonts w:ascii="Arial" w:hAnsi="Arial" w:cs="Arial"/>
        </w:rPr>
        <w:t>subsequently a</w:t>
      </w:r>
      <w:r>
        <w:rPr>
          <w:rFonts w:ascii="Arial" w:hAnsi="Arial" w:cs="Arial"/>
        </w:rPr>
        <w:t xml:space="preserve">nd will </w:t>
      </w:r>
      <w:r w:rsidR="006D0463">
        <w:rPr>
          <w:rFonts w:ascii="Arial" w:hAnsi="Arial" w:cs="Arial"/>
        </w:rPr>
        <w:t xml:space="preserve">be repeated </w:t>
      </w:r>
      <w:r>
        <w:rPr>
          <w:rFonts w:ascii="Arial" w:hAnsi="Arial" w:cs="Arial"/>
        </w:rPr>
        <w:t xml:space="preserve">to </w:t>
      </w:r>
      <w:r w:rsidR="006D0463">
        <w:rPr>
          <w:rFonts w:ascii="Arial" w:hAnsi="Arial" w:cs="Arial"/>
        </w:rPr>
        <w:t xml:space="preserve">some extent in order to provide </w:t>
      </w:r>
      <w:r>
        <w:rPr>
          <w:rFonts w:ascii="Arial" w:hAnsi="Arial" w:cs="Arial"/>
        </w:rPr>
        <w:t>context.</w:t>
      </w:r>
      <w:r w:rsidRPr="00AF7FF7">
        <w:rPr>
          <w:rFonts w:ascii="Arial" w:hAnsi="Arial" w:cs="Arial"/>
        </w:rPr>
        <w:t xml:space="preserve">  </w:t>
      </w:r>
    </w:p>
    <w:p w:rsidR="006D0463" w:rsidRDefault="006D0463" w:rsidP="006D0463">
      <w:pPr>
        <w:pStyle w:val="ListParagraph"/>
        <w:spacing w:line="360" w:lineRule="auto"/>
        <w:ind w:left="360"/>
        <w:rPr>
          <w:rFonts w:ascii="Arial" w:hAnsi="Arial" w:cs="Arial"/>
        </w:rPr>
      </w:pPr>
    </w:p>
    <w:p w:rsidR="006D0463" w:rsidRDefault="006D0463" w:rsidP="006D0463">
      <w:pPr>
        <w:pStyle w:val="ListParagraph"/>
        <w:spacing w:line="360" w:lineRule="auto"/>
        <w:ind w:left="360"/>
        <w:rPr>
          <w:rFonts w:ascii="Arial" w:hAnsi="Arial" w:cs="Arial"/>
        </w:rPr>
      </w:pPr>
      <w:r w:rsidRPr="001A07E3">
        <w:rPr>
          <w:rFonts w:ascii="Arial" w:hAnsi="Arial" w:cs="Arial"/>
        </w:rPr>
        <w:t>The</w:t>
      </w:r>
      <w:r>
        <w:rPr>
          <w:rFonts w:ascii="Arial" w:hAnsi="Arial" w:cs="Arial"/>
        </w:rPr>
        <w:t xml:space="preserve"> Metro relied on its rights of ownership and contended that it had successfully thwarted all those who had attempted to invade the development. </w:t>
      </w:r>
    </w:p>
    <w:p w:rsidR="00C904EA" w:rsidRPr="00AF7FF7" w:rsidRDefault="00C904EA" w:rsidP="00C904EA">
      <w:pPr>
        <w:pStyle w:val="ListParagraph"/>
        <w:spacing w:line="360" w:lineRule="auto"/>
        <w:ind w:left="360"/>
        <w:rPr>
          <w:rFonts w:ascii="Arial" w:hAnsi="Arial" w:cs="Arial"/>
        </w:rPr>
      </w:pPr>
    </w:p>
    <w:p w:rsidR="00C904EA" w:rsidRPr="001A07E3" w:rsidRDefault="00C904EA" w:rsidP="006D0463">
      <w:pPr>
        <w:pStyle w:val="ListParagraph"/>
        <w:spacing w:line="360" w:lineRule="auto"/>
        <w:ind w:left="360"/>
        <w:rPr>
          <w:rFonts w:ascii="Arial" w:hAnsi="Arial" w:cs="Arial"/>
        </w:rPr>
      </w:pPr>
      <w:r>
        <w:rPr>
          <w:rFonts w:ascii="Arial" w:hAnsi="Arial" w:cs="Arial"/>
        </w:rPr>
        <w:t xml:space="preserve">The </w:t>
      </w:r>
      <w:r w:rsidRPr="001A07E3">
        <w:rPr>
          <w:rFonts w:ascii="Arial" w:hAnsi="Arial" w:cs="Arial"/>
        </w:rPr>
        <w:t xml:space="preserve">facts </w:t>
      </w:r>
      <w:r w:rsidR="006D0463">
        <w:rPr>
          <w:rFonts w:ascii="Arial" w:hAnsi="Arial" w:cs="Arial"/>
        </w:rPr>
        <w:t xml:space="preserve">deposed to in support of </w:t>
      </w:r>
      <w:r w:rsidRPr="001A07E3">
        <w:rPr>
          <w:rFonts w:ascii="Arial" w:hAnsi="Arial" w:cs="Arial"/>
        </w:rPr>
        <w:t>the application</w:t>
      </w:r>
      <w:r w:rsidR="006D0463">
        <w:rPr>
          <w:rFonts w:ascii="Arial" w:hAnsi="Arial" w:cs="Arial"/>
        </w:rPr>
        <w:t xml:space="preserve"> we</w:t>
      </w:r>
      <w:r>
        <w:rPr>
          <w:rFonts w:ascii="Arial" w:hAnsi="Arial" w:cs="Arial"/>
        </w:rPr>
        <w:t>re</w:t>
      </w:r>
      <w:r w:rsidRPr="001A07E3">
        <w:rPr>
          <w:rFonts w:ascii="Arial" w:hAnsi="Arial" w:cs="Arial"/>
        </w:rPr>
        <w:t xml:space="preserve"> straight forward: In fulfilling its constitutional obligation under s</w:t>
      </w:r>
      <w:r>
        <w:rPr>
          <w:rFonts w:ascii="Arial" w:hAnsi="Arial" w:cs="Arial"/>
        </w:rPr>
        <w:t xml:space="preserve"> </w:t>
      </w:r>
      <w:r w:rsidRPr="001A07E3">
        <w:rPr>
          <w:rFonts w:ascii="Arial" w:hAnsi="Arial" w:cs="Arial"/>
        </w:rPr>
        <w:t xml:space="preserve">26 to provide adequate housing </w:t>
      </w:r>
      <w:r>
        <w:rPr>
          <w:rFonts w:ascii="Arial" w:hAnsi="Arial" w:cs="Arial"/>
        </w:rPr>
        <w:t>for</w:t>
      </w:r>
      <w:r w:rsidRPr="001A07E3">
        <w:rPr>
          <w:rFonts w:ascii="Arial" w:hAnsi="Arial" w:cs="Arial"/>
        </w:rPr>
        <w:t xml:space="preserve"> </w:t>
      </w:r>
      <w:r w:rsidR="00040853">
        <w:rPr>
          <w:rFonts w:ascii="Arial" w:hAnsi="Arial" w:cs="Arial"/>
        </w:rPr>
        <w:t>those</w:t>
      </w:r>
      <w:r w:rsidRPr="001A07E3">
        <w:rPr>
          <w:rFonts w:ascii="Arial" w:hAnsi="Arial" w:cs="Arial"/>
        </w:rPr>
        <w:t xml:space="preserve"> within its jurisdiction</w:t>
      </w:r>
      <w:r>
        <w:rPr>
          <w:rFonts w:ascii="Arial" w:hAnsi="Arial" w:cs="Arial"/>
        </w:rPr>
        <w:t>,</w:t>
      </w:r>
      <w:r w:rsidRPr="001A07E3">
        <w:rPr>
          <w:rFonts w:ascii="Arial" w:hAnsi="Arial" w:cs="Arial"/>
        </w:rPr>
        <w:t xml:space="preserve"> the Metro bought and took transfer of the </w:t>
      </w:r>
      <w:r>
        <w:rPr>
          <w:rFonts w:ascii="Arial" w:hAnsi="Arial" w:cs="Arial"/>
        </w:rPr>
        <w:t xml:space="preserve">land on which the </w:t>
      </w:r>
      <w:r w:rsidR="00040853">
        <w:rPr>
          <w:rFonts w:ascii="Arial" w:hAnsi="Arial" w:cs="Arial"/>
        </w:rPr>
        <w:t>d</w:t>
      </w:r>
      <w:r w:rsidRPr="001A07E3">
        <w:rPr>
          <w:rFonts w:ascii="Arial" w:hAnsi="Arial" w:cs="Arial"/>
        </w:rPr>
        <w:t xml:space="preserve">evelopment </w:t>
      </w:r>
      <w:r>
        <w:rPr>
          <w:rFonts w:ascii="Arial" w:hAnsi="Arial" w:cs="Arial"/>
        </w:rPr>
        <w:t xml:space="preserve">is situated. </w:t>
      </w:r>
      <w:r w:rsidRPr="001A07E3">
        <w:rPr>
          <w:rFonts w:ascii="Arial" w:hAnsi="Arial" w:cs="Arial"/>
        </w:rPr>
        <w:t>It then proceeded to establish a township and contractors were appointed for both the civil</w:t>
      </w:r>
      <w:r>
        <w:rPr>
          <w:rFonts w:ascii="Arial" w:hAnsi="Arial" w:cs="Arial"/>
        </w:rPr>
        <w:t xml:space="preserve"> works</w:t>
      </w:r>
      <w:r w:rsidRPr="001A07E3">
        <w:rPr>
          <w:rFonts w:ascii="Arial" w:hAnsi="Arial" w:cs="Arial"/>
        </w:rPr>
        <w:t xml:space="preserve"> and to construct </w:t>
      </w:r>
      <w:r>
        <w:rPr>
          <w:rFonts w:ascii="Arial" w:hAnsi="Arial" w:cs="Arial"/>
        </w:rPr>
        <w:t>RDP houses.</w:t>
      </w:r>
      <w:r>
        <w:rPr>
          <w:rStyle w:val="FootnoteReference"/>
          <w:rFonts w:ascii="Arial" w:hAnsi="Arial" w:cs="Arial"/>
        </w:rPr>
        <w:footnoteReference w:id="38"/>
      </w:r>
    </w:p>
    <w:p w:rsidR="00C904EA" w:rsidRPr="00330A8A" w:rsidRDefault="00C904EA" w:rsidP="00C904EA">
      <w:pPr>
        <w:pStyle w:val="ListParagraph"/>
        <w:rPr>
          <w:rFonts w:ascii="Arial" w:hAnsi="Arial" w:cs="Arial"/>
        </w:rPr>
      </w:pPr>
    </w:p>
    <w:p w:rsidR="00C904EA" w:rsidRPr="00090C70" w:rsidRDefault="00C904EA" w:rsidP="00AF22DC">
      <w:pPr>
        <w:pStyle w:val="ListParagraph"/>
        <w:numPr>
          <w:ilvl w:val="0"/>
          <w:numId w:val="3"/>
        </w:numPr>
        <w:spacing w:line="360" w:lineRule="auto"/>
        <w:rPr>
          <w:rFonts w:ascii="Arial" w:hAnsi="Arial" w:cs="Arial"/>
        </w:rPr>
      </w:pPr>
      <w:r>
        <w:rPr>
          <w:rFonts w:ascii="Arial" w:hAnsi="Arial" w:cs="Arial"/>
        </w:rPr>
        <w:t>The Metro had also identified the beneficiaries entitled to qualify for housing in the development. They are members of a group referred to in the papers as the Palm Ridge Community “</w:t>
      </w:r>
      <w:r>
        <w:rPr>
          <w:rFonts w:ascii="Arial" w:hAnsi="Arial" w:cs="Arial"/>
          <w:i/>
        </w:rPr>
        <w:t>and other people who have been identified to qualify for the government grant and have passed the means test.”</w:t>
      </w:r>
    </w:p>
    <w:p w:rsidR="00C904EA" w:rsidRDefault="00C904EA" w:rsidP="00C904EA">
      <w:pPr>
        <w:pStyle w:val="ListParagraph"/>
        <w:spacing w:line="360" w:lineRule="auto"/>
        <w:ind w:left="360"/>
        <w:rPr>
          <w:rFonts w:ascii="Arial" w:hAnsi="Arial" w:cs="Arial"/>
          <w:i/>
        </w:rPr>
      </w:pPr>
    </w:p>
    <w:p w:rsidR="00C904EA" w:rsidRDefault="00C904EA" w:rsidP="00C904EA">
      <w:pPr>
        <w:pStyle w:val="ListParagraph"/>
        <w:spacing w:line="360" w:lineRule="auto"/>
        <w:ind w:left="360"/>
        <w:rPr>
          <w:rFonts w:ascii="Arial" w:hAnsi="Arial" w:cs="Arial"/>
        </w:rPr>
      </w:pPr>
      <w:r>
        <w:rPr>
          <w:rFonts w:ascii="Arial" w:hAnsi="Arial" w:cs="Arial"/>
        </w:rPr>
        <w:t xml:space="preserve">In </w:t>
      </w:r>
      <w:r w:rsidR="00DA411B">
        <w:rPr>
          <w:rFonts w:ascii="Arial" w:hAnsi="Arial" w:cs="Arial"/>
        </w:rPr>
        <w:t>addition,</w:t>
      </w:r>
      <w:r>
        <w:rPr>
          <w:rFonts w:ascii="Arial" w:hAnsi="Arial" w:cs="Arial"/>
        </w:rPr>
        <w:t xml:space="preserve"> there were a number of families, up to a maximum of 50, who </w:t>
      </w:r>
      <w:r w:rsidR="00AD0DAF">
        <w:rPr>
          <w:rFonts w:ascii="Arial" w:hAnsi="Arial" w:cs="Arial"/>
        </w:rPr>
        <w:t xml:space="preserve">were entitled to be relocated </w:t>
      </w:r>
      <w:r w:rsidR="00B32C2A">
        <w:rPr>
          <w:rFonts w:ascii="Arial" w:hAnsi="Arial" w:cs="Arial"/>
        </w:rPr>
        <w:t>at</w:t>
      </w:r>
      <w:r>
        <w:rPr>
          <w:rFonts w:ascii="Arial" w:hAnsi="Arial" w:cs="Arial"/>
        </w:rPr>
        <w:t xml:space="preserve"> the project</w:t>
      </w:r>
      <w:r w:rsidR="00AD0DAF">
        <w:rPr>
          <w:rFonts w:ascii="Arial" w:hAnsi="Arial" w:cs="Arial"/>
        </w:rPr>
        <w:t xml:space="preserve"> </w:t>
      </w:r>
      <w:r w:rsidR="00B32C2A">
        <w:rPr>
          <w:rFonts w:ascii="Arial" w:hAnsi="Arial" w:cs="Arial"/>
        </w:rPr>
        <w:t xml:space="preserve">under </w:t>
      </w:r>
      <w:r>
        <w:rPr>
          <w:rFonts w:ascii="Arial" w:hAnsi="Arial" w:cs="Arial"/>
        </w:rPr>
        <w:t>a Land Claims Court order granted on 16 April 2018.</w:t>
      </w:r>
    </w:p>
    <w:p w:rsidR="00C904EA" w:rsidRDefault="00C904EA" w:rsidP="00C904EA">
      <w:pPr>
        <w:pStyle w:val="ListParagraph"/>
        <w:spacing w:line="360" w:lineRule="auto"/>
        <w:ind w:left="360"/>
        <w:rPr>
          <w:rFonts w:ascii="Arial" w:hAnsi="Arial" w:cs="Arial"/>
        </w:rPr>
      </w:pPr>
    </w:p>
    <w:p w:rsidR="00C904EA" w:rsidRDefault="00C46922" w:rsidP="00AF22DC">
      <w:pPr>
        <w:pStyle w:val="ListParagraph"/>
        <w:numPr>
          <w:ilvl w:val="0"/>
          <w:numId w:val="3"/>
        </w:numPr>
        <w:spacing w:line="360" w:lineRule="auto"/>
        <w:rPr>
          <w:rFonts w:ascii="Arial" w:hAnsi="Arial" w:cs="Arial"/>
        </w:rPr>
      </w:pPr>
      <w:r>
        <w:rPr>
          <w:rFonts w:ascii="Arial" w:hAnsi="Arial" w:cs="Arial"/>
        </w:rPr>
        <w:t>By 22 July 2019, of the planned</w:t>
      </w:r>
      <w:r w:rsidR="00C904EA">
        <w:rPr>
          <w:rFonts w:ascii="Arial" w:hAnsi="Arial" w:cs="Arial"/>
        </w:rPr>
        <w:t xml:space="preserve"> 6000 </w:t>
      </w:r>
      <w:r w:rsidR="00040853">
        <w:rPr>
          <w:rFonts w:ascii="Arial" w:hAnsi="Arial" w:cs="Arial"/>
        </w:rPr>
        <w:t xml:space="preserve">or so </w:t>
      </w:r>
      <w:r w:rsidR="00C904EA">
        <w:rPr>
          <w:rFonts w:ascii="Arial" w:hAnsi="Arial" w:cs="Arial"/>
        </w:rPr>
        <w:t>homes</w:t>
      </w:r>
      <w:r w:rsidR="00433B9F">
        <w:rPr>
          <w:rFonts w:ascii="Arial" w:hAnsi="Arial" w:cs="Arial"/>
        </w:rPr>
        <w:t>,</w:t>
      </w:r>
      <w:r w:rsidR="00B32C2A">
        <w:rPr>
          <w:rFonts w:ascii="Arial" w:hAnsi="Arial" w:cs="Arial"/>
        </w:rPr>
        <w:t xml:space="preserve"> some 1900 </w:t>
      </w:r>
      <w:r w:rsidR="00C904EA">
        <w:rPr>
          <w:rFonts w:ascii="Arial" w:hAnsi="Arial" w:cs="Arial"/>
        </w:rPr>
        <w:t>in</w:t>
      </w:r>
      <w:r w:rsidR="00433B9F">
        <w:rPr>
          <w:rFonts w:ascii="Arial" w:hAnsi="Arial" w:cs="Arial"/>
        </w:rPr>
        <w:t xml:space="preserve"> varying degrees of completion </w:t>
      </w:r>
      <w:r w:rsidR="00C904EA">
        <w:rPr>
          <w:rFonts w:ascii="Arial" w:hAnsi="Arial" w:cs="Arial"/>
        </w:rPr>
        <w:t xml:space="preserve">had been built. </w:t>
      </w:r>
      <w:r w:rsidR="000319F0">
        <w:rPr>
          <w:rFonts w:ascii="Arial" w:hAnsi="Arial" w:cs="Arial"/>
        </w:rPr>
        <w:t xml:space="preserve">As mentioned earlier, </w:t>
      </w:r>
      <w:r w:rsidR="00C904EA">
        <w:rPr>
          <w:rFonts w:ascii="Arial" w:hAnsi="Arial" w:cs="Arial"/>
        </w:rPr>
        <w:t>agreements had been concluded with the first group of beneficiaries in terms of which they would be give</w:t>
      </w:r>
      <w:r w:rsidR="00040853">
        <w:rPr>
          <w:rFonts w:ascii="Arial" w:hAnsi="Arial" w:cs="Arial"/>
        </w:rPr>
        <w:t>n occupation by mid-August 2019.</w:t>
      </w:r>
      <w:r w:rsidR="000319F0">
        <w:rPr>
          <w:rFonts w:ascii="Arial" w:hAnsi="Arial" w:cs="Arial"/>
        </w:rPr>
        <w:t xml:space="preserve"> </w:t>
      </w:r>
    </w:p>
    <w:p w:rsidR="00C904EA" w:rsidRPr="000270BA" w:rsidRDefault="00C904EA" w:rsidP="00C904EA">
      <w:pPr>
        <w:pStyle w:val="ListParagraph"/>
        <w:rPr>
          <w:rFonts w:ascii="Arial" w:hAnsi="Arial" w:cs="Arial"/>
        </w:rPr>
      </w:pPr>
    </w:p>
    <w:p w:rsidR="00C904EA" w:rsidRDefault="006D0463" w:rsidP="00C904EA">
      <w:pPr>
        <w:pStyle w:val="ListParagraph"/>
        <w:spacing w:line="360" w:lineRule="auto"/>
        <w:ind w:left="360"/>
        <w:rPr>
          <w:rFonts w:ascii="Arial" w:hAnsi="Arial" w:cs="Arial"/>
        </w:rPr>
      </w:pPr>
      <w:r w:rsidRPr="00CB5922">
        <w:rPr>
          <w:rFonts w:ascii="Arial" w:hAnsi="Arial" w:cs="Arial"/>
        </w:rPr>
        <w:t>The Metro</w:t>
      </w:r>
      <w:r w:rsidR="00C904EA" w:rsidRPr="00CB5922">
        <w:rPr>
          <w:rFonts w:ascii="Arial" w:hAnsi="Arial" w:cs="Arial"/>
        </w:rPr>
        <w:t xml:space="preserve"> avers that on the previous day, 21 July, members of the Palm Ridge Community advised the Metro’s senior officials that unknown people were attempting to occupy the area and the structures, marking some of the homes with their names. Photographs attached to the papers show the names of </w:t>
      </w:r>
      <w:r w:rsidR="00C904EA" w:rsidRPr="00CB5922">
        <w:rPr>
          <w:rFonts w:ascii="Arial" w:hAnsi="Arial" w:cs="Arial"/>
        </w:rPr>
        <w:lastRenderedPageBreak/>
        <w:t>individuals scrawled on the walls of the houses they intended appropriating.</w:t>
      </w:r>
    </w:p>
    <w:p w:rsidR="00C904EA" w:rsidRDefault="00C904EA" w:rsidP="00C904EA">
      <w:pPr>
        <w:pStyle w:val="ListParagraph"/>
        <w:spacing w:line="360" w:lineRule="auto"/>
        <w:ind w:left="360"/>
        <w:rPr>
          <w:rFonts w:ascii="Arial" w:hAnsi="Arial" w:cs="Arial"/>
        </w:rPr>
      </w:pPr>
      <w:r>
        <w:rPr>
          <w:rFonts w:ascii="Arial" w:hAnsi="Arial" w:cs="Arial"/>
        </w:rPr>
        <w:t xml:space="preserve"> </w:t>
      </w:r>
    </w:p>
    <w:p w:rsidR="00C904EA" w:rsidRDefault="00C904EA" w:rsidP="00AF22DC">
      <w:pPr>
        <w:pStyle w:val="ListParagraph"/>
        <w:numPr>
          <w:ilvl w:val="0"/>
          <w:numId w:val="3"/>
        </w:numPr>
        <w:spacing w:line="360" w:lineRule="auto"/>
        <w:rPr>
          <w:rFonts w:ascii="Arial" w:hAnsi="Arial" w:cs="Arial"/>
        </w:rPr>
      </w:pPr>
      <w:r w:rsidRPr="00137C83">
        <w:rPr>
          <w:rFonts w:ascii="Arial" w:hAnsi="Arial" w:cs="Arial"/>
        </w:rPr>
        <w:t xml:space="preserve">The </w:t>
      </w:r>
      <w:r>
        <w:rPr>
          <w:rFonts w:ascii="Arial" w:hAnsi="Arial" w:cs="Arial"/>
        </w:rPr>
        <w:t xml:space="preserve">applicant also alleged that Palm Ridge community members intended to </w:t>
      </w:r>
      <w:r w:rsidRPr="00137C83">
        <w:rPr>
          <w:rFonts w:ascii="Arial" w:hAnsi="Arial" w:cs="Arial"/>
        </w:rPr>
        <w:t xml:space="preserve">counter any attempt to invade the development by guarding homes and making their own marks on the walls. </w:t>
      </w:r>
    </w:p>
    <w:p w:rsidR="00C904EA" w:rsidRPr="00137C83" w:rsidRDefault="00C904EA" w:rsidP="00C904EA">
      <w:pPr>
        <w:pStyle w:val="ListParagraph"/>
        <w:spacing w:line="360" w:lineRule="auto"/>
        <w:ind w:left="360"/>
        <w:rPr>
          <w:rFonts w:ascii="Arial" w:hAnsi="Arial" w:cs="Arial"/>
        </w:rPr>
      </w:pPr>
    </w:p>
    <w:p w:rsidR="00C904EA" w:rsidRDefault="00C904EA" w:rsidP="00AF22DC">
      <w:pPr>
        <w:pStyle w:val="ListParagraph"/>
        <w:numPr>
          <w:ilvl w:val="0"/>
          <w:numId w:val="3"/>
        </w:numPr>
        <w:spacing w:line="360" w:lineRule="auto"/>
        <w:rPr>
          <w:rFonts w:ascii="Arial" w:hAnsi="Arial" w:cs="Arial"/>
        </w:rPr>
      </w:pPr>
      <w:r w:rsidRPr="00AF7FF7">
        <w:rPr>
          <w:rFonts w:ascii="Arial" w:hAnsi="Arial" w:cs="Arial"/>
        </w:rPr>
        <w:t xml:space="preserve">The founding affidavit then described how the contractors were being constantly harassed and unable to carry out their work. It mentioned that criminal charges had been laid. The papers also revealed that the intervention of both SAPS and the EMPD had been sought in order to stabilise the situation and enable </w:t>
      </w:r>
      <w:r w:rsidRPr="00CB5922">
        <w:rPr>
          <w:rFonts w:ascii="Arial" w:hAnsi="Arial" w:cs="Arial"/>
        </w:rPr>
        <w:t>constructive engagement</w:t>
      </w:r>
      <w:r w:rsidRPr="00AF7FF7">
        <w:rPr>
          <w:rFonts w:ascii="Arial" w:hAnsi="Arial" w:cs="Arial"/>
        </w:rPr>
        <w:t xml:space="preserve"> between the community and those seeking to invade the land. </w:t>
      </w:r>
      <w:r w:rsidR="00250AC1">
        <w:rPr>
          <w:rFonts w:ascii="Arial" w:hAnsi="Arial" w:cs="Arial"/>
        </w:rPr>
        <w:t>It is significant that these allegations were already made in the papers that were filed on the morning of 24 July 2019.</w:t>
      </w:r>
    </w:p>
    <w:p w:rsidR="006D0463" w:rsidRPr="006D0463" w:rsidRDefault="006D0463" w:rsidP="006D0463">
      <w:pPr>
        <w:pStyle w:val="ListParagraph"/>
        <w:rPr>
          <w:rFonts w:ascii="Arial" w:hAnsi="Arial" w:cs="Arial"/>
        </w:rPr>
      </w:pPr>
    </w:p>
    <w:p w:rsidR="000774C7" w:rsidRDefault="000774C7" w:rsidP="006D0463">
      <w:pPr>
        <w:spacing w:line="360" w:lineRule="auto"/>
        <w:rPr>
          <w:rFonts w:ascii="Arial" w:hAnsi="Arial" w:cs="Arial"/>
          <w:b/>
        </w:rPr>
      </w:pPr>
    </w:p>
    <w:p w:rsidR="006D0463" w:rsidRPr="00137C83" w:rsidRDefault="00040853" w:rsidP="006D0463">
      <w:pPr>
        <w:spacing w:line="360" w:lineRule="auto"/>
        <w:rPr>
          <w:rFonts w:ascii="Arial" w:hAnsi="Arial" w:cs="Arial"/>
          <w:b/>
        </w:rPr>
      </w:pPr>
      <w:r>
        <w:rPr>
          <w:rFonts w:ascii="Arial" w:hAnsi="Arial" w:cs="Arial"/>
          <w:b/>
        </w:rPr>
        <w:t xml:space="preserve">The </w:t>
      </w:r>
      <w:r w:rsidR="006D0463">
        <w:rPr>
          <w:rFonts w:ascii="Arial" w:hAnsi="Arial" w:cs="Arial"/>
          <w:b/>
        </w:rPr>
        <w:t>Interim Order</w:t>
      </w:r>
    </w:p>
    <w:p w:rsidR="006D0463" w:rsidRPr="00941026" w:rsidRDefault="006D0463" w:rsidP="006D0463">
      <w:pPr>
        <w:pStyle w:val="ListParagraph"/>
        <w:rPr>
          <w:rFonts w:ascii="Arial" w:hAnsi="Arial" w:cs="Arial"/>
        </w:rPr>
      </w:pPr>
    </w:p>
    <w:p w:rsidR="006D0463" w:rsidRDefault="006D0463" w:rsidP="00AF22DC">
      <w:pPr>
        <w:pStyle w:val="ListParagraph"/>
        <w:numPr>
          <w:ilvl w:val="0"/>
          <w:numId w:val="3"/>
        </w:numPr>
        <w:spacing w:line="360" w:lineRule="auto"/>
        <w:rPr>
          <w:rFonts w:ascii="Arial" w:hAnsi="Arial" w:cs="Arial"/>
        </w:rPr>
      </w:pPr>
      <w:r>
        <w:rPr>
          <w:rFonts w:ascii="Arial" w:hAnsi="Arial" w:cs="Arial"/>
        </w:rPr>
        <w:t>Based on the disclosed facts this was a clear case for granting interim relief. The rule was to operate with immediate effect and</w:t>
      </w:r>
      <w:r w:rsidR="00040853">
        <w:rPr>
          <w:rFonts w:ascii="Arial" w:hAnsi="Arial" w:cs="Arial"/>
        </w:rPr>
        <w:t xml:space="preserve"> those </w:t>
      </w:r>
      <w:r>
        <w:rPr>
          <w:rFonts w:ascii="Arial" w:hAnsi="Arial" w:cs="Arial"/>
        </w:rPr>
        <w:t>who failed to comply with the order were to show cause on 1 August 2019 why they should not be held in contempt of court.  Once again the court was conscious of the rationale for identifying t</w:t>
      </w:r>
      <w:r w:rsidR="00B42070">
        <w:rPr>
          <w:rFonts w:ascii="Arial" w:hAnsi="Arial" w:cs="Arial"/>
        </w:rPr>
        <w:t>hose subject to the order</w:t>
      </w:r>
      <w:r w:rsidR="000319F0">
        <w:rPr>
          <w:rFonts w:ascii="Arial" w:hAnsi="Arial" w:cs="Arial"/>
        </w:rPr>
        <w:t>.</w:t>
      </w:r>
    </w:p>
    <w:p w:rsidR="00B42070" w:rsidRDefault="00B42070" w:rsidP="00B42070">
      <w:pPr>
        <w:pStyle w:val="ListParagraph"/>
        <w:spacing w:line="360" w:lineRule="auto"/>
        <w:ind w:left="360"/>
        <w:rPr>
          <w:rFonts w:ascii="Arial" w:hAnsi="Arial" w:cs="Arial"/>
        </w:rPr>
      </w:pPr>
    </w:p>
    <w:p w:rsidR="00642D9D" w:rsidRPr="00D02997" w:rsidRDefault="00B42070" w:rsidP="00AF22DC">
      <w:pPr>
        <w:pStyle w:val="ListParagraph"/>
        <w:numPr>
          <w:ilvl w:val="0"/>
          <w:numId w:val="3"/>
        </w:numPr>
        <w:spacing w:line="360" w:lineRule="auto"/>
        <w:rPr>
          <w:rFonts w:ascii="Arial" w:hAnsi="Arial" w:cs="Arial"/>
        </w:rPr>
      </w:pPr>
      <w:r w:rsidRPr="00D02997">
        <w:rPr>
          <w:rFonts w:ascii="Arial" w:hAnsi="Arial" w:cs="Arial"/>
        </w:rPr>
        <w:t>On the return date t</w:t>
      </w:r>
      <w:r w:rsidR="00D02997" w:rsidRPr="00D02997">
        <w:rPr>
          <w:rFonts w:ascii="Arial" w:hAnsi="Arial" w:cs="Arial"/>
        </w:rPr>
        <w:t xml:space="preserve">he court room and the corridor were </w:t>
      </w:r>
      <w:r w:rsidR="000319F0">
        <w:rPr>
          <w:rFonts w:ascii="Arial" w:hAnsi="Arial" w:cs="Arial"/>
        </w:rPr>
        <w:t>filled by</w:t>
      </w:r>
      <w:r w:rsidRPr="00D02997">
        <w:rPr>
          <w:rFonts w:ascii="Arial" w:hAnsi="Arial" w:cs="Arial"/>
        </w:rPr>
        <w:t xml:space="preserve"> pe</w:t>
      </w:r>
      <w:r w:rsidR="00642D9D" w:rsidRPr="00D02997">
        <w:rPr>
          <w:rFonts w:ascii="Arial" w:hAnsi="Arial" w:cs="Arial"/>
        </w:rPr>
        <w:t>ople</w:t>
      </w:r>
      <w:r w:rsidRPr="00D02997">
        <w:rPr>
          <w:rFonts w:ascii="Arial" w:hAnsi="Arial" w:cs="Arial"/>
        </w:rPr>
        <w:t xml:space="preserve"> who said they were affected by the order</w:t>
      </w:r>
      <w:r w:rsidR="00642D9D" w:rsidRPr="00D02997">
        <w:rPr>
          <w:rFonts w:ascii="Arial" w:hAnsi="Arial" w:cs="Arial"/>
        </w:rPr>
        <w:t xml:space="preserve"> and wished to have attorneys appointed to represent them</w:t>
      </w:r>
      <w:r w:rsidR="00D02997" w:rsidRPr="00D02997">
        <w:rPr>
          <w:rFonts w:ascii="Arial" w:hAnsi="Arial" w:cs="Arial"/>
        </w:rPr>
        <w:t xml:space="preserve">. The rule was extended from time to time while the </w:t>
      </w:r>
      <w:r w:rsidR="006F2C95" w:rsidRPr="00D02997">
        <w:rPr>
          <w:rFonts w:ascii="Arial" w:hAnsi="Arial" w:cs="Arial"/>
        </w:rPr>
        <w:t>court remained</w:t>
      </w:r>
      <w:r w:rsidR="007535A5">
        <w:rPr>
          <w:rFonts w:ascii="Arial" w:hAnsi="Arial" w:cs="Arial"/>
        </w:rPr>
        <w:t xml:space="preserve"> concerned </w:t>
      </w:r>
      <w:r w:rsidR="00D02997" w:rsidRPr="00D02997">
        <w:rPr>
          <w:rFonts w:ascii="Arial" w:hAnsi="Arial" w:cs="Arial"/>
        </w:rPr>
        <w:t xml:space="preserve">that there was still </w:t>
      </w:r>
      <w:r w:rsidR="00642D9D" w:rsidRPr="00D02997">
        <w:rPr>
          <w:rFonts w:ascii="Arial" w:hAnsi="Arial" w:cs="Arial"/>
        </w:rPr>
        <w:t xml:space="preserve">no proper identification of those </w:t>
      </w:r>
      <w:r w:rsidR="00CC7FD5">
        <w:rPr>
          <w:rFonts w:ascii="Arial" w:hAnsi="Arial" w:cs="Arial"/>
        </w:rPr>
        <w:t xml:space="preserve">who were opposing the application. </w:t>
      </w:r>
      <w:r w:rsidR="00642D9D" w:rsidRPr="00D02997">
        <w:rPr>
          <w:rFonts w:ascii="Arial" w:hAnsi="Arial" w:cs="Arial"/>
        </w:rPr>
        <w:t>This would obviously frustrate the effectiveness of the existing order because disputes c</w:t>
      </w:r>
      <w:r w:rsidR="00CC7FD5">
        <w:rPr>
          <w:rFonts w:ascii="Arial" w:hAnsi="Arial" w:cs="Arial"/>
        </w:rPr>
        <w:t xml:space="preserve">ould arise as to who identified themselves as falling </w:t>
      </w:r>
      <w:r w:rsidR="00642D9D" w:rsidRPr="00D02997">
        <w:rPr>
          <w:rFonts w:ascii="Arial" w:hAnsi="Arial" w:cs="Arial"/>
        </w:rPr>
        <w:t>into the category of persons cited as the first respondent</w:t>
      </w:r>
      <w:r w:rsidR="007535A5">
        <w:rPr>
          <w:rFonts w:ascii="Arial" w:hAnsi="Arial" w:cs="Arial"/>
        </w:rPr>
        <w:t>. It could also prejudice the rights of those who</w:t>
      </w:r>
      <w:r w:rsidR="00250AC1">
        <w:rPr>
          <w:rFonts w:ascii="Arial" w:hAnsi="Arial" w:cs="Arial"/>
        </w:rPr>
        <w:t xml:space="preserve"> had not come forward but were</w:t>
      </w:r>
      <w:r w:rsidR="007535A5">
        <w:rPr>
          <w:rFonts w:ascii="Arial" w:hAnsi="Arial" w:cs="Arial"/>
        </w:rPr>
        <w:t xml:space="preserve"> in fact were affected by the interim order</w:t>
      </w:r>
      <w:r w:rsidR="00642D9D" w:rsidRPr="00D02997">
        <w:rPr>
          <w:rFonts w:ascii="Arial" w:hAnsi="Arial" w:cs="Arial"/>
        </w:rPr>
        <w:t xml:space="preserve">.    </w:t>
      </w:r>
    </w:p>
    <w:p w:rsidR="006D0463" w:rsidRPr="00992516" w:rsidRDefault="00642D9D" w:rsidP="00AF22DC">
      <w:pPr>
        <w:pStyle w:val="ListParagraph"/>
        <w:numPr>
          <w:ilvl w:val="0"/>
          <w:numId w:val="3"/>
        </w:numPr>
        <w:spacing w:line="360" w:lineRule="auto"/>
        <w:rPr>
          <w:rFonts w:ascii="Arial" w:hAnsi="Arial" w:cs="Arial"/>
        </w:rPr>
      </w:pPr>
      <w:r w:rsidRPr="00992516">
        <w:rPr>
          <w:rFonts w:ascii="Arial" w:hAnsi="Arial" w:cs="Arial"/>
        </w:rPr>
        <w:t xml:space="preserve">It was therefore </w:t>
      </w:r>
      <w:r w:rsidR="00CC7FD5" w:rsidRPr="00992516">
        <w:rPr>
          <w:rFonts w:ascii="Arial" w:hAnsi="Arial" w:cs="Arial"/>
        </w:rPr>
        <w:t xml:space="preserve">impressed on those wishing to oppose the interim order that they had to identify themselves. In this regard part of the order of 29 July provided that </w:t>
      </w:r>
      <w:r w:rsidR="00CC7FD5" w:rsidRPr="00992516">
        <w:rPr>
          <w:rFonts w:ascii="Arial" w:hAnsi="Arial" w:cs="Arial"/>
        </w:rPr>
        <w:lastRenderedPageBreak/>
        <w:t>any person</w:t>
      </w:r>
      <w:r w:rsidR="00992516" w:rsidRPr="00992516">
        <w:rPr>
          <w:rFonts w:ascii="Arial" w:hAnsi="Arial" w:cs="Arial"/>
        </w:rPr>
        <w:t>s</w:t>
      </w:r>
      <w:r w:rsidR="00CC7FD5" w:rsidRPr="00992516">
        <w:rPr>
          <w:rFonts w:ascii="Arial" w:hAnsi="Arial" w:cs="Arial"/>
        </w:rPr>
        <w:t xml:space="preserve"> or group who oppose</w:t>
      </w:r>
      <w:r w:rsidR="00992516" w:rsidRPr="00992516">
        <w:rPr>
          <w:rFonts w:ascii="Arial" w:hAnsi="Arial" w:cs="Arial"/>
        </w:rPr>
        <w:t>d</w:t>
      </w:r>
      <w:r w:rsidR="00CC7FD5" w:rsidRPr="00992516">
        <w:rPr>
          <w:rFonts w:ascii="Arial" w:hAnsi="Arial" w:cs="Arial"/>
        </w:rPr>
        <w:t xml:space="preserve"> the application were to </w:t>
      </w:r>
      <w:r w:rsidR="00992516" w:rsidRPr="00992516">
        <w:rPr>
          <w:rFonts w:ascii="Arial" w:hAnsi="Arial" w:cs="Arial"/>
        </w:rPr>
        <w:t>identify themselves by name and their physical address</w:t>
      </w:r>
      <w:r w:rsidR="00967F6B">
        <w:rPr>
          <w:rFonts w:ascii="Arial" w:hAnsi="Arial" w:cs="Arial"/>
        </w:rPr>
        <w:t xml:space="preserve"> </w:t>
      </w:r>
      <w:r w:rsidR="00992516" w:rsidRPr="00992516">
        <w:rPr>
          <w:rFonts w:ascii="Arial" w:hAnsi="Arial" w:cs="Arial"/>
        </w:rPr>
        <w:t xml:space="preserve">when </w:t>
      </w:r>
      <w:r w:rsidR="00250AC1">
        <w:rPr>
          <w:rFonts w:ascii="Arial" w:hAnsi="Arial" w:cs="Arial"/>
        </w:rPr>
        <w:t xml:space="preserve">their legal representative </w:t>
      </w:r>
      <w:r w:rsidR="00992516" w:rsidRPr="00992516">
        <w:rPr>
          <w:rFonts w:ascii="Arial" w:hAnsi="Arial" w:cs="Arial"/>
        </w:rPr>
        <w:t>deliver</w:t>
      </w:r>
      <w:r w:rsidR="00250AC1">
        <w:rPr>
          <w:rFonts w:ascii="Arial" w:hAnsi="Arial" w:cs="Arial"/>
        </w:rPr>
        <w:t>ed the written notice of</w:t>
      </w:r>
      <w:r w:rsidR="00992516" w:rsidRPr="00992516">
        <w:rPr>
          <w:rFonts w:ascii="Arial" w:hAnsi="Arial" w:cs="Arial"/>
        </w:rPr>
        <w:t xml:space="preserve"> </w:t>
      </w:r>
      <w:r w:rsidR="006F2C95" w:rsidRPr="00992516">
        <w:rPr>
          <w:rFonts w:ascii="Arial" w:hAnsi="Arial" w:cs="Arial"/>
        </w:rPr>
        <w:t>o</w:t>
      </w:r>
      <w:r w:rsidR="00250AC1">
        <w:rPr>
          <w:rFonts w:ascii="Arial" w:hAnsi="Arial" w:cs="Arial"/>
        </w:rPr>
        <w:t>pposition</w:t>
      </w:r>
      <w:r w:rsidR="00992516" w:rsidRPr="00992516">
        <w:rPr>
          <w:rFonts w:ascii="Arial" w:hAnsi="Arial" w:cs="Arial"/>
        </w:rPr>
        <w:t xml:space="preserve"> to the applicant’s attorney of record. </w:t>
      </w:r>
    </w:p>
    <w:p w:rsidR="006D0463" w:rsidRDefault="006D0463" w:rsidP="006D0463">
      <w:pPr>
        <w:spacing w:line="360" w:lineRule="auto"/>
        <w:rPr>
          <w:rFonts w:ascii="Arial" w:hAnsi="Arial" w:cs="Arial"/>
        </w:rPr>
      </w:pPr>
    </w:p>
    <w:p w:rsidR="002C1886" w:rsidRPr="006D0463" w:rsidRDefault="00992516" w:rsidP="00AF22DC">
      <w:pPr>
        <w:pStyle w:val="ListParagraph"/>
        <w:numPr>
          <w:ilvl w:val="0"/>
          <w:numId w:val="3"/>
        </w:numPr>
        <w:spacing w:line="360" w:lineRule="auto"/>
        <w:rPr>
          <w:rFonts w:ascii="Arial" w:hAnsi="Arial" w:cs="Arial"/>
        </w:rPr>
      </w:pPr>
      <w:r>
        <w:rPr>
          <w:rFonts w:ascii="Arial" w:hAnsi="Arial" w:cs="Arial"/>
        </w:rPr>
        <w:t xml:space="preserve">However on the extended return date of </w:t>
      </w:r>
      <w:r w:rsidR="006D0463">
        <w:rPr>
          <w:rFonts w:ascii="Arial" w:hAnsi="Arial" w:cs="Arial"/>
        </w:rPr>
        <w:t xml:space="preserve">22 August 2019 </w:t>
      </w:r>
      <w:r>
        <w:rPr>
          <w:rFonts w:ascii="Arial" w:hAnsi="Arial" w:cs="Arial"/>
        </w:rPr>
        <w:t xml:space="preserve">it became necessary to expand on that part of the order requiring the </w:t>
      </w:r>
      <w:r w:rsidR="00040853">
        <w:rPr>
          <w:rFonts w:ascii="Arial" w:hAnsi="Arial" w:cs="Arial"/>
        </w:rPr>
        <w:t xml:space="preserve">identification of those </w:t>
      </w:r>
      <w:r>
        <w:rPr>
          <w:rFonts w:ascii="Arial" w:hAnsi="Arial" w:cs="Arial"/>
        </w:rPr>
        <w:t>who comprised the first respondent group of “</w:t>
      </w:r>
      <w:r w:rsidRPr="00992516">
        <w:rPr>
          <w:rFonts w:ascii="Arial" w:hAnsi="Arial" w:cs="Arial"/>
          <w:i/>
        </w:rPr>
        <w:t>unknown individuals</w:t>
      </w:r>
      <w:r w:rsidR="006F2C95">
        <w:rPr>
          <w:rFonts w:ascii="Arial" w:hAnsi="Arial" w:cs="Arial"/>
        </w:rPr>
        <w:t>”.</w:t>
      </w:r>
      <w:r>
        <w:rPr>
          <w:rFonts w:ascii="Arial" w:hAnsi="Arial" w:cs="Arial"/>
        </w:rPr>
        <w:t xml:space="preserve"> The following order was therefore issued</w:t>
      </w:r>
      <w:r w:rsidR="006D0463">
        <w:rPr>
          <w:rFonts w:ascii="Arial" w:hAnsi="Arial" w:cs="Arial"/>
        </w:rPr>
        <w:t xml:space="preserve">: </w:t>
      </w:r>
    </w:p>
    <w:p w:rsidR="002C1886" w:rsidRDefault="002C1886" w:rsidP="002C1886">
      <w:pPr>
        <w:pStyle w:val="ListParagraph"/>
        <w:spacing w:line="360" w:lineRule="auto"/>
        <w:ind w:left="360"/>
        <w:rPr>
          <w:rFonts w:ascii="Arial" w:hAnsi="Arial" w:cs="Arial"/>
        </w:rPr>
      </w:pPr>
    </w:p>
    <w:p w:rsidR="002C1886" w:rsidRPr="00960A95" w:rsidRDefault="002C1886" w:rsidP="002C1886">
      <w:pPr>
        <w:spacing w:line="360" w:lineRule="auto"/>
        <w:ind w:left="720"/>
        <w:rPr>
          <w:rFonts w:ascii="Arial" w:hAnsi="Arial" w:cs="Arial"/>
          <w:i/>
        </w:rPr>
      </w:pPr>
    </w:p>
    <w:p w:rsidR="002C1886" w:rsidRPr="00960A95" w:rsidRDefault="002C1886" w:rsidP="002C1886">
      <w:pPr>
        <w:pStyle w:val="ListParagraph"/>
        <w:numPr>
          <w:ilvl w:val="0"/>
          <w:numId w:val="6"/>
        </w:numPr>
        <w:spacing w:line="360" w:lineRule="auto"/>
        <w:rPr>
          <w:rFonts w:ascii="Arial" w:hAnsi="Arial" w:cs="Arial"/>
          <w:i/>
        </w:rPr>
      </w:pPr>
      <w:r w:rsidRPr="00960A95">
        <w:rPr>
          <w:rFonts w:ascii="Arial" w:hAnsi="Arial" w:cs="Arial"/>
          <w:i/>
        </w:rPr>
        <w:t>The rule nisi issued by the Court on 24 July 2019 is extended to 5 September 2019.</w:t>
      </w:r>
    </w:p>
    <w:p w:rsidR="002C1886" w:rsidRPr="00960A95" w:rsidRDefault="002C1886" w:rsidP="002C1886">
      <w:pPr>
        <w:pStyle w:val="ListParagraph"/>
        <w:spacing w:line="360" w:lineRule="auto"/>
        <w:ind w:left="1440"/>
        <w:rPr>
          <w:rFonts w:ascii="Arial" w:hAnsi="Arial" w:cs="Arial"/>
          <w:i/>
        </w:rPr>
      </w:pPr>
    </w:p>
    <w:p w:rsidR="002C1886" w:rsidRDefault="002C1886" w:rsidP="002C1886">
      <w:pPr>
        <w:spacing w:line="360" w:lineRule="auto"/>
        <w:ind w:left="720"/>
        <w:rPr>
          <w:rFonts w:ascii="Arial" w:hAnsi="Arial" w:cs="Arial"/>
          <w:i/>
        </w:rPr>
      </w:pPr>
      <w:r w:rsidRPr="00960A95">
        <w:rPr>
          <w:rFonts w:ascii="Arial" w:hAnsi="Arial" w:cs="Arial"/>
          <w:i/>
        </w:rPr>
        <w:t>2.</w:t>
      </w:r>
      <w:r w:rsidRPr="00960A95">
        <w:rPr>
          <w:rFonts w:ascii="Arial" w:hAnsi="Arial" w:cs="Arial"/>
          <w:i/>
        </w:rPr>
        <w:tab/>
        <w:t>By 27 August 2019 separate lists shall be drawn of:</w:t>
      </w:r>
    </w:p>
    <w:p w:rsidR="002C1886" w:rsidRPr="00960A95" w:rsidRDefault="002C1886" w:rsidP="002C1886">
      <w:pPr>
        <w:spacing w:line="360" w:lineRule="auto"/>
        <w:ind w:left="720"/>
        <w:rPr>
          <w:rFonts w:ascii="Arial" w:hAnsi="Arial" w:cs="Arial"/>
          <w:i/>
        </w:rPr>
      </w:pPr>
    </w:p>
    <w:p w:rsidR="002C1886" w:rsidRPr="00960A95" w:rsidRDefault="002C1886" w:rsidP="002C1886">
      <w:pPr>
        <w:spacing w:line="360" w:lineRule="auto"/>
        <w:ind w:left="2160" w:hanging="720"/>
        <w:rPr>
          <w:rFonts w:ascii="Arial" w:hAnsi="Arial" w:cs="Arial"/>
          <w:i/>
        </w:rPr>
      </w:pPr>
      <w:r w:rsidRPr="00960A95">
        <w:rPr>
          <w:rFonts w:ascii="Arial" w:hAnsi="Arial" w:cs="Arial"/>
          <w:i/>
        </w:rPr>
        <w:t>2.1</w:t>
      </w:r>
      <w:r w:rsidRPr="00960A95">
        <w:rPr>
          <w:rFonts w:ascii="Arial" w:hAnsi="Arial" w:cs="Arial"/>
          <w:i/>
        </w:rPr>
        <w:tab/>
        <w:t>The identity of those persons who are represented by Mabuza Attorneys- together with their physical address, identity number and signature- and who fall within the description of the first respondent and contend that they should not be subject to the relief sought by the applicant. In addition the list must indicate the terms of the mandate given to the attorneys in respect of the relief such persons seek;</w:t>
      </w:r>
    </w:p>
    <w:p w:rsidR="002C1886" w:rsidRPr="00960A95" w:rsidRDefault="002C1886" w:rsidP="002C1886">
      <w:pPr>
        <w:spacing w:line="360" w:lineRule="auto"/>
        <w:ind w:left="720"/>
        <w:rPr>
          <w:rFonts w:ascii="Arial" w:hAnsi="Arial" w:cs="Arial"/>
          <w:i/>
        </w:rPr>
      </w:pPr>
    </w:p>
    <w:p w:rsidR="002C1886" w:rsidRPr="00960A95" w:rsidRDefault="002C1886" w:rsidP="002C1886">
      <w:pPr>
        <w:spacing w:line="360" w:lineRule="auto"/>
        <w:ind w:left="2160" w:hanging="720"/>
        <w:rPr>
          <w:rFonts w:ascii="Arial" w:hAnsi="Arial" w:cs="Arial"/>
          <w:i/>
        </w:rPr>
      </w:pPr>
      <w:r w:rsidRPr="00960A95">
        <w:rPr>
          <w:rFonts w:ascii="Arial" w:hAnsi="Arial" w:cs="Arial"/>
          <w:i/>
        </w:rPr>
        <w:t>2.2</w:t>
      </w:r>
      <w:r w:rsidRPr="00960A95">
        <w:rPr>
          <w:rFonts w:ascii="Arial" w:hAnsi="Arial" w:cs="Arial"/>
          <w:i/>
        </w:rPr>
        <w:tab/>
        <w:t>The identity of any other persons who are represented by Mabuza Attorneys-together with their physical address, identity number and their signature- who do not fall within the description of the first respondent and are not affected by the order sought by the applicant. In addition the list must indicate the terms of the mandate given to the attorneys in respect of the relief they seek;</w:t>
      </w:r>
    </w:p>
    <w:p w:rsidR="002C1886" w:rsidRPr="00960A95" w:rsidRDefault="002C1886" w:rsidP="002C1886">
      <w:pPr>
        <w:spacing w:line="360" w:lineRule="auto"/>
        <w:ind w:left="2160" w:hanging="720"/>
        <w:rPr>
          <w:rFonts w:ascii="Arial" w:hAnsi="Arial" w:cs="Arial"/>
          <w:i/>
        </w:rPr>
      </w:pPr>
    </w:p>
    <w:p w:rsidR="002C1886" w:rsidRPr="00960A95" w:rsidRDefault="002C1886" w:rsidP="002C1886">
      <w:pPr>
        <w:spacing w:line="360" w:lineRule="auto"/>
        <w:ind w:left="720" w:firstLine="720"/>
        <w:rPr>
          <w:rFonts w:ascii="Arial" w:hAnsi="Arial" w:cs="Arial"/>
          <w:i/>
        </w:rPr>
      </w:pPr>
      <w:r w:rsidRPr="00960A95">
        <w:rPr>
          <w:rFonts w:ascii="Arial" w:hAnsi="Arial" w:cs="Arial"/>
          <w:i/>
        </w:rPr>
        <w:t>2.3</w:t>
      </w:r>
      <w:r w:rsidRPr="00960A95">
        <w:rPr>
          <w:rFonts w:ascii="Arial" w:hAnsi="Arial" w:cs="Arial"/>
          <w:i/>
        </w:rPr>
        <w:tab/>
        <w:t>The lists shall further:</w:t>
      </w:r>
    </w:p>
    <w:p w:rsidR="002C1886" w:rsidRPr="00960A95" w:rsidRDefault="002C1886" w:rsidP="002C1886">
      <w:pPr>
        <w:spacing w:line="360" w:lineRule="auto"/>
        <w:ind w:left="2880" w:hanging="720"/>
        <w:rPr>
          <w:rFonts w:ascii="Arial" w:hAnsi="Arial" w:cs="Arial"/>
          <w:i/>
        </w:rPr>
      </w:pPr>
      <w:r w:rsidRPr="00960A95">
        <w:rPr>
          <w:rFonts w:ascii="Arial" w:hAnsi="Arial" w:cs="Arial"/>
          <w:i/>
        </w:rPr>
        <w:t>(a)</w:t>
      </w:r>
      <w:r w:rsidRPr="00960A95">
        <w:rPr>
          <w:rFonts w:ascii="Arial" w:hAnsi="Arial" w:cs="Arial"/>
          <w:i/>
        </w:rPr>
        <w:tab/>
        <w:t xml:space="preserve"> Be organised in such a way that they group together family heads and their dependents if any</w:t>
      </w:r>
    </w:p>
    <w:p w:rsidR="002C1886" w:rsidRPr="00960A95" w:rsidRDefault="002C1886" w:rsidP="002C1886">
      <w:pPr>
        <w:spacing w:line="360" w:lineRule="auto"/>
        <w:ind w:left="2880" w:hanging="720"/>
        <w:rPr>
          <w:rFonts w:ascii="Arial" w:hAnsi="Arial" w:cs="Arial"/>
          <w:i/>
        </w:rPr>
      </w:pPr>
      <w:r w:rsidRPr="00960A95">
        <w:rPr>
          <w:rFonts w:ascii="Arial" w:hAnsi="Arial" w:cs="Arial"/>
          <w:i/>
        </w:rPr>
        <w:lastRenderedPageBreak/>
        <w:t>(b)</w:t>
      </w:r>
      <w:r w:rsidRPr="00960A95">
        <w:rPr>
          <w:rFonts w:ascii="Arial" w:hAnsi="Arial" w:cs="Arial"/>
          <w:i/>
        </w:rPr>
        <w:tab/>
        <w:t>In addition be grouped by reference to the community to which the persons belong or come from if they contend that their rights are determined by reference to membership of the community in question;</w:t>
      </w:r>
    </w:p>
    <w:p w:rsidR="002C1886" w:rsidRPr="00960A95" w:rsidRDefault="002C1886" w:rsidP="002C1886">
      <w:pPr>
        <w:spacing w:line="360" w:lineRule="auto"/>
        <w:ind w:left="2880" w:hanging="720"/>
        <w:rPr>
          <w:rFonts w:ascii="Arial" w:hAnsi="Arial" w:cs="Arial"/>
          <w:i/>
        </w:rPr>
      </w:pPr>
      <w:r w:rsidRPr="00960A95">
        <w:rPr>
          <w:rFonts w:ascii="Arial" w:hAnsi="Arial" w:cs="Arial"/>
          <w:i/>
        </w:rPr>
        <w:t>(c)</w:t>
      </w:r>
      <w:r w:rsidRPr="00960A95">
        <w:rPr>
          <w:rFonts w:ascii="Arial" w:hAnsi="Arial" w:cs="Arial"/>
          <w:i/>
        </w:rPr>
        <w:tab/>
        <w:t>Identify the rights, if any, the persons seek to assert before the court as the basis for opposing the confirmation of the rule nisi referred to above;</w:t>
      </w:r>
    </w:p>
    <w:p w:rsidR="002C1886" w:rsidRPr="00960A95" w:rsidRDefault="002C1886" w:rsidP="002C1886">
      <w:pPr>
        <w:spacing w:line="360" w:lineRule="auto"/>
        <w:ind w:left="2880" w:hanging="720"/>
        <w:rPr>
          <w:rFonts w:ascii="Arial" w:hAnsi="Arial" w:cs="Arial"/>
          <w:i/>
        </w:rPr>
      </w:pPr>
      <w:r w:rsidRPr="00960A95">
        <w:rPr>
          <w:rFonts w:ascii="Arial" w:hAnsi="Arial" w:cs="Arial"/>
          <w:i/>
        </w:rPr>
        <w:t>(d)</w:t>
      </w:r>
      <w:r w:rsidRPr="00960A95">
        <w:rPr>
          <w:rFonts w:ascii="Arial" w:hAnsi="Arial" w:cs="Arial"/>
          <w:i/>
        </w:rPr>
        <w:tab/>
        <w:t>Identify the rights, if any, the persons seek to assert before the court as the basis for any counter-application or extended relief and entitlement to be joined as a party;</w:t>
      </w:r>
    </w:p>
    <w:p w:rsidR="002C1886" w:rsidRPr="00960A95" w:rsidRDefault="002C1886" w:rsidP="002C1886">
      <w:pPr>
        <w:spacing w:line="360" w:lineRule="auto"/>
        <w:ind w:left="720"/>
        <w:rPr>
          <w:rFonts w:ascii="Arial" w:hAnsi="Arial" w:cs="Arial"/>
          <w:i/>
        </w:rPr>
      </w:pPr>
    </w:p>
    <w:p w:rsidR="002C1886" w:rsidRPr="00960A95" w:rsidRDefault="002C1886" w:rsidP="002C1886">
      <w:pPr>
        <w:spacing w:line="360" w:lineRule="auto"/>
        <w:ind w:left="2160" w:hanging="720"/>
        <w:rPr>
          <w:rFonts w:ascii="Arial" w:hAnsi="Arial" w:cs="Arial"/>
          <w:i/>
        </w:rPr>
      </w:pPr>
      <w:r w:rsidRPr="00960A95">
        <w:rPr>
          <w:rFonts w:ascii="Arial" w:hAnsi="Arial" w:cs="Arial"/>
          <w:i/>
        </w:rPr>
        <w:t>2.4</w:t>
      </w:r>
      <w:r w:rsidRPr="00960A95">
        <w:rPr>
          <w:rFonts w:ascii="Arial" w:hAnsi="Arial" w:cs="Arial"/>
          <w:i/>
        </w:rPr>
        <w:tab/>
        <w:t>The lists will be attached to an affidavit in respect of which the following further details are addressed:</w:t>
      </w:r>
    </w:p>
    <w:p w:rsidR="002C1886" w:rsidRPr="00960A95" w:rsidRDefault="002C1886" w:rsidP="002C1886">
      <w:pPr>
        <w:spacing w:line="360" w:lineRule="auto"/>
        <w:ind w:left="2160" w:hanging="720"/>
        <w:rPr>
          <w:rFonts w:ascii="Arial" w:hAnsi="Arial" w:cs="Arial"/>
          <w:i/>
        </w:rPr>
      </w:pPr>
    </w:p>
    <w:p w:rsidR="002C1886" w:rsidRPr="00960A95" w:rsidRDefault="002C1886" w:rsidP="002C1886">
      <w:pPr>
        <w:spacing w:line="360" w:lineRule="auto"/>
        <w:ind w:left="2880" w:hanging="720"/>
        <w:rPr>
          <w:rFonts w:ascii="Arial" w:hAnsi="Arial" w:cs="Arial"/>
          <w:i/>
        </w:rPr>
      </w:pPr>
      <w:r w:rsidRPr="00960A95">
        <w:rPr>
          <w:rFonts w:ascii="Arial" w:hAnsi="Arial" w:cs="Arial"/>
          <w:i/>
        </w:rPr>
        <w:t>(a)</w:t>
      </w:r>
      <w:r w:rsidRPr="00960A95">
        <w:rPr>
          <w:rFonts w:ascii="Arial" w:hAnsi="Arial" w:cs="Arial"/>
          <w:i/>
        </w:rPr>
        <w:tab/>
        <w:t>A brief historical account of the relevant issues that affect the persons participating in these proceedings and the basis on which they seek to be joined if they are not among those who fall within the description of the cited first respondent and are not affected by the relief sought by the applicant;</w:t>
      </w:r>
    </w:p>
    <w:p w:rsidR="002C1886" w:rsidRPr="00960A95" w:rsidRDefault="002C1886" w:rsidP="002C1886">
      <w:pPr>
        <w:spacing w:line="360" w:lineRule="auto"/>
        <w:ind w:left="2880" w:hanging="720"/>
        <w:rPr>
          <w:rFonts w:ascii="Arial" w:hAnsi="Arial" w:cs="Arial"/>
          <w:i/>
        </w:rPr>
      </w:pPr>
      <w:r w:rsidRPr="00960A95">
        <w:rPr>
          <w:rFonts w:ascii="Arial" w:hAnsi="Arial" w:cs="Arial"/>
          <w:i/>
        </w:rPr>
        <w:t>(b)</w:t>
      </w:r>
      <w:r w:rsidRPr="00960A95">
        <w:rPr>
          <w:rFonts w:ascii="Arial" w:hAnsi="Arial" w:cs="Arial"/>
          <w:i/>
        </w:rPr>
        <w:tab/>
        <w:t>The rights they seek to assert in these proceedings, whether those rights are claimed by assertion or by reference to their infringement;</w:t>
      </w:r>
    </w:p>
    <w:p w:rsidR="002C1886" w:rsidRDefault="002C1886" w:rsidP="002C1886">
      <w:pPr>
        <w:spacing w:line="360" w:lineRule="auto"/>
        <w:ind w:left="2880" w:hanging="720"/>
        <w:rPr>
          <w:rFonts w:ascii="Arial" w:hAnsi="Arial" w:cs="Arial"/>
          <w:i/>
        </w:rPr>
      </w:pPr>
      <w:r w:rsidRPr="00960A95">
        <w:rPr>
          <w:rFonts w:ascii="Arial" w:hAnsi="Arial" w:cs="Arial"/>
          <w:i/>
        </w:rPr>
        <w:t>(c)</w:t>
      </w:r>
      <w:r w:rsidRPr="00960A95">
        <w:rPr>
          <w:rFonts w:ascii="Arial" w:hAnsi="Arial" w:cs="Arial"/>
          <w:i/>
        </w:rPr>
        <w:tab/>
        <w:t>Whether any counter-application or extended relief is intended to be sought by any category of persons, and if so which category, by means of a collateral defence, if any, including a brief outline in respect thereof.</w:t>
      </w:r>
    </w:p>
    <w:p w:rsidR="002C1886" w:rsidRPr="00960A95" w:rsidRDefault="002C1886" w:rsidP="002C1886">
      <w:pPr>
        <w:spacing w:line="360" w:lineRule="auto"/>
        <w:ind w:left="2880" w:hanging="720"/>
        <w:rPr>
          <w:rFonts w:ascii="Arial" w:hAnsi="Arial" w:cs="Arial"/>
          <w:i/>
        </w:rPr>
      </w:pPr>
    </w:p>
    <w:p w:rsidR="002C1886" w:rsidRDefault="002C1886" w:rsidP="002C1886">
      <w:pPr>
        <w:spacing w:line="360" w:lineRule="auto"/>
        <w:ind w:left="2160" w:hanging="720"/>
        <w:rPr>
          <w:rFonts w:ascii="Arial" w:hAnsi="Arial" w:cs="Arial"/>
          <w:i/>
        </w:rPr>
      </w:pPr>
      <w:r w:rsidRPr="00960A95">
        <w:rPr>
          <w:rFonts w:ascii="Arial" w:hAnsi="Arial" w:cs="Arial"/>
          <w:i/>
        </w:rPr>
        <w:t>3.</w:t>
      </w:r>
      <w:r w:rsidRPr="00960A95">
        <w:rPr>
          <w:rFonts w:ascii="Arial" w:hAnsi="Arial" w:cs="Arial"/>
          <w:i/>
        </w:rPr>
        <w:tab/>
        <w:t>The documents referred to above shall be delivered by no later than 28 August 2019.</w:t>
      </w:r>
    </w:p>
    <w:p w:rsidR="002C1886" w:rsidRPr="00960A95" w:rsidRDefault="002C1886" w:rsidP="002C1886">
      <w:pPr>
        <w:spacing w:line="360" w:lineRule="auto"/>
        <w:ind w:left="2160" w:hanging="720"/>
        <w:rPr>
          <w:rFonts w:ascii="Arial" w:hAnsi="Arial" w:cs="Arial"/>
          <w:i/>
        </w:rPr>
      </w:pPr>
    </w:p>
    <w:p w:rsidR="002C1886" w:rsidRDefault="002C1886" w:rsidP="002C1886">
      <w:pPr>
        <w:spacing w:line="360" w:lineRule="auto"/>
        <w:ind w:left="2160" w:hanging="720"/>
        <w:rPr>
          <w:rFonts w:ascii="Arial" w:hAnsi="Arial" w:cs="Arial"/>
          <w:i/>
        </w:rPr>
      </w:pPr>
      <w:r w:rsidRPr="00960A95">
        <w:rPr>
          <w:rFonts w:ascii="Arial" w:hAnsi="Arial" w:cs="Arial"/>
          <w:i/>
        </w:rPr>
        <w:t>4.</w:t>
      </w:r>
      <w:r w:rsidRPr="00960A95">
        <w:rPr>
          <w:rFonts w:ascii="Arial" w:hAnsi="Arial" w:cs="Arial"/>
          <w:i/>
        </w:rPr>
        <w:tab/>
        <w:t xml:space="preserve">The parties will attend a hearing before Judge Spilg on 5 September 2019 at which such issues as are capable of being determined will be dealt with or at which the rule will be </w:t>
      </w:r>
      <w:r w:rsidRPr="00960A95">
        <w:rPr>
          <w:rFonts w:ascii="Arial" w:hAnsi="Arial" w:cs="Arial"/>
          <w:i/>
        </w:rPr>
        <w:lastRenderedPageBreak/>
        <w:t xml:space="preserve">extended so that further affidavits may be filed, including any supplementary affidavit by the applicant. </w:t>
      </w:r>
    </w:p>
    <w:p w:rsidR="00992516" w:rsidRPr="00960A95" w:rsidRDefault="00992516" w:rsidP="002C1886">
      <w:pPr>
        <w:spacing w:line="360" w:lineRule="auto"/>
        <w:ind w:left="2160" w:hanging="720"/>
        <w:rPr>
          <w:rFonts w:ascii="Arial" w:hAnsi="Arial" w:cs="Arial"/>
          <w:i/>
        </w:rPr>
      </w:pPr>
    </w:p>
    <w:p w:rsidR="002C1886" w:rsidRPr="00960A95" w:rsidRDefault="002C1886" w:rsidP="002C1886">
      <w:pPr>
        <w:spacing w:line="360" w:lineRule="auto"/>
        <w:ind w:left="720" w:firstLine="720"/>
        <w:rPr>
          <w:rFonts w:ascii="Arial" w:hAnsi="Arial" w:cs="Arial"/>
          <w:i/>
        </w:rPr>
      </w:pPr>
      <w:r w:rsidRPr="00960A95">
        <w:rPr>
          <w:rFonts w:ascii="Arial" w:hAnsi="Arial" w:cs="Arial"/>
          <w:i/>
        </w:rPr>
        <w:t>5.</w:t>
      </w:r>
      <w:r w:rsidRPr="00960A95">
        <w:rPr>
          <w:rFonts w:ascii="Arial" w:hAnsi="Arial" w:cs="Arial"/>
          <w:i/>
        </w:rPr>
        <w:tab/>
        <w:t>The costs of 16 August 2019 will be costs in the cause.</w:t>
      </w:r>
    </w:p>
    <w:p w:rsidR="002C1886" w:rsidRDefault="002C1886" w:rsidP="002C1886">
      <w:pPr>
        <w:spacing w:line="360" w:lineRule="auto"/>
        <w:rPr>
          <w:rFonts w:ascii="Arial" w:hAnsi="Arial" w:cs="Arial"/>
          <w:b/>
        </w:rPr>
      </w:pPr>
    </w:p>
    <w:p w:rsidR="00992516" w:rsidRPr="00992516" w:rsidRDefault="006D0463" w:rsidP="00AF22DC">
      <w:pPr>
        <w:pStyle w:val="ListParagraph"/>
        <w:numPr>
          <w:ilvl w:val="0"/>
          <w:numId w:val="3"/>
        </w:numPr>
        <w:spacing w:line="360" w:lineRule="auto"/>
        <w:rPr>
          <w:rFonts w:ascii="Arial" w:hAnsi="Arial" w:cs="Arial"/>
        </w:rPr>
      </w:pPr>
      <w:r>
        <w:rPr>
          <w:rFonts w:ascii="Arial" w:hAnsi="Arial" w:cs="Arial"/>
        </w:rPr>
        <w:t xml:space="preserve">It is unnecessary to recount events </w:t>
      </w:r>
      <w:r w:rsidR="00992516">
        <w:rPr>
          <w:rFonts w:ascii="Arial" w:hAnsi="Arial" w:cs="Arial"/>
        </w:rPr>
        <w:t>which resulted in the completion of the list of persons comprising the first respondent group or the filing of affidavits, includ</w:t>
      </w:r>
      <w:r w:rsidR="00801ED2">
        <w:rPr>
          <w:rFonts w:ascii="Arial" w:hAnsi="Arial" w:cs="Arial"/>
        </w:rPr>
        <w:t>ing</w:t>
      </w:r>
      <w:r w:rsidR="00992516">
        <w:rPr>
          <w:rFonts w:ascii="Arial" w:hAnsi="Arial" w:cs="Arial"/>
        </w:rPr>
        <w:t xml:space="preserve"> a supplementary founding affidavit by the Metro. Of importance are the</w:t>
      </w:r>
      <w:r w:rsidR="00D11BD2">
        <w:rPr>
          <w:rFonts w:ascii="Arial" w:hAnsi="Arial" w:cs="Arial"/>
        </w:rPr>
        <w:t xml:space="preserve"> </w:t>
      </w:r>
      <w:r w:rsidR="00992516">
        <w:rPr>
          <w:rFonts w:ascii="Arial" w:hAnsi="Arial" w:cs="Arial"/>
        </w:rPr>
        <w:t xml:space="preserve">issues raised </w:t>
      </w:r>
      <w:r w:rsidR="00D11BD2">
        <w:rPr>
          <w:rFonts w:ascii="Arial" w:hAnsi="Arial" w:cs="Arial"/>
        </w:rPr>
        <w:t>in the respective affidavits filed and how this case came to be extended so as to invo</w:t>
      </w:r>
      <w:r w:rsidR="00B703AB">
        <w:rPr>
          <w:rFonts w:ascii="Arial" w:hAnsi="Arial" w:cs="Arial"/>
        </w:rPr>
        <w:t>lve a subsequent group of persons</w:t>
      </w:r>
      <w:r w:rsidR="00D11BD2">
        <w:rPr>
          <w:rFonts w:ascii="Arial" w:hAnsi="Arial" w:cs="Arial"/>
        </w:rPr>
        <w:t xml:space="preserve"> who</w:t>
      </w:r>
      <w:r w:rsidR="00967F6B">
        <w:rPr>
          <w:rFonts w:ascii="Arial" w:hAnsi="Arial" w:cs="Arial"/>
        </w:rPr>
        <w:t xml:space="preserve"> were identified as </w:t>
      </w:r>
      <w:r w:rsidR="00D11BD2">
        <w:rPr>
          <w:rFonts w:ascii="Arial" w:hAnsi="Arial" w:cs="Arial"/>
        </w:rPr>
        <w:t xml:space="preserve">the eighth respondent. </w:t>
      </w:r>
    </w:p>
    <w:p w:rsidR="000A07C8" w:rsidRPr="000A07C8" w:rsidRDefault="000A07C8" w:rsidP="000A07C8">
      <w:pPr>
        <w:pStyle w:val="ListParagraph"/>
        <w:rPr>
          <w:rFonts w:ascii="Arial" w:hAnsi="Arial" w:cs="Arial"/>
        </w:rPr>
      </w:pPr>
    </w:p>
    <w:p w:rsidR="000774C7" w:rsidRDefault="000774C7" w:rsidP="000A07C8">
      <w:pPr>
        <w:spacing w:line="360" w:lineRule="auto"/>
        <w:rPr>
          <w:rFonts w:ascii="Arial" w:hAnsi="Arial" w:cs="Arial"/>
          <w:b/>
        </w:rPr>
      </w:pPr>
    </w:p>
    <w:p w:rsidR="000A07C8" w:rsidRPr="000A07C8" w:rsidRDefault="000A07C8" w:rsidP="000A07C8">
      <w:pPr>
        <w:spacing w:line="360" w:lineRule="auto"/>
        <w:rPr>
          <w:rFonts w:ascii="Arial" w:hAnsi="Arial" w:cs="Arial"/>
          <w:b/>
        </w:rPr>
      </w:pPr>
      <w:r w:rsidRPr="000A07C8">
        <w:rPr>
          <w:rFonts w:ascii="Arial" w:hAnsi="Arial" w:cs="Arial"/>
          <w:b/>
        </w:rPr>
        <w:t xml:space="preserve">The first </w:t>
      </w:r>
      <w:r w:rsidR="005C2C6D" w:rsidRPr="000A07C8">
        <w:rPr>
          <w:rFonts w:ascii="Arial" w:hAnsi="Arial" w:cs="Arial"/>
          <w:b/>
        </w:rPr>
        <w:t>respondent’</w:t>
      </w:r>
      <w:r w:rsidR="005C2C6D">
        <w:rPr>
          <w:rFonts w:ascii="Arial" w:hAnsi="Arial" w:cs="Arial"/>
          <w:b/>
        </w:rPr>
        <w:t>s</w:t>
      </w:r>
      <w:r>
        <w:rPr>
          <w:rFonts w:ascii="Arial" w:hAnsi="Arial" w:cs="Arial"/>
          <w:b/>
        </w:rPr>
        <w:t xml:space="preserve"> substantive issues</w:t>
      </w:r>
      <w:r w:rsidRPr="000A07C8">
        <w:rPr>
          <w:rFonts w:ascii="Arial" w:hAnsi="Arial" w:cs="Arial"/>
          <w:b/>
        </w:rPr>
        <w:t xml:space="preserve"> </w:t>
      </w:r>
    </w:p>
    <w:p w:rsidR="0066176E" w:rsidRPr="0066176E" w:rsidRDefault="0066176E" w:rsidP="0066176E">
      <w:pPr>
        <w:pStyle w:val="ListParagraph"/>
        <w:rPr>
          <w:rFonts w:ascii="Arial" w:hAnsi="Arial" w:cs="Arial"/>
        </w:rPr>
      </w:pPr>
    </w:p>
    <w:p w:rsidR="0066176E" w:rsidRPr="00D11BD2" w:rsidRDefault="0066176E" w:rsidP="00AF22DC">
      <w:pPr>
        <w:pStyle w:val="ListParagraph"/>
        <w:numPr>
          <w:ilvl w:val="0"/>
          <w:numId w:val="3"/>
        </w:numPr>
        <w:spacing w:line="360" w:lineRule="auto"/>
        <w:rPr>
          <w:rFonts w:ascii="Arial" w:hAnsi="Arial" w:cs="Arial"/>
        </w:rPr>
      </w:pPr>
      <w:r>
        <w:rPr>
          <w:rFonts w:ascii="Arial" w:hAnsi="Arial" w:cs="Arial"/>
        </w:rPr>
        <w:t xml:space="preserve">In </w:t>
      </w:r>
      <w:r w:rsidR="005C2C6D">
        <w:rPr>
          <w:rFonts w:ascii="Arial" w:hAnsi="Arial" w:cs="Arial"/>
        </w:rPr>
        <w:t>their</w:t>
      </w:r>
      <w:r>
        <w:rPr>
          <w:rFonts w:ascii="Arial" w:hAnsi="Arial" w:cs="Arial"/>
        </w:rPr>
        <w:t xml:space="preserve"> answering affidavit</w:t>
      </w:r>
      <w:r w:rsidRPr="00D11BD2">
        <w:rPr>
          <w:rFonts w:ascii="Arial" w:hAnsi="Arial" w:cs="Arial"/>
        </w:rPr>
        <w:t xml:space="preserve">s the first </w:t>
      </w:r>
      <w:r w:rsidR="005C2C6D" w:rsidRPr="00D11BD2">
        <w:rPr>
          <w:rFonts w:ascii="Arial" w:hAnsi="Arial" w:cs="Arial"/>
        </w:rPr>
        <w:t>respondent</w:t>
      </w:r>
      <w:r w:rsidRPr="00D11BD2">
        <w:rPr>
          <w:rFonts w:ascii="Arial" w:hAnsi="Arial" w:cs="Arial"/>
        </w:rPr>
        <w:t xml:space="preserve"> group contended that</w:t>
      </w:r>
      <w:r w:rsidR="00ED169A">
        <w:rPr>
          <w:rFonts w:ascii="Arial" w:hAnsi="Arial" w:cs="Arial"/>
        </w:rPr>
        <w:t>;</w:t>
      </w:r>
    </w:p>
    <w:p w:rsidR="0066176E" w:rsidRPr="0066176E" w:rsidRDefault="0066176E" w:rsidP="0066176E">
      <w:pPr>
        <w:pStyle w:val="ListParagraph"/>
        <w:rPr>
          <w:rFonts w:ascii="Arial" w:hAnsi="Arial" w:cs="Arial"/>
        </w:rPr>
      </w:pPr>
    </w:p>
    <w:p w:rsidR="0066176E" w:rsidRDefault="0066176E" w:rsidP="00AD0DAF">
      <w:pPr>
        <w:pStyle w:val="ListParagraph"/>
        <w:numPr>
          <w:ilvl w:val="0"/>
          <w:numId w:val="17"/>
        </w:numPr>
        <w:spacing w:line="360" w:lineRule="auto"/>
        <w:rPr>
          <w:rFonts w:ascii="Arial" w:hAnsi="Arial" w:cs="Arial"/>
        </w:rPr>
      </w:pPr>
      <w:r>
        <w:rPr>
          <w:rFonts w:ascii="Arial" w:hAnsi="Arial" w:cs="Arial"/>
        </w:rPr>
        <w:t>they were removed from the development after they had taken occupation of houses (whether complete or incomplete) and were therefore in</w:t>
      </w:r>
      <w:r w:rsidR="00DD256A">
        <w:rPr>
          <w:rFonts w:ascii="Arial" w:hAnsi="Arial" w:cs="Arial"/>
        </w:rPr>
        <w:t xml:space="preserve">correctly cited as </w:t>
      </w:r>
      <w:r w:rsidR="005C2C6D">
        <w:rPr>
          <w:rFonts w:ascii="Arial" w:hAnsi="Arial" w:cs="Arial"/>
        </w:rPr>
        <w:t>trespassers</w:t>
      </w:r>
      <w:r w:rsidR="00DD256A">
        <w:rPr>
          <w:rFonts w:ascii="Arial" w:hAnsi="Arial" w:cs="Arial"/>
        </w:rPr>
        <w:t>;</w:t>
      </w:r>
    </w:p>
    <w:p w:rsidR="0066176E" w:rsidRDefault="0066176E" w:rsidP="0066176E">
      <w:pPr>
        <w:pStyle w:val="ListParagraph"/>
        <w:spacing w:line="360" w:lineRule="auto"/>
        <w:ind w:left="1080"/>
        <w:rPr>
          <w:rFonts w:ascii="Arial" w:hAnsi="Arial" w:cs="Arial"/>
        </w:rPr>
      </w:pPr>
    </w:p>
    <w:p w:rsidR="0066176E" w:rsidRDefault="00DD256A" w:rsidP="00AD0DAF">
      <w:pPr>
        <w:pStyle w:val="ListParagraph"/>
        <w:numPr>
          <w:ilvl w:val="0"/>
          <w:numId w:val="17"/>
        </w:numPr>
        <w:spacing w:line="360" w:lineRule="auto"/>
        <w:rPr>
          <w:rFonts w:ascii="Arial" w:hAnsi="Arial" w:cs="Arial"/>
        </w:rPr>
      </w:pPr>
      <w:r>
        <w:rPr>
          <w:rFonts w:ascii="Arial" w:hAnsi="Arial" w:cs="Arial"/>
        </w:rPr>
        <w:t xml:space="preserve">they </w:t>
      </w:r>
      <w:r w:rsidR="00D11BD2">
        <w:rPr>
          <w:rFonts w:ascii="Arial" w:hAnsi="Arial" w:cs="Arial"/>
        </w:rPr>
        <w:t xml:space="preserve">were </w:t>
      </w:r>
      <w:r w:rsidR="00801ED2">
        <w:rPr>
          <w:rFonts w:ascii="Arial" w:hAnsi="Arial" w:cs="Arial"/>
        </w:rPr>
        <w:t xml:space="preserve">unlawfully evicted </w:t>
      </w:r>
      <w:r w:rsidR="00801ED2" w:rsidRPr="00B72EE8">
        <w:rPr>
          <w:rFonts w:ascii="Arial" w:hAnsi="Arial" w:cs="Arial"/>
        </w:rPr>
        <w:t xml:space="preserve">because they had not been </w:t>
      </w:r>
      <w:r w:rsidRPr="00B72EE8">
        <w:rPr>
          <w:rFonts w:ascii="Arial" w:hAnsi="Arial" w:cs="Arial"/>
        </w:rPr>
        <w:t>served with a court order a</w:t>
      </w:r>
      <w:r>
        <w:rPr>
          <w:rFonts w:ascii="Arial" w:hAnsi="Arial" w:cs="Arial"/>
        </w:rPr>
        <w:t xml:space="preserve">nd </w:t>
      </w:r>
      <w:r w:rsidR="00801ED2">
        <w:rPr>
          <w:rFonts w:ascii="Arial" w:hAnsi="Arial" w:cs="Arial"/>
        </w:rPr>
        <w:t xml:space="preserve">because they </w:t>
      </w:r>
      <w:r>
        <w:rPr>
          <w:rFonts w:ascii="Arial" w:hAnsi="Arial" w:cs="Arial"/>
        </w:rPr>
        <w:t>were e</w:t>
      </w:r>
      <w:r w:rsidR="0066176E">
        <w:rPr>
          <w:rFonts w:ascii="Arial" w:hAnsi="Arial" w:cs="Arial"/>
        </w:rPr>
        <w:t xml:space="preserve">ntitled </w:t>
      </w:r>
      <w:r>
        <w:rPr>
          <w:rFonts w:ascii="Arial" w:hAnsi="Arial" w:cs="Arial"/>
        </w:rPr>
        <w:t xml:space="preserve">to </w:t>
      </w:r>
      <w:r w:rsidR="0066176E">
        <w:rPr>
          <w:rFonts w:ascii="Arial" w:hAnsi="Arial" w:cs="Arial"/>
        </w:rPr>
        <w:t xml:space="preserve">protection </w:t>
      </w:r>
      <w:r>
        <w:rPr>
          <w:rFonts w:ascii="Arial" w:hAnsi="Arial" w:cs="Arial"/>
        </w:rPr>
        <w:t>under PIE</w:t>
      </w:r>
      <w:r w:rsidR="00801ED2">
        <w:rPr>
          <w:rFonts w:ascii="Arial" w:hAnsi="Arial" w:cs="Arial"/>
        </w:rPr>
        <w:t>;</w:t>
      </w:r>
      <w:r w:rsidR="0066176E">
        <w:rPr>
          <w:rFonts w:ascii="Arial" w:hAnsi="Arial" w:cs="Arial"/>
        </w:rPr>
        <w:t xml:space="preserve"> </w:t>
      </w:r>
    </w:p>
    <w:p w:rsidR="0066176E" w:rsidRPr="00F361E4" w:rsidRDefault="0066176E" w:rsidP="0066176E">
      <w:pPr>
        <w:pStyle w:val="ListParagraph"/>
        <w:rPr>
          <w:rFonts w:ascii="Arial" w:hAnsi="Arial" w:cs="Arial"/>
        </w:rPr>
      </w:pPr>
    </w:p>
    <w:p w:rsidR="0066176E" w:rsidRDefault="0066176E" w:rsidP="00AD0DAF">
      <w:pPr>
        <w:pStyle w:val="ListParagraph"/>
        <w:numPr>
          <w:ilvl w:val="0"/>
          <w:numId w:val="17"/>
        </w:numPr>
        <w:spacing w:line="360" w:lineRule="auto"/>
        <w:rPr>
          <w:rFonts w:ascii="Arial" w:hAnsi="Arial" w:cs="Arial"/>
        </w:rPr>
      </w:pPr>
      <w:r>
        <w:rPr>
          <w:rFonts w:ascii="Arial" w:hAnsi="Arial" w:cs="Arial"/>
        </w:rPr>
        <w:t>t</w:t>
      </w:r>
      <w:r w:rsidR="00B72EE8">
        <w:rPr>
          <w:rFonts w:ascii="Arial" w:hAnsi="Arial" w:cs="Arial"/>
        </w:rPr>
        <w:t>hey had been spoliated and ther</w:t>
      </w:r>
      <w:r>
        <w:rPr>
          <w:rFonts w:ascii="Arial" w:hAnsi="Arial" w:cs="Arial"/>
        </w:rPr>
        <w:t xml:space="preserve">e could be no lawful counter-spoliation since they </w:t>
      </w:r>
      <w:r w:rsidR="00801ED2">
        <w:rPr>
          <w:rFonts w:ascii="Arial" w:hAnsi="Arial" w:cs="Arial"/>
        </w:rPr>
        <w:t>had been in occupation since</w:t>
      </w:r>
      <w:r w:rsidR="00ED169A">
        <w:rPr>
          <w:rFonts w:ascii="Arial" w:hAnsi="Arial" w:cs="Arial"/>
        </w:rPr>
        <w:t xml:space="preserve"> </w:t>
      </w:r>
      <w:r w:rsidRPr="00DD256A">
        <w:rPr>
          <w:rFonts w:ascii="Arial" w:hAnsi="Arial" w:cs="Arial"/>
        </w:rPr>
        <w:t>19 July</w:t>
      </w:r>
      <w:r w:rsidR="00DD256A">
        <w:rPr>
          <w:rFonts w:ascii="Arial" w:hAnsi="Arial" w:cs="Arial"/>
        </w:rPr>
        <w:t xml:space="preserve"> 2019</w:t>
      </w:r>
      <w:r>
        <w:rPr>
          <w:rFonts w:ascii="Arial" w:hAnsi="Arial" w:cs="Arial"/>
        </w:rPr>
        <w:t xml:space="preserve">, and in any event the </w:t>
      </w:r>
      <w:r w:rsidR="00801ED2">
        <w:rPr>
          <w:rFonts w:ascii="Arial" w:hAnsi="Arial" w:cs="Arial"/>
        </w:rPr>
        <w:t xml:space="preserve">excessive </w:t>
      </w:r>
      <w:r>
        <w:rPr>
          <w:rFonts w:ascii="Arial" w:hAnsi="Arial" w:cs="Arial"/>
        </w:rPr>
        <w:t>mea</w:t>
      </w:r>
      <w:r w:rsidR="00801ED2">
        <w:rPr>
          <w:rFonts w:ascii="Arial" w:hAnsi="Arial" w:cs="Arial"/>
        </w:rPr>
        <w:t>sures</w:t>
      </w:r>
      <w:r>
        <w:rPr>
          <w:rFonts w:ascii="Arial" w:hAnsi="Arial" w:cs="Arial"/>
        </w:rPr>
        <w:t xml:space="preserve"> applied to effect the counter-spoliation </w:t>
      </w:r>
      <w:r w:rsidR="00801ED2">
        <w:rPr>
          <w:rFonts w:ascii="Arial" w:hAnsi="Arial" w:cs="Arial"/>
        </w:rPr>
        <w:t xml:space="preserve">rendered it </w:t>
      </w:r>
      <w:r>
        <w:rPr>
          <w:rFonts w:ascii="Arial" w:hAnsi="Arial" w:cs="Arial"/>
        </w:rPr>
        <w:t xml:space="preserve">unlawful  </w:t>
      </w:r>
    </w:p>
    <w:p w:rsidR="0066176E" w:rsidRPr="00F361E4" w:rsidRDefault="0066176E" w:rsidP="0066176E">
      <w:pPr>
        <w:pStyle w:val="ListParagraph"/>
        <w:rPr>
          <w:rFonts w:ascii="Arial" w:hAnsi="Arial" w:cs="Arial"/>
        </w:rPr>
      </w:pPr>
    </w:p>
    <w:p w:rsidR="0066176E" w:rsidRDefault="0066176E" w:rsidP="00AD0DAF">
      <w:pPr>
        <w:pStyle w:val="ListParagraph"/>
        <w:numPr>
          <w:ilvl w:val="0"/>
          <w:numId w:val="17"/>
        </w:numPr>
        <w:spacing w:line="360" w:lineRule="auto"/>
        <w:rPr>
          <w:rFonts w:ascii="Arial" w:hAnsi="Arial" w:cs="Arial"/>
        </w:rPr>
      </w:pPr>
      <w:r>
        <w:rPr>
          <w:rFonts w:ascii="Arial" w:hAnsi="Arial" w:cs="Arial"/>
        </w:rPr>
        <w:t>the</w:t>
      </w:r>
      <w:r w:rsidR="00801ED2">
        <w:rPr>
          <w:rFonts w:ascii="Arial" w:hAnsi="Arial" w:cs="Arial"/>
        </w:rPr>
        <w:t>ir</w:t>
      </w:r>
      <w:r>
        <w:rPr>
          <w:rFonts w:ascii="Arial" w:hAnsi="Arial" w:cs="Arial"/>
        </w:rPr>
        <w:t xml:space="preserve"> </w:t>
      </w:r>
      <w:r w:rsidRPr="00DD256A">
        <w:rPr>
          <w:rFonts w:ascii="Arial" w:hAnsi="Arial" w:cs="Arial"/>
        </w:rPr>
        <w:t>belongings and goods</w:t>
      </w:r>
      <w:r>
        <w:rPr>
          <w:rFonts w:ascii="Arial" w:hAnsi="Arial" w:cs="Arial"/>
        </w:rPr>
        <w:t xml:space="preserve"> </w:t>
      </w:r>
      <w:r w:rsidR="00801ED2">
        <w:rPr>
          <w:rFonts w:ascii="Arial" w:hAnsi="Arial" w:cs="Arial"/>
        </w:rPr>
        <w:t xml:space="preserve">had </w:t>
      </w:r>
      <w:r>
        <w:rPr>
          <w:rFonts w:ascii="Arial" w:hAnsi="Arial" w:cs="Arial"/>
        </w:rPr>
        <w:t xml:space="preserve">not </w:t>
      </w:r>
      <w:r w:rsidR="00801ED2">
        <w:rPr>
          <w:rFonts w:ascii="Arial" w:hAnsi="Arial" w:cs="Arial"/>
        </w:rPr>
        <w:t xml:space="preserve">been </w:t>
      </w:r>
      <w:r>
        <w:rPr>
          <w:rFonts w:ascii="Arial" w:hAnsi="Arial" w:cs="Arial"/>
        </w:rPr>
        <w:t>returned to them</w:t>
      </w:r>
    </w:p>
    <w:p w:rsidR="002C1886" w:rsidRPr="002C1886" w:rsidRDefault="002C1886" w:rsidP="002C1886">
      <w:pPr>
        <w:pStyle w:val="ListParagraph"/>
        <w:rPr>
          <w:rFonts w:ascii="Arial" w:hAnsi="Arial" w:cs="Arial"/>
        </w:rPr>
      </w:pPr>
    </w:p>
    <w:p w:rsidR="005622BB" w:rsidRPr="0066176E" w:rsidRDefault="002C1886" w:rsidP="00AF22DC">
      <w:pPr>
        <w:pStyle w:val="ListParagraph"/>
        <w:numPr>
          <w:ilvl w:val="0"/>
          <w:numId w:val="3"/>
        </w:numPr>
        <w:spacing w:line="360" w:lineRule="auto"/>
        <w:rPr>
          <w:rFonts w:ascii="Arial" w:hAnsi="Arial" w:cs="Arial"/>
        </w:rPr>
      </w:pPr>
      <w:r w:rsidRPr="0066176E">
        <w:rPr>
          <w:rFonts w:ascii="Arial" w:hAnsi="Arial" w:cs="Arial"/>
        </w:rPr>
        <w:t>Of moment is that the</w:t>
      </w:r>
      <w:r w:rsidR="00801ED2">
        <w:rPr>
          <w:rFonts w:ascii="Arial" w:hAnsi="Arial" w:cs="Arial"/>
        </w:rPr>
        <w:t xml:space="preserve"> first respondent group </w:t>
      </w:r>
      <w:r w:rsidRPr="0066176E">
        <w:rPr>
          <w:rFonts w:ascii="Arial" w:hAnsi="Arial" w:cs="Arial"/>
        </w:rPr>
        <w:t xml:space="preserve">contended that they had been on the </w:t>
      </w:r>
      <w:r w:rsidR="005C2C6D" w:rsidRPr="0066176E">
        <w:rPr>
          <w:rFonts w:ascii="Arial" w:hAnsi="Arial" w:cs="Arial"/>
        </w:rPr>
        <w:t>property</w:t>
      </w:r>
      <w:r w:rsidRPr="0066176E">
        <w:rPr>
          <w:rFonts w:ascii="Arial" w:hAnsi="Arial" w:cs="Arial"/>
        </w:rPr>
        <w:t xml:space="preserve"> </w:t>
      </w:r>
      <w:r w:rsidR="00DA411B" w:rsidRPr="0066176E">
        <w:rPr>
          <w:rFonts w:ascii="Arial" w:hAnsi="Arial" w:cs="Arial"/>
        </w:rPr>
        <w:t xml:space="preserve">since </w:t>
      </w:r>
      <w:r w:rsidR="00C27261">
        <w:rPr>
          <w:rFonts w:ascii="Arial" w:hAnsi="Arial" w:cs="Arial"/>
        </w:rPr>
        <w:t>the evening</w:t>
      </w:r>
      <w:r w:rsidR="00967F6B">
        <w:rPr>
          <w:rFonts w:ascii="Arial" w:hAnsi="Arial" w:cs="Arial"/>
        </w:rPr>
        <w:t xml:space="preserve"> of </w:t>
      </w:r>
      <w:r w:rsidR="000774C7">
        <w:rPr>
          <w:rFonts w:ascii="Arial" w:hAnsi="Arial" w:cs="Arial"/>
        </w:rPr>
        <w:t>Thursday</w:t>
      </w:r>
      <w:r w:rsidR="00B72EE8">
        <w:rPr>
          <w:rFonts w:ascii="Arial" w:hAnsi="Arial" w:cs="Arial"/>
        </w:rPr>
        <w:t xml:space="preserve"> </w:t>
      </w:r>
      <w:r w:rsidR="000774C7">
        <w:rPr>
          <w:rFonts w:ascii="Arial" w:hAnsi="Arial" w:cs="Arial"/>
        </w:rPr>
        <w:t>18</w:t>
      </w:r>
      <w:r w:rsidR="0066176E" w:rsidRPr="0066176E">
        <w:rPr>
          <w:rFonts w:ascii="Arial" w:hAnsi="Arial" w:cs="Arial"/>
        </w:rPr>
        <w:t xml:space="preserve"> July 2019</w:t>
      </w:r>
      <w:r w:rsidR="00801ED2">
        <w:rPr>
          <w:rFonts w:ascii="Arial" w:hAnsi="Arial" w:cs="Arial"/>
        </w:rPr>
        <w:t>,</w:t>
      </w:r>
      <w:r w:rsidR="0066176E" w:rsidRPr="0066176E">
        <w:rPr>
          <w:rFonts w:ascii="Arial" w:hAnsi="Arial" w:cs="Arial"/>
        </w:rPr>
        <w:t xml:space="preserve"> </w:t>
      </w:r>
      <w:r w:rsidR="00DD256A">
        <w:rPr>
          <w:rFonts w:ascii="Arial" w:hAnsi="Arial" w:cs="Arial"/>
        </w:rPr>
        <w:t>which was a few days before the order was granted</w:t>
      </w:r>
      <w:r w:rsidR="00967F6B">
        <w:rPr>
          <w:rFonts w:ascii="Arial" w:hAnsi="Arial" w:cs="Arial"/>
        </w:rPr>
        <w:t xml:space="preserve">. Save </w:t>
      </w:r>
      <w:r w:rsidR="005622BB" w:rsidRPr="0066176E">
        <w:rPr>
          <w:rFonts w:ascii="Arial" w:hAnsi="Arial" w:cs="Arial"/>
        </w:rPr>
        <w:t>for those who c</w:t>
      </w:r>
      <w:r w:rsidR="00801ED2">
        <w:rPr>
          <w:rFonts w:ascii="Arial" w:hAnsi="Arial" w:cs="Arial"/>
        </w:rPr>
        <w:t>ould</w:t>
      </w:r>
      <w:r w:rsidR="005622BB" w:rsidRPr="0066176E">
        <w:rPr>
          <w:rFonts w:ascii="Arial" w:hAnsi="Arial" w:cs="Arial"/>
        </w:rPr>
        <w:t xml:space="preserve"> demonstrate an actual allocation</w:t>
      </w:r>
      <w:r w:rsidR="000774C7">
        <w:rPr>
          <w:rFonts w:ascii="Arial" w:hAnsi="Arial" w:cs="Arial"/>
        </w:rPr>
        <w:t xml:space="preserve"> of an RDP house in the development,</w:t>
      </w:r>
      <w:r w:rsidR="005622BB" w:rsidRPr="0066176E">
        <w:rPr>
          <w:rFonts w:ascii="Arial" w:hAnsi="Arial" w:cs="Arial"/>
        </w:rPr>
        <w:t xml:space="preserve"> all the others claim</w:t>
      </w:r>
      <w:r w:rsidR="00801ED2">
        <w:rPr>
          <w:rFonts w:ascii="Arial" w:hAnsi="Arial" w:cs="Arial"/>
        </w:rPr>
        <w:t>ed</w:t>
      </w:r>
      <w:r w:rsidR="005622BB" w:rsidRPr="0066176E">
        <w:rPr>
          <w:rFonts w:ascii="Arial" w:hAnsi="Arial" w:cs="Arial"/>
        </w:rPr>
        <w:t xml:space="preserve"> that they took occupation in order to protect their interests in ensuring a fair allocation of </w:t>
      </w:r>
      <w:r w:rsidR="005622BB" w:rsidRPr="0066176E">
        <w:rPr>
          <w:rFonts w:ascii="Arial" w:hAnsi="Arial" w:cs="Arial"/>
        </w:rPr>
        <w:lastRenderedPageBreak/>
        <w:t>housing in the project and to prevent what they said was an imminent land invasion by others</w:t>
      </w:r>
      <w:r w:rsidR="00967F6B">
        <w:rPr>
          <w:rFonts w:ascii="Arial" w:hAnsi="Arial" w:cs="Arial"/>
        </w:rPr>
        <w:t>.</w:t>
      </w:r>
      <w:r w:rsidR="005622BB" w:rsidRPr="0066176E">
        <w:rPr>
          <w:rFonts w:ascii="Arial" w:hAnsi="Arial" w:cs="Arial"/>
        </w:rPr>
        <w:t xml:space="preserve"> </w:t>
      </w:r>
    </w:p>
    <w:p w:rsidR="005622BB" w:rsidRPr="005622BB" w:rsidRDefault="005622BB" w:rsidP="005622BB">
      <w:pPr>
        <w:pStyle w:val="ListParagraph"/>
        <w:rPr>
          <w:rFonts w:ascii="Arial" w:hAnsi="Arial" w:cs="Arial"/>
        </w:rPr>
      </w:pPr>
    </w:p>
    <w:p w:rsidR="005622BB" w:rsidRDefault="005622BB" w:rsidP="00801ED2">
      <w:pPr>
        <w:pStyle w:val="ListParagraph"/>
        <w:spacing w:line="360" w:lineRule="auto"/>
        <w:ind w:left="360"/>
        <w:rPr>
          <w:rFonts w:ascii="Arial" w:hAnsi="Arial" w:cs="Arial"/>
        </w:rPr>
      </w:pPr>
      <w:r>
        <w:rPr>
          <w:rFonts w:ascii="Arial" w:hAnsi="Arial" w:cs="Arial"/>
        </w:rPr>
        <w:t xml:space="preserve">In other </w:t>
      </w:r>
      <w:r w:rsidR="005C2C6D">
        <w:rPr>
          <w:rFonts w:ascii="Arial" w:hAnsi="Arial" w:cs="Arial"/>
        </w:rPr>
        <w:t>words,</w:t>
      </w:r>
      <w:r w:rsidR="00DD256A">
        <w:rPr>
          <w:rFonts w:ascii="Arial" w:hAnsi="Arial" w:cs="Arial"/>
        </w:rPr>
        <w:t xml:space="preserve"> </w:t>
      </w:r>
      <w:r w:rsidR="00967F6B">
        <w:rPr>
          <w:rFonts w:ascii="Arial" w:hAnsi="Arial" w:cs="Arial"/>
        </w:rPr>
        <w:t>the stated object</w:t>
      </w:r>
      <w:r w:rsidR="000774C7">
        <w:rPr>
          <w:rFonts w:ascii="Arial" w:hAnsi="Arial" w:cs="Arial"/>
        </w:rPr>
        <w:t>ive</w:t>
      </w:r>
      <w:r w:rsidR="00967F6B">
        <w:rPr>
          <w:rFonts w:ascii="Arial" w:hAnsi="Arial" w:cs="Arial"/>
        </w:rPr>
        <w:t xml:space="preserve"> </w:t>
      </w:r>
      <w:r w:rsidR="00B72EE8">
        <w:rPr>
          <w:rFonts w:ascii="Arial" w:hAnsi="Arial" w:cs="Arial"/>
        </w:rPr>
        <w:t>of those who claimed to be o</w:t>
      </w:r>
      <w:r w:rsidR="00967F6B">
        <w:rPr>
          <w:rFonts w:ascii="Arial" w:hAnsi="Arial" w:cs="Arial"/>
        </w:rPr>
        <w:t xml:space="preserve">n the development since </w:t>
      </w:r>
      <w:r w:rsidR="00250AC1">
        <w:rPr>
          <w:rFonts w:ascii="Arial" w:hAnsi="Arial" w:cs="Arial"/>
        </w:rPr>
        <w:t xml:space="preserve">the night of </w:t>
      </w:r>
      <w:r w:rsidR="00967F6B">
        <w:rPr>
          <w:rFonts w:ascii="Arial" w:hAnsi="Arial" w:cs="Arial"/>
        </w:rPr>
        <w:t>19 July</w:t>
      </w:r>
      <w:r>
        <w:rPr>
          <w:rFonts w:ascii="Arial" w:hAnsi="Arial" w:cs="Arial"/>
        </w:rPr>
        <w:t xml:space="preserve"> was not to occupy </w:t>
      </w:r>
      <w:r w:rsidR="0066176E">
        <w:rPr>
          <w:rFonts w:ascii="Arial" w:hAnsi="Arial" w:cs="Arial"/>
        </w:rPr>
        <w:t>land to live on</w:t>
      </w:r>
      <w:r>
        <w:rPr>
          <w:rFonts w:ascii="Arial" w:hAnsi="Arial" w:cs="Arial"/>
        </w:rPr>
        <w:t xml:space="preserve"> or because </w:t>
      </w:r>
      <w:r w:rsidR="0066176E">
        <w:rPr>
          <w:rFonts w:ascii="Arial" w:hAnsi="Arial" w:cs="Arial"/>
        </w:rPr>
        <w:t>they were homeless</w:t>
      </w:r>
      <w:r w:rsidR="00250AC1">
        <w:rPr>
          <w:rFonts w:ascii="Arial" w:hAnsi="Arial" w:cs="Arial"/>
        </w:rPr>
        <w:t>; it</w:t>
      </w:r>
      <w:r>
        <w:rPr>
          <w:rFonts w:ascii="Arial" w:hAnsi="Arial" w:cs="Arial"/>
        </w:rPr>
        <w:t xml:space="preserve"> was to prevent a land invasion by others in order to protect their right to a fair allocation of the houses as and when completed</w:t>
      </w:r>
      <w:r w:rsidR="0066176E">
        <w:rPr>
          <w:rFonts w:ascii="Arial" w:hAnsi="Arial" w:cs="Arial"/>
        </w:rPr>
        <w:t>.</w:t>
      </w:r>
      <w:r>
        <w:rPr>
          <w:rFonts w:ascii="Arial" w:hAnsi="Arial" w:cs="Arial"/>
        </w:rPr>
        <w:t xml:space="preserve"> </w:t>
      </w:r>
    </w:p>
    <w:p w:rsidR="005622BB" w:rsidRDefault="005622BB" w:rsidP="005622BB">
      <w:pPr>
        <w:pStyle w:val="ListParagraph"/>
        <w:rPr>
          <w:rFonts w:ascii="Arial" w:hAnsi="Arial" w:cs="Arial"/>
        </w:rPr>
      </w:pPr>
    </w:p>
    <w:p w:rsidR="000774C7" w:rsidRDefault="000774C7" w:rsidP="005622BB">
      <w:pPr>
        <w:pStyle w:val="ListParagraph"/>
        <w:rPr>
          <w:rFonts w:ascii="Arial" w:hAnsi="Arial" w:cs="Arial"/>
        </w:rPr>
      </w:pPr>
    </w:p>
    <w:p w:rsidR="00250AC1" w:rsidRDefault="00250AC1" w:rsidP="00316978">
      <w:pPr>
        <w:spacing w:line="360" w:lineRule="auto"/>
        <w:rPr>
          <w:rFonts w:ascii="Arial" w:hAnsi="Arial" w:cs="Arial"/>
          <w:b/>
        </w:rPr>
      </w:pPr>
    </w:p>
    <w:p w:rsidR="00316978" w:rsidRPr="002C1886" w:rsidRDefault="00316978" w:rsidP="00316978">
      <w:pPr>
        <w:spacing w:line="360" w:lineRule="auto"/>
        <w:rPr>
          <w:rFonts w:ascii="Arial" w:hAnsi="Arial" w:cs="Arial"/>
          <w:b/>
        </w:rPr>
      </w:pPr>
      <w:r>
        <w:rPr>
          <w:rFonts w:ascii="Arial" w:hAnsi="Arial" w:cs="Arial"/>
          <w:b/>
        </w:rPr>
        <w:t xml:space="preserve">THE </w:t>
      </w:r>
      <w:r w:rsidR="00B72EE8">
        <w:rPr>
          <w:rFonts w:ascii="Arial" w:hAnsi="Arial" w:cs="Arial"/>
          <w:b/>
        </w:rPr>
        <w:t>EIGHTH</w:t>
      </w:r>
      <w:r w:rsidRPr="002C1886">
        <w:rPr>
          <w:rFonts w:ascii="Arial" w:hAnsi="Arial" w:cs="Arial"/>
          <w:b/>
        </w:rPr>
        <w:t xml:space="preserve"> RESPONDENT GROUP</w:t>
      </w:r>
    </w:p>
    <w:p w:rsidR="005622BB" w:rsidRPr="00316978" w:rsidRDefault="005622BB" w:rsidP="005622BB">
      <w:pPr>
        <w:spacing w:line="360" w:lineRule="auto"/>
        <w:rPr>
          <w:rFonts w:ascii="Arial" w:hAnsi="Arial" w:cs="Arial"/>
          <w:b/>
        </w:rPr>
      </w:pPr>
    </w:p>
    <w:p w:rsidR="005622BB" w:rsidRDefault="00316978" w:rsidP="00316978">
      <w:pPr>
        <w:rPr>
          <w:rFonts w:ascii="Arial" w:hAnsi="Arial" w:cs="Arial"/>
          <w:b/>
        </w:rPr>
      </w:pPr>
      <w:r w:rsidRPr="00316978">
        <w:rPr>
          <w:rFonts w:ascii="Arial" w:hAnsi="Arial" w:cs="Arial"/>
          <w:b/>
        </w:rPr>
        <w:t xml:space="preserve">The litigation </w:t>
      </w:r>
    </w:p>
    <w:p w:rsidR="00316978" w:rsidRPr="00316978" w:rsidRDefault="00316978" w:rsidP="00316978">
      <w:pPr>
        <w:rPr>
          <w:rFonts w:ascii="Arial" w:hAnsi="Arial" w:cs="Arial"/>
          <w:b/>
        </w:rPr>
      </w:pPr>
    </w:p>
    <w:p w:rsidR="005622BB" w:rsidRDefault="005622BB" w:rsidP="00AF22DC">
      <w:pPr>
        <w:pStyle w:val="ListParagraph"/>
        <w:numPr>
          <w:ilvl w:val="0"/>
          <w:numId w:val="3"/>
        </w:numPr>
        <w:spacing w:line="360" w:lineRule="auto"/>
        <w:rPr>
          <w:rFonts w:ascii="Arial" w:hAnsi="Arial" w:cs="Arial"/>
        </w:rPr>
      </w:pPr>
      <w:r>
        <w:rPr>
          <w:rFonts w:ascii="Arial" w:hAnsi="Arial" w:cs="Arial"/>
        </w:rPr>
        <w:t xml:space="preserve"> </w:t>
      </w:r>
      <w:r w:rsidR="00DD256A">
        <w:rPr>
          <w:rFonts w:ascii="Arial" w:hAnsi="Arial" w:cs="Arial"/>
        </w:rPr>
        <w:t xml:space="preserve">On </w:t>
      </w:r>
      <w:r w:rsidR="00B106BB">
        <w:rPr>
          <w:rFonts w:ascii="Arial" w:hAnsi="Arial" w:cs="Arial"/>
        </w:rPr>
        <w:t xml:space="preserve">about 28 May </w:t>
      </w:r>
      <w:r w:rsidR="00D11BD2">
        <w:rPr>
          <w:rFonts w:ascii="Arial" w:hAnsi="Arial" w:cs="Arial"/>
        </w:rPr>
        <w:t xml:space="preserve">2021 </w:t>
      </w:r>
      <w:r w:rsidR="00B106BB">
        <w:rPr>
          <w:rFonts w:ascii="Arial" w:hAnsi="Arial" w:cs="Arial"/>
        </w:rPr>
        <w:t>the Metro contended that there had again been a</w:t>
      </w:r>
      <w:r w:rsidR="00D11BD2">
        <w:rPr>
          <w:rFonts w:ascii="Arial" w:hAnsi="Arial" w:cs="Arial"/>
        </w:rPr>
        <w:t>n attempted</w:t>
      </w:r>
      <w:r w:rsidR="00B106BB">
        <w:rPr>
          <w:rFonts w:ascii="Arial" w:hAnsi="Arial" w:cs="Arial"/>
        </w:rPr>
        <w:t xml:space="preserve"> land invasion on the development by another group of people</w:t>
      </w:r>
      <w:r w:rsidR="00D11BD2">
        <w:rPr>
          <w:rFonts w:ascii="Arial" w:hAnsi="Arial" w:cs="Arial"/>
        </w:rPr>
        <w:t xml:space="preserve">. The Metro </w:t>
      </w:r>
      <w:r w:rsidR="00B106BB">
        <w:rPr>
          <w:rFonts w:ascii="Arial" w:hAnsi="Arial" w:cs="Arial"/>
        </w:rPr>
        <w:t xml:space="preserve">requested </w:t>
      </w:r>
      <w:r w:rsidR="00D11BD2">
        <w:rPr>
          <w:rFonts w:ascii="Arial" w:hAnsi="Arial" w:cs="Arial"/>
        </w:rPr>
        <w:t xml:space="preserve">that this group </w:t>
      </w:r>
      <w:r w:rsidR="00B106BB">
        <w:rPr>
          <w:rFonts w:ascii="Arial" w:hAnsi="Arial" w:cs="Arial"/>
        </w:rPr>
        <w:t xml:space="preserve">be joined in the </w:t>
      </w:r>
      <w:r w:rsidR="005C2C6D">
        <w:rPr>
          <w:rFonts w:ascii="Arial" w:hAnsi="Arial" w:cs="Arial"/>
        </w:rPr>
        <w:t>proceedings</w:t>
      </w:r>
      <w:r w:rsidR="00B106BB">
        <w:rPr>
          <w:rFonts w:ascii="Arial" w:hAnsi="Arial" w:cs="Arial"/>
        </w:rPr>
        <w:t xml:space="preserve"> since the </w:t>
      </w:r>
      <w:r w:rsidR="005C2C6D">
        <w:rPr>
          <w:rFonts w:ascii="Arial" w:hAnsi="Arial" w:cs="Arial"/>
        </w:rPr>
        <w:t>interim order</w:t>
      </w:r>
      <w:r w:rsidR="00D11BD2">
        <w:rPr>
          <w:rFonts w:ascii="Arial" w:hAnsi="Arial" w:cs="Arial"/>
        </w:rPr>
        <w:t>,</w:t>
      </w:r>
      <w:r w:rsidR="00B106BB">
        <w:rPr>
          <w:rFonts w:ascii="Arial" w:hAnsi="Arial" w:cs="Arial"/>
        </w:rPr>
        <w:t xml:space="preserve"> which was still extant due to the </w:t>
      </w:r>
      <w:r w:rsidR="005C2C6D">
        <w:rPr>
          <w:rFonts w:ascii="Arial" w:hAnsi="Arial" w:cs="Arial"/>
        </w:rPr>
        <w:t>ongoing</w:t>
      </w:r>
      <w:r w:rsidR="00B106BB">
        <w:rPr>
          <w:rFonts w:ascii="Arial" w:hAnsi="Arial" w:cs="Arial"/>
        </w:rPr>
        <w:t xml:space="preserve"> litigation with the first </w:t>
      </w:r>
      <w:r w:rsidR="005C2C6D">
        <w:rPr>
          <w:rFonts w:ascii="Arial" w:hAnsi="Arial" w:cs="Arial"/>
        </w:rPr>
        <w:t>respondent</w:t>
      </w:r>
      <w:r w:rsidR="00B106BB">
        <w:rPr>
          <w:rFonts w:ascii="Arial" w:hAnsi="Arial" w:cs="Arial"/>
        </w:rPr>
        <w:t xml:space="preserve"> group</w:t>
      </w:r>
      <w:r w:rsidR="00D11BD2">
        <w:rPr>
          <w:rFonts w:ascii="Arial" w:hAnsi="Arial" w:cs="Arial"/>
        </w:rPr>
        <w:t xml:space="preserve">, covered </w:t>
      </w:r>
      <w:r w:rsidR="000774C7">
        <w:rPr>
          <w:rFonts w:ascii="Arial" w:hAnsi="Arial" w:cs="Arial"/>
        </w:rPr>
        <w:t>any ongoing trespass</w:t>
      </w:r>
      <w:r w:rsidR="00B106BB">
        <w:rPr>
          <w:rFonts w:ascii="Arial" w:hAnsi="Arial" w:cs="Arial"/>
        </w:rPr>
        <w:t xml:space="preserve"> or attempted occupation of land. </w:t>
      </w:r>
    </w:p>
    <w:p w:rsidR="00B106BB" w:rsidRDefault="00B106BB" w:rsidP="00B106BB">
      <w:pPr>
        <w:pStyle w:val="ListParagraph"/>
        <w:spacing w:line="360" w:lineRule="auto"/>
        <w:ind w:left="360"/>
        <w:rPr>
          <w:rFonts w:ascii="Arial" w:hAnsi="Arial" w:cs="Arial"/>
        </w:rPr>
      </w:pPr>
    </w:p>
    <w:p w:rsidR="00B106BB" w:rsidRDefault="00B106BB" w:rsidP="00AF22DC">
      <w:pPr>
        <w:pStyle w:val="ListParagraph"/>
        <w:numPr>
          <w:ilvl w:val="0"/>
          <w:numId w:val="3"/>
        </w:numPr>
        <w:spacing w:line="360" w:lineRule="auto"/>
        <w:rPr>
          <w:rFonts w:ascii="Arial" w:hAnsi="Arial" w:cs="Arial"/>
        </w:rPr>
      </w:pPr>
      <w:r>
        <w:rPr>
          <w:rFonts w:ascii="Arial" w:hAnsi="Arial" w:cs="Arial"/>
        </w:rPr>
        <w:t xml:space="preserve">I considered that the following order should be made </w:t>
      </w:r>
      <w:r w:rsidR="00D11BD2">
        <w:rPr>
          <w:rFonts w:ascii="Arial" w:hAnsi="Arial" w:cs="Arial"/>
        </w:rPr>
        <w:t>a</w:t>
      </w:r>
      <w:r>
        <w:rPr>
          <w:rFonts w:ascii="Arial" w:hAnsi="Arial" w:cs="Arial"/>
        </w:rPr>
        <w:t>s it w</w:t>
      </w:r>
      <w:r w:rsidR="000774C7">
        <w:rPr>
          <w:rFonts w:ascii="Arial" w:hAnsi="Arial" w:cs="Arial"/>
        </w:rPr>
        <w:t>as</w:t>
      </w:r>
      <w:r>
        <w:rPr>
          <w:rFonts w:ascii="Arial" w:hAnsi="Arial" w:cs="Arial"/>
        </w:rPr>
        <w:t xml:space="preserve"> sufficiently open-ended to allow argument as to</w:t>
      </w:r>
      <w:r w:rsidR="008C578E">
        <w:rPr>
          <w:rFonts w:ascii="Arial" w:hAnsi="Arial" w:cs="Arial"/>
        </w:rPr>
        <w:t xml:space="preserve"> whether the </w:t>
      </w:r>
      <w:r>
        <w:rPr>
          <w:rFonts w:ascii="Arial" w:hAnsi="Arial" w:cs="Arial"/>
        </w:rPr>
        <w:t>applicant</w:t>
      </w:r>
      <w:r w:rsidR="008C578E">
        <w:rPr>
          <w:rFonts w:ascii="Arial" w:hAnsi="Arial" w:cs="Arial"/>
        </w:rPr>
        <w:t xml:space="preserve"> could effect such a   joinder to </w:t>
      </w:r>
      <w:r>
        <w:rPr>
          <w:rFonts w:ascii="Arial" w:hAnsi="Arial" w:cs="Arial"/>
        </w:rPr>
        <w:t>the original p</w:t>
      </w:r>
      <w:r w:rsidR="008C578E">
        <w:rPr>
          <w:rFonts w:ascii="Arial" w:hAnsi="Arial" w:cs="Arial"/>
        </w:rPr>
        <w:t>roceedings</w:t>
      </w:r>
      <w:r>
        <w:rPr>
          <w:rFonts w:ascii="Arial" w:hAnsi="Arial" w:cs="Arial"/>
        </w:rPr>
        <w:t>:</w:t>
      </w:r>
      <w:r w:rsidR="00D11BD2">
        <w:rPr>
          <w:rFonts w:ascii="Arial" w:hAnsi="Arial" w:cs="Arial"/>
        </w:rPr>
        <w:t xml:space="preserve"> </w:t>
      </w:r>
      <w:r w:rsidR="00AA71E5">
        <w:rPr>
          <w:rFonts w:ascii="Arial" w:hAnsi="Arial" w:cs="Arial"/>
          <w:b/>
        </w:rPr>
        <w:t xml:space="preserve">  </w:t>
      </w:r>
    </w:p>
    <w:p w:rsidR="00B106BB" w:rsidRPr="00534696" w:rsidRDefault="00B106BB" w:rsidP="00B106BB">
      <w:pPr>
        <w:spacing w:line="360" w:lineRule="auto"/>
        <w:rPr>
          <w:rFonts w:ascii="Arial" w:hAnsi="Arial" w:cs="Arial"/>
          <w:i/>
        </w:rPr>
      </w:pPr>
    </w:p>
    <w:p w:rsidR="00B106BB" w:rsidRPr="00534696" w:rsidRDefault="00B106BB" w:rsidP="00B106BB">
      <w:pPr>
        <w:spacing w:line="360" w:lineRule="auto"/>
        <w:ind w:left="720"/>
        <w:rPr>
          <w:rFonts w:ascii="Arial" w:hAnsi="Arial" w:cs="Arial"/>
          <w:i/>
        </w:rPr>
      </w:pPr>
      <w:r w:rsidRPr="00534696">
        <w:rPr>
          <w:rFonts w:ascii="Arial" w:hAnsi="Arial" w:cs="Arial"/>
          <w:i/>
        </w:rPr>
        <w:t xml:space="preserve">1. The application is postponed for hearing to 10 June 2021. </w:t>
      </w:r>
    </w:p>
    <w:p w:rsidR="00B106BB" w:rsidRPr="00534696" w:rsidRDefault="00B106BB" w:rsidP="00B106BB">
      <w:pPr>
        <w:spacing w:line="360" w:lineRule="auto"/>
        <w:ind w:left="720"/>
        <w:rPr>
          <w:rFonts w:ascii="Arial" w:hAnsi="Arial" w:cs="Arial"/>
          <w:i/>
        </w:rPr>
      </w:pPr>
    </w:p>
    <w:p w:rsidR="00B106BB" w:rsidRPr="00534696" w:rsidRDefault="00B106BB" w:rsidP="00B106BB">
      <w:pPr>
        <w:spacing w:line="360" w:lineRule="auto"/>
        <w:ind w:left="720"/>
        <w:rPr>
          <w:rFonts w:ascii="Arial" w:hAnsi="Arial" w:cs="Arial"/>
          <w:i/>
        </w:rPr>
      </w:pPr>
      <w:r w:rsidRPr="00534696">
        <w:rPr>
          <w:rFonts w:ascii="Arial" w:hAnsi="Arial" w:cs="Arial"/>
          <w:i/>
        </w:rPr>
        <w:t xml:space="preserve">2. The rule nisi granted by Justice Spilg on 24 July 2019 is hereby extended to 10 June 2021. </w:t>
      </w:r>
    </w:p>
    <w:p w:rsidR="00B106BB" w:rsidRPr="00534696" w:rsidRDefault="00B106BB" w:rsidP="00B106BB">
      <w:pPr>
        <w:spacing w:line="360" w:lineRule="auto"/>
        <w:ind w:left="720"/>
        <w:rPr>
          <w:rFonts w:ascii="Arial" w:hAnsi="Arial" w:cs="Arial"/>
          <w:i/>
        </w:rPr>
      </w:pPr>
    </w:p>
    <w:p w:rsidR="00B106BB" w:rsidRPr="00534696" w:rsidRDefault="00B106BB" w:rsidP="00B106BB">
      <w:pPr>
        <w:spacing w:line="360" w:lineRule="auto"/>
        <w:ind w:left="720"/>
        <w:rPr>
          <w:rFonts w:ascii="Arial" w:hAnsi="Arial" w:cs="Arial"/>
          <w:i/>
        </w:rPr>
      </w:pPr>
      <w:r w:rsidRPr="00534696">
        <w:rPr>
          <w:rFonts w:ascii="Arial" w:hAnsi="Arial" w:cs="Arial"/>
          <w:i/>
        </w:rPr>
        <w:t xml:space="preserve">3. The Applicant is directed to file an affidavit, if any, wherein it shall: </w:t>
      </w:r>
    </w:p>
    <w:p w:rsidR="00B106BB" w:rsidRPr="00534696" w:rsidRDefault="00B106BB" w:rsidP="00B106BB">
      <w:pPr>
        <w:spacing w:line="360" w:lineRule="auto"/>
        <w:ind w:left="720"/>
        <w:rPr>
          <w:rFonts w:ascii="Arial" w:hAnsi="Arial" w:cs="Arial"/>
          <w:i/>
        </w:rPr>
      </w:pPr>
    </w:p>
    <w:p w:rsidR="00B106BB" w:rsidRPr="00534696" w:rsidRDefault="00B106BB" w:rsidP="00B106BB">
      <w:pPr>
        <w:pStyle w:val="ListParagraph"/>
        <w:numPr>
          <w:ilvl w:val="0"/>
          <w:numId w:val="7"/>
        </w:numPr>
        <w:spacing w:line="360" w:lineRule="auto"/>
        <w:rPr>
          <w:rFonts w:ascii="Arial" w:hAnsi="Arial" w:cs="Arial"/>
          <w:i/>
        </w:rPr>
      </w:pPr>
      <w:r w:rsidRPr="00534696">
        <w:rPr>
          <w:rFonts w:ascii="Arial" w:hAnsi="Arial" w:cs="Arial"/>
          <w:i/>
        </w:rPr>
        <w:t xml:space="preserve">Show cause why any further parties should be joined to these proceedings. In particular: </w:t>
      </w:r>
    </w:p>
    <w:p w:rsidR="00B106BB" w:rsidRPr="00534696" w:rsidRDefault="00B106BB" w:rsidP="00B106BB">
      <w:pPr>
        <w:pStyle w:val="ListParagraph"/>
        <w:spacing w:line="360" w:lineRule="auto"/>
        <w:ind w:left="1800"/>
        <w:rPr>
          <w:rFonts w:ascii="Arial" w:hAnsi="Arial" w:cs="Arial"/>
          <w:i/>
        </w:rPr>
      </w:pPr>
    </w:p>
    <w:p w:rsidR="00B106BB" w:rsidRPr="00534696" w:rsidRDefault="00B106BB" w:rsidP="00B106BB">
      <w:pPr>
        <w:pStyle w:val="ListParagraph"/>
        <w:numPr>
          <w:ilvl w:val="0"/>
          <w:numId w:val="8"/>
        </w:numPr>
        <w:spacing w:line="360" w:lineRule="auto"/>
        <w:rPr>
          <w:rFonts w:ascii="Arial" w:hAnsi="Arial" w:cs="Arial"/>
          <w:i/>
        </w:rPr>
      </w:pPr>
      <w:r w:rsidRPr="00534696">
        <w:rPr>
          <w:rFonts w:ascii="Arial" w:hAnsi="Arial" w:cs="Arial"/>
          <w:i/>
        </w:rPr>
        <w:t xml:space="preserve">The Applicant shall set forth explicitly when it became </w:t>
      </w:r>
      <w:r w:rsidRPr="00534696">
        <w:rPr>
          <w:rFonts w:ascii="Arial" w:hAnsi="Arial" w:cs="Arial"/>
          <w:i/>
        </w:rPr>
        <w:lastRenderedPageBreak/>
        <w:t>aware of the alleged invasion and/or occupation of Farm Rietfontein, also known as Palm Ridge Extensions 10, 12, 18, 19, 20, 21, 22, 23, 24, 25, 26, 27, 28, 29 and 30 (collectively, “the property”) by the alleged new occupiers;</w:t>
      </w:r>
    </w:p>
    <w:p w:rsidR="00B106BB" w:rsidRPr="00534696" w:rsidRDefault="00B106BB" w:rsidP="00B106BB">
      <w:pPr>
        <w:pStyle w:val="ListParagraph"/>
        <w:spacing w:line="360" w:lineRule="auto"/>
        <w:ind w:left="2880"/>
        <w:rPr>
          <w:rFonts w:ascii="Arial" w:hAnsi="Arial" w:cs="Arial"/>
          <w:i/>
        </w:rPr>
      </w:pPr>
    </w:p>
    <w:p w:rsidR="00534696" w:rsidRPr="00534696" w:rsidRDefault="00B106BB" w:rsidP="00B106BB">
      <w:pPr>
        <w:pStyle w:val="ListParagraph"/>
        <w:numPr>
          <w:ilvl w:val="0"/>
          <w:numId w:val="8"/>
        </w:numPr>
        <w:spacing w:line="360" w:lineRule="auto"/>
        <w:rPr>
          <w:rFonts w:ascii="Arial" w:hAnsi="Arial" w:cs="Arial"/>
          <w:i/>
        </w:rPr>
      </w:pPr>
      <w:r w:rsidRPr="00534696">
        <w:rPr>
          <w:rFonts w:ascii="Arial" w:hAnsi="Arial" w:cs="Arial"/>
          <w:i/>
        </w:rPr>
        <w:t xml:space="preserve">How it intends to identify these new parties; and </w:t>
      </w:r>
    </w:p>
    <w:p w:rsidR="00534696" w:rsidRPr="00534696" w:rsidRDefault="00534696" w:rsidP="00534696">
      <w:pPr>
        <w:pStyle w:val="ListParagraph"/>
        <w:rPr>
          <w:rFonts w:ascii="Arial" w:hAnsi="Arial" w:cs="Arial"/>
          <w:i/>
        </w:rPr>
      </w:pPr>
    </w:p>
    <w:p w:rsidR="00534696" w:rsidRPr="00534696" w:rsidRDefault="00B106BB" w:rsidP="00B106BB">
      <w:pPr>
        <w:pStyle w:val="ListParagraph"/>
        <w:numPr>
          <w:ilvl w:val="0"/>
          <w:numId w:val="8"/>
        </w:numPr>
        <w:spacing w:line="360" w:lineRule="auto"/>
        <w:rPr>
          <w:rFonts w:ascii="Arial" w:hAnsi="Arial" w:cs="Arial"/>
          <w:i/>
        </w:rPr>
      </w:pPr>
      <w:r w:rsidRPr="00534696">
        <w:rPr>
          <w:rFonts w:ascii="Arial" w:hAnsi="Arial" w:cs="Arial"/>
          <w:i/>
        </w:rPr>
        <w:t xml:space="preserve">The manner </w:t>
      </w:r>
      <w:r w:rsidR="008C578E">
        <w:rPr>
          <w:rFonts w:ascii="Arial" w:hAnsi="Arial" w:cs="Arial"/>
          <w:i/>
        </w:rPr>
        <w:t xml:space="preserve">by which </w:t>
      </w:r>
      <w:r w:rsidRPr="00534696">
        <w:rPr>
          <w:rFonts w:ascii="Arial" w:hAnsi="Arial" w:cs="Arial"/>
          <w:i/>
        </w:rPr>
        <w:t xml:space="preserve">it intends to serve these new parties. </w:t>
      </w:r>
    </w:p>
    <w:p w:rsidR="00534696" w:rsidRPr="00534696" w:rsidRDefault="00534696" w:rsidP="00534696">
      <w:pPr>
        <w:pStyle w:val="ListParagraph"/>
        <w:rPr>
          <w:rFonts w:ascii="Arial" w:hAnsi="Arial" w:cs="Arial"/>
          <w:i/>
        </w:rPr>
      </w:pPr>
    </w:p>
    <w:p w:rsidR="00534696" w:rsidRPr="00534696" w:rsidRDefault="00B106BB" w:rsidP="00534696">
      <w:pPr>
        <w:pStyle w:val="ListParagraph"/>
        <w:numPr>
          <w:ilvl w:val="0"/>
          <w:numId w:val="7"/>
        </w:numPr>
        <w:spacing w:line="360" w:lineRule="auto"/>
        <w:rPr>
          <w:rFonts w:ascii="Arial" w:hAnsi="Arial" w:cs="Arial"/>
          <w:i/>
        </w:rPr>
      </w:pPr>
      <w:r w:rsidRPr="00534696">
        <w:rPr>
          <w:rFonts w:ascii="Arial" w:hAnsi="Arial" w:cs="Arial"/>
          <w:i/>
        </w:rPr>
        <w:t xml:space="preserve"> To the extent that the Applicant seeks to consolidate this matter with any new or further matters, it must show cause why such an order should be granted; </w:t>
      </w:r>
    </w:p>
    <w:p w:rsidR="00534696" w:rsidRPr="00534696" w:rsidRDefault="00534696" w:rsidP="00534696">
      <w:pPr>
        <w:pStyle w:val="ListParagraph"/>
        <w:spacing w:line="360" w:lineRule="auto"/>
        <w:ind w:left="1800"/>
        <w:rPr>
          <w:rFonts w:ascii="Arial" w:hAnsi="Arial" w:cs="Arial"/>
          <w:i/>
        </w:rPr>
      </w:pPr>
    </w:p>
    <w:p w:rsidR="00534696" w:rsidRPr="00534696" w:rsidRDefault="00B106BB" w:rsidP="00534696">
      <w:pPr>
        <w:pStyle w:val="ListParagraph"/>
        <w:numPr>
          <w:ilvl w:val="0"/>
          <w:numId w:val="7"/>
        </w:numPr>
        <w:spacing w:line="360" w:lineRule="auto"/>
        <w:rPr>
          <w:rFonts w:ascii="Arial" w:hAnsi="Arial" w:cs="Arial"/>
          <w:i/>
        </w:rPr>
      </w:pPr>
      <w:r w:rsidRPr="00534696">
        <w:rPr>
          <w:rFonts w:ascii="Arial" w:hAnsi="Arial" w:cs="Arial"/>
          <w:i/>
        </w:rPr>
        <w:t xml:space="preserve">Set forth explicitly the circumstances which it alleges render the matter urgent and the reasons why it cannot be afforded substantial redress at a hearing in due course; </w:t>
      </w:r>
    </w:p>
    <w:p w:rsidR="00534696" w:rsidRPr="00534696" w:rsidRDefault="00534696" w:rsidP="00534696">
      <w:pPr>
        <w:pStyle w:val="ListParagraph"/>
        <w:rPr>
          <w:rFonts w:ascii="Arial" w:hAnsi="Arial" w:cs="Arial"/>
          <w:i/>
        </w:rPr>
      </w:pPr>
    </w:p>
    <w:p w:rsidR="00B106BB" w:rsidRPr="00534696" w:rsidRDefault="00B106BB" w:rsidP="00534696">
      <w:pPr>
        <w:spacing w:line="360" w:lineRule="auto"/>
        <w:ind w:firstLine="720"/>
        <w:rPr>
          <w:rFonts w:ascii="Arial" w:hAnsi="Arial" w:cs="Arial"/>
          <w:i/>
        </w:rPr>
      </w:pPr>
      <w:r w:rsidRPr="00534696">
        <w:rPr>
          <w:rFonts w:ascii="Arial" w:hAnsi="Arial" w:cs="Arial"/>
          <w:i/>
        </w:rPr>
        <w:t>4. Costs are reserved.</w:t>
      </w:r>
    </w:p>
    <w:p w:rsidR="00B106BB" w:rsidRPr="00534696" w:rsidRDefault="00B106BB" w:rsidP="00B106BB">
      <w:pPr>
        <w:spacing w:line="360" w:lineRule="auto"/>
        <w:rPr>
          <w:rFonts w:ascii="Arial" w:hAnsi="Arial" w:cs="Arial"/>
          <w:i/>
        </w:rPr>
      </w:pPr>
    </w:p>
    <w:p w:rsidR="00B106BB" w:rsidRDefault="00534696" w:rsidP="00AF22DC">
      <w:pPr>
        <w:pStyle w:val="ListParagraph"/>
        <w:numPr>
          <w:ilvl w:val="0"/>
          <w:numId w:val="3"/>
        </w:numPr>
        <w:spacing w:line="360" w:lineRule="auto"/>
        <w:rPr>
          <w:rFonts w:ascii="Arial" w:hAnsi="Arial" w:cs="Arial"/>
        </w:rPr>
      </w:pPr>
      <w:r>
        <w:rPr>
          <w:rFonts w:ascii="Arial" w:hAnsi="Arial" w:cs="Arial"/>
        </w:rPr>
        <w:t xml:space="preserve">At the resumed hearing on 10 June 2021 the additional group </w:t>
      </w:r>
      <w:r w:rsidR="00A67020">
        <w:rPr>
          <w:rFonts w:ascii="Arial" w:hAnsi="Arial" w:cs="Arial"/>
        </w:rPr>
        <w:t xml:space="preserve">were joined </w:t>
      </w:r>
      <w:r>
        <w:rPr>
          <w:rFonts w:ascii="Arial" w:hAnsi="Arial" w:cs="Arial"/>
        </w:rPr>
        <w:t xml:space="preserve">to the original application and the further course of proceedings </w:t>
      </w:r>
      <w:r w:rsidR="00801ED2">
        <w:rPr>
          <w:rFonts w:ascii="Arial" w:hAnsi="Arial" w:cs="Arial"/>
        </w:rPr>
        <w:t xml:space="preserve">was directed through </w:t>
      </w:r>
      <w:r w:rsidR="000774C7">
        <w:rPr>
          <w:rFonts w:ascii="Arial" w:hAnsi="Arial" w:cs="Arial"/>
        </w:rPr>
        <w:t xml:space="preserve">several </w:t>
      </w:r>
      <w:r>
        <w:rPr>
          <w:rFonts w:ascii="Arial" w:hAnsi="Arial" w:cs="Arial"/>
        </w:rPr>
        <w:t>case manag</w:t>
      </w:r>
      <w:r w:rsidR="000774C7">
        <w:rPr>
          <w:rFonts w:ascii="Arial" w:hAnsi="Arial" w:cs="Arial"/>
        </w:rPr>
        <w:t>ement meetings.</w:t>
      </w:r>
      <w:r>
        <w:rPr>
          <w:rFonts w:ascii="Arial" w:hAnsi="Arial" w:cs="Arial"/>
        </w:rPr>
        <w:t xml:space="preserve">  </w:t>
      </w:r>
    </w:p>
    <w:p w:rsidR="00534696" w:rsidRDefault="00534696" w:rsidP="00534696">
      <w:pPr>
        <w:pStyle w:val="ListParagraph"/>
        <w:spacing w:line="360" w:lineRule="auto"/>
        <w:ind w:left="360"/>
        <w:rPr>
          <w:rFonts w:ascii="Arial" w:hAnsi="Arial" w:cs="Arial"/>
        </w:rPr>
      </w:pPr>
    </w:p>
    <w:p w:rsidR="000A07C8" w:rsidRPr="00025D81" w:rsidRDefault="00534696" w:rsidP="0015755E">
      <w:pPr>
        <w:pStyle w:val="ListParagraph"/>
        <w:numPr>
          <w:ilvl w:val="0"/>
          <w:numId w:val="3"/>
        </w:numPr>
        <w:spacing w:line="360" w:lineRule="auto"/>
        <w:rPr>
          <w:rFonts w:ascii="Arial" w:hAnsi="Arial" w:cs="Arial"/>
        </w:rPr>
      </w:pPr>
      <w:r w:rsidRPr="00025D81">
        <w:rPr>
          <w:rFonts w:ascii="Arial" w:hAnsi="Arial" w:cs="Arial"/>
        </w:rPr>
        <w:t>Suffice it that an answering affidavit was filed by the additional parties wh</w:t>
      </w:r>
      <w:r w:rsidR="008C578E" w:rsidRPr="00025D81">
        <w:rPr>
          <w:rFonts w:ascii="Arial" w:hAnsi="Arial" w:cs="Arial"/>
        </w:rPr>
        <w:t>o the Metro alleged had</w:t>
      </w:r>
      <w:r w:rsidRPr="00025D81">
        <w:rPr>
          <w:rFonts w:ascii="Arial" w:hAnsi="Arial" w:cs="Arial"/>
        </w:rPr>
        <w:t xml:space="preserve"> invaded the development. They came to be cited as the eighth respond</w:t>
      </w:r>
      <w:r w:rsidR="00A67020" w:rsidRPr="00025D81">
        <w:rPr>
          <w:rFonts w:ascii="Arial" w:hAnsi="Arial" w:cs="Arial"/>
        </w:rPr>
        <w:t>ent and referred to themselves as the “</w:t>
      </w:r>
      <w:r w:rsidR="00A67020" w:rsidRPr="00025D81">
        <w:rPr>
          <w:rFonts w:ascii="Arial" w:hAnsi="Arial" w:cs="Arial"/>
          <w:i/>
        </w:rPr>
        <w:t xml:space="preserve">Occupiers of the Immoveable </w:t>
      </w:r>
      <w:r w:rsidR="000A07C8" w:rsidRPr="00025D81">
        <w:rPr>
          <w:rFonts w:ascii="Arial" w:hAnsi="Arial" w:cs="Arial"/>
          <w:i/>
        </w:rPr>
        <w:t xml:space="preserve">Property Described </w:t>
      </w:r>
      <w:r w:rsidR="005C2C6D" w:rsidRPr="00025D81">
        <w:rPr>
          <w:rFonts w:ascii="Arial" w:hAnsi="Arial" w:cs="Arial"/>
          <w:i/>
        </w:rPr>
        <w:t>as</w:t>
      </w:r>
      <w:r w:rsidR="000A07C8" w:rsidRPr="00025D81">
        <w:rPr>
          <w:rFonts w:ascii="Arial" w:hAnsi="Arial" w:cs="Arial"/>
          <w:i/>
        </w:rPr>
        <w:t xml:space="preserve"> Farm Rietfontein 153 also k</w:t>
      </w:r>
      <w:r w:rsidR="00A67020" w:rsidRPr="00025D81">
        <w:rPr>
          <w:rFonts w:ascii="Arial" w:hAnsi="Arial" w:cs="Arial"/>
          <w:i/>
        </w:rPr>
        <w:t xml:space="preserve">nown </w:t>
      </w:r>
      <w:r w:rsidR="005C2C6D" w:rsidRPr="00025D81">
        <w:rPr>
          <w:rFonts w:ascii="Arial" w:hAnsi="Arial" w:cs="Arial"/>
          <w:i/>
        </w:rPr>
        <w:t>as</w:t>
      </w:r>
      <w:r w:rsidR="00A67020" w:rsidRPr="00025D81">
        <w:rPr>
          <w:rFonts w:ascii="Arial" w:hAnsi="Arial" w:cs="Arial"/>
          <w:i/>
        </w:rPr>
        <w:t xml:space="preserve"> Palm Ridge</w:t>
      </w:r>
      <w:r w:rsidR="000A07C8" w:rsidRPr="00025D81">
        <w:rPr>
          <w:rFonts w:ascii="Arial" w:hAnsi="Arial" w:cs="Arial"/>
          <w:i/>
        </w:rPr>
        <w:t xml:space="preserve"> Extensions 10, 18 to 30</w:t>
      </w:r>
      <w:r w:rsidR="000A07C8" w:rsidRPr="00025D81">
        <w:rPr>
          <w:rFonts w:ascii="Arial" w:hAnsi="Arial" w:cs="Arial"/>
        </w:rPr>
        <w:t xml:space="preserve">”. </w:t>
      </w:r>
    </w:p>
    <w:p w:rsidR="00250AC1" w:rsidRDefault="00250AC1" w:rsidP="000A07C8">
      <w:pPr>
        <w:pStyle w:val="ListParagraph"/>
        <w:spacing w:line="360" w:lineRule="auto"/>
        <w:ind w:left="360"/>
        <w:rPr>
          <w:rFonts w:ascii="Arial" w:hAnsi="Arial" w:cs="Arial"/>
        </w:rPr>
      </w:pPr>
    </w:p>
    <w:p w:rsidR="00250AC1" w:rsidRDefault="00250AC1" w:rsidP="000A07C8">
      <w:pPr>
        <w:pStyle w:val="ListParagraph"/>
        <w:spacing w:line="360" w:lineRule="auto"/>
        <w:ind w:left="360"/>
        <w:rPr>
          <w:rFonts w:ascii="Arial" w:hAnsi="Arial" w:cs="Arial"/>
        </w:rPr>
      </w:pPr>
    </w:p>
    <w:p w:rsidR="000A07C8" w:rsidRPr="000A07C8" w:rsidRDefault="000A07C8" w:rsidP="000A07C8">
      <w:pPr>
        <w:spacing w:line="360" w:lineRule="auto"/>
        <w:rPr>
          <w:rFonts w:ascii="Arial" w:hAnsi="Arial" w:cs="Arial"/>
          <w:b/>
        </w:rPr>
      </w:pPr>
      <w:r w:rsidRPr="000A07C8">
        <w:rPr>
          <w:rFonts w:ascii="Arial" w:hAnsi="Arial" w:cs="Arial"/>
          <w:b/>
        </w:rPr>
        <w:t>The eighth respondent’</w:t>
      </w:r>
      <w:r>
        <w:rPr>
          <w:rFonts w:ascii="Arial" w:hAnsi="Arial" w:cs="Arial"/>
          <w:b/>
        </w:rPr>
        <w:t>s substan</w:t>
      </w:r>
      <w:r w:rsidRPr="000A07C8">
        <w:rPr>
          <w:rFonts w:ascii="Arial" w:hAnsi="Arial" w:cs="Arial"/>
          <w:b/>
        </w:rPr>
        <w:t>tive issues</w:t>
      </w:r>
    </w:p>
    <w:p w:rsidR="000A07C8" w:rsidRPr="000A07C8" w:rsidRDefault="000A07C8" w:rsidP="000A07C8">
      <w:pPr>
        <w:pStyle w:val="ListParagraph"/>
        <w:rPr>
          <w:rFonts w:ascii="Arial" w:hAnsi="Arial" w:cs="Arial"/>
        </w:rPr>
      </w:pPr>
    </w:p>
    <w:p w:rsidR="000A07C8" w:rsidRDefault="000A07C8" w:rsidP="00AF22DC">
      <w:pPr>
        <w:pStyle w:val="ListParagraph"/>
        <w:numPr>
          <w:ilvl w:val="0"/>
          <w:numId w:val="3"/>
        </w:numPr>
        <w:spacing w:line="360" w:lineRule="auto"/>
        <w:rPr>
          <w:rFonts w:ascii="Arial" w:hAnsi="Arial" w:cs="Arial"/>
        </w:rPr>
      </w:pPr>
      <w:r>
        <w:rPr>
          <w:rFonts w:ascii="Arial" w:hAnsi="Arial" w:cs="Arial"/>
        </w:rPr>
        <w:t>The persons comprising the eighth respondent group contended that;</w:t>
      </w:r>
    </w:p>
    <w:p w:rsidR="000A07C8" w:rsidRDefault="000A07C8" w:rsidP="000A07C8">
      <w:pPr>
        <w:pStyle w:val="ListParagraph"/>
        <w:spacing w:line="360" w:lineRule="auto"/>
        <w:ind w:left="360"/>
        <w:rPr>
          <w:rFonts w:ascii="Arial" w:hAnsi="Arial" w:cs="Arial"/>
        </w:rPr>
      </w:pPr>
    </w:p>
    <w:p w:rsidR="00250AC1" w:rsidRDefault="000A07C8" w:rsidP="00967F6B">
      <w:pPr>
        <w:pStyle w:val="ListParagraph"/>
        <w:numPr>
          <w:ilvl w:val="0"/>
          <w:numId w:val="18"/>
        </w:numPr>
        <w:spacing w:line="360" w:lineRule="auto"/>
        <w:rPr>
          <w:rFonts w:ascii="Arial" w:hAnsi="Arial" w:cs="Arial"/>
        </w:rPr>
      </w:pPr>
      <w:r>
        <w:rPr>
          <w:rFonts w:ascii="Arial" w:hAnsi="Arial" w:cs="Arial"/>
        </w:rPr>
        <w:lastRenderedPageBreak/>
        <w:t>they could not be joined in the proceedings sinc</w:t>
      </w:r>
      <w:r w:rsidR="003C162A">
        <w:rPr>
          <w:rFonts w:ascii="Arial" w:hAnsi="Arial" w:cs="Arial"/>
        </w:rPr>
        <w:t>e the</w:t>
      </w:r>
      <w:r w:rsidR="008C578E">
        <w:rPr>
          <w:rFonts w:ascii="Arial" w:hAnsi="Arial" w:cs="Arial"/>
        </w:rPr>
        <w:t>y</w:t>
      </w:r>
      <w:r w:rsidR="003C162A">
        <w:rPr>
          <w:rFonts w:ascii="Arial" w:hAnsi="Arial" w:cs="Arial"/>
        </w:rPr>
        <w:t xml:space="preserve"> came onto the site in January</w:t>
      </w:r>
      <w:r>
        <w:rPr>
          <w:rFonts w:ascii="Arial" w:hAnsi="Arial" w:cs="Arial"/>
        </w:rPr>
        <w:t xml:space="preserve"> 2020 and therefore are not person</w:t>
      </w:r>
      <w:r w:rsidR="00967F6B">
        <w:rPr>
          <w:rFonts w:ascii="Arial" w:hAnsi="Arial" w:cs="Arial"/>
        </w:rPr>
        <w:t xml:space="preserve">s cited in the application. </w:t>
      </w:r>
    </w:p>
    <w:p w:rsidR="00250AC1" w:rsidRDefault="00250AC1" w:rsidP="00250AC1">
      <w:pPr>
        <w:pStyle w:val="ListParagraph"/>
        <w:spacing w:line="360" w:lineRule="auto"/>
        <w:ind w:left="1080"/>
        <w:rPr>
          <w:rFonts w:ascii="Arial" w:hAnsi="Arial" w:cs="Arial"/>
        </w:rPr>
      </w:pPr>
    </w:p>
    <w:p w:rsidR="000A07C8" w:rsidRDefault="00967F6B" w:rsidP="00250AC1">
      <w:pPr>
        <w:pStyle w:val="ListParagraph"/>
        <w:spacing w:line="360" w:lineRule="auto"/>
        <w:ind w:left="1080"/>
        <w:rPr>
          <w:rFonts w:ascii="Arial" w:hAnsi="Arial" w:cs="Arial"/>
        </w:rPr>
      </w:pPr>
      <w:r>
        <w:rPr>
          <w:rFonts w:ascii="Arial" w:hAnsi="Arial" w:cs="Arial"/>
        </w:rPr>
        <w:t>It wa</w:t>
      </w:r>
      <w:r w:rsidR="000A07C8">
        <w:rPr>
          <w:rFonts w:ascii="Arial" w:hAnsi="Arial" w:cs="Arial"/>
        </w:rPr>
        <w:t xml:space="preserve">s </w:t>
      </w:r>
      <w:r>
        <w:rPr>
          <w:rFonts w:ascii="Arial" w:hAnsi="Arial" w:cs="Arial"/>
        </w:rPr>
        <w:t xml:space="preserve">argued </w:t>
      </w:r>
      <w:r w:rsidR="000A07C8">
        <w:rPr>
          <w:rFonts w:ascii="Arial" w:hAnsi="Arial" w:cs="Arial"/>
        </w:rPr>
        <w:t>that the citation c</w:t>
      </w:r>
      <w:r>
        <w:rPr>
          <w:rFonts w:ascii="Arial" w:hAnsi="Arial" w:cs="Arial"/>
        </w:rPr>
        <w:t>ould</w:t>
      </w:r>
      <w:r w:rsidR="008C578E">
        <w:rPr>
          <w:rFonts w:ascii="Arial" w:hAnsi="Arial" w:cs="Arial"/>
        </w:rPr>
        <w:t xml:space="preserve"> </w:t>
      </w:r>
      <w:r w:rsidR="000A07C8">
        <w:rPr>
          <w:rFonts w:ascii="Arial" w:hAnsi="Arial" w:cs="Arial"/>
        </w:rPr>
        <w:t xml:space="preserve">only </w:t>
      </w:r>
      <w:r w:rsidR="008C578E">
        <w:rPr>
          <w:rFonts w:ascii="Arial" w:hAnsi="Arial" w:cs="Arial"/>
        </w:rPr>
        <w:t xml:space="preserve">refer </w:t>
      </w:r>
      <w:r w:rsidR="000A07C8">
        <w:rPr>
          <w:rFonts w:ascii="Arial" w:hAnsi="Arial" w:cs="Arial"/>
        </w:rPr>
        <w:t xml:space="preserve">to persons </w:t>
      </w:r>
      <w:r w:rsidR="008C578E">
        <w:rPr>
          <w:rFonts w:ascii="Arial" w:hAnsi="Arial" w:cs="Arial"/>
        </w:rPr>
        <w:t xml:space="preserve">who had </w:t>
      </w:r>
      <w:r w:rsidR="000A07C8">
        <w:rPr>
          <w:rFonts w:ascii="Arial" w:hAnsi="Arial" w:cs="Arial"/>
        </w:rPr>
        <w:t>trespass</w:t>
      </w:r>
      <w:r w:rsidR="008C578E">
        <w:rPr>
          <w:rFonts w:ascii="Arial" w:hAnsi="Arial" w:cs="Arial"/>
        </w:rPr>
        <w:t xml:space="preserve">ed or were </w:t>
      </w:r>
      <w:r w:rsidR="000A07C8">
        <w:rPr>
          <w:rFonts w:ascii="Arial" w:hAnsi="Arial" w:cs="Arial"/>
        </w:rPr>
        <w:t>about to tr</w:t>
      </w:r>
      <w:r w:rsidR="00C461D2">
        <w:rPr>
          <w:rFonts w:ascii="Arial" w:hAnsi="Arial" w:cs="Arial"/>
        </w:rPr>
        <w:t>espass on the development in July</w:t>
      </w:r>
      <w:r w:rsidR="000A07C8">
        <w:rPr>
          <w:rFonts w:ascii="Arial" w:hAnsi="Arial" w:cs="Arial"/>
        </w:rPr>
        <w:t xml:space="preserve"> </w:t>
      </w:r>
      <w:r w:rsidR="00702FD7">
        <w:rPr>
          <w:rFonts w:ascii="Arial" w:hAnsi="Arial" w:cs="Arial"/>
        </w:rPr>
        <w:t>2</w:t>
      </w:r>
      <w:r w:rsidR="000A07C8">
        <w:rPr>
          <w:rFonts w:ascii="Arial" w:hAnsi="Arial" w:cs="Arial"/>
        </w:rPr>
        <w:t>019</w:t>
      </w:r>
      <w:r w:rsidR="00C461D2">
        <w:rPr>
          <w:rFonts w:ascii="Arial" w:hAnsi="Arial" w:cs="Arial"/>
        </w:rPr>
        <w:t>;</w:t>
      </w:r>
      <w:r w:rsidR="008C578E">
        <w:rPr>
          <w:rFonts w:ascii="Arial" w:hAnsi="Arial" w:cs="Arial"/>
        </w:rPr>
        <w:t xml:space="preserve"> not to anyone who</w:t>
      </w:r>
      <w:r w:rsidR="00C27261">
        <w:rPr>
          <w:rFonts w:ascii="Arial" w:hAnsi="Arial" w:cs="Arial"/>
        </w:rPr>
        <w:t xml:space="preserve"> did so</w:t>
      </w:r>
      <w:r w:rsidR="008C578E">
        <w:rPr>
          <w:rFonts w:ascii="Arial" w:hAnsi="Arial" w:cs="Arial"/>
        </w:rPr>
        <w:t xml:space="preserve"> </w:t>
      </w:r>
      <w:r w:rsidR="00C461D2">
        <w:rPr>
          <w:rFonts w:ascii="Arial" w:hAnsi="Arial" w:cs="Arial"/>
        </w:rPr>
        <w:t xml:space="preserve">some six months </w:t>
      </w:r>
      <w:r w:rsidR="008C578E">
        <w:rPr>
          <w:rFonts w:ascii="Arial" w:hAnsi="Arial" w:cs="Arial"/>
        </w:rPr>
        <w:t>later</w:t>
      </w:r>
    </w:p>
    <w:p w:rsidR="000A07C8" w:rsidRDefault="000A07C8" w:rsidP="000A07C8">
      <w:pPr>
        <w:pStyle w:val="ListParagraph"/>
        <w:spacing w:line="360" w:lineRule="auto"/>
        <w:ind w:left="1080"/>
        <w:rPr>
          <w:rFonts w:ascii="Arial" w:hAnsi="Arial" w:cs="Arial"/>
        </w:rPr>
      </w:pPr>
    </w:p>
    <w:p w:rsidR="000A07C8" w:rsidRDefault="000A07C8" w:rsidP="00967F6B">
      <w:pPr>
        <w:pStyle w:val="ListParagraph"/>
        <w:numPr>
          <w:ilvl w:val="0"/>
          <w:numId w:val="18"/>
        </w:numPr>
        <w:spacing w:line="360" w:lineRule="auto"/>
        <w:rPr>
          <w:rFonts w:ascii="Arial" w:hAnsi="Arial" w:cs="Arial"/>
        </w:rPr>
      </w:pPr>
      <w:r>
        <w:rPr>
          <w:rFonts w:ascii="Arial" w:hAnsi="Arial" w:cs="Arial"/>
        </w:rPr>
        <w:t>even if they could be joined in the proceedings, the</w:t>
      </w:r>
      <w:r w:rsidR="00C461D2">
        <w:rPr>
          <w:rFonts w:ascii="Arial" w:hAnsi="Arial" w:cs="Arial"/>
        </w:rPr>
        <w:t xml:space="preserve"> group comprising the eighth respondent</w:t>
      </w:r>
      <w:r>
        <w:rPr>
          <w:rFonts w:ascii="Arial" w:hAnsi="Arial" w:cs="Arial"/>
        </w:rPr>
        <w:t xml:space="preserve"> </w:t>
      </w:r>
      <w:r w:rsidR="00C461D2">
        <w:rPr>
          <w:rFonts w:ascii="Arial" w:hAnsi="Arial" w:cs="Arial"/>
        </w:rPr>
        <w:t xml:space="preserve">were </w:t>
      </w:r>
      <w:r>
        <w:rPr>
          <w:rFonts w:ascii="Arial" w:hAnsi="Arial" w:cs="Arial"/>
        </w:rPr>
        <w:t xml:space="preserve">in occupation for over a year </w:t>
      </w:r>
      <w:r w:rsidR="00C461D2">
        <w:rPr>
          <w:rFonts w:ascii="Arial" w:hAnsi="Arial" w:cs="Arial"/>
        </w:rPr>
        <w:t>before the</w:t>
      </w:r>
      <w:r w:rsidR="00801ED2">
        <w:rPr>
          <w:rFonts w:ascii="Arial" w:hAnsi="Arial" w:cs="Arial"/>
        </w:rPr>
        <w:t>n</w:t>
      </w:r>
      <w:r w:rsidR="00C461D2">
        <w:rPr>
          <w:rFonts w:ascii="Arial" w:hAnsi="Arial" w:cs="Arial"/>
        </w:rPr>
        <w:t xml:space="preserve"> and consequently the</w:t>
      </w:r>
      <w:r>
        <w:rPr>
          <w:rFonts w:ascii="Arial" w:hAnsi="Arial" w:cs="Arial"/>
        </w:rPr>
        <w:t xml:space="preserve"> provisions of PIE </w:t>
      </w:r>
      <w:r w:rsidR="00801ED2">
        <w:rPr>
          <w:rFonts w:ascii="Arial" w:hAnsi="Arial" w:cs="Arial"/>
        </w:rPr>
        <w:t xml:space="preserve">had to </w:t>
      </w:r>
      <w:r>
        <w:rPr>
          <w:rFonts w:ascii="Arial" w:hAnsi="Arial" w:cs="Arial"/>
        </w:rPr>
        <w:t>be followed before they c</w:t>
      </w:r>
      <w:r w:rsidR="00801ED2">
        <w:rPr>
          <w:rFonts w:ascii="Arial" w:hAnsi="Arial" w:cs="Arial"/>
        </w:rPr>
        <w:t>ould</w:t>
      </w:r>
      <w:r>
        <w:rPr>
          <w:rFonts w:ascii="Arial" w:hAnsi="Arial" w:cs="Arial"/>
        </w:rPr>
        <w:t xml:space="preserve"> be lawfully evicted.</w:t>
      </w:r>
    </w:p>
    <w:p w:rsidR="00BE3C43" w:rsidRPr="00BE3C43" w:rsidRDefault="00BE3C43" w:rsidP="00BE3C43">
      <w:pPr>
        <w:pStyle w:val="ListParagraph"/>
        <w:rPr>
          <w:rFonts w:ascii="Arial" w:hAnsi="Arial" w:cs="Arial"/>
        </w:rPr>
      </w:pPr>
    </w:p>
    <w:p w:rsidR="00B106BB" w:rsidRPr="00B72EE8" w:rsidRDefault="00702FD7" w:rsidP="00AF22DC">
      <w:pPr>
        <w:pStyle w:val="ListParagraph"/>
        <w:numPr>
          <w:ilvl w:val="0"/>
          <w:numId w:val="3"/>
        </w:numPr>
        <w:spacing w:line="360" w:lineRule="auto"/>
        <w:rPr>
          <w:rFonts w:ascii="Arial" w:hAnsi="Arial" w:cs="Arial"/>
        </w:rPr>
      </w:pPr>
      <w:r w:rsidRPr="00ED169A">
        <w:rPr>
          <w:rFonts w:ascii="Arial" w:hAnsi="Arial" w:cs="Arial"/>
        </w:rPr>
        <w:t xml:space="preserve">The answer to the point taken </w:t>
      </w:r>
      <w:r w:rsidR="00ED169A" w:rsidRPr="00ED169A">
        <w:rPr>
          <w:rFonts w:ascii="Arial" w:hAnsi="Arial" w:cs="Arial"/>
        </w:rPr>
        <w:t>of mis-</w:t>
      </w:r>
      <w:r w:rsidRPr="00ED169A">
        <w:rPr>
          <w:rFonts w:ascii="Arial" w:hAnsi="Arial" w:cs="Arial"/>
        </w:rPr>
        <w:t>join</w:t>
      </w:r>
      <w:r w:rsidR="00ED169A" w:rsidRPr="00ED169A">
        <w:rPr>
          <w:rFonts w:ascii="Arial" w:hAnsi="Arial" w:cs="Arial"/>
        </w:rPr>
        <w:t>der</w:t>
      </w:r>
      <w:r w:rsidRPr="00ED169A">
        <w:rPr>
          <w:rFonts w:ascii="Arial" w:hAnsi="Arial" w:cs="Arial"/>
        </w:rPr>
        <w:t xml:space="preserve"> because they were not </w:t>
      </w:r>
      <w:r w:rsidR="005C2C6D" w:rsidRPr="00ED169A">
        <w:rPr>
          <w:rFonts w:ascii="Arial" w:hAnsi="Arial" w:cs="Arial"/>
        </w:rPr>
        <w:t>trespassers</w:t>
      </w:r>
      <w:r w:rsidRPr="00ED169A">
        <w:rPr>
          <w:rFonts w:ascii="Arial" w:hAnsi="Arial" w:cs="Arial"/>
        </w:rPr>
        <w:t xml:space="preserve"> overlooks that the citation refers to </w:t>
      </w:r>
      <w:r w:rsidR="005C2C6D" w:rsidRPr="00ED169A">
        <w:rPr>
          <w:rFonts w:ascii="Arial" w:hAnsi="Arial" w:cs="Arial"/>
        </w:rPr>
        <w:t>persons</w:t>
      </w:r>
      <w:r w:rsidRPr="00ED169A">
        <w:rPr>
          <w:rFonts w:ascii="Arial" w:hAnsi="Arial" w:cs="Arial"/>
        </w:rPr>
        <w:t xml:space="preserve"> who may attempt to invade or settle on the development. The issue of whether an order granted some time earlier can have effect on </w:t>
      </w:r>
      <w:r w:rsidR="00801ED2" w:rsidRPr="00ED169A">
        <w:rPr>
          <w:rFonts w:ascii="Arial" w:hAnsi="Arial" w:cs="Arial"/>
        </w:rPr>
        <w:t xml:space="preserve">subsequent groups of land invaders </w:t>
      </w:r>
      <w:r w:rsidR="00ED169A">
        <w:rPr>
          <w:rFonts w:ascii="Arial" w:hAnsi="Arial" w:cs="Arial"/>
        </w:rPr>
        <w:t xml:space="preserve">is </w:t>
      </w:r>
      <w:r w:rsidRPr="00B72EE8">
        <w:rPr>
          <w:rFonts w:ascii="Arial" w:hAnsi="Arial" w:cs="Arial"/>
        </w:rPr>
        <w:t>considered</w:t>
      </w:r>
      <w:r w:rsidR="00C27261">
        <w:rPr>
          <w:rFonts w:ascii="Arial" w:hAnsi="Arial" w:cs="Arial"/>
        </w:rPr>
        <w:t xml:space="preserve"> </w:t>
      </w:r>
      <w:r w:rsidR="00B72EE8" w:rsidRPr="00B72EE8">
        <w:rPr>
          <w:rFonts w:ascii="Arial" w:hAnsi="Arial" w:cs="Arial"/>
        </w:rPr>
        <w:t>later.</w:t>
      </w:r>
      <w:r w:rsidRPr="00B72EE8">
        <w:rPr>
          <w:rFonts w:ascii="Arial" w:hAnsi="Arial" w:cs="Arial"/>
        </w:rPr>
        <w:t xml:space="preserve"> </w:t>
      </w:r>
    </w:p>
    <w:p w:rsidR="000774C7" w:rsidRDefault="000774C7" w:rsidP="007E33D1">
      <w:pPr>
        <w:spacing w:line="360" w:lineRule="auto"/>
        <w:rPr>
          <w:rFonts w:ascii="Arial" w:hAnsi="Arial" w:cs="Arial"/>
          <w:b/>
        </w:rPr>
      </w:pPr>
    </w:p>
    <w:p w:rsidR="000774C7" w:rsidRDefault="000774C7" w:rsidP="007E33D1">
      <w:pPr>
        <w:spacing w:line="360" w:lineRule="auto"/>
        <w:rPr>
          <w:rFonts w:ascii="Arial" w:hAnsi="Arial" w:cs="Arial"/>
          <w:b/>
        </w:rPr>
      </w:pPr>
    </w:p>
    <w:p w:rsidR="007E33D1" w:rsidRPr="00DD256A" w:rsidRDefault="000774C7" w:rsidP="007E33D1">
      <w:pPr>
        <w:spacing w:line="360" w:lineRule="auto"/>
        <w:rPr>
          <w:rFonts w:ascii="Arial" w:hAnsi="Arial" w:cs="Arial"/>
          <w:b/>
        </w:rPr>
      </w:pPr>
      <w:r>
        <w:rPr>
          <w:rFonts w:ascii="Arial" w:hAnsi="Arial" w:cs="Arial"/>
          <w:b/>
        </w:rPr>
        <w:t xml:space="preserve">APPLICATION OF PIE TO </w:t>
      </w:r>
      <w:r w:rsidR="00083362">
        <w:rPr>
          <w:rFonts w:ascii="Arial" w:hAnsi="Arial" w:cs="Arial"/>
          <w:b/>
        </w:rPr>
        <w:t>THE FIRST RESPONDENT GROUP</w:t>
      </w:r>
    </w:p>
    <w:p w:rsidR="00DD256A" w:rsidRPr="005622BB" w:rsidRDefault="00DD256A" w:rsidP="00DD256A">
      <w:pPr>
        <w:pStyle w:val="ListParagraph"/>
        <w:rPr>
          <w:rFonts w:ascii="Arial" w:hAnsi="Arial" w:cs="Arial"/>
        </w:rPr>
      </w:pPr>
    </w:p>
    <w:p w:rsidR="002129A5" w:rsidRDefault="00702FD7" w:rsidP="00AF22DC">
      <w:pPr>
        <w:pStyle w:val="ListParagraph"/>
        <w:numPr>
          <w:ilvl w:val="0"/>
          <w:numId w:val="3"/>
        </w:numPr>
        <w:spacing w:line="360" w:lineRule="auto"/>
        <w:rPr>
          <w:rFonts w:ascii="Arial" w:hAnsi="Arial" w:cs="Arial"/>
        </w:rPr>
      </w:pPr>
      <w:r>
        <w:rPr>
          <w:rFonts w:ascii="Arial" w:hAnsi="Arial" w:cs="Arial"/>
        </w:rPr>
        <w:t xml:space="preserve">The facts presented in </w:t>
      </w:r>
      <w:r w:rsidR="00DD256A" w:rsidRPr="00DD256A">
        <w:rPr>
          <w:rFonts w:ascii="Arial" w:hAnsi="Arial" w:cs="Arial"/>
        </w:rPr>
        <w:t>the</w:t>
      </w:r>
      <w:r w:rsidR="00250AC1">
        <w:rPr>
          <w:rFonts w:ascii="Arial" w:hAnsi="Arial" w:cs="Arial"/>
        </w:rPr>
        <w:t xml:space="preserve"> answering papers of the fi</w:t>
      </w:r>
      <w:r w:rsidR="00DD256A" w:rsidRPr="00DD256A">
        <w:rPr>
          <w:rFonts w:ascii="Arial" w:hAnsi="Arial" w:cs="Arial"/>
        </w:rPr>
        <w:t xml:space="preserve">rst </w:t>
      </w:r>
      <w:r w:rsidR="005C2C6D" w:rsidRPr="00DD256A">
        <w:rPr>
          <w:rFonts w:ascii="Arial" w:hAnsi="Arial" w:cs="Arial"/>
        </w:rPr>
        <w:t>respondent</w:t>
      </w:r>
      <w:r w:rsidR="00DD256A" w:rsidRPr="00DD256A">
        <w:rPr>
          <w:rFonts w:ascii="Arial" w:hAnsi="Arial" w:cs="Arial"/>
        </w:rPr>
        <w:t xml:space="preserve"> group reveal that </w:t>
      </w:r>
      <w:r w:rsidR="00C27261" w:rsidRPr="00DD256A">
        <w:rPr>
          <w:rFonts w:ascii="Arial" w:hAnsi="Arial" w:cs="Arial"/>
        </w:rPr>
        <w:t>they were n</w:t>
      </w:r>
      <w:r w:rsidR="00C27261">
        <w:rPr>
          <w:rFonts w:ascii="Arial" w:hAnsi="Arial" w:cs="Arial"/>
        </w:rPr>
        <w:t xml:space="preserve">ot </w:t>
      </w:r>
      <w:r w:rsidR="00C27261" w:rsidRPr="00DD256A">
        <w:rPr>
          <w:rFonts w:ascii="Arial" w:hAnsi="Arial" w:cs="Arial"/>
        </w:rPr>
        <w:t>homeless</w:t>
      </w:r>
      <w:r w:rsidR="00C27261">
        <w:rPr>
          <w:rFonts w:ascii="Arial" w:hAnsi="Arial" w:cs="Arial"/>
        </w:rPr>
        <w:t xml:space="preserve"> </w:t>
      </w:r>
      <w:r w:rsidR="00ED169A">
        <w:rPr>
          <w:rFonts w:ascii="Arial" w:hAnsi="Arial" w:cs="Arial"/>
        </w:rPr>
        <w:t>save for a bald allegation in regard to an unidentified few</w:t>
      </w:r>
      <w:r w:rsidR="00C27261">
        <w:rPr>
          <w:rFonts w:ascii="Arial" w:hAnsi="Arial" w:cs="Arial"/>
        </w:rPr>
        <w:t xml:space="preserve"> who were not among those who claimed to have been on the land </w:t>
      </w:r>
      <w:r w:rsidR="002129A5">
        <w:rPr>
          <w:rFonts w:ascii="Arial" w:hAnsi="Arial" w:cs="Arial"/>
        </w:rPr>
        <w:t>from the evening of the 18</w:t>
      </w:r>
      <w:r w:rsidR="002129A5" w:rsidRPr="002129A5">
        <w:rPr>
          <w:rFonts w:ascii="Arial" w:hAnsi="Arial" w:cs="Arial"/>
          <w:vertAlign w:val="superscript"/>
        </w:rPr>
        <w:t>th</w:t>
      </w:r>
      <w:r w:rsidR="002129A5">
        <w:rPr>
          <w:rFonts w:ascii="Arial" w:hAnsi="Arial" w:cs="Arial"/>
        </w:rPr>
        <w:t xml:space="preserve"> </w:t>
      </w:r>
      <w:r w:rsidR="00C27261">
        <w:rPr>
          <w:rFonts w:ascii="Arial" w:hAnsi="Arial" w:cs="Arial"/>
        </w:rPr>
        <w:t xml:space="preserve">to the </w:t>
      </w:r>
      <w:r w:rsidR="002129A5">
        <w:rPr>
          <w:rFonts w:ascii="Arial" w:hAnsi="Arial" w:cs="Arial"/>
        </w:rPr>
        <w:t xml:space="preserve">morning of the </w:t>
      </w:r>
      <w:r w:rsidR="00C27261">
        <w:rPr>
          <w:rFonts w:ascii="Arial" w:hAnsi="Arial" w:cs="Arial"/>
        </w:rPr>
        <w:t>24</w:t>
      </w:r>
      <w:r w:rsidR="00C27261" w:rsidRPr="00C27261">
        <w:rPr>
          <w:rFonts w:ascii="Arial" w:hAnsi="Arial" w:cs="Arial"/>
          <w:vertAlign w:val="superscript"/>
        </w:rPr>
        <w:t>th</w:t>
      </w:r>
      <w:r w:rsidR="00C27261">
        <w:rPr>
          <w:rFonts w:ascii="Arial" w:hAnsi="Arial" w:cs="Arial"/>
        </w:rPr>
        <w:t xml:space="preserve"> of July. </w:t>
      </w:r>
      <w:r w:rsidR="00CC36AE">
        <w:rPr>
          <w:rFonts w:ascii="Arial" w:hAnsi="Arial" w:cs="Arial"/>
        </w:rPr>
        <w:t xml:space="preserve">Most resided in Katlehong or Thokoza and Vosloorus. </w:t>
      </w:r>
    </w:p>
    <w:p w:rsidR="002129A5" w:rsidRDefault="002129A5" w:rsidP="002129A5">
      <w:pPr>
        <w:pStyle w:val="ListParagraph"/>
        <w:spacing w:line="360" w:lineRule="auto"/>
        <w:ind w:left="360"/>
        <w:rPr>
          <w:rFonts w:ascii="Arial" w:hAnsi="Arial" w:cs="Arial"/>
        </w:rPr>
      </w:pPr>
    </w:p>
    <w:p w:rsidR="00DD256A" w:rsidRDefault="002129A5" w:rsidP="00AF22DC">
      <w:pPr>
        <w:pStyle w:val="ListParagraph"/>
        <w:numPr>
          <w:ilvl w:val="0"/>
          <w:numId w:val="3"/>
        </w:numPr>
        <w:spacing w:line="360" w:lineRule="auto"/>
        <w:rPr>
          <w:rFonts w:ascii="Arial" w:hAnsi="Arial" w:cs="Arial"/>
        </w:rPr>
      </w:pPr>
      <w:r>
        <w:rPr>
          <w:rFonts w:ascii="Arial" w:hAnsi="Arial" w:cs="Arial"/>
        </w:rPr>
        <w:t xml:space="preserve">Of equal </w:t>
      </w:r>
      <w:r w:rsidR="00CC36AE">
        <w:rPr>
          <w:rFonts w:ascii="Arial" w:hAnsi="Arial" w:cs="Arial"/>
        </w:rPr>
        <w:t>importan</w:t>
      </w:r>
      <w:r w:rsidR="00C27261">
        <w:rPr>
          <w:rFonts w:ascii="Arial" w:hAnsi="Arial" w:cs="Arial"/>
        </w:rPr>
        <w:t>ce is that</w:t>
      </w:r>
      <w:r w:rsidR="00CC36AE">
        <w:rPr>
          <w:rFonts w:ascii="Arial" w:hAnsi="Arial" w:cs="Arial"/>
        </w:rPr>
        <w:t xml:space="preserve"> they did not intend to take possession of land in the development nor </w:t>
      </w:r>
      <w:r w:rsidR="00DD256A" w:rsidRPr="00DD256A">
        <w:rPr>
          <w:rFonts w:ascii="Arial" w:hAnsi="Arial" w:cs="Arial"/>
        </w:rPr>
        <w:t>unlawfully occupy</w:t>
      </w:r>
      <w:r w:rsidR="00CC36AE">
        <w:rPr>
          <w:rFonts w:ascii="Arial" w:hAnsi="Arial" w:cs="Arial"/>
        </w:rPr>
        <w:t xml:space="preserve"> it</w:t>
      </w:r>
      <w:r>
        <w:rPr>
          <w:rFonts w:ascii="Arial" w:hAnsi="Arial" w:cs="Arial"/>
        </w:rPr>
        <w:t>. They</w:t>
      </w:r>
      <w:r w:rsidR="00DD256A" w:rsidRPr="00DD256A">
        <w:rPr>
          <w:rFonts w:ascii="Arial" w:hAnsi="Arial" w:cs="Arial"/>
        </w:rPr>
        <w:t xml:space="preserve"> claim to have been on the development only to prevent others who were about to embark </w:t>
      </w:r>
      <w:r w:rsidR="005C2C6D" w:rsidRPr="00DD256A">
        <w:rPr>
          <w:rFonts w:ascii="Arial" w:hAnsi="Arial" w:cs="Arial"/>
        </w:rPr>
        <w:t>on a</w:t>
      </w:r>
      <w:r w:rsidR="00DD256A" w:rsidRPr="00DD256A">
        <w:rPr>
          <w:rFonts w:ascii="Arial" w:hAnsi="Arial" w:cs="Arial"/>
        </w:rPr>
        <w:t xml:space="preserve"> land invasi</w:t>
      </w:r>
      <w:r w:rsidR="00702FD7">
        <w:rPr>
          <w:rFonts w:ascii="Arial" w:hAnsi="Arial" w:cs="Arial"/>
        </w:rPr>
        <w:t xml:space="preserve">on from doing so. </w:t>
      </w:r>
    </w:p>
    <w:p w:rsidR="00B72EE8" w:rsidRDefault="00B72EE8" w:rsidP="00B72EE8">
      <w:pPr>
        <w:pStyle w:val="ListParagraph"/>
        <w:spacing w:line="360" w:lineRule="auto"/>
        <w:ind w:left="360"/>
        <w:rPr>
          <w:rFonts w:ascii="Arial" w:hAnsi="Arial" w:cs="Arial"/>
        </w:rPr>
      </w:pPr>
    </w:p>
    <w:p w:rsidR="00B72EE8" w:rsidRPr="00DD256A" w:rsidRDefault="00C27261" w:rsidP="00B72EE8">
      <w:pPr>
        <w:pStyle w:val="ListParagraph"/>
        <w:spacing w:line="360" w:lineRule="auto"/>
        <w:ind w:left="360"/>
        <w:rPr>
          <w:rFonts w:ascii="Arial" w:hAnsi="Arial" w:cs="Arial"/>
        </w:rPr>
      </w:pPr>
      <w:r>
        <w:rPr>
          <w:rFonts w:ascii="Arial" w:hAnsi="Arial" w:cs="Arial"/>
        </w:rPr>
        <w:t>Almost all in</w:t>
      </w:r>
      <w:r w:rsidR="00B72EE8">
        <w:rPr>
          <w:rFonts w:ascii="Arial" w:hAnsi="Arial" w:cs="Arial"/>
        </w:rPr>
        <w:t xml:space="preserve"> the first </w:t>
      </w:r>
      <w:r w:rsidR="00DA411B">
        <w:rPr>
          <w:rFonts w:ascii="Arial" w:hAnsi="Arial" w:cs="Arial"/>
        </w:rPr>
        <w:t>respondent</w:t>
      </w:r>
      <w:r w:rsidR="00B72EE8">
        <w:rPr>
          <w:rFonts w:ascii="Arial" w:hAnsi="Arial" w:cs="Arial"/>
        </w:rPr>
        <w:t xml:space="preserve"> group provided addresses</w:t>
      </w:r>
      <w:r w:rsidR="005868BA">
        <w:rPr>
          <w:rFonts w:ascii="Arial" w:hAnsi="Arial" w:cs="Arial"/>
        </w:rPr>
        <w:t xml:space="preserve">. In the papers </w:t>
      </w:r>
      <w:r w:rsidR="00B72EE8">
        <w:rPr>
          <w:rFonts w:ascii="Arial" w:hAnsi="Arial" w:cs="Arial"/>
        </w:rPr>
        <w:t xml:space="preserve">those who claimed to be in occupation over the </w:t>
      </w:r>
      <w:r w:rsidR="002129A5">
        <w:rPr>
          <w:rFonts w:ascii="Arial" w:hAnsi="Arial" w:cs="Arial"/>
        </w:rPr>
        <w:t xml:space="preserve">critical </w:t>
      </w:r>
      <w:r w:rsidR="00B72EE8">
        <w:rPr>
          <w:rFonts w:ascii="Arial" w:hAnsi="Arial" w:cs="Arial"/>
        </w:rPr>
        <w:t xml:space="preserve">period </w:t>
      </w:r>
      <w:r w:rsidR="005868BA">
        <w:rPr>
          <w:rFonts w:ascii="Arial" w:hAnsi="Arial" w:cs="Arial"/>
        </w:rPr>
        <w:t>identified themselves as</w:t>
      </w:r>
      <w:r w:rsidR="00B72EE8">
        <w:rPr>
          <w:rFonts w:ascii="Arial" w:hAnsi="Arial" w:cs="Arial"/>
        </w:rPr>
        <w:t xml:space="preserve"> “</w:t>
      </w:r>
      <w:r w:rsidR="00B72EE8" w:rsidRPr="00B72EE8">
        <w:rPr>
          <w:rFonts w:ascii="Arial" w:hAnsi="Arial" w:cs="Arial"/>
          <w:i/>
        </w:rPr>
        <w:t>backroom shack dwellers</w:t>
      </w:r>
      <w:r w:rsidR="005868BA">
        <w:rPr>
          <w:rFonts w:ascii="Arial" w:hAnsi="Arial" w:cs="Arial"/>
        </w:rPr>
        <w:t xml:space="preserve">” and </w:t>
      </w:r>
      <w:r w:rsidR="00B72EE8">
        <w:rPr>
          <w:rFonts w:ascii="Arial" w:hAnsi="Arial" w:cs="Arial"/>
        </w:rPr>
        <w:t>did not claim to be homeless</w:t>
      </w:r>
      <w:r w:rsidR="005868BA">
        <w:rPr>
          <w:rFonts w:ascii="Arial" w:hAnsi="Arial" w:cs="Arial"/>
        </w:rPr>
        <w:t>-</w:t>
      </w:r>
      <w:r w:rsidR="00B72EE8">
        <w:rPr>
          <w:rFonts w:ascii="Arial" w:hAnsi="Arial" w:cs="Arial"/>
        </w:rPr>
        <w:t xml:space="preserve"> </w:t>
      </w:r>
      <w:r w:rsidR="00DA411B">
        <w:rPr>
          <w:rFonts w:ascii="Arial" w:hAnsi="Arial" w:cs="Arial"/>
        </w:rPr>
        <w:t>only</w:t>
      </w:r>
      <w:r w:rsidR="00B72EE8">
        <w:rPr>
          <w:rFonts w:ascii="Arial" w:hAnsi="Arial" w:cs="Arial"/>
        </w:rPr>
        <w:t xml:space="preserve"> that they were </w:t>
      </w:r>
      <w:r w:rsidR="00B72EE8">
        <w:rPr>
          <w:rFonts w:ascii="Arial" w:hAnsi="Arial" w:cs="Arial"/>
        </w:rPr>
        <w:lastRenderedPageBreak/>
        <w:t>entitled to RDP housing</w:t>
      </w:r>
      <w:r w:rsidR="00250AC1">
        <w:rPr>
          <w:rFonts w:ascii="Arial" w:hAnsi="Arial" w:cs="Arial"/>
        </w:rPr>
        <w:t xml:space="preserve"> (which itself would have required them to meet certain threshold requirements</w:t>
      </w:r>
      <w:r w:rsidR="00EE2C3B">
        <w:rPr>
          <w:rFonts w:ascii="Arial" w:hAnsi="Arial" w:cs="Arial"/>
        </w:rPr>
        <w:t>).</w:t>
      </w:r>
      <w:r w:rsidR="00B72EE8">
        <w:rPr>
          <w:rFonts w:ascii="Arial" w:hAnsi="Arial" w:cs="Arial"/>
        </w:rPr>
        <w:t xml:space="preserve"> </w:t>
      </w:r>
    </w:p>
    <w:p w:rsidR="00DD256A" w:rsidRPr="005622BB" w:rsidRDefault="00DD256A" w:rsidP="00DD256A">
      <w:pPr>
        <w:pStyle w:val="ListParagraph"/>
        <w:rPr>
          <w:rFonts w:ascii="Arial" w:hAnsi="Arial" w:cs="Arial"/>
        </w:rPr>
      </w:pPr>
    </w:p>
    <w:p w:rsidR="00702FD7" w:rsidRPr="00083362" w:rsidRDefault="00CC36AE" w:rsidP="00AF22DC">
      <w:pPr>
        <w:pStyle w:val="ListParagraph"/>
        <w:numPr>
          <w:ilvl w:val="0"/>
          <w:numId w:val="3"/>
        </w:numPr>
        <w:spacing w:line="360" w:lineRule="auto"/>
        <w:rPr>
          <w:rFonts w:ascii="Arial" w:hAnsi="Arial" w:cs="Arial"/>
        </w:rPr>
      </w:pPr>
      <w:r>
        <w:rPr>
          <w:rFonts w:ascii="Arial" w:hAnsi="Arial" w:cs="Arial"/>
        </w:rPr>
        <w:t xml:space="preserve">Accordingly at the time they were allegedly removed from the </w:t>
      </w:r>
      <w:r w:rsidR="00DA411B">
        <w:rPr>
          <w:rFonts w:ascii="Arial" w:hAnsi="Arial" w:cs="Arial"/>
        </w:rPr>
        <w:t>development</w:t>
      </w:r>
      <w:r>
        <w:rPr>
          <w:rFonts w:ascii="Arial" w:hAnsi="Arial" w:cs="Arial"/>
        </w:rPr>
        <w:t xml:space="preserve"> without a court order</w:t>
      </w:r>
      <w:r w:rsidR="00083362">
        <w:rPr>
          <w:rFonts w:ascii="Arial" w:hAnsi="Arial" w:cs="Arial"/>
        </w:rPr>
        <w:t xml:space="preserve"> </w:t>
      </w:r>
      <w:r w:rsidR="00250AC1">
        <w:rPr>
          <w:rFonts w:ascii="Arial" w:hAnsi="Arial" w:cs="Arial"/>
        </w:rPr>
        <w:t xml:space="preserve">no one in the first respondent group </w:t>
      </w:r>
      <w:r w:rsidR="00702FD7" w:rsidRPr="00083362">
        <w:rPr>
          <w:rFonts w:ascii="Arial" w:hAnsi="Arial" w:cs="Arial"/>
        </w:rPr>
        <w:t>occup</w:t>
      </w:r>
      <w:r w:rsidR="00250AC1">
        <w:rPr>
          <w:rFonts w:ascii="Arial" w:hAnsi="Arial" w:cs="Arial"/>
        </w:rPr>
        <w:t>ied</w:t>
      </w:r>
      <w:r w:rsidR="00702FD7" w:rsidRPr="00083362">
        <w:rPr>
          <w:rFonts w:ascii="Arial" w:hAnsi="Arial" w:cs="Arial"/>
        </w:rPr>
        <w:t xml:space="preserve"> in a manner contemplat</w:t>
      </w:r>
      <w:r w:rsidRPr="00083362">
        <w:rPr>
          <w:rFonts w:ascii="Arial" w:hAnsi="Arial" w:cs="Arial"/>
        </w:rPr>
        <w:t>ed by PIE and therefore did</w:t>
      </w:r>
      <w:r w:rsidR="00702FD7" w:rsidRPr="00083362">
        <w:rPr>
          <w:rFonts w:ascii="Arial" w:hAnsi="Arial" w:cs="Arial"/>
        </w:rPr>
        <w:t xml:space="preserve"> not enjoy the protection accorded under </w:t>
      </w:r>
      <w:r w:rsidR="002129A5">
        <w:rPr>
          <w:rFonts w:ascii="Arial" w:hAnsi="Arial" w:cs="Arial"/>
        </w:rPr>
        <w:t>that Act</w:t>
      </w:r>
      <w:r w:rsidR="00702FD7" w:rsidRPr="00083362">
        <w:rPr>
          <w:rFonts w:ascii="Arial" w:hAnsi="Arial" w:cs="Arial"/>
        </w:rPr>
        <w:t>.</w:t>
      </w:r>
      <w:r w:rsidR="00CC661E">
        <w:rPr>
          <w:rStyle w:val="FootnoteReference"/>
          <w:rFonts w:ascii="Arial" w:hAnsi="Arial" w:cs="Arial"/>
        </w:rPr>
        <w:footnoteReference w:id="39"/>
      </w:r>
    </w:p>
    <w:p w:rsidR="004B4159" w:rsidRPr="004B4159" w:rsidRDefault="004B4159" w:rsidP="004B4159">
      <w:pPr>
        <w:pStyle w:val="ListParagraph"/>
        <w:rPr>
          <w:rFonts w:ascii="Arial" w:hAnsi="Arial" w:cs="Arial"/>
        </w:rPr>
      </w:pPr>
    </w:p>
    <w:p w:rsidR="00801ED2" w:rsidRDefault="00CC36AE" w:rsidP="004B4159">
      <w:pPr>
        <w:spacing w:line="360" w:lineRule="auto"/>
        <w:rPr>
          <w:rFonts w:ascii="Arial" w:hAnsi="Arial" w:cs="Arial"/>
          <w:b/>
        </w:rPr>
      </w:pPr>
      <w:r>
        <w:rPr>
          <w:rFonts w:ascii="Arial" w:hAnsi="Arial" w:cs="Arial"/>
          <w:b/>
        </w:rPr>
        <w:t xml:space="preserve"> </w:t>
      </w:r>
    </w:p>
    <w:p w:rsidR="004B4159" w:rsidRPr="00833334" w:rsidRDefault="00A8502B" w:rsidP="004B4159">
      <w:pPr>
        <w:spacing w:line="360" w:lineRule="auto"/>
        <w:rPr>
          <w:rFonts w:ascii="Arial" w:hAnsi="Arial" w:cs="Arial"/>
        </w:rPr>
      </w:pPr>
      <w:r>
        <w:rPr>
          <w:rFonts w:ascii="Arial" w:hAnsi="Arial" w:cs="Arial"/>
          <w:b/>
        </w:rPr>
        <w:t xml:space="preserve">POSSESSION </w:t>
      </w:r>
      <w:r w:rsidR="006B6309">
        <w:rPr>
          <w:rFonts w:ascii="Arial" w:hAnsi="Arial" w:cs="Arial"/>
          <w:b/>
        </w:rPr>
        <w:t xml:space="preserve">AND </w:t>
      </w:r>
      <w:r w:rsidR="004B4159">
        <w:rPr>
          <w:rFonts w:ascii="Arial" w:hAnsi="Arial" w:cs="Arial"/>
          <w:b/>
        </w:rPr>
        <w:t>COUNTER-SPOLIATION</w:t>
      </w:r>
      <w:r w:rsidR="00E3555F">
        <w:rPr>
          <w:rFonts w:ascii="Arial" w:hAnsi="Arial" w:cs="Arial"/>
          <w:b/>
        </w:rPr>
        <w:t>- GENERALLY</w:t>
      </w:r>
    </w:p>
    <w:p w:rsidR="004E4D50" w:rsidRPr="00833334" w:rsidRDefault="004E4D50" w:rsidP="004E4D50">
      <w:pPr>
        <w:pStyle w:val="ListParagraph"/>
        <w:rPr>
          <w:rFonts w:ascii="Arial" w:hAnsi="Arial" w:cs="Arial"/>
        </w:rPr>
      </w:pPr>
    </w:p>
    <w:p w:rsidR="005868BA" w:rsidRDefault="005868BA" w:rsidP="00AF22DC">
      <w:pPr>
        <w:pStyle w:val="ListParagraph"/>
        <w:numPr>
          <w:ilvl w:val="0"/>
          <w:numId w:val="3"/>
        </w:numPr>
        <w:spacing w:line="360" w:lineRule="auto"/>
        <w:rPr>
          <w:rFonts w:ascii="Arial" w:hAnsi="Arial" w:cs="Arial"/>
        </w:rPr>
      </w:pPr>
      <w:r>
        <w:rPr>
          <w:rFonts w:ascii="Arial" w:hAnsi="Arial" w:cs="Arial"/>
        </w:rPr>
        <w:t xml:space="preserve">That leaves the questions of whether any of the first respondent group could rely on possession for the </w:t>
      </w:r>
      <w:r w:rsidR="00DA411B">
        <w:rPr>
          <w:rFonts w:ascii="Arial" w:hAnsi="Arial" w:cs="Arial"/>
        </w:rPr>
        <w:t>purposes</w:t>
      </w:r>
      <w:r>
        <w:rPr>
          <w:rFonts w:ascii="Arial" w:hAnsi="Arial" w:cs="Arial"/>
        </w:rPr>
        <w:t xml:space="preserve"> of their counter</w:t>
      </w:r>
      <w:r w:rsidR="00250AC1">
        <w:rPr>
          <w:rFonts w:ascii="Arial" w:hAnsi="Arial" w:cs="Arial"/>
        </w:rPr>
        <w:t>-application</w:t>
      </w:r>
      <w:r>
        <w:rPr>
          <w:rFonts w:ascii="Arial" w:hAnsi="Arial" w:cs="Arial"/>
        </w:rPr>
        <w:t xml:space="preserve"> under </w:t>
      </w:r>
      <w:r w:rsidR="00DA411B">
        <w:rPr>
          <w:rFonts w:ascii="Arial" w:hAnsi="Arial" w:cs="Arial"/>
        </w:rPr>
        <w:t>the mandament</w:t>
      </w:r>
      <w:r w:rsidR="00491C20">
        <w:rPr>
          <w:rFonts w:ascii="Arial" w:hAnsi="Arial" w:cs="Arial"/>
        </w:rPr>
        <w:t xml:space="preserve"> van spolie and </w:t>
      </w:r>
      <w:r w:rsidR="002129A5">
        <w:rPr>
          <w:rFonts w:ascii="Arial" w:hAnsi="Arial" w:cs="Arial"/>
        </w:rPr>
        <w:t xml:space="preserve">also </w:t>
      </w:r>
      <w:r w:rsidR="00491C20">
        <w:rPr>
          <w:rFonts w:ascii="Arial" w:hAnsi="Arial" w:cs="Arial"/>
        </w:rPr>
        <w:t xml:space="preserve">whether they could </w:t>
      </w:r>
      <w:r>
        <w:rPr>
          <w:rFonts w:ascii="Arial" w:hAnsi="Arial" w:cs="Arial"/>
        </w:rPr>
        <w:t xml:space="preserve">be lawfully counter-spoliated. </w:t>
      </w:r>
    </w:p>
    <w:p w:rsidR="005868BA" w:rsidRDefault="005868BA" w:rsidP="005868BA">
      <w:pPr>
        <w:pStyle w:val="ListParagraph"/>
        <w:spacing w:line="360" w:lineRule="auto"/>
        <w:ind w:left="360"/>
        <w:rPr>
          <w:rFonts w:ascii="Arial" w:hAnsi="Arial" w:cs="Arial"/>
        </w:rPr>
      </w:pPr>
    </w:p>
    <w:p w:rsidR="00833334" w:rsidRDefault="00083362" w:rsidP="003017EA">
      <w:pPr>
        <w:pStyle w:val="ListParagraph"/>
        <w:numPr>
          <w:ilvl w:val="0"/>
          <w:numId w:val="3"/>
        </w:numPr>
        <w:spacing w:line="360" w:lineRule="auto"/>
        <w:rPr>
          <w:rFonts w:ascii="Arial" w:hAnsi="Arial" w:cs="Arial"/>
        </w:rPr>
      </w:pPr>
      <w:r w:rsidRPr="00491C20">
        <w:rPr>
          <w:rFonts w:ascii="Arial" w:hAnsi="Arial" w:cs="Arial"/>
        </w:rPr>
        <w:t>While the first group may not have been occupiers for purposes of obtaining protection under PIE</w:t>
      </w:r>
      <w:r w:rsidR="00E3555F" w:rsidRPr="00491C20">
        <w:rPr>
          <w:rFonts w:ascii="Arial" w:hAnsi="Arial" w:cs="Arial"/>
        </w:rPr>
        <w:t xml:space="preserve">, and leaving aside for the moment the terminology they </w:t>
      </w:r>
      <w:r w:rsidR="00EE2C3B" w:rsidRPr="00491C20">
        <w:rPr>
          <w:rFonts w:ascii="Arial" w:hAnsi="Arial" w:cs="Arial"/>
        </w:rPr>
        <w:t>used, the</w:t>
      </w:r>
      <w:r w:rsidRPr="00491C20">
        <w:rPr>
          <w:rFonts w:ascii="Arial" w:hAnsi="Arial" w:cs="Arial"/>
        </w:rPr>
        <w:t xml:space="preserve"> question raised by their counter-application for spoliation is whether they were in possession</w:t>
      </w:r>
      <w:r w:rsidR="00E3555F" w:rsidRPr="00491C20">
        <w:rPr>
          <w:rFonts w:ascii="Arial" w:hAnsi="Arial" w:cs="Arial"/>
        </w:rPr>
        <w:t xml:space="preserve"> (they used the term “</w:t>
      </w:r>
      <w:r w:rsidR="00E3555F" w:rsidRPr="00491C20">
        <w:rPr>
          <w:rFonts w:ascii="Arial" w:hAnsi="Arial" w:cs="Arial"/>
          <w:i/>
        </w:rPr>
        <w:t>occupation</w:t>
      </w:r>
      <w:r w:rsidR="00E3555F" w:rsidRPr="00491C20">
        <w:rPr>
          <w:rFonts w:ascii="Arial" w:hAnsi="Arial" w:cs="Arial"/>
        </w:rPr>
        <w:t>”)</w:t>
      </w:r>
      <w:r w:rsidRPr="00491C20">
        <w:rPr>
          <w:rFonts w:ascii="Arial" w:hAnsi="Arial" w:cs="Arial"/>
        </w:rPr>
        <w:t xml:space="preserve"> for the purposes of obtaining a spoliation order or to frustrate any attempt </w:t>
      </w:r>
      <w:r w:rsidR="00E3555F" w:rsidRPr="00491C20">
        <w:rPr>
          <w:rFonts w:ascii="Arial" w:hAnsi="Arial" w:cs="Arial"/>
        </w:rPr>
        <w:t xml:space="preserve">by the Metro to lawfully </w:t>
      </w:r>
      <w:r w:rsidR="00491C20">
        <w:rPr>
          <w:rFonts w:ascii="Arial" w:hAnsi="Arial" w:cs="Arial"/>
        </w:rPr>
        <w:t>counter-spoliate.</w:t>
      </w:r>
    </w:p>
    <w:p w:rsidR="00491C20" w:rsidRPr="00491C20" w:rsidRDefault="00491C20" w:rsidP="00491C20">
      <w:pPr>
        <w:pStyle w:val="ListParagraph"/>
        <w:rPr>
          <w:rFonts w:ascii="Arial" w:hAnsi="Arial" w:cs="Arial"/>
        </w:rPr>
      </w:pPr>
    </w:p>
    <w:p w:rsidR="00833334" w:rsidRDefault="00C27261" w:rsidP="00AF22DC">
      <w:pPr>
        <w:pStyle w:val="ListParagraph"/>
        <w:numPr>
          <w:ilvl w:val="0"/>
          <w:numId w:val="3"/>
        </w:numPr>
        <w:spacing w:line="360" w:lineRule="auto"/>
        <w:rPr>
          <w:rFonts w:ascii="Arial" w:hAnsi="Arial" w:cs="Arial"/>
        </w:rPr>
      </w:pPr>
      <w:r>
        <w:rPr>
          <w:rFonts w:ascii="Arial" w:hAnsi="Arial" w:cs="Arial"/>
        </w:rPr>
        <w:t>In order to consider the</w:t>
      </w:r>
      <w:r w:rsidR="00837B02" w:rsidRPr="00833334">
        <w:rPr>
          <w:rFonts w:ascii="Arial" w:hAnsi="Arial" w:cs="Arial"/>
        </w:rPr>
        <w:t xml:space="preserve"> issue it is necessary to </w:t>
      </w:r>
      <w:r w:rsidR="00833334">
        <w:rPr>
          <w:rFonts w:ascii="Arial" w:hAnsi="Arial" w:cs="Arial"/>
        </w:rPr>
        <w:t>identify the grounds on which parties are</w:t>
      </w:r>
      <w:r w:rsidR="00837B02" w:rsidRPr="00833334">
        <w:rPr>
          <w:rFonts w:ascii="Arial" w:hAnsi="Arial" w:cs="Arial"/>
        </w:rPr>
        <w:t xml:space="preserve"> entitled to bring a spoliation application when contending that they </w:t>
      </w:r>
      <w:r w:rsidR="00E4415E">
        <w:rPr>
          <w:rFonts w:ascii="Arial" w:hAnsi="Arial" w:cs="Arial"/>
        </w:rPr>
        <w:t>were on the land</w:t>
      </w:r>
      <w:r w:rsidR="003B4F06" w:rsidRPr="00833334">
        <w:rPr>
          <w:rFonts w:ascii="Arial" w:hAnsi="Arial" w:cs="Arial"/>
        </w:rPr>
        <w:t xml:space="preserve">, </w:t>
      </w:r>
      <w:r w:rsidR="00491C20">
        <w:rPr>
          <w:rFonts w:ascii="Arial" w:hAnsi="Arial" w:cs="Arial"/>
        </w:rPr>
        <w:t xml:space="preserve">and </w:t>
      </w:r>
      <w:r w:rsidR="003B4F06" w:rsidRPr="00833334">
        <w:rPr>
          <w:rFonts w:ascii="Arial" w:hAnsi="Arial" w:cs="Arial"/>
        </w:rPr>
        <w:t>not just as</w:t>
      </w:r>
      <w:r w:rsidR="003935E3">
        <w:rPr>
          <w:rFonts w:ascii="Arial" w:hAnsi="Arial" w:cs="Arial"/>
        </w:rPr>
        <w:t xml:space="preserve"> tres</w:t>
      </w:r>
      <w:r w:rsidR="00837B02" w:rsidRPr="00833334">
        <w:rPr>
          <w:rFonts w:ascii="Arial" w:hAnsi="Arial" w:cs="Arial"/>
        </w:rPr>
        <w:t>passers</w:t>
      </w:r>
      <w:r w:rsidR="003B4F06" w:rsidRPr="00833334">
        <w:rPr>
          <w:rFonts w:ascii="Arial" w:hAnsi="Arial" w:cs="Arial"/>
        </w:rPr>
        <w:t xml:space="preserve"> </w:t>
      </w:r>
      <w:r w:rsidR="003B4F06" w:rsidRPr="00C71642">
        <w:rPr>
          <w:rFonts w:ascii="Arial" w:hAnsi="Arial" w:cs="Arial"/>
        </w:rPr>
        <w:t>w</w:t>
      </w:r>
      <w:r w:rsidR="00C71642">
        <w:rPr>
          <w:rFonts w:ascii="Arial" w:hAnsi="Arial" w:cs="Arial"/>
        </w:rPr>
        <w:t xml:space="preserve">ho have </w:t>
      </w:r>
      <w:r w:rsidR="003935E3">
        <w:rPr>
          <w:rFonts w:ascii="Arial" w:hAnsi="Arial" w:cs="Arial"/>
        </w:rPr>
        <w:t>no intention to remain there.</w:t>
      </w:r>
      <w:r w:rsidR="005868BA">
        <w:rPr>
          <w:rStyle w:val="FootnoteReference"/>
          <w:rFonts w:ascii="Arial" w:hAnsi="Arial" w:cs="Arial"/>
        </w:rPr>
        <w:footnoteReference w:id="40"/>
      </w:r>
    </w:p>
    <w:p w:rsidR="002129A5" w:rsidRDefault="00837B02" w:rsidP="00833334">
      <w:pPr>
        <w:pStyle w:val="ListParagraph"/>
        <w:spacing w:line="360" w:lineRule="auto"/>
        <w:ind w:left="360"/>
        <w:rPr>
          <w:rFonts w:ascii="Arial" w:hAnsi="Arial" w:cs="Arial"/>
        </w:rPr>
      </w:pPr>
      <w:r w:rsidRPr="00B6619B">
        <w:rPr>
          <w:rFonts w:ascii="Arial" w:hAnsi="Arial" w:cs="Arial"/>
        </w:rPr>
        <w:t xml:space="preserve">At this stage </w:t>
      </w:r>
      <w:r w:rsidR="00B6619B" w:rsidRPr="00B6619B">
        <w:rPr>
          <w:rFonts w:ascii="Arial" w:hAnsi="Arial" w:cs="Arial"/>
        </w:rPr>
        <w:t xml:space="preserve">equating </w:t>
      </w:r>
      <w:r w:rsidRPr="00B6619B">
        <w:rPr>
          <w:rFonts w:ascii="Arial" w:hAnsi="Arial" w:cs="Arial"/>
        </w:rPr>
        <w:t xml:space="preserve">the </w:t>
      </w:r>
      <w:r w:rsidR="00250AC1">
        <w:rPr>
          <w:rFonts w:ascii="Arial" w:hAnsi="Arial" w:cs="Arial"/>
        </w:rPr>
        <w:t xml:space="preserve">incursion of the </w:t>
      </w:r>
      <w:r w:rsidR="003B4F06" w:rsidRPr="00B6619B">
        <w:rPr>
          <w:rFonts w:ascii="Arial" w:hAnsi="Arial" w:cs="Arial"/>
        </w:rPr>
        <w:t>first respondent group</w:t>
      </w:r>
      <w:r w:rsidRPr="00B6619B">
        <w:rPr>
          <w:rFonts w:ascii="Arial" w:hAnsi="Arial" w:cs="Arial"/>
        </w:rPr>
        <w:t xml:space="preserve"> </w:t>
      </w:r>
      <w:r w:rsidR="002129A5">
        <w:rPr>
          <w:rFonts w:ascii="Arial" w:hAnsi="Arial" w:cs="Arial"/>
        </w:rPr>
        <w:t xml:space="preserve">onto the land </w:t>
      </w:r>
      <w:r w:rsidRPr="00B6619B">
        <w:rPr>
          <w:rFonts w:ascii="Arial" w:hAnsi="Arial" w:cs="Arial"/>
        </w:rPr>
        <w:lastRenderedPageBreak/>
        <w:t xml:space="preserve">with acquiring possession </w:t>
      </w:r>
      <w:r w:rsidR="003B4F06" w:rsidRPr="00B6619B">
        <w:rPr>
          <w:rFonts w:ascii="Arial" w:hAnsi="Arial" w:cs="Arial"/>
        </w:rPr>
        <w:t>rathe</w:t>
      </w:r>
      <w:r w:rsidR="00B6619B" w:rsidRPr="00B6619B">
        <w:rPr>
          <w:rFonts w:ascii="Arial" w:hAnsi="Arial" w:cs="Arial"/>
        </w:rPr>
        <w:t>r than occupation and whether t</w:t>
      </w:r>
      <w:r w:rsidR="003B4F06" w:rsidRPr="00B6619B">
        <w:rPr>
          <w:rFonts w:ascii="Arial" w:hAnsi="Arial" w:cs="Arial"/>
        </w:rPr>
        <w:t>her</w:t>
      </w:r>
      <w:r w:rsidR="00B6619B" w:rsidRPr="00B6619B">
        <w:rPr>
          <w:rFonts w:ascii="Arial" w:hAnsi="Arial" w:cs="Arial"/>
        </w:rPr>
        <w:t>e</w:t>
      </w:r>
      <w:r w:rsidR="003B4F06" w:rsidRPr="00B6619B">
        <w:rPr>
          <w:rFonts w:ascii="Arial" w:hAnsi="Arial" w:cs="Arial"/>
        </w:rPr>
        <w:t xml:space="preserve"> is a distinction between the two </w:t>
      </w:r>
      <w:r w:rsidRPr="00B6619B">
        <w:rPr>
          <w:rFonts w:ascii="Arial" w:hAnsi="Arial" w:cs="Arial"/>
        </w:rPr>
        <w:t xml:space="preserve"> begs one of the</w:t>
      </w:r>
      <w:r w:rsidR="00491C20">
        <w:rPr>
          <w:rFonts w:ascii="Arial" w:hAnsi="Arial" w:cs="Arial"/>
        </w:rPr>
        <w:t xml:space="preserve"> questions dealt with in</w:t>
      </w:r>
      <w:r w:rsidRPr="00B6619B">
        <w:rPr>
          <w:rFonts w:ascii="Arial" w:hAnsi="Arial" w:cs="Arial"/>
        </w:rPr>
        <w:t xml:space="preserve"> the </w:t>
      </w:r>
      <w:r w:rsidR="00B6619B" w:rsidRPr="00B6619B">
        <w:rPr>
          <w:rFonts w:ascii="Arial" w:hAnsi="Arial" w:cs="Arial"/>
        </w:rPr>
        <w:t xml:space="preserve">counter-spoliation decision of the </w:t>
      </w:r>
      <w:r w:rsidRPr="00B6619B">
        <w:rPr>
          <w:rFonts w:ascii="Arial" w:hAnsi="Arial" w:cs="Arial"/>
        </w:rPr>
        <w:t xml:space="preserve">Cape Full Court </w:t>
      </w:r>
      <w:r w:rsidR="002129A5">
        <w:rPr>
          <w:rFonts w:ascii="Arial" w:hAnsi="Arial" w:cs="Arial"/>
        </w:rPr>
        <w:t>in</w:t>
      </w:r>
      <w:r w:rsidR="003B4F06" w:rsidRPr="00B6619B">
        <w:rPr>
          <w:rFonts w:ascii="Arial" w:hAnsi="Arial" w:cs="Arial"/>
        </w:rPr>
        <w:t xml:space="preserve"> </w:t>
      </w:r>
      <w:r w:rsidR="003B4F06" w:rsidRPr="00B6619B">
        <w:rPr>
          <w:rFonts w:ascii="Arial" w:hAnsi="Arial" w:cs="Arial"/>
          <w:i/>
        </w:rPr>
        <w:t>SA Human Rights</w:t>
      </w:r>
      <w:r w:rsidR="00E4415E">
        <w:rPr>
          <w:rFonts w:ascii="Arial" w:hAnsi="Arial" w:cs="Arial"/>
          <w:i/>
        </w:rPr>
        <w:t xml:space="preserve"> Commission</w:t>
      </w:r>
      <w:r w:rsidR="003B4F06" w:rsidRPr="00B6619B">
        <w:rPr>
          <w:rFonts w:ascii="Arial" w:hAnsi="Arial" w:cs="Arial"/>
          <w:i/>
        </w:rPr>
        <w:t xml:space="preserve"> v City of Cape Town</w:t>
      </w:r>
      <w:r w:rsidR="00B6619B" w:rsidRPr="00B6619B">
        <w:rPr>
          <w:rFonts w:ascii="Arial" w:hAnsi="Arial" w:cs="Arial"/>
        </w:rPr>
        <w:t xml:space="preserve"> 2022 (5) SA 622 (WCC)</w:t>
      </w:r>
      <w:r w:rsidR="003B4F06" w:rsidRPr="00B6619B">
        <w:rPr>
          <w:vertAlign w:val="superscript"/>
        </w:rPr>
        <w:footnoteReference w:id="41"/>
      </w:r>
      <w:r w:rsidR="00B6619B" w:rsidRPr="00B6619B">
        <w:rPr>
          <w:rFonts w:ascii="Arial" w:hAnsi="Arial" w:cs="Arial"/>
        </w:rPr>
        <w:t xml:space="preserve">. </w:t>
      </w:r>
      <w:r w:rsidR="003B4F06" w:rsidRPr="00B6619B">
        <w:rPr>
          <w:rFonts w:ascii="Arial" w:hAnsi="Arial" w:cs="Arial"/>
        </w:rPr>
        <w:t>I will therefore refrain from doing so</w:t>
      </w:r>
      <w:r w:rsidR="00B6619B">
        <w:rPr>
          <w:rFonts w:ascii="Arial" w:hAnsi="Arial" w:cs="Arial"/>
        </w:rPr>
        <w:t xml:space="preserve">. </w:t>
      </w:r>
    </w:p>
    <w:p w:rsidR="002129A5" w:rsidRDefault="002129A5" w:rsidP="00833334">
      <w:pPr>
        <w:pStyle w:val="ListParagraph"/>
        <w:spacing w:line="360" w:lineRule="auto"/>
        <w:ind w:left="360"/>
        <w:rPr>
          <w:rFonts w:ascii="Arial" w:hAnsi="Arial" w:cs="Arial"/>
        </w:rPr>
      </w:pPr>
    </w:p>
    <w:p w:rsidR="003B4F06" w:rsidRPr="00833334" w:rsidRDefault="003B4F06" w:rsidP="00833334">
      <w:pPr>
        <w:pStyle w:val="ListParagraph"/>
        <w:spacing w:line="360" w:lineRule="auto"/>
        <w:ind w:left="360"/>
        <w:rPr>
          <w:rFonts w:ascii="Arial" w:hAnsi="Arial" w:cs="Arial"/>
        </w:rPr>
      </w:pPr>
      <w:r w:rsidRPr="00B6619B">
        <w:rPr>
          <w:rFonts w:ascii="Arial" w:hAnsi="Arial" w:cs="Arial"/>
        </w:rPr>
        <w:t>Th</w:t>
      </w:r>
      <w:r w:rsidR="00250AC1">
        <w:rPr>
          <w:rFonts w:ascii="Arial" w:hAnsi="Arial" w:cs="Arial"/>
        </w:rPr>
        <w:t xml:space="preserve">at case </w:t>
      </w:r>
      <w:r w:rsidRPr="00B6619B">
        <w:rPr>
          <w:rFonts w:ascii="Arial" w:hAnsi="Arial" w:cs="Arial"/>
        </w:rPr>
        <w:t xml:space="preserve">will be referred to as </w:t>
      </w:r>
      <w:r w:rsidRPr="00B6619B">
        <w:rPr>
          <w:rFonts w:ascii="Arial" w:hAnsi="Arial" w:cs="Arial"/>
          <w:i/>
        </w:rPr>
        <w:t>SAHR</w:t>
      </w:r>
      <w:r w:rsidR="00B6619B">
        <w:rPr>
          <w:rFonts w:ascii="Arial" w:hAnsi="Arial" w:cs="Arial"/>
          <w:i/>
        </w:rPr>
        <w:t>C</w:t>
      </w:r>
      <w:r w:rsidRPr="00B6619B">
        <w:rPr>
          <w:rFonts w:ascii="Arial" w:hAnsi="Arial" w:cs="Arial"/>
        </w:rPr>
        <w:t>.</w:t>
      </w:r>
      <w:r w:rsidRPr="00833334">
        <w:rPr>
          <w:rFonts w:ascii="Arial" w:hAnsi="Arial" w:cs="Arial"/>
        </w:rPr>
        <w:t xml:space="preserve"> </w:t>
      </w:r>
    </w:p>
    <w:p w:rsidR="00833334" w:rsidRDefault="00833334" w:rsidP="00833334">
      <w:pPr>
        <w:pStyle w:val="ListParagraph"/>
        <w:spacing w:line="360" w:lineRule="auto"/>
        <w:ind w:left="360"/>
        <w:rPr>
          <w:rFonts w:ascii="Arial" w:hAnsi="Arial" w:cs="Arial"/>
        </w:rPr>
      </w:pPr>
    </w:p>
    <w:p w:rsidR="00491C20" w:rsidRDefault="00254AB7" w:rsidP="00254AB7">
      <w:pPr>
        <w:pStyle w:val="ListParagraph"/>
        <w:numPr>
          <w:ilvl w:val="0"/>
          <w:numId w:val="3"/>
        </w:numPr>
        <w:spacing w:line="360" w:lineRule="auto"/>
        <w:rPr>
          <w:rFonts w:ascii="Arial" w:hAnsi="Arial" w:cs="Arial"/>
        </w:rPr>
      </w:pPr>
      <w:r>
        <w:rPr>
          <w:rFonts w:ascii="Arial" w:hAnsi="Arial" w:cs="Arial"/>
        </w:rPr>
        <w:t>It is</w:t>
      </w:r>
      <w:r w:rsidR="00C71642">
        <w:rPr>
          <w:rFonts w:ascii="Arial" w:hAnsi="Arial" w:cs="Arial"/>
        </w:rPr>
        <w:t xml:space="preserve"> preferable to first analyse the requirements </w:t>
      </w:r>
      <w:r w:rsidR="002129A5">
        <w:rPr>
          <w:rFonts w:ascii="Arial" w:hAnsi="Arial" w:cs="Arial"/>
        </w:rPr>
        <w:t xml:space="preserve">which must be </w:t>
      </w:r>
      <w:r w:rsidR="00C71642">
        <w:rPr>
          <w:rFonts w:ascii="Arial" w:hAnsi="Arial" w:cs="Arial"/>
        </w:rPr>
        <w:t xml:space="preserve">satisfied for the grant of a spoliation order and then </w:t>
      </w:r>
      <w:r w:rsidR="00B6619B">
        <w:rPr>
          <w:rFonts w:ascii="Arial" w:hAnsi="Arial" w:cs="Arial"/>
        </w:rPr>
        <w:t xml:space="preserve">deal with </w:t>
      </w:r>
      <w:r w:rsidR="00491C20">
        <w:rPr>
          <w:rFonts w:ascii="Arial" w:hAnsi="Arial" w:cs="Arial"/>
        </w:rPr>
        <w:t xml:space="preserve">instances where </w:t>
      </w:r>
      <w:r w:rsidR="000C12F3">
        <w:rPr>
          <w:rFonts w:ascii="Arial" w:hAnsi="Arial" w:cs="Arial"/>
        </w:rPr>
        <w:t xml:space="preserve">the common law considers </w:t>
      </w:r>
      <w:r w:rsidR="00C71642">
        <w:rPr>
          <w:rFonts w:ascii="Arial" w:hAnsi="Arial" w:cs="Arial"/>
        </w:rPr>
        <w:t>counter-spoliation to be lawful.</w:t>
      </w:r>
      <w:r w:rsidR="00B6619B">
        <w:rPr>
          <w:rFonts w:ascii="Arial" w:hAnsi="Arial" w:cs="Arial"/>
        </w:rPr>
        <w:t xml:space="preserve"> </w:t>
      </w:r>
    </w:p>
    <w:p w:rsidR="00491C20" w:rsidRDefault="00491C20" w:rsidP="00491C20">
      <w:pPr>
        <w:pStyle w:val="ListParagraph"/>
        <w:spacing w:line="360" w:lineRule="auto"/>
        <w:ind w:left="360"/>
        <w:rPr>
          <w:rFonts w:ascii="Arial" w:hAnsi="Arial" w:cs="Arial"/>
        </w:rPr>
      </w:pPr>
    </w:p>
    <w:p w:rsidR="00992371" w:rsidRDefault="00254AB7" w:rsidP="00491C20">
      <w:pPr>
        <w:pStyle w:val="ListParagraph"/>
        <w:spacing w:line="360" w:lineRule="auto"/>
        <w:ind w:left="360"/>
        <w:rPr>
          <w:rFonts w:ascii="Arial" w:hAnsi="Arial" w:cs="Arial"/>
        </w:rPr>
      </w:pPr>
      <w:r>
        <w:rPr>
          <w:rFonts w:ascii="Arial" w:hAnsi="Arial" w:cs="Arial"/>
        </w:rPr>
        <w:t xml:space="preserve"> I will use the term counter-spoliation to refer to t</w:t>
      </w:r>
      <w:r w:rsidR="00992371">
        <w:rPr>
          <w:rFonts w:ascii="Arial" w:hAnsi="Arial" w:cs="Arial"/>
        </w:rPr>
        <w:t>he regaining of possess</w:t>
      </w:r>
      <w:r w:rsidR="00491C20">
        <w:rPr>
          <w:rFonts w:ascii="Arial" w:hAnsi="Arial" w:cs="Arial"/>
        </w:rPr>
        <w:t xml:space="preserve">ion without a court </w:t>
      </w:r>
      <w:r w:rsidR="00992371">
        <w:rPr>
          <w:rFonts w:ascii="Arial" w:hAnsi="Arial" w:cs="Arial"/>
        </w:rPr>
        <w:t xml:space="preserve">order by an owner, or person who was enjoying possession with the owner’s consent, </w:t>
      </w:r>
      <w:r w:rsidR="00491C20">
        <w:rPr>
          <w:rFonts w:ascii="Arial" w:hAnsi="Arial" w:cs="Arial"/>
        </w:rPr>
        <w:t xml:space="preserve">and </w:t>
      </w:r>
      <w:r w:rsidR="00992371">
        <w:rPr>
          <w:rFonts w:ascii="Arial" w:hAnsi="Arial" w:cs="Arial"/>
        </w:rPr>
        <w:t>which depending on the facts may or may not be</w:t>
      </w:r>
      <w:r w:rsidR="00491C20">
        <w:rPr>
          <w:rFonts w:ascii="Arial" w:hAnsi="Arial" w:cs="Arial"/>
        </w:rPr>
        <w:t xml:space="preserve">  </w:t>
      </w:r>
      <w:r w:rsidR="00992371">
        <w:rPr>
          <w:rFonts w:ascii="Arial" w:hAnsi="Arial" w:cs="Arial"/>
        </w:rPr>
        <w:t xml:space="preserve"> lawful. </w:t>
      </w:r>
    </w:p>
    <w:p w:rsidR="00491C20" w:rsidRDefault="00491C20" w:rsidP="00491C20">
      <w:pPr>
        <w:pStyle w:val="ListParagraph"/>
        <w:spacing w:line="360" w:lineRule="auto"/>
        <w:ind w:left="360"/>
        <w:rPr>
          <w:rFonts w:ascii="Arial" w:hAnsi="Arial" w:cs="Arial"/>
        </w:rPr>
      </w:pPr>
    </w:p>
    <w:p w:rsidR="00833334" w:rsidRDefault="00491C20" w:rsidP="00992371">
      <w:pPr>
        <w:pStyle w:val="ListParagraph"/>
        <w:spacing w:line="360" w:lineRule="auto"/>
        <w:ind w:left="360"/>
        <w:rPr>
          <w:rFonts w:ascii="Arial" w:hAnsi="Arial" w:cs="Arial"/>
        </w:rPr>
      </w:pPr>
      <w:r>
        <w:rPr>
          <w:rFonts w:ascii="Arial" w:hAnsi="Arial" w:cs="Arial"/>
        </w:rPr>
        <w:t xml:space="preserve">The starting point is that </w:t>
      </w:r>
      <w:r w:rsidR="00992371">
        <w:rPr>
          <w:rFonts w:ascii="Arial" w:hAnsi="Arial" w:cs="Arial"/>
        </w:rPr>
        <w:t>binding precedent of the highest court to yet pronounce on the subject</w:t>
      </w:r>
      <w:r>
        <w:rPr>
          <w:rFonts w:ascii="Arial" w:hAnsi="Arial" w:cs="Arial"/>
        </w:rPr>
        <w:t>, which at present is the decision of the Supreme Court of Appeal (“</w:t>
      </w:r>
      <w:r w:rsidRPr="00491C20">
        <w:rPr>
          <w:rFonts w:ascii="Arial" w:hAnsi="Arial" w:cs="Arial"/>
          <w:i/>
        </w:rPr>
        <w:t>the SCA</w:t>
      </w:r>
      <w:r>
        <w:rPr>
          <w:rFonts w:ascii="Arial" w:hAnsi="Arial" w:cs="Arial"/>
        </w:rPr>
        <w:t xml:space="preserve">”) in </w:t>
      </w:r>
      <w:r w:rsidRPr="00491C20">
        <w:rPr>
          <w:rFonts w:ascii="Arial" w:hAnsi="Arial" w:cs="Arial"/>
          <w:i/>
        </w:rPr>
        <w:t>Fischer and Another v Ramahlele and Others</w:t>
      </w:r>
      <w:r w:rsidRPr="00491C20">
        <w:rPr>
          <w:rFonts w:ascii="Arial" w:hAnsi="Arial" w:cs="Arial"/>
        </w:rPr>
        <w:t xml:space="preserve"> 2014 (4) SA 614 (SCA)</w:t>
      </w:r>
      <w:r>
        <w:rPr>
          <w:rFonts w:ascii="Arial" w:hAnsi="Arial" w:cs="Arial"/>
        </w:rPr>
        <w:t xml:space="preserve">, </w:t>
      </w:r>
      <w:r w:rsidR="00992371">
        <w:rPr>
          <w:rFonts w:ascii="Arial" w:hAnsi="Arial" w:cs="Arial"/>
        </w:rPr>
        <w:t xml:space="preserve"> expressly recognises that there are circumstances where the common allows a person to lawfully counter-spoliate</w:t>
      </w:r>
      <w:r w:rsidR="00992371">
        <w:rPr>
          <w:rStyle w:val="FootnoteReference"/>
          <w:rFonts w:ascii="Arial" w:hAnsi="Arial" w:cs="Arial"/>
        </w:rPr>
        <w:footnoteReference w:id="42"/>
      </w:r>
      <w:r w:rsidR="00992371">
        <w:rPr>
          <w:rFonts w:ascii="Arial" w:hAnsi="Arial" w:cs="Arial"/>
        </w:rPr>
        <w:t xml:space="preserve">. This will be </w:t>
      </w:r>
      <w:r>
        <w:rPr>
          <w:rFonts w:ascii="Arial" w:hAnsi="Arial" w:cs="Arial"/>
        </w:rPr>
        <w:t>expanded on later.</w:t>
      </w:r>
      <w:r w:rsidR="00992371">
        <w:rPr>
          <w:rFonts w:ascii="Arial" w:hAnsi="Arial" w:cs="Arial"/>
        </w:rPr>
        <w:t xml:space="preserve"> </w:t>
      </w:r>
    </w:p>
    <w:p w:rsidR="00833334" w:rsidRPr="00833334" w:rsidRDefault="00833334" w:rsidP="00833334">
      <w:pPr>
        <w:pStyle w:val="ListParagraph"/>
        <w:spacing w:line="360" w:lineRule="auto"/>
        <w:ind w:left="360"/>
        <w:rPr>
          <w:rFonts w:ascii="Arial" w:hAnsi="Arial" w:cs="Arial"/>
          <w:b/>
        </w:rPr>
      </w:pPr>
    </w:p>
    <w:p w:rsidR="002129A5" w:rsidRDefault="002129A5" w:rsidP="00833334">
      <w:pPr>
        <w:spacing w:line="360" w:lineRule="auto"/>
        <w:rPr>
          <w:rFonts w:ascii="Arial" w:hAnsi="Arial" w:cs="Arial"/>
          <w:b/>
        </w:rPr>
      </w:pPr>
    </w:p>
    <w:p w:rsidR="00833334" w:rsidRPr="00833334" w:rsidRDefault="00833334" w:rsidP="00833334">
      <w:pPr>
        <w:spacing w:line="360" w:lineRule="auto"/>
        <w:rPr>
          <w:rFonts w:ascii="Arial" w:hAnsi="Arial" w:cs="Arial"/>
          <w:b/>
        </w:rPr>
      </w:pPr>
      <w:r>
        <w:rPr>
          <w:rFonts w:ascii="Arial" w:hAnsi="Arial" w:cs="Arial"/>
          <w:b/>
        </w:rPr>
        <w:t>The mandam</w:t>
      </w:r>
      <w:r w:rsidR="00C71642">
        <w:rPr>
          <w:rFonts w:ascii="Arial" w:hAnsi="Arial" w:cs="Arial"/>
          <w:b/>
        </w:rPr>
        <w:t>ent</w:t>
      </w:r>
      <w:r>
        <w:rPr>
          <w:rFonts w:ascii="Arial" w:hAnsi="Arial" w:cs="Arial"/>
          <w:b/>
        </w:rPr>
        <w:t xml:space="preserve"> van spolie</w:t>
      </w:r>
      <w:r w:rsidR="00C71642">
        <w:rPr>
          <w:rFonts w:ascii="Arial" w:hAnsi="Arial" w:cs="Arial"/>
          <w:b/>
        </w:rPr>
        <w:t xml:space="preserve"> </w:t>
      </w:r>
    </w:p>
    <w:p w:rsidR="003B4F06" w:rsidRDefault="003B4F06" w:rsidP="003B4F06">
      <w:pPr>
        <w:spacing w:line="360" w:lineRule="auto"/>
        <w:rPr>
          <w:rFonts w:ascii="Arial" w:hAnsi="Arial" w:cs="Arial"/>
          <w:b/>
        </w:rPr>
      </w:pPr>
    </w:p>
    <w:p w:rsidR="00C71642" w:rsidRDefault="00C71642" w:rsidP="00AF22DC">
      <w:pPr>
        <w:pStyle w:val="ListParagraph"/>
        <w:numPr>
          <w:ilvl w:val="0"/>
          <w:numId w:val="3"/>
        </w:numPr>
        <w:spacing w:line="360" w:lineRule="auto"/>
        <w:rPr>
          <w:rFonts w:ascii="Arial" w:hAnsi="Arial" w:cs="Arial"/>
        </w:rPr>
      </w:pPr>
      <w:r>
        <w:rPr>
          <w:rFonts w:ascii="Arial" w:hAnsi="Arial" w:cs="Arial"/>
        </w:rPr>
        <w:t xml:space="preserve">The </w:t>
      </w:r>
      <w:r w:rsidR="00DA411B">
        <w:rPr>
          <w:rFonts w:ascii="Arial" w:hAnsi="Arial" w:cs="Arial"/>
        </w:rPr>
        <w:t>mandament</w:t>
      </w:r>
      <w:r>
        <w:rPr>
          <w:rFonts w:ascii="Arial" w:hAnsi="Arial" w:cs="Arial"/>
        </w:rPr>
        <w:t xml:space="preserve"> van spolie is a remedy provided by law to enable a person who had possession of corporeal or incorporeal property to regain possession. </w:t>
      </w:r>
    </w:p>
    <w:p w:rsidR="00C71642" w:rsidRDefault="00C71642" w:rsidP="00C71642">
      <w:pPr>
        <w:pStyle w:val="ListParagraph"/>
        <w:spacing w:line="360" w:lineRule="auto"/>
        <w:ind w:left="360"/>
        <w:rPr>
          <w:rFonts w:ascii="Arial" w:hAnsi="Arial" w:cs="Arial"/>
        </w:rPr>
      </w:pPr>
    </w:p>
    <w:p w:rsidR="002129A5" w:rsidRDefault="00C71642" w:rsidP="004A4DE3">
      <w:pPr>
        <w:pStyle w:val="ListParagraph"/>
        <w:spacing w:line="360" w:lineRule="auto"/>
        <w:ind w:left="360"/>
        <w:rPr>
          <w:rFonts w:ascii="Arial" w:hAnsi="Arial" w:cs="Arial"/>
        </w:rPr>
      </w:pPr>
      <w:r>
        <w:rPr>
          <w:rFonts w:ascii="Arial" w:hAnsi="Arial" w:cs="Arial"/>
        </w:rPr>
        <w:t xml:space="preserve">The fundament </w:t>
      </w:r>
      <w:r w:rsidR="00C65BA2">
        <w:rPr>
          <w:rFonts w:ascii="Arial" w:hAnsi="Arial" w:cs="Arial"/>
        </w:rPr>
        <w:t xml:space="preserve">consideration is that no one is entitled to take the law into his or her </w:t>
      </w:r>
      <w:r w:rsidR="000C12F3">
        <w:rPr>
          <w:rFonts w:ascii="Arial" w:hAnsi="Arial" w:cs="Arial"/>
        </w:rPr>
        <w:t xml:space="preserve">own </w:t>
      </w:r>
      <w:r w:rsidR="00C65BA2">
        <w:rPr>
          <w:rFonts w:ascii="Arial" w:hAnsi="Arial" w:cs="Arial"/>
        </w:rPr>
        <w:t>hands</w:t>
      </w:r>
      <w:r w:rsidR="001B077F">
        <w:rPr>
          <w:rFonts w:ascii="Arial" w:hAnsi="Arial" w:cs="Arial"/>
        </w:rPr>
        <w:t xml:space="preserve"> </w:t>
      </w:r>
      <w:r w:rsidR="00C65BA2">
        <w:rPr>
          <w:rFonts w:ascii="Arial" w:hAnsi="Arial" w:cs="Arial"/>
        </w:rPr>
        <w:t>irrespective of the reason for regaining the property</w:t>
      </w:r>
      <w:r w:rsidR="00972513">
        <w:rPr>
          <w:rStyle w:val="FootnoteReference"/>
          <w:rFonts w:ascii="Arial" w:hAnsi="Arial" w:cs="Arial"/>
        </w:rPr>
        <w:footnoteReference w:id="43"/>
      </w:r>
      <w:r w:rsidR="00C65BA2">
        <w:rPr>
          <w:rFonts w:ascii="Arial" w:hAnsi="Arial" w:cs="Arial"/>
        </w:rPr>
        <w:t>.</w:t>
      </w:r>
      <w:r w:rsidR="004A4DE3">
        <w:rPr>
          <w:rFonts w:ascii="Arial" w:hAnsi="Arial" w:cs="Arial"/>
        </w:rPr>
        <w:t xml:space="preserve"> </w:t>
      </w:r>
    </w:p>
    <w:p w:rsidR="00C65BA2" w:rsidRPr="004A4DE3" w:rsidRDefault="00C65BA2" w:rsidP="004A4DE3">
      <w:pPr>
        <w:pStyle w:val="ListParagraph"/>
        <w:spacing w:line="360" w:lineRule="auto"/>
        <w:ind w:left="360"/>
        <w:rPr>
          <w:rFonts w:ascii="Arial" w:hAnsi="Arial" w:cs="Arial"/>
        </w:rPr>
      </w:pPr>
      <w:r w:rsidRPr="004A4DE3">
        <w:rPr>
          <w:rFonts w:ascii="Arial" w:hAnsi="Arial" w:cs="Arial"/>
        </w:rPr>
        <w:lastRenderedPageBreak/>
        <w:t xml:space="preserve">Accordingly the </w:t>
      </w:r>
      <w:r w:rsidR="00C71642" w:rsidRPr="004A4DE3">
        <w:rPr>
          <w:rFonts w:ascii="Arial" w:hAnsi="Arial" w:cs="Arial"/>
        </w:rPr>
        <w:t>remedy is not concerned</w:t>
      </w:r>
      <w:r w:rsidRPr="004A4DE3">
        <w:rPr>
          <w:rFonts w:ascii="Arial" w:hAnsi="Arial" w:cs="Arial"/>
        </w:rPr>
        <w:t xml:space="preserve"> with the legal entitlement to possession</w:t>
      </w:r>
      <w:r w:rsidR="002129A5">
        <w:rPr>
          <w:rFonts w:ascii="Arial" w:hAnsi="Arial" w:cs="Arial"/>
        </w:rPr>
        <w:t>;</w:t>
      </w:r>
      <w:r w:rsidRPr="004A4DE3">
        <w:rPr>
          <w:rFonts w:ascii="Arial" w:hAnsi="Arial" w:cs="Arial"/>
        </w:rPr>
        <w:t xml:space="preserve"> only that the applicant was deprived of possession without a court order. </w:t>
      </w:r>
      <w:r w:rsidR="004A4DE3">
        <w:rPr>
          <w:rStyle w:val="FootnoteReference"/>
          <w:rFonts w:ascii="Arial" w:hAnsi="Arial" w:cs="Arial"/>
        </w:rPr>
        <w:footnoteReference w:id="44"/>
      </w:r>
    </w:p>
    <w:p w:rsidR="00C65BA2" w:rsidRDefault="00C71642" w:rsidP="00C65BA2">
      <w:pPr>
        <w:pStyle w:val="ListParagraph"/>
        <w:spacing w:line="360" w:lineRule="auto"/>
        <w:ind w:left="360"/>
        <w:rPr>
          <w:rFonts w:ascii="Arial" w:hAnsi="Arial" w:cs="Arial"/>
        </w:rPr>
      </w:pPr>
      <w:r>
        <w:rPr>
          <w:rFonts w:ascii="Arial" w:hAnsi="Arial" w:cs="Arial"/>
        </w:rPr>
        <w:t xml:space="preserve"> </w:t>
      </w:r>
    </w:p>
    <w:p w:rsidR="00C65BA2" w:rsidRDefault="00C65BA2" w:rsidP="00AF22DC">
      <w:pPr>
        <w:pStyle w:val="ListParagraph"/>
        <w:numPr>
          <w:ilvl w:val="0"/>
          <w:numId w:val="3"/>
        </w:numPr>
        <w:spacing w:line="360" w:lineRule="auto"/>
        <w:rPr>
          <w:rFonts w:ascii="Arial" w:hAnsi="Arial" w:cs="Arial"/>
        </w:rPr>
      </w:pPr>
      <w:r>
        <w:rPr>
          <w:rFonts w:ascii="Arial" w:hAnsi="Arial" w:cs="Arial"/>
        </w:rPr>
        <w:t xml:space="preserve">The enquiry is a factual one not a legal one. This distinction is crucial because the </w:t>
      </w:r>
      <w:r w:rsidR="00DA411B">
        <w:rPr>
          <w:rFonts w:ascii="Arial" w:hAnsi="Arial" w:cs="Arial"/>
        </w:rPr>
        <w:t>mandament</w:t>
      </w:r>
      <w:r>
        <w:rPr>
          <w:rFonts w:ascii="Arial" w:hAnsi="Arial" w:cs="Arial"/>
        </w:rPr>
        <w:t xml:space="preserve"> is concerned only with whether the </w:t>
      </w:r>
      <w:r w:rsidR="00DA411B">
        <w:rPr>
          <w:rFonts w:ascii="Arial" w:hAnsi="Arial" w:cs="Arial"/>
        </w:rPr>
        <w:t>applicant</w:t>
      </w:r>
      <w:r w:rsidR="002129A5">
        <w:rPr>
          <w:rFonts w:ascii="Arial" w:hAnsi="Arial" w:cs="Arial"/>
        </w:rPr>
        <w:t xml:space="preserve"> exercised possession as a</w:t>
      </w:r>
      <w:r>
        <w:rPr>
          <w:rFonts w:ascii="Arial" w:hAnsi="Arial" w:cs="Arial"/>
        </w:rPr>
        <w:t xml:space="preserve"> fact. </w:t>
      </w:r>
      <w:r w:rsidR="004A4DE3">
        <w:rPr>
          <w:rStyle w:val="FootnoteReference"/>
          <w:rFonts w:ascii="Arial" w:hAnsi="Arial" w:cs="Arial"/>
        </w:rPr>
        <w:footnoteReference w:id="45"/>
      </w:r>
    </w:p>
    <w:p w:rsidR="001A44BA" w:rsidRPr="001A44BA" w:rsidRDefault="001A44BA" w:rsidP="001A44BA">
      <w:pPr>
        <w:pStyle w:val="ListParagraph"/>
        <w:rPr>
          <w:rFonts w:ascii="Arial" w:hAnsi="Arial" w:cs="Arial"/>
        </w:rPr>
      </w:pPr>
    </w:p>
    <w:p w:rsidR="00C65BA2" w:rsidRDefault="00C65BA2" w:rsidP="00C65BA2">
      <w:pPr>
        <w:pStyle w:val="ListParagraph"/>
        <w:spacing w:line="360" w:lineRule="auto"/>
        <w:ind w:left="360"/>
        <w:rPr>
          <w:rFonts w:ascii="Arial" w:hAnsi="Arial" w:cs="Arial"/>
        </w:rPr>
      </w:pPr>
      <w:r>
        <w:rPr>
          <w:rFonts w:ascii="Arial" w:hAnsi="Arial" w:cs="Arial"/>
        </w:rPr>
        <w:t>A clear distinction is dra</w:t>
      </w:r>
      <w:r w:rsidR="002129A5">
        <w:rPr>
          <w:rFonts w:ascii="Arial" w:hAnsi="Arial" w:cs="Arial"/>
        </w:rPr>
        <w:t>wn between possession as a</w:t>
      </w:r>
      <w:r>
        <w:rPr>
          <w:rFonts w:ascii="Arial" w:hAnsi="Arial" w:cs="Arial"/>
        </w:rPr>
        <w:t xml:space="preserve"> fact and the right</w:t>
      </w:r>
      <w:r w:rsidR="001A44BA">
        <w:rPr>
          <w:rFonts w:ascii="Arial" w:hAnsi="Arial" w:cs="Arial"/>
        </w:rPr>
        <w:t>s</w:t>
      </w:r>
      <w:r>
        <w:rPr>
          <w:rFonts w:ascii="Arial" w:hAnsi="Arial" w:cs="Arial"/>
        </w:rPr>
        <w:t xml:space="preserve"> </w:t>
      </w:r>
      <w:r w:rsidR="001A44BA">
        <w:rPr>
          <w:rFonts w:ascii="Arial" w:hAnsi="Arial" w:cs="Arial"/>
        </w:rPr>
        <w:t xml:space="preserve">of possession which are rights that flow from such fact. </w:t>
      </w:r>
      <w:r w:rsidR="001A44BA">
        <w:rPr>
          <w:rStyle w:val="FootnoteReference"/>
          <w:rFonts w:ascii="Arial" w:hAnsi="Arial" w:cs="Arial"/>
        </w:rPr>
        <w:footnoteReference w:id="46"/>
      </w:r>
      <w:r>
        <w:rPr>
          <w:rFonts w:ascii="Arial" w:hAnsi="Arial" w:cs="Arial"/>
        </w:rPr>
        <w:t xml:space="preserve">  </w:t>
      </w:r>
    </w:p>
    <w:p w:rsidR="001A44BA" w:rsidRDefault="001A44BA" w:rsidP="00C65BA2">
      <w:pPr>
        <w:pStyle w:val="ListParagraph"/>
        <w:spacing w:line="360" w:lineRule="auto"/>
        <w:ind w:left="360"/>
        <w:rPr>
          <w:rFonts w:ascii="Arial" w:hAnsi="Arial" w:cs="Arial"/>
        </w:rPr>
      </w:pPr>
    </w:p>
    <w:p w:rsidR="00BE1C1F" w:rsidRDefault="00BE1C1F" w:rsidP="00AF22DC">
      <w:pPr>
        <w:pStyle w:val="ListParagraph"/>
        <w:numPr>
          <w:ilvl w:val="0"/>
          <w:numId w:val="3"/>
        </w:numPr>
        <w:spacing w:line="360" w:lineRule="auto"/>
        <w:rPr>
          <w:rFonts w:ascii="Arial" w:hAnsi="Arial" w:cs="Arial"/>
        </w:rPr>
      </w:pPr>
      <w:r>
        <w:rPr>
          <w:rFonts w:ascii="Arial" w:hAnsi="Arial" w:cs="Arial"/>
        </w:rPr>
        <w:t>The factual enquiry is well settled. The court is required to establish</w:t>
      </w:r>
      <w:r w:rsidR="00491C20">
        <w:rPr>
          <w:rFonts w:ascii="Arial" w:hAnsi="Arial" w:cs="Arial"/>
        </w:rPr>
        <w:t xml:space="preserve"> </w:t>
      </w:r>
      <w:r w:rsidR="00491C20" w:rsidRPr="00491C20">
        <w:rPr>
          <w:rFonts w:ascii="Arial" w:hAnsi="Arial" w:cs="Arial"/>
          <w:i/>
        </w:rPr>
        <w:t xml:space="preserve">each </w:t>
      </w:r>
      <w:r w:rsidR="00491C20">
        <w:rPr>
          <w:rFonts w:ascii="Arial" w:hAnsi="Arial" w:cs="Arial"/>
        </w:rPr>
        <w:t>of the following</w:t>
      </w:r>
      <w:r>
        <w:rPr>
          <w:rFonts w:ascii="Arial" w:hAnsi="Arial" w:cs="Arial"/>
        </w:rPr>
        <w:t>;</w:t>
      </w:r>
    </w:p>
    <w:p w:rsidR="00BE1C1F" w:rsidRDefault="00BE1C1F" w:rsidP="00BE1C1F">
      <w:pPr>
        <w:pStyle w:val="ListParagraph"/>
        <w:spacing w:line="360" w:lineRule="auto"/>
        <w:ind w:left="360"/>
        <w:rPr>
          <w:rFonts w:ascii="Arial" w:hAnsi="Arial" w:cs="Arial"/>
        </w:rPr>
      </w:pPr>
    </w:p>
    <w:p w:rsidR="00BE1C1F" w:rsidRPr="00491C20" w:rsidRDefault="00BE1C1F" w:rsidP="00491C20">
      <w:pPr>
        <w:pStyle w:val="ListParagraph"/>
        <w:numPr>
          <w:ilvl w:val="1"/>
          <w:numId w:val="3"/>
        </w:numPr>
        <w:spacing w:line="360" w:lineRule="auto"/>
        <w:rPr>
          <w:rFonts w:ascii="Arial" w:hAnsi="Arial" w:cs="Arial"/>
        </w:rPr>
      </w:pPr>
      <w:r w:rsidRPr="00491C20">
        <w:rPr>
          <w:rFonts w:ascii="Arial" w:hAnsi="Arial" w:cs="Arial"/>
        </w:rPr>
        <w:t xml:space="preserve">whether </w:t>
      </w:r>
      <w:r w:rsidR="004A4DE3" w:rsidRPr="00491C20">
        <w:rPr>
          <w:rFonts w:ascii="Arial" w:hAnsi="Arial" w:cs="Arial"/>
        </w:rPr>
        <w:t>the applicant wa</w:t>
      </w:r>
      <w:r w:rsidRPr="00491C20">
        <w:rPr>
          <w:rFonts w:ascii="Arial" w:hAnsi="Arial" w:cs="Arial"/>
        </w:rPr>
        <w:t xml:space="preserve">s in </w:t>
      </w:r>
      <w:r w:rsidRPr="002129A5">
        <w:rPr>
          <w:rFonts w:ascii="Arial" w:hAnsi="Arial" w:cs="Arial"/>
          <w:i/>
        </w:rPr>
        <w:t>physical control</w:t>
      </w:r>
      <w:r w:rsidRPr="00491C20">
        <w:rPr>
          <w:rFonts w:ascii="Arial" w:hAnsi="Arial" w:cs="Arial"/>
        </w:rPr>
        <w:t xml:space="preserve"> of the property (</w:t>
      </w:r>
      <w:r w:rsidRPr="00491C20">
        <w:rPr>
          <w:rFonts w:ascii="Arial" w:hAnsi="Arial" w:cs="Arial"/>
          <w:i/>
        </w:rPr>
        <w:t xml:space="preserve">corpus </w:t>
      </w:r>
      <w:r w:rsidR="00B86FCC" w:rsidRPr="00491C20">
        <w:rPr>
          <w:rFonts w:ascii="Arial" w:hAnsi="Arial" w:cs="Arial"/>
        </w:rPr>
        <w:t xml:space="preserve">or </w:t>
      </w:r>
      <w:r w:rsidR="00B86FCC" w:rsidRPr="00491C20">
        <w:rPr>
          <w:rFonts w:ascii="Arial" w:hAnsi="Arial" w:cs="Arial"/>
          <w:i/>
        </w:rPr>
        <w:t xml:space="preserve">detentio </w:t>
      </w:r>
      <w:r w:rsidRPr="00491C20">
        <w:rPr>
          <w:rFonts w:ascii="Arial" w:hAnsi="Arial" w:cs="Arial"/>
        </w:rPr>
        <w:t>requirement)</w:t>
      </w:r>
      <w:r w:rsidR="004A4DE3" w:rsidRPr="00491C20">
        <w:rPr>
          <w:rFonts w:ascii="Arial" w:hAnsi="Arial" w:cs="Arial"/>
        </w:rPr>
        <w:t xml:space="preserve"> at the time of dispossession</w:t>
      </w:r>
      <w:r w:rsidRPr="00491C20">
        <w:rPr>
          <w:rFonts w:ascii="Arial" w:hAnsi="Arial" w:cs="Arial"/>
        </w:rPr>
        <w:t xml:space="preserve">. This is </w:t>
      </w:r>
      <w:r w:rsidR="003C727C" w:rsidRPr="00491C20">
        <w:rPr>
          <w:rFonts w:ascii="Arial" w:hAnsi="Arial" w:cs="Arial"/>
        </w:rPr>
        <w:t xml:space="preserve"> established where</w:t>
      </w:r>
      <w:r w:rsidR="004A4DE3" w:rsidRPr="00491C20">
        <w:rPr>
          <w:rFonts w:ascii="Arial" w:hAnsi="Arial" w:cs="Arial"/>
        </w:rPr>
        <w:t xml:space="preserve"> the applicant proves that at the time of dispossession</w:t>
      </w:r>
      <w:r w:rsidR="003C727C" w:rsidRPr="00491C20">
        <w:rPr>
          <w:rFonts w:ascii="Arial" w:hAnsi="Arial" w:cs="Arial"/>
        </w:rPr>
        <w:t>;</w:t>
      </w:r>
      <w:r w:rsidR="004A4DE3">
        <w:rPr>
          <w:rStyle w:val="FootnoteReference"/>
          <w:rFonts w:ascii="Arial" w:hAnsi="Arial" w:cs="Arial"/>
        </w:rPr>
        <w:footnoteReference w:id="47"/>
      </w:r>
      <w:r w:rsidRPr="00491C20">
        <w:rPr>
          <w:rFonts w:ascii="Arial" w:hAnsi="Arial" w:cs="Arial"/>
        </w:rPr>
        <w:t xml:space="preserve"> </w:t>
      </w:r>
    </w:p>
    <w:p w:rsidR="00603D53" w:rsidRDefault="00603D53" w:rsidP="00603D53">
      <w:pPr>
        <w:pStyle w:val="ListParagraph"/>
        <w:spacing w:line="360" w:lineRule="auto"/>
        <w:ind w:left="1080"/>
        <w:rPr>
          <w:rFonts w:ascii="Arial" w:hAnsi="Arial" w:cs="Arial"/>
        </w:rPr>
      </w:pPr>
    </w:p>
    <w:p w:rsidR="00603D53" w:rsidRDefault="00491C20" w:rsidP="002B4782">
      <w:pPr>
        <w:pStyle w:val="ListParagraph"/>
        <w:numPr>
          <w:ilvl w:val="2"/>
          <w:numId w:val="15"/>
        </w:numPr>
        <w:spacing w:line="360" w:lineRule="auto"/>
        <w:rPr>
          <w:rFonts w:ascii="Arial" w:hAnsi="Arial" w:cs="Arial"/>
        </w:rPr>
      </w:pPr>
      <w:r>
        <w:rPr>
          <w:rFonts w:ascii="Arial" w:hAnsi="Arial" w:cs="Arial"/>
        </w:rPr>
        <w:t>he or she was</w:t>
      </w:r>
      <w:r w:rsidR="00603D53">
        <w:rPr>
          <w:rFonts w:ascii="Arial" w:hAnsi="Arial" w:cs="Arial"/>
        </w:rPr>
        <w:t xml:space="preserve"> in </w:t>
      </w:r>
      <w:r>
        <w:rPr>
          <w:rFonts w:ascii="Arial" w:hAnsi="Arial" w:cs="Arial"/>
        </w:rPr>
        <w:t>actual physical possession</w:t>
      </w:r>
    </w:p>
    <w:p w:rsidR="00491C20" w:rsidRDefault="00491C20" w:rsidP="00491C20">
      <w:pPr>
        <w:pStyle w:val="ListParagraph"/>
        <w:spacing w:line="360" w:lineRule="auto"/>
        <w:ind w:left="1800"/>
        <w:rPr>
          <w:rFonts w:ascii="Arial" w:hAnsi="Arial" w:cs="Arial"/>
        </w:rPr>
      </w:pPr>
    </w:p>
    <w:p w:rsidR="00491C20" w:rsidRPr="00491C20" w:rsidRDefault="00491C20" w:rsidP="00491C20">
      <w:pPr>
        <w:spacing w:line="360" w:lineRule="auto"/>
        <w:ind w:left="1440"/>
        <w:rPr>
          <w:rFonts w:ascii="Arial" w:hAnsi="Arial" w:cs="Arial"/>
          <w:i/>
        </w:rPr>
      </w:pPr>
      <w:r w:rsidRPr="00491C20">
        <w:rPr>
          <w:rFonts w:ascii="Arial" w:hAnsi="Arial" w:cs="Arial"/>
          <w:i/>
        </w:rPr>
        <w:t xml:space="preserve">which was </w:t>
      </w:r>
    </w:p>
    <w:p w:rsidR="00603D53" w:rsidRDefault="00603D53" w:rsidP="00603D53">
      <w:pPr>
        <w:pStyle w:val="ListParagraph"/>
        <w:spacing w:line="360" w:lineRule="auto"/>
        <w:ind w:left="1080"/>
        <w:rPr>
          <w:rFonts w:ascii="Arial" w:hAnsi="Arial" w:cs="Arial"/>
        </w:rPr>
      </w:pPr>
    </w:p>
    <w:p w:rsidR="00603D53" w:rsidRDefault="00603D53" w:rsidP="002B4782">
      <w:pPr>
        <w:pStyle w:val="ListParagraph"/>
        <w:numPr>
          <w:ilvl w:val="2"/>
          <w:numId w:val="15"/>
        </w:numPr>
        <w:spacing w:line="360" w:lineRule="auto"/>
        <w:rPr>
          <w:rFonts w:ascii="Arial" w:hAnsi="Arial" w:cs="Arial"/>
        </w:rPr>
      </w:pPr>
      <w:r w:rsidRPr="004A4DE3">
        <w:rPr>
          <w:rFonts w:ascii="Arial" w:hAnsi="Arial" w:cs="Arial"/>
        </w:rPr>
        <w:t>peaceful and undisturbed</w:t>
      </w:r>
      <w:r w:rsidR="00491C20">
        <w:rPr>
          <w:rFonts w:ascii="Arial" w:hAnsi="Arial" w:cs="Arial"/>
        </w:rPr>
        <w:t>;</w:t>
      </w:r>
    </w:p>
    <w:p w:rsidR="00491C20" w:rsidRDefault="00491C20" w:rsidP="00491C20">
      <w:pPr>
        <w:pStyle w:val="ListParagraph"/>
        <w:spacing w:line="360" w:lineRule="auto"/>
        <w:ind w:left="1800"/>
        <w:rPr>
          <w:rFonts w:ascii="Arial" w:hAnsi="Arial" w:cs="Arial"/>
        </w:rPr>
      </w:pPr>
    </w:p>
    <w:p w:rsidR="00603D53" w:rsidRDefault="00BE1C1F" w:rsidP="00491C20">
      <w:pPr>
        <w:pStyle w:val="ListParagraph"/>
        <w:numPr>
          <w:ilvl w:val="1"/>
          <w:numId w:val="3"/>
        </w:numPr>
        <w:spacing w:line="360" w:lineRule="auto"/>
        <w:rPr>
          <w:rFonts w:ascii="Arial" w:hAnsi="Arial" w:cs="Arial"/>
        </w:rPr>
      </w:pPr>
      <w:r w:rsidRPr="00491C20">
        <w:rPr>
          <w:rFonts w:ascii="Arial" w:hAnsi="Arial" w:cs="Arial"/>
        </w:rPr>
        <w:t xml:space="preserve">whether  the applicant has the intention to derive some personal benefit </w:t>
      </w:r>
      <w:r w:rsidRPr="00491C20">
        <w:rPr>
          <w:rFonts w:ascii="Arial" w:hAnsi="Arial" w:cs="Arial"/>
        </w:rPr>
        <w:lastRenderedPageBreak/>
        <w:t>from having physical control</w:t>
      </w:r>
      <w:r w:rsidR="0074746D" w:rsidRPr="00491C20">
        <w:rPr>
          <w:rFonts w:ascii="Arial" w:hAnsi="Arial" w:cs="Arial"/>
        </w:rPr>
        <w:t xml:space="preserve"> and what that means</w:t>
      </w:r>
      <w:r w:rsidR="004A4DE3" w:rsidRPr="00491C20">
        <w:rPr>
          <w:rFonts w:ascii="Arial" w:hAnsi="Arial" w:cs="Arial"/>
        </w:rPr>
        <w:t>.</w:t>
      </w:r>
      <w:r w:rsidR="004A4DE3">
        <w:rPr>
          <w:rStyle w:val="FootnoteReference"/>
          <w:rFonts w:ascii="Arial" w:hAnsi="Arial" w:cs="Arial"/>
        </w:rPr>
        <w:footnoteReference w:id="48"/>
      </w:r>
      <w:r w:rsidR="00EF7F94" w:rsidRPr="00491C20">
        <w:rPr>
          <w:rFonts w:ascii="Arial" w:hAnsi="Arial" w:cs="Arial"/>
        </w:rPr>
        <w:t xml:space="preserve"> </w:t>
      </w:r>
    </w:p>
    <w:p w:rsidR="00491C20" w:rsidRDefault="00491C20" w:rsidP="00491C20">
      <w:pPr>
        <w:pStyle w:val="ListParagraph"/>
        <w:spacing w:line="360" w:lineRule="auto"/>
        <w:ind w:left="1080"/>
        <w:rPr>
          <w:rFonts w:ascii="Arial" w:hAnsi="Arial" w:cs="Arial"/>
        </w:rPr>
      </w:pPr>
    </w:p>
    <w:p w:rsidR="004A4DE3" w:rsidRPr="00491C20" w:rsidRDefault="00491C20" w:rsidP="00491C20">
      <w:pPr>
        <w:pStyle w:val="ListParagraph"/>
        <w:numPr>
          <w:ilvl w:val="1"/>
          <w:numId w:val="3"/>
        </w:numPr>
        <w:spacing w:line="360" w:lineRule="auto"/>
        <w:rPr>
          <w:rFonts w:ascii="Arial" w:hAnsi="Arial" w:cs="Arial"/>
        </w:rPr>
      </w:pPr>
      <w:r>
        <w:rPr>
          <w:rFonts w:ascii="Arial" w:hAnsi="Arial" w:cs="Arial"/>
        </w:rPr>
        <w:t>w</w:t>
      </w:r>
      <w:r w:rsidR="00603D53" w:rsidRPr="00491C20">
        <w:rPr>
          <w:rFonts w:ascii="Arial" w:hAnsi="Arial" w:cs="Arial"/>
        </w:rPr>
        <w:t>hether such dispossession was without the applicant’s consent and without a court order.</w:t>
      </w:r>
      <w:r w:rsidR="00603D53">
        <w:rPr>
          <w:rStyle w:val="FootnoteReference"/>
          <w:rFonts w:ascii="Arial" w:hAnsi="Arial" w:cs="Arial"/>
        </w:rPr>
        <w:footnoteReference w:id="49"/>
      </w:r>
    </w:p>
    <w:p w:rsidR="00BE1C1F" w:rsidRPr="00E30978" w:rsidRDefault="00BE1C1F" w:rsidP="00E30978">
      <w:pPr>
        <w:spacing w:line="360" w:lineRule="auto"/>
        <w:rPr>
          <w:rFonts w:ascii="Arial" w:hAnsi="Arial" w:cs="Arial"/>
        </w:rPr>
      </w:pPr>
    </w:p>
    <w:p w:rsidR="00BE1C1F" w:rsidRDefault="00227AC8" w:rsidP="00227AC8">
      <w:pPr>
        <w:spacing w:line="360" w:lineRule="auto"/>
        <w:rPr>
          <w:rFonts w:ascii="Arial" w:hAnsi="Arial" w:cs="Arial"/>
          <w:b/>
        </w:rPr>
      </w:pPr>
      <w:r w:rsidRPr="00227AC8">
        <w:rPr>
          <w:rFonts w:ascii="Arial" w:hAnsi="Arial" w:cs="Arial"/>
          <w:b/>
        </w:rPr>
        <w:t>P</w:t>
      </w:r>
      <w:r w:rsidR="00B86FCC">
        <w:rPr>
          <w:rFonts w:ascii="Arial" w:hAnsi="Arial" w:cs="Arial"/>
          <w:b/>
        </w:rPr>
        <w:t xml:space="preserve">eaceful and Undisturbed Possession </w:t>
      </w:r>
    </w:p>
    <w:p w:rsidR="00227AC8" w:rsidRPr="00227AC8" w:rsidRDefault="00227AC8" w:rsidP="00227AC8">
      <w:pPr>
        <w:spacing w:line="360" w:lineRule="auto"/>
        <w:rPr>
          <w:rFonts w:ascii="Arial" w:hAnsi="Arial" w:cs="Arial"/>
          <w:b/>
        </w:rPr>
      </w:pPr>
    </w:p>
    <w:p w:rsidR="00491C20" w:rsidRDefault="001A44BA" w:rsidP="00AF22DC">
      <w:pPr>
        <w:pStyle w:val="ListParagraph"/>
        <w:numPr>
          <w:ilvl w:val="0"/>
          <w:numId w:val="3"/>
        </w:numPr>
        <w:spacing w:line="360" w:lineRule="auto"/>
        <w:rPr>
          <w:rFonts w:ascii="Arial" w:hAnsi="Arial" w:cs="Arial"/>
        </w:rPr>
      </w:pPr>
      <w:r>
        <w:rPr>
          <w:rFonts w:ascii="Arial" w:hAnsi="Arial" w:cs="Arial"/>
        </w:rPr>
        <w:t xml:space="preserve">Throughout the analysis it is </w:t>
      </w:r>
      <w:r w:rsidR="00E30978">
        <w:rPr>
          <w:rFonts w:ascii="Arial" w:hAnsi="Arial" w:cs="Arial"/>
        </w:rPr>
        <w:t>necessary</w:t>
      </w:r>
      <w:r>
        <w:rPr>
          <w:rFonts w:ascii="Arial" w:hAnsi="Arial" w:cs="Arial"/>
        </w:rPr>
        <w:t xml:space="preserve"> to bear in mind that the determination of </w:t>
      </w:r>
      <w:r w:rsidRPr="00D8471C">
        <w:rPr>
          <w:rFonts w:ascii="Arial" w:hAnsi="Arial" w:cs="Arial"/>
          <w:i/>
        </w:rPr>
        <w:t>“possession</w:t>
      </w:r>
      <w:r>
        <w:rPr>
          <w:rFonts w:ascii="Arial" w:hAnsi="Arial" w:cs="Arial"/>
        </w:rPr>
        <w:t>” is a question of fact</w:t>
      </w:r>
      <w:r w:rsidR="00D8471C">
        <w:rPr>
          <w:rFonts w:ascii="Arial" w:hAnsi="Arial" w:cs="Arial"/>
        </w:rPr>
        <w:t xml:space="preserve"> which includes the factual, </w:t>
      </w:r>
      <w:r w:rsidR="0074746D">
        <w:rPr>
          <w:rFonts w:ascii="Arial" w:hAnsi="Arial" w:cs="Arial"/>
        </w:rPr>
        <w:t xml:space="preserve">as opposed to </w:t>
      </w:r>
      <w:r w:rsidR="00D8471C">
        <w:rPr>
          <w:rFonts w:ascii="Arial" w:hAnsi="Arial" w:cs="Arial"/>
        </w:rPr>
        <w:t>the legal, circumstances under which possession was gained.</w:t>
      </w:r>
      <w:r w:rsidR="00BE1C1F">
        <w:rPr>
          <w:rFonts w:ascii="Arial" w:hAnsi="Arial" w:cs="Arial"/>
        </w:rPr>
        <w:t xml:space="preserve"> </w:t>
      </w:r>
      <w:r w:rsidR="00D8471C" w:rsidRPr="00BE1C1F">
        <w:rPr>
          <w:rFonts w:ascii="Arial" w:hAnsi="Arial" w:cs="Arial"/>
        </w:rPr>
        <w:t>Once again a clea</w:t>
      </w:r>
      <w:r w:rsidR="00603D53">
        <w:rPr>
          <w:rFonts w:ascii="Arial" w:hAnsi="Arial" w:cs="Arial"/>
        </w:rPr>
        <w:t>r</w:t>
      </w:r>
      <w:r w:rsidR="00D8471C" w:rsidRPr="00BE1C1F">
        <w:rPr>
          <w:rFonts w:ascii="Arial" w:hAnsi="Arial" w:cs="Arial"/>
        </w:rPr>
        <w:t xml:space="preserve"> distinction must be drawn between the factual </w:t>
      </w:r>
      <w:r w:rsidR="00DA411B" w:rsidRPr="00BE1C1F">
        <w:rPr>
          <w:rFonts w:ascii="Arial" w:hAnsi="Arial" w:cs="Arial"/>
        </w:rPr>
        <w:t>circumstances</w:t>
      </w:r>
      <w:r w:rsidR="00D8471C" w:rsidRPr="00BE1C1F">
        <w:rPr>
          <w:rFonts w:ascii="Arial" w:hAnsi="Arial" w:cs="Arial"/>
        </w:rPr>
        <w:t xml:space="preserve"> immediately preceding the taking of </w:t>
      </w:r>
      <w:r w:rsidR="00DA411B" w:rsidRPr="00BE1C1F">
        <w:rPr>
          <w:rFonts w:ascii="Arial" w:hAnsi="Arial" w:cs="Arial"/>
        </w:rPr>
        <w:t>possession as</w:t>
      </w:r>
      <w:r w:rsidR="00D8471C" w:rsidRPr="00BE1C1F">
        <w:rPr>
          <w:rFonts w:ascii="Arial" w:hAnsi="Arial" w:cs="Arial"/>
        </w:rPr>
        <w:t xml:space="preserve"> opposed to the legal rights which had flowed from such circumstances. </w:t>
      </w:r>
    </w:p>
    <w:p w:rsidR="00491C20" w:rsidRDefault="00491C20" w:rsidP="00491C20">
      <w:pPr>
        <w:pStyle w:val="ListParagraph"/>
        <w:spacing w:line="360" w:lineRule="auto"/>
        <w:ind w:left="360"/>
        <w:rPr>
          <w:rFonts w:ascii="Arial" w:hAnsi="Arial" w:cs="Arial"/>
        </w:rPr>
      </w:pPr>
    </w:p>
    <w:p w:rsidR="00491C20" w:rsidRDefault="00D8471C" w:rsidP="00491C20">
      <w:pPr>
        <w:pStyle w:val="ListParagraph"/>
        <w:spacing w:line="360" w:lineRule="auto"/>
        <w:ind w:left="360"/>
        <w:rPr>
          <w:rFonts w:ascii="Arial" w:hAnsi="Arial" w:cs="Arial"/>
        </w:rPr>
      </w:pPr>
      <w:r w:rsidRPr="00BE1C1F">
        <w:rPr>
          <w:rFonts w:ascii="Arial" w:hAnsi="Arial" w:cs="Arial"/>
        </w:rPr>
        <w:t>The enquiry remains one to establish the natur</w:t>
      </w:r>
      <w:r w:rsidR="00DA411B">
        <w:rPr>
          <w:rFonts w:ascii="Arial" w:hAnsi="Arial" w:cs="Arial"/>
        </w:rPr>
        <w:t>e of the appropria</w:t>
      </w:r>
      <w:r w:rsidRPr="00BE1C1F">
        <w:rPr>
          <w:rFonts w:ascii="Arial" w:hAnsi="Arial" w:cs="Arial"/>
        </w:rPr>
        <w:t xml:space="preserve">tion </w:t>
      </w:r>
      <w:r w:rsidR="00F16C9A" w:rsidRPr="00BE1C1F">
        <w:rPr>
          <w:rFonts w:ascii="Arial" w:hAnsi="Arial" w:cs="Arial"/>
        </w:rPr>
        <w:t xml:space="preserve">which is necessary </w:t>
      </w:r>
      <w:r w:rsidRPr="00BE1C1F">
        <w:rPr>
          <w:rFonts w:ascii="Arial" w:hAnsi="Arial" w:cs="Arial"/>
        </w:rPr>
        <w:t xml:space="preserve">in a given </w:t>
      </w:r>
      <w:r w:rsidR="00F16C9A" w:rsidRPr="00BE1C1F">
        <w:rPr>
          <w:rFonts w:ascii="Arial" w:hAnsi="Arial" w:cs="Arial"/>
        </w:rPr>
        <w:t xml:space="preserve">set of </w:t>
      </w:r>
      <w:r w:rsidRPr="00BE1C1F">
        <w:rPr>
          <w:rFonts w:ascii="Arial" w:hAnsi="Arial" w:cs="Arial"/>
        </w:rPr>
        <w:t>circumstance</w:t>
      </w:r>
      <w:r w:rsidR="00F16C9A" w:rsidRPr="00BE1C1F">
        <w:rPr>
          <w:rFonts w:ascii="Arial" w:hAnsi="Arial" w:cs="Arial"/>
        </w:rPr>
        <w:t>s</w:t>
      </w:r>
      <w:r w:rsidRPr="00BE1C1F">
        <w:rPr>
          <w:rFonts w:ascii="Arial" w:hAnsi="Arial" w:cs="Arial"/>
        </w:rPr>
        <w:t xml:space="preserve"> </w:t>
      </w:r>
      <w:r w:rsidR="00F16C9A" w:rsidRPr="00BE1C1F">
        <w:rPr>
          <w:rFonts w:ascii="Arial" w:hAnsi="Arial" w:cs="Arial"/>
        </w:rPr>
        <w:t xml:space="preserve">to amount to </w:t>
      </w:r>
      <w:r w:rsidR="00491C20">
        <w:rPr>
          <w:rFonts w:ascii="Arial" w:hAnsi="Arial" w:cs="Arial"/>
        </w:rPr>
        <w:t xml:space="preserve">the acquisition of </w:t>
      </w:r>
      <w:r w:rsidR="00F16C9A" w:rsidRPr="00BE1C1F">
        <w:rPr>
          <w:rFonts w:ascii="Arial" w:hAnsi="Arial" w:cs="Arial"/>
        </w:rPr>
        <w:t>f</w:t>
      </w:r>
      <w:r w:rsidRPr="00BE1C1F">
        <w:rPr>
          <w:rFonts w:ascii="Arial" w:hAnsi="Arial" w:cs="Arial"/>
        </w:rPr>
        <w:t>a</w:t>
      </w:r>
      <w:r w:rsidR="00F16C9A" w:rsidRPr="00BE1C1F">
        <w:rPr>
          <w:rFonts w:ascii="Arial" w:hAnsi="Arial" w:cs="Arial"/>
        </w:rPr>
        <w:t>c</w:t>
      </w:r>
      <w:r w:rsidR="00491C20">
        <w:rPr>
          <w:rFonts w:ascii="Arial" w:hAnsi="Arial" w:cs="Arial"/>
        </w:rPr>
        <w:t xml:space="preserve">tual </w:t>
      </w:r>
      <w:r w:rsidR="00250AC1">
        <w:rPr>
          <w:rFonts w:ascii="Arial" w:hAnsi="Arial" w:cs="Arial"/>
        </w:rPr>
        <w:t xml:space="preserve">peaceful and undisturbed </w:t>
      </w:r>
      <w:r w:rsidR="00491C20">
        <w:rPr>
          <w:rFonts w:ascii="Arial" w:hAnsi="Arial" w:cs="Arial"/>
        </w:rPr>
        <w:t>possession</w:t>
      </w:r>
      <w:r w:rsidRPr="00BE1C1F">
        <w:rPr>
          <w:rFonts w:ascii="Arial" w:hAnsi="Arial" w:cs="Arial"/>
        </w:rPr>
        <w:t xml:space="preserve">. </w:t>
      </w:r>
    </w:p>
    <w:p w:rsidR="0074746D" w:rsidRDefault="0074746D" w:rsidP="0074746D">
      <w:pPr>
        <w:pStyle w:val="ListParagraph"/>
        <w:spacing w:line="360" w:lineRule="auto"/>
        <w:ind w:left="360"/>
        <w:rPr>
          <w:rFonts w:ascii="Arial" w:hAnsi="Arial" w:cs="Arial"/>
        </w:rPr>
      </w:pPr>
    </w:p>
    <w:p w:rsidR="009D0B94" w:rsidRDefault="00F16C9A" w:rsidP="00491C20">
      <w:pPr>
        <w:pStyle w:val="ListParagraph"/>
        <w:numPr>
          <w:ilvl w:val="0"/>
          <w:numId w:val="3"/>
        </w:numPr>
        <w:spacing w:line="360" w:lineRule="auto"/>
        <w:rPr>
          <w:rFonts w:ascii="Arial" w:hAnsi="Arial" w:cs="Arial"/>
        </w:rPr>
      </w:pPr>
      <w:r w:rsidRPr="00BE1C1F">
        <w:rPr>
          <w:rFonts w:ascii="Arial" w:hAnsi="Arial" w:cs="Arial"/>
        </w:rPr>
        <w:t xml:space="preserve">Where the person is already in possession with the </w:t>
      </w:r>
      <w:r w:rsidR="00BE1C1F">
        <w:rPr>
          <w:rFonts w:ascii="Arial" w:hAnsi="Arial" w:cs="Arial"/>
          <w:i/>
        </w:rPr>
        <w:t>factu</w:t>
      </w:r>
      <w:r w:rsidRPr="00BE1C1F">
        <w:rPr>
          <w:rFonts w:ascii="Arial" w:hAnsi="Arial" w:cs="Arial"/>
          <w:i/>
        </w:rPr>
        <w:t>a</w:t>
      </w:r>
      <w:r w:rsidR="00BE1C1F">
        <w:rPr>
          <w:rFonts w:ascii="Arial" w:hAnsi="Arial" w:cs="Arial"/>
          <w:i/>
        </w:rPr>
        <w:t>l</w:t>
      </w:r>
      <w:r w:rsidRPr="00BE1C1F">
        <w:rPr>
          <w:rFonts w:ascii="Arial" w:hAnsi="Arial" w:cs="Arial"/>
        </w:rPr>
        <w:t xml:space="preserve"> consent of the owner (</w:t>
      </w:r>
      <w:r w:rsidR="00DA411B" w:rsidRPr="00BE1C1F">
        <w:rPr>
          <w:rFonts w:ascii="Arial" w:hAnsi="Arial" w:cs="Arial"/>
        </w:rPr>
        <w:t>i.e.</w:t>
      </w:r>
      <w:r w:rsidRPr="00BE1C1F">
        <w:rPr>
          <w:rFonts w:ascii="Arial" w:hAnsi="Arial" w:cs="Arial"/>
        </w:rPr>
        <w:t xml:space="preserve"> leaving aside whether the rights flowing from such consent constituted a lease or other </w:t>
      </w:r>
      <w:r w:rsidR="0074746D">
        <w:rPr>
          <w:rFonts w:ascii="Arial" w:hAnsi="Arial" w:cs="Arial"/>
        </w:rPr>
        <w:t xml:space="preserve">legal </w:t>
      </w:r>
      <w:r w:rsidRPr="00BE1C1F">
        <w:rPr>
          <w:rFonts w:ascii="Arial" w:hAnsi="Arial" w:cs="Arial"/>
        </w:rPr>
        <w:t xml:space="preserve">interest in the </w:t>
      </w:r>
      <w:r w:rsidR="00DA411B" w:rsidRPr="00BE1C1F">
        <w:rPr>
          <w:rFonts w:ascii="Arial" w:hAnsi="Arial" w:cs="Arial"/>
        </w:rPr>
        <w:t>property) it</w:t>
      </w:r>
      <w:r w:rsidR="00BE1C1F">
        <w:rPr>
          <w:rFonts w:ascii="Arial" w:hAnsi="Arial" w:cs="Arial"/>
        </w:rPr>
        <w:t xml:space="preserve"> is self-evident that physical possession has already </w:t>
      </w:r>
      <w:r w:rsidR="00DA411B">
        <w:rPr>
          <w:rFonts w:ascii="Arial" w:hAnsi="Arial" w:cs="Arial"/>
        </w:rPr>
        <w:t>occurred and</w:t>
      </w:r>
      <w:r w:rsidR="00BE1C1F">
        <w:rPr>
          <w:rFonts w:ascii="Arial" w:hAnsi="Arial" w:cs="Arial"/>
        </w:rPr>
        <w:t xml:space="preserve"> the enquiry will focus on the men</w:t>
      </w:r>
      <w:r w:rsidR="002F38EE">
        <w:rPr>
          <w:rFonts w:ascii="Arial" w:hAnsi="Arial" w:cs="Arial"/>
        </w:rPr>
        <w:t>t</w:t>
      </w:r>
      <w:r w:rsidR="00BE1C1F">
        <w:rPr>
          <w:rFonts w:ascii="Arial" w:hAnsi="Arial" w:cs="Arial"/>
        </w:rPr>
        <w:t xml:space="preserve">al element. </w:t>
      </w:r>
      <w:r w:rsidR="002F38EE">
        <w:rPr>
          <w:rFonts w:ascii="Arial" w:hAnsi="Arial" w:cs="Arial"/>
        </w:rPr>
        <w:t>The corollary is that cases which were concerned with dispossession arising where the applicant had at some stage acquired possession b</w:t>
      </w:r>
      <w:r w:rsidR="0074746D">
        <w:rPr>
          <w:rFonts w:ascii="Arial" w:hAnsi="Arial" w:cs="Arial"/>
        </w:rPr>
        <w:t>y consent (</w:t>
      </w:r>
      <w:r w:rsidR="00DA411B">
        <w:rPr>
          <w:rFonts w:ascii="Arial" w:hAnsi="Arial" w:cs="Arial"/>
        </w:rPr>
        <w:t>i.e.</w:t>
      </w:r>
      <w:r w:rsidR="0074746D">
        <w:rPr>
          <w:rFonts w:ascii="Arial" w:hAnsi="Arial" w:cs="Arial"/>
        </w:rPr>
        <w:t xml:space="preserve"> derivatively as in the </w:t>
      </w:r>
      <w:r w:rsidR="002F38EE">
        <w:rPr>
          <w:rFonts w:ascii="Arial" w:hAnsi="Arial" w:cs="Arial"/>
        </w:rPr>
        <w:t>case</w:t>
      </w:r>
      <w:r w:rsidR="0074746D">
        <w:rPr>
          <w:rFonts w:ascii="Arial" w:hAnsi="Arial" w:cs="Arial"/>
        </w:rPr>
        <w:t xml:space="preserve"> of holding-</w:t>
      </w:r>
      <w:r w:rsidR="002F38EE">
        <w:rPr>
          <w:rFonts w:ascii="Arial" w:hAnsi="Arial" w:cs="Arial"/>
        </w:rPr>
        <w:t xml:space="preserve">over) cannot give guidance as to when original possession is found to be taken away from an owner. Prof J Scott in </w:t>
      </w:r>
      <w:r w:rsidR="009D0B94">
        <w:rPr>
          <w:rFonts w:ascii="Arial" w:hAnsi="Arial" w:cs="Arial"/>
        </w:rPr>
        <w:t>his</w:t>
      </w:r>
      <w:r w:rsidR="002F38EE">
        <w:rPr>
          <w:rFonts w:ascii="Arial" w:hAnsi="Arial" w:cs="Arial"/>
        </w:rPr>
        <w:t xml:space="preserve"> article </w:t>
      </w:r>
      <w:r w:rsidR="009D0B94">
        <w:rPr>
          <w:rFonts w:ascii="Arial" w:hAnsi="Arial" w:cs="Arial"/>
        </w:rPr>
        <w:t>“</w:t>
      </w:r>
      <w:r w:rsidR="009D0B94" w:rsidRPr="009D0B94">
        <w:rPr>
          <w:rFonts w:ascii="Arial" w:hAnsi="Arial" w:cs="Arial"/>
          <w:i/>
        </w:rPr>
        <w:t>The precarious position of a land owner vis-à-vis unlawful occupiers: common-law remedies to the rescue?”</w:t>
      </w:r>
      <w:r w:rsidR="009D0B94" w:rsidRPr="009D0B94">
        <w:rPr>
          <w:rFonts w:ascii="Arial" w:hAnsi="Arial" w:cs="Arial"/>
        </w:rPr>
        <w:t xml:space="preserve"> 2018 TSAR 158</w:t>
      </w:r>
      <w:r w:rsidR="009D0B94">
        <w:rPr>
          <w:rFonts w:ascii="Arial" w:hAnsi="Arial" w:cs="Arial"/>
        </w:rPr>
        <w:t xml:space="preserve"> at 164 notes that:</w:t>
      </w:r>
    </w:p>
    <w:p w:rsidR="00F16C9A" w:rsidRPr="00BE1C1F" w:rsidRDefault="009D0B94" w:rsidP="009D0B94">
      <w:pPr>
        <w:pStyle w:val="ListParagraph"/>
        <w:spacing w:line="360" w:lineRule="auto"/>
        <w:ind w:left="360"/>
        <w:rPr>
          <w:rFonts w:ascii="Arial" w:hAnsi="Arial" w:cs="Arial"/>
        </w:rPr>
      </w:pPr>
      <w:r>
        <w:rPr>
          <w:rFonts w:ascii="Arial" w:hAnsi="Arial" w:cs="Arial"/>
        </w:rPr>
        <w:t xml:space="preserve"> </w:t>
      </w:r>
    </w:p>
    <w:p w:rsidR="00F16C9A" w:rsidRDefault="00E30978" w:rsidP="009D0B94">
      <w:pPr>
        <w:pStyle w:val="ListParagraph"/>
        <w:spacing w:line="360" w:lineRule="auto"/>
        <w:ind w:left="1440"/>
        <w:rPr>
          <w:rFonts w:ascii="Arial" w:hAnsi="Arial" w:cs="Arial"/>
          <w:i/>
        </w:rPr>
      </w:pPr>
      <w:r>
        <w:rPr>
          <w:rFonts w:ascii="Arial" w:hAnsi="Arial" w:cs="Arial"/>
          <w:i/>
        </w:rPr>
        <w:t>“</w:t>
      </w:r>
      <w:r w:rsidR="009D0B94" w:rsidRPr="009D0B94">
        <w:rPr>
          <w:rFonts w:ascii="Arial" w:hAnsi="Arial" w:cs="Arial"/>
          <w:i/>
        </w:rPr>
        <w:t xml:space="preserve">Our law is quite clear that the requirements for establishing sufficient control over property, whether movable or immovable, for the first time </w:t>
      </w:r>
      <w:r w:rsidR="009D0B94" w:rsidRPr="009D0B94">
        <w:rPr>
          <w:rFonts w:ascii="Arial" w:hAnsi="Arial" w:cs="Arial"/>
          <w:i/>
        </w:rPr>
        <w:lastRenderedPageBreak/>
        <w:t>are more stringent than in the case where it has to be determined whether someone who established effective control has retained such control</w:t>
      </w:r>
      <w:r w:rsidR="009D0B94" w:rsidRPr="009D0B94">
        <w:rPr>
          <w:rFonts w:ascii="Arial" w:hAnsi="Arial" w:cs="Arial"/>
        </w:rPr>
        <w:t xml:space="preserve"> </w:t>
      </w:r>
      <w:r w:rsidR="009D0B94" w:rsidRPr="009D0B94">
        <w:rPr>
          <w:rFonts w:ascii="Arial" w:hAnsi="Arial" w:cs="Arial"/>
          <w:i/>
        </w:rPr>
        <w:t>(Van der Merwe 101; Sonnekus and Neels 128, referring to Underwater Construction and Salvage Co (Pty) Ltd v Bell 1968 (4) SA 190 (C) and Cape Tex Engineering Works (Pty) Ltd v SAB Lines (Pty) Ltd 1968 (2) SA 528 (C)</w:t>
      </w:r>
      <w:r w:rsidR="009D0B94" w:rsidRPr="009D0B94">
        <w:t xml:space="preserve"> </w:t>
      </w:r>
      <w:r w:rsidR="009D0B94" w:rsidRPr="009D0B94">
        <w:rPr>
          <w:rFonts w:ascii="Arial" w:hAnsi="Arial" w:cs="Arial"/>
          <w:i/>
        </w:rPr>
        <w:t>1968 (2) SA 528 (C); see further Badenhorst, Pienaar and Mostert 278). In addition, the law generally poses more stringent requirements regarding the corpus requirement of possession (control) when control is established by means of an original method (as in the case under discussion) and not by way of derivative means (Van der Merwe 100; Sonnekus and Neels 128 ff; Badenhorst, Pienaar and Mostert 276)</w:t>
      </w:r>
      <w:r>
        <w:rPr>
          <w:rFonts w:ascii="Arial" w:hAnsi="Arial" w:cs="Arial"/>
          <w:i/>
        </w:rPr>
        <w:t>.”</w:t>
      </w:r>
      <w:r>
        <w:rPr>
          <w:rStyle w:val="FootnoteReference"/>
          <w:rFonts w:ascii="Arial" w:hAnsi="Arial" w:cs="Arial"/>
          <w:i/>
        </w:rPr>
        <w:footnoteReference w:id="50"/>
      </w:r>
    </w:p>
    <w:p w:rsidR="00E30978" w:rsidRDefault="00E30978" w:rsidP="009D0B94">
      <w:pPr>
        <w:pStyle w:val="ListParagraph"/>
        <w:spacing w:line="360" w:lineRule="auto"/>
        <w:ind w:left="1440"/>
        <w:rPr>
          <w:rFonts w:ascii="Arial" w:hAnsi="Arial" w:cs="Arial"/>
          <w:i/>
        </w:rPr>
      </w:pPr>
    </w:p>
    <w:p w:rsidR="005836A4" w:rsidRDefault="005836A4" w:rsidP="00AF22DC">
      <w:pPr>
        <w:pStyle w:val="ListParagraph"/>
        <w:numPr>
          <w:ilvl w:val="0"/>
          <w:numId w:val="3"/>
        </w:numPr>
        <w:spacing w:line="360" w:lineRule="auto"/>
        <w:rPr>
          <w:rFonts w:ascii="Arial" w:hAnsi="Arial" w:cs="Arial"/>
        </w:rPr>
      </w:pPr>
      <w:r>
        <w:rPr>
          <w:rFonts w:ascii="Arial" w:hAnsi="Arial" w:cs="Arial"/>
        </w:rPr>
        <w:t xml:space="preserve">Being a question of fact a court is compelled to </w:t>
      </w:r>
      <w:r w:rsidR="00DA411B">
        <w:rPr>
          <w:rFonts w:ascii="Arial" w:hAnsi="Arial" w:cs="Arial"/>
        </w:rPr>
        <w:t>first identify</w:t>
      </w:r>
      <w:r>
        <w:rPr>
          <w:rFonts w:ascii="Arial" w:hAnsi="Arial" w:cs="Arial"/>
        </w:rPr>
        <w:t xml:space="preserve"> wh</w:t>
      </w:r>
      <w:r w:rsidR="0074746D">
        <w:rPr>
          <w:rFonts w:ascii="Arial" w:hAnsi="Arial" w:cs="Arial"/>
        </w:rPr>
        <w:t xml:space="preserve">ich facts are </w:t>
      </w:r>
      <w:r w:rsidR="00DA411B">
        <w:rPr>
          <w:rFonts w:ascii="Arial" w:hAnsi="Arial" w:cs="Arial"/>
        </w:rPr>
        <w:t>relevant</w:t>
      </w:r>
      <w:r w:rsidR="0074746D">
        <w:rPr>
          <w:rFonts w:ascii="Arial" w:hAnsi="Arial" w:cs="Arial"/>
        </w:rPr>
        <w:t xml:space="preserve"> in order</w:t>
      </w:r>
      <w:r>
        <w:rPr>
          <w:rFonts w:ascii="Arial" w:hAnsi="Arial" w:cs="Arial"/>
        </w:rPr>
        <w:t xml:space="preserve"> to establish </w:t>
      </w:r>
      <w:r w:rsidR="00DA411B">
        <w:rPr>
          <w:rFonts w:ascii="Arial" w:hAnsi="Arial" w:cs="Arial"/>
        </w:rPr>
        <w:t>whether</w:t>
      </w:r>
      <w:r w:rsidR="002129A5">
        <w:rPr>
          <w:rFonts w:ascii="Arial" w:hAnsi="Arial" w:cs="Arial"/>
        </w:rPr>
        <w:t xml:space="preserve"> an applicant </w:t>
      </w:r>
      <w:r>
        <w:rPr>
          <w:rFonts w:ascii="Arial" w:hAnsi="Arial" w:cs="Arial"/>
        </w:rPr>
        <w:t>had physical possession which is peaceful and undisturbed.</w:t>
      </w:r>
      <w:r w:rsidR="001B077F">
        <w:rPr>
          <w:rFonts w:ascii="Arial" w:hAnsi="Arial" w:cs="Arial"/>
        </w:rPr>
        <w:t xml:space="preserve"> </w:t>
      </w:r>
    </w:p>
    <w:p w:rsidR="005836A4" w:rsidRDefault="005836A4" w:rsidP="005836A4">
      <w:pPr>
        <w:pStyle w:val="ListParagraph"/>
        <w:spacing w:line="360" w:lineRule="auto"/>
        <w:ind w:left="360"/>
        <w:rPr>
          <w:rFonts w:ascii="Arial" w:hAnsi="Arial" w:cs="Arial"/>
        </w:rPr>
      </w:pPr>
    </w:p>
    <w:p w:rsidR="00847D33" w:rsidRDefault="00DA411B" w:rsidP="00AF22DC">
      <w:pPr>
        <w:pStyle w:val="ListParagraph"/>
        <w:numPr>
          <w:ilvl w:val="0"/>
          <w:numId w:val="3"/>
        </w:numPr>
        <w:spacing w:line="360" w:lineRule="auto"/>
        <w:rPr>
          <w:rFonts w:ascii="Arial" w:hAnsi="Arial" w:cs="Arial"/>
        </w:rPr>
      </w:pPr>
      <w:r>
        <w:rPr>
          <w:rFonts w:ascii="Arial" w:hAnsi="Arial" w:cs="Arial"/>
        </w:rPr>
        <w:t xml:space="preserve">In </w:t>
      </w:r>
      <w:r w:rsidRPr="00491C20">
        <w:rPr>
          <w:rFonts w:ascii="Arial" w:hAnsi="Arial" w:cs="Arial"/>
          <w:i/>
        </w:rPr>
        <w:t>Mbangi</w:t>
      </w:r>
      <w:r w:rsidR="00BD3173" w:rsidRPr="00491C20">
        <w:rPr>
          <w:rFonts w:ascii="Arial" w:hAnsi="Arial" w:cs="Arial"/>
          <w:i/>
        </w:rPr>
        <w:t xml:space="preserve"> &amp;</w:t>
      </w:r>
      <w:r w:rsidR="00BD3173" w:rsidRPr="00BD3173">
        <w:rPr>
          <w:rFonts w:ascii="Arial" w:hAnsi="Arial" w:cs="Arial"/>
          <w:i/>
        </w:rPr>
        <w:t xml:space="preserve"> </w:t>
      </w:r>
      <w:r w:rsidR="00250AC1">
        <w:rPr>
          <w:rFonts w:ascii="Arial" w:hAnsi="Arial" w:cs="Arial"/>
          <w:i/>
        </w:rPr>
        <w:t>O</w:t>
      </w:r>
      <w:r w:rsidR="00BD3173" w:rsidRPr="00BD3173">
        <w:rPr>
          <w:rFonts w:ascii="Arial" w:hAnsi="Arial" w:cs="Arial"/>
          <w:i/>
        </w:rPr>
        <w:t>thers v Dobsonville City Council</w:t>
      </w:r>
      <w:r w:rsidR="00BD3173">
        <w:rPr>
          <w:rFonts w:ascii="Arial" w:hAnsi="Arial" w:cs="Arial"/>
        </w:rPr>
        <w:t xml:space="preserve"> </w:t>
      </w:r>
      <w:r w:rsidR="00BD3173" w:rsidRPr="00BD3173">
        <w:rPr>
          <w:rFonts w:ascii="Arial" w:hAnsi="Arial" w:cs="Arial"/>
        </w:rPr>
        <w:t>1991 (2) SA 33</w:t>
      </w:r>
      <w:r w:rsidR="00B7474B">
        <w:rPr>
          <w:rFonts w:ascii="Arial" w:hAnsi="Arial" w:cs="Arial"/>
        </w:rPr>
        <w:t>0</w:t>
      </w:r>
      <w:r w:rsidR="00BD3173" w:rsidRPr="00BD3173">
        <w:rPr>
          <w:rFonts w:ascii="Arial" w:hAnsi="Arial" w:cs="Arial"/>
        </w:rPr>
        <w:t xml:space="preserve"> (W)) Flem</w:t>
      </w:r>
      <w:r w:rsidR="00250AC1">
        <w:rPr>
          <w:rFonts w:ascii="Arial" w:hAnsi="Arial" w:cs="Arial"/>
        </w:rPr>
        <w:t>m</w:t>
      </w:r>
      <w:r w:rsidR="00BD3173" w:rsidRPr="00BD3173">
        <w:rPr>
          <w:rFonts w:ascii="Arial" w:hAnsi="Arial" w:cs="Arial"/>
        </w:rPr>
        <w:t>ing J</w:t>
      </w:r>
      <w:r w:rsidR="00BD3173">
        <w:rPr>
          <w:rFonts w:ascii="Arial" w:hAnsi="Arial" w:cs="Arial"/>
        </w:rPr>
        <w:t xml:space="preserve"> (at the time)</w:t>
      </w:r>
      <w:r w:rsidR="00847D33">
        <w:rPr>
          <w:rFonts w:ascii="Arial" w:hAnsi="Arial" w:cs="Arial"/>
        </w:rPr>
        <w:t xml:space="preserve"> held in relation to the distinct </w:t>
      </w:r>
      <w:r>
        <w:rPr>
          <w:rFonts w:ascii="Arial" w:hAnsi="Arial" w:cs="Arial"/>
        </w:rPr>
        <w:t>issue</w:t>
      </w:r>
      <w:r w:rsidR="00847D33">
        <w:rPr>
          <w:rFonts w:ascii="Arial" w:hAnsi="Arial" w:cs="Arial"/>
        </w:rPr>
        <w:t xml:space="preserve"> of whether the applicants had been in possession of part of an open veld on </w:t>
      </w:r>
      <w:r>
        <w:rPr>
          <w:rFonts w:ascii="Arial" w:hAnsi="Arial" w:cs="Arial"/>
        </w:rPr>
        <w:t>which</w:t>
      </w:r>
      <w:r w:rsidR="00847D33">
        <w:rPr>
          <w:rFonts w:ascii="Arial" w:hAnsi="Arial" w:cs="Arial"/>
        </w:rPr>
        <w:t xml:space="preserve"> shacks had been erected that:</w:t>
      </w:r>
    </w:p>
    <w:p w:rsidR="00C41300" w:rsidRDefault="00C41300" w:rsidP="00C41300">
      <w:pPr>
        <w:pStyle w:val="ListParagraph"/>
        <w:spacing w:line="360" w:lineRule="auto"/>
        <w:ind w:left="360"/>
        <w:rPr>
          <w:rFonts w:ascii="Arial" w:hAnsi="Arial" w:cs="Arial"/>
        </w:rPr>
      </w:pPr>
    </w:p>
    <w:p w:rsidR="00C41300" w:rsidRPr="00C41300" w:rsidRDefault="00C41300" w:rsidP="00C41300">
      <w:pPr>
        <w:pStyle w:val="ListParagraph"/>
        <w:spacing w:line="360" w:lineRule="auto"/>
        <w:rPr>
          <w:rFonts w:ascii="Arial" w:hAnsi="Arial" w:cs="Arial"/>
          <w:i/>
        </w:rPr>
      </w:pPr>
      <w:r>
        <w:rPr>
          <w:rFonts w:ascii="Arial" w:hAnsi="Arial" w:cs="Arial"/>
        </w:rPr>
        <w:t>“</w:t>
      </w:r>
      <w:r w:rsidRPr="00C41300">
        <w:rPr>
          <w:rFonts w:ascii="Arial" w:hAnsi="Arial" w:cs="Arial"/>
          <w:i/>
        </w:rPr>
        <w:t>The authorities show a certain consistency in requiring not merely 'possession' as a prerequisite for the granting of a spoliation order, but 'peaceful</w:t>
      </w:r>
      <w:r>
        <w:rPr>
          <w:rFonts w:ascii="Arial" w:hAnsi="Arial" w:cs="Arial"/>
          <w:i/>
        </w:rPr>
        <w:t xml:space="preserve"> and undisturbed' possession. </w:t>
      </w:r>
      <w:r w:rsidRPr="00C41300">
        <w:rPr>
          <w:rFonts w:ascii="Arial" w:hAnsi="Arial" w:cs="Arial"/>
          <w:i/>
        </w:rPr>
        <w:t xml:space="preserve"> It need, though, not be explicitly alleged (cf Burnham v Neumeyer 1917 TPD 630). What the requirement exactly entails is not frequently attended to. In Ness and Another v Greef 1985 (4) SA 641 (C) at 647 a Full Bench decided that it probably meant 'sufficiently stab</w:t>
      </w:r>
      <w:r>
        <w:rPr>
          <w:rFonts w:ascii="Arial" w:hAnsi="Arial" w:cs="Arial"/>
          <w:i/>
        </w:rPr>
        <w:t xml:space="preserve">le or durable possession for </w:t>
      </w:r>
      <w:r w:rsidRPr="00C41300">
        <w:rPr>
          <w:rFonts w:ascii="Arial" w:hAnsi="Arial" w:cs="Arial"/>
          <w:i/>
        </w:rPr>
        <w:t>the law to take cognisance of it'.</w:t>
      </w:r>
      <w:r>
        <w:rPr>
          <w:rStyle w:val="FootnoteReference"/>
          <w:rFonts w:ascii="Arial" w:hAnsi="Arial" w:cs="Arial"/>
          <w:i/>
        </w:rPr>
        <w:footnoteReference w:id="51"/>
      </w:r>
    </w:p>
    <w:p w:rsidR="00847D33" w:rsidRDefault="00C41300" w:rsidP="00847D33">
      <w:pPr>
        <w:pStyle w:val="ListParagraph"/>
        <w:spacing w:line="360" w:lineRule="auto"/>
        <w:ind w:left="360"/>
        <w:rPr>
          <w:rFonts w:ascii="Arial" w:hAnsi="Arial" w:cs="Arial"/>
        </w:rPr>
      </w:pPr>
      <w:r>
        <w:rPr>
          <w:rFonts w:ascii="Arial" w:hAnsi="Arial" w:cs="Arial"/>
        </w:rPr>
        <w:lastRenderedPageBreak/>
        <w:tab/>
        <w:t>…</w:t>
      </w:r>
    </w:p>
    <w:p w:rsidR="00C41300" w:rsidRDefault="00C41300" w:rsidP="00C41300">
      <w:pPr>
        <w:pStyle w:val="ListParagraph"/>
        <w:spacing w:line="360" w:lineRule="auto"/>
        <w:rPr>
          <w:rFonts w:ascii="Arial" w:hAnsi="Arial" w:cs="Arial"/>
        </w:rPr>
      </w:pPr>
      <w:r w:rsidRPr="00C41300">
        <w:rPr>
          <w:rFonts w:ascii="Arial" w:hAnsi="Arial" w:cs="Arial"/>
          <w:i/>
        </w:rPr>
        <w:t>The applicant for spoliation requires possession which has become ensconced, as was decided in the Ness case. See also Sonnekus 1986 TSAR at 247. It would normally be evidenced (but not necessarily so) by a period of time during which the de facto possession has c</w:t>
      </w:r>
      <w:r>
        <w:rPr>
          <w:rFonts w:ascii="Arial" w:hAnsi="Arial" w:cs="Arial"/>
          <w:i/>
        </w:rPr>
        <w:t>ontinued</w:t>
      </w:r>
      <w:r w:rsidRPr="00C41300">
        <w:rPr>
          <w:rFonts w:ascii="Arial" w:hAnsi="Arial" w:cs="Arial"/>
          <w:i/>
        </w:rPr>
        <w:t xml:space="preserve"> without interference. However, quite apart from evidential considerations</w:t>
      </w:r>
      <w:r w:rsidRPr="0074746D">
        <w:rPr>
          <w:rFonts w:ascii="Arial" w:hAnsi="Arial" w:cs="Arial"/>
          <w:i/>
        </w:rPr>
        <w:t xml:space="preserve">, the complainant lacks protectable merit if the best he can prove is a (lawful or unlawful) self-help grab of possession to which there is </w:t>
      </w:r>
      <w:r w:rsidRPr="0074746D">
        <w:rPr>
          <w:rFonts w:ascii="Arial" w:hAnsi="Arial" w:cs="Arial"/>
          <w:i/>
          <w:u w:val="single"/>
        </w:rPr>
        <w:t>continued resistance</w:t>
      </w:r>
      <w:r w:rsidRPr="0074746D">
        <w:rPr>
          <w:rFonts w:ascii="Arial" w:hAnsi="Arial" w:cs="Arial"/>
        </w:rPr>
        <w:t>.</w:t>
      </w:r>
      <w:r>
        <w:rPr>
          <w:rStyle w:val="FootnoteReference"/>
          <w:rFonts w:ascii="Arial" w:hAnsi="Arial" w:cs="Arial"/>
        </w:rPr>
        <w:footnoteReference w:id="52"/>
      </w:r>
      <w:r w:rsidR="00972513">
        <w:rPr>
          <w:rFonts w:ascii="Arial" w:hAnsi="Arial" w:cs="Arial"/>
        </w:rPr>
        <w:t xml:space="preserve"> </w:t>
      </w:r>
    </w:p>
    <w:p w:rsidR="0074746D" w:rsidRPr="0074746D" w:rsidRDefault="0074746D" w:rsidP="00C41300">
      <w:pPr>
        <w:pStyle w:val="ListParagraph"/>
        <w:spacing w:line="360" w:lineRule="auto"/>
        <w:rPr>
          <w:rFonts w:ascii="Arial" w:hAnsi="Arial" w:cs="Arial"/>
        </w:rPr>
      </w:pPr>
      <w:r w:rsidRPr="0074746D">
        <w:rPr>
          <w:rFonts w:ascii="Arial" w:hAnsi="Arial" w:cs="Arial"/>
        </w:rPr>
        <w:t>(</w:t>
      </w:r>
      <w:r>
        <w:rPr>
          <w:rFonts w:ascii="Arial" w:hAnsi="Arial" w:cs="Arial"/>
        </w:rPr>
        <w:t>emphasis added)</w:t>
      </w:r>
    </w:p>
    <w:p w:rsidR="00972513" w:rsidRDefault="00972513" w:rsidP="00C41300">
      <w:pPr>
        <w:pStyle w:val="ListParagraph"/>
        <w:spacing w:line="360" w:lineRule="auto"/>
        <w:rPr>
          <w:rFonts w:ascii="Arial" w:hAnsi="Arial" w:cs="Arial"/>
        </w:rPr>
      </w:pPr>
    </w:p>
    <w:p w:rsidR="00034A49" w:rsidRDefault="00972513" w:rsidP="00972513">
      <w:pPr>
        <w:pStyle w:val="ListParagraph"/>
        <w:spacing w:line="360" w:lineRule="auto"/>
        <w:ind w:left="360"/>
        <w:rPr>
          <w:rFonts w:ascii="Arial" w:hAnsi="Arial" w:cs="Arial"/>
        </w:rPr>
      </w:pPr>
      <w:r>
        <w:rPr>
          <w:rFonts w:ascii="Arial" w:hAnsi="Arial" w:cs="Arial"/>
        </w:rPr>
        <w:t xml:space="preserve">Although the court was also concerned with the application of legislation (in fact repealed by PIE) to the demolition of the shacks, this aspect was focused strictly on what constituted possession for purposes of the </w:t>
      </w:r>
      <w:r w:rsidR="00A53C69">
        <w:rPr>
          <w:rFonts w:ascii="Arial" w:hAnsi="Arial" w:cs="Arial"/>
        </w:rPr>
        <w:t>mandament</w:t>
      </w:r>
      <w:r>
        <w:rPr>
          <w:rFonts w:ascii="Arial" w:hAnsi="Arial" w:cs="Arial"/>
        </w:rPr>
        <w:t xml:space="preserve"> van spolie. </w:t>
      </w:r>
    </w:p>
    <w:p w:rsidR="00034A49" w:rsidRDefault="00034A49" w:rsidP="00972513">
      <w:pPr>
        <w:pStyle w:val="ListParagraph"/>
        <w:spacing w:line="360" w:lineRule="auto"/>
        <w:ind w:left="360"/>
        <w:rPr>
          <w:rFonts w:ascii="Arial" w:hAnsi="Arial" w:cs="Arial"/>
        </w:rPr>
      </w:pPr>
    </w:p>
    <w:p w:rsidR="00034A49" w:rsidRDefault="00034A49" w:rsidP="00AF22DC">
      <w:pPr>
        <w:pStyle w:val="ListParagraph"/>
        <w:numPr>
          <w:ilvl w:val="0"/>
          <w:numId w:val="3"/>
        </w:numPr>
        <w:spacing w:line="360" w:lineRule="auto"/>
        <w:rPr>
          <w:rFonts w:ascii="Arial" w:hAnsi="Arial" w:cs="Arial"/>
        </w:rPr>
      </w:pPr>
      <w:r>
        <w:rPr>
          <w:rFonts w:ascii="Arial" w:hAnsi="Arial" w:cs="Arial"/>
        </w:rPr>
        <w:t xml:space="preserve">In my respectful view Fleming DJP’s (as he </w:t>
      </w:r>
      <w:r w:rsidR="00A53C69">
        <w:rPr>
          <w:rFonts w:ascii="Arial" w:hAnsi="Arial" w:cs="Arial"/>
        </w:rPr>
        <w:t>later</w:t>
      </w:r>
      <w:r>
        <w:rPr>
          <w:rFonts w:ascii="Arial" w:hAnsi="Arial" w:cs="Arial"/>
        </w:rPr>
        <w:t xml:space="preserve"> became) thought provoking </w:t>
      </w:r>
      <w:r w:rsidR="00A53C69">
        <w:rPr>
          <w:rFonts w:ascii="Arial" w:hAnsi="Arial" w:cs="Arial"/>
        </w:rPr>
        <w:t>analysis</w:t>
      </w:r>
      <w:r>
        <w:rPr>
          <w:rFonts w:ascii="Arial" w:hAnsi="Arial" w:cs="Arial"/>
        </w:rPr>
        <w:t xml:space="preserve"> for requiring possession to be peaceful and undisturbed deserves attention. </w:t>
      </w:r>
    </w:p>
    <w:p w:rsidR="00034A49" w:rsidRDefault="00034A49" w:rsidP="00034A49">
      <w:pPr>
        <w:pStyle w:val="ListParagraph"/>
        <w:spacing w:line="360" w:lineRule="auto"/>
        <w:ind w:left="360"/>
        <w:rPr>
          <w:rFonts w:ascii="Arial" w:hAnsi="Arial" w:cs="Arial"/>
        </w:rPr>
      </w:pPr>
      <w:r>
        <w:rPr>
          <w:rFonts w:ascii="Arial" w:hAnsi="Arial" w:cs="Arial"/>
        </w:rPr>
        <w:t xml:space="preserve"> </w:t>
      </w:r>
    </w:p>
    <w:p w:rsidR="00034A49" w:rsidRDefault="00250AC1" w:rsidP="00034A49">
      <w:pPr>
        <w:spacing w:line="360" w:lineRule="auto"/>
        <w:ind w:left="360"/>
        <w:rPr>
          <w:rFonts w:ascii="Arial" w:hAnsi="Arial" w:cs="Arial"/>
        </w:rPr>
      </w:pPr>
      <w:r>
        <w:rPr>
          <w:rFonts w:ascii="Arial" w:hAnsi="Arial" w:cs="Arial"/>
        </w:rPr>
        <w:t>Although the early</w:t>
      </w:r>
      <w:r w:rsidR="00491C20">
        <w:rPr>
          <w:rFonts w:ascii="Arial" w:hAnsi="Arial" w:cs="Arial"/>
        </w:rPr>
        <w:t xml:space="preserve"> case of </w:t>
      </w:r>
      <w:r w:rsidR="00034A49" w:rsidRPr="00034A49">
        <w:rPr>
          <w:rFonts w:ascii="Arial" w:hAnsi="Arial" w:cs="Arial"/>
          <w:i/>
        </w:rPr>
        <w:t xml:space="preserve">Nino </w:t>
      </w:r>
      <w:r w:rsidR="00A53C69" w:rsidRPr="0074746D">
        <w:rPr>
          <w:rFonts w:ascii="Arial" w:hAnsi="Arial" w:cs="Arial"/>
          <w:i/>
        </w:rPr>
        <w:t>Bonino</w:t>
      </w:r>
      <w:r w:rsidR="00491C20">
        <w:rPr>
          <w:rStyle w:val="FootnoteReference"/>
          <w:rFonts w:ascii="Arial" w:hAnsi="Arial" w:cs="Arial"/>
          <w:i/>
        </w:rPr>
        <w:footnoteReference w:id="53"/>
      </w:r>
      <w:r>
        <w:rPr>
          <w:rFonts w:ascii="Arial" w:hAnsi="Arial" w:cs="Arial"/>
        </w:rPr>
        <w:t xml:space="preserve"> was not expressly referred to, </w:t>
      </w:r>
      <w:r w:rsidR="00224C97" w:rsidRPr="00491C20">
        <w:rPr>
          <w:rFonts w:ascii="Arial" w:hAnsi="Arial" w:cs="Arial"/>
        </w:rPr>
        <w:t xml:space="preserve"> </w:t>
      </w:r>
      <w:r w:rsidR="00034A49" w:rsidRPr="00491C20">
        <w:rPr>
          <w:rFonts w:ascii="Arial" w:hAnsi="Arial" w:cs="Arial"/>
        </w:rPr>
        <w:t>it</w:t>
      </w:r>
      <w:r w:rsidR="00034A49">
        <w:rPr>
          <w:rFonts w:ascii="Arial" w:hAnsi="Arial" w:cs="Arial"/>
        </w:rPr>
        <w:t xml:space="preserve"> is </w:t>
      </w:r>
      <w:r w:rsidR="00491C20">
        <w:rPr>
          <w:rFonts w:ascii="Arial" w:hAnsi="Arial" w:cs="Arial"/>
        </w:rPr>
        <w:t>evident</w:t>
      </w:r>
      <w:r w:rsidR="00034A49">
        <w:rPr>
          <w:rFonts w:ascii="Arial" w:hAnsi="Arial" w:cs="Arial"/>
        </w:rPr>
        <w:t xml:space="preserve"> that the starting point of the court’s reasoning was t</w:t>
      </w:r>
      <w:r w:rsidR="00224C97">
        <w:rPr>
          <w:rFonts w:ascii="Arial" w:hAnsi="Arial" w:cs="Arial"/>
        </w:rPr>
        <w:t xml:space="preserve">he rationale for the </w:t>
      </w:r>
      <w:r w:rsidR="00A53C69">
        <w:rPr>
          <w:rFonts w:ascii="Arial" w:hAnsi="Arial" w:cs="Arial"/>
        </w:rPr>
        <w:t>mandament</w:t>
      </w:r>
      <w:r w:rsidR="00224C97">
        <w:rPr>
          <w:rFonts w:ascii="Arial" w:hAnsi="Arial" w:cs="Arial"/>
        </w:rPr>
        <w:t>, namely;</w:t>
      </w:r>
    </w:p>
    <w:p w:rsidR="00224C97" w:rsidRDefault="00224C97" w:rsidP="00034A49">
      <w:pPr>
        <w:spacing w:line="360" w:lineRule="auto"/>
        <w:ind w:left="360"/>
        <w:rPr>
          <w:rFonts w:ascii="Arial" w:hAnsi="Arial" w:cs="Arial"/>
        </w:rPr>
      </w:pPr>
    </w:p>
    <w:p w:rsidR="00224C97" w:rsidRPr="00224C97" w:rsidRDefault="00224C97" w:rsidP="00224C97">
      <w:pPr>
        <w:spacing w:line="360" w:lineRule="auto"/>
        <w:ind w:left="720"/>
        <w:rPr>
          <w:rFonts w:ascii="Arial" w:hAnsi="Arial" w:cs="Arial"/>
          <w:i/>
        </w:rPr>
      </w:pPr>
      <w:r w:rsidRPr="00224C97">
        <w:rPr>
          <w:rFonts w:ascii="Arial" w:hAnsi="Arial" w:cs="Arial"/>
          <w:i/>
        </w:rPr>
        <w:t>The mandament van spolie finds its immediate and only object in the reversal of the consequences of interference with an existing state of affairs otherwise than under authority of the law, so that the status quo ante is restored.</w:t>
      </w:r>
      <w:r>
        <w:rPr>
          <w:rFonts w:ascii="Arial" w:hAnsi="Arial" w:cs="Arial"/>
          <w:i/>
        </w:rPr>
        <w:t xml:space="preserve"> </w:t>
      </w:r>
      <w:r w:rsidRPr="00224C97">
        <w:rPr>
          <w:rFonts w:ascii="Arial" w:hAnsi="Arial" w:cs="Arial"/>
          <w:i/>
        </w:rPr>
        <w:t>Thereafter other rem</w:t>
      </w:r>
      <w:r>
        <w:rPr>
          <w:rFonts w:ascii="Arial" w:hAnsi="Arial" w:cs="Arial"/>
          <w:i/>
        </w:rPr>
        <w:t xml:space="preserve">edies can be used to enforce </w:t>
      </w:r>
      <w:r w:rsidRPr="00224C97">
        <w:rPr>
          <w:rFonts w:ascii="Arial" w:hAnsi="Arial" w:cs="Arial"/>
          <w:i/>
        </w:rPr>
        <w:t>entitlements according to law</w:t>
      </w:r>
      <w:r w:rsidRPr="00224C97">
        <w:rPr>
          <w:rStyle w:val="FootnoteReference"/>
          <w:rFonts w:ascii="Arial" w:hAnsi="Arial" w:cs="Arial"/>
          <w:i/>
          <w:vertAlign w:val="baseline"/>
        </w:rPr>
        <w:t xml:space="preserve"> </w:t>
      </w:r>
      <w:r>
        <w:rPr>
          <w:rStyle w:val="FootnoteReference"/>
          <w:rFonts w:ascii="Arial" w:hAnsi="Arial" w:cs="Arial"/>
          <w:i/>
        </w:rPr>
        <w:footnoteReference w:id="54"/>
      </w:r>
    </w:p>
    <w:p w:rsidR="00224C97" w:rsidRDefault="00224C97" w:rsidP="00034A49">
      <w:pPr>
        <w:spacing w:line="360" w:lineRule="auto"/>
        <w:ind w:left="360"/>
        <w:rPr>
          <w:rFonts w:ascii="Arial" w:hAnsi="Arial" w:cs="Arial"/>
        </w:rPr>
      </w:pPr>
    </w:p>
    <w:p w:rsidR="00224C97" w:rsidRDefault="00224C97" w:rsidP="00224C97">
      <w:pPr>
        <w:spacing w:line="360" w:lineRule="auto"/>
        <w:ind w:left="360"/>
        <w:rPr>
          <w:rFonts w:ascii="Arial" w:hAnsi="Arial" w:cs="Arial"/>
        </w:rPr>
      </w:pPr>
      <w:r>
        <w:rPr>
          <w:rFonts w:ascii="Arial" w:hAnsi="Arial" w:cs="Arial"/>
        </w:rPr>
        <w:t>It is th</w:t>
      </w:r>
      <w:r w:rsidR="004E0673">
        <w:rPr>
          <w:rFonts w:ascii="Arial" w:hAnsi="Arial" w:cs="Arial"/>
        </w:rPr>
        <w:t xml:space="preserve">is passage </w:t>
      </w:r>
      <w:r>
        <w:rPr>
          <w:rFonts w:ascii="Arial" w:hAnsi="Arial" w:cs="Arial"/>
        </w:rPr>
        <w:t>which commenced a train of legal and practical reasoning</w:t>
      </w:r>
      <w:r w:rsidR="004E0673">
        <w:rPr>
          <w:rFonts w:ascii="Arial" w:hAnsi="Arial" w:cs="Arial"/>
        </w:rPr>
        <w:t xml:space="preserve"> </w:t>
      </w:r>
      <w:r w:rsidR="00A53C69">
        <w:rPr>
          <w:rFonts w:ascii="Arial" w:hAnsi="Arial" w:cs="Arial"/>
        </w:rPr>
        <w:t>that in</w:t>
      </w:r>
      <w:r>
        <w:rPr>
          <w:rFonts w:ascii="Arial" w:hAnsi="Arial" w:cs="Arial"/>
        </w:rPr>
        <w:t xml:space="preserve"> my respectful view </w:t>
      </w:r>
      <w:r w:rsidR="00491C20">
        <w:rPr>
          <w:rFonts w:ascii="Arial" w:hAnsi="Arial" w:cs="Arial"/>
        </w:rPr>
        <w:t xml:space="preserve">is difficult to </w:t>
      </w:r>
      <w:r w:rsidR="00250AC1">
        <w:rPr>
          <w:rFonts w:ascii="Arial" w:hAnsi="Arial" w:cs="Arial"/>
        </w:rPr>
        <w:t>criticise</w:t>
      </w:r>
      <w:r w:rsidR="00034A49">
        <w:rPr>
          <w:rFonts w:ascii="Arial" w:hAnsi="Arial" w:cs="Arial"/>
        </w:rPr>
        <w:t xml:space="preserve">. </w:t>
      </w:r>
    </w:p>
    <w:p w:rsidR="00224C97" w:rsidRDefault="00224C97" w:rsidP="00224C97">
      <w:pPr>
        <w:spacing w:line="360" w:lineRule="auto"/>
        <w:ind w:left="360"/>
        <w:rPr>
          <w:rFonts w:ascii="Arial" w:hAnsi="Arial" w:cs="Arial"/>
        </w:rPr>
      </w:pPr>
    </w:p>
    <w:p w:rsidR="00250AC1" w:rsidRDefault="00224C97" w:rsidP="000270F3">
      <w:pPr>
        <w:spacing w:line="360" w:lineRule="auto"/>
        <w:ind w:left="360"/>
        <w:rPr>
          <w:rFonts w:ascii="Arial" w:hAnsi="Arial" w:cs="Arial"/>
        </w:rPr>
      </w:pPr>
      <w:r>
        <w:rPr>
          <w:rFonts w:ascii="Arial" w:hAnsi="Arial" w:cs="Arial"/>
        </w:rPr>
        <w:lastRenderedPageBreak/>
        <w:t xml:space="preserve">Since its objective is to reverse the consequence of persons taking the law into their </w:t>
      </w:r>
      <w:r w:rsidR="000270F3">
        <w:rPr>
          <w:rFonts w:ascii="Arial" w:hAnsi="Arial" w:cs="Arial"/>
        </w:rPr>
        <w:t>own hands</w:t>
      </w:r>
      <w:r w:rsidR="002129A5">
        <w:rPr>
          <w:rFonts w:ascii="Arial" w:hAnsi="Arial" w:cs="Arial"/>
        </w:rPr>
        <w:t>,</w:t>
      </w:r>
      <w:r w:rsidR="000270F3">
        <w:rPr>
          <w:rFonts w:ascii="Arial" w:hAnsi="Arial" w:cs="Arial"/>
        </w:rPr>
        <w:t xml:space="preserve"> it follows that t</w:t>
      </w:r>
      <w:r w:rsidR="000270F3" w:rsidRPr="000270F3">
        <w:rPr>
          <w:rFonts w:ascii="Arial" w:hAnsi="Arial" w:cs="Arial"/>
        </w:rPr>
        <w:t xml:space="preserve">he termination of spoliation </w:t>
      </w:r>
      <w:r w:rsidR="000270F3">
        <w:rPr>
          <w:rFonts w:ascii="Arial" w:hAnsi="Arial" w:cs="Arial"/>
        </w:rPr>
        <w:t xml:space="preserve">under the </w:t>
      </w:r>
      <w:r w:rsidR="00A53C69">
        <w:rPr>
          <w:rFonts w:ascii="Arial" w:hAnsi="Arial" w:cs="Arial"/>
        </w:rPr>
        <w:t>mandament</w:t>
      </w:r>
      <w:r w:rsidR="000270F3">
        <w:rPr>
          <w:rFonts w:ascii="Arial" w:hAnsi="Arial" w:cs="Arial"/>
        </w:rPr>
        <w:t xml:space="preserve"> </w:t>
      </w:r>
      <w:r w:rsidR="000270F3" w:rsidRPr="000270F3">
        <w:rPr>
          <w:rFonts w:ascii="Arial" w:hAnsi="Arial" w:cs="Arial"/>
        </w:rPr>
        <w:t xml:space="preserve">forms a contrast to the court’s ordinary </w:t>
      </w:r>
      <w:r w:rsidR="000270F3">
        <w:rPr>
          <w:rFonts w:ascii="Arial" w:hAnsi="Arial" w:cs="Arial"/>
        </w:rPr>
        <w:t>task of</w:t>
      </w:r>
      <w:r w:rsidR="000270F3" w:rsidRPr="000270F3">
        <w:rPr>
          <w:rFonts w:ascii="Arial" w:hAnsi="Arial" w:cs="Arial"/>
        </w:rPr>
        <w:t xml:space="preserve"> enforcing a right or </w:t>
      </w:r>
      <w:r w:rsidR="004E0673">
        <w:rPr>
          <w:rFonts w:ascii="Arial" w:hAnsi="Arial" w:cs="Arial"/>
        </w:rPr>
        <w:t>entitlement. It constitutes a</w:t>
      </w:r>
      <w:r w:rsidR="000270F3">
        <w:rPr>
          <w:rFonts w:ascii="Arial" w:hAnsi="Arial" w:cs="Arial"/>
        </w:rPr>
        <w:t xml:space="preserve"> contrast because the</w:t>
      </w:r>
      <w:r w:rsidR="00250AC1">
        <w:rPr>
          <w:rFonts w:ascii="Arial" w:hAnsi="Arial" w:cs="Arial"/>
        </w:rPr>
        <w:t>;</w:t>
      </w:r>
    </w:p>
    <w:p w:rsidR="00250AC1" w:rsidRDefault="00250AC1" w:rsidP="000270F3">
      <w:pPr>
        <w:spacing w:line="360" w:lineRule="auto"/>
        <w:ind w:left="360"/>
        <w:rPr>
          <w:rFonts w:ascii="Arial" w:hAnsi="Arial" w:cs="Arial"/>
        </w:rPr>
      </w:pPr>
    </w:p>
    <w:p w:rsidR="00972513" w:rsidRPr="00034A49" w:rsidRDefault="000270F3" w:rsidP="00250AC1">
      <w:pPr>
        <w:spacing w:line="360" w:lineRule="auto"/>
        <w:ind w:left="720"/>
        <w:rPr>
          <w:rFonts w:ascii="Arial" w:hAnsi="Arial" w:cs="Arial"/>
        </w:rPr>
      </w:pPr>
      <w:r>
        <w:rPr>
          <w:rFonts w:ascii="Arial" w:hAnsi="Arial" w:cs="Arial"/>
        </w:rPr>
        <w:t>“</w:t>
      </w:r>
      <w:r w:rsidRPr="000270F3">
        <w:rPr>
          <w:rFonts w:ascii="Arial" w:hAnsi="Arial" w:cs="Arial"/>
        </w:rPr>
        <w:t xml:space="preserve"> </w:t>
      </w:r>
      <w:r w:rsidRPr="000270F3">
        <w:rPr>
          <w:rFonts w:ascii="Arial" w:hAnsi="Arial" w:cs="Arial"/>
          <w:i/>
        </w:rPr>
        <w:t>Court interferes even to assist a party who should not have possession and, furthermore, in all cases (except where lawful authority is relied upon by the respondent) without taking any interest at all in what rights do or do not exist.</w:t>
      </w:r>
      <w:r>
        <w:rPr>
          <w:rStyle w:val="FootnoteReference"/>
          <w:rFonts w:ascii="Arial" w:hAnsi="Arial" w:cs="Arial"/>
        </w:rPr>
        <w:footnoteReference w:id="55"/>
      </w:r>
      <w:r>
        <w:rPr>
          <w:rFonts w:ascii="Arial" w:hAnsi="Arial" w:cs="Arial"/>
        </w:rPr>
        <w:t xml:space="preserve"> </w:t>
      </w:r>
    </w:p>
    <w:p w:rsidR="00847D33" w:rsidRDefault="00847D33" w:rsidP="00847D33">
      <w:pPr>
        <w:pStyle w:val="ListParagraph"/>
        <w:spacing w:line="360" w:lineRule="auto"/>
        <w:rPr>
          <w:rFonts w:ascii="Arial" w:hAnsi="Arial" w:cs="Arial"/>
        </w:rPr>
      </w:pPr>
      <w:r>
        <w:rPr>
          <w:rFonts w:ascii="Arial" w:hAnsi="Arial" w:cs="Arial"/>
        </w:rPr>
        <w:t xml:space="preserve"> </w:t>
      </w:r>
    </w:p>
    <w:p w:rsidR="00250AC1" w:rsidRDefault="007B7A6E" w:rsidP="00491C20">
      <w:pPr>
        <w:pStyle w:val="ListParagraph"/>
        <w:numPr>
          <w:ilvl w:val="0"/>
          <w:numId w:val="3"/>
        </w:numPr>
        <w:spacing w:line="360" w:lineRule="auto"/>
        <w:rPr>
          <w:rFonts w:ascii="Arial" w:hAnsi="Arial" w:cs="Arial"/>
        </w:rPr>
      </w:pPr>
      <w:r w:rsidRPr="00491C20">
        <w:rPr>
          <w:rFonts w:ascii="Arial" w:hAnsi="Arial" w:cs="Arial"/>
        </w:rPr>
        <w:t>It is f</w:t>
      </w:r>
      <w:r w:rsidR="000270F3" w:rsidRPr="00491C20">
        <w:rPr>
          <w:rFonts w:ascii="Arial" w:hAnsi="Arial" w:cs="Arial"/>
        </w:rPr>
        <w:t>r</w:t>
      </w:r>
      <w:r w:rsidRPr="00491C20">
        <w:rPr>
          <w:rFonts w:ascii="Arial" w:hAnsi="Arial" w:cs="Arial"/>
        </w:rPr>
        <w:t>o</w:t>
      </w:r>
      <w:r w:rsidR="000270F3" w:rsidRPr="00491C20">
        <w:rPr>
          <w:rFonts w:ascii="Arial" w:hAnsi="Arial" w:cs="Arial"/>
        </w:rPr>
        <w:t xml:space="preserve">m this standpoint that Flemming DJP </w:t>
      </w:r>
      <w:r w:rsidR="004E0673" w:rsidRPr="00491C20">
        <w:rPr>
          <w:rFonts w:ascii="Arial" w:hAnsi="Arial" w:cs="Arial"/>
        </w:rPr>
        <w:t xml:space="preserve">discerned </w:t>
      </w:r>
      <w:r w:rsidR="000270F3" w:rsidRPr="00491C20">
        <w:rPr>
          <w:rFonts w:ascii="Arial" w:hAnsi="Arial" w:cs="Arial"/>
        </w:rPr>
        <w:t xml:space="preserve">the core </w:t>
      </w:r>
      <w:r w:rsidR="004E0673" w:rsidRPr="00491C20">
        <w:rPr>
          <w:rFonts w:ascii="Arial" w:hAnsi="Arial" w:cs="Arial"/>
        </w:rPr>
        <w:t xml:space="preserve">element </w:t>
      </w:r>
      <w:r w:rsidR="000270F3" w:rsidRPr="00491C20">
        <w:rPr>
          <w:rFonts w:ascii="Arial" w:hAnsi="Arial" w:cs="Arial"/>
        </w:rPr>
        <w:t xml:space="preserve">of the mandament and </w:t>
      </w:r>
      <w:r w:rsidR="004E0673" w:rsidRPr="00491C20">
        <w:rPr>
          <w:rFonts w:ascii="Arial" w:hAnsi="Arial" w:cs="Arial"/>
        </w:rPr>
        <w:t xml:space="preserve">could therefore cogently explain why </w:t>
      </w:r>
      <w:r w:rsidR="005943FA" w:rsidRPr="00491C20">
        <w:rPr>
          <w:rFonts w:ascii="Arial" w:hAnsi="Arial" w:cs="Arial"/>
        </w:rPr>
        <w:t>“</w:t>
      </w:r>
      <w:r w:rsidR="005943FA" w:rsidRPr="00491C20">
        <w:rPr>
          <w:rFonts w:ascii="Arial" w:hAnsi="Arial" w:cs="Arial"/>
          <w:i/>
        </w:rPr>
        <w:t>peaceful and undisturbed possession</w:t>
      </w:r>
      <w:r w:rsidR="005943FA" w:rsidRPr="00491C20">
        <w:rPr>
          <w:rFonts w:ascii="Arial" w:hAnsi="Arial" w:cs="Arial"/>
        </w:rPr>
        <w:t>” is a unitary concept and that possession is to be</w:t>
      </w:r>
      <w:r w:rsidRPr="00491C20">
        <w:rPr>
          <w:rFonts w:ascii="Arial" w:hAnsi="Arial" w:cs="Arial"/>
        </w:rPr>
        <w:t xml:space="preserve"> understood (</w:t>
      </w:r>
      <w:r w:rsidR="005943FA" w:rsidRPr="00491C20">
        <w:rPr>
          <w:rFonts w:ascii="Arial" w:hAnsi="Arial" w:cs="Arial"/>
        </w:rPr>
        <w:t>interpreted</w:t>
      </w:r>
      <w:r w:rsidRPr="00491C20">
        <w:rPr>
          <w:rFonts w:ascii="Arial" w:hAnsi="Arial" w:cs="Arial"/>
        </w:rPr>
        <w:t>)</w:t>
      </w:r>
      <w:r w:rsidR="005943FA" w:rsidRPr="00491C20">
        <w:rPr>
          <w:rFonts w:ascii="Arial" w:hAnsi="Arial" w:cs="Arial"/>
        </w:rPr>
        <w:t xml:space="preserve"> accordingly. </w:t>
      </w:r>
    </w:p>
    <w:p w:rsidR="00250AC1" w:rsidRDefault="00250AC1" w:rsidP="00250AC1">
      <w:pPr>
        <w:pStyle w:val="ListParagraph"/>
        <w:spacing w:line="360" w:lineRule="auto"/>
        <w:ind w:left="360"/>
        <w:rPr>
          <w:rFonts w:ascii="Arial" w:hAnsi="Arial" w:cs="Arial"/>
        </w:rPr>
      </w:pPr>
    </w:p>
    <w:p w:rsidR="000270F3" w:rsidRPr="00491C20" w:rsidRDefault="005943FA" w:rsidP="00250AC1">
      <w:pPr>
        <w:pStyle w:val="ListParagraph"/>
        <w:spacing w:line="360" w:lineRule="auto"/>
        <w:ind w:left="360"/>
        <w:rPr>
          <w:rFonts w:ascii="Arial" w:hAnsi="Arial" w:cs="Arial"/>
        </w:rPr>
      </w:pPr>
      <w:r w:rsidRPr="00491C20">
        <w:rPr>
          <w:rFonts w:ascii="Arial" w:hAnsi="Arial" w:cs="Arial"/>
        </w:rPr>
        <w:t>T</w:t>
      </w:r>
      <w:r w:rsidR="007B7A6E" w:rsidRPr="00491C20">
        <w:rPr>
          <w:rFonts w:ascii="Arial" w:hAnsi="Arial" w:cs="Arial"/>
        </w:rPr>
        <w:t>he following</w:t>
      </w:r>
      <w:r w:rsidRPr="00491C20">
        <w:rPr>
          <w:rFonts w:ascii="Arial" w:hAnsi="Arial" w:cs="Arial"/>
        </w:rPr>
        <w:t xml:space="preserve"> extracts present with respect the clearest understanding of “</w:t>
      </w:r>
      <w:r w:rsidRPr="00491C20">
        <w:rPr>
          <w:rFonts w:ascii="Arial" w:hAnsi="Arial" w:cs="Arial"/>
          <w:i/>
        </w:rPr>
        <w:t>possession</w:t>
      </w:r>
      <w:r w:rsidRPr="00491C20">
        <w:rPr>
          <w:rFonts w:ascii="Arial" w:hAnsi="Arial" w:cs="Arial"/>
        </w:rPr>
        <w:t xml:space="preserve">” for purposes of the </w:t>
      </w:r>
      <w:r w:rsidR="00A53C69" w:rsidRPr="00491C20">
        <w:rPr>
          <w:rFonts w:ascii="Arial" w:hAnsi="Arial" w:cs="Arial"/>
        </w:rPr>
        <w:t>mandament</w:t>
      </w:r>
      <w:r w:rsidR="00250AC1">
        <w:rPr>
          <w:rFonts w:ascii="Arial" w:hAnsi="Arial" w:cs="Arial"/>
        </w:rPr>
        <w:t xml:space="preserve"> and are therefore </w:t>
      </w:r>
      <w:r w:rsidR="00250AC1">
        <w:rPr>
          <w:rFonts w:ascii="Arial" w:hAnsi="Arial" w:cs="Arial"/>
          <w:i/>
        </w:rPr>
        <w:t>repeated in extenso</w:t>
      </w:r>
      <w:r w:rsidRPr="00491C20">
        <w:rPr>
          <w:rFonts w:ascii="Arial" w:hAnsi="Arial" w:cs="Arial"/>
        </w:rPr>
        <w:t xml:space="preserve">: </w:t>
      </w:r>
    </w:p>
    <w:p w:rsidR="000270F3" w:rsidRDefault="000270F3" w:rsidP="00847D33">
      <w:pPr>
        <w:spacing w:line="360" w:lineRule="auto"/>
        <w:rPr>
          <w:rFonts w:ascii="Arial" w:hAnsi="Arial" w:cs="Arial"/>
        </w:rPr>
      </w:pPr>
    </w:p>
    <w:p w:rsidR="005943FA" w:rsidRPr="005943FA" w:rsidRDefault="00A53C69" w:rsidP="005943FA">
      <w:pPr>
        <w:spacing w:line="360" w:lineRule="auto"/>
        <w:ind w:left="720"/>
        <w:rPr>
          <w:rFonts w:ascii="Arial" w:hAnsi="Arial" w:cs="Arial"/>
          <w:i/>
        </w:rPr>
      </w:pPr>
      <w:r w:rsidRPr="005943FA">
        <w:rPr>
          <w:rFonts w:ascii="Arial" w:hAnsi="Arial" w:cs="Arial"/>
          <w:i/>
        </w:rPr>
        <w:t>“That</w:t>
      </w:r>
      <w:r w:rsidR="005943FA" w:rsidRPr="005943FA">
        <w:rPr>
          <w:rFonts w:ascii="Arial" w:hAnsi="Arial" w:cs="Arial"/>
          <w:i/>
        </w:rPr>
        <w:t xml:space="preserve"> inverted approach finds its explanation and justification therein </w:t>
      </w:r>
      <w:r w:rsidR="005943FA" w:rsidRPr="002129A5">
        <w:rPr>
          <w:rFonts w:ascii="Arial" w:hAnsi="Arial" w:cs="Arial"/>
          <w:i/>
          <w:u w:val="single"/>
        </w:rPr>
        <w:t>that the Court is not protecting a right called 'possession', but that in the interests of protecting society against self-help</w:t>
      </w:r>
      <w:r w:rsidR="005943FA" w:rsidRPr="005943FA">
        <w:rPr>
          <w:rFonts w:ascii="Arial" w:hAnsi="Arial" w:cs="Arial"/>
          <w:i/>
        </w:rPr>
        <w:t xml:space="preserve">, the self-service undertaken by a spoliator is stopped as being a justiciable wrong. Cf Van der Walt 1983 THRHR at 238, 239. As Huber Heedendaegse Rechtsgeleertheyt 5.10.8 said </w:t>
      </w:r>
      <w:r w:rsidR="005943FA">
        <w:rPr>
          <w:rFonts w:ascii="Arial" w:hAnsi="Arial" w:cs="Arial"/>
          <w:i/>
        </w:rPr>
        <w:t xml:space="preserve">in reliance upon the </w:t>
      </w:r>
      <w:r>
        <w:rPr>
          <w:rFonts w:ascii="Arial" w:hAnsi="Arial" w:cs="Arial"/>
          <w:i/>
        </w:rPr>
        <w:t>Digest:</w:t>
      </w:r>
      <w:r w:rsidR="005943FA">
        <w:rPr>
          <w:rFonts w:ascii="Arial" w:hAnsi="Arial" w:cs="Arial"/>
          <w:i/>
        </w:rPr>
        <w:t xml:space="preserve">  </w:t>
      </w:r>
    </w:p>
    <w:p w:rsidR="00491C20" w:rsidRDefault="00491C20" w:rsidP="005943FA">
      <w:pPr>
        <w:spacing w:line="360" w:lineRule="auto"/>
        <w:ind w:left="1440" w:firstLine="70"/>
        <w:rPr>
          <w:rFonts w:ascii="Arial" w:hAnsi="Arial" w:cs="Arial"/>
          <w:i/>
        </w:rPr>
      </w:pPr>
    </w:p>
    <w:p w:rsidR="000270F3" w:rsidRDefault="005943FA" w:rsidP="005943FA">
      <w:pPr>
        <w:spacing w:line="360" w:lineRule="auto"/>
        <w:ind w:left="1440" w:firstLine="70"/>
        <w:rPr>
          <w:rFonts w:ascii="Arial" w:hAnsi="Arial" w:cs="Arial"/>
          <w:i/>
        </w:rPr>
      </w:pPr>
      <w:r w:rsidRPr="005943FA">
        <w:rPr>
          <w:rFonts w:ascii="Arial" w:hAnsi="Arial" w:cs="Arial"/>
          <w:i/>
        </w:rPr>
        <w:t>'If private persons could right and avenge themselves, the country would not be fit to live in.'</w:t>
      </w:r>
      <w:r>
        <w:rPr>
          <w:rStyle w:val="FootnoteReference"/>
          <w:rFonts w:ascii="Arial" w:hAnsi="Arial" w:cs="Arial"/>
          <w:i/>
        </w:rPr>
        <w:footnoteReference w:id="56"/>
      </w:r>
    </w:p>
    <w:p w:rsidR="005943FA" w:rsidRDefault="005943FA" w:rsidP="005943FA">
      <w:pPr>
        <w:spacing w:line="360" w:lineRule="auto"/>
        <w:ind w:left="1440" w:firstLine="70"/>
        <w:rPr>
          <w:rFonts w:ascii="Arial" w:hAnsi="Arial" w:cs="Arial"/>
          <w:i/>
        </w:rPr>
      </w:pPr>
    </w:p>
    <w:p w:rsidR="00346A85" w:rsidRPr="007B7A6E" w:rsidRDefault="00346A85" w:rsidP="00346A85">
      <w:pPr>
        <w:spacing w:line="360" w:lineRule="auto"/>
        <w:ind w:left="720" w:firstLine="70"/>
        <w:rPr>
          <w:rFonts w:ascii="Arial" w:hAnsi="Arial" w:cs="Arial"/>
          <w:lang w:val="en-US"/>
        </w:rPr>
      </w:pPr>
      <w:r w:rsidRPr="00346A85">
        <w:rPr>
          <w:rFonts w:ascii="Arial" w:hAnsi="Arial" w:cs="Arial"/>
          <w:i/>
          <w:lang w:val="en-US"/>
        </w:rPr>
        <w:t xml:space="preserve">It is properly typified as a possessory remedy because it is available with reference to the protection of an existing state of affairs, provided it relates to </w:t>
      </w:r>
      <w:r w:rsidRPr="00346A85">
        <w:rPr>
          <w:rFonts w:ascii="Arial" w:hAnsi="Arial" w:cs="Arial"/>
          <w:i/>
          <w:lang w:val="en-US"/>
        </w:rPr>
        <w:lastRenderedPageBreak/>
        <w:t>possession. Cf Sonnekus </w:t>
      </w:r>
      <w:r w:rsidRPr="00346A85">
        <w:rPr>
          <w:rFonts w:ascii="Arial" w:hAnsi="Arial" w:cs="Arial"/>
          <w:i/>
          <w:iCs/>
          <w:lang w:val="en-US"/>
        </w:rPr>
        <w:t>TSAR</w:t>
      </w:r>
      <w:r w:rsidRPr="00346A85">
        <w:rPr>
          <w:rFonts w:ascii="Arial" w:hAnsi="Arial" w:cs="Arial"/>
          <w:i/>
          <w:lang w:val="en-US"/>
        </w:rPr>
        <w:t> at 235. It is</w:t>
      </w:r>
      <w:r w:rsidR="007B7A6E">
        <w:rPr>
          <w:rFonts w:ascii="Arial" w:hAnsi="Arial" w:cs="Arial"/>
          <w:i/>
          <w:lang w:val="en-US"/>
        </w:rPr>
        <w:t xml:space="preserve"> therefore understandable </w:t>
      </w:r>
      <w:r w:rsidR="00A53C69">
        <w:rPr>
          <w:rFonts w:ascii="Arial" w:hAnsi="Arial" w:cs="Arial"/>
          <w:i/>
          <w:lang w:val="en-US"/>
        </w:rPr>
        <w:t>even </w:t>
      </w:r>
      <w:r w:rsidR="00A53C69" w:rsidRPr="00346A85">
        <w:rPr>
          <w:rFonts w:ascii="Arial" w:hAnsi="Arial" w:cs="Arial"/>
          <w:i/>
          <w:lang w:val="en-US"/>
        </w:rPr>
        <w:t>if</w:t>
      </w:r>
      <w:r w:rsidRPr="00346A85">
        <w:rPr>
          <w:rFonts w:ascii="Arial" w:hAnsi="Arial" w:cs="Arial"/>
          <w:i/>
          <w:lang w:val="en-US"/>
        </w:rPr>
        <w:t xml:space="preserve"> in its origin (cf Van der Merwe </w:t>
      </w:r>
      <w:r w:rsidRPr="00346A85">
        <w:rPr>
          <w:rFonts w:ascii="Arial" w:hAnsi="Arial" w:cs="Arial"/>
          <w:i/>
          <w:iCs/>
          <w:lang w:val="en-US"/>
        </w:rPr>
        <w:t>Sakereg</w:t>
      </w:r>
      <w:r w:rsidRPr="00346A85">
        <w:rPr>
          <w:rFonts w:ascii="Arial" w:hAnsi="Arial" w:cs="Arial"/>
          <w:i/>
          <w:lang w:val="en-US"/>
        </w:rPr>
        <w:t xml:space="preserve"> 2nd ed at 118) the remedy did not have a wide operation, that in its application to possession a very wide understanding of the idea of 'possession' is necessary. It is available even in cases where it is difficult to recognise any deprivation of true possession. Cf where electricity supply is cut </w:t>
      </w:r>
      <w:r w:rsidR="00A53C69" w:rsidRPr="00346A85">
        <w:rPr>
          <w:rFonts w:ascii="Arial" w:hAnsi="Arial" w:cs="Arial"/>
          <w:i/>
          <w:lang w:val="en-US"/>
        </w:rPr>
        <w:t>off to</w:t>
      </w:r>
      <w:r w:rsidRPr="00346A85">
        <w:rPr>
          <w:rFonts w:ascii="Arial" w:hAnsi="Arial" w:cs="Arial"/>
          <w:i/>
          <w:lang w:val="en-US"/>
        </w:rPr>
        <w:t xml:space="preserve"> premises used by a party, but of which he has no '</w:t>
      </w:r>
      <w:r w:rsidRPr="00346A85">
        <w:rPr>
          <w:rFonts w:ascii="Arial" w:hAnsi="Arial" w:cs="Arial"/>
          <w:i/>
          <w:iCs/>
          <w:lang w:val="en-US"/>
        </w:rPr>
        <w:t>possessio</w:t>
      </w:r>
      <w:r w:rsidRPr="00346A85">
        <w:rPr>
          <w:rFonts w:ascii="Arial" w:hAnsi="Arial" w:cs="Arial"/>
          <w:i/>
          <w:lang w:val="en-US"/>
        </w:rPr>
        <w:t xml:space="preserve"> '. </w:t>
      </w:r>
      <w:r>
        <w:rPr>
          <w:rFonts w:ascii="Arial" w:hAnsi="Arial" w:cs="Arial"/>
          <w:i/>
          <w:lang w:val="en-US"/>
        </w:rPr>
        <w:t>…</w:t>
      </w:r>
      <w:r w:rsidR="007B7A6E">
        <w:rPr>
          <w:rStyle w:val="FootnoteReference"/>
          <w:rFonts w:ascii="Arial" w:hAnsi="Arial" w:cs="Arial"/>
          <w:i/>
          <w:lang w:val="en-US"/>
        </w:rPr>
        <w:footnoteReference w:id="57"/>
      </w:r>
    </w:p>
    <w:p w:rsidR="00346A85" w:rsidRDefault="00346A85" w:rsidP="00346A85">
      <w:pPr>
        <w:spacing w:line="360" w:lineRule="auto"/>
        <w:ind w:left="720" w:firstLine="70"/>
        <w:rPr>
          <w:rFonts w:ascii="Arial" w:hAnsi="Arial" w:cs="Arial"/>
          <w:i/>
          <w:lang w:val="en-US"/>
        </w:rPr>
      </w:pPr>
    </w:p>
    <w:p w:rsidR="00346A85" w:rsidRPr="00346A85" w:rsidRDefault="007B7A6E" w:rsidP="00346A85">
      <w:pPr>
        <w:spacing w:line="360" w:lineRule="auto"/>
        <w:ind w:firstLine="70"/>
        <w:rPr>
          <w:rFonts w:ascii="Arial" w:hAnsi="Arial" w:cs="Arial"/>
          <w:lang w:val="en-US"/>
        </w:rPr>
      </w:pPr>
      <w:r>
        <w:rPr>
          <w:rFonts w:ascii="Arial" w:hAnsi="Arial" w:cs="Arial"/>
          <w:lang w:val="en-US"/>
        </w:rPr>
        <w:t xml:space="preserve">Flemming DJP </w:t>
      </w:r>
      <w:r w:rsidR="00306025">
        <w:rPr>
          <w:rFonts w:ascii="Arial" w:hAnsi="Arial" w:cs="Arial"/>
          <w:lang w:val="en-US"/>
        </w:rPr>
        <w:t>compellingly reason</w:t>
      </w:r>
      <w:r w:rsidR="004E0673">
        <w:rPr>
          <w:rFonts w:ascii="Arial" w:hAnsi="Arial" w:cs="Arial"/>
          <w:lang w:val="en-US"/>
        </w:rPr>
        <w:t>ed</w:t>
      </w:r>
      <w:r w:rsidR="00306025">
        <w:rPr>
          <w:rFonts w:ascii="Arial" w:hAnsi="Arial" w:cs="Arial"/>
          <w:lang w:val="en-US"/>
        </w:rPr>
        <w:t>:</w:t>
      </w:r>
    </w:p>
    <w:p w:rsidR="00346A85" w:rsidRDefault="00346A85" w:rsidP="00346A85">
      <w:pPr>
        <w:spacing w:line="360" w:lineRule="auto"/>
        <w:ind w:left="720" w:firstLine="70"/>
        <w:rPr>
          <w:rFonts w:ascii="Arial" w:hAnsi="Arial" w:cs="Arial"/>
          <w:i/>
          <w:lang w:val="en-US"/>
        </w:rPr>
      </w:pPr>
    </w:p>
    <w:p w:rsidR="00346A85" w:rsidRPr="00491C20" w:rsidRDefault="00787536" w:rsidP="007B7A6E">
      <w:pPr>
        <w:spacing w:line="360" w:lineRule="auto"/>
        <w:ind w:left="720" w:firstLine="70"/>
        <w:rPr>
          <w:rFonts w:ascii="Arial" w:hAnsi="Arial" w:cs="Arial"/>
          <w:i/>
          <w:u w:val="single"/>
          <w:lang w:val="en-US"/>
        </w:rPr>
      </w:pPr>
      <w:r>
        <w:rPr>
          <w:rFonts w:ascii="Arial" w:hAnsi="Arial" w:cs="Arial"/>
          <w:i/>
          <w:lang w:val="en-US"/>
        </w:rPr>
        <w:t>“</w:t>
      </w:r>
      <w:r w:rsidR="00346A85" w:rsidRPr="00346A85">
        <w:rPr>
          <w:rFonts w:ascii="Arial" w:hAnsi="Arial" w:cs="Arial"/>
          <w:i/>
          <w:lang w:val="en-US"/>
        </w:rPr>
        <w:t xml:space="preserve">Clearly then, </w:t>
      </w:r>
      <w:r w:rsidR="00346A85" w:rsidRPr="00491C20">
        <w:rPr>
          <w:rFonts w:ascii="Arial" w:hAnsi="Arial" w:cs="Arial"/>
          <w:i/>
          <w:u w:val="single"/>
          <w:lang w:val="en-US"/>
        </w:rPr>
        <w:t>if the mandament is not concerned with the 'enforcement' of 'possession' by a particular party, but with the neutralising of behaviour which, if tolerated, wil</w:t>
      </w:r>
      <w:r w:rsidR="007B7A6E" w:rsidRPr="00491C20">
        <w:rPr>
          <w:rFonts w:ascii="Arial" w:hAnsi="Arial" w:cs="Arial"/>
          <w:i/>
          <w:u w:val="single"/>
          <w:lang w:val="en-US"/>
        </w:rPr>
        <w:t>l cause that there will be 'no</w:t>
      </w:r>
      <w:r w:rsidR="00346A85" w:rsidRPr="00491C20">
        <w:rPr>
          <w:rFonts w:ascii="Arial" w:hAnsi="Arial" w:cs="Arial"/>
          <w:i/>
          <w:u w:val="single"/>
          <w:lang w:val="en-US"/>
        </w:rPr>
        <w:t> security against villainy'</w:t>
      </w:r>
      <w:r w:rsidR="00346A85" w:rsidRPr="00346A85">
        <w:rPr>
          <w:rFonts w:ascii="Arial" w:hAnsi="Arial" w:cs="Arial"/>
          <w:i/>
          <w:lang w:val="en-US"/>
        </w:rPr>
        <w:t xml:space="preserve"> (Van Zyl </w:t>
      </w:r>
      <w:r w:rsidR="00346A85" w:rsidRPr="00346A85">
        <w:rPr>
          <w:rFonts w:ascii="Arial" w:hAnsi="Arial" w:cs="Arial"/>
          <w:i/>
          <w:iCs/>
          <w:lang w:val="en-US"/>
        </w:rPr>
        <w:t>Judicial Practice</w:t>
      </w:r>
      <w:r w:rsidR="00346A85" w:rsidRPr="00346A85">
        <w:rPr>
          <w:rFonts w:ascii="Arial" w:hAnsi="Arial" w:cs="Arial"/>
          <w:i/>
          <w:lang w:val="en-US"/>
        </w:rPr>
        <w:t xml:space="preserve"> 3rd ed at 344), there is yet no logical reason why a spoliation order may be granted only if the possession which is interfered with has any particular quality. </w:t>
      </w:r>
      <w:r w:rsidR="00346A85" w:rsidRPr="00491C20">
        <w:rPr>
          <w:rFonts w:ascii="Arial" w:hAnsi="Arial" w:cs="Arial"/>
          <w:i/>
          <w:u w:val="single"/>
          <w:lang w:val="en-US"/>
        </w:rPr>
        <w:t>There must be an additional factor which caused the authorities repeatedly to refer to possession which is 'peaceful and undisturbed'</w:t>
      </w:r>
      <w:r w:rsidR="00346A85" w:rsidRPr="004E0673">
        <w:rPr>
          <w:rFonts w:ascii="Arial" w:hAnsi="Arial" w:cs="Arial"/>
          <w:i/>
          <w:lang w:val="en-US"/>
        </w:rPr>
        <w:t>.</w:t>
      </w:r>
      <w:r w:rsidR="00346A85" w:rsidRPr="00346A85">
        <w:rPr>
          <w:rFonts w:ascii="Arial" w:hAnsi="Arial" w:cs="Arial"/>
          <w:i/>
          <w:lang w:val="en-US"/>
        </w:rPr>
        <w:t xml:space="preserve"> It seems sufficiently logical to find</w:t>
      </w:r>
      <w:r w:rsidR="007B7A6E">
        <w:rPr>
          <w:rFonts w:ascii="Arial" w:hAnsi="Arial" w:cs="Arial"/>
          <w:i/>
          <w:lang w:val="en-US"/>
        </w:rPr>
        <w:t xml:space="preserve"> the answer therein that it is </w:t>
      </w:r>
      <w:r w:rsidR="00346A85" w:rsidRPr="00346A85">
        <w:rPr>
          <w:rFonts w:ascii="Arial" w:hAnsi="Arial" w:cs="Arial"/>
          <w:i/>
          <w:lang w:val="en-US"/>
        </w:rPr>
        <w:t xml:space="preserve">appropriate to regard it as actionable to disturb possession </w:t>
      </w:r>
      <w:r w:rsidR="00346A85" w:rsidRPr="00491C20">
        <w:rPr>
          <w:rFonts w:ascii="Arial" w:hAnsi="Arial" w:cs="Arial"/>
          <w:i/>
          <w:u w:val="single"/>
          <w:lang w:val="en-US"/>
        </w:rPr>
        <w:t>only if the</w:t>
      </w:r>
    </w:p>
    <w:p w:rsidR="00346A85" w:rsidRDefault="00346A85" w:rsidP="007B7A6E">
      <w:pPr>
        <w:spacing w:line="360" w:lineRule="auto"/>
        <w:ind w:left="720"/>
        <w:rPr>
          <w:rFonts w:ascii="Arial" w:hAnsi="Arial" w:cs="Arial"/>
          <w:i/>
          <w:lang w:val="en-US"/>
        </w:rPr>
      </w:pPr>
      <w:r w:rsidRPr="00491C20">
        <w:rPr>
          <w:rFonts w:ascii="Arial" w:hAnsi="Arial" w:cs="Arial"/>
          <w:i/>
          <w:u w:val="single"/>
          <w:lang w:val="en-US"/>
        </w:rPr>
        <w:t>possession clearly exists, if the possession is sufficiently firm or established to be deserving of protection with such a strong remedy</w:t>
      </w:r>
      <w:r w:rsidRPr="00346A85">
        <w:rPr>
          <w:rFonts w:ascii="Arial" w:hAnsi="Arial" w:cs="Arial"/>
          <w:i/>
          <w:lang w:val="en-US"/>
        </w:rPr>
        <w:t>.</w:t>
      </w:r>
    </w:p>
    <w:p w:rsidR="007B7A6E" w:rsidRPr="00346A85" w:rsidRDefault="007B7A6E" w:rsidP="007B7A6E">
      <w:pPr>
        <w:spacing w:line="360" w:lineRule="auto"/>
        <w:ind w:left="720"/>
        <w:rPr>
          <w:rFonts w:ascii="Arial" w:hAnsi="Arial" w:cs="Arial"/>
          <w:i/>
          <w:lang w:val="en-US"/>
        </w:rPr>
      </w:pPr>
    </w:p>
    <w:p w:rsidR="00346A85" w:rsidRPr="00250AC1" w:rsidRDefault="00346A85" w:rsidP="00346A85">
      <w:pPr>
        <w:spacing w:line="360" w:lineRule="auto"/>
        <w:ind w:left="720" w:firstLine="70"/>
        <w:rPr>
          <w:rFonts w:ascii="Arial" w:hAnsi="Arial" w:cs="Arial"/>
          <w:i/>
          <w:lang w:val="en-US"/>
        </w:rPr>
      </w:pPr>
      <w:r w:rsidRPr="00250AC1">
        <w:rPr>
          <w:rFonts w:ascii="Arial" w:hAnsi="Arial" w:cs="Arial"/>
          <w:i/>
          <w:lang w:val="en-US"/>
        </w:rPr>
        <w:t>As a matter of policy, the object of the remedy, fairness, or desirability, such a blindfolded remedy should not be available to someone who is merely in the process of pushing another out of his possession and whose </w:t>
      </w:r>
      <w:r w:rsidRPr="00250AC1">
        <w:rPr>
          <w:rFonts w:ascii="Arial" w:hAnsi="Arial" w:cs="Arial"/>
          <w:i/>
          <w:iCs/>
          <w:lang w:val="en-US"/>
        </w:rPr>
        <w:t>de facto</w:t>
      </w:r>
      <w:r w:rsidRPr="00250AC1">
        <w:rPr>
          <w:rFonts w:ascii="Arial" w:hAnsi="Arial" w:cs="Arial"/>
          <w:i/>
          <w:lang w:val="en-US"/>
        </w:rPr>
        <w:t> control is</w:t>
      </w:r>
      <w:r w:rsidR="007B7A6E" w:rsidRPr="00250AC1">
        <w:rPr>
          <w:rFonts w:ascii="Arial" w:hAnsi="Arial" w:cs="Arial"/>
          <w:i/>
          <w:lang w:val="en-US"/>
        </w:rPr>
        <w:t xml:space="preserve"> not yet an accomplished fact. </w:t>
      </w:r>
      <w:r w:rsidRPr="00250AC1">
        <w:rPr>
          <w:rFonts w:ascii="Arial" w:hAnsi="Arial" w:cs="Arial"/>
          <w:i/>
          <w:lang w:val="en-US"/>
        </w:rPr>
        <w:t>The remedy does not merit existence in order to give assistance to someone whose attempt to exclude his predecessor </w:t>
      </w:r>
      <w:r w:rsidRPr="00250AC1">
        <w:rPr>
          <w:rFonts w:ascii="Arial" w:hAnsi="Arial" w:cs="Arial"/>
          <w:i/>
          <w:iCs/>
          <w:lang w:val="en-US"/>
        </w:rPr>
        <w:t>pro tanto</w:t>
      </w:r>
      <w:r w:rsidRPr="00250AC1">
        <w:rPr>
          <w:rFonts w:ascii="Arial" w:hAnsi="Arial" w:cs="Arial"/>
          <w:i/>
          <w:lang w:val="en-US"/>
        </w:rPr>
        <w:t> is still uncompleted.</w:t>
      </w:r>
    </w:p>
    <w:p w:rsidR="007B7A6E" w:rsidRPr="00346A85" w:rsidRDefault="007B7A6E" w:rsidP="00346A85">
      <w:pPr>
        <w:spacing w:line="360" w:lineRule="auto"/>
        <w:ind w:left="720" w:firstLine="70"/>
        <w:rPr>
          <w:rFonts w:ascii="Arial" w:hAnsi="Arial" w:cs="Arial"/>
          <w:i/>
          <w:lang w:val="en-US"/>
        </w:rPr>
      </w:pPr>
    </w:p>
    <w:p w:rsidR="00346A85" w:rsidRDefault="00346A85" w:rsidP="00346A85">
      <w:pPr>
        <w:spacing w:line="360" w:lineRule="auto"/>
        <w:ind w:left="720" w:firstLine="70"/>
        <w:rPr>
          <w:rFonts w:ascii="Arial" w:hAnsi="Arial" w:cs="Arial"/>
          <w:lang w:val="en-US"/>
        </w:rPr>
      </w:pPr>
      <w:r w:rsidRPr="00346A85">
        <w:rPr>
          <w:rFonts w:ascii="Arial" w:hAnsi="Arial" w:cs="Arial"/>
          <w:i/>
          <w:lang w:val="en-US"/>
        </w:rPr>
        <w:t>Much of what </w:t>
      </w:r>
      <w:r w:rsidRPr="00346A85">
        <w:rPr>
          <w:rFonts w:ascii="Arial" w:hAnsi="Arial" w:cs="Arial"/>
          <w:i/>
          <w:iCs/>
          <w:lang w:val="en-US"/>
        </w:rPr>
        <w:t>Huber</w:t>
      </w:r>
      <w:r w:rsidRPr="00346A85">
        <w:rPr>
          <w:rFonts w:ascii="Arial" w:hAnsi="Arial" w:cs="Arial"/>
          <w:i/>
          <w:lang w:val="en-US"/>
        </w:rPr>
        <w:t> said about the consequences of tolerated spoliation will clearly also apply to spoliators like the present applicants. They who for reasons of improving their own pos</w:t>
      </w:r>
      <w:r w:rsidR="00306025">
        <w:rPr>
          <w:rFonts w:ascii="Arial" w:hAnsi="Arial" w:cs="Arial"/>
          <w:i/>
          <w:lang w:val="en-US"/>
        </w:rPr>
        <w:t>ition flout the law and invade</w:t>
      </w:r>
      <w:r w:rsidRPr="00346A85">
        <w:rPr>
          <w:rFonts w:ascii="Arial" w:hAnsi="Arial" w:cs="Arial"/>
          <w:i/>
          <w:lang w:val="en-US"/>
        </w:rPr>
        <w:t xml:space="preserve"> the rights of </w:t>
      </w:r>
      <w:r w:rsidRPr="00346A85">
        <w:rPr>
          <w:rFonts w:ascii="Arial" w:hAnsi="Arial" w:cs="Arial"/>
          <w:i/>
          <w:lang w:val="en-US"/>
        </w:rPr>
        <w:lastRenderedPageBreak/>
        <w:t>others commit the behaviour causing the very risk which </w:t>
      </w:r>
      <w:r w:rsidRPr="00346A85">
        <w:rPr>
          <w:rFonts w:ascii="Arial" w:hAnsi="Arial" w:cs="Arial"/>
          <w:i/>
          <w:iCs/>
          <w:lang w:val="en-US"/>
        </w:rPr>
        <w:t>Huber</w:t>
      </w:r>
      <w:r w:rsidRPr="00346A85">
        <w:rPr>
          <w:rFonts w:ascii="Arial" w:hAnsi="Arial" w:cs="Arial"/>
          <w:i/>
          <w:lang w:val="en-US"/>
        </w:rPr>
        <w:t> and </w:t>
      </w:r>
      <w:r w:rsidRPr="00346A85">
        <w:rPr>
          <w:rFonts w:ascii="Arial" w:hAnsi="Arial" w:cs="Arial"/>
          <w:i/>
          <w:iCs/>
          <w:lang w:val="en-US"/>
        </w:rPr>
        <w:t>Van Zyl</w:t>
      </w:r>
      <w:r w:rsidRPr="00346A85">
        <w:rPr>
          <w:rFonts w:ascii="Arial" w:hAnsi="Arial" w:cs="Arial"/>
          <w:i/>
          <w:lang w:val="en-US"/>
        </w:rPr>
        <w:t xml:space="preserve"> mentioned. The justification for a spoliation order and the fairness is lacking where the complaining party is, as in the present case, still in the process of trying to wrest possession from the respondent. </w:t>
      </w:r>
      <w:r w:rsidRPr="00491C20">
        <w:rPr>
          <w:rFonts w:ascii="Arial" w:hAnsi="Arial" w:cs="Arial"/>
          <w:i/>
          <w:u w:val="single"/>
          <w:lang w:val="en-US"/>
        </w:rPr>
        <w:t>If the Court were to issue a spoliation order in</w:t>
      </w:r>
      <w:r w:rsidR="00306025" w:rsidRPr="00491C20">
        <w:rPr>
          <w:rFonts w:ascii="Arial" w:hAnsi="Arial" w:cs="Arial"/>
          <w:i/>
          <w:u w:val="single"/>
          <w:lang w:val="en-US"/>
        </w:rPr>
        <w:t xml:space="preserve"> favour </w:t>
      </w:r>
      <w:r w:rsidRPr="00491C20">
        <w:rPr>
          <w:rFonts w:ascii="Arial" w:hAnsi="Arial" w:cs="Arial"/>
          <w:i/>
          <w:u w:val="single"/>
          <w:lang w:val="en-US"/>
        </w:rPr>
        <w:t>of the party who is involved in a resisted process of trying to assert possession, the Court would not stop self-help but assist self-help</w:t>
      </w:r>
      <w:r w:rsidRPr="00346A85">
        <w:rPr>
          <w:rFonts w:ascii="Arial" w:hAnsi="Arial" w:cs="Arial"/>
          <w:lang w:val="en-US"/>
        </w:rPr>
        <w:t>.</w:t>
      </w:r>
      <w:r w:rsidR="007B7A6E">
        <w:rPr>
          <w:rStyle w:val="FootnoteReference"/>
          <w:rFonts w:ascii="Arial" w:hAnsi="Arial" w:cs="Arial"/>
          <w:lang w:val="en-US"/>
        </w:rPr>
        <w:footnoteReference w:id="58"/>
      </w:r>
    </w:p>
    <w:p w:rsidR="00491C20" w:rsidRDefault="00491C20" w:rsidP="00346A85">
      <w:pPr>
        <w:spacing w:line="360" w:lineRule="auto"/>
        <w:ind w:left="720" w:firstLine="70"/>
        <w:rPr>
          <w:rFonts w:ascii="Arial" w:hAnsi="Arial" w:cs="Arial"/>
          <w:lang w:val="en-US"/>
        </w:rPr>
      </w:pPr>
    </w:p>
    <w:p w:rsidR="00491C20" w:rsidRDefault="00491C20" w:rsidP="00346A85">
      <w:pPr>
        <w:spacing w:line="360" w:lineRule="auto"/>
        <w:ind w:left="720" w:firstLine="70"/>
        <w:rPr>
          <w:rFonts w:ascii="Arial" w:hAnsi="Arial" w:cs="Arial"/>
          <w:lang w:val="en-US"/>
        </w:rPr>
      </w:pPr>
      <w:r>
        <w:rPr>
          <w:rFonts w:ascii="Arial" w:hAnsi="Arial" w:cs="Arial"/>
          <w:lang w:val="en-US"/>
        </w:rPr>
        <w:t>(emphasis added)</w:t>
      </w:r>
    </w:p>
    <w:p w:rsidR="00057910" w:rsidRDefault="00057910" w:rsidP="00346A85">
      <w:pPr>
        <w:spacing w:line="360" w:lineRule="auto"/>
        <w:ind w:left="720" w:firstLine="70"/>
        <w:rPr>
          <w:rFonts w:ascii="Arial" w:hAnsi="Arial" w:cs="Arial"/>
          <w:lang w:val="en-US"/>
        </w:rPr>
      </w:pPr>
    </w:p>
    <w:p w:rsidR="00057910" w:rsidRPr="00491C20" w:rsidRDefault="00057910" w:rsidP="00491C20">
      <w:pPr>
        <w:pStyle w:val="ListParagraph"/>
        <w:numPr>
          <w:ilvl w:val="0"/>
          <w:numId w:val="3"/>
        </w:numPr>
        <w:spacing w:line="360" w:lineRule="auto"/>
        <w:rPr>
          <w:rFonts w:ascii="Arial" w:hAnsi="Arial" w:cs="Arial"/>
          <w:lang w:val="en-US"/>
        </w:rPr>
      </w:pPr>
      <w:r w:rsidRPr="00491C20">
        <w:rPr>
          <w:rFonts w:ascii="Arial" w:hAnsi="Arial" w:cs="Arial"/>
          <w:lang w:val="en-US"/>
        </w:rPr>
        <w:t>In</w:t>
      </w:r>
      <w:r w:rsidR="00491C20">
        <w:rPr>
          <w:rFonts w:ascii="Arial" w:hAnsi="Arial" w:cs="Arial"/>
          <w:lang w:val="en-US"/>
        </w:rPr>
        <w:t xml:space="preserve"> the earlier cases of </w:t>
      </w:r>
      <w:r w:rsidRPr="00491C20">
        <w:rPr>
          <w:rFonts w:ascii="Arial" w:hAnsi="Arial" w:cs="Arial"/>
          <w:i/>
          <w:lang w:val="en-US"/>
        </w:rPr>
        <w:t>Mans v Loxton Municipality &amp; Another</w:t>
      </w:r>
      <w:r w:rsidR="00491C20">
        <w:rPr>
          <w:rFonts w:ascii="Arial" w:hAnsi="Arial" w:cs="Arial"/>
          <w:lang w:val="en-US"/>
        </w:rPr>
        <w:t xml:space="preserve"> 1948 (1) SA 966 (C</w:t>
      </w:r>
      <w:r w:rsidRPr="00491C20">
        <w:rPr>
          <w:rFonts w:ascii="Arial" w:hAnsi="Arial" w:cs="Arial"/>
          <w:lang w:val="en-US"/>
        </w:rPr>
        <w:t xml:space="preserve">) at 977 </w:t>
      </w:r>
      <w:r w:rsidR="00491C20">
        <w:rPr>
          <w:rFonts w:ascii="Arial" w:hAnsi="Arial" w:cs="Arial"/>
          <w:lang w:val="en-US"/>
        </w:rPr>
        <w:t xml:space="preserve">Steyn </w:t>
      </w:r>
      <w:r w:rsidR="00EE2C3B">
        <w:rPr>
          <w:rFonts w:ascii="Arial" w:hAnsi="Arial" w:cs="Arial"/>
          <w:lang w:val="en-US"/>
        </w:rPr>
        <w:t>J had</w:t>
      </w:r>
      <w:r w:rsidR="00491C20">
        <w:rPr>
          <w:rFonts w:ascii="Arial" w:hAnsi="Arial" w:cs="Arial"/>
          <w:lang w:val="en-US"/>
        </w:rPr>
        <w:t xml:space="preserve"> expressed it as follows: </w:t>
      </w:r>
      <w:r w:rsidRPr="00491C20">
        <w:rPr>
          <w:rFonts w:ascii="Arial" w:hAnsi="Arial" w:cs="Arial"/>
          <w:lang w:val="en-US"/>
        </w:rPr>
        <w:t xml:space="preserve">   </w:t>
      </w:r>
    </w:p>
    <w:p w:rsidR="00057910" w:rsidRPr="00057910" w:rsidRDefault="00057910" w:rsidP="00057910">
      <w:pPr>
        <w:spacing w:line="360" w:lineRule="auto"/>
        <w:ind w:left="720" w:firstLine="70"/>
        <w:rPr>
          <w:rFonts w:ascii="Arial" w:hAnsi="Arial" w:cs="Arial"/>
          <w:lang w:val="en-US"/>
        </w:rPr>
      </w:pPr>
    </w:p>
    <w:p w:rsidR="00057910" w:rsidRDefault="00057910" w:rsidP="00057910">
      <w:pPr>
        <w:spacing w:line="360" w:lineRule="auto"/>
        <w:ind w:left="1440"/>
        <w:rPr>
          <w:rFonts w:ascii="Arial" w:hAnsi="Arial" w:cs="Arial"/>
          <w:i/>
          <w:lang w:val="en-US"/>
        </w:rPr>
      </w:pPr>
      <w:r w:rsidRPr="00057910">
        <w:rPr>
          <w:rFonts w:ascii="Arial" w:hAnsi="Arial" w:cs="Arial"/>
          <w:i/>
          <w:lang w:val="en-US"/>
        </w:rPr>
        <w:t xml:space="preserve">“… if the recovery is instanter in the sense of still being part of the res gestae of the act of spoliation then it is a mere continuation of the breach of the peace </w:t>
      </w:r>
      <w:r w:rsidRPr="00057910">
        <w:rPr>
          <w:rFonts w:ascii="Arial" w:hAnsi="Arial" w:cs="Arial"/>
          <w:i/>
          <w:u w:val="single"/>
          <w:lang w:val="en-US"/>
        </w:rPr>
        <w:t>which already exists</w:t>
      </w:r>
      <w:r w:rsidRPr="00057910">
        <w:rPr>
          <w:rFonts w:ascii="Arial" w:hAnsi="Arial" w:cs="Arial"/>
          <w:i/>
          <w:lang w:val="en-US"/>
        </w:rPr>
        <w:t xml:space="preserve"> and the law condones the immediate recovery</w:t>
      </w:r>
      <w:r>
        <w:rPr>
          <w:rFonts w:ascii="Arial" w:hAnsi="Arial" w:cs="Arial"/>
          <w:i/>
          <w:lang w:val="en-US"/>
        </w:rPr>
        <w:t>”</w:t>
      </w:r>
    </w:p>
    <w:p w:rsidR="00057910" w:rsidRPr="00057910" w:rsidRDefault="00057910" w:rsidP="00057910">
      <w:pPr>
        <w:spacing w:line="360" w:lineRule="auto"/>
        <w:ind w:left="1440"/>
        <w:rPr>
          <w:rFonts w:ascii="Arial" w:hAnsi="Arial" w:cs="Arial"/>
          <w:lang w:val="en-US"/>
        </w:rPr>
      </w:pPr>
      <w:r>
        <w:rPr>
          <w:rFonts w:ascii="Arial" w:hAnsi="Arial" w:cs="Arial"/>
          <w:lang w:val="en-US"/>
        </w:rPr>
        <w:t>(emphasis added)</w:t>
      </w:r>
    </w:p>
    <w:p w:rsidR="004E0673" w:rsidRDefault="004E0673" w:rsidP="00346A85">
      <w:pPr>
        <w:spacing w:line="360" w:lineRule="auto"/>
        <w:ind w:left="720" w:firstLine="70"/>
        <w:rPr>
          <w:rFonts w:ascii="Arial" w:hAnsi="Arial" w:cs="Arial"/>
          <w:lang w:val="en-US"/>
        </w:rPr>
      </w:pPr>
    </w:p>
    <w:p w:rsidR="00F26AC4" w:rsidRPr="00F26AC4" w:rsidRDefault="00A53C69" w:rsidP="00AF22DC">
      <w:pPr>
        <w:pStyle w:val="ListParagraph"/>
        <w:numPr>
          <w:ilvl w:val="0"/>
          <w:numId w:val="3"/>
        </w:numPr>
        <w:spacing w:line="360" w:lineRule="auto"/>
        <w:rPr>
          <w:rFonts w:ascii="Arial" w:hAnsi="Arial" w:cs="Arial"/>
        </w:rPr>
      </w:pPr>
      <w:r>
        <w:rPr>
          <w:rFonts w:ascii="Arial" w:hAnsi="Arial" w:cs="Arial"/>
        </w:rPr>
        <w:t xml:space="preserve">In the </w:t>
      </w:r>
      <w:r w:rsidR="00F26AC4" w:rsidRPr="00F26AC4">
        <w:rPr>
          <w:rFonts w:ascii="Arial" w:hAnsi="Arial" w:cs="Arial"/>
        </w:rPr>
        <w:t xml:space="preserve">case </w:t>
      </w:r>
      <w:r w:rsidRPr="00F26AC4">
        <w:rPr>
          <w:rFonts w:ascii="Arial" w:hAnsi="Arial" w:cs="Arial"/>
        </w:rPr>
        <w:t xml:space="preserve">of </w:t>
      </w:r>
      <w:r w:rsidRPr="00250AC1">
        <w:rPr>
          <w:rFonts w:ascii="Arial" w:hAnsi="Arial" w:cs="Arial"/>
          <w:i/>
        </w:rPr>
        <w:t>Shoprite</w:t>
      </w:r>
      <w:r w:rsidR="00F26AC4" w:rsidRPr="00250AC1">
        <w:rPr>
          <w:rFonts w:ascii="Arial" w:hAnsi="Arial" w:cs="Arial"/>
          <w:i/>
        </w:rPr>
        <w:t xml:space="preserve"> C</w:t>
      </w:r>
      <w:r w:rsidR="00F26AC4" w:rsidRPr="00F26AC4">
        <w:rPr>
          <w:rFonts w:ascii="Arial" w:hAnsi="Arial" w:cs="Arial"/>
          <w:i/>
        </w:rPr>
        <w:t>heckers Ltd v Pangbourne Properties Ltd</w:t>
      </w:r>
      <w:r w:rsidR="00F26AC4" w:rsidRPr="00F26AC4">
        <w:rPr>
          <w:rFonts w:ascii="Arial" w:hAnsi="Arial" w:cs="Arial"/>
        </w:rPr>
        <w:t xml:space="preserve"> 1994 (1) SA 616 (</w:t>
      </w:r>
      <w:r w:rsidRPr="00F26AC4">
        <w:rPr>
          <w:rFonts w:ascii="Arial" w:hAnsi="Arial" w:cs="Arial"/>
        </w:rPr>
        <w:t>W) 1994</w:t>
      </w:r>
      <w:r w:rsidR="00627883">
        <w:rPr>
          <w:rFonts w:ascii="Arial" w:hAnsi="Arial" w:cs="Arial"/>
        </w:rPr>
        <w:t xml:space="preserve"> (1) </w:t>
      </w:r>
      <w:r>
        <w:rPr>
          <w:rFonts w:ascii="Arial" w:hAnsi="Arial" w:cs="Arial"/>
        </w:rPr>
        <w:t>SA at</w:t>
      </w:r>
      <w:r w:rsidR="00627883">
        <w:rPr>
          <w:rFonts w:ascii="Arial" w:hAnsi="Arial" w:cs="Arial"/>
        </w:rPr>
        <w:t xml:space="preserve"> 620I-621A</w:t>
      </w:r>
      <w:r w:rsidR="00491C20">
        <w:rPr>
          <w:rFonts w:ascii="Arial" w:hAnsi="Arial" w:cs="Arial"/>
        </w:rPr>
        <w:t>,</w:t>
      </w:r>
      <w:r w:rsidR="00F26AC4" w:rsidRPr="00F26AC4">
        <w:rPr>
          <w:rFonts w:ascii="Arial" w:hAnsi="Arial" w:cs="Arial"/>
        </w:rPr>
        <w:t xml:space="preserve"> Zulman J (at the time)</w:t>
      </w:r>
      <w:r w:rsidR="00491C20">
        <w:rPr>
          <w:rFonts w:ascii="Arial" w:hAnsi="Arial" w:cs="Arial"/>
        </w:rPr>
        <w:t>,</w:t>
      </w:r>
      <w:r w:rsidR="00F26AC4" w:rsidRPr="00F26AC4">
        <w:rPr>
          <w:rFonts w:ascii="Arial" w:hAnsi="Arial" w:cs="Arial"/>
        </w:rPr>
        <w:t xml:space="preserve"> adopt</w:t>
      </w:r>
      <w:r w:rsidR="00491C20">
        <w:rPr>
          <w:rFonts w:ascii="Arial" w:hAnsi="Arial" w:cs="Arial"/>
        </w:rPr>
        <w:t>ing</w:t>
      </w:r>
      <w:r w:rsidR="00F26AC4" w:rsidRPr="00F26AC4">
        <w:rPr>
          <w:rFonts w:ascii="Arial" w:hAnsi="Arial" w:cs="Arial"/>
        </w:rPr>
        <w:t xml:space="preserve"> the </w:t>
      </w:r>
      <w:r w:rsidRPr="00F26AC4">
        <w:rPr>
          <w:rFonts w:ascii="Arial" w:hAnsi="Arial" w:cs="Arial"/>
        </w:rPr>
        <w:t>statement</w:t>
      </w:r>
      <w:r w:rsidR="00F26AC4" w:rsidRPr="00F26AC4">
        <w:rPr>
          <w:rFonts w:ascii="Arial" w:hAnsi="Arial" w:cs="Arial"/>
        </w:rPr>
        <w:t xml:space="preserve"> in LAWSA</w:t>
      </w:r>
      <w:r w:rsidR="00491C20">
        <w:rPr>
          <w:rFonts w:ascii="Arial" w:hAnsi="Arial" w:cs="Arial"/>
        </w:rPr>
        <w:t>,</w:t>
      </w:r>
      <w:r w:rsidR="00F26AC4" w:rsidRPr="00F26AC4">
        <w:rPr>
          <w:rFonts w:ascii="Arial" w:hAnsi="Arial" w:cs="Arial"/>
        </w:rPr>
        <w:t xml:space="preserve"> </w:t>
      </w:r>
      <w:r w:rsidRPr="00F26AC4">
        <w:rPr>
          <w:rFonts w:ascii="Arial" w:hAnsi="Arial" w:cs="Arial"/>
        </w:rPr>
        <w:t>said</w:t>
      </w:r>
      <w:r w:rsidR="00F26AC4" w:rsidRPr="00F26AC4">
        <w:rPr>
          <w:rFonts w:ascii="Arial" w:hAnsi="Arial" w:cs="Arial"/>
        </w:rPr>
        <w:t xml:space="preserve"> that </w:t>
      </w:r>
    </w:p>
    <w:p w:rsidR="00F26AC4" w:rsidRPr="00F26AC4" w:rsidRDefault="00F26AC4" w:rsidP="00F26AC4">
      <w:pPr>
        <w:pStyle w:val="ListParagraph"/>
        <w:spacing w:line="360" w:lineRule="auto"/>
        <w:rPr>
          <w:rFonts w:ascii="Arial" w:hAnsi="Arial" w:cs="Arial"/>
        </w:rPr>
      </w:pPr>
    </w:p>
    <w:p w:rsidR="00F26AC4" w:rsidRPr="00EB55EE" w:rsidRDefault="00F26AC4" w:rsidP="00F26AC4">
      <w:pPr>
        <w:spacing w:line="360" w:lineRule="auto"/>
        <w:ind w:left="720" w:firstLine="70"/>
        <w:rPr>
          <w:rFonts w:ascii="Arial" w:hAnsi="Arial" w:cs="Arial"/>
          <w:i/>
        </w:rPr>
      </w:pPr>
      <w:r w:rsidRPr="00EB55EE">
        <w:rPr>
          <w:rFonts w:ascii="Arial" w:hAnsi="Arial" w:cs="Arial"/>
          <w:i/>
        </w:rPr>
        <w:t xml:space="preserve">“As further pointed out in para 57 of Law of South </w:t>
      </w:r>
      <w:r w:rsidR="00A53C69" w:rsidRPr="00EB55EE">
        <w:rPr>
          <w:rFonts w:ascii="Arial" w:hAnsi="Arial" w:cs="Arial"/>
          <w:i/>
        </w:rPr>
        <w:t>Africa,</w:t>
      </w:r>
      <w:r w:rsidRPr="00EB55EE">
        <w:rPr>
          <w:rFonts w:ascii="Arial" w:hAnsi="Arial" w:cs="Arial"/>
          <w:i/>
        </w:rPr>
        <w:t xml:space="preserve"> the objective element of possession consists in </w:t>
      </w:r>
      <w:r w:rsidRPr="00EB55EE">
        <w:rPr>
          <w:rFonts w:ascii="Arial" w:hAnsi="Arial" w:cs="Arial"/>
          <w:i/>
          <w:u w:val="single"/>
        </w:rPr>
        <w:t>effective</w:t>
      </w:r>
      <w:r w:rsidRPr="00EB55EE">
        <w:rPr>
          <w:rFonts w:ascii="Arial" w:hAnsi="Arial" w:cs="Arial"/>
          <w:i/>
        </w:rPr>
        <w:t xml:space="preserve"> 'physical control or custody of the thing in a person's possession. </w:t>
      </w:r>
      <w:r w:rsidR="00A53C69" w:rsidRPr="00EB55EE">
        <w:rPr>
          <w:rFonts w:ascii="Arial" w:hAnsi="Arial" w:cs="Arial"/>
          <w:i/>
        </w:rPr>
        <w:t>The measure</w:t>
      </w:r>
      <w:r w:rsidRPr="00EB55EE">
        <w:rPr>
          <w:rFonts w:ascii="Arial" w:hAnsi="Arial" w:cs="Arial"/>
          <w:i/>
        </w:rPr>
        <w:t xml:space="preserve"> of control required is a question of degree and differs according to the circumstances of each case.'</w:t>
      </w:r>
      <w:r w:rsidR="00250AC1">
        <w:rPr>
          <w:rStyle w:val="FootnoteReference"/>
          <w:rFonts w:ascii="Arial" w:hAnsi="Arial" w:cs="Arial"/>
          <w:i/>
        </w:rPr>
        <w:footnoteReference w:id="59"/>
      </w:r>
    </w:p>
    <w:p w:rsidR="00EB55EE" w:rsidRPr="00F26AC4" w:rsidRDefault="00EB55EE" w:rsidP="00F26AC4">
      <w:pPr>
        <w:spacing w:line="360" w:lineRule="auto"/>
        <w:ind w:left="720" w:firstLine="70"/>
        <w:rPr>
          <w:rFonts w:ascii="Arial" w:hAnsi="Arial" w:cs="Arial"/>
        </w:rPr>
      </w:pPr>
    </w:p>
    <w:p w:rsidR="00787536" w:rsidRDefault="00787536" w:rsidP="00AF22DC">
      <w:pPr>
        <w:pStyle w:val="ListParagraph"/>
        <w:numPr>
          <w:ilvl w:val="0"/>
          <w:numId w:val="3"/>
        </w:numPr>
        <w:spacing w:line="360" w:lineRule="auto"/>
        <w:rPr>
          <w:rFonts w:ascii="Arial" w:hAnsi="Arial" w:cs="Arial"/>
        </w:rPr>
      </w:pPr>
      <w:r w:rsidRPr="00EB55EE">
        <w:rPr>
          <w:rFonts w:ascii="Arial" w:hAnsi="Arial" w:cs="Arial"/>
        </w:rPr>
        <w:t xml:space="preserve">I believe that the </w:t>
      </w:r>
      <w:r w:rsidR="00EB55EE">
        <w:rPr>
          <w:rFonts w:ascii="Arial" w:hAnsi="Arial" w:cs="Arial"/>
        </w:rPr>
        <w:t>following can be</w:t>
      </w:r>
      <w:r w:rsidRPr="00EB55EE">
        <w:rPr>
          <w:rFonts w:ascii="Arial" w:hAnsi="Arial" w:cs="Arial"/>
        </w:rPr>
        <w:t xml:space="preserve"> </w:t>
      </w:r>
      <w:r w:rsidR="00EB55EE">
        <w:rPr>
          <w:rFonts w:ascii="Arial" w:hAnsi="Arial" w:cs="Arial"/>
        </w:rPr>
        <w:t xml:space="preserve">safely </w:t>
      </w:r>
      <w:r w:rsidRPr="00EB55EE">
        <w:rPr>
          <w:rFonts w:ascii="Arial" w:hAnsi="Arial" w:cs="Arial"/>
        </w:rPr>
        <w:t>stated with regard to the mandament</w:t>
      </w:r>
      <w:r w:rsidR="00B547F1" w:rsidRPr="00EB55EE">
        <w:rPr>
          <w:rFonts w:ascii="Arial" w:hAnsi="Arial" w:cs="Arial"/>
        </w:rPr>
        <w:t xml:space="preserve"> van spolie and its </w:t>
      </w:r>
      <w:r w:rsidR="00A53C69" w:rsidRPr="00EB55EE">
        <w:rPr>
          <w:rFonts w:ascii="Arial" w:hAnsi="Arial" w:cs="Arial"/>
        </w:rPr>
        <w:t>requirements</w:t>
      </w:r>
      <w:r w:rsidR="00B547F1" w:rsidRPr="00EB55EE">
        <w:rPr>
          <w:rFonts w:ascii="Arial" w:hAnsi="Arial" w:cs="Arial"/>
        </w:rPr>
        <w:t>:</w:t>
      </w:r>
    </w:p>
    <w:p w:rsidR="00491C20" w:rsidRDefault="00491C20" w:rsidP="00491C20">
      <w:pPr>
        <w:pStyle w:val="ListParagraph"/>
        <w:spacing w:line="360" w:lineRule="auto"/>
        <w:ind w:left="360"/>
        <w:rPr>
          <w:rFonts w:ascii="Arial" w:hAnsi="Arial" w:cs="Arial"/>
        </w:rPr>
      </w:pPr>
    </w:p>
    <w:p w:rsidR="00491C20" w:rsidRPr="00491C20" w:rsidRDefault="00B547F1" w:rsidP="00491C20">
      <w:pPr>
        <w:pStyle w:val="ListParagraph"/>
        <w:numPr>
          <w:ilvl w:val="1"/>
          <w:numId w:val="3"/>
        </w:numPr>
        <w:spacing w:line="360" w:lineRule="auto"/>
        <w:rPr>
          <w:rFonts w:ascii="Arial" w:hAnsi="Arial" w:cs="Arial"/>
        </w:rPr>
      </w:pPr>
      <w:r w:rsidRPr="00491C20">
        <w:rPr>
          <w:rFonts w:ascii="Arial" w:hAnsi="Arial" w:cs="Arial"/>
        </w:rPr>
        <w:lastRenderedPageBreak/>
        <w:t xml:space="preserve">It is a summary remedy </w:t>
      </w:r>
      <w:r w:rsidR="00F26AC4" w:rsidRPr="00491C20">
        <w:rPr>
          <w:rFonts w:ascii="Arial" w:hAnsi="Arial" w:cs="Arial"/>
        </w:rPr>
        <w:t xml:space="preserve">to restore the </w:t>
      </w:r>
      <w:r w:rsidR="00F26AC4" w:rsidRPr="00491C20">
        <w:rPr>
          <w:rFonts w:ascii="Arial" w:hAnsi="Arial" w:cs="Arial"/>
          <w:i/>
        </w:rPr>
        <w:t>status quo ante</w:t>
      </w:r>
      <w:r w:rsidR="002129A5">
        <w:rPr>
          <w:rFonts w:ascii="Arial" w:hAnsi="Arial" w:cs="Arial"/>
          <w:i/>
        </w:rPr>
        <w:t>,</w:t>
      </w:r>
      <w:r w:rsidR="00F26AC4" w:rsidRPr="00491C20">
        <w:rPr>
          <w:rFonts w:ascii="Arial" w:hAnsi="Arial" w:cs="Arial"/>
        </w:rPr>
        <w:t xml:space="preserve"> </w:t>
      </w:r>
      <w:r w:rsidRPr="00491C20">
        <w:rPr>
          <w:rFonts w:ascii="Arial" w:hAnsi="Arial" w:cs="Arial"/>
        </w:rPr>
        <w:t xml:space="preserve">the object of which is to ensure that no one is entitled to take the law into his or her own hands by dispossessing another forcibly or wrongfully of property against </w:t>
      </w:r>
      <w:r w:rsidR="00F26AC4" w:rsidRPr="00491C20">
        <w:rPr>
          <w:rFonts w:ascii="Arial" w:hAnsi="Arial" w:cs="Arial"/>
        </w:rPr>
        <w:t xml:space="preserve">that </w:t>
      </w:r>
      <w:r w:rsidR="00A53C69" w:rsidRPr="00491C20">
        <w:rPr>
          <w:rFonts w:ascii="Arial" w:hAnsi="Arial" w:cs="Arial"/>
        </w:rPr>
        <w:t>person’s</w:t>
      </w:r>
      <w:r w:rsidR="00F26AC4" w:rsidRPr="00491C20">
        <w:rPr>
          <w:rFonts w:ascii="Arial" w:hAnsi="Arial" w:cs="Arial"/>
        </w:rPr>
        <w:t xml:space="preserve"> consent. (</w:t>
      </w:r>
      <w:r w:rsidR="00F26AC4" w:rsidRPr="00491C20">
        <w:rPr>
          <w:rFonts w:ascii="Arial" w:hAnsi="Arial" w:cs="Arial"/>
          <w:i/>
        </w:rPr>
        <w:t>Nino Bonino</w:t>
      </w:r>
      <w:r w:rsidR="0032651C" w:rsidRPr="002129A5">
        <w:rPr>
          <w:rFonts w:ascii="Arial" w:hAnsi="Arial" w:cs="Arial"/>
        </w:rPr>
        <w:t xml:space="preserve">, </w:t>
      </w:r>
      <w:r w:rsidR="0032651C" w:rsidRPr="002129A5">
        <w:rPr>
          <w:rFonts w:ascii="Arial" w:hAnsi="Arial" w:cs="Arial"/>
          <w:i/>
        </w:rPr>
        <w:t>Mans</w:t>
      </w:r>
      <w:r w:rsidR="0032651C" w:rsidRPr="002129A5">
        <w:rPr>
          <w:rFonts w:ascii="Arial" w:hAnsi="Arial" w:cs="Arial"/>
        </w:rPr>
        <w:t xml:space="preserve"> and </w:t>
      </w:r>
      <w:r w:rsidR="0032651C" w:rsidRPr="002129A5">
        <w:rPr>
          <w:rFonts w:ascii="Arial" w:hAnsi="Arial" w:cs="Arial"/>
          <w:i/>
        </w:rPr>
        <w:t>Yeko</w:t>
      </w:r>
      <w:r w:rsidR="00F26AC4" w:rsidRPr="002129A5">
        <w:rPr>
          <w:rFonts w:ascii="Arial" w:hAnsi="Arial" w:cs="Arial"/>
        </w:rPr>
        <w:t>)</w:t>
      </w:r>
    </w:p>
    <w:p w:rsidR="00F26AC4" w:rsidRDefault="00F26AC4" w:rsidP="00F26AC4">
      <w:pPr>
        <w:pStyle w:val="ListParagraph"/>
        <w:spacing w:line="360" w:lineRule="auto"/>
        <w:ind w:left="1080"/>
        <w:rPr>
          <w:rFonts w:ascii="Arial" w:hAnsi="Arial" w:cs="Arial"/>
        </w:rPr>
      </w:pPr>
    </w:p>
    <w:p w:rsidR="00F26AC4" w:rsidRDefault="00F26AC4" w:rsidP="00491C20">
      <w:pPr>
        <w:pStyle w:val="ListParagraph"/>
        <w:numPr>
          <w:ilvl w:val="1"/>
          <w:numId w:val="3"/>
        </w:numPr>
        <w:spacing w:line="360" w:lineRule="auto"/>
        <w:rPr>
          <w:rFonts w:ascii="Arial" w:hAnsi="Arial" w:cs="Arial"/>
        </w:rPr>
      </w:pPr>
      <w:r>
        <w:rPr>
          <w:rFonts w:ascii="Arial" w:hAnsi="Arial" w:cs="Arial"/>
        </w:rPr>
        <w:t xml:space="preserve">By </w:t>
      </w:r>
      <w:r w:rsidR="00EB55EE">
        <w:rPr>
          <w:rFonts w:ascii="Arial" w:hAnsi="Arial" w:cs="Arial"/>
        </w:rPr>
        <w:t>reason of its objective</w:t>
      </w:r>
      <w:r>
        <w:rPr>
          <w:rFonts w:ascii="Arial" w:hAnsi="Arial" w:cs="Arial"/>
        </w:rPr>
        <w:t xml:space="preserve"> the court does not inquire into the merits of the dispute and does not </w:t>
      </w:r>
      <w:r w:rsidR="00A53C69">
        <w:rPr>
          <w:rFonts w:ascii="Arial" w:hAnsi="Arial" w:cs="Arial"/>
        </w:rPr>
        <w:t>concern</w:t>
      </w:r>
      <w:r>
        <w:rPr>
          <w:rFonts w:ascii="Arial" w:hAnsi="Arial" w:cs="Arial"/>
        </w:rPr>
        <w:t xml:space="preserve"> itself with the legality of the possession immediately prior to the spoliation (</w:t>
      </w:r>
      <w:r w:rsidRPr="00F26AC4">
        <w:rPr>
          <w:rFonts w:ascii="Arial" w:hAnsi="Arial" w:cs="Arial"/>
          <w:i/>
        </w:rPr>
        <w:t>Nino Bonino</w:t>
      </w:r>
      <w:r w:rsidR="0032651C">
        <w:rPr>
          <w:rFonts w:ascii="Arial" w:hAnsi="Arial" w:cs="Arial"/>
          <w:i/>
        </w:rPr>
        <w:t>. Mans</w:t>
      </w:r>
      <w:r>
        <w:rPr>
          <w:rFonts w:ascii="Arial" w:hAnsi="Arial" w:cs="Arial"/>
        </w:rPr>
        <w:t xml:space="preserve"> </w:t>
      </w:r>
      <w:r w:rsidRPr="002129A5">
        <w:rPr>
          <w:rFonts w:ascii="Arial" w:hAnsi="Arial" w:cs="Arial"/>
        </w:rPr>
        <w:t>and</w:t>
      </w:r>
      <w:r w:rsidR="0032651C" w:rsidRPr="002129A5">
        <w:rPr>
          <w:rFonts w:ascii="Arial" w:hAnsi="Arial" w:cs="Arial"/>
        </w:rPr>
        <w:t xml:space="preserve"> </w:t>
      </w:r>
      <w:r w:rsidR="0032651C" w:rsidRPr="002129A5">
        <w:rPr>
          <w:rFonts w:ascii="Arial" w:hAnsi="Arial" w:cs="Arial"/>
          <w:i/>
        </w:rPr>
        <w:t>Yeko</w:t>
      </w:r>
      <w:r>
        <w:rPr>
          <w:rFonts w:ascii="Arial" w:hAnsi="Arial" w:cs="Arial"/>
        </w:rPr>
        <w:t>)</w:t>
      </w:r>
    </w:p>
    <w:p w:rsidR="00491C20" w:rsidRPr="00491C20" w:rsidRDefault="00491C20" w:rsidP="00491C20">
      <w:pPr>
        <w:pStyle w:val="ListParagraph"/>
        <w:rPr>
          <w:rFonts w:ascii="Arial" w:hAnsi="Arial" w:cs="Arial"/>
        </w:rPr>
      </w:pPr>
    </w:p>
    <w:p w:rsidR="00EB55EE" w:rsidRDefault="00EB55EE" w:rsidP="00491C20">
      <w:pPr>
        <w:pStyle w:val="ListParagraph"/>
        <w:numPr>
          <w:ilvl w:val="1"/>
          <w:numId w:val="3"/>
        </w:numPr>
        <w:spacing w:line="360" w:lineRule="auto"/>
        <w:rPr>
          <w:rFonts w:ascii="Arial" w:hAnsi="Arial" w:cs="Arial"/>
        </w:rPr>
      </w:pPr>
      <w:r w:rsidRPr="00491C20">
        <w:rPr>
          <w:rFonts w:ascii="Arial" w:hAnsi="Arial" w:cs="Arial"/>
        </w:rPr>
        <w:t xml:space="preserve">Since its objective is to reverse the consequence of persons taking the law into their own </w:t>
      </w:r>
      <w:r w:rsidR="00A53C69" w:rsidRPr="00491C20">
        <w:rPr>
          <w:rFonts w:ascii="Arial" w:hAnsi="Arial" w:cs="Arial"/>
        </w:rPr>
        <w:t>hands the</w:t>
      </w:r>
      <w:r w:rsidRPr="00491C20">
        <w:rPr>
          <w:rFonts w:ascii="Arial" w:hAnsi="Arial" w:cs="Arial"/>
        </w:rPr>
        <w:t xml:space="preserve"> court is not enforcing a right but “</w:t>
      </w:r>
      <w:r w:rsidRPr="00491C20">
        <w:rPr>
          <w:rFonts w:ascii="Arial" w:hAnsi="Arial" w:cs="Arial"/>
          <w:i/>
        </w:rPr>
        <w:t>interferes even to assist a party who should not have possession</w:t>
      </w:r>
      <w:r w:rsidRPr="00491C20">
        <w:rPr>
          <w:rFonts w:ascii="Arial" w:hAnsi="Arial" w:cs="Arial"/>
        </w:rPr>
        <w:t>” (</w:t>
      </w:r>
      <w:r w:rsidR="00C04E2C" w:rsidRPr="00491C20">
        <w:rPr>
          <w:rFonts w:ascii="Arial" w:hAnsi="Arial" w:cs="Arial"/>
          <w:i/>
        </w:rPr>
        <w:t xml:space="preserve">Mbangi </w:t>
      </w:r>
      <w:r w:rsidR="00C04E2C" w:rsidRPr="00491C20">
        <w:rPr>
          <w:rFonts w:ascii="Arial" w:hAnsi="Arial" w:cs="Arial"/>
        </w:rPr>
        <w:t>at 336C-D)</w:t>
      </w:r>
    </w:p>
    <w:p w:rsidR="002129A5" w:rsidRPr="002129A5" w:rsidRDefault="002129A5" w:rsidP="002129A5">
      <w:pPr>
        <w:spacing w:line="360" w:lineRule="auto"/>
        <w:rPr>
          <w:rFonts w:ascii="Arial" w:hAnsi="Arial" w:cs="Arial"/>
        </w:rPr>
      </w:pPr>
    </w:p>
    <w:p w:rsidR="00C04E2C" w:rsidRDefault="00C04E2C" w:rsidP="00491C20">
      <w:pPr>
        <w:pStyle w:val="ListParagraph"/>
        <w:numPr>
          <w:ilvl w:val="1"/>
          <w:numId w:val="3"/>
        </w:numPr>
        <w:spacing w:line="360" w:lineRule="auto"/>
        <w:rPr>
          <w:rFonts w:ascii="Arial" w:hAnsi="Arial" w:cs="Arial"/>
        </w:rPr>
      </w:pPr>
      <w:r w:rsidRPr="00491C20">
        <w:rPr>
          <w:rFonts w:ascii="Arial" w:hAnsi="Arial" w:cs="Arial"/>
        </w:rPr>
        <w:t>Consequently the mandament is not concerned with the enforcement of a possessory right but solely with neutralising behaviour which undermines the rule of law. (</w:t>
      </w:r>
      <w:r w:rsidRPr="00491C20">
        <w:rPr>
          <w:rFonts w:ascii="Arial" w:hAnsi="Arial" w:cs="Arial"/>
          <w:i/>
        </w:rPr>
        <w:t>Mbangi)</w:t>
      </w:r>
      <w:r w:rsidR="00370ADE">
        <w:rPr>
          <w:rStyle w:val="FootnoteReference"/>
          <w:rFonts w:ascii="Arial" w:hAnsi="Arial" w:cs="Arial"/>
        </w:rPr>
        <w:footnoteReference w:id="60"/>
      </w:r>
      <w:r w:rsidR="00370ADE" w:rsidRPr="00491C20">
        <w:rPr>
          <w:rFonts w:ascii="Arial" w:hAnsi="Arial" w:cs="Arial"/>
        </w:rPr>
        <w:t xml:space="preserve"> </w:t>
      </w:r>
    </w:p>
    <w:p w:rsidR="00491C20" w:rsidRPr="00491C20" w:rsidRDefault="00491C20" w:rsidP="00491C20">
      <w:pPr>
        <w:pStyle w:val="ListParagraph"/>
        <w:rPr>
          <w:rFonts w:ascii="Arial" w:hAnsi="Arial" w:cs="Arial"/>
        </w:rPr>
      </w:pPr>
    </w:p>
    <w:p w:rsidR="00250AC1" w:rsidRDefault="000201C5" w:rsidP="00491C20">
      <w:pPr>
        <w:pStyle w:val="ListParagraph"/>
        <w:numPr>
          <w:ilvl w:val="1"/>
          <w:numId w:val="3"/>
        </w:numPr>
        <w:spacing w:line="360" w:lineRule="auto"/>
        <w:rPr>
          <w:rFonts w:ascii="Arial" w:hAnsi="Arial" w:cs="Arial"/>
        </w:rPr>
      </w:pPr>
      <w:r w:rsidRPr="00491C20">
        <w:rPr>
          <w:rFonts w:ascii="Arial" w:hAnsi="Arial" w:cs="Arial"/>
        </w:rPr>
        <w:t>It is beyond cavil that</w:t>
      </w:r>
      <w:r w:rsidR="00627883" w:rsidRPr="00491C20">
        <w:rPr>
          <w:rFonts w:ascii="Arial" w:hAnsi="Arial" w:cs="Arial"/>
        </w:rPr>
        <w:t xml:space="preserve"> in the case of immovable property</w:t>
      </w:r>
      <w:r w:rsidRPr="00491C20">
        <w:rPr>
          <w:rFonts w:ascii="Arial" w:hAnsi="Arial" w:cs="Arial"/>
        </w:rPr>
        <w:t xml:space="preserve"> the requirements for obtaining a </w:t>
      </w:r>
      <w:r w:rsidR="00A53C69" w:rsidRPr="00491C20">
        <w:rPr>
          <w:rFonts w:ascii="Arial" w:hAnsi="Arial" w:cs="Arial"/>
        </w:rPr>
        <w:t>mandament</w:t>
      </w:r>
      <w:r w:rsidRPr="00491C20">
        <w:rPr>
          <w:rFonts w:ascii="Arial" w:hAnsi="Arial" w:cs="Arial"/>
        </w:rPr>
        <w:t xml:space="preserve"> are</w:t>
      </w:r>
      <w:r w:rsidR="000B09F3" w:rsidRPr="00491C20">
        <w:rPr>
          <w:rFonts w:ascii="Arial" w:hAnsi="Arial" w:cs="Arial"/>
        </w:rPr>
        <w:t xml:space="preserve"> that the person dispossessed had </w:t>
      </w:r>
      <w:r w:rsidR="000B09F3" w:rsidRPr="00491C20">
        <w:rPr>
          <w:rFonts w:ascii="Arial" w:hAnsi="Arial" w:cs="Arial"/>
          <w:i/>
        </w:rPr>
        <w:t>“factual control as well as the intention to derive some benefit from the land</w:t>
      </w:r>
      <w:r w:rsidR="000B09F3" w:rsidRPr="00491C20">
        <w:rPr>
          <w:rFonts w:ascii="Arial" w:hAnsi="Arial" w:cs="Arial"/>
        </w:rPr>
        <w:t>” and that the “</w:t>
      </w:r>
      <w:r w:rsidR="000B09F3" w:rsidRPr="00491C20">
        <w:rPr>
          <w:rFonts w:ascii="Arial" w:hAnsi="Arial" w:cs="Arial"/>
          <w:i/>
        </w:rPr>
        <w:t>possession must be both peaceful and undisturbed</w:t>
      </w:r>
      <w:r w:rsidR="000B09F3" w:rsidRPr="00491C20">
        <w:rPr>
          <w:rFonts w:ascii="Arial" w:hAnsi="Arial" w:cs="Arial"/>
        </w:rPr>
        <w:t xml:space="preserve"> (which means) </w:t>
      </w:r>
      <w:r w:rsidR="000B09F3" w:rsidRPr="00491C20">
        <w:rPr>
          <w:rFonts w:ascii="Arial" w:hAnsi="Arial" w:cs="Arial"/>
          <w:i/>
        </w:rPr>
        <w:t>physical possession that was sufficiently stable and durable for the law to take cognisance of it</w:t>
      </w:r>
      <w:r w:rsidR="00627883" w:rsidRPr="00491C20">
        <w:rPr>
          <w:rFonts w:ascii="Arial" w:hAnsi="Arial" w:cs="Arial"/>
        </w:rPr>
        <w:t>”</w:t>
      </w:r>
      <w:r w:rsidR="008842A7" w:rsidRPr="00491C20">
        <w:rPr>
          <w:rFonts w:ascii="Arial" w:hAnsi="Arial" w:cs="Arial"/>
        </w:rPr>
        <w:t xml:space="preserve">  </w:t>
      </w:r>
      <w:r w:rsidR="00E511CC" w:rsidRPr="00491C20">
        <w:rPr>
          <w:rFonts w:ascii="Arial" w:hAnsi="Arial" w:cs="Arial"/>
        </w:rPr>
        <w:t>(</w:t>
      </w:r>
      <w:r w:rsidR="00E511CC" w:rsidRPr="00491C20">
        <w:rPr>
          <w:rFonts w:ascii="Arial" w:hAnsi="Arial" w:cs="Arial"/>
          <w:i/>
          <w:iCs/>
        </w:rPr>
        <w:t>Fischer and Another v Ramahlele and Others</w:t>
      </w:r>
      <w:r w:rsidR="00E511CC" w:rsidRPr="00491C20">
        <w:rPr>
          <w:rFonts w:ascii="Arial" w:hAnsi="Arial" w:cs="Arial"/>
        </w:rPr>
        <w:t xml:space="preserve"> 2014 (4) SA 614 (SCA) at  </w:t>
      </w:r>
      <w:r w:rsidR="000B09F3" w:rsidRPr="00491C20">
        <w:rPr>
          <w:rFonts w:ascii="Arial" w:hAnsi="Arial" w:cs="Arial"/>
        </w:rPr>
        <w:t>para 2</w:t>
      </w:r>
      <w:r w:rsidR="008842A7" w:rsidRPr="00491C20">
        <w:rPr>
          <w:rFonts w:ascii="Arial" w:hAnsi="Arial" w:cs="Arial"/>
        </w:rPr>
        <w:t>2</w:t>
      </w:r>
      <w:r w:rsidR="000B09F3" w:rsidRPr="00491C20">
        <w:rPr>
          <w:rFonts w:ascii="Arial" w:hAnsi="Arial" w:cs="Arial"/>
        </w:rPr>
        <w:t xml:space="preserve"> citing </w:t>
      </w:r>
      <w:r w:rsidR="000B09F3" w:rsidRPr="00491C20">
        <w:rPr>
          <w:rFonts w:ascii="Arial" w:hAnsi="Arial" w:cs="Arial"/>
          <w:i/>
        </w:rPr>
        <w:t xml:space="preserve">Ness </w:t>
      </w:r>
      <w:r w:rsidR="000B09F3" w:rsidRPr="00491C20">
        <w:rPr>
          <w:rFonts w:ascii="Arial" w:hAnsi="Arial" w:cs="Arial"/>
        </w:rPr>
        <w:t xml:space="preserve">at 647D – F with approval. </w:t>
      </w:r>
    </w:p>
    <w:p w:rsidR="00250AC1" w:rsidRPr="00250AC1" w:rsidRDefault="00250AC1" w:rsidP="00250AC1">
      <w:pPr>
        <w:pStyle w:val="ListParagraph"/>
        <w:rPr>
          <w:rFonts w:ascii="Arial" w:hAnsi="Arial" w:cs="Arial"/>
        </w:rPr>
      </w:pPr>
    </w:p>
    <w:p w:rsidR="00E511CC" w:rsidRPr="00491C20" w:rsidRDefault="000B09F3" w:rsidP="00250AC1">
      <w:pPr>
        <w:pStyle w:val="ListParagraph"/>
        <w:spacing w:line="360" w:lineRule="auto"/>
        <w:ind w:left="1080"/>
        <w:rPr>
          <w:rFonts w:ascii="Arial" w:hAnsi="Arial" w:cs="Arial"/>
        </w:rPr>
      </w:pPr>
      <w:r w:rsidRPr="00491C20">
        <w:rPr>
          <w:rFonts w:ascii="Arial" w:hAnsi="Arial" w:cs="Arial"/>
        </w:rPr>
        <w:t>It will be recalled that Fle</w:t>
      </w:r>
      <w:r w:rsidR="00250AC1">
        <w:rPr>
          <w:rFonts w:ascii="Arial" w:hAnsi="Arial" w:cs="Arial"/>
        </w:rPr>
        <w:t>m</w:t>
      </w:r>
      <w:r w:rsidRPr="00491C20">
        <w:rPr>
          <w:rFonts w:ascii="Arial" w:hAnsi="Arial" w:cs="Arial"/>
        </w:rPr>
        <w:t>ming DJP</w:t>
      </w:r>
      <w:r w:rsidR="00306025" w:rsidRPr="00491C20">
        <w:rPr>
          <w:rFonts w:ascii="Arial" w:hAnsi="Arial" w:cs="Arial"/>
        </w:rPr>
        <w:t xml:space="preserve"> in </w:t>
      </w:r>
      <w:r w:rsidR="00306025" w:rsidRPr="00491C20">
        <w:rPr>
          <w:rFonts w:ascii="Arial" w:hAnsi="Arial" w:cs="Arial"/>
          <w:i/>
        </w:rPr>
        <w:t>Mbangi</w:t>
      </w:r>
      <w:r w:rsidRPr="00491C20">
        <w:rPr>
          <w:rFonts w:ascii="Arial" w:hAnsi="Arial" w:cs="Arial"/>
        </w:rPr>
        <w:t xml:space="preserve"> also </w:t>
      </w:r>
      <w:r w:rsidR="00306025" w:rsidRPr="00491C20">
        <w:rPr>
          <w:rFonts w:ascii="Arial" w:hAnsi="Arial" w:cs="Arial"/>
        </w:rPr>
        <w:t xml:space="preserve">adopted and applied </w:t>
      </w:r>
      <w:r w:rsidR="00306025" w:rsidRPr="00491C20">
        <w:rPr>
          <w:rFonts w:ascii="Arial" w:hAnsi="Arial" w:cs="Arial"/>
          <w:i/>
        </w:rPr>
        <w:t>Ness</w:t>
      </w:r>
      <w:r w:rsidR="00E511CC" w:rsidRPr="00491C20">
        <w:rPr>
          <w:rFonts w:ascii="Arial" w:hAnsi="Arial" w:cs="Arial"/>
        </w:rPr>
        <w:t>).</w:t>
      </w:r>
    </w:p>
    <w:p w:rsidR="0067043F" w:rsidRDefault="0067043F" w:rsidP="00306025">
      <w:pPr>
        <w:pStyle w:val="ListParagraph"/>
        <w:spacing w:line="360" w:lineRule="auto"/>
        <w:ind w:left="1080"/>
        <w:rPr>
          <w:rFonts w:ascii="Arial" w:hAnsi="Arial" w:cs="Arial"/>
        </w:rPr>
      </w:pPr>
      <w:r>
        <w:rPr>
          <w:rFonts w:ascii="Arial" w:hAnsi="Arial" w:cs="Arial"/>
        </w:rPr>
        <w:lastRenderedPageBreak/>
        <w:t xml:space="preserve">In </w:t>
      </w:r>
      <w:r w:rsidRPr="0067043F">
        <w:rPr>
          <w:rFonts w:ascii="Arial" w:hAnsi="Arial" w:cs="Arial"/>
          <w:i/>
        </w:rPr>
        <w:t>Bisschoff &amp; Others v Welbeplan Boerdery (Pty) Ltd</w:t>
      </w:r>
      <w:r>
        <w:rPr>
          <w:rFonts w:ascii="Arial" w:hAnsi="Arial" w:cs="Arial"/>
        </w:rPr>
        <w:t xml:space="preserve"> </w:t>
      </w:r>
      <w:r w:rsidR="00187C0F" w:rsidRPr="00187C0F">
        <w:rPr>
          <w:rFonts w:ascii="Arial" w:hAnsi="Arial" w:cs="Arial"/>
        </w:rPr>
        <w:t>2021 (5) SA 54 (SCA)</w:t>
      </w:r>
      <w:r w:rsidR="00187C0F">
        <w:rPr>
          <w:rFonts w:ascii="Arial" w:hAnsi="Arial" w:cs="Arial"/>
        </w:rPr>
        <w:t xml:space="preserve">; </w:t>
      </w:r>
      <w:r w:rsidRPr="0067043F">
        <w:rPr>
          <w:rFonts w:ascii="Arial" w:hAnsi="Arial" w:cs="Arial"/>
        </w:rPr>
        <w:t>[2021</w:t>
      </w:r>
      <w:r w:rsidRPr="00187C0F">
        <w:rPr>
          <w:rFonts w:ascii="Arial" w:hAnsi="Arial" w:cs="Arial"/>
        </w:rPr>
        <w:t>] ZASCA</w:t>
      </w:r>
      <w:r w:rsidRPr="0067043F">
        <w:rPr>
          <w:rFonts w:ascii="Arial" w:hAnsi="Arial" w:cs="Arial"/>
        </w:rPr>
        <w:t xml:space="preserve"> 81</w:t>
      </w:r>
      <w:r w:rsidR="0051449E">
        <w:rPr>
          <w:rFonts w:ascii="Arial" w:hAnsi="Arial" w:cs="Arial"/>
        </w:rPr>
        <w:t xml:space="preserve"> t</w:t>
      </w:r>
      <w:r>
        <w:rPr>
          <w:rFonts w:ascii="Arial" w:hAnsi="Arial" w:cs="Arial"/>
        </w:rPr>
        <w:t xml:space="preserve">he </w:t>
      </w:r>
      <w:r w:rsidR="00187C0F">
        <w:rPr>
          <w:rFonts w:ascii="Arial" w:hAnsi="Arial" w:cs="Arial"/>
        </w:rPr>
        <w:t>SCA</w:t>
      </w:r>
      <w:r>
        <w:rPr>
          <w:rFonts w:ascii="Arial" w:hAnsi="Arial" w:cs="Arial"/>
        </w:rPr>
        <w:t xml:space="preserve"> </w:t>
      </w:r>
      <w:r w:rsidR="00A53C69">
        <w:rPr>
          <w:rFonts w:ascii="Arial" w:hAnsi="Arial" w:cs="Arial"/>
        </w:rPr>
        <w:t>confirmed</w:t>
      </w:r>
      <w:r>
        <w:rPr>
          <w:rFonts w:ascii="Arial" w:hAnsi="Arial" w:cs="Arial"/>
        </w:rPr>
        <w:t xml:space="preserve"> </w:t>
      </w:r>
      <w:r w:rsidR="0051449E">
        <w:rPr>
          <w:rFonts w:ascii="Arial" w:hAnsi="Arial" w:cs="Arial"/>
        </w:rPr>
        <w:t>that:</w:t>
      </w:r>
    </w:p>
    <w:p w:rsidR="0051449E" w:rsidRDefault="0051449E" w:rsidP="00306025">
      <w:pPr>
        <w:pStyle w:val="ListParagraph"/>
        <w:spacing w:line="360" w:lineRule="auto"/>
        <w:ind w:left="1080"/>
        <w:rPr>
          <w:rFonts w:ascii="Arial" w:hAnsi="Arial" w:cs="Arial"/>
        </w:rPr>
      </w:pPr>
    </w:p>
    <w:p w:rsidR="0051449E" w:rsidRDefault="0051449E" w:rsidP="0032651C">
      <w:pPr>
        <w:pStyle w:val="ListParagraph"/>
        <w:spacing w:line="360" w:lineRule="auto"/>
        <w:ind w:left="1440"/>
        <w:rPr>
          <w:rFonts w:ascii="Arial" w:hAnsi="Arial" w:cs="Arial"/>
        </w:rPr>
      </w:pPr>
      <w:r w:rsidRPr="0051449E">
        <w:rPr>
          <w:rFonts w:ascii="Arial" w:hAnsi="Arial" w:cs="Arial"/>
          <w:i/>
        </w:rPr>
        <w:t>The requirements for the mandament van spolie are trite: (a) peaceful and undisturbed possession of a thing; and (b) unlawful d</w:t>
      </w:r>
      <w:r>
        <w:rPr>
          <w:rFonts w:ascii="Arial" w:hAnsi="Arial" w:cs="Arial"/>
          <w:i/>
        </w:rPr>
        <w:t>eprivation of such possession.</w:t>
      </w:r>
      <w:r w:rsidRPr="0051449E">
        <w:rPr>
          <w:rFonts w:ascii="Arial" w:hAnsi="Arial" w:cs="Arial"/>
          <w:i/>
        </w:rPr>
        <w:t xml:space="preserve"> The mandament van spolie is rooted in the rule of law and its main purpose is to preserve public order by preventing persons from taking </w:t>
      </w:r>
      <w:r>
        <w:rPr>
          <w:rFonts w:ascii="Arial" w:hAnsi="Arial" w:cs="Arial"/>
          <w:i/>
        </w:rPr>
        <w:t>the law into their own hands.</w:t>
      </w:r>
      <w:r>
        <w:rPr>
          <w:rStyle w:val="FootnoteReference"/>
          <w:rFonts w:ascii="Arial" w:hAnsi="Arial" w:cs="Arial"/>
          <w:i/>
        </w:rPr>
        <w:footnoteReference w:id="61"/>
      </w:r>
    </w:p>
    <w:p w:rsidR="0051449E" w:rsidRDefault="0051449E" w:rsidP="00306025">
      <w:pPr>
        <w:pStyle w:val="ListParagraph"/>
        <w:spacing w:line="360" w:lineRule="auto"/>
        <w:ind w:left="1080"/>
        <w:rPr>
          <w:rFonts w:ascii="Arial" w:hAnsi="Arial" w:cs="Arial"/>
        </w:rPr>
      </w:pPr>
    </w:p>
    <w:p w:rsidR="00306025" w:rsidRDefault="00E35EF8" w:rsidP="00306025">
      <w:pPr>
        <w:pStyle w:val="ListParagraph"/>
        <w:spacing w:line="360" w:lineRule="auto"/>
        <w:ind w:left="1080"/>
        <w:rPr>
          <w:rFonts w:ascii="Arial" w:hAnsi="Arial" w:cs="Arial"/>
        </w:rPr>
      </w:pPr>
      <w:r w:rsidRPr="00E35EF8">
        <w:rPr>
          <w:rFonts w:ascii="Arial" w:hAnsi="Arial" w:cs="Arial"/>
          <w:i/>
        </w:rPr>
        <w:t>Bischoff</w:t>
      </w:r>
      <w:r>
        <w:rPr>
          <w:rFonts w:ascii="Arial" w:hAnsi="Arial" w:cs="Arial"/>
        </w:rPr>
        <w:t xml:space="preserve"> and, to the extent not covered by it, </w:t>
      </w:r>
      <w:r w:rsidR="00A53C69" w:rsidRPr="00E35EF8">
        <w:rPr>
          <w:rFonts w:ascii="Arial" w:hAnsi="Arial" w:cs="Arial"/>
          <w:i/>
        </w:rPr>
        <w:t>F</w:t>
      </w:r>
      <w:r w:rsidR="00250AC1">
        <w:rPr>
          <w:rFonts w:ascii="Arial" w:hAnsi="Arial" w:cs="Arial"/>
          <w:i/>
        </w:rPr>
        <w:t>ischer</w:t>
      </w:r>
      <w:r w:rsidR="00A53C69">
        <w:rPr>
          <w:rFonts w:ascii="Arial" w:hAnsi="Arial" w:cs="Arial"/>
          <w:i/>
        </w:rPr>
        <w:t xml:space="preserve"> </w:t>
      </w:r>
      <w:r w:rsidR="00A53C69">
        <w:rPr>
          <w:rFonts w:ascii="Arial" w:hAnsi="Arial" w:cs="Arial"/>
        </w:rPr>
        <w:t>are</w:t>
      </w:r>
      <w:r>
        <w:rPr>
          <w:rFonts w:ascii="Arial" w:hAnsi="Arial" w:cs="Arial"/>
        </w:rPr>
        <w:t xml:space="preserve"> the leading authorities</w:t>
      </w:r>
      <w:r w:rsidR="008842A7">
        <w:rPr>
          <w:rFonts w:ascii="Arial" w:hAnsi="Arial" w:cs="Arial"/>
        </w:rPr>
        <w:t xml:space="preserve"> on the subject and bind this court. </w:t>
      </w:r>
      <w:r w:rsidR="00306025">
        <w:rPr>
          <w:rFonts w:ascii="Arial" w:hAnsi="Arial" w:cs="Arial"/>
        </w:rPr>
        <w:t xml:space="preserve"> </w:t>
      </w:r>
      <w:r>
        <w:rPr>
          <w:rFonts w:ascii="Arial" w:hAnsi="Arial" w:cs="Arial"/>
        </w:rPr>
        <w:t>I</w:t>
      </w:r>
      <w:r w:rsidR="00306025">
        <w:rPr>
          <w:rFonts w:ascii="Arial" w:hAnsi="Arial" w:cs="Arial"/>
        </w:rPr>
        <w:t xml:space="preserve">t is </w:t>
      </w:r>
      <w:r w:rsidR="008842A7">
        <w:rPr>
          <w:rFonts w:ascii="Arial" w:hAnsi="Arial" w:cs="Arial"/>
        </w:rPr>
        <w:t xml:space="preserve">therefore </w:t>
      </w:r>
      <w:r w:rsidR="00306025">
        <w:rPr>
          <w:rFonts w:ascii="Arial" w:hAnsi="Arial" w:cs="Arial"/>
        </w:rPr>
        <w:t xml:space="preserve">unnecessary </w:t>
      </w:r>
      <w:r w:rsidR="00627883">
        <w:rPr>
          <w:rFonts w:ascii="Arial" w:hAnsi="Arial" w:cs="Arial"/>
        </w:rPr>
        <w:t xml:space="preserve">in this context </w:t>
      </w:r>
      <w:r w:rsidR="00306025">
        <w:rPr>
          <w:rFonts w:ascii="Arial" w:hAnsi="Arial" w:cs="Arial"/>
        </w:rPr>
        <w:t xml:space="preserve">to </w:t>
      </w:r>
      <w:r w:rsidR="008842A7">
        <w:rPr>
          <w:rFonts w:ascii="Arial" w:hAnsi="Arial" w:cs="Arial"/>
        </w:rPr>
        <w:t>go further and consider t</w:t>
      </w:r>
      <w:r w:rsidR="00306025">
        <w:rPr>
          <w:rFonts w:ascii="Arial" w:hAnsi="Arial" w:cs="Arial"/>
        </w:rPr>
        <w:t xml:space="preserve">he </w:t>
      </w:r>
      <w:r w:rsidR="0032651C">
        <w:rPr>
          <w:rFonts w:ascii="Arial" w:hAnsi="Arial" w:cs="Arial"/>
        </w:rPr>
        <w:t xml:space="preserve">cogent </w:t>
      </w:r>
      <w:r w:rsidR="008842A7">
        <w:rPr>
          <w:rFonts w:ascii="Arial" w:hAnsi="Arial" w:cs="Arial"/>
        </w:rPr>
        <w:t>rea</w:t>
      </w:r>
      <w:r w:rsidR="00306025">
        <w:rPr>
          <w:rFonts w:ascii="Arial" w:hAnsi="Arial" w:cs="Arial"/>
        </w:rPr>
        <w:t xml:space="preserve">sons </w:t>
      </w:r>
      <w:r w:rsidR="008842A7">
        <w:rPr>
          <w:rFonts w:ascii="Arial" w:hAnsi="Arial" w:cs="Arial"/>
        </w:rPr>
        <w:t xml:space="preserve">advanced </w:t>
      </w:r>
      <w:r w:rsidR="00306025">
        <w:rPr>
          <w:rFonts w:ascii="Arial" w:hAnsi="Arial" w:cs="Arial"/>
        </w:rPr>
        <w:t xml:space="preserve">by Flemming </w:t>
      </w:r>
      <w:r w:rsidR="00491C20">
        <w:rPr>
          <w:rFonts w:ascii="Arial" w:hAnsi="Arial" w:cs="Arial"/>
        </w:rPr>
        <w:t>D</w:t>
      </w:r>
      <w:r w:rsidR="00306025">
        <w:rPr>
          <w:rFonts w:ascii="Arial" w:hAnsi="Arial" w:cs="Arial"/>
        </w:rPr>
        <w:t xml:space="preserve">JP </w:t>
      </w:r>
      <w:r w:rsidR="00A53C69">
        <w:rPr>
          <w:rFonts w:ascii="Arial" w:hAnsi="Arial" w:cs="Arial"/>
        </w:rPr>
        <w:t>at 336</w:t>
      </w:r>
      <w:r w:rsidR="00306025">
        <w:rPr>
          <w:rFonts w:ascii="Arial" w:hAnsi="Arial" w:cs="Arial"/>
        </w:rPr>
        <w:t xml:space="preserve">I-337D of </w:t>
      </w:r>
      <w:r w:rsidR="00306025" w:rsidRPr="00306025">
        <w:rPr>
          <w:rFonts w:ascii="Arial" w:hAnsi="Arial" w:cs="Arial"/>
          <w:i/>
        </w:rPr>
        <w:t>Mbangi</w:t>
      </w:r>
      <w:r w:rsidR="00306025">
        <w:rPr>
          <w:rFonts w:ascii="Arial" w:hAnsi="Arial" w:cs="Arial"/>
        </w:rPr>
        <w:t xml:space="preserve"> for these </w:t>
      </w:r>
      <w:r w:rsidR="00A53C69">
        <w:rPr>
          <w:rFonts w:ascii="Arial" w:hAnsi="Arial" w:cs="Arial"/>
        </w:rPr>
        <w:t>requirements</w:t>
      </w:r>
      <w:r w:rsidR="00306025">
        <w:rPr>
          <w:rFonts w:ascii="Arial" w:hAnsi="Arial" w:cs="Arial"/>
        </w:rPr>
        <w:t xml:space="preserve"> </w:t>
      </w:r>
      <w:r w:rsidR="00627883">
        <w:rPr>
          <w:rFonts w:ascii="Arial" w:hAnsi="Arial" w:cs="Arial"/>
        </w:rPr>
        <w:t>(see th</w:t>
      </w:r>
      <w:r>
        <w:rPr>
          <w:rFonts w:ascii="Arial" w:hAnsi="Arial" w:cs="Arial"/>
        </w:rPr>
        <w:t>e</w:t>
      </w:r>
      <w:r w:rsidR="00627883">
        <w:rPr>
          <w:rFonts w:ascii="Arial" w:hAnsi="Arial" w:cs="Arial"/>
        </w:rPr>
        <w:t xml:space="preserve"> extracts cited earlier)</w:t>
      </w:r>
    </w:p>
    <w:p w:rsidR="0067043F" w:rsidRDefault="0067043F" w:rsidP="00306025">
      <w:pPr>
        <w:pStyle w:val="ListParagraph"/>
        <w:spacing w:line="360" w:lineRule="auto"/>
        <w:ind w:left="1080"/>
        <w:rPr>
          <w:rFonts w:ascii="Arial" w:hAnsi="Arial" w:cs="Arial"/>
        </w:rPr>
      </w:pPr>
    </w:p>
    <w:p w:rsidR="00F26AC4" w:rsidRDefault="00F26AC4" w:rsidP="00491C20">
      <w:pPr>
        <w:pStyle w:val="ListParagraph"/>
        <w:numPr>
          <w:ilvl w:val="1"/>
          <w:numId w:val="3"/>
        </w:numPr>
        <w:spacing w:line="360" w:lineRule="auto"/>
        <w:rPr>
          <w:rFonts w:ascii="Arial" w:hAnsi="Arial" w:cs="Arial"/>
        </w:rPr>
      </w:pPr>
      <w:r>
        <w:rPr>
          <w:rFonts w:ascii="Arial" w:hAnsi="Arial" w:cs="Arial"/>
        </w:rPr>
        <w:t xml:space="preserve"> </w:t>
      </w:r>
      <w:r w:rsidR="00EB55EE" w:rsidRPr="00EB55EE">
        <w:rPr>
          <w:rFonts w:ascii="Arial" w:hAnsi="Arial" w:cs="Arial"/>
        </w:rPr>
        <w:t xml:space="preserve">The enquiry is a factual one not a legal </w:t>
      </w:r>
      <w:r w:rsidR="00A53C69" w:rsidRPr="00EB55EE">
        <w:rPr>
          <w:rFonts w:ascii="Arial" w:hAnsi="Arial" w:cs="Arial"/>
        </w:rPr>
        <w:t>one</w:t>
      </w:r>
      <w:r w:rsidR="00A53C69">
        <w:rPr>
          <w:rFonts w:ascii="Arial" w:hAnsi="Arial" w:cs="Arial"/>
        </w:rPr>
        <w:t xml:space="preserve"> and</w:t>
      </w:r>
      <w:r w:rsidR="00627883">
        <w:rPr>
          <w:rFonts w:ascii="Arial" w:hAnsi="Arial" w:cs="Arial"/>
        </w:rPr>
        <w:t xml:space="preserve"> ins</w:t>
      </w:r>
      <w:r w:rsidR="001B56DD">
        <w:rPr>
          <w:rFonts w:ascii="Arial" w:hAnsi="Arial" w:cs="Arial"/>
        </w:rPr>
        <w:t>o</w:t>
      </w:r>
      <w:r w:rsidR="00627883">
        <w:rPr>
          <w:rFonts w:ascii="Arial" w:hAnsi="Arial" w:cs="Arial"/>
        </w:rPr>
        <w:t xml:space="preserve">far as </w:t>
      </w:r>
      <w:r w:rsidR="00A53C69">
        <w:rPr>
          <w:rFonts w:ascii="Arial" w:hAnsi="Arial" w:cs="Arial"/>
        </w:rPr>
        <w:t>th</w:t>
      </w:r>
      <w:r w:rsidR="00A53C69" w:rsidRPr="00627883">
        <w:rPr>
          <w:rFonts w:ascii="Arial" w:hAnsi="Arial" w:cs="Arial"/>
        </w:rPr>
        <w:t>e measure</w:t>
      </w:r>
      <w:r w:rsidR="00627883" w:rsidRPr="00627883">
        <w:rPr>
          <w:rFonts w:ascii="Arial" w:hAnsi="Arial" w:cs="Arial"/>
        </w:rPr>
        <w:t xml:space="preserve"> of </w:t>
      </w:r>
      <w:r w:rsidR="001B56DD">
        <w:rPr>
          <w:rFonts w:ascii="Arial" w:hAnsi="Arial" w:cs="Arial"/>
        </w:rPr>
        <w:t xml:space="preserve">effective physical </w:t>
      </w:r>
      <w:r w:rsidR="00627883" w:rsidRPr="00627883">
        <w:rPr>
          <w:rFonts w:ascii="Arial" w:hAnsi="Arial" w:cs="Arial"/>
        </w:rPr>
        <w:t xml:space="preserve">control required is </w:t>
      </w:r>
      <w:r w:rsidR="001B56DD">
        <w:rPr>
          <w:rFonts w:ascii="Arial" w:hAnsi="Arial" w:cs="Arial"/>
        </w:rPr>
        <w:t xml:space="preserve">concerned, that is </w:t>
      </w:r>
      <w:r w:rsidR="00627883" w:rsidRPr="00627883">
        <w:rPr>
          <w:rFonts w:ascii="Arial" w:hAnsi="Arial" w:cs="Arial"/>
        </w:rPr>
        <w:t>a question of degree</w:t>
      </w:r>
      <w:r w:rsidR="00627883">
        <w:rPr>
          <w:rFonts w:ascii="Arial" w:hAnsi="Arial" w:cs="Arial"/>
        </w:rPr>
        <w:t xml:space="preserve"> which </w:t>
      </w:r>
      <w:r w:rsidR="00627883" w:rsidRPr="00627883">
        <w:rPr>
          <w:rFonts w:ascii="Arial" w:hAnsi="Arial" w:cs="Arial"/>
        </w:rPr>
        <w:t xml:space="preserve">differs according to the circumstances of each </w:t>
      </w:r>
      <w:r w:rsidR="00A53C69" w:rsidRPr="00627883">
        <w:rPr>
          <w:rFonts w:ascii="Arial" w:hAnsi="Arial" w:cs="Arial"/>
        </w:rPr>
        <w:t>case</w:t>
      </w:r>
      <w:r w:rsidR="00A53C69">
        <w:rPr>
          <w:rFonts w:ascii="Arial" w:hAnsi="Arial" w:cs="Arial"/>
        </w:rPr>
        <w:t xml:space="preserve"> (</w:t>
      </w:r>
      <w:r w:rsidR="00A53C69">
        <w:rPr>
          <w:rFonts w:ascii="Arial" w:hAnsi="Arial" w:cs="Arial"/>
          <w:i/>
        </w:rPr>
        <w:t xml:space="preserve">Yeko </w:t>
      </w:r>
      <w:r w:rsidR="00A53C69" w:rsidRPr="002129A5">
        <w:rPr>
          <w:rFonts w:ascii="Arial" w:hAnsi="Arial" w:cs="Arial"/>
        </w:rPr>
        <w:t>and</w:t>
      </w:r>
      <w:r w:rsidR="00627883">
        <w:rPr>
          <w:rFonts w:ascii="Arial" w:hAnsi="Arial" w:cs="Arial"/>
          <w:i/>
        </w:rPr>
        <w:t xml:space="preserve"> Shoprite-Checkers</w:t>
      </w:r>
      <w:r w:rsidR="00EB55EE">
        <w:rPr>
          <w:rFonts w:ascii="Arial" w:hAnsi="Arial" w:cs="Arial"/>
        </w:rPr>
        <w:t>)</w:t>
      </w:r>
    </w:p>
    <w:p w:rsidR="00EB55EE" w:rsidRPr="00EB55EE" w:rsidRDefault="00EB55EE" w:rsidP="00EB55EE">
      <w:pPr>
        <w:pStyle w:val="ListParagraph"/>
        <w:rPr>
          <w:rFonts w:ascii="Arial" w:hAnsi="Arial" w:cs="Arial"/>
        </w:rPr>
      </w:pPr>
    </w:p>
    <w:p w:rsidR="00ED4A80" w:rsidRDefault="00A53C69" w:rsidP="00AF22DC">
      <w:pPr>
        <w:pStyle w:val="ListParagraph"/>
        <w:numPr>
          <w:ilvl w:val="0"/>
          <w:numId w:val="3"/>
        </w:numPr>
        <w:spacing w:line="360" w:lineRule="auto"/>
        <w:rPr>
          <w:rFonts w:ascii="Arial" w:hAnsi="Arial" w:cs="Arial"/>
        </w:rPr>
      </w:pPr>
      <w:r>
        <w:rPr>
          <w:rFonts w:ascii="Arial" w:hAnsi="Arial" w:cs="Arial"/>
        </w:rPr>
        <w:t>In my</w:t>
      </w:r>
      <w:r w:rsidR="0032651C">
        <w:rPr>
          <w:rFonts w:ascii="Arial" w:hAnsi="Arial" w:cs="Arial"/>
        </w:rPr>
        <w:t xml:space="preserve"> </w:t>
      </w:r>
      <w:r w:rsidR="00627883">
        <w:rPr>
          <w:rFonts w:ascii="Arial" w:hAnsi="Arial" w:cs="Arial"/>
        </w:rPr>
        <w:t xml:space="preserve">view </w:t>
      </w:r>
      <w:r>
        <w:rPr>
          <w:rFonts w:ascii="Arial" w:hAnsi="Arial" w:cs="Arial"/>
        </w:rPr>
        <w:t>the difficulties</w:t>
      </w:r>
      <w:r w:rsidR="001B56DD">
        <w:rPr>
          <w:rFonts w:ascii="Arial" w:hAnsi="Arial" w:cs="Arial"/>
        </w:rPr>
        <w:t xml:space="preserve"> that app</w:t>
      </w:r>
      <w:r w:rsidR="00F15E12">
        <w:rPr>
          <w:rFonts w:ascii="Arial" w:hAnsi="Arial" w:cs="Arial"/>
        </w:rPr>
        <w:t xml:space="preserve">ear to have been experienced </w:t>
      </w:r>
      <w:r>
        <w:rPr>
          <w:rFonts w:ascii="Arial" w:hAnsi="Arial" w:cs="Arial"/>
        </w:rPr>
        <w:t>by</w:t>
      </w:r>
      <w:r w:rsidR="00F15E12">
        <w:rPr>
          <w:rFonts w:ascii="Arial" w:hAnsi="Arial" w:cs="Arial"/>
        </w:rPr>
        <w:t xml:space="preserve"> </w:t>
      </w:r>
      <w:r w:rsidR="00B22B99">
        <w:rPr>
          <w:rFonts w:ascii="Arial" w:hAnsi="Arial" w:cs="Arial"/>
        </w:rPr>
        <w:t xml:space="preserve">some cases </w:t>
      </w:r>
      <w:r w:rsidR="00F15E12">
        <w:rPr>
          <w:rFonts w:ascii="Arial" w:hAnsi="Arial" w:cs="Arial"/>
        </w:rPr>
        <w:t xml:space="preserve">in </w:t>
      </w:r>
      <w:r w:rsidR="001B56DD">
        <w:rPr>
          <w:rFonts w:ascii="Arial" w:hAnsi="Arial" w:cs="Arial"/>
        </w:rPr>
        <w:t>applying these</w:t>
      </w:r>
      <w:r w:rsidR="00730197">
        <w:rPr>
          <w:rFonts w:ascii="Arial" w:hAnsi="Arial" w:cs="Arial"/>
        </w:rPr>
        <w:t xml:space="preserve"> </w:t>
      </w:r>
      <w:r>
        <w:rPr>
          <w:rFonts w:ascii="Arial" w:hAnsi="Arial" w:cs="Arial"/>
        </w:rPr>
        <w:t>requirements</w:t>
      </w:r>
      <w:r w:rsidR="00730197">
        <w:rPr>
          <w:rFonts w:ascii="Arial" w:hAnsi="Arial" w:cs="Arial"/>
        </w:rPr>
        <w:t xml:space="preserve"> to the facts arose</w:t>
      </w:r>
      <w:r w:rsidR="001B56DD">
        <w:rPr>
          <w:rFonts w:ascii="Arial" w:hAnsi="Arial" w:cs="Arial"/>
        </w:rPr>
        <w:t xml:space="preserve"> because the </w:t>
      </w:r>
      <w:r w:rsidR="00730197">
        <w:rPr>
          <w:rFonts w:ascii="Arial" w:hAnsi="Arial" w:cs="Arial"/>
        </w:rPr>
        <w:t>debate about the m</w:t>
      </w:r>
      <w:r w:rsidR="00B22B99">
        <w:rPr>
          <w:rFonts w:ascii="Arial" w:hAnsi="Arial" w:cs="Arial"/>
        </w:rPr>
        <w:t>e</w:t>
      </w:r>
      <w:r w:rsidR="00730197">
        <w:rPr>
          <w:rFonts w:ascii="Arial" w:hAnsi="Arial" w:cs="Arial"/>
        </w:rPr>
        <w:t xml:space="preserve">aning to be given to </w:t>
      </w:r>
      <w:r w:rsidR="0032651C">
        <w:rPr>
          <w:rFonts w:ascii="Arial" w:hAnsi="Arial" w:cs="Arial"/>
        </w:rPr>
        <w:t xml:space="preserve">the </w:t>
      </w:r>
      <w:r w:rsidR="00F15E12">
        <w:rPr>
          <w:rFonts w:ascii="Arial" w:hAnsi="Arial" w:cs="Arial"/>
        </w:rPr>
        <w:t xml:space="preserve">word </w:t>
      </w:r>
      <w:r>
        <w:rPr>
          <w:rFonts w:ascii="Arial" w:hAnsi="Arial" w:cs="Arial"/>
        </w:rPr>
        <w:t>“</w:t>
      </w:r>
      <w:r w:rsidR="00EE2C3B" w:rsidRPr="00491C20">
        <w:rPr>
          <w:rFonts w:ascii="Arial" w:hAnsi="Arial" w:cs="Arial"/>
          <w:i/>
        </w:rPr>
        <w:t>possession</w:t>
      </w:r>
      <w:r w:rsidR="00EE2C3B">
        <w:rPr>
          <w:rFonts w:ascii="Arial" w:hAnsi="Arial" w:cs="Arial"/>
        </w:rPr>
        <w:t xml:space="preserve"> “and</w:t>
      </w:r>
      <w:r w:rsidR="00730197">
        <w:rPr>
          <w:rFonts w:ascii="Arial" w:hAnsi="Arial" w:cs="Arial"/>
        </w:rPr>
        <w:t xml:space="preserve"> whether it is to be equated with possession in other legal senses </w:t>
      </w:r>
      <w:r w:rsidR="00B22B99">
        <w:rPr>
          <w:rFonts w:ascii="Arial" w:hAnsi="Arial" w:cs="Arial"/>
        </w:rPr>
        <w:t>has obscured the fact that the term is qualified</w:t>
      </w:r>
      <w:r w:rsidR="00720E3B">
        <w:rPr>
          <w:rFonts w:ascii="Arial" w:hAnsi="Arial" w:cs="Arial"/>
        </w:rPr>
        <w:t xml:space="preserve"> and defined</w:t>
      </w:r>
      <w:r w:rsidR="00B22B99">
        <w:rPr>
          <w:rFonts w:ascii="Arial" w:hAnsi="Arial" w:cs="Arial"/>
        </w:rPr>
        <w:t xml:space="preserve"> in the case of the </w:t>
      </w:r>
      <w:r>
        <w:rPr>
          <w:rFonts w:ascii="Arial" w:hAnsi="Arial" w:cs="Arial"/>
        </w:rPr>
        <w:t>mandament</w:t>
      </w:r>
      <w:r w:rsidR="00B22B99">
        <w:rPr>
          <w:rFonts w:ascii="Arial" w:hAnsi="Arial" w:cs="Arial"/>
        </w:rPr>
        <w:t xml:space="preserve"> by the </w:t>
      </w:r>
      <w:r>
        <w:rPr>
          <w:rFonts w:ascii="Arial" w:hAnsi="Arial" w:cs="Arial"/>
        </w:rPr>
        <w:t>requirement</w:t>
      </w:r>
      <w:r w:rsidR="00B22B99">
        <w:rPr>
          <w:rFonts w:ascii="Arial" w:hAnsi="Arial" w:cs="Arial"/>
        </w:rPr>
        <w:t xml:space="preserve"> that it be </w:t>
      </w:r>
      <w:r w:rsidR="001B56DD">
        <w:rPr>
          <w:rFonts w:ascii="Arial" w:hAnsi="Arial" w:cs="Arial"/>
        </w:rPr>
        <w:t>“</w:t>
      </w:r>
      <w:r w:rsidR="00730197" w:rsidRPr="002129A5">
        <w:rPr>
          <w:rFonts w:ascii="Arial" w:hAnsi="Arial" w:cs="Arial"/>
          <w:i/>
        </w:rPr>
        <w:t>peaceful and undisturbed</w:t>
      </w:r>
      <w:r w:rsidR="00730197">
        <w:rPr>
          <w:rFonts w:ascii="Arial" w:hAnsi="Arial" w:cs="Arial"/>
        </w:rPr>
        <w:t xml:space="preserve">”. </w:t>
      </w:r>
      <w:r w:rsidR="001B56DD">
        <w:rPr>
          <w:rFonts w:ascii="Arial" w:hAnsi="Arial" w:cs="Arial"/>
        </w:rPr>
        <w:t xml:space="preserve"> </w:t>
      </w:r>
    </w:p>
    <w:p w:rsidR="00ED4A80" w:rsidRDefault="00ED4A80" w:rsidP="00ED4A80">
      <w:pPr>
        <w:pStyle w:val="ListParagraph"/>
        <w:spacing w:line="360" w:lineRule="auto"/>
        <w:ind w:left="360"/>
        <w:rPr>
          <w:rFonts w:ascii="Arial" w:hAnsi="Arial" w:cs="Arial"/>
        </w:rPr>
      </w:pPr>
    </w:p>
    <w:p w:rsidR="00ED4A80" w:rsidRDefault="00F15E12" w:rsidP="00ED4A80">
      <w:pPr>
        <w:pStyle w:val="ListParagraph"/>
        <w:spacing w:line="360" w:lineRule="auto"/>
        <w:ind w:left="360"/>
        <w:rPr>
          <w:rFonts w:ascii="Arial" w:hAnsi="Arial" w:cs="Arial"/>
        </w:rPr>
      </w:pPr>
      <w:r>
        <w:rPr>
          <w:rFonts w:ascii="Arial" w:hAnsi="Arial" w:cs="Arial"/>
        </w:rPr>
        <w:t xml:space="preserve">In other </w:t>
      </w:r>
      <w:r w:rsidR="00A53C69">
        <w:rPr>
          <w:rFonts w:ascii="Arial" w:hAnsi="Arial" w:cs="Arial"/>
        </w:rPr>
        <w:t>words,</w:t>
      </w:r>
      <w:r>
        <w:rPr>
          <w:rFonts w:ascii="Arial" w:hAnsi="Arial" w:cs="Arial"/>
        </w:rPr>
        <w:t xml:space="preserve"> being an entirely factual enquiry the court is </w:t>
      </w:r>
      <w:r w:rsidR="00A53C69">
        <w:rPr>
          <w:rFonts w:ascii="Arial" w:hAnsi="Arial" w:cs="Arial"/>
        </w:rPr>
        <w:t>enjoined</w:t>
      </w:r>
      <w:r>
        <w:rPr>
          <w:rFonts w:ascii="Arial" w:hAnsi="Arial" w:cs="Arial"/>
        </w:rPr>
        <w:t xml:space="preserve"> to consider all the facts holistically to determine whether the person who claims to be spoliated had “</w:t>
      </w:r>
      <w:r w:rsidRPr="00EF7C74">
        <w:rPr>
          <w:rFonts w:ascii="Arial" w:hAnsi="Arial" w:cs="Arial"/>
          <w:i/>
        </w:rPr>
        <w:t>peaceful and undisturbed possession</w:t>
      </w:r>
      <w:r w:rsidR="002129A5">
        <w:rPr>
          <w:rFonts w:ascii="Arial" w:hAnsi="Arial" w:cs="Arial"/>
        </w:rPr>
        <w:t>”- in short,</w:t>
      </w:r>
      <w:r>
        <w:rPr>
          <w:rFonts w:ascii="Arial" w:hAnsi="Arial" w:cs="Arial"/>
        </w:rPr>
        <w:t xml:space="preserve"> the one element </w:t>
      </w:r>
      <w:r>
        <w:rPr>
          <w:rFonts w:ascii="Arial" w:hAnsi="Arial" w:cs="Arial"/>
        </w:rPr>
        <w:lastRenderedPageBreak/>
        <w:t xml:space="preserve">of the factual enquiry informs the other. </w:t>
      </w:r>
    </w:p>
    <w:p w:rsidR="00ED4A80" w:rsidRPr="00ED4A80" w:rsidRDefault="00ED4A80" w:rsidP="00ED4A80">
      <w:pPr>
        <w:pStyle w:val="ListParagraph"/>
        <w:rPr>
          <w:rFonts w:ascii="Arial" w:hAnsi="Arial" w:cs="Arial"/>
        </w:rPr>
      </w:pPr>
    </w:p>
    <w:p w:rsidR="002129A5" w:rsidRDefault="00F15E12" w:rsidP="00AF22DC">
      <w:pPr>
        <w:pStyle w:val="ListParagraph"/>
        <w:numPr>
          <w:ilvl w:val="0"/>
          <w:numId w:val="3"/>
        </w:numPr>
        <w:spacing w:line="360" w:lineRule="auto"/>
        <w:rPr>
          <w:rFonts w:ascii="Arial" w:hAnsi="Arial" w:cs="Arial"/>
        </w:rPr>
      </w:pPr>
      <w:r>
        <w:rPr>
          <w:rFonts w:ascii="Arial" w:hAnsi="Arial" w:cs="Arial"/>
        </w:rPr>
        <w:t>Similarly the factual  background to how peaceful and undisturbed possession came to be enjoyed (not by refere</w:t>
      </w:r>
      <w:r w:rsidR="00B71359">
        <w:rPr>
          <w:rFonts w:ascii="Arial" w:hAnsi="Arial" w:cs="Arial"/>
        </w:rPr>
        <w:t>n</w:t>
      </w:r>
      <w:r>
        <w:rPr>
          <w:rFonts w:ascii="Arial" w:hAnsi="Arial" w:cs="Arial"/>
        </w:rPr>
        <w:t>ce to its legal attribu</w:t>
      </w:r>
      <w:r w:rsidR="00A3404B">
        <w:rPr>
          <w:rFonts w:ascii="Arial" w:hAnsi="Arial" w:cs="Arial"/>
        </w:rPr>
        <w:t>tes but as to its factual circumstances</w:t>
      </w:r>
      <w:r>
        <w:rPr>
          <w:rFonts w:ascii="Arial" w:hAnsi="Arial" w:cs="Arial"/>
        </w:rPr>
        <w:t xml:space="preserve"> (</w:t>
      </w:r>
      <w:r w:rsidR="00A3404B">
        <w:rPr>
          <w:rFonts w:ascii="Arial" w:hAnsi="Arial" w:cs="Arial"/>
        </w:rPr>
        <w:t>see earlier)</w:t>
      </w:r>
      <w:r>
        <w:rPr>
          <w:rFonts w:ascii="Arial" w:hAnsi="Arial" w:cs="Arial"/>
        </w:rPr>
        <w:t>)</w:t>
      </w:r>
      <w:r w:rsidR="00ED4A80">
        <w:rPr>
          <w:rFonts w:ascii="Arial" w:hAnsi="Arial" w:cs="Arial"/>
        </w:rPr>
        <w:t xml:space="preserve"> and whether it is still enjoyed </w:t>
      </w:r>
      <w:r>
        <w:rPr>
          <w:rFonts w:ascii="Arial" w:hAnsi="Arial" w:cs="Arial"/>
        </w:rPr>
        <w:t xml:space="preserve">informs the factual </w:t>
      </w:r>
      <w:r w:rsidR="00ED4A80">
        <w:rPr>
          <w:rFonts w:ascii="Arial" w:hAnsi="Arial" w:cs="Arial"/>
        </w:rPr>
        <w:t xml:space="preserve">enquiry </w:t>
      </w:r>
      <w:r w:rsidR="00A3404B">
        <w:rPr>
          <w:rFonts w:ascii="Arial" w:hAnsi="Arial" w:cs="Arial"/>
        </w:rPr>
        <w:t xml:space="preserve">concerning </w:t>
      </w:r>
      <w:r w:rsidR="00ED4A80">
        <w:rPr>
          <w:rFonts w:ascii="Arial" w:hAnsi="Arial" w:cs="Arial"/>
        </w:rPr>
        <w:t xml:space="preserve">the </w:t>
      </w:r>
      <w:r w:rsidR="00A3404B">
        <w:rPr>
          <w:rFonts w:ascii="Arial" w:hAnsi="Arial" w:cs="Arial"/>
        </w:rPr>
        <w:t xml:space="preserve">changed </w:t>
      </w:r>
      <w:r w:rsidR="00ED4A80">
        <w:rPr>
          <w:rFonts w:ascii="Arial" w:hAnsi="Arial" w:cs="Arial"/>
        </w:rPr>
        <w:t>intention with which an applicant in a mandam</w:t>
      </w:r>
      <w:r w:rsidR="0032651C">
        <w:rPr>
          <w:rFonts w:ascii="Arial" w:hAnsi="Arial" w:cs="Arial"/>
        </w:rPr>
        <w:t>ent case h</w:t>
      </w:r>
      <w:r w:rsidR="00ED4A80">
        <w:rPr>
          <w:rFonts w:ascii="Arial" w:hAnsi="Arial" w:cs="Arial"/>
        </w:rPr>
        <w:t xml:space="preserve">olds the property and </w:t>
      </w:r>
      <w:r w:rsidR="00A3404B">
        <w:rPr>
          <w:rFonts w:ascii="Arial" w:hAnsi="Arial" w:cs="Arial"/>
        </w:rPr>
        <w:t>whether such holding remained peaceful and undisturbed once the changed intention became evident</w:t>
      </w:r>
      <w:r w:rsidR="002129A5">
        <w:rPr>
          <w:rFonts w:ascii="Arial" w:hAnsi="Arial" w:cs="Arial"/>
        </w:rPr>
        <w:t>.</w:t>
      </w:r>
      <w:r w:rsidR="00720E3B">
        <w:rPr>
          <w:rStyle w:val="FootnoteReference"/>
          <w:rFonts w:ascii="Arial" w:hAnsi="Arial" w:cs="Arial"/>
        </w:rPr>
        <w:footnoteReference w:id="62"/>
      </w:r>
    </w:p>
    <w:p w:rsidR="002129A5" w:rsidRDefault="002129A5" w:rsidP="002129A5">
      <w:pPr>
        <w:pStyle w:val="ListParagraph"/>
        <w:spacing w:line="360" w:lineRule="auto"/>
        <w:ind w:left="360"/>
        <w:rPr>
          <w:rFonts w:ascii="Arial" w:hAnsi="Arial" w:cs="Arial"/>
        </w:rPr>
      </w:pPr>
    </w:p>
    <w:p w:rsidR="00EB55EE" w:rsidRDefault="002129A5" w:rsidP="002129A5">
      <w:pPr>
        <w:pStyle w:val="ListParagraph"/>
        <w:spacing w:line="360" w:lineRule="auto"/>
        <w:ind w:left="360"/>
        <w:rPr>
          <w:rFonts w:ascii="Arial" w:hAnsi="Arial" w:cs="Arial"/>
        </w:rPr>
      </w:pPr>
      <w:r>
        <w:rPr>
          <w:rFonts w:ascii="Arial" w:hAnsi="Arial" w:cs="Arial"/>
        </w:rPr>
        <w:t xml:space="preserve">A court must also </w:t>
      </w:r>
      <w:r w:rsidR="00ED4A80">
        <w:rPr>
          <w:rFonts w:ascii="Arial" w:hAnsi="Arial" w:cs="Arial"/>
        </w:rPr>
        <w:t>bear in mind that</w:t>
      </w:r>
      <w:r w:rsidR="00A3404B">
        <w:rPr>
          <w:rFonts w:ascii="Arial" w:hAnsi="Arial" w:cs="Arial"/>
        </w:rPr>
        <w:t xml:space="preserve"> a mandam</w:t>
      </w:r>
      <w:r w:rsidR="0032651C">
        <w:rPr>
          <w:rFonts w:ascii="Arial" w:hAnsi="Arial" w:cs="Arial"/>
        </w:rPr>
        <w:t>ent</w:t>
      </w:r>
      <w:r w:rsidR="00A3404B">
        <w:rPr>
          <w:rFonts w:ascii="Arial" w:hAnsi="Arial" w:cs="Arial"/>
        </w:rPr>
        <w:t xml:space="preserve"> is </w:t>
      </w:r>
      <w:r w:rsidR="00ED4A80">
        <w:rPr>
          <w:rFonts w:ascii="Arial" w:hAnsi="Arial" w:cs="Arial"/>
        </w:rPr>
        <w:t xml:space="preserve"> in the form of final relief </w:t>
      </w:r>
      <w:r>
        <w:rPr>
          <w:rFonts w:ascii="Arial" w:hAnsi="Arial" w:cs="Arial"/>
        </w:rPr>
        <w:t xml:space="preserve">which means that </w:t>
      </w:r>
      <w:r w:rsidR="00ED4A80">
        <w:rPr>
          <w:rFonts w:ascii="Arial" w:hAnsi="Arial" w:cs="Arial"/>
        </w:rPr>
        <w:t xml:space="preserve">the applicant </w:t>
      </w:r>
      <w:r w:rsidR="0032651C">
        <w:rPr>
          <w:rFonts w:ascii="Arial" w:hAnsi="Arial" w:cs="Arial"/>
        </w:rPr>
        <w:t xml:space="preserve">for such an order </w:t>
      </w:r>
      <w:r w:rsidR="00ED4A80">
        <w:rPr>
          <w:rFonts w:ascii="Arial" w:hAnsi="Arial" w:cs="Arial"/>
        </w:rPr>
        <w:t>bear</w:t>
      </w:r>
      <w:r>
        <w:rPr>
          <w:rFonts w:ascii="Arial" w:hAnsi="Arial" w:cs="Arial"/>
        </w:rPr>
        <w:t>s</w:t>
      </w:r>
      <w:r w:rsidR="00ED4A80">
        <w:rPr>
          <w:rFonts w:ascii="Arial" w:hAnsi="Arial" w:cs="Arial"/>
        </w:rPr>
        <w:t xml:space="preserve"> the evidentiary burden based on the </w:t>
      </w:r>
      <w:r w:rsidR="00ED4A80" w:rsidRPr="00ED4A80">
        <w:rPr>
          <w:rFonts w:ascii="Arial" w:hAnsi="Arial" w:cs="Arial"/>
          <w:i/>
        </w:rPr>
        <w:t>Plascon-Evans</w:t>
      </w:r>
      <w:r w:rsidR="00B71359">
        <w:rPr>
          <w:rFonts w:ascii="Arial" w:hAnsi="Arial" w:cs="Arial"/>
        </w:rPr>
        <w:t xml:space="preserve"> rule</w:t>
      </w:r>
      <w:r w:rsidR="00FA0B6D">
        <w:rPr>
          <w:rStyle w:val="FootnoteReference"/>
          <w:rFonts w:ascii="Arial" w:hAnsi="Arial" w:cs="Arial"/>
        </w:rPr>
        <w:footnoteReference w:id="63"/>
      </w:r>
      <w:r w:rsidR="0032651C">
        <w:rPr>
          <w:rFonts w:ascii="Arial" w:hAnsi="Arial" w:cs="Arial"/>
        </w:rPr>
        <w:t xml:space="preserve">. In the present case it is the first respondent. </w:t>
      </w:r>
    </w:p>
    <w:p w:rsidR="00EF7C74" w:rsidRDefault="00EF7C74" w:rsidP="00EF7C74">
      <w:pPr>
        <w:pStyle w:val="ListParagraph"/>
        <w:spacing w:line="360" w:lineRule="auto"/>
        <w:ind w:left="360"/>
        <w:rPr>
          <w:rFonts w:ascii="Arial" w:hAnsi="Arial" w:cs="Arial"/>
        </w:rPr>
      </w:pPr>
    </w:p>
    <w:p w:rsidR="00730708" w:rsidRDefault="002129A5" w:rsidP="00AF22DC">
      <w:pPr>
        <w:pStyle w:val="ListParagraph"/>
        <w:numPr>
          <w:ilvl w:val="0"/>
          <w:numId w:val="3"/>
        </w:numPr>
        <w:spacing w:line="360" w:lineRule="auto"/>
        <w:rPr>
          <w:rFonts w:ascii="Arial" w:hAnsi="Arial" w:cs="Arial"/>
        </w:rPr>
      </w:pPr>
      <w:r>
        <w:rPr>
          <w:rFonts w:ascii="Arial" w:hAnsi="Arial" w:cs="Arial"/>
        </w:rPr>
        <w:t>C</w:t>
      </w:r>
      <w:r w:rsidR="00EF7C74">
        <w:rPr>
          <w:rFonts w:ascii="Arial" w:hAnsi="Arial" w:cs="Arial"/>
        </w:rPr>
        <w:t xml:space="preserve">ases such as </w:t>
      </w:r>
      <w:r w:rsidR="00EF7C74" w:rsidRPr="00EF7C74">
        <w:rPr>
          <w:rFonts w:ascii="Arial" w:hAnsi="Arial" w:cs="Arial"/>
          <w:i/>
        </w:rPr>
        <w:t>Residents of Setjwetla Informal Settlement v Johannesburg City</w:t>
      </w:r>
      <w:r w:rsidR="00EF7C74" w:rsidRPr="00EF7C74">
        <w:rPr>
          <w:rFonts w:ascii="Arial" w:hAnsi="Arial" w:cs="Arial"/>
        </w:rPr>
        <w:t xml:space="preserve"> 2017 (2) SA 516 (GJ)</w:t>
      </w:r>
      <w:r w:rsidR="00EF7C74">
        <w:rPr>
          <w:rFonts w:ascii="Arial" w:hAnsi="Arial" w:cs="Arial"/>
        </w:rPr>
        <w:t xml:space="preserve"> at </w:t>
      </w:r>
      <w:r w:rsidR="00263BF2">
        <w:rPr>
          <w:rFonts w:ascii="Arial" w:hAnsi="Arial" w:cs="Arial"/>
        </w:rPr>
        <w:t xml:space="preserve">519E </w:t>
      </w:r>
      <w:r w:rsidR="00730708">
        <w:rPr>
          <w:rFonts w:ascii="Arial" w:hAnsi="Arial" w:cs="Arial"/>
        </w:rPr>
        <w:t xml:space="preserve">mention </w:t>
      </w:r>
      <w:r>
        <w:rPr>
          <w:rFonts w:ascii="Arial" w:hAnsi="Arial" w:cs="Arial"/>
        </w:rPr>
        <w:t xml:space="preserve">that </w:t>
      </w:r>
      <w:r w:rsidR="009966E2">
        <w:rPr>
          <w:rFonts w:ascii="Arial" w:hAnsi="Arial" w:cs="Arial"/>
        </w:rPr>
        <w:t xml:space="preserve">granting a mandamus where there is </w:t>
      </w:r>
      <w:r w:rsidR="00263BF2">
        <w:rPr>
          <w:rFonts w:ascii="Arial" w:hAnsi="Arial" w:cs="Arial"/>
        </w:rPr>
        <w:t xml:space="preserve">a </w:t>
      </w:r>
      <w:r w:rsidR="009966E2">
        <w:rPr>
          <w:rFonts w:ascii="Arial" w:hAnsi="Arial" w:cs="Arial"/>
        </w:rPr>
        <w:t>failure to obtain a court order by a person dispossessed, particular when it is an Organ of State, is “</w:t>
      </w:r>
      <w:r w:rsidR="009966E2" w:rsidRPr="009966E2">
        <w:rPr>
          <w:rFonts w:ascii="Arial" w:hAnsi="Arial" w:cs="Arial"/>
        </w:rPr>
        <w:t xml:space="preserve"> </w:t>
      </w:r>
      <w:r w:rsidR="009966E2" w:rsidRPr="009966E2">
        <w:rPr>
          <w:rFonts w:ascii="Arial" w:hAnsi="Arial" w:cs="Arial"/>
          <w:i/>
        </w:rPr>
        <w:t>to prevent self-help; to foster respect for the rule of law; and to encourage the establishment and maintenance of a regulated society</w:t>
      </w:r>
      <w:r w:rsidR="006A7556">
        <w:rPr>
          <w:rFonts w:ascii="Arial" w:hAnsi="Arial" w:cs="Arial"/>
          <w:i/>
        </w:rPr>
        <w:t>”</w:t>
      </w:r>
      <w:r w:rsidR="009966E2">
        <w:rPr>
          <w:rStyle w:val="FootnoteReference"/>
          <w:rFonts w:ascii="Arial" w:hAnsi="Arial" w:cs="Arial"/>
          <w:i/>
        </w:rPr>
        <w:footnoteReference w:id="64"/>
      </w:r>
      <w:r w:rsidR="00730708">
        <w:rPr>
          <w:rFonts w:ascii="Arial" w:hAnsi="Arial" w:cs="Arial"/>
        </w:rPr>
        <w:t xml:space="preserve">. </w:t>
      </w:r>
    </w:p>
    <w:p w:rsidR="00730708" w:rsidRDefault="00730708" w:rsidP="00730708">
      <w:pPr>
        <w:pStyle w:val="ListParagraph"/>
        <w:spacing w:line="360" w:lineRule="auto"/>
        <w:ind w:left="360"/>
        <w:rPr>
          <w:rFonts w:ascii="Arial" w:hAnsi="Arial" w:cs="Arial"/>
        </w:rPr>
      </w:pPr>
    </w:p>
    <w:p w:rsidR="00936B8B" w:rsidRDefault="00730708" w:rsidP="00730708">
      <w:pPr>
        <w:pStyle w:val="ListParagraph"/>
        <w:spacing w:line="360" w:lineRule="auto"/>
        <w:ind w:left="360"/>
        <w:rPr>
          <w:rFonts w:ascii="Arial" w:hAnsi="Arial" w:cs="Arial"/>
        </w:rPr>
      </w:pPr>
      <w:r>
        <w:rPr>
          <w:rFonts w:ascii="Arial" w:hAnsi="Arial" w:cs="Arial"/>
        </w:rPr>
        <w:t xml:space="preserve">However regard should also be had to the reasons given by </w:t>
      </w:r>
      <w:r w:rsidR="006A7556">
        <w:rPr>
          <w:rFonts w:ascii="Arial" w:hAnsi="Arial" w:cs="Arial"/>
        </w:rPr>
        <w:t>Flemming DJP</w:t>
      </w:r>
      <w:r>
        <w:rPr>
          <w:rFonts w:ascii="Arial" w:hAnsi="Arial" w:cs="Arial"/>
        </w:rPr>
        <w:t xml:space="preserve"> for the need to first establish if peaceful and undisturbed possession has in fact been acquired by the person relying on the mandament. The relevant extracts were set out earlier and include the following</w:t>
      </w:r>
      <w:r w:rsidR="00936B8B">
        <w:rPr>
          <w:rFonts w:ascii="Arial" w:hAnsi="Arial" w:cs="Arial"/>
        </w:rPr>
        <w:t>:</w:t>
      </w:r>
    </w:p>
    <w:p w:rsidR="002129A5" w:rsidRDefault="002129A5" w:rsidP="002129A5">
      <w:pPr>
        <w:pStyle w:val="ListParagraph"/>
        <w:spacing w:line="360" w:lineRule="auto"/>
        <w:ind w:left="360"/>
        <w:rPr>
          <w:rFonts w:ascii="Arial" w:hAnsi="Arial" w:cs="Arial"/>
        </w:rPr>
      </w:pPr>
    </w:p>
    <w:p w:rsidR="00B7474B" w:rsidRDefault="00B7474B" w:rsidP="00B7474B">
      <w:pPr>
        <w:pStyle w:val="ListParagraph"/>
        <w:spacing w:line="360" w:lineRule="auto"/>
        <w:rPr>
          <w:rFonts w:ascii="Arial" w:hAnsi="Arial" w:cs="Arial"/>
          <w:i/>
          <w:lang w:val="en-US"/>
        </w:rPr>
      </w:pPr>
      <w:r w:rsidRPr="00B7474B">
        <w:rPr>
          <w:rFonts w:ascii="Arial" w:hAnsi="Arial" w:cs="Arial"/>
          <w:i/>
        </w:rPr>
        <w:t>“</w:t>
      </w:r>
      <w:r w:rsidRPr="00B7474B">
        <w:rPr>
          <w:rFonts w:ascii="Arial" w:hAnsi="Arial" w:cs="Arial"/>
          <w:i/>
          <w:lang w:val="en-US"/>
        </w:rPr>
        <w:t>. It seems sufficiently logical to find</w:t>
      </w:r>
      <w:r>
        <w:rPr>
          <w:rFonts w:ascii="Arial" w:hAnsi="Arial" w:cs="Arial"/>
          <w:i/>
          <w:lang w:val="en-US"/>
        </w:rPr>
        <w:t xml:space="preserve"> the answer therein that it is </w:t>
      </w:r>
      <w:r w:rsidRPr="00B7474B">
        <w:rPr>
          <w:rFonts w:ascii="Arial" w:hAnsi="Arial" w:cs="Arial"/>
          <w:i/>
          <w:lang w:val="en-US"/>
        </w:rPr>
        <w:t>appropriate to regard it as actionable to disturb possession only if the possession clearly exists, if the possession is sufficiently firm or established to be deserving of protection with such a strong remedy.</w:t>
      </w:r>
    </w:p>
    <w:p w:rsidR="00B7474B" w:rsidRDefault="00B7474B" w:rsidP="00B7474B">
      <w:pPr>
        <w:pStyle w:val="ListParagraph"/>
        <w:spacing w:line="360" w:lineRule="auto"/>
        <w:rPr>
          <w:rFonts w:ascii="Arial" w:hAnsi="Arial" w:cs="Arial"/>
          <w:i/>
          <w:lang w:val="en-US"/>
        </w:rPr>
      </w:pPr>
      <w:r w:rsidRPr="00B7474B">
        <w:rPr>
          <w:rFonts w:ascii="Arial" w:hAnsi="Arial" w:cs="Arial"/>
          <w:i/>
          <w:lang w:val="en-US"/>
        </w:rPr>
        <w:lastRenderedPageBreak/>
        <w:t>As a matter of policy, the object of the remedy, fairness, or desirability, such a blindfolded remedy should not be available to someone who is merely in the process of pushing another out of his possession and whose </w:t>
      </w:r>
      <w:r w:rsidRPr="00B7474B">
        <w:rPr>
          <w:rFonts w:ascii="Arial" w:hAnsi="Arial" w:cs="Arial"/>
          <w:i/>
          <w:iCs/>
          <w:lang w:val="en-US"/>
        </w:rPr>
        <w:t>de facto</w:t>
      </w:r>
      <w:r w:rsidRPr="00B7474B">
        <w:rPr>
          <w:rFonts w:ascii="Arial" w:hAnsi="Arial" w:cs="Arial"/>
          <w:i/>
          <w:lang w:val="en-US"/>
        </w:rPr>
        <w:t> control is</w:t>
      </w:r>
      <w:r>
        <w:rPr>
          <w:rFonts w:ascii="Arial" w:hAnsi="Arial" w:cs="Arial"/>
          <w:i/>
          <w:lang w:val="en-US"/>
        </w:rPr>
        <w:t xml:space="preserve"> not yet an accomplished fact. </w:t>
      </w:r>
      <w:r w:rsidRPr="00B7474B">
        <w:rPr>
          <w:rFonts w:ascii="Arial" w:hAnsi="Arial" w:cs="Arial"/>
          <w:i/>
          <w:lang w:val="en-US"/>
        </w:rPr>
        <w:t>The remedy does not merit existence in order to give assistance to someone whose attempt to exclude his predecessor </w:t>
      </w:r>
      <w:r w:rsidRPr="00B7474B">
        <w:rPr>
          <w:rFonts w:ascii="Arial" w:hAnsi="Arial" w:cs="Arial"/>
          <w:i/>
          <w:iCs/>
          <w:lang w:val="en-US"/>
        </w:rPr>
        <w:t>pro tanto</w:t>
      </w:r>
      <w:r w:rsidRPr="00B7474B">
        <w:rPr>
          <w:rFonts w:ascii="Arial" w:hAnsi="Arial" w:cs="Arial"/>
          <w:i/>
          <w:lang w:val="en-US"/>
        </w:rPr>
        <w:t> is still uncompleted.</w:t>
      </w:r>
      <w:r>
        <w:rPr>
          <w:rStyle w:val="FootnoteReference"/>
          <w:rFonts w:ascii="Arial" w:hAnsi="Arial" w:cs="Arial"/>
          <w:i/>
          <w:lang w:val="en-US"/>
        </w:rPr>
        <w:footnoteReference w:id="65"/>
      </w:r>
    </w:p>
    <w:p w:rsidR="00936B8B" w:rsidRDefault="00936B8B" w:rsidP="006A7556">
      <w:pPr>
        <w:pStyle w:val="ListParagraph"/>
        <w:rPr>
          <w:rFonts w:ascii="Arial" w:hAnsi="Arial" w:cs="Arial"/>
          <w:i/>
        </w:rPr>
      </w:pPr>
    </w:p>
    <w:p w:rsidR="00936B8B" w:rsidRPr="006A7556" w:rsidRDefault="00936B8B" w:rsidP="006A7556">
      <w:pPr>
        <w:pStyle w:val="ListParagraph"/>
        <w:rPr>
          <w:rFonts w:ascii="Arial" w:hAnsi="Arial" w:cs="Arial"/>
          <w:i/>
        </w:rPr>
      </w:pPr>
    </w:p>
    <w:p w:rsidR="00DD1450" w:rsidRDefault="009966E2" w:rsidP="00AF22DC">
      <w:pPr>
        <w:pStyle w:val="ListParagraph"/>
        <w:numPr>
          <w:ilvl w:val="0"/>
          <w:numId w:val="3"/>
        </w:numPr>
        <w:spacing w:line="360" w:lineRule="auto"/>
        <w:rPr>
          <w:rFonts w:ascii="Arial" w:hAnsi="Arial" w:cs="Arial"/>
        </w:rPr>
      </w:pPr>
      <w:r>
        <w:rPr>
          <w:rFonts w:ascii="Arial" w:hAnsi="Arial" w:cs="Arial"/>
          <w:i/>
        </w:rPr>
        <w:t xml:space="preserve"> </w:t>
      </w:r>
      <w:r w:rsidR="00DD1450">
        <w:rPr>
          <w:rFonts w:ascii="Arial" w:hAnsi="Arial" w:cs="Arial"/>
        </w:rPr>
        <w:t xml:space="preserve">These passages also appear to address the concerns that the common law mandament van spolie of Roman-Dutch law ought to be </w:t>
      </w:r>
      <w:r w:rsidR="0032651C">
        <w:rPr>
          <w:rFonts w:ascii="Arial" w:hAnsi="Arial" w:cs="Arial"/>
        </w:rPr>
        <w:t xml:space="preserve">further tempered </w:t>
      </w:r>
      <w:r w:rsidR="008D4983">
        <w:rPr>
          <w:rFonts w:ascii="Arial" w:hAnsi="Arial" w:cs="Arial"/>
        </w:rPr>
        <w:t xml:space="preserve">in a </w:t>
      </w:r>
      <w:r w:rsidR="0032651C">
        <w:rPr>
          <w:rFonts w:ascii="Arial" w:hAnsi="Arial" w:cs="Arial"/>
        </w:rPr>
        <w:t>C</w:t>
      </w:r>
      <w:r w:rsidR="00DD1450">
        <w:rPr>
          <w:rFonts w:ascii="Arial" w:hAnsi="Arial" w:cs="Arial"/>
        </w:rPr>
        <w:t xml:space="preserve">onstitutional </w:t>
      </w:r>
      <w:r w:rsidR="0032651C">
        <w:rPr>
          <w:rFonts w:ascii="Arial" w:hAnsi="Arial" w:cs="Arial"/>
        </w:rPr>
        <w:t>democracy.</w:t>
      </w:r>
      <w:r w:rsidR="00DD1450">
        <w:rPr>
          <w:rFonts w:ascii="Arial" w:hAnsi="Arial" w:cs="Arial"/>
        </w:rPr>
        <w:t xml:space="preserve"> </w:t>
      </w:r>
    </w:p>
    <w:p w:rsidR="00DD1450" w:rsidRDefault="00DD1450" w:rsidP="00DD1450">
      <w:pPr>
        <w:pStyle w:val="ListParagraph"/>
        <w:spacing w:line="360" w:lineRule="auto"/>
        <w:ind w:left="360"/>
        <w:rPr>
          <w:rFonts w:ascii="Arial" w:hAnsi="Arial" w:cs="Arial"/>
        </w:rPr>
      </w:pPr>
    </w:p>
    <w:p w:rsidR="00DD1450" w:rsidRDefault="00DD1450" w:rsidP="00DD1450">
      <w:pPr>
        <w:pStyle w:val="ListParagraph"/>
        <w:spacing w:line="360" w:lineRule="auto"/>
        <w:ind w:left="360"/>
        <w:rPr>
          <w:rFonts w:ascii="Arial" w:hAnsi="Arial" w:cs="Arial"/>
        </w:rPr>
      </w:pPr>
      <w:r>
        <w:rPr>
          <w:rFonts w:ascii="Arial" w:hAnsi="Arial" w:cs="Arial"/>
        </w:rPr>
        <w:t xml:space="preserve">As set out earlier the incursor onto </w:t>
      </w:r>
      <w:r w:rsidR="00730708">
        <w:rPr>
          <w:rFonts w:ascii="Arial" w:hAnsi="Arial" w:cs="Arial"/>
        </w:rPr>
        <w:t>land, the owner of the land and</w:t>
      </w:r>
      <w:r>
        <w:rPr>
          <w:rFonts w:ascii="Arial" w:hAnsi="Arial" w:cs="Arial"/>
        </w:rPr>
        <w:t xml:space="preserve"> in the present </w:t>
      </w:r>
      <w:r w:rsidR="00730708">
        <w:rPr>
          <w:rFonts w:ascii="Arial" w:hAnsi="Arial" w:cs="Arial"/>
        </w:rPr>
        <w:t>case</w:t>
      </w:r>
      <w:r>
        <w:rPr>
          <w:rFonts w:ascii="Arial" w:hAnsi="Arial" w:cs="Arial"/>
        </w:rPr>
        <w:t xml:space="preserve"> those entitled to take occupation of the land under s 26 of the Constitution </w:t>
      </w:r>
      <w:r w:rsidR="00730708">
        <w:rPr>
          <w:rFonts w:ascii="Arial" w:hAnsi="Arial" w:cs="Arial"/>
        </w:rPr>
        <w:t>(</w:t>
      </w:r>
      <w:r>
        <w:rPr>
          <w:rFonts w:ascii="Arial" w:hAnsi="Arial" w:cs="Arial"/>
        </w:rPr>
        <w:t xml:space="preserve">pursuant to RDP legislation itself initiated in </w:t>
      </w:r>
      <w:r w:rsidR="00A53C69">
        <w:rPr>
          <w:rFonts w:ascii="Arial" w:hAnsi="Arial" w:cs="Arial"/>
        </w:rPr>
        <w:t>order</w:t>
      </w:r>
      <w:r w:rsidR="00730708">
        <w:rPr>
          <w:rFonts w:ascii="Arial" w:hAnsi="Arial" w:cs="Arial"/>
        </w:rPr>
        <w:t xml:space="preserve"> to give</w:t>
      </w:r>
      <w:r>
        <w:rPr>
          <w:rFonts w:ascii="Arial" w:hAnsi="Arial" w:cs="Arial"/>
        </w:rPr>
        <w:t xml:space="preserve"> effect</w:t>
      </w:r>
      <w:r w:rsidR="00250AC1">
        <w:rPr>
          <w:rFonts w:ascii="Arial" w:hAnsi="Arial" w:cs="Arial"/>
        </w:rPr>
        <w:t xml:space="preserve"> to such right</w:t>
      </w:r>
      <w:r>
        <w:rPr>
          <w:rFonts w:ascii="Arial" w:hAnsi="Arial" w:cs="Arial"/>
        </w:rPr>
        <w:t xml:space="preserve"> </w:t>
      </w:r>
      <w:r w:rsidR="00250AC1">
        <w:rPr>
          <w:rFonts w:ascii="Arial" w:hAnsi="Arial" w:cs="Arial"/>
        </w:rPr>
        <w:t>and also in respect of those to whom the Land Claims Court judgment applies</w:t>
      </w:r>
      <w:r w:rsidR="00250AC1">
        <w:rPr>
          <w:rStyle w:val="FootnoteReference"/>
          <w:rFonts w:ascii="Arial" w:hAnsi="Arial" w:cs="Arial"/>
        </w:rPr>
        <w:footnoteReference w:id="66"/>
      </w:r>
      <w:r w:rsidR="00250AC1">
        <w:rPr>
          <w:rFonts w:ascii="Arial" w:hAnsi="Arial" w:cs="Arial"/>
        </w:rPr>
        <w:t xml:space="preserve">) </w:t>
      </w:r>
      <w:r>
        <w:rPr>
          <w:rFonts w:ascii="Arial" w:hAnsi="Arial" w:cs="Arial"/>
        </w:rPr>
        <w:t xml:space="preserve">all have legitimate claims to protection afforded under the Bill of Rights provisions. </w:t>
      </w:r>
    </w:p>
    <w:p w:rsidR="00DD1450" w:rsidRDefault="00DD1450" w:rsidP="00DD1450">
      <w:pPr>
        <w:pStyle w:val="ListParagraph"/>
        <w:spacing w:line="360" w:lineRule="auto"/>
        <w:ind w:left="360"/>
        <w:rPr>
          <w:rFonts w:ascii="Arial" w:hAnsi="Arial" w:cs="Arial"/>
        </w:rPr>
      </w:pPr>
    </w:p>
    <w:p w:rsidR="00811FA5" w:rsidRDefault="00DD1450" w:rsidP="00DD1450">
      <w:pPr>
        <w:pStyle w:val="ListParagraph"/>
        <w:spacing w:line="360" w:lineRule="auto"/>
        <w:ind w:left="360"/>
        <w:rPr>
          <w:rFonts w:ascii="Arial" w:hAnsi="Arial" w:cs="Arial"/>
        </w:rPr>
      </w:pPr>
      <w:r>
        <w:rPr>
          <w:rFonts w:ascii="Arial" w:hAnsi="Arial" w:cs="Arial"/>
        </w:rPr>
        <w:t>Flem</w:t>
      </w:r>
      <w:r w:rsidR="00250AC1">
        <w:rPr>
          <w:rFonts w:ascii="Arial" w:hAnsi="Arial" w:cs="Arial"/>
        </w:rPr>
        <w:t>m</w:t>
      </w:r>
      <w:r>
        <w:rPr>
          <w:rFonts w:ascii="Arial" w:hAnsi="Arial" w:cs="Arial"/>
        </w:rPr>
        <w:t xml:space="preserve">ing DJP identified issues of fairness in the application of the mandament by </w:t>
      </w:r>
      <w:r w:rsidR="007A7685">
        <w:rPr>
          <w:rFonts w:ascii="Arial" w:hAnsi="Arial" w:cs="Arial"/>
        </w:rPr>
        <w:t xml:space="preserve">reason of </w:t>
      </w:r>
      <w:r>
        <w:rPr>
          <w:rFonts w:ascii="Arial" w:hAnsi="Arial" w:cs="Arial"/>
        </w:rPr>
        <w:t xml:space="preserve">its requirement of peaceful and undisturbed possession and </w:t>
      </w:r>
      <w:r w:rsidR="00730708">
        <w:rPr>
          <w:rFonts w:ascii="Arial" w:hAnsi="Arial" w:cs="Arial"/>
        </w:rPr>
        <w:t xml:space="preserve">further </w:t>
      </w:r>
      <w:r w:rsidR="007A7685">
        <w:rPr>
          <w:rFonts w:ascii="Arial" w:hAnsi="Arial" w:cs="Arial"/>
        </w:rPr>
        <w:t>identified the</w:t>
      </w:r>
      <w:r>
        <w:rPr>
          <w:rFonts w:ascii="Arial" w:hAnsi="Arial" w:cs="Arial"/>
        </w:rPr>
        <w:t xml:space="preserve"> </w:t>
      </w:r>
      <w:r w:rsidR="007A7685">
        <w:rPr>
          <w:rFonts w:ascii="Arial" w:hAnsi="Arial" w:cs="Arial"/>
        </w:rPr>
        <w:t xml:space="preserve">point </w:t>
      </w:r>
      <w:r w:rsidR="00250AC1">
        <w:rPr>
          <w:rFonts w:ascii="Arial" w:hAnsi="Arial" w:cs="Arial"/>
        </w:rPr>
        <w:t>of</w:t>
      </w:r>
      <w:r>
        <w:rPr>
          <w:rFonts w:ascii="Arial" w:hAnsi="Arial" w:cs="Arial"/>
        </w:rPr>
        <w:t xml:space="preserve"> </w:t>
      </w:r>
      <w:r w:rsidR="00491C20">
        <w:rPr>
          <w:rFonts w:ascii="Arial" w:hAnsi="Arial" w:cs="Arial"/>
        </w:rPr>
        <w:t>juridical</w:t>
      </w:r>
      <w:r w:rsidR="007A7685">
        <w:rPr>
          <w:rFonts w:ascii="Arial" w:hAnsi="Arial" w:cs="Arial"/>
        </w:rPr>
        <w:t xml:space="preserve"> </w:t>
      </w:r>
      <w:r w:rsidR="00A53C69">
        <w:rPr>
          <w:rFonts w:ascii="Arial" w:hAnsi="Arial" w:cs="Arial"/>
        </w:rPr>
        <w:t>inter</w:t>
      </w:r>
      <w:r w:rsidR="00491C20">
        <w:rPr>
          <w:rFonts w:ascii="Arial" w:hAnsi="Arial" w:cs="Arial"/>
        </w:rPr>
        <w:t>vention</w:t>
      </w:r>
      <w:r>
        <w:rPr>
          <w:rFonts w:ascii="Arial" w:hAnsi="Arial" w:cs="Arial"/>
        </w:rPr>
        <w:t xml:space="preserve"> </w:t>
      </w:r>
      <w:r w:rsidR="007A7685">
        <w:rPr>
          <w:rFonts w:ascii="Arial" w:hAnsi="Arial" w:cs="Arial"/>
        </w:rPr>
        <w:t xml:space="preserve">where </w:t>
      </w:r>
      <w:r>
        <w:rPr>
          <w:rFonts w:ascii="Arial" w:hAnsi="Arial" w:cs="Arial"/>
        </w:rPr>
        <w:t xml:space="preserve">taking the law into </w:t>
      </w:r>
      <w:r w:rsidR="00A53C69">
        <w:rPr>
          <w:rFonts w:ascii="Arial" w:hAnsi="Arial" w:cs="Arial"/>
        </w:rPr>
        <w:t>one’s</w:t>
      </w:r>
      <w:r>
        <w:rPr>
          <w:rFonts w:ascii="Arial" w:hAnsi="Arial" w:cs="Arial"/>
        </w:rPr>
        <w:t xml:space="preserve"> own hands </w:t>
      </w:r>
      <w:r w:rsidR="007A7685">
        <w:rPr>
          <w:rFonts w:ascii="Arial" w:hAnsi="Arial" w:cs="Arial"/>
        </w:rPr>
        <w:t>(</w:t>
      </w:r>
      <w:r>
        <w:rPr>
          <w:rFonts w:ascii="Arial" w:hAnsi="Arial" w:cs="Arial"/>
        </w:rPr>
        <w:t xml:space="preserve">by a </w:t>
      </w:r>
      <w:r w:rsidR="00A53C69">
        <w:rPr>
          <w:rFonts w:ascii="Arial" w:hAnsi="Arial" w:cs="Arial"/>
        </w:rPr>
        <w:t>person attempting</w:t>
      </w:r>
      <w:r>
        <w:rPr>
          <w:rFonts w:ascii="Arial" w:hAnsi="Arial" w:cs="Arial"/>
        </w:rPr>
        <w:t xml:space="preserve"> to intrude onto land without lawful cause or a </w:t>
      </w:r>
      <w:r w:rsidR="00A53C69">
        <w:rPr>
          <w:rFonts w:ascii="Arial" w:hAnsi="Arial" w:cs="Arial"/>
        </w:rPr>
        <w:t>court</w:t>
      </w:r>
      <w:r>
        <w:rPr>
          <w:rFonts w:ascii="Arial" w:hAnsi="Arial" w:cs="Arial"/>
        </w:rPr>
        <w:t xml:space="preserve"> order</w:t>
      </w:r>
      <w:r w:rsidR="007A7685">
        <w:rPr>
          <w:rFonts w:ascii="Arial" w:hAnsi="Arial" w:cs="Arial"/>
        </w:rPr>
        <w:t>)</w:t>
      </w:r>
      <w:r>
        <w:rPr>
          <w:rFonts w:ascii="Arial" w:hAnsi="Arial" w:cs="Arial"/>
        </w:rPr>
        <w:t xml:space="preserve"> can </w:t>
      </w:r>
      <w:r w:rsidR="007A7685">
        <w:rPr>
          <w:rFonts w:ascii="Arial" w:hAnsi="Arial" w:cs="Arial"/>
        </w:rPr>
        <w:t xml:space="preserve">be met </w:t>
      </w:r>
      <w:r w:rsidR="00A53C69">
        <w:rPr>
          <w:rFonts w:ascii="Arial" w:hAnsi="Arial" w:cs="Arial"/>
        </w:rPr>
        <w:t>with lawful</w:t>
      </w:r>
      <w:r w:rsidR="007A7685">
        <w:rPr>
          <w:rFonts w:ascii="Arial" w:hAnsi="Arial" w:cs="Arial"/>
        </w:rPr>
        <w:t xml:space="preserve"> </w:t>
      </w:r>
      <w:r w:rsidR="00A53C69">
        <w:rPr>
          <w:rFonts w:ascii="Arial" w:hAnsi="Arial" w:cs="Arial"/>
        </w:rPr>
        <w:t>resistance</w:t>
      </w:r>
      <w:r w:rsidR="00730708">
        <w:rPr>
          <w:rFonts w:ascii="Arial" w:hAnsi="Arial" w:cs="Arial"/>
        </w:rPr>
        <w:t>.</w:t>
      </w:r>
    </w:p>
    <w:p w:rsidR="0021521B" w:rsidRDefault="0021521B" w:rsidP="00DD1450">
      <w:pPr>
        <w:pStyle w:val="ListParagraph"/>
        <w:spacing w:line="360" w:lineRule="auto"/>
        <w:ind w:left="360"/>
        <w:rPr>
          <w:rFonts w:ascii="Arial" w:hAnsi="Arial" w:cs="Arial"/>
        </w:rPr>
      </w:pPr>
    </w:p>
    <w:p w:rsidR="00811FA5" w:rsidRDefault="00811FA5" w:rsidP="00AF22DC">
      <w:pPr>
        <w:pStyle w:val="ListParagraph"/>
        <w:numPr>
          <w:ilvl w:val="0"/>
          <w:numId w:val="3"/>
        </w:numPr>
        <w:spacing w:line="360" w:lineRule="auto"/>
        <w:rPr>
          <w:rFonts w:ascii="Arial" w:hAnsi="Arial" w:cs="Arial"/>
        </w:rPr>
      </w:pPr>
      <w:r w:rsidRPr="00811FA5">
        <w:rPr>
          <w:rFonts w:ascii="Arial" w:hAnsi="Arial" w:cs="Arial"/>
        </w:rPr>
        <w:t>How th</w:t>
      </w:r>
      <w:r w:rsidR="007A7685">
        <w:rPr>
          <w:rFonts w:ascii="Arial" w:hAnsi="Arial" w:cs="Arial"/>
        </w:rPr>
        <w:t>e</w:t>
      </w:r>
      <w:r w:rsidR="00DD1450" w:rsidRPr="00811FA5">
        <w:rPr>
          <w:rFonts w:ascii="Arial" w:hAnsi="Arial" w:cs="Arial"/>
        </w:rPr>
        <w:t xml:space="preserve"> </w:t>
      </w:r>
      <w:r w:rsidRPr="00811FA5">
        <w:rPr>
          <w:rFonts w:ascii="Arial" w:hAnsi="Arial" w:cs="Arial"/>
        </w:rPr>
        <w:t>intrusion can be resisted was also considered by Flem</w:t>
      </w:r>
      <w:r w:rsidR="00250AC1">
        <w:rPr>
          <w:rFonts w:ascii="Arial" w:hAnsi="Arial" w:cs="Arial"/>
        </w:rPr>
        <w:t>m</w:t>
      </w:r>
      <w:r w:rsidRPr="00811FA5">
        <w:rPr>
          <w:rFonts w:ascii="Arial" w:hAnsi="Arial" w:cs="Arial"/>
        </w:rPr>
        <w:t xml:space="preserve">ing DJP. After stating that </w:t>
      </w:r>
    </w:p>
    <w:p w:rsidR="00811FA5" w:rsidRDefault="00811FA5" w:rsidP="00811FA5">
      <w:pPr>
        <w:pStyle w:val="ListParagraph"/>
        <w:spacing w:line="360" w:lineRule="auto"/>
        <w:rPr>
          <w:rFonts w:ascii="Arial" w:hAnsi="Arial" w:cs="Arial"/>
        </w:rPr>
      </w:pPr>
    </w:p>
    <w:p w:rsidR="00811FA5" w:rsidRPr="00370ADE" w:rsidRDefault="00A53C69" w:rsidP="00811FA5">
      <w:pPr>
        <w:pStyle w:val="ListParagraph"/>
        <w:spacing w:line="360" w:lineRule="auto"/>
        <w:ind w:left="1440"/>
        <w:rPr>
          <w:rFonts w:ascii="Arial" w:hAnsi="Arial" w:cs="Arial"/>
          <w:i/>
        </w:rPr>
      </w:pPr>
      <w:r w:rsidRPr="00370ADE">
        <w:rPr>
          <w:rFonts w:ascii="Arial" w:hAnsi="Arial" w:cs="Arial"/>
          <w:i/>
        </w:rPr>
        <w:t>“The</w:t>
      </w:r>
      <w:r w:rsidR="00811FA5" w:rsidRPr="00370ADE">
        <w:rPr>
          <w:rFonts w:ascii="Arial" w:hAnsi="Arial" w:cs="Arial"/>
          <w:i/>
        </w:rPr>
        <w:t xml:space="preserve"> question necessarily arises what type and degree of </w:t>
      </w:r>
      <w:r w:rsidRPr="00370ADE">
        <w:rPr>
          <w:rFonts w:ascii="Arial" w:hAnsi="Arial" w:cs="Arial"/>
          <w:i/>
        </w:rPr>
        <w:t xml:space="preserve">resistance </w:t>
      </w:r>
      <w:r w:rsidRPr="00370ADE">
        <w:rPr>
          <w:rFonts w:ascii="Arial" w:hAnsi="Arial" w:cs="Arial"/>
          <w:i/>
        </w:rPr>
        <w:lastRenderedPageBreak/>
        <w:t>would</w:t>
      </w:r>
      <w:r w:rsidR="00811FA5" w:rsidRPr="00370ADE">
        <w:rPr>
          <w:rFonts w:ascii="Arial" w:hAnsi="Arial" w:cs="Arial"/>
          <w:i/>
        </w:rPr>
        <w:t xml:space="preserve"> cause the requirement to be lacking. I doubt whether it is possible to define that in vacuo. The reason why the requirement exists, cognisance of the reason why the remedy exists, and also the lack of authority for a contrary view, point thereto that less than physical resistance is sufficient.”</w:t>
      </w:r>
    </w:p>
    <w:p w:rsidR="00811FA5" w:rsidRDefault="00811FA5" w:rsidP="00811FA5">
      <w:pPr>
        <w:pStyle w:val="ListParagraph"/>
        <w:spacing w:line="360" w:lineRule="auto"/>
        <w:ind w:left="1440"/>
        <w:rPr>
          <w:rFonts w:ascii="Arial" w:hAnsi="Arial" w:cs="Arial"/>
        </w:rPr>
      </w:pPr>
    </w:p>
    <w:p w:rsidR="003751B1" w:rsidRPr="00491C20" w:rsidRDefault="007E7BEE" w:rsidP="00491C20">
      <w:pPr>
        <w:pStyle w:val="ListParagraph"/>
        <w:spacing w:line="360" w:lineRule="auto"/>
        <w:ind w:left="360" w:firstLine="360"/>
        <w:rPr>
          <w:rFonts w:ascii="Arial" w:hAnsi="Arial" w:cs="Arial"/>
        </w:rPr>
      </w:pPr>
      <w:r w:rsidRPr="00491C20">
        <w:rPr>
          <w:rFonts w:ascii="Arial" w:hAnsi="Arial" w:cs="Arial"/>
        </w:rPr>
        <w:t>T</w:t>
      </w:r>
      <w:r w:rsidR="003751B1" w:rsidRPr="00491C20">
        <w:rPr>
          <w:rFonts w:ascii="Arial" w:hAnsi="Arial" w:cs="Arial"/>
        </w:rPr>
        <w:t>he judge</w:t>
      </w:r>
      <w:r w:rsidR="00811FA5" w:rsidRPr="00491C20">
        <w:rPr>
          <w:rFonts w:ascii="Arial" w:hAnsi="Arial" w:cs="Arial"/>
        </w:rPr>
        <w:t xml:space="preserve"> </w:t>
      </w:r>
      <w:r w:rsidR="003751B1" w:rsidRPr="00491C20">
        <w:rPr>
          <w:rFonts w:ascii="Arial" w:hAnsi="Arial" w:cs="Arial"/>
        </w:rPr>
        <w:t>continued:</w:t>
      </w:r>
    </w:p>
    <w:p w:rsidR="003751B1" w:rsidRDefault="003751B1" w:rsidP="00811FA5">
      <w:pPr>
        <w:spacing w:line="360" w:lineRule="auto"/>
        <w:ind w:firstLine="720"/>
        <w:rPr>
          <w:rFonts w:ascii="Arial" w:hAnsi="Arial" w:cs="Arial"/>
        </w:rPr>
      </w:pPr>
    </w:p>
    <w:p w:rsidR="003751B1" w:rsidRPr="00370ADE" w:rsidRDefault="00811FA5" w:rsidP="003751B1">
      <w:pPr>
        <w:spacing w:line="360" w:lineRule="auto"/>
        <w:ind w:left="1440"/>
        <w:rPr>
          <w:rFonts w:ascii="Arial" w:hAnsi="Arial" w:cs="Arial"/>
          <w:i/>
        </w:rPr>
      </w:pPr>
      <w:r w:rsidRPr="00370ADE">
        <w:rPr>
          <w:rFonts w:ascii="Arial" w:hAnsi="Arial" w:cs="Arial"/>
          <w:i/>
        </w:rPr>
        <w:t xml:space="preserve">It would be a sad state of the law indeed if only he who is able and willing to help himself by physical resistance or by intimidation or other threat is not dealt with </w:t>
      </w:r>
      <w:r w:rsidR="003751B1" w:rsidRPr="00370ADE">
        <w:rPr>
          <w:rFonts w:ascii="Arial" w:hAnsi="Arial" w:cs="Arial"/>
          <w:i/>
        </w:rPr>
        <w:t xml:space="preserve">as a </w:t>
      </w:r>
      <w:r w:rsidR="00A53C69" w:rsidRPr="00370ADE">
        <w:rPr>
          <w:rFonts w:ascii="Arial" w:hAnsi="Arial" w:cs="Arial"/>
          <w:i/>
        </w:rPr>
        <w:t>spoliator, whilst</w:t>
      </w:r>
      <w:r w:rsidRPr="00370ADE">
        <w:rPr>
          <w:rFonts w:ascii="Arial" w:hAnsi="Arial" w:cs="Arial"/>
          <w:i/>
        </w:rPr>
        <w:t xml:space="preserve"> the Court's assistance is given to him who takes possession despite resistance in a form which pays heed to the undesirability of physical encounters and the proprieties of civilised behaviour. </w:t>
      </w:r>
    </w:p>
    <w:p w:rsidR="003751B1" w:rsidRDefault="003751B1" w:rsidP="003751B1">
      <w:pPr>
        <w:spacing w:line="360" w:lineRule="auto"/>
        <w:ind w:left="1440"/>
        <w:rPr>
          <w:rFonts w:ascii="Arial" w:hAnsi="Arial" w:cs="Arial"/>
        </w:rPr>
      </w:pPr>
    </w:p>
    <w:p w:rsidR="007A7685" w:rsidRPr="00491C20" w:rsidRDefault="003751B1" w:rsidP="00491C20">
      <w:pPr>
        <w:pStyle w:val="ListParagraph"/>
        <w:numPr>
          <w:ilvl w:val="0"/>
          <w:numId w:val="3"/>
        </w:numPr>
        <w:spacing w:line="360" w:lineRule="auto"/>
        <w:rPr>
          <w:rFonts w:ascii="Arial" w:hAnsi="Arial" w:cs="Arial"/>
        </w:rPr>
      </w:pPr>
      <w:r w:rsidRPr="00491C20">
        <w:rPr>
          <w:rFonts w:ascii="Arial" w:hAnsi="Arial" w:cs="Arial"/>
        </w:rPr>
        <w:t xml:space="preserve">It will be recalled that in </w:t>
      </w:r>
      <w:r w:rsidRPr="00491C20">
        <w:rPr>
          <w:rFonts w:ascii="Arial" w:hAnsi="Arial" w:cs="Arial"/>
          <w:i/>
        </w:rPr>
        <w:t xml:space="preserve">Ness </w:t>
      </w:r>
      <w:r w:rsidRPr="00491C20">
        <w:rPr>
          <w:rFonts w:ascii="Arial" w:hAnsi="Arial" w:cs="Arial"/>
        </w:rPr>
        <w:t xml:space="preserve">attempts were made to negotiate with those who were intruding on the land. Fleming DJP cited a passage from </w:t>
      </w:r>
      <w:r w:rsidR="00811FA5" w:rsidRPr="00491C20">
        <w:rPr>
          <w:rFonts w:ascii="Arial" w:hAnsi="Arial" w:cs="Arial"/>
          <w:i/>
        </w:rPr>
        <w:t>Muller v Muller</w:t>
      </w:r>
      <w:r w:rsidR="00811FA5" w:rsidRPr="00491C20">
        <w:rPr>
          <w:rFonts w:ascii="Arial" w:hAnsi="Arial" w:cs="Arial"/>
        </w:rPr>
        <w:t xml:space="preserve"> 1915 TPD 28 at 30 </w:t>
      </w:r>
      <w:r w:rsidRPr="00491C20">
        <w:rPr>
          <w:rFonts w:ascii="Arial" w:hAnsi="Arial" w:cs="Arial"/>
        </w:rPr>
        <w:t xml:space="preserve">which noted that necessary </w:t>
      </w:r>
      <w:r w:rsidR="00A53C69" w:rsidRPr="00491C20">
        <w:rPr>
          <w:rFonts w:ascii="Arial" w:hAnsi="Arial" w:cs="Arial"/>
        </w:rPr>
        <w:t>resistance</w:t>
      </w:r>
      <w:r w:rsidR="007A7685" w:rsidRPr="00491C20">
        <w:rPr>
          <w:rFonts w:ascii="Arial" w:hAnsi="Arial" w:cs="Arial"/>
        </w:rPr>
        <w:t>;</w:t>
      </w:r>
    </w:p>
    <w:p w:rsidR="007A7685" w:rsidRDefault="007A7685" w:rsidP="00811FA5">
      <w:pPr>
        <w:spacing w:line="360" w:lineRule="auto"/>
        <w:ind w:left="720"/>
        <w:rPr>
          <w:rFonts w:ascii="Arial" w:hAnsi="Arial" w:cs="Arial"/>
        </w:rPr>
      </w:pPr>
    </w:p>
    <w:p w:rsidR="00811FA5" w:rsidRDefault="00A53C69" w:rsidP="00491C20">
      <w:pPr>
        <w:spacing w:line="360" w:lineRule="auto"/>
        <w:ind w:left="1080"/>
        <w:rPr>
          <w:rFonts w:ascii="Arial" w:hAnsi="Arial" w:cs="Arial"/>
        </w:rPr>
      </w:pPr>
      <w:r>
        <w:rPr>
          <w:rFonts w:ascii="Arial" w:hAnsi="Arial" w:cs="Arial"/>
        </w:rPr>
        <w:t>“is</w:t>
      </w:r>
      <w:r w:rsidR="00811FA5" w:rsidRPr="007A7685">
        <w:rPr>
          <w:rFonts w:ascii="Arial" w:hAnsi="Arial" w:cs="Arial"/>
          <w:i/>
        </w:rPr>
        <w:t xml:space="preserve"> not force in the sense of overwhelming force,... all that a man need do is to protest - to object - and there is no necessity for him to use fo</w:t>
      </w:r>
      <w:r w:rsidR="007A7685">
        <w:rPr>
          <w:rFonts w:ascii="Arial" w:hAnsi="Arial" w:cs="Arial"/>
          <w:i/>
        </w:rPr>
        <w:t>rce so as to lead to an affray.”</w:t>
      </w:r>
    </w:p>
    <w:p w:rsidR="003751B1" w:rsidRDefault="003751B1" w:rsidP="00811FA5">
      <w:pPr>
        <w:spacing w:line="360" w:lineRule="auto"/>
        <w:ind w:left="720"/>
        <w:rPr>
          <w:rFonts w:ascii="Arial" w:hAnsi="Arial" w:cs="Arial"/>
        </w:rPr>
      </w:pPr>
    </w:p>
    <w:p w:rsidR="00491C20" w:rsidRPr="00491C20" w:rsidRDefault="003751B1" w:rsidP="00491C20">
      <w:pPr>
        <w:pStyle w:val="ListParagraph"/>
        <w:spacing w:line="360" w:lineRule="auto"/>
        <w:ind w:left="360"/>
        <w:rPr>
          <w:rFonts w:ascii="Arial" w:hAnsi="Arial" w:cs="Arial"/>
        </w:rPr>
      </w:pPr>
      <w:r w:rsidRPr="00491C20">
        <w:rPr>
          <w:rFonts w:ascii="Arial" w:hAnsi="Arial" w:cs="Arial"/>
        </w:rPr>
        <w:t xml:space="preserve">In other </w:t>
      </w:r>
      <w:r w:rsidR="00A53C69" w:rsidRPr="00491C20">
        <w:rPr>
          <w:rFonts w:ascii="Arial" w:hAnsi="Arial" w:cs="Arial"/>
        </w:rPr>
        <w:t>words,</w:t>
      </w:r>
      <w:r w:rsidRPr="00491C20">
        <w:rPr>
          <w:rFonts w:ascii="Arial" w:hAnsi="Arial" w:cs="Arial"/>
        </w:rPr>
        <w:t xml:space="preserve"> possession is not peaceful and undisturbed when a person attempting to invade land is met with officials who require him or her to desist, engage in negotiations to have th</w:t>
      </w:r>
      <w:r w:rsidR="006B01F2" w:rsidRPr="00491C20">
        <w:rPr>
          <w:rFonts w:ascii="Arial" w:hAnsi="Arial" w:cs="Arial"/>
        </w:rPr>
        <w:t>at</w:t>
      </w:r>
      <w:r w:rsidRPr="00491C20">
        <w:rPr>
          <w:rFonts w:ascii="Arial" w:hAnsi="Arial" w:cs="Arial"/>
        </w:rPr>
        <w:t xml:space="preserve"> person leave peacefully or </w:t>
      </w:r>
      <w:r w:rsidR="006B01F2" w:rsidRPr="00491C20">
        <w:rPr>
          <w:rFonts w:ascii="Arial" w:hAnsi="Arial" w:cs="Arial"/>
        </w:rPr>
        <w:t>fence off the area</w:t>
      </w:r>
      <w:r w:rsidR="00730708">
        <w:rPr>
          <w:rFonts w:ascii="Arial" w:hAnsi="Arial" w:cs="Arial"/>
        </w:rPr>
        <w:t>.</w:t>
      </w:r>
      <w:r w:rsidR="006B01F2" w:rsidRPr="00491C20">
        <w:rPr>
          <w:rFonts w:ascii="Arial" w:hAnsi="Arial" w:cs="Arial"/>
        </w:rPr>
        <w:t xml:space="preserve"> </w:t>
      </w:r>
    </w:p>
    <w:p w:rsidR="00491C20" w:rsidRDefault="00491C20" w:rsidP="006B01F2">
      <w:pPr>
        <w:spacing w:line="360" w:lineRule="auto"/>
        <w:ind w:left="720"/>
        <w:rPr>
          <w:rFonts w:ascii="Arial" w:hAnsi="Arial" w:cs="Arial"/>
        </w:rPr>
      </w:pPr>
    </w:p>
    <w:p w:rsidR="006B01F2" w:rsidRPr="00491C20" w:rsidRDefault="006B01F2" w:rsidP="00491C20">
      <w:pPr>
        <w:pStyle w:val="ListParagraph"/>
        <w:numPr>
          <w:ilvl w:val="0"/>
          <w:numId w:val="3"/>
        </w:numPr>
        <w:spacing w:line="360" w:lineRule="auto"/>
        <w:rPr>
          <w:rFonts w:ascii="Arial" w:hAnsi="Arial" w:cs="Arial"/>
          <w:lang w:val="en-US"/>
        </w:rPr>
      </w:pPr>
      <w:r w:rsidRPr="00491C20">
        <w:rPr>
          <w:rFonts w:ascii="Arial" w:hAnsi="Arial" w:cs="Arial"/>
        </w:rPr>
        <w:t xml:space="preserve">In </w:t>
      </w:r>
      <w:r w:rsidR="00A53C69" w:rsidRPr="00491C20">
        <w:rPr>
          <w:rFonts w:ascii="Arial" w:hAnsi="Arial" w:cs="Arial"/>
          <w:i/>
        </w:rPr>
        <w:t>Ness</w:t>
      </w:r>
      <w:r w:rsidR="00A53C69" w:rsidRPr="00491C20">
        <w:rPr>
          <w:rFonts w:ascii="Arial" w:hAnsi="Arial" w:cs="Arial"/>
        </w:rPr>
        <w:t xml:space="preserve"> the</w:t>
      </w:r>
      <w:r w:rsidRPr="00491C20">
        <w:rPr>
          <w:rFonts w:ascii="Arial" w:hAnsi="Arial" w:cs="Arial"/>
          <w:lang w:val="en-US"/>
        </w:rPr>
        <w:t xml:space="preserve"> person claiming to be spoliated had entered the </w:t>
      </w:r>
      <w:r w:rsidR="00A53C69" w:rsidRPr="00491C20">
        <w:rPr>
          <w:rFonts w:ascii="Arial" w:hAnsi="Arial" w:cs="Arial"/>
          <w:lang w:val="en-US"/>
        </w:rPr>
        <w:t>premises against</w:t>
      </w:r>
      <w:r w:rsidRPr="00491C20">
        <w:rPr>
          <w:rFonts w:ascii="Arial" w:hAnsi="Arial" w:cs="Arial"/>
          <w:lang w:val="en-US"/>
        </w:rPr>
        <w:t xml:space="preserve"> the owner’s explicit prohibition</w:t>
      </w:r>
      <w:r w:rsidR="007A7685" w:rsidRPr="00491C20">
        <w:rPr>
          <w:rFonts w:ascii="Arial" w:hAnsi="Arial" w:cs="Arial"/>
          <w:lang w:val="en-US"/>
        </w:rPr>
        <w:t xml:space="preserve"> and removed the owner’s lock</w:t>
      </w:r>
      <w:r w:rsidRPr="00491C20">
        <w:rPr>
          <w:rFonts w:ascii="Arial" w:hAnsi="Arial" w:cs="Arial"/>
          <w:lang w:val="en-US"/>
        </w:rPr>
        <w:t xml:space="preserve">s which had been put there </w:t>
      </w:r>
      <w:r w:rsidR="0067135C" w:rsidRPr="00491C20">
        <w:rPr>
          <w:rFonts w:ascii="Arial" w:hAnsi="Arial" w:cs="Arial"/>
          <w:lang w:val="en-US"/>
        </w:rPr>
        <w:t>three days later to keep him out</w:t>
      </w:r>
      <w:r w:rsidR="00250AC1">
        <w:rPr>
          <w:rFonts w:ascii="Arial" w:hAnsi="Arial" w:cs="Arial"/>
          <w:lang w:val="en-US"/>
        </w:rPr>
        <w:t xml:space="preserve">. This was done after </w:t>
      </w:r>
      <w:r w:rsidRPr="00491C20">
        <w:rPr>
          <w:rFonts w:ascii="Arial" w:hAnsi="Arial" w:cs="Arial"/>
          <w:lang w:val="en-US"/>
        </w:rPr>
        <w:t xml:space="preserve">ignored the notice put up by the respondent </w:t>
      </w:r>
      <w:r w:rsidR="00250AC1">
        <w:rPr>
          <w:rFonts w:ascii="Arial" w:hAnsi="Arial" w:cs="Arial"/>
          <w:lang w:val="en-US"/>
        </w:rPr>
        <w:t xml:space="preserve">earlier </w:t>
      </w:r>
      <w:r w:rsidRPr="00491C20">
        <w:rPr>
          <w:rFonts w:ascii="Arial" w:hAnsi="Arial" w:cs="Arial"/>
          <w:lang w:val="en-US"/>
        </w:rPr>
        <w:t xml:space="preserve">that </w:t>
      </w:r>
      <w:r w:rsidR="00250AC1">
        <w:rPr>
          <w:rFonts w:ascii="Arial" w:hAnsi="Arial" w:cs="Arial"/>
          <w:lang w:val="en-US"/>
        </w:rPr>
        <w:t xml:space="preserve">same </w:t>
      </w:r>
      <w:r w:rsidRPr="00491C20">
        <w:rPr>
          <w:rFonts w:ascii="Arial" w:hAnsi="Arial" w:cs="Arial"/>
          <w:lang w:val="en-US"/>
        </w:rPr>
        <w:t>day</w:t>
      </w:r>
      <w:r w:rsidR="0067135C" w:rsidRPr="00491C20">
        <w:rPr>
          <w:rFonts w:ascii="Arial" w:hAnsi="Arial" w:cs="Arial"/>
          <w:lang w:val="en-US"/>
        </w:rPr>
        <w:t xml:space="preserve"> and knowing full well the reason for</w:t>
      </w:r>
      <w:r w:rsidR="00250AC1">
        <w:rPr>
          <w:rFonts w:ascii="Arial" w:hAnsi="Arial" w:cs="Arial"/>
          <w:lang w:val="en-US"/>
        </w:rPr>
        <w:t xml:space="preserve"> it</w:t>
      </w:r>
      <w:r w:rsidR="0067135C" w:rsidRPr="00491C20">
        <w:rPr>
          <w:rFonts w:ascii="Arial" w:hAnsi="Arial" w:cs="Arial"/>
          <w:lang w:val="en-US"/>
        </w:rPr>
        <w:t xml:space="preserve">. The court held that the individual’s possession had not become sufficiently </w:t>
      </w:r>
      <w:r w:rsidR="00A53C69" w:rsidRPr="00491C20">
        <w:rPr>
          <w:rFonts w:ascii="Arial" w:hAnsi="Arial" w:cs="Arial"/>
          <w:lang w:val="en-US"/>
        </w:rPr>
        <w:lastRenderedPageBreak/>
        <w:t>ensconced</w:t>
      </w:r>
      <w:r w:rsidR="0067135C" w:rsidRPr="00491C20">
        <w:rPr>
          <w:rFonts w:ascii="Arial" w:hAnsi="Arial" w:cs="Arial"/>
          <w:lang w:val="en-US"/>
        </w:rPr>
        <w:t xml:space="preserve"> to have completed his spoliation of the premises. </w:t>
      </w:r>
      <w:r w:rsidR="0067135C">
        <w:rPr>
          <w:rStyle w:val="FootnoteReference"/>
          <w:rFonts w:ascii="Arial" w:hAnsi="Arial" w:cs="Arial"/>
          <w:lang w:val="en-US"/>
        </w:rPr>
        <w:footnoteReference w:id="67"/>
      </w:r>
    </w:p>
    <w:p w:rsidR="0067135C" w:rsidRDefault="0067135C" w:rsidP="006B01F2">
      <w:pPr>
        <w:spacing w:line="360" w:lineRule="auto"/>
        <w:ind w:left="720"/>
        <w:rPr>
          <w:rFonts w:ascii="Arial" w:hAnsi="Arial" w:cs="Arial"/>
          <w:lang w:val="en-US"/>
        </w:rPr>
      </w:pPr>
    </w:p>
    <w:p w:rsidR="00491C20" w:rsidRDefault="00DF52B5" w:rsidP="00491C20">
      <w:pPr>
        <w:pStyle w:val="ListParagraph"/>
        <w:numPr>
          <w:ilvl w:val="0"/>
          <w:numId w:val="3"/>
        </w:numPr>
        <w:spacing w:line="360" w:lineRule="auto"/>
        <w:rPr>
          <w:rFonts w:ascii="Arial" w:hAnsi="Arial" w:cs="Arial"/>
        </w:rPr>
      </w:pPr>
      <w:r w:rsidRPr="00491C20">
        <w:rPr>
          <w:rFonts w:ascii="Arial" w:hAnsi="Arial" w:cs="Arial"/>
          <w:lang w:val="en-US"/>
        </w:rPr>
        <w:t xml:space="preserve">The facts in </w:t>
      </w:r>
      <w:r w:rsidRPr="00491C20">
        <w:rPr>
          <w:rFonts w:ascii="Arial" w:hAnsi="Arial" w:cs="Arial"/>
          <w:i/>
          <w:lang w:val="en-US"/>
        </w:rPr>
        <w:t>M</w:t>
      </w:r>
      <w:r w:rsidR="00DD5A5F" w:rsidRPr="00491C20">
        <w:rPr>
          <w:rFonts w:ascii="Arial" w:hAnsi="Arial" w:cs="Arial"/>
          <w:i/>
          <w:lang w:val="en-US"/>
        </w:rPr>
        <w:t>bangi</w:t>
      </w:r>
      <w:r w:rsidR="007F193E" w:rsidRPr="00491C20">
        <w:rPr>
          <w:rFonts w:ascii="Arial" w:hAnsi="Arial" w:cs="Arial"/>
          <w:i/>
        </w:rPr>
        <w:t xml:space="preserve"> </w:t>
      </w:r>
      <w:r w:rsidR="007F193E" w:rsidRPr="00491C20">
        <w:rPr>
          <w:rFonts w:ascii="Arial" w:hAnsi="Arial" w:cs="Arial"/>
        </w:rPr>
        <w:t xml:space="preserve">are relevant.  </w:t>
      </w:r>
    </w:p>
    <w:p w:rsidR="00491C20" w:rsidRPr="00491C20" w:rsidRDefault="00491C20" w:rsidP="00491C20">
      <w:pPr>
        <w:pStyle w:val="ListParagraph"/>
        <w:rPr>
          <w:rFonts w:ascii="Arial" w:hAnsi="Arial" w:cs="Arial"/>
        </w:rPr>
      </w:pPr>
    </w:p>
    <w:p w:rsidR="00491C20" w:rsidRDefault="007F193E" w:rsidP="00491C20">
      <w:pPr>
        <w:pStyle w:val="ListParagraph"/>
        <w:spacing w:line="360" w:lineRule="auto"/>
        <w:ind w:left="360"/>
        <w:rPr>
          <w:rFonts w:ascii="Arial" w:hAnsi="Arial" w:cs="Arial"/>
        </w:rPr>
      </w:pPr>
      <w:r w:rsidRPr="00491C20">
        <w:rPr>
          <w:rFonts w:ascii="Arial" w:hAnsi="Arial" w:cs="Arial"/>
        </w:rPr>
        <w:t>On 28 Ju</w:t>
      </w:r>
      <w:r w:rsidR="00195B3B">
        <w:rPr>
          <w:rFonts w:ascii="Arial" w:hAnsi="Arial" w:cs="Arial"/>
        </w:rPr>
        <w:t>ne</w:t>
      </w:r>
      <w:r w:rsidRPr="00491C20">
        <w:rPr>
          <w:rFonts w:ascii="Arial" w:hAnsi="Arial" w:cs="Arial"/>
        </w:rPr>
        <w:t xml:space="preserve"> a si</w:t>
      </w:r>
      <w:r w:rsidR="003540DE" w:rsidRPr="00491C20">
        <w:rPr>
          <w:rFonts w:ascii="Arial" w:hAnsi="Arial" w:cs="Arial"/>
        </w:rPr>
        <w:t xml:space="preserve">ngle shack had been </w:t>
      </w:r>
      <w:r w:rsidR="00A53C69" w:rsidRPr="00491C20">
        <w:rPr>
          <w:rFonts w:ascii="Arial" w:hAnsi="Arial" w:cs="Arial"/>
        </w:rPr>
        <w:t>erected on</w:t>
      </w:r>
      <w:r w:rsidR="003540DE" w:rsidRPr="00491C20">
        <w:rPr>
          <w:rFonts w:ascii="Arial" w:hAnsi="Arial" w:cs="Arial"/>
        </w:rPr>
        <w:t xml:space="preserve"> </w:t>
      </w:r>
      <w:r w:rsidR="00A53C69" w:rsidRPr="00491C20">
        <w:rPr>
          <w:rFonts w:ascii="Arial" w:hAnsi="Arial" w:cs="Arial"/>
        </w:rPr>
        <w:t>municipal</w:t>
      </w:r>
      <w:r w:rsidR="003540DE" w:rsidRPr="00491C20">
        <w:rPr>
          <w:rFonts w:ascii="Arial" w:hAnsi="Arial" w:cs="Arial"/>
        </w:rPr>
        <w:t xml:space="preserve"> land. The authorities made it known that they would come and demolish it. Those involved on behalf of the person whose shack had been erected and on behalf of others</w:t>
      </w:r>
      <w:r w:rsidR="00A31ADC" w:rsidRPr="00491C20">
        <w:rPr>
          <w:rFonts w:ascii="Arial" w:hAnsi="Arial" w:cs="Arial"/>
        </w:rPr>
        <w:t xml:space="preserve"> who </w:t>
      </w:r>
      <w:r w:rsidR="00A53C69" w:rsidRPr="00491C20">
        <w:rPr>
          <w:rFonts w:ascii="Arial" w:hAnsi="Arial" w:cs="Arial"/>
        </w:rPr>
        <w:t>intended</w:t>
      </w:r>
      <w:r w:rsidR="00A31ADC" w:rsidRPr="00491C20">
        <w:rPr>
          <w:rFonts w:ascii="Arial" w:hAnsi="Arial" w:cs="Arial"/>
        </w:rPr>
        <w:t xml:space="preserve"> occupying the land in question</w:t>
      </w:r>
      <w:r w:rsidR="00DD5A5F" w:rsidRPr="00491C20">
        <w:rPr>
          <w:rFonts w:ascii="Arial" w:hAnsi="Arial" w:cs="Arial"/>
        </w:rPr>
        <w:t xml:space="preserve"> </w:t>
      </w:r>
      <w:r w:rsidR="003540DE" w:rsidRPr="00491C20">
        <w:rPr>
          <w:rFonts w:ascii="Arial" w:hAnsi="Arial" w:cs="Arial"/>
        </w:rPr>
        <w:t xml:space="preserve">then met with the town clerk and entered </w:t>
      </w:r>
      <w:r w:rsidR="00A31ADC" w:rsidRPr="00491C20">
        <w:rPr>
          <w:rFonts w:ascii="Arial" w:hAnsi="Arial" w:cs="Arial"/>
        </w:rPr>
        <w:t xml:space="preserve">into </w:t>
      </w:r>
      <w:r w:rsidR="003540DE" w:rsidRPr="00491C20">
        <w:rPr>
          <w:rFonts w:ascii="Arial" w:hAnsi="Arial" w:cs="Arial"/>
        </w:rPr>
        <w:t>discussions</w:t>
      </w:r>
      <w:r w:rsidR="00195B3B">
        <w:rPr>
          <w:rFonts w:ascii="Arial" w:hAnsi="Arial" w:cs="Arial"/>
        </w:rPr>
        <w:t xml:space="preserve">. In </w:t>
      </w:r>
      <w:r w:rsidR="003540DE" w:rsidRPr="00491C20">
        <w:rPr>
          <w:rFonts w:ascii="Arial" w:hAnsi="Arial" w:cs="Arial"/>
        </w:rPr>
        <w:t xml:space="preserve">the interim the shack was removed and no further </w:t>
      </w:r>
      <w:r w:rsidR="00A53C69" w:rsidRPr="00491C20">
        <w:rPr>
          <w:rFonts w:ascii="Arial" w:hAnsi="Arial" w:cs="Arial"/>
        </w:rPr>
        <w:t>shacks</w:t>
      </w:r>
      <w:r w:rsidR="003540DE" w:rsidRPr="00491C20">
        <w:rPr>
          <w:rFonts w:ascii="Arial" w:hAnsi="Arial" w:cs="Arial"/>
        </w:rPr>
        <w:t xml:space="preserve"> were erected</w:t>
      </w:r>
      <w:r w:rsidR="00730708">
        <w:rPr>
          <w:rFonts w:ascii="Arial" w:hAnsi="Arial" w:cs="Arial"/>
        </w:rPr>
        <w:t xml:space="preserve"> at that stage</w:t>
      </w:r>
      <w:r w:rsidR="003540DE" w:rsidRPr="00491C20">
        <w:rPr>
          <w:rFonts w:ascii="Arial" w:hAnsi="Arial" w:cs="Arial"/>
        </w:rPr>
        <w:t xml:space="preserve">. </w:t>
      </w:r>
    </w:p>
    <w:p w:rsidR="00491C20" w:rsidRDefault="00491C20" w:rsidP="00491C20">
      <w:pPr>
        <w:pStyle w:val="ListParagraph"/>
        <w:spacing w:line="360" w:lineRule="auto"/>
        <w:ind w:left="360"/>
        <w:rPr>
          <w:rFonts w:ascii="Arial" w:hAnsi="Arial" w:cs="Arial"/>
        </w:rPr>
      </w:pPr>
    </w:p>
    <w:p w:rsidR="00730708" w:rsidRDefault="00A31ADC" w:rsidP="00491C20">
      <w:pPr>
        <w:pStyle w:val="ListParagraph"/>
        <w:spacing w:line="360" w:lineRule="auto"/>
        <w:ind w:left="360"/>
        <w:rPr>
          <w:rFonts w:ascii="Arial" w:hAnsi="Arial" w:cs="Arial"/>
        </w:rPr>
      </w:pPr>
      <w:r w:rsidRPr="00491C20">
        <w:rPr>
          <w:rFonts w:ascii="Arial" w:hAnsi="Arial" w:cs="Arial"/>
        </w:rPr>
        <w:t>During the morning of 2 July d</w:t>
      </w:r>
      <w:r w:rsidR="003540DE" w:rsidRPr="00491C20">
        <w:rPr>
          <w:rFonts w:ascii="Arial" w:hAnsi="Arial" w:cs="Arial"/>
        </w:rPr>
        <w:t xml:space="preserve">iscussions broke down </w:t>
      </w:r>
      <w:r w:rsidR="00A53C69" w:rsidRPr="00491C20">
        <w:rPr>
          <w:rFonts w:ascii="Arial" w:hAnsi="Arial" w:cs="Arial"/>
        </w:rPr>
        <w:t>between the</w:t>
      </w:r>
      <w:r w:rsidRPr="00491C20">
        <w:rPr>
          <w:rFonts w:ascii="Arial" w:hAnsi="Arial" w:cs="Arial"/>
        </w:rPr>
        <w:t xml:space="preserve"> group and the town clerk. </w:t>
      </w:r>
      <w:r w:rsidR="00DD5A5F" w:rsidRPr="00491C20">
        <w:rPr>
          <w:rFonts w:ascii="Arial" w:hAnsi="Arial" w:cs="Arial"/>
        </w:rPr>
        <w:t xml:space="preserve">On reaching a deadlock </w:t>
      </w:r>
      <w:r w:rsidRPr="00491C20">
        <w:rPr>
          <w:rFonts w:ascii="Arial" w:hAnsi="Arial" w:cs="Arial"/>
        </w:rPr>
        <w:t>a “</w:t>
      </w:r>
      <w:r w:rsidRPr="00491C20">
        <w:rPr>
          <w:rFonts w:ascii="Arial" w:hAnsi="Arial" w:cs="Arial"/>
          <w:i/>
        </w:rPr>
        <w:t>sit in</w:t>
      </w:r>
      <w:r w:rsidRPr="00491C20">
        <w:rPr>
          <w:rFonts w:ascii="Arial" w:hAnsi="Arial" w:cs="Arial"/>
        </w:rPr>
        <w:t xml:space="preserve">” </w:t>
      </w:r>
      <w:r w:rsidR="00DD5A5F" w:rsidRPr="00491C20">
        <w:rPr>
          <w:rFonts w:ascii="Arial" w:hAnsi="Arial" w:cs="Arial"/>
        </w:rPr>
        <w:t xml:space="preserve">was staged </w:t>
      </w:r>
      <w:r w:rsidRPr="00491C20">
        <w:rPr>
          <w:rFonts w:ascii="Arial" w:hAnsi="Arial" w:cs="Arial"/>
        </w:rPr>
        <w:t xml:space="preserve">while </w:t>
      </w:r>
      <w:r w:rsidR="00DD5A5F" w:rsidRPr="00491C20">
        <w:rPr>
          <w:rFonts w:ascii="Arial" w:hAnsi="Arial" w:cs="Arial"/>
        </w:rPr>
        <w:t xml:space="preserve">at the same time </w:t>
      </w:r>
      <w:r w:rsidRPr="00491C20">
        <w:rPr>
          <w:rFonts w:ascii="Arial" w:hAnsi="Arial" w:cs="Arial"/>
        </w:rPr>
        <w:t xml:space="preserve">21 </w:t>
      </w:r>
      <w:r w:rsidR="00DD5A5F" w:rsidRPr="00491C20">
        <w:rPr>
          <w:rFonts w:ascii="Arial" w:hAnsi="Arial" w:cs="Arial"/>
        </w:rPr>
        <w:t xml:space="preserve">further </w:t>
      </w:r>
      <w:r w:rsidRPr="00491C20">
        <w:rPr>
          <w:rFonts w:ascii="Arial" w:hAnsi="Arial" w:cs="Arial"/>
        </w:rPr>
        <w:t>structures were erected</w:t>
      </w:r>
      <w:r w:rsidR="00DD5A5F" w:rsidRPr="00491C20">
        <w:rPr>
          <w:rFonts w:ascii="Arial" w:hAnsi="Arial" w:cs="Arial"/>
        </w:rPr>
        <w:t xml:space="preserve"> on the land</w:t>
      </w:r>
      <w:r w:rsidRPr="00491C20">
        <w:rPr>
          <w:rFonts w:ascii="Arial" w:hAnsi="Arial" w:cs="Arial"/>
        </w:rPr>
        <w:t xml:space="preserve">. On 3 July the municipality </w:t>
      </w:r>
      <w:r w:rsidR="00A53C69" w:rsidRPr="00491C20">
        <w:rPr>
          <w:rFonts w:ascii="Arial" w:hAnsi="Arial" w:cs="Arial"/>
        </w:rPr>
        <w:t>demolished five</w:t>
      </w:r>
      <w:r w:rsidRPr="00491C20">
        <w:rPr>
          <w:rFonts w:ascii="Arial" w:hAnsi="Arial" w:cs="Arial"/>
        </w:rPr>
        <w:t xml:space="preserve"> of the</w:t>
      </w:r>
      <w:r w:rsidR="00DD5A5F" w:rsidRPr="00491C20">
        <w:rPr>
          <w:rFonts w:ascii="Arial" w:hAnsi="Arial" w:cs="Arial"/>
        </w:rPr>
        <w:t xml:space="preserve"> </w:t>
      </w:r>
      <w:r w:rsidRPr="00491C20">
        <w:rPr>
          <w:rFonts w:ascii="Arial" w:hAnsi="Arial" w:cs="Arial"/>
        </w:rPr>
        <w:t>structures</w:t>
      </w:r>
      <w:r w:rsidR="00DD5A5F" w:rsidRPr="00491C20">
        <w:rPr>
          <w:rFonts w:ascii="Arial" w:hAnsi="Arial" w:cs="Arial"/>
        </w:rPr>
        <w:t>;</w:t>
      </w:r>
      <w:r w:rsidRPr="00491C20">
        <w:rPr>
          <w:rFonts w:ascii="Arial" w:hAnsi="Arial" w:cs="Arial"/>
        </w:rPr>
        <w:t xml:space="preserve"> purporting to do </w:t>
      </w:r>
      <w:r w:rsidR="00A53C69" w:rsidRPr="00491C20">
        <w:rPr>
          <w:rFonts w:ascii="Arial" w:hAnsi="Arial" w:cs="Arial"/>
        </w:rPr>
        <w:t>so</w:t>
      </w:r>
      <w:r w:rsidRPr="00491C20">
        <w:rPr>
          <w:rFonts w:ascii="Arial" w:hAnsi="Arial" w:cs="Arial"/>
        </w:rPr>
        <w:t xml:space="preserve"> in terms of then applicable legislation. </w:t>
      </w:r>
    </w:p>
    <w:p w:rsidR="00730708" w:rsidRDefault="00730708" w:rsidP="00491C20">
      <w:pPr>
        <w:pStyle w:val="ListParagraph"/>
        <w:spacing w:line="360" w:lineRule="auto"/>
        <w:ind w:left="360"/>
        <w:rPr>
          <w:rFonts w:ascii="Arial" w:hAnsi="Arial" w:cs="Arial"/>
        </w:rPr>
      </w:pPr>
    </w:p>
    <w:p w:rsidR="00ED01E3" w:rsidRPr="00491C20" w:rsidRDefault="00195B3B" w:rsidP="00491C20">
      <w:pPr>
        <w:pStyle w:val="ListParagraph"/>
        <w:spacing w:line="360" w:lineRule="auto"/>
        <w:ind w:left="360"/>
        <w:rPr>
          <w:rFonts w:ascii="Arial" w:hAnsi="Arial" w:cs="Arial"/>
        </w:rPr>
      </w:pPr>
      <w:r>
        <w:rPr>
          <w:rFonts w:ascii="Arial" w:hAnsi="Arial" w:cs="Arial"/>
        </w:rPr>
        <w:t xml:space="preserve">While </w:t>
      </w:r>
      <w:r w:rsidR="00A53C69" w:rsidRPr="00491C20">
        <w:rPr>
          <w:rFonts w:ascii="Arial" w:hAnsi="Arial" w:cs="Arial"/>
        </w:rPr>
        <w:t>demolishing</w:t>
      </w:r>
      <w:r w:rsidR="00A31ADC" w:rsidRPr="00491C20">
        <w:rPr>
          <w:rFonts w:ascii="Arial" w:hAnsi="Arial" w:cs="Arial"/>
        </w:rPr>
        <w:t xml:space="preserve"> was in progress some of those on the land requested a </w:t>
      </w:r>
      <w:r w:rsidR="00A53C69" w:rsidRPr="00491C20">
        <w:rPr>
          <w:rFonts w:ascii="Arial" w:hAnsi="Arial" w:cs="Arial"/>
        </w:rPr>
        <w:t>48-hour</w:t>
      </w:r>
      <w:r w:rsidR="00A31ADC" w:rsidRPr="00491C20">
        <w:rPr>
          <w:rFonts w:ascii="Arial" w:hAnsi="Arial" w:cs="Arial"/>
        </w:rPr>
        <w:t xml:space="preserve"> postponement </w:t>
      </w:r>
      <w:r>
        <w:rPr>
          <w:rFonts w:ascii="Arial" w:hAnsi="Arial" w:cs="Arial"/>
        </w:rPr>
        <w:t xml:space="preserve">in order to remove the structures </w:t>
      </w:r>
      <w:r w:rsidR="00A31ADC" w:rsidRPr="00491C20">
        <w:rPr>
          <w:rFonts w:ascii="Arial" w:hAnsi="Arial" w:cs="Arial"/>
        </w:rPr>
        <w:t xml:space="preserve">themselves. A </w:t>
      </w:r>
      <w:r w:rsidR="00A53C69" w:rsidRPr="00491C20">
        <w:rPr>
          <w:rFonts w:ascii="Arial" w:hAnsi="Arial" w:cs="Arial"/>
        </w:rPr>
        <w:t>24-hour</w:t>
      </w:r>
      <w:r w:rsidR="00A31ADC" w:rsidRPr="00491C20">
        <w:rPr>
          <w:rFonts w:ascii="Arial" w:hAnsi="Arial" w:cs="Arial"/>
        </w:rPr>
        <w:t xml:space="preserve"> moratorium was agreed to enable the removal </w:t>
      </w:r>
      <w:r w:rsidR="00DD5A5F" w:rsidRPr="00491C20">
        <w:rPr>
          <w:rFonts w:ascii="Arial" w:hAnsi="Arial" w:cs="Arial"/>
        </w:rPr>
        <w:t>t</w:t>
      </w:r>
      <w:r w:rsidR="00A31ADC" w:rsidRPr="00491C20">
        <w:rPr>
          <w:rFonts w:ascii="Arial" w:hAnsi="Arial" w:cs="Arial"/>
        </w:rPr>
        <w:t xml:space="preserve">o take place. However </w:t>
      </w:r>
      <w:r w:rsidR="00DD5A5F" w:rsidRPr="00491C20">
        <w:rPr>
          <w:rFonts w:ascii="Arial" w:hAnsi="Arial" w:cs="Arial"/>
        </w:rPr>
        <w:t xml:space="preserve">during this </w:t>
      </w:r>
      <w:r w:rsidR="00A31ADC" w:rsidRPr="00491C20">
        <w:rPr>
          <w:rFonts w:ascii="Arial" w:hAnsi="Arial" w:cs="Arial"/>
        </w:rPr>
        <w:t xml:space="preserve">period </w:t>
      </w:r>
      <w:r w:rsidR="00ED01E3" w:rsidRPr="00491C20">
        <w:rPr>
          <w:rFonts w:ascii="Arial" w:hAnsi="Arial" w:cs="Arial"/>
        </w:rPr>
        <w:t xml:space="preserve">none of the existing </w:t>
      </w:r>
      <w:r w:rsidR="00730708">
        <w:rPr>
          <w:rFonts w:ascii="Arial" w:hAnsi="Arial" w:cs="Arial"/>
        </w:rPr>
        <w:t xml:space="preserve">structures </w:t>
      </w:r>
      <w:r w:rsidR="00DD5A5F" w:rsidRPr="00491C20">
        <w:rPr>
          <w:rFonts w:ascii="Arial" w:hAnsi="Arial" w:cs="Arial"/>
        </w:rPr>
        <w:t>w</w:t>
      </w:r>
      <w:r>
        <w:rPr>
          <w:rFonts w:ascii="Arial" w:hAnsi="Arial" w:cs="Arial"/>
        </w:rPr>
        <w:t>as</w:t>
      </w:r>
      <w:r w:rsidR="00DD5A5F" w:rsidRPr="00491C20">
        <w:rPr>
          <w:rFonts w:ascii="Arial" w:hAnsi="Arial" w:cs="Arial"/>
        </w:rPr>
        <w:t xml:space="preserve"> </w:t>
      </w:r>
      <w:r w:rsidR="00ED01E3" w:rsidRPr="00491C20">
        <w:rPr>
          <w:rFonts w:ascii="Arial" w:hAnsi="Arial" w:cs="Arial"/>
        </w:rPr>
        <w:t xml:space="preserve">removed while </w:t>
      </w:r>
      <w:r w:rsidR="00A31ADC" w:rsidRPr="00491C20">
        <w:rPr>
          <w:rFonts w:ascii="Arial" w:hAnsi="Arial" w:cs="Arial"/>
        </w:rPr>
        <w:t>another 13 had been fully erected</w:t>
      </w:r>
      <w:r w:rsidR="00ED01E3" w:rsidRPr="00491C20">
        <w:rPr>
          <w:rFonts w:ascii="Arial" w:hAnsi="Arial" w:cs="Arial"/>
        </w:rPr>
        <w:t xml:space="preserve"> and a number of people had commenced occupying the shacks. A</w:t>
      </w:r>
      <w:r w:rsidR="008B5FB6" w:rsidRPr="00491C20">
        <w:rPr>
          <w:rFonts w:ascii="Arial" w:hAnsi="Arial" w:cs="Arial"/>
        </w:rPr>
        <w:t xml:space="preserve"> </w:t>
      </w:r>
      <w:r w:rsidR="00ED01E3" w:rsidRPr="00491C20">
        <w:rPr>
          <w:rFonts w:ascii="Arial" w:hAnsi="Arial" w:cs="Arial"/>
        </w:rPr>
        <w:t>spoliation application was brought to prevent the continued demolition.</w:t>
      </w:r>
    </w:p>
    <w:p w:rsidR="00ED01E3" w:rsidRDefault="00ED01E3" w:rsidP="007F193E">
      <w:pPr>
        <w:spacing w:line="360" w:lineRule="auto"/>
        <w:ind w:left="360"/>
        <w:rPr>
          <w:rFonts w:ascii="Arial" w:hAnsi="Arial" w:cs="Arial"/>
        </w:rPr>
      </w:pPr>
    </w:p>
    <w:p w:rsidR="00195B3B" w:rsidRDefault="00ED01E3" w:rsidP="008B5FB6">
      <w:pPr>
        <w:spacing w:line="360" w:lineRule="auto"/>
        <w:ind w:left="360"/>
        <w:rPr>
          <w:rFonts w:ascii="Arial" w:hAnsi="Arial" w:cs="Arial"/>
        </w:rPr>
      </w:pPr>
      <w:r>
        <w:rPr>
          <w:rFonts w:ascii="Arial" w:hAnsi="Arial" w:cs="Arial"/>
        </w:rPr>
        <w:t xml:space="preserve">Flemming DJP noted that between 28 June and 3 July there was no physical tussle for possession but a preparedness to </w:t>
      </w:r>
      <w:r w:rsidR="00A53C69">
        <w:rPr>
          <w:rFonts w:ascii="Arial" w:hAnsi="Arial" w:cs="Arial"/>
        </w:rPr>
        <w:t>discuss,</w:t>
      </w:r>
      <w:r>
        <w:rPr>
          <w:rFonts w:ascii="Arial" w:hAnsi="Arial" w:cs="Arial"/>
        </w:rPr>
        <w:t xml:space="preserve"> explain and hopefully </w:t>
      </w:r>
      <w:r w:rsidR="00A53C69">
        <w:rPr>
          <w:rFonts w:ascii="Arial" w:hAnsi="Arial" w:cs="Arial"/>
        </w:rPr>
        <w:t>persuade</w:t>
      </w:r>
      <w:r>
        <w:rPr>
          <w:rFonts w:ascii="Arial" w:hAnsi="Arial" w:cs="Arial"/>
        </w:rPr>
        <w:t xml:space="preserve"> those intending to occupy to desist but at no </w:t>
      </w:r>
      <w:r w:rsidR="00A53C69">
        <w:rPr>
          <w:rFonts w:ascii="Arial" w:hAnsi="Arial" w:cs="Arial"/>
        </w:rPr>
        <w:t>stage</w:t>
      </w:r>
      <w:r>
        <w:rPr>
          <w:rFonts w:ascii="Arial" w:hAnsi="Arial" w:cs="Arial"/>
        </w:rPr>
        <w:t xml:space="preserve"> did the municipality abandon or qualify its intent to repel those invading the land. After the </w:t>
      </w:r>
      <w:r w:rsidR="00A53C69">
        <w:rPr>
          <w:rFonts w:ascii="Arial" w:hAnsi="Arial" w:cs="Arial"/>
        </w:rPr>
        <w:t>agreed hiatus</w:t>
      </w:r>
      <w:r w:rsidR="00195B3B">
        <w:rPr>
          <w:rFonts w:ascii="Arial" w:hAnsi="Arial" w:cs="Arial"/>
        </w:rPr>
        <w:t xml:space="preserve"> ended</w:t>
      </w:r>
      <w:r>
        <w:rPr>
          <w:rFonts w:ascii="Arial" w:hAnsi="Arial" w:cs="Arial"/>
        </w:rPr>
        <w:t xml:space="preserve"> the intention to demolish was implemented with “</w:t>
      </w:r>
      <w:r w:rsidRPr="00DD5A5F">
        <w:rPr>
          <w:rFonts w:ascii="Arial" w:hAnsi="Arial" w:cs="Arial"/>
          <w:i/>
        </w:rPr>
        <w:t>fair promptness</w:t>
      </w:r>
      <w:r>
        <w:rPr>
          <w:rFonts w:ascii="Arial" w:hAnsi="Arial" w:cs="Arial"/>
        </w:rPr>
        <w:t xml:space="preserve">”. </w:t>
      </w:r>
      <w:r w:rsidR="003540DE">
        <w:rPr>
          <w:rFonts w:ascii="Arial" w:hAnsi="Arial" w:cs="Arial"/>
        </w:rPr>
        <w:t xml:space="preserve"> </w:t>
      </w:r>
    </w:p>
    <w:p w:rsidR="00195B3B" w:rsidRDefault="00195B3B" w:rsidP="008B5FB6">
      <w:pPr>
        <w:spacing w:line="360" w:lineRule="auto"/>
        <w:ind w:left="360"/>
        <w:rPr>
          <w:rFonts w:ascii="Arial" w:hAnsi="Arial" w:cs="Arial"/>
        </w:rPr>
      </w:pPr>
    </w:p>
    <w:p w:rsidR="008B5FB6" w:rsidRDefault="008B5FB6" w:rsidP="008B5FB6">
      <w:pPr>
        <w:spacing w:line="360" w:lineRule="auto"/>
        <w:ind w:left="360"/>
        <w:rPr>
          <w:rFonts w:ascii="Arial" w:hAnsi="Arial" w:cs="Arial"/>
        </w:rPr>
      </w:pPr>
      <w:r>
        <w:rPr>
          <w:rFonts w:ascii="Arial" w:hAnsi="Arial" w:cs="Arial"/>
        </w:rPr>
        <w:t>The court commented that;</w:t>
      </w:r>
    </w:p>
    <w:p w:rsidR="008B5FB6" w:rsidRDefault="008B5FB6" w:rsidP="008B5FB6">
      <w:pPr>
        <w:spacing w:line="360" w:lineRule="auto"/>
        <w:ind w:left="360"/>
        <w:rPr>
          <w:rFonts w:ascii="Arial" w:hAnsi="Arial" w:cs="Arial"/>
        </w:rPr>
      </w:pPr>
    </w:p>
    <w:p w:rsidR="007F193E" w:rsidRPr="008B5FB6" w:rsidRDefault="008B5FB6" w:rsidP="008B5FB6">
      <w:pPr>
        <w:spacing w:line="360" w:lineRule="auto"/>
        <w:ind w:left="720"/>
        <w:rPr>
          <w:rFonts w:ascii="Arial" w:hAnsi="Arial" w:cs="Arial"/>
          <w:i/>
        </w:rPr>
      </w:pPr>
      <w:r w:rsidRPr="008B5FB6">
        <w:rPr>
          <w:rFonts w:ascii="Arial" w:hAnsi="Arial" w:cs="Arial"/>
          <w:i/>
        </w:rPr>
        <w:lastRenderedPageBreak/>
        <w:t xml:space="preserve">“a response which is firm but is tempered by some </w:t>
      </w:r>
      <w:r w:rsidR="007F193E" w:rsidRPr="008B5FB6">
        <w:rPr>
          <w:rFonts w:ascii="Arial" w:hAnsi="Arial" w:cs="Arial"/>
          <w:i/>
          <w:lang w:val="en-US"/>
        </w:rPr>
        <w:t xml:space="preserve">reasonableness is the manner in which a public authority with a sense of responsibility and who deals with a matter with some social or even political sensitivity will conduct its immediate retaliation </w:t>
      </w:r>
      <w:r>
        <w:rPr>
          <w:rFonts w:ascii="Arial" w:hAnsi="Arial" w:cs="Arial"/>
          <w:i/>
          <w:lang w:val="en-US"/>
        </w:rPr>
        <w:t>to ward off spoliation of its</w:t>
      </w:r>
      <w:r w:rsidR="007F193E" w:rsidRPr="008B5FB6">
        <w:rPr>
          <w:rFonts w:ascii="Arial" w:hAnsi="Arial" w:cs="Arial"/>
          <w:i/>
          <w:lang w:val="en-US"/>
        </w:rPr>
        <w:t> property. I will quote authority for the proposition that it is not so that only an immediate physical counter-attack of the spoliator is relevant.</w:t>
      </w:r>
      <w:r>
        <w:rPr>
          <w:rFonts w:ascii="Arial" w:hAnsi="Arial" w:cs="Arial"/>
          <w:i/>
          <w:lang w:val="en-US"/>
        </w:rPr>
        <w:t>”</w:t>
      </w:r>
      <w:r w:rsidR="00195B3B">
        <w:rPr>
          <w:rStyle w:val="FootnoteReference"/>
          <w:rFonts w:ascii="Arial" w:hAnsi="Arial" w:cs="Arial"/>
          <w:i/>
          <w:lang w:val="en-US"/>
        </w:rPr>
        <w:footnoteReference w:id="68"/>
      </w:r>
    </w:p>
    <w:p w:rsidR="003751B1" w:rsidRPr="00811FA5" w:rsidRDefault="003751B1" w:rsidP="00811FA5">
      <w:pPr>
        <w:spacing w:line="360" w:lineRule="auto"/>
        <w:ind w:left="720"/>
        <w:rPr>
          <w:rFonts w:ascii="Arial" w:hAnsi="Arial" w:cs="Arial"/>
        </w:rPr>
      </w:pPr>
    </w:p>
    <w:p w:rsidR="00277DF3" w:rsidRDefault="008B5FB6" w:rsidP="00AF22DC">
      <w:pPr>
        <w:pStyle w:val="ListParagraph"/>
        <w:numPr>
          <w:ilvl w:val="0"/>
          <w:numId w:val="3"/>
        </w:numPr>
        <w:spacing w:line="360" w:lineRule="auto"/>
        <w:rPr>
          <w:rFonts w:ascii="Arial" w:hAnsi="Arial" w:cs="Arial"/>
        </w:rPr>
      </w:pPr>
      <w:r w:rsidRPr="0021521B">
        <w:rPr>
          <w:rFonts w:ascii="Arial" w:hAnsi="Arial" w:cs="Arial"/>
        </w:rPr>
        <w:t>T</w:t>
      </w:r>
      <w:r w:rsidR="0021521B">
        <w:rPr>
          <w:rFonts w:ascii="Arial" w:hAnsi="Arial" w:cs="Arial"/>
        </w:rPr>
        <w:t>he</w:t>
      </w:r>
      <w:r w:rsidRPr="0021521B">
        <w:rPr>
          <w:rFonts w:ascii="Arial" w:hAnsi="Arial" w:cs="Arial"/>
        </w:rPr>
        <w:t xml:space="preserve"> facts established in the present case do not reveal acts by the Metro which are not pro</w:t>
      </w:r>
      <w:r w:rsidR="00A53C69">
        <w:rPr>
          <w:rFonts w:ascii="Arial" w:hAnsi="Arial" w:cs="Arial"/>
        </w:rPr>
        <w:t>portionately</w:t>
      </w:r>
      <w:r w:rsidRPr="0021521B">
        <w:rPr>
          <w:rFonts w:ascii="Arial" w:hAnsi="Arial" w:cs="Arial"/>
        </w:rPr>
        <w:t xml:space="preserve"> commensurate in attempting to stem the invasion of people onto the RDP development nor degrading of any </w:t>
      </w:r>
      <w:r w:rsidR="00DD5A5F">
        <w:rPr>
          <w:rFonts w:ascii="Arial" w:hAnsi="Arial" w:cs="Arial"/>
        </w:rPr>
        <w:t>individual, save possibly in</w:t>
      </w:r>
      <w:r w:rsidR="00730708">
        <w:rPr>
          <w:rFonts w:ascii="Arial" w:hAnsi="Arial" w:cs="Arial"/>
        </w:rPr>
        <w:t xml:space="preserve"> a</w:t>
      </w:r>
      <w:r w:rsidR="00195B3B">
        <w:rPr>
          <w:rFonts w:ascii="Arial" w:hAnsi="Arial" w:cs="Arial"/>
        </w:rPr>
        <w:t>n</w:t>
      </w:r>
      <w:r w:rsidR="00DD5A5F">
        <w:rPr>
          <w:rFonts w:ascii="Arial" w:hAnsi="Arial" w:cs="Arial"/>
        </w:rPr>
        <w:t xml:space="preserve"> individual instance that </w:t>
      </w:r>
      <w:r w:rsidR="00277DF3">
        <w:rPr>
          <w:rFonts w:ascii="Arial" w:hAnsi="Arial" w:cs="Arial"/>
        </w:rPr>
        <w:t xml:space="preserve">cannot </w:t>
      </w:r>
      <w:r w:rsidR="00DD5A5F">
        <w:rPr>
          <w:rFonts w:ascii="Arial" w:hAnsi="Arial" w:cs="Arial"/>
        </w:rPr>
        <w:t xml:space="preserve">inure to the benefit of 880 households. </w:t>
      </w:r>
    </w:p>
    <w:p w:rsidR="00277DF3" w:rsidRDefault="00277DF3" w:rsidP="00277DF3">
      <w:pPr>
        <w:pStyle w:val="ListParagraph"/>
        <w:spacing w:line="360" w:lineRule="auto"/>
        <w:ind w:left="360"/>
        <w:rPr>
          <w:rFonts w:ascii="Arial" w:hAnsi="Arial" w:cs="Arial"/>
        </w:rPr>
      </w:pPr>
    </w:p>
    <w:p w:rsidR="00811FA5" w:rsidRPr="00195B3B" w:rsidRDefault="008B5FB6" w:rsidP="00195B3B">
      <w:pPr>
        <w:pStyle w:val="ListParagraph"/>
        <w:spacing w:line="360" w:lineRule="auto"/>
        <w:ind w:left="360"/>
        <w:rPr>
          <w:rFonts w:ascii="Arial" w:hAnsi="Arial" w:cs="Arial"/>
        </w:rPr>
      </w:pPr>
      <w:r w:rsidRPr="0021521B">
        <w:rPr>
          <w:rFonts w:ascii="Arial" w:hAnsi="Arial" w:cs="Arial"/>
        </w:rPr>
        <w:t xml:space="preserve">It </w:t>
      </w:r>
      <w:r w:rsidR="00A53C69" w:rsidRPr="0021521B">
        <w:rPr>
          <w:rFonts w:ascii="Arial" w:hAnsi="Arial" w:cs="Arial"/>
        </w:rPr>
        <w:t>therefore</w:t>
      </w:r>
      <w:r w:rsidRPr="0021521B">
        <w:rPr>
          <w:rFonts w:ascii="Arial" w:hAnsi="Arial" w:cs="Arial"/>
        </w:rPr>
        <w:t xml:space="preserve"> is unnecessary to decide whether </w:t>
      </w:r>
      <w:r w:rsidR="007A33A6" w:rsidRPr="0021521B">
        <w:rPr>
          <w:rFonts w:ascii="Arial" w:hAnsi="Arial" w:cs="Arial"/>
        </w:rPr>
        <w:t>the manner in which authorities re</w:t>
      </w:r>
      <w:r w:rsidR="00730708">
        <w:rPr>
          <w:rFonts w:ascii="Arial" w:hAnsi="Arial" w:cs="Arial"/>
        </w:rPr>
        <w:t xml:space="preserve">sist </w:t>
      </w:r>
      <w:r w:rsidR="007A33A6" w:rsidRPr="0021521B">
        <w:rPr>
          <w:rFonts w:ascii="Arial" w:hAnsi="Arial" w:cs="Arial"/>
        </w:rPr>
        <w:t>those s</w:t>
      </w:r>
      <w:r w:rsidRPr="0021521B">
        <w:rPr>
          <w:rFonts w:ascii="Arial" w:hAnsi="Arial" w:cs="Arial"/>
        </w:rPr>
        <w:t xml:space="preserve">eeking to unlawfully settle on the land </w:t>
      </w:r>
      <w:r w:rsidR="007A33A6" w:rsidRPr="0021521B">
        <w:rPr>
          <w:rFonts w:ascii="Arial" w:hAnsi="Arial" w:cs="Arial"/>
        </w:rPr>
        <w:t xml:space="preserve">vitiates the principle enquiry </w:t>
      </w:r>
      <w:r w:rsidR="00195B3B">
        <w:rPr>
          <w:rFonts w:ascii="Arial" w:hAnsi="Arial" w:cs="Arial"/>
        </w:rPr>
        <w:t>as to</w:t>
      </w:r>
      <w:r w:rsidR="007A33A6" w:rsidRPr="0021521B">
        <w:rPr>
          <w:rFonts w:ascii="Arial" w:hAnsi="Arial" w:cs="Arial"/>
        </w:rPr>
        <w:t xml:space="preserve"> whether there has been “</w:t>
      </w:r>
      <w:r w:rsidR="007A33A6" w:rsidRPr="00277DF3">
        <w:rPr>
          <w:rFonts w:ascii="Arial" w:hAnsi="Arial" w:cs="Arial"/>
          <w:i/>
        </w:rPr>
        <w:t>peaceful and undisturbed possession</w:t>
      </w:r>
      <w:r w:rsidR="007A33A6" w:rsidRPr="0021521B">
        <w:rPr>
          <w:rFonts w:ascii="Arial" w:hAnsi="Arial" w:cs="Arial"/>
        </w:rPr>
        <w:t xml:space="preserve">” to found the </w:t>
      </w:r>
      <w:r w:rsidR="00A53C69" w:rsidRPr="0021521B">
        <w:rPr>
          <w:rFonts w:ascii="Arial" w:hAnsi="Arial" w:cs="Arial"/>
        </w:rPr>
        <w:t>mandament</w:t>
      </w:r>
      <w:r w:rsidR="00730708">
        <w:rPr>
          <w:rFonts w:ascii="Arial" w:hAnsi="Arial" w:cs="Arial"/>
        </w:rPr>
        <w:t xml:space="preserve">. </w:t>
      </w:r>
      <w:r w:rsidR="00730708" w:rsidRPr="00195B3B">
        <w:rPr>
          <w:rFonts w:ascii="Arial" w:hAnsi="Arial" w:cs="Arial"/>
        </w:rPr>
        <w:t xml:space="preserve">Any invasion of </w:t>
      </w:r>
      <w:r w:rsidR="007A33A6" w:rsidRPr="00195B3B">
        <w:rPr>
          <w:rFonts w:ascii="Arial" w:hAnsi="Arial" w:cs="Arial"/>
        </w:rPr>
        <w:t xml:space="preserve">an </w:t>
      </w:r>
      <w:r w:rsidR="00A53C69" w:rsidRPr="00195B3B">
        <w:rPr>
          <w:rFonts w:ascii="Arial" w:hAnsi="Arial" w:cs="Arial"/>
        </w:rPr>
        <w:t>enforceable right</w:t>
      </w:r>
      <w:r w:rsidR="007A33A6" w:rsidRPr="00195B3B">
        <w:rPr>
          <w:rFonts w:ascii="Arial" w:hAnsi="Arial" w:cs="Arial"/>
        </w:rPr>
        <w:t xml:space="preserve"> </w:t>
      </w:r>
      <w:r w:rsidR="00195B3B" w:rsidRPr="00195B3B">
        <w:rPr>
          <w:rFonts w:ascii="Arial" w:hAnsi="Arial" w:cs="Arial"/>
        </w:rPr>
        <w:t xml:space="preserve">by a person belonging to </w:t>
      </w:r>
      <w:r w:rsidR="00730708" w:rsidRPr="00195B3B">
        <w:rPr>
          <w:rFonts w:ascii="Arial" w:hAnsi="Arial" w:cs="Arial"/>
        </w:rPr>
        <w:t xml:space="preserve">the first respondent group can still be </w:t>
      </w:r>
      <w:r w:rsidR="00A53C69" w:rsidRPr="00195B3B">
        <w:rPr>
          <w:rFonts w:ascii="Arial" w:hAnsi="Arial" w:cs="Arial"/>
        </w:rPr>
        <w:t>separately</w:t>
      </w:r>
      <w:r w:rsidR="007A33A6" w:rsidRPr="00195B3B">
        <w:rPr>
          <w:rFonts w:ascii="Arial" w:hAnsi="Arial" w:cs="Arial"/>
        </w:rPr>
        <w:t xml:space="preserve"> pursued. As the law relating to </w:t>
      </w:r>
      <w:r w:rsidR="00A53C69" w:rsidRPr="00195B3B">
        <w:rPr>
          <w:rFonts w:ascii="Arial" w:hAnsi="Arial" w:cs="Arial"/>
        </w:rPr>
        <w:t>mandament</w:t>
      </w:r>
      <w:r w:rsidR="007A33A6" w:rsidRPr="00195B3B">
        <w:rPr>
          <w:rFonts w:ascii="Arial" w:hAnsi="Arial" w:cs="Arial"/>
        </w:rPr>
        <w:t xml:space="preserve"> van spolie stands</w:t>
      </w:r>
      <w:r w:rsidR="00195B3B" w:rsidRPr="00195B3B">
        <w:rPr>
          <w:rFonts w:ascii="Arial" w:hAnsi="Arial" w:cs="Arial"/>
        </w:rPr>
        <w:t>,</w:t>
      </w:r>
      <w:r w:rsidR="007A33A6" w:rsidRPr="00195B3B">
        <w:rPr>
          <w:rFonts w:ascii="Arial" w:hAnsi="Arial" w:cs="Arial"/>
        </w:rPr>
        <w:t xml:space="preserve"> it would not affect the enquiry as to whether</w:t>
      </w:r>
      <w:r w:rsidR="00195B3B">
        <w:rPr>
          <w:rFonts w:ascii="Arial" w:hAnsi="Arial" w:cs="Arial"/>
        </w:rPr>
        <w:t>,</w:t>
      </w:r>
      <w:r w:rsidR="007A33A6" w:rsidRPr="00195B3B">
        <w:rPr>
          <w:rFonts w:ascii="Arial" w:hAnsi="Arial" w:cs="Arial"/>
        </w:rPr>
        <w:t xml:space="preserve"> as a </w:t>
      </w:r>
      <w:r w:rsidR="00EE2C3B" w:rsidRPr="00195B3B">
        <w:rPr>
          <w:rFonts w:ascii="Arial" w:hAnsi="Arial" w:cs="Arial"/>
        </w:rPr>
        <w:t>fact, “</w:t>
      </w:r>
      <w:r w:rsidR="007A33A6" w:rsidRPr="00195B3B">
        <w:rPr>
          <w:rFonts w:ascii="Arial" w:hAnsi="Arial" w:cs="Arial"/>
          <w:i/>
        </w:rPr>
        <w:t>peaceful and undisturbed possession</w:t>
      </w:r>
      <w:r w:rsidR="00277DF3" w:rsidRPr="00195B3B">
        <w:rPr>
          <w:rFonts w:ascii="Arial" w:hAnsi="Arial" w:cs="Arial"/>
        </w:rPr>
        <w:t>”</w:t>
      </w:r>
      <w:r w:rsidR="007A33A6" w:rsidRPr="00195B3B">
        <w:rPr>
          <w:rFonts w:ascii="Arial" w:hAnsi="Arial" w:cs="Arial"/>
        </w:rPr>
        <w:t xml:space="preserve"> has been established</w:t>
      </w:r>
      <w:r w:rsidR="00730708" w:rsidRPr="00195B3B">
        <w:rPr>
          <w:rFonts w:ascii="Arial" w:hAnsi="Arial" w:cs="Arial"/>
        </w:rPr>
        <w:t xml:space="preserve"> by the first respondent</w:t>
      </w:r>
      <w:r w:rsidR="007A33A6" w:rsidRPr="00195B3B">
        <w:rPr>
          <w:rFonts w:ascii="Arial" w:hAnsi="Arial" w:cs="Arial"/>
        </w:rPr>
        <w:t xml:space="preserve">.  </w:t>
      </w:r>
    </w:p>
    <w:p w:rsidR="0021521B" w:rsidRDefault="0021521B" w:rsidP="0021521B">
      <w:pPr>
        <w:pStyle w:val="ListParagraph"/>
        <w:spacing w:line="360" w:lineRule="auto"/>
        <w:ind w:left="360"/>
        <w:rPr>
          <w:rFonts w:ascii="Arial" w:hAnsi="Arial" w:cs="Arial"/>
        </w:rPr>
      </w:pPr>
    </w:p>
    <w:p w:rsidR="00730708" w:rsidRDefault="00730708" w:rsidP="00AF22DC">
      <w:pPr>
        <w:pStyle w:val="ListParagraph"/>
        <w:numPr>
          <w:ilvl w:val="0"/>
          <w:numId w:val="3"/>
        </w:numPr>
        <w:spacing w:line="360" w:lineRule="auto"/>
        <w:rPr>
          <w:rFonts w:ascii="Arial" w:hAnsi="Arial" w:cs="Arial"/>
        </w:rPr>
      </w:pPr>
      <w:r>
        <w:rPr>
          <w:rFonts w:ascii="Arial" w:hAnsi="Arial" w:cs="Arial"/>
        </w:rPr>
        <w:t xml:space="preserve">I </w:t>
      </w:r>
      <w:r w:rsidR="0021521B" w:rsidRPr="0021521B">
        <w:rPr>
          <w:rFonts w:ascii="Arial" w:hAnsi="Arial" w:cs="Arial"/>
        </w:rPr>
        <w:t>return to</w:t>
      </w:r>
      <w:r>
        <w:rPr>
          <w:rFonts w:ascii="Arial" w:hAnsi="Arial" w:cs="Arial"/>
        </w:rPr>
        <w:t xml:space="preserve"> consider</w:t>
      </w:r>
      <w:r w:rsidR="0021521B" w:rsidRPr="0021521B">
        <w:rPr>
          <w:rFonts w:ascii="Arial" w:hAnsi="Arial" w:cs="Arial"/>
        </w:rPr>
        <w:t xml:space="preserve"> </w:t>
      </w:r>
      <w:r w:rsidR="0021521B" w:rsidRPr="0021521B">
        <w:rPr>
          <w:rFonts w:ascii="Arial" w:hAnsi="Arial" w:cs="Arial"/>
          <w:i/>
        </w:rPr>
        <w:t xml:space="preserve">Setjwetla. </w:t>
      </w:r>
      <w:r w:rsidR="0021521B">
        <w:rPr>
          <w:rFonts w:ascii="Arial" w:hAnsi="Arial" w:cs="Arial"/>
        </w:rPr>
        <w:t>The court</w:t>
      </w:r>
      <w:r w:rsidR="0021521B" w:rsidRPr="0021521B">
        <w:rPr>
          <w:rFonts w:ascii="Arial" w:hAnsi="Arial" w:cs="Arial"/>
        </w:rPr>
        <w:t xml:space="preserve"> found that the </w:t>
      </w:r>
      <w:r w:rsidR="00A53C69" w:rsidRPr="0021521B">
        <w:rPr>
          <w:rFonts w:ascii="Arial" w:hAnsi="Arial" w:cs="Arial"/>
        </w:rPr>
        <w:t>applicants</w:t>
      </w:r>
      <w:r w:rsidR="0021521B" w:rsidRPr="0021521B">
        <w:rPr>
          <w:rFonts w:ascii="Arial" w:hAnsi="Arial" w:cs="Arial"/>
        </w:rPr>
        <w:t xml:space="preserve"> </w:t>
      </w:r>
      <w:r w:rsidR="00A53C69" w:rsidRPr="0021521B">
        <w:rPr>
          <w:rFonts w:ascii="Arial" w:hAnsi="Arial" w:cs="Arial"/>
        </w:rPr>
        <w:t>enjoyed</w:t>
      </w:r>
      <w:r w:rsidR="0021521B" w:rsidRPr="0021521B">
        <w:rPr>
          <w:rFonts w:ascii="Arial" w:hAnsi="Arial" w:cs="Arial"/>
        </w:rPr>
        <w:t xml:space="preserve"> possession for the purposes of a mandam</w:t>
      </w:r>
      <w:r w:rsidR="00277DF3">
        <w:rPr>
          <w:rFonts w:ascii="Arial" w:hAnsi="Arial" w:cs="Arial"/>
        </w:rPr>
        <w:t>ent van spolie</w:t>
      </w:r>
      <w:r w:rsidR="0021521B" w:rsidRPr="0021521B">
        <w:rPr>
          <w:rFonts w:ascii="Arial" w:hAnsi="Arial" w:cs="Arial"/>
        </w:rPr>
        <w:t xml:space="preserve"> but in doing so </w:t>
      </w:r>
      <w:r w:rsidR="00195B3B">
        <w:rPr>
          <w:rFonts w:ascii="Arial" w:hAnsi="Arial" w:cs="Arial"/>
        </w:rPr>
        <w:t xml:space="preserve">it </w:t>
      </w:r>
      <w:r w:rsidR="0021521B" w:rsidRPr="0021521B">
        <w:rPr>
          <w:rFonts w:ascii="Arial" w:hAnsi="Arial" w:cs="Arial"/>
        </w:rPr>
        <w:t xml:space="preserve">only concerned itself with the </w:t>
      </w:r>
      <w:r w:rsidR="00A53C69" w:rsidRPr="0021521B">
        <w:rPr>
          <w:rFonts w:ascii="Arial" w:hAnsi="Arial" w:cs="Arial"/>
        </w:rPr>
        <w:t>physical</w:t>
      </w:r>
      <w:r w:rsidR="0021521B" w:rsidRPr="0021521B">
        <w:rPr>
          <w:rFonts w:ascii="Arial" w:hAnsi="Arial" w:cs="Arial"/>
        </w:rPr>
        <w:t xml:space="preserve"> attributes of possession, not whether the applicants had enjoyed peaceful and undisturbed possession nor whether they could have been lawfully counter-spoliated.  </w:t>
      </w:r>
    </w:p>
    <w:p w:rsidR="00730708" w:rsidRDefault="00730708" w:rsidP="00730708">
      <w:pPr>
        <w:pStyle w:val="ListParagraph"/>
        <w:spacing w:line="360" w:lineRule="auto"/>
        <w:ind w:left="360"/>
        <w:rPr>
          <w:rFonts w:ascii="Arial" w:hAnsi="Arial" w:cs="Arial"/>
        </w:rPr>
      </w:pPr>
    </w:p>
    <w:p w:rsidR="0021521B" w:rsidRPr="0021521B" w:rsidRDefault="0021521B" w:rsidP="00730708">
      <w:pPr>
        <w:pStyle w:val="ListParagraph"/>
        <w:spacing w:line="360" w:lineRule="auto"/>
        <w:ind w:left="360"/>
        <w:rPr>
          <w:rFonts w:ascii="Arial" w:hAnsi="Arial" w:cs="Arial"/>
        </w:rPr>
      </w:pPr>
      <w:r>
        <w:rPr>
          <w:rFonts w:ascii="Arial" w:hAnsi="Arial" w:cs="Arial"/>
        </w:rPr>
        <w:t>The case was decided on an urgent basis and while t</w:t>
      </w:r>
      <w:r w:rsidR="00277DF3">
        <w:rPr>
          <w:rFonts w:ascii="Arial" w:hAnsi="Arial" w:cs="Arial"/>
        </w:rPr>
        <w:t>he</w:t>
      </w:r>
      <w:r>
        <w:rPr>
          <w:rFonts w:ascii="Arial" w:hAnsi="Arial" w:cs="Arial"/>
        </w:rPr>
        <w:t xml:space="preserve"> applicants contended </w:t>
      </w:r>
      <w:r w:rsidR="00A53C69">
        <w:rPr>
          <w:rFonts w:ascii="Arial" w:hAnsi="Arial" w:cs="Arial"/>
        </w:rPr>
        <w:t xml:space="preserve">that </w:t>
      </w:r>
      <w:r>
        <w:rPr>
          <w:rFonts w:ascii="Arial" w:hAnsi="Arial" w:cs="Arial"/>
        </w:rPr>
        <w:t>th</w:t>
      </w:r>
      <w:r w:rsidR="00A53C69">
        <w:rPr>
          <w:rFonts w:ascii="Arial" w:hAnsi="Arial" w:cs="Arial"/>
        </w:rPr>
        <w:t>e</w:t>
      </w:r>
      <w:r>
        <w:rPr>
          <w:rFonts w:ascii="Arial" w:hAnsi="Arial" w:cs="Arial"/>
        </w:rPr>
        <w:t xml:space="preserve">y had been in occupation for a number of years </w:t>
      </w:r>
      <w:r w:rsidR="00730708">
        <w:rPr>
          <w:rFonts w:ascii="Arial" w:hAnsi="Arial" w:cs="Arial"/>
        </w:rPr>
        <w:t xml:space="preserve">this was </w:t>
      </w:r>
      <w:r w:rsidR="00491C20">
        <w:rPr>
          <w:rFonts w:ascii="Arial" w:hAnsi="Arial" w:cs="Arial"/>
        </w:rPr>
        <w:t>disputed by the municipality. The municipality contended that it</w:t>
      </w:r>
      <w:r>
        <w:rPr>
          <w:rFonts w:ascii="Arial" w:hAnsi="Arial" w:cs="Arial"/>
        </w:rPr>
        <w:t xml:space="preserve"> had thwarted a land invasion and that possession had not occurred. It will be </w:t>
      </w:r>
      <w:r w:rsidR="00A53C69">
        <w:rPr>
          <w:rFonts w:ascii="Arial" w:hAnsi="Arial" w:cs="Arial"/>
        </w:rPr>
        <w:t>recalled</w:t>
      </w:r>
      <w:r w:rsidR="00195B3B">
        <w:rPr>
          <w:rFonts w:ascii="Arial" w:hAnsi="Arial" w:cs="Arial"/>
        </w:rPr>
        <w:t xml:space="preserve"> that in</w:t>
      </w:r>
      <w:r w:rsidRPr="0021521B">
        <w:rPr>
          <w:rFonts w:ascii="Arial" w:hAnsi="Arial" w:cs="Arial"/>
        </w:rPr>
        <w:t xml:space="preserve"> </w:t>
      </w:r>
      <w:r w:rsidR="0054361D" w:rsidRPr="0054361D">
        <w:rPr>
          <w:rFonts w:ascii="Arial" w:hAnsi="Arial" w:cs="Arial"/>
          <w:i/>
        </w:rPr>
        <w:t>Fischer</w:t>
      </w:r>
      <w:r w:rsidR="0054361D">
        <w:rPr>
          <w:rFonts w:ascii="Arial" w:hAnsi="Arial" w:cs="Arial"/>
          <w:i/>
        </w:rPr>
        <w:t xml:space="preserve"> </w:t>
      </w:r>
      <w:r w:rsidR="0054361D">
        <w:rPr>
          <w:rFonts w:ascii="Arial" w:hAnsi="Arial" w:cs="Arial"/>
        </w:rPr>
        <w:t>t</w:t>
      </w:r>
      <w:r w:rsidR="00B86FCC">
        <w:rPr>
          <w:rFonts w:ascii="Arial" w:hAnsi="Arial" w:cs="Arial"/>
        </w:rPr>
        <w:t xml:space="preserve">he court considered that </w:t>
      </w:r>
      <w:r w:rsidR="00491C20">
        <w:rPr>
          <w:rFonts w:ascii="Arial" w:hAnsi="Arial" w:cs="Arial"/>
        </w:rPr>
        <w:t xml:space="preserve">having regard to </w:t>
      </w:r>
      <w:r w:rsidR="00B86FCC">
        <w:rPr>
          <w:rFonts w:ascii="Arial" w:hAnsi="Arial" w:cs="Arial"/>
        </w:rPr>
        <w:t xml:space="preserve">the </w:t>
      </w:r>
      <w:r w:rsidR="00A53C69">
        <w:rPr>
          <w:rFonts w:ascii="Arial" w:hAnsi="Arial" w:cs="Arial"/>
        </w:rPr>
        <w:t>issues</w:t>
      </w:r>
      <w:r w:rsidR="00277DF3">
        <w:rPr>
          <w:rFonts w:ascii="Arial" w:hAnsi="Arial" w:cs="Arial"/>
        </w:rPr>
        <w:t xml:space="preserve">, it </w:t>
      </w:r>
      <w:r w:rsidR="00B86FCC">
        <w:rPr>
          <w:rFonts w:ascii="Arial" w:hAnsi="Arial" w:cs="Arial"/>
        </w:rPr>
        <w:t xml:space="preserve"> would have been more </w:t>
      </w:r>
      <w:r w:rsidR="00B86FCC">
        <w:rPr>
          <w:rFonts w:ascii="Arial" w:hAnsi="Arial" w:cs="Arial"/>
        </w:rPr>
        <w:lastRenderedPageBreak/>
        <w:t xml:space="preserve">appropriate to hear </w:t>
      </w:r>
      <w:r w:rsidR="00A53C69">
        <w:rPr>
          <w:rFonts w:ascii="Arial" w:hAnsi="Arial" w:cs="Arial"/>
        </w:rPr>
        <w:t>evidence</w:t>
      </w:r>
      <w:r w:rsidR="00B86FCC">
        <w:rPr>
          <w:rFonts w:ascii="Arial" w:hAnsi="Arial" w:cs="Arial"/>
        </w:rPr>
        <w:t xml:space="preserve"> on </w:t>
      </w:r>
      <w:r w:rsidR="00277DF3">
        <w:rPr>
          <w:rFonts w:ascii="Arial" w:hAnsi="Arial" w:cs="Arial"/>
        </w:rPr>
        <w:t xml:space="preserve"> </w:t>
      </w:r>
      <w:r w:rsidR="00B86FCC">
        <w:rPr>
          <w:rFonts w:ascii="Arial" w:hAnsi="Arial" w:cs="Arial"/>
        </w:rPr>
        <w:t>whether</w:t>
      </w:r>
      <w:r w:rsidR="00277DF3">
        <w:rPr>
          <w:rFonts w:ascii="Arial" w:hAnsi="Arial" w:cs="Arial"/>
        </w:rPr>
        <w:t>,</w:t>
      </w:r>
      <w:r w:rsidR="00B86FCC">
        <w:rPr>
          <w:rFonts w:ascii="Arial" w:hAnsi="Arial" w:cs="Arial"/>
        </w:rPr>
        <w:t xml:space="preserve"> </w:t>
      </w:r>
      <w:r w:rsidR="00277DF3">
        <w:rPr>
          <w:rFonts w:ascii="Arial" w:hAnsi="Arial" w:cs="Arial"/>
        </w:rPr>
        <w:t xml:space="preserve">and if so by when, the dwellings had been </w:t>
      </w:r>
      <w:r w:rsidR="00B86FCC">
        <w:rPr>
          <w:rFonts w:ascii="Arial" w:hAnsi="Arial" w:cs="Arial"/>
        </w:rPr>
        <w:t>occup</w:t>
      </w:r>
      <w:r w:rsidR="00277DF3">
        <w:rPr>
          <w:rFonts w:ascii="Arial" w:hAnsi="Arial" w:cs="Arial"/>
        </w:rPr>
        <w:t>ied</w:t>
      </w:r>
      <w:r w:rsidR="00B86FCC">
        <w:rPr>
          <w:rFonts w:ascii="Arial" w:hAnsi="Arial" w:cs="Arial"/>
        </w:rPr>
        <w:t>.</w:t>
      </w:r>
      <w:r w:rsidR="00B86FCC">
        <w:rPr>
          <w:rStyle w:val="FootnoteReference"/>
          <w:rFonts w:ascii="Arial" w:hAnsi="Arial" w:cs="Arial"/>
        </w:rPr>
        <w:footnoteReference w:id="69"/>
      </w:r>
    </w:p>
    <w:p w:rsidR="00BD3173" w:rsidRDefault="00BD3173" w:rsidP="00BD3173">
      <w:pPr>
        <w:pStyle w:val="ListParagraph"/>
        <w:spacing w:line="360" w:lineRule="auto"/>
        <w:ind w:left="360"/>
        <w:rPr>
          <w:rFonts w:ascii="Arial" w:hAnsi="Arial" w:cs="Arial"/>
        </w:rPr>
      </w:pPr>
    </w:p>
    <w:p w:rsidR="00730708" w:rsidRDefault="00730708" w:rsidP="00AF22DC">
      <w:pPr>
        <w:pStyle w:val="ListParagraph"/>
        <w:numPr>
          <w:ilvl w:val="0"/>
          <w:numId w:val="3"/>
        </w:numPr>
        <w:spacing w:line="360" w:lineRule="auto"/>
        <w:rPr>
          <w:rFonts w:ascii="Arial" w:hAnsi="Arial" w:cs="Arial"/>
        </w:rPr>
      </w:pPr>
      <w:r>
        <w:rPr>
          <w:rFonts w:ascii="Arial" w:hAnsi="Arial" w:cs="Arial"/>
        </w:rPr>
        <w:t>In my respectful view t</w:t>
      </w:r>
      <w:r w:rsidR="00B86FCC">
        <w:rPr>
          <w:rFonts w:ascii="Arial" w:hAnsi="Arial" w:cs="Arial"/>
        </w:rPr>
        <w:t xml:space="preserve">he outcome of this aspect </w:t>
      </w:r>
      <w:r>
        <w:rPr>
          <w:rFonts w:ascii="Arial" w:hAnsi="Arial" w:cs="Arial"/>
        </w:rPr>
        <w:t xml:space="preserve">of the case must be based on </w:t>
      </w:r>
      <w:r w:rsidR="00B86FCC" w:rsidRPr="00370ADE">
        <w:rPr>
          <w:rFonts w:ascii="Arial" w:hAnsi="Arial" w:cs="Arial"/>
          <w:i/>
        </w:rPr>
        <w:t>Fischer</w:t>
      </w:r>
      <w:r w:rsidR="00B86FCC">
        <w:rPr>
          <w:rFonts w:ascii="Arial" w:hAnsi="Arial" w:cs="Arial"/>
        </w:rPr>
        <w:t xml:space="preserve">, on </w:t>
      </w:r>
      <w:r w:rsidR="00B86FCC" w:rsidRPr="00370ADE">
        <w:rPr>
          <w:rFonts w:ascii="Arial" w:hAnsi="Arial" w:cs="Arial"/>
          <w:i/>
        </w:rPr>
        <w:t>Fisher</w:t>
      </w:r>
      <w:r w:rsidR="00370ADE">
        <w:rPr>
          <w:rFonts w:ascii="Arial" w:hAnsi="Arial" w:cs="Arial"/>
          <w:i/>
        </w:rPr>
        <w:t>’s</w:t>
      </w:r>
      <w:r w:rsidR="00B86FCC">
        <w:rPr>
          <w:rFonts w:ascii="Arial" w:hAnsi="Arial" w:cs="Arial"/>
        </w:rPr>
        <w:t xml:space="preserve"> approv</w:t>
      </w:r>
      <w:r w:rsidR="00370ADE">
        <w:rPr>
          <w:rFonts w:ascii="Arial" w:hAnsi="Arial" w:cs="Arial"/>
        </w:rPr>
        <w:t>al of an</w:t>
      </w:r>
      <w:r w:rsidR="00B86FCC">
        <w:rPr>
          <w:rFonts w:ascii="Arial" w:hAnsi="Arial" w:cs="Arial"/>
        </w:rPr>
        <w:t xml:space="preserve"> essential aspect of the Cape Full Court decision of </w:t>
      </w:r>
      <w:r w:rsidR="00A53C69" w:rsidRPr="00B86FCC">
        <w:rPr>
          <w:rFonts w:ascii="Arial" w:hAnsi="Arial" w:cs="Arial"/>
          <w:i/>
        </w:rPr>
        <w:t xml:space="preserve">Ness </w:t>
      </w:r>
      <w:r w:rsidR="00A53C69">
        <w:rPr>
          <w:rFonts w:ascii="Arial" w:hAnsi="Arial" w:cs="Arial"/>
        </w:rPr>
        <w:t>and</w:t>
      </w:r>
      <w:r w:rsidR="00B86FCC">
        <w:rPr>
          <w:rFonts w:ascii="Arial" w:hAnsi="Arial" w:cs="Arial"/>
        </w:rPr>
        <w:t xml:space="preserve"> o</w:t>
      </w:r>
      <w:r w:rsidR="00370ADE">
        <w:rPr>
          <w:rFonts w:ascii="Arial" w:hAnsi="Arial" w:cs="Arial"/>
        </w:rPr>
        <w:t xml:space="preserve">n </w:t>
      </w:r>
      <w:r w:rsidR="00A53C69">
        <w:rPr>
          <w:rFonts w:ascii="Arial" w:hAnsi="Arial" w:cs="Arial"/>
        </w:rPr>
        <w:t>the authority</w:t>
      </w:r>
      <w:r w:rsidR="00B86FCC">
        <w:rPr>
          <w:rFonts w:ascii="Arial" w:hAnsi="Arial" w:cs="Arial"/>
        </w:rPr>
        <w:t xml:space="preserve"> of this court</w:t>
      </w:r>
      <w:r w:rsidR="00045C58">
        <w:rPr>
          <w:rFonts w:ascii="Arial" w:hAnsi="Arial" w:cs="Arial"/>
        </w:rPr>
        <w:t xml:space="preserve"> </w:t>
      </w:r>
      <w:r w:rsidR="00045C58" w:rsidRPr="00370ADE">
        <w:rPr>
          <w:rFonts w:ascii="Arial" w:hAnsi="Arial" w:cs="Arial"/>
          <w:i/>
        </w:rPr>
        <w:t xml:space="preserve">per </w:t>
      </w:r>
      <w:r w:rsidR="00A53C69">
        <w:rPr>
          <w:rFonts w:ascii="Arial" w:hAnsi="Arial" w:cs="Arial"/>
        </w:rPr>
        <w:t>Flemming</w:t>
      </w:r>
      <w:r w:rsidR="00045C58">
        <w:rPr>
          <w:rFonts w:ascii="Arial" w:hAnsi="Arial" w:cs="Arial"/>
        </w:rPr>
        <w:t xml:space="preserve"> DJP in </w:t>
      </w:r>
      <w:r w:rsidR="00A53C69">
        <w:rPr>
          <w:rFonts w:ascii="Arial" w:hAnsi="Arial" w:cs="Arial"/>
          <w:i/>
        </w:rPr>
        <w:t xml:space="preserve">Mbangi </w:t>
      </w:r>
      <w:r w:rsidR="00A53C69">
        <w:rPr>
          <w:rFonts w:ascii="Arial" w:hAnsi="Arial" w:cs="Arial"/>
        </w:rPr>
        <w:t>as</w:t>
      </w:r>
      <w:r w:rsidR="00045C58">
        <w:rPr>
          <w:rFonts w:ascii="Arial" w:hAnsi="Arial" w:cs="Arial"/>
        </w:rPr>
        <w:t xml:space="preserve"> to the </w:t>
      </w:r>
      <w:r w:rsidR="00A53C69">
        <w:rPr>
          <w:rFonts w:ascii="Arial" w:hAnsi="Arial" w:cs="Arial"/>
        </w:rPr>
        <w:t>requirements</w:t>
      </w:r>
      <w:r w:rsidR="00045C58">
        <w:rPr>
          <w:rFonts w:ascii="Arial" w:hAnsi="Arial" w:cs="Arial"/>
        </w:rPr>
        <w:t xml:space="preserve"> for a mandament van spolie.</w:t>
      </w:r>
      <w:r w:rsidR="00277DF3">
        <w:rPr>
          <w:rFonts w:ascii="Arial" w:hAnsi="Arial" w:cs="Arial"/>
        </w:rPr>
        <w:t xml:space="preserve">  </w:t>
      </w:r>
    </w:p>
    <w:p w:rsidR="00730708" w:rsidRDefault="00730708" w:rsidP="00730708">
      <w:pPr>
        <w:pStyle w:val="ListParagraph"/>
        <w:spacing w:line="360" w:lineRule="auto"/>
        <w:ind w:left="360"/>
        <w:rPr>
          <w:rFonts w:ascii="Arial" w:hAnsi="Arial" w:cs="Arial"/>
        </w:rPr>
      </w:pPr>
    </w:p>
    <w:p w:rsidR="00045C58" w:rsidRDefault="00195B3B" w:rsidP="00730708">
      <w:pPr>
        <w:pStyle w:val="ListParagraph"/>
        <w:spacing w:line="360" w:lineRule="auto"/>
        <w:ind w:left="360"/>
        <w:rPr>
          <w:rFonts w:ascii="Arial" w:hAnsi="Arial" w:cs="Arial"/>
        </w:rPr>
      </w:pPr>
      <w:r>
        <w:rPr>
          <w:rFonts w:ascii="Arial" w:hAnsi="Arial" w:cs="Arial"/>
        </w:rPr>
        <w:t xml:space="preserve">This court is </w:t>
      </w:r>
      <w:r w:rsidR="00045C58">
        <w:rPr>
          <w:rFonts w:ascii="Arial" w:hAnsi="Arial" w:cs="Arial"/>
        </w:rPr>
        <w:t>bound by the SCA decision</w:t>
      </w:r>
      <w:r>
        <w:rPr>
          <w:rFonts w:ascii="Arial" w:hAnsi="Arial" w:cs="Arial"/>
        </w:rPr>
        <w:t xml:space="preserve"> in </w:t>
      </w:r>
      <w:r w:rsidRPr="00195B3B">
        <w:rPr>
          <w:rFonts w:ascii="Arial" w:hAnsi="Arial" w:cs="Arial"/>
          <w:i/>
        </w:rPr>
        <w:t>Fischer</w:t>
      </w:r>
      <w:r>
        <w:rPr>
          <w:rFonts w:ascii="Arial" w:hAnsi="Arial" w:cs="Arial"/>
        </w:rPr>
        <w:t xml:space="preserve">. Furthermore it can </w:t>
      </w:r>
      <w:r w:rsidR="00045C58">
        <w:rPr>
          <w:rFonts w:ascii="Arial" w:hAnsi="Arial" w:cs="Arial"/>
        </w:rPr>
        <w:t xml:space="preserve">only depart from the </w:t>
      </w:r>
      <w:r w:rsidR="00045C58" w:rsidRPr="00045C58">
        <w:rPr>
          <w:rFonts w:ascii="Arial" w:hAnsi="Arial" w:cs="Arial"/>
          <w:i/>
        </w:rPr>
        <w:t>ratio</w:t>
      </w:r>
      <w:r w:rsidR="00045C58">
        <w:rPr>
          <w:rFonts w:ascii="Arial" w:hAnsi="Arial" w:cs="Arial"/>
        </w:rPr>
        <w:t xml:space="preserve"> </w:t>
      </w:r>
      <w:r w:rsidR="00227AC8">
        <w:rPr>
          <w:rFonts w:ascii="Arial" w:hAnsi="Arial" w:cs="Arial"/>
        </w:rPr>
        <w:t xml:space="preserve"> </w:t>
      </w:r>
      <w:r w:rsidR="00045C58">
        <w:rPr>
          <w:rFonts w:ascii="Arial" w:hAnsi="Arial" w:cs="Arial"/>
        </w:rPr>
        <w:t xml:space="preserve">in </w:t>
      </w:r>
      <w:r w:rsidR="00277DF3">
        <w:rPr>
          <w:rFonts w:ascii="Arial" w:hAnsi="Arial" w:cs="Arial"/>
          <w:i/>
        </w:rPr>
        <w:t>Mba</w:t>
      </w:r>
      <w:r w:rsidR="00045C58" w:rsidRPr="00277DF3">
        <w:rPr>
          <w:rFonts w:ascii="Arial" w:hAnsi="Arial" w:cs="Arial"/>
          <w:i/>
        </w:rPr>
        <w:t>ngi</w:t>
      </w:r>
      <w:r w:rsidR="00045C58">
        <w:rPr>
          <w:rFonts w:ascii="Arial" w:hAnsi="Arial" w:cs="Arial"/>
        </w:rPr>
        <w:t xml:space="preserve"> if it is clearly </w:t>
      </w:r>
      <w:r>
        <w:rPr>
          <w:rFonts w:ascii="Arial" w:hAnsi="Arial" w:cs="Arial"/>
        </w:rPr>
        <w:t xml:space="preserve">or manifestly </w:t>
      </w:r>
      <w:r w:rsidR="00045C58">
        <w:rPr>
          <w:rFonts w:ascii="Arial" w:hAnsi="Arial" w:cs="Arial"/>
        </w:rPr>
        <w:t>wrong</w:t>
      </w:r>
      <w:r>
        <w:rPr>
          <w:rStyle w:val="FootnoteReference"/>
          <w:rFonts w:ascii="Arial" w:hAnsi="Arial" w:cs="Arial"/>
        </w:rPr>
        <w:footnoteReference w:id="70"/>
      </w:r>
      <w:r w:rsidR="00045C58">
        <w:rPr>
          <w:rFonts w:ascii="Arial" w:hAnsi="Arial" w:cs="Arial"/>
        </w:rPr>
        <w:t xml:space="preserve">. </w:t>
      </w:r>
      <w:r w:rsidR="00730708">
        <w:rPr>
          <w:rFonts w:ascii="Arial" w:hAnsi="Arial" w:cs="Arial"/>
        </w:rPr>
        <w:t xml:space="preserve">For the reason already given </w:t>
      </w:r>
      <w:r w:rsidR="00045C58">
        <w:rPr>
          <w:rFonts w:ascii="Arial" w:hAnsi="Arial" w:cs="Arial"/>
        </w:rPr>
        <w:t>I</w:t>
      </w:r>
      <w:r w:rsidR="00730708">
        <w:rPr>
          <w:rFonts w:ascii="Arial" w:hAnsi="Arial" w:cs="Arial"/>
        </w:rPr>
        <w:t xml:space="preserve"> find i</w:t>
      </w:r>
      <w:r w:rsidR="00045C58">
        <w:rPr>
          <w:rFonts w:ascii="Arial" w:hAnsi="Arial" w:cs="Arial"/>
        </w:rPr>
        <w:t xml:space="preserve">t </w:t>
      </w:r>
      <w:r w:rsidR="00730708">
        <w:rPr>
          <w:rFonts w:ascii="Arial" w:hAnsi="Arial" w:cs="Arial"/>
        </w:rPr>
        <w:t xml:space="preserve">to be </w:t>
      </w:r>
      <w:r w:rsidR="00045C58">
        <w:rPr>
          <w:rFonts w:ascii="Arial" w:hAnsi="Arial" w:cs="Arial"/>
        </w:rPr>
        <w:t xml:space="preserve">an eminent exposition of the law and its rationale. </w:t>
      </w:r>
    </w:p>
    <w:p w:rsidR="00045C58" w:rsidRDefault="00045C58" w:rsidP="00045C58">
      <w:pPr>
        <w:pStyle w:val="ListParagraph"/>
        <w:spacing w:line="360" w:lineRule="auto"/>
        <w:ind w:left="360"/>
        <w:rPr>
          <w:rFonts w:ascii="Arial" w:hAnsi="Arial" w:cs="Arial"/>
        </w:rPr>
      </w:pPr>
    </w:p>
    <w:p w:rsidR="00045C58" w:rsidRDefault="00045C58" w:rsidP="00045C58">
      <w:pPr>
        <w:pStyle w:val="ListParagraph"/>
        <w:spacing w:line="360" w:lineRule="auto"/>
        <w:ind w:left="360"/>
        <w:rPr>
          <w:rFonts w:ascii="Arial" w:hAnsi="Arial" w:cs="Arial"/>
        </w:rPr>
      </w:pPr>
      <w:r>
        <w:rPr>
          <w:rFonts w:ascii="Arial" w:hAnsi="Arial" w:cs="Arial"/>
        </w:rPr>
        <w:t xml:space="preserve">There have been recent decisions in this Division which have not undertaken a full </w:t>
      </w:r>
      <w:r w:rsidR="00195B3B">
        <w:rPr>
          <w:rFonts w:ascii="Arial" w:hAnsi="Arial" w:cs="Arial"/>
        </w:rPr>
        <w:t>analysis</w:t>
      </w:r>
      <w:r>
        <w:rPr>
          <w:rFonts w:ascii="Arial" w:hAnsi="Arial" w:cs="Arial"/>
        </w:rPr>
        <w:t xml:space="preserve"> of the </w:t>
      </w:r>
      <w:r w:rsidR="00A53C69">
        <w:rPr>
          <w:rFonts w:ascii="Arial" w:hAnsi="Arial" w:cs="Arial"/>
        </w:rPr>
        <w:t>mandament</w:t>
      </w:r>
      <w:r>
        <w:rPr>
          <w:rFonts w:ascii="Arial" w:hAnsi="Arial" w:cs="Arial"/>
        </w:rPr>
        <w:t xml:space="preserve"> van spolie or dealt with the</w:t>
      </w:r>
      <w:r w:rsidR="00277DF3">
        <w:rPr>
          <w:rFonts w:ascii="Arial" w:hAnsi="Arial" w:cs="Arial"/>
        </w:rPr>
        <w:t xml:space="preserve"> authorities which </w:t>
      </w:r>
      <w:r w:rsidR="00491C20">
        <w:rPr>
          <w:rFonts w:ascii="Arial" w:hAnsi="Arial" w:cs="Arial"/>
        </w:rPr>
        <w:t>set</w:t>
      </w:r>
      <w:r w:rsidR="00277DF3">
        <w:rPr>
          <w:rFonts w:ascii="Arial" w:hAnsi="Arial" w:cs="Arial"/>
        </w:rPr>
        <w:t xml:space="preserve"> binding precedent in this Division unless </w:t>
      </w:r>
      <w:r w:rsidR="00730708">
        <w:rPr>
          <w:rFonts w:ascii="Arial" w:hAnsi="Arial" w:cs="Arial"/>
        </w:rPr>
        <w:t xml:space="preserve">found to be </w:t>
      </w:r>
      <w:r w:rsidR="00277DF3">
        <w:rPr>
          <w:rFonts w:ascii="Arial" w:hAnsi="Arial" w:cs="Arial"/>
        </w:rPr>
        <w:t>clearly wrong.</w:t>
      </w:r>
    </w:p>
    <w:p w:rsidR="00045C58" w:rsidRDefault="00045C58" w:rsidP="00045C58">
      <w:pPr>
        <w:pStyle w:val="ListParagraph"/>
        <w:spacing w:line="360" w:lineRule="auto"/>
        <w:ind w:left="360"/>
        <w:rPr>
          <w:rFonts w:ascii="Arial" w:hAnsi="Arial" w:cs="Arial"/>
        </w:rPr>
      </w:pPr>
    </w:p>
    <w:p w:rsidR="00491C20" w:rsidRDefault="00730708" w:rsidP="00730708">
      <w:pPr>
        <w:pStyle w:val="ListParagraph"/>
        <w:numPr>
          <w:ilvl w:val="0"/>
          <w:numId w:val="3"/>
        </w:numPr>
        <w:spacing w:line="360" w:lineRule="auto"/>
        <w:rPr>
          <w:rFonts w:ascii="Arial" w:hAnsi="Arial" w:cs="Arial"/>
        </w:rPr>
      </w:pPr>
      <w:r>
        <w:rPr>
          <w:rFonts w:ascii="Arial" w:hAnsi="Arial" w:cs="Arial"/>
        </w:rPr>
        <w:t>This case is</w:t>
      </w:r>
      <w:r w:rsidR="006D053A">
        <w:rPr>
          <w:rFonts w:ascii="Arial" w:hAnsi="Arial" w:cs="Arial"/>
        </w:rPr>
        <w:t xml:space="preserve"> concerned</w:t>
      </w:r>
      <w:r>
        <w:rPr>
          <w:rFonts w:ascii="Arial" w:hAnsi="Arial" w:cs="Arial"/>
        </w:rPr>
        <w:t xml:space="preserve"> therefore</w:t>
      </w:r>
      <w:r w:rsidR="006D053A">
        <w:rPr>
          <w:rFonts w:ascii="Arial" w:hAnsi="Arial" w:cs="Arial"/>
        </w:rPr>
        <w:t xml:space="preserve"> with whether</w:t>
      </w:r>
      <w:r w:rsidR="00277DF3">
        <w:rPr>
          <w:rFonts w:ascii="Arial" w:hAnsi="Arial" w:cs="Arial"/>
        </w:rPr>
        <w:t>,</w:t>
      </w:r>
      <w:r w:rsidR="00045C58">
        <w:rPr>
          <w:rFonts w:ascii="Arial" w:hAnsi="Arial" w:cs="Arial"/>
        </w:rPr>
        <w:t xml:space="preserve"> as a fact</w:t>
      </w:r>
      <w:r w:rsidR="00277DF3">
        <w:rPr>
          <w:rFonts w:ascii="Arial" w:hAnsi="Arial" w:cs="Arial"/>
        </w:rPr>
        <w:t>,</w:t>
      </w:r>
      <w:r w:rsidR="00045C58">
        <w:rPr>
          <w:rFonts w:ascii="Arial" w:hAnsi="Arial" w:cs="Arial"/>
        </w:rPr>
        <w:t xml:space="preserve"> the </w:t>
      </w:r>
      <w:r w:rsidR="00491C20">
        <w:rPr>
          <w:rFonts w:ascii="Arial" w:hAnsi="Arial" w:cs="Arial"/>
        </w:rPr>
        <w:t>per</w:t>
      </w:r>
      <w:r w:rsidR="00045C58">
        <w:rPr>
          <w:rFonts w:ascii="Arial" w:hAnsi="Arial" w:cs="Arial"/>
        </w:rPr>
        <w:t>son</w:t>
      </w:r>
      <w:r w:rsidR="00277DF3">
        <w:rPr>
          <w:rFonts w:ascii="Arial" w:hAnsi="Arial" w:cs="Arial"/>
        </w:rPr>
        <w:t xml:space="preserve">s </w:t>
      </w:r>
      <w:r w:rsidR="00491C20">
        <w:rPr>
          <w:rFonts w:ascii="Arial" w:hAnsi="Arial" w:cs="Arial"/>
        </w:rPr>
        <w:t xml:space="preserve">who </w:t>
      </w:r>
      <w:r w:rsidR="00277DF3">
        <w:rPr>
          <w:rFonts w:ascii="Arial" w:hAnsi="Arial" w:cs="Arial"/>
        </w:rPr>
        <w:t>intrud</w:t>
      </w:r>
      <w:r w:rsidR="00491C20">
        <w:rPr>
          <w:rFonts w:ascii="Arial" w:hAnsi="Arial" w:cs="Arial"/>
        </w:rPr>
        <w:t>ed</w:t>
      </w:r>
      <w:r w:rsidR="00277DF3">
        <w:rPr>
          <w:rFonts w:ascii="Arial" w:hAnsi="Arial" w:cs="Arial"/>
        </w:rPr>
        <w:t xml:space="preserve"> on the land either</w:t>
      </w:r>
      <w:r w:rsidR="00045C58">
        <w:rPr>
          <w:rFonts w:ascii="Arial" w:hAnsi="Arial" w:cs="Arial"/>
        </w:rPr>
        <w:t xml:space="preserve"> indi</w:t>
      </w:r>
      <w:r w:rsidR="00277DF3">
        <w:rPr>
          <w:rFonts w:ascii="Arial" w:hAnsi="Arial" w:cs="Arial"/>
        </w:rPr>
        <w:t>v</w:t>
      </w:r>
      <w:r w:rsidR="00045C58">
        <w:rPr>
          <w:rFonts w:ascii="Arial" w:hAnsi="Arial" w:cs="Arial"/>
        </w:rPr>
        <w:t>idually or as a group</w:t>
      </w:r>
      <w:r w:rsidR="00277DF3">
        <w:rPr>
          <w:rFonts w:ascii="Arial" w:hAnsi="Arial" w:cs="Arial"/>
        </w:rPr>
        <w:t>,</w:t>
      </w:r>
      <w:r w:rsidR="00045C58">
        <w:rPr>
          <w:rFonts w:ascii="Arial" w:hAnsi="Arial" w:cs="Arial"/>
        </w:rPr>
        <w:t xml:space="preserve"> </w:t>
      </w:r>
      <w:r w:rsidR="006D053A">
        <w:rPr>
          <w:rFonts w:ascii="Arial" w:hAnsi="Arial" w:cs="Arial"/>
        </w:rPr>
        <w:t xml:space="preserve">gained </w:t>
      </w:r>
      <w:r w:rsidR="004955BE">
        <w:rPr>
          <w:rFonts w:ascii="Arial" w:hAnsi="Arial" w:cs="Arial"/>
        </w:rPr>
        <w:t>p</w:t>
      </w:r>
      <w:r w:rsidR="00045C58">
        <w:rPr>
          <w:rFonts w:ascii="Arial" w:hAnsi="Arial" w:cs="Arial"/>
        </w:rPr>
        <w:t xml:space="preserve">eaceful and undisturbed possession </w:t>
      </w:r>
      <w:r w:rsidR="004955BE">
        <w:rPr>
          <w:rFonts w:ascii="Arial" w:hAnsi="Arial" w:cs="Arial"/>
        </w:rPr>
        <w:t xml:space="preserve">- </w:t>
      </w:r>
      <w:r w:rsidR="00045C58">
        <w:rPr>
          <w:rFonts w:ascii="Arial" w:hAnsi="Arial" w:cs="Arial"/>
        </w:rPr>
        <w:t>which is a unitary enquiry not dependent on isolating the meaning of possession but rather having it understood and qualified by the requirement of being factually peaceful and undisturbed</w:t>
      </w:r>
      <w:r w:rsidR="00491C20">
        <w:rPr>
          <w:rFonts w:ascii="Arial" w:hAnsi="Arial" w:cs="Arial"/>
        </w:rPr>
        <w:t xml:space="preserve"> as well as t</w:t>
      </w:r>
      <w:r>
        <w:rPr>
          <w:rFonts w:ascii="Arial" w:hAnsi="Arial" w:cs="Arial"/>
        </w:rPr>
        <w:t>aking into account t</w:t>
      </w:r>
      <w:r w:rsidR="00491C20">
        <w:rPr>
          <w:rFonts w:ascii="Arial" w:hAnsi="Arial" w:cs="Arial"/>
        </w:rPr>
        <w:t>he nature of the resistance</w:t>
      </w:r>
      <w:r>
        <w:rPr>
          <w:rFonts w:ascii="Arial" w:hAnsi="Arial" w:cs="Arial"/>
        </w:rPr>
        <w:t>, if any,</w:t>
      </w:r>
      <w:r w:rsidR="00491C20">
        <w:rPr>
          <w:rFonts w:ascii="Arial" w:hAnsi="Arial" w:cs="Arial"/>
        </w:rPr>
        <w:t xml:space="preserve"> which prevent</w:t>
      </w:r>
      <w:r>
        <w:rPr>
          <w:rFonts w:ascii="Arial" w:hAnsi="Arial" w:cs="Arial"/>
        </w:rPr>
        <w:t>ed</w:t>
      </w:r>
      <w:r w:rsidR="00491C20">
        <w:rPr>
          <w:rFonts w:ascii="Arial" w:hAnsi="Arial" w:cs="Arial"/>
        </w:rPr>
        <w:t xml:space="preserve"> that from occurring. </w:t>
      </w:r>
    </w:p>
    <w:p w:rsidR="00491C20" w:rsidRDefault="00491C20" w:rsidP="00045C58">
      <w:pPr>
        <w:pStyle w:val="ListParagraph"/>
        <w:spacing w:line="360" w:lineRule="auto"/>
        <w:ind w:left="360"/>
        <w:rPr>
          <w:rFonts w:ascii="Arial" w:hAnsi="Arial" w:cs="Arial"/>
        </w:rPr>
      </w:pPr>
    </w:p>
    <w:p w:rsidR="00DF52B5" w:rsidRDefault="00195B3B" w:rsidP="00045C58">
      <w:pPr>
        <w:pStyle w:val="ListParagraph"/>
        <w:spacing w:line="360" w:lineRule="auto"/>
        <w:ind w:left="360"/>
        <w:rPr>
          <w:rFonts w:ascii="Arial" w:hAnsi="Arial" w:cs="Arial"/>
        </w:rPr>
      </w:pPr>
      <w:r>
        <w:rPr>
          <w:rFonts w:ascii="Arial" w:hAnsi="Arial" w:cs="Arial"/>
        </w:rPr>
        <w:t xml:space="preserve">This identification of the issue </w:t>
      </w:r>
      <w:r w:rsidR="006D053A">
        <w:rPr>
          <w:rFonts w:ascii="Arial" w:hAnsi="Arial" w:cs="Arial"/>
        </w:rPr>
        <w:t xml:space="preserve">is drawn </w:t>
      </w:r>
      <w:r w:rsidR="00045C58">
        <w:rPr>
          <w:rFonts w:ascii="Arial" w:hAnsi="Arial" w:cs="Arial"/>
        </w:rPr>
        <w:t xml:space="preserve">from the reasoning </w:t>
      </w:r>
      <w:r w:rsidR="00DF52B5">
        <w:rPr>
          <w:rFonts w:ascii="Arial" w:hAnsi="Arial" w:cs="Arial"/>
        </w:rPr>
        <w:t xml:space="preserve">in </w:t>
      </w:r>
      <w:r w:rsidR="00A53C69" w:rsidRPr="00045C58">
        <w:rPr>
          <w:rFonts w:ascii="Arial" w:hAnsi="Arial" w:cs="Arial"/>
          <w:i/>
        </w:rPr>
        <w:t>Mbangi</w:t>
      </w:r>
      <w:r w:rsidR="00045C58">
        <w:rPr>
          <w:rFonts w:ascii="Arial" w:hAnsi="Arial" w:cs="Arial"/>
        </w:rPr>
        <w:t xml:space="preserve"> and the requirement, which either </w:t>
      </w:r>
      <w:r w:rsidR="00491C20">
        <w:rPr>
          <w:rFonts w:ascii="Arial" w:hAnsi="Arial" w:cs="Arial"/>
        </w:rPr>
        <w:t xml:space="preserve">has </w:t>
      </w:r>
      <w:r w:rsidR="00045C58">
        <w:rPr>
          <w:rFonts w:ascii="Arial" w:hAnsi="Arial" w:cs="Arial"/>
        </w:rPr>
        <w:t xml:space="preserve">not </w:t>
      </w:r>
      <w:r w:rsidR="00491C20">
        <w:rPr>
          <w:rFonts w:ascii="Arial" w:hAnsi="Arial" w:cs="Arial"/>
        </w:rPr>
        <w:t xml:space="preserve">been fully </w:t>
      </w:r>
      <w:r w:rsidR="00045C58">
        <w:rPr>
          <w:rFonts w:ascii="Arial" w:hAnsi="Arial" w:cs="Arial"/>
        </w:rPr>
        <w:t>considered or analysed</w:t>
      </w:r>
      <w:r w:rsidR="00491C20">
        <w:rPr>
          <w:rFonts w:ascii="Arial" w:hAnsi="Arial" w:cs="Arial"/>
        </w:rPr>
        <w:t xml:space="preserve"> on occasion</w:t>
      </w:r>
      <w:r w:rsidR="00DF52B5">
        <w:rPr>
          <w:rFonts w:ascii="Arial" w:hAnsi="Arial" w:cs="Arial"/>
        </w:rPr>
        <w:t>, that the</w:t>
      </w:r>
      <w:r w:rsidR="00057910">
        <w:rPr>
          <w:rFonts w:ascii="Arial" w:hAnsi="Arial" w:cs="Arial"/>
        </w:rPr>
        <w:t xml:space="preserve"> initial spoliator must gain </w:t>
      </w:r>
      <w:r w:rsidR="00DF52B5">
        <w:rPr>
          <w:rFonts w:ascii="Arial" w:hAnsi="Arial" w:cs="Arial"/>
        </w:rPr>
        <w:t>peaceful and undisturbed possession</w:t>
      </w:r>
      <w:r>
        <w:rPr>
          <w:rFonts w:ascii="Arial" w:hAnsi="Arial" w:cs="Arial"/>
        </w:rPr>
        <w:t>- an</w:t>
      </w:r>
      <w:r w:rsidR="00730708">
        <w:rPr>
          <w:rFonts w:ascii="Arial" w:hAnsi="Arial" w:cs="Arial"/>
        </w:rPr>
        <w:t xml:space="preserve"> event which factually </w:t>
      </w:r>
      <w:r w:rsidR="00057910">
        <w:rPr>
          <w:rFonts w:ascii="Arial" w:hAnsi="Arial" w:cs="Arial"/>
        </w:rPr>
        <w:t xml:space="preserve">cannot occur in the face of </w:t>
      </w:r>
      <w:r w:rsidR="00057910">
        <w:rPr>
          <w:rFonts w:ascii="Arial" w:hAnsi="Arial" w:cs="Arial"/>
          <w:i/>
        </w:rPr>
        <w:t xml:space="preserve">instanter </w:t>
      </w:r>
      <w:r w:rsidR="00057910">
        <w:rPr>
          <w:rFonts w:ascii="Arial" w:hAnsi="Arial" w:cs="Arial"/>
        </w:rPr>
        <w:t>resistance</w:t>
      </w:r>
      <w:r w:rsidR="00491C20">
        <w:rPr>
          <w:rFonts w:ascii="Arial" w:hAnsi="Arial" w:cs="Arial"/>
        </w:rPr>
        <w:t xml:space="preserve">, which may include </w:t>
      </w:r>
      <w:r w:rsidR="006D053A">
        <w:rPr>
          <w:rFonts w:ascii="Arial" w:hAnsi="Arial" w:cs="Arial"/>
        </w:rPr>
        <w:t>non-physical resistance</w:t>
      </w:r>
      <w:r w:rsidR="00057910">
        <w:rPr>
          <w:rFonts w:ascii="Arial" w:hAnsi="Arial" w:cs="Arial"/>
        </w:rPr>
        <w:t xml:space="preserve">. </w:t>
      </w:r>
      <w:r w:rsidR="00DF52B5">
        <w:rPr>
          <w:rFonts w:ascii="Arial" w:hAnsi="Arial" w:cs="Arial"/>
        </w:rPr>
        <w:t xml:space="preserve"> </w:t>
      </w:r>
    </w:p>
    <w:p w:rsidR="008D3E20" w:rsidRDefault="008D3E20" w:rsidP="00045C58">
      <w:pPr>
        <w:pStyle w:val="ListParagraph"/>
        <w:spacing w:line="360" w:lineRule="auto"/>
        <w:ind w:left="360"/>
        <w:rPr>
          <w:rFonts w:ascii="Arial" w:hAnsi="Arial" w:cs="Arial"/>
        </w:rPr>
      </w:pPr>
    </w:p>
    <w:p w:rsidR="00025D81" w:rsidRDefault="00025D81" w:rsidP="00045C58">
      <w:pPr>
        <w:pStyle w:val="ListParagraph"/>
        <w:spacing w:line="360" w:lineRule="auto"/>
        <w:ind w:left="360"/>
        <w:rPr>
          <w:rFonts w:ascii="Arial" w:hAnsi="Arial" w:cs="Arial"/>
        </w:rPr>
      </w:pPr>
    </w:p>
    <w:p w:rsidR="008D3E20" w:rsidRPr="008D3E20" w:rsidRDefault="008D3E20" w:rsidP="008D3E20">
      <w:pPr>
        <w:spacing w:line="360" w:lineRule="auto"/>
        <w:rPr>
          <w:rFonts w:ascii="Arial" w:hAnsi="Arial" w:cs="Arial"/>
        </w:rPr>
      </w:pPr>
      <w:r w:rsidRPr="008D3E20">
        <w:rPr>
          <w:rFonts w:ascii="Arial" w:hAnsi="Arial" w:cs="Arial"/>
          <w:b/>
        </w:rPr>
        <w:lastRenderedPageBreak/>
        <w:t xml:space="preserve">Counter-spoliation </w:t>
      </w:r>
    </w:p>
    <w:p w:rsidR="008D3E20" w:rsidRPr="008D3E20" w:rsidRDefault="008D3E20" w:rsidP="008D3E20">
      <w:pPr>
        <w:spacing w:line="360" w:lineRule="auto"/>
        <w:rPr>
          <w:rFonts w:ascii="Arial" w:hAnsi="Arial" w:cs="Arial"/>
        </w:rPr>
      </w:pPr>
    </w:p>
    <w:p w:rsidR="008D3E20" w:rsidRDefault="008D3E20" w:rsidP="00AF22DC">
      <w:pPr>
        <w:pStyle w:val="ListParagraph"/>
        <w:numPr>
          <w:ilvl w:val="0"/>
          <w:numId w:val="3"/>
        </w:numPr>
        <w:spacing w:line="360" w:lineRule="auto"/>
        <w:rPr>
          <w:rFonts w:ascii="Arial" w:hAnsi="Arial" w:cs="Arial"/>
        </w:rPr>
      </w:pPr>
      <w:r>
        <w:rPr>
          <w:rFonts w:ascii="Arial" w:hAnsi="Arial" w:cs="Arial"/>
        </w:rPr>
        <w:t>Before considerin</w:t>
      </w:r>
      <w:r w:rsidR="00730708">
        <w:rPr>
          <w:rFonts w:ascii="Arial" w:hAnsi="Arial" w:cs="Arial"/>
        </w:rPr>
        <w:t>g the mental element required for</w:t>
      </w:r>
      <w:r>
        <w:rPr>
          <w:rFonts w:ascii="Arial" w:hAnsi="Arial" w:cs="Arial"/>
        </w:rPr>
        <w:t xml:space="preserve"> the mandament, it is necessary to also consider whether</w:t>
      </w:r>
      <w:r w:rsidR="00730708">
        <w:rPr>
          <w:rFonts w:ascii="Arial" w:hAnsi="Arial" w:cs="Arial"/>
        </w:rPr>
        <w:t>,</w:t>
      </w:r>
      <w:r>
        <w:rPr>
          <w:rFonts w:ascii="Arial" w:hAnsi="Arial" w:cs="Arial"/>
        </w:rPr>
        <w:t xml:space="preserve"> and</w:t>
      </w:r>
      <w:r w:rsidR="00730708">
        <w:rPr>
          <w:rFonts w:ascii="Arial" w:hAnsi="Arial" w:cs="Arial"/>
        </w:rPr>
        <w:t xml:space="preserve"> if so </w:t>
      </w:r>
      <w:r>
        <w:rPr>
          <w:rFonts w:ascii="Arial" w:hAnsi="Arial" w:cs="Arial"/>
        </w:rPr>
        <w:t>when</w:t>
      </w:r>
      <w:r w:rsidR="00730708">
        <w:rPr>
          <w:rFonts w:ascii="Arial" w:hAnsi="Arial" w:cs="Arial"/>
        </w:rPr>
        <w:t>,</w:t>
      </w:r>
      <w:r>
        <w:rPr>
          <w:rFonts w:ascii="Arial" w:hAnsi="Arial" w:cs="Arial"/>
        </w:rPr>
        <w:t xml:space="preserve"> the owner or person in charge can </w:t>
      </w:r>
      <w:r w:rsidR="00A53C69">
        <w:rPr>
          <w:rFonts w:ascii="Arial" w:hAnsi="Arial" w:cs="Arial"/>
        </w:rPr>
        <w:t>lawfully counter</w:t>
      </w:r>
      <w:r w:rsidR="00195B3B">
        <w:rPr>
          <w:rFonts w:ascii="Arial" w:hAnsi="Arial" w:cs="Arial"/>
        </w:rPr>
        <w:t>-</w:t>
      </w:r>
      <w:r w:rsidR="00A53C69">
        <w:rPr>
          <w:rFonts w:ascii="Arial" w:hAnsi="Arial" w:cs="Arial"/>
        </w:rPr>
        <w:t>spoliate</w:t>
      </w:r>
      <w:r>
        <w:rPr>
          <w:rFonts w:ascii="Arial" w:hAnsi="Arial" w:cs="Arial"/>
        </w:rPr>
        <w:t xml:space="preserve"> without </w:t>
      </w:r>
      <w:r w:rsidR="00A53C69">
        <w:rPr>
          <w:rFonts w:ascii="Arial" w:hAnsi="Arial" w:cs="Arial"/>
        </w:rPr>
        <w:t>obtaining</w:t>
      </w:r>
      <w:r>
        <w:rPr>
          <w:rFonts w:ascii="Arial" w:hAnsi="Arial" w:cs="Arial"/>
        </w:rPr>
        <w:t xml:space="preserve"> a court order.</w:t>
      </w:r>
    </w:p>
    <w:p w:rsidR="008D3E20" w:rsidRDefault="008D3E20" w:rsidP="008D3E20">
      <w:pPr>
        <w:pStyle w:val="ListParagraph"/>
        <w:spacing w:line="360" w:lineRule="auto"/>
        <w:ind w:left="360"/>
        <w:rPr>
          <w:rFonts w:ascii="Arial" w:hAnsi="Arial" w:cs="Arial"/>
        </w:rPr>
      </w:pPr>
    </w:p>
    <w:p w:rsidR="0062153F" w:rsidRDefault="00E35EF8" w:rsidP="00AF22DC">
      <w:pPr>
        <w:pStyle w:val="ListParagraph"/>
        <w:numPr>
          <w:ilvl w:val="0"/>
          <w:numId w:val="3"/>
        </w:numPr>
        <w:spacing w:line="360" w:lineRule="auto"/>
        <w:rPr>
          <w:rFonts w:ascii="Arial" w:hAnsi="Arial" w:cs="Arial"/>
        </w:rPr>
      </w:pPr>
      <w:r>
        <w:rPr>
          <w:rFonts w:ascii="Arial" w:hAnsi="Arial" w:cs="Arial"/>
        </w:rPr>
        <w:t xml:space="preserve">Earlier mention was made of </w:t>
      </w:r>
      <w:r w:rsidRPr="0062153F">
        <w:rPr>
          <w:rFonts w:ascii="Arial" w:hAnsi="Arial" w:cs="Arial"/>
          <w:i/>
        </w:rPr>
        <w:t xml:space="preserve">Bischoff </w:t>
      </w:r>
      <w:r>
        <w:rPr>
          <w:rFonts w:ascii="Arial" w:hAnsi="Arial" w:cs="Arial"/>
        </w:rPr>
        <w:t xml:space="preserve">being the leading case on the subject of the mandament van spolie and to the extent </w:t>
      </w:r>
      <w:r w:rsidR="00A53C69">
        <w:rPr>
          <w:rFonts w:ascii="Arial" w:hAnsi="Arial" w:cs="Arial"/>
        </w:rPr>
        <w:t>that</w:t>
      </w:r>
      <w:r w:rsidR="00187C0F">
        <w:rPr>
          <w:rFonts w:ascii="Arial" w:hAnsi="Arial" w:cs="Arial"/>
        </w:rPr>
        <w:t xml:space="preserve"> this</w:t>
      </w:r>
      <w:r w:rsidR="0062153F">
        <w:rPr>
          <w:rFonts w:ascii="Arial" w:hAnsi="Arial" w:cs="Arial"/>
        </w:rPr>
        <w:t xml:space="preserve"> judgment does not consider </w:t>
      </w:r>
      <w:r>
        <w:rPr>
          <w:rFonts w:ascii="Arial" w:hAnsi="Arial" w:cs="Arial"/>
        </w:rPr>
        <w:t xml:space="preserve">certain </w:t>
      </w:r>
      <w:r w:rsidR="0062153F">
        <w:rPr>
          <w:rFonts w:ascii="Arial" w:hAnsi="Arial" w:cs="Arial"/>
        </w:rPr>
        <w:t xml:space="preserve">applicable </w:t>
      </w:r>
      <w:r w:rsidR="00A53C69">
        <w:rPr>
          <w:rFonts w:ascii="Arial" w:hAnsi="Arial" w:cs="Arial"/>
        </w:rPr>
        <w:t>principles but</w:t>
      </w:r>
      <w:r w:rsidR="0062153F">
        <w:rPr>
          <w:rFonts w:ascii="Arial" w:hAnsi="Arial" w:cs="Arial"/>
        </w:rPr>
        <w:t xml:space="preserve"> the </w:t>
      </w:r>
      <w:r w:rsidRPr="0062153F">
        <w:rPr>
          <w:rFonts w:ascii="Arial" w:hAnsi="Arial" w:cs="Arial"/>
          <w:i/>
        </w:rPr>
        <w:t>Fischer</w:t>
      </w:r>
      <w:r w:rsidR="0062153F">
        <w:rPr>
          <w:rFonts w:ascii="Arial" w:hAnsi="Arial" w:cs="Arial"/>
          <w:i/>
        </w:rPr>
        <w:t xml:space="preserve"> </w:t>
      </w:r>
      <w:r w:rsidR="0062153F">
        <w:rPr>
          <w:rFonts w:ascii="Arial" w:hAnsi="Arial" w:cs="Arial"/>
        </w:rPr>
        <w:t xml:space="preserve">judgment  then the latter case is </w:t>
      </w:r>
      <w:r w:rsidR="00187C0F">
        <w:rPr>
          <w:rFonts w:ascii="Arial" w:hAnsi="Arial" w:cs="Arial"/>
        </w:rPr>
        <w:t xml:space="preserve">also </w:t>
      </w:r>
      <w:r w:rsidR="0062153F">
        <w:rPr>
          <w:rFonts w:ascii="Arial" w:hAnsi="Arial" w:cs="Arial"/>
        </w:rPr>
        <w:t xml:space="preserve">binding authority. </w:t>
      </w:r>
    </w:p>
    <w:p w:rsidR="0062153F" w:rsidRPr="0062153F" w:rsidRDefault="0062153F" w:rsidP="0062153F">
      <w:pPr>
        <w:pStyle w:val="ListParagraph"/>
        <w:rPr>
          <w:rFonts w:ascii="Arial" w:hAnsi="Arial" w:cs="Arial"/>
        </w:rPr>
      </w:pPr>
    </w:p>
    <w:p w:rsidR="0062153F" w:rsidRDefault="0062153F" w:rsidP="0062153F">
      <w:pPr>
        <w:pStyle w:val="ListParagraph"/>
        <w:spacing w:line="360" w:lineRule="auto"/>
        <w:ind w:left="360"/>
        <w:rPr>
          <w:rFonts w:ascii="Arial" w:hAnsi="Arial" w:cs="Arial"/>
        </w:rPr>
      </w:pPr>
      <w:r w:rsidRPr="00195B3B">
        <w:rPr>
          <w:rFonts w:ascii="Arial" w:hAnsi="Arial" w:cs="Arial"/>
          <w:i/>
        </w:rPr>
        <w:t>Fischer</w:t>
      </w:r>
      <w:r>
        <w:rPr>
          <w:rFonts w:ascii="Arial" w:hAnsi="Arial" w:cs="Arial"/>
        </w:rPr>
        <w:t xml:space="preserve"> at </w:t>
      </w:r>
      <w:r w:rsidR="00A53C69">
        <w:rPr>
          <w:rFonts w:ascii="Arial" w:hAnsi="Arial" w:cs="Arial"/>
        </w:rPr>
        <w:t>para 23</w:t>
      </w:r>
      <w:r>
        <w:rPr>
          <w:rFonts w:ascii="Arial" w:hAnsi="Arial" w:cs="Arial"/>
        </w:rPr>
        <w:t xml:space="preserve"> expressly </w:t>
      </w:r>
      <w:r w:rsidR="00A53C69">
        <w:rPr>
          <w:rFonts w:ascii="Arial" w:hAnsi="Arial" w:cs="Arial"/>
        </w:rPr>
        <w:t>recognises</w:t>
      </w:r>
      <w:r>
        <w:rPr>
          <w:rFonts w:ascii="Arial" w:hAnsi="Arial" w:cs="Arial"/>
        </w:rPr>
        <w:t xml:space="preserve"> counter-spoliation as part of our law. The relevant passage reads:</w:t>
      </w:r>
    </w:p>
    <w:p w:rsidR="0062153F" w:rsidRDefault="0062153F" w:rsidP="0062153F">
      <w:pPr>
        <w:pStyle w:val="ListParagraph"/>
        <w:spacing w:line="360" w:lineRule="auto"/>
        <w:ind w:left="360"/>
        <w:rPr>
          <w:rFonts w:ascii="Arial" w:hAnsi="Arial" w:cs="Arial"/>
        </w:rPr>
      </w:pPr>
    </w:p>
    <w:p w:rsidR="0062153F" w:rsidRDefault="00A53C69" w:rsidP="00497CAF">
      <w:pPr>
        <w:pStyle w:val="ListParagraph"/>
        <w:spacing w:line="360" w:lineRule="auto"/>
        <w:rPr>
          <w:rFonts w:ascii="Arial" w:hAnsi="Arial" w:cs="Arial"/>
        </w:rPr>
      </w:pPr>
      <w:r w:rsidRPr="00497CAF">
        <w:rPr>
          <w:rFonts w:ascii="Arial" w:hAnsi="Arial" w:cs="Arial"/>
          <w:i/>
        </w:rPr>
        <w:t>“A</w:t>
      </w:r>
      <w:r w:rsidR="00497CAF" w:rsidRPr="00497CAF">
        <w:rPr>
          <w:rFonts w:ascii="Arial" w:hAnsi="Arial" w:cs="Arial"/>
          <w:i/>
        </w:rPr>
        <w:t xml:space="preserve"> land invasion is itself an act of spoliation. The Constitutional Court has recently reaffirmed that the remed</w:t>
      </w:r>
      <w:r w:rsidR="00057910">
        <w:rPr>
          <w:rFonts w:ascii="Arial" w:hAnsi="Arial" w:cs="Arial"/>
          <w:i/>
        </w:rPr>
        <w:t xml:space="preserve">y of the mandament van spolie </w:t>
      </w:r>
      <w:r w:rsidR="00497CAF" w:rsidRPr="00497CAF">
        <w:rPr>
          <w:rFonts w:ascii="Arial" w:hAnsi="Arial" w:cs="Arial"/>
          <w:i/>
        </w:rPr>
        <w:t>supports the rule of law by preventing self-help. A person whose property is being despoiled is entitled in certain circumstances to resort to counter-spoliation</w:t>
      </w:r>
      <w:r w:rsidR="00497CAF" w:rsidRPr="00497CAF">
        <w:rPr>
          <w:rFonts w:ascii="Arial" w:hAnsi="Arial" w:cs="Arial"/>
        </w:rPr>
        <w:t>.</w:t>
      </w:r>
    </w:p>
    <w:p w:rsidR="00497CAF" w:rsidRDefault="00497CAF" w:rsidP="00497CAF">
      <w:pPr>
        <w:pStyle w:val="ListParagraph"/>
        <w:spacing w:line="360" w:lineRule="auto"/>
        <w:rPr>
          <w:rFonts w:ascii="Arial" w:hAnsi="Arial" w:cs="Arial"/>
        </w:rPr>
      </w:pPr>
    </w:p>
    <w:p w:rsidR="00497CAF" w:rsidRDefault="00497CAF" w:rsidP="00497CAF">
      <w:pPr>
        <w:pStyle w:val="ListParagraph"/>
        <w:spacing w:line="360" w:lineRule="auto"/>
        <w:ind w:left="360"/>
        <w:rPr>
          <w:rFonts w:ascii="Arial" w:hAnsi="Arial" w:cs="Arial"/>
        </w:rPr>
      </w:pPr>
      <w:r>
        <w:rPr>
          <w:rFonts w:ascii="Arial" w:hAnsi="Arial" w:cs="Arial"/>
        </w:rPr>
        <w:t xml:space="preserve">The court </w:t>
      </w:r>
      <w:r w:rsidR="00D6692B">
        <w:rPr>
          <w:rFonts w:ascii="Arial" w:hAnsi="Arial" w:cs="Arial"/>
        </w:rPr>
        <w:t xml:space="preserve">cited </w:t>
      </w:r>
      <w:r w:rsidRPr="00D6692B">
        <w:rPr>
          <w:rFonts w:ascii="Arial" w:hAnsi="Arial" w:cs="Arial"/>
          <w:i/>
        </w:rPr>
        <w:t>Yeko</w:t>
      </w:r>
      <w:r>
        <w:rPr>
          <w:rFonts w:ascii="Arial" w:hAnsi="Arial" w:cs="Arial"/>
        </w:rPr>
        <w:t xml:space="preserve"> at 7</w:t>
      </w:r>
      <w:r w:rsidR="00D6692B">
        <w:rPr>
          <w:rFonts w:ascii="Arial" w:hAnsi="Arial" w:cs="Arial"/>
        </w:rPr>
        <w:t xml:space="preserve">35B-D and </w:t>
      </w:r>
      <w:r w:rsidR="00D6692B" w:rsidRPr="00D6692B">
        <w:rPr>
          <w:rFonts w:ascii="Arial" w:hAnsi="Arial" w:cs="Arial"/>
          <w:i/>
        </w:rPr>
        <w:t>Ness</w:t>
      </w:r>
      <w:r w:rsidR="00D6692B">
        <w:rPr>
          <w:rFonts w:ascii="Arial" w:hAnsi="Arial" w:cs="Arial"/>
        </w:rPr>
        <w:t xml:space="preserve"> at 647I-649H</w:t>
      </w:r>
      <w:r w:rsidR="00195B3B">
        <w:rPr>
          <w:rFonts w:ascii="Arial" w:hAnsi="Arial" w:cs="Arial"/>
        </w:rPr>
        <w:t xml:space="preserve"> in support.</w:t>
      </w:r>
    </w:p>
    <w:p w:rsidR="00D6692B" w:rsidRDefault="00D6692B" w:rsidP="00497CAF">
      <w:pPr>
        <w:pStyle w:val="ListParagraph"/>
        <w:spacing w:line="360" w:lineRule="auto"/>
        <w:ind w:left="360"/>
        <w:rPr>
          <w:rFonts w:ascii="Arial" w:hAnsi="Arial" w:cs="Arial"/>
        </w:rPr>
      </w:pPr>
    </w:p>
    <w:p w:rsidR="00D6692B" w:rsidRDefault="00D6692B" w:rsidP="00AF22DC">
      <w:pPr>
        <w:pStyle w:val="ListParagraph"/>
        <w:numPr>
          <w:ilvl w:val="0"/>
          <w:numId w:val="3"/>
        </w:numPr>
        <w:spacing w:line="360" w:lineRule="auto"/>
        <w:rPr>
          <w:rFonts w:ascii="Arial" w:hAnsi="Arial" w:cs="Arial"/>
          <w:lang w:val="en-US"/>
        </w:rPr>
      </w:pPr>
      <w:r>
        <w:rPr>
          <w:rFonts w:ascii="Arial" w:hAnsi="Arial" w:cs="Arial"/>
        </w:rPr>
        <w:t>I</w:t>
      </w:r>
      <w:r w:rsidR="00491C20">
        <w:rPr>
          <w:rFonts w:ascii="Arial" w:hAnsi="Arial" w:cs="Arial"/>
        </w:rPr>
        <w:t>t will be recalled that i</w:t>
      </w:r>
      <w:r>
        <w:rPr>
          <w:rFonts w:ascii="Arial" w:hAnsi="Arial" w:cs="Arial"/>
        </w:rPr>
        <w:t xml:space="preserve">n </w:t>
      </w:r>
      <w:r w:rsidR="00CC08F9">
        <w:rPr>
          <w:rFonts w:ascii="Arial" w:hAnsi="Arial" w:cs="Arial"/>
          <w:i/>
          <w:lang w:val="en-US"/>
        </w:rPr>
        <w:t>Man</w:t>
      </w:r>
      <w:r w:rsidRPr="00D6692B">
        <w:rPr>
          <w:rFonts w:ascii="Arial" w:hAnsi="Arial" w:cs="Arial"/>
          <w:i/>
          <w:lang w:val="en-US"/>
        </w:rPr>
        <w:t xml:space="preserve">s </w:t>
      </w:r>
      <w:r w:rsidRPr="00D6692B">
        <w:rPr>
          <w:rFonts w:ascii="Arial" w:hAnsi="Arial" w:cs="Arial"/>
          <w:lang w:val="en-US"/>
        </w:rPr>
        <w:t>at 977</w:t>
      </w:r>
      <w:r>
        <w:rPr>
          <w:rFonts w:ascii="Arial" w:hAnsi="Arial" w:cs="Arial"/>
          <w:lang w:val="en-US"/>
        </w:rPr>
        <w:t xml:space="preserve"> the court recognised</w:t>
      </w:r>
      <w:r w:rsidR="00337C67">
        <w:rPr>
          <w:rFonts w:ascii="Arial" w:hAnsi="Arial" w:cs="Arial"/>
          <w:lang w:val="en-US"/>
        </w:rPr>
        <w:t xml:space="preserve"> a situation where the true owner is </w:t>
      </w:r>
      <w:r w:rsidR="00A53C69">
        <w:rPr>
          <w:rFonts w:ascii="Arial" w:hAnsi="Arial" w:cs="Arial"/>
          <w:lang w:val="en-US"/>
        </w:rPr>
        <w:t>entitled</w:t>
      </w:r>
      <w:r w:rsidR="00337C67">
        <w:rPr>
          <w:rFonts w:ascii="Arial" w:hAnsi="Arial" w:cs="Arial"/>
          <w:lang w:val="en-US"/>
        </w:rPr>
        <w:t xml:space="preserve"> to recover </w:t>
      </w:r>
      <w:r w:rsidR="00A53C69">
        <w:rPr>
          <w:rFonts w:ascii="Arial" w:hAnsi="Arial" w:cs="Arial"/>
          <w:lang w:val="en-US"/>
        </w:rPr>
        <w:t>possession without</w:t>
      </w:r>
      <w:r w:rsidR="00337C67">
        <w:rPr>
          <w:rFonts w:ascii="Arial" w:hAnsi="Arial" w:cs="Arial"/>
          <w:lang w:val="en-US"/>
        </w:rPr>
        <w:t xml:space="preserve"> a court order</w:t>
      </w:r>
      <w:r w:rsidR="00491C20">
        <w:rPr>
          <w:rFonts w:ascii="Arial" w:hAnsi="Arial" w:cs="Arial"/>
          <w:lang w:val="en-US"/>
        </w:rPr>
        <w:t xml:space="preserve"> and </w:t>
      </w:r>
      <w:r w:rsidR="00730708">
        <w:rPr>
          <w:rFonts w:ascii="Arial" w:hAnsi="Arial" w:cs="Arial"/>
          <w:lang w:val="en-US"/>
        </w:rPr>
        <w:t xml:space="preserve">also </w:t>
      </w:r>
      <w:r w:rsidR="00491C20">
        <w:rPr>
          <w:rFonts w:ascii="Arial" w:hAnsi="Arial" w:cs="Arial"/>
          <w:lang w:val="en-US"/>
        </w:rPr>
        <w:t>identified th</w:t>
      </w:r>
      <w:r w:rsidR="00730708">
        <w:rPr>
          <w:rFonts w:ascii="Arial" w:hAnsi="Arial" w:cs="Arial"/>
          <w:lang w:val="en-US"/>
        </w:rPr>
        <w:t xml:space="preserve">e </w:t>
      </w:r>
      <w:r w:rsidR="00491C20">
        <w:rPr>
          <w:rFonts w:ascii="Arial" w:hAnsi="Arial" w:cs="Arial"/>
          <w:lang w:val="en-US"/>
        </w:rPr>
        <w:t xml:space="preserve">stage </w:t>
      </w:r>
      <w:r w:rsidR="00730708">
        <w:rPr>
          <w:rFonts w:ascii="Arial" w:hAnsi="Arial" w:cs="Arial"/>
          <w:lang w:val="en-US"/>
        </w:rPr>
        <w:t>where that</w:t>
      </w:r>
      <w:r w:rsidR="00491C20">
        <w:rPr>
          <w:rFonts w:ascii="Arial" w:hAnsi="Arial" w:cs="Arial"/>
          <w:lang w:val="en-US"/>
        </w:rPr>
        <w:t xml:space="preserve"> would no longer be lawfully possible. The court said:</w:t>
      </w:r>
      <w:r w:rsidR="00337C67">
        <w:rPr>
          <w:rFonts w:ascii="Arial" w:hAnsi="Arial" w:cs="Arial"/>
          <w:lang w:val="en-US"/>
        </w:rPr>
        <w:t xml:space="preserve"> </w:t>
      </w:r>
    </w:p>
    <w:p w:rsidR="0032651C" w:rsidRPr="00D6692B" w:rsidRDefault="0032651C" w:rsidP="0032651C">
      <w:pPr>
        <w:pStyle w:val="ListParagraph"/>
        <w:spacing w:line="360" w:lineRule="auto"/>
        <w:ind w:left="360"/>
        <w:rPr>
          <w:rFonts w:ascii="Arial" w:hAnsi="Arial" w:cs="Arial"/>
          <w:lang w:val="en-US"/>
        </w:rPr>
      </w:pPr>
    </w:p>
    <w:p w:rsidR="00D6692B" w:rsidRDefault="00337C67" w:rsidP="00057910">
      <w:pPr>
        <w:spacing w:line="360" w:lineRule="auto"/>
        <w:ind w:left="1080"/>
        <w:rPr>
          <w:rFonts w:ascii="Arial" w:hAnsi="Arial" w:cs="Arial"/>
          <w:lang w:val="en-US"/>
        </w:rPr>
      </w:pPr>
      <w:r w:rsidRPr="00337C67">
        <w:rPr>
          <w:rFonts w:ascii="Arial" w:hAnsi="Arial" w:cs="Arial"/>
          <w:i/>
          <w:lang w:val="en-US"/>
        </w:rPr>
        <w:t>“</w:t>
      </w:r>
      <w:r w:rsidR="00057910">
        <w:rPr>
          <w:rFonts w:ascii="Arial" w:hAnsi="Arial" w:cs="Arial"/>
          <w:i/>
          <w:lang w:val="en-US"/>
        </w:rPr>
        <w:t xml:space="preserve">… </w:t>
      </w:r>
      <w:r w:rsidR="00D6692B" w:rsidRPr="00337C67">
        <w:rPr>
          <w:rFonts w:ascii="Arial" w:hAnsi="Arial" w:cs="Arial"/>
          <w:i/>
          <w:lang w:val="en-US"/>
        </w:rPr>
        <w:t>if the recovery is instanter in the sense of still being part of the res gestae of the act of spoliation then it is a mere continuation of the breach of the peace which already exists and the law condones the immediate recovery, but if the disposition has been completed, as in this case where the spoliator, the plaintiff, had completed his rescue and placed his sheep in his hands, then the effort at recovery is, in my opinion, not done instanter or forthwith but is a new act of spoliation which the law condemns.</w:t>
      </w:r>
      <w:r w:rsidR="00D6692B" w:rsidRPr="00337C67">
        <w:rPr>
          <w:rFonts w:ascii="Arial" w:hAnsi="Arial" w:cs="Arial"/>
          <w:lang w:val="en-US"/>
        </w:rPr>
        <w:t xml:space="preserve">” </w:t>
      </w:r>
    </w:p>
    <w:p w:rsidR="00337C67" w:rsidRDefault="00337C67" w:rsidP="00AF22DC">
      <w:pPr>
        <w:pStyle w:val="ListParagraph"/>
        <w:numPr>
          <w:ilvl w:val="0"/>
          <w:numId w:val="3"/>
        </w:numPr>
        <w:spacing w:line="360" w:lineRule="auto"/>
        <w:rPr>
          <w:rFonts w:ascii="Arial" w:hAnsi="Arial" w:cs="Arial"/>
        </w:rPr>
      </w:pPr>
      <w:r>
        <w:rPr>
          <w:rFonts w:ascii="Arial" w:hAnsi="Arial" w:cs="Arial"/>
        </w:rPr>
        <w:lastRenderedPageBreak/>
        <w:t xml:space="preserve">Generally the issue concerns whether </w:t>
      </w:r>
      <w:r w:rsidRPr="00337C67">
        <w:rPr>
          <w:rFonts w:ascii="Arial" w:hAnsi="Arial" w:cs="Arial"/>
        </w:rPr>
        <w:t>“</w:t>
      </w:r>
      <w:r w:rsidRPr="0032651C">
        <w:rPr>
          <w:rFonts w:ascii="Arial" w:hAnsi="Arial" w:cs="Arial"/>
          <w:i/>
        </w:rPr>
        <w:t>instanter</w:t>
      </w:r>
      <w:r>
        <w:rPr>
          <w:rFonts w:ascii="Arial" w:hAnsi="Arial" w:cs="Arial"/>
        </w:rPr>
        <w:t xml:space="preserve">” is to be construed narrowly or </w:t>
      </w:r>
      <w:r w:rsidR="00E66EA3">
        <w:rPr>
          <w:rFonts w:ascii="Arial" w:hAnsi="Arial" w:cs="Arial"/>
        </w:rPr>
        <w:t>more broadly</w:t>
      </w:r>
      <w:r>
        <w:rPr>
          <w:rFonts w:ascii="Arial" w:hAnsi="Arial" w:cs="Arial"/>
        </w:rPr>
        <w:t xml:space="preserve">. </w:t>
      </w:r>
    </w:p>
    <w:p w:rsidR="00337C67" w:rsidRDefault="00337C67" w:rsidP="00337C67">
      <w:pPr>
        <w:pStyle w:val="ListParagraph"/>
        <w:spacing w:line="360" w:lineRule="auto"/>
        <w:ind w:left="360"/>
        <w:rPr>
          <w:rFonts w:ascii="Arial" w:hAnsi="Arial" w:cs="Arial"/>
        </w:rPr>
      </w:pPr>
    </w:p>
    <w:p w:rsidR="00D6692B" w:rsidRDefault="00337C67" w:rsidP="00337C67">
      <w:pPr>
        <w:pStyle w:val="ListParagraph"/>
        <w:spacing w:line="360" w:lineRule="auto"/>
        <w:ind w:left="360"/>
        <w:rPr>
          <w:rFonts w:ascii="Arial" w:hAnsi="Arial" w:cs="Arial"/>
        </w:rPr>
      </w:pPr>
      <w:r>
        <w:rPr>
          <w:rFonts w:ascii="Arial" w:hAnsi="Arial" w:cs="Arial"/>
        </w:rPr>
        <w:t xml:space="preserve">There are at </w:t>
      </w:r>
      <w:r w:rsidR="00A53C69">
        <w:rPr>
          <w:rFonts w:ascii="Arial" w:hAnsi="Arial" w:cs="Arial"/>
        </w:rPr>
        <w:t>least two</w:t>
      </w:r>
      <w:r>
        <w:rPr>
          <w:rFonts w:ascii="Arial" w:hAnsi="Arial" w:cs="Arial"/>
        </w:rPr>
        <w:t xml:space="preserve"> </w:t>
      </w:r>
      <w:r w:rsidR="00195B3B">
        <w:rPr>
          <w:rFonts w:ascii="Arial" w:hAnsi="Arial" w:cs="Arial"/>
        </w:rPr>
        <w:t>important c</w:t>
      </w:r>
      <w:r>
        <w:rPr>
          <w:rFonts w:ascii="Arial" w:hAnsi="Arial" w:cs="Arial"/>
        </w:rPr>
        <w:t xml:space="preserve">ases in the Gauteng Division which consider that the fundamental issue is whether recovery occurs </w:t>
      </w:r>
      <w:r w:rsidR="00CC08F9">
        <w:rPr>
          <w:rFonts w:ascii="Arial" w:hAnsi="Arial" w:cs="Arial"/>
        </w:rPr>
        <w:t xml:space="preserve">in the course of the transaction consisting of the intruder </w:t>
      </w:r>
      <w:r w:rsidR="00CC08F9" w:rsidRPr="00CC08F9">
        <w:rPr>
          <w:rFonts w:ascii="Arial" w:hAnsi="Arial" w:cs="Arial"/>
        </w:rPr>
        <w:t xml:space="preserve">taking </w:t>
      </w:r>
      <w:r w:rsidR="00CC08F9">
        <w:rPr>
          <w:rFonts w:ascii="Arial" w:hAnsi="Arial" w:cs="Arial"/>
        </w:rPr>
        <w:t>possession (</w:t>
      </w:r>
      <w:r w:rsidR="00A53C69">
        <w:rPr>
          <w:rFonts w:ascii="Arial" w:hAnsi="Arial" w:cs="Arial"/>
        </w:rPr>
        <w:t>i.e.</w:t>
      </w:r>
      <w:r w:rsidR="00CC08F9">
        <w:rPr>
          <w:rFonts w:ascii="Arial" w:hAnsi="Arial" w:cs="Arial"/>
        </w:rPr>
        <w:t xml:space="preserve"> while still part of the </w:t>
      </w:r>
      <w:r w:rsidR="00CC08F9" w:rsidRPr="00CC08F9">
        <w:rPr>
          <w:rFonts w:ascii="Arial" w:hAnsi="Arial" w:cs="Arial"/>
          <w:i/>
        </w:rPr>
        <w:t>res gestae</w:t>
      </w:r>
      <w:r w:rsidR="0032651C">
        <w:rPr>
          <w:rFonts w:ascii="Arial" w:hAnsi="Arial" w:cs="Arial"/>
        </w:rPr>
        <w:t>)</w:t>
      </w:r>
      <w:r w:rsidR="00E66EA3">
        <w:rPr>
          <w:rFonts w:ascii="Arial" w:hAnsi="Arial" w:cs="Arial"/>
        </w:rPr>
        <w:t xml:space="preserve"> and not by reference to a finite time line</w:t>
      </w:r>
      <w:r w:rsidR="0032651C">
        <w:rPr>
          <w:rFonts w:ascii="Arial" w:hAnsi="Arial" w:cs="Arial"/>
        </w:rPr>
        <w:t xml:space="preserve">. </w:t>
      </w:r>
      <w:r w:rsidR="00E66EA3">
        <w:rPr>
          <w:rFonts w:ascii="Arial" w:hAnsi="Arial" w:cs="Arial"/>
        </w:rPr>
        <w:t xml:space="preserve">While </w:t>
      </w:r>
      <w:r w:rsidR="00E66EA3" w:rsidRPr="00E66EA3">
        <w:rPr>
          <w:rFonts w:ascii="Arial" w:hAnsi="Arial" w:cs="Arial"/>
          <w:i/>
        </w:rPr>
        <w:t>Mans</w:t>
      </w:r>
      <w:r w:rsidR="00E66EA3">
        <w:rPr>
          <w:rFonts w:ascii="Arial" w:hAnsi="Arial" w:cs="Arial"/>
        </w:rPr>
        <w:t xml:space="preserve"> left it open, t</w:t>
      </w:r>
      <w:r w:rsidR="00CC08F9">
        <w:rPr>
          <w:rFonts w:ascii="Arial" w:hAnsi="Arial" w:cs="Arial"/>
        </w:rPr>
        <w:t xml:space="preserve">his is certainly the way </w:t>
      </w:r>
      <w:r w:rsidR="00880555" w:rsidRPr="00E66EA3">
        <w:rPr>
          <w:rFonts w:ascii="Arial" w:hAnsi="Arial" w:cs="Arial"/>
          <w:i/>
        </w:rPr>
        <w:t>De Beer</w:t>
      </w:r>
      <w:r w:rsidR="00880555">
        <w:rPr>
          <w:rFonts w:ascii="Arial" w:hAnsi="Arial" w:cs="Arial"/>
        </w:rPr>
        <w:t xml:space="preserve"> </w:t>
      </w:r>
      <w:r w:rsidR="00E66EA3">
        <w:rPr>
          <w:rFonts w:ascii="Arial" w:hAnsi="Arial" w:cs="Arial"/>
        </w:rPr>
        <w:t xml:space="preserve">was prepared to decide the </w:t>
      </w:r>
      <w:r w:rsidR="00A53C69">
        <w:rPr>
          <w:rFonts w:ascii="Arial" w:hAnsi="Arial" w:cs="Arial"/>
        </w:rPr>
        <w:t>issue.</w:t>
      </w:r>
      <w:r w:rsidR="00880555">
        <w:rPr>
          <w:rFonts w:ascii="Arial" w:hAnsi="Arial" w:cs="Arial"/>
        </w:rPr>
        <w:t xml:space="preserve"> </w:t>
      </w:r>
      <w:r w:rsidR="00880555">
        <w:rPr>
          <w:rStyle w:val="FootnoteReference"/>
          <w:rFonts w:ascii="Arial" w:hAnsi="Arial" w:cs="Arial"/>
        </w:rPr>
        <w:footnoteReference w:id="71"/>
      </w:r>
    </w:p>
    <w:p w:rsidR="00CC08F9" w:rsidRDefault="00CC08F9" w:rsidP="00337C67">
      <w:pPr>
        <w:pStyle w:val="ListParagraph"/>
        <w:spacing w:line="360" w:lineRule="auto"/>
        <w:ind w:left="360"/>
        <w:rPr>
          <w:rFonts w:ascii="Arial" w:hAnsi="Arial" w:cs="Arial"/>
        </w:rPr>
      </w:pPr>
    </w:p>
    <w:p w:rsidR="00CC08F9" w:rsidRDefault="00CC08F9" w:rsidP="00337C67">
      <w:pPr>
        <w:pStyle w:val="ListParagraph"/>
        <w:spacing w:line="360" w:lineRule="auto"/>
        <w:ind w:left="360"/>
        <w:rPr>
          <w:rFonts w:ascii="Arial" w:hAnsi="Arial" w:cs="Arial"/>
        </w:rPr>
      </w:pPr>
      <w:r>
        <w:rPr>
          <w:rFonts w:ascii="Arial" w:hAnsi="Arial" w:cs="Arial"/>
        </w:rPr>
        <w:t xml:space="preserve">The cases </w:t>
      </w:r>
      <w:r w:rsidR="00A53C69">
        <w:rPr>
          <w:rFonts w:ascii="Arial" w:hAnsi="Arial" w:cs="Arial"/>
        </w:rPr>
        <w:t xml:space="preserve">are </w:t>
      </w:r>
      <w:r w:rsidR="00A53C69">
        <w:rPr>
          <w:rFonts w:ascii="Arial" w:hAnsi="Arial" w:cs="Arial"/>
          <w:i/>
        </w:rPr>
        <w:t>De</w:t>
      </w:r>
      <w:r w:rsidR="00880555">
        <w:rPr>
          <w:rFonts w:ascii="Arial" w:hAnsi="Arial" w:cs="Arial"/>
          <w:i/>
        </w:rPr>
        <w:t xml:space="preserve"> Beer</w:t>
      </w:r>
      <w:r w:rsidR="00EB687B">
        <w:rPr>
          <w:rFonts w:ascii="Arial" w:hAnsi="Arial" w:cs="Arial"/>
        </w:rPr>
        <w:t xml:space="preserve"> </w:t>
      </w:r>
      <w:r w:rsidR="00A53C69">
        <w:rPr>
          <w:rFonts w:ascii="Arial" w:hAnsi="Arial" w:cs="Arial"/>
        </w:rPr>
        <w:t xml:space="preserve">and </w:t>
      </w:r>
      <w:r w:rsidR="00A53C69" w:rsidRPr="00730708">
        <w:rPr>
          <w:rFonts w:ascii="Arial" w:hAnsi="Arial" w:cs="Arial"/>
          <w:i/>
        </w:rPr>
        <w:t>Skosana</w:t>
      </w:r>
      <w:r w:rsidR="00EB687B" w:rsidRPr="00730708">
        <w:rPr>
          <w:rFonts w:ascii="Arial" w:hAnsi="Arial" w:cs="Arial"/>
          <w:i/>
        </w:rPr>
        <w:t xml:space="preserve"> </w:t>
      </w:r>
      <w:r w:rsidR="00EB687B">
        <w:rPr>
          <w:rFonts w:ascii="Arial" w:hAnsi="Arial" w:cs="Arial"/>
          <w:i/>
        </w:rPr>
        <w:t>and another</w:t>
      </w:r>
      <w:r w:rsidR="00EB687B" w:rsidRPr="00EB687B">
        <w:rPr>
          <w:rFonts w:ascii="Arial" w:hAnsi="Arial" w:cs="Arial"/>
          <w:i/>
        </w:rPr>
        <w:t xml:space="preserve"> v Otto</w:t>
      </w:r>
      <w:r w:rsidR="00EB687B">
        <w:rPr>
          <w:rFonts w:ascii="Arial" w:hAnsi="Arial" w:cs="Arial"/>
        </w:rPr>
        <w:t xml:space="preserve"> 1991 (2) SA 113 (W).</w:t>
      </w:r>
    </w:p>
    <w:p w:rsidR="00EB687B" w:rsidRDefault="00EB687B" w:rsidP="00337C67">
      <w:pPr>
        <w:pStyle w:val="ListParagraph"/>
        <w:spacing w:line="360" w:lineRule="auto"/>
        <w:ind w:left="360"/>
        <w:rPr>
          <w:rFonts w:ascii="Arial" w:hAnsi="Arial" w:cs="Arial"/>
        </w:rPr>
      </w:pPr>
    </w:p>
    <w:p w:rsidR="00EB687B" w:rsidRDefault="00EB687B" w:rsidP="00337C67">
      <w:pPr>
        <w:pStyle w:val="ListParagraph"/>
        <w:spacing w:line="360" w:lineRule="auto"/>
        <w:ind w:left="360"/>
        <w:rPr>
          <w:rFonts w:ascii="Arial" w:hAnsi="Arial" w:cs="Arial"/>
        </w:rPr>
      </w:pPr>
      <w:r>
        <w:rPr>
          <w:rFonts w:ascii="Arial" w:hAnsi="Arial" w:cs="Arial"/>
        </w:rPr>
        <w:t xml:space="preserve">It will be recalled that </w:t>
      </w:r>
      <w:r w:rsidRPr="0032651C">
        <w:rPr>
          <w:rFonts w:ascii="Arial" w:hAnsi="Arial" w:cs="Arial"/>
          <w:i/>
        </w:rPr>
        <w:t xml:space="preserve">Mbangi </w:t>
      </w:r>
      <w:r>
        <w:rPr>
          <w:rFonts w:ascii="Arial" w:hAnsi="Arial" w:cs="Arial"/>
        </w:rPr>
        <w:t xml:space="preserve">did not turn on counter-spoliation but whether the </w:t>
      </w:r>
      <w:r w:rsidR="00A53C69">
        <w:rPr>
          <w:rFonts w:ascii="Arial" w:hAnsi="Arial" w:cs="Arial"/>
        </w:rPr>
        <w:t>requirements</w:t>
      </w:r>
      <w:r>
        <w:rPr>
          <w:rFonts w:ascii="Arial" w:hAnsi="Arial" w:cs="Arial"/>
        </w:rPr>
        <w:t xml:space="preserve"> of </w:t>
      </w:r>
      <w:r w:rsidR="00FC7A3A">
        <w:rPr>
          <w:rFonts w:ascii="Arial" w:hAnsi="Arial" w:cs="Arial"/>
        </w:rPr>
        <w:t xml:space="preserve">peaceful and </w:t>
      </w:r>
      <w:r>
        <w:rPr>
          <w:rFonts w:ascii="Arial" w:hAnsi="Arial" w:cs="Arial"/>
        </w:rPr>
        <w:t>undisturbed possession had been established</w:t>
      </w:r>
      <w:r w:rsidR="00FC7A3A">
        <w:rPr>
          <w:rFonts w:ascii="Arial" w:hAnsi="Arial" w:cs="Arial"/>
        </w:rPr>
        <w:t xml:space="preserve"> having regard </w:t>
      </w:r>
      <w:r w:rsidR="00FC7A3A" w:rsidRPr="00FC7A3A">
        <w:rPr>
          <w:rFonts w:ascii="Arial" w:hAnsi="Arial" w:cs="Arial"/>
          <w:i/>
        </w:rPr>
        <w:t>inter alia</w:t>
      </w:r>
      <w:r w:rsidR="00FC7A3A">
        <w:rPr>
          <w:rFonts w:ascii="Arial" w:hAnsi="Arial" w:cs="Arial"/>
        </w:rPr>
        <w:t xml:space="preserve"> to the use of non-physical resistance. </w:t>
      </w:r>
      <w:r>
        <w:rPr>
          <w:rFonts w:ascii="Arial" w:hAnsi="Arial" w:cs="Arial"/>
        </w:rPr>
        <w:t xml:space="preserve">However the issues </w:t>
      </w:r>
      <w:r w:rsidR="00A53C69">
        <w:rPr>
          <w:rFonts w:ascii="Arial" w:hAnsi="Arial" w:cs="Arial"/>
        </w:rPr>
        <w:t>raised</w:t>
      </w:r>
      <w:r>
        <w:rPr>
          <w:rFonts w:ascii="Arial" w:hAnsi="Arial" w:cs="Arial"/>
        </w:rPr>
        <w:t xml:space="preserve"> there </w:t>
      </w:r>
      <w:r w:rsidR="00FC7A3A">
        <w:rPr>
          <w:rFonts w:ascii="Arial" w:hAnsi="Arial" w:cs="Arial"/>
        </w:rPr>
        <w:t xml:space="preserve">would </w:t>
      </w:r>
      <w:r>
        <w:rPr>
          <w:rFonts w:ascii="Arial" w:hAnsi="Arial" w:cs="Arial"/>
        </w:rPr>
        <w:t xml:space="preserve">certainly be inconsistent with a narrow concept of </w:t>
      </w:r>
      <w:r w:rsidRPr="00FC7A3A">
        <w:rPr>
          <w:rFonts w:ascii="Arial" w:hAnsi="Arial" w:cs="Arial"/>
          <w:i/>
        </w:rPr>
        <w:t>instanter</w:t>
      </w:r>
      <w:r>
        <w:rPr>
          <w:rFonts w:ascii="Arial" w:hAnsi="Arial" w:cs="Arial"/>
        </w:rPr>
        <w:t>.</w:t>
      </w:r>
    </w:p>
    <w:p w:rsidR="00EB687B" w:rsidRDefault="00EB687B" w:rsidP="00337C67">
      <w:pPr>
        <w:pStyle w:val="ListParagraph"/>
        <w:spacing w:line="360" w:lineRule="auto"/>
        <w:ind w:left="360"/>
        <w:rPr>
          <w:rFonts w:ascii="Arial" w:hAnsi="Arial" w:cs="Arial"/>
        </w:rPr>
      </w:pPr>
    </w:p>
    <w:p w:rsidR="00EB687B" w:rsidRDefault="00880555" w:rsidP="00AF22DC">
      <w:pPr>
        <w:pStyle w:val="ListParagraph"/>
        <w:numPr>
          <w:ilvl w:val="0"/>
          <w:numId w:val="3"/>
        </w:numPr>
        <w:spacing w:line="360" w:lineRule="auto"/>
        <w:rPr>
          <w:rFonts w:ascii="Arial" w:hAnsi="Arial" w:cs="Arial"/>
        </w:rPr>
      </w:pPr>
      <w:r>
        <w:rPr>
          <w:rFonts w:ascii="Arial" w:hAnsi="Arial" w:cs="Arial"/>
          <w:i/>
        </w:rPr>
        <w:t xml:space="preserve">De </w:t>
      </w:r>
      <w:r w:rsidR="00A53C69">
        <w:rPr>
          <w:rFonts w:ascii="Arial" w:hAnsi="Arial" w:cs="Arial"/>
          <w:i/>
        </w:rPr>
        <w:t xml:space="preserve">Beer </w:t>
      </w:r>
      <w:r w:rsidR="00A53C69">
        <w:rPr>
          <w:rFonts w:ascii="Arial" w:hAnsi="Arial" w:cs="Arial"/>
        </w:rPr>
        <w:t>was</w:t>
      </w:r>
      <w:r>
        <w:rPr>
          <w:rFonts w:ascii="Arial" w:hAnsi="Arial" w:cs="Arial"/>
        </w:rPr>
        <w:t xml:space="preserve"> </w:t>
      </w:r>
      <w:r w:rsidR="00EB687B">
        <w:rPr>
          <w:rFonts w:ascii="Arial" w:hAnsi="Arial" w:cs="Arial"/>
        </w:rPr>
        <w:t xml:space="preserve">concerned </w:t>
      </w:r>
      <w:r w:rsidR="00FC7A3A">
        <w:rPr>
          <w:rFonts w:ascii="Arial" w:hAnsi="Arial" w:cs="Arial"/>
        </w:rPr>
        <w:t xml:space="preserve">with </w:t>
      </w:r>
      <w:r w:rsidR="00EB687B">
        <w:rPr>
          <w:rFonts w:ascii="Arial" w:hAnsi="Arial" w:cs="Arial"/>
        </w:rPr>
        <w:t xml:space="preserve">the appropriation of premises </w:t>
      </w:r>
      <w:r>
        <w:rPr>
          <w:rFonts w:ascii="Arial" w:hAnsi="Arial" w:cs="Arial"/>
        </w:rPr>
        <w:t xml:space="preserve">in a shopping mall. </w:t>
      </w:r>
      <w:r w:rsidR="008B5EF0">
        <w:rPr>
          <w:rFonts w:ascii="Arial" w:hAnsi="Arial" w:cs="Arial"/>
        </w:rPr>
        <w:t xml:space="preserve">Coetzee DJP </w:t>
      </w:r>
      <w:r w:rsidR="00A53C69">
        <w:rPr>
          <w:rFonts w:ascii="Arial" w:hAnsi="Arial" w:cs="Arial"/>
        </w:rPr>
        <w:t>proceeded</w:t>
      </w:r>
      <w:r w:rsidR="008B5EF0">
        <w:rPr>
          <w:rFonts w:ascii="Arial" w:hAnsi="Arial" w:cs="Arial"/>
        </w:rPr>
        <w:t xml:space="preserve"> to dis</w:t>
      </w:r>
      <w:r w:rsidR="00A53C69">
        <w:rPr>
          <w:rFonts w:ascii="Arial" w:hAnsi="Arial" w:cs="Arial"/>
        </w:rPr>
        <w:t>ti</w:t>
      </w:r>
      <w:r w:rsidR="008B5EF0">
        <w:rPr>
          <w:rFonts w:ascii="Arial" w:hAnsi="Arial" w:cs="Arial"/>
        </w:rPr>
        <w:t>nguish between penning sheep and locking commercial premises and said:</w:t>
      </w:r>
      <w:r>
        <w:rPr>
          <w:rFonts w:ascii="Arial" w:hAnsi="Arial" w:cs="Arial"/>
        </w:rPr>
        <w:t xml:space="preserve"> </w:t>
      </w:r>
    </w:p>
    <w:p w:rsidR="00EB687B" w:rsidRDefault="00EB687B" w:rsidP="00EB687B">
      <w:pPr>
        <w:pStyle w:val="ListParagraph"/>
        <w:spacing w:line="360" w:lineRule="auto"/>
        <w:ind w:left="360"/>
        <w:rPr>
          <w:rFonts w:ascii="Arial" w:hAnsi="Arial" w:cs="Arial"/>
        </w:rPr>
      </w:pPr>
    </w:p>
    <w:p w:rsidR="008B5EF0" w:rsidRDefault="00880555" w:rsidP="00880555">
      <w:pPr>
        <w:pStyle w:val="ListParagraph"/>
        <w:spacing w:line="360" w:lineRule="auto"/>
        <w:ind w:left="1440"/>
        <w:rPr>
          <w:rFonts w:ascii="Arial" w:hAnsi="Arial" w:cs="Arial"/>
        </w:rPr>
      </w:pPr>
      <w:r w:rsidRPr="008B5EF0">
        <w:rPr>
          <w:rFonts w:ascii="Arial" w:hAnsi="Arial" w:cs="Arial"/>
          <w:i/>
        </w:rPr>
        <w:t>“When one deals with a flock of sheep, such as in Mans</w:t>
      </w:r>
      <w:r w:rsidR="00FC7A3A">
        <w:rPr>
          <w:rFonts w:ascii="Arial" w:hAnsi="Arial" w:cs="Arial"/>
          <w:i/>
        </w:rPr>
        <w:t>’</w:t>
      </w:r>
      <w:r w:rsidRPr="008B5EF0">
        <w:rPr>
          <w:rFonts w:ascii="Arial" w:hAnsi="Arial" w:cs="Arial"/>
          <w:i/>
        </w:rPr>
        <w:t xml:space="preserve"> case, it is understandable that, once the sheep are on the property of the spoliator and are safely locked up on his own property, any act thereafter by which the owner is deprived of their possession is a fresh spoliation and not, as Steyn J found, a continuance of the original breach of the peace.  I think the position must be viewed somewhat differently when one deals with the kind of thing involved in this matter.  The respondent can only occupy its own premises by locking it up.</w:t>
      </w:r>
      <w:r w:rsidRPr="00880555">
        <w:rPr>
          <w:rFonts w:ascii="Arial" w:hAnsi="Arial" w:cs="Arial"/>
        </w:rPr>
        <w:t xml:space="preserve">  </w:t>
      </w:r>
    </w:p>
    <w:p w:rsidR="008B5EF0" w:rsidRDefault="008B5EF0" w:rsidP="00880555">
      <w:pPr>
        <w:pStyle w:val="ListParagraph"/>
        <w:spacing w:line="360" w:lineRule="auto"/>
        <w:ind w:left="1440"/>
        <w:rPr>
          <w:rFonts w:ascii="Arial" w:hAnsi="Arial" w:cs="Arial"/>
        </w:rPr>
      </w:pPr>
    </w:p>
    <w:p w:rsidR="008B5EF0" w:rsidRPr="008B5EF0" w:rsidRDefault="008B5EF0" w:rsidP="00491C20">
      <w:pPr>
        <w:pStyle w:val="ListParagraph"/>
        <w:numPr>
          <w:ilvl w:val="0"/>
          <w:numId w:val="3"/>
        </w:numPr>
        <w:spacing w:line="360" w:lineRule="auto"/>
        <w:rPr>
          <w:rFonts w:ascii="Arial" w:hAnsi="Arial" w:cs="Arial"/>
        </w:rPr>
      </w:pPr>
      <w:r>
        <w:rPr>
          <w:rFonts w:ascii="Arial" w:hAnsi="Arial" w:cs="Arial"/>
        </w:rPr>
        <w:t xml:space="preserve">Coetzee DJP </w:t>
      </w:r>
      <w:r w:rsidR="00A53C69">
        <w:rPr>
          <w:rFonts w:ascii="Arial" w:hAnsi="Arial" w:cs="Arial"/>
        </w:rPr>
        <w:t>proceeded</w:t>
      </w:r>
      <w:r>
        <w:rPr>
          <w:rFonts w:ascii="Arial" w:hAnsi="Arial" w:cs="Arial"/>
        </w:rPr>
        <w:t xml:space="preserve"> to find that the removal of the intruder’s locks by the </w:t>
      </w:r>
      <w:r w:rsidR="00A53C69">
        <w:rPr>
          <w:rFonts w:ascii="Arial" w:hAnsi="Arial" w:cs="Arial"/>
        </w:rPr>
        <w:t>owner</w:t>
      </w:r>
      <w:r>
        <w:rPr>
          <w:rFonts w:ascii="Arial" w:hAnsi="Arial" w:cs="Arial"/>
        </w:rPr>
        <w:t xml:space="preserve"> with its own locks occurred during the </w:t>
      </w:r>
      <w:r>
        <w:rPr>
          <w:rFonts w:ascii="Arial" w:hAnsi="Arial" w:cs="Arial"/>
          <w:i/>
        </w:rPr>
        <w:t xml:space="preserve">res gestae </w:t>
      </w:r>
      <w:r>
        <w:rPr>
          <w:rFonts w:ascii="Arial" w:hAnsi="Arial" w:cs="Arial"/>
        </w:rPr>
        <w:t xml:space="preserve">period. The court did not then correlate that to a time </w:t>
      </w:r>
      <w:r w:rsidR="00A53C69">
        <w:rPr>
          <w:rFonts w:ascii="Arial" w:hAnsi="Arial" w:cs="Arial"/>
        </w:rPr>
        <w:t>period</w:t>
      </w:r>
      <w:r>
        <w:rPr>
          <w:rFonts w:ascii="Arial" w:hAnsi="Arial" w:cs="Arial"/>
        </w:rPr>
        <w:t xml:space="preserve"> in order to determine if it was too long. The </w:t>
      </w:r>
      <w:r>
        <w:rPr>
          <w:rFonts w:ascii="Arial" w:hAnsi="Arial" w:cs="Arial"/>
        </w:rPr>
        <w:lastRenderedPageBreak/>
        <w:t xml:space="preserve">case is clear </w:t>
      </w:r>
      <w:r w:rsidR="00A53C69">
        <w:rPr>
          <w:rFonts w:ascii="Arial" w:hAnsi="Arial" w:cs="Arial"/>
        </w:rPr>
        <w:t>authority in</w:t>
      </w:r>
      <w:r>
        <w:rPr>
          <w:rFonts w:ascii="Arial" w:hAnsi="Arial" w:cs="Arial"/>
        </w:rPr>
        <w:t xml:space="preserve"> this Division that regard is had to whether counter-spoliation occurred during the </w:t>
      </w:r>
      <w:r w:rsidRPr="00195B3B">
        <w:rPr>
          <w:rFonts w:ascii="Arial" w:hAnsi="Arial" w:cs="Arial"/>
          <w:i/>
        </w:rPr>
        <w:t>res gestae</w:t>
      </w:r>
      <w:r>
        <w:rPr>
          <w:rFonts w:ascii="Arial" w:hAnsi="Arial" w:cs="Arial"/>
        </w:rPr>
        <w:t xml:space="preserve"> period.   As stated by the court: </w:t>
      </w:r>
    </w:p>
    <w:p w:rsidR="00880555" w:rsidRPr="00880555" w:rsidRDefault="00880555" w:rsidP="00880555">
      <w:pPr>
        <w:pStyle w:val="ListParagraph"/>
        <w:spacing w:line="360" w:lineRule="auto"/>
        <w:ind w:left="1440"/>
        <w:rPr>
          <w:rFonts w:ascii="Arial" w:hAnsi="Arial" w:cs="Arial"/>
        </w:rPr>
      </w:pPr>
    </w:p>
    <w:p w:rsidR="008B5EF0" w:rsidRDefault="00880555" w:rsidP="00880555">
      <w:pPr>
        <w:pStyle w:val="ListParagraph"/>
        <w:spacing w:line="360" w:lineRule="auto"/>
        <w:ind w:left="1440"/>
        <w:rPr>
          <w:rFonts w:ascii="Arial" w:hAnsi="Arial" w:cs="Arial"/>
        </w:rPr>
      </w:pPr>
      <w:r w:rsidRPr="008B5EF0">
        <w:rPr>
          <w:rFonts w:ascii="Arial" w:hAnsi="Arial" w:cs="Arial"/>
          <w:i/>
        </w:rPr>
        <w:t>All this seems to me to be part of the res gestae.  It is really one transaction consisting of applicant taking occupation by installing locks and shortly thereafter a removal of those locks and installation of other locks on behalf of the owner.  No appreciable time elapsed and it does not appear to me to be a case where the applicant was so firmly ensconced in his possess</w:t>
      </w:r>
      <w:r w:rsidR="00FC7A3A">
        <w:rPr>
          <w:rFonts w:ascii="Arial" w:hAnsi="Arial" w:cs="Arial"/>
          <w:i/>
        </w:rPr>
        <w:t>ion as the plaintiff was in Man</w:t>
      </w:r>
      <w:r w:rsidRPr="008B5EF0">
        <w:rPr>
          <w:rFonts w:ascii="Arial" w:hAnsi="Arial" w:cs="Arial"/>
          <w:i/>
        </w:rPr>
        <w:t>s</w:t>
      </w:r>
      <w:r w:rsidR="00FC7A3A">
        <w:rPr>
          <w:rFonts w:ascii="Arial" w:hAnsi="Arial" w:cs="Arial"/>
          <w:i/>
        </w:rPr>
        <w:t>’</w:t>
      </w:r>
      <w:r w:rsidRPr="008B5EF0">
        <w:rPr>
          <w:rFonts w:ascii="Arial" w:hAnsi="Arial" w:cs="Arial"/>
          <w:i/>
        </w:rPr>
        <w:t xml:space="preserve"> case (supra) by the time that the spoliation took place.  It is difficult to think what else the respondent should or could have done at the time when the first spoliation (i.e. installation of the locks) took place.  The possession of space in the respondent’s building is involved and the only fact of possession is the control which is exercised through the locks and keys.  All that respondent could do was to put in its own locks at a time when it became possible to do so without perhaps getting its maintenance engineer involved in a bout of fisticuffs or an assault which I think was wise to avoid.  I think its action qualifies as having been taken instanter.  </w:t>
      </w:r>
      <w:r w:rsidRPr="00491C20">
        <w:rPr>
          <w:rFonts w:ascii="Arial" w:hAnsi="Arial" w:cs="Arial"/>
          <w:i/>
          <w:u w:val="single"/>
        </w:rPr>
        <w:t xml:space="preserve">To insist that immediately after the applicant had installed his own locks, the transaction was complete and any further action on the respondent’s part to obtain control of its property is a fresh spoliation, is to my mind an unrealistic evaluation of the situation.  It smacks of an overly-detached arm-chair view as the occurrence should not be too closely </w:t>
      </w:r>
      <w:r w:rsidR="00FC7A3A" w:rsidRPr="00491C20">
        <w:rPr>
          <w:rFonts w:ascii="Arial" w:hAnsi="Arial" w:cs="Arial"/>
          <w:i/>
          <w:u w:val="single"/>
        </w:rPr>
        <w:t>e</w:t>
      </w:r>
      <w:r w:rsidRPr="00491C20">
        <w:rPr>
          <w:rFonts w:ascii="Arial" w:hAnsi="Arial" w:cs="Arial"/>
          <w:i/>
          <w:u w:val="single"/>
        </w:rPr>
        <w:t>qu</w:t>
      </w:r>
      <w:r w:rsidR="00FC7A3A" w:rsidRPr="00491C20">
        <w:rPr>
          <w:rFonts w:ascii="Arial" w:hAnsi="Arial" w:cs="Arial"/>
          <w:i/>
          <w:u w:val="single"/>
        </w:rPr>
        <w:t>a</w:t>
      </w:r>
      <w:r w:rsidRPr="00491C20">
        <w:rPr>
          <w:rFonts w:ascii="Arial" w:hAnsi="Arial" w:cs="Arial"/>
          <w:i/>
          <w:u w:val="single"/>
        </w:rPr>
        <w:t>ted to a brawl where the exchange of blows is the essence</w:t>
      </w:r>
      <w:r w:rsidRPr="008B5EF0">
        <w:rPr>
          <w:rFonts w:ascii="Arial" w:hAnsi="Arial" w:cs="Arial"/>
          <w:i/>
        </w:rPr>
        <w:t>.</w:t>
      </w:r>
      <w:r w:rsidR="00491C20">
        <w:rPr>
          <w:rFonts w:ascii="Arial" w:hAnsi="Arial" w:cs="Arial"/>
        </w:rPr>
        <w:t>”</w:t>
      </w:r>
    </w:p>
    <w:p w:rsidR="00491C20" w:rsidRDefault="00491C20" w:rsidP="00880555">
      <w:pPr>
        <w:pStyle w:val="ListParagraph"/>
        <w:spacing w:line="360" w:lineRule="auto"/>
        <w:ind w:left="1440"/>
        <w:rPr>
          <w:rFonts w:ascii="Arial" w:hAnsi="Arial" w:cs="Arial"/>
        </w:rPr>
      </w:pPr>
      <w:r>
        <w:rPr>
          <w:rFonts w:ascii="Arial" w:hAnsi="Arial" w:cs="Arial"/>
        </w:rPr>
        <w:t>(emphasis added)</w:t>
      </w:r>
    </w:p>
    <w:p w:rsidR="008B5EF0" w:rsidRDefault="008B5EF0" w:rsidP="00880555">
      <w:pPr>
        <w:pStyle w:val="ListParagraph"/>
        <w:spacing w:line="360" w:lineRule="auto"/>
        <w:ind w:left="1440"/>
        <w:rPr>
          <w:rFonts w:ascii="Arial" w:hAnsi="Arial" w:cs="Arial"/>
        </w:rPr>
      </w:pPr>
    </w:p>
    <w:p w:rsidR="008B5EF0" w:rsidRDefault="008B5EF0" w:rsidP="00EF25F1">
      <w:pPr>
        <w:pStyle w:val="ListParagraph"/>
        <w:spacing w:line="360" w:lineRule="auto"/>
        <w:rPr>
          <w:rFonts w:ascii="Arial" w:hAnsi="Arial" w:cs="Arial"/>
        </w:rPr>
      </w:pPr>
      <w:r>
        <w:rPr>
          <w:rFonts w:ascii="Arial" w:hAnsi="Arial" w:cs="Arial"/>
        </w:rPr>
        <w:t xml:space="preserve">In a subsequent passage the court </w:t>
      </w:r>
      <w:r w:rsidR="00195B3B">
        <w:rPr>
          <w:rFonts w:ascii="Arial" w:hAnsi="Arial" w:cs="Arial"/>
        </w:rPr>
        <w:t xml:space="preserve">mentioned </w:t>
      </w:r>
      <w:r>
        <w:rPr>
          <w:rFonts w:ascii="Arial" w:hAnsi="Arial" w:cs="Arial"/>
        </w:rPr>
        <w:t xml:space="preserve">the need to also consider the situation at hand. This has </w:t>
      </w:r>
      <w:r w:rsidR="00A53C69">
        <w:rPr>
          <w:rFonts w:ascii="Arial" w:hAnsi="Arial" w:cs="Arial"/>
        </w:rPr>
        <w:t>relevance</w:t>
      </w:r>
      <w:r>
        <w:rPr>
          <w:rFonts w:ascii="Arial" w:hAnsi="Arial" w:cs="Arial"/>
        </w:rPr>
        <w:t xml:space="preserve"> to metropolitan areas where the </w:t>
      </w:r>
      <w:r w:rsidR="00FC7A3A">
        <w:rPr>
          <w:rFonts w:ascii="Arial" w:hAnsi="Arial" w:cs="Arial"/>
        </w:rPr>
        <w:t xml:space="preserve">relative </w:t>
      </w:r>
      <w:r>
        <w:rPr>
          <w:rFonts w:ascii="Arial" w:hAnsi="Arial" w:cs="Arial"/>
        </w:rPr>
        <w:t>cost of providing f</w:t>
      </w:r>
      <w:r w:rsidR="00FC7A3A">
        <w:rPr>
          <w:rFonts w:ascii="Arial" w:hAnsi="Arial" w:cs="Arial"/>
        </w:rPr>
        <w:t>ull-time security on all its pr</w:t>
      </w:r>
      <w:r>
        <w:rPr>
          <w:rFonts w:ascii="Arial" w:hAnsi="Arial" w:cs="Arial"/>
        </w:rPr>
        <w:t>op</w:t>
      </w:r>
      <w:r w:rsidR="00FC7A3A">
        <w:rPr>
          <w:rFonts w:ascii="Arial" w:hAnsi="Arial" w:cs="Arial"/>
        </w:rPr>
        <w:t>e</w:t>
      </w:r>
      <w:r>
        <w:rPr>
          <w:rFonts w:ascii="Arial" w:hAnsi="Arial" w:cs="Arial"/>
        </w:rPr>
        <w:t xml:space="preserve">rties </w:t>
      </w:r>
      <w:r w:rsidR="00FC7A3A">
        <w:rPr>
          <w:rFonts w:ascii="Arial" w:hAnsi="Arial" w:cs="Arial"/>
        </w:rPr>
        <w:t xml:space="preserve">may not be </w:t>
      </w:r>
      <w:r w:rsidR="00EE2C3B">
        <w:rPr>
          <w:rFonts w:ascii="Arial" w:hAnsi="Arial" w:cs="Arial"/>
        </w:rPr>
        <w:t>warranted and</w:t>
      </w:r>
      <w:r w:rsidR="00730708">
        <w:rPr>
          <w:rFonts w:ascii="Arial" w:hAnsi="Arial" w:cs="Arial"/>
        </w:rPr>
        <w:t xml:space="preserve"> it </w:t>
      </w:r>
      <w:r w:rsidR="00195B3B">
        <w:rPr>
          <w:rFonts w:ascii="Arial" w:hAnsi="Arial" w:cs="Arial"/>
        </w:rPr>
        <w:t xml:space="preserve">therefore </w:t>
      </w:r>
      <w:r w:rsidR="00730708">
        <w:rPr>
          <w:rFonts w:ascii="Arial" w:hAnsi="Arial" w:cs="Arial"/>
        </w:rPr>
        <w:t>may not become immediately aware of a land incursion</w:t>
      </w:r>
      <w:r w:rsidR="00EF25F1">
        <w:rPr>
          <w:rFonts w:ascii="Arial" w:hAnsi="Arial" w:cs="Arial"/>
        </w:rPr>
        <w:t xml:space="preserve">. </w:t>
      </w:r>
      <w:r w:rsidR="00195B3B">
        <w:rPr>
          <w:rFonts w:ascii="Arial" w:hAnsi="Arial" w:cs="Arial"/>
        </w:rPr>
        <w:t>This is what was said:</w:t>
      </w:r>
    </w:p>
    <w:p w:rsidR="00EF25F1" w:rsidRDefault="00EF25F1" w:rsidP="00EF25F1">
      <w:pPr>
        <w:pStyle w:val="ListParagraph"/>
        <w:spacing w:line="360" w:lineRule="auto"/>
        <w:rPr>
          <w:rFonts w:ascii="Arial" w:hAnsi="Arial" w:cs="Arial"/>
        </w:rPr>
      </w:pPr>
    </w:p>
    <w:p w:rsidR="00EB687B" w:rsidRDefault="00FC7A3A" w:rsidP="00EF25F1">
      <w:pPr>
        <w:pStyle w:val="ListParagraph"/>
        <w:spacing w:line="360" w:lineRule="auto"/>
        <w:ind w:left="1440"/>
        <w:rPr>
          <w:rFonts w:ascii="Arial" w:hAnsi="Arial" w:cs="Arial"/>
        </w:rPr>
      </w:pPr>
      <w:r>
        <w:rPr>
          <w:rFonts w:ascii="Arial" w:hAnsi="Arial" w:cs="Arial"/>
          <w:i/>
        </w:rPr>
        <w:t>“</w:t>
      </w:r>
      <w:r w:rsidR="00880555" w:rsidRPr="00EF25F1">
        <w:rPr>
          <w:rFonts w:ascii="Arial" w:hAnsi="Arial" w:cs="Arial"/>
          <w:i/>
        </w:rPr>
        <w:t xml:space="preserve">This is not a simple case of the owner of a single dwelling, in which he </w:t>
      </w:r>
      <w:r w:rsidR="00880555" w:rsidRPr="00EF25F1">
        <w:rPr>
          <w:rFonts w:ascii="Arial" w:hAnsi="Arial" w:cs="Arial"/>
          <w:i/>
        </w:rPr>
        <w:lastRenderedPageBreak/>
        <w:t xml:space="preserve">lives, being available at all times to repel intruders and to potential spoliators there and </w:t>
      </w:r>
      <w:r w:rsidR="00A53C69" w:rsidRPr="00EF25F1">
        <w:rPr>
          <w:rFonts w:ascii="Arial" w:hAnsi="Arial" w:cs="Arial"/>
          <w:i/>
        </w:rPr>
        <w:t>then.</w:t>
      </w:r>
      <w:r w:rsidR="00880555" w:rsidRPr="00EF25F1">
        <w:rPr>
          <w:rFonts w:ascii="Arial" w:hAnsi="Arial" w:cs="Arial"/>
          <w:i/>
        </w:rPr>
        <w:t xml:space="preserve">   I think there is much to b</w:t>
      </w:r>
      <w:r w:rsidR="00D93310">
        <w:rPr>
          <w:rFonts w:ascii="Arial" w:hAnsi="Arial" w:cs="Arial"/>
          <w:i/>
        </w:rPr>
        <w:t>e said for the suggestion in Mans’</w:t>
      </w:r>
      <w:r w:rsidR="00880555" w:rsidRPr="00EF25F1">
        <w:rPr>
          <w:rFonts w:ascii="Arial" w:hAnsi="Arial" w:cs="Arial"/>
          <w:i/>
        </w:rPr>
        <w:t xml:space="preserve"> case that a more liberal construction of instanter should be given to a true owner exercising his rights of recovery of his property – particularly in a case like present where the applicant against the clearest expression of the respondent’s prohibition, deliberately takes the law in his own hands.”</w:t>
      </w:r>
      <w:r w:rsidR="00880555" w:rsidRPr="00880555">
        <w:rPr>
          <w:rFonts w:ascii="Arial" w:hAnsi="Arial" w:cs="Arial"/>
        </w:rPr>
        <w:t xml:space="preserve">  </w:t>
      </w:r>
      <w:r w:rsidR="00EF25F1">
        <w:rPr>
          <w:rStyle w:val="FootnoteReference"/>
          <w:rFonts w:ascii="Arial" w:hAnsi="Arial" w:cs="Arial"/>
        </w:rPr>
        <w:footnoteReference w:id="72"/>
      </w:r>
    </w:p>
    <w:p w:rsidR="003B1053" w:rsidRDefault="003B1053" w:rsidP="00EF25F1">
      <w:pPr>
        <w:pStyle w:val="ListParagraph"/>
        <w:spacing w:line="360" w:lineRule="auto"/>
        <w:ind w:left="1440"/>
        <w:rPr>
          <w:rFonts w:ascii="Arial" w:hAnsi="Arial" w:cs="Arial"/>
        </w:rPr>
      </w:pPr>
    </w:p>
    <w:p w:rsidR="003B1053" w:rsidRPr="003B1053" w:rsidRDefault="003B1053" w:rsidP="003B1053">
      <w:pPr>
        <w:pStyle w:val="ListParagraph"/>
        <w:spacing w:line="360" w:lineRule="auto"/>
        <w:ind w:left="357"/>
        <w:rPr>
          <w:rFonts w:ascii="Arial" w:hAnsi="Arial" w:cs="Arial"/>
        </w:rPr>
      </w:pPr>
      <w:r w:rsidRPr="003B1053">
        <w:rPr>
          <w:rFonts w:ascii="Arial" w:hAnsi="Arial" w:cs="Arial"/>
          <w:i/>
        </w:rPr>
        <w:t xml:space="preserve">Ness </w:t>
      </w:r>
      <w:r w:rsidRPr="003B1053">
        <w:rPr>
          <w:rFonts w:ascii="Arial" w:hAnsi="Arial" w:cs="Arial"/>
        </w:rPr>
        <w:t>was decided by the</w:t>
      </w:r>
      <w:r>
        <w:rPr>
          <w:rFonts w:ascii="Arial" w:hAnsi="Arial" w:cs="Arial"/>
          <w:i/>
        </w:rPr>
        <w:t xml:space="preserve"> </w:t>
      </w:r>
      <w:r>
        <w:rPr>
          <w:rFonts w:ascii="Arial" w:hAnsi="Arial" w:cs="Arial"/>
        </w:rPr>
        <w:t xml:space="preserve">Cape Full Court after </w:t>
      </w:r>
      <w:r w:rsidRPr="004F372D">
        <w:rPr>
          <w:rFonts w:ascii="Arial" w:hAnsi="Arial" w:cs="Arial"/>
          <w:i/>
        </w:rPr>
        <w:t>De Beer</w:t>
      </w:r>
      <w:r>
        <w:rPr>
          <w:rFonts w:ascii="Arial" w:hAnsi="Arial" w:cs="Arial"/>
        </w:rPr>
        <w:t xml:space="preserve"> and </w:t>
      </w:r>
      <w:r w:rsidR="004F372D" w:rsidRPr="004F372D">
        <w:rPr>
          <w:rFonts w:ascii="Arial" w:hAnsi="Arial" w:cs="Arial"/>
          <w:i/>
        </w:rPr>
        <w:t>inter alia</w:t>
      </w:r>
      <w:r w:rsidR="004F372D">
        <w:rPr>
          <w:rFonts w:ascii="Arial" w:hAnsi="Arial" w:cs="Arial"/>
        </w:rPr>
        <w:t xml:space="preserve"> </w:t>
      </w:r>
      <w:r>
        <w:rPr>
          <w:rFonts w:ascii="Arial" w:hAnsi="Arial" w:cs="Arial"/>
        </w:rPr>
        <w:t>applied its reasoning</w:t>
      </w:r>
      <w:r w:rsidR="004F372D">
        <w:rPr>
          <w:rFonts w:ascii="Arial" w:hAnsi="Arial" w:cs="Arial"/>
        </w:rPr>
        <w:t xml:space="preserve"> </w:t>
      </w:r>
      <w:r>
        <w:rPr>
          <w:rFonts w:ascii="Arial" w:hAnsi="Arial" w:cs="Arial"/>
        </w:rPr>
        <w:t>.</w:t>
      </w:r>
      <w:r>
        <w:rPr>
          <w:rStyle w:val="FootnoteReference"/>
          <w:rFonts w:ascii="Arial" w:hAnsi="Arial" w:cs="Arial"/>
        </w:rPr>
        <w:footnoteReference w:id="73"/>
      </w:r>
    </w:p>
    <w:p w:rsidR="00EB687B" w:rsidRDefault="00EB687B" w:rsidP="00EB687B">
      <w:pPr>
        <w:pStyle w:val="ListParagraph"/>
        <w:spacing w:line="360" w:lineRule="auto"/>
        <w:ind w:left="360"/>
        <w:rPr>
          <w:rFonts w:ascii="Arial" w:hAnsi="Arial" w:cs="Arial"/>
        </w:rPr>
      </w:pPr>
    </w:p>
    <w:p w:rsidR="00195B3B" w:rsidRDefault="00EF25F1" w:rsidP="00AF22DC">
      <w:pPr>
        <w:pStyle w:val="ListParagraph"/>
        <w:numPr>
          <w:ilvl w:val="0"/>
          <w:numId w:val="3"/>
        </w:numPr>
        <w:spacing w:line="360" w:lineRule="auto"/>
        <w:rPr>
          <w:rFonts w:ascii="Arial" w:hAnsi="Arial" w:cs="Arial"/>
        </w:rPr>
      </w:pPr>
      <w:r w:rsidRPr="00EF25F1">
        <w:rPr>
          <w:rFonts w:ascii="Arial" w:hAnsi="Arial" w:cs="Arial"/>
        </w:rPr>
        <w:t xml:space="preserve">In </w:t>
      </w:r>
      <w:r w:rsidR="00A53C69" w:rsidRPr="00EF25F1">
        <w:rPr>
          <w:rFonts w:ascii="Arial" w:hAnsi="Arial" w:cs="Arial"/>
          <w:i/>
        </w:rPr>
        <w:t>Skosana</w:t>
      </w:r>
      <w:r w:rsidR="00A53C69">
        <w:rPr>
          <w:rFonts w:ascii="Arial" w:hAnsi="Arial" w:cs="Arial"/>
        </w:rPr>
        <w:t xml:space="preserve"> there</w:t>
      </w:r>
      <w:r>
        <w:rPr>
          <w:rFonts w:ascii="Arial" w:hAnsi="Arial" w:cs="Arial"/>
        </w:rPr>
        <w:t xml:space="preserve"> had been a land invasion of property</w:t>
      </w:r>
      <w:r w:rsidR="00195B3B">
        <w:rPr>
          <w:rFonts w:ascii="Arial" w:hAnsi="Arial" w:cs="Arial"/>
        </w:rPr>
        <w:t>,</w:t>
      </w:r>
      <w:r>
        <w:rPr>
          <w:rFonts w:ascii="Arial" w:hAnsi="Arial" w:cs="Arial"/>
        </w:rPr>
        <w:t xml:space="preserve"> shacks were already erected and were being occupied. This was around the beginning of </w:t>
      </w:r>
      <w:r w:rsidR="00A53C69">
        <w:rPr>
          <w:rFonts w:ascii="Arial" w:hAnsi="Arial" w:cs="Arial"/>
        </w:rPr>
        <w:t>August</w:t>
      </w:r>
      <w:r>
        <w:rPr>
          <w:rFonts w:ascii="Arial" w:hAnsi="Arial" w:cs="Arial"/>
        </w:rPr>
        <w:t xml:space="preserve"> 1990. </w:t>
      </w:r>
      <w:r w:rsidR="00A53C69">
        <w:rPr>
          <w:rFonts w:ascii="Arial" w:hAnsi="Arial" w:cs="Arial"/>
        </w:rPr>
        <w:t>The municipality</w:t>
      </w:r>
      <w:r>
        <w:rPr>
          <w:rFonts w:ascii="Arial" w:hAnsi="Arial" w:cs="Arial"/>
        </w:rPr>
        <w:t xml:space="preserve"> proceeded to demolish the shacks on </w:t>
      </w:r>
      <w:r w:rsidR="00A53C69">
        <w:rPr>
          <w:rFonts w:ascii="Arial" w:hAnsi="Arial" w:cs="Arial"/>
        </w:rPr>
        <w:t>numerous occasions</w:t>
      </w:r>
      <w:r>
        <w:rPr>
          <w:rFonts w:ascii="Arial" w:hAnsi="Arial" w:cs="Arial"/>
        </w:rPr>
        <w:t xml:space="preserve"> during that month. But on each occasion they were rebuilt or in the process of being rebuilt before the</w:t>
      </w:r>
      <w:r w:rsidR="00195B3B">
        <w:rPr>
          <w:rFonts w:ascii="Arial" w:hAnsi="Arial" w:cs="Arial"/>
        </w:rPr>
        <w:t xml:space="preserve">y were again demolished by the authorities. </w:t>
      </w:r>
      <w:r>
        <w:rPr>
          <w:rFonts w:ascii="Arial" w:hAnsi="Arial" w:cs="Arial"/>
        </w:rPr>
        <w:t xml:space="preserve"> </w:t>
      </w:r>
      <w:r w:rsidR="00037517">
        <w:rPr>
          <w:rFonts w:ascii="Arial" w:hAnsi="Arial" w:cs="Arial"/>
        </w:rPr>
        <w:t>The l</w:t>
      </w:r>
      <w:r>
        <w:rPr>
          <w:rFonts w:ascii="Arial" w:hAnsi="Arial" w:cs="Arial"/>
        </w:rPr>
        <w:t xml:space="preserve">ast demolition </w:t>
      </w:r>
      <w:r w:rsidR="00FC7A3A">
        <w:rPr>
          <w:rFonts w:ascii="Arial" w:hAnsi="Arial" w:cs="Arial"/>
        </w:rPr>
        <w:t>took place</w:t>
      </w:r>
      <w:r>
        <w:rPr>
          <w:rFonts w:ascii="Arial" w:hAnsi="Arial" w:cs="Arial"/>
        </w:rPr>
        <w:t xml:space="preserve"> at the beginning of September</w:t>
      </w:r>
      <w:r w:rsidR="00037517">
        <w:rPr>
          <w:rFonts w:ascii="Arial" w:hAnsi="Arial" w:cs="Arial"/>
        </w:rPr>
        <w:t xml:space="preserve">. </w:t>
      </w:r>
    </w:p>
    <w:p w:rsidR="00195B3B" w:rsidRDefault="00195B3B" w:rsidP="00195B3B">
      <w:pPr>
        <w:pStyle w:val="ListParagraph"/>
        <w:spacing w:line="360" w:lineRule="auto"/>
        <w:ind w:left="360"/>
        <w:rPr>
          <w:rFonts w:ascii="Arial" w:hAnsi="Arial" w:cs="Arial"/>
        </w:rPr>
      </w:pPr>
    </w:p>
    <w:p w:rsidR="00037517" w:rsidRDefault="00037517" w:rsidP="00195B3B">
      <w:pPr>
        <w:pStyle w:val="ListParagraph"/>
        <w:spacing w:line="360" w:lineRule="auto"/>
        <w:ind w:left="360"/>
        <w:rPr>
          <w:rFonts w:ascii="Arial" w:hAnsi="Arial" w:cs="Arial"/>
        </w:rPr>
      </w:pPr>
      <w:r>
        <w:rPr>
          <w:rFonts w:ascii="Arial" w:hAnsi="Arial" w:cs="Arial"/>
        </w:rPr>
        <w:t xml:space="preserve">The court dealt with the matter interchangeably by reference to the intruders not having established </w:t>
      </w:r>
      <w:r w:rsidR="00FC7A3A">
        <w:rPr>
          <w:rFonts w:ascii="Arial" w:hAnsi="Arial" w:cs="Arial"/>
        </w:rPr>
        <w:t>peaceful and undist</w:t>
      </w:r>
      <w:r>
        <w:rPr>
          <w:rFonts w:ascii="Arial" w:hAnsi="Arial" w:cs="Arial"/>
        </w:rPr>
        <w:t>urbed occupation and by</w:t>
      </w:r>
      <w:r w:rsidR="00195B3B">
        <w:rPr>
          <w:rFonts w:ascii="Arial" w:hAnsi="Arial" w:cs="Arial"/>
        </w:rPr>
        <w:t xml:space="preserve"> reference to</w:t>
      </w:r>
      <w:r>
        <w:rPr>
          <w:rFonts w:ascii="Arial" w:hAnsi="Arial" w:cs="Arial"/>
        </w:rPr>
        <w:t xml:space="preserve"> the owner having acted </w:t>
      </w:r>
      <w:r w:rsidRPr="00FC7A3A">
        <w:rPr>
          <w:rFonts w:ascii="Arial" w:hAnsi="Arial" w:cs="Arial"/>
          <w:i/>
        </w:rPr>
        <w:t>instanter</w:t>
      </w:r>
      <w:r>
        <w:rPr>
          <w:rFonts w:ascii="Arial" w:hAnsi="Arial" w:cs="Arial"/>
        </w:rPr>
        <w:t xml:space="preserve"> in the circumstances. </w:t>
      </w:r>
      <w:r w:rsidR="00FC7A3A">
        <w:rPr>
          <w:rFonts w:ascii="Arial" w:hAnsi="Arial" w:cs="Arial"/>
        </w:rPr>
        <w:t>But, o</w:t>
      </w:r>
      <w:r>
        <w:rPr>
          <w:rFonts w:ascii="Arial" w:hAnsi="Arial" w:cs="Arial"/>
        </w:rPr>
        <w:t>nce again</w:t>
      </w:r>
      <w:r w:rsidR="00FC7A3A">
        <w:rPr>
          <w:rFonts w:ascii="Arial" w:hAnsi="Arial" w:cs="Arial"/>
        </w:rPr>
        <w:t>,</w:t>
      </w:r>
      <w:r>
        <w:rPr>
          <w:rFonts w:ascii="Arial" w:hAnsi="Arial" w:cs="Arial"/>
        </w:rPr>
        <w:t xml:space="preserve"> </w:t>
      </w:r>
      <w:r w:rsidRPr="00FC7A3A">
        <w:rPr>
          <w:rFonts w:ascii="Arial" w:hAnsi="Arial" w:cs="Arial"/>
          <w:i/>
        </w:rPr>
        <w:t>instanter</w:t>
      </w:r>
      <w:r>
        <w:rPr>
          <w:rFonts w:ascii="Arial" w:hAnsi="Arial" w:cs="Arial"/>
        </w:rPr>
        <w:t xml:space="preserve"> was not </w:t>
      </w:r>
      <w:r w:rsidR="00A53C69">
        <w:rPr>
          <w:rFonts w:ascii="Arial" w:hAnsi="Arial" w:cs="Arial"/>
        </w:rPr>
        <w:t>determined</w:t>
      </w:r>
      <w:r>
        <w:rPr>
          <w:rFonts w:ascii="Arial" w:hAnsi="Arial" w:cs="Arial"/>
        </w:rPr>
        <w:t xml:space="preserve"> by reference to a time period but by reference to whether </w:t>
      </w:r>
      <w:r w:rsidR="003B1053">
        <w:rPr>
          <w:rFonts w:ascii="Arial" w:hAnsi="Arial" w:cs="Arial"/>
        </w:rPr>
        <w:t xml:space="preserve">the </w:t>
      </w:r>
      <w:r w:rsidR="00A53C69">
        <w:rPr>
          <w:rFonts w:ascii="Arial" w:hAnsi="Arial" w:cs="Arial"/>
        </w:rPr>
        <w:t>demolitions</w:t>
      </w:r>
      <w:r w:rsidR="003B1053">
        <w:rPr>
          <w:rFonts w:ascii="Arial" w:hAnsi="Arial" w:cs="Arial"/>
        </w:rPr>
        <w:t xml:space="preserve"> had occurred during the course of the </w:t>
      </w:r>
      <w:r w:rsidR="00FC7A3A">
        <w:rPr>
          <w:rFonts w:ascii="Arial" w:hAnsi="Arial" w:cs="Arial"/>
          <w:i/>
        </w:rPr>
        <w:t>res g</w:t>
      </w:r>
      <w:r w:rsidR="003B1053" w:rsidRPr="00FC7A3A">
        <w:rPr>
          <w:rFonts w:ascii="Arial" w:hAnsi="Arial" w:cs="Arial"/>
          <w:i/>
        </w:rPr>
        <w:t>estae</w:t>
      </w:r>
      <w:r w:rsidR="003B1053">
        <w:rPr>
          <w:rFonts w:ascii="Arial" w:hAnsi="Arial" w:cs="Arial"/>
        </w:rPr>
        <w:t xml:space="preserve">. The court </w:t>
      </w:r>
      <w:r>
        <w:rPr>
          <w:rFonts w:ascii="Arial" w:hAnsi="Arial" w:cs="Arial"/>
        </w:rPr>
        <w:t xml:space="preserve">held that the demolitions were </w:t>
      </w:r>
      <w:r w:rsidR="00EF25F1" w:rsidRPr="00EF25F1">
        <w:rPr>
          <w:rFonts w:ascii="Arial" w:hAnsi="Arial" w:cs="Arial"/>
        </w:rPr>
        <w:t>sufficiently close t</w:t>
      </w:r>
      <w:r>
        <w:rPr>
          <w:rFonts w:ascii="Arial" w:hAnsi="Arial" w:cs="Arial"/>
        </w:rPr>
        <w:t xml:space="preserve">ogether to constitute </w:t>
      </w:r>
      <w:r w:rsidRPr="00195B3B">
        <w:rPr>
          <w:rFonts w:ascii="Arial" w:hAnsi="Arial" w:cs="Arial"/>
          <w:i/>
        </w:rPr>
        <w:t>instanter</w:t>
      </w:r>
      <w:r>
        <w:rPr>
          <w:rFonts w:ascii="Arial" w:hAnsi="Arial" w:cs="Arial"/>
        </w:rPr>
        <w:t xml:space="preserve"> and said:</w:t>
      </w:r>
    </w:p>
    <w:p w:rsidR="00037517" w:rsidRDefault="00037517" w:rsidP="00037517">
      <w:pPr>
        <w:pStyle w:val="ListParagraph"/>
        <w:spacing w:line="360" w:lineRule="auto"/>
        <w:ind w:left="357"/>
        <w:rPr>
          <w:rFonts w:ascii="Arial" w:hAnsi="Arial" w:cs="Arial"/>
        </w:rPr>
      </w:pPr>
    </w:p>
    <w:p w:rsidR="003B1053" w:rsidRPr="003B1053" w:rsidRDefault="00A53C69" w:rsidP="003B1053">
      <w:pPr>
        <w:pStyle w:val="ListParagraph"/>
        <w:spacing w:line="360" w:lineRule="auto"/>
        <w:rPr>
          <w:rFonts w:ascii="Arial" w:hAnsi="Arial" w:cs="Arial"/>
          <w:i/>
          <w:lang w:val="en-US"/>
        </w:rPr>
      </w:pPr>
      <w:r w:rsidRPr="003B1053">
        <w:rPr>
          <w:rFonts w:ascii="Arial" w:hAnsi="Arial" w:cs="Arial"/>
          <w:i/>
        </w:rPr>
        <w:t>“I</w:t>
      </w:r>
      <w:r w:rsidR="003B1053" w:rsidRPr="003B1053">
        <w:rPr>
          <w:rFonts w:ascii="Arial" w:hAnsi="Arial" w:cs="Arial"/>
          <w:i/>
          <w:lang w:val="en-US"/>
        </w:rPr>
        <w:t xml:space="preserve"> also agree with Mr </w:t>
      </w:r>
      <w:r w:rsidR="003B1053" w:rsidRPr="003B1053">
        <w:rPr>
          <w:rFonts w:ascii="Arial" w:hAnsi="Arial" w:cs="Arial"/>
          <w:i/>
          <w:iCs/>
          <w:lang w:val="en-US"/>
        </w:rPr>
        <w:t>Cloete</w:t>
      </w:r>
      <w:r w:rsidR="003B1053" w:rsidRPr="003B1053">
        <w:rPr>
          <w:rFonts w:ascii="Arial" w:hAnsi="Arial" w:cs="Arial"/>
          <w:i/>
          <w:lang w:val="en-US"/>
        </w:rPr>
        <w:t xml:space="preserve"> that respondent's conduct constituted </w:t>
      </w:r>
      <w:r w:rsidR="003B1053">
        <w:rPr>
          <w:rFonts w:ascii="Arial" w:hAnsi="Arial" w:cs="Arial"/>
          <w:i/>
          <w:lang w:val="en-US"/>
        </w:rPr>
        <w:t>p</w:t>
      </w:r>
      <w:r w:rsidR="003B1053" w:rsidRPr="003B1053">
        <w:rPr>
          <w:rFonts w:ascii="Arial" w:hAnsi="Arial" w:cs="Arial"/>
          <w:i/>
          <w:lang w:val="en-US"/>
        </w:rPr>
        <w:t>rompt, </w:t>
      </w:r>
      <w:r w:rsidR="003B1053" w:rsidRPr="003B1053">
        <w:rPr>
          <w:rFonts w:ascii="Arial" w:hAnsi="Arial" w:cs="Arial"/>
          <w:i/>
          <w:iCs/>
          <w:lang w:val="en-US"/>
        </w:rPr>
        <w:t>instanter</w:t>
      </w:r>
      <w:r w:rsidR="003B1053" w:rsidRPr="003B1053">
        <w:rPr>
          <w:rFonts w:ascii="Arial" w:hAnsi="Arial" w:cs="Arial"/>
          <w:i/>
          <w:lang w:val="en-US"/>
        </w:rPr>
        <w:t xml:space="preserve"> and lawful measures against unlawful spoliation by people who were taking the law into their own hands. </w:t>
      </w:r>
      <w:r w:rsidRPr="003B1053">
        <w:rPr>
          <w:rFonts w:ascii="Arial" w:hAnsi="Arial" w:cs="Arial"/>
          <w:i/>
          <w:lang w:val="en-US"/>
        </w:rPr>
        <w:t>At the</w:t>
      </w:r>
      <w:r w:rsidR="003B1053" w:rsidRPr="003B1053">
        <w:rPr>
          <w:rFonts w:ascii="Arial" w:hAnsi="Arial" w:cs="Arial"/>
          <w:i/>
          <w:lang w:val="en-US"/>
        </w:rPr>
        <w:t xml:space="preserve"> time their shacks were demolished they were not in peaceful and undisturbed possession of the respondent's ground. The position had not been stabilised and the applicants, as spoliators in the process of committing spoliation, cannot be heard to shout </w:t>
      </w:r>
      <w:r w:rsidR="003B1053" w:rsidRPr="003B1053">
        <w:rPr>
          <w:rFonts w:ascii="Arial" w:hAnsi="Arial" w:cs="Arial"/>
          <w:i/>
          <w:lang w:val="en-US"/>
        </w:rPr>
        <w:lastRenderedPageBreak/>
        <w:t>'spoliation, spoliation'.</w:t>
      </w:r>
    </w:p>
    <w:p w:rsidR="003B1053" w:rsidRPr="003B1053" w:rsidRDefault="003B1053" w:rsidP="003B1053">
      <w:pPr>
        <w:pStyle w:val="ListParagraph"/>
        <w:spacing w:line="360" w:lineRule="auto"/>
        <w:rPr>
          <w:rFonts w:ascii="Arial" w:hAnsi="Arial" w:cs="Arial"/>
          <w:i/>
          <w:lang w:val="en-US"/>
        </w:rPr>
      </w:pPr>
    </w:p>
    <w:p w:rsidR="003B1053" w:rsidRPr="003B1053" w:rsidRDefault="003B1053" w:rsidP="003B1053">
      <w:pPr>
        <w:pStyle w:val="ListParagraph"/>
        <w:spacing w:line="360" w:lineRule="auto"/>
        <w:rPr>
          <w:rFonts w:ascii="Arial" w:hAnsi="Arial" w:cs="Arial"/>
          <w:i/>
          <w:lang w:val="en-US"/>
        </w:rPr>
      </w:pPr>
      <w:r w:rsidRPr="003B1053">
        <w:rPr>
          <w:rFonts w:ascii="Arial" w:hAnsi="Arial" w:cs="Arial"/>
          <w:i/>
          <w:lang w:val="en-US"/>
        </w:rPr>
        <w:t>Mr </w:t>
      </w:r>
      <w:r w:rsidRPr="003B1053">
        <w:rPr>
          <w:rFonts w:ascii="Arial" w:hAnsi="Arial" w:cs="Arial"/>
          <w:i/>
          <w:iCs/>
          <w:lang w:val="en-US"/>
        </w:rPr>
        <w:t>Redding</w:t>
      </w:r>
      <w:r w:rsidRPr="003B1053">
        <w:rPr>
          <w:rFonts w:ascii="Arial" w:hAnsi="Arial" w:cs="Arial"/>
          <w:i/>
          <w:lang w:val="en-US"/>
        </w:rPr>
        <w:t xml:space="preserve"> submitted that a previous order against the local authority, by which the local authority was restrained from </w:t>
      </w:r>
      <w:r w:rsidR="00A53C69" w:rsidRPr="003B1053">
        <w:rPr>
          <w:rFonts w:ascii="Arial" w:hAnsi="Arial" w:cs="Arial"/>
          <w:i/>
          <w:lang w:val="en-US"/>
        </w:rPr>
        <w:t>demolishing the</w:t>
      </w:r>
      <w:r w:rsidRPr="003B1053">
        <w:rPr>
          <w:rFonts w:ascii="Arial" w:hAnsi="Arial" w:cs="Arial"/>
          <w:i/>
          <w:lang w:val="en-US"/>
        </w:rPr>
        <w:t xml:space="preserve"> shacks, had the result that the situation became stabilised. I do not agree.</w:t>
      </w:r>
    </w:p>
    <w:p w:rsidR="003B1053" w:rsidRPr="003B1053" w:rsidRDefault="003B1053" w:rsidP="003B1053">
      <w:pPr>
        <w:pStyle w:val="ListParagraph"/>
        <w:spacing w:line="360" w:lineRule="auto"/>
        <w:rPr>
          <w:rFonts w:ascii="Arial" w:hAnsi="Arial" w:cs="Arial"/>
          <w:i/>
          <w:lang w:val="en-US"/>
        </w:rPr>
      </w:pPr>
    </w:p>
    <w:p w:rsidR="003B1053" w:rsidRPr="003B1053" w:rsidRDefault="003B1053" w:rsidP="003B1053">
      <w:pPr>
        <w:pStyle w:val="ListParagraph"/>
        <w:spacing w:line="360" w:lineRule="auto"/>
        <w:rPr>
          <w:rFonts w:ascii="Arial" w:hAnsi="Arial" w:cs="Arial"/>
          <w:i/>
          <w:lang w:val="en-US"/>
        </w:rPr>
      </w:pPr>
      <w:r w:rsidRPr="003B1053">
        <w:rPr>
          <w:rFonts w:ascii="Arial" w:hAnsi="Arial" w:cs="Arial"/>
          <w:i/>
          <w:lang w:val="en-US"/>
        </w:rPr>
        <w:t>The respondent from the outset, continuously and timeously, took appropriate steps to counter the applicants' illegal conduct. The applicants' occupation did not become peaceful and undisturbed. (See in this connection </w:t>
      </w:r>
      <w:r w:rsidRPr="003B1053">
        <w:rPr>
          <w:rFonts w:ascii="Arial" w:hAnsi="Arial" w:cs="Arial"/>
          <w:i/>
          <w:iCs/>
          <w:lang w:val="en-US"/>
        </w:rPr>
        <w:t>Ness and Another v Greef</w:t>
      </w:r>
      <w:r w:rsidRPr="003B1053">
        <w:rPr>
          <w:rFonts w:ascii="Arial" w:hAnsi="Arial" w:cs="Arial"/>
          <w:i/>
          <w:lang w:val="en-US"/>
        </w:rPr>
        <w:t> </w:t>
      </w:r>
      <w:hyperlink r:id="rId9" w:tgtFrame="main" w:history="1">
        <w:r w:rsidRPr="003B1053">
          <w:rPr>
            <w:rStyle w:val="Hyperlink"/>
            <w:rFonts w:ascii="Arial" w:hAnsi="Arial" w:cs="Arial"/>
            <w:i/>
            <w:color w:val="auto"/>
            <w:u w:val="none"/>
            <w:lang w:val="en-US"/>
          </w:rPr>
          <w:t>1985 (4) SA 641 (C)</w:t>
        </w:r>
      </w:hyperlink>
      <w:r w:rsidRPr="003B1053">
        <w:rPr>
          <w:rFonts w:ascii="Arial" w:hAnsi="Arial" w:cs="Arial"/>
          <w:i/>
          <w:lang w:val="en-US"/>
        </w:rPr>
        <w:t>.)</w:t>
      </w:r>
      <w:r>
        <w:rPr>
          <w:rStyle w:val="FootnoteReference"/>
          <w:rFonts w:ascii="Arial" w:hAnsi="Arial" w:cs="Arial"/>
          <w:i/>
          <w:lang w:val="en-US"/>
        </w:rPr>
        <w:footnoteReference w:id="74"/>
      </w:r>
    </w:p>
    <w:p w:rsidR="00EF25F1" w:rsidRPr="00EF25F1" w:rsidRDefault="00EF25F1" w:rsidP="00037517">
      <w:pPr>
        <w:pStyle w:val="ListParagraph"/>
        <w:spacing w:line="360" w:lineRule="auto"/>
        <w:ind w:left="357"/>
        <w:rPr>
          <w:rFonts w:ascii="Arial" w:hAnsi="Arial" w:cs="Arial"/>
        </w:rPr>
      </w:pPr>
    </w:p>
    <w:p w:rsidR="00EB687B" w:rsidRPr="004F372D" w:rsidRDefault="003B1053" w:rsidP="00AF22DC">
      <w:pPr>
        <w:pStyle w:val="ListParagraph"/>
        <w:numPr>
          <w:ilvl w:val="0"/>
          <w:numId w:val="3"/>
        </w:numPr>
        <w:spacing w:line="360" w:lineRule="auto"/>
        <w:rPr>
          <w:rFonts w:ascii="Arial" w:hAnsi="Arial" w:cs="Arial"/>
          <w:i/>
        </w:rPr>
      </w:pPr>
      <w:r>
        <w:rPr>
          <w:rFonts w:ascii="Arial" w:hAnsi="Arial" w:cs="Arial"/>
        </w:rPr>
        <w:t xml:space="preserve"> </w:t>
      </w:r>
      <w:r w:rsidR="004F372D">
        <w:rPr>
          <w:rFonts w:ascii="Arial" w:hAnsi="Arial" w:cs="Arial"/>
        </w:rPr>
        <w:t xml:space="preserve">The Full Court in </w:t>
      </w:r>
      <w:r w:rsidR="004F372D" w:rsidRPr="004F372D">
        <w:rPr>
          <w:rFonts w:ascii="Arial" w:hAnsi="Arial" w:cs="Arial"/>
          <w:i/>
        </w:rPr>
        <w:t>SAHR</w:t>
      </w:r>
      <w:r w:rsidR="00C226DD">
        <w:rPr>
          <w:rFonts w:ascii="Arial" w:hAnsi="Arial" w:cs="Arial"/>
          <w:i/>
        </w:rPr>
        <w:t>C</w:t>
      </w:r>
      <w:r w:rsidR="004F372D" w:rsidRPr="004F372D">
        <w:rPr>
          <w:rFonts w:ascii="Arial" w:hAnsi="Arial" w:cs="Arial"/>
          <w:i/>
        </w:rPr>
        <w:t xml:space="preserve"> </w:t>
      </w:r>
      <w:r w:rsidR="004F372D">
        <w:rPr>
          <w:rFonts w:ascii="Arial" w:hAnsi="Arial" w:cs="Arial"/>
        </w:rPr>
        <w:t xml:space="preserve">held that </w:t>
      </w:r>
      <w:r w:rsidR="004F372D" w:rsidRPr="008D4983">
        <w:rPr>
          <w:rFonts w:ascii="Arial" w:hAnsi="Arial" w:cs="Arial"/>
          <w:i/>
        </w:rPr>
        <w:t>N</w:t>
      </w:r>
      <w:r w:rsidR="00796047" w:rsidRPr="008D4983">
        <w:rPr>
          <w:rFonts w:ascii="Arial" w:hAnsi="Arial" w:cs="Arial"/>
          <w:i/>
        </w:rPr>
        <w:t>ess</w:t>
      </w:r>
      <w:r w:rsidR="00796047">
        <w:rPr>
          <w:rFonts w:ascii="Arial" w:hAnsi="Arial" w:cs="Arial"/>
        </w:rPr>
        <w:t xml:space="preserve"> wa</w:t>
      </w:r>
      <w:r w:rsidR="004F372D">
        <w:rPr>
          <w:rFonts w:ascii="Arial" w:hAnsi="Arial" w:cs="Arial"/>
        </w:rPr>
        <w:t xml:space="preserve">s clearly wrong and that </w:t>
      </w:r>
      <w:r w:rsidR="004F372D" w:rsidRPr="004F372D">
        <w:rPr>
          <w:rFonts w:ascii="Arial" w:hAnsi="Arial" w:cs="Arial"/>
          <w:i/>
        </w:rPr>
        <w:t>instanter</w:t>
      </w:r>
      <w:r w:rsidR="004F372D">
        <w:rPr>
          <w:rFonts w:ascii="Arial" w:hAnsi="Arial" w:cs="Arial"/>
        </w:rPr>
        <w:t xml:space="preserve"> must be narrowly construed. </w:t>
      </w:r>
    </w:p>
    <w:p w:rsidR="004F372D" w:rsidRPr="004F372D" w:rsidRDefault="004F372D" w:rsidP="004F372D">
      <w:pPr>
        <w:pStyle w:val="ListParagraph"/>
        <w:spacing w:line="360" w:lineRule="auto"/>
        <w:ind w:left="360"/>
        <w:rPr>
          <w:rFonts w:ascii="Arial" w:hAnsi="Arial" w:cs="Arial"/>
          <w:i/>
        </w:rPr>
      </w:pPr>
    </w:p>
    <w:p w:rsidR="00413836" w:rsidRPr="00413836" w:rsidRDefault="00413836" w:rsidP="00195B3B">
      <w:pPr>
        <w:pStyle w:val="ListParagraph"/>
        <w:numPr>
          <w:ilvl w:val="0"/>
          <w:numId w:val="3"/>
        </w:numPr>
        <w:spacing w:line="360" w:lineRule="auto"/>
        <w:rPr>
          <w:rFonts w:ascii="Arial" w:hAnsi="Arial" w:cs="Arial"/>
          <w:i/>
        </w:rPr>
      </w:pPr>
      <w:r>
        <w:rPr>
          <w:rFonts w:ascii="Arial" w:hAnsi="Arial" w:cs="Arial"/>
        </w:rPr>
        <w:t xml:space="preserve">If this court is to follow </w:t>
      </w:r>
      <w:r>
        <w:rPr>
          <w:rFonts w:ascii="Arial" w:hAnsi="Arial" w:cs="Arial"/>
          <w:i/>
        </w:rPr>
        <w:t xml:space="preserve">SAHRC </w:t>
      </w:r>
      <w:r>
        <w:rPr>
          <w:rFonts w:ascii="Arial" w:hAnsi="Arial" w:cs="Arial"/>
        </w:rPr>
        <w:t xml:space="preserve">then it too must find that previous decisions </w:t>
      </w:r>
      <w:r w:rsidR="00195B3B">
        <w:rPr>
          <w:rFonts w:ascii="Arial" w:hAnsi="Arial" w:cs="Arial"/>
        </w:rPr>
        <w:t xml:space="preserve">from this </w:t>
      </w:r>
      <w:r>
        <w:rPr>
          <w:rFonts w:ascii="Arial" w:hAnsi="Arial" w:cs="Arial"/>
        </w:rPr>
        <w:t xml:space="preserve">Division are clearly wrong; in particular the case of </w:t>
      </w:r>
      <w:r w:rsidR="004F372D" w:rsidRPr="004F372D">
        <w:rPr>
          <w:rFonts w:ascii="Arial" w:hAnsi="Arial" w:cs="Arial"/>
          <w:i/>
        </w:rPr>
        <w:t>De Beer</w:t>
      </w:r>
      <w:r w:rsidR="004F372D">
        <w:rPr>
          <w:rFonts w:ascii="Arial" w:hAnsi="Arial" w:cs="Arial"/>
        </w:rPr>
        <w:t xml:space="preserve"> </w:t>
      </w:r>
      <w:r w:rsidR="00195B3B">
        <w:rPr>
          <w:rFonts w:ascii="Arial" w:hAnsi="Arial" w:cs="Arial"/>
        </w:rPr>
        <w:t xml:space="preserve">(and its application of </w:t>
      </w:r>
      <w:r w:rsidR="00195B3B" w:rsidRPr="00195B3B">
        <w:rPr>
          <w:rFonts w:ascii="Arial" w:hAnsi="Arial" w:cs="Arial"/>
          <w:i/>
        </w:rPr>
        <w:t>Mans</w:t>
      </w:r>
      <w:r w:rsidR="00195B3B">
        <w:rPr>
          <w:rFonts w:ascii="Arial" w:hAnsi="Arial" w:cs="Arial"/>
        </w:rPr>
        <w:t xml:space="preserve">) </w:t>
      </w:r>
      <w:r w:rsidR="004F372D">
        <w:rPr>
          <w:rFonts w:ascii="Arial" w:hAnsi="Arial" w:cs="Arial"/>
        </w:rPr>
        <w:t>which is directly in po</w:t>
      </w:r>
      <w:r w:rsidR="00796047">
        <w:rPr>
          <w:rFonts w:ascii="Arial" w:hAnsi="Arial" w:cs="Arial"/>
        </w:rPr>
        <w:t>int a</w:t>
      </w:r>
      <w:r w:rsidR="00195B3B">
        <w:rPr>
          <w:rFonts w:ascii="Arial" w:hAnsi="Arial" w:cs="Arial"/>
        </w:rPr>
        <w:t xml:space="preserve">s well as </w:t>
      </w:r>
      <w:r w:rsidR="00195B3B" w:rsidRPr="00195B3B">
        <w:rPr>
          <w:rFonts w:ascii="Arial" w:hAnsi="Arial" w:cs="Arial"/>
          <w:i/>
        </w:rPr>
        <w:t>Skosana</w:t>
      </w:r>
      <w:r w:rsidR="00195B3B">
        <w:rPr>
          <w:rFonts w:ascii="Arial" w:hAnsi="Arial" w:cs="Arial"/>
          <w:i/>
        </w:rPr>
        <w:t xml:space="preserve"> </w:t>
      </w:r>
      <w:r w:rsidR="00195B3B">
        <w:rPr>
          <w:rFonts w:ascii="Arial" w:hAnsi="Arial" w:cs="Arial"/>
        </w:rPr>
        <w:t xml:space="preserve">and </w:t>
      </w:r>
      <w:r w:rsidR="00195B3B" w:rsidRPr="00195B3B">
        <w:rPr>
          <w:rFonts w:ascii="Arial" w:hAnsi="Arial" w:cs="Arial"/>
          <w:i/>
        </w:rPr>
        <w:t>Mbangi</w:t>
      </w:r>
      <w:r w:rsidR="00195B3B">
        <w:rPr>
          <w:rFonts w:ascii="Arial" w:hAnsi="Arial" w:cs="Arial"/>
        </w:rPr>
        <w:t xml:space="preserve"> by reason of its </w:t>
      </w:r>
      <w:r w:rsidR="00195B3B" w:rsidRPr="00195B3B">
        <w:rPr>
          <w:rFonts w:ascii="Arial" w:hAnsi="Arial" w:cs="Arial"/>
          <w:i/>
        </w:rPr>
        <w:t>r</w:t>
      </w:r>
      <w:r w:rsidR="00195B3B">
        <w:rPr>
          <w:rFonts w:ascii="Arial" w:hAnsi="Arial" w:cs="Arial"/>
          <w:i/>
        </w:rPr>
        <w:t>atio</w:t>
      </w:r>
      <w:r w:rsidR="00195B3B">
        <w:rPr>
          <w:rFonts w:ascii="Arial" w:hAnsi="Arial" w:cs="Arial"/>
        </w:rPr>
        <w:t xml:space="preserve">.  By reason of the urgency of the matter, understandably none of these cases were considered in </w:t>
      </w:r>
      <w:r w:rsidR="00195B3B" w:rsidRPr="00195B3B">
        <w:rPr>
          <w:rFonts w:ascii="Arial" w:hAnsi="Arial" w:cs="Arial"/>
          <w:i/>
        </w:rPr>
        <w:t>Setjwetla</w:t>
      </w:r>
      <w:r w:rsidR="00195B3B">
        <w:rPr>
          <w:rFonts w:ascii="Arial" w:hAnsi="Arial" w:cs="Arial"/>
          <w:i/>
        </w:rPr>
        <w:t>,</w:t>
      </w:r>
      <w:r w:rsidR="00195B3B" w:rsidRPr="00195B3B">
        <w:rPr>
          <w:rFonts w:ascii="Arial" w:hAnsi="Arial" w:cs="Arial"/>
        </w:rPr>
        <w:t xml:space="preserve"> </w:t>
      </w:r>
      <w:r w:rsidR="00195B3B">
        <w:rPr>
          <w:rFonts w:ascii="Arial" w:hAnsi="Arial" w:cs="Arial"/>
        </w:rPr>
        <w:t xml:space="preserve">which therefore cannot constitute binding precedent in this Division.  </w:t>
      </w:r>
      <w:r w:rsidR="00796047">
        <w:rPr>
          <w:rFonts w:ascii="Arial" w:hAnsi="Arial" w:cs="Arial"/>
        </w:rPr>
        <w:t xml:space="preserve"> </w:t>
      </w:r>
      <w:r w:rsidR="004F372D">
        <w:rPr>
          <w:rFonts w:ascii="Arial" w:hAnsi="Arial" w:cs="Arial"/>
        </w:rPr>
        <w:t xml:space="preserve"> </w:t>
      </w:r>
    </w:p>
    <w:p w:rsidR="00413836" w:rsidRPr="00413836" w:rsidRDefault="00413836" w:rsidP="00413836">
      <w:pPr>
        <w:pStyle w:val="ListParagraph"/>
        <w:rPr>
          <w:rFonts w:ascii="Arial" w:hAnsi="Arial" w:cs="Arial"/>
        </w:rPr>
      </w:pPr>
    </w:p>
    <w:p w:rsidR="00796047" w:rsidRPr="00796047" w:rsidRDefault="00195B3B" w:rsidP="00413836">
      <w:pPr>
        <w:pStyle w:val="ListParagraph"/>
        <w:spacing w:line="360" w:lineRule="auto"/>
        <w:ind w:left="360"/>
        <w:rPr>
          <w:rFonts w:ascii="Arial" w:hAnsi="Arial" w:cs="Arial"/>
          <w:i/>
        </w:rPr>
      </w:pPr>
      <w:r>
        <w:rPr>
          <w:rFonts w:ascii="Arial" w:hAnsi="Arial" w:cs="Arial"/>
        </w:rPr>
        <w:t xml:space="preserve">This court can however deviate from </w:t>
      </w:r>
      <w:r>
        <w:rPr>
          <w:rFonts w:ascii="Arial" w:hAnsi="Arial" w:cs="Arial"/>
          <w:i/>
        </w:rPr>
        <w:t xml:space="preserve">de Beer </w:t>
      </w:r>
      <w:r>
        <w:rPr>
          <w:rFonts w:ascii="Arial" w:hAnsi="Arial" w:cs="Arial"/>
        </w:rPr>
        <w:t xml:space="preserve">and the other mentioned cases </w:t>
      </w:r>
      <w:r w:rsidR="00413836">
        <w:rPr>
          <w:rFonts w:ascii="Arial" w:hAnsi="Arial" w:cs="Arial"/>
        </w:rPr>
        <w:t>if there is a c</w:t>
      </w:r>
      <w:r w:rsidR="00730708">
        <w:rPr>
          <w:rFonts w:ascii="Arial" w:hAnsi="Arial" w:cs="Arial"/>
        </w:rPr>
        <w:t xml:space="preserve">onstitutional value </w:t>
      </w:r>
      <w:r w:rsidR="00413836">
        <w:rPr>
          <w:rFonts w:ascii="Arial" w:hAnsi="Arial" w:cs="Arial"/>
        </w:rPr>
        <w:t xml:space="preserve">which </w:t>
      </w:r>
      <w:r w:rsidR="00796047">
        <w:rPr>
          <w:rFonts w:ascii="Arial" w:hAnsi="Arial" w:cs="Arial"/>
        </w:rPr>
        <w:t xml:space="preserve">ought to be taken into account </w:t>
      </w:r>
      <w:r w:rsidR="00413836">
        <w:rPr>
          <w:rFonts w:ascii="Arial" w:hAnsi="Arial" w:cs="Arial"/>
        </w:rPr>
        <w:t xml:space="preserve">that </w:t>
      </w:r>
      <w:r w:rsidR="00796047">
        <w:rPr>
          <w:rFonts w:ascii="Arial" w:hAnsi="Arial" w:cs="Arial"/>
        </w:rPr>
        <w:t>alters the outcome</w:t>
      </w:r>
      <w:r w:rsidR="00413836">
        <w:rPr>
          <w:rFonts w:ascii="Arial" w:hAnsi="Arial" w:cs="Arial"/>
        </w:rPr>
        <w:t>,</w:t>
      </w:r>
      <w:r w:rsidR="00796047">
        <w:rPr>
          <w:rFonts w:ascii="Arial" w:hAnsi="Arial" w:cs="Arial"/>
        </w:rPr>
        <w:t xml:space="preserve"> bearing in mind that </w:t>
      </w:r>
      <w:r w:rsidR="00796047" w:rsidRPr="00C226DD">
        <w:rPr>
          <w:rFonts w:ascii="Arial" w:hAnsi="Arial" w:cs="Arial"/>
          <w:i/>
        </w:rPr>
        <w:t>De Beer</w:t>
      </w:r>
      <w:r>
        <w:rPr>
          <w:rFonts w:ascii="Arial" w:hAnsi="Arial" w:cs="Arial"/>
        </w:rPr>
        <w:t xml:space="preserve"> was decided in 1980 and the other cases prior to our Interim Constitution.</w:t>
      </w:r>
      <w:r>
        <w:rPr>
          <w:rStyle w:val="FootnoteReference"/>
          <w:rFonts w:ascii="Arial" w:hAnsi="Arial" w:cs="Arial"/>
        </w:rPr>
        <w:footnoteReference w:id="75"/>
      </w:r>
      <w:r>
        <w:rPr>
          <w:rFonts w:ascii="Arial" w:hAnsi="Arial" w:cs="Arial"/>
        </w:rPr>
        <w:t xml:space="preserve"> </w:t>
      </w:r>
      <w:r w:rsidR="00796047">
        <w:rPr>
          <w:rFonts w:ascii="Arial" w:hAnsi="Arial" w:cs="Arial"/>
        </w:rPr>
        <w:t xml:space="preserve"> </w:t>
      </w:r>
    </w:p>
    <w:p w:rsidR="00796047" w:rsidRPr="00796047" w:rsidRDefault="00796047" w:rsidP="00796047">
      <w:pPr>
        <w:pStyle w:val="ListParagraph"/>
        <w:rPr>
          <w:rFonts w:ascii="Arial" w:hAnsi="Arial" w:cs="Arial"/>
        </w:rPr>
      </w:pPr>
    </w:p>
    <w:p w:rsidR="00A67A35" w:rsidRPr="00A67A35" w:rsidRDefault="00796047" w:rsidP="00AF22DC">
      <w:pPr>
        <w:pStyle w:val="ListParagraph"/>
        <w:numPr>
          <w:ilvl w:val="0"/>
          <w:numId w:val="3"/>
        </w:numPr>
        <w:spacing w:line="360" w:lineRule="auto"/>
        <w:rPr>
          <w:rFonts w:ascii="Arial" w:hAnsi="Arial" w:cs="Arial"/>
          <w:i/>
        </w:rPr>
      </w:pPr>
      <w:r>
        <w:rPr>
          <w:rFonts w:ascii="Arial" w:hAnsi="Arial" w:cs="Arial"/>
        </w:rPr>
        <w:t xml:space="preserve">Firstly, </w:t>
      </w:r>
      <w:r w:rsidRPr="00796047">
        <w:rPr>
          <w:rFonts w:ascii="Arial" w:hAnsi="Arial" w:cs="Arial"/>
          <w:i/>
        </w:rPr>
        <w:t>Mans</w:t>
      </w:r>
      <w:r>
        <w:rPr>
          <w:rFonts w:ascii="Arial" w:hAnsi="Arial" w:cs="Arial"/>
        </w:rPr>
        <w:t xml:space="preserve"> </w:t>
      </w:r>
      <w:r w:rsidR="00195B3B">
        <w:rPr>
          <w:rFonts w:ascii="Arial" w:hAnsi="Arial" w:cs="Arial"/>
        </w:rPr>
        <w:t xml:space="preserve">(which </w:t>
      </w:r>
      <w:r w:rsidR="00195B3B" w:rsidRPr="00195B3B">
        <w:rPr>
          <w:rFonts w:ascii="Arial" w:hAnsi="Arial" w:cs="Arial"/>
          <w:i/>
        </w:rPr>
        <w:t>De Beer</w:t>
      </w:r>
      <w:r w:rsidR="00195B3B">
        <w:rPr>
          <w:rFonts w:ascii="Arial" w:hAnsi="Arial" w:cs="Arial"/>
        </w:rPr>
        <w:t xml:space="preserve"> applied) </w:t>
      </w:r>
      <w:r>
        <w:rPr>
          <w:rFonts w:ascii="Arial" w:hAnsi="Arial" w:cs="Arial"/>
        </w:rPr>
        <w:t xml:space="preserve">appears to be clear. </w:t>
      </w:r>
      <w:r>
        <w:rPr>
          <w:rFonts w:ascii="Arial" w:hAnsi="Arial" w:cs="Arial"/>
          <w:i/>
        </w:rPr>
        <w:t xml:space="preserve">Instanter </w:t>
      </w:r>
      <w:r>
        <w:rPr>
          <w:rFonts w:ascii="Arial" w:hAnsi="Arial" w:cs="Arial"/>
        </w:rPr>
        <w:t xml:space="preserve">has </w:t>
      </w:r>
      <w:r w:rsidR="00A53C69">
        <w:rPr>
          <w:rFonts w:ascii="Arial" w:hAnsi="Arial" w:cs="Arial"/>
        </w:rPr>
        <w:t>reference</w:t>
      </w:r>
      <w:r>
        <w:rPr>
          <w:rFonts w:ascii="Arial" w:hAnsi="Arial" w:cs="Arial"/>
        </w:rPr>
        <w:t xml:space="preserve"> to whether the </w:t>
      </w:r>
      <w:r w:rsidR="00A53C69">
        <w:rPr>
          <w:rFonts w:ascii="Arial" w:hAnsi="Arial" w:cs="Arial"/>
        </w:rPr>
        <w:t>transaction</w:t>
      </w:r>
      <w:r>
        <w:rPr>
          <w:rFonts w:ascii="Arial" w:hAnsi="Arial" w:cs="Arial"/>
        </w:rPr>
        <w:t xml:space="preserve"> of</w:t>
      </w:r>
      <w:r w:rsidR="00413836">
        <w:rPr>
          <w:rFonts w:ascii="Arial" w:hAnsi="Arial" w:cs="Arial"/>
        </w:rPr>
        <w:t xml:space="preserve"> gaining peaceful and undisturbed </w:t>
      </w:r>
      <w:r>
        <w:rPr>
          <w:rFonts w:ascii="Arial" w:hAnsi="Arial" w:cs="Arial"/>
        </w:rPr>
        <w:t xml:space="preserve">possession has been completed and it cannot be completed until </w:t>
      </w:r>
      <w:r w:rsidR="00A67A35">
        <w:rPr>
          <w:rFonts w:ascii="Arial" w:hAnsi="Arial" w:cs="Arial"/>
        </w:rPr>
        <w:t xml:space="preserve">the </w:t>
      </w:r>
      <w:r w:rsidR="00413836">
        <w:rPr>
          <w:rFonts w:ascii="Arial" w:hAnsi="Arial" w:cs="Arial"/>
        </w:rPr>
        <w:t>in</w:t>
      </w:r>
      <w:r w:rsidR="00195B3B">
        <w:rPr>
          <w:rFonts w:ascii="Arial" w:hAnsi="Arial" w:cs="Arial"/>
        </w:rPr>
        <w:t>cursor’s</w:t>
      </w:r>
      <w:r w:rsidR="00413836">
        <w:rPr>
          <w:rFonts w:ascii="Arial" w:hAnsi="Arial" w:cs="Arial"/>
        </w:rPr>
        <w:t xml:space="preserve"> possession is indeed </w:t>
      </w:r>
      <w:r w:rsidR="00C226DD">
        <w:rPr>
          <w:rFonts w:ascii="Arial" w:hAnsi="Arial" w:cs="Arial"/>
        </w:rPr>
        <w:t xml:space="preserve">peaceful and </w:t>
      </w:r>
      <w:r w:rsidR="00A67A35">
        <w:rPr>
          <w:rFonts w:ascii="Arial" w:hAnsi="Arial" w:cs="Arial"/>
        </w:rPr>
        <w:t>undisturbed</w:t>
      </w:r>
      <w:r w:rsidR="00413836">
        <w:rPr>
          <w:rFonts w:ascii="Arial" w:hAnsi="Arial" w:cs="Arial"/>
        </w:rPr>
        <w:t>.</w:t>
      </w:r>
      <w:r w:rsidR="00A67A35">
        <w:rPr>
          <w:rFonts w:ascii="Arial" w:hAnsi="Arial" w:cs="Arial"/>
        </w:rPr>
        <w:t xml:space="preserve"> </w:t>
      </w:r>
      <w:r w:rsidR="00A53C69">
        <w:rPr>
          <w:rFonts w:ascii="Arial" w:hAnsi="Arial" w:cs="Arial"/>
        </w:rPr>
        <w:t>There</w:t>
      </w:r>
      <w:r w:rsidR="00A67A35">
        <w:rPr>
          <w:rFonts w:ascii="Arial" w:hAnsi="Arial" w:cs="Arial"/>
        </w:rPr>
        <w:t xml:space="preserve"> would be no logic to the requirement of </w:t>
      </w:r>
      <w:r w:rsidR="00C226DD">
        <w:rPr>
          <w:rFonts w:ascii="Arial" w:hAnsi="Arial" w:cs="Arial"/>
        </w:rPr>
        <w:t xml:space="preserve">peaceful and </w:t>
      </w:r>
      <w:r w:rsidR="00A67A35">
        <w:rPr>
          <w:rFonts w:ascii="Arial" w:hAnsi="Arial" w:cs="Arial"/>
        </w:rPr>
        <w:t xml:space="preserve">undisturbed possession to </w:t>
      </w:r>
      <w:r w:rsidR="00A53C69">
        <w:rPr>
          <w:rFonts w:ascii="Arial" w:hAnsi="Arial" w:cs="Arial"/>
        </w:rPr>
        <w:t>found the</w:t>
      </w:r>
      <w:r w:rsidR="00195B3B">
        <w:rPr>
          <w:rFonts w:ascii="Arial" w:hAnsi="Arial" w:cs="Arial"/>
        </w:rPr>
        <w:t xml:space="preserve"> mandament if this was not so</w:t>
      </w:r>
      <w:r w:rsidR="00A67A35">
        <w:rPr>
          <w:rFonts w:ascii="Arial" w:hAnsi="Arial" w:cs="Arial"/>
        </w:rPr>
        <w:t>.</w:t>
      </w:r>
    </w:p>
    <w:p w:rsidR="00730708" w:rsidRPr="00730708" w:rsidRDefault="00730708" w:rsidP="00AF22DC">
      <w:pPr>
        <w:pStyle w:val="ListParagraph"/>
        <w:numPr>
          <w:ilvl w:val="0"/>
          <w:numId w:val="3"/>
        </w:numPr>
        <w:spacing w:line="360" w:lineRule="auto"/>
        <w:rPr>
          <w:rFonts w:ascii="Arial" w:hAnsi="Arial" w:cs="Arial"/>
          <w:i/>
        </w:rPr>
      </w:pPr>
      <w:r>
        <w:rPr>
          <w:rFonts w:ascii="Arial" w:hAnsi="Arial" w:cs="Arial"/>
        </w:rPr>
        <w:lastRenderedPageBreak/>
        <w:t xml:space="preserve">To find otherwise would then </w:t>
      </w:r>
      <w:r w:rsidR="00A67A35">
        <w:rPr>
          <w:rFonts w:ascii="Arial" w:hAnsi="Arial" w:cs="Arial"/>
        </w:rPr>
        <w:t xml:space="preserve">require a development of the common law </w:t>
      </w:r>
      <w:r>
        <w:rPr>
          <w:rFonts w:ascii="Arial" w:hAnsi="Arial" w:cs="Arial"/>
        </w:rPr>
        <w:t xml:space="preserve">if it did not </w:t>
      </w:r>
      <w:r w:rsidR="006C679A">
        <w:rPr>
          <w:rFonts w:ascii="Arial" w:hAnsi="Arial" w:cs="Arial"/>
        </w:rPr>
        <w:t>conform</w:t>
      </w:r>
      <w:r>
        <w:rPr>
          <w:rFonts w:ascii="Arial" w:hAnsi="Arial" w:cs="Arial"/>
        </w:rPr>
        <w:t xml:space="preserve"> to</w:t>
      </w:r>
      <w:r w:rsidR="00A67A35">
        <w:rPr>
          <w:rFonts w:ascii="Arial" w:hAnsi="Arial" w:cs="Arial"/>
        </w:rPr>
        <w:t xml:space="preserve"> </w:t>
      </w:r>
      <w:r w:rsidR="006C679A">
        <w:rPr>
          <w:rFonts w:ascii="Arial" w:hAnsi="Arial" w:cs="Arial"/>
        </w:rPr>
        <w:t>constitutional</w:t>
      </w:r>
      <w:r w:rsidR="00A67A35">
        <w:rPr>
          <w:rFonts w:ascii="Arial" w:hAnsi="Arial" w:cs="Arial"/>
        </w:rPr>
        <w:t xml:space="preserve"> values. However </w:t>
      </w:r>
      <w:r w:rsidR="00A67A35" w:rsidRPr="00A67A35">
        <w:rPr>
          <w:rFonts w:ascii="Arial" w:hAnsi="Arial" w:cs="Arial"/>
          <w:i/>
        </w:rPr>
        <w:t>SAHR</w:t>
      </w:r>
      <w:r w:rsidR="00C226DD">
        <w:rPr>
          <w:rFonts w:ascii="Arial" w:hAnsi="Arial" w:cs="Arial"/>
          <w:i/>
        </w:rPr>
        <w:t>C</w:t>
      </w:r>
      <w:r w:rsidR="00A67A35">
        <w:rPr>
          <w:rFonts w:ascii="Arial" w:hAnsi="Arial" w:cs="Arial"/>
        </w:rPr>
        <w:t xml:space="preserve"> eschews that and finds that the law in fact applies</w:t>
      </w:r>
      <w:r w:rsidR="00C226DD">
        <w:rPr>
          <w:rFonts w:ascii="Arial" w:hAnsi="Arial" w:cs="Arial"/>
        </w:rPr>
        <w:t xml:space="preserve"> the </w:t>
      </w:r>
      <w:r w:rsidR="006C679A">
        <w:rPr>
          <w:rFonts w:ascii="Arial" w:hAnsi="Arial" w:cs="Arial"/>
        </w:rPr>
        <w:t>requirement</w:t>
      </w:r>
      <w:r w:rsidR="00C226DD">
        <w:rPr>
          <w:rFonts w:ascii="Arial" w:hAnsi="Arial" w:cs="Arial"/>
        </w:rPr>
        <w:t xml:space="preserve"> of</w:t>
      </w:r>
      <w:r w:rsidR="00A67A35">
        <w:rPr>
          <w:rFonts w:ascii="Arial" w:hAnsi="Arial" w:cs="Arial"/>
        </w:rPr>
        <w:t xml:space="preserve"> </w:t>
      </w:r>
      <w:r w:rsidR="00A67A35" w:rsidRPr="00C226DD">
        <w:rPr>
          <w:rFonts w:ascii="Arial" w:hAnsi="Arial" w:cs="Arial"/>
          <w:i/>
        </w:rPr>
        <w:t>instanter</w:t>
      </w:r>
      <w:r w:rsidR="00A67A35">
        <w:rPr>
          <w:rFonts w:ascii="Arial" w:hAnsi="Arial" w:cs="Arial"/>
        </w:rPr>
        <w:t xml:space="preserve"> narrowly. </w:t>
      </w:r>
    </w:p>
    <w:p w:rsidR="00730708" w:rsidRPr="00730708" w:rsidRDefault="00730708" w:rsidP="00730708">
      <w:pPr>
        <w:pStyle w:val="ListParagraph"/>
        <w:rPr>
          <w:rFonts w:ascii="Arial" w:hAnsi="Arial" w:cs="Arial"/>
        </w:rPr>
      </w:pPr>
    </w:p>
    <w:p w:rsidR="008E0EAC" w:rsidRDefault="00A67A35" w:rsidP="00730708">
      <w:pPr>
        <w:pStyle w:val="ListParagraph"/>
        <w:spacing w:line="360" w:lineRule="auto"/>
        <w:ind w:left="360"/>
        <w:rPr>
          <w:rFonts w:ascii="Arial" w:hAnsi="Arial" w:cs="Arial"/>
        </w:rPr>
      </w:pPr>
      <w:r>
        <w:rPr>
          <w:rFonts w:ascii="Arial" w:hAnsi="Arial" w:cs="Arial"/>
        </w:rPr>
        <w:t xml:space="preserve">This takes one back to the </w:t>
      </w:r>
      <w:r w:rsidR="006C679A">
        <w:rPr>
          <w:rFonts w:ascii="Arial" w:hAnsi="Arial" w:cs="Arial"/>
        </w:rPr>
        <w:t>decisions</w:t>
      </w:r>
      <w:r>
        <w:rPr>
          <w:rFonts w:ascii="Arial" w:hAnsi="Arial" w:cs="Arial"/>
        </w:rPr>
        <w:t xml:space="preserve"> of Coetzee DJP in </w:t>
      </w:r>
      <w:r w:rsidRPr="00A67A35">
        <w:rPr>
          <w:rFonts w:ascii="Arial" w:hAnsi="Arial" w:cs="Arial"/>
          <w:i/>
        </w:rPr>
        <w:t>De Beer</w:t>
      </w:r>
      <w:r>
        <w:rPr>
          <w:rFonts w:ascii="Arial" w:hAnsi="Arial" w:cs="Arial"/>
        </w:rPr>
        <w:t xml:space="preserve"> and Flemming DJP in </w:t>
      </w:r>
      <w:r w:rsidR="00C226DD">
        <w:rPr>
          <w:rFonts w:ascii="Arial" w:hAnsi="Arial" w:cs="Arial"/>
          <w:i/>
        </w:rPr>
        <w:t>Mba</w:t>
      </w:r>
      <w:r w:rsidRPr="00A67A35">
        <w:rPr>
          <w:rFonts w:ascii="Arial" w:hAnsi="Arial" w:cs="Arial"/>
          <w:i/>
        </w:rPr>
        <w:t>ngi</w:t>
      </w:r>
      <w:r>
        <w:rPr>
          <w:rFonts w:ascii="Arial" w:hAnsi="Arial" w:cs="Arial"/>
        </w:rPr>
        <w:t xml:space="preserve"> which with respect I am unable to fault either in </w:t>
      </w:r>
      <w:r w:rsidR="00C226DD">
        <w:rPr>
          <w:rFonts w:ascii="Arial" w:hAnsi="Arial" w:cs="Arial"/>
        </w:rPr>
        <w:t xml:space="preserve">their inner </w:t>
      </w:r>
      <w:r>
        <w:rPr>
          <w:rFonts w:ascii="Arial" w:hAnsi="Arial" w:cs="Arial"/>
        </w:rPr>
        <w:t xml:space="preserve">logic, in their </w:t>
      </w:r>
      <w:r w:rsidR="006C679A">
        <w:rPr>
          <w:rFonts w:ascii="Arial" w:hAnsi="Arial" w:cs="Arial"/>
        </w:rPr>
        <w:t>understanding</w:t>
      </w:r>
      <w:r>
        <w:rPr>
          <w:rFonts w:ascii="Arial" w:hAnsi="Arial" w:cs="Arial"/>
        </w:rPr>
        <w:t xml:space="preserve"> of competing interests </w:t>
      </w:r>
      <w:r w:rsidR="00413836">
        <w:rPr>
          <w:rFonts w:ascii="Arial" w:hAnsi="Arial" w:cs="Arial"/>
        </w:rPr>
        <w:t xml:space="preserve">or their analysis of how </w:t>
      </w:r>
      <w:r>
        <w:rPr>
          <w:rFonts w:ascii="Arial" w:hAnsi="Arial" w:cs="Arial"/>
        </w:rPr>
        <w:t>the mandament and the application of counter-spoliation produces fairness whil</w:t>
      </w:r>
      <w:r w:rsidR="00C226DD">
        <w:rPr>
          <w:rFonts w:ascii="Arial" w:hAnsi="Arial" w:cs="Arial"/>
        </w:rPr>
        <w:t>e fully appreci</w:t>
      </w:r>
      <w:r w:rsidR="00730708">
        <w:rPr>
          <w:rFonts w:ascii="Arial" w:hAnsi="Arial" w:cs="Arial"/>
        </w:rPr>
        <w:t xml:space="preserve">ating that both parties </w:t>
      </w:r>
      <w:r>
        <w:rPr>
          <w:rFonts w:ascii="Arial" w:hAnsi="Arial" w:cs="Arial"/>
        </w:rPr>
        <w:t xml:space="preserve">wrestling </w:t>
      </w:r>
      <w:r w:rsidR="008E0EAC">
        <w:rPr>
          <w:rFonts w:ascii="Arial" w:hAnsi="Arial" w:cs="Arial"/>
        </w:rPr>
        <w:t xml:space="preserve">for </w:t>
      </w:r>
      <w:r w:rsidR="00413836">
        <w:rPr>
          <w:rFonts w:ascii="Arial" w:hAnsi="Arial" w:cs="Arial"/>
        </w:rPr>
        <w:t>possession or</w:t>
      </w:r>
      <w:r>
        <w:rPr>
          <w:rFonts w:ascii="Arial" w:hAnsi="Arial" w:cs="Arial"/>
        </w:rPr>
        <w:t xml:space="preserve"> </w:t>
      </w:r>
      <w:r w:rsidR="006C679A">
        <w:rPr>
          <w:rFonts w:ascii="Arial" w:hAnsi="Arial" w:cs="Arial"/>
        </w:rPr>
        <w:t>resisting</w:t>
      </w:r>
      <w:r>
        <w:rPr>
          <w:rFonts w:ascii="Arial" w:hAnsi="Arial" w:cs="Arial"/>
        </w:rPr>
        <w:t xml:space="preserve"> it </w:t>
      </w:r>
      <w:r w:rsidR="00C226DD">
        <w:rPr>
          <w:rFonts w:ascii="Arial" w:hAnsi="Arial" w:cs="Arial"/>
        </w:rPr>
        <w:t xml:space="preserve">(whether by physical or non-physical conduct) </w:t>
      </w:r>
      <w:r w:rsidR="00730708">
        <w:rPr>
          <w:rFonts w:ascii="Arial" w:hAnsi="Arial" w:cs="Arial"/>
        </w:rPr>
        <w:t xml:space="preserve">amount to </w:t>
      </w:r>
      <w:r w:rsidR="008E0EAC">
        <w:rPr>
          <w:rFonts w:ascii="Arial" w:hAnsi="Arial" w:cs="Arial"/>
        </w:rPr>
        <w:t>acts of self-help</w:t>
      </w:r>
      <w:r w:rsidR="00C226DD">
        <w:rPr>
          <w:rFonts w:ascii="Arial" w:hAnsi="Arial" w:cs="Arial"/>
        </w:rPr>
        <w:t xml:space="preserve"> during the existence of the </w:t>
      </w:r>
      <w:r w:rsidR="00C226DD" w:rsidRPr="00C226DD">
        <w:rPr>
          <w:rFonts w:ascii="Arial" w:hAnsi="Arial" w:cs="Arial"/>
        </w:rPr>
        <w:t xml:space="preserve">breach of the peace </w:t>
      </w:r>
      <w:r w:rsidR="00C226DD">
        <w:rPr>
          <w:rFonts w:ascii="Arial" w:hAnsi="Arial" w:cs="Arial"/>
        </w:rPr>
        <w:t>by the initial spoliator (</w:t>
      </w:r>
      <w:r w:rsidR="00C226DD" w:rsidRPr="00C226DD">
        <w:rPr>
          <w:rFonts w:ascii="Arial" w:hAnsi="Arial" w:cs="Arial"/>
          <w:i/>
        </w:rPr>
        <w:t>per Mans</w:t>
      </w:r>
      <w:r w:rsidR="00C226DD">
        <w:rPr>
          <w:rFonts w:ascii="Arial" w:hAnsi="Arial" w:cs="Arial"/>
        </w:rPr>
        <w:t xml:space="preserve"> at 977) or </w:t>
      </w:r>
      <w:r w:rsidR="00D57E0E">
        <w:rPr>
          <w:rFonts w:ascii="Arial" w:hAnsi="Arial" w:cs="Arial"/>
        </w:rPr>
        <w:t xml:space="preserve"> where th</w:t>
      </w:r>
      <w:r w:rsidR="00413836">
        <w:rPr>
          <w:rFonts w:ascii="Arial" w:hAnsi="Arial" w:cs="Arial"/>
        </w:rPr>
        <w:t xml:space="preserve">e intruder </w:t>
      </w:r>
      <w:r w:rsidR="00D57E0E">
        <w:rPr>
          <w:rFonts w:ascii="Arial" w:hAnsi="Arial" w:cs="Arial"/>
        </w:rPr>
        <w:t xml:space="preserve">is still in the process of trying to wrest peaceful and undisturbed </w:t>
      </w:r>
      <w:r w:rsidR="006C679A">
        <w:rPr>
          <w:rFonts w:ascii="Arial" w:hAnsi="Arial" w:cs="Arial"/>
        </w:rPr>
        <w:t>possession</w:t>
      </w:r>
      <w:r w:rsidR="00413836">
        <w:rPr>
          <w:rFonts w:ascii="Arial" w:hAnsi="Arial" w:cs="Arial"/>
        </w:rPr>
        <w:t xml:space="preserve"> from the</w:t>
      </w:r>
      <w:r w:rsidR="00D57E0E">
        <w:rPr>
          <w:rFonts w:ascii="Arial" w:hAnsi="Arial" w:cs="Arial"/>
        </w:rPr>
        <w:t xml:space="preserve"> owner (</w:t>
      </w:r>
      <w:r w:rsidR="00D57E0E" w:rsidRPr="00D57E0E">
        <w:rPr>
          <w:rFonts w:ascii="Arial" w:hAnsi="Arial" w:cs="Arial"/>
          <w:i/>
        </w:rPr>
        <w:t>per Mbangi</w:t>
      </w:r>
      <w:r w:rsidR="00D57E0E">
        <w:rPr>
          <w:rFonts w:ascii="Arial" w:hAnsi="Arial" w:cs="Arial"/>
        </w:rPr>
        <w:t xml:space="preserve"> at  3361-337B)</w:t>
      </w:r>
      <w:r w:rsidR="00730708">
        <w:rPr>
          <w:rFonts w:ascii="Arial" w:hAnsi="Arial" w:cs="Arial"/>
        </w:rPr>
        <w:t>.</w:t>
      </w:r>
      <w:r w:rsidR="00D57E0E">
        <w:rPr>
          <w:rFonts w:ascii="Arial" w:hAnsi="Arial" w:cs="Arial"/>
        </w:rPr>
        <w:t xml:space="preserve">  </w:t>
      </w:r>
    </w:p>
    <w:p w:rsidR="00195B3B" w:rsidRDefault="00195B3B" w:rsidP="00730708">
      <w:pPr>
        <w:pStyle w:val="ListParagraph"/>
        <w:spacing w:line="360" w:lineRule="auto"/>
        <w:ind w:left="360"/>
        <w:rPr>
          <w:rFonts w:ascii="Arial" w:hAnsi="Arial" w:cs="Arial"/>
        </w:rPr>
      </w:pPr>
    </w:p>
    <w:p w:rsidR="00195B3B" w:rsidRDefault="00195B3B" w:rsidP="00195B3B">
      <w:pPr>
        <w:pStyle w:val="ListParagraph"/>
        <w:numPr>
          <w:ilvl w:val="0"/>
          <w:numId w:val="3"/>
        </w:numPr>
        <w:spacing w:line="360" w:lineRule="auto"/>
        <w:rPr>
          <w:rFonts w:ascii="Arial" w:hAnsi="Arial" w:cs="Arial"/>
        </w:rPr>
      </w:pPr>
      <w:r>
        <w:rPr>
          <w:rFonts w:ascii="Arial" w:hAnsi="Arial" w:cs="Arial"/>
        </w:rPr>
        <w:t xml:space="preserve">Earlier I attempted to set out the complexities involved when considering the competing constitutional positions each party in the present case could invoke simply in relation to the rule of law which jurisprudentially has been well understood over a lengthy period by courts in modern democracies with both written and unwritten constitutions (such as England). </w:t>
      </w:r>
    </w:p>
    <w:p w:rsidR="00195B3B" w:rsidRDefault="00195B3B" w:rsidP="00730708">
      <w:pPr>
        <w:pStyle w:val="ListParagraph"/>
        <w:spacing w:line="360" w:lineRule="auto"/>
        <w:ind w:left="360"/>
        <w:rPr>
          <w:rFonts w:ascii="Arial" w:hAnsi="Arial" w:cs="Arial"/>
        </w:rPr>
      </w:pPr>
    </w:p>
    <w:p w:rsidR="00195B3B" w:rsidRPr="008E0EAC" w:rsidRDefault="00195B3B" w:rsidP="00730708">
      <w:pPr>
        <w:pStyle w:val="ListParagraph"/>
        <w:spacing w:line="360" w:lineRule="auto"/>
        <w:ind w:left="360"/>
        <w:rPr>
          <w:rFonts w:ascii="Arial" w:hAnsi="Arial" w:cs="Arial"/>
          <w:i/>
        </w:rPr>
      </w:pPr>
      <w:r>
        <w:rPr>
          <w:rFonts w:ascii="Arial" w:hAnsi="Arial" w:cs="Arial"/>
        </w:rPr>
        <w:t xml:space="preserve">No party in the present case raised a constitutional issue and therefore its falls outside the </w:t>
      </w:r>
      <w:r w:rsidRPr="00195B3B">
        <w:rPr>
          <w:rFonts w:ascii="Arial" w:hAnsi="Arial" w:cs="Arial"/>
          <w:i/>
        </w:rPr>
        <w:t>lis</w:t>
      </w:r>
      <w:r>
        <w:rPr>
          <w:rFonts w:ascii="Arial" w:hAnsi="Arial" w:cs="Arial"/>
        </w:rPr>
        <w:t xml:space="preserve"> before me, save to regard </w:t>
      </w:r>
      <w:r w:rsidRPr="00195B3B">
        <w:rPr>
          <w:rFonts w:ascii="Arial" w:hAnsi="Arial" w:cs="Arial"/>
          <w:i/>
        </w:rPr>
        <w:t>Mbangi</w:t>
      </w:r>
      <w:r>
        <w:rPr>
          <w:rFonts w:ascii="Arial" w:hAnsi="Arial" w:cs="Arial"/>
        </w:rPr>
        <w:t xml:space="preserve"> as </w:t>
      </w:r>
      <w:r>
        <w:rPr>
          <w:rFonts w:ascii="Arial" w:hAnsi="Arial" w:cs="Arial"/>
          <w:i/>
        </w:rPr>
        <w:t xml:space="preserve">prima facie </w:t>
      </w:r>
      <w:r>
        <w:rPr>
          <w:rFonts w:ascii="Arial" w:hAnsi="Arial" w:cs="Arial"/>
        </w:rPr>
        <w:t xml:space="preserve">correctly weighting the rule of law considerations to be taken into account, and therefore finding that even now there does not appear to be a cogent basis to depart from it as binding precedent.  </w:t>
      </w:r>
    </w:p>
    <w:p w:rsidR="008E0EAC" w:rsidRPr="008E0EAC" w:rsidRDefault="008E0EAC" w:rsidP="008E0EAC">
      <w:pPr>
        <w:pStyle w:val="ListParagraph"/>
        <w:rPr>
          <w:rFonts w:ascii="Arial" w:hAnsi="Arial" w:cs="Arial"/>
        </w:rPr>
      </w:pPr>
    </w:p>
    <w:p w:rsidR="00730708" w:rsidRPr="00730708" w:rsidRDefault="008E0EAC" w:rsidP="00AF22DC">
      <w:pPr>
        <w:pStyle w:val="ListParagraph"/>
        <w:numPr>
          <w:ilvl w:val="0"/>
          <w:numId w:val="3"/>
        </w:numPr>
        <w:spacing w:line="360" w:lineRule="auto"/>
        <w:rPr>
          <w:rFonts w:ascii="Arial" w:hAnsi="Arial" w:cs="Arial"/>
          <w:i/>
        </w:rPr>
      </w:pPr>
      <w:r>
        <w:rPr>
          <w:rFonts w:ascii="Arial" w:hAnsi="Arial" w:cs="Arial"/>
        </w:rPr>
        <w:t xml:space="preserve">The question arises </w:t>
      </w:r>
      <w:r w:rsidR="006C679A">
        <w:rPr>
          <w:rFonts w:ascii="Arial" w:hAnsi="Arial" w:cs="Arial"/>
        </w:rPr>
        <w:t>whether</w:t>
      </w:r>
      <w:r>
        <w:rPr>
          <w:rFonts w:ascii="Arial" w:hAnsi="Arial" w:cs="Arial"/>
        </w:rPr>
        <w:t xml:space="preserve"> </w:t>
      </w:r>
      <w:r w:rsidR="00730708">
        <w:rPr>
          <w:rFonts w:ascii="Arial" w:hAnsi="Arial" w:cs="Arial"/>
        </w:rPr>
        <w:t xml:space="preserve">peaceful and </w:t>
      </w:r>
      <w:r>
        <w:rPr>
          <w:rFonts w:ascii="Arial" w:hAnsi="Arial" w:cs="Arial"/>
        </w:rPr>
        <w:t xml:space="preserve">undisturbed possession can ever be attained where the authorities immediately engage those intruding onto land, </w:t>
      </w:r>
      <w:r w:rsidR="00413836">
        <w:rPr>
          <w:rFonts w:ascii="Arial" w:hAnsi="Arial" w:cs="Arial"/>
        </w:rPr>
        <w:t xml:space="preserve">call on them to </w:t>
      </w:r>
      <w:r>
        <w:rPr>
          <w:rFonts w:ascii="Arial" w:hAnsi="Arial" w:cs="Arial"/>
        </w:rPr>
        <w:t xml:space="preserve">leave under pain of a court application and </w:t>
      </w:r>
      <w:r w:rsidR="006C679A">
        <w:rPr>
          <w:rFonts w:ascii="Arial" w:hAnsi="Arial" w:cs="Arial"/>
        </w:rPr>
        <w:t>then</w:t>
      </w:r>
      <w:r>
        <w:rPr>
          <w:rFonts w:ascii="Arial" w:hAnsi="Arial" w:cs="Arial"/>
        </w:rPr>
        <w:t xml:space="preserve"> hear their representations </w:t>
      </w:r>
      <w:r w:rsidR="00413836">
        <w:rPr>
          <w:rFonts w:ascii="Arial" w:hAnsi="Arial" w:cs="Arial"/>
        </w:rPr>
        <w:t>while insisting that the</w:t>
      </w:r>
      <w:r w:rsidR="00195B3B">
        <w:rPr>
          <w:rFonts w:ascii="Arial" w:hAnsi="Arial" w:cs="Arial"/>
        </w:rPr>
        <w:t>y</w:t>
      </w:r>
      <w:r w:rsidR="00413836">
        <w:rPr>
          <w:rFonts w:ascii="Arial" w:hAnsi="Arial" w:cs="Arial"/>
        </w:rPr>
        <w:t xml:space="preserve"> leave. To suggest that those coming onto the land can acquire peaceful and undisturbed possession while surrounded or otherwise confronted by the authorities who threaten to return is difficult to accept bearing in mind that the enquiry is an entirely factual one. </w:t>
      </w:r>
    </w:p>
    <w:p w:rsidR="00730708" w:rsidRDefault="00730708" w:rsidP="00730708">
      <w:pPr>
        <w:pStyle w:val="ListParagraph"/>
        <w:spacing w:line="360" w:lineRule="auto"/>
        <w:ind w:left="360"/>
        <w:rPr>
          <w:rFonts w:ascii="Arial" w:hAnsi="Arial" w:cs="Arial"/>
        </w:rPr>
      </w:pPr>
    </w:p>
    <w:p w:rsidR="00413836" w:rsidRDefault="008E0EAC" w:rsidP="00730708">
      <w:pPr>
        <w:pStyle w:val="ListParagraph"/>
        <w:spacing w:line="360" w:lineRule="auto"/>
        <w:ind w:left="360"/>
        <w:rPr>
          <w:rFonts w:ascii="Arial" w:hAnsi="Arial" w:cs="Arial"/>
        </w:rPr>
      </w:pPr>
      <w:r>
        <w:rPr>
          <w:rFonts w:ascii="Arial" w:hAnsi="Arial" w:cs="Arial"/>
        </w:rPr>
        <w:lastRenderedPageBreak/>
        <w:t xml:space="preserve">It is </w:t>
      </w:r>
      <w:r w:rsidR="006C679A">
        <w:rPr>
          <w:rFonts w:ascii="Arial" w:hAnsi="Arial" w:cs="Arial"/>
        </w:rPr>
        <w:t>evident</w:t>
      </w:r>
      <w:r>
        <w:rPr>
          <w:rFonts w:ascii="Arial" w:hAnsi="Arial" w:cs="Arial"/>
        </w:rPr>
        <w:t xml:space="preserve"> that </w:t>
      </w:r>
      <w:r w:rsidR="00413836">
        <w:rPr>
          <w:rFonts w:ascii="Arial" w:hAnsi="Arial" w:cs="Arial"/>
        </w:rPr>
        <w:t xml:space="preserve">a mere appreciation </w:t>
      </w:r>
      <w:r>
        <w:rPr>
          <w:rFonts w:ascii="Arial" w:hAnsi="Arial" w:cs="Arial"/>
        </w:rPr>
        <w:t xml:space="preserve">on the part of those seeking to intrude on land that the authorities </w:t>
      </w:r>
      <w:r w:rsidR="00413836">
        <w:rPr>
          <w:rFonts w:ascii="Arial" w:hAnsi="Arial" w:cs="Arial"/>
        </w:rPr>
        <w:t xml:space="preserve">might eventually come </w:t>
      </w:r>
      <w:r>
        <w:rPr>
          <w:rFonts w:ascii="Arial" w:hAnsi="Arial" w:cs="Arial"/>
        </w:rPr>
        <w:t xml:space="preserve">and remove them will not suffice. </w:t>
      </w:r>
    </w:p>
    <w:p w:rsidR="005973DB" w:rsidRPr="005973DB" w:rsidRDefault="00413836" w:rsidP="00730708">
      <w:pPr>
        <w:pStyle w:val="ListParagraph"/>
        <w:spacing w:line="360" w:lineRule="auto"/>
        <w:ind w:left="360"/>
        <w:rPr>
          <w:rFonts w:ascii="Arial" w:hAnsi="Arial" w:cs="Arial"/>
          <w:i/>
        </w:rPr>
      </w:pPr>
      <w:r>
        <w:rPr>
          <w:rFonts w:ascii="Arial" w:hAnsi="Arial" w:cs="Arial"/>
        </w:rPr>
        <w:t>However p</w:t>
      </w:r>
      <w:r w:rsidR="008E0EAC">
        <w:rPr>
          <w:rFonts w:ascii="Arial" w:hAnsi="Arial" w:cs="Arial"/>
        </w:rPr>
        <w:t>ractically</w:t>
      </w:r>
      <w:r w:rsidR="005973DB">
        <w:rPr>
          <w:rFonts w:ascii="Arial" w:hAnsi="Arial" w:cs="Arial"/>
        </w:rPr>
        <w:t>,</w:t>
      </w:r>
      <w:r w:rsidR="008E0EAC">
        <w:rPr>
          <w:rFonts w:ascii="Arial" w:hAnsi="Arial" w:cs="Arial"/>
        </w:rPr>
        <w:t xml:space="preserve"> </w:t>
      </w:r>
      <w:r w:rsidR="005973DB">
        <w:rPr>
          <w:rFonts w:ascii="Arial" w:hAnsi="Arial" w:cs="Arial"/>
        </w:rPr>
        <w:t>once the number</w:t>
      </w:r>
      <w:r w:rsidR="008E0EAC">
        <w:rPr>
          <w:rFonts w:ascii="Arial" w:hAnsi="Arial" w:cs="Arial"/>
        </w:rPr>
        <w:t xml:space="preserve"> of people trying to come onto the </w:t>
      </w:r>
      <w:r w:rsidR="005973DB">
        <w:rPr>
          <w:rFonts w:ascii="Arial" w:hAnsi="Arial" w:cs="Arial"/>
        </w:rPr>
        <w:t>land swells</w:t>
      </w:r>
      <w:r w:rsidR="008E0EAC">
        <w:rPr>
          <w:rFonts w:ascii="Arial" w:hAnsi="Arial" w:cs="Arial"/>
        </w:rPr>
        <w:t xml:space="preserve"> </w:t>
      </w:r>
      <w:r w:rsidR="005973DB">
        <w:rPr>
          <w:rFonts w:ascii="Arial" w:hAnsi="Arial" w:cs="Arial"/>
        </w:rPr>
        <w:t>and the authorities realise that the</w:t>
      </w:r>
      <w:r>
        <w:rPr>
          <w:rFonts w:ascii="Arial" w:hAnsi="Arial" w:cs="Arial"/>
        </w:rPr>
        <w:t xml:space="preserve"> intruders </w:t>
      </w:r>
      <w:r w:rsidR="005973DB">
        <w:rPr>
          <w:rFonts w:ascii="Arial" w:hAnsi="Arial" w:cs="Arial"/>
        </w:rPr>
        <w:t xml:space="preserve">are not heading requests to desist then </w:t>
      </w:r>
      <w:r w:rsidR="006C679A">
        <w:rPr>
          <w:rFonts w:ascii="Arial" w:hAnsi="Arial" w:cs="Arial"/>
        </w:rPr>
        <w:t>there</w:t>
      </w:r>
      <w:r w:rsidR="005973DB">
        <w:rPr>
          <w:rFonts w:ascii="Arial" w:hAnsi="Arial" w:cs="Arial"/>
        </w:rPr>
        <w:t xml:space="preserve"> is little that can be done other than to take reasonable steps to </w:t>
      </w:r>
      <w:r w:rsidR="005973DB" w:rsidRPr="00195B3B">
        <w:rPr>
          <w:rFonts w:ascii="Arial" w:hAnsi="Arial" w:cs="Arial"/>
        </w:rPr>
        <w:t xml:space="preserve">resist and </w:t>
      </w:r>
      <w:r w:rsidRPr="00195B3B">
        <w:rPr>
          <w:rFonts w:ascii="Arial" w:hAnsi="Arial" w:cs="Arial"/>
        </w:rPr>
        <w:t xml:space="preserve">in the meanwhile </w:t>
      </w:r>
      <w:r w:rsidR="005973DB" w:rsidRPr="00195B3B">
        <w:rPr>
          <w:rFonts w:ascii="Arial" w:hAnsi="Arial" w:cs="Arial"/>
        </w:rPr>
        <w:t>prepare urgent court papers</w:t>
      </w:r>
      <w:r w:rsidR="005973DB">
        <w:rPr>
          <w:rFonts w:ascii="Arial" w:hAnsi="Arial" w:cs="Arial"/>
        </w:rPr>
        <w:t xml:space="preserve">. It is also unrealistic to expect court papers to be </w:t>
      </w:r>
      <w:r w:rsidR="00195B3B">
        <w:rPr>
          <w:rFonts w:ascii="Arial" w:hAnsi="Arial" w:cs="Arial"/>
        </w:rPr>
        <w:t xml:space="preserve">finalised and served </w:t>
      </w:r>
      <w:r w:rsidR="005973DB">
        <w:rPr>
          <w:rFonts w:ascii="Arial" w:hAnsi="Arial" w:cs="Arial"/>
        </w:rPr>
        <w:t xml:space="preserve">the instant a few people try and enter property. </w:t>
      </w:r>
    </w:p>
    <w:p w:rsidR="005973DB" w:rsidRPr="005973DB" w:rsidRDefault="005973DB" w:rsidP="005973DB">
      <w:pPr>
        <w:pStyle w:val="ListParagraph"/>
        <w:rPr>
          <w:rFonts w:ascii="Arial" w:hAnsi="Arial" w:cs="Arial"/>
        </w:rPr>
      </w:pPr>
    </w:p>
    <w:p w:rsidR="00C349C8" w:rsidRPr="00C349C8" w:rsidRDefault="005973DB" w:rsidP="00AF22DC">
      <w:pPr>
        <w:pStyle w:val="ListParagraph"/>
        <w:numPr>
          <w:ilvl w:val="0"/>
          <w:numId w:val="3"/>
        </w:numPr>
        <w:spacing w:line="360" w:lineRule="auto"/>
        <w:rPr>
          <w:rFonts w:ascii="Arial" w:hAnsi="Arial" w:cs="Arial"/>
          <w:i/>
        </w:rPr>
      </w:pPr>
      <w:r>
        <w:rPr>
          <w:rFonts w:ascii="Arial" w:hAnsi="Arial" w:cs="Arial"/>
        </w:rPr>
        <w:t xml:space="preserve">In </w:t>
      </w:r>
      <w:r w:rsidR="006C679A">
        <w:rPr>
          <w:rFonts w:ascii="Arial" w:hAnsi="Arial" w:cs="Arial"/>
          <w:i/>
        </w:rPr>
        <w:t xml:space="preserve">SAHRC </w:t>
      </w:r>
      <w:r w:rsidR="006C679A">
        <w:rPr>
          <w:rFonts w:ascii="Arial" w:hAnsi="Arial" w:cs="Arial"/>
        </w:rPr>
        <w:t>the</w:t>
      </w:r>
      <w:r>
        <w:rPr>
          <w:rFonts w:ascii="Arial" w:hAnsi="Arial" w:cs="Arial"/>
        </w:rPr>
        <w:t xml:space="preserve"> court drew a distinction between possession for purposes of the </w:t>
      </w:r>
      <w:r w:rsidR="006C679A">
        <w:rPr>
          <w:rFonts w:ascii="Arial" w:hAnsi="Arial" w:cs="Arial"/>
        </w:rPr>
        <w:t>mandament</w:t>
      </w:r>
      <w:r>
        <w:rPr>
          <w:rFonts w:ascii="Arial" w:hAnsi="Arial" w:cs="Arial"/>
        </w:rPr>
        <w:t xml:space="preserve"> and occupation for PIE purposes. So too did van der Linde J in </w:t>
      </w:r>
      <w:r w:rsidRPr="005973DB">
        <w:rPr>
          <w:rFonts w:ascii="Arial" w:hAnsi="Arial" w:cs="Arial"/>
          <w:i/>
        </w:rPr>
        <w:t>S</w:t>
      </w:r>
      <w:r>
        <w:rPr>
          <w:rFonts w:ascii="Arial" w:hAnsi="Arial" w:cs="Arial"/>
          <w:i/>
        </w:rPr>
        <w:t xml:space="preserve">etjwetla. </w:t>
      </w:r>
      <w:r>
        <w:rPr>
          <w:rFonts w:ascii="Arial" w:hAnsi="Arial" w:cs="Arial"/>
        </w:rPr>
        <w:t xml:space="preserve">I have </w:t>
      </w:r>
      <w:r w:rsidR="00413836">
        <w:rPr>
          <w:rFonts w:ascii="Arial" w:hAnsi="Arial" w:cs="Arial"/>
        </w:rPr>
        <w:t xml:space="preserve">already found that the issue </w:t>
      </w:r>
      <w:r w:rsidR="00730708">
        <w:rPr>
          <w:rFonts w:ascii="Arial" w:hAnsi="Arial" w:cs="Arial"/>
        </w:rPr>
        <w:t xml:space="preserve">requiring determination by a court </w:t>
      </w:r>
      <w:r>
        <w:rPr>
          <w:rFonts w:ascii="Arial" w:hAnsi="Arial" w:cs="Arial"/>
        </w:rPr>
        <w:t>is not what constitutes</w:t>
      </w:r>
      <w:r w:rsidR="00730708">
        <w:rPr>
          <w:rFonts w:ascii="Arial" w:hAnsi="Arial" w:cs="Arial"/>
        </w:rPr>
        <w:t xml:space="preserve"> possession but what constitutes</w:t>
      </w:r>
      <w:r>
        <w:rPr>
          <w:rFonts w:ascii="Arial" w:hAnsi="Arial" w:cs="Arial"/>
        </w:rPr>
        <w:t xml:space="preserve"> </w:t>
      </w:r>
      <w:r w:rsidR="000625F3">
        <w:rPr>
          <w:rFonts w:ascii="Arial" w:hAnsi="Arial" w:cs="Arial"/>
        </w:rPr>
        <w:t xml:space="preserve">peaceful and </w:t>
      </w:r>
      <w:r>
        <w:rPr>
          <w:rFonts w:ascii="Arial" w:hAnsi="Arial" w:cs="Arial"/>
        </w:rPr>
        <w:t xml:space="preserve">undisturbed possession. It is </w:t>
      </w:r>
      <w:r w:rsidR="006C679A">
        <w:rPr>
          <w:rFonts w:ascii="Arial" w:hAnsi="Arial" w:cs="Arial"/>
        </w:rPr>
        <w:t>therefore</w:t>
      </w:r>
      <w:r>
        <w:rPr>
          <w:rFonts w:ascii="Arial" w:hAnsi="Arial" w:cs="Arial"/>
        </w:rPr>
        <w:t xml:space="preserve"> unnecessary to deal with possession </w:t>
      </w:r>
      <w:r w:rsidRPr="006C679A">
        <w:rPr>
          <w:rFonts w:ascii="Arial" w:hAnsi="Arial" w:cs="Arial"/>
          <w:i/>
        </w:rPr>
        <w:t>per</w:t>
      </w:r>
      <w:r w:rsidR="006C679A" w:rsidRPr="006C679A">
        <w:rPr>
          <w:rFonts w:ascii="Arial" w:hAnsi="Arial" w:cs="Arial"/>
          <w:i/>
        </w:rPr>
        <w:t xml:space="preserve"> </w:t>
      </w:r>
      <w:r w:rsidRPr="006C679A">
        <w:rPr>
          <w:rFonts w:ascii="Arial" w:hAnsi="Arial" w:cs="Arial"/>
          <w:i/>
        </w:rPr>
        <w:t>se</w:t>
      </w:r>
      <w:r>
        <w:rPr>
          <w:rFonts w:ascii="Arial" w:hAnsi="Arial" w:cs="Arial"/>
        </w:rPr>
        <w:t xml:space="preserve"> and its relationship to occupation.</w:t>
      </w:r>
    </w:p>
    <w:p w:rsidR="00C349C8" w:rsidRPr="00C349C8" w:rsidRDefault="00C349C8" w:rsidP="00C349C8">
      <w:pPr>
        <w:pStyle w:val="ListParagraph"/>
        <w:rPr>
          <w:rFonts w:ascii="Arial" w:hAnsi="Arial" w:cs="Arial"/>
        </w:rPr>
      </w:pPr>
    </w:p>
    <w:p w:rsidR="00413836" w:rsidRPr="00413836" w:rsidRDefault="00730708" w:rsidP="00AF22DC">
      <w:pPr>
        <w:pStyle w:val="ListParagraph"/>
        <w:numPr>
          <w:ilvl w:val="0"/>
          <w:numId w:val="3"/>
        </w:numPr>
        <w:spacing w:line="360" w:lineRule="auto"/>
        <w:rPr>
          <w:rFonts w:ascii="Arial" w:hAnsi="Arial" w:cs="Arial"/>
          <w:i/>
        </w:rPr>
      </w:pPr>
      <w:r>
        <w:rPr>
          <w:rFonts w:ascii="Arial" w:hAnsi="Arial" w:cs="Arial"/>
        </w:rPr>
        <w:t xml:space="preserve"> </w:t>
      </w:r>
      <w:r w:rsidR="00413836">
        <w:rPr>
          <w:rFonts w:ascii="Arial" w:hAnsi="Arial" w:cs="Arial"/>
        </w:rPr>
        <w:t>However, since the enquiry is concerned with whether peac</w:t>
      </w:r>
      <w:r w:rsidR="00195B3B">
        <w:rPr>
          <w:rFonts w:ascii="Arial" w:hAnsi="Arial" w:cs="Arial"/>
        </w:rPr>
        <w:t>eful</w:t>
      </w:r>
      <w:r w:rsidR="00413836">
        <w:rPr>
          <w:rFonts w:ascii="Arial" w:hAnsi="Arial" w:cs="Arial"/>
        </w:rPr>
        <w:t xml:space="preserve"> and undisturbed possession has occurred, i</w:t>
      </w:r>
      <w:r>
        <w:rPr>
          <w:rFonts w:ascii="Arial" w:hAnsi="Arial" w:cs="Arial"/>
        </w:rPr>
        <w:t xml:space="preserve">t </w:t>
      </w:r>
      <w:r w:rsidR="00413836">
        <w:rPr>
          <w:rFonts w:ascii="Arial" w:hAnsi="Arial" w:cs="Arial"/>
        </w:rPr>
        <w:t xml:space="preserve">is possible </w:t>
      </w:r>
      <w:r>
        <w:rPr>
          <w:rFonts w:ascii="Arial" w:hAnsi="Arial" w:cs="Arial"/>
        </w:rPr>
        <w:t xml:space="preserve">that </w:t>
      </w:r>
      <w:r w:rsidR="005973DB">
        <w:rPr>
          <w:rFonts w:ascii="Arial" w:hAnsi="Arial" w:cs="Arial"/>
        </w:rPr>
        <w:t xml:space="preserve">occupation for the </w:t>
      </w:r>
      <w:r w:rsidR="006C679A">
        <w:rPr>
          <w:rFonts w:ascii="Arial" w:hAnsi="Arial" w:cs="Arial"/>
        </w:rPr>
        <w:t>purposes</w:t>
      </w:r>
      <w:r w:rsidR="005973DB">
        <w:rPr>
          <w:rFonts w:ascii="Arial" w:hAnsi="Arial" w:cs="Arial"/>
        </w:rPr>
        <w:t xml:space="preserve"> of PIE can occur despite </w:t>
      </w:r>
      <w:r w:rsidR="00C349C8">
        <w:rPr>
          <w:rFonts w:ascii="Arial" w:hAnsi="Arial" w:cs="Arial"/>
        </w:rPr>
        <w:t>the occupier</w:t>
      </w:r>
      <w:r w:rsidR="000625F3">
        <w:rPr>
          <w:rFonts w:ascii="Arial" w:hAnsi="Arial" w:cs="Arial"/>
        </w:rPr>
        <w:t xml:space="preserve">, at least for the purposes of the </w:t>
      </w:r>
      <w:r w:rsidR="006C679A">
        <w:rPr>
          <w:rFonts w:ascii="Arial" w:hAnsi="Arial" w:cs="Arial"/>
        </w:rPr>
        <w:t>mandament</w:t>
      </w:r>
      <w:r w:rsidR="00491C20">
        <w:rPr>
          <w:rFonts w:ascii="Arial" w:hAnsi="Arial" w:cs="Arial"/>
        </w:rPr>
        <w:t>,</w:t>
      </w:r>
      <w:r w:rsidR="000625F3">
        <w:rPr>
          <w:rFonts w:ascii="Arial" w:hAnsi="Arial" w:cs="Arial"/>
        </w:rPr>
        <w:t xml:space="preserve"> </w:t>
      </w:r>
      <w:r w:rsidR="00C349C8">
        <w:rPr>
          <w:rFonts w:ascii="Arial" w:hAnsi="Arial" w:cs="Arial"/>
        </w:rPr>
        <w:t xml:space="preserve">not </w:t>
      </w:r>
      <w:r w:rsidR="00195B3B">
        <w:rPr>
          <w:rFonts w:ascii="Arial" w:hAnsi="Arial" w:cs="Arial"/>
        </w:rPr>
        <w:t xml:space="preserve">gaining peaceful and </w:t>
      </w:r>
      <w:r w:rsidR="00C349C8">
        <w:rPr>
          <w:rFonts w:ascii="Arial" w:hAnsi="Arial" w:cs="Arial"/>
        </w:rPr>
        <w:t xml:space="preserve">undisturbed possession. </w:t>
      </w:r>
    </w:p>
    <w:p w:rsidR="00413836" w:rsidRPr="00413836" w:rsidRDefault="00413836" w:rsidP="00413836">
      <w:pPr>
        <w:pStyle w:val="ListParagraph"/>
        <w:rPr>
          <w:rFonts w:ascii="Arial" w:hAnsi="Arial" w:cs="Arial"/>
        </w:rPr>
      </w:pPr>
    </w:p>
    <w:p w:rsidR="00730708" w:rsidRPr="00730708" w:rsidRDefault="00413836" w:rsidP="00413836">
      <w:pPr>
        <w:pStyle w:val="ListParagraph"/>
        <w:spacing w:line="360" w:lineRule="auto"/>
        <w:ind w:left="360"/>
        <w:rPr>
          <w:rFonts w:ascii="Arial" w:hAnsi="Arial" w:cs="Arial"/>
          <w:i/>
        </w:rPr>
      </w:pPr>
      <w:r>
        <w:rPr>
          <w:rFonts w:ascii="Arial" w:hAnsi="Arial" w:cs="Arial"/>
        </w:rPr>
        <w:t xml:space="preserve">And the </w:t>
      </w:r>
      <w:r w:rsidR="00C349C8">
        <w:rPr>
          <w:rFonts w:ascii="Arial" w:hAnsi="Arial" w:cs="Arial"/>
        </w:rPr>
        <w:t xml:space="preserve">moment </w:t>
      </w:r>
      <w:r>
        <w:rPr>
          <w:rFonts w:ascii="Arial" w:hAnsi="Arial" w:cs="Arial"/>
        </w:rPr>
        <w:t xml:space="preserve">occupation under PIE </w:t>
      </w:r>
      <w:r w:rsidR="00C349C8">
        <w:rPr>
          <w:rFonts w:ascii="Arial" w:hAnsi="Arial" w:cs="Arial"/>
        </w:rPr>
        <w:t>occurs</w:t>
      </w:r>
      <w:r w:rsidR="006C679A">
        <w:rPr>
          <w:rFonts w:ascii="Arial" w:hAnsi="Arial" w:cs="Arial"/>
        </w:rPr>
        <w:t>,</w:t>
      </w:r>
      <w:r>
        <w:rPr>
          <w:rFonts w:ascii="Arial" w:hAnsi="Arial" w:cs="Arial"/>
        </w:rPr>
        <w:t xml:space="preserve"> its</w:t>
      </w:r>
      <w:r w:rsidR="00C349C8">
        <w:rPr>
          <w:rFonts w:ascii="Arial" w:hAnsi="Arial" w:cs="Arial"/>
        </w:rPr>
        <w:t xml:space="preserve"> protective umbrella unfolds </w:t>
      </w:r>
      <w:r w:rsidR="00730708">
        <w:rPr>
          <w:rFonts w:ascii="Arial" w:hAnsi="Arial" w:cs="Arial"/>
        </w:rPr>
        <w:t>and wil</w:t>
      </w:r>
      <w:r>
        <w:rPr>
          <w:rFonts w:ascii="Arial" w:hAnsi="Arial" w:cs="Arial"/>
        </w:rPr>
        <w:t>l. by reason o</w:t>
      </w:r>
      <w:r w:rsidR="00730708">
        <w:rPr>
          <w:rFonts w:ascii="Arial" w:hAnsi="Arial" w:cs="Arial"/>
        </w:rPr>
        <w:t>f its provisions</w:t>
      </w:r>
      <w:r>
        <w:rPr>
          <w:rFonts w:ascii="Arial" w:hAnsi="Arial" w:cs="Arial"/>
        </w:rPr>
        <w:t>,</w:t>
      </w:r>
      <w:r w:rsidR="00730708">
        <w:rPr>
          <w:rFonts w:ascii="Arial" w:hAnsi="Arial" w:cs="Arial"/>
        </w:rPr>
        <w:t xml:space="preserve"> </w:t>
      </w:r>
      <w:r>
        <w:rPr>
          <w:rFonts w:ascii="Arial" w:hAnsi="Arial" w:cs="Arial"/>
        </w:rPr>
        <w:t xml:space="preserve">automatically </w:t>
      </w:r>
      <w:r w:rsidR="00730708">
        <w:rPr>
          <w:rFonts w:ascii="Arial" w:hAnsi="Arial" w:cs="Arial"/>
        </w:rPr>
        <w:t>frustrate a counter-</w:t>
      </w:r>
      <w:r w:rsidR="006C679A">
        <w:rPr>
          <w:rFonts w:ascii="Arial" w:hAnsi="Arial" w:cs="Arial"/>
        </w:rPr>
        <w:t>spoliation</w:t>
      </w:r>
      <w:r>
        <w:rPr>
          <w:rFonts w:ascii="Arial" w:hAnsi="Arial" w:cs="Arial"/>
        </w:rPr>
        <w:t>.</w:t>
      </w:r>
      <w:r w:rsidR="00C349C8">
        <w:rPr>
          <w:rStyle w:val="FootnoteReference"/>
          <w:rFonts w:ascii="Arial" w:hAnsi="Arial" w:cs="Arial"/>
        </w:rPr>
        <w:footnoteReference w:id="76"/>
      </w:r>
      <w:r w:rsidR="00CD1162">
        <w:rPr>
          <w:rFonts w:ascii="Arial" w:hAnsi="Arial" w:cs="Arial"/>
        </w:rPr>
        <w:t xml:space="preserve"> </w:t>
      </w:r>
    </w:p>
    <w:p w:rsidR="00730708" w:rsidRPr="00730708" w:rsidRDefault="00730708" w:rsidP="00730708">
      <w:pPr>
        <w:pStyle w:val="ListParagraph"/>
        <w:rPr>
          <w:rFonts w:ascii="Arial" w:hAnsi="Arial" w:cs="Arial"/>
        </w:rPr>
      </w:pPr>
    </w:p>
    <w:p w:rsidR="00C349C8" w:rsidRDefault="00CD1162" w:rsidP="00730708">
      <w:pPr>
        <w:pStyle w:val="ListParagraph"/>
        <w:spacing w:line="360" w:lineRule="auto"/>
        <w:ind w:left="360"/>
        <w:rPr>
          <w:rFonts w:ascii="Arial" w:hAnsi="Arial" w:cs="Arial"/>
        </w:rPr>
      </w:pPr>
      <w:r>
        <w:rPr>
          <w:rFonts w:ascii="Arial" w:hAnsi="Arial" w:cs="Arial"/>
        </w:rPr>
        <w:t>This anomalous situation is a product of the legislation, not the common law. It also instils an understandable apprehension that going to court and obtaining an interdict will do little to stop people erecting structures in the interim</w:t>
      </w:r>
      <w:r w:rsidR="00195B3B">
        <w:rPr>
          <w:rFonts w:ascii="Arial" w:hAnsi="Arial" w:cs="Arial"/>
        </w:rPr>
        <w:t>,</w:t>
      </w:r>
      <w:r>
        <w:rPr>
          <w:rFonts w:ascii="Arial" w:hAnsi="Arial" w:cs="Arial"/>
        </w:rPr>
        <w:t xml:space="preserve"> </w:t>
      </w:r>
      <w:r w:rsidR="00195B3B">
        <w:rPr>
          <w:rFonts w:ascii="Arial" w:hAnsi="Arial" w:cs="Arial"/>
        </w:rPr>
        <w:t xml:space="preserve">as was </w:t>
      </w:r>
      <w:r w:rsidR="00195B3B">
        <w:rPr>
          <w:rFonts w:ascii="Arial" w:hAnsi="Arial" w:cs="Arial"/>
        </w:rPr>
        <w:lastRenderedPageBreak/>
        <w:t xml:space="preserve">attempted </w:t>
      </w:r>
      <w:r w:rsidR="00195B3B" w:rsidRPr="00195B3B">
        <w:rPr>
          <w:rFonts w:ascii="Arial" w:hAnsi="Arial" w:cs="Arial"/>
        </w:rPr>
        <w:t xml:space="preserve">in </w:t>
      </w:r>
      <w:r w:rsidR="00195B3B" w:rsidRPr="00195B3B">
        <w:rPr>
          <w:rFonts w:ascii="Arial" w:hAnsi="Arial" w:cs="Arial"/>
          <w:i/>
        </w:rPr>
        <w:t>Mbangi</w:t>
      </w:r>
      <w:r w:rsidR="00195B3B">
        <w:rPr>
          <w:rFonts w:ascii="Arial" w:hAnsi="Arial" w:cs="Arial"/>
        </w:rPr>
        <w:t xml:space="preserve"> and </w:t>
      </w:r>
      <w:r w:rsidR="00195B3B" w:rsidRPr="00195B3B">
        <w:rPr>
          <w:rFonts w:ascii="Arial" w:hAnsi="Arial" w:cs="Arial"/>
          <w:i/>
        </w:rPr>
        <w:t>Skosana</w:t>
      </w:r>
      <w:r w:rsidR="00195B3B">
        <w:rPr>
          <w:rFonts w:ascii="Arial" w:hAnsi="Arial" w:cs="Arial"/>
          <w:i/>
        </w:rPr>
        <w:t>,</w:t>
      </w:r>
      <w:r w:rsidR="00195B3B">
        <w:rPr>
          <w:rFonts w:ascii="Arial" w:hAnsi="Arial" w:cs="Arial"/>
        </w:rPr>
        <w:t xml:space="preserve"> </w:t>
      </w:r>
      <w:r>
        <w:rPr>
          <w:rFonts w:ascii="Arial" w:hAnsi="Arial" w:cs="Arial"/>
        </w:rPr>
        <w:t>and</w:t>
      </w:r>
      <w:r w:rsidR="00195B3B">
        <w:rPr>
          <w:rFonts w:ascii="Arial" w:hAnsi="Arial" w:cs="Arial"/>
        </w:rPr>
        <w:t xml:space="preserve"> now by reason of PIE </w:t>
      </w:r>
      <w:r>
        <w:rPr>
          <w:rFonts w:ascii="Arial" w:hAnsi="Arial" w:cs="Arial"/>
        </w:rPr>
        <w:t>secure for them</w:t>
      </w:r>
      <w:r w:rsidR="00682982">
        <w:rPr>
          <w:rFonts w:ascii="Arial" w:hAnsi="Arial" w:cs="Arial"/>
        </w:rPr>
        <w:t>selves</w:t>
      </w:r>
      <w:r>
        <w:rPr>
          <w:rFonts w:ascii="Arial" w:hAnsi="Arial" w:cs="Arial"/>
        </w:rPr>
        <w:t xml:space="preserve"> the ability to remain on the land unti</w:t>
      </w:r>
      <w:r w:rsidR="00682982">
        <w:rPr>
          <w:rFonts w:ascii="Arial" w:hAnsi="Arial" w:cs="Arial"/>
        </w:rPr>
        <w:t>l t</w:t>
      </w:r>
      <w:r w:rsidR="00195B3B">
        <w:rPr>
          <w:rFonts w:ascii="Arial" w:hAnsi="Arial" w:cs="Arial"/>
        </w:rPr>
        <w:t>he authorities provide them with t</w:t>
      </w:r>
      <w:r w:rsidR="00682982">
        <w:rPr>
          <w:rFonts w:ascii="Arial" w:hAnsi="Arial" w:cs="Arial"/>
        </w:rPr>
        <w:t>emporary shelter</w:t>
      </w:r>
      <w:r w:rsidR="00195B3B">
        <w:rPr>
          <w:rFonts w:ascii="Arial" w:hAnsi="Arial" w:cs="Arial"/>
          <w:i/>
        </w:rPr>
        <w:t>.</w:t>
      </w:r>
      <w:r w:rsidR="00040B51">
        <w:rPr>
          <w:rStyle w:val="FootnoteReference"/>
          <w:rFonts w:ascii="Arial" w:hAnsi="Arial" w:cs="Arial"/>
        </w:rPr>
        <w:footnoteReference w:id="77"/>
      </w:r>
    </w:p>
    <w:p w:rsidR="00730708" w:rsidRDefault="00730708" w:rsidP="00730708">
      <w:pPr>
        <w:pStyle w:val="ListParagraph"/>
        <w:spacing w:line="360" w:lineRule="auto"/>
        <w:ind w:left="360"/>
        <w:rPr>
          <w:rFonts w:ascii="Arial" w:hAnsi="Arial" w:cs="Arial"/>
        </w:rPr>
      </w:pPr>
    </w:p>
    <w:p w:rsidR="00730708" w:rsidRDefault="00730708" w:rsidP="00730708">
      <w:pPr>
        <w:pStyle w:val="ListParagraph"/>
        <w:spacing w:line="360" w:lineRule="auto"/>
        <w:ind w:left="360"/>
        <w:rPr>
          <w:rFonts w:ascii="Arial" w:hAnsi="Arial" w:cs="Arial"/>
        </w:rPr>
      </w:pPr>
      <w:r>
        <w:rPr>
          <w:rFonts w:ascii="Arial" w:hAnsi="Arial" w:cs="Arial"/>
        </w:rPr>
        <w:t xml:space="preserve">There also appears to be no moratorium preserving the </w:t>
      </w:r>
      <w:r w:rsidRPr="00730708">
        <w:rPr>
          <w:rFonts w:ascii="Arial" w:hAnsi="Arial" w:cs="Arial"/>
          <w:i/>
        </w:rPr>
        <w:t>status quo</w:t>
      </w:r>
      <w:r>
        <w:rPr>
          <w:rFonts w:ascii="Arial" w:hAnsi="Arial" w:cs="Arial"/>
        </w:rPr>
        <w:t xml:space="preserve"> </w:t>
      </w:r>
      <w:r w:rsidR="00195B3B">
        <w:rPr>
          <w:rFonts w:ascii="Arial" w:hAnsi="Arial" w:cs="Arial"/>
        </w:rPr>
        <w:t xml:space="preserve">once </w:t>
      </w:r>
      <w:r w:rsidR="00413836">
        <w:rPr>
          <w:rFonts w:ascii="Arial" w:hAnsi="Arial" w:cs="Arial"/>
        </w:rPr>
        <w:t>an eviction order is served</w:t>
      </w:r>
      <w:r>
        <w:rPr>
          <w:rFonts w:ascii="Arial" w:hAnsi="Arial" w:cs="Arial"/>
        </w:rPr>
        <w:t xml:space="preserve">. </w:t>
      </w:r>
      <w:r>
        <w:rPr>
          <w:rStyle w:val="FootnoteReference"/>
          <w:rFonts w:ascii="Arial" w:hAnsi="Arial" w:cs="Arial"/>
        </w:rPr>
        <w:footnoteReference w:id="78"/>
      </w:r>
    </w:p>
    <w:p w:rsidR="00413836" w:rsidRDefault="00413836" w:rsidP="00730708">
      <w:pPr>
        <w:pStyle w:val="ListParagraph"/>
        <w:spacing w:line="360" w:lineRule="auto"/>
        <w:ind w:left="360"/>
        <w:rPr>
          <w:rFonts w:ascii="Arial" w:hAnsi="Arial" w:cs="Arial"/>
        </w:rPr>
      </w:pPr>
    </w:p>
    <w:p w:rsidR="00413836" w:rsidRPr="00682982" w:rsidRDefault="00413836" w:rsidP="00413836">
      <w:pPr>
        <w:pStyle w:val="ListParagraph"/>
        <w:numPr>
          <w:ilvl w:val="0"/>
          <w:numId w:val="3"/>
        </w:numPr>
        <w:spacing w:line="360" w:lineRule="auto"/>
        <w:rPr>
          <w:rFonts w:ascii="Arial" w:hAnsi="Arial" w:cs="Arial"/>
        </w:rPr>
      </w:pPr>
      <w:r w:rsidRPr="00682982">
        <w:rPr>
          <w:rFonts w:ascii="Arial" w:hAnsi="Arial" w:cs="Arial"/>
        </w:rPr>
        <w:t xml:space="preserve">The </w:t>
      </w:r>
      <w:r w:rsidRPr="00413836">
        <w:rPr>
          <w:rFonts w:ascii="Arial" w:hAnsi="Arial" w:cs="Arial"/>
          <w:i/>
        </w:rPr>
        <w:t>SAHRC</w:t>
      </w:r>
      <w:r w:rsidRPr="00682982">
        <w:rPr>
          <w:rFonts w:ascii="Arial" w:hAnsi="Arial" w:cs="Arial"/>
        </w:rPr>
        <w:t xml:space="preserve"> case initially came before a Full Bench but the two judges could not agree and a Full Court was then constituted. The Full Court reached a unanimous decision. </w:t>
      </w:r>
    </w:p>
    <w:p w:rsidR="00413836" w:rsidRPr="00682982" w:rsidRDefault="00413836" w:rsidP="00413836">
      <w:pPr>
        <w:pStyle w:val="ListParagraph"/>
        <w:spacing w:line="360" w:lineRule="auto"/>
        <w:ind w:left="360"/>
        <w:rPr>
          <w:rFonts w:ascii="Arial" w:hAnsi="Arial" w:cs="Arial"/>
        </w:rPr>
      </w:pPr>
    </w:p>
    <w:p w:rsidR="00413836" w:rsidRPr="00682982" w:rsidRDefault="00413836" w:rsidP="00413836">
      <w:pPr>
        <w:pStyle w:val="ListParagraph"/>
        <w:numPr>
          <w:ilvl w:val="0"/>
          <w:numId w:val="3"/>
        </w:numPr>
        <w:spacing w:line="360" w:lineRule="auto"/>
        <w:rPr>
          <w:rFonts w:ascii="Arial" w:hAnsi="Arial" w:cs="Arial"/>
        </w:rPr>
      </w:pPr>
      <w:r w:rsidRPr="00682982">
        <w:rPr>
          <w:rFonts w:ascii="Arial" w:hAnsi="Arial" w:cs="Arial"/>
        </w:rPr>
        <w:t>The application was brought principally against the City of Cape Town which, through its officials and without a co</w:t>
      </w:r>
      <w:r>
        <w:rPr>
          <w:rFonts w:ascii="Arial" w:hAnsi="Arial" w:cs="Arial"/>
        </w:rPr>
        <w:t>urt order, had forcibly and in</w:t>
      </w:r>
      <w:r w:rsidRPr="00682982">
        <w:rPr>
          <w:rFonts w:ascii="Arial" w:hAnsi="Arial" w:cs="Arial"/>
        </w:rPr>
        <w:t xml:space="preserve"> </w:t>
      </w:r>
      <w:r>
        <w:rPr>
          <w:rFonts w:ascii="Arial" w:hAnsi="Arial" w:cs="Arial"/>
        </w:rPr>
        <w:t xml:space="preserve">the </w:t>
      </w:r>
      <w:r w:rsidRPr="00682982">
        <w:rPr>
          <w:rFonts w:ascii="Arial" w:hAnsi="Arial" w:cs="Arial"/>
        </w:rPr>
        <w:t>most</w:t>
      </w:r>
      <w:r>
        <w:rPr>
          <w:rFonts w:ascii="Arial" w:hAnsi="Arial" w:cs="Arial"/>
        </w:rPr>
        <w:t xml:space="preserve"> degrading and</w:t>
      </w:r>
      <w:r w:rsidRPr="00682982">
        <w:rPr>
          <w:rFonts w:ascii="Arial" w:hAnsi="Arial" w:cs="Arial"/>
        </w:rPr>
        <w:t xml:space="preserve"> </w:t>
      </w:r>
      <w:r>
        <w:rPr>
          <w:rFonts w:ascii="Arial" w:hAnsi="Arial" w:cs="Arial"/>
        </w:rPr>
        <w:t>d</w:t>
      </w:r>
      <w:r w:rsidR="00195B3B">
        <w:rPr>
          <w:rFonts w:ascii="Arial" w:hAnsi="Arial" w:cs="Arial"/>
        </w:rPr>
        <w:t>eplorable</w:t>
      </w:r>
      <w:r w:rsidRPr="00682982">
        <w:rPr>
          <w:rFonts w:ascii="Arial" w:hAnsi="Arial" w:cs="Arial"/>
        </w:rPr>
        <w:t xml:space="preserve"> manner removed individuals from municipal land in</w:t>
      </w:r>
      <w:r>
        <w:rPr>
          <w:rFonts w:ascii="Arial" w:hAnsi="Arial" w:cs="Arial"/>
        </w:rPr>
        <w:t xml:space="preserve"> Khayelitsha and demolished those </w:t>
      </w:r>
      <w:r w:rsidRPr="00682982">
        <w:rPr>
          <w:rFonts w:ascii="Arial" w:hAnsi="Arial" w:cs="Arial"/>
        </w:rPr>
        <w:t xml:space="preserve">structures </w:t>
      </w:r>
      <w:r>
        <w:rPr>
          <w:rFonts w:ascii="Arial" w:hAnsi="Arial" w:cs="Arial"/>
        </w:rPr>
        <w:t xml:space="preserve">that </w:t>
      </w:r>
      <w:r w:rsidRPr="00682982">
        <w:rPr>
          <w:rFonts w:ascii="Arial" w:hAnsi="Arial" w:cs="Arial"/>
        </w:rPr>
        <w:t xml:space="preserve">had been erected. </w:t>
      </w:r>
    </w:p>
    <w:p w:rsidR="00413836" w:rsidRDefault="00413836" w:rsidP="00413836">
      <w:pPr>
        <w:pStyle w:val="ListParagraph"/>
        <w:numPr>
          <w:ilvl w:val="0"/>
          <w:numId w:val="3"/>
        </w:numPr>
        <w:spacing w:line="360" w:lineRule="auto"/>
        <w:rPr>
          <w:rFonts w:ascii="Arial" w:hAnsi="Arial" w:cs="Arial"/>
        </w:rPr>
      </w:pPr>
      <w:r w:rsidRPr="00682982">
        <w:rPr>
          <w:rFonts w:ascii="Arial" w:hAnsi="Arial" w:cs="Arial"/>
        </w:rPr>
        <w:t>The City contended that it was entitled to avert an orchestrated land grab and prevent structures, which were either in the process of being erected or were completed, from being occupied by</w:t>
      </w:r>
      <w:r>
        <w:rPr>
          <w:rFonts w:ascii="Arial" w:hAnsi="Arial" w:cs="Arial"/>
        </w:rPr>
        <w:t xml:space="preserve"> stopping </w:t>
      </w:r>
      <w:r w:rsidRPr="00682982">
        <w:rPr>
          <w:rFonts w:ascii="Arial" w:hAnsi="Arial" w:cs="Arial"/>
        </w:rPr>
        <w:t xml:space="preserve">those attempting to occupy the land from doing so and to demolish structures before they could be occupied. This was all done without a court order and relying on the common law self-help defence of counter-spoliation.  </w:t>
      </w:r>
    </w:p>
    <w:p w:rsidR="00413836" w:rsidRPr="00CE2A0D" w:rsidRDefault="00413836" w:rsidP="00413836">
      <w:pPr>
        <w:pStyle w:val="ListParagraph"/>
        <w:rPr>
          <w:rFonts w:ascii="Arial" w:hAnsi="Arial" w:cs="Arial"/>
        </w:rPr>
      </w:pPr>
    </w:p>
    <w:p w:rsidR="00413836" w:rsidRPr="00F01C7E" w:rsidRDefault="00413836" w:rsidP="00413836">
      <w:pPr>
        <w:pStyle w:val="ListParagraph"/>
        <w:numPr>
          <w:ilvl w:val="0"/>
          <w:numId w:val="3"/>
        </w:numPr>
        <w:spacing w:line="360" w:lineRule="auto"/>
        <w:rPr>
          <w:rFonts w:ascii="Arial" w:hAnsi="Arial" w:cs="Arial"/>
        </w:rPr>
      </w:pPr>
      <w:r w:rsidRPr="00F01C7E">
        <w:rPr>
          <w:rFonts w:ascii="Arial" w:hAnsi="Arial" w:cs="Arial"/>
        </w:rPr>
        <w:t xml:space="preserve">The </w:t>
      </w:r>
      <w:r>
        <w:rPr>
          <w:rFonts w:ascii="Arial" w:hAnsi="Arial" w:cs="Arial"/>
        </w:rPr>
        <w:t xml:space="preserve">issues before the </w:t>
      </w:r>
      <w:r w:rsidRPr="00F01C7E">
        <w:rPr>
          <w:rFonts w:ascii="Arial" w:hAnsi="Arial" w:cs="Arial"/>
        </w:rPr>
        <w:t xml:space="preserve">Full Court </w:t>
      </w:r>
      <w:r>
        <w:rPr>
          <w:rFonts w:ascii="Arial" w:hAnsi="Arial" w:cs="Arial"/>
        </w:rPr>
        <w:t xml:space="preserve">related to </w:t>
      </w:r>
      <w:r w:rsidRPr="00F01C7E">
        <w:rPr>
          <w:rFonts w:ascii="Arial" w:hAnsi="Arial" w:cs="Arial"/>
        </w:rPr>
        <w:t>the relief claimed in Part B of the application. Two of the significant orders sought were to declare</w:t>
      </w:r>
      <w:r>
        <w:rPr>
          <w:rFonts w:ascii="Arial" w:hAnsi="Arial" w:cs="Arial"/>
        </w:rPr>
        <w:t xml:space="preserve"> that</w:t>
      </w:r>
      <w:r w:rsidRPr="00F01C7E">
        <w:rPr>
          <w:rFonts w:ascii="Arial" w:hAnsi="Arial" w:cs="Arial"/>
        </w:rPr>
        <w:t>;</w:t>
      </w:r>
    </w:p>
    <w:p w:rsidR="00413836" w:rsidRPr="00F01C7E" w:rsidRDefault="00413836" w:rsidP="00413836">
      <w:pPr>
        <w:pStyle w:val="ListParagraph"/>
        <w:spacing w:line="360" w:lineRule="auto"/>
        <w:ind w:left="1080"/>
        <w:rPr>
          <w:rFonts w:ascii="Arial" w:hAnsi="Arial" w:cs="Arial"/>
        </w:rPr>
      </w:pPr>
    </w:p>
    <w:p w:rsidR="00413836" w:rsidRPr="00F01C7E" w:rsidRDefault="00413836" w:rsidP="00413836">
      <w:pPr>
        <w:pStyle w:val="ListParagraph"/>
        <w:numPr>
          <w:ilvl w:val="1"/>
          <w:numId w:val="3"/>
        </w:numPr>
        <w:spacing w:line="360" w:lineRule="auto"/>
        <w:rPr>
          <w:rFonts w:ascii="Arial" w:hAnsi="Arial" w:cs="Arial"/>
        </w:rPr>
      </w:pPr>
      <w:r w:rsidRPr="00F01C7E">
        <w:rPr>
          <w:rFonts w:ascii="Arial" w:hAnsi="Arial" w:cs="Arial"/>
        </w:rPr>
        <w:t>“the</w:t>
      </w:r>
      <w:r w:rsidRPr="00F01C7E">
        <w:rPr>
          <w:rFonts w:ascii="Arial" w:hAnsi="Arial" w:cs="Arial"/>
          <w:i/>
        </w:rPr>
        <w:t xml:space="preserve"> common law principle of counter spoliation is inconsistent with the Constitution, and invalid to the extent that it permits the eviction of persons </w:t>
      </w:r>
      <w:r w:rsidRPr="00F01C7E">
        <w:rPr>
          <w:rFonts w:ascii="Arial" w:hAnsi="Arial" w:cs="Arial"/>
          <w:i/>
        </w:rPr>
        <w:lastRenderedPageBreak/>
        <w:t xml:space="preserve">from, and the demolition of, occupied structures.” </w:t>
      </w:r>
      <w:r w:rsidRPr="00F01C7E">
        <w:rPr>
          <w:rStyle w:val="FootnoteReference"/>
          <w:rFonts w:ascii="Arial" w:hAnsi="Arial" w:cs="Arial"/>
          <w:i/>
        </w:rPr>
        <w:footnoteReference w:id="79"/>
      </w:r>
    </w:p>
    <w:p w:rsidR="00413836" w:rsidRPr="00F01C7E" w:rsidRDefault="00413836" w:rsidP="00413836">
      <w:pPr>
        <w:pStyle w:val="ListParagraph"/>
        <w:spacing w:line="360" w:lineRule="auto"/>
        <w:ind w:left="1080"/>
        <w:rPr>
          <w:rFonts w:ascii="Arial" w:hAnsi="Arial" w:cs="Arial"/>
          <w:i/>
        </w:rPr>
      </w:pPr>
    </w:p>
    <w:p w:rsidR="00413836" w:rsidRPr="00F01C7E" w:rsidRDefault="00413836" w:rsidP="00413836">
      <w:pPr>
        <w:pStyle w:val="ListParagraph"/>
        <w:spacing w:line="360" w:lineRule="auto"/>
        <w:ind w:left="1080"/>
        <w:rPr>
          <w:rFonts w:ascii="Arial" w:hAnsi="Arial" w:cs="Arial"/>
        </w:rPr>
      </w:pPr>
      <w:r w:rsidRPr="00F01C7E">
        <w:rPr>
          <w:rFonts w:ascii="Arial" w:hAnsi="Arial" w:cs="Arial"/>
        </w:rPr>
        <w:t>Initially the order seeking to declare counter-spoliations unconstitutional referred to the eviction of persons from, and the demolition of, both occupied and unoccupied temporary or permanent dwellings or shelters at the time of such eviction or demolition</w:t>
      </w:r>
      <w:r w:rsidR="00195B3B">
        <w:rPr>
          <w:rFonts w:ascii="Arial" w:hAnsi="Arial" w:cs="Arial"/>
        </w:rPr>
        <w:t xml:space="preserve">- </w:t>
      </w:r>
      <w:r>
        <w:rPr>
          <w:rFonts w:ascii="Arial" w:hAnsi="Arial" w:cs="Arial"/>
        </w:rPr>
        <w:t xml:space="preserve">not </w:t>
      </w:r>
      <w:r w:rsidR="00195B3B">
        <w:rPr>
          <w:rFonts w:ascii="Arial" w:hAnsi="Arial" w:cs="Arial"/>
        </w:rPr>
        <w:t>solely</w:t>
      </w:r>
      <w:r>
        <w:rPr>
          <w:rFonts w:ascii="Arial" w:hAnsi="Arial" w:cs="Arial"/>
        </w:rPr>
        <w:t xml:space="preserve"> occupied structures</w:t>
      </w:r>
      <w:r w:rsidRPr="00F01C7E">
        <w:rPr>
          <w:rFonts w:ascii="Arial" w:hAnsi="Arial" w:cs="Arial"/>
        </w:rPr>
        <w:t>.</w:t>
      </w:r>
      <w:r w:rsidRPr="00F01C7E">
        <w:rPr>
          <w:rStyle w:val="FootnoteReference"/>
          <w:rFonts w:ascii="Arial" w:hAnsi="Arial" w:cs="Arial"/>
        </w:rPr>
        <w:footnoteReference w:id="80"/>
      </w:r>
      <w:r w:rsidRPr="00F01C7E">
        <w:rPr>
          <w:rFonts w:ascii="Arial" w:hAnsi="Arial" w:cs="Arial"/>
        </w:rPr>
        <w:t xml:space="preserve">  </w:t>
      </w:r>
    </w:p>
    <w:p w:rsidR="00413836" w:rsidRPr="00F01C7E" w:rsidRDefault="00413836" w:rsidP="00413836">
      <w:pPr>
        <w:pStyle w:val="ListParagraph"/>
        <w:spacing w:line="360" w:lineRule="auto"/>
        <w:ind w:left="1080"/>
        <w:rPr>
          <w:rFonts w:ascii="Arial" w:hAnsi="Arial" w:cs="Arial"/>
        </w:rPr>
      </w:pPr>
    </w:p>
    <w:p w:rsidR="00413836" w:rsidRPr="00F01C7E" w:rsidRDefault="00413836" w:rsidP="00413836">
      <w:pPr>
        <w:pStyle w:val="ListParagraph"/>
        <w:numPr>
          <w:ilvl w:val="1"/>
          <w:numId w:val="3"/>
        </w:numPr>
        <w:spacing w:line="360" w:lineRule="auto"/>
        <w:rPr>
          <w:rFonts w:ascii="Arial" w:hAnsi="Arial" w:cs="Arial"/>
        </w:rPr>
      </w:pPr>
      <w:r w:rsidRPr="00F01C7E">
        <w:rPr>
          <w:rFonts w:ascii="Arial" w:hAnsi="Arial" w:cs="Arial"/>
        </w:rPr>
        <w:t>the demolition without a court order of the informal dwellings or structures that had been erected</w:t>
      </w:r>
      <w:r>
        <w:rPr>
          <w:rFonts w:ascii="Arial" w:hAnsi="Arial" w:cs="Arial"/>
        </w:rPr>
        <w:t xml:space="preserve"> was u</w:t>
      </w:r>
      <w:r w:rsidRPr="00F01C7E">
        <w:rPr>
          <w:rFonts w:ascii="Arial" w:hAnsi="Arial" w:cs="Arial"/>
        </w:rPr>
        <w:t>nlawful, invalid and unconstitutional.</w:t>
      </w:r>
      <w:r w:rsidRPr="00F01C7E">
        <w:rPr>
          <w:rStyle w:val="FootnoteReference"/>
          <w:rFonts w:ascii="Arial" w:hAnsi="Arial" w:cs="Arial"/>
        </w:rPr>
        <w:footnoteReference w:id="81"/>
      </w:r>
    </w:p>
    <w:p w:rsidR="00413836" w:rsidRPr="00F01C7E" w:rsidRDefault="00413836" w:rsidP="00413836">
      <w:pPr>
        <w:pStyle w:val="ListParagraph"/>
        <w:rPr>
          <w:rFonts w:ascii="Arial" w:hAnsi="Arial" w:cs="Arial"/>
        </w:rPr>
      </w:pPr>
    </w:p>
    <w:p w:rsidR="00413836" w:rsidRPr="00F01C7E" w:rsidRDefault="00413836" w:rsidP="00413836">
      <w:pPr>
        <w:pStyle w:val="ListParagraph"/>
        <w:numPr>
          <w:ilvl w:val="0"/>
          <w:numId w:val="3"/>
        </w:numPr>
        <w:spacing w:line="360" w:lineRule="auto"/>
        <w:rPr>
          <w:rFonts w:ascii="Arial" w:hAnsi="Arial" w:cs="Arial"/>
        </w:rPr>
      </w:pPr>
      <w:r w:rsidRPr="00F01C7E">
        <w:rPr>
          <w:rFonts w:ascii="Arial" w:hAnsi="Arial" w:cs="Arial"/>
        </w:rPr>
        <w:t xml:space="preserve">The Full Court identified a crucial question to be whether officials of the City </w:t>
      </w:r>
      <w:r w:rsidRPr="00F01C7E">
        <w:rPr>
          <w:rFonts w:ascii="Arial" w:hAnsi="Arial" w:cs="Arial"/>
          <w:i/>
        </w:rPr>
        <w:t>“who visibly conducted themselves in such an egregious manner, acted lawfully, in terms of the common law defence of counter spoliation, or whether possession was lost and counter spoliation was no longer available to them and their actions required judicial supervision</w:t>
      </w:r>
      <w:r w:rsidRPr="00F01C7E">
        <w:rPr>
          <w:rFonts w:ascii="Arial" w:hAnsi="Arial" w:cs="Arial"/>
        </w:rPr>
        <w:t xml:space="preserve">.” </w:t>
      </w:r>
    </w:p>
    <w:p w:rsidR="00413836" w:rsidRPr="00F01C7E" w:rsidRDefault="00413836" w:rsidP="00413836">
      <w:pPr>
        <w:pStyle w:val="ListParagraph"/>
        <w:spacing w:line="360" w:lineRule="auto"/>
        <w:ind w:left="360"/>
        <w:rPr>
          <w:rFonts w:ascii="Arial" w:hAnsi="Arial" w:cs="Arial"/>
        </w:rPr>
      </w:pPr>
    </w:p>
    <w:p w:rsidR="00413836" w:rsidRPr="00F01C7E" w:rsidRDefault="00413836" w:rsidP="00413836">
      <w:pPr>
        <w:pStyle w:val="ListParagraph"/>
        <w:spacing w:line="360" w:lineRule="auto"/>
        <w:ind w:left="360"/>
        <w:rPr>
          <w:rFonts w:ascii="Arial" w:hAnsi="Arial" w:cs="Arial"/>
          <w:i/>
        </w:rPr>
      </w:pPr>
      <w:r w:rsidRPr="00F01C7E">
        <w:rPr>
          <w:rFonts w:ascii="Arial" w:hAnsi="Arial" w:cs="Arial"/>
        </w:rPr>
        <w:t xml:space="preserve">The court had earlier expressed its </w:t>
      </w:r>
      <w:r w:rsidR="00195B3B">
        <w:rPr>
          <w:rFonts w:ascii="Arial" w:hAnsi="Arial" w:cs="Arial"/>
        </w:rPr>
        <w:t xml:space="preserve">abhorrence of </w:t>
      </w:r>
      <w:r>
        <w:rPr>
          <w:rFonts w:ascii="Arial" w:hAnsi="Arial" w:cs="Arial"/>
        </w:rPr>
        <w:t xml:space="preserve">the </w:t>
      </w:r>
      <w:r w:rsidRPr="00F01C7E">
        <w:rPr>
          <w:rFonts w:ascii="Arial" w:hAnsi="Arial" w:cs="Arial"/>
        </w:rPr>
        <w:t>City</w:t>
      </w:r>
      <w:r>
        <w:rPr>
          <w:rFonts w:ascii="Arial" w:hAnsi="Arial" w:cs="Arial"/>
        </w:rPr>
        <w:t xml:space="preserve">’s conduct </w:t>
      </w:r>
      <w:r w:rsidRPr="00F01C7E">
        <w:rPr>
          <w:rFonts w:ascii="Arial" w:hAnsi="Arial" w:cs="Arial"/>
        </w:rPr>
        <w:t>in the following terms: “…</w:t>
      </w:r>
      <w:r w:rsidRPr="00F01C7E">
        <w:rPr>
          <w:rFonts w:ascii="Arial" w:hAnsi="Arial" w:cs="Arial"/>
          <w:i/>
        </w:rPr>
        <w:t xml:space="preserve"> while the country was in the grip of a lockdown because of the Covid-19 pandemic, the third applicant, …., naked and in full glare of the public and social media, was forcefully dragged out of his informal structure in a settlement in Khayelitsha, by officials of the City of Cape Town. They thereafter proceeded to demolish his structure with crowbars. That image has, profoundly, been described as reminiscent of the brutal forced removals under apartheid. That is the face of the common law defence of counter spoliation, as understood and applied, on which the City of Cape Town, the first respondent, relies for the summary demolition of the structure by its </w:t>
      </w:r>
      <w:r w:rsidRPr="00F01C7E">
        <w:rPr>
          <w:rFonts w:ascii="Arial" w:hAnsi="Arial" w:cs="Arial"/>
          <w:i/>
          <w:lang w:val="en-GB"/>
        </w:rPr>
        <w:t xml:space="preserve">officials, who unilaterally determined that the structure was unoccupied. It is this incident, and conduct of a similar nature by the City of Cape Town </w:t>
      </w:r>
      <w:r w:rsidRPr="00F01C7E">
        <w:rPr>
          <w:rFonts w:ascii="Arial" w:hAnsi="Arial" w:cs="Arial"/>
          <w:b/>
          <w:bCs/>
          <w:i/>
          <w:lang w:val="en-GB"/>
        </w:rPr>
        <w:t>…</w:t>
      </w:r>
      <w:r w:rsidRPr="00F01C7E">
        <w:rPr>
          <w:rFonts w:ascii="Arial" w:hAnsi="Arial" w:cs="Arial"/>
          <w:i/>
          <w:lang w:val="en-GB"/>
        </w:rPr>
        <w:t xml:space="preserve"> and its officials, that the applicants seek to have declared unlawful and, insofar as such conduct is permitted by the remedy </w:t>
      </w:r>
      <w:r w:rsidRPr="00F01C7E">
        <w:rPr>
          <w:rFonts w:ascii="Arial" w:hAnsi="Arial" w:cs="Arial"/>
          <w:i/>
          <w:lang w:val="en-GB"/>
        </w:rPr>
        <w:lastRenderedPageBreak/>
        <w:t>of counter spoliation, that such remedy be struck down as being unlawful and unconstitutional.”</w:t>
      </w:r>
      <w:r w:rsidRPr="00F01C7E">
        <w:rPr>
          <w:rStyle w:val="FootnoteReference"/>
          <w:rFonts w:ascii="Arial" w:hAnsi="Arial" w:cs="Arial"/>
          <w:i/>
          <w:lang w:val="en-GB"/>
        </w:rPr>
        <w:footnoteReference w:id="82"/>
      </w:r>
    </w:p>
    <w:p w:rsidR="00413836" w:rsidRPr="00F01C7E" w:rsidRDefault="00413836" w:rsidP="00413836">
      <w:pPr>
        <w:spacing w:line="360" w:lineRule="auto"/>
        <w:rPr>
          <w:rFonts w:ascii="Arial" w:hAnsi="Arial" w:cs="Arial"/>
        </w:rPr>
      </w:pPr>
    </w:p>
    <w:p w:rsidR="00413836" w:rsidRDefault="00413836" w:rsidP="00413836">
      <w:pPr>
        <w:pStyle w:val="ListParagraph"/>
        <w:numPr>
          <w:ilvl w:val="0"/>
          <w:numId w:val="3"/>
        </w:numPr>
        <w:spacing w:line="360" w:lineRule="auto"/>
        <w:rPr>
          <w:rFonts w:ascii="Arial" w:hAnsi="Arial" w:cs="Arial"/>
        </w:rPr>
      </w:pPr>
      <w:r w:rsidRPr="00F01C7E">
        <w:rPr>
          <w:rFonts w:ascii="Arial" w:hAnsi="Arial" w:cs="Arial"/>
        </w:rPr>
        <w:t xml:space="preserve">The issues before the </w:t>
      </w:r>
      <w:r>
        <w:rPr>
          <w:rFonts w:ascii="Arial" w:hAnsi="Arial" w:cs="Arial"/>
        </w:rPr>
        <w:t>court were whether, and if so in what circumstances can</w:t>
      </w:r>
      <w:r w:rsidR="00195B3B">
        <w:rPr>
          <w:rFonts w:ascii="Arial" w:hAnsi="Arial" w:cs="Arial"/>
        </w:rPr>
        <w:t>,</w:t>
      </w:r>
      <w:r w:rsidRPr="00F01C7E">
        <w:rPr>
          <w:rFonts w:ascii="Arial" w:hAnsi="Arial" w:cs="Arial"/>
        </w:rPr>
        <w:t xml:space="preserve"> an unlawful dispossession (i.e. a spoliation) be lawfully repelled by means of counter-spoliation. </w:t>
      </w:r>
    </w:p>
    <w:p w:rsidR="00413836" w:rsidRPr="00F01C7E" w:rsidRDefault="00413836" w:rsidP="00413836">
      <w:pPr>
        <w:pStyle w:val="ListParagraph"/>
        <w:spacing w:line="360" w:lineRule="auto"/>
        <w:ind w:left="360"/>
        <w:rPr>
          <w:rFonts w:ascii="Arial" w:hAnsi="Arial" w:cs="Arial"/>
        </w:rPr>
      </w:pPr>
    </w:p>
    <w:p w:rsidR="00413836" w:rsidRDefault="00413836" w:rsidP="00413836">
      <w:pPr>
        <w:pStyle w:val="ListParagraph"/>
        <w:numPr>
          <w:ilvl w:val="0"/>
          <w:numId w:val="3"/>
        </w:numPr>
        <w:spacing w:line="360" w:lineRule="auto"/>
        <w:rPr>
          <w:rFonts w:ascii="Arial" w:hAnsi="Arial" w:cs="Arial"/>
        </w:rPr>
      </w:pPr>
      <w:r w:rsidRPr="00A65D36">
        <w:rPr>
          <w:rFonts w:ascii="Arial" w:hAnsi="Arial" w:cs="Arial"/>
        </w:rPr>
        <w:t xml:space="preserve">The Full Court had received an ambivalent reply from the applicants as to whether they </w:t>
      </w:r>
      <w:r>
        <w:rPr>
          <w:rFonts w:ascii="Arial" w:hAnsi="Arial" w:cs="Arial"/>
        </w:rPr>
        <w:t>were arguing f</w:t>
      </w:r>
      <w:r w:rsidRPr="00A65D36">
        <w:rPr>
          <w:rFonts w:ascii="Arial" w:hAnsi="Arial" w:cs="Arial"/>
        </w:rPr>
        <w:t>or a development of the common law in regard to counter-spoliation</w:t>
      </w:r>
      <w:r>
        <w:rPr>
          <w:rFonts w:ascii="Arial" w:hAnsi="Arial" w:cs="Arial"/>
        </w:rPr>
        <w:t>. The court</w:t>
      </w:r>
      <w:r w:rsidRPr="00A65D36">
        <w:rPr>
          <w:rFonts w:ascii="Arial" w:hAnsi="Arial" w:cs="Arial"/>
        </w:rPr>
        <w:t xml:space="preserve"> however found that its application of </w:t>
      </w:r>
      <w:r w:rsidRPr="00A65D36">
        <w:rPr>
          <w:rFonts w:ascii="Arial" w:hAnsi="Arial" w:cs="Arial"/>
          <w:i/>
        </w:rPr>
        <w:t xml:space="preserve">Yeko </w:t>
      </w:r>
      <w:r w:rsidRPr="00A65D36">
        <w:rPr>
          <w:rFonts w:ascii="Arial" w:hAnsi="Arial" w:cs="Arial"/>
        </w:rPr>
        <w:t xml:space="preserve"> </w:t>
      </w:r>
      <w:r>
        <w:rPr>
          <w:rFonts w:ascii="Arial" w:hAnsi="Arial" w:cs="Arial"/>
        </w:rPr>
        <w:t>would be</w:t>
      </w:r>
      <w:r w:rsidRPr="00A65D36">
        <w:rPr>
          <w:rFonts w:ascii="Arial" w:hAnsi="Arial" w:cs="Arial"/>
        </w:rPr>
        <w:t xml:space="preserve"> consistent with the Constitution and consequently found it unnecessary to develop the common law.</w:t>
      </w:r>
      <w:r w:rsidRPr="00F01C7E">
        <w:rPr>
          <w:rStyle w:val="FootnoteReference"/>
          <w:rFonts w:ascii="Arial" w:hAnsi="Arial" w:cs="Arial"/>
        </w:rPr>
        <w:footnoteReference w:id="83"/>
      </w:r>
    </w:p>
    <w:p w:rsidR="00195B3B" w:rsidRPr="00195B3B" w:rsidRDefault="00195B3B" w:rsidP="00195B3B">
      <w:pPr>
        <w:pStyle w:val="ListParagraph"/>
        <w:rPr>
          <w:rFonts w:ascii="Arial" w:hAnsi="Arial" w:cs="Arial"/>
        </w:rPr>
      </w:pPr>
    </w:p>
    <w:p w:rsidR="00413836" w:rsidRPr="00F01C7E" w:rsidRDefault="00413836" w:rsidP="00413836">
      <w:pPr>
        <w:pStyle w:val="ListParagraph"/>
        <w:numPr>
          <w:ilvl w:val="0"/>
          <w:numId w:val="3"/>
        </w:numPr>
        <w:spacing w:line="360" w:lineRule="auto"/>
        <w:rPr>
          <w:rFonts w:ascii="Arial" w:hAnsi="Arial" w:cs="Arial"/>
        </w:rPr>
      </w:pPr>
      <w:r>
        <w:rPr>
          <w:rFonts w:ascii="Arial" w:hAnsi="Arial" w:cs="Arial"/>
        </w:rPr>
        <w:t xml:space="preserve">Many of the </w:t>
      </w:r>
      <w:r w:rsidRPr="00F01C7E">
        <w:rPr>
          <w:rFonts w:ascii="Arial" w:hAnsi="Arial" w:cs="Arial"/>
        </w:rPr>
        <w:t xml:space="preserve">findings of law </w:t>
      </w:r>
      <w:r>
        <w:rPr>
          <w:rFonts w:ascii="Arial" w:hAnsi="Arial" w:cs="Arial"/>
        </w:rPr>
        <w:t xml:space="preserve">in </w:t>
      </w:r>
      <w:r w:rsidRPr="00A65D36">
        <w:rPr>
          <w:rFonts w:ascii="Arial" w:hAnsi="Arial" w:cs="Arial"/>
          <w:i/>
        </w:rPr>
        <w:t>SAHRC</w:t>
      </w:r>
      <w:r>
        <w:rPr>
          <w:rFonts w:ascii="Arial" w:hAnsi="Arial" w:cs="Arial"/>
        </w:rPr>
        <w:t xml:space="preserve"> are not substantially dissimilar to those expressed earlier. The Full Court found that:</w:t>
      </w:r>
    </w:p>
    <w:p w:rsidR="00413836" w:rsidRPr="00F01C7E" w:rsidRDefault="00413836" w:rsidP="00413836">
      <w:pPr>
        <w:pStyle w:val="ListParagraph"/>
        <w:rPr>
          <w:rFonts w:ascii="Arial" w:hAnsi="Arial" w:cs="Arial"/>
        </w:rPr>
      </w:pPr>
    </w:p>
    <w:p w:rsidR="00413836" w:rsidRDefault="00413836" w:rsidP="00413836">
      <w:pPr>
        <w:pStyle w:val="ListParagraph"/>
        <w:numPr>
          <w:ilvl w:val="1"/>
          <w:numId w:val="3"/>
        </w:numPr>
        <w:spacing w:line="360" w:lineRule="auto"/>
        <w:rPr>
          <w:rFonts w:ascii="Arial" w:hAnsi="Arial" w:cs="Arial"/>
        </w:rPr>
      </w:pPr>
      <w:r>
        <w:rPr>
          <w:rFonts w:ascii="Arial" w:hAnsi="Arial" w:cs="Arial"/>
        </w:rPr>
        <w:t xml:space="preserve">Counter-spoliation </w:t>
      </w:r>
      <w:r w:rsidRPr="00F01C7E">
        <w:rPr>
          <w:rFonts w:ascii="Arial" w:hAnsi="Arial" w:cs="Arial"/>
        </w:rPr>
        <w:t xml:space="preserve">is a continuation or part of the </w:t>
      </w:r>
      <w:r w:rsidRPr="00413836">
        <w:rPr>
          <w:rFonts w:ascii="Arial" w:hAnsi="Arial" w:cs="Arial"/>
          <w:i/>
        </w:rPr>
        <w:t>res gestae</w:t>
      </w:r>
      <w:r w:rsidRPr="00F01C7E">
        <w:rPr>
          <w:rFonts w:ascii="Arial" w:hAnsi="Arial" w:cs="Arial"/>
        </w:rPr>
        <w:t xml:space="preserve"> in regard to the despoiler’s appropriation of possession and for that reason must be </w:t>
      </w:r>
      <w:r w:rsidRPr="00413836">
        <w:rPr>
          <w:rFonts w:ascii="Arial" w:hAnsi="Arial" w:cs="Arial"/>
          <w:i/>
        </w:rPr>
        <w:t>instanter</w:t>
      </w:r>
      <w:r w:rsidRPr="00F01C7E">
        <w:rPr>
          <w:rFonts w:ascii="Arial" w:hAnsi="Arial" w:cs="Arial"/>
        </w:rPr>
        <w:t>;</w:t>
      </w:r>
      <w:r w:rsidRPr="00F01C7E">
        <w:rPr>
          <w:rStyle w:val="FootnoteReference"/>
          <w:rFonts w:ascii="Arial" w:hAnsi="Arial" w:cs="Arial"/>
        </w:rPr>
        <w:footnoteReference w:id="84"/>
      </w:r>
    </w:p>
    <w:p w:rsidR="00413836" w:rsidRDefault="00413836" w:rsidP="00413836">
      <w:pPr>
        <w:pStyle w:val="ListParagraph"/>
        <w:spacing w:line="360" w:lineRule="auto"/>
        <w:ind w:left="1080"/>
        <w:rPr>
          <w:rFonts w:ascii="Arial" w:hAnsi="Arial" w:cs="Arial"/>
        </w:rPr>
      </w:pPr>
    </w:p>
    <w:p w:rsidR="00413836" w:rsidRDefault="00413836" w:rsidP="00413836">
      <w:pPr>
        <w:pStyle w:val="ListParagraph"/>
        <w:numPr>
          <w:ilvl w:val="1"/>
          <w:numId w:val="3"/>
        </w:numPr>
        <w:spacing w:line="360" w:lineRule="auto"/>
        <w:rPr>
          <w:rFonts w:ascii="Arial" w:hAnsi="Arial" w:cs="Arial"/>
        </w:rPr>
      </w:pPr>
      <w:r w:rsidRPr="00491C20">
        <w:rPr>
          <w:rFonts w:ascii="Arial" w:hAnsi="Arial" w:cs="Arial"/>
        </w:rPr>
        <w:t>Counter spoliation can only be brought against someone who has not yet gained peaceful and undisturbed possession</w:t>
      </w:r>
      <w:r>
        <w:rPr>
          <w:rFonts w:ascii="Arial" w:hAnsi="Arial" w:cs="Arial"/>
        </w:rPr>
        <w:t xml:space="preserve"> </w:t>
      </w:r>
      <w:r w:rsidR="00195B3B">
        <w:rPr>
          <w:rFonts w:ascii="Arial" w:hAnsi="Arial" w:cs="Arial"/>
        </w:rPr>
        <w:t xml:space="preserve">of </w:t>
      </w:r>
      <w:r>
        <w:rPr>
          <w:rFonts w:ascii="Arial" w:hAnsi="Arial" w:cs="Arial"/>
        </w:rPr>
        <w:t>property;</w:t>
      </w:r>
      <w:r w:rsidRPr="00491C20">
        <w:rPr>
          <w:rFonts w:ascii="Arial" w:hAnsi="Arial" w:cs="Arial"/>
        </w:rPr>
        <w:t xml:space="preserve"> </w:t>
      </w:r>
      <w:r w:rsidRPr="00F01C7E">
        <w:rPr>
          <w:rStyle w:val="FootnoteReference"/>
          <w:rFonts w:ascii="Arial" w:hAnsi="Arial" w:cs="Arial"/>
        </w:rPr>
        <w:footnoteReference w:id="85"/>
      </w:r>
    </w:p>
    <w:p w:rsidR="00413836" w:rsidRPr="00491C20" w:rsidRDefault="00413836" w:rsidP="00413836">
      <w:pPr>
        <w:pStyle w:val="ListParagraph"/>
        <w:rPr>
          <w:rFonts w:ascii="Arial" w:hAnsi="Arial" w:cs="Arial"/>
        </w:rPr>
      </w:pPr>
    </w:p>
    <w:p w:rsidR="00413836" w:rsidRDefault="00413836" w:rsidP="00413836">
      <w:pPr>
        <w:pStyle w:val="ListParagraph"/>
        <w:numPr>
          <w:ilvl w:val="1"/>
          <w:numId w:val="3"/>
        </w:numPr>
        <w:spacing w:line="360" w:lineRule="auto"/>
        <w:rPr>
          <w:rFonts w:ascii="Arial" w:hAnsi="Arial" w:cs="Arial"/>
        </w:rPr>
      </w:pPr>
      <w:r w:rsidRPr="00491C20">
        <w:rPr>
          <w:rFonts w:ascii="Arial" w:hAnsi="Arial" w:cs="Arial"/>
        </w:rPr>
        <w:t xml:space="preserve">The requirement of possession to enable a person to bring a mandament van spolie does not </w:t>
      </w:r>
      <w:r w:rsidR="00195B3B">
        <w:rPr>
          <w:rFonts w:ascii="Arial" w:hAnsi="Arial" w:cs="Arial"/>
        </w:rPr>
        <w:t xml:space="preserve">necessarily </w:t>
      </w:r>
      <w:r w:rsidRPr="00491C20">
        <w:rPr>
          <w:rFonts w:ascii="Arial" w:hAnsi="Arial" w:cs="Arial"/>
        </w:rPr>
        <w:t>require actual physical occupation of a structure</w:t>
      </w:r>
      <w:r>
        <w:rPr>
          <w:rFonts w:ascii="Arial" w:hAnsi="Arial" w:cs="Arial"/>
        </w:rPr>
        <w:t>;</w:t>
      </w:r>
    </w:p>
    <w:p w:rsidR="00195B3B" w:rsidRPr="00195B3B" w:rsidRDefault="00195B3B" w:rsidP="00195B3B">
      <w:pPr>
        <w:pStyle w:val="ListParagraph"/>
        <w:rPr>
          <w:rFonts w:ascii="Arial" w:hAnsi="Arial" w:cs="Arial"/>
        </w:rPr>
      </w:pPr>
    </w:p>
    <w:p w:rsidR="00195B3B" w:rsidRDefault="00195B3B" w:rsidP="00195B3B">
      <w:pPr>
        <w:pStyle w:val="ListParagraph"/>
        <w:numPr>
          <w:ilvl w:val="1"/>
          <w:numId w:val="3"/>
        </w:numPr>
        <w:spacing w:line="360" w:lineRule="auto"/>
        <w:rPr>
          <w:rFonts w:ascii="Arial" w:hAnsi="Arial" w:cs="Arial"/>
        </w:rPr>
      </w:pPr>
      <w:r>
        <w:rPr>
          <w:rFonts w:ascii="Arial" w:hAnsi="Arial" w:cs="Arial"/>
        </w:rPr>
        <w:t>Nonetheless if the intruder does not yet exercise e</w:t>
      </w:r>
      <w:r w:rsidRPr="00195B3B">
        <w:rPr>
          <w:rFonts w:ascii="Arial" w:hAnsi="Arial" w:cs="Arial"/>
        </w:rPr>
        <w:t>ffective phy</w:t>
      </w:r>
      <w:r>
        <w:rPr>
          <w:rFonts w:ascii="Arial" w:hAnsi="Arial" w:cs="Arial"/>
        </w:rPr>
        <w:t xml:space="preserve">sical control then counter-spoliation will be lawful. </w:t>
      </w:r>
      <w:r>
        <w:rPr>
          <w:rStyle w:val="FootnoteReference"/>
          <w:rFonts w:ascii="Arial" w:hAnsi="Arial" w:cs="Arial"/>
        </w:rPr>
        <w:footnoteReference w:id="86"/>
      </w:r>
    </w:p>
    <w:p w:rsidR="00413836" w:rsidRPr="00491C20" w:rsidRDefault="00413836" w:rsidP="00413836">
      <w:pPr>
        <w:pStyle w:val="ListParagraph"/>
        <w:numPr>
          <w:ilvl w:val="1"/>
          <w:numId w:val="3"/>
        </w:numPr>
        <w:spacing w:line="360" w:lineRule="auto"/>
        <w:rPr>
          <w:rFonts w:ascii="Arial" w:hAnsi="Arial" w:cs="Arial"/>
        </w:rPr>
      </w:pPr>
      <w:r w:rsidRPr="00491C20">
        <w:rPr>
          <w:rFonts w:ascii="Arial" w:hAnsi="Arial" w:cs="Arial"/>
        </w:rPr>
        <w:lastRenderedPageBreak/>
        <w:t>The mere entry onto land with the intention to occupy was insufficient to constitute peaceful and undisturbed possession;</w:t>
      </w:r>
    </w:p>
    <w:p w:rsidR="00413836" w:rsidRPr="00F01C7E" w:rsidRDefault="00413836" w:rsidP="00413836">
      <w:pPr>
        <w:pStyle w:val="ListParagraph"/>
        <w:spacing w:line="360" w:lineRule="auto"/>
        <w:ind w:left="1080"/>
        <w:rPr>
          <w:rFonts w:ascii="Arial" w:hAnsi="Arial" w:cs="Arial"/>
        </w:rPr>
      </w:pPr>
    </w:p>
    <w:p w:rsidR="00413836" w:rsidRDefault="00195B3B" w:rsidP="00413836">
      <w:pPr>
        <w:pStyle w:val="ListParagraph"/>
        <w:numPr>
          <w:ilvl w:val="0"/>
          <w:numId w:val="3"/>
        </w:numPr>
        <w:spacing w:line="360" w:lineRule="auto"/>
        <w:rPr>
          <w:rFonts w:ascii="Arial" w:hAnsi="Arial" w:cs="Arial"/>
        </w:rPr>
      </w:pPr>
      <w:r>
        <w:rPr>
          <w:rFonts w:ascii="Arial" w:hAnsi="Arial" w:cs="Arial"/>
        </w:rPr>
        <w:t xml:space="preserve">However </w:t>
      </w:r>
      <w:r w:rsidRPr="00195B3B">
        <w:rPr>
          <w:rFonts w:ascii="Arial" w:hAnsi="Arial" w:cs="Arial"/>
          <w:i/>
        </w:rPr>
        <w:t>SAHRC</w:t>
      </w:r>
      <w:r w:rsidR="00413836" w:rsidRPr="00943651">
        <w:rPr>
          <w:rFonts w:ascii="Arial" w:hAnsi="Arial" w:cs="Arial"/>
        </w:rPr>
        <w:t xml:space="preserve"> held that counter-spoliation cannot be brought against a person who was </w:t>
      </w:r>
      <w:r w:rsidR="00413836" w:rsidRPr="00943651">
        <w:rPr>
          <w:rFonts w:ascii="Arial" w:hAnsi="Arial" w:cs="Arial"/>
          <w:i/>
        </w:rPr>
        <w:t>de facto</w:t>
      </w:r>
      <w:r w:rsidR="00413836" w:rsidRPr="00943651">
        <w:rPr>
          <w:rFonts w:ascii="Arial" w:hAnsi="Arial" w:cs="Arial"/>
        </w:rPr>
        <w:t xml:space="preserve"> in possession with the intention of securing some personal benefit</w:t>
      </w:r>
      <w:r w:rsidR="00413836" w:rsidRPr="00F01C7E">
        <w:rPr>
          <w:rStyle w:val="FootnoteReference"/>
          <w:rFonts w:ascii="Arial" w:hAnsi="Arial" w:cs="Arial"/>
        </w:rPr>
        <w:footnoteReference w:id="87"/>
      </w:r>
      <w:r w:rsidR="00413836" w:rsidRPr="00943651">
        <w:rPr>
          <w:rFonts w:ascii="Arial" w:hAnsi="Arial" w:cs="Arial"/>
        </w:rPr>
        <w:t>. It therefore found that c</w:t>
      </w:r>
      <w:r w:rsidR="00413836">
        <w:rPr>
          <w:rFonts w:ascii="Arial" w:hAnsi="Arial" w:cs="Arial"/>
        </w:rPr>
        <w:t>o</w:t>
      </w:r>
      <w:r w:rsidR="00413836" w:rsidRPr="00943651">
        <w:rPr>
          <w:rFonts w:ascii="Arial" w:hAnsi="Arial" w:cs="Arial"/>
        </w:rPr>
        <w:t>unter-spoliation cannot be invoked once structures have been erected even though occupation has not occurred</w:t>
      </w:r>
      <w:r w:rsidR="00413836" w:rsidRPr="00F01C7E">
        <w:rPr>
          <w:rStyle w:val="FootnoteReference"/>
          <w:rFonts w:ascii="Arial" w:hAnsi="Arial" w:cs="Arial"/>
        </w:rPr>
        <w:footnoteReference w:id="88"/>
      </w:r>
      <w:r w:rsidR="00413836">
        <w:rPr>
          <w:rFonts w:ascii="Arial" w:hAnsi="Arial" w:cs="Arial"/>
        </w:rPr>
        <w:t xml:space="preserve">, </w:t>
      </w:r>
      <w:r w:rsidR="00413836" w:rsidRPr="00943651">
        <w:rPr>
          <w:rFonts w:ascii="Arial" w:hAnsi="Arial" w:cs="Arial"/>
        </w:rPr>
        <w:t xml:space="preserve"> </w:t>
      </w:r>
      <w:r w:rsidR="00413836">
        <w:rPr>
          <w:rFonts w:ascii="Arial" w:hAnsi="Arial" w:cs="Arial"/>
        </w:rPr>
        <w:t xml:space="preserve">and </w:t>
      </w:r>
      <w:r w:rsidR="00413836" w:rsidRPr="00013188">
        <w:rPr>
          <w:rFonts w:ascii="Arial" w:hAnsi="Arial" w:cs="Arial"/>
        </w:rPr>
        <w:t xml:space="preserve">an erected structure </w:t>
      </w:r>
      <w:r w:rsidR="00413836">
        <w:rPr>
          <w:rFonts w:ascii="Arial" w:hAnsi="Arial" w:cs="Arial"/>
        </w:rPr>
        <w:t>“</w:t>
      </w:r>
      <w:r w:rsidR="00413836" w:rsidRPr="006A299B">
        <w:rPr>
          <w:rFonts w:ascii="Arial" w:hAnsi="Arial" w:cs="Arial"/>
          <w:i/>
        </w:rPr>
        <w:t>need not be completed nor occupied</w:t>
      </w:r>
      <w:r w:rsidR="00413836">
        <w:rPr>
          <w:rFonts w:ascii="Arial" w:hAnsi="Arial" w:cs="Arial"/>
        </w:rPr>
        <w:t>”</w:t>
      </w:r>
      <w:r w:rsidR="00413836">
        <w:rPr>
          <w:rStyle w:val="FootnoteReference"/>
          <w:rFonts w:ascii="Arial" w:hAnsi="Arial" w:cs="Arial"/>
        </w:rPr>
        <w:footnoteReference w:id="89"/>
      </w:r>
      <w:r>
        <w:rPr>
          <w:rFonts w:ascii="Arial" w:hAnsi="Arial" w:cs="Arial"/>
        </w:rPr>
        <w:t xml:space="preserve"> since</w:t>
      </w:r>
      <w:r w:rsidR="00413836">
        <w:rPr>
          <w:rFonts w:ascii="Arial" w:hAnsi="Arial" w:cs="Arial"/>
        </w:rPr>
        <w:t xml:space="preserve"> </w:t>
      </w:r>
      <w:r>
        <w:rPr>
          <w:rFonts w:ascii="Arial" w:hAnsi="Arial" w:cs="Arial"/>
        </w:rPr>
        <w:t>“</w:t>
      </w:r>
      <w:r w:rsidR="00413836" w:rsidRPr="00013188">
        <w:rPr>
          <w:rFonts w:ascii="Arial" w:hAnsi="Arial" w:cs="Arial"/>
          <w:i/>
        </w:rPr>
        <w:t>incomplete structure</w:t>
      </w:r>
      <w:r w:rsidR="00413836">
        <w:rPr>
          <w:rFonts w:ascii="Arial" w:hAnsi="Arial" w:cs="Arial"/>
        </w:rPr>
        <w:t>s” w</w:t>
      </w:r>
      <w:r>
        <w:rPr>
          <w:rFonts w:ascii="Arial" w:hAnsi="Arial" w:cs="Arial"/>
        </w:rPr>
        <w:t>ill</w:t>
      </w:r>
      <w:r w:rsidR="00413836">
        <w:rPr>
          <w:rFonts w:ascii="Arial" w:hAnsi="Arial" w:cs="Arial"/>
        </w:rPr>
        <w:t xml:space="preserve"> suffice</w:t>
      </w:r>
      <w:r w:rsidR="00413836">
        <w:rPr>
          <w:rStyle w:val="FootnoteReference"/>
          <w:rFonts w:ascii="Arial" w:hAnsi="Arial" w:cs="Arial"/>
        </w:rPr>
        <w:footnoteReference w:id="90"/>
      </w:r>
      <w:r w:rsidR="00413836">
        <w:rPr>
          <w:rFonts w:ascii="Arial" w:hAnsi="Arial" w:cs="Arial"/>
        </w:rPr>
        <w:t>.</w:t>
      </w:r>
    </w:p>
    <w:p w:rsidR="00C349C8" w:rsidRPr="00C349C8" w:rsidRDefault="00C349C8" w:rsidP="00C349C8">
      <w:pPr>
        <w:pStyle w:val="ListParagraph"/>
        <w:rPr>
          <w:rFonts w:ascii="Arial" w:hAnsi="Arial" w:cs="Arial"/>
        </w:rPr>
      </w:pPr>
    </w:p>
    <w:p w:rsidR="00413836" w:rsidRPr="00413836" w:rsidRDefault="00682982" w:rsidP="00AF22DC">
      <w:pPr>
        <w:pStyle w:val="ListParagraph"/>
        <w:numPr>
          <w:ilvl w:val="0"/>
          <w:numId w:val="3"/>
        </w:numPr>
        <w:spacing w:line="360" w:lineRule="auto"/>
        <w:rPr>
          <w:rFonts w:ascii="Arial" w:hAnsi="Arial" w:cs="Arial"/>
          <w:i/>
        </w:rPr>
      </w:pPr>
      <w:r>
        <w:rPr>
          <w:rFonts w:ascii="Arial" w:hAnsi="Arial" w:cs="Arial"/>
        </w:rPr>
        <w:t xml:space="preserve">There are a number of fundamental </w:t>
      </w:r>
      <w:r w:rsidR="006C679A">
        <w:rPr>
          <w:rFonts w:ascii="Arial" w:hAnsi="Arial" w:cs="Arial"/>
        </w:rPr>
        <w:t>difficulties</w:t>
      </w:r>
      <w:r>
        <w:rPr>
          <w:rFonts w:ascii="Arial" w:hAnsi="Arial" w:cs="Arial"/>
        </w:rPr>
        <w:t xml:space="preserve"> in applying </w:t>
      </w:r>
      <w:r w:rsidRPr="00491C20">
        <w:rPr>
          <w:rFonts w:ascii="Arial" w:hAnsi="Arial" w:cs="Arial"/>
          <w:i/>
        </w:rPr>
        <w:t>SAHR</w:t>
      </w:r>
      <w:r w:rsidR="000625F3" w:rsidRPr="00491C20">
        <w:rPr>
          <w:rFonts w:ascii="Arial" w:hAnsi="Arial" w:cs="Arial"/>
          <w:i/>
        </w:rPr>
        <w:t>C</w:t>
      </w:r>
      <w:r w:rsidR="000625F3">
        <w:rPr>
          <w:rFonts w:ascii="Arial" w:hAnsi="Arial" w:cs="Arial"/>
        </w:rPr>
        <w:t xml:space="preserve">. </w:t>
      </w:r>
    </w:p>
    <w:p w:rsidR="00413836" w:rsidRDefault="00413836" w:rsidP="00413836">
      <w:pPr>
        <w:pStyle w:val="ListParagraph"/>
        <w:spacing w:line="360" w:lineRule="auto"/>
        <w:ind w:left="360"/>
        <w:rPr>
          <w:rFonts w:ascii="Arial" w:hAnsi="Arial" w:cs="Arial"/>
        </w:rPr>
      </w:pPr>
    </w:p>
    <w:p w:rsidR="00413836" w:rsidRDefault="000625F3" w:rsidP="00413836">
      <w:pPr>
        <w:pStyle w:val="ListParagraph"/>
        <w:spacing w:line="360" w:lineRule="auto"/>
        <w:ind w:left="360"/>
        <w:rPr>
          <w:rFonts w:ascii="Arial" w:hAnsi="Arial" w:cs="Arial"/>
        </w:rPr>
      </w:pPr>
      <w:r>
        <w:rPr>
          <w:rFonts w:ascii="Arial" w:hAnsi="Arial" w:cs="Arial"/>
        </w:rPr>
        <w:t xml:space="preserve">One that </w:t>
      </w:r>
      <w:r w:rsidR="00025D81">
        <w:rPr>
          <w:rFonts w:ascii="Arial" w:hAnsi="Arial" w:cs="Arial"/>
        </w:rPr>
        <w:t xml:space="preserve">immediately </w:t>
      </w:r>
      <w:r w:rsidR="00682982">
        <w:rPr>
          <w:rFonts w:ascii="Arial" w:hAnsi="Arial" w:cs="Arial"/>
        </w:rPr>
        <w:t xml:space="preserve">comes to mind is how the </w:t>
      </w:r>
      <w:r w:rsidR="00682982" w:rsidRPr="000625F3">
        <w:rPr>
          <w:rFonts w:ascii="Arial" w:hAnsi="Arial" w:cs="Arial"/>
          <w:i/>
        </w:rPr>
        <w:t>ratio</w:t>
      </w:r>
      <w:r w:rsidR="00682982">
        <w:rPr>
          <w:rFonts w:ascii="Arial" w:hAnsi="Arial" w:cs="Arial"/>
        </w:rPr>
        <w:t xml:space="preserve"> is to be applied in cases such as the present where structures </w:t>
      </w:r>
      <w:r w:rsidR="00413836">
        <w:rPr>
          <w:rFonts w:ascii="Arial" w:hAnsi="Arial" w:cs="Arial"/>
        </w:rPr>
        <w:t xml:space="preserve">have already been erected, not by the intruders, but by the authorities </w:t>
      </w:r>
      <w:r w:rsidR="00682982">
        <w:rPr>
          <w:rFonts w:ascii="Arial" w:hAnsi="Arial" w:cs="Arial"/>
        </w:rPr>
        <w:t xml:space="preserve">and </w:t>
      </w:r>
      <w:r w:rsidR="00413836">
        <w:rPr>
          <w:rFonts w:ascii="Arial" w:hAnsi="Arial" w:cs="Arial"/>
        </w:rPr>
        <w:t xml:space="preserve">are waiting to be handed over for occupation </w:t>
      </w:r>
      <w:r w:rsidR="00195B3B">
        <w:rPr>
          <w:rFonts w:ascii="Arial" w:hAnsi="Arial" w:cs="Arial"/>
        </w:rPr>
        <w:t xml:space="preserve">at the time </w:t>
      </w:r>
      <w:r w:rsidR="00413836">
        <w:rPr>
          <w:rFonts w:ascii="Arial" w:hAnsi="Arial" w:cs="Arial"/>
        </w:rPr>
        <w:t xml:space="preserve">the intruders attempt </w:t>
      </w:r>
      <w:r w:rsidR="00682982">
        <w:rPr>
          <w:rFonts w:ascii="Arial" w:hAnsi="Arial" w:cs="Arial"/>
        </w:rPr>
        <w:t xml:space="preserve">to appropriate these homes for themselves. </w:t>
      </w:r>
      <w:r w:rsidR="00195B3B">
        <w:rPr>
          <w:rFonts w:ascii="Arial" w:hAnsi="Arial" w:cs="Arial"/>
        </w:rPr>
        <w:t xml:space="preserve">Does the bringing in of some personal possessions suffice, even if they include a bed or cooking </w:t>
      </w:r>
      <w:r w:rsidR="00EE2C3B">
        <w:rPr>
          <w:rFonts w:ascii="Arial" w:hAnsi="Arial" w:cs="Arial"/>
        </w:rPr>
        <w:t>utensils?</w:t>
      </w:r>
    </w:p>
    <w:p w:rsidR="00195B3B" w:rsidRDefault="00195B3B" w:rsidP="00413836">
      <w:pPr>
        <w:pStyle w:val="ListParagraph"/>
        <w:spacing w:line="360" w:lineRule="auto"/>
        <w:ind w:left="360"/>
        <w:rPr>
          <w:rFonts w:ascii="Arial" w:hAnsi="Arial" w:cs="Arial"/>
        </w:rPr>
      </w:pPr>
    </w:p>
    <w:p w:rsidR="00682982" w:rsidRPr="00682982" w:rsidRDefault="00682982" w:rsidP="00413836">
      <w:pPr>
        <w:pStyle w:val="ListParagraph"/>
        <w:spacing w:line="360" w:lineRule="auto"/>
        <w:ind w:left="360"/>
        <w:rPr>
          <w:rFonts w:ascii="Arial" w:hAnsi="Arial" w:cs="Arial"/>
          <w:i/>
        </w:rPr>
      </w:pPr>
      <w:r>
        <w:rPr>
          <w:rFonts w:ascii="Arial" w:hAnsi="Arial" w:cs="Arial"/>
        </w:rPr>
        <w:t>In my respectful view no general principle can be fo</w:t>
      </w:r>
      <w:r w:rsidR="00730708">
        <w:rPr>
          <w:rFonts w:ascii="Arial" w:hAnsi="Arial" w:cs="Arial"/>
        </w:rPr>
        <w:t>rmulated which account</w:t>
      </w:r>
      <w:r w:rsidR="00195B3B">
        <w:rPr>
          <w:rFonts w:ascii="Arial" w:hAnsi="Arial" w:cs="Arial"/>
        </w:rPr>
        <w:t>s</w:t>
      </w:r>
      <w:r w:rsidR="00730708">
        <w:rPr>
          <w:rFonts w:ascii="Arial" w:hAnsi="Arial" w:cs="Arial"/>
        </w:rPr>
        <w:t xml:space="preserve"> for </w:t>
      </w:r>
      <w:r>
        <w:rPr>
          <w:rFonts w:ascii="Arial" w:hAnsi="Arial" w:cs="Arial"/>
        </w:rPr>
        <w:t xml:space="preserve">all the </w:t>
      </w:r>
      <w:r w:rsidR="00413836">
        <w:rPr>
          <w:rFonts w:ascii="Arial" w:hAnsi="Arial" w:cs="Arial"/>
        </w:rPr>
        <w:t xml:space="preserve">diverse factual permutations that may </w:t>
      </w:r>
      <w:r>
        <w:rPr>
          <w:rFonts w:ascii="Arial" w:hAnsi="Arial" w:cs="Arial"/>
        </w:rPr>
        <w:t>aris</w:t>
      </w:r>
      <w:r w:rsidR="00413836">
        <w:rPr>
          <w:rFonts w:ascii="Arial" w:hAnsi="Arial" w:cs="Arial"/>
        </w:rPr>
        <w:t>e</w:t>
      </w:r>
      <w:r>
        <w:rPr>
          <w:rFonts w:ascii="Arial" w:hAnsi="Arial" w:cs="Arial"/>
        </w:rPr>
        <w:t xml:space="preserve"> in spoliation cases.</w:t>
      </w:r>
      <w:r w:rsidR="00195B3B">
        <w:rPr>
          <w:rFonts w:ascii="Arial" w:hAnsi="Arial" w:cs="Arial"/>
        </w:rPr>
        <w:t xml:space="preserve"> It is precisely for this reason that the enquiry is entirely factual and case sensitive as to when peaceful and undisturbed p</w:t>
      </w:r>
      <w:r w:rsidR="00187C0F">
        <w:rPr>
          <w:rFonts w:ascii="Arial" w:hAnsi="Arial" w:cs="Arial"/>
        </w:rPr>
        <w:t>ossession</w:t>
      </w:r>
      <w:r w:rsidR="00195B3B">
        <w:rPr>
          <w:rFonts w:ascii="Arial" w:hAnsi="Arial" w:cs="Arial"/>
        </w:rPr>
        <w:t xml:space="preserve"> occurs in any given situation. </w:t>
      </w:r>
    </w:p>
    <w:p w:rsidR="00682982" w:rsidRPr="00682982" w:rsidRDefault="00682982" w:rsidP="00682982">
      <w:pPr>
        <w:pStyle w:val="ListParagraph"/>
        <w:rPr>
          <w:rFonts w:ascii="Arial" w:hAnsi="Arial" w:cs="Arial"/>
        </w:rPr>
      </w:pPr>
    </w:p>
    <w:p w:rsidR="003566C6" w:rsidRDefault="00413836" w:rsidP="00AF22DC">
      <w:pPr>
        <w:pStyle w:val="ListParagraph"/>
        <w:numPr>
          <w:ilvl w:val="0"/>
          <w:numId w:val="3"/>
        </w:numPr>
        <w:spacing w:line="360" w:lineRule="auto"/>
        <w:rPr>
          <w:rFonts w:ascii="Arial" w:hAnsi="Arial" w:cs="Arial"/>
        </w:rPr>
      </w:pPr>
      <w:r>
        <w:rPr>
          <w:rFonts w:ascii="Arial" w:hAnsi="Arial" w:cs="Arial"/>
        </w:rPr>
        <w:t xml:space="preserve">Another </w:t>
      </w:r>
      <w:r w:rsidR="00195B3B">
        <w:rPr>
          <w:rFonts w:ascii="Arial" w:hAnsi="Arial" w:cs="Arial"/>
        </w:rPr>
        <w:t xml:space="preserve">difficulty </w:t>
      </w:r>
      <w:r>
        <w:rPr>
          <w:rFonts w:ascii="Arial" w:hAnsi="Arial" w:cs="Arial"/>
        </w:rPr>
        <w:t>relates to the F</w:t>
      </w:r>
      <w:r w:rsidR="003566C6">
        <w:rPr>
          <w:rFonts w:ascii="Arial" w:hAnsi="Arial" w:cs="Arial"/>
        </w:rPr>
        <w:t xml:space="preserve">ull </w:t>
      </w:r>
      <w:r w:rsidR="006C679A">
        <w:rPr>
          <w:rFonts w:ascii="Arial" w:hAnsi="Arial" w:cs="Arial"/>
        </w:rPr>
        <w:t>Court’s finding</w:t>
      </w:r>
      <w:r w:rsidR="003566C6">
        <w:rPr>
          <w:rFonts w:ascii="Arial" w:hAnsi="Arial" w:cs="Arial"/>
        </w:rPr>
        <w:t xml:space="preserve"> that:</w:t>
      </w:r>
    </w:p>
    <w:p w:rsidR="003566C6" w:rsidRPr="003566C6" w:rsidRDefault="003566C6" w:rsidP="003566C6">
      <w:pPr>
        <w:pStyle w:val="ListParagraph"/>
        <w:rPr>
          <w:rFonts w:ascii="Arial" w:hAnsi="Arial" w:cs="Arial"/>
        </w:rPr>
      </w:pPr>
    </w:p>
    <w:p w:rsidR="003566C6" w:rsidRDefault="006C679A" w:rsidP="003566C6">
      <w:pPr>
        <w:pStyle w:val="ListParagraph"/>
        <w:spacing w:line="360" w:lineRule="auto"/>
        <w:ind w:left="1150"/>
        <w:rPr>
          <w:rFonts w:ascii="Arial" w:hAnsi="Arial" w:cs="Arial"/>
        </w:rPr>
      </w:pPr>
      <w:r w:rsidRPr="003566C6">
        <w:rPr>
          <w:rFonts w:ascii="Arial" w:hAnsi="Arial" w:cs="Arial"/>
        </w:rPr>
        <w:t>“</w:t>
      </w:r>
      <w:r w:rsidRPr="00491C20">
        <w:rPr>
          <w:rFonts w:ascii="Arial" w:hAnsi="Arial" w:cs="Arial"/>
          <w:i/>
        </w:rPr>
        <w:t>The</w:t>
      </w:r>
      <w:r w:rsidR="003566C6" w:rsidRPr="00491C20">
        <w:rPr>
          <w:rFonts w:ascii="Arial" w:hAnsi="Arial" w:cs="Arial"/>
          <w:i/>
        </w:rPr>
        <w:t xml:space="preserve"> structure need not be completed nor occupied for the possessory element of spoliation, as d</w:t>
      </w:r>
      <w:r w:rsidR="00491C20">
        <w:rPr>
          <w:rFonts w:ascii="Arial" w:hAnsi="Arial" w:cs="Arial"/>
          <w:i/>
        </w:rPr>
        <w:t>efined in Yeko, to be perfected</w:t>
      </w:r>
      <w:r w:rsidR="003566C6" w:rsidRPr="00491C20">
        <w:rPr>
          <w:rFonts w:ascii="Arial" w:hAnsi="Arial" w:cs="Arial"/>
          <w:i/>
        </w:rPr>
        <w:t>”</w:t>
      </w:r>
      <w:r w:rsidR="003566C6" w:rsidRPr="003566C6">
        <w:rPr>
          <w:rFonts w:ascii="Arial" w:hAnsi="Arial" w:cs="Arial"/>
        </w:rPr>
        <w:t xml:space="preserve"> </w:t>
      </w:r>
    </w:p>
    <w:p w:rsidR="00413836" w:rsidRDefault="00413836" w:rsidP="00491C20">
      <w:pPr>
        <w:spacing w:line="360" w:lineRule="auto"/>
        <w:ind w:left="720"/>
        <w:rPr>
          <w:rFonts w:ascii="Arial" w:hAnsi="Arial" w:cs="Arial"/>
        </w:rPr>
      </w:pPr>
    </w:p>
    <w:p w:rsidR="003566C6" w:rsidRPr="003566C6" w:rsidRDefault="003566C6" w:rsidP="00491C20">
      <w:pPr>
        <w:spacing w:line="360" w:lineRule="auto"/>
        <w:ind w:left="720"/>
        <w:rPr>
          <w:rFonts w:ascii="Arial" w:hAnsi="Arial" w:cs="Arial"/>
        </w:rPr>
      </w:pPr>
      <w:r>
        <w:rPr>
          <w:rFonts w:ascii="Arial" w:hAnsi="Arial" w:cs="Arial"/>
        </w:rPr>
        <w:t xml:space="preserve">is based on </w:t>
      </w:r>
      <w:r w:rsidR="00730708">
        <w:rPr>
          <w:rFonts w:ascii="Arial" w:hAnsi="Arial" w:cs="Arial"/>
        </w:rPr>
        <w:t xml:space="preserve">a particular </w:t>
      </w:r>
      <w:r>
        <w:rPr>
          <w:rFonts w:ascii="Arial" w:hAnsi="Arial" w:cs="Arial"/>
        </w:rPr>
        <w:t xml:space="preserve">passage in </w:t>
      </w:r>
      <w:r w:rsidRPr="00730708">
        <w:rPr>
          <w:rFonts w:ascii="Arial" w:hAnsi="Arial" w:cs="Arial"/>
          <w:i/>
        </w:rPr>
        <w:t>Yeko</w:t>
      </w:r>
      <w:r>
        <w:rPr>
          <w:rFonts w:ascii="Arial" w:hAnsi="Arial" w:cs="Arial"/>
        </w:rPr>
        <w:t xml:space="preserve"> which the court </w:t>
      </w:r>
      <w:r w:rsidR="00195B3B">
        <w:rPr>
          <w:rFonts w:ascii="Arial" w:hAnsi="Arial" w:cs="Arial"/>
        </w:rPr>
        <w:t>held</w:t>
      </w:r>
      <w:r>
        <w:rPr>
          <w:rFonts w:ascii="Arial" w:hAnsi="Arial" w:cs="Arial"/>
        </w:rPr>
        <w:t xml:space="preserve"> to be an </w:t>
      </w:r>
      <w:r>
        <w:rPr>
          <w:rFonts w:ascii="Arial" w:hAnsi="Arial" w:cs="Arial"/>
        </w:rPr>
        <w:lastRenderedPageBreak/>
        <w:t>unequivocal statement that the “</w:t>
      </w:r>
      <w:r w:rsidRPr="003566C6">
        <w:rPr>
          <w:rFonts w:ascii="Arial" w:hAnsi="Arial" w:cs="Arial"/>
          <w:i/>
        </w:rPr>
        <w:t>possession element in spoliation is not possession in the juridical sense but is constituted by the mere holding with the intent to derive some benefit”</w:t>
      </w:r>
      <w:r>
        <w:rPr>
          <w:rFonts w:ascii="Arial" w:hAnsi="Arial" w:cs="Arial"/>
        </w:rPr>
        <w:t xml:space="preserve"> </w:t>
      </w:r>
      <w:r>
        <w:rPr>
          <w:rStyle w:val="FootnoteReference"/>
          <w:rFonts w:ascii="Arial" w:hAnsi="Arial" w:cs="Arial"/>
        </w:rPr>
        <w:footnoteReference w:id="91"/>
      </w:r>
    </w:p>
    <w:p w:rsidR="003566C6" w:rsidRPr="003566C6" w:rsidRDefault="003566C6" w:rsidP="003566C6">
      <w:pPr>
        <w:pStyle w:val="ListParagraph"/>
        <w:spacing w:line="360" w:lineRule="auto"/>
        <w:ind w:left="1150"/>
        <w:rPr>
          <w:rFonts w:ascii="Arial" w:hAnsi="Arial" w:cs="Arial"/>
        </w:rPr>
      </w:pPr>
    </w:p>
    <w:p w:rsidR="003566C6" w:rsidRPr="00491C20" w:rsidRDefault="00730708" w:rsidP="00413836">
      <w:pPr>
        <w:pStyle w:val="ListParagraph"/>
        <w:numPr>
          <w:ilvl w:val="0"/>
          <w:numId w:val="3"/>
        </w:numPr>
        <w:spacing w:line="360" w:lineRule="auto"/>
        <w:rPr>
          <w:rFonts w:ascii="Arial" w:hAnsi="Arial" w:cs="Arial"/>
        </w:rPr>
      </w:pPr>
      <w:r>
        <w:rPr>
          <w:rFonts w:ascii="Arial" w:hAnsi="Arial" w:cs="Arial"/>
        </w:rPr>
        <w:t>The passage relied on from</w:t>
      </w:r>
      <w:r w:rsidR="003566C6" w:rsidRPr="00491C20">
        <w:rPr>
          <w:rFonts w:ascii="Arial" w:hAnsi="Arial" w:cs="Arial"/>
        </w:rPr>
        <w:t xml:space="preserve"> </w:t>
      </w:r>
      <w:r w:rsidR="003566C6" w:rsidRPr="00730708">
        <w:rPr>
          <w:rFonts w:ascii="Arial" w:hAnsi="Arial" w:cs="Arial"/>
          <w:i/>
        </w:rPr>
        <w:t>Yeko</w:t>
      </w:r>
      <w:r w:rsidR="003566C6" w:rsidRPr="00491C20">
        <w:rPr>
          <w:rFonts w:ascii="Arial" w:hAnsi="Arial" w:cs="Arial"/>
        </w:rPr>
        <w:t xml:space="preserve"> reads:</w:t>
      </w:r>
    </w:p>
    <w:p w:rsidR="003566C6" w:rsidRDefault="003566C6" w:rsidP="003566C6">
      <w:pPr>
        <w:spacing w:line="360" w:lineRule="auto"/>
        <w:rPr>
          <w:rFonts w:ascii="Arial" w:hAnsi="Arial" w:cs="Arial"/>
        </w:rPr>
      </w:pPr>
    </w:p>
    <w:p w:rsidR="003566C6" w:rsidRDefault="003566C6" w:rsidP="00413836">
      <w:pPr>
        <w:spacing w:line="360" w:lineRule="auto"/>
        <w:ind w:left="1440"/>
        <w:rPr>
          <w:rFonts w:ascii="Arial" w:hAnsi="Arial" w:cs="Arial"/>
        </w:rPr>
      </w:pPr>
      <w:r w:rsidRPr="003566C6">
        <w:rPr>
          <w:rFonts w:ascii="Arial" w:hAnsi="Arial" w:cs="Arial"/>
          <w:i/>
        </w:rPr>
        <w:t xml:space="preserve">“The very essence of the remedy against spoliation is that the possession enjoyed by the party who asks for spoliation is that the possession enjoyed by the party who </w:t>
      </w:r>
      <w:r w:rsidR="006C679A" w:rsidRPr="003566C6">
        <w:rPr>
          <w:rFonts w:ascii="Arial" w:hAnsi="Arial" w:cs="Arial"/>
          <w:i/>
        </w:rPr>
        <w:t>asks</w:t>
      </w:r>
      <w:r w:rsidRPr="003566C6">
        <w:rPr>
          <w:rFonts w:ascii="Arial" w:hAnsi="Arial" w:cs="Arial"/>
          <w:i/>
        </w:rPr>
        <w:t xml:space="preserve"> for possession must be established. As has so often been stated  by our Courts the possession which must be proved is not possession in the juridical sense</w:t>
      </w:r>
      <w:r w:rsidRPr="00361DDE">
        <w:rPr>
          <w:rFonts w:ascii="Arial" w:hAnsi="Arial" w:cs="Arial"/>
          <w:i/>
          <w:u w:val="single"/>
        </w:rPr>
        <w:t>; it may be enough</w:t>
      </w:r>
      <w:r w:rsidRPr="003566C6">
        <w:rPr>
          <w:rFonts w:ascii="Arial" w:hAnsi="Arial" w:cs="Arial"/>
          <w:i/>
        </w:rPr>
        <w:t xml:space="preserve"> if the </w:t>
      </w:r>
      <w:r w:rsidR="006C679A" w:rsidRPr="003566C6">
        <w:rPr>
          <w:rFonts w:ascii="Arial" w:hAnsi="Arial" w:cs="Arial"/>
          <w:i/>
        </w:rPr>
        <w:t>holding</w:t>
      </w:r>
      <w:r w:rsidRPr="003566C6">
        <w:rPr>
          <w:rFonts w:ascii="Arial" w:hAnsi="Arial" w:cs="Arial"/>
          <w:i/>
        </w:rPr>
        <w:t xml:space="preserve"> by the applicant was </w:t>
      </w:r>
      <w:r w:rsidR="006C679A" w:rsidRPr="003566C6">
        <w:rPr>
          <w:rFonts w:ascii="Arial" w:hAnsi="Arial" w:cs="Arial"/>
          <w:i/>
        </w:rPr>
        <w:t>with</w:t>
      </w:r>
      <w:r w:rsidRPr="003566C6">
        <w:rPr>
          <w:rFonts w:ascii="Arial" w:hAnsi="Arial" w:cs="Arial"/>
          <w:i/>
        </w:rPr>
        <w:t xml:space="preserve"> the intention of securing some </w:t>
      </w:r>
      <w:r w:rsidR="006C679A" w:rsidRPr="003566C6">
        <w:rPr>
          <w:rFonts w:ascii="Arial" w:hAnsi="Arial" w:cs="Arial"/>
          <w:i/>
        </w:rPr>
        <w:t>benefit</w:t>
      </w:r>
      <w:r w:rsidRPr="003566C6">
        <w:rPr>
          <w:rFonts w:ascii="Arial" w:hAnsi="Arial" w:cs="Arial"/>
          <w:i/>
        </w:rPr>
        <w:t xml:space="preserve"> for </w:t>
      </w:r>
      <w:r w:rsidR="006C679A" w:rsidRPr="003566C6">
        <w:rPr>
          <w:rFonts w:ascii="Arial" w:hAnsi="Arial" w:cs="Arial"/>
          <w:i/>
        </w:rPr>
        <w:t>himself</w:t>
      </w:r>
      <w:r w:rsidRPr="003566C6">
        <w:rPr>
          <w:rFonts w:ascii="Arial" w:hAnsi="Arial" w:cs="Arial"/>
          <w:i/>
        </w:rPr>
        <w:t>”</w:t>
      </w:r>
      <w:r>
        <w:rPr>
          <w:rStyle w:val="FootnoteReference"/>
          <w:rFonts w:ascii="Arial" w:hAnsi="Arial" w:cs="Arial"/>
          <w:i/>
        </w:rPr>
        <w:footnoteReference w:id="92"/>
      </w:r>
      <w:r w:rsidRPr="003566C6">
        <w:rPr>
          <w:rFonts w:ascii="Arial" w:hAnsi="Arial" w:cs="Arial"/>
          <w:i/>
        </w:rPr>
        <w:t xml:space="preserve"> </w:t>
      </w:r>
    </w:p>
    <w:p w:rsidR="00491C20" w:rsidRDefault="00361DDE" w:rsidP="00413836">
      <w:pPr>
        <w:spacing w:line="360" w:lineRule="auto"/>
        <w:ind w:left="720" w:firstLine="720"/>
        <w:rPr>
          <w:rFonts w:ascii="Arial" w:hAnsi="Arial" w:cs="Arial"/>
        </w:rPr>
      </w:pPr>
      <w:r>
        <w:rPr>
          <w:rFonts w:ascii="Arial" w:hAnsi="Arial" w:cs="Arial"/>
        </w:rPr>
        <w:t>(emphasis added)</w:t>
      </w:r>
    </w:p>
    <w:p w:rsidR="00730708" w:rsidRDefault="00730708" w:rsidP="00491C20">
      <w:pPr>
        <w:spacing w:line="360" w:lineRule="auto"/>
        <w:ind w:left="1440"/>
        <w:rPr>
          <w:rFonts w:ascii="Arial" w:hAnsi="Arial" w:cs="Arial"/>
        </w:rPr>
      </w:pPr>
    </w:p>
    <w:p w:rsidR="00730708" w:rsidRDefault="00730708" w:rsidP="00413836">
      <w:pPr>
        <w:pStyle w:val="ListParagraph"/>
        <w:spacing w:line="360" w:lineRule="auto"/>
        <w:rPr>
          <w:rFonts w:ascii="Arial" w:hAnsi="Arial" w:cs="Arial"/>
        </w:rPr>
      </w:pPr>
      <w:r w:rsidRPr="00730708">
        <w:rPr>
          <w:rFonts w:ascii="Arial" w:hAnsi="Arial" w:cs="Arial"/>
        </w:rPr>
        <w:t xml:space="preserve">I regret </w:t>
      </w:r>
      <w:r>
        <w:rPr>
          <w:rFonts w:ascii="Arial" w:hAnsi="Arial" w:cs="Arial"/>
        </w:rPr>
        <w:t xml:space="preserve">not being able to reach a similar conclusion </w:t>
      </w:r>
      <w:r w:rsidR="00413836">
        <w:rPr>
          <w:rFonts w:ascii="Arial" w:hAnsi="Arial" w:cs="Arial"/>
        </w:rPr>
        <w:t>with regard to its meaning.</w:t>
      </w:r>
      <w:r>
        <w:rPr>
          <w:rFonts w:ascii="Arial" w:hAnsi="Arial" w:cs="Arial"/>
        </w:rPr>
        <w:t xml:space="preserve"> My reasons are set out in the following paragraphs. </w:t>
      </w:r>
    </w:p>
    <w:p w:rsidR="00413836" w:rsidRDefault="00413836" w:rsidP="00413836">
      <w:pPr>
        <w:pStyle w:val="ListParagraph"/>
        <w:spacing w:line="360" w:lineRule="auto"/>
        <w:rPr>
          <w:rFonts w:ascii="Arial" w:hAnsi="Arial" w:cs="Arial"/>
        </w:rPr>
      </w:pPr>
    </w:p>
    <w:p w:rsidR="00730708" w:rsidRDefault="00730708" w:rsidP="00730708">
      <w:pPr>
        <w:pStyle w:val="ListParagraph"/>
        <w:spacing w:line="360" w:lineRule="auto"/>
        <w:ind w:left="360"/>
        <w:rPr>
          <w:rFonts w:ascii="Arial" w:hAnsi="Arial" w:cs="Arial"/>
        </w:rPr>
      </w:pPr>
    </w:p>
    <w:p w:rsidR="00730708" w:rsidRPr="00730708" w:rsidRDefault="00730708" w:rsidP="00730708">
      <w:pPr>
        <w:pStyle w:val="ListParagraph"/>
        <w:numPr>
          <w:ilvl w:val="0"/>
          <w:numId w:val="3"/>
        </w:numPr>
        <w:spacing w:line="360" w:lineRule="auto"/>
        <w:rPr>
          <w:rFonts w:ascii="Arial" w:hAnsi="Arial" w:cs="Arial"/>
        </w:rPr>
      </w:pPr>
      <w:r>
        <w:rPr>
          <w:rFonts w:ascii="Arial" w:hAnsi="Arial" w:cs="Arial"/>
        </w:rPr>
        <w:t>Firstly t</w:t>
      </w:r>
      <w:r w:rsidRPr="00730708">
        <w:rPr>
          <w:rFonts w:ascii="Arial" w:hAnsi="Arial" w:cs="Arial"/>
        </w:rPr>
        <w:t xml:space="preserve">he court in </w:t>
      </w:r>
      <w:r w:rsidRPr="00730708">
        <w:rPr>
          <w:rFonts w:ascii="Arial" w:hAnsi="Arial" w:cs="Arial"/>
          <w:i/>
        </w:rPr>
        <w:t>Yeko</w:t>
      </w:r>
      <w:r w:rsidRPr="00730708">
        <w:rPr>
          <w:rFonts w:ascii="Arial" w:hAnsi="Arial" w:cs="Arial"/>
        </w:rPr>
        <w:t xml:space="preserve"> also said that:</w:t>
      </w:r>
    </w:p>
    <w:p w:rsidR="00730708" w:rsidRPr="00730708" w:rsidRDefault="00730708" w:rsidP="00730708">
      <w:pPr>
        <w:pStyle w:val="ListParagraph"/>
        <w:spacing w:line="360" w:lineRule="auto"/>
        <w:ind w:left="360"/>
        <w:rPr>
          <w:rFonts w:ascii="Arial" w:hAnsi="Arial" w:cs="Arial"/>
          <w:i/>
        </w:rPr>
      </w:pPr>
    </w:p>
    <w:p w:rsidR="00730708" w:rsidRPr="00730708" w:rsidRDefault="00730708" w:rsidP="00730708">
      <w:pPr>
        <w:pStyle w:val="ListParagraph"/>
        <w:spacing w:line="360" w:lineRule="auto"/>
        <w:ind w:left="1440"/>
        <w:rPr>
          <w:rFonts w:ascii="Arial" w:hAnsi="Arial" w:cs="Arial"/>
          <w:i/>
        </w:rPr>
      </w:pPr>
      <w:r w:rsidRPr="00730708">
        <w:rPr>
          <w:rFonts w:ascii="Arial" w:hAnsi="Arial" w:cs="Arial"/>
          <w:i/>
        </w:rPr>
        <w:t xml:space="preserve">“All that the spoliatus has to prove, is </w:t>
      </w:r>
      <w:r w:rsidRPr="00730708">
        <w:rPr>
          <w:rFonts w:ascii="Arial" w:hAnsi="Arial" w:cs="Arial"/>
          <w:i/>
          <w:u w:val="single"/>
        </w:rPr>
        <w:t>possession of a kind which warrants the protection accorded by the remedy</w:t>
      </w:r>
      <w:r w:rsidRPr="00730708">
        <w:rPr>
          <w:rFonts w:ascii="Arial" w:hAnsi="Arial" w:cs="Arial"/>
          <w:i/>
        </w:rPr>
        <w:t>, and that he was unlawfully ousted”</w:t>
      </w:r>
      <w:r>
        <w:rPr>
          <w:rStyle w:val="FootnoteReference"/>
          <w:rFonts w:ascii="Arial" w:hAnsi="Arial" w:cs="Arial"/>
          <w:i/>
        </w:rPr>
        <w:footnoteReference w:id="93"/>
      </w:r>
    </w:p>
    <w:p w:rsidR="00730708" w:rsidRPr="00730708" w:rsidRDefault="00730708" w:rsidP="00730708">
      <w:pPr>
        <w:pStyle w:val="ListParagraph"/>
        <w:spacing w:line="360" w:lineRule="auto"/>
        <w:ind w:left="1080" w:firstLine="360"/>
        <w:rPr>
          <w:rFonts w:ascii="Arial" w:hAnsi="Arial" w:cs="Arial"/>
        </w:rPr>
      </w:pPr>
      <w:r w:rsidRPr="00730708">
        <w:rPr>
          <w:rFonts w:ascii="Arial" w:hAnsi="Arial" w:cs="Arial"/>
        </w:rPr>
        <w:t>(emphasis added)</w:t>
      </w:r>
    </w:p>
    <w:p w:rsidR="00730708" w:rsidRDefault="00730708" w:rsidP="00730708">
      <w:pPr>
        <w:pStyle w:val="ListParagraph"/>
        <w:spacing w:line="360" w:lineRule="auto"/>
        <w:ind w:left="360"/>
        <w:rPr>
          <w:rFonts w:ascii="Arial" w:hAnsi="Arial" w:cs="Arial"/>
        </w:rPr>
      </w:pPr>
    </w:p>
    <w:p w:rsidR="00730708" w:rsidRDefault="000B7F63" w:rsidP="00491C20">
      <w:pPr>
        <w:spacing w:line="360" w:lineRule="auto"/>
        <w:ind w:left="720"/>
        <w:rPr>
          <w:rFonts w:ascii="Arial" w:hAnsi="Arial" w:cs="Arial"/>
        </w:rPr>
      </w:pPr>
      <w:r>
        <w:rPr>
          <w:rFonts w:ascii="Arial" w:hAnsi="Arial" w:cs="Arial"/>
        </w:rPr>
        <w:t>After making th</w:t>
      </w:r>
      <w:r w:rsidR="00730708">
        <w:rPr>
          <w:rFonts w:ascii="Arial" w:hAnsi="Arial" w:cs="Arial"/>
        </w:rPr>
        <w:t>is</w:t>
      </w:r>
      <w:r w:rsidR="00413836">
        <w:rPr>
          <w:rFonts w:ascii="Arial" w:hAnsi="Arial" w:cs="Arial"/>
        </w:rPr>
        <w:t xml:space="preserve"> </w:t>
      </w:r>
      <w:r w:rsidR="006C679A">
        <w:rPr>
          <w:rFonts w:ascii="Arial" w:hAnsi="Arial" w:cs="Arial"/>
        </w:rPr>
        <w:t>statement</w:t>
      </w:r>
      <w:r>
        <w:rPr>
          <w:rFonts w:ascii="Arial" w:hAnsi="Arial" w:cs="Arial"/>
        </w:rPr>
        <w:t xml:space="preserve"> the </w:t>
      </w:r>
      <w:r w:rsidR="00413836">
        <w:rPr>
          <w:rFonts w:ascii="Arial" w:hAnsi="Arial" w:cs="Arial"/>
        </w:rPr>
        <w:t>SCA</w:t>
      </w:r>
      <w:r>
        <w:rPr>
          <w:rFonts w:ascii="Arial" w:hAnsi="Arial" w:cs="Arial"/>
        </w:rPr>
        <w:t xml:space="preserve"> </w:t>
      </w:r>
      <w:r w:rsidR="006C679A">
        <w:rPr>
          <w:rFonts w:ascii="Arial" w:hAnsi="Arial" w:cs="Arial"/>
        </w:rPr>
        <w:t>immediately embarked</w:t>
      </w:r>
      <w:r>
        <w:rPr>
          <w:rFonts w:ascii="Arial" w:hAnsi="Arial" w:cs="Arial"/>
        </w:rPr>
        <w:t xml:space="preserve"> </w:t>
      </w:r>
      <w:r w:rsidR="00730708">
        <w:rPr>
          <w:rFonts w:ascii="Arial" w:hAnsi="Arial" w:cs="Arial"/>
        </w:rPr>
        <w:t>on</w:t>
      </w:r>
      <w:r>
        <w:rPr>
          <w:rFonts w:ascii="Arial" w:hAnsi="Arial" w:cs="Arial"/>
        </w:rPr>
        <w:t xml:space="preserve"> </w:t>
      </w:r>
      <w:r w:rsidR="006C679A">
        <w:rPr>
          <w:rFonts w:ascii="Arial" w:hAnsi="Arial" w:cs="Arial"/>
        </w:rPr>
        <w:t>factual</w:t>
      </w:r>
      <w:r>
        <w:rPr>
          <w:rFonts w:ascii="Arial" w:hAnsi="Arial" w:cs="Arial"/>
        </w:rPr>
        <w:t xml:space="preserve"> enquiries both in respect of whether the respondent had acquired peaceful and undisturbed possession at the time he was spoliated and </w:t>
      </w:r>
      <w:r w:rsidR="00730708">
        <w:rPr>
          <w:rFonts w:ascii="Arial" w:hAnsi="Arial" w:cs="Arial"/>
        </w:rPr>
        <w:t xml:space="preserve">also </w:t>
      </w:r>
      <w:r>
        <w:rPr>
          <w:rFonts w:ascii="Arial" w:hAnsi="Arial" w:cs="Arial"/>
        </w:rPr>
        <w:t xml:space="preserve">whether he had the intention to possess for his own benefit. This would </w:t>
      </w:r>
      <w:r w:rsidR="006C679A">
        <w:rPr>
          <w:rFonts w:ascii="Arial" w:hAnsi="Arial" w:cs="Arial"/>
        </w:rPr>
        <w:t>suggest</w:t>
      </w:r>
      <w:r w:rsidR="00730708">
        <w:rPr>
          <w:rFonts w:ascii="Arial" w:hAnsi="Arial" w:cs="Arial"/>
        </w:rPr>
        <w:t xml:space="preserve"> that the</w:t>
      </w:r>
      <w:r>
        <w:rPr>
          <w:rFonts w:ascii="Arial" w:hAnsi="Arial" w:cs="Arial"/>
        </w:rPr>
        <w:t xml:space="preserve"> </w:t>
      </w:r>
      <w:r w:rsidR="00856EE6">
        <w:rPr>
          <w:rFonts w:ascii="Arial" w:hAnsi="Arial" w:cs="Arial"/>
        </w:rPr>
        <w:t xml:space="preserve">earlier </w:t>
      </w:r>
      <w:r>
        <w:rPr>
          <w:rFonts w:ascii="Arial" w:hAnsi="Arial" w:cs="Arial"/>
        </w:rPr>
        <w:t xml:space="preserve">passage </w:t>
      </w:r>
      <w:r w:rsidR="00856EE6">
        <w:rPr>
          <w:rFonts w:ascii="Arial" w:hAnsi="Arial" w:cs="Arial"/>
        </w:rPr>
        <w:t xml:space="preserve">in </w:t>
      </w:r>
      <w:r w:rsidR="00856EE6" w:rsidRPr="00856EE6">
        <w:rPr>
          <w:rFonts w:ascii="Arial" w:hAnsi="Arial" w:cs="Arial"/>
          <w:i/>
        </w:rPr>
        <w:t>Yeko</w:t>
      </w:r>
      <w:r w:rsidR="00856EE6">
        <w:rPr>
          <w:rFonts w:ascii="Arial" w:hAnsi="Arial" w:cs="Arial"/>
        </w:rPr>
        <w:t xml:space="preserve"> </w:t>
      </w:r>
      <w:r>
        <w:rPr>
          <w:rFonts w:ascii="Arial" w:hAnsi="Arial" w:cs="Arial"/>
        </w:rPr>
        <w:t xml:space="preserve">relied on in </w:t>
      </w:r>
      <w:r w:rsidRPr="00413836">
        <w:rPr>
          <w:rFonts w:ascii="Arial" w:hAnsi="Arial" w:cs="Arial"/>
          <w:i/>
        </w:rPr>
        <w:t>SAHRC</w:t>
      </w:r>
      <w:r>
        <w:rPr>
          <w:rFonts w:ascii="Arial" w:hAnsi="Arial" w:cs="Arial"/>
        </w:rPr>
        <w:t xml:space="preserve"> for its f</w:t>
      </w:r>
      <w:r w:rsidRPr="000B7F63">
        <w:rPr>
          <w:rFonts w:ascii="Arial" w:hAnsi="Arial" w:cs="Arial"/>
        </w:rPr>
        <w:t>un</w:t>
      </w:r>
      <w:r w:rsidR="00730708">
        <w:rPr>
          <w:rFonts w:ascii="Arial" w:hAnsi="Arial" w:cs="Arial"/>
        </w:rPr>
        <w:t>damental conception</w:t>
      </w:r>
      <w:r w:rsidR="00413836">
        <w:rPr>
          <w:rFonts w:ascii="Arial" w:hAnsi="Arial" w:cs="Arial"/>
        </w:rPr>
        <w:t>s</w:t>
      </w:r>
      <w:r w:rsidR="00730708">
        <w:rPr>
          <w:rFonts w:ascii="Arial" w:hAnsi="Arial" w:cs="Arial"/>
        </w:rPr>
        <w:t xml:space="preserve"> </w:t>
      </w:r>
      <w:r w:rsidR="00730708">
        <w:rPr>
          <w:rFonts w:ascii="Arial" w:hAnsi="Arial" w:cs="Arial"/>
        </w:rPr>
        <w:lastRenderedPageBreak/>
        <w:t xml:space="preserve">of the case may have been </w:t>
      </w:r>
      <w:r w:rsidR="00856EE6">
        <w:rPr>
          <w:rFonts w:ascii="Arial" w:hAnsi="Arial" w:cs="Arial"/>
        </w:rPr>
        <w:t xml:space="preserve">taken out of context. </w:t>
      </w:r>
    </w:p>
    <w:p w:rsidR="00730708" w:rsidRDefault="00730708" w:rsidP="00491C20">
      <w:pPr>
        <w:spacing w:line="360" w:lineRule="auto"/>
        <w:ind w:left="720"/>
        <w:rPr>
          <w:rFonts w:ascii="Arial" w:hAnsi="Arial" w:cs="Arial"/>
        </w:rPr>
      </w:pPr>
    </w:p>
    <w:p w:rsidR="00413836" w:rsidRDefault="00856EE6" w:rsidP="00491C20">
      <w:pPr>
        <w:spacing w:line="360" w:lineRule="auto"/>
        <w:ind w:left="720"/>
        <w:rPr>
          <w:rFonts w:ascii="Arial" w:hAnsi="Arial" w:cs="Arial"/>
        </w:rPr>
      </w:pPr>
      <w:r>
        <w:rPr>
          <w:rFonts w:ascii="Arial" w:hAnsi="Arial" w:cs="Arial"/>
        </w:rPr>
        <w:t xml:space="preserve">These fundamental conceptions </w:t>
      </w:r>
      <w:r w:rsidR="000B7F63" w:rsidRPr="000B7F63">
        <w:rPr>
          <w:rFonts w:ascii="Arial" w:hAnsi="Arial" w:cs="Arial"/>
        </w:rPr>
        <w:t xml:space="preserve">include the statement that only the fact of possession and not its basis is relevant and that broadening the </w:t>
      </w:r>
      <w:r w:rsidR="006C679A" w:rsidRPr="000B7F63">
        <w:rPr>
          <w:rFonts w:ascii="Arial" w:hAnsi="Arial" w:cs="Arial"/>
        </w:rPr>
        <w:t>scope of</w:t>
      </w:r>
      <w:r w:rsidR="000B7F63" w:rsidRPr="000B7F63">
        <w:rPr>
          <w:rFonts w:ascii="Arial" w:hAnsi="Arial" w:cs="Arial"/>
        </w:rPr>
        <w:t xml:space="preserve"> </w:t>
      </w:r>
      <w:r w:rsidR="000B7F63" w:rsidRPr="00730708">
        <w:rPr>
          <w:rFonts w:ascii="Arial" w:hAnsi="Arial" w:cs="Arial"/>
          <w:i/>
        </w:rPr>
        <w:t>instanter</w:t>
      </w:r>
      <w:r w:rsidR="000B7F63" w:rsidRPr="000B7F63">
        <w:rPr>
          <w:rFonts w:ascii="Arial" w:hAnsi="Arial" w:cs="Arial"/>
        </w:rPr>
        <w:t xml:space="preserve"> to beyond an imme</w:t>
      </w:r>
      <w:r w:rsidR="00730708">
        <w:rPr>
          <w:rFonts w:ascii="Arial" w:hAnsi="Arial" w:cs="Arial"/>
        </w:rPr>
        <w:t>diate time determined response relative t</w:t>
      </w:r>
      <w:r w:rsidR="000B7F63" w:rsidRPr="000B7F63">
        <w:rPr>
          <w:rFonts w:ascii="Arial" w:hAnsi="Arial" w:cs="Arial"/>
        </w:rPr>
        <w:t xml:space="preserve">o the initial act of spoliation would amount to </w:t>
      </w:r>
      <w:r w:rsidR="00413836">
        <w:rPr>
          <w:rFonts w:ascii="Arial" w:hAnsi="Arial" w:cs="Arial"/>
        </w:rPr>
        <w:t xml:space="preserve">an impermissible </w:t>
      </w:r>
      <w:r w:rsidR="00413836" w:rsidRPr="00413836">
        <w:rPr>
          <w:rFonts w:ascii="Arial" w:hAnsi="Arial" w:cs="Arial"/>
          <w:i/>
        </w:rPr>
        <w:t>legal</w:t>
      </w:r>
      <w:r w:rsidR="00413836">
        <w:rPr>
          <w:rFonts w:ascii="Arial" w:hAnsi="Arial" w:cs="Arial"/>
        </w:rPr>
        <w:t xml:space="preserve"> enquiry into the merits of</w:t>
      </w:r>
      <w:r w:rsidR="000B7F63" w:rsidRPr="000B7F63">
        <w:rPr>
          <w:rFonts w:ascii="Arial" w:hAnsi="Arial" w:cs="Arial"/>
        </w:rPr>
        <w:t xml:space="preserve"> possession </w:t>
      </w:r>
      <w:r w:rsidR="00413836">
        <w:rPr>
          <w:rFonts w:ascii="Arial" w:hAnsi="Arial" w:cs="Arial"/>
        </w:rPr>
        <w:t xml:space="preserve">by </w:t>
      </w:r>
      <w:r w:rsidR="000B7F63" w:rsidRPr="000B7F63">
        <w:rPr>
          <w:rFonts w:ascii="Arial" w:hAnsi="Arial" w:cs="Arial"/>
        </w:rPr>
        <w:t>the original spoliator</w:t>
      </w:r>
      <w:r w:rsidR="00413836">
        <w:rPr>
          <w:rFonts w:ascii="Arial" w:hAnsi="Arial" w:cs="Arial"/>
        </w:rPr>
        <w:t>.</w:t>
      </w:r>
    </w:p>
    <w:p w:rsidR="00413836" w:rsidRDefault="00413836" w:rsidP="00491C20">
      <w:pPr>
        <w:spacing w:line="360" w:lineRule="auto"/>
        <w:ind w:left="720"/>
        <w:rPr>
          <w:rFonts w:ascii="Arial" w:hAnsi="Arial" w:cs="Arial"/>
        </w:rPr>
      </w:pPr>
    </w:p>
    <w:p w:rsidR="000B7F63" w:rsidRDefault="00730708" w:rsidP="00491C20">
      <w:pPr>
        <w:spacing w:line="360" w:lineRule="auto"/>
        <w:ind w:left="720"/>
        <w:rPr>
          <w:rFonts w:ascii="Arial" w:hAnsi="Arial" w:cs="Arial"/>
        </w:rPr>
      </w:pPr>
      <w:r>
        <w:rPr>
          <w:rFonts w:ascii="Arial" w:hAnsi="Arial" w:cs="Arial"/>
        </w:rPr>
        <w:t xml:space="preserve">On an analysis of </w:t>
      </w:r>
      <w:r w:rsidRPr="00730708">
        <w:rPr>
          <w:rFonts w:ascii="Arial" w:hAnsi="Arial" w:cs="Arial"/>
          <w:i/>
        </w:rPr>
        <w:t>Yeko</w:t>
      </w:r>
      <w:r>
        <w:rPr>
          <w:rFonts w:ascii="Arial" w:hAnsi="Arial" w:cs="Arial"/>
        </w:rPr>
        <w:t xml:space="preserve"> this however does not appear to be the case. </w:t>
      </w:r>
    </w:p>
    <w:p w:rsidR="00BB0CC4" w:rsidRDefault="000B7F63" w:rsidP="00BB036E">
      <w:pPr>
        <w:spacing w:line="360" w:lineRule="auto"/>
        <w:rPr>
          <w:rFonts w:ascii="Arial" w:hAnsi="Arial" w:cs="Arial"/>
        </w:rPr>
      </w:pPr>
      <w:r>
        <w:rPr>
          <w:rFonts w:ascii="Arial" w:hAnsi="Arial" w:cs="Arial"/>
        </w:rPr>
        <w:tab/>
      </w:r>
    </w:p>
    <w:p w:rsidR="00856EE6" w:rsidRPr="00491C20" w:rsidRDefault="00856EE6" w:rsidP="00491C20">
      <w:pPr>
        <w:pStyle w:val="ListParagraph"/>
        <w:numPr>
          <w:ilvl w:val="0"/>
          <w:numId w:val="3"/>
        </w:numPr>
        <w:spacing w:line="360" w:lineRule="auto"/>
        <w:rPr>
          <w:rFonts w:ascii="Arial" w:hAnsi="Arial" w:cs="Arial"/>
        </w:rPr>
      </w:pPr>
      <w:r w:rsidRPr="00491C20">
        <w:rPr>
          <w:rFonts w:ascii="Arial" w:hAnsi="Arial" w:cs="Arial"/>
        </w:rPr>
        <w:t xml:space="preserve">The </w:t>
      </w:r>
      <w:r w:rsidR="00BB036E" w:rsidRPr="00491C20">
        <w:rPr>
          <w:rFonts w:ascii="Arial" w:hAnsi="Arial" w:cs="Arial"/>
        </w:rPr>
        <w:t xml:space="preserve">issue before </w:t>
      </w:r>
      <w:r w:rsidR="00413836">
        <w:rPr>
          <w:rFonts w:ascii="Arial" w:hAnsi="Arial" w:cs="Arial"/>
        </w:rPr>
        <w:t xml:space="preserve">the court in </w:t>
      </w:r>
      <w:r w:rsidRPr="00491C20">
        <w:rPr>
          <w:rFonts w:ascii="Arial" w:hAnsi="Arial" w:cs="Arial"/>
          <w:i/>
        </w:rPr>
        <w:t>Yeko</w:t>
      </w:r>
      <w:r w:rsidRPr="00491C20">
        <w:rPr>
          <w:rFonts w:ascii="Arial" w:hAnsi="Arial" w:cs="Arial"/>
        </w:rPr>
        <w:t xml:space="preserve"> concerned </w:t>
      </w:r>
      <w:r w:rsidR="00BB036E" w:rsidRPr="00491C20">
        <w:rPr>
          <w:rFonts w:ascii="Arial" w:hAnsi="Arial" w:cs="Arial"/>
        </w:rPr>
        <w:t>whether the respondent was</w:t>
      </w:r>
      <w:r w:rsidR="000A55B5" w:rsidRPr="00491C20">
        <w:rPr>
          <w:rFonts w:ascii="Arial" w:hAnsi="Arial" w:cs="Arial"/>
        </w:rPr>
        <w:t>,</w:t>
      </w:r>
      <w:r w:rsidR="00F3790B" w:rsidRPr="00491C20">
        <w:rPr>
          <w:rFonts w:ascii="Arial" w:hAnsi="Arial" w:cs="Arial"/>
        </w:rPr>
        <w:t xml:space="preserve"> </w:t>
      </w:r>
      <w:r w:rsidR="000A55B5" w:rsidRPr="00491C20">
        <w:rPr>
          <w:rFonts w:ascii="Arial" w:hAnsi="Arial" w:cs="Arial"/>
        </w:rPr>
        <w:t xml:space="preserve">at the time of spoliation, </w:t>
      </w:r>
      <w:r w:rsidR="00BB036E" w:rsidRPr="00491C20">
        <w:rPr>
          <w:rFonts w:ascii="Arial" w:hAnsi="Arial" w:cs="Arial"/>
        </w:rPr>
        <w:t xml:space="preserve">in peaceful and </w:t>
      </w:r>
      <w:r w:rsidR="006C679A" w:rsidRPr="00491C20">
        <w:rPr>
          <w:rFonts w:ascii="Arial" w:hAnsi="Arial" w:cs="Arial"/>
        </w:rPr>
        <w:t>undisturbed</w:t>
      </w:r>
      <w:r w:rsidR="00BB036E" w:rsidRPr="00491C20">
        <w:rPr>
          <w:rFonts w:ascii="Arial" w:hAnsi="Arial" w:cs="Arial"/>
        </w:rPr>
        <w:t xml:space="preserve"> possession </w:t>
      </w:r>
      <w:r w:rsidR="00F3790B" w:rsidRPr="00491C20">
        <w:rPr>
          <w:rFonts w:ascii="Arial" w:hAnsi="Arial" w:cs="Arial"/>
        </w:rPr>
        <w:t>in order</w:t>
      </w:r>
      <w:r w:rsidR="00BB036E" w:rsidRPr="00491C20">
        <w:rPr>
          <w:rFonts w:ascii="Arial" w:hAnsi="Arial" w:cs="Arial"/>
        </w:rPr>
        <w:t xml:space="preserve"> to gain a </w:t>
      </w:r>
      <w:r w:rsidR="006C679A" w:rsidRPr="00491C20">
        <w:rPr>
          <w:rFonts w:ascii="Arial" w:hAnsi="Arial" w:cs="Arial"/>
        </w:rPr>
        <w:t>benefit</w:t>
      </w:r>
      <w:r w:rsidR="00BB036E" w:rsidRPr="00491C20">
        <w:rPr>
          <w:rFonts w:ascii="Arial" w:hAnsi="Arial" w:cs="Arial"/>
        </w:rPr>
        <w:t xml:space="preserve"> for himself.</w:t>
      </w:r>
      <w:r w:rsidRPr="00491C20">
        <w:rPr>
          <w:rFonts w:ascii="Arial" w:hAnsi="Arial" w:cs="Arial"/>
        </w:rPr>
        <w:t xml:space="preserve"> It found </w:t>
      </w:r>
      <w:r w:rsidR="007C2E21" w:rsidRPr="00491C20">
        <w:rPr>
          <w:rFonts w:ascii="Arial" w:hAnsi="Arial" w:cs="Arial"/>
        </w:rPr>
        <w:t xml:space="preserve">that the </w:t>
      </w:r>
      <w:r w:rsidR="006C679A" w:rsidRPr="00491C20">
        <w:rPr>
          <w:rFonts w:ascii="Arial" w:hAnsi="Arial" w:cs="Arial"/>
        </w:rPr>
        <w:t>respondent already</w:t>
      </w:r>
      <w:r w:rsidR="00F3790B" w:rsidRPr="00491C20">
        <w:rPr>
          <w:rFonts w:ascii="Arial" w:hAnsi="Arial" w:cs="Arial"/>
        </w:rPr>
        <w:t xml:space="preserve"> had </w:t>
      </w:r>
      <w:r w:rsidR="000A55B5" w:rsidRPr="00491C20">
        <w:rPr>
          <w:rFonts w:ascii="Arial" w:hAnsi="Arial" w:cs="Arial"/>
        </w:rPr>
        <w:t xml:space="preserve">peaceful and undisturbed </w:t>
      </w:r>
      <w:r w:rsidR="00F3790B" w:rsidRPr="00491C20">
        <w:rPr>
          <w:rFonts w:ascii="Arial" w:hAnsi="Arial" w:cs="Arial"/>
        </w:rPr>
        <w:t>possession of the premises</w:t>
      </w:r>
      <w:r w:rsidR="00730708">
        <w:rPr>
          <w:rFonts w:ascii="Arial" w:hAnsi="Arial" w:cs="Arial"/>
        </w:rPr>
        <w:t>,</w:t>
      </w:r>
      <w:r w:rsidRPr="00491C20">
        <w:rPr>
          <w:rFonts w:ascii="Arial" w:hAnsi="Arial" w:cs="Arial"/>
        </w:rPr>
        <w:t xml:space="preserve"> not </w:t>
      </w:r>
      <w:r w:rsidR="00483253" w:rsidRPr="00491C20">
        <w:rPr>
          <w:rFonts w:ascii="Arial" w:hAnsi="Arial" w:cs="Arial"/>
        </w:rPr>
        <w:t xml:space="preserve">just </w:t>
      </w:r>
      <w:r w:rsidRPr="00491C20">
        <w:rPr>
          <w:rFonts w:ascii="Arial" w:hAnsi="Arial" w:cs="Arial"/>
        </w:rPr>
        <w:t xml:space="preserve">by reason of being in effective physical </w:t>
      </w:r>
      <w:r w:rsidR="00195B3B">
        <w:rPr>
          <w:rFonts w:ascii="Arial" w:hAnsi="Arial" w:cs="Arial"/>
        </w:rPr>
        <w:t xml:space="preserve">control </w:t>
      </w:r>
      <w:r w:rsidRPr="00491C20">
        <w:rPr>
          <w:rFonts w:ascii="Arial" w:hAnsi="Arial" w:cs="Arial"/>
        </w:rPr>
        <w:t xml:space="preserve">at the time of </w:t>
      </w:r>
      <w:r w:rsidR="006C679A" w:rsidRPr="00491C20">
        <w:rPr>
          <w:rFonts w:ascii="Arial" w:hAnsi="Arial" w:cs="Arial"/>
        </w:rPr>
        <w:t>spoliation</w:t>
      </w:r>
      <w:r w:rsidRPr="00491C20">
        <w:rPr>
          <w:rFonts w:ascii="Arial" w:hAnsi="Arial" w:cs="Arial"/>
        </w:rPr>
        <w:t xml:space="preserve"> but because:</w:t>
      </w:r>
    </w:p>
    <w:p w:rsidR="00856EE6" w:rsidRDefault="00856EE6" w:rsidP="00BB036E">
      <w:pPr>
        <w:spacing w:line="360" w:lineRule="auto"/>
        <w:rPr>
          <w:rFonts w:ascii="Arial" w:hAnsi="Arial" w:cs="Arial"/>
        </w:rPr>
      </w:pPr>
    </w:p>
    <w:p w:rsidR="00856EE6" w:rsidRDefault="00483253" w:rsidP="00483253">
      <w:pPr>
        <w:spacing w:line="360" w:lineRule="auto"/>
        <w:ind w:left="720"/>
        <w:rPr>
          <w:rFonts w:ascii="Arial" w:hAnsi="Arial" w:cs="Arial"/>
          <w:i/>
        </w:rPr>
      </w:pPr>
      <w:r w:rsidRPr="00483253">
        <w:rPr>
          <w:rFonts w:ascii="Arial" w:hAnsi="Arial" w:cs="Arial"/>
          <w:i/>
        </w:rPr>
        <w:t>“On the evidence of the appellant's own witnesses the respondent was on 7th August trading in the shop. His stock was on the shelves and two of his employees were behind the counter serving customers. These positive facts standing alone clearly demonstrate possession</w:t>
      </w:r>
      <w:r>
        <w:rPr>
          <w:rFonts w:ascii="Arial" w:hAnsi="Arial" w:cs="Arial"/>
          <w:i/>
        </w:rPr>
        <w:t>.”</w:t>
      </w:r>
      <w:r w:rsidR="00985C1A">
        <w:rPr>
          <w:rStyle w:val="FootnoteReference"/>
          <w:rFonts w:ascii="Arial" w:hAnsi="Arial" w:cs="Arial"/>
          <w:i/>
        </w:rPr>
        <w:footnoteReference w:id="94"/>
      </w:r>
    </w:p>
    <w:p w:rsidR="00483253" w:rsidRDefault="00483253" w:rsidP="00483253">
      <w:pPr>
        <w:spacing w:line="360" w:lineRule="auto"/>
        <w:ind w:left="720"/>
        <w:rPr>
          <w:rFonts w:ascii="Arial" w:hAnsi="Arial" w:cs="Arial"/>
          <w:i/>
        </w:rPr>
      </w:pPr>
    </w:p>
    <w:p w:rsidR="00985C1A" w:rsidRPr="00491C20" w:rsidRDefault="00483253" w:rsidP="00491C20">
      <w:pPr>
        <w:pStyle w:val="ListParagraph"/>
        <w:numPr>
          <w:ilvl w:val="0"/>
          <w:numId w:val="3"/>
        </w:numPr>
        <w:spacing w:line="360" w:lineRule="auto"/>
        <w:rPr>
          <w:rFonts w:ascii="Arial" w:hAnsi="Arial" w:cs="Arial"/>
        </w:rPr>
      </w:pPr>
      <w:r w:rsidRPr="00491C20">
        <w:rPr>
          <w:rFonts w:ascii="Arial" w:hAnsi="Arial" w:cs="Arial"/>
        </w:rPr>
        <w:t>That was the easy part of the factual enquiry</w:t>
      </w:r>
      <w:r w:rsidR="00985C1A" w:rsidRPr="00491C20">
        <w:rPr>
          <w:rFonts w:ascii="Arial" w:hAnsi="Arial" w:cs="Arial"/>
        </w:rPr>
        <w:t xml:space="preserve">, the court noting that the nature of the respondent’s possession therefore was not of a kind which might have been subject </w:t>
      </w:r>
      <w:r w:rsidR="00730708">
        <w:rPr>
          <w:rFonts w:ascii="Arial" w:hAnsi="Arial" w:cs="Arial"/>
        </w:rPr>
        <w:t xml:space="preserve">to </w:t>
      </w:r>
      <w:r w:rsidR="00985C1A" w:rsidRPr="00491C20">
        <w:rPr>
          <w:rFonts w:ascii="Arial" w:hAnsi="Arial" w:cs="Arial"/>
        </w:rPr>
        <w:t>counter-spoliation.</w:t>
      </w:r>
      <w:r w:rsidRPr="00491C20">
        <w:rPr>
          <w:rFonts w:ascii="Arial" w:hAnsi="Arial" w:cs="Arial"/>
        </w:rPr>
        <w:t xml:space="preserve"> </w:t>
      </w:r>
      <w:r w:rsidR="00985C1A">
        <w:rPr>
          <w:rStyle w:val="FootnoteReference"/>
          <w:rFonts w:ascii="Arial" w:hAnsi="Arial" w:cs="Arial"/>
        </w:rPr>
        <w:footnoteReference w:id="95"/>
      </w:r>
    </w:p>
    <w:p w:rsidR="00985C1A" w:rsidRDefault="00985C1A" w:rsidP="00483253">
      <w:pPr>
        <w:spacing w:line="360" w:lineRule="auto"/>
        <w:rPr>
          <w:rFonts w:ascii="Arial" w:hAnsi="Arial" w:cs="Arial"/>
        </w:rPr>
      </w:pPr>
    </w:p>
    <w:p w:rsidR="00483253" w:rsidRDefault="00483253" w:rsidP="00491C20">
      <w:pPr>
        <w:spacing w:line="360" w:lineRule="auto"/>
        <w:ind w:left="360"/>
        <w:rPr>
          <w:rFonts w:ascii="Arial" w:hAnsi="Arial" w:cs="Arial"/>
        </w:rPr>
      </w:pPr>
      <w:r>
        <w:rPr>
          <w:rFonts w:ascii="Arial" w:hAnsi="Arial" w:cs="Arial"/>
        </w:rPr>
        <w:t xml:space="preserve">More difficult was determining </w:t>
      </w:r>
      <w:r w:rsidRPr="00483253">
        <w:rPr>
          <w:rFonts w:ascii="Arial" w:hAnsi="Arial" w:cs="Arial"/>
          <w:i/>
        </w:rPr>
        <w:t>factually</w:t>
      </w:r>
      <w:r>
        <w:rPr>
          <w:rFonts w:ascii="Arial" w:hAnsi="Arial" w:cs="Arial"/>
        </w:rPr>
        <w:t xml:space="preserve"> the basis on which the respondent held possession of the shop</w:t>
      </w:r>
      <w:r w:rsidR="00413836">
        <w:rPr>
          <w:rFonts w:ascii="Arial" w:hAnsi="Arial" w:cs="Arial"/>
        </w:rPr>
        <w:t>,</w:t>
      </w:r>
      <w:r>
        <w:rPr>
          <w:rFonts w:ascii="Arial" w:hAnsi="Arial" w:cs="Arial"/>
        </w:rPr>
        <w:t xml:space="preserve"> since the appellant claimed that the former was holding as his employee</w:t>
      </w:r>
      <w:r w:rsidR="00730708">
        <w:rPr>
          <w:rFonts w:ascii="Arial" w:hAnsi="Arial" w:cs="Arial"/>
        </w:rPr>
        <w:t xml:space="preserve">. This </w:t>
      </w:r>
      <w:r>
        <w:rPr>
          <w:rFonts w:ascii="Arial" w:hAnsi="Arial" w:cs="Arial"/>
        </w:rPr>
        <w:t xml:space="preserve">was the </w:t>
      </w:r>
      <w:r w:rsidR="006C679A">
        <w:rPr>
          <w:rFonts w:ascii="Arial" w:hAnsi="Arial" w:cs="Arial"/>
        </w:rPr>
        <w:t>predominant</w:t>
      </w:r>
      <w:r>
        <w:rPr>
          <w:rFonts w:ascii="Arial" w:hAnsi="Arial" w:cs="Arial"/>
        </w:rPr>
        <w:t xml:space="preserve"> focus of the appeal court’s enquiry as demonstrated by the following passage:</w:t>
      </w:r>
    </w:p>
    <w:p w:rsidR="00483253" w:rsidRDefault="00483253" w:rsidP="00483253">
      <w:pPr>
        <w:spacing w:line="360" w:lineRule="auto"/>
        <w:rPr>
          <w:rFonts w:ascii="Arial" w:hAnsi="Arial" w:cs="Arial"/>
        </w:rPr>
      </w:pPr>
    </w:p>
    <w:p w:rsidR="00985C1A" w:rsidRDefault="00985C1A" w:rsidP="00985C1A">
      <w:pPr>
        <w:pStyle w:val="FootnoteText"/>
        <w:spacing w:line="360" w:lineRule="auto"/>
        <w:ind w:left="720"/>
        <w:rPr>
          <w:rFonts w:ascii="Arial" w:hAnsi="Arial" w:cs="Arial"/>
          <w:i/>
          <w:sz w:val="24"/>
          <w:szCs w:val="24"/>
        </w:rPr>
      </w:pPr>
      <w:r>
        <w:rPr>
          <w:rFonts w:ascii="Arial" w:hAnsi="Arial" w:cs="Arial"/>
          <w:i/>
          <w:sz w:val="24"/>
          <w:szCs w:val="24"/>
        </w:rPr>
        <w:t>“</w:t>
      </w:r>
      <w:r w:rsidRPr="00985C1A">
        <w:rPr>
          <w:rFonts w:ascii="Arial" w:hAnsi="Arial" w:cs="Arial"/>
          <w:i/>
          <w:sz w:val="24"/>
          <w:szCs w:val="24"/>
        </w:rPr>
        <w:t xml:space="preserve">Considerable reliance was, however, placed on the respondent's failure to </w:t>
      </w:r>
      <w:r w:rsidRPr="00985C1A">
        <w:rPr>
          <w:rFonts w:ascii="Arial" w:hAnsi="Arial" w:cs="Arial"/>
          <w:i/>
          <w:sz w:val="24"/>
          <w:szCs w:val="24"/>
        </w:rPr>
        <w:lastRenderedPageBreak/>
        <w:t xml:space="preserve">prove the lease alleged by him. But it was not necessary for him to have proved the lease. The proof of such an agreement of lease would, of course, have assisted the respondent in proving the animus retentionis for his own benefit and that he did not merely have control over the building as a cleaner in the employ of the appellant. But, apart from the failure to prove the lease, the evidence, in addition to the fact of his actual trading in the building, does show that as a result </w:t>
      </w:r>
      <w:r w:rsidR="006C679A" w:rsidRPr="00985C1A">
        <w:rPr>
          <w:rFonts w:ascii="Arial" w:hAnsi="Arial" w:cs="Arial"/>
          <w:i/>
          <w:sz w:val="24"/>
          <w:szCs w:val="24"/>
        </w:rPr>
        <w:t>of negotiations</w:t>
      </w:r>
      <w:r w:rsidRPr="00985C1A">
        <w:rPr>
          <w:rFonts w:ascii="Arial" w:hAnsi="Arial" w:cs="Arial"/>
          <w:i/>
          <w:sz w:val="24"/>
          <w:szCs w:val="24"/>
        </w:rPr>
        <w:t xml:space="preserve"> between the parties the respondent had reason to believe that he was entitled to occupy the building and therefore intended to remain in occupation thereof for his own benefit. In regard to the nature of the agreement entered into by the parties the evidence of the appellant is unacceptable in view of the second letter written by him to the respondent. This letter, although difficult to interpret, </w:t>
      </w:r>
      <w:r w:rsidR="006C679A" w:rsidRPr="00985C1A">
        <w:rPr>
          <w:rFonts w:ascii="Arial" w:hAnsi="Arial" w:cs="Arial"/>
          <w:i/>
          <w:sz w:val="24"/>
          <w:szCs w:val="24"/>
        </w:rPr>
        <w:t>reveals conduct</w:t>
      </w:r>
      <w:r w:rsidRPr="00985C1A">
        <w:rPr>
          <w:rFonts w:ascii="Arial" w:hAnsi="Arial" w:cs="Arial"/>
          <w:i/>
          <w:sz w:val="24"/>
          <w:szCs w:val="24"/>
        </w:rPr>
        <w:t xml:space="preserve"> on the part of the appellant which is inconsistent with an agreement of employer and employee. It states that the appellant had agreed with the respondent that the latter could occupy the shop. This statement affords corroboration of the respondent's story that there was an agreement between the parties by virtue of which he was entitled to occupation. It follows that respondent in entering into occupation had the intention to remain in possession in order to secure a benefit for himself.</w:t>
      </w:r>
      <w:r>
        <w:rPr>
          <w:rStyle w:val="FootnoteReference"/>
          <w:rFonts w:ascii="Arial" w:hAnsi="Arial" w:cs="Arial"/>
          <w:i/>
          <w:sz w:val="24"/>
          <w:szCs w:val="24"/>
        </w:rPr>
        <w:footnoteReference w:id="96"/>
      </w:r>
    </w:p>
    <w:p w:rsidR="00025D81" w:rsidRPr="00985C1A" w:rsidRDefault="00025D81" w:rsidP="00985C1A">
      <w:pPr>
        <w:pStyle w:val="FootnoteText"/>
        <w:spacing w:line="360" w:lineRule="auto"/>
        <w:ind w:left="720"/>
        <w:rPr>
          <w:rFonts w:ascii="Arial" w:hAnsi="Arial" w:cs="Arial"/>
          <w:i/>
          <w:sz w:val="24"/>
          <w:szCs w:val="24"/>
        </w:rPr>
      </w:pPr>
    </w:p>
    <w:p w:rsidR="009725D4" w:rsidRPr="00491C20" w:rsidRDefault="00161CD0" w:rsidP="00491C20">
      <w:pPr>
        <w:pStyle w:val="ListParagraph"/>
        <w:numPr>
          <w:ilvl w:val="0"/>
          <w:numId w:val="3"/>
        </w:numPr>
        <w:spacing w:line="360" w:lineRule="auto"/>
        <w:rPr>
          <w:rFonts w:ascii="Arial" w:hAnsi="Arial" w:cs="Arial"/>
        </w:rPr>
      </w:pPr>
      <w:r w:rsidRPr="00491C20">
        <w:rPr>
          <w:rFonts w:ascii="Arial" w:hAnsi="Arial" w:cs="Arial"/>
        </w:rPr>
        <w:t xml:space="preserve">In my respectful view, </w:t>
      </w:r>
      <w:r w:rsidRPr="00491C20">
        <w:rPr>
          <w:rFonts w:ascii="Arial" w:hAnsi="Arial" w:cs="Arial"/>
          <w:i/>
        </w:rPr>
        <w:t>Yeko’s</w:t>
      </w:r>
      <w:r w:rsidRPr="00491C20">
        <w:rPr>
          <w:rFonts w:ascii="Arial" w:hAnsi="Arial" w:cs="Arial"/>
        </w:rPr>
        <w:t xml:space="preserve"> </w:t>
      </w:r>
      <w:r w:rsidR="00297756" w:rsidRPr="00491C20">
        <w:rPr>
          <w:rFonts w:ascii="Arial" w:hAnsi="Arial" w:cs="Arial"/>
        </w:rPr>
        <w:t xml:space="preserve">disinterest in </w:t>
      </w:r>
      <w:r w:rsidR="009725D4" w:rsidRPr="00491C20">
        <w:rPr>
          <w:rFonts w:ascii="Arial" w:hAnsi="Arial" w:cs="Arial"/>
        </w:rPr>
        <w:t>legal considerations</w:t>
      </w:r>
      <w:r w:rsidR="00297756" w:rsidRPr="00491C20">
        <w:rPr>
          <w:rFonts w:ascii="Arial" w:hAnsi="Arial" w:cs="Arial"/>
        </w:rPr>
        <w:t xml:space="preserve"> of lawfulness </w:t>
      </w:r>
      <w:r w:rsidR="009725D4" w:rsidRPr="00491C20">
        <w:rPr>
          <w:rFonts w:ascii="Arial" w:hAnsi="Arial" w:cs="Arial"/>
        </w:rPr>
        <w:t>means no more than that</w:t>
      </w:r>
      <w:r w:rsidR="00297756" w:rsidRPr="00491C20">
        <w:rPr>
          <w:rFonts w:ascii="Arial" w:hAnsi="Arial" w:cs="Arial"/>
        </w:rPr>
        <w:t xml:space="preserve">. </w:t>
      </w:r>
      <w:r w:rsidR="006C679A" w:rsidRPr="00491C20">
        <w:rPr>
          <w:rFonts w:ascii="Arial" w:hAnsi="Arial" w:cs="Arial"/>
        </w:rPr>
        <w:t>It does</w:t>
      </w:r>
      <w:r w:rsidR="009725D4" w:rsidRPr="00491C20">
        <w:rPr>
          <w:rFonts w:ascii="Arial" w:hAnsi="Arial" w:cs="Arial"/>
        </w:rPr>
        <w:t xml:space="preserve"> not mean that the facts </w:t>
      </w:r>
      <w:r w:rsidR="00297756" w:rsidRPr="00491C20">
        <w:rPr>
          <w:rFonts w:ascii="Arial" w:hAnsi="Arial" w:cs="Arial"/>
        </w:rPr>
        <w:t>to establish peaceful</w:t>
      </w:r>
      <w:r w:rsidR="009725D4" w:rsidRPr="00491C20">
        <w:rPr>
          <w:rFonts w:ascii="Arial" w:hAnsi="Arial" w:cs="Arial"/>
        </w:rPr>
        <w:t xml:space="preserve"> </w:t>
      </w:r>
      <w:r w:rsidR="00297756" w:rsidRPr="00491C20">
        <w:rPr>
          <w:rFonts w:ascii="Arial" w:hAnsi="Arial" w:cs="Arial"/>
        </w:rPr>
        <w:t>and</w:t>
      </w:r>
      <w:r w:rsidR="009725D4" w:rsidRPr="00491C20">
        <w:rPr>
          <w:rFonts w:ascii="Arial" w:hAnsi="Arial" w:cs="Arial"/>
        </w:rPr>
        <w:t xml:space="preserve"> undisturbed possession for personal benefit </w:t>
      </w:r>
      <w:r w:rsidR="00297756" w:rsidRPr="00491C20">
        <w:rPr>
          <w:rFonts w:ascii="Arial" w:hAnsi="Arial" w:cs="Arial"/>
        </w:rPr>
        <w:t>are ignored; quite the contrar</w:t>
      </w:r>
      <w:r w:rsidR="009725D4" w:rsidRPr="00491C20">
        <w:rPr>
          <w:rFonts w:ascii="Arial" w:hAnsi="Arial" w:cs="Arial"/>
        </w:rPr>
        <w:t xml:space="preserve">y </w:t>
      </w:r>
      <w:r w:rsidR="00297756" w:rsidRPr="00491C20">
        <w:rPr>
          <w:rFonts w:ascii="Arial" w:hAnsi="Arial" w:cs="Arial"/>
        </w:rPr>
        <w:t xml:space="preserve">as the </w:t>
      </w:r>
      <w:r w:rsidR="00413836">
        <w:rPr>
          <w:rFonts w:ascii="Arial" w:hAnsi="Arial" w:cs="Arial"/>
        </w:rPr>
        <w:t xml:space="preserve">above </w:t>
      </w:r>
      <w:r w:rsidR="00297756" w:rsidRPr="00491C20">
        <w:rPr>
          <w:rFonts w:ascii="Arial" w:hAnsi="Arial" w:cs="Arial"/>
        </w:rPr>
        <w:t>extract</w:t>
      </w:r>
      <w:r w:rsidRPr="00491C20">
        <w:rPr>
          <w:rFonts w:ascii="Arial" w:hAnsi="Arial" w:cs="Arial"/>
        </w:rPr>
        <w:t>s</w:t>
      </w:r>
      <w:r w:rsidR="00297756" w:rsidRPr="00491C20">
        <w:rPr>
          <w:rFonts w:ascii="Arial" w:hAnsi="Arial" w:cs="Arial"/>
        </w:rPr>
        <w:t xml:space="preserve"> cited </w:t>
      </w:r>
      <w:r w:rsidRPr="00491C20">
        <w:rPr>
          <w:rFonts w:ascii="Arial" w:hAnsi="Arial" w:cs="Arial"/>
        </w:rPr>
        <w:t xml:space="preserve">from </w:t>
      </w:r>
      <w:r w:rsidRPr="00491C20">
        <w:rPr>
          <w:rFonts w:ascii="Arial" w:hAnsi="Arial" w:cs="Arial"/>
          <w:i/>
        </w:rPr>
        <w:t>Yeko</w:t>
      </w:r>
      <w:r w:rsidRPr="00491C20">
        <w:rPr>
          <w:rFonts w:ascii="Arial" w:hAnsi="Arial" w:cs="Arial"/>
        </w:rPr>
        <w:t xml:space="preserve"> </w:t>
      </w:r>
      <w:r w:rsidR="00297756" w:rsidRPr="00491C20">
        <w:rPr>
          <w:rFonts w:ascii="Arial" w:hAnsi="Arial" w:cs="Arial"/>
        </w:rPr>
        <w:t>illustrate</w:t>
      </w:r>
      <w:r w:rsidR="00195B3B">
        <w:rPr>
          <w:rFonts w:ascii="Arial" w:hAnsi="Arial" w:cs="Arial"/>
        </w:rPr>
        <w:t xml:space="preserve"> </w:t>
      </w:r>
      <w:r w:rsidR="00195B3B" w:rsidRPr="00491C20">
        <w:rPr>
          <w:rFonts w:ascii="Arial" w:hAnsi="Arial" w:cs="Arial"/>
        </w:rPr>
        <w:t xml:space="preserve">(from </w:t>
      </w:r>
      <w:r w:rsidR="00195B3B">
        <w:rPr>
          <w:rFonts w:ascii="Arial" w:hAnsi="Arial" w:cs="Arial"/>
        </w:rPr>
        <w:t>739H-740B</w:t>
      </w:r>
      <w:r w:rsidR="00195B3B" w:rsidRPr="00491C20">
        <w:rPr>
          <w:rFonts w:ascii="Arial" w:hAnsi="Arial" w:cs="Arial"/>
        </w:rPr>
        <w:t>)</w:t>
      </w:r>
      <w:r w:rsidR="00297756" w:rsidRPr="00491C20">
        <w:rPr>
          <w:rFonts w:ascii="Arial" w:hAnsi="Arial" w:cs="Arial"/>
        </w:rPr>
        <w:t xml:space="preserve">. </w:t>
      </w:r>
      <w:r w:rsidR="00730708">
        <w:rPr>
          <w:rFonts w:ascii="Arial" w:hAnsi="Arial" w:cs="Arial"/>
        </w:rPr>
        <w:t xml:space="preserve">They also reveal </w:t>
      </w:r>
      <w:r w:rsidR="00BD48B4" w:rsidRPr="00491C20">
        <w:rPr>
          <w:rFonts w:ascii="Arial" w:hAnsi="Arial" w:cs="Arial"/>
        </w:rPr>
        <w:t xml:space="preserve">that the </w:t>
      </w:r>
      <w:r w:rsidR="00BD48B4" w:rsidRPr="00491C20">
        <w:rPr>
          <w:rFonts w:ascii="Arial" w:hAnsi="Arial" w:cs="Arial"/>
          <w:i/>
        </w:rPr>
        <w:t xml:space="preserve">factual </w:t>
      </w:r>
      <w:r w:rsidR="00BD48B4" w:rsidRPr="00491C20">
        <w:rPr>
          <w:rFonts w:ascii="Arial" w:hAnsi="Arial" w:cs="Arial"/>
        </w:rPr>
        <w:t xml:space="preserve">basis </w:t>
      </w:r>
      <w:r w:rsidRPr="00491C20">
        <w:rPr>
          <w:rFonts w:ascii="Arial" w:hAnsi="Arial" w:cs="Arial"/>
        </w:rPr>
        <w:t xml:space="preserve">for all the elements of possession required </w:t>
      </w:r>
      <w:r w:rsidR="00413836">
        <w:rPr>
          <w:rFonts w:ascii="Arial" w:hAnsi="Arial" w:cs="Arial"/>
        </w:rPr>
        <w:t xml:space="preserve">under the </w:t>
      </w:r>
      <w:r w:rsidRPr="00491C20">
        <w:rPr>
          <w:rFonts w:ascii="Arial" w:hAnsi="Arial" w:cs="Arial"/>
        </w:rPr>
        <w:t xml:space="preserve">mandament </w:t>
      </w:r>
      <w:r w:rsidR="00BD48B4" w:rsidRPr="00491C20">
        <w:rPr>
          <w:rFonts w:ascii="Arial" w:hAnsi="Arial" w:cs="Arial"/>
        </w:rPr>
        <w:t>w</w:t>
      </w:r>
      <w:r w:rsidRPr="00491C20">
        <w:rPr>
          <w:rFonts w:ascii="Arial" w:hAnsi="Arial" w:cs="Arial"/>
        </w:rPr>
        <w:t>ere</w:t>
      </w:r>
      <w:r w:rsidR="00BD48B4" w:rsidRPr="00491C20">
        <w:rPr>
          <w:rFonts w:ascii="Arial" w:hAnsi="Arial" w:cs="Arial"/>
        </w:rPr>
        <w:t xml:space="preserve"> scrutinised by the court</w:t>
      </w:r>
      <w:r w:rsidR="00413836">
        <w:rPr>
          <w:rFonts w:ascii="Arial" w:hAnsi="Arial" w:cs="Arial"/>
        </w:rPr>
        <w:t xml:space="preserve">. This included that </w:t>
      </w:r>
      <w:r w:rsidRPr="00491C20">
        <w:rPr>
          <w:rFonts w:ascii="Arial" w:hAnsi="Arial" w:cs="Arial"/>
        </w:rPr>
        <w:t>t</w:t>
      </w:r>
      <w:r w:rsidR="00BD48B4" w:rsidRPr="00491C20">
        <w:rPr>
          <w:rFonts w:ascii="Arial" w:hAnsi="Arial" w:cs="Arial"/>
        </w:rPr>
        <w:t xml:space="preserve">he </w:t>
      </w:r>
      <w:r w:rsidRPr="00491C20">
        <w:rPr>
          <w:rFonts w:ascii="Arial" w:hAnsi="Arial" w:cs="Arial"/>
        </w:rPr>
        <w:t xml:space="preserve">respondent </w:t>
      </w:r>
      <w:r w:rsidR="00BD48B4" w:rsidRPr="00491C20">
        <w:rPr>
          <w:rFonts w:ascii="Arial" w:hAnsi="Arial" w:cs="Arial"/>
        </w:rPr>
        <w:t xml:space="preserve">was </w:t>
      </w:r>
      <w:r w:rsidR="00413836">
        <w:rPr>
          <w:rFonts w:ascii="Arial" w:hAnsi="Arial" w:cs="Arial"/>
        </w:rPr>
        <w:t xml:space="preserve">found </w:t>
      </w:r>
      <w:r w:rsidR="00066C68" w:rsidRPr="00491C20">
        <w:rPr>
          <w:rFonts w:ascii="Arial" w:hAnsi="Arial" w:cs="Arial"/>
        </w:rPr>
        <w:t xml:space="preserve">as a fact, not as a matter of law, </w:t>
      </w:r>
      <w:r w:rsidR="00413836">
        <w:rPr>
          <w:rFonts w:ascii="Arial" w:hAnsi="Arial" w:cs="Arial"/>
        </w:rPr>
        <w:t xml:space="preserve">to be </w:t>
      </w:r>
      <w:r w:rsidR="00066C68" w:rsidRPr="00491C20">
        <w:rPr>
          <w:rFonts w:ascii="Arial" w:hAnsi="Arial" w:cs="Arial"/>
        </w:rPr>
        <w:t xml:space="preserve">in </w:t>
      </w:r>
      <w:r w:rsidR="00BD48B4" w:rsidRPr="00491C20">
        <w:rPr>
          <w:rFonts w:ascii="Arial" w:hAnsi="Arial" w:cs="Arial"/>
        </w:rPr>
        <w:t xml:space="preserve">peaceful  </w:t>
      </w:r>
      <w:r w:rsidR="00066C68" w:rsidRPr="00491C20">
        <w:rPr>
          <w:rFonts w:ascii="Arial" w:hAnsi="Arial" w:cs="Arial"/>
        </w:rPr>
        <w:t>and undisturbed possession.</w:t>
      </w:r>
      <w:r w:rsidR="00066C68">
        <w:rPr>
          <w:rStyle w:val="FootnoteReference"/>
          <w:rFonts w:ascii="Arial" w:hAnsi="Arial" w:cs="Arial"/>
        </w:rPr>
        <w:footnoteReference w:id="97"/>
      </w:r>
      <w:r w:rsidR="00BD48B4" w:rsidRPr="00491C20">
        <w:rPr>
          <w:rFonts w:ascii="Arial" w:hAnsi="Arial" w:cs="Arial"/>
        </w:rPr>
        <w:t xml:space="preserve"> </w:t>
      </w:r>
    </w:p>
    <w:p w:rsidR="003E46B9" w:rsidRDefault="003E46B9" w:rsidP="00297756">
      <w:pPr>
        <w:spacing w:line="360" w:lineRule="auto"/>
        <w:rPr>
          <w:rFonts w:ascii="Arial" w:hAnsi="Arial" w:cs="Arial"/>
        </w:rPr>
      </w:pPr>
    </w:p>
    <w:p w:rsidR="00413836" w:rsidRDefault="003E46B9" w:rsidP="00413836">
      <w:pPr>
        <w:pStyle w:val="ListParagraph"/>
        <w:numPr>
          <w:ilvl w:val="0"/>
          <w:numId w:val="3"/>
        </w:numPr>
        <w:spacing w:line="360" w:lineRule="auto"/>
        <w:rPr>
          <w:rFonts w:ascii="Arial" w:hAnsi="Arial" w:cs="Arial"/>
        </w:rPr>
      </w:pPr>
      <w:r w:rsidRPr="00491C20">
        <w:rPr>
          <w:rFonts w:ascii="Arial" w:hAnsi="Arial" w:cs="Arial"/>
          <w:i/>
        </w:rPr>
        <w:t>Yeko</w:t>
      </w:r>
      <w:r w:rsidRPr="00491C20">
        <w:rPr>
          <w:rFonts w:ascii="Arial" w:hAnsi="Arial" w:cs="Arial"/>
        </w:rPr>
        <w:t xml:space="preserve"> discounted the possibility of lawful</w:t>
      </w:r>
      <w:r w:rsidR="00195B3B">
        <w:rPr>
          <w:rFonts w:ascii="Arial" w:hAnsi="Arial" w:cs="Arial"/>
        </w:rPr>
        <w:t xml:space="preserve"> </w:t>
      </w:r>
      <w:r w:rsidRPr="00491C20">
        <w:rPr>
          <w:rFonts w:ascii="Arial" w:hAnsi="Arial" w:cs="Arial"/>
        </w:rPr>
        <w:t>counter</w:t>
      </w:r>
      <w:r w:rsidR="00195B3B">
        <w:rPr>
          <w:rFonts w:ascii="Arial" w:hAnsi="Arial" w:cs="Arial"/>
        </w:rPr>
        <w:t>-</w:t>
      </w:r>
      <w:r w:rsidR="006C679A" w:rsidRPr="00491C20">
        <w:rPr>
          <w:rFonts w:ascii="Arial" w:hAnsi="Arial" w:cs="Arial"/>
        </w:rPr>
        <w:t>s</w:t>
      </w:r>
      <w:r w:rsidRPr="00491C20">
        <w:rPr>
          <w:rFonts w:ascii="Arial" w:hAnsi="Arial" w:cs="Arial"/>
        </w:rPr>
        <w:t xml:space="preserve">poliation because </w:t>
      </w:r>
      <w:r w:rsidR="00D93310">
        <w:rPr>
          <w:rFonts w:ascii="Arial" w:hAnsi="Arial" w:cs="Arial"/>
        </w:rPr>
        <w:t xml:space="preserve">it was </w:t>
      </w:r>
      <w:r w:rsidR="00413836">
        <w:rPr>
          <w:rFonts w:ascii="Arial" w:hAnsi="Arial" w:cs="Arial"/>
        </w:rPr>
        <w:t xml:space="preserve">conceded </w:t>
      </w:r>
      <w:r w:rsidRPr="00491C20">
        <w:rPr>
          <w:rFonts w:ascii="Arial" w:hAnsi="Arial" w:cs="Arial"/>
        </w:rPr>
        <w:t>that the res</w:t>
      </w:r>
      <w:r w:rsidRPr="00413836">
        <w:rPr>
          <w:rFonts w:ascii="Arial" w:hAnsi="Arial" w:cs="Arial"/>
        </w:rPr>
        <w:t xml:space="preserve">pondent had enjoyed peaceful and undisturbed </w:t>
      </w:r>
      <w:r w:rsidR="006C679A" w:rsidRPr="00413836">
        <w:rPr>
          <w:rFonts w:ascii="Arial" w:hAnsi="Arial" w:cs="Arial"/>
        </w:rPr>
        <w:t>possession</w:t>
      </w:r>
      <w:r w:rsidRPr="00413836">
        <w:rPr>
          <w:rFonts w:ascii="Arial" w:hAnsi="Arial" w:cs="Arial"/>
        </w:rPr>
        <w:t xml:space="preserve">. </w:t>
      </w:r>
    </w:p>
    <w:p w:rsidR="00413836" w:rsidRPr="00413836" w:rsidRDefault="00413836" w:rsidP="00413836">
      <w:pPr>
        <w:pStyle w:val="ListParagraph"/>
        <w:rPr>
          <w:rFonts w:ascii="Arial" w:hAnsi="Arial" w:cs="Arial"/>
        </w:rPr>
      </w:pPr>
    </w:p>
    <w:p w:rsidR="00D93310" w:rsidRPr="00413836" w:rsidRDefault="00413836" w:rsidP="00413836">
      <w:pPr>
        <w:pStyle w:val="ListParagraph"/>
        <w:spacing w:line="360" w:lineRule="auto"/>
        <w:ind w:left="360"/>
        <w:rPr>
          <w:rFonts w:ascii="Arial" w:hAnsi="Arial" w:cs="Arial"/>
        </w:rPr>
      </w:pPr>
      <w:r>
        <w:rPr>
          <w:rFonts w:ascii="Arial" w:hAnsi="Arial" w:cs="Arial"/>
        </w:rPr>
        <w:lastRenderedPageBreak/>
        <w:t xml:space="preserve">One would have expected that if the court </w:t>
      </w:r>
      <w:r w:rsidR="003E46B9" w:rsidRPr="00413836">
        <w:rPr>
          <w:rFonts w:ascii="Arial" w:hAnsi="Arial" w:cs="Arial"/>
        </w:rPr>
        <w:t>intended to determine that a</w:t>
      </w:r>
      <w:r w:rsidR="00195B3B">
        <w:rPr>
          <w:rFonts w:ascii="Arial" w:hAnsi="Arial" w:cs="Arial"/>
        </w:rPr>
        <w:t xml:space="preserve"> more</w:t>
      </w:r>
      <w:r>
        <w:rPr>
          <w:rFonts w:ascii="Arial" w:hAnsi="Arial" w:cs="Arial"/>
        </w:rPr>
        <w:t xml:space="preserve"> liberal </w:t>
      </w:r>
      <w:r w:rsidR="003E46B9" w:rsidRPr="00413836">
        <w:rPr>
          <w:rFonts w:ascii="Arial" w:hAnsi="Arial" w:cs="Arial"/>
        </w:rPr>
        <w:t xml:space="preserve">application of </w:t>
      </w:r>
      <w:r w:rsidR="003E46B9" w:rsidRPr="00413836">
        <w:rPr>
          <w:rFonts w:ascii="Arial" w:hAnsi="Arial" w:cs="Arial"/>
          <w:i/>
        </w:rPr>
        <w:t>instanter</w:t>
      </w:r>
      <w:r w:rsidR="00195B3B">
        <w:rPr>
          <w:rFonts w:ascii="Arial" w:hAnsi="Arial" w:cs="Arial"/>
        </w:rPr>
        <w:t xml:space="preserve"> c</w:t>
      </w:r>
      <w:r w:rsidR="003E46B9" w:rsidRPr="00413836">
        <w:rPr>
          <w:rFonts w:ascii="Arial" w:hAnsi="Arial" w:cs="Arial"/>
        </w:rPr>
        <w:t>ould not be accept</w:t>
      </w:r>
      <w:r w:rsidR="00195B3B">
        <w:rPr>
          <w:rFonts w:ascii="Arial" w:hAnsi="Arial" w:cs="Arial"/>
        </w:rPr>
        <w:t>ed</w:t>
      </w:r>
      <w:r w:rsidR="003E46B9" w:rsidRPr="00413836">
        <w:rPr>
          <w:rFonts w:ascii="Arial" w:hAnsi="Arial" w:cs="Arial"/>
        </w:rPr>
        <w:t xml:space="preserve"> then </w:t>
      </w:r>
      <w:r>
        <w:rPr>
          <w:rFonts w:ascii="Arial" w:hAnsi="Arial" w:cs="Arial"/>
        </w:rPr>
        <w:t xml:space="preserve">it </w:t>
      </w:r>
      <w:r w:rsidR="003E46B9" w:rsidRPr="00413836">
        <w:rPr>
          <w:rFonts w:ascii="Arial" w:hAnsi="Arial" w:cs="Arial"/>
        </w:rPr>
        <w:t xml:space="preserve">would have </w:t>
      </w:r>
      <w:r>
        <w:rPr>
          <w:rFonts w:ascii="Arial" w:hAnsi="Arial" w:cs="Arial"/>
        </w:rPr>
        <w:t xml:space="preserve">pertinently </w:t>
      </w:r>
      <w:r w:rsidR="003E46B9" w:rsidRPr="00413836">
        <w:rPr>
          <w:rFonts w:ascii="Arial" w:hAnsi="Arial" w:cs="Arial"/>
        </w:rPr>
        <w:t xml:space="preserve">dealt with </w:t>
      </w:r>
      <w:r w:rsidR="003E46B9" w:rsidRPr="00413836">
        <w:rPr>
          <w:rFonts w:ascii="Arial" w:hAnsi="Arial" w:cs="Arial"/>
          <w:i/>
        </w:rPr>
        <w:t xml:space="preserve">Mans’ </w:t>
      </w:r>
      <w:r w:rsidR="003E46B9" w:rsidRPr="00413836">
        <w:rPr>
          <w:rFonts w:ascii="Arial" w:hAnsi="Arial" w:cs="Arial"/>
        </w:rPr>
        <w:t xml:space="preserve">suggestion to that </w:t>
      </w:r>
      <w:r w:rsidR="006C679A" w:rsidRPr="00413836">
        <w:rPr>
          <w:rFonts w:ascii="Arial" w:hAnsi="Arial" w:cs="Arial"/>
        </w:rPr>
        <w:t>effect.</w:t>
      </w:r>
      <w:r w:rsidR="00730708" w:rsidRPr="00413836">
        <w:rPr>
          <w:rFonts w:ascii="Arial" w:hAnsi="Arial" w:cs="Arial"/>
          <w:b/>
        </w:rPr>
        <w:t xml:space="preserve"> </w:t>
      </w:r>
      <w:r w:rsidR="00D93310" w:rsidRPr="00413836">
        <w:rPr>
          <w:rFonts w:ascii="Arial" w:hAnsi="Arial" w:cs="Arial"/>
        </w:rPr>
        <w:t xml:space="preserve">It should also be noted that </w:t>
      </w:r>
      <w:r w:rsidR="003E46B9" w:rsidRPr="00413836">
        <w:rPr>
          <w:rFonts w:ascii="Arial" w:hAnsi="Arial" w:cs="Arial"/>
          <w:i/>
        </w:rPr>
        <w:t>Yeko</w:t>
      </w:r>
      <w:r w:rsidR="00D93310" w:rsidRPr="00413836">
        <w:rPr>
          <w:rFonts w:ascii="Arial" w:hAnsi="Arial" w:cs="Arial"/>
        </w:rPr>
        <w:t xml:space="preserve"> was </w:t>
      </w:r>
      <w:r w:rsidR="003E46B9" w:rsidRPr="00413836">
        <w:rPr>
          <w:rFonts w:ascii="Arial" w:hAnsi="Arial" w:cs="Arial"/>
        </w:rPr>
        <w:t>determined on an appeal brought by the landlord with no app</w:t>
      </w:r>
      <w:r w:rsidR="00D93310" w:rsidRPr="00413836">
        <w:rPr>
          <w:rFonts w:ascii="Arial" w:hAnsi="Arial" w:cs="Arial"/>
        </w:rPr>
        <w:t>earance by the party despoiled</w:t>
      </w:r>
      <w:r>
        <w:rPr>
          <w:rFonts w:ascii="Arial" w:hAnsi="Arial" w:cs="Arial"/>
        </w:rPr>
        <w:t xml:space="preserve">. Furthermore </w:t>
      </w:r>
      <w:r w:rsidR="00D93310" w:rsidRPr="00413836">
        <w:rPr>
          <w:rFonts w:ascii="Arial" w:hAnsi="Arial" w:cs="Arial"/>
        </w:rPr>
        <w:t xml:space="preserve">cases such as </w:t>
      </w:r>
      <w:r w:rsidR="00D93310" w:rsidRPr="00413836">
        <w:rPr>
          <w:rFonts w:ascii="Arial" w:hAnsi="Arial" w:cs="Arial"/>
          <w:i/>
        </w:rPr>
        <w:t>Mans</w:t>
      </w:r>
      <w:r w:rsidR="00D93310" w:rsidRPr="00413836">
        <w:rPr>
          <w:rFonts w:ascii="Arial" w:hAnsi="Arial" w:cs="Arial"/>
        </w:rPr>
        <w:t xml:space="preserve"> were neither mentioned in the judgment nor cited in counsel’s heads of argument.</w:t>
      </w:r>
    </w:p>
    <w:p w:rsidR="00D93310" w:rsidRPr="00D93310" w:rsidRDefault="00D93310" w:rsidP="00D93310">
      <w:pPr>
        <w:pStyle w:val="ListParagraph"/>
        <w:rPr>
          <w:rFonts w:ascii="Arial" w:hAnsi="Arial" w:cs="Arial"/>
        </w:rPr>
      </w:pPr>
    </w:p>
    <w:p w:rsidR="00D93310" w:rsidRDefault="00D93310" w:rsidP="00086DFF">
      <w:pPr>
        <w:pStyle w:val="ListParagraph"/>
        <w:numPr>
          <w:ilvl w:val="0"/>
          <w:numId w:val="3"/>
        </w:numPr>
        <w:spacing w:line="360" w:lineRule="auto"/>
        <w:rPr>
          <w:rFonts w:ascii="Arial" w:hAnsi="Arial" w:cs="Arial"/>
        </w:rPr>
      </w:pPr>
      <w:r w:rsidRPr="00D93310">
        <w:rPr>
          <w:rFonts w:ascii="Arial" w:hAnsi="Arial" w:cs="Arial"/>
        </w:rPr>
        <w:t xml:space="preserve">In my respectful view </w:t>
      </w:r>
      <w:r w:rsidRPr="00413836">
        <w:rPr>
          <w:rFonts w:ascii="Arial" w:hAnsi="Arial" w:cs="Arial"/>
          <w:i/>
        </w:rPr>
        <w:t>Yeko</w:t>
      </w:r>
      <w:r w:rsidRPr="00D93310">
        <w:rPr>
          <w:rFonts w:ascii="Arial" w:hAnsi="Arial" w:cs="Arial"/>
        </w:rPr>
        <w:t xml:space="preserve"> was concerned with a straight forward and limited issue which did not require </w:t>
      </w:r>
      <w:r w:rsidR="00413836">
        <w:rPr>
          <w:rFonts w:ascii="Arial" w:hAnsi="Arial" w:cs="Arial"/>
        </w:rPr>
        <w:t xml:space="preserve">the court </w:t>
      </w:r>
      <w:r w:rsidRPr="00D93310">
        <w:rPr>
          <w:rFonts w:ascii="Arial" w:hAnsi="Arial" w:cs="Arial"/>
        </w:rPr>
        <w:t xml:space="preserve">to </w:t>
      </w:r>
      <w:r w:rsidR="00CF2213">
        <w:rPr>
          <w:rFonts w:ascii="Arial" w:hAnsi="Arial" w:cs="Arial"/>
        </w:rPr>
        <w:t xml:space="preserve">consider </w:t>
      </w:r>
      <w:r w:rsidR="00CF2213">
        <w:rPr>
          <w:rFonts w:ascii="Arial" w:hAnsi="Arial" w:cs="Arial"/>
          <w:i/>
        </w:rPr>
        <w:t xml:space="preserve">Mans </w:t>
      </w:r>
      <w:r w:rsidR="00CF2213">
        <w:rPr>
          <w:rFonts w:ascii="Arial" w:hAnsi="Arial" w:cs="Arial"/>
        </w:rPr>
        <w:t xml:space="preserve">or </w:t>
      </w:r>
      <w:r w:rsidRPr="00D93310">
        <w:rPr>
          <w:rFonts w:ascii="Arial" w:hAnsi="Arial" w:cs="Arial"/>
        </w:rPr>
        <w:t xml:space="preserve">the issues </w:t>
      </w:r>
      <w:r w:rsidRPr="00413836">
        <w:rPr>
          <w:rFonts w:ascii="Arial" w:hAnsi="Arial" w:cs="Arial"/>
          <w:i/>
        </w:rPr>
        <w:t>SAHRC</w:t>
      </w:r>
      <w:r w:rsidR="00195B3B">
        <w:rPr>
          <w:rFonts w:ascii="Arial" w:hAnsi="Arial" w:cs="Arial"/>
        </w:rPr>
        <w:t xml:space="preserve"> seek</w:t>
      </w:r>
      <w:r w:rsidRPr="00D93310">
        <w:rPr>
          <w:rFonts w:ascii="Arial" w:hAnsi="Arial" w:cs="Arial"/>
        </w:rPr>
        <w:t xml:space="preserve"> to extract from the judgment. </w:t>
      </w:r>
    </w:p>
    <w:p w:rsidR="00D93310" w:rsidRPr="00D93310" w:rsidRDefault="00D93310" w:rsidP="00D93310">
      <w:pPr>
        <w:pStyle w:val="ListParagraph"/>
        <w:rPr>
          <w:rFonts w:ascii="Arial" w:hAnsi="Arial" w:cs="Arial"/>
        </w:rPr>
      </w:pPr>
    </w:p>
    <w:p w:rsidR="00413836" w:rsidRDefault="00D93310" w:rsidP="00D93310">
      <w:pPr>
        <w:pStyle w:val="ListParagraph"/>
        <w:spacing w:line="360" w:lineRule="auto"/>
        <w:ind w:left="360"/>
        <w:rPr>
          <w:rFonts w:ascii="Arial" w:hAnsi="Arial" w:cs="Arial"/>
        </w:rPr>
      </w:pPr>
      <w:r>
        <w:rPr>
          <w:rFonts w:ascii="Arial" w:hAnsi="Arial" w:cs="Arial"/>
        </w:rPr>
        <w:t xml:space="preserve">This </w:t>
      </w:r>
      <w:r w:rsidR="00195B3B">
        <w:rPr>
          <w:rFonts w:ascii="Arial" w:hAnsi="Arial" w:cs="Arial"/>
        </w:rPr>
        <w:t xml:space="preserve">conclusion </w:t>
      </w:r>
      <w:r>
        <w:rPr>
          <w:rFonts w:ascii="Arial" w:hAnsi="Arial" w:cs="Arial"/>
        </w:rPr>
        <w:t>appear</w:t>
      </w:r>
      <w:r w:rsidR="00195B3B">
        <w:rPr>
          <w:rFonts w:ascii="Arial" w:hAnsi="Arial" w:cs="Arial"/>
        </w:rPr>
        <w:t>s</w:t>
      </w:r>
      <w:r>
        <w:rPr>
          <w:rFonts w:ascii="Arial" w:hAnsi="Arial" w:cs="Arial"/>
        </w:rPr>
        <w:t xml:space="preserve"> to be </w:t>
      </w:r>
      <w:r w:rsidR="00EE2C3B">
        <w:rPr>
          <w:rFonts w:ascii="Arial" w:hAnsi="Arial" w:cs="Arial"/>
        </w:rPr>
        <w:t>reinforced by</w:t>
      </w:r>
      <w:r w:rsidR="00413836">
        <w:rPr>
          <w:rFonts w:ascii="Arial" w:hAnsi="Arial" w:cs="Arial"/>
        </w:rPr>
        <w:t xml:space="preserve"> </w:t>
      </w:r>
      <w:r w:rsidR="00195B3B">
        <w:rPr>
          <w:rFonts w:ascii="Arial" w:hAnsi="Arial" w:cs="Arial"/>
          <w:i/>
        </w:rPr>
        <w:t xml:space="preserve">Fischer, </w:t>
      </w:r>
      <w:r w:rsidR="00413836" w:rsidRPr="00413836">
        <w:rPr>
          <w:rFonts w:ascii="Arial" w:hAnsi="Arial" w:cs="Arial"/>
        </w:rPr>
        <w:t>where the SCA</w:t>
      </w:r>
      <w:r w:rsidR="00413836">
        <w:rPr>
          <w:rFonts w:ascii="Arial" w:hAnsi="Arial" w:cs="Arial"/>
        </w:rPr>
        <w:t xml:space="preserve"> pertinently pointed out </w:t>
      </w:r>
      <w:r w:rsidRPr="00D93310">
        <w:rPr>
          <w:rFonts w:ascii="Arial" w:hAnsi="Arial" w:cs="Arial"/>
        </w:rPr>
        <w:t xml:space="preserve">that </w:t>
      </w:r>
      <w:r w:rsidR="00413836">
        <w:rPr>
          <w:rFonts w:ascii="Arial" w:hAnsi="Arial" w:cs="Arial"/>
        </w:rPr>
        <w:t>(</w:t>
      </w:r>
      <w:r w:rsidRPr="00D93310">
        <w:rPr>
          <w:rFonts w:ascii="Arial" w:hAnsi="Arial" w:cs="Arial"/>
        </w:rPr>
        <w:t>in the case be</w:t>
      </w:r>
      <w:r>
        <w:rPr>
          <w:rFonts w:ascii="Arial" w:hAnsi="Arial" w:cs="Arial"/>
        </w:rPr>
        <w:t>fore</w:t>
      </w:r>
      <w:r w:rsidRPr="00D93310">
        <w:rPr>
          <w:rFonts w:ascii="Arial" w:hAnsi="Arial" w:cs="Arial"/>
        </w:rPr>
        <w:t xml:space="preserve"> it</w:t>
      </w:r>
      <w:r w:rsidR="00413836">
        <w:rPr>
          <w:rFonts w:ascii="Arial" w:hAnsi="Arial" w:cs="Arial"/>
        </w:rPr>
        <w:t>)</w:t>
      </w:r>
      <w:r w:rsidRPr="00D93310">
        <w:rPr>
          <w:rFonts w:ascii="Arial" w:hAnsi="Arial" w:cs="Arial"/>
        </w:rPr>
        <w:t xml:space="preserve"> the </w:t>
      </w:r>
      <w:r>
        <w:rPr>
          <w:rFonts w:ascii="Arial" w:hAnsi="Arial" w:cs="Arial"/>
        </w:rPr>
        <w:t xml:space="preserve">court </w:t>
      </w:r>
      <w:r w:rsidRPr="00D93310">
        <w:rPr>
          <w:rFonts w:ascii="Arial" w:hAnsi="Arial" w:cs="Arial"/>
          <w:i/>
        </w:rPr>
        <w:t>a quo</w:t>
      </w:r>
      <w:r w:rsidRPr="00D93310">
        <w:rPr>
          <w:rFonts w:ascii="Arial" w:hAnsi="Arial" w:cs="Arial"/>
        </w:rPr>
        <w:t xml:space="preserve"> </w:t>
      </w:r>
      <w:r w:rsidR="00413836">
        <w:rPr>
          <w:rFonts w:ascii="Arial" w:hAnsi="Arial" w:cs="Arial"/>
        </w:rPr>
        <w:t xml:space="preserve">had been </w:t>
      </w:r>
      <w:r w:rsidRPr="00D93310">
        <w:rPr>
          <w:rFonts w:ascii="Arial" w:hAnsi="Arial" w:cs="Arial"/>
        </w:rPr>
        <w:t xml:space="preserve">bound by the </w:t>
      </w:r>
      <w:r w:rsidR="00413836">
        <w:rPr>
          <w:rFonts w:ascii="Arial" w:hAnsi="Arial" w:cs="Arial"/>
        </w:rPr>
        <w:t>Full C</w:t>
      </w:r>
      <w:r w:rsidRPr="00D93310">
        <w:rPr>
          <w:rFonts w:ascii="Arial" w:hAnsi="Arial" w:cs="Arial"/>
        </w:rPr>
        <w:t xml:space="preserve">ourt finding in </w:t>
      </w:r>
      <w:r w:rsidRPr="00D93310">
        <w:rPr>
          <w:rFonts w:ascii="Arial" w:hAnsi="Arial" w:cs="Arial"/>
          <w:i/>
        </w:rPr>
        <w:t>Ness</w:t>
      </w:r>
      <w:r w:rsidRPr="00D93310">
        <w:rPr>
          <w:rFonts w:ascii="Arial" w:hAnsi="Arial" w:cs="Arial"/>
        </w:rPr>
        <w:t xml:space="preserve"> </w:t>
      </w:r>
      <w:r w:rsidR="00413836">
        <w:rPr>
          <w:rFonts w:ascii="Arial" w:hAnsi="Arial" w:cs="Arial"/>
        </w:rPr>
        <w:t xml:space="preserve">and </w:t>
      </w:r>
      <w:r w:rsidR="00413836" w:rsidRPr="00413836">
        <w:rPr>
          <w:rFonts w:ascii="Arial" w:hAnsi="Arial" w:cs="Arial"/>
        </w:rPr>
        <w:t xml:space="preserve">actually </w:t>
      </w:r>
      <w:r w:rsidR="00413836" w:rsidRPr="00D93310">
        <w:rPr>
          <w:rFonts w:ascii="Arial" w:hAnsi="Arial" w:cs="Arial"/>
        </w:rPr>
        <w:t>cit</w:t>
      </w:r>
      <w:r w:rsidR="00413836">
        <w:rPr>
          <w:rFonts w:ascii="Arial" w:hAnsi="Arial" w:cs="Arial"/>
        </w:rPr>
        <w:t>ed</w:t>
      </w:r>
      <w:r w:rsidR="00413836" w:rsidRPr="00D93310">
        <w:rPr>
          <w:rFonts w:ascii="Arial" w:hAnsi="Arial" w:cs="Arial"/>
        </w:rPr>
        <w:t xml:space="preserve"> passages </w:t>
      </w:r>
      <w:r w:rsidR="00EE2C3B" w:rsidRPr="00D93310">
        <w:rPr>
          <w:rFonts w:ascii="Arial" w:hAnsi="Arial" w:cs="Arial"/>
        </w:rPr>
        <w:t>from Ness</w:t>
      </w:r>
      <w:r w:rsidR="00413836" w:rsidRPr="00D93310">
        <w:rPr>
          <w:rFonts w:ascii="Arial" w:hAnsi="Arial" w:cs="Arial"/>
        </w:rPr>
        <w:t xml:space="preserve"> </w:t>
      </w:r>
      <w:r w:rsidRPr="00D93310">
        <w:rPr>
          <w:rFonts w:ascii="Arial" w:hAnsi="Arial" w:cs="Arial"/>
        </w:rPr>
        <w:t>that possession</w:t>
      </w:r>
      <w:r w:rsidR="00413836">
        <w:rPr>
          <w:rFonts w:ascii="Arial" w:hAnsi="Arial" w:cs="Arial"/>
        </w:rPr>
        <w:t>,</w:t>
      </w:r>
      <w:r w:rsidRPr="00D93310">
        <w:rPr>
          <w:rFonts w:ascii="Arial" w:hAnsi="Arial" w:cs="Arial"/>
        </w:rPr>
        <w:t xml:space="preserve"> on which the mandament is founded</w:t>
      </w:r>
      <w:r w:rsidR="00413836">
        <w:rPr>
          <w:rFonts w:ascii="Arial" w:hAnsi="Arial" w:cs="Arial"/>
        </w:rPr>
        <w:t>,</w:t>
      </w:r>
      <w:r w:rsidRPr="00D93310">
        <w:rPr>
          <w:rFonts w:ascii="Arial" w:hAnsi="Arial" w:cs="Arial"/>
        </w:rPr>
        <w:t xml:space="preserve"> </w:t>
      </w:r>
      <w:r w:rsidR="00EE2C3B" w:rsidRPr="00D93310">
        <w:rPr>
          <w:rFonts w:ascii="Arial" w:hAnsi="Arial" w:cs="Arial"/>
          <w:i/>
        </w:rPr>
        <w:t>“meant</w:t>
      </w:r>
      <w:r w:rsidRPr="00D93310">
        <w:rPr>
          <w:rFonts w:ascii="Arial" w:hAnsi="Arial" w:cs="Arial"/>
          <w:i/>
        </w:rPr>
        <w:t xml:space="preserve"> physical possession that was sufficiently stable and durable for the law to take cognizance of it</w:t>
      </w:r>
      <w:r w:rsidRPr="00D93310">
        <w:rPr>
          <w:rFonts w:ascii="Arial" w:hAnsi="Arial" w:cs="Arial"/>
        </w:rPr>
        <w:t>”</w:t>
      </w:r>
      <w:r>
        <w:rPr>
          <w:rFonts w:ascii="Arial" w:hAnsi="Arial" w:cs="Arial"/>
        </w:rPr>
        <w:t xml:space="preserve">. </w:t>
      </w:r>
    </w:p>
    <w:p w:rsidR="00413836" w:rsidRDefault="00413836" w:rsidP="00D93310">
      <w:pPr>
        <w:pStyle w:val="ListParagraph"/>
        <w:spacing w:line="360" w:lineRule="auto"/>
        <w:ind w:left="360"/>
        <w:rPr>
          <w:rFonts w:ascii="Arial" w:hAnsi="Arial" w:cs="Arial"/>
        </w:rPr>
      </w:pPr>
    </w:p>
    <w:p w:rsidR="00D93310" w:rsidRPr="00D93310" w:rsidRDefault="00413836" w:rsidP="00D93310">
      <w:pPr>
        <w:pStyle w:val="ListParagraph"/>
        <w:spacing w:line="360" w:lineRule="auto"/>
        <w:ind w:left="360"/>
        <w:rPr>
          <w:rFonts w:ascii="Arial" w:hAnsi="Arial" w:cs="Arial"/>
          <w:b/>
        </w:rPr>
      </w:pPr>
      <w:r>
        <w:rPr>
          <w:rFonts w:ascii="Arial" w:hAnsi="Arial" w:cs="Arial"/>
          <w:i/>
        </w:rPr>
        <w:t xml:space="preserve">Fischer </w:t>
      </w:r>
      <w:r w:rsidR="00D93310">
        <w:rPr>
          <w:rFonts w:ascii="Arial" w:hAnsi="Arial" w:cs="Arial"/>
        </w:rPr>
        <w:t>also recognised that a “</w:t>
      </w:r>
      <w:r w:rsidR="00D93310" w:rsidRPr="00D93310">
        <w:rPr>
          <w:rFonts w:ascii="Arial" w:hAnsi="Arial" w:cs="Arial"/>
          <w:i/>
        </w:rPr>
        <w:t>person whose property is being despoiled is entitled in certain circumstances to resort to counter spoliation</w:t>
      </w:r>
      <w:r w:rsidR="00D93310">
        <w:rPr>
          <w:rFonts w:ascii="Arial" w:hAnsi="Arial" w:cs="Arial"/>
          <w:i/>
        </w:rPr>
        <w:t xml:space="preserve">” </w:t>
      </w:r>
      <w:r w:rsidR="00D93310">
        <w:rPr>
          <w:rFonts w:ascii="Arial" w:hAnsi="Arial" w:cs="Arial"/>
        </w:rPr>
        <w:t xml:space="preserve">and </w:t>
      </w:r>
      <w:r>
        <w:rPr>
          <w:rFonts w:ascii="Arial" w:hAnsi="Arial" w:cs="Arial"/>
        </w:rPr>
        <w:t xml:space="preserve">unqualifiedly </w:t>
      </w:r>
      <w:r w:rsidR="00D93310">
        <w:rPr>
          <w:rFonts w:ascii="Arial" w:hAnsi="Arial" w:cs="Arial"/>
        </w:rPr>
        <w:t xml:space="preserve">provided  </w:t>
      </w:r>
      <w:r w:rsidR="00D93310">
        <w:rPr>
          <w:rFonts w:ascii="Arial" w:hAnsi="Arial" w:cs="Arial"/>
          <w:i/>
        </w:rPr>
        <w:t xml:space="preserve">Ness </w:t>
      </w:r>
      <w:r w:rsidR="00D93310">
        <w:rPr>
          <w:rFonts w:ascii="Arial" w:hAnsi="Arial" w:cs="Arial"/>
        </w:rPr>
        <w:t>as an illustration</w:t>
      </w:r>
      <w:r>
        <w:rPr>
          <w:rStyle w:val="FootnoteReference"/>
          <w:rFonts w:ascii="Arial" w:hAnsi="Arial" w:cs="Arial"/>
        </w:rPr>
        <w:footnoteReference w:id="98"/>
      </w:r>
      <w:r>
        <w:rPr>
          <w:rFonts w:ascii="Arial" w:hAnsi="Arial" w:cs="Arial"/>
        </w:rPr>
        <w:t>.</w:t>
      </w:r>
      <w:r w:rsidR="00D93310">
        <w:rPr>
          <w:rFonts w:ascii="Arial" w:hAnsi="Arial" w:cs="Arial"/>
        </w:rPr>
        <w:t xml:space="preserve"> The SCA </w:t>
      </w:r>
      <w:r>
        <w:rPr>
          <w:rFonts w:ascii="Arial" w:hAnsi="Arial" w:cs="Arial"/>
        </w:rPr>
        <w:t xml:space="preserve">actually </w:t>
      </w:r>
      <w:r w:rsidR="00D93310">
        <w:rPr>
          <w:rFonts w:ascii="Arial" w:hAnsi="Arial" w:cs="Arial"/>
        </w:rPr>
        <w:t xml:space="preserve">referred to </w:t>
      </w:r>
      <w:r>
        <w:rPr>
          <w:rFonts w:ascii="Arial" w:hAnsi="Arial" w:cs="Arial"/>
          <w:i/>
        </w:rPr>
        <w:t>Ness</w:t>
      </w:r>
      <w:r w:rsidR="00D93310">
        <w:rPr>
          <w:rFonts w:ascii="Arial" w:hAnsi="Arial" w:cs="Arial"/>
          <w:i/>
        </w:rPr>
        <w:t xml:space="preserve"> </w:t>
      </w:r>
      <w:r w:rsidR="00D93310">
        <w:rPr>
          <w:rFonts w:ascii="Arial" w:hAnsi="Arial" w:cs="Arial"/>
        </w:rPr>
        <w:t xml:space="preserve">in the same </w:t>
      </w:r>
      <w:r>
        <w:rPr>
          <w:rFonts w:ascii="Arial" w:hAnsi="Arial" w:cs="Arial"/>
        </w:rPr>
        <w:t xml:space="preserve">footnote </w:t>
      </w:r>
      <w:r w:rsidR="00D93310">
        <w:rPr>
          <w:rFonts w:ascii="Arial" w:hAnsi="Arial" w:cs="Arial"/>
        </w:rPr>
        <w:t>as</w:t>
      </w:r>
      <w:r>
        <w:rPr>
          <w:rFonts w:ascii="Arial" w:hAnsi="Arial" w:cs="Arial"/>
        </w:rPr>
        <w:t xml:space="preserve"> </w:t>
      </w:r>
      <w:r>
        <w:rPr>
          <w:rFonts w:ascii="Arial" w:hAnsi="Arial" w:cs="Arial"/>
          <w:i/>
        </w:rPr>
        <w:t>Yeko</w:t>
      </w:r>
      <w:r w:rsidR="00D93310">
        <w:rPr>
          <w:rFonts w:ascii="Arial" w:hAnsi="Arial" w:cs="Arial"/>
        </w:rPr>
        <w:t xml:space="preserve"> without </w:t>
      </w:r>
      <w:r w:rsidR="00CF2213">
        <w:rPr>
          <w:rFonts w:ascii="Arial" w:hAnsi="Arial" w:cs="Arial"/>
        </w:rPr>
        <w:t xml:space="preserve">raising </w:t>
      </w:r>
      <w:r w:rsidR="00D93310">
        <w:rPr>
          <w:rFonts w:ascii="Arial" w:hAnsi="Arial" w:cs="Arial"/>
        </w:rPr>
        <w:t xml:space="preserve"> any distinction </w:t>
      </w:r>
      <w:r>
        <w:rPr>
          <w:rFonts w:ascii="Arial" w:hAnsi="Arial" w:cs="Arial"/>
        </w:rPr>
        <w:t xml:space="preserve">between the two </w:t>
      </w:r>
      <w:r w:rsidR="00D93310">
        <w:rPr>
          <w:rFonts w:ascii="Arial" w:hAnsi="Arial" w:cs="Arial"/>
        </w:rPr>
        <w:t xml:space="preserve">either </w:t>
      </w:r>
      <w:r>
        <w:rPr>
          <w:rFonts w:ascii="Arial" w:hAnsi="Arial" w:cs="Arial"/>
        </w:rPr>
        <w:t xml:space="preserve">as to  </w:t>
      </w:r>
      <w:r w:rsidR="00D93310">
        <w:rPr>
          <w:rFonts w:ascii="Arial" w:hAnsi="Arial" w:cs="Arial"/>
        </w:rPr>
        <w:t>reasoning or application</w:t>
      </w:r>
      <w:r>
        <w:rPr>
          <w:rFonts w:ascii="Arial" w:hAnsi="Arial" w:cs="Arial"/>
        </w:rPr>
        <w:t>.</w:t>
      </w:r>
      <w:r w:rsidR="00D93310">
        <w:rPr>
          <w:rStyle w:val="FootnoteReference"/>
          <w:rFonts w:ascii="Arial" w:hAnsi="Arial" w:cs="Arial"/>
        </w:rPr>
        <w:footnoteReference w:id="99"/>
      </w:r>
      <w:r w:rsidR="00D93310" w:rsidRPr="00D93310">
        <w:rPr>
          <w:rFonts w:ascii="Arial" w:hAnsi="Arial" w:cs="Arial"/>
        </w:rPr>
        <w:t xml:space="preserve">  </w:t>
      </w:r>
    </w:p>
    <w:p w:rsidR="00D93310" w:rsidRPr="00D93310" w:rsidRDefault="00D93310" w:rsidP="00D93310">
      <w:pPr>
        <w:pStyle w:val="ListParagraph"/>
        <w:rPr>
          <w:rFonts w:ascii="Arial" w:hAnsi="Arial" w:cs="Arial"/>
        </w:rPr>
      </w:pPr>
    </w:p>
    <w:p w:rsidR="00413836" w:rsidRDefault="00413836" w:rsidP="00413836">
      <w:pPr>
        <w:pStyle w:val="ListParagraph"/>
        <w:numPr>
          <w:ilvl w:val="0"/>
          <w:numId w:val="3"/>
        </w:numPr>
        <w:spacing w:line="360" w:lineRule="auto"/>
        <w:rPr>
          <w:rFonts w:ascii="Arial" w:hAnsi="Arial" w:cs="Arial"/>
        </w:rPr>
      </w:pPr>
      <w:r>
        <w:rPr>
          <w:rFonts w:ascii="Arial" w:hAnsi="Arial" w:cs="Arial"/>
        </w:rPr>
        <w:t xml:space="preserve">At its core, </w:t>
      </w:r>
      <w:r w:rsidR="003E46B9" w:rsidRPr="00413836">
        <w:rPr>
          <w:rFonts w:ascii="Arial" w:hAnsi="Arial" w:cs="Arial"/>
          <w:i/>
        </w:rPr>
        <w:t>SAHRC</w:t>
      </w:r>
      <w:r>
        <w:rPr>
          <w:rFonts w:ascii="Arial" w:hAnsi="Arial" w:cs="Arial"/>
        </w:rPr>
        <w:t xml:space="preserve"> </w:t>
      </w:r>
      <w:r w:rsidR="00CF2213" w:rsidRPr="00413836">
        <w:rPr>
          <w:rFonts w:ascii="Arial" w:hAnsi="Arial" w:cs="Arial"/>
        </w:rPr>
        <w:t>consider</w:t>
      </w:r>
      <w:r>
        <w:rPr>
          <w:rFonts w:ascii="Arial" w:hAnsi="Arial" w:cs="Arial"/>
        </w:rPr>
        <w:t>s</w:t>
      </w:r>
      <w:r w:rsidR="00CF2213" w:rsidRPr="00413836">
        <w:rPr>
          <w:rFonts w:ascii="Arial" w:hAnsi="Arial" w:cs="Arial"/>
        </w:rPr>
        <w:t xml:space="preserve"> that giving </w:t>
      </w:r>
      <w:r w:rsidR="00CF2213" w:rsidRPr="00413836">
        <w:rPr>
          <w:rFonts w:ascii="Arial" w:hAnsi="Arial" w:cs="Arial"/>
          <w:i/>
        </w:rPr>
        <w:t>instanter</w:t>
      </w:r>
      <w:r w:rsidR="00CF2213" w:rsidRPr="00413836">
        <w:rPr>
          <w:rFonts w:ascii="Arial" w:hAnsi="Arial" w:cs="Arial"/>
        </w:rPr>
        <w:t xml:space="preserve"> a </w:t>
      </w:r>
      <w:r w:rsidR="003E46B9" w:rsidRPr="00413836">
        <w:rPr>
          <w:rFonts w:ascii="Arial" w:hAnsi="Arial" w:cs="Arial"/>
        </w:rPr>
        <w:t xml:space="preserve">more liberal </w:t>
      </w:r>
      <w:r w:rsidR="00AA7715" w:rsidRPr="00413836">
        <w:rPr>
          <w:rFonts w:ascii="Arial" w:hAnsi="Arial" w:cs="Arial"/>
        </w:rPr>
        <w:t>construction in cases where the</w:t>
      </w:r>
      <w:r w:rsidR="003E46B9" w:rsidRPr="00413836">
        <w:rPr>
          <w:rFonts w:ascii="Arial" w:hAnsi="Arial" w:cs="Arial"/>
        </w:rPr>
        <w:t xml:space="preserve"> true owner </w:t>
      </w:r>
      <w:r w:rsidR="00AA7715" w:rsidRPr="00413836">
        <w:rPr>
          <w:rFonts w:ascii="Arial" w:hAnsi="Arial" w:cs="Arial"/>
        </w:rPr>
        <w:t xml:space="preserve">attempts to </w:t>
      </w:r>
      <w:r w:rsidR="003E46B9" w:rsidRPr="00413836">
        <w:rPr>
          <w:rFonts w:ascii="Arial" w:hAnsi="Arial" w:cs="Arial"/>
        </w:rPr>
        <w:t>exercis</w:t>
      </w:r>
      <w:r w:rsidR="00AA7715" w:rsidRPr="00413836">
        <w:rPr>
          <w:rFonts w:ascii="Arial" w:hAnsi="Arial" w:cs="Arial"/>
        </w:rPr>
        <w:t xml:space="preserve">e </w:t>
      </w:r>
      <w:r w:rsidR="00CF2213" w:rsidRPr="00413836">
        <w:rPr>
          <w:rFonts w:ascii="Arial" w:hAnsi="Arial" w:cs="Arial"/>
        </w:rPr>
        <w:t>a</w:t>
      </w:r>
      <w:r w:rsidR="003E46B9" w:rsidRPr="00413836">
        <w:rPr>
          <w:rFonts w:ascii="Arial" w:hAnsi="Arial" w:cs="Arial"/>
        </w:rPr>
        <w:t xml:space="preserve"> right of</w:t>
      </w:r>
      <w:r w:rsidR="00AA7715" w:rsidRPr="00413836">
        <w:rPr>
          <w:rFonts w:ascii="Arial" w:hAnsi="Arial" w:cs="Arial"/>
        </w:rPr>
        <w:t xml:space="preserve"> recover</w:t>
      </w:r>
      <w:r w:rsidR="00195B3B">
        <w:rPr>
          <w:rFonts w:ascii="Arial" w:hAnsi="Arial" w:cs="Arial"/>
        </w:rPr>
        <w:t>y offends the principle that a</w:t>
      </w:r>
      <w:r w:rsidR="00AA7715" w:rsidRPr="00413836">
        <w:rPr>
          <w:rFonts w:ascii="Arial" w:hAnsi="Arial" w:cs="Arial"/>
        </w:rPr>
        <w:t xml:space="preserve"> court is not concerned with the legality of possession. </w:t>
      </w:r>
    </w:p>
    <w:p w:rsidR="00413836" w:rsidRDefault="00413836" w:rsidP="00413836">
      <w:pPr>
        <w:pStyle w:val="ListParagraph"/>
        <w:spacing w:line="360" w:lineRule="auto"/>
        <w:ind w:left="360"/>
        <w:rPr>
          <w:rFonts w:ascii="Arial" w:hAnsi="Arial" w:cs="Arial"/>
          <w:i/>
        </w:rPr>
      </w:pPr>
    </w:p>
    <w:p w:rsidR="00413836" w:rsidRDefault="00413836" w:rsidP="00413836">
      <w:pPr>
        <w:pStyle w:val="ListParagraph"/>
        <w:spacing w:line="360" w:lineRule="auto"/>
        <w:ind w:left="360"/>
        <w:rPr>
          <w:rFonts w:ascii="Arial" w:hAnsi="Arial" w:cs="Arial"/>
        </w:rPr>
      </w:pPr>
      <w:r>
        <w:rPr>
          <w:rFonts w:ascii="Arial" w:hAnsi="Arial" w:cs="Arial"/>
        </w:rPr>
        <w:t>I</w:t>
      </w:r>
      <w:r w:rsidR="00CF2213" w:rsidRPr="00413836">
        <w:rPr>
          <w:rFonts w:ascii="Arial" w:hAnsi="Arial" w:cs="Arial"/>
        </w:rPr>
        <w:t xml:space="preserve">t </w:t>
      </w:r>
      <w:r>
        <w:rPr>
          <w:rFonts w:ascii="Arial" w:hAnsi="Arial" w:cs="Arial"/>
        </w:rPr>
        <w:t xml:space="preserve">however </w:t>
      </w:r>
      <w:r w:rsidR="00CF2213" w:rsidRPr="00413836">
        <w:rPr>
          <w:rFonts w:ascii="Arial" w:hAnsi="Arial" w:cs="Arial"/>
        </w:rPr>
        <w:t xml:space="preserve">seems that </w:t>
      </w:r>
      <w:r>
        <w:rPr>
          <w:rFonts w:ascii="Arial" w:hAnsi="Arial" w:cs="Arial"/>
        </w:rPr>
        <w:t xml:space="preserve">in </w:t>
      </w:r>
      <w:r>
        <w:rPr>
          <w:rFonts w:ascii="Arial" w:hAnsi="Arial" w:cs="Arial"/>
          <w:i/>
        </w:rPr>
        <w:t>Ness</w:t>
      </w:r>
      <w:r>
        <w:rPr>
          <w:rFonts w:ascii="Arial" w:hAnsi="Arial" w:cs="Arial"/>
        </w:rPr>
        <w:t xml:space="preserve"> </w:t>
      </w:r>
      <w:r w:rsidR="00CF2213" w:rsidRPr="00413836">
        <w:rPr>
          <w:rFonts w:ascii="Arial" w:hAnsi="Arial" w:cs="Arial"/>
        </w:rPr>
        <w:t xml:space="preserve">Steyn J was concerned with the actual manner of response </w:t>
      </w:r>
      <w:r>
        <w:rPr>
          <w:rFonts w:ascii="Arial" w:hAnsi="Arial" w:cs="Arial"/>
        </w:rPr>
        <w:t xml:space="preserve">which may or may not occur before possession has become solidified </w:t>
      </w:r>
      <w:r w:rsidR="00EE2C3B">
        <w:rPr>
          <w:rFonts w:ascii="Arial" w:hAnsi="Arial" w:cs="Arial"/>
          <w:i/>
        </w:rPr>
        <w:t>factually,</w:t>
      </w:r>
      <w:r w:rsidR="00195B3B">
        <w:rPr>
          <w:rFonts w:ascii="Arial" w:hAnsi="Arial" w:cs="Arial"/>
        </w:rPr>
        <w:t xml:space="preserve"> a factual situation which </w:t>
      </w:r>
      <w:r>
        <w:rPr>
          <w:rFonts w:ascii="Arial" w:hAnsi="Arial" w:cs="Arial"/>
        </w:rPr>
        <w:t>depend</w:t>
      </w:r>
      <w:r w:rsidR="00195B3B">
        <w:rPr>
          <w:rFonts w:ascii="Arial" w:hAnsi="Arial" w:cs="Arial"/>
        </w:rPr>
        <w:t xml:space="preserve">ed </w:t>
      </w:r>
      <w:r w:rsidR="00195B3B" w:rsidRPr="00195B3B">
        <w:rPr>
          <w:rFonts w:ascii="Arial" w:hAnsi="Arial" w:cs="Arial"/>
          <w:i/>
        </w:rPr>
        <w:t xml:space="preserve">inter </w:t>
      </w:r>
      <w:r w:rsidR="00EE2C3B" w:rsidRPr="00195B3B">
        <w:rPr>
          <w:rFonts w:ascii="Arial" w:hAnsi="Arial" w:cs="Arial"/>
          <w:i/>
        </w:rPr>
        <w:t>alia</w:t>
      </w:r>
      <w:r w:rsidR="00EE2C3B">
        <w:rPr>
          <w:rFonts w:ascii="Arial" w:hAnsi="Arial" w:cs="Arial"/>
        </w:rPr>
        <w:t xml:space="preserve"> on</w:t>
      </w:r>
      <w:r>
        <w:rPr>
          <w:rFonts w:ascii="Arial" w:hAnsi="Arial" w:cs="Arial"/>
        </w:rPr>
        <w:t xml:space="preserve"> whether </w:t>
      </w:r>
      <w:r w:rsidR="00CF2213" w:rsidRPr="00413836">
        <w:rPr>
          <w:rFonts w:ascii="Arial" w:hAnsi="Arial" w:cs="Arial"/>
        </w:rPr>
        <w:t xml:space="preserve">the person remains in possession </w:t>
      </w:r>
      <w:r>
        <w:rPr>
          <w:rFonts w:ascii="Arial" w:hAnsi="Arial" w:cs="Arial"/>
        </w:rPr>
        <w:t xml:space="preserve">derivatively </w:t>
      </w:r>
      <w:r w:rsidR="00CF2213" w:rsidRPr="00413836">
        <w:rPr>
          <w:rFonts w:ascii="Arial" w:hAnsi="Arial" w:cs="Arial"/>
        </w:rPr>
        <w:t xml:space="preserve">after </w:t>
      </w:r>
      <w:r>
        <w:rPr>
          <w:rFonts w:ascii="Arial" w:hAnsi="Arial" w:cs="Arial"/>
        </w:rPr>
        <w:t>an</w:t>
      </w:r>
      <w:r w:rsidR="00CF2213" w:rsidRPr="00413836">
        <w:rPr>
          <w:rFonts w:ascii="Arial" w:hAnsi="Arial" w:cs="Arial"/>
        </w:rPr>
        <w:t xml:space="preserve"> entitlement to do so </w:t>
      </w:r>
      <w:r>
        <w:rPr>
          <w:rFonts w:ascii="Arial" w:hAnsi="Arial" w:cs="Arial"/>
        </w:rPr>
        <w:t xml:space="preserve">(say by consent) </w:t>
      </w:r>
      <w:r w:rsidR="00CF2213" w:rsidRPr="00413836">
        <w:rPr>
          <w:rFonts w:ascii="Arial" w:hAnsi="Arial" w:cs="Arial"/>
        </w:rPr>
        <w:t xml:space="preserve">has terminated </w:t>
      </w:r>
      <w:r>
        <w:rPr>
          <w:rFonts w:ascii="Arial" w:hAnsi="Arial" w:cs="Arial"/>
        </w:rPr>
        <w:t>or whether such person attempts to gain</w:t>
      </w:r>
      <w:r w:rsidR="00195B3B">
        <w:rPr>
          <w:rFonts w:ascii="Arial" w:hAnsi="Arial" w:cs="Arial"/>
        </w:rPr>
        <w:t xml:space="preserve"> </w:t>
      </w:r>
      <w:r w:rsidR="00EE2C3B">
        <w:rPr>
          <w:rFonts w:ascii="Arial" w:hAnsi="Arial" w:cs="Arial"/>
        </w:rPr>
        <w:t>original possession</w:t>
      </w:r>
      <w:r>
        <w:rPr>
          <w:rFonts w:ascii="Arial" w:hAnsi="Arial" w:cs="Arial"/>
        </w:rPr>
        <w:t xml:space="preserve"> </w:t>
      </w:r>
      <w:r w:rsidR="00195B3B">
        <w:rPr>
          <w:rFonts w:ascii="Arial" w:hAnsi="Arial" w:cs="Arial"/>
        </w:rPr>
        <w:t xml:space="preserve">(i.e.  </w:t>
      </w:r>
      <w:r>
        <w:rPr>
          <w:rFonts w:ascii="Arial" w:hAnsi="Arial" w:cs="Arial"/>
        </w:rPr>
        <w:lastRenderedPageBreak/>
        <w:t>without having any prior consent to do so</w:t>
      </w:r>
      <w:r w:rsidR="00195B3B">
        <w:rPr>
          <w:rFonts w:ascii="Arial" w:hAnsi="Arial" w:cs="Arial"/>
        </w:rPr>
        <w:t>)</w:t>
      </w:r>
      <w:r>
        <w:rPr>
          <w:rFonts w:ascii="Arial" w:hAnsi="Arial" w:cs="Arial"/>
        </w:rPr>
        <w:t xml:space="preserve">. </w:t>
      </w:r>
    </w:p>
    <w:p w:rsidR="00413836" w:rsidRDefault="00413836" w:rsidP="00413836">
      <w:pPr>
        <w:pStyle w:val="ListParagraph"/>
        <w:spacing w:line="360" w:lineRule="auto"/>
        <w:ind w:left="360"/>
        <w:rPr>
          <w:rFonts w:ascii="Arial" w:hAnsi="Arial" w:cs="Arial"/>
        </w:rPr>
      </w:pPr>
    </w:p>
    <w:p w:rsidR="00413836" w:rsidRPr="00413836" w:rsidRDefault="00413836" w:rsidP="00413836">
      <w:pPr>
        <w:pStyle w:val="ListParagraph"/>
        <w:spacing w:line="360" w:lineRule="auto"/>
        <w:ind w:left="360"/>
        <w:rPr>
          <w:rFonts w:ascii="Arial" w:hAnsi="Arial" w:cs="Arial"/>
        </w:rPr>
      </w:pPr>
      <w:r>
        <w:rPr>
          <w:rFonts w:ascii="Arial" w:hAnsi="Arial" w:cs="Arial"/>
        </w:rPr>
        <w:t xml:space="preserve">In my view </w:t>
      </w:r>
      <w:r w:rsidRPr="00413836">
        <w:rPr>
          <w:rFonts w:ascii="Arial" w:hAnsi="Arial" w:cs="Arial"/>
        </w:rPr>
        <w:t xml:space="preserve">such an enquiry </w:t>
      </w:r>
      <w:r>
        <w:rPr>
          <w:rFonts w:ascii="Arial" w:hAnsi="Arial" w:cs="Arial"/>
        </w:rPr>
        <w:t xml:space="preserve">is not </w:t>
      </w:r>
      <w:r w:rsidRPr="00413836">
        <w:rPr>
          <w:rFonts w:ascii="Arial" w:hAnsi="Arial" w:cs="Arial"/>
        </w:rPr>
        <w:t>concern</w:t>
      </w:r>
      <w:r>
        <w:rPr>
          <w:rFonts w:ascii="Arial" w:hAnsi="Arial" w:cs="Arial"/>
        </w:rPr>
        <w:t>ed with</w:t>
      </w:r>
      <w:r w:rsidRPr="00413836">
        <w:rPr>
          <w:rFonts w:ascii="Arial" w:hAnsi="Arial" w:cs="Arial"/>
        </w:rPr>
        <w:t xml:space="preserve"> the </w:t>
      </w:r>
      <w:r w:rsidR="00CF2213" w:rsidRPr="00413836">
        <w:rPr>
          <w:rFonts w:ascii="Arial" w:hAnsi="Arial" w:cs="Arial"/>
        </w:rPr>
        <w:t>lawfulness of possession</w:t>
      </w:r>
      <w:r w:rsidRPr="00413836">
        <w:rPr>
          <w:rFonts w:ascii="Arial" w:hAnsi="Arial" w:cs="Arial"/>
        </w:rPr>
        <w:t xml:space="preserve">. Rather </w:t>
      </w:r>
      <w:r>
        <w:rPr>
          <w:rFonts w:ascii="Arial" w:hAnsi="Arial" w:cs="Arial"/>
        </w:rPr>
        <w:t>it has</w:t>
      </w:r>
      <w:r w:rsidR="00CF2213" w:rsidRPr="00413836">
        <w:rPr>
          <w:rFonts w:ascii="Arial" w:hAnsi="Arial" w:cs="Arial"/>
        </w:rPr>
        <w:t xml:space="preserve"> to do w</w:t>
      </w:r>
      <w:r w:rsidRPr="00413836">
        <w:rPr>
          <w:rFonts w:ascii="Arial" w:hAnsi="Arial" w:cs="Arial"/>
        </w:rPr>
        <w:t>ith the facts under which the pe</w:t>
      </w:r>
      <w:r w:rsidR="00CF2213" w:rsidRPr="00413836">
        <w:rPr>
          <w:rFonts w:ascii="Arial" w:hAnsi="Arial" w:cs="Arial"/>
        </w:rPr>
        <w:t xml:space="preserve">rson came onto the land because that informs a court as to whether factually the </w:t>
      </w:r>
      <w:r w:rsidR="00CF2213" w:rsidRPr="00195B3B">
        <w:rPr>
          <w:rFonts w:ascii="Arial" w:hAnsi="Arial" w:cs="Arial"/>
        </w:rPr>
        <w:t>res</w:t>
      </w:r>
      <w:r w:rsidR="00195B3B" w:rsidRPr="00195B3B">
        <w:rPr>
          <w:rFonts w:ascii="Arial" w:hAnsi="Arial" w:cs="Arial"/>
        </w:rPr>
        <w:t>istance</w:t>
      </w:r>
      <w:r w:rsidR="00195B3B">
        <w:rPr>
          <w:rFonts w:ascii="Arial" w:hAnsi="Arial" w:cs="Arial"/>
          <w:i/>
        </w:rPr>
        <w:t xml:space="preserve"> </w:t>
      </w:r>
      <w:r w:rsidR="00CF2213" w:rsidRPr="00413836">
        <w:rPr>
          <w:rFonts w:ascii="Arial" w:hAnsi="Arial" w:cs="Arial"/>
        </w:rPr>
        <w:t xml:space="preserve">by the owner has </w:t>
      </w:r>
      <w:r w:rsidR="00CF2213" w:rsidRPr="00195B3B">
        <w:rPr>
          <w:rFonts w:ascii="Arial" w:hAnsi="Arial" w:cs="Arial"/>
        </w:rPr>
        <w:t>prevented</w:t>
      </w:r>
      <w:r w:rsidR="00CF2213" w:rsidRPr="00413836">
        <w:rPr>
          <w:rFonts w:ascii="Arial" w:hAnsi="Arial" w:cs="Arial"/>
        </w:rPr>
        <w:t xml:space="preserve"> peaceful and undisturbed possession</w:t>
      </w:r>
      <w:r w:rsidRPr="00413836">
        <w:rPr>
          <w:rFonts w:ascii="Arial" w:hAnsi="Arial" w:cs="Arial"/>
        </w:rPr>
        <w:t xml:space="preserve"> from being </w:t>
      </w:r>
      <w:r>
        <w:rPr>
          <w:rFonts w:ascii="Arial" w:hAnsi="Arial" w:cs="Arial"/>
        </w:rPr>
        <w:t>solidified</w:t>
      </w:r>
      <w:r w:rsidRPr="00413836">
        <w:rPr>
          <w:rFonts w:ascii="Arial" w:hAnsi="Arial" w:cs="Arial"/>
        </w:rPr>
        <w:t xml:space="preserve">. </w:t>
      </w:r>
    </w:p>
    <w:p w:rsidR="00413836" w:rsidRPr="00413836" w:rsidRDefault="00413836" w:rsidP="00D93310">
      <w:pPr>
        <w:pStyle w:val="ListParagraph"/>
        <w:spacing w:line="360" w:lineRule="auto"/>
        <w:ind w:left="360"/>
        <w:rPr>
          <w:rFonts w:ascii="Arial" w:hAnsi="Arial" w:cs="Arial"/>
        </w:rPr>
      </w:pPr>
    </w:p>
    <w:p w:rsidR="00413836" w:rsidRDefault="00CF2213" w:rsidP="00D93310">
      <w:pPr>
        <w:pStyle w:val="ListParagraph"/>
        <w:spacing w:line="360" w:lineRule="auto"/>
        <w:ind w:left="360"/>
        <w:rPr>
          <w:rFonts w:ascii="Arial" w:hAnsi="Arial" w:cs="Arial"/>
        </w:rPr>
      </w:pPr>
      <w:r w:rsidRPr="00413836">
        <w:rPr>
          <w:rFonts w:ascii="Arial" w:hAnsi="Arial" w:cs="Arial"/>
          <w:i/>
        </w:rPr>
        <w:t xml:space="preserve">SAHCR </w:t>
      </w:r>
      <w:r w:rsidRPr="00413836">
        <w:rPr>
          <w:rFonts w:ascii="Arial" w:hAnsi="Arial" w:cs="Arial"/>
        </w:rPr>
        <w:t xml:space="preserve">accepts that </w:t>
      </w:r>
      <w:r w:rsidR="00413836" w:rsidRPr="00413836">
        <w:rPr>
          <w:rFonts w:ascii="Arial" w:hAnsi="Arial" w:cs="Arial"/>
        </w:rPr>
        <w:t>each case depends on its own fact</w:t>
      </w:r>
      <w:r w:rsidRPr="00413836">
        <w:rPr>
          <w:rFonts w:ascii="Arial" w:hAnsi="Arial" w:cs="Arial"/>
        </w:rPr>
        <w:t xml:space="preserve">s. </w:t>
      </w:r>
      <w:r w:rsidR="00413836" w:rsidRPr="00413836">
        <w:rPr>
          <w:rFonts w:ascii="Arial" w:hAnsi="Arial" w:cs="Arial"/>
        </w:rPr>
        <w:t>In my respectful view this is one of the fact</w:t>
      </w:r>
      <w:r w:rsidRPr="00413836">
        <w:rPr>
          <w:rFonts w:ascii="Arial" w:hAnsi="Arial" w:cs="Arial"/>
        </w:rPr>
        <w:t>s that a c</w:t>
      </w:r>
      <w:r w:rsidR="00413836" w:rsidRPr="00413836">
        <w:rPr>
          <w:rFonts w:ascii="Arial" w:hAnsi="Arial" w:cs="Arial"/>
        </w:rPr>
        <w:t>o</w:t>
      </w:r>
      <w:r w:rsidRPr="00413836">
        <w:rPr>
          <w:rFonts w:ascii="Arial" w:hAnsi="Arial" w:cs="Arial"/>
        </w:rPr>
        <w:t xml:space="preserve">urt must </w:t>
      </w:r>
      <w:r w:rsidR="00413836">
        <w:rPr>
          <w:rFonts w:ascii="Arial" w:hAnsi="Arial" w:cs="Arial"/>
        </w:rPr>
        <w:t>consider</w:t>
      </w:r>
      <w:r w:rsidRPr="00413836">
        <w:rPr>
          <w:rFonts w:ascii="Arial" w:hAnsi="Arial" w:cs="Arial"/>
        </w:rPr>
        <w:t>, not as demonstrating whether the per</w:t>
      </w:r>
      <w:r w:rsidR="00413836">
        <w:rPr>
          <w:rFonts w:ascii="Arial" w:hAnsi="Arial" w:cs="Arial"/>
        </w:rPr>
        <w:t>s</w:t>
      </w:r>
      <w:r w:rsidRPr="00413836">
        <w:rPr>
          <w:rFonts w:ascii="Arial" w:hAnsi="Arial" w:cs="Arial"/>
        </w:rPr>
        <w:t xml:space="preserve">on trying to gain </w:t>
      </w:r>
      <w:r w:rsidR="00413836">
        <w:rPr>
          <w:rFonts w:ascii="Arial" w:hAnsi="Arial" w:cs="Arial"/>
        </w:rPr>
        <w:t>possession</w:t>
      </w:r>
      <w:r w:rsidRPr="00413836">
        <w:rPr>
          <w:rFonts w:ascii="Arial" w:hAnsi="Arial" w:cs="Arial"/>
        </w:rPr>
        <w:t xml:space="preserve"> was lawfully entitled to, but </w:t>
      </w:r>
      <w:r w:rsidR="00413836">
        <w:rPr>
          <w:rFonts w:ascii="Arial" w:hAnsi="Arial" w:cs="Arial"/>
        </w:rPr>
        <w:t xml:space="preserve">because </w:t>
      </w:r>
      <w:r w:rsidRPr="00413836">
        <w:rPr>
          <w:rFonts w:ascii="Arial" w:hAnsi="Arial" w:cs="Arial"/>
        </w:rPr>
        <w:t xml:space="preserve">the </w:t>
      </w:r>
      <w:r w:rsidR="00413836">
        <w:rPr>
          <w:rFonts w:ascii="Arial" w:hAnsi="Arial" w:cs="Arial"/>
        </w:rPr>
        <w:t>presence or absence of prior consent aff</w:t>
      </w:r>
      <w:r w:rsidRPr="00413836">
        <w:rPr>
          <w:rFonts w:ascii="Arial" w:hAnsi="Arial" w:cs="Arial"/>
        </w:rPr>
        <w:t>e</w:t>
      </w:r>
      <w:r w:rsidR="00413836">
        <w:rPr>
          <w:rFonts w:ascii="Arial" w:hAnsi="Arial" w:cs="Arial"/>
        </w:rPr>
        <w:t>c</w:t>
      </w:r>
      <w:r w:rsidRPr="00413836">
        <w:rPr>
          <w:rFonts w:ascii="Arial" w:hAnsi="Arial" w:cs="Arial"/>
        </w:rPr>
        <w:t xml:space="preserve">ts whether the </w:t>
      </w:r>
      <w:r w:rsidR="00413836">
        <w:rPr>
          <w:rFonts w:ascii="Arial" w:hAnsi="Arial" w:cs="Arial"/>
        </w:rPr>
        <w:t>owners resp</w:t>
      </w:r>
      <w:r w:rsidRPr="00413836">
        <w:rPr>
          <w:rFonts w:ascii="Arial" w:hAnsi="Arial" w:cs="Arial"/>
        </w:rPr>
        <w:t xml:space="preserve">onse </w:t>
      </w:r>
      <w:r w:rsidR="00195B3B">
        <w:rPr>
          <w:rFonts w:ascii="Arial" w:hAnsi="Arial" w:cs="Arial"/>
        </w:rPr>
        <w:t xml:space="preserve">did or did not </w:t>
      </w:r>
      <w:r w:rsidRPr="00413836">
        <w:rPr>
          <w:rFonts w:ascii="Arial" w:hAnsi="Arial" w:cs="Arial"/>
        </w:rPr>
        <w:t xml:space="preserve">occur during the </w:t>
      </w:r>
      <w:r w:rsidRPr="00413836">
        <w:rPr>
          <w:rFonts w:ascii="Arial" w:hAnsi="Arial" w:cs="Arial"/>
          <w:i/>
        </w:rPr>
        <w:t>res gestae</w:t>
      </w:r>
      <w:r w:rsidRPr="00413836">
        <w:rPr>
          <w:rFonts w:ascii="Arial" w:hAnsi="Arial" w:cs="Arial"/>
        </w:rPr>
        <w:t xml:space="preserve"> period</w:t>
      </w:r>
      <w:r w:rsidR="00195B3B">
        <w:rPr>
          <w:rFonts w:ascii="Arial" w:hAnsi="Arial" w:cs="Arial"/>
        </w:rPr>
        <w:t>.</w:t>
      </w:r>
    </w:p>
    <w:p w:rsidR="00413836" w:rsidRDefault="00413836" w:rsidP="00D93310">
      <w:pPr>
        <w:pStyle w:val="ListParagraph"/>
        <w:spacing w:line="360" w:lineRule="auto"/>
        <w:ind w:left="360"/>
        <w:rPr>
          <w:rFonts w:ascii="Arial" w:hAnsi="Arial" w:cs="Arial"/>
        </w:rPr>
      </w:pPr>
    </w:p>
    <w:p w:rsidR="00413836" w:rsidRDefault="00413836" w:rsidP="00D93310">
      <w:pPr>
        <w:pStyle w:val="ListParagraph"/>
        <w:spacing w:line="360" w:lineRule="auto"/>
        <w:ind w:left="360"/>
        <w:rPr>
          <w:rFonts w:ascii="Arial" w:hAnsi="Arial" w:cs="Arial"/>
        </w:rPr>
      </w:pPr>
      <w:r>
        <w:rPr>
          <w:rFonts w:ascii="Arial" w:hAnsi="Arial" w:cs="Arial"/>
        </w:rPr>
        <w:t xml:space="preserve">Furthermore, on analysis it appears that </w:t>
      </w:r>
      <w:r w:rsidR="00CF2213" w:rsidRPr="00413836">
        <w:rPr>
          <w:rFonts w:ascii="Arial" w:hAnsi="Arial" w:cs="Arial"/>
        </w:rPr>
        <w:t>all the ca</w:t>
      </w:r>
      <w:r>
        <w:rPr>
          <w:rFonts w:ascii="Arial" w:hAnsi="Arial" w:cs="Arial"/>
        </w:rPr>
        <w:t>ses actually have regard to wheth</w:t>
      </w:r>
      <w:r w:rsidR="00CF2213" w:rsidRPr="00413836">
        <w:rPr>
          <w:rFonts w:ascii="Arial" w:hAnsi="Arial" w:cs="Arial"/>
        </w:rPr>
        <w:t xml:space="preserve">er the owner had </w:t>
      </w:r>
      <w:r>
        <w:rPr>
          <w:rFonts w:ascii="Arial" w:hAnsi="Arial" w:cs="Arial"/>
        </w:rPr>
        <w:t xml:space="preserve">given consent to prior occupation. But in each case it </w:t>
      </w:r>
      <w:r w:rsidR="00EE2C3B">
        <w:rPr>
          <w:rFonts w:ascii="Arial" w:hAnsi="Arial" w:cs="Arial"/>
        </w:rPr>
        <w:t>is purely</w:t>
      </w:r>
      <w:r>
        <w:rPr>
          <w:rFonts w:ascii="Arial" w:hAnsi="Arial" w:cs="Arial"/>
        </w:rPr>
        <w:t xml:space="preserve"> part of a factual </w:t>
      </w:r>
      <w:r w:rsidR="00EE2C3B">
        <w:rPr>
          <w:rFonts w:ascii="Arial" w:hAnsi="Arial" w:cs="Arial"/>
        </w:rPr>
        <w:t>enquiry concerned</w:t>
      </w:r>
      <w:r w:rsidR="00AA7715" w:rsidRPr="00413836">
        <w:rPr>
          <w:rFonts w:ascii="Arial" w:hAnsi="Arial" w:cs="Arial"/>
        </w:rPr>
        <w:t xml:space="preserve"> with the </w:t>
      </w:r>
      <w:r>
        <w:rPr>
          <w:rFonts w:ascii="Arial" w:hAnsi="Arial" w:cs="Arial"/>
        </w:rPr>
        <w:t xml:space="preserve">owner’s </w:t>
      </w:r>
      <w:r w:rsidR="00AA7715" w:rsidRPr="00413836">
        <w:rPr>
          <w:rFonts w:ascii="Arial" w:hAnsi="Arial" w:cs="Arial"/>
        </w:rPr>
        <w:t xml:space="preserve">reaction to the initial attempt to dispossess. </w:t>
      </w:r>
      <w:r>
        <w:rPr>
          <w:rFonts w:ascii="Arial" w:hAnsi="Arial" w:cs="Arial"/>
        </w:rPr>
        <w:t xml:space="preserve">In </w:t>
      </w:r>
      <w:r>
        <w:rPr>
          <w:rFonts w:ascii="Arial" w:hAnsi="Arial" w:cs="Arial"/>
          <w:i/>
        </w:rPr>
        <w:t xml:space="preserve">Ness </w:t>
      </w:r>
      <w:r>
        <w:rPr>
          <w:rFonts w:ascii="Arial" w:hAnsi="Arial" w:cs="Arial"/>
        </w:rPr>
        <w:t xml:space="preserve">Steyn J </w:t>
      </w:r>
      <w:r w:rsidR="00195B3B">
        <w:rPr>
          <w:rFonts w:ascii="Arial" w:hAnsi="Arial" w:cs="Arial"/>
        </w:rPr>
        <w:t xml:space="preserve">did no more than </w:t>
      </w:r>
      <w:r w:rsidR="00AA7715" w:rsidRPr="00413836">
        <w:rPr>
          <w:rFonts w:ascii="Arial" w:hAnsi="Arial" w:cs="Arial"/>
        </w:rPr>
        <w:t xml:space="preserve">consider whether the manner of response may differ in cases where someone already </w:t>
      </w:r>
      <w:r w:rsidR="00CF2213" w:rsidRPr="00413836">
        <w:rPr>
          <w:rFonts w:ascii="Arial" w:hAnsi="Arial" w:cs="Arial"/>
        </w:rPr>
        <w:t>enjoyed p</w:t>
      </w:r>
      <w:r w:rsidR="00AA7715" w:rsidRPr="00413836">
        <w:rPr>
          <w:rFonts w:ascii="Arial" w:hAnsi="Arial" w:cs="Arial"/>
        </w:rPr>
        <w:t>ossession</w:t>
      </w:r>
      <w:r w:rsidR="00195B3B">
        <w:rPr>
          <w:rFonts w:ascii="Arial" w:hAnsi="Arial" w:cs="Arial"/>
        </w:rPr>
        <w:t xml:space="preserve"> derivatively as opposed to trying to come onto the property for the first time.</w:t>
      </w:r>
      <w:r w:rsidR="00AA7715" w:rsidRPr="00413836">
        <w:rPr>
          <w:rFonts w:ascii="Arial" w:hAnsi="Arial" w:cs="Arial"/>
        </w:rPr>
        <w:t xml:space="preserve"> </w:t>
      </w:r>
    </w:p>
    <w:p w:rsidR="00413836" w:rsidRDefault="00413836" w:rsidP="00D93310">
      <w:pPr>
        <w:pStyle w:val="ListParagraph"/>
        <w:spacing w:line="360" w:lineRule="auto"/>
        <w:ind w:left="360"/>
        <w:rPr>
          <w:rFonts w:ascii="Arial" w:hAnsi="Arial" w:cs="Arial"/>
        </w:rPr>
      </w:pPr>
    </w:p>
    <w:p w:rsidR="00413836" w:rsidRPr="00413836" w:rsidRDefault="00413836" w:rsidP="00413836">
      <w:pPr>
        <w:pStyle w:val="ListParagraph"/>
        <w:spacing w:line="360" w:lineRule="auto"/>
        <w:ind w:left="360"/>
        <w:rPr>
          <w:rFonts w:ascii="Arial" w:hAnsi="Arial" w:cs="Arial"/>
        </w:rPr>
      </w:pPr>
      <w:r>
        <w:rPr>
          <w:rFonts w:ascii="Arial" w:hAnsi="Arial" w:cs="Arial"/>
        </w:rPr>
        <w:t xml:space="preserve">As </w:t>
      </w:r>
      <w:r w:rsidR="00195B3B">
        <w:rPr>
          <w:rFonts w:ascii="Arial" w:hAnsi="Arial" w:cs="Arial"/>
        </w:rPr>
        <w:t>indicated earlier</w:t>
      </w:r>
      <w:r>
        <w:rPr>
          <w:rFonts w:ascii="Arial" w:hAnsi="Arial" w:cs="Arial"/>
        </w:rPr>
        <w:t xml:space="preserve">, this </w:t>
      </w:r>
      <w:r w:rsidR="00AA7715" w:rsidRPr="00413836">
        <w:rPr>
          <w:rFonts w:ascii="Arial" w:hAnsi="Arial" w:cs="Arial"/>
        </w:rPr>
        <w:t xml:space="preserve">does not determine the lawfulness of the possession, only the relative response </w:t>
      </w:r>
      <w:r>
        <w:rPr>
          <w:rFonts w:ascii="Arial" w:hAnsi="Arial" w:cs="Arial"/>
        </w:rPr>
        <w:t xml:space="preserve">of the owner </w:t>
      </w:r>
      <w:r w:rsidR="00AA7715" w:rsidRPr="00413836">
        <w:rPr>
          <w:rFonts w:ascii="Arial" w:hAnsi="Arial" w:cs="Arial"/>
        </w:rPr>
        <w:t xml:space="preserve">which </w:t>
      </w:r>
      <w:r w:rsidR="006C679A" w:rsidRPr="00413836">
        <w:rPr>
          <w:rFonts w:ascii="Arial" w:hAnsi="Arial" w:cs="Arial"/>
        </w:rPr>
        <w:t>would</w:t>
      </w:r>
      <w:r w:rsidR="00AA7715" w:rsidRPr="00413836">
        <w:rPr>
          <w:rFonts w:ascii="Arial" w:hAnsi="Arial" w:cs="Arial"/>
        </w:rPr>
        <w:t xml:space="preserve"> </w:t>
      </w:r>
      <w:r w:rsidR="00195B3B">
        <w:rPr>
          <w:rFonts w:ascii="Arial" w:hAnsi="Arial" w:cs="Arial"/>
        </w:rPr>
        <w:t xml:space="preserve">satisfy the requirement of </w:t>
      </w:r>
      <w:r w:rsidR="00AA7715" w:rsidRPr="00413836">
        <w:rPr>
          <w:rFonts w:ascii="Arial" w:hAnsi="Arial" w:cs="Arial"/>
          <w:i/>
        </w:rPr>
        <w:t>instanter</w:t>
      </w:r>
      <w:r w:rsidR="00AA7715" w:rsidRPr="00413836">
        <w:rPr>
          <w:rFonts w:ascii="Arial" w:hAnsi="Arial" w:cs="Arial"/>
        </w:rPr>
        <w:t xml:space="preserve"> in </w:t>
      </w:r>
      <w:r>
        <w:rPr>
          <w:rFonts w:ascii="Arial" w:hAnsi="Arial" w:cs="Arial"/>
        </w:rPr>
        <w:t xml:space="preserve">cases of </w:t>
      </w:r>
      <w:r w:rsidR="00AA7715" w:rsidRPr="00413836">
        <w:rPr>
          <w:rFonts w:ascii="Arial" w:hAnsi="Arial" w:cs="Arial"/>
        </w:rPr>
        <w:t xml:space="preserve">derivative dispossession </w:t>
      </w:r>
      <w:r>
        <w:rPr>
          <w:rFonts w:ascii="Arial" w:hAnsi="Arial" w:cs="Arial"/>
        </w:rPr>
        <w:t xml:space="preserve">and in instances of </w:t>
      </w:r>
      <w:r w:rsidR="00AA7715" w:rsidRPr="00413836">
        <w:rPr>
          <w:rFonts w:ascii="Arial" w:hAnsi="Arial" w:cs="Arial"/>
        </w:rPr>
        <w:t xml:space="preserve">direct dispossession.  </w:t>
      </w:r>
      <w:r w:rsidR="00EE2C3B" w:rsidRPr="00413836">
        <w:rPr>
          <w:rFonts w:ascii="Arial" w:hAnsi="Arial" w:cs="Arial"/>
        </w:rPr>
        <w:t>It remains</w:t>
      </w:r>
      <w:r w:rsidRPr="00413836">
        <w:rPr>
          <w:rFonts w:ascii="Arial" w:hAnsi="Arial" w:cs="Arial"/>
        </w:rPr>
        <w:t xml:space="preserve"> an enquiry into the facts irrespective of whether the outcome yields a legal entitlement</w:t>
      </w:r>
      <w:r>
        <w:rPr>
          <w:rFonts w:ascii="Arial" w:hAnsi="Arial" w:cs="Arial"/>
        </w:rPr>
        <w:t>;</w:t>
      </w:r>
      <w:r w:rsidRPr="00413836">
        <w:rPr>
          <w:rFonts w:ascii="Arial" w:hAnsi="Arial" w:cs="Arial"/>
        </w:rPr>
        <w:t xml:space="preserve"> since that is irrelevant. </w:t>
      </w:r>
    </w:p>
    <w:p w:rsidR="00413836" w:rsidRDefault="00413836" w:rsidP="00D93310">
      <w:pPr>
        <w:pStyle w:val="ListParagraph"/>
        <w:spacing w:line="360" w:lineRule="auto"/>
        <w:ind w:left="360"/>
        <w:rPr>
          <w:rFonts w:ascii="Arial" w:hAnsi="Arial" w:cs="Arial"/>
        </w:rPr>
      </w:pPr>
    </w:p>
    <w:p w:rsidR="00413836" w:rsidRDefault="00413836" w:rsidP="00AF22DC">
      <w:pPr>
        <w:pStyle w:val="ListParagraph"/>
        <w:numPr>
          <w:ilvl w:val="0"/>
          <w:numId w:val="3"/>
        </w:numPr>
        <w:spacing w:line="360" w:lineRule="auto"/>
        <w:rPr>
          <w:rFonts w:ascii="Arial" w:hAnsi="Arial" w:cs="Arial"/>
        </w:rPr>
      </w:pPr>
      <w:r>
        <w:rPr>
          <w:rFonts w:ascii="Arial" w:hAnsi="Arial" w:cs="Arial"/>
        </w:rPr>
        <w:t xml:space="preserve">Some of the other concerns in following </w:t>
      </w:r>
      <w:r w:rsidRPr="00413836">
        <w:rPr>
          <w:rFonts w:ascii="Arial" w:hAnsi="Arial" w:cs="Arial"/>
          <w:i/>
        </w:rPr>
        <w:t>SAHRC</w:t>
      </w:r>
      <w:r>
        <w:rPr>
          <w:rFonts w:ascii="Arial" w:hAnsi="Arial" w:cs="Arial"/>
          <w:i/>
        </w:rPr>
        <w:t xml:space="preserve"> </w:t>
      </w:r>
      <w:r w:rsidRPr="00413836">
        <w:rPr>
          <w:rFonts w:ascii="Arial" w:hAnsi="Arial" w:cs="Arial"/>
        </w:rPr>
        <w:t>are</w:t>
      </w:r>
      <w:r>
        <w:rPr>
          <w:rFonts w:ascii="Arial" w:hAnsi="Arial" w:cs="Arial"/>
        </w:rPr>
        <w:t>;</w:t>
      </w:r>
    </w:p>
    <w:p w:rsidR="00413836" w:rsidRDefault="00413836" w:rsidP="00413836">
      <w:pPr>
        <w:pStyle w:val="ListParagraph"/>
        <w:spacing w:line="360" w:lineRule="auto"/>
        <w:ind w:left="360"/>
        <w:rPr>
          <w:rFonts w:ascii="Arial" w:hAnsi="Arial" w:cs="Arial"/>
        </w:rPr>
      </w:pPr>
    </w:p>
    <w:p w:rsidR="00413836" w:rsidRPr="00413836" w:rsidRDefault="00413836" w:rsidP="00413836">
      <w:pPr>
        <w:pStyle w:val="ListParagraph"/>
        <w:numPr>
          <w:ilvl w:val="1"/>
          <w:numId w:val="3"/>
        </w:numPr>
        <w:spacing w:line="360" w:lineRule="auto"/>
        <w:rPr>
          <w:rFonts w:ascii="Arial" w:hAnsi="Arial" w:cs="Arial"/>
        </w:rPr>
      </w:pPr>
      <w:r>
        <w:rPr>
          <w:rFonts w:ascii="Arial" w:hAnsi="Arial" w:cs="Arial"/>
        </w:rPr>
        <w:t xml:space="preserve">Still in relation to </w:t>
      </w:r>
      <w:r w:rsidRPr="00413836">
        <w:rPr>
          <w:rFonts w:ascii="Arial" w:hAnsi="Arial" w:cs="Arial"/>
          <w:i/>
        </w:rPr>
        <w:t>Yeko</w:t>
      </w:r>
      <w:r>
        <w:rPr>
          <w:rFonts w:ascii="Arial" w:hAnsi="Arial" w:cs="Arial"/>
        </w:rPr>
        <w:t>. I</w:t>
      </w:r>
      <w:r w:rsidRPr="00413836">
        <w:rPr>
          <w:rFonts w:ascii="Arial" w:hAnsi="Arial" w:cs="Arial"/>
        </w:rPr>
        <w:t xml:space="preserve">f </w:t>
      </w:r>
      <w:r w:rsidRPr="00413836">
        <w:rPr>
          <w:rFonts w:ascii="Arial" w:hAnsi="Arial" w:cs="Arial"/>
          <w:i/>
        </w:rPr>
        <w:t>Yeko</w:t>
      </w:r>
      <w:r w:rsidRPr="00413836">
        <w:rPr>
          <w:rFonts w:ascii="Arial" w:hAnsi="Arial" w:cs="Arial"/>
        </w:rPr>
        <w:t xml:space="preserve"> intended to lay down that only the fact of possession was relevant and the only enquiry concerned the intention of the possession, then its first set of findings would have been unnecessary. </w:t>
      </w:r>
    </w:p>
    <w:p w:rsidR="00413836" w:rsidRPr="00413836" w:rsidRDefault="00413836" w:rsidP="00413836">
      <w:pPr>
        <w:pStyle w:val="ListParagraph"/>
        <w:spacing w:line="360" w:lineRule="auto"/>
        <w:ind w:left="1080"/>
        <w:rPr>
          <w:rFonts w:ascii="Arial" w:hAnsi="Arial" w:cs="Arial"/>
        </w:rPr>
      </w:pPr>
    </w:p>
    <w:p w:rsidR="00413836" w:rsidRPr="00413836" w:rsidRDefault="00413836" w:rsidP="00413836">
      <w:pPr>
        <w:pStyle w:val="ListParagraph"/>
        <w:spacing w:line="360" w:lineRule="auto"/>
        <w:ind w:left="1080"/>
        <w:rPr>
          <w:rFonts w:ascii="Arial" w:hAnsi="Arial" w:cs="Arial"/>
        </w:rPr>
      </w:pPr>
      <w:r>
        <w:rPr>
          <w:rFonts w:ascii="Arial" w:hAnsi="Arial" w:cs="Arial"/>
        </w:rPr>
        <w:t xml:space="preserve">Indeed the passage from </w:t>
      </w:r>
      <w:r w:rsidRPr="00413836">
        <w:rPr>
          <w:rFonts w:ascii="Arial" w:hAnsi="Arial" w:cs="Arial"/>
          <w:i/>
        </w:rPr>
        <w:t>Yeko</w:t>
      </w:r>
      <w:r>
        <w:rPr>
          <w:rFonts w:ascii="Arial" w:hAnsi="Arial" w:cs="Arial"/>
        </w:rPr>
        <w:t xml:space="preserve"> that is relied </w:t>
      </w:r>
      <w:r w:rsidR="00EE2C3B">
        <w:rPr>
          <w:rFonts w:ascii="Arial" w:hAnsi="Arial" w:cs="Arial"/>
        </w:rPr>
        <w:t>on said</w:t>
      </w:r>
      <w:r>
        <w:rPr>
          <w:rFonts w:ascii="Arial" w:hAnsi="Arial" w:cs="Arial"/>
        </w:rPr>
        <w:t xml:space="preserve"> that the </w:t>
      </w:r>
      <w:r w:rsidR="00EE2C3B">
        <w:rPr>
          <w:rFonts w:ascii="Arial" w:hAnsi="Arial" w:cs="Arial"/>
        </w:rPr>
        <w:t xml:space="preserve">applicant </w:t>
      </w:r>
      <w:r w:rsidR="00EE2C3B">
        <w:rPr>
          <w:rFonts w:ascii="Arial" w:hAnsi="Arial" w:cs="Arial"/>
        </w:rPr>
        <w:lastRenderedPageBreak/>
        <w:t>must</w:t>
      </w:r>
      <w:r>
        <w:rPr>
          <w:rFonts w:ascii="Arial" w:hAnsi="Arial" w:cs="Arial"/>
        </w:rPr>
        <w:t xml:space="preserve"> prove peaceful and undisturbed possession as a fact</w:t>
      </w:r>
    </w:p>
    <w:p w:rsidR="00413836" w:rsidRDefault="00413836" w:rsidP="00413836">
      <w:pPr>
        <w:pStyle w:val="ListParagraph"/>
        <w:spacing w:line="360" w:lineRule="auto"/>
        <w:ind w:left="1080"/>
        <w:rPr>
          <w:rFonts w:ascii="Arial" w:hAnsi="Arial" w:cs="Arial"/>
        </w:rPr>
      </w:pPr>
      <w:r>
        <w:rPr>
          <w:rFonts w:ascii="Arial" w:hAnsi="Arial" w:cs="Arial"/>
        </w:rPr>
        <w:t>and that “</w:t>
      </w:r>
      <w:r w:rsidRPr="00413836">
        <w:rPr>
          <w:rFonts w:ascii="Arial" w:hAnsi="Arial" w:cs="Arial"/>
          <w:i/>
        </w:rPr>
        <w:t>it may be enough</w:t>
      </w:r>
      <w:r>
        <w:rPr>
          <w:rFonts w:ascii="Arial" w:hAnsi="Arial" w:cs="Arial"/>
        </w:rPr>
        <w:t>” if the holding is with the intention of securing a benefit for hi</w:t>
      </w:r>
      <w:r w:rsidR="00195B3B">
        <w:rPr>
          <w:rFonts w:ascii="Arial" w:hAnsi="Arial" w:cs="Arial"/>
        </w:rPr>
        <w:t xml:space="preserve">mself; not that it always will be so. </w:t>
      </w:r>
      <w:r>
        <w:rPr>
          <w:rFonts w:ascii="Arial" w:hAnsi="Arial" w:cs="Arial"/>
        </w:rPr>
        <w:t xml:space="preserve">In cases of derivative possession, as was </w:t>
      </w:r>
      <w:r w:rsidR="00EE2C3B">
        <w:rPr>
          <w:rFonts w:ascii="Arial" w:hAnsi="Arial" w:cs="Arial"/>
          <w:i/>
        </w:rPr>
        <w:t xml:space="preserve">Yeko’s, </w:t>
      </w:r>
      <w:r w:rsidR="00EE2C3B">
        <w:rPr>
          <w:rFonts w:ascii="Arial" w:hAnsi="Arial" w:cs="Arial"/>
        </w:rPr>
        <w:t>it</w:t>
      </w:r>
      <w:r>
        <w:rPr>
          <w:rFonts w:ascii="Arial" w:hAnsi="Arial" w:cs="Arial"/>
        </w:rPr>
        <w:t xml:space="preserve"> was accepted that possession had </w:t>
      </w:r>
      <w:r w:rsidR="00EE2C3B">
        <w:rPr>
          <w:rFonts w:ascii="Arial" w:hAnsi="Arial" w:cs="Arial"/>
        </w:rPr>
        <w:t>been peaceful</w:t>
      </w:r>
      <w:r>
        <w:rPr>
          <w:rFonts w:ascii="Arial" w:hAnsi="Arial" w:cs="Arial"/>
        </w:rPr>
        <w:t xml:space="preserve"> and undisturbed </w:t>
      </w:r>
      <w:r w:rsidR="00195B3B">
        <w:rPr>
          <w:rFonts w:ascii="Arial" w:hAnsi="Arial" w:cs="Arial"/>
        </w:rPr>
        <w:t xml:space="preserve">because </w:t>
      </w:r>
      <w:r>
        <w:rPr>
          <w:rFonts w:ascii="Arial" w:hAnsi="Arial" w:cs="Arial"/>
        </w:rPr>
        <w:t xml:space="preserve">it had been by consent. </w:t>
      </w:r>
    </w:p>
    <w:p w:rsidR="00413836" w:rsidRDefault="00413836" w:rsidP="00413836">
      <w:pPr>
        <w:pStyle w:val="ListParagraph"/>
        <w:spacing w:line="360" w:lineRule="auto"/>
        <w:ind w:left="1080"/>
        <w:rPr>
          <w:rFonts w:ascii="Arial" w:hAnsi="Arial" w:cs="Arial"/>
        </w:rPr>
      </w:pPr>
    </w:p>
    <w:p w:rsidR="00413836" w:rsidRDefault="00943651" w:rsidP="00413836">
      <w:pPr>
        <w:pStyle w:val="ListParagraph"/>
        <w:numPr>
          <w:ilvl w:val="1"/>
          <w:numId w:val="3"/>
        </w:numPr>
        <w:spacing w:line="360" w:lineRule="auto"/>
        <w:rPr>
          <w:rFonts w:ascii="Arial" w:hAnsi="Arial" w:cs="Arial"/>
        </w:rPr>
      </w:pPr>
      <w:r w:rsidRPr="00413836">
        <w:rPr>
          <w:rFonts w:ascii="Arial" w:hAnsi="Arial" w:cs="Arial"/>
          <w:i/>
        </w:rPr>
        <w:t>SAHR</w:t>
      </w:r>
      <w:r w:rsidRPr="00413836">
        <w:rPr>
          <w:rFonts w:ascii="Arial" w:hAnsi="Arial" w:cs="Arial"/>
        </w:rPr>
        <w:t>C</w:t>
      </w:r>
      <w:r w:rsidR="00413836">
        <w:rPr>
          <w:rFonts w:ascii="Arial" w:hAnsi="Arial" w:cs="Arial"/>
        </w:rPr>
        <w:t xml:space="preserve"> also concluded that </w:t>
      </w:r>
      <w:r>
        <w:rPr>
          <w:rFonts w:ascii="Arial" w:hAnsi="Arial" w:cs="Arial"/>
        </w:rPr>
        <w:t>counter-spoliation and the ru</w:t>
      </w:r>
      <w:r w:rsidR="006C679A">
        <w:rPr>
          <w:rFonts w:ascii="Arial" w:hAnsi="Arial" w:cs="Arial"/>
        </w:rPr>
        <w:t>l</w:t>
      </w:r>
      <w:r>
        <w:rPr>
          <w:rFonts w:ascii="Arial" w:hAnsi="Arial" w:cs="Arial"/>
        </w:rPr>
        <w:t xml:space="preserve">e </w:t>
      </w:r>
      <w:r w:rsidR="006C679A">
        <w:rPr>
          <w:rFonts w:ascii="Arial" w:hAnsi="Arial" w:cs="Arial"/>
        </w:rPr>
        <w:t>o</w:t>
      </w:r>
      <w:r>
        <w:rPr>
          <w:rFonts w:ascii="Arial" w:hAnsi="Arial" w:cs="Arial"/>
        </w:rPr>
        <w:t>f law are diametrically opposite constructs</w:t>
      </w:r>
      <w:r w:rsidR="00413836">
        <w:rPr>
          <w:rFonts w:ascii="Arial" w:hAnsi="Arial" w:cs="Arial"/>
        </w:rPr>
        <w:t xml:space="preserve">. </w:t>
      </w:r>
      <w:r w:rsidR="00413836">
        <w:rPr>
          <w:rStyle w:val="FootnoteReference"/>
          <w:rFonts w:ascii="Arial" w:hAnsi="Arial" w:cs="Arial"/>
        </w:rPr>
        <w:footnoteReference w:id="100"/>
      </w:r>
      <w:r>
        <w:rPr>
          <w:rFonts w:ascii="Arial" w:hAnsi="Arial" w:cs="Arial"/>
        </w:rPr>
        <w:t xml:space="preserve"> </w:t>
      </w:r>
    </w:p>
    <w:p w:rsidR="00413836" w:rsidRDefault="00413836" w:rsidP="00413836">
      <w:pPr>
        <w:pStyle w:val="ListParagraph"/>
        <w:spacing w:line="360" w:lineRule="auto"/>
        <w:ind w:left="1080"/>
        <w:rPr>
          <w:rFonts w:ascii="Arial" w:hAnsi="Arial" w:cs="Arial"/>
          <w:i/>
        </w:rPr>
      </w:pPr>
    </w:p>
    <w:p w:rsidR="0040788C" w:rsidRDefault="00943651" w:rsidP="00413836">
      <w:pPr>
        <w:pStyle w:val="ListParagraph"/>
        <w:spacing w:line="360" w:lineRule="auto"/>
        <w:ind w:left="1080"/>
        <w:rPr>
          <w:rFonts w:ascii="Arial" w:hAnsi="Arial" w:cs="Arial"/>
        </w:rPr>
      </w:pPr>
      <w:r>
        <w:rPr>
          <w:rFonts w:ascii="Arial" w:hAnsi="Arial" w:cs="Arial"/>
        </w:rPr>
        <w:t xml:space="preserve">in my respectful view </w:t>
      </w:r>
      <w:r w:rsidR="00413836">
        <w:rPr>
          <w:rFonts w:ascii="Arial" w:hAnsi="Arial" w:cs="Arial"/>
        </w:rPr>
        <w:t>that is not necessarily the case. L</w:t>
      </w:r>
      <w:r>
        <w:rPr>
          <w:rFonts w:ascii="Arial" w:hAnsi="Arial" w:cs="Arial"/>
        </w:rPr>
        <w:t>awful counter-spoliation occurs during</w:t>
      </w:r>
      <w:r w:rsidR="00195B3B">
        <w:rPr>
          <w:rFonts w:ascii="Arial" w:hAnsi="Arial" w:cs="Arial"/>
        </w:rPr>
        <w:t xml:space="preserve"> a hiatus of the rule of law where</w:t>
      </w:r>
      <w:r>
        <w:rPr>
          <w:rFonts w:ascii="Arial" w:hAnsi="Arial" w:cs="Arial"/>
        </w:rPr>
        <w:t xml:space="preserve"> the initial spoliator attempts to wrestle possession </w:t>
      </w:r>
      <w:r w:rsidR="00413836">
        <w:rPr>
          <w:rFonts w:ascii="Arial" w:hAnsi="Arial" w:cs="Arial"/>
        </w:rPr>
        <w:t xml:space="preserve">from the owner </w:t>
      </w:r>
      <w:r>
        <w:rPr>
          <w:rFonts w:ascii="Arial" w:hAnsi="Arial" w:cs="Arial"/>
        </w:rPr>
        <w:t xml:space="preserve">(see the cited extracts from </w:t>
      </w:r>
      <w:r w:rsidRPr="00943651">
        <w:rPr>
          <w:rFonts w:ascii="Arial" w:hAnsi="Arial" w:cs="Arial"/>
          <w:i/>
        </w:rPr>
        <w:t>Mans</w:t>
      </w:r>
      <w:r>
        <w:rPr>
          <w:rFonts w:ascii="Arial" w:hAnsi="Arial" w:cs="Arial"/>
        </w:rPr>
        <w:t xml:space="preserve"> and </w:t>
      </w:r>
      <w:r w:rsidRPr="00943651">
        <w:rPr>
          <w:rFonts w:ascii="Arial" w:hAnsi="Arial" w:cs="Arial"/>
          <w:i/>
        </w:rPr>
        <w:t>Mbangi</w:t>
      </w:r>
      <w:r>
        <w:rPr>
          <w:rFonts w:ascii="Arial" w:hAnsi="Arial" w:cs="Arial"/>
        </w:rPr>
        <w:t xml:space="preserve">) or because it is competent to apply non-physical </w:t>
      </w:r>
      <w:r w:rsidR="006C679A">
        <w:rPr>
          <w:rFonts w:ascii="Arial" w:hAnsi="Arial" w:cs="Arial"/>
        </w:rPr>
        <w:t>resistance</w:t>
      </w:r>
      <w:r>
        <w:rPr>
          <w:rFonts w:ascii="Arial" w:hAnsi="Arial" w:cs="Arial"/>
        </w:rPr>
        <w:t xml:space="preserve"> which pre</w:t>
      </w:r>
      <w:r w:rsidR="00413836">
        <w:rPr>
          <w:rFonts w:ascii="Arial" w:hAnsi="Arial" w:cs="Arial"/>
        </w:rPr>
        <w:t xml:space="preserve">vents </w:t>
      </w:r>
      <w:r>
        <w:rPr>
          <w:rFonts w:ascii="Arial" w:hAnsi="Arial" w:cs="Arial"/>
        </w:rPr>
        <w:t xml:space="preserve">the </w:t>
      </w:r>
      <w:r w:rsidR="009378E7">
        <w:rPr>
          <w:rFonts w:ascii="Arial" w:hAnsi="Arial" w:cs="Arial"/>
        </w:rPr>
        <w:t xml:space="preserve">acquisition of </w:t>
      </w:r>
      <w:r>
        <w:rPr>
          <w:rFonts w:ascii="Arial" w:hAnsi="Arial" w:cs="Arial"/>
        </w:rPr>
        <w:t xml:space="preserve">peaceful and undisturbed possession </w:t>
      </w:r>
      <w:r w:rsidR="009378E7">
        <w:rPr>
          <w:rFonts w:ascii="Arial" w:hAnsi="Arial" w:cs="Arial"/>
        </w:rPr>
        <w:t xml:space="preserve">during the </w:t>
      </w:r>
      <w:r w:rsidR="009378E7" w:rsidRPr="009378E7">
        <w:rPr>
          <w:rFonts w:ascii="Arial" w:hAnsi="Arial" w:cs="Arial"/>
          <w:i/>
        </w:rPr>
        <w:t>res gestae</w:t>
      </w:r>
      <w:r w:rsidR="009378E7">
        <w:rPr>
          <w:rFonts w:ascii="Arial" w:hAnsi="Arial" w:cs="Arial"/>
        </w:rPr>
        <w:t xml:space="preserve"> period</w:t>
      </w:r>
      <w:r>
        <w:rPr>
          <w:rFonts w:ascii="Arial" w:hAnsi="Arial" w:cs="Arial"/>
        </w:rPr>
        <w:t xml:space="preserve"> (</w:t>
      </w:r>
      <w:r w:rsidR="00195B3B">
        <w:rPr>
          <w:rFonts w:ascii="Arial" w:hAnsi="Arial" w:cs="Arial"/>
        </w:rPr>
        <w:t xml:space="preserve">see the 1915 TPD case of </w:t>
      </w:r>
      <w:r w:rsidR="00195B3B">
        <w:rPr>
          <w:rFonts w:ascii="Arial" w:hAnsi="Arial" w:cs="Arial"/>
          <w:i/>
        </w:rPr>
        <w:t xml:space="preserve">Muller </w:t>
      </w:r>
      <w:r w:rsidR="00195B3B">
        <w:rPr>
          <w:rFonts w:ascii="Arial" w:hAnsi="Arial" w:cs="Arial"/>
        </w:rPr>
        <w:t xml:space="preserve">and its adoption and application in </w:t>
      </w:r>
      <w:r w:rsidR="00195B3B">
        <w:rPr>
          <w:rFonts w:ascii="Arial" w:hAnsi="Arial" w:cs="Arial"/>
          <w:i/>
        </w:rPr>
        <w:t xml:space="preserve">Mbangi, </w:t>
      </w:r>
      <w:r w:rsidR="00195B3B">
        <w:rPr>
          <w:rFonts w:ascii="Arial" w:hAnsi="Arial" w:cs="Arial"/>
        </w:rPr>
        <w:t xml:space="preserve">as well as </w:t>
      </w:r>
      <w:r w:rsidR="00195B3B" w:rsidRPr="009378E7">
        <w:rPr>
          <w:rFonts w:ascii="Arial" w:hAnsi="Arial" w:cs="Arial"/>
          <w:i/>
        </w:rPr>
        <w:t>De Beer</w:t>
      </w:r>
      <w:r w:rsidR="00611AF8">
        <w:rPr>
          <w:rFonts w:ascii="Arial" w:hAnsi="Arial" w:cs="Arial"/>
        </w:rPr>
        <w:t>).</w:t>
      </w:r>
      <w:r w:rsidR="009378E7">
        <w:rPr>
          <w:rStyle w:val="FootnoteReference"/>
          <w:rFonts w:ascii="Arial" w:hAnsi="Arial" w:cs="Arial"/>
        </w:rPr>
        <w:footnoteReference w:id="101"/>
      </w:r>
    </w:p>
    <w:p w:rsidR="00611AF8" w:rsidRDefault="00611AF8" w:rsidP="00413836">
      <w:pPr>
        <w:pStyle w:val="ListParagraph"/>
        <w:spacing w:line="360" w:lineRule="auto"/>
        <w:ind w:left="1080"/>
        <w:rPr>
          <w:rFonts w:ascii="Arial" w:hAnsi="Arial" w:cs="Arial"/>
        </w:rPr>
      </w:pPr>
    </w:p>
    <w:p w:rsidR="00413836" w:rsidRPr="00413836" w:rsidRDefault="00413836" w:rsidP="00413836">
      <w:pPr>
        <w:pStyle w:val="ListParagraph"/>
        <w:numPr>
          <w:ilvl w:val="1"/>
          <w:numId w:val="3"/>
        </w:numPr>
        <w:spacing w:line="360" w:lineRule="auto"/>
        <w:rPr>
          <w:rFonts w:ascii="Arial" w:hAnsi="Arial" w:cs="Arial"/>
        </w:rPr>
      </w:pPr>
      <w:r w:rsidRPr="00413836">
        <w:rPr>
          <w:rFonts w:ascii="Arial" w:hAnsi="Arial" w:cs="Arial"/>
          <w:i/>
        </w:rPr>
        <w:t>SAHRC</w:t>
      </w:r>
      <w:r w:rsidRPr="00413836">
        <w:rPr>
          <w:rFonts w:ascii="Arial" w:hAnsi="Arial" w:cs="Arial"/>
        </w:rPr>
        <w:t xml:space="preserve"> found that the act o</w:t>
      </w:r>
      <w:r>
        <w:rPr>
          <w:rFonts w:ascii="Arial" w:hAnsi="Arial" w:cs="Arial"/>
        </w:rPr>
        <w:t>f</w:t>
      </w:r>
      <w:r w:rsidRPr="00413836">
        <w:rPr>
          <w:rFonts w:ascii="Arial" w:hAnsi="Arial" w:cs="Arial"/>
        </w:rPr>
        <w:t xml:space="preserve"> counter-spoliation  must take place immediately  in response to the act of spoliation</w:t>
      </w:r>
      <w:r>
        <w:rPr>
          <w:rStyle w:val="FootnoteReference"/>
          <w:rFonts w:ascii="Arial" w:hAnsi="Arial" w:cs="Arial"/>
        </w:rPr>
        <w:footnoteReference w:id="102"/>
      </w:r>
      <w:r>
        <w:rPr>
          <w:rFonts w:ascii="Arial" w:hAnsi="Arial" w:cs="Arial"/>
        </w:rPr>
        <w:t>. In my r</w:t>
      </w:r>
      <w:r w:rsidRPr="00413836">
        <w:rPr>
          <w:rFonts w:ascii="Arial" w:hAnsi="Arial" w:cs="Arial"/>
        </w:rPr>
        <w:t>espect</w:t>
      </w:r>
      <w:r>
        <w:rPr>
          <w:rFonts w:ascii="Arial" w:hAnsi="Arial" w:cs="Arial"/>
        </w:rPr>
        <w:t>ful</w:t>
      </w:r>
      <w:r w:rsidRPr="00413836">
        <w:rPr>
          <w:rFonts w:ascii="Arial" w:hAnsi="Arial" w:cs="Arial"/>
        </w:rPr>
        <w:t xml:space="preserve"> view that begs the question of whether the initial act of spoliation has </w:t>
      </w:r>
      <w:r>
        <w:rPr>
          <w:rFonts w:ascii="Arial" w:hAnsi="Arial" w:cs="Arial"/>
        </w:rPr>
        <w:t>in f</w:t>
      </w:r>
      <w:r w:rsidRPr="00413836">
        <w:rPr>
          <w:rFonts w:ascii="Arial" w:hAnsi="Arial" w:cs="Arial"/>
        </w:rPr>
        <w:t>a</w:t>
      </w:r>
      <w:r>
        <w:rPr>
          <w:rFonts w:ascii="Arial" w:hAnsi="Arial" w:cs="Arial"/>
        </w:rPr>
        <w:t>c</w:t>
      </w:r>
      <w:r w:rsidRPr="00413836">
        <w:rPr>
          <w:rFonts w:ascii="Arial" w:hAnsi="Arial" w:cs="Arial"/>
        </w:rPr>
        <w:t>t been completed and whet</w:t>
      </w:r>
      <w:r>
        <w:rPr>
          <w:rFonts w:ascii="Arial" w:hAnsi="Arial" w:cs="Arial"/>
        </w:rPr>
        <w:t>her non-physical resistance frustrated it f</w:t>
      </w:r>
      <w:r w:rsidRPr="00413836">
        <w:rPr>
          <w:rFonts w:ascii="Arial" w:hAnsi="Arial" w:cs="Arial"/>
        </w:rPr>
        <w:t>r</w:t>
      </w:r>
      <w:r>
        <w:rPr>
          <w:rFonts w:ascii="Arial" w:hAnsi="Arial" w:cs="Arial"/>
        </w:rPr>
        <w:t>o</w:t>
      </w:r>
      <w:r w:rsidRPr="00413836">
        <w:rPr>
          <w:rFonts w:ascii="Arial" w:hAnsi="Arial" w:cs="Arial"/>
        </w:rPr>
        <w:t>m so occurring</w:t>
      </w:r>
      <w:r>
        <w:rPr>
          <w:rFonts w:ascii="Arial" w:hAnsi="Arial" w:cs="Arial"/>
        </w:rPr>
        <w:t xml:space="preserve">- bearing in mind that non-physical resistance should not inure to the benefit of a person who is attempting to invade land, more especially because the former does not take the law into his or her own hands nor abrogates the rule of law- only the land invader does.  </w:t>
      </w:r>
    </w:p>
    <w:p w:rsidR="00413836" w:rsidRPr="00413836" w:rsidRDefault="00413836" w:rsidP="00413836">
      <w:pPr>
        <w:pStyle w:val="ListParagraph"/>
        <w:spacing w:line="360" w:lineRule="auto"/>
        <w:ind w:left="1080"/>
        <w:rPr>
          <w:rFonts w:ascii="Arial" w:hAnsi="Arial" w:cs="Arial"/>
        </w:rPr>
      </w:pPr>
    </w:p>
    <w:p w:rsidR="00413836" w:rsidRPr="00413836" w:rsidRDefault="00413836" w:rsidP="00413836">
      <w:pPr>
        <w:pStyle w:val="ListParagraph"/>
        <w:numPr>
          <w:ilvl w:val="1"/>
          <w:numId w:val="3"/>
        </w:numPr>
        <w:spacing w:line="360" w:lineRule="auto"/>
        <w:rPr>
          <w:rFonts w:ascii="Arial" w:hAnsi="Arial" w:cs="Arial"/>
        </w:rPr>
      </w:pPr>
      <w:r>
        <w:rPr>
          <w:rFonts w:ascii="Arial" w:hAnsi="Arial" w:cs="Arial"/>
        </w:rPr>
        <w:t xml:space="preserve">As already alluded to in its various </w:t>
      </w:r>
      <w:r w:rsidR="00EE2C3B">
        <w:rPr>
          <w:rFonts w:ascii="Arial" w:hAnsi="Arial" w:cs="Arial"/>
        </w:rPr>
        <w:t>applications, SAHRC</w:t>
      </w:r>
      <w:r>
        <w:rPr>
          <w:rFonts w:ascii="Arial" w:hAnsi="Arial" w:cs="Arial"/>
        </w:rPr>
        <w:t xml:space="preserve"> did not take into consideration non-physic</w:t>
      </w:r>
      <w:r w:rsidRPr="00413836">
        <w:rPr>
          <w:rFonts w:ascii="Arial" w:hAnsi="Arial" w:cs="Arial"/>
        </w:rPr>
        <w:t>al resist</w:t>
      </w:r>
      <w:r>
        <w:rPr>
          <w:rFonts w:ascii="Arial" w:hAnsi="Arial" w:cs="Arial"/>
        </w:rPr>
        <w:t xml:space="preserve">ance, </w:t>
      </w:r>
      <w:r w:rsidRPr="00413836">
        <w:rPr>
          <w:rFonts w:ascii="Arial" w:hAnsi="Arial" w:cs="Arial"/>
        </w:rPr>
        <w:t xml:space="preserve">as </w:t>
      </w:r>
      <w:r w:rsidR="00195B3B">
        <w:rPr>
          <w:rFonts w:ascii="Arial" w:hAnsi="Arial" w:cs="Arial"/>
        </w:rPr>
        <w:t xml:space="preserve">recognised in </w:t>
      </w:r>
      <w:r w:rsidR="00195B3B">
        <w:rPr>
          <w:rFonts w:ascii="Arial" w:hAnsi="Arial" w:cs="Arial"/>
          <w:i/>
        </w:rPr>
        <w:t xml:space="preserve">Muller </w:t>
      </w:r>
      <w:r w:rsidR="00195B3B">
        <w:rPr>
          <w:rFonts w:ascii="Arial" w:hAnsi="Arial" w:cs="Arial"/>
        </w:rPr>
        <w:t xml:space="preserve">and </w:t>
      </w:r>
      <w:r w:rsidRPr="00413836">
        <w:rPr>
          <w:rFonts w:ascii="Arial" w:hAnsi="Arial" w:cs="Arial"/>
        </w:rPr>
        <w:lastRenderedPageBreak/>
        <w:t xml:space="preserve">explained in </w:t>
      </w:r>
      <w:r w:rsidRPr="00413836">
        <w:rPr>
          <w:rFonts w:ascii="Arial" w:hAnsi="Arial" w:cs="Arial"/>
          <w:i/>
        </w:rPr>
        <w:t>Mbangi</w:t>
      </w:r>
      <w:r w:rsidRPr="00413836">
        <w:rPr>
          <w:rFonts w:ascii="Arial" w:hAnsi="Arial" w:cs="Arial"/>
        </w:rPr>
        <w:t>, to the question of whether peacefu</w:t>
      </w:r>
      <w:r>
        <w:rPr>
          <w:rFonts w:ascii="Arial" w:hAnsi="Arial" w:cs="Arial"/>
        </w:rPr>
        <w:t xml:space="preserve">l and undisturbed possession could </w:t>
      </w:r>
      <w:r w:rsidR="00EE2C3B">
        <w:rPr>
          <w:rFonts w:ascii="Arial" w:hAnsi="Arial" w:cs="Arial"/>
        </w:rPr>
        <w:t xml:space="preserve">have </w:t>
      </w:r>
      <w:r w:rsidR="00EE2C3B" w:rsidRPr="00413836">
        <w:rPr>
          <w:rFonts w:ascii="Arial" w:hAnsi="Arial" w:cs="Arial"/>
        </w:rPr>
        <w:t>occurred</w:t>
      </w:r>
      <w:r w:rsidRPr="00413836">
        <w:rPr>
          <w:rFonts w:ascii="Arial" w:hAnsi="Arial" w:cs="Arial"/>
        </w:rPr>
        <w:t xml:space="preserve"> </w:t>
      </w:r>
    </w:p>
    <w:p w:rsidR="00CF2213" w:rsidRDefault="00CF2213" w:rsidP="00413836">
      <w:pPr>
        <w:pStyle w:val="ListParagraph"/>
        <w:spacing w:line="360" w:lineRule="auto"/>
        <w:ind w:left="1080"/>
        <w:rPr>
          <w:rFonts w:ascii="Arial" w:hAnsi="Arial" w:cs="Arial"/>
        </w:rPr>
      </w:pPr>
    </w:p>
    <w:p w:rsidR="00413836" w:rsidRDefault="00413836" w:rsidP="00CF2213">
      <w:pPr>
        <w:pStyle w:val="ListParagraph"/>
        <w:numPr>
          <w:ilvl w:val="0"/>
          <w:numId w:val="3"/>
        </w:numPr>
        <w:spacing w:line="360" w:lineRule="auto"/>
        <w:rPr>
          <w:rFonts w:ascii="Arial" w:hAnsi="Arial" w:cs="Arial"/>
        </w:rPr>
      </w:pPr>
      <w:r>
        <w:rPr>
          <w:rFonts w:ascii="Arial" w:hAnsi="Arial" w:cs="Arial"/>
        </w:rPr>
        <w:t>Finally on this aspect, t</w:t>
      </w:r>
      <w:r w:rsidR="00CF2213">
        <w:rPr>
          <w:rFonts w:ascii="Arial" w:hAnsi="Arial" w:cs="Arial"/>
        </w:rPr>
        <w:t xml:space="preserve">he reasoning in </w:t>
      </w:r>
      <w:r w:rsidR="00CF2213" w:rsidRPr="00CF2213">
        <w:rPr>
          <w:rFonts w:ascii="Arial" w:hAnsi="Arial" w:cs="Arial"/>
          <w:i/>
        </w:rPr>
        <w:t>Mbangi</w:t>
      </w:r>
      <w:r w:rsidR="00CF2213">
        <w:rPr>
          <w:rFonts w:ascii="Arial" w:hAnsi="Arial" w:cs="Arial"/>
        </w:rPr>
        <w:t xml:space="preserve"> </w:t>
      </w:r>
      <w:r>
        <w:rPr>
          <w:rFonts w:ascii="Arial" w:hAnsi="Arial" w:cs="Arial"/>
        </w:rPr>
        <w:t>and its conclusion that non-physical resi</w:t>
      </w:r>
      <w:r w:rsidR="00CF2213">
        <w:rPr>
          <w:rFonts w:ascii="Arial" w:hAnsi="Arial" w:cs="Arial"/>
        </w:rPr>
        <w:t>stanc</w:t>
      </w:r>
      <w:r>
        <w:rPr>
          <w:rFonts w:ascii="Arial" w:hAnsi="Arial" w:cs="Arial"/>
        </w:rPr>
        <w:t>e</w:t>
      </w:r>
      <w:r w:rsidR="00CF2213">
        <w:rPr>
          <w:rFonts w:ascii="Arial" w:hAnsi="Arial" w:cs="Arial"/>
        </w:rPr>
        <w:t xml:space="preserve"> prec</w:t>
      </w:r>
      <w:r>
        <w:rPr>
          <w:rFonts w:ascii="Arial" w:hAnsi="Arial" w:cs="Arial"/>
        </w:rPr>
        <w:t>l</w:t>
      </w:r>
      <w:r w:rsidR="00CF2213">
        <w:rPr>
          <w:rFonts w:ascii="Arial" w:hAnsi="Arial" w:cs="Arial"/>
        </w:rPr>
        <w:t>udes t</w:t>
      </w:r>
      <w:r>
        <w:rPr>
          <w:rFonts w:ascii="Arial" w:hAnsi="Arial" w:cs="Arial"/>
        </w:rPr>
        <w:t>he spoliator from claiming peaceful and undistur</w:t>
      </w:r>
      <w:r w:rsidR="00CF2213">
        <w:rPr>
          <w:rFonts w:ascii="Arial" w:hAnsi="Arial" w:cs="Arial"/>
        </w:rPr>
        <w:t>bed possession</w:t>
      </w:r>
      <w:r>
        <w:rPr>
          <w:rFonts w:ascii="Arial" w:hAnsi="Arial" w:cs="Arial"/>
        </w:rPr>
        <w:t xml:space="preserve"> also satisfactorily addresses </w:t>
      </w:r>
      <w:r w:rsidR="00CF2213">
        <w:rPr>
          <w:rFonts w:ascii="Arial" w:hAnsi="Arial" w:cs="Arial"/>
        </w:rPr>
        <w:t xml:space="preserve">the difficulty of an owner </w:t>
      </w:r>
      <w:r w:rsidR="00195B3B">
        <w:rPr>
          <w:rFonts w:ascii="Arial" w:hAnsi="Arial" w:cs="Arial"/>
        </w:rPr>
        <w:t xml:space="preserve">having to be </w:t>
      </w:r>
      <w:r w:rsidR="00CF2213">
        <w:rPr>
          <w:rFonts w:ascii="Arial" w:hAnsi="Arial" w:cs="Arial"/>
        </w:rPr>
        <w:t xml:space="preserve">everywhere at once </w:t>
      </w:r>
      <w:r w:rsidR="00195B3B">
        <w:rPr>
          <w:rFonts w:ascii="Arial" w:hAnsi="Arial" w:cs="Arial"/>
        </w:rPr>
        <w:t xml:space="preserve">in </w:t>
      </w:r>
      <w:r w:rsidR="00CF2213">
        <w:rPr>
          <w:rFonts w:ascii="Arial" w:hAnsi="Arial" w:cs="Arial"/>
        </w:rPr>
        <w:t xml:space="preserve">trying to </w:t>
      </w:r>
      <w:r>
        <w:rPr>
          <w:rFonts w:ascii="Arial" w:hAnsi="Arial" w:cs="Arial"/>
        </w:rPr>
        <w:t>stop an orchestrated land invasi</w:t>
      </w:r>
      <w:r w:rsidR="00CF2213">
        <w:rPr>
          <w:rFonts w:ascii="Arial" w:hAnsi="Arial" w:cs="Arial"/>
        </w:rPr>
        <w:t>on</w:t>
      </w:r>
      <w:r w:rsidR="00195B3B">
        <w:rPr>
          <w:rFonts w:ascii="Arial" w:hAnsi="Arial" w:cs="Arial"/>
        </w:rPr>
        <w:t xml:space="preserve">. It also </w:t>
      </w:r>
      <w:r>
        <w:rPr>
          <w:rFonts w:ascii="Arial" w:hAnsi="Arial" w:cs="Arial"/>
        </w:rPr>
        <w:t xml:space="preserve">meets the responsibility borne by </w:t>
      </w:r>
      <w:r w:rsidR="00CF2213">
        <w:rPr>
          <w:rFonts w:ascii="Arial" w:hAnsi="Arial" w:cs="Arial"/>
        </w:rPr>
        <w:t xml:space="preserve">State </w:t>
      </w:r>
      <w:r>
        <w:rPr>
          <w:rFonts w:ascii="Arial" w:hAnsi="Arial" w:cs="Arial"/>
        </w:rPr>
        <w:t xml:space="preserve">bodies to first attempt negotiating with intruders without jeopardising the </w:t>
      </w:r>
      <w:r w:rsidRPr="00413836">
        <w:rPr>
          <w:rFonts w:ascii="Arial" w:hAnsi="Arial" w:cs="Arial"/>
          <w:i/>
        </w:rPr>
        <w:t>status quo</w:t>
      </w:r>
      <w:r>
        <w:rPr>
          <w:rFonts w:ascii="Arial" w:hAnsi="Arial" w:cs="Arial"/>
        </w:rPr>
        <w:t>, at least in regard to issues of possession for the purposes of the mandament.</w:t>
      </w:r>
      <w:r w:rsidR="00195B3B">
        <w:rPr>
          <w:rFonts w:ascii="Arial" w:hAnsi="Arial" w:cs="Arial"/>
        </w:rPr>
        <w:t xml:space="preserve"> </w:t>
      </w:r>
    </w:p>
    <w:p w:rsidR="008D3E20" w:rsidRPr="008D3E20" w:rsidRDefault="008D3E20" w:rsidP="008D3E20">
      <w:pPr>
        <w:pStyle w:val="ListParagraph"/>
        <w:rPr>
          <w:rFonts w:ascii="Arial" w:hAnsi="Arial" w:cs="Arial"/>
        </w:rPr>
      </w:pPr>
    </w:p>
    <w:p w:rsidR="00500722" w:rsidRPr="00500722" w:rsidRDefault="00500722" w:rsidP="00500722">
      <w:pPr>
        <w:pStyle w:val="ListParagraph"/>
        <w:rPr>
          <w:rFonts w:ascii="Arial" w:hAnsi="Arial" w:cs="Arial"/>
        </w:rPr>
      </w:pPr>
    </w:p>
    <w:p w:rsidR="00695F48" w:rsidRPr="00695F48" w:rsidRDefault="00695F48" w:rsidP="00695F48">
      <w:pPr>
        <w:pStyle w:val="ListParagraph"/>
        <w:spacing w:line="360" w:lineRule="auto"/>
        <w:ind w:left="0"/>
        <w:rPr>
          <w:rFonts w:ascii="Arial" w:hAnsi="Arial" w:cs="Arial"/>
          <w:b/>
        </w:rPr>
      </w:pPr>
      <w:r w:rsidRPr="00695F48">
        <w:rPr>
          <w:rFonts w:ascii="Arial" w:hAnsi="Arial" w:cs="Arial"/>
          <w:b/>
        </w:rPr>
        <w:t>Intention to Possess</w:t>
      </w:r>
    </w:p>
    <w:p w:rsidR="007E7BEE" w:rsidRDefault="007E7BEE" w:rsidP="00045C58">
      <w:pPr>
        <w:pStyle w:val="ListParagraph"/>
        <w:spacing w:line="360" w:lineRule="auto"/>
        <w:ind w:left="360"/>
        <w:rPr>
          <w:rFonts w:ascii="Arial" w:hAnsi="Arial" w:cs="Arial"/>
        </w:rPr>
      </w:pPr>
    </w:p>
    <w:p w:rsidR="00695F48" w:rsidRDefault="00695F48" w:rsidP="00D231F2">
      <w:pPr>
        <w:pStyle w:val="ListParagraph"/>
        <w:numPr>
          <w:ilvl w:val="0"/>
          <w:numId w:val="3"/>
        </w:numPr>
        <w:spacing w:line="360" w:lineRule="auto"/>
        <w:rPr>
          <w:rFonts w:ascii="Arial" w:hAnsi="Arial" w:cs="Arial"/>
        </w:rPr>
      </w:pPr>
      <w:r w:rsidRPr="00491C20">
        <w:rPr>
          <w:rFonts w:ascii="Arial" w:hAnsi="Arial" w:cs="Arial"/>
        </w:rPr>
        <w:t xml:space="preserve">It is unnecessary to traverse this requirement of possession for the purposes of the </w:t>
      </w:r>
      <w:r w:rsidR="006C679A" w:rsidRPr="00491C20">
        <w:rPr>
          <w:rFonts w:ascii="Arial" w:hAnsi="Arial" w:cs="Arial"/>
        </w:rPr>
        <w:t>mandament</w:t>
      </w:r>
      <w:r w:rsidRPr="00491C20">
        <w:rPr>
          <w:rFonts w:ascii="Arial" w:hAnsi="Arial" w:cs="Arial"/>
        </w:rPr>
        <w:t xml:space="preserve"> save in </w:t>
      </w:r>
      <w:r w:rsidR="00491C20" w:rsidRPr="00491C20">
        <w:rPr>
          <w:rFonts w:ascii="Arial" w:hAnsi="Arial" w:cs="Arial"/>
        </w:rPr>
        <w:t xml:space="preserve">the one aspect relevant to the first respondent’s case.  </w:t>
      </w:r>
    </w:p>
    <w:p w:rsidR="00491C20" w:rsidRPr="00491C20" w:rsidRDefault="00491C20" w:rsidP="00491C20">
      <w:pPr>
        <w:pStyle w:val="ListParagraph"/>
        <w:spacing w:line="360" w:lineRule="auto"/>
        <w:ind w:left="360"/>
        <w:rPr>
          <w:rFonts w:ascii="Arial" w:hAnsi="Arial" w:cs="Arial"/>
        </w:rPr>
      </w:pPr>
    </w:p>
    <w:p w:rsidR="00DF52B5" w:rsidRPr="00695F48" w:rsidRDefault="00695F48" w:rsidP="00695F48">
      <w:pPr>
        <w:pStyle w:val="ListParagraph"/>
        <w:spacing w:line="360" w:lineRule="auto"/>
        <w:ind w:left="360"/>
        <w:rPr>
          <w:rFonts w:ascii="Arial" w:hAnsi="Arial" w:cs="Arial"/>
        </w:rPr>
      </w:pPr>
      <w:r w:rsidRPr="00695F48">
        <w:rPr>
          <w:rFonts w:ascii="Arial" w:hAnsi="Arial" w:cs="Arial"/>
        </w:rPr>
        <w:t xml:space="preserve">In </w:t>
      </w:r>
      <w:r w:rsidRPr="00695F48">
        <w:rPr>
          <w:rFonts w:ascii="Arial" w:hAnsi="Arial" w:cs="Arial"/>
          <w:i/>
        </w:rPr>
        <w:t xml:space="preserve">S v R </w:t>
      </w:r>
      <w:r w:rsidRPr="00695F48">
        <w:rPr>
          <w:rFonts w:ascii="Arial" w:hAnsi="Arial" w:cs="Arial"/>
        </w:rPr>
        <w:t xml:space="preserve">1971 (3) SA </w:t>
      </w:r>
      <w:r>
        <w:rPr>
          <w:rFonts w:ascii="Arial" w:hAnsi="Arial" w:cs="Arial"/>
        </w:rPr>
        <w:t xml:space="preserve">798 (T) at 801B to F Joubert AJ (at the time) went into some detail with </w:t>
      </w:r>
      <w:r w:rsidR="006C679A">
        <w:rPr>
          <w:rFonts w:ascii="Arial" w:hAnsi="Arial" w:cs="Arial"/>
        </w:rPr>
        <w:t>regard</w:t>
      </w:r>
      <w:r>
        <w:rPr>
          <w:rFonts w:ascii="Arial" w:hAnsi="Arial" w:cs="Arial"/>
        </w:rPr>
        <w:t xml:space="preserve"> to the intention to possess. After identifying the mental ele</w:t>
      </w:r>
      <w:r w:rsidR="006C679A">
        <w:rPr>
          <w:rFonts w:ascii="Arial" w:hAnsi="Arial" w:cs="Arial"/>
        </w:rPr>
        <w:t>me</w:t>
      </w:r>
      <w:r>
        <w:rPr>
          <w:rFonts w:ascii="Arial" w:hAnsi="Arial" w:cs="Arial"/>
        </w:rPr>
        <w:t xml:space="preserve">nt to </w:t>
      </w:r>
      <w:r w:rsidR="00195B3B">
        <w:rPr>
          <w:rFonts w:ascii="Arial" w:hAnsi="Arial" w:cs="Arial"/>
        </w:rPr>
        <w:t xml:space="preserve">comprise </w:t>
      </w:r>
      <w:r>
        <w:rPr>
          <w:rFonts w:ascii="Arial" w:hAnsi="Arial" w:cs="Arial"/>
        </w:rPr>
        <w:t xml:space="preserve">the </w:t>
      </w:r>
      <w:r w:rsidRPr="00695F48">
        <w:rPr>
          <w:rFonts w:ascii="Arial" w:hAnsi="Arial" w:cs="Arial"/>
          <w:i/>
        </w:rPr>
        <w:t xml:space="preserve">animus </w:t>
      </w:r>
      <w:r w:rsidR="00491C20" w:rsidRPr="00491C20">
        <w:rPr>
          <w:rFonts w:ascii="Arial" w:hAnsi="Arial" w:cs="Arial"/>
          <w:i/>
          <w:iCs/>
        </w:rPr>
        <w:t>possidendi</w:t>
      </w:r>
      <w:r>
        <w:rPr>
          <w:rFonts w:ascii="Arial" w:hAnsi="Arial" w:cs="Arial"/>
        </w:rPr>
        <w:t xml:space="preserve"> the judge </w:t>
      </w:r>
      <w:r w:rsidR="006C679A">
        <w:rPr>
          <w:rFonts w:ascii="Arial" w:hAnsi="Arial" w:cs="Arial"/>
        </w:rPr>
        <w:t>referred</w:t>
      </w:r>
      <w:r>
        <w:rPr>
          <w:rFonts w:ascii="Arial" w:hAnsi="Arial" w:cs="Arial"/>
        </w:rPr>
        <w:t xml:space="preserve"> to case law and the old authorities in support of the proposition that the </w:t>
      </w:r>
      <w:r>
        <w:rPr>
          <w:rFonts w:ascii="Arial" w:hAnsi="Arial" w:cs="Arial"/>
          <w:i/>
        </w:rPr>
        <w:t xml:space="preserve">animus </w:t>
      </w:r>
      <w:r w:rsidRPr="00491C20">
        <w:rPr>
          <w:rFonts w:ascii="Arial" w:hAnsi="Arial" w:cs="Arial"/>
          <w:i/>
        </w:rPr>
        <w:t>pos</w:t>
      </w:r>
      <w:r w:rsidR="00491C20" w:rsidRPr="00491C20">
        <w:rPr>
          <w:rFonts w:ascii="Arial" w:hAnsi="Arial" w:cs="Arial"/>
          <w:i/>
        </w:rPr>
        <w:t>s</w:t>
      </w:r>
      <w:r w:rsidRPr="00491C20">
        <w:rPr>
          <w:rFonts w:ascii="Arial" w:hAnsi="Arial" w:cs="Arial"/>
          <w:i/>
        </w:rPr>
        <w:t xml:space="preserve">idendi </w:t>
      </w:r>
      <w:r>
        <w:rPr>
          <w:rFonts w:ascii="Arial" w:hAnsi="Arial" w:cs="Arial"/>
        </w:rPr>
        <w:t>refers to the “</w:t>
      </w:r>
      <w:r w:rsidRPr="00695F48">
        <w:rPr>
          <w:rFonts w:ascii="Arial" w:hAnsi="Arial" w:cs="Arial"/>
          <w:i/>
        </w:rPr>
        <w:t>intention to hold an object for oneself and not for another</w:t>
      </w:r>
      <w:r>
        <w:rPr>
          <w:rFonts w:ascii="Arial" w:hAnsi="Arial" w:cs="Arial"/>
        </w:rPr>
        <w:t>” and concludes: “</w:t>
      </w:r>
      <w:r w:rsidRPr="0031724B">
        <w:rPr>
          <w:rFonts w:ascii="Arial" w:hAnsi="Arial" w:cs="Arial"/>
          <w:i/>
        </w:rPr>
        <w:t>It is clear therefore from our common law authorities that the </w:t>
      </w:r>
      <w:r w:rsidRPr="0031724B">
        <w:rPr>
          <w:rFonts w:ascii="Arial" w:hAnsi="Arial" w:cs="Arial"/>
          <w:i/>
          <w:iCs/>
        </w:rPr>
        <w:t>animus possidendi</w:t>
      </w:r>
      <w:r w:rsidRPr="0031724B">
        <w:rPr>
          <w:rFonts w:ascii="Arial" w:hAnsi="Arial" w:cs="Arial"/>
          <w:i/>
        </w:rPr>
        <w:t> consists</w:t>
      </w:r>
      <w:r w:rsidR="0031724B">
        <w:rPr>
          <w:rFonts w:ascii="Arial" w:hAnsi="Arial" w:cs="Arial"/>
          <w:i/>
        </w:rPr>
        <w:t xml:space="preserve"> of the intention of keeping a</w:t>
      </w:r>
      <w:r w:rsidRPr="0031724B">
        <w:rPr>
          <w:rFonts w:ascii="Arial" w:hAnsi="Arial" w:cs="Arial"/>
          <w:i/>
        </w:rPr>
        <w:t> corporeal thing for oneself. </w:t>
      </w:r>
      <w:r w:rsidRPr="0031724B">
        <w:rPr>
          <w:rFonts w:ascii="Arial" w:hAnsi="Arial" w:cs="Arial"/>
          <w:i/>
          <w:iCs/>
        </w:rPr>
        <w:t>Welgemoed v Coetzer and Another, supra</w:t>
      </w:r>
      <w:r w:rsidRPr="0031724B">
        <w:rPr>
          <w:rFonts w:ascii="Arial" w:hAnsi="Arial" w:cs="Arial"/>
          <w:i/>
        </w:rPr>
        <w:t> at p. 712; </w:t>
      </w:r>
      <w:r w:rsidRPr="0031724B">
        <w:rPr>
          <w:rFonts w:ascii="Arial" w:hAnsi="Arial" w:cs="Arial"/>
          <w:i/>
          <w:iCs/>
        </w:rPr>
        <w:t>S</w:t>
      </w:r>
      <w:r w:rsidRPr="0031724B">
        <w:rPr>
          <w:rFonts w:ascii="Arial" w:hAnsi="Arial" w:cs="Arial"/>
          <w:i/>
        </w:rPr>
        <w:t>. v </w:t>
      </w:r>
      <w:r w:rsidRPr="0031724B">
        <w:rPr>
          <w:rFonts w:ascii="Arial" w:hAnsi="Arial" w:cs="Arial"/>
          <w:i/>
          <w:iCs/>
        </w:rPr>
        <w:t>Nader</w:t>
      </w:r>
      <w:r w:rsidRPr="00413836">
        <w:rPr>
          <w:rFonts w:ascii="Arial" w:hAnsi="Arial" w:cs="Arial"/>
          <w:color w:val="000000" w:themeColor="text1"/>
        </w:rPr>
        <w:t>, </w:t>
      </w:r>
      <w:hyperlink r:id="rId10" w:tgtFrame="main" w:history="1">
        <w:r w:rsidRPr="00413836">
          <w:rPr>
            <w:rStyle w:val="Hyperlink"/>
            <w:rFonts w:ascii="Arial" w:hAnsi="Arial" w:cs="Arial"/>
            <w:color w:val="000000" w:themeColor="text1"/>
            <w:u w:val="none"/>
          </w:rPr>
          <w:t>1963 (1) SA 843 (O)</w:t>
        </w:r>
      </w:hyperlink>
      <w:r w:rsidR="0031724B">
        <w:rPr>
          <w:rFonts w:ascii="Arial" w:hAnsi="Arial" w:cs="Arial"/>
          <w:i/>
        </w:rPr>
        <w:t> at p. 847</w:t>
      </w:r>
      <w:r w:rsidRPr="0031724B">
        <w:rPr>
          <w:rFonts w:ascii="Arial" w:hAnsi="Arial" w:cs="Arial"/>
          <w:i/>
        </w:rPr>
        <w:t>.</w:t>
      </w:r>
      <w:r>
        <w:rPr>
          <w:rFonts w:ascii="Arial" w:hAnsi="Arial" w:cs="Arial"/>
        </w:rPr>
        <w:t xml:space="preserve"> </w:t>
      </w:r>
      <w:r>
        <w:rPr>
          <w:rStyle w:val="FootnoteReference"/>
          <w:rFonts w:ascii="Arial" w:hAnsi="Arial" w:cs="Arial"/>
        </w:rPr>
        <w:footnoteReference w:id="103"/>
      </w:r>
    </w:p>
    <w:p w:rsidR="00695F48" w:rsidRDefault="00695F48" w:rsidP="00695F48">
      <w:pPr>
        <w:pStyle w:val="ListParagraph"/>
        <w:rPr>
          <w:rFonts w:ascii="Arial" w:hAnsi="Arial" w:cs="Arial"/>
        </w:rPr>
      </w:pPr>
    </w:p>
    <w:p w:rsidR="00025D81" w:rsidRDefault="00025D81" w:rsidP="00695F48">
      <w:pPr>
        <w:pStyle w:val="ListParagraph"/>
        <w:rPr>
          <w:rFonts w:ascii="Arial" w:hAnsi="Arial" w:cs="Arial"/>
        </w:rPr>
      </w:pPr>
    </w:p>
    <w:p w:rsidR="00025D81" w:rsidRDefault="00025D81" w:rsidP="00695F48">
      <w:pPr>
        <w:pStyle w:val="ListParagraph"/>
        <w:rPr>
          <w:rFonts w:ascii="Arial" w:hAnsi="Arial" w:cs="Arial"/>
        </w:rPr>
      </w:pPr>
    </w:p>
    <w:p w:rsidR="00025D81" w:rsidRPr="00695F48" w:rsidRDefault="00025D81" w:rsidP="00695F48">
      <w:pPr>
        <w:pStyle w:val="ListParagraph"/>
        <w:rPr>
          <w:rFonts w:ascii="Arial" w:hAnsi="Arial" w:cs="Arial"/>
        </w:rPr>
      </w:pPr>
    </w:p>
    <w:p w:rsidR="00F01C7E" w:rsidRDefault="00F01C7E" w:rsidP="00351E5D">
      <w:pPr>
        <w:pStyle w:val="ListParagraph"/>
        <w:spacing w:line="360" w:lineRule="auto"/>
        <w:ind w:left="360"/>
        <w:rPr>
          <w:rFonts w:ascii="Arial" w:hAnsi="Arial" w:cs="Arial"/>
        </w:rPr>
      </w:pPr>
    </w:p>
    <w:p w:rsidR="00F01C7E" w:rsidRPr="00491C20" w:rsidRDefault="008C4115" w:rsidP="00491C20">
      <w:pPr>
        <w:spacing w:line="360" w:lineRule="auto"/>
        <w:rPr>
          <w:rFonts w:ascii="Arial" w:hAnsi="Arial" w:cs="Arial"/>
          <w:b/>
        </w:rPr>
      </w:pPr>
      <w:r>
        <w:rPr>
          <w:rFonts w:ascii="Arial" w:hAnsi="Arial" w:cs="Arial"/>
          <w:b/>
        </w:rPr>
        <w:lastRenderedPageBreak/>
        <w:t xml:space="preserve">FINDING IN RESPECT OF </w:t>
      </w:r>
      <w:r w:rsidR="00611AF8">
        <w:rPr>
          <w:rFonts w:ascii="Arial" w:hAnsi="Arial" w:cs="Arial"/>
          <w:b/>
        </w:rPr>
        <w:t xml:space="preserve">THE </w:t>
      </w:r>
      <w:r w:rsidR="00F01C7E" w:rsidRPr="00491C20">
        <w:rPr>
          <w:rFonts w:ascii="Arial" w:hAnsi="Arial" w:cs="Arial"/>
          <w:b/>
        </w:rPr>
        <w:t>FIRST RESPONDENT GROUP</w:t>
      </w:r>
    </w:p>
    <w:p w:rsidR="001A44BA" w:rsidRDefault="001A44BA" w:rsidP="00045C58">
      <w:pPr>
        <w:pStyle w:val="ListParagraph"/>
        <w:spacing w:line="360" w:lineRule="auto"/>
        <w:ind w:left="360"/>
        <w:rPr>
          <w:rFonts w:ascii="Arial" w:hAnsi="Arial" w:cs="Arial"/>
        </w:rPr>
      </w:pPr>
    </w:p>
    <w:p w:rsidR="00721C6A" w:rsidRDefault="00534C28" w:rsidP="00AF22DC">
      <w:pPr>
        <w:pStyle w:val="ListParagraph"/>
        <w:numPr>
          <w:ilvl w:val="0"/>
          <w:numId w:val="3"/>
        </w:numPr>
        <w:spacing w:line="360" w:lineRule="auto"/>
        <w:rPr>
          <w:rFonts w:ascii="Arial" w:hAnsi="Arial" w:cs="Arial"/>
        </w:rPr>
      </w:pPr>
      <w:r>
        <w:rPr>
          <w:rFonts w:ascii="Arial" w:hAnsi="Arial" w:cs="Arial"/>
        </w:rPr>
        <w:t>On the first resp</w:t>
      </w:r>
      <w:r w:rsidR="00157763">
        <w:rPr>
          <w:rFonts w:ascii="Arial" w:hAnsi="Arial" w:cs="Arial"/>
        </w:rPr>
        <w:t>ond</w:t>
      </w:r>
      <w:r>
        <w:rPr>
          <w:rFonts w:ascii="Arial" w:hAnsi="Arial" w:cs="Arial"/>
        </w:rPr>
        <w:t>ent’s version, they were dis</w:t>
      </w:r>
      <w:r w:rsidR="00721C6A">
        <w:rPr>
          <w:rFonts w:ascii="Arial" w:hAnsi="Arial" w:cs="Arial"/>
        </w:rPr>
        <w:t>affected when</w:t>
      </w:r>
      <w:r>
        <w:rPr>
          <w:rFonts w:ascii="Arial" w:hAnsi="Arial" w:cs="Arial"/>
        </w:rPr>
        <w:t xml:space="preserve"> </w:t>
      </w:r>
      <w:r w:rsidR="00721C6A">
        <w:rPr>
          <w:rFonts w:ascii="Arial" w:hAnsi="Arial" w:cs="Arial"/>
        </w:rPr>
        <w:t xml:space="preserve">it appeared that </w:t>
      </w:r>
      <w:r w:rsidR="00157763">
        <w:rPr>
          <w:rFonts w:ascii="Arial" w:hAnsi="Arial" w:cs="Arial"/>
        </w:rPr>
        <w:t>persons</w:t>
      </w:r>
      <w:r w:rsidR="00721C6A">
        <w:rPr>
          <w:rFonts w:ascii="Arial" w:hAnsi="Arial" w:cs="Arial"/>
        </w:rPr>
        <w:t xml:space="preserve"> </w:t>
      </w:r>
      <w:r w:rsidR="00157763">
        <w:rPr>
          <w:rFonts w:ascii="Arial" w:hAnsi="Arial" w:cs="Arial"/>
        </w:rPr>
        <w:t>from</w:t>
      </w:r>
      <w:r w:rsidR="00721C6A">
        <w:rPr>
          <w:rFonts w:ascii="Arial" w:hAnsi="Arial" w:cs="Arial"/>
        </w:rPr>
        <w:t xml:space="preserve"> </w:t>
      </w:r>
      <w:r w:rsidR="00195B3B">
        <w:rPr>
          <w:rFonts w:ascii="Arial" w:hAnsi="Arial" w:cs="Arial"/>
        </w:rPr>
        <w:t xml:space="preserve">distant areas </w:t>
      </w:r>
      <w:r w:rsidR="00721C6A">
        <w:rPr>
          <w:rFonts w:ascii="Arial" w:hAnsi="Arial" w:cs="Arial"/>
        </w:rPr>
        <w:t>were to be allocated RDP houses</w:t>
      </w:r>
      <w:r w:rsidR="00195B3B">
        <w:rPr>
          <w:rFonts w:ascii="Arial" w:hAnsi="Arial" w:cs="Arial"/>
        </w:rPr>
        <w:t xml:space="preserve">. They </w:t>
      </w:r>
      <w:r w:rsidR="00EE2C3B">
        <w:rPr>
          <w:rFonts w:ascii="Arial" w:hAnsi="Arial" w:cs="Arial"/>
        </w:rPr>
        <w:t>had understood</w:t>
      </w:r>
      <w:r w:rsidR="00721C6A">
        <w:rPr>
          <w:rFonts w:ascii="Arial" w:hAnsi="Arial" w:cs="Arial"/>
        </w:rPr>
        <w:t xml:space="preserve"> that the houses </w:t>
      </w:r>
      <w:r w:rsidR="00157763">
        <w:rPr>
          <w:rFonts w:ascii="Arial" w:hAnsi="Arial" w:cs="Arial"/>
        </w:rPr>
        <w:t>would</w:t>
      </w:r>
      <w:r w:rsidR="00721C6A">
        <w:rPr>
          <w:rFonts w:ascii="Arial" w:hAnsi="Arial" w:cs="Arial"/>
        </w:rPr>
        <w:t xml:space="preserve"> be </w:t>
      </w:r>
      <w:r w:rsidR="00157763">
        <w:rPr>
          <w:rFonts w:ascii="Arial" w:hAnsi="Arial" w:cs="Arial"/>
        </w:rPr>
        <w:t>allocated</w:t>
      </w:r>
      <w:r w:rsidR="00721C6A">
        <w:rPr>
          <w:rFonts w:ascii="Arial" w:hAnsi="Arial" w:cs="Arial"/>
        </w:rPr>
        <w:t xml:space="preserve"> to those who were living in the vicinity and </w:t>
      </w:r>
      <w:r w:rsidR="00195B3B">
        <w:rPr>
          <w:rFonts w:ascii="Arial" w:hAnsi="Arial" w:cs="Arial"/>
        </w:rPr>
        <w:t xml:space="preserve">who </w:t>
      </w:r>
      <w:r w:rsidR="00721C6A">
        <w:rPr>
          <w:rFonts w:ascii="Arial" w:hAnsi="Arial" w:cs="Arial"/>
        </w:rPr>
        <w:t xml:space="preserve">had registered </w:t>
      </w:r>
      <w:r w:rsidR="00195B3B">
        <w:rPr>
          <w:rFonts w:ascii="Arial" w:hAnsi="Arial" w:cs="Arial"/>
        </w:rPr>
        <w:t xml:space="preserve">their names for housing </w:t>
      </w:r>
      <w:r w:rsidR="00721C6A">
        <w:rPr>
          <w:rFonts w:ascii="Arial" w:hAnsi="Arial" w:cs="Arial"/>
        </w:rPr>
        <w:t xml:space="preserve">since as far back as </w:t>
      </w:r>
      <w:r w:rsidR="00EE2C3B">
        <w:rPr>
          <w:rFonts w:ascii="Arial" w:hAnsi="Arial" w:cs="Arial"/>
        </w:rPr>
        <w:t>1996.</w:t>
      </w:r>
      <w:r w:rsidR="000774C7">
        <w:rPr>
          <w:rFonts w:ascii="Arial" w:hAnsi="Arial" w:cs="Arial"/>
        </w:rPr>
        <w:t xml:space="preserve"> A group f</w:t>
      </w:r>
      <w:r w:rsidR="00721C6A">
        <w:rPr>
          <w:rFonts w:ascii="Arial" w:hAnsi="Arial" w:cs="Arial"/>
        </w:rPr>
        <w:t>r</w:t>
      </w:r>
      <w:r w:rsidR="000774C7">
        <w:rPr>
          <w:rFonts w:ascii="Arial" w:hAnsi="Arial" w:cs="Arial"/>
        </w:rPr>
        <w:t>o</w:t>
      </w:r>
      <w:r w:rsidR="00721C6A">
        <w:rPr>
          <w:rFonts w:ascii="Arial" w:hAnsi="Arial" w:cs="Arial"/>
        </w:rPr>
        <w:t xml:space="preserve">m ward 61 then planned to invade the </w:t>
      </w:r>
      <w:r w:rsidR="00157763">
        <w:rPr>
          <w:rFonts w:ascii="Arial" w:hAnsi="Arial" w:cs="Arial"/>
        </w:rPr>
        <w:t>development</w:t>
      </w:r>
      <w:r w:rsidR="00721C6A">
        <w:rPr>
          <w:rFonts w:ascii="Arial" w:hAnsi="Arial" w:cs="Arial"/>
        </w:rPr>
        <w:t xml:space="preserve"> but the leadership in the </w:t>
      </w:r>
      <w:r w:rsidR="00157763">
        <w:rPr>
          <w:rFonts w:ascii="Arial" w:hAnsi="Arial" w:cs="Arial"/>
        </w:rPr>
        <w:t>first</w:t>
      </w:r>
      <w:r w:rsidR="00721C6A">
        <w:rPr>
          <w:rFonts w:ascii="Arial" w:hAnsi="Arial" w:cs="Arial"/>
        </w:rPr>
        <w:t xml:space="preserve"> </w:t>
      </w:r>
      <w:r w:rsidR="00157763">
        <w:rPr>
          <w:rFonts w:ascii="Arial" w:hAnsi="Arial" w:cs="Arial"/>
        </w:rPr>
        <w:t>respondent</w:t>
      </w:r>
      <w:r w:rsidR="00721C6A">
        <w:rPr>
          <w:rFonts w:ascii="Arial" w:hAnsi="Arial" w:cs="Arial"/>
        </w:rPr>
        <w:t xml:space="preserve"> group sought to discourage them and </w:t>
      </w:r>
      <w:r w:rsidR="00491C20">
        <w:rPr>
          <w:rFonts w:ascii="Arial" w:hAnsi="Arial" w:cs="Arial"/>
        </w:rPr>
        <w:t xml:space="preserve">said they </w:t>
      </w:r>
      <w:r w:rsidR="00721C6A">
        <w:rPr>
          <w:rFonts w:ascii="Arial" w:hAnsi="Arial" w:cs="Arial"/>
        </w:rPr>
        <w:t>would be protecting some of</w:t>
      </w:r>
      <w:r w:rsidR="00157763">
        <w:rPr>
          <w:rFonts w:ascii="Arial" w:hAnsi="Arial" w:cs="Arial"/>
        </w:rPr>
        <w:t xml:space="preserve"> the</w:t>
      </w:r>
      <w:r w:rsidR="00721C6A">
        <w:rPr>
          <w:rFonts w:ascii="Arial" w:hAnsi="Arial" w:cs="Arial"/>
        </w:rPr>
        <w:t xml:space="preserve"> houses if th</w:t>
      </w:r>
      <w:r w:rsidR="00413836">
        <w:rPr>
          <w:rFonts w:ascii="Arial" w:hAnsi="Arial" w:cs="Arial"/>
        </w:rPr>
        <w:t xml:space="preserve">ere was an attempt to </w:t>
      </w:r>
      <w:r w:rsidR="00721C6A">
        <w:rPr>
          <w:rFonts w:ascii="Arial" w:hAnsi="Arial" w:cs="Arial"/>
        </w:rPr>
        <w:t>invade.</w:t>
      </w:r>
      <w:r w:rsidR="00195B3B" w:rsidRPr="00195B3B">
        <w:rPr>
          <w:rFonts w:ascii="Arial" w:hAnsi="Arial" w:cs="Arial"/>
        </w:rPr>
        <w:t xml:space="preserve"> </w:t>
      </w:r>
      <w:r w:rsidR="00195B3B">
        <w:rPr>
          <w:rFonts w:ascii="Arial" w:hAnsi="Arial" w:cs="Arial"/>
        </w:rPr>
        <w:t>This appears to have taken place on the night of 17 July 2019</w:t>
      </w:r>
    </w:p>
    <w:p w:rsidR="00721C6A" w:rsidRPr="00721C6A" w:rsidRDefault="00721C6A" w:rsidP="00721C6A">
      <w:pPr>
        <w:pStyle w:val="ListParagraph"/>
        <w:rPr>
          <w:rFonts w:ascii="Arial" w:hAnsi="Arial" w:cs="Arial"/>
        </w:rPr>
      </w:pPr>
    </w:p>
    <w:p w:rsidR="00195B3B" w:rsidRDefault="00721C6A" w:rsidP="00AF22DC">
      <w:pPr>
        <w:pStyle w:val="ListParagraph"/>
        <w:numPr>
          <w:ilvl w:val="0"/>
          <w:numId w:val="3"/>
        </w:numPr>
        <w:spacing w:line="360" w:lineRule="auto"/>
        <w:rPr>
          <w:rFonts w:ascii="Arial" w:hAnsi="Arial" w:cs="Arial"/>
        </w:rPr>
      </w:pPr>
      <w:r>
        <w:rPr>
          <w:rFonts w:ascii="Arial" w:hAnsi="Arial" w:cs="Arial"/>
        </w:rPr>
        <w:t>On</w:t>
      </w:r>
      <w:r w:rsidR="00491C20">
        <w:rPr>
          <w:rFonts w:ascii="Arial" w:hAnsi="Arial" w:cs="Arial"/>
        </w:rPr>
        <w:t xml:space="preserve"> </w:t>
      </w:r>
      <w:r w:rsidR="000774C7">
        <w:rPr>
          <w:rFonts w:ascii="Arial" w:hAnsi="Arial" w:cs="Arial"/>
        </w:rPr>
        <w:t>17</w:t>
      </w:r>
      <w:r>
        <w:rPr>
          <w:rFonts w:ascii="Arial" w:hAnsi="Arial" w:cs="Arial"/>
        </w:rPr>
        <w:t xml:space="preserve"> July</w:t>
      </w:r>
      <w:r w:rsidR="000774C7">
        <w:rPr>
          <w:rStyle w:val="FootnoteReference"/>
          <w:rFonts w:ascii="Arial" w:hAnsi="Arial" w:cs="Arial"/>
        </w:rPr>
        <w:footnoteReference w:id="104"/>
      </w:r>
      <w:r>
        <w:rPr>
          <w:rFonts w:ascii="Arial" w:hAnsi="Arial" w:cs="Arial"/>
        </w:rPr>
        <w:t>, being the official date of the pre</w:t>
      </w:r>
      <w:r w:rsidR="00157763">
        <w:rPr>
          <w:rFonts w:ascii="Arial" w:hAnsi="Arial" w:cs="Arial"/>
        </w:rPr>
        <w:t>-</w:t>
      </w:r>
      <w:r w:rsidR="000774C7">
        <w:rPr>
          <w:rFonts w:ascii="Arial" w:hAnsi="Arial" w:cs="Arial"/>
        </w:rPr>
        <w:t>allocation</w:t>
      </w:r>
      <w:r>
        <w:rPr>
          <w:rFonts w:ascii="Arial" w:hAnsi="Arial" w:cs="Arial"/>
        </w:rPr>
        <w:t xml:space="preserve"> of houses by the </w:t>
      </w:r>
      <w:r w:rsidR="00157763">
        <w:rPr>
          <w:rFonts w:ascii="Arial" w:hAnsi="Arial" w:cs="Arial"/>
        </w:rPr>
        <w:t>Provincial</w:t>
      </w:r>
      <w:r>
        <w:rPr>
          <w:rFonts w:ascii="Arial" w:hAnsi="Arial" w:cs="Arial"/>
        </w:rPr>
        <w:t xml:space="preserve"> Department</w:t>
      </w:r>
      <w:r w:rsidR="00491C20">
        <w:rPr>
          <w:rFonts w:ascii="Arial" w:hAnsi="Arial" w:cs="Arial"/>
        </w:rPr>
        <w:t>,</w:t>
      </w:r>
      <w:r>
        <w:rPr>
          <w:rFonts w:ascii="Arial" w:hAnsi="Arial" w:cs="Arial"/>
        </w:rPr>
        <w:t xml:space="preserve"> </w:t>
      </w:r>
      <w:r w:rsidR="00157763">
        <w:rPr>
          <w:rFonts w:ascii="Arial" w:hAnsi="Arial" w:cs="Arial"/>
        </w:rPr>
        <w:t>members</w:t>
      </w:r>
      <w:r>
        <w:rPr>
          <w:rFonts w:ascii="Arial" w:hAnsi="Arial" w:cs="Arial"/>
        </w:rPr>
        <w:t xml:space="preserve"> of the </w:t>
      </w:r>
      <w:r w:rsidR="00157763">
        <w:rPr>
          <w:rFonts w:ascii="Arial" w:hAnsi="Arial" w:cs="Arial"/>
        </w:rPr>
        <w:t>first</w:t>
      </w:r>
      <w:r>
        <w:rPr>
          <w:rFonts w:ascii="Arial" w:hAnsi="Arial" w:cs="Arial"/>
        </w:rPr>
        <w:t xml:space="preserve"> </w:t>
      </w:r>
      <w:r w:rsidR="00157763">
        <w:rPr>
          <w:rFonts w:ascii="Arial" w:hAnsi="Arial" w:cs="Arial"/>
        </w:rPr>
        <w:t>respondent</w:t>
      </w:r>
      <w:r>
        <w:rPr>
          <w:rFonts w:ascii="Arial" w:hAnsi="Arial" w:cs="Arial"/>
        </w:rPr>
        <w:t xml:space="preserve"> group sought assurances from the officials that those in the area who had been on the lists for a lengthy period would be allocated houses on the development. The officials refused to </w:t>
      </w:r>
      <w:r w:rsidR="00413836">
        <w:rPr>
          <w:rFonts w:ascii="Arial" w:hAnsi="Arial" w:cs="Arial"/>
        </w:rPr>
        <w:t>d</w:t>
      </w:r>
      <w:r w:rsidR="000774C7">
        <w:rPr>
          <w:rFonts w:ascii="Arial" w:hAnsi="Arial" w:cs="Arial"/>
        </w:rPr>
        <w:t>o so.</w:t>
      </w:r>
      <w:r>
        <w:rPr>
          <w:rFonts w:ascii="Arial" w:hAnsi="Arial" w:cs="Arial"/>
        </w:rPr>
        <w:t xml:space="preserve">  </w:t>
      </w:r>
    </w:p>
    <w:p w:rsidR="00195B3B" w:rsidRPr="00195B3B" w:rsidRDefault="00195B3B" w:rsidP="00195B3B">
      <w:pPr>
        <w:pStyle w:val="ListParagraph"/>
        <w:rPr>
          <w:rFonts w:ascii="Arial" w:hAnsi="Arial" w:cs="Arial"/>
        </w:rPr>
      </w:pPr>
    </w:p>
    <w:p w:rsidR="000774C7" w:rsidRDefault="00721C6A" w:rsidP="00AF22DC">
      <w:pPr>
        <w:pStyle w:val="ListParagraph"/>
        <w:numPr>
          <w:ilvl w:val="0"/>
          <w:numId w:val="3"/>
        </w:numPr>
        <w:spacing w:line="360" w:lineRule="auto"/>
        <w:rPr>
          <w:rFonts w:ascii="Arial" w:hAnsi="Arial" w:cs="Arial"/>
        </w:rPr>
      </w:pPr>
      <w:r>
        <w:rPr>
          <w:rFonts w:ascii="Arial" w:hAnsi="Arial" w:cs="Arial"/>
        </w:rPr>
        <w:t>Frustrated by what they conten</w:t>
      </w:r>
      <w:r w:rsidR="00413836">
        <w:rPr>
          <w:rFonts w:ascii="Arial" w:hAnsi="Arial" w:cs="Arial"/>
        </w:rPr>
        <w:t>ded was a lack of transparency</w:t>
      </w:r>
      <w:r>
        <w:rPr>
          <w:rFonts w:ascii="Arial" w:hAnsi="Arial" w:cs="Arial"/>
        </w:rPr>
        <w:t xml:space="preserve"> </w:t>
      </w:r>
      <w:r w:rsidR="00216C2C">
        <w:rPr>
          <w:rFonts w:ascii="Arial" w:hAnsi="Arial" w:cs="Arial"/>
        </w:rPr>
        <w:t xml:space="preserve">and </w:t>
      </w:r>
      <w:r w:rsidR="00157763">
        <w:rPr>
          <w:rFonts w:ascii="Arial" w:hAnsi="Arial" w:cs="Arial"/>
        </w:rPr>
        <w:t>evidence</w:t>
      </w:r>
      <w:r w:rsidR="00216C2C">
        <w:rPr>
          <w:rFonts w:ascii="Arial" w:hAnsi="Arial" w:cs="Arial"/>
        </w:rPr>
        <w:t xml:space="preserve"> of </w:t>
      </w:r>
      <w:r w:rsidR="00157763">
        <w:rPr>
          <w:rFonts w:ascii="Arial" w:hAnsi="Arial" w:cs="Arial"/>
        </w:rPr>
        <w:t>corruption</w:t>
      </w:r>
      <w:r>
        <w:rPr>
          <w:rFonts w:ascii="Arial" w:hAnsi="Arial" w:cs="Arial"/>
        </w:rPr>
        <w:t xml:space="preserve"> in the </w:t>
      </w:r>
      <w:r w:rsidR="00157763">
        <w:rPr>
          <w:rFonts w:ascii="Arial" w:hAnsi="Arial" w:cs="Arial"/>
        </w:rPr>
        <w:t>allocation</w:t>
      </w:r>
      <w:r w:rsidR="00216C2C">
        <w:rPr>
          <w:rFonts w:ascii="Arial" w:hAnsi="Arial" w:cs="Arial"/>
        </w:rPr>
        <w:t xml:space="preserve"> process</w:t>
      </w:r>
      <w:r w:rsidR="00413836">
        <w:rPr>
          <w:rFonts w:ascii="Arial" w:hAnsi="Arial" w:cs="Arial"/>
        </w:rPr>
        <w:t>,</w:t>
      </w:r>
      <w:r w:rsidR="00216C2C">
        <w:rPr>
          <w:rFonts w:ascii="Arial" w:hAnsi="Arial" w:cs="Arial"/>
        </w:rPr>
        <w:t xml:space="preserve"> some in the </w:t>
      </w:r>
      <w:r w:rsidR="00157763">
        <w:rPr>
          <w:rFonts w:ascii="Arial" w:hAnsi="Arial" w:cs="Arial"/>
        </w:rPr>
        <w:t>first</w:t>
      </w:r>
      <w:r w:rsidR="00216C2C">
        <w:rPr>
          <w:rFonts w:ascii="Arial" w:hAnsi="Arial" w:cs="Arial"/>
        </w:rPr>
        <w:t xml:space="preserve"> </w:t>
      </w:r>
      <w:r w:rsidR="00157763">
        <w:rPr>
          <w:rFonts w:ascii="Arial" w:hAnsi="Arial" w:cs="Arial"/>
        </w:rPr>
        <w:t>respondent</w:t>
      </w:r>
      <w:r w:rsidR="00216C2C">
        <w:rPr>
          <w:rFonts w:ascii="Arial" w:hAnsi="Arial" w:cs="Arial"/>
        </w:rPr>
        <w:t xml:space="preserve"> group entered the development on the night of 18 July to occupy som</w:t>
      </w:r>
      <w:r w:rsidR="001501FE">
        <w:rPr>
          <w:rFonts w:ascii="Arial" w:hAnsi="Arial" w:cs="Arial"/>
        </w:rPr>
        <w:t>e comp</w:t>
      </w:r>
      <w:r w:rsidR="000774C7">
        <w:rPr>
          <w:rFonts w:ascii="Arial" w:hAnsi="Arial" w:cs="Arial"/>
        </w:rPr>
        <w:t>l</w:t>
      </w:r>
      <w:r w:rsidR="001501FE">
        <w:rPr>
          <w:rFonts w:ascii="Arial" w:hAnsi="Arial" w:cs="Arial"/>
        </w:rPr>
        <w:t>eted and semi-completed houses</w:t>
      </w:r>
      <w:r w:rsidR="00216C2C">
        <w:rPr>
          <w:rFonts w:ascii="Arial" w:hAnsi="Arial" w:cs="Arial"/>
        </w:rPr>
        <w:t xml:space="preserve"> for the sole purpose of</w:t>
      </w:r>
      <w:r w:rsidR="000774C7">
        <w:rPr>
          <w:rFonts w:ascii="Arial" w:hAnsi="Arial" w:cs="Arial"/>
        </w:rPr>
        <w:t>;</w:t>
      </w:r>
    </w:p>
    <w:p w:rsidR="000774C7" w:rsidRPr="000774C7" w:rsidRDefault="000774C7" w:rsidP="000774C7">
      <w:pPr>
        <w:pStyle w:val="ListParagraph"/>
        <w:rPr>
          <w:rFonts w:ascii="Arial" w:hAnsi="Arial" w:cs="Arial"/>
        </w:rPr>
      </w:pPr>
    </w:p>
    <w:p w:rsidR="008412E3" w:rsidRDefault="00216C2C" w:rsidP="000774C7">
      <w:pPr>
        <w:pStyle w:val="ListParagraph"/>
        <w:spacing w:line="360" w:lineRule="auto"/>
        <w:rPr>
          <w:rFonts w:ascii="Arial" w:hAnsi="Arial" w:cs="Arial"/>
        </w:rPr>
      </w:pPr>
      <w:r>
        <w:rPr>
          <w:rFonts w:ascii="Arial" w:hAnsi="Arial" w:cs="Arial"/>
        </w:rPr>
        <w:t>“</w:t>
      </w:r>
      <w:r w:rsidRPr="001501FE">
        <w:rPr>
          <w:rFonts w:ascii="Arial" w:hAnsi="Arial" w:cs="Arial"/>
          <w:i/>
        </w:rPr>
        <w:t xml:space="preserve">ensuring that the houses were protected </w:t>
      </w:r>
      <w:r w:rsidR="001501FE">
        <w:rPr>
          <w:rFonts w:ascii="Arial" w:hAnsi="Arial" w:cs="Arial"/>
          <w:i/>
        </w:rPr>
        <w:t xml:space="preserve">and that the applicant and the </w:t>
      </w:r>
      <w:r w:rsidR="00157763">
        <w:rPr>
          <w:rFonts w:ascii="Arial" w:hAnsi="Arial" w:cs="Arial"/>
          <w:i/>
        </w:rPr>
        <w:t>Provincial</w:t>
      </w:r>
      <w:r w:rsidR="001501FE">
        <w:rPr>
          <w:rFonts w:ascii="Arial" w:hAnsi="Arial" w:cs="Arial"/>
          <w:i/>
        </w:rPr>
        <w:t xml:space="preserve"> Department did not proceed to allocate the RDP houses in circumstances where there was a live dispute as to the allocation process and the lack of </w:t>
      </w:r>
      <w:r w:rsidR="00157763">
        <w:rPr>
          <w:rFonts w:ascii="Arial" w:hAnsi="Arial" w:cs="Arial"/>
          <w:i/>
        </w:rPr>
        <w:t>transparency</w:t>
      </w:r>
      <w:r w:rsidR="001501FE">
        <w:rPr>
          <w:rFonts w:ascii="Arial" w:hAnsi="Arial" w:cs="Arial"/>
          <w:i/>
        </w:rPr>
        <w:t xml:space="preserve">”. </w:t>
      </w:r>
      <w:r w:rsidR="001501FE">
        <w:rPr>
          <w:rStyle w:val="FootnoteReference"/>
          <w:rFonts w:ascii="Arial" w:hAnsi="Arial" w:cs="Arial"/>
          <w:i/>
        </w:rPr>
        <w:footnoteReference w:id="105"/>
      </w:r>
      <w:r w:rsidR="00721C6A">
        <w:rPr>
          <w:rFonts w:ascii="Arial" w:hAnsi="Arial" w:cs="Arial"/>
        </w:rPr>
        <w:t xml:space="preserve">  </w:t>
      </w:r>
      <w:r w:rsidR="00534C28">
        <w:rPr>
          <w:rFonts w:ascii="Arial" w:hAnsi="Arial" w:cs="Arial"/>
        </w:rPr>
        <w:t xml:space="preserve">  </w:t>
      </w:r>
    </w:p>
    <w:p w:rsidR="00125AC4" w:rsidRDefault="00125AC4" w:rsidP="00125AC4">
      <w:pPr>
        <w:pStyle w:val="ListParagraph"/>
        <w:spacing w:line="360" w:lineRule="auto"/>
        <w:ind w:left="360"/>
        <w:rPr>
          <w:rFonts w:ascii="Arial" w:hAnsi="Arial" w:cs="Arial"/>
        </w:rPr>
      </w:pPr>
    </w:p>
    <w:p w:rsidR="00195B3B" w:rsidRPr="00195B3B" w:rsidRDefault="00125AC4" w:rsidP="000774C7">
      <w:pPr>
        <w:pStyle w:val="ListParagraph"/>
        <w:numPr>
          <w:ilvl w:val="0"/>
          <w:numId w:val="3"/>
        </w:numPr>
        <w:spacing w:line="360" w:lineRule="auto"/>
        <w:rPr>
          <w:rFonts w:ascii="Arial" w:hAnsi="Arial" w:cs="Arial"/>
          <w:i/>
        </w:rPr>
      </w:pPr>
      <w:r>
        <w:rPr>
          <w:rFonts w:ascii="Arial" w:hAnsi="Arial" w:cs="Arial"/>
        </w:rPr>
        <w:t>They claim that only “</w:t>
      </w:r>
      <w:r w:rsidRPr="000774C7">
        <w:rPr>
          <w:rFonts w:ascii="Arial" w:hAnsi="Arial" w:cs="Arial"/>
          <w:i/>
        </w:rPr>
        <w:t xml:space="preserve">on or about 20 </w:t>
      </w:r>
      <w:r w:rsidR="00157763" w:rsidRPr="000774C7">
        <w:rPr>
          <w:rFonts w:ascii="Arial" w:hAnsi="Arial" w:cs="Arial"/>
          <w:i/>
        </w:rPr>
        <w:t>July</w:t>
      </w:r>
      <w:r w:rsidR="000774C7">
        <w:rPr>
          <w:rFonts w:ascii="Arial" w:hAnsi="Arial" w:cs="Arial"/>
        </w:rPr>
        <w:t>”</w:t>
      </w:r>
      <w:r w:rsidR="00413836">
        <w:rPr>
          <w:rFonts w:ascii="Arial" w:hAnsi="Arial" w:cs="Arial"/>
        </w:rPr>
        <w:t xml:space="preserve"> and</w:t>
      </w:r>
      <w:r w:rsidR="00157763">
        <w:rPr>
          <w:rFonts w:ascii="Arial" w:hAnsi="Arial" w:cs="Arial"/>
        </w:rPr>
        <w:t xml:space="preserve"> after</w:t>
      </w:r>
      <w:r>
        <w:rPr>
          <w:rFonts w:ascii="Arial" w:hAnsi="Arial" w:cs="Arial"/>
        </w:rPr>
        <w:t xml:space="preserve"> partial occupation had </w:t>
      </w:r>
      <w:r w:rsidR="00EE2C3B">
        <w:rPr>
          <w:rFonts w:ascii="Arial" w:hAnsi="Arial" w:cs="Arial"/>
        </w:rPr>
        <w:t>occurred, the</w:t>
      </w:r>
      <w:r>
        <w:rPr>
          <w:rFonts w:ascii="Arial" w:hAnsi="Arial" w:cs="Arial"/>
        </w:rPr>
        <w:t xml:space="preserve"> </w:t>
      </w:r>
      <w:r w:rsidR="00157763">
        <w:rPr>
          <w:rFonts w:ascii="Arial" w:hAnsi="Arial" w:cs="Arial"/>
        </w:rPr>
        <w:t>Metro’s</w:t>
      </w:r>
      <w:r w:rsidR="00413836">
        <w:rPr>
          <w:rFonts w:ascii="Arial" w:hAnsi="Arial" w:cs="Arial"/>
        </w:rPr>
        <w:t xml:space="preserve"> Hum</w:t>
      </w:r>
      <w:r>
        <w:rPr>
          <w:rFonts w:ascii="Arial" w:hAnsi="Arial" w:cs="Arial"/>
        </w:rPr>
        <w:t xml:space="preserve">an </w:t>
      </w:r>
      <w:r w:rsidR="00413836">
        <w:rPr>
          <w:rFonts w:ascii="Arial" w:hAnsi="Arial" w:cs="Arial"/>
        </w:rPr>
        <w:t>S</w:t>
      </w:r>
      <w:r w:rsidR="00157763">
        <w:rPr>
          <w:rFonts w:ascii="Arial" w:hAnsi="Arial" w:cs="Arial"/>
        </w:rPr>
        <w:t>ettlement MMC</w:t>
      </w:r>
      <w:r>
        <w:rPr>
          <w:rFonts w:ascii="Arial" w:hAnsi="Arial" w:cs="Arial"/>
        </w:rPr>
        <w:t xml:space="preserve"> came on the si</w:t>
      </w:r>
      <w:r w:rsidR="00157763">
        <w:rPr>
          <w:rFonts w:ascii="Arial" w:hAnsi="Arial" w:cs="Arial"/>
        </w:rPr>
        <w:t>t</w:t>
      </w:r>
      <w:r>
        <w:rPr>
          <w:rFonts w:ascii="Arial" w:hAnsi="Arial" w:cs="Arial"/>
        </w:rPr>
        <w:t xml:space="preserve">e and asked about the reasons for occupation. </w:t>
      </w:r>
      <w:r w:rsidR="00195B3B">
        <w:rPr>
          <w:rFonts w:ascii="Arial" w:hAnsi="Arial" w:cs="Arial"/>
        </w:rPr>
        <w:t xml:space="preserve">In other words only one full day had elapsed since some of the first respondent group claim to have entered the development.  </w:t>
      </w:r>
    </w:p>
    <w:p w:rsidR="00195B3B" w:rsidRDefault="00195B3B" w:rsidP="00195B3B">
      <w:pPr>
        <w:pStyle w:val="ListParagraph"/>
        <w:spacing w:line="360" w:lineRule="auto"/>
        <w:ind w:left="360"/>
        <w:rPr>
          <w:rFonts w:ascii="Arial" w:hAnsi="Arial" w:cs="Arial"/>
        </w:rPr>
      </w:pPr>
    </w:p>
    <w:p w:rsidR="00125AC4" w:rsidRDefault="00195B3B" w:rsidP="00195B3B">
      <w:pPr>
        <w:pStyle w:val="ListParagraph"/>
        <w:spacing w:line="360" w:lineRule="auto"/>
        <w:ind w:left="360"/>
        <w:rPr>
          <w:rFonts w:ascii="Arial" w:hAnsi="Arial" w:cs="Arial"/>
          <w:i/>
        </w:rPr>
      </w:pPr>
      <w:r>
        <w:rPr>
          <w:rFonts w:ascii="Arial" w:hAnsi="Arial" w:cs="Arial"/>
        </w:rPr>
        <w:lastRenderedPageBreak/>
        <w:t xml:space="preserve">In answer to the MMC, they </w:t>
      </w:r>
      <w:r w:rsidR="00125AC4">
        <w:rPr>
          <w:rFonts w:ascii="Arial" w:hAnsi="Arial" w:cs="Arial"/>
        </w:rPr>
        <w:t xml:space="preserve">replied that they had been  ignored  as “ </w:t>
      </w:r>
      <w:r w:rsidR="00125AC4" w:rsidRPr="00125AC4">
        <w:rPr>
          <w:rFonts w:ascii="Arial" w:hAnsi="Arial" w:cs="Arial"/>
          <w:i/>
        </w:rPr>
        <w:t>shack backroom dwellers and also stated that the applicant was not transparent on the allocation of houses since there was corrupt behaviour</w:t>
      </w:r>
      <w:r w:rsidR="00125AC4" w:rsidRPr="00125AC4">
        <w:rPr>
          <w:rFonts w:ascii="Arial" w:hAnsi="Arial" w:cs="Arial"/>
        </w:rPr>
        <w:t xml:space="preserve"> </w:t>
      </w:r>
      <w:r w:rsidR="00125AC4">
        <w:rPr>
          <w:rFonts w:ascii="Arial" w:hAnsi="Arial" w:cs="Arial"/>
        </w:rPr>
        <w:t xml:space="preserve"> </w:t>
      </w:r>
      <w:r>
        <w:rPr>
          <w:rFonts w:ascii="Arial" w:hAnsi="Arial" w:cs="Arial"/>
        </w:rPr>
        <w:t>(</w:t>
      </w:r>
      <w:r w:rsidR="00125AC4">
        <w:rPr>
          <w:rFonts w:ascii="Arial" w:hAnsi="Arial" w:cs="Arial"/>
        </w:rPr>
        <w:t>by its officials and</w:t>
      </w:r>
      <w:r>
        <w:rPr>
          <w:rFonts w:ascii="Arial" w:hAnsi="Arial" w:cs="Arial"/>
        </w:rPr>
        <w:t>)</w:t>
      </w:r>
      <w:r w:rsidR="00125AC4">
        <w:rPr>
          <w:rFonts w:ascii="Arial" w:hAnsi="Arial" w:cs="Arial"/>
        </w:rPr>
        <w:t xml:space="preserve"> </w:t>
      </w:r>
      <w:r w:rsidR="00125AC4" w:rsidRPr="00125AC4">
        <w:rPr>
          <w:rFonts w:ascii="Arial" w:hAnsi="Arial" w:cs="Arial"/>
          <w:i/>
        </w:rPr>
        <w:t xml:space="preserve">that the applicant has failed to allocate and /or assure the </w:t>
      </w:r>
      <w:r w:rsidR="00157763" w:rsidRPr="00125AC4">
        <w:rPr>
          <w:rFonts w:ascii="Arial" w:hAnsi="Arial" w:cs="Arial"/>
          <w:i/>
        </w:rPr>
        <w:t>first</w:t>
      </w:r>
      <w:r w:rsidR="00125AC4" w:rsidRPr="00125AC4">
        <w:rPr>
          <w:rFonts w:ascii="Arial" w:hAnsi="Arial" w:cs="Arial"/>
          <w:i/>
        </w:rPr>
        <w:t xml:space="preserve"> respondent who are on the waiting list.”</w:t>
      </w:r>
      <w:r w:rsidR="00125AC4">
        <w:rPr>
          <w:rStyle w:val="FootnoteReference"/>
          <w:rFonts w:ascii="Arial" w:hAnsi="Arial" w:cs="Arial"/>
          <w:i/>
        </w:rPr>
        <w:footnoteReference w:id="106"/>
      </w:r>
    </w:p>
    <w:p w:rsidR="00125AC4" w:rsidRDefault="00125AC4" w:rsidP="00125AC4">
      <w:pPr>
        <w:pStyle w:val="ListParagraph"/>
        <w:spacing w:line="360" w:lineRule="auto"/>
        <w:ind w:left="360"/>
        <w:rPr>
          <w:rFonts w:ascii="Arial" w:hAnsi="Arial" w:cs="Arial"/>
          <w:i/>
        </w:rPr>
      </w:pPr>
    </w:p>
    <w:p w:rsidR="00125AC4" w:rsidRDefault="00125AC4" w:rsidP="00125AC4">
      <w:pPr>
        <w:pStyle w:val="ListParagraph"/>
        <w:spacing w:line="360" w:lineRule="auto"/>
        <w:ind w:left="360"/>
        <w:rPr>
          <w:rFonts w:ascii="Arial" w:hAnsi="Arial" w:cs="Arial"/>
        </w:rPr>
      </w:pPr>
      <w:r>
        <w:rPr>
          <w:rFonts w:ascii="Arial" w:hAnsi="Arial" w:cs="Arial"/>
        </w:rPr>
        <w:t xml:space="preserve">I continue to quote from the answering affidavit </w:t>
      </w:r>
      <w:r>
        <w:rPr>
          <w:rFonts w:ascii="Arial" w:hAnsi="Arial" w:cs="Arial"/>
          <w:i/>
        </w:rPr>
        <w:t>(at paras 40 to 4</w:t>
      </w:r>
      <w:r w:rsidR="00154776">
        <w:rPr>
          <w:rFonts w:ascii="Arial" w:hAnsi="Arial" w:cs="Arial"/>
          <w:i/>
        </w:rPr>
        <w:t>1</w:t>
      </w:r>
      <w:r>
        <w:rPr>
          <w:rFonts w:ascii="Arial" w:hAnsi="Arial" w:cs="Arial"/>
          <w:i/>
        </w:rPr>
        <w:t>)</w:t>
      </w:r>
      <w:r>
        <w:rPr>
          <w:rFonts w:ascii="Arial" w:hAnsi="Arial" w:cs="Arial"/>
        </w:rPr>
        <w:t>:</w:t>
      </w:r>
    </w:p>
    <w:p w:rsidR="00125AC4" w:rsidRDefault="00125AC4" w:rsidP="00125AC4">
      <w:pPr>
        <w:pStyle w:val="ListParagraph"/>
        <w:spacing w:line="360" w:lineRule="auto"/>
        <w:ind w:left="360"/>
        <w:rPr>
          <w:rFonts w:ascii="Arial" w:hAnsi="Arial" w:cs="Arial"/>
        </w:rPr>
      </w:pPr>
    </w:p>
    <w:p w:rsidR="00125AC4" w:rsidRPr="00195B3B" w:rsidRDefault="00157763" w:rsidP="000774C7">
      <w:pPr>
        <w:pStyle w:val="ListParagraph"/>
        <w:spacing w:line="360" w:lineRule="auto"/>
        <w:rPr>
          <w:rFonts w:ascii="Arial" w:hAnsi="Arial" w:cs="Arial"/>
          <w:i/>
        </w:rPr>
      </w:pPr>
      <w:r>
        <w:rPr>
          <w:rFonts w:ascii="Arial" w:hAnsi="Arial" w:cs="Arial"/>
        </w:rPr>
        <w:t>“Mr</w:t>
      </w:r>
      <w:r w:rsidR="00125AC4" w:rsidRPr="00125AC4">
        <w:rPr>
          <w:rFonts w:ascii="Arial" w:hAnsi="Arial" w:cs="Arial"/>
          <w:i/>
        </w:rPr>
        <w:t xml:space="preserve"> Mpya </w:t>
      </w:r>
      <w:r w:rsidR="00125AC4" w:rsidRPr="000774C7">
        <w:rPr>
          <w:rFonts w:ascii="Arial" w:hAnsi="Arial" w:cs="Arial"/>
        </w:rPr>
        <w:t>(the MMC)</w:t>
      </w:r>
      <w:r w:rsidR="00125AC4" w:rsidRPr="00125AC4">
        <w:rPr>
          <w:rFonts w:ascii="Arial" w:hAnsi="Arial" w:cs="Arial"/>
          <w:i/>
        </w:rPr>
        <w:t xml:space="preserve"> indicated that </w:t>
      </w:r>
      <w:r w:rsidR="00125AC4" w:rsidRPr="00195B3B">
        <w:rPr>
          <w:rFonts w:ascii="Arial" w:hAnsi="Arial" w:cs="Arial"/>
          <w:i/>
        </w:rPr>
        <w:t xml:space="preserve">the applicant will </w:t>
      </w:r>
      <w:r w:rsidRPr="00195B3B">
        <w:rPr>
          <w:rFonts w:ascii="Arial" w:hAnsi="Arial" w:cs="Arial"/>
          <w:i/>
        </w:rPr>
        <w:t>not</w:t>
      </w:r>
      <w:r w:rsidR="00125AC4" w:rsidRPr="00195B3B">
        <w:rPr>
          <w:rFonts w:ascii="Arial" w:hAnsi="Arial" w:cs="Arial"/>
          <w:i/>
        </w:rPr>
        <w:t xml:space="preserve"> tolerate the invasion and that in consequence the applicant will make sure that the first respondent is removed from the houses</w:t>
      </w:r>
    </w:p>
    <w:p w:rsidR="008412E3" w:rsidRPr="00125AC4" w:rsidRDefault="008412E3" w:rsidP="008412E3">
      <w:pPr>
        <w:pStyle w:val="ListParagraph"/>
        <w:rPr>
          <w:rFonts w:ascii="Arial" w:hAnsi="Arial" w:cs="Arial"/>
          <w:i/>
        </w:rPr>
      </w:pPr>
    </w:p>
    <w:p w:rsidR="001A44BA" w:rsidRDefault="00125AC4" w:rsidP="00413836">
      <w:pPr>
        <w:pStyle w:val="ListParagraph"/>
        <w:spacing w:line="360" w:lineRule="auto"/>
        <w:ind w:firstLine="70"/>
        <w:rPr>
          <w:rFonts w:ascii="Arial" w:hAnsi="Arial" w:cs="Arial"/>
          <w:i/>
        </w:rPr>
      </w:pPr>
      <w:r>
        <w:rPr>
          <w:rFonts w:ascii="Arial" w:hAnsi="Arial" w:cs="Arial"/>
          <w:i/>
        </w:rPr>
        <w:t xml:space="preserve">On or about 23 July the first respondent heard rumours that the applicant intended </w:t>
      </w:r>
      <w:r w:rsidR="00154776">
        <w:rPr>
          <w:rFonts w:ascii="Arial" w:hAnsi="Arial" w:cs="Arial"/>
          <w:i/>
        </w:rPr>
        <w:t xml:space="preserve">to ambush them on 24 July at 3:00 am. The purpose of the ambush was to evict them.” </w:t>
      </w:r>
      <w:r w:rsidR="00154776">
        <w:rPr>
          <w:rStyle w:val="FootnoteReference"/>
          <w:rFonts w:ascii="Arial" w:hAnsi="Arial" w:cs="Arial"/>
          <w:i/>
        </w:rPr>
        <w:footnoteReference w:id="107"/>
      </w:r>
      <w:r>
        <w:rPr>
          <w:rFonts w:ascii="Arial" w:hAnsi="Arial" w:cs="Arial"/>
          <w:i/>
        </w:rPr>
        <w:t xml:space="preserve"> </w:t>
      </w:r>
    </w:p>
    <w:p w:rsidR="00154776" w:rsidRDefault="00154776" w:rsidP="008412E3">
      <w:pPr>
        <w:pStyle w:val="ListParagraph"/>
        <w:spacing w:line="360" w:lineRule="auto"/>
        <w:ind w:left="360"/>
        <w:rPr>
          <w:rFonts w:ascii="Arial" w:hAnsi="Arial" w:cs="Arial"/>
          <w:i/>
        </w:rPr>
      </w:pPr>
    </w:p>
    <w:p w:rsidR="00154776" w:rsidRPr="00413836" w:rsidRDefault="00154776" w:rsidP="00195B3B">
      <w:pPr>
        <w:pStyle w:val="ListParagraph"/>
        <w:numPr>
          <w:ilvl w:val="0"/>
          <w:numId w:val="3"/>
        </w:numPr>
        <w:spacing w:line="360" w:lineRule="auto"/>
        <w:rPr>
          <w:rFonts w:ascii="Arial" w:hAnsi="Arial" w:cs="Arial"/>
        </w:rPr>
      </w:pPr>
      <w:r w:rsidRPr="00413836">
        <w:rPr>
          <w:rFonts w:ascii="Arial" w:hAnsi="Arial" w:cs="Arial"/>
        </w:rPr>
        <w:t>The first respondent allege</w:t>
      </w:r>
      <w:r w:rsidR="00413836" w:rsidRPr="00413836">
        <w:rPr>
          <w:rFonts w:ascii="Arial" w:hAnsi="Arial" w:cs="Arial"/>
        </w:rPr>
        <w:t xml:space="preserve">s that </w:t>
      </w:r>
      <w:r w:rsidR="000774C7" w:rsidRPr="00413836">
        <w:rPr>
          <w:rFonts w:ascii="Arial" w:hAnsi="Arial" w:cs="Arial"/>
        </w:rPr>
        <w:t>EMPD’s</w:t>
      </w:r>
      <w:r w:rsidRPr="00413836">
        <w:rPr>
          <w:rFonts w:ascii="Arial" w:hAnsi="Arial" w:cs="Arial"/>
        </w:rPr>
        <w:t xml:space="preserve"> </w:t>
      </w:r>
      <w:r w:rsidR="00157763" w:rsidRPr="00413836">
        <w:rPr>
          <w:rFonts w:ascii="Arial" w:hAnsi="Arial" w:cs="Arial"/>
        </w:rPr>
        <w:t xml:space="preserve">vehicles </w:t>
      </w:r>
      <w:r w:rsidR="00195B3B">
        <w:rPr>
          <w:rFonts w:ascii="Arial" w:hAnsi="Arial" w:cs="Arial"/>
        </w:rPr>
        <w:t xml:space="preserve">started to </w:t>
      </w:r>
      <w:r w:rsidRPr="00413836">
        <w:rPr>
          <w:rFonts w:ascii="Arial" w:hAnsi="Arial" w:cs="Arial"/>
        </w:rPr>
        <w:t xml:space="preserve">surround the RDP </w:t>
      </w:r>
      <w:r w:rsidR="00157763" w:rsidRPr="00413836">
        <w:rPr>
          <w:rFonts w:ascii="Arial" w:hAnsi="Arial" w:cs="Arial"/>
        </w:rPr>
        <w:t>development</w:t>
      </w:r>
      <w:r w:rsidRPr="00413836">
        <w:rPr>
          <w:rFonts w:ascii="Arial" w:hAnsi="Arial" w:cs="Arial"/>
        </w:rPr>
        <w:t xml:space="preserve"> at about 04h00 </w:t>
      </w:r>
      <w:r w:rsidR="00195B3B">
        <w:rPr>
          <w:rFonts w:ascii="Arial" w:hAnsi="Arial" w:cs="Arial"/>
        </w:rPr>
        <w:t>on 24 July.</w:t>
      </w:r>
    </w:p>
    <w:p w:rsidR="000774C7" w:rsidRDefault="000774C7" w:rsidP="000774C7">
      <w:pPr>
        <w:spacing w:line="360" w:lineRule="auto"/>
        <w:rPr>
          <w:rFonts w:ascii="Arial" w:hAnsi="Arial" w:cs="Arial"/>
        </w:rPr>
      </w:pPr>
    </w:p>
    <w:p w:rsidR="00154776" w:rsidRDefault="00154776" w:rsidP="00413836">
      <w:pPr>
        <w:spacing w:line="360" w:lineRule="auto"/>
        <w:ind w:left="360"/>
        <w:rPr>
          <w:rFonts w:ascii="Arial" w:hAnsi="Arial" w:cs="Arial"/>
        </w:rPr>
      </w:pPr>
      <w:r>
        <w:rPr>
          <w:rFonts w:ascii="Arial" w:hAnsi="Arial" w:cs="Arial"/>
        </w:rPr>
        <w:t>The informal leadership of the first respondent group the</w:t>
      </w:r>
      <w:r w:rsidR="000774C7">
        <w:rPr>
          <w:rFonts w:ascii="Arial" w:hAnsi="Arial" w:cs="Arial"/>
        </w:rPr>
        <w:t xml:space="preserve">n approached the EMPD and </w:t>
      </w:r>
      <w:r>
        <w:rPr>
          <w:rFonts w:ascii="Arial" w:hAnsi="Arial" w:cs="Arial"/>
        </w:rPr>
        <w:t>asked w</w:t>
      </w:r>
      <w:r w:rsidR="00413836">
        <w:rPr>
          <w:rFonts w:ascii="Arial" w:hAnsi="Arial" w:cs="Arial"/>
        </w:rPr>
        <w:t>hat w</w:t>
      </w:r>
      <w:r>
        <w:rPr>
          <w:rFonts w:ascii="Arial" w:hAnsi="Arial" w:cs="Arial"/>
        </w:rPr>
        <w:t>as happening</w:t>
      </w:r>
      <w:r w:rsidR="00413836">
        <w:rPr>
          <w:rFonts w:ascii="Arial" w:hAnsi="Arial" w:cs="Arial"/>
        </w:rPr>
        <w:t>,</w:t>
      </w:r>
      <w:r>
        <w:rPr>
          <w:rFonts w:ascii="Arial" w:hAnsi="Arial" w:cs="Arial"/>
        </w:rPr>
        <w:t xml:space="preserve"> and in particular if the</w:t>
      </w:r>
      <w:r w:rsidR="00195B3B">
        <w:rPr>
          <w:rFonts w:ascii="Arial" w:hAnsi="Arial" w:cs="Arial"/>
        </w:rPr>
        <w:t xml:space="preserve">y had any eviction order or </w:t>
      </w:r>
      <w:r>
        <w:rPr>
          <w:rFonts w:ascii="Arial" w:hAnsi="Arial" w:cs="Arial"/>
        </w:rPr>
        <w:t xml:space="preserve">court </w:t>
      </w:r>
      <w:r w:rsidR="00157763">
        <w:rPr>
          <w:rFonts w:ascii="Arial" w:hAnsi="Arial" w:cs="Arial"/>
        </w:rPr>
        <w:t>documents</w:t>
      </w:r>
      <w:r>
        <w:rPr>
          <w:rFonts w:ascii="Arial" w:hAnsi="Arial" w:cs="Arial"/>
        </w:rPr>
        <w:t xml:space="preserve">. The officer said that they were waiting for their commander </w:t>
      </w:r>
      <w:r w:rsidR="00157763">
        <w:rPr>
          <w:rFonts w:ascii="Arial" w:hAnsi="Arial" w:cs="Arial"/>
        </w:rPr>
        <w:t>but</w:t>
      </w:r>
      <w:r>
        <w:rPr>
          <w:rFonts w:ascii="Arial" w:hAnsi="Arial" w:cs="Arial"/>
        </w:rPr>
        <w:t xml:space="preserve"> produced no court order.</w:t>
      </w:r>
    </w:p>
    <w:p w:rsidR="00154776" w:rsidRDefault="00413836" w:rsidP="00154776">
      <w:pPr>
        <w:spacing w:line="360" w:lineRule="auto"/>
        <w:ind w:firstLine="360"/>
        <w:rPr>
          <w:rFonts w:ascii="Arial" w:hAnsi="Arial" w:cs="Arial"/>
        </w:rPr>
      </w:pPr>
      <w:r>
        <w:rPr>
          <w:rFonts w:ascii="Arial" w:hAnsi="Arial" w:cs="Arial"/>
        </w:rPr>
        <w:tab/>
      </w:r>
    </w:p>
    <w:p w:rsidR="00154776" w:rsidRDefault="00154776" w:rsidP="00413836">
      <w:pPr>
        <w:spacing w:line="360" w:lineRule="auto"/>
        <w:ind w:left="360"/>
        <w:rPr>
          <w:rFonts w:ascii="Arial" w:hAnsi="Arial" w:cs="Arial"/>
        </w:rPr>
      </w:pPr>
      <w:r>
        <w:rPr>
          <w:rFonts w:ascii="Arial" w:hAnsi="Arial" w:cs="Arial"/>
        </w:rPr>
        <w:t>At about 09:00 the “</w:t>
      </w:r>
      <w:r w:rsidRPr="000774C7">
        <w:rPr>
          <w:rFonts w:ascii="Arial" w:hAnsi="Arial" w:cs="Arial"/>
          <w:i/>
        </w:rPr>
        <w:t>anti-invasion unit</w:t>
      </w:r>
      <w:r w:rsidR="000774C7">
        <w:rPr>
          <w:rFonts w:ascii="Arial" w:hAnsi="Arial" w:cs="Arial"/>
        </w:rPr>
        <w:t xml:space="preserve">” </w:t>
      </w:r>
      <w:r>
        <w:rPr>
          <w:rFonts w:ascii="Arial" w:hAnsi="Arial" w:cs="Arial"/>
        </w:rPr>
        <w:t xml:space="preserve">of the Metro </w:t>
      </w:r>
      <w:r w:rsidR="00157763">
        <w:rPr>
          <w:rFonts w:ascii="Arial" w:hAnsi="Arial" w:cs="Arial"/>
        </w:rPr>
        <w:t>arrived</w:t>
      </w:r>
      <w:r>
        <w:rPr>
          <w:rFonts w:ascii="Arial" w:hAnsi="Arial" w:cs="Arial"/>
        </w:rPr>
        <w:t xml:space="preserve"> and surrounded the RDP houses. Those of the first respondent group who were present (and not identified) then gathered around </w:t>
      </w:r>
      <w:r w:rsidR="00FA06D2">
        <w:rPr>
          <w:rFonts w:ascii="Arial" w:hAnsi="Arial" w:cs="Arial"/>
        </w:rPr>
        <w:t xml:space="preserve">to hear the police. </w:t>
      </w:r>
      <w:r>
        <w:rPr>
          <w:rFonts w:ascii="Arial" w:hAnsi="Arial" w:cs="Arial"/>
        </w:rPr>
        <w:t>A</w:t>
      </w:r>
      <w:r w:rsidR="00413836">
        <w:rPr>
          <w:rFonts w:ascii="Arial" w:hAnsi="Arial" w:cs="Arial"/>
        </w:rPr>
        <w:t xml:space="preserve">n officer </w:t>
      </w:r>
      <w:r>
        <w:rPr>
          <w:rFonts w:ascii="Arial" w:hAnsi="Arial" w:cs="Arial"/>
        </w:rPr>
        <w:t xml:space="preserve">started addressing them </w:t>
      </w:r>
      <w:r w:rsidR="00FA06D2">
        <w:rPr>
          <w:rFonts w:ascii="Arial" w:hAnsi="Arial" w:cs="Arial"/>
        </w:rPr>
        <w:t xml:space="preserve">through the loud hailer and then gave them to the count of two to disperse failing which rubber bullets would be fired. It is </w:t>
      </w:r>
      <w:r w:rsidR="00157763">
        <w:rPr>
          <w:rFonts w:ascii="Arial" w:hAnsi="Arial" w:cs="Arial"/>
        </w:rPr>
        <w:t>evident that despite being addressed</w:t>
      </w:r>
      <w:r w:rsidR="00FA06D2">
        <w:rPr>
          <w:rFonts w:ascii="Arial" w:hAnsi="Arial" w:cs="Arial"/>
        </w:rPr>
        <w:t xml:space="preserve">, </w:t>
      </w:r>
      <w:r w:rsidR="00157763">
        <w:rPr>
          <w:rFonts w:ascii="Arial" w:hAnsi="Arial" w:cs="Arial"/>
        </w:rPr>
        <w:t>n</w:t>
      </w:r>
      <w:r w:rsidR="00FA06D2">
        <w:rPr>
          <w:rFonts w:ascii="Arial" w:hAnsi="Arial" w:cs="Arial"/>
        </w:rPr>
        <w:t xml:space="preserve">ot dispersing and then being given to the count of two to then do so they </w:t>
      </w:r>
      <w:r w:rsidR="00195B3B">
        <w:rPr>
          <w:rFonts w:ascii="Arial" w:hAnsi="Arial" w:cs="Arial"/>
        </w:rPr>
        <w:t xml:space="preserve">still </w:t>
      </w:r>
      <w:r w:rsidR="00FA06D2">
        <w:rPr>
          <w:rFonts w:ascii="Arial" w:hAnsi="Arial" w:cs="Arial"/>
        </w:rPr>
        <w:t xml:space="preserve">did not. Rubber bullets were fired and the group dispersed. It is claimed by the first </w:t>
      </w:r>
      <w:r w:rsidR="00157763">
        <w:rPr>
          <w:rFonts w:ascii="Arial" w:hAnsi="Arial" w:cs="Arial"/>
        </w:rPr>
        <w:t>respondent</w:t>
      </w:r>
      <w:r w:rsidR="00FA06D2">
        <w:rPr>
          <w:rFonts w:ascii="Arial" w:hAnsi="Arial" w:cs="Arial"/>
        </w:rPr>
        <w:t xml:space="preserve"> group that one of </w:t>
      </w:r>
      <w:r w:rsidR="00157763">
        <w:rPr>
          <w:rFonts w:ascii="Arial" w:hAnsi="Arial" w:cs="Arial"/>
        </w:rPr>
        <w:t>them</w:t>
      </w:r>
      <w:r w:rsidR="00FA06D2">
        <w:rPr>
          <w:rFonts w:ascii="Arial" w:hAnsi="Arial" w:cs="Arial"/>
        </w:rPr>
        <w:t xml:space="preserve"> was </w:t>
      </w:r>
      <w:r w:rsidR="000774C7">
        <w:rPr>
          <w:rFonts w:ascii="Arial" w:hAnsi="Arial" w:cs="Arial"/>
        </w:rPr>
        <w:t xml:space="preserve">seriously </w:t>
      </w:r>
      <w:r w:rsidR="00FA06D2">
        <w:rPr>
          <w:rFonts w:ascii="Arial" w:hAnsi="Arial" w:cs="Arial"/>
        </w:rPr>
        <w:t xml:space="preserve">injured by a rubber </w:t>
      </w:r>
      <w:r w:rsidR="00FA06D2">
        <w:rPr>
          <w:rFonts w:ascii="Arial" w:hAnsi="Arial" w:cs="Arial"/>
        </w:rPr>
        <w:lastRenderedPageBreak/>
        <w:t xml:space="preserve">bullet, but despite the denial on the part of the Metro, no extrinsic evidence was produced. </w:t>
      </w:r>
      <w:r>
        <w:rPr>
          <w:rFonts w:ascii="Arial" w:hAnsi="Arial" w:cs="Arial"/>
        </w:rPr>
        <w:t xml:space="preserve"> </w:t>
      </w:r>
    </w:p>
    <w:p w:rsidR="00FA06D2" w:rsidRDefault="00FA06D2" w:rsidP="00154776">
      <w:pPr>
        <w:spacing w:line="360" w:lineRule="auto"/>
        <w:ind w:firstLine="360"/>
        <w:rPr>
          <w:rFonts w:ascii="Arial" w:hAnsi="Arial" w:cs="Arial"/>
        </w:rPr>
      </w:pPr>
    </w:p>
    <w:p w:rsidR="00FA06D2" w:rsidRDefault="000774C7" w:rsidP="00413836">
      <w:pPr>
        <w:spacing w:line="360" w:lineRule="auto"/>
        <w:ind w:left="360"/>
        <w:rPr>
          <w:rFonts w:ascii="Arial" w:hAnsi="Arial" w:cs="Arial"/>
        </w:rPr>
      </w:pPr>
      <w:r>
        <w:rPr>
          <w:rFonts w:ascii="Arial" w:hAnsi="Arial" w:cs="Arial"/>
        </w:rPr>
        <w:t xml:space="preserve">The first respondent group </w:t>
      </w:r>
      <w:r w:rsidR="00FA06D2">
        <w:rPr>
          <w:rFonts w:ascii="Arial" w:hAnsi="Arial" w:cs="Arial"/>
        </w:rPr>
        <w:t>claim</w:t>
      </w:r>
      <w:r>
        <w:rPr>
          <w:rFonts w:ascii="Arial" w:hAnsi="Arial" w:cs="Arial"/>
        </w:rPr>
        <w:t>ed</w:t>
      </w:r>
      <w:r w:rsidR="00FA06D2">
        <w:rPr>
          <w:rFonts w:ascii="Arial" w:hAnsi="Arial" w:cs="Arial"/>
        </w:rPr>
        <w:t xml:space="preserve"> that</w:t>
      </w:r>
      <w:r w:rsidR="00195B3B">
        <w:rPr>
          <w:rFonts w:ascii="Arial" w:hAnsi="Arial" w:cs="Arial"/>
        </w:rPr>
        <w:t xml:space="preserve"> they had </w:t>
      </w:r>
      <w:r w:rsidR="00FA06D2">
        <w:rPr>
          <w:rFonts w:ascii="Arial" w:hAnsi="Arial" w:cs="Arial"/>
        </w:rPr>
        <w:t xml:space="preserve">left </w:t>
      </w:r>
      <w:r>
        <w:rPr>
          <w:rFonts w:ascii="Arial" w:hAnsi="Arial" w:cs="Arial"/>
        </w:rPr>
        <w:t xml:space="preserve">behind </w:t>
      </w:r>
      <w:r w:rsidR="00FA06D2">
        <w:rPr>
          <w:rFonts w:ascii="Arial" w:hAnsi="Arial" w:cs="Arial"/>
        </w:rPr>
        <w:t xml:space="preserve"> furniture, groceries, and gas stoves including beds</w:t>
      </w:r>
      <w:r>
        <w:rPr>
          <w:rFonts w:ascii="Arial" w:hAnsi="Arial" w:cs="Arial"/>
        </w:rPr>
        <w:t>,</w:t>
      </w:r>
      <w:r w:rsidR="00FA06D2">
        <w:rPr>
          <w:rFonts w:ascii="Arial" w:hAnsi="Arial" w:cs="Arial"/>
        </w:rPr>
        <w:t xml:space="preserve"> blankets and other valuable </w:t>
      </w:r>
      <w:r>
        <w:rPr>
          <w:rFonts w:ascii="Arial" w:hAnsi="Arial" w:cs="Arial"/>
        </w:rPr>
        <w:t>items</w:t>
      </w:r>
      <w:r w:rsidR="00157763">
        <w:rPr>
          <w:rFonts w:ascii="Arial" w:hAnsi="Arial" w:cs="Arial"/>
        </w:rPr>
        <w:t xml:space="preserve"> belonging</w:t>
      </w:r>
      <w:r w:rsidR="00FA06D2">
        <w:rPr>
          <w:rFonts w:ascii="Arial" w:hAnsi="Arial" w:cs="Arial"/>
        </w:rPr>
        <w:t xml:space="preserve"> to some of the members </w:t>
      </w:r>
      <w:r>
        <w:rPr>
          <w:rFonts w:ascii="Arial" w:hAnsi="Arial" w:cs="Arial"/>
        </w:rPr>
        <w:t>who had used them in the RDP houses</w:t>
      </w:r>
      <w:r w:rsidR="00FA06D2">
        <w:rPr>
          <w:rFonts w:ascii="Arial" w:hAnsi="Arial" w:cs="Arial"/>
        </w:rPr>
        <w:t>.</w:t>
      </w:r>
      <w:r w:rsidR="00FA06D2">
        <w:rPr>
          <w:rStyle w:val="FootnoteReference"/>
          <w:rFonts w:ascii="Arial" w:hAnsi="Arial" w:cs="Arial"/>
        </w:rPr>
        <w:footnoteReference w:id="108"/>
      </w:r>
      <w:r w:rsidR="00FA06D2">
        <w:rPr>
          <w:rFonts w:ascii="Arial" w:hAnsi="Arial" w:cs="Arial"/>
        </w:rPr>
        <w:t xml:space="preserve">  </w:t>
      </w:r>
    </w:p>
    <w:p w:rsidR="00413836" w:rsidRDefault="00413836" w:rsidP="00413836">
      <w:pPr>
        <w:spacing w:line="360" w:lineRule="auto"/>
        <w:rPr>
          <w:rFonts w:ascii="Arial" w:hAnsi="Arial" w:cs="Arial"/>
        </w:rPr>
      </w:pPr>
      <w:r>
        <w:rPr>
          <w:rFonts w:ascii="Arial" w:hAnsi="Arial" w:cs="Arial"/>
        </w:rPr>
        <w:t xml:space="preserve"> </w:t>
      </w:r>
    </w:p>
    <w:p w:rsidR="00413836" w:rsidRPr="00413836" w:rsidRDefault="00413836" w:rsidP="00413836">
      <w:pPr>
        <w:spacing w:line="360" w:lineRule="auto"/>
        <w:rPr>
          <w:rFonts w:ascii="Arial" w:hAnsi="Arial" w:cs="Arial"/>
          <w:b/>
        </w:rPr>
      </w:pPr>
      <w:r w:rsidRPr="00413836">
        <w:rPr>
          <w:rFonts w:ascii="Arial" w:hAnsi="Arial" w:cs="Arial"/>
          <w:b/>
        </w:rPr>
        <w:t>Factual finding</w:t>
      </w:r>
    </w:p>
    <w:p w:rsidR="008412E3" w:rsidRPr="008412E3" w:rsidRDefault="008412E3" w:rsidP="008412E3">
      <w:pPr>
        <w:pStyle w:val="ListParagraph"/>
        <w:rPr>
          <w:rFonts w:ascii="Arial" w:hAnsi="Arial" w:cs="Arial"/>
        </w:rPr>
      </w:pPr>
    </w:p>
    <w:p w:rsidR="00413836" w:rsidRDefault="00413836" w:rsidP="00413836">
      <w:pPr>
        <w:pStyle w:val="ListParagraph"/>
        <w:numPr>
          <w:ilvl w:val="0"/>
          <w:numId w:val="3"/>
        </w:numPr>
        <w:spacing w:line="360" w:lineRule="auto"/>
        <w:rPr>
          <w:rFonts w:ascii="Arial" w:hAnsi="Arial" w:cs="Arial"/>
        </w:rPr>
      </w:pPr>
      <w:r>
        <w:rPr>
          <w:rFonts w:ascii="Arial" w:hAnsi="Arial" w:cs="Arial"/>
        </w:rPr>
        <w:t xml:space="preserve">None of those who were attempting to occupy the development could have been under any misapprehension that Metro officials were bent on not allowing entry onto the land and would take steps to resist such attempts. </w:t>
      </w:r>
    </w:p>
    <w:p w:rsidR="00413836" w:rsidRPr="00413836" w:rsidRDefault="00413836" w:rsidP="00413836">
      <w:pPr>
        <w:pStyle w:val="ListParagraph"/>
        <w:rPr>
          <w:rFonts w:ascii="Arial" w:hAnsi="Arial" w:cs="Arial"/>
        </w:rPr>
      </w:pPr>
    </w:p>
    <w:p w:rsidR="00413836" w:rsidRDefault="00413836" w:rsidP="00413836">
      <w:pPr>
        <w:pStyle w:val="ListParagraph"/>
        <w:spacing w:line="360" w:lineRule="auto"/>
        <w:ind w:left="360"/>
        <w:rPr>
          <w:rFonts w:ascii="Arial" w:hAnsi="Arial" w:cs="Arial"/>
        </w:rPr>
      </w:pPr>
      <w:r>
        <w:rPr>
          <w:rFonts w:ascii="Arial" w:hAnsi="Arial" w:cs="Arial"/>
        </w:rPr>
        <w:t xml:space="preserve">Already on 17 July, the day before they sought to take possession of RDP houses, it was evident to the first respondent </w:t>
      </w:r>
      <w:r w:rsidR="00EE2C3B">
        <w:rPr>
          <w:rFonts w:ascii="Arial" w:hAnsi="Arial" w:cs="Arial"/>
        </w:rPr>
        <w:t>group that</w:t>
      </w:r>
      <w:r>
        <w:rPr>
          <w:rFonts w:ascii="Arial" w:hAnsi="Arial" w:cs="Arial"/>
        </w:rPr>
        <w:t xml:space="preserve"> the Metro would resist attempts to frustrate the allocation of RDP houses in the development to anyone other than those on the lists and that listening to their grievances did not diminish such resolve</w:t>
      </w:r>
      <w:r w:rsidR="00195B3B">
        <w:rPr>
          <w:rFonts w:ascii="Arial" w:hAnsi="Arial" w:cs="Arial"/>
        </w:rPr>
        <w:t>.</w:t>
      </w:r>
      <w:r>
        <w:rPr>
          <w:rFonts w:ascii="Arial" w:hAnsi="Arial" w:cs="Arial"/>
        </w:rPr>
        <w:t xml:space="preserve"> </w:t>
      </w:r>
    </w:p>
    <w:p w:rsidR="00413836" w:rsidRDefault="00413836" w:rsidP="00413836">
      <w:pPr>
        <w:pStyle w:val="ListParagraph"/>
        <w:spacing w:line="360" w:lineRule="auto"/>
        <w:ind w:left="360"/>
        <w:rPr>
          <w:rFonts w:ascii="Arial" w:hAnsi="Arial" w:cs="Arial"/>
        </w:rPr>
      </w:pPr>
    </w:p>
    <w:p w:rsidR="00413836" w:rsidRDefault="00413836" w:rsidP="00413836">
      <w:pPr>
        <w:pStyle w:val="ListParagraph"/>
        <w:spacing w:line="360" w:lineRule="auto"/>
        <w:ind w:left="360"/>
        <w:rPr>
          <w:rFonts w:ascii="Arial" w:hAnsi="Arial" w:cs="Arial"/>
        </w:rPr>
      </w:pPr>
      <w:r>
        <w:rPr>
          <w:rFonts w:ascii="Arial" w:hAnsi="Arial" w:cs="Arial"/>
        </w:rPr>
        <w:t xml:space="preserve">This was the commencement of the non-physical </w:t>
      </w:r>
      <w:r w:rsidR="00EE2C3B">
        <w:rPr>
          <w:rFonts w:ascii="Arial" w:hAnsi="Arial" w:cs="Arial"/>
        </w:rPr>
        <w:t>resistance to</w:t>
      </w:r>
      <w:r>
        <w:rPr>
          <w:rFonts w:ascii="Arial" w:hAnsi="Arial" w:cs="Arial"/>
        </w:rPr>
        <w:t xml:space="preserve"> claims by those </w:t>
      </w:r>
      <w:r w:rsidR="00195B3B">
        <w:rPr>
          <w:rFonts w:ascii="Arial" w:hAnsi="Arial" w:cs="Arial"/>
        </w:rPr>
        <w:t>in the first re</w:t>
      </w:r>
      <w:r>
        <w:rPr>
          <w:rFonts w:ascii="Arial" w:hAnsi="Arial" w:cs="Arial"/>
        </w:rPr>
        <w:t>s</w:t>
      </w:r>
      <w:r w:rsidR="00195B3B">
        <w:rPr>
          <w:rFonts w:ascii="Arial" w:hAnsi="Arial" w:cs="Arial"/>
        </w:rPr>
        <w:t>p</w:t>
      </w:r>
      <w:r>
        <w:rPr>
          <w:rFonts w:ascii="Arial" w:hAnsi="Arial" w:cs="Arial"/>
        </w:rPr>
        <w:t>ond</w:t>
      </w:r>
      <w:r w:rsidR="00195B3B">
        <w:rPr>
          <w:rFonts w:ascii="Arial" w:hAnsi="Arial" w:cs="Arial"/>
        </w:rPr>
        <w:t>ent</w:t>
      </w:r>
      <w:r>
        <w:rPr>
          <w:rFonts w:ascii="Arial" w:hAnsi="Arial" w:cs="Arial"/>
        </w:rPr>
        <w:t xml:space="preserve"> group who considered that they were entitled to take the houses. It is also evident that by marking RDP houses with </w:t>
      </w:r>
      <w:r w:rsidR="00195B3B">
        <w:rPr>
          <w:rFonts w:ascii="Arial" w:hAnsi="Arial" w:cs="Arial"/>
        </w:rPr>
        <w:t>a</w:t>
      </w:r>
      <w:r>
        <w:rPr>
          <w:rFonts w:ascii="Arial" w:hAnsi="Arial" w:cs="Arial"/>
        </w:rPr>
        <w:t xml:space="preserve"> name and not by reference to a number indicates the precarious nature of any alleged possession. It is unlikely to have been peaceful and undisturbed if it still required the allocation of a name to the house rather than a number. </w:t>
      </w:r>
    </w:p>
    <w:p w:rsidR="00413836" w:rsidRDefault="00413836" w:rsidP="00413836">
      <w:pPr>
        <w:pStyle w:val="ListParagraph"/>
        <w:spacing w:line="360" w:lineRule="auto"/>
        <w:ind w:left="360"/>
        <w:rPr>
          <w:rFonts w:ascii="Arial" w:hAnsi="Arial" w:cs="Arial"/>
        </w:rPr>
      </w:pPr>
    </w:p>
    <w:p w:rsidR="00195B3B" w:rsidRDefault="00413836" w:rsidP="00611AF8">
      <w:pPr>
        <w:pStyle w:val="ListParagraph"/>
        <w:numPr>
          <w:ilvl w:val="0"/>
          <w:numId w:val="3"/>
        </w:numPr>
        <w:spacing w:line="360" w:lineRule="auto"/>
        <w:rPr>
          <w:rFonts w:ascii="Arial" w:hAnsi="Arial" w:cs="Arial"/>
        </w:rPr>
      </w:pPr>
      <w:r>
        <w:rPr>
          <w:rFonts w:ascii="Arial" w:hAnsi="Arial" w:cs="Arial"/>
        </w:rPr>
        <w:t>On the facts I am satisfied that</w:t>
      </w:r>
      <w:r w:rsidR="00611AF8">
        <w:rPr>
          <w:rFonts w:ascii="Arial" w:hAnsi="Arial" w:cs="Arial"/>
        </w:rPr>
        <w:t xml:space="preserve"> on 17 July the Metro engaged with the representatives of the first respondent and there is no suggestion that the Metro could then have anticipated a land invasion</w:t>
      </w:r>
      <w:r w:rsidR="00195B3B">
        <w:rPr>
          <w:rFonts w:ascii="Arial" w:hAnsi="Arial" w:cs="Arial"/>
        </w:rPr>
        <w:t>. I</w:t>
      </w:r>
      <w:r>
        <w:rPr>
          <w:rFonts w:ascii="Arial" w:hAnsi="Arial" w:cs="Arial"/>
        </w:rPr>
        <w:t xml:space="preserve">mmediately representatives of the Metro became aware of the incursions onto the development they </w:t>
      </w:r>
      <w:r w:rsidR="00611AF8">
        <w:rPr>
          <w:rFonts w:ascii="Arial" w:hAnsi="Arial" w:cs="Arial"/>
        </w:rPr>
        <w:t xml:space="preserve">then </w:t>
      </w:r>
      <w:r>
        <w:rPr>
          <w:rFonts w:ascii="Arial" w:hAnsi="Arial" w:cs="Arial"/>
        </w:rPr>
        <w:t>approach</w:t>
      </w:r>
      <w:r w:rsidR="00195B3B">
        <w:rPr>
          <w:rFonts w:ascii="Arial" w:hAnsi="Arial" w:cs="Arial"/>
        </w:rPr>
        <w:t>ed</w:t>
      </w:r>
      <w:r>
        <w:rPr>
          <w:rFonts w:ascii="Arial" w:hAnsi="Arial" w:cs="Arial"/>
        </w:rPr>
        <w:t xml:space="preserve"> those responsible and engage</w:t>
      </w:r>
      <w:r w:rsidR="00195B3B">
        <w:rPr>
          <w:rFonts w:ascii="Arial" w:hAnsi="Arial" w:cs="Arial"/>
        </w:rPr>
        <w:t>d</w:t>
      </w:r>
      <w:r>
        <w:rPr>
          <w:rFonts w:ascii="Arial" w:hAnsi="Arial" w:cs="Arial"/>
        </w:rPr>
        <w:t xml:space="preserve"> them to desist. </w:t>
      </w:r>
    </w:p>
    <w:p w:rsidR="00195B3B" w:rsidRDefault="00195B3B" w:rsidP="00195B3B">
      <w:pPr>
        <w:pStyle w:val="ListParagraph"/>
        <w:spacing w:line="360" w:lineRule="auto"/>
        <w:ind w:left="360"/>
        <w:rPr>
          <w:rFonts w:ascii="Arial" w:hAnsi="Arial" w:cs="Arial"/>
        </w:rPr>
      </w:pPr>
    </w:p>
    <w:p w:rsidR="00413836" w:rsidRDefault="00413836" w:rsidP="00195B3B">
      <w:pPr>
        <w:pStyle w:val="ListParagraph"/>
        <w:spacing w:line="360" w:lineRule="auto"/>
        <w:ind w:left="360"/>
        <w:rPr>
          <w:rFonts w:ascii="Arial" w:hAnsi="Arial" w:cs="Arial"/>
        </w:rPr>
      </w:pPr>
      <w:r>
        <w:rPr>
          <w:rFonts w:ascii="Arial" w:hAnsi="Arial" w:cs="Arial"/>
        </w:rPr>
        <w:t xml:space="preserve">The number of land invaders escalated and the Metro then took two significant </w:t>
      </w:r>
      <w:r>
        <w:rPr>
          <w:rFonts w:ascii="Arial" w:hAnsi="Arial" w:cs="Arial"/>
        </w:rPr>
        <w:lastRenderedPageBreak/>
        <w:t xml:space="preserve">steps. The one was to prepare papers and launch the urgent application. The other was </w:t>
      </w:r>
      <w:r w:rsidR="00611AF8">
        <w:rPr>
          <w:rFonts w:ascii="Arial" w:hAnsi="Arial" w:cs="Arial"/>
        </w:rPr>
        <w:t>in the meanwhile to</w:t>
      </w:r>
      <w:r w:rsidR="00611AF8" w:rsidRPr="00611AF8">
        <w:t xml:space="preserve"> </w:t>
      </w:r>
      <w:r>
        <w:rPr>
          <w:rFonts w:ascii="Arial" w:hAnsi="Arial" w:cs="Arial"/>
        </w:rPr>
        <w:t>remove those persons who were attempting to establish a foothold.</w:t>
      </w:r>
    </w:p>
    <w:p w:rsidR="00413836" w:rsidRDefault="00413836" w:rsidP="00413836">
      <w:pPr>
        <w:pStyle w:val="ListParagraph"/>
        <w:spacing w:line="360" w:lineRule="auto"/>
        <w:ind w:left="360"/>
        <w:rPr>
          <w:rFonts w:ascii="Arial" w:hAnsi="Arial" w:cs="Arial"/>
        </w:rPr>
      </w:pPr>
    </w:p>
    <w:p w:rsidR="008412E3" w:rsidRDefault="00157763" w:rsidP="00AF22DC">
      <w:pPr>
        <w:pStyle w:val="ListParagraph"/>
        <w:numPr>
          <w:ilvl w:val="0"/>
          <w:numId w:val="3"/>
        </w:numPr>
        <w:spacing w:line="360" w:lineRule="auto"/>
        <w:rPr>
          <w:rFonts w:ascii="Arial" w:hAnsi="Arial" w:cs="Arial"/>
        </w:rPr>
      </w:pPr>
      <w:r>
        <w:rPr>
          <w:rFonts w:ascii="Arial" w:hAnsi="Arial" w:cs="Arial"/>
        </w:rPr>
        <w:t>Furthermore</w:t>
      </w:r>
      <w:r w:rsidR="000774C7">
        <w:rPr>
          <w:rFonts w:ascii="Arial" w:hAnsi="Arial" w:cs="Arial"/>
        </w:rPr>
        <w:t xml:space="preserve">, </w:t>
      </w:r>
      <w:r w:rsidR="008412E3">
        <w:rPr>
          <w:rFonts w:ascii="Arial" w:hAnsi="Arial" w:cs="Arial"/>
        </w:rPr>
        <w:t>the first respondent group claim</w:t>
      </w:r>
      <w:r w:rsidR="000774C7">
        <w:rPr>
          <w:rFonts w:ascii="Arial" w:hAnsi="Arial" w:cs="Arial"/>
        </w:rPr>
        <w:t>ed</w:t>
      </w:r>
      <w:r w:rsidR="008412E3">
        <w:rPr>
          <w:rFonts w:ascii="Arial" w:hAnsi="Arial" w:cs="Arial"/>
        </w:rPr>
        <w:t xml:space="preserve"> that </w:t>
      </w:r>
      <w:r w:rsidR="00611AF8">
        <w:rPr>
          <w:rFonts w:ascii="Arial" w:hAnsi="Arial" w:cs="Arial"/>
        </w:rPr>
        <w:t xml:space="preserve">some of them (who </w:t>
      </w:r>
      <w:r w:rsidR="00195B3B">
        <w:rPr>
          <w:rFonts w:ascii="Arial" w:hAnsi="Arial" w:cs="Arial"/>
        </w:rPr>
        <w:t xml:space="preserve">save for one or two are </w:t>
      </w:r>
      <w:r w:rsidR="00611AF8">
        <w:rPr>
          <w:rFonts w:ascii="Arial" w:hAnsi="Arial" w:cs="Arial"/>
        </w:rPr>
        <w:t xml:space="preserve">not specifically identified) took </w:t>
      </w:r>
      <w:r w:rsidR="008412E3">
        <w:rPr>
          <w:rFonts w:ascii="Arial" w:hAnsi="Arial" w:cs="Arial"/>
        </w:rPr>
        <w:t>possess</w:t>
      </w:r>
      <w:r w:rsidR="00611AF8">
        <w:rPr>
          <w:rFonts w:ascii="Arial" w:hAnsi="Arial" w:cs="Arial"/>
        </w:rPr>
        <w:t>ion</w:t>
      </w:r>
      <w:r w:rsidR="008412E3">
        <w:rPr>
          <w:rFonts w:ascii="Arial" w:hAnsi="Arial" w:cs="Arial"/>
        </w:rPr>
        <w:t xml:space="preserve">, not </w:t>
      </w:r>
      <w:r w:rsidR="00611AF8">
        <w:rPr>
          <w:rFonts w:ascii="Arial" w:hAnsi="Arial" w:cs="Arial"/>
        </w:rPr>
        <w:t xml:space="preserve">to keep </w:t>
      </w:r>
      <w:r w:rsidR="00195B3B">
        <w:rPr>
          <w:rFonts w:ascii="Arial" w:hAnsi="Arial" w:cs="Arial"/>
        </w:rPr>
        <w:t xml:space="preserve">a site </w:t>
      </w:r>
      <w:r w:rsidR="00611AF8">
        <w:rPr>
          <w:rFonts w:ascii="Arial" w:hAnsi="Arial" w:cs="Arial"/>
        </w:rPr>
        <w:t>for themselves but in order to protect it for</w:t>
      </w:r>
      <w:r w:rsidR="008412E3">
        <w:rPr>
          <w:rFonts w:ascii="Arial" w:hAnsi="Arial" w:cs="Arial"/>
        </w:rPr>
        <w:t xml:space="preserve"> the category of persons lawfully entitled to RDP houses</w:t>
      </w:r>
      <w:r w:rsidR="00611AF8">
        <w:rPr>
          <w:rFonts w:ascii="Arial" w:hAnsi="Arial" w:cs="Arial"/>
        </w:rPr>
        <w:t>.</w:t>
      </w:r>
    </w:p>
    <w:p w:rsidR="008412E3" w:rsidRDefault="008412E3" w:rsidP="008412E3">
      <w:pPr>
        <w:pStyle w:val="ListParagraph"/>
        <w:spacing w:line="360" w:lineRule="auto"/>
        <w:ind w:left="360"/>
        <w:rPr>
          <w:rFonts w:ascii="Arial" w:hAnsi="Arial" w:cs="Arial"/>
        </w:rPr>
      </w:pPr>
    </w:p>
    <w:p w:rsidR="008412E3" w:rsidRDefault="00413836" w:rsidP="008412E3">
      <w:pPr>
        <w:pStyle w:val="ListParagraph"/>
        <w:spacing w:line="360" w:lineRule="auto"/>
        <w:ind w:left="360"/>
        <w:rPr>
          <w:rFonts w:ascii="Arial" w:hAnsi="Arial" w:cs="Arial"/>
        </w:rPr>
      </w:pPr>
      <w:r>
        <w:rPr>
          <w:rFonts w:ascii="Arial" w:hAnsi="Arial" w:cs="Arial"/>
        </w:rPr>
        <w:t xml:space="preserve">Accordingly, even if </w:t>
      </w:r>
      <w:r w:rsidR="00157763">
        <w:rPr>
          <w:rFonts w:ascii="Arial" w:hAnsi="Arial" w:cs="Arial"/>
        </w:rPr>
        <w:t xml:space="preserve">they were in </w:t>
      </w:r>
      <w:r w:rsidR="008412E3">
        <w:rPr>
          <w:rFonts w:ascii="Arial" w:hAnsi="Arial" w:cs="Arial"/>
        </w:rPr>
        <w:t xml:space="preserve">peaceful </w:t>
      </w:r>
      <w:r w:rsidR="00157763">
        <w:rPr>
          <w:rFonts w:ascii="Arial" w:hAnsi="Arial" w:cs="Arial"/>
        </w:rPr>
        <w:t xml:space="preserve">and undisturbed </w:t>
      </w:r>
      <w:r>
        <w:rPr>
          <w:rFonts w:ascii="Arial" w:hAnsi="Arial" w:cs="Arial"/>
        </w:rPr>
        <w:t>possession</w:t>
      </w:r>
      <w:r w:rsidR="00611AF8">
        <w:rPr>
          <w:rFonts w:ascii="Arial" w:hAnsi="Arial" w:cs="Arial"/>
        </w:rPr>
        <w:t xml:space="preserve"> which is disputed by the Metro</w:t>
      </w:r>
      <w:r>
        <w:rPr>
          <w:rFonts w:ascii="Arial" w:hAnsi="Arial" w:cs="Arial"/>
        </w:rPr>
        <w:t>,</w:t>
      </w:r>
      <w:r w:rsidR="008412E3">
        <w:rPr>
          <w:rFonts w:ascii="Arial" w:hAnsi="Arial" w:cs="Arial"/>
        </w:rPr>
        <w:t xml:space="preserve"> their intention to possess factually (since that is the enquiry) amounts </w:t>
      </w:r>
      <w:r w:rsidR="00157763">
        <w:rPr>
          <w:rFonts w:ascii="Arial" w:hAnsi="Arial" w:cs="Arial"/>
        </w:rPr>
        <w:t>to no</w:t>
      </w:r>
      <w:r w:rsidR="008412E3">
        <w:rPr>
          <w:rFonts w:ascii="Arial" w:hAnsi="Arial" w:cs="Arial"/>
        </w:rPr>
        <w:t xml:space="preserve"> more than securing control for the benefit of a category of p</w:t>
      </w:r>
      <w:r w:rsidR="00157763">
        <w:rPr>
          <w:rFonts w:ascii="Arial" w:hAnsi="Arial" w:cs="Arial"/>
        </w:rPr>
        <w:t>e</w:t>
      </w:r>
      <w:r w:rsidR="008412E3">
        <w:rPr>
          <w:rFonts w:ascii="Arial" w:hAnsi="Arial" w:cs="Arial"/>
        </w:rPr>
        <w:t>r</w:t>
      </w:r>
      <w:r w:rsidR="00157763">
        <w:rPr>
          <w:rFonts w:ascii="Arial" w:hAnsi="Arial" w:cs="Arial"/>
        </w:rPr>
        <w:t>s</w:t>
      </w:r>
      <w:r w:rsidR="008412E3">
        <w:rPr>
          <w:rFonts w:ascii="Arial" w:hAnsi="Arial" w:cs="Arial"/>
        </w:rPr>
        <w:t xml:space="preserve">ons irrespective of whether or not they personally were beneficiaries. They therefore did not seek to possess with the </w:t>
      </w:r>
      <w:r w:rsidR="008412E3" w:rsidRPr="000774C7">
        <w:rPr>
          <w:rFonts w:ascii="Arial" w:hAnsi="Arial" w:cs="Arial"/>
          <w:i/>
        </w:rPr>
        <w:t>animus possidendi</w:t>
      </w:r>
      <w:r w:rsidR="008412E3">
        <w:rPr>
          <w:rFonts w:ascii="Arial" w:hAnsi="Arial" w:cs="Arial"/>
        </w:rPr>
        <w:t xml:space="preserve"> required for natural possession.  </w:t>
      </w:r>
    </w:p>
    <w:p w:rsidR="001501FE" w:rsidRDefault="001501FE" w:rsidP="008412E3">
      <w:pPr>
        <w:pStyle w:val="ListParagraph"/>
        <w:spacing w:line="360" w:lineRule="auto"/>
        <w:ind w:left="360"/>
        <w:rPr>
          <w:rFonts w:ascii="Arial" w:hAnsi="Arial" w:cs="Arial"/>
        </w:rPr>
      </w:pPr>
    </w:p>
    <w:p w:rsidR="001501FE" w:rsidRDefault="001501FE" w:rsidP="00AF22DC">
      <w:pPr>
        <w:pStyle w:val="ListParagraph"/>
        <w:numPr>
          <w:ilvl w:val="0"/>
          <w:numId w:val="3"/>
        </w:numPr>
        <w:spacing w:line="360" w:lineRule="auto"/>
        <w:rPr>
          <w:rFonts w:ascii="Arial" w:hAnsi="Arial" w:cs="Arial"/>
        </w:rPr>
      </w:pPr>
      <w:r>
        <w:rPr>
          <w:rFonts w:ascii="Arial" w:hAnsi="Arial" w:cs="Arial"/>
        </w:rPr>
        <w:t xml:space="preserve">It is unnecessary to decide </w:t>
      </w:r>
      <w:r w:rsidR="00157763">
        <w:rPr>
          <w:rFonts w:ascii="Arial" w:hAnsi="Arial" w:cs="Arial"/>
        </w:rPr>
        <w:t>whether</w:t>
      </w:r>
      <w:r>
        <w:rPr>
          <w:rFonts w:ascii="Arial" w:hAnsi="Arial" w:cs="Arial"/>
        </w:rPr>
        <w:t xml:space="preserve"> the first </w:t>
      </w:r>
      <w:r w:rsidR="00157763">
        <w:rPr>
          <w:rFonts w:ascii="Arial" w:hAnsi="Arial" w:cs="Arial"/>
        </w:rPr>
        <w:t>respondent</w:t>
      </w:r>
      <w:r>
        <w:rPr>
          <w:rFonts w:ascii="Arial" w:hAnsi="Arial" w:cs="Arial"/>
        </w:rPr>
        <w:t xml:space="preserve"> group may have had </w:t>
      </w:r>
      <w:r w:rsidR="000774C7">
        <w:rPr>
          <w:rFonts w:ascii="Arial" w:hAnsi="Arial" w:cs="Arial"/>
        </w:rPr>
        <w:t xml:space="preserve">another </w:t>
      </w:r>
      <w:r w:rsidR="00157763">
        <w:rPr>
          <w:rFonts w:ascii="Arial" w:hAnsi="Arial" w:cs="Arial"/>
        </w:rPr>
        <w:t>form</w:t>
      </w:r>
      <w:r>
        <w:rPr>
          <w:rFonts w:ascii="Arial" w:hAnsi="Arial" w:cs="Arial"/>
        </w:rPr>
        <w:t xml:space="preserve"> of relief open to th</w:t>
      </w:r>
      <w:r w:rsidR="000774C7">
        <w:rPr>
          <w:rFonts w:ascii="Arial" w:hAnsi="Arial" w:cs="Arial"/>
        </w:rPr>
        <w:t>em.</w:t>
      </w:r>
      <w:r>
        <w:rPr>
          <w:rFonts w:ascii="Arial" w:hAnsi="Arial" w:cs="Arial"/>
        </w:rPr>
        <w:t xml:space="preserve"> Their case was framed </w:t>
      </w:r>
      <w:r w:rsidR="000774C7">
        <w:rPr>
          <w:rFonts w:ascii="Arial" w:hAnsi="Arial" w:cs="Arial"/>
        </w:rPr>
        <w:t xml:space="preserve">on the basis of PIE (which has been dealt with earlier) and the mandament; no other ground was raised or </w:t>
      </w:r>
      <w:r>
        <w:rPr>
          <w:rFonts w:ascii="Arial" w:hAnsi="Arial" w:cs="Arial"/>
        </w:rPr>
        <w:t xml:space="preserve">pursued.  </w:t>
      </w:r>
    </w:p>
    <w:p w:rsidR="00413836" w:rsidRDefault="00413836" w:rsidP="00413836">
      <w:pPr>
        <w:pStyle w:val="ListParagraph"/>
        <w:spacing w:line="360" w:lineRule="auto"/>
        <w:ind w:left="360"/>
        <w:rPr>
          <w:rFonts w:ascii="Arial" w:hAnsi="Arial" w:cs="Arial"/>
        </w:rPr>
      </w:pPr>
    </w:p>
    <w:p w:rsidR="00413836" w:rsidRDefault="00413836" w:rsidP="00413836">
      <w:pPr>
        <w:pStyle w:val="ListParagraph"/>
        <w:numPr>
          <w:ilvl w:val="0"/>
          <w:numId w:val="3"/>
        </w:numPr>
        <w:spacing w:line="360" w:lineRule="auto"/>
        <w:rPr>
          <w:rFonts w:ascii="Arial" w:hAnsi="Arial" w:cs="Arial"/>
        </w:rPr>
      </w:pPr>
      <w:r>
        <w:rPr>
          <w:rFonts w:ascii="Arial" w:hAnsi="Arial" w:cs="Arial"/>
        </w:rPr>
        <w:t xml:space="preserve">In the premises, and accepting the first respondent’s allegations for present purposes, albeit that they bear the burden in respect of the counter-application for a mandament van spolie, the first respondent group neither had gained peaceful and undisturbed possession nor was such possession with the required </w:t>
      </w:r>
      <w:r w:rsidRPr="00413836">
        <w:rPr>
          <w:rFonts w:ascii="Arial" w:hAnsi="Arial" w:cs="Arial"/>
          <w:i/>
        </w:rPr>
        <w:t>animus possedendi</w:t>
      </w:r>
      <w:r>
        <w:rPr>
          <w:rFonts w:ascii="Arial" w:hAnsi="Arial" w:cs="Arial"/>
        </w:rPr>
        <w:t xml:space="preserve">. </w:t>
      </w:r>
    </w:p>
    <w:p w:rsidR="00413836" w:rsidRPr="00413836" w:rsidRDefault="00413836" w:rsidP="00413836">
      <w:pPr>
        <w:pStyle w:val="ListParagraph"/>
        <w:rPr>
          <w:rFonts w:ascii="Arial" w:hAnsi="Arial" w:cs="Arial"/>
        </w:rPr>
      </w:pPr>
    </w:p>
    <w:p w:rsidR="00413836" w:rsidRPr="00611AF8" w:rsidRDefault="00413836" w:rsidP="00611AF8">
      <w:pPr>
        <w:pStyle w:val="ListParagraph"/>
        <w:spacing w:line="360" w:lineRule="auto"/>
        <w:ind w:left="360"/>
        <w:rPr>
          <w:rFonts w:ascii="Arial" w:hAnsi="Arial" w:cs="Arial"/>
        </w:rPr>
      </w:pPr>
      <w:r>
        <w:rPr>
          <w:rFonts w:ascii="Arial" w:hAnsi="Arial" w:cs="Arial"/>
        </w:rPr>
        <w:t xml:space="preserve">It was therefore lawful for the Metro to counter-spoliate and consequently unnecessary to have actually served a court order on all or any of those who either came on the land on the night of 18 July or at the time the counter-spoliation was in progress on 24 July even though a court order was obtained that morning.  </w:t>
      </w:r>
    </w:p>
    <w:p w:rsidR="004E4D50" w:rsidRDefault="004E4D50" w:rsidP="007926C7">
      <w:pPr>
        <w:spacing w:line="360" w:lineRule="auto"/>
        <w:rPr>
          <w:rFonts w:ascii="Arial" w:hAnsi="Arial" w:cs="Arial"/>
        </w:rPr>
      </w:pPr>
    </w:p>
    <w:p w:rsidR="00025D81" w:rsidRDefault="00025D81" w:rsidP="007926C7">
      <w:pPr>
        <w:spacing w:line="360" w:lineRule="auto"/>
        <w:rPr>
          <w:rFonts w:ascii="Arial" w:hAnsi="Arial" w:cs="Arial"/>
          <w:b/>
        </w:rPr>
      </w:pPr>
    </w:p>
    <w:p w:rsidR="007926C7" w:rsidRPr="007926C7" w:rsidRDefault="008412E3" w:rsidP="007926C7">
      <w:pPr>
        <w:spacing w:line="360" w:lineRule="auto"/>
        <w:rPr>
          <w:rFonts w:ascii="Arial" w:hAnsi="Arial" w:cs="Arial"/>
          <w:b/>
        </w:rPr>
      </w:pPr>
      <w:r>
        <w:rPr>
          <w:rFonts w:ascii="Arial" w:hAnsi="Arial" w:cs="Arial"/>
          <w:b/>
        </w:rPr>
        <w:lastRenderedPageBreak/>
        <w:t>THE EIGHTH RESPONDENT</w:t>
      </w:r>
      <w:r w:rsidR="007926C7" w:rsidRPr="007926C7">
        <w:rPr>
          <w:rFonts w:ascii="Arial" w:hAnsi="Arial" w:cs="Arial"/>
          <w:b/>
        </w:rPr>
        <w:t xml:space="preserve"> </w:t>
      </w:r>
    </w:p>
    <w:p w:rsidR="004E4D50" w:rsidRPr="004E4D50" w:rsidRDefault="004E4D50" w:rsidP="004E4D50">
      <w:pPr>
        <w:pStyle w:val="ListParagraph"/>
        <w:rPr>
          <w:rFonts w:ascii="Arial" w:hAnsi="Arial" w:cs="Arial"/>
        </w:rPr>
      </w:pPr>
    </w:p>
    <w:p w:rsidR="007926C7" w:rsidRDefault="00195B3B" w:rsidP="00AF22DC">
      <w:pPr>
        <w:pStyle w:val="ListParagraph"/>
        <w:numPr>
          <w:ilvl w:val="0"/>
          <w:numId w:val="3"/>
        </w:numPr>
        <w:spacing w:line="360" w:lineRule="auto"/>
        <w:rPr>
          <w:rFonts w:ascii="Arial" w:hAnsi="Arial" w:cs="Arial"/>
        </w:rPr>
      </w:pPr>
      <w:r>
        <w:rPr>
          <w:rFonts w:ascii="Arial" w:hAnsi="Arial" w:cs="Arial"/>
        </w:rPr>
        <w:t>T</w:t>
      </w:r>
      <w:r w:rsidR="007926C7">
        <w:rPr>
          <w:rFonts w:ascii="Arial" w:hAnsi="Arial" w:cs="Arial"/>
        </w:rPr>
        <w:t xml:space="preserve">he </w:t>
      </w:r>
      <w:r w:rsidR="008412E3">
        <w:rPr>
          <w:rFonts w:ascii="Arial" w:hAnsi="Arial" w:cs="Arial"/>
        </w:rPr>
        <w:t xml:space="preserve">eighth </w:t>
      </w:r>
      <w:r w:rsidR="007926C7">
        <w:rPr>
          <w:rFonts w:ascii="Arial" w:hAnsi="Arial" w:cs="Arial"/>
        </w:rPr>
        <w:t xml:space="preserve">respondent </w:t>
      </w:r>
      <w:r w:rsidR="005C2C6D">
        <w:rPr>
          <w:rFonts w:ascii="Arial" w:hAnsi="Arial" w:cs="Arial"/>
        </w:rPr>
        <w:t>group exp</w:t>
      </w:r>
      <w:r w:rsidR="007926C7">
        <w:rPr>
          <w:rFonts w:ascii="Arial" w:hAnsi="Arial" w:cs="Arial"/>
        </w:rPr>
        <w:t xml:space="preserve">ressly </w:t>
      </w:r>
      <w:r w:rsidR="005C2C6D">
        <w:rPr>
          <w:rFonts w:ascii="Arial" w:hAnsi="Arial" w:cs="Arial"/>
        </w:rPr>
        <w:t>allege</w:t>
      </w:r>
      <w:r>
        <w:rPr>
          <w:rFonts w:ascii="Arial" w:hAnsi="Arial" w:cs="Arial"/>
        </w:rPr>
        <w:t>d</w:t>
      </w:r>
      <w:r w:rsidR="007926C7">
        <w:rPr>
          <w:rFonts w:ascii="Arial" w:hAnsi="Arial" w:cs="Arial"/>
        </w:rPr>
        <w:t xml:space="preserve"> that they were already on the </w:t>
      </w:r>
      <w:r w:rsidR="005C2C6D">
        <w:rPr>
          <w:rFonts w:ascii="Arial" w:hAnsi="Arial" w:cs="Arial"/>
        </w:rPr>
        <w:t>land by</w:t>
      </w:r>
      <w:r w:rsidR="007926C7">
        <w:rPr>
          <w:rFonts w:ascii="Arial" w:hAnsi="Arial" w:cs="Arial"/>
        </w:rPr>
        <w:t xml:space="preserve"> J</w:t>
      </w:r>
      <w:r w:rsidR="003C162A">
        <w:rPr>
          <w:rFonts w:ascii="Arial" w:hAnsi="Arial" w:cs="Arial"/>
        </w:rPr>
        <w:t>anuary</w:t>
      </w:r>
      <w:r w:rsidR="007926C7">
        <w:rPr>
          <w:rFonts w:ascii="Arial" w:hAnsi="Arial" w:cs="Arial"/>
        </w:rPr>
        <w:t xml:space="preserve"> 2020. This was stated in a number of </w:t>
      </w:r>
      <w:r w:rsidR="009D7049">
        <w:rPr>
          <w:rFonts w:ascii="Arial" w:hAnsi="Arial" w:cs="Arial"/>
        </w:rPr>
        <w:t>passages</w:t>
      </w:r>
      <w:r w:rsidR="007926C7">
        <w:rPr>
          <w:rFonts w:ascii="Arial" w:hAnsi="Arial" w:cs="Arial"/>
        </w:rPr>
        <w:t xml:space="preserve"> in the answering affidavit.</w:t>
      </w:r>
      <w:r w:rsidR="007926C7">
        <w:rPr>
          <w:rStyle w:val="FootnoteReference"/>
          <w:rFonts w:ascii="Arial" w:hAnsi="Arial" w:cs="Arial"/>
        </w:rPr>
        <w:footnoteReference w:id="109"/>
      </w:r>
    </w:p>
    <w:p w:rsidR="007926C7" w:rsidRDefault="007926C7" w:rsidP="007926C7">
      <w:pPr>
        <w:pStyle w:val="ListParagraph"/>
        <w:spacing w:line="360" w:lineRule="auto"/>
        <w:ind w:left="360"/>
        <w:rPr>
          <w:rFonts w:ascii="Arial" w:hAnsi="Arial" w:cs="Arial"/>
        </w:rPr>
      </w:pPr>
    </w:p>
    <w:p w:rsidR="004E4D50" w:rsidRDefault="007926C7" w:rsidP="00611AF8">
      <w:pPr>
        <w:pStyle w:val="ListParagraph"/>
        <w:spacing w:line="360" w:lineRule="auto"/>
        <w:ind w:left="360"/>
        <w:rPr>
          <w:rFonts w:ascii="Arial" w:hAnsi="Arial" w:cs="Arial"/>
        </w:rPr>
      </w:pPr>
      <w:r>
        <w:rPr>
          <w:rFonts w:ascii="Arial" w:hAnsi="Arial" w:cs="Arial"/>
        </w:rPr>
        <w:t>The Metro only brough</w:t>
      </w:r>
      <w:r w:rsidR="003C162A">
        <w:rPr>
          <w:rFonts w:ascii="Arial" w:hAnsi="Arial" w:cs="Arial"/>
        </w:rPr>
        <w:t>t an application to have them j</w:t>
      </w:r>
      <w:r>
        <w:rPr>
          <w:rFonts w:ascii="Arial" w:hAnsi="Arial" w:cs="Arial"/>
        </w:rPr>
        <w:t xml:space="preserve">oined in May 2021. </w:t>
      </w:r>
    </w:p>
    <w:p w:rsidR="004E4D50" w:rsidRPr="004E4D50" w:rsidRDefault="004E4D50" w:rsidP="004E4D50">
      <w:pPr>
        <w:pStyle w:val="ListParagraph"/>
        <w:rPr>
          <w:rFonts w:ascii="Arial" w:hAnsi="Arial" w:cs="Arial"/>
        </w:rPr>
      </w:pPr>
    </w:p>
    <w:p w:rsidR="004E4D50" w:rsidRDefault="007926C7" w:rsidP="00AF22DC">
      <w:pPr>
        <w:pStyle w:val="ListParagraph"/>
        <w:numPr>
          <w:ilvl w:val="0"/>
          <w:numId w:val="3"/>
        </w:numPr>
        <w:spacing w:line="360" w:lineRule="auto"/>
        <w:rPr>
          <w:rFonts w:ascii="Arial" w:hAnsi="Arial" w:cs="Arial"/>
        </w:rPr>
      </w:pPr>
      <w:r w:rsidRPr="003C162A">
        <w:rPr>
          <w:rFonts w:ascii="Arial" w:hAnsi="Arial" w:cs="Arial"/>
        </w:rPr>
        <w:t xml:space="preserve">The allegation that they were on the </w:t>
      </w:r>
      <w:r w:rsidR="003C162A" w:rsidRPr="003C162A">
        <w:rPr>
          <w:rFonts w:ascii="Arial" w:hAnsi="Arial" w:cs="Arial"/>
        </w:rPr>
        <w:t xml:space="preserve">development since January 2020 is not disputed. In its replying affidavit </w:t>
      </w:r>
      <w:r w:rsidR="009D7049" w:rsidRPr="003C162A">
        <w:rPr>
          <w:rFonts w:ascii="Arial" w:hAnsi="Arial" w:cs="Arial"/>
        </w:rPr>
        <w:t>the Metro</w:t>
      </w:r>
      <w:r w:rsidR="003C162A" w:rsidRPr="003C162A">
        <w:rPr>
          <w:rFonts w:ascii="Arial" w:hAnsi="Arial" w:cs="Arial"/>
        </w:rPr>
        <w:t xml:space="preserve"> contends that the initial rule granted in July 2019 preceded their occupation and in its terms </w:t>
      </w:r>
      <w:r w:rsidR="00611AF8">
        <w:rPr>
          <w:rFonts w:ascii="Arial" w:hAnsi="Arial" w:cs="Arial"/>
        </w:rPr>
        <w:t xml:space="preserve">covers the subsequent </w:t>
      </w:r>
      <w:r w:rsidR="003C162A" w:rsidRPr="003C162A">
        <w:rPr>
          <w:rFonts w:ascii="Arial" w:hAnsi="Arial" w:cs="Arial"/>
        </w:rPr>
        <w:t xml:space="preserve">land </w:t>
      </w:r>
      <w:r w:rsidR="009D7049" w:rsidRPr="003C162A">
        <w:rPr>
          <w:rFonts w:ascii="Arial" w:hAnsi="Arial" w:cs="Arial"/>
        </w:rPr>
        <w:t xml:space="preserve">invasion </w:t>
      </w:r>
      <w:r w:rsidR="00195B3B">
        <w:rPr>
          <w:rFonts w:ascii="Arial" w:hAnsi="Arial" w:cs="Arial"/>
        </w:rPr>
        <w:t xml:space="preserve">by this group </w:t>
      </w:r>
      <w:r w:rsidR="009D7049" w:rsidRPr="003C162A">
        <w:rPr>
          <w:rFonts w:ascii="Arial" w:hAnsi="Arial" w:cs="Arial"/>
        </w:rPr>
        <w:t>and</w:t>
      </w:r>
      <w:r w:rsidR="003C162A" w:rsidRPr="003C162A">
        <w:rPr>
          <w:rFonts w:ascii="Arial" w:hAnsi="Arial" w:cs="Arial"/>
        </w:rPr>
        <w:t xml:space="preserve"> binds them. </w:t>
      </w:r>
    </w:p>
    <w:p w:rsidR="003C162A" w:rsidRPr="003C162A" w:rsidRDefault="003C162A" w:rsidP="003C162A">
      <w:pPr>
        <w:pStyle w:val="ListParagraph"/>
        <w:rPr>
          <w:rFonts w:ascii="Arial" w:hAnsi="Arial" w:cs="Arial"/>
        </w:rPr>
      </w:pPr>
    </w:p>
    <w:p w:rsidR="007669F5" w:rsidRDefault="003C162A" w:rsidP="00AF22DC">
      <w:pPr>
        <w:pStyle w:val="ListParagraph"/>
        <w:numPr>
          <w:ilvl w:val="0"/>
          <w:numId w:val="3"/>
        </w:numPr>
        <w:spacing w:line="360" w:lineRule="auto"/>
        <w:rPr>
          <w:rFonts w:ascii="Arial" w:hAnsi="Arial" w:cs="Arial"/>
        </w:rPr>
      </w:pPr>
      <w:r>
        <w:rPr>
          <w:rFonts w:ascii="Arial" w:hAnsi="Arial" w:cs="Arial"/>
        </w:rPr>
        <w:t xml:space="preserve">The difficulty I have with the Metro’s argument is </w:t>
      </w:r>
      <w:r w:rsidR="007669F5">
        <w:rPr>
          <w:rFonts w:ascii="Arial" w:hAnsi="Arial" w:cs="Arial"/>
        </w:rPr>
        <w:t>t</w:t>
      </w:r>
      <w:r>
        <w:rPr>
          <w:rFonts w:ascii="Arial" w:hAnsi="Arial" w:cs="Arial"/>
        </w:rPr>
        <w:t>hat there is no allegation that the eighth resp</w:t>
      </w:r>
      <w:r w:rsidR="007669F5">
        <w:rPr>
          <w:rFonts w:ascii="Arial" w:hAnsi="Arial" w:cs="Arial"/>
        </w:rPr>
        <w:t xml:space="preserve">ondent group were aware of an order made some six months earlier or that they were part of that group, and if the interim order was binding on all subsequent </w:t>
      </w:r>
      <w:r w:rsidR="00025D81">
        <w:rPr>
          <w:rFonts w:ascii="Arial" w:hAnsi="Arial" w:cs="Arial"/>
        </w:rPr>
        <w:t xml:space="preserve">incursors </w:t>
      </w:r>
      <w:r w:rsidR="007669F5">
        <w:rPr>
          <w:rFonts w:ascii="Arial" w:hAnsi="Arial" w:cs="Arial"/>
        </w:rPr>
        <w:t>who did not form part of the original July 2019 land invasion then at the very least they should have been given notice of that immediately they attempted to occupy or the Metro should have then counter-spoliated</w:t>
      </w:r>
      <w:r w:rsidR="00195B3B">
        <w:rPr>
          <w:rFonts w:ascii="Arial" w:hAnsi="Arial" w:cs="Arial"/>
        </w:rPr>
        <w:t xml:space="preserve"> before peaceful and undisturbed possession was acquired. </w:t>
      </w:r>
      <w:r w:rsidR="007669F5">
        <w:rPr>
          <w:rFonts w:ascii="Arial" w:hAnsi="Arial" w:cs="Arial"/>
        </w:rPr>
        <w:t xml:space="preserve">. </w:t>
      </w:r>
    </w:p>
    <w:p w:rsidR="007669F5" w:rsidRPr="007669F5" w:rsidRDefault="007669F5" w:rsidP="007669F5">
      <w:pPr>
        <w:pStyle w:val="ListParagraph"/>
        <w:rPr>
          <w:rFonts w:ascii="Arial" w:hAnsi="Arial" w:cs="Arial"/>
        </w:rPr>
      </w:pPr>
    </w:p>
    <w:p w:rsidR="00EC2DA8" w:rsidRDefault="008412E3" w:rsidP="00AF22DC">
      <w:pPr>
        <w:pStyle w:val="ListParagraph"/>
        <w:numPr>
          <w:ilvl w:val="0"/>
          <w:numId w:val="3"/>
        </w:numPr>
        <w:spacing w:line="360" w:lineRule="auto"/>
        <w:rPr>
          <w:rFonts w:ascii="Arial" w:hAnsi="Arial" w:cs="Arial"/>
        </w:rPr>
      </w:pPr>
      <w:r>
        <w:rPr>
          <w:rFonts w:ascii="Arial" w:hAnsi="Arial" w:cs="Arial"/>
        </w:rPr>
        <w:t>A further d</w:t>
      </w:r>
      <w:r w:rsidR="007669F5">
        <w:rPr>
          <w:rFonts w:ascii="Arial" w:hAnsi="Arial" w:cs="Arial"/>
        </w:rPr>
        <w:t>ifficulty with the Metro’s argument having regard to the facts of this case is that</w:t>
      </w:r>
      <w:r w:rsidR="00195B3B">
        <w:rPr>
          <w:rFonts w:ascii="Arial" w:hAnsi="Arial" w:cs="Arial"/>
        </w:rPr>
        <w:t>,</w:t>
      </w:r>
      <w:r w:rsidR="007669F5">
        <w:rPr>
          <w:rFonts w:ascii="Arial" w:hAnsi="Arial" w:cs="Arial"/>
        </w:rPr>
        <w:t xml:space="preserve"> if the matter had been finalised before the</w:t>
      </w:r>
      <w:r w:rsidR="00195B3B">
        <w:rPr>
          <w:rFonts w:ascii="Arial" w:hAnsi="Arial" w:cs="Arial"/>
        </w:rPr>
        <w:t xml:space="preserve"> 2020 January land invasion,</w:t>
      </w:r>
      <w:r w:rsidR="007669F5">
        <w:rPr>
          <w:rFonts w:ascii="Arial" w:hAnsi="Arial" w:cs="Arial"/>
        </w:rPr>
        <w:t xml:space="preserve"> the </w:t>
      </w:r>
      <w:r w:rsidR="009D7049">
        <w:rPr>
          <w:rFonts w:ascii="Arial" w:hAnsi="Arial" w:cs="Arial"/>
        </w:rPr>
        <w:t>persons</w:t>
      </w:r>
      <w:r w:rsidR="007669F5">
        <w:rPr>
          <w:rFonts w:ascii="Arial" w:hAnsi="Arial" w:cs="Arial"/>
        </w:rPr>
        <w:t xml:space="preserve"> identified as the first </w:t>
      </w:r>
      <w:r w:rsidR="009D7049">
        <w:rPr>
          <w:rFonts w:ascii="Arial" w:hAnsi="Arial" w:cs="Arial"/>
        </w:rPr>
        <w:t>respondent would</w:t>
      </w:r>
      <w:r w:rsidR="007669F5">
        <w:rPr>
          <w:rFonts w:ascii="Arial" w:hAnsi="Arial" w:cs="Arial"/>
        </w:rPr>
        <w:t xml:space="preserve"> have been limited to those whose names were contained on the list</w:t>
      </w:r>
      <w:r w:rsidR="00611AF8">
        <w:rPr>
          <w:rFonts w:ascii="Arial" w:hAnsi="Arial" w:cs="Arial"/>
        </w:rPr>
        <w:t xml:space="preserve">. That being so, </w:t>
      </w:r>
      <w:r w:rsidR="00EC2DA8">
        <w:rPr>
          <w:rFonts w:ascii="Arial" w:hAnsi="Arial" w:cs="Arial"/>
        </w:rPr>
        <w:t xml:space="preserve">a final order would have been either granted or refused and the interim order on which the Metro relies to bring the eighth respondent within its purview </w:t>
      </w:r>
      <w:r w:rsidR="009D7049">
        <w:rPr>
          <w:rFonts w:ascii="Arial" w:hAnsi="Arial" w:cs="Arial"/>
        </w:rPr>
        <w:t>wou</w:t>
      </w:r>
      <w:r w:rsidR="00D66340">
        <w:rPr>
          <w:rFonts w:ascii="Arial" w:hAnsi="Arial" w:cs="Arial"/>
        </w:rPr>
        <w:t>ld n</w:t>
      </w:r>
      <w:r w:rsidR="009D7049">
        <w:rPr>
          <w:rFonts w:ascii="Arial" w:hAnsi="Arial" w:cs="Arial"/>
        </w:rPr>
        <w:t>o</w:t>
      </w:r>
      <w:r w:rsidR="00D66340">
        <w:rPr>
          <w:rFonts w:ascii="Arial" w:hAnsi="Arial" w:cs="Arial"/>
        </w:rPr>
        <w:t>t</w:t>
      </w:r>
      <w:r w:rsidR="00EC2DA8">
        <w:rPr>
          <w:rFonts w:ascii="Arial" w:hAnsi="Arial" w:cs="Arial"/>
        </w:rPr>
        <w:t xml:space="preserve"> have existed. </w:t>
      </w:r>
    </w:p>
    <w:p w:rsidR="00EC2DA8" w:rsidRPr="00EC2DA8" w:rsidRDefault="00EC2DA8" w:rsidP="00EC2DA8">
      <w:pPr>
        <w:pStyle w:val="ListParagraph"/>
        <w:rPr>
          <w:rFonts w:ascii="Arial" w:hAnsi="Arial" w:cs="Arial"/>
        </w:rPr>
      </w:pPr>
    </w:p>
    <w:p w:rsidR="00C80D9D" w:rsidRDefault="00EC2DA8" w:rsidP="00AF22DC">
      <w:pPr>
        <w:pStyle w:val="ListParagraph"/>
        <w:numPr>
          <w:ilvl w:val="0"/>
          <w:numId w:val="3"/>
        </w:numPr>
        <w:spacing w:line="360" w:lineRule="auto"/>
        <w:rPr>
          <w:rFonts w:ascii="Arial" w:hAnsi="Arial" w:cs="Arial"/>
        </w:rPr>
      </w:pPr>
      <w:r>
        <w:rPr>
          <w:rFonts w:ascii="Arial" w:hAnsi="Arial" w:cs="Arial"/>
        </w:rPr>
        <w:t xml:space="preserve">I appreciate the difficulty faced by municipalities </w:t>
      </w:r>
      <w:r w:rsidR="00C80D9D">
        <w:rPr>
          <w:rFonts w:ascii="Arial" w:hAnsi="Arial" w:cs="Arial"/>
        </w:rPr>
        <w:t>wh</w:t>
      </w:r>
      <w:r w:rsidR="00D66340">
        <w:rPr>
          <w:rFonts w:ascii="Arial" w:hAnsi="Arial" w:cs="Arial"/>
        </w:rPr>
        <w:t>ich</w:t>
      </w:r>
      <w:r>
        <w:rPr>
          <w:rFonts w:ascii="Arial" w:hAnsi="Arial" w:cs="Arial"/>
        </w:rPr>
        <w:t xml:space="preserve"> </w:t>
      </w:r>
      <w:r w:rsidR="00D66340">
        <w:rPr>
          <w:rFonts w:ascii="Arial" w:hAnsi="Arial" w:cs="Arial"/>
        </w:rPr>
        <w:t xml:space="preserve">have to contend with </w:t>
      </w:r>
      <w:r>
        <w:rPr>
          <w:rFonts w:ascii="Arial" w:hAnsi="Arial" w:cs="Arial"/>
        </w:rPr>
        <w:t>repetitive</w:t>
      </w:r>
      <w:r w:rsidR="007669F5">
        <w:rPr>
          <w:rFonts w:ascii="Arial" w:hAnsi="Arial" w:cs="Arial"/>
        </w:rPr>
        <w:t xml:space="preserve"> </w:t>
      </w:r>
      <w:r>
        <w:rPr>
          <w:rFonts w:ascii="Arial" w:hAnsi="Arial" w:cs="Arial"/>
        </w:rPr>
        <w:t xml:space="preserve">land invasions on the same </w:t>
      </w:r>
      <w:r w:rsidR="009D7049">
        <w:rPr>
          <w:rFonts w:ascii="Arial" w:hAnsi="Arial" w:cs="Arial"/>
        </w:rPr>
        <w:t>property and</w:t>
      </w:r>
      <w:r w:rsidR="00C80D9D">
        <w:rPr>
          <w:rFonts w:ascii="Arial" w:hAnsi="Arial" w:cs="Arial"/>
        </w:rPr>
        <w:t xml:space="preserve"> who cannot be expected to maintain the expense of securit</w:t>
      </w:r>
      <w:r w:rsidR="00611AF8">
        <w:rPr>
          <w:rFonts w:ascii="Arial" w:hAnsi="Arial" w:cs="Arial"/>
        </w:rPr>
        <w:t xml:space="preserve">y guards on all its properties </w:t>
      </w:r>
      <w:r w:rsidR="00C80D9D">
        <w:rPr>
          <w:rFonts w:ascii="Arial" w:hAnsi="Arial" w:cs="Arial"/>
        </w:rPr>
        <w:t>round the clock</w:t>
      </w:r>
      <w:r w:rsidR="000774C7">
        <w:rPr>
          <w:rFonts w:ascii="Arial" w:hAnsi="Arial" w:cs="Arial"/>
        </w:rPr>
        <w:t>.</w:t>
      </w:r>
    </w:p>
    <w:p w:rsidR="00195B3B" w:rsidRDefault="00195B3B" w:rsidP="00C80D9D">
      <w:pPr>
        <w:pStyle w:val="ListParagraph"/>
        <w:spacing w:line="360" w:lineRule="auto"/>
        <w:ind w:left="360"/>
        <w:rPr>
          <w:rFonts w:ascii="Arial" w:hAnsi="Arial" w:cs="Arial"/>
        </w:rPr>
      </w:pPr>
    </w:p>
    <w:p w:rsidR="00C80D9D" w:rsidRDefault="009D7049" w:rsidP="00C80D9D">
      <w:pPr>
        <w:pStyle w:val="ListParagraph"/>
        <w:spacing w:line="360" w:lineRule="auto"/>
        <w:ind w:left="360"/>
        <w:rPr>
          <w:rFonts w:ascii="Arial" w:hAnsi="Arial" w:cs="Arial"/>
        </w:rPr>
      </w:pPr>
      <w:r>
        <w:rPr>
          <w:rFonts w:ascii="Arial" w:hAnsi="Arial" w:cs="Arial"/>
        </w:rPr>
        <w:t xml:space="preserve">However, I </w:t>
      </w:r>
      <w:r w:rsidR="00C80D9D">
        <w:rPr>
          <w:rFonts w:ascii="Arial" w:hAnsi="Arial" w:cs="Arial"/>
        </w:rPr>
        <w:t>have</w:t>
      </w:r>
      <w:r>
        <w:rPr>
          <w:rFonts w:ascii="Arial" w:hAnsi="Arial" w:cs="Arial"/>
        </w:rPr>
        <w:t xml:space="preserve"> </w:t>
      </w:r>
      <w:r w:rsidR="00EC2DA8">
        <w:rPr>
          <w:rFonts w:ascii="Arial" w:hAnsi="Arial" w:cs="Arial"/>
        </w:rPr>
        <w:t xml:space="preserve">not heard argument on the effect of an order which expressly states that it is intended to apply to all future attempts at land invasion by persons </w:t>
      </w:r>
      <w:r w:rsidR="00EC2DA8">
        <w:rPr>
          <w:rFonts w:ascii="Arial" w:hAnsi="Arial" w:cs="Arial"/>
        </w:rPr>
        <w:lastRenderedPageBreak/>
        <w:t>other than those against whom t</w:t>
      </w:r>
      <w:r w:rsidR="00195B3B">
        <w:rPr>
          <w:rFonts w:ascii="Arial" w:hAnsi="Arial" w:cs="Arial"/>
        </w:rPr>
        <w:t xml:space="preserve">he order sought was then </w:t>
      </w:r>
      <w:r w:rsidR="00611AF8">
        <w:rPr>
          <w:rFonts w:ascii="Arial" w:hAnsi="Arial" w:cs="Arial"/>
        </w:rPr>
        <w:t>directed</w:t>
      </w:r>
      <w:r w:rsidR="00195B3B">
        <w:rPr>
          <w:rFonts w:ascii="Arial" w:hAnsi="Arial" w:cs="Arial"/>
        </w:rPr>
        <w:t>. The interim order granted by this court did not do so nor did the</w:t>
      </w:r>
      <w:r w:rsidR="00EC2DA8">
        <w:rPr>
          <w:rFonts w:ascii="Arial" w:hAnsi="Arial" w:cs="Arial"/>
        </w:rPr>
        <w:t xml:space="preserve"> fou</w:t>
      </w:r>
      <w:r w:rsidR="00195B3B">
        <w:rPr>
          <w:rFonts w:ascii="Arial" w:hAnsi="Arial" w:cs="Arial"/>
        </w:rPr>
        <w:t xml:space="preserve">nding affidavit expressly indicate </w:t>
      </w:r>
      <w:r w:rsidR="00EC2DA8">
        <w:rPr>
          <w:rFonts w:ascii="Arial" w:hAnsi="Arial" w:cs="Arial"/>
        </w:rPr>
        <w:t>that t</w:t>
      </w:r>
      <w:r w:rsidR="00C80D9D">
        <w:rPr>
          <w:rFonts w:ascii="Arial" w:hAnsi="Arial" w:cs="Arial"/>
        </w:rPr>
        <w:t xml:space="preserve">he order sought </w:t>
      </w:r>
      <w:r w:rsidR="00195B3B">
        <w:rPr>
          <w:rFonts w:ascii="Arial" w:hAnsi="Arial" w:cs="Arial"/>
        </w:rPr>
        <w:t>wa</w:t>
      </w:r>
      <w:r w:rsidR="00C80D9D">
        <w:rPr>
          <w:rFonts w:ascii="Arial" w:hAnsi="Arial" w:cs="Arial"/>
        </w:rPr>
        <w:t xml:space="preserve">s intended to </w:t>
      </w:r>
      <w:r w:rsidR="00EC2DA8">
        <w:rPr>
          <w:rFonts w:ascii="Arial" w:hAnsi="Arial" w:cs="Arial"/>
        </w:rPr>
        <w:t xml:space="preserve">cover all future land invasions by the same </w:t>
      </w:r>
      <w:r>
        <w:rPr>
          <w:rFonts w:ascii="Arial" w:hAnsi="Arial" w:cs="Arial"/>
        </w:rPr>
        <w:t>persons</w:t>
      </w:r>
      <w:r w:rsidR="00EC2DA8">
        <w:rPr>
          <w:rFonts w:ascii="Arial" w:hAnsi="Arial" w:cs="Arial"/>
        </w:rPr>
        <w:t xml:space="preserve"> or others</w:t>
      </w:r>
      <w:r w:rsidR="00195B3B">
        <w:rPr>
          <w:rFonts w:ascii="Arial" w:hAnsi="Arial" w:cs="Arial"/>
        </w:rPr>
        <w:t>, not just the one then alleged to be in progress.</w:t>
      </w:r>
      <w:r w:rsidR="00EC2DA8">
        <w:rPr>
          <w:rFonts w:ascii="Arial" w:hAnsi="Arial" w:cs="Arial"/>
        </w:rPr>
        <w:t xml:space="preserve"> </w:t>
      </w:r>
    </w:p>
    <w:p w:rsidR="003C162A" w:rsidRPr="003C162A" w:rsidRDefault="00C80D9D" w:rsidP="00C80D9D">
      <w:pPr>
        <w:pStyle w:val="ListParagraph"/>
        <w:spacing w:line="360" w:lineRule="auto"/>
        <w:ind w:left="360"/>
        <w:rPr>
          <w:rFonts w:ascii="Arial" w:hAnsi="Arial" w:cs="Arial"/>
        </w:rPr>
      </w:pPr>
      <w:r>
        <w:rPr>
          <w:rFonts w:ascii="Arial" w:hAnsi="Arial" w:cs="Arial"/>
        </w:rPr>
        <w:t xml:space="preserve"> </w:t>
      </w:r>
    </w:p>
    <w:p w:rsidR="00D66340" w:rsidRDefault="00C80D9D" w:rsidP="00AF22DC">
      <w:pPr>
        <w:pStyle w:val="ListParagraph"/>
        <w:numPr>
          <w:ilvl w:val="0"/>
          <w:numId w:val="3"/>
        </w:numPr>
        <w:spacing w:line="360" w:lineRule="auto"/>
        <w:rPr>
          <w:rFonts w:ascii="Arial" w:hAnsi="Arial" w:cs="Arial"/>
        </w:rPr>
      </w:pPr>
      <w:r w:rsidRPr="00C80D9D">
        <w:rPr>
          <w:rFonts w:ascii="Arial" w:hAnsi="Arial" w:cs="Arial"/>
        </w:rPr>
        <w:t>It however appears to me that the surest way of giving notice to the world is through legislation. It is for laws of general application to exclude from the purview of PIE land which is earmarked for development of housing</w:t>
      </w:r>
      <w:r w:rsidR="00611AF8">
        <w:rPr>
          <w:rFonts w:ascii="Arial" w:hAnsi="Arial" w:cs="Arial"/>
        </w:rPr>
        <w:t xml:space="preserve"> as contemplated by </w:t>
      </w:r>
      <w:r w:rsidRPr="00C80D9D">
        <w:rPr>
          <w:rFonts w:ascii="Arial" w:hAnsi="Arial" w:cs="Arial"/>
        </w:rPr>
        <w:t xml:space="preserve">s 26(1) and (2) of the Constitution. </w:t>
      </w:r>
    </w:p>
    <w:p w:rsidR="00D66340" w:rsidRDefault="00D66340" w:rsidP="00D66340">
      <w:pPr>
        <w:pStyle w:val="ListParagraph"/>
        <w:spacing w:line="360" w:lineRule="auto"/>
        <w:ind w:left="360"/>
        <w:rPr>
          <w:rFonts w:ascii="Arial" w:hAnsi="Arial" w:cs="Arial"/>
        </w:rPr>
      </w:pPr>
    </w:p>
    <w:p w:rsidR="004E4D50" w:rsidRDefault="00C80D9D" w:rsidP="00D66340">
      <w:pPr>
        <w:pStyle w:val="ListParagraph"/>
        <w:spacing w:line="360" w:lineRule="auto"/>
        <w:ind w:left="360"/>
        <w:rPr>
          <w:rFonts w:ascii="Arial" w:hAnsi="Arial" w:cs="Arial"/>
        </w:rPr>
      </w:pPr>
      <w:r>
        <w:rPr>
          <w:rFonts w:ascii="Arial" w:hAnsi="Arial" w:cs="Arial"/>
        </w:rPr>
        <w:t xml:space="preserve">That will then leave </w:t>
      </w:r>
      <w:r w:rsidR="00B05EA0">
        <w:rPr>
          <w:rFonts w:ascii="Arial" w:hAnsi="Arial" w:cs="Arial"/>
        </w:rPr>
        <w:t xml:space="preserve">for </w:t>
      </w:r>
      <w:r w:rsidR="009D7049">
        <w:rPr>
          <w:rFonts w:ascii="Arial" w:hAnsi="Arial" w:cs="Arial"/>
        </w:rPr>
        <w:t>consideration whether</w:t>
      </w:r>
      <w:r>
        <w:rPr>
          <w:rFonts w:ascii="Arial" w:hAnsi="Arial" w:cs="Arial"/>
        </w:rPr>
        <w:t xml:space="preserve"> the protection from eviction under PIE should trump the pro</w:t>
      </w:r>
      <w:r w:rsidR="00B05EA0">
        <w:rPr>
          <w:rFonts w:ascii="Arial" w:hAnsi="Arial" w:cs="Arial"/>
        </w:rPr>
        <w:t>vision of housing to</w:t>
      </w:r>
      <w:r w:rsidR="00D66340">
        <w:rPr>
          <w:rFonts w:ascii="Arial" w:hAnsi="Arial" w:cs="Arial"/>
        </w:rPr>
        <w:t xml:space="preserve"> a person </w:t>
      </w:r>
      <w:r w:rsidR="00B05EA0">
        <w:rPr>
          <w:rFonts w:ascii="Arial" w:hAnsi="Arial" w:cs="Arial"/>
        </w:rPr>
        <w:t>who</w:t>
      </w:r>
      <w:r w:rsidR="00D66340">
        <w:rPr>
          <w:rFonts w:ascii="Arial" w:hAnsi="Arial" w:cs="Arial"/>
        </w:rPr>
        <w:t>,</w:t>
      </w:r>
      <w:r w:rsidR="00B05EA0">
        <w:rPr>
          <w:rFonts w:ascii="Arial" w:hAnsi="Arial" w:cs="Arial"/>
        </w:rPr>
        <w:t xml:space="preserve"> in terms of law</w:t>
      </w:r>
      <w:r w:rsidR="00D66340">
        <w:rPr>
          <w:rFonts w:ascii="Arial" w:hAnsi="Arial" w:cs="Arial"/>
        </w:rPr>
        <w:t>s passed to give effect to s 26, is</w:t>
      </w:r>
      <w:r w:rsidR="00B05EA0">
        <w:rPr>
          <w:rFonts w:ascii="Arial" w:hAnsi="Arial" w:cs="Arial"/>
        </w:rPr>
        <w:t xml:space="preserve"> entitled </w:t>
      </w:r>
      <w:r w:rsidR="00195B3B">
        <w:rPr>
          <w:rFonts w:ascii="Arial" w:hAnsi="Arial" w:cs="Arial"/>
        </w:rPr>
        <w:t xml:space="preserve">immediate occupation of a house then </w:t>
      </w:r>
      <w:r w:rsidR="006F2C95">
        <w:rPr>
          <w:rFonts w:ascii="Arial" w:hAnsi="Arial" w:cs="Arial"/>
        </w:rPr>
        <w:t>being occupied</w:t>
      </w:r>
      <w:r w:rsidR="00B05EA0">
        <w:rPr>
          <w:rFonts w:ascii="Arial" w:hAnsi="Arial" w:cs="Arial"/>
        </w:rPr>
        <w:t xml:space="preserve"> unlawfully</w:t>
      </w:r>
      <w:r w:rsidR="00D66340">
        <w:rPr>
          <w:rFonts w:ascii="Arial" w:hAnsi="Arial" w:cs="Arial"/>
        </w:rPr>
        <w:t xml:space="preserve"> by another person</w:t>
      </w:r>
      <w:r w:rsidR="00B05EA0">
        <w:rPr>
          <w:rFonts w:ascii="Arial" w:hAnsi="Arial" w:cs="Arial"/>
        </w:rPr>
        <w:t xml:space="preserve">. </w:t>
      </w:r>
    </w:p>
    <w:p w:rsidR="00B05EA0" w:rsidRPr="00C80D9D" w:rsidRDefault="00B05EA0" w:rsidP="00B05EA0">
      <w:pPr>
        <w:pStyle w:val="ListParagraph"/>
        <w:spacing w:line="360" w:lineRule="auto"/>
        <w:ind w:left="360"/>
        <w:rPr>
          <w:rFonts w:ascii="Arial" w:hAnsi="Arial" w:cs="Arial"/>
        </w:rPr>
      </w:pPr>
    </w:p>
    <w:p w:rsidR="00B05EA0" w:rsidRDefault="00B05EA0" w:rsidP="00AF22DC">
      <w:pPr>
        <w:pStyle w:val="ListParagraph"/>
        <w:numPr>
          <w:ilvl w:val="0"/>
          <w:numId w:val="3"/>
        </w:numPr>
        <w:spacing w:line="360" w:lineRule="auto"/>
        <w:rPr>
          <w:rFonts w:ascii="Arial" w:hAnsi="Arial" w:cs="Arial"/>
        </w:rPr>
      </w:pPr>
      <w:r>
        <w:rPr>
          <w:rFonts w:ascii="Arial" w:hAnsi="Arial" w:cs="Arial"/>
        </w:rPr>
        <w:t xml:space="preserve">In the present case the Metro waited </w:t>
      </w:r>
      <w:r w:rsidR="005269CD">
        <w:rPr>
          <w:rFonts w:ascii="Arial" w:hAnsi="Arial" w:cs="Arial"/>
        </w:rPr>
        <w:t xml:space="preserve">for more than </w:t>
      </w:r>
      <w:r>
        <w:rPr>
          <w:rFonts w:ascii="Arial" w:hAnsi="Arial" w:cs="Arial"/>
        </w:rPr>
        <w:t xml:space="preserve">a year before attempting to notify the persons who took occupation in </w:t>
      </w:r>
      <w:r w:rsidR="009D7049">
        <w:rPr>
          <w:rFonts w:ascii="Arial" w:hAnsi="Arial" w:cs="Arial"/>
        </w:rPr>
        <w:t>January</w:t>
      </w:r>
      <w:r>
        <w:rPr>
          <w:rFonts w:ascii="Arial" w:hAnsi="Arial" w:cs="Arial"/>
        </w:rPr>
        <w:t xml:space="preserve"> 2020 that they were in breach of a</w:t>
      </w:r>
      <w:r w:rsidR="005269CD">
        <w:rPr>
          <w:rFonts w:ascii="Arial" w:hAnsi="Arial" w:cs="Arial"/>
        </w:rPr>
        <w:t xml:space="preserve"> court order made in July 2019 and</w:t>
      </w:r>
      <w:r w:rsidR="00611AF8">
        <w:rPr>
          <w:rFonts w:ascii="Arial" w:hAnsi="Arial" w:cs="Arial"/>
        </w:rPr>
        <w:t>,</w:t>
      </w:r>
      <w:r w:rsidR="005269CD">
        <w:rPr>
          <w:rFonts w:ascii="Arial" w:hAnsi="Arial" w:cs="Arial"/>
        </w:rPr>
        <w:t xml:space="preserve"> despite </w:t>
      </w:r>
      <w:r w:rsidR="009D7049">
        <w:rPr>
          <w:rFonts w:ascii="Arial" w:hAnsi="Arial" w:cs="Arial"/>
        </w:rPr>
        <w:t>believ</w:t>
      </w:r>
      <w:r w:rsidR="005269CD">
        <w:rPr>
          <w:rFonts w:ascii="Arial" w:hAnsi="Arial" w:cs="Arial"/>
        </w:rPr>
        <w:t>ing that the order was binding on th</w:t>
      </w:r>
      <w:r w:rsidR="00195B3B">
        <w:rPr>
          <w:rFonts w:ascii="Arial" w:hAnsi="Arial" w:cs="Arial"/>
        </w:rPr>
        <w:t>is group</w:t>
      </w:r>
      <w:r w:rsidR="00611AF8">
        <w:rPr>
          <w:rFonts w:ascii="Arial" w:hAnsi="Arial" w:cs="Arial"/>
        </w:rPr>
        <w:t>,</w:t>
      </w:r>
      <w:r w:rsidR="005269CD">
        <w:rPr>
          <w:rFonts w:ascii="Arial" w:hAnsi="Arial" w:cs="Arial"/>
        </w:rPr>
        <w:t xml:space="preserve"> </w:t>
      </w:r>
      <w:r>
        <w:rPr>
          <w:rFonts w:ascii="Arial" w:hAnsi="Arial" w:cs="Arial"/>
        </w:rPr>
        <w:t xml:space="preserve">took no immediate steps </w:t>
      </w:r>
      <w:r w:rsidR="005269CD">
        <w:rPr>
          <w:rFonts w:ascii="Arial" w:hAnsi="Arial" w:cs="Arial"/>
        </w:rPr>
        <w:t xml:space="preserve">in January 2020 </w:t>
      </w:r>
      <w:r>
        <w:rPr>
          <w:rFonts w:ascii="Arial" w:hAnsi="Arial" w:cs="Arial"/>
        </w:rPr>
        <w:t xml:space="preserve">to </w:t>
      </w:r>
      <w:r w:rsidR="005269CD">
        <w:rPr>
          <w:rFonts w:ascii="Arial" w:hAnsi="Arial" w:cs="Arial"/>
        </w:rPr>
        <w:t xml:space="preserve">either prevent them from occupying or to </w:t>
      </w:r>
      <w:r>
        <w:rPr>
          <w:rFonts w:ascii="Arial" w:hAnsi="Arial" w:cs="Arial"/>
        </w:rPr>
        <w:t>have the</w:t>
      </w:r>
      <w:r w:rsidR="005269CD">
        <w:rPr>
          <w:rFonts w:ascii="Arial" w:hAnsi="Arial" w:cs="Arial"/>
        </w:rPr>
        <w:t>m</w:t>
      </w:r>
      <w:r>
        <w:rPr>
          <w:rFonts w:ascii="Arial" w:hAnsi="Arial" w:cs="Arial"/>
        </w:rPr>
        <w:t xml:space="preserve"> evicted. </w:t>
      </w:r>
    </w:p>
    <w:p w:rsidR="005269CD" w:rsidRDefault="005269CD" w:rsidP="005269CD">
      <w:pPr>
        <w:pStyle w:val="ListParagraph"/>
        <w:spacing w:line="360" w:lineRule="auto"/>
        <w:ind w:left="360"/>
        <w:rPr>
          <w:rFonts w:ascii="Arial" w:hAnsi="Arial" w:cs="Arial"/>
        </w:rPr>
      </w:pPr>
    </w:p>
    <w:p w:rsidR="005269CD" w:rsidRDefault="005269CD" w:rsidP="00AF22DC">
      <w:pPr>
        <w:pStyle w:val="ListParagraph"/>
        <w:numPr>
          <w:ilvl w:val="0"/>
          <w:numId w:val="3"/>
        </w:numPr>
        <w:spacing w:line="360" w:lineRule="auto"/>
        <w:rPr>
          <w:rFonts w:ascii="Arial" w:hAnsi="Arial" w:cs="Arial"/>
        </w:rPr>
      </w:pPr>
      <w:r>
        <w:rPr>
          <w:rFonts w:ascii="Arial" w:hAnsi="Arial" w:cs="Arial"/>
        </w:rPr>
        <w:t xml:space="preserve">I indicated to the parties that it was necessary to revise part of this judgment. I </w:t>
      </w:r>
      <w:r w:rsidR="00914CA4">
        <w:rPr>
          <w:rFonts w:ascii="Arial" w:hAnsi="Arial" w:cs="Arial"/>
        </w:rPr>
        <w:t xml:space="preserve">am taking the opportunity to also add some further observations to this aspect of the case. </w:t>
      </w:r>
      <w:r>
        <w:rPr>
          <w:rFonts w:ascii="Arial" w:hAnsi="Arial" w:cs="Arial"/>
        </w:rPr>
        <w:t xml:space="preserve"> </w:t>
      </w:r>
    </w:p>
    <w:p w:rsidR="005E5444" w:rsidRPr="005E5444" w:rsidRDefault="005E5444" w:rsidP="005E5444">
      <w:pPr>
        <w:pStyle w:val="ListParagraph"/>
        <w:rPr>
          <w:rFonts w:ascii="Arial" w:hAnsi="Arial" w:cs="Arial"/>
        </w:rPr>
      </w:pPr>
    </w:p>
    <w:p w:rsidR="005E5444" w:rsidRDefault="005E5444" w:rsidP="00AF22DC">
      <w:pPr>
        <w:pStyle w:val="ListParagraph"/>
        <w:numPr>
          <w:ilvl w:val="0"/>
          <w:numId w:val="3"/>
        </w:numPr>
        <w:spacing w:line="360" w:lineRule="auto"/>
        <w:rPr>
          <w:rFonts w:ascii="Arial" w:hAnsi="Arial" w:cs="Arial"/>
        </w:rPr>
      </w:pPr>
      <w:r>
        <w:rPr>
          <w:rFonts w:ascii="Arial" w:hAnsi="Arial" w:cs="Arial"/>
        </w:rPr>
        <w:t>Th</w:t>
      </w:r>
      <w:r w:rsidR="00F33AD3">
        <w:rPr>
          <w:rFonts w:ascii="Arial" w:hAnsi="Arial" w:cs="Arial"/>
        </w:rPr>
        <w:t xml:space="preserve">ose </w:t>
      </w:r>
      <w:r>
        <w:rPr>
          <w:rFonts w:ascii="Arial" w:hAnsi="Arial" w:cs="Arial"/>
        </w:rPr>
        <w:t xml:space="preserve">who may be subject to the reach of an application brought </w:t>
      </w:r>
      <w:r w:rsidR="003E7F3E">
        <w:rPr>
          <w:rFonts w:ascii="Arial" w:hAnsi="Arial" w:cs="Arial"/>
        </w:rPr>
        <w:t xml:space="preserve">to protect the present and future rights of a land owner </w:t>
      </w:r>
      <w:r>
        <w:rPr>
          <w:rFonts w:ascii="Arial" w:hAnsi="Arial" w:cs="Arial"/>
        </w:rPr>
        <w:t xml:space="preserve">against an </w:t>
      </w:r>
      <w:r w:rsidR="00F33AD3">
        <w:rPr>
          <w:rFonts w:ascii="Arial" w:hAnsi="Arial" w:cs="Arial"/>
        </w:rPr>
        <w:t>indeterminate number of persons</w:t>
      </w:r>
      <w:r w:rsidR="003E7F3E">
        <w:rPr>
          <w:rFonts w:ascii="Arial" w:hAnsi="Arial" w:cs="Arial"/>
        </w:rPr>
        <w:t xml:space="preserve"> who have </w:t>
      </w:r>
      <w:r w:rsidR="00195B3B">
        <w:rPr>
          <w:rFonts w:ascii="Arial" w:hAnsi="Arial" w:cs="Arial"/>
        </w:rPr>
        <w:t>infringed</w:t>
      </w:r>
      <w:r w:rsidR="003E7F3E">
        <w:rPr>
          <w:rFonts w:ascii="Arial" w:hAnsi="Arial" w:cs="Arial"/>
        </w:rPr>
        <w:t xml:space="preserve"> those rights</w:t>
      </w:r>
      <w:r w:rsidR="00195B3B">
        <w:rPr>
          <w:rFonts w:ascii="Arial" w:hAnsi="Arial" w:cs="Arial"/>
        </w:rPr>
        <w:t xml:space="preserve">, or in the future may do so, </w:t>
      </w:r>
      <w:r w:rsidR="00F33AD3">
        <w:rPr>
          <w:rFonts w:ascii="Arial" w:hAnsi="Arial" w:cs="Arial"/>
        </w:rPr>
        <w:t xml:space="preserve">is determined by </w:t>
      </w:r>
      <w:r>
        <w:rPr>
          <w:rFonts w:ascii="Arial" w:hAnsi="Arial" w:cs="Arial"/>
        </w:rPr>
        <w:t>a number of generally inter-</w:t>
      </w:r>
      <w:r w:rsidR="00195B3B">
        <w:rPr>
          <w:rFonts w:ascii="Arial" w:hAnsi="Arial" w:cs="Arial"/>
        </w:rPr>
        <w:t xml:space="preserve">related </w:t>
      </w:r>
      <w:r w:rsidR="006F2C95">
        <w:rPr>
          <w:rFonts w:ascii="Arial" w:hAnsi="Arial" w:cs="Arial"/>
        </w:rPr>
        <w:t>considerations</w:t>
      </w:r>
      <w:r w:rsidR="000774C7">
        <w:rPr>
          <w:rFonts w:ascii="Arial" w:hAnsi="Arial" w:cs="Arial"/>
        </w:rPr>
        <w:t>. They are:</w:t>
      </w:r>
    </w:p>
    <w:p w:rsidR="000774C7" w:rsidRPr="000774C7" w:rsidRDefault="000774C7" w:rsidP="000774C7">
      <w:pPr>
        <w:pStyle w:val="ListParagraph"/>
        <w:rPr>
          <w:rFonts w:ascii="Arial" w:hAnsi="Arial" w:cs="Arial"/>
        </w:rPr>
      </w:pPr>
    </w:p>
    <w:p w:rsidR="000774C7" w:rsidRPr="000774C7" w:rsidRDefault="005E5444" w:rsidP="006C0ED9">
      <w:pPr>
        <w:pStyle w:val="ListParagraph"/>
        <w:numPr>
          <w:ilvl w:val="1"/>
          <w:numId w:val="3"/>
        </w:numPr>
        <w:spacing w:line="360" w:lineRule="auto"/>
        <w:rPr>
          <w:rFonts w:ascii="Arial" w:hAnsi="Arial" w:cs="Arial"/>
        </w:rPr>
      </w:pPr>
      <w:r w:rsidRPr="000774C7">
        <w:rPr>
          <w:rFonts w:ascii="Arial" w:hAnsi="Arial" w:cs="Arial"/>
        </w:rPr>
        <w:t xml:space="preserve">The </w:t>
      </w:r>
      <w:r w:rsidR="00195B3B">
        <w:rPr>
          <w:rFonts w:ascii="Arial" w:hAnsi="Arial" w:cs="Arial"/>
        </w:rPr>
        <w:t xml:space="preserve">manner of citing persons who are intended to </w:t>
      </w:r>
      <w:r w:rsidRPr="000774C7">
        <w:rPr>
          <w:rFonts w:ascii="Arial" w:hAnsi="Arial" w:cs="Arial"/>
        </w:rPr>
        <w:t xml:space="preserve">be </w:t>
      </w:r>
      <w:r w:rsidR="00A218A9" w:rsidRPr="000774C7">
        <w:rPr>
          <w:rFonts w:ascii="Arial" w:hAnsi="Arial" w:cs="Arial"/>
        </w:rPr>
        <w:t xml:space="preserve">made </w:t>
      </w:r>
      <w:r w:rsidRPr="000774C7">
        <w:rPr>
          <w:rFonts w:ascii="Arial" w:hAnsi="Arial" w:cs="Arial"/>
        </w:rPr>
        <w:t>subj</w:t>
      </w:r>
      <w:r w:rsidR="00195B3B">
        <w:rPr>
          <w:rFonts w:ascii="Arial" w:hAnsi="Arial" w:cs="Arial"/>
        </w:rPr>
        <w:t>ect to the application</w:t>
      </w:r>
      <w:r w:rsidRPr="000774C7">
        <w:rPr>
          <w:rFonts w:ascii="Arial" w:hAnsi="Arial" w:cs="Arial"/>
        </w:rPr>
        <w:t>;</w:t>
      </w:r>
    </w:p>
    <w:p w:rsidR="000774C7" w:rsidRDefault="000774C7" w:rsidP="000774C7">
      <w:pPr>
        <w:pStyle w:val="ListParagraph"/>
        <w:spacing w:line="360" w:lineRule="auto"/>
        <w:ind w:left="1080"/>
        <w:rPr>
          <w:rFonts w:ascii="Arial" w:hAnsi="Arial" w:cs="Arial"/>
        </w:rPr>
      </w:pPr>
    </w:p>
    <w:p w:rsidR="005E5444" w:rsidRDefault="005E5444" w:rsidP="000774C7">
      <w:pPr>
        <w:pStyle w:val="ListParagraph"/>
        <w:numPr>
          <w:ilvl w:val="1"/>
          <w:numId w:val="3"/>
        </w:numPr>
        <w:spacing w:line="360" w:lineRule="auto"/>
        <w:rPr>
          <w:rFonts w:ascii="Arial" w:hAnsi="Arial" w:cs="Arial"/>
        </w:rPr>
      </w:pPr>
      <w:r w:rsidRPr="000774C7">
        <w:rPr>
          <w:rFonts w:ascii="Arial" w:hAnsi="Arial" w:cs="Arial"/>
        </w:rPr>
        <w:t>The case made out in the applicant’s papers for the relief sought</w:t>
      </w:r>
      <w:r w:rsidR="00F33AD3" w:rsidRPr="000774C7">
        <w:rPr>
          <w:rFonts w:ascii="Arial" w:hAnsi="Arial" w:cs="Arial"/>
        </w:rPr>
        <w:t xml:space="preserve"> </w:t>
      </w:r>
      <w:r w:rsidR="006F2C95" w:rsidRPr="000774C7">
        <w:rPr>
          <w:rFonts w:ascii="Arial" w:hAnsi="Arial" w:cs="Arial"/>
        </w:rPr>
        <w:t xml:space="preserve">and </w:t>
      </w:r>
      <w:r w:rsidR="006F2C95" w:rsidRPr="000774C7">
        <w:rPr>
          <w:rFonts w:ascii="Arial" w:hAnsi="Arial" w:cs="Arial"/>
        </w:rPr>
        <w:lastRenderedPageBreak/>
        <w:t>whether</w:t>
      </w:r>
      <w:r w:rsidR="003E7F3E" w:rsidRPr="000774C7">
        <w:rPr>
          <w:rFonts w:ascii="Arial" w:hAnsi="Arial" w:cs="Arial"/>
        </w:rPr>
        <w:t xml:space="preserve"> limited to </w:t>
      </w:r>
      <w:r w:rsidR="00F33AD3" w:rsidRPr="000774C7">
        <w:rPr>
          <w:rFonts w:ascii="Arial" w:hAnsi="Arial" w:cs="Arial"/>
        </w:rPr>
        <w:t xml:space="preserve">present transgressors or </w:t>
      </w:r>
      <w:r w:rsidR="003E7F3E" w:rsidRPr="000774C7">
        <w:rPr>
          <w:rFonts w:ascii="Arial" w:hAnsi="Arial" w:cs="Arial"/>
        </w:rPr>
        <w:t xml:space="preserve">extended to those </w:t>
      </w:r>
      <w:r w:rsidR="00F33AD3" w:rsidRPr="000774C7">
        <w:rPr>
          <w:rFonts w:ascii="Arial" w:hAnsi="Arial" w:cs="Arial"/>
        </w:rPr>
        <w:t xml:space="preserve">who may </w:t>
      </w:r>
      <w:r w:rsidR="003E7F3E" w:rsidRPr="000774C7">
        <w:rPr>
          <w:rFonts w:ascii="Arial" w:hAnsi="Arial" w:cs="Arial"/>
        </w:rPr>
        <w:t>subsequently infringe the owner’s rights</w:t>
      </w:r>
      <w:r w:rsidRPr="000774C7">
        <w:rPr>
          <w:rFonts w:ascii="Arial" w:hAnsi="Arial" w:cs="Arial"/>
        </w:rPr>
        <w:t>;</w:t>
      </w:r>
    </w:p>
    <w:p w:rsidR="000774C7" w:rsidRPr="000774C7" w:rsidRDefault="000774C7" w:rsidP="000774C7">
      <w:pPr>
        <w:pStyle w:val="ListParagraph"/>
        <w:rPr>
          <w:rFonts w:ascii="Arial" w:hAnsi="Arial" w:cs="Arial"/>
        </w:rPr>
      </w:pPr>
    </w:p>
    <w:p w:rsidR="004A4299" w:rsidRDefault="005E5444" w:rsidP="000774C7">
      <w:pPr>
        <w:pStyle w:val="ListParagraph"/>
        <w:numPr>
          <w:ilvl w:val="1"/>
          <w:numId w:val="3"/>
        </w:numPr>
        <w:spacing w:line="360" w:lineRule="auto"/>
        <w:rPr>
          <w:rFonts w:ascii="Arial" w:hAnsi="Arial" w:cs="Arial"/>
        </w:rPr>
      </w:pPr>
      <w:r w:rsidRPr="000774C7">
        <w:rPr>
          <w:rFonts w:ascii="Arial" w:hAnsi="Arial" w:cs="Arial"/>
        </w:rPr>
        <w:t xml:space="preserve">The method of serving </w:t>
      </w:r>
      <w:r w:rsidR="00F33AD3" w:rsidRPr="000774C7">
        <w:rPr>
          <w:rFonts w:ascii="Arial" w:hAnsi="Arial" w:cs="Arial"/>
        </w:rPr>
        <w:t xml:space="preserve">both </w:t>
      </w:r>
      <w:r w:rsidR="004A4299" w:rsidRPr="000774C7">
        <w:rPr>
          <w:rFonts w:ascii="Arial" w:hAnsi="Arial" w:cs="Arial"/>
        </w:rPr>
        <w:t>the application and any interim or final court order on a</w:t>
      </w:r>
      <w:r w:rsidR="00F33AD3" w:rsidRPr="000774C7">
        <w:rPr>
          <w:rFonts w:ascii="Arial" w:hAnsi="Arial" w:cs="Arial"/>
        </w:rPr>
        <w:t xml:space="preserve">lleged </w:t>
      </w:r>
      <w:r w:rsidR="004A4299" w:rsidRPr="000774C7">
        <w:rPr>
          <w:rFonts w:ascii="Arial" w:hAnsi="Arial" w:cs="Arial"/>
        </w:rPr>
        <w:t xml:space="preserve">transgressors and those who may </w:t>
      </w:r>
      <w:r w:rsidR="003E7F3E" w:rsidRPr="000774C7">
        <w:rPr>
          <w:rFonts w:ascii="Arial" w:hAnsi="Arial" w:cs="Arial"/>
        </w:rPr>
        <w:t xml:space="preserve">only </w:t>
      </w:r>
      <w:r w:rsidR="00F33AD3" w:rsidRPr="000774C7">
        <w:rPr>
          <w:rFonts w:ascii="Arial" w:hAnsi="Arial" w:cs="Arial"/>
        </w:rPr>
        <w:t>trans</w:t>
      </w:r>
      <w:r w:rsidR="000774C7">
        <w:rPr>
          <w:rFonts w:ascii="Arial" w:hAnsi="Arial" w:cs="Arial"/>
        </w:rPr>
        <w:t xml:space="preserve">gress </w:t>
      </w:r>
      <w:r w:rsidR="00195B3B">
        <w:rPr>
          <w:rFonts w:ascii="Arial" w:hAnsi="Arial" w:cs="Arial"/>
        </w:rPr>
        <w:t xml:space="preserve">sometime </w:t>
      </w:r>
      <w:r w:rsidR="000774C7">
        <w:rPr>
          <w:rFonts w:ascii="Arial" w:hAnsi="Arial" w:cs="Arial"/>
        </w:rPr>
        <w:t>in the future;</w:t>
      </w:r>
    </w:p>
    <w:p w:rsidR="000774C7" w:rsidRPr="000774C7" w:rsidRDefault="000774C7" w:rsidP="000774C7">
      <w:pPr>
        <w:pStyle w:val="ListParagraph"/>
        <w:rPr>
          <w:rFonts w:ascii="Arial" w:hAnsi="Arial" w:cs="Arial"/>
        </w:rPr>
      </w:pPr>
    </w:p>
    <w:p w:rsidR="004A4299" w:rsidRDefault="00F33AD3" w:rsidP="000774C7">
      <w:pPr>
        <w:pStyle w:val="ListParagraph"/>
        <w:numPr>
          <w:ilvl w:val="1"/>
          <w:numId w:val="3"/>
        </w:numPr>
        <w:spacing w:line="360" w:lineRule="auto"/>
        <w:rPr>
          <w:rFonts w:ascii="Arial" w:hAnsi="Arial" w:cs="Arial"/>
        </w:rPr>
      </w:pPr>
      <w:r w:rsidRPr="000774C7">
        <w:rPr>
          <w:rFonts w:ascii="Arial" w:hAnsi="Arial" w:cs="Arial"/>
        </w:rPr>
        <w:t>The requirement of notice to those who</w:t>
      </w:r>
      <w:r w:rsidR="004A4299" w:rsidRPr="000774C7">
        <w:rPr>
          <w:rFonts w:ascii="Arial" w:hAnsi="Arial" w:cs="Arial"/>
        </w:rPr>
        <w:t>se present conduct is complained of and those who in the future may conduct themselves in the same way;</w:t>
      </w:r>
    </w:p>
    <w:p w:rsidR="000774C7" w:rsidRPr="000774C7" w:rsidRDefault="000774C7" w:rsidP="000774C7">
      <w:pPr>
        <w:pStyle w:val="ListParagraph"/>
        <w:rPr>
          <w:rFonts w:ascii="Arial" w:hAnsi="Arial" w:cs="Arial"/>
        </w:rPr>
      </w:pPr>
    </w:p>
    <w:p w:rsidR="005E5444" w:rsidRDefault="004A4299" w:rsidP="000774C7">
      <w:pPr>
        <w:pStyle w:val="ListParagraph"/>
        <w:numPr>
          <w:ilvl w:val="1"/>
          <w:numId w:val="3"/>
        </w:numPr>
        <w:spacing w:line="360" w:lineRule="auto"/>
        <w:rPr>
          <w:rFonts w:ascii="Arial" w:hAnsi="Arial" w:cs="Arial"/>
        </w:rPr>
      </w:pPr>
      <w:r w:rsidRPr="000774C7">
        <w:rPr>
          <w:rFonts w:ascii="Arial" w:hAnsi="Arial" w:cs="Arial"/>
        </w:rPr>
        <w:t xml:space="preserve">The right </w:t>
      </w:r>
      <w:r w:rsidR="003E7F3E" w:rsidRPr="000774C7">
        <w:rPr>
          <w:rFonts w:ascii="Arial" w:hAnsi="Arial" w:cs="Arial"/>
        </w:rPr>
        <w:t xml:space="preserve">afforded of a hearing to </w:t>
      </w:r>
      <w:r w:rsidRPr="000774C7">
        <w:rPr>
          <w:rFonts w:ascii="Arial" w:hAnsi="Arial" w:cs="Arial"/>
        </w:rPr>
        <w:t xml:space="preserve">both currently affected parties and those who in the future may </w:t>
      </w:r>
      <w:r w:rsidR="003E7F3E" w:rsidRPr="000774C7">
        <w:rPr>
          <w:rFonts w:ascii="Arial" w:hAnsi="Arial" w:cs="Arial"/>
        </w:rPr>
        <w:t>be affected by an interim or final order gra</w:t>
      </w:r>
      <w:r w:rsidR="000774C7">
        <w:rPr>
          <w:rFonts w:ascii="Arial" w:hAnsi="Arial" w:cs="Arial"/>
        </w:rPr>
        <w:t>nted in favour of the landowner;</w:t>
      </w:r>
    </w:p>
    <w:p w:rsidR="000774C7" w:rsidRPr="000774C7" w:rsidRDefault="000774C7" w:rsidP="000774C7">
      <w:pPr>
        <w:pStyle w:val="ListParagraph"/>
        <w:rPr>
          <w:rFonts w:ascii="Arial" w:hAnsi="Arial" w:cs="Arial"/>
        </w:rPr>
      </w:pPr>
    </w:p>
    <w:p w:rsidR="000B01E6" w:rsidRDefault="00611AF8" w:rsidP="000774C7">
      <w:pPr>
        <w:pStyle w:val="ListParagraph"/>
        <w:numPr>
          <w:ilvl w:val="1"/>
          <w:numId w:val="3"/>
        </w:numPr>
        <w:spacing w:line="360" w:lineRule="auto"/>
        <w:rPr>
          <w:rFonts w:ascii="Arial" w:hAnsi="Arial" w:cs="Arial"/>
        </w:rPr>
      </w:pPr>
      <w:r>
        <w:rPr>
          <w:rFonts w:ascii="Arial" w:hAnsi="Arial" w:cs="Arial"/>
        </w:rPr>
        <w:t>The requirement that c</w:t>
      </w:r>
      <w:r w:rsidR="000774C7">
        <w:rPr>
          <w:rFonts w:ascii="Arial" w:hAnsi="Arial" w:cs="Arial"/>
        </w:rPr>
        <w:t>ourt orders must be effective;</w:t>
      </w:r>
    </w:p>
    <w:p w:rsidR="000B01E6" w:rsidRPr="000B01E6" w:rsidRDefault="000B01E6" w:rsidP="000B01E6">
      <w:pPr>
        <w:pStyle w:val="ListParagraph"/>
        <w:rPr>
          <w:rFonts w:ascii="Arial" w:hAnsi="Arial" w:cs="Arial"/>
        </w:rPr>
      </w:pPr>
    </w:p>
    <w:p w:rsidR="00611AF8" w:rsidRPr="003610CF" w:rsidRDefault="000B01E6" w:rsidP="003610CF">
      <w:pPr>
        <w:pStyle w:val="ListParagraph"/>
        <w:spacing w:line="360" w:lineRule="auto"/>
        <w:ind w:left="1080"/>
        <w:rPr>
          <w:rFonts w:ascii="Arial" w:hAnsi="Arial" w:cs="Arial"/>
        </w:rPr>
      </w:pPr>
      <w:r>
        <w:rPr>
          <w:rFonts w:ascii="Arial" w:hAnsi="Arial" w:cs="Arial"/>
        </w:rPr>
        <w:t>I</w:t>
      </w:r>
      <w:r w:rsidRPr="000B01E6">
        <w:rPr>
          <w:rFonts w:ascii="Arial" w:hAnsi="Arial" w:cs="Arial"/>
        </w:rPr>
        <w:t>n this context</w:t>
      </w:r>
      <w:r>
        <w:rPr>
          <w:rFonts w:ascii="Arial" w:hAnsi="Arial" w:cs="Arial"/>
        </w:rPr>
        <w:t xml:space="preserve">, </w:t>
      </w:r>
      <w:r w:rsidR="00434178" w:rsidRPr="000B01E6">
        <w:rPr>
          <w:rFonts w:ascii="Arial" w:hAnsi="Arial" w:cs="Arial"/>
        </w:rPr>
        <w:t xml:space="preserve">once a competent order is made then all those to whom it is directed are </w:t>
      </w:r>
      <w:r w:rsidR="000774C7">
        <w:rPr>
          <w:rFonts w:ascii="Arial" w:hAnsi="Arial" w:cs="Arial"/>
        </w:rPr>
        <w:t xml:space="preserve">subject </w:t>
      </w:r>
      <w:r w:rsidR="00434178" w:rsidRPr="000B01E6">
        <w:rPr>
          <w:rFonts w:ascii="Arial" w:hAnsi="Arial" w:cs="Arial"/>
        </w:rPr>
        <w:t>not only to its terms but also subject to contempt o</w:t>
      </w:r>
      <w:r w:rsidR="00611AF8">
        <w:rPr>
          <w:rFonts w:ascii="Arial" w:hAnsi="Arial" w:cs="Arial"/>
        </w:rPr>
        <w:t>f court proceedings provided its</w:t>
      </w:r>
      <w:r w:rsidR="00434178" w:rsidRPr="000B01E6">
        <w:rPr>
          <w:rFonts w:ascii="Arial" w:hAnsi="Arial" w:cs="Arial"/>
        </w:rPr>
        <w:t xml:space="preserve"> req</w:t>
      </w:r>
      <w:r>
        <w:rPr>
          <w:rFonts w:ascii="Arial" w:hAnsi="Arial" w:cs="Arial"/>
        </w:rPr>
        <w:t>u</w:t>
      </w:r>
      <w:r w:rsidR="00434178" w:rsidRPr="000B01E6">
        <w:rPr>
          <w:rFonts w:ascii="Arial" w:hAnsi="Arial" w:cs="Arial"/>
        </w:rPr>
        <w:t>ir</w:t>
      </w:r>
      <w:r>
        <w:rPr>
          <w:rFonts w:ascii="Arial" w:hAnsi="Arial" w:cs="Arial"/>
        </w:rPr>
        <w:t>e</w:t>
      </w:r>
      <w:r w:rsidR="00434178" w:rsidRPr="000B01E6">
        <w:rPr>
          <w:rFonts w:ascii="Arial" w:hAnsi="Arial" w:cs="Arial"/>
        </w:rPr>
        <w:t xml:space="preserve">ments </w:t>
      </w:r>
      <w:r>
        <w:rPr>
          <w:rFonts w:ascii="Arial" w:hAnsi="Arial" w:cs="Arial"/>
        </w:rPr>
        <w:t>are met</w:t>
      </w:r>
      <w:r w:rsidR="00434178" w:rsidRPr="000B01E6">
        <w:rPr>
          <w:rFonts w:ascii="Arial" w:hAnsi="Arial" w:cs="Arial"/>
        </w:rPr>
        <w:t xml:space="preserve">.  </w:t>
      </w:r>
    </w:p>
    <w:p w:rsidR="00434178" w:rsidRDefault="00434178" w:rsidP="00434178">
      <w:pPr>
        <w:pStyle w:val="ListParagraph"/>
        <w:spacing w:line="360" w:lineRule="auto"/>
        <w:ind w:left="360"/>
        <w:rPr>
          <w:rFonts w:ascii="Arial" w:hAnsi="Arial" w:cs="Arial"/>
        </w:rPr>
      </w:pPr>
    </w:p>
    <w:p w:rsidR="00C43948" w:rsidRDefault="00434178" w:rsidP="00611AF8">
      <w:pPr>
        <w:pStyle w:val="ListParagraph"/>
        <w:numPr>
          <w:ilvl w:val="0"/>
          <w:numId w:val="3"/>
        </w:numPr>
        <w:spacing w:line="360" w:lineRule="auto"/>
        <w:rPr>
          <w:rFonts w:ascii="Arial" w:hAnsi="Arial" w:cs="Arial"/>
        </w:rPr>
      </w:pPr>
      <w:r>
        <w:rPr>
          <w:rFonts w:ascii="Arial" w:hAnsi="Arial" w:cs="Arial"/>
        </w:rPr>
        <w:t xml:space="preserve">By way of illustration, if </w:t>
      </w:r>
      <w:r w:rsidR="00C43948">
        <w:rPr>
          <w:rFonts w:ascii="Arial" w:hAnsi="Arial" w:cs="Arial"/>
        </w:rPr>
        <w:t xml:space="preserve">the terms of </w:t>
      </w:r>
      <w:r>
        <w:rPr>
          <w:rFonts w:ascii="Arial" w:hAnsi="Arial" w:cs="Arial"/>
        </w:rPr>
        <w:t xml:space="preserve">an interim order prevent </w:t>
      </w:r>
      <w:r w:rsidR="003610CF">
        <w:rPr>
          <w:rFonts w:ascii="Arial" w:hAnsi="Arial" w:cs="Arial"/>
        </w:rPr>
        <w:t xml:space="preserve">not only </w:t>
      </w:r>
      <w:r>
        <w:rPr>
          <w:rFonts w:ascii="Arial" w:hAnsi="Arial" w:cs="Arial"/>
        </w:rPr>
        <w:t>those presently attempting to trespass on land</w:t>
      </w:r>
      <w:r w:rsidR="00C43948">
        <w:rPr>
          <w:rFonts w:ascii="Arial" w:hAnsi="Arial" w:cs="Arial"/>
        </w:rPr>
        <w:t xml:space="preserve"> </w:t>
      </w:r>
      <w:r w:rsidR="003610CF">
        <w:rPr>
          <w:rFonts w:ascii="Arial" w:hAnsi="Arial" w:cs="Arial"/>
        </w:rPr>
        <w:t xml:space="preserve">from doing so but also </w:t>
      </w:r>
      <w:r>
        <w:rPr>
          <w:rFonts w:ascii="Arial" w:hAnsi="Arial" w:cs="Arial"/>
        </w:rPr>
        <w:t xml:space="preserve">anyone who in the future may </w:t>
      </w:r>
      <w:r w:rsidR="00195B3B">
        <w:rPr>
          <w:rFonts w:ascii="Arial" w:hAnsi="Arial" w:cs="Arial"/>
        </w:rPr>
        <w:t>try and</w:t>
      </w:r>
      <w:r w:rsidR="003610CF">
        <w:rPr>
          <w:rFonts w:ascii="Arial" w:hAnsi="Arial" w:cs="Arial"/>
        </w:rPr>
        <w:t xml:space="preserve"> do so</w:t>
      </w:r>
      <w:r w:rsidR="00195B3B">
        <w:rPr>
          <w:rFonts w:ascii="Arial" w:hAnsi="Arial" w:cs="Arial"/>
        </w:rPr>
        <w:t>,</w:t>
      </w:r>
      <w:r w:rsidR="003610CF">
        <w:rPr>
          <w:rFonts w:ascii="Arial" w:hAnsi="Arial" w:cs="Arial"/>
        </w:rPr>
        <w:t xml:space="preserve"> </w:t>
      </w:r>
      <w:r w:rsidR="000774C7">
        <w:rPr>
          <w:rFonts w:ascii="Arial" w:hAnsi="Arial" w:cs="Arial"/>
        </w:rPr>
        <w:t>then</w:t>
      </w:r>
      <w:r w:rsidR="00195B3B">
        <w:rPr>
          <w:rFonts w:ascii="Arial" w:hAnsi="Arial" w:cs="Arial"/>
        </w:rPr>
        <w:t>;</w:t>
      </w:r>
    </w:p>
    <w:p w:rsidR="000774C7" w:rsidRDefault="000774C7" w:rsidP="00434178">
      <w:pPr>
        <w:pStyle w:val="ListParagraph"/>
        <w:spacing w:line="360" w:lineRule="auto"/>
        <w:ind w:left="360"/>
        <w:rPr>
          <w:rFonts w:ascii="Arial" w:hAnsi="Arial" w:cs="Arial"/>
        </w:rPr>
      </w:pPr>
    </w:p>
    <w:p w:rsidR="00C43948" w:rsidRDefault="003610CF" w:rsidP="000774C7">
      <w:pPr>
        <w:pStyle w:val="ListParagraph"/>
        <w:numPr>
          <w:ilvl w:val="0"/>
          <w:numId w:val="19"/>
        </w:numPr>
        <w:spacing w:line="360" w:lineRule="auto"/>
        <w:rPr>
          <w:rFonts w:ascii="Arial" w:hAnsi="Arial" w:cs="Arial"/>
        </w:rPr>
      </w:pPr>
      <w:r>
        <w:rPr>
          <w:rFonts w:ascii="Arial" w:hAnsi="Arial" w:cs="Arial"/>
        </w:rPr>
        <w:t>w</w:t>
      </w:r>
      <w:r w:rsidR="00C43948" w:rsidRPr="000774C7">
        <w:rPr>
          <w:rFonts w:ascii="Arial" w:hAnsi="Arial" w:cs="Arial"/>
        </w:rPr>
        <w:t xml:space="preserve">ill the </w:t>
      </w:r>
      <w:r>
        <w:rPr>
          <w:rFonts w:ascii="Arial" w:hAnsi="Arial" w:cs="Arial"/>
        </w:rPr>
        <w:t>order bar any future trespass</w:t>
      </w:r>
      <w:r w:rsidR="00C43948" w:rsidRPr="000774C7">
        <w:rPr>
          <w:rFonts w:ascii="Arial" w:hAnsi="Arial" w:cs="Arial"/>
        </w:rPr>
        <w:t xml:space="preserve"> </w:t>
      </w:r>
      <w:r>
        <w:rPr>
          <w:rFonts w:ascii="Arial" w:hAnsi="Arial" w:cs="Arial"/>
        </w:rPr>
        <w:t xml:space="preserve">on the land </w:t>
      </w:r>
      <w:r w:rsidR="00C43948" w:rsidRPr="000774C7">
        <w:rPr>
          <w:rFonts w:ascii="Arial" w:hAnsi="Arial" w:cs="Arial"/>
        </w:rPr>
        <w:t xml:space="preserve">by </w:t>
      </w:r>
      <w:r>
        <w:rPr>
          <w:rFonts w:ascii="Arial" w:hAnsi="Arial" w:cs="Arial"/>
        </w:rPr>
        <w:t xml:space="preserve">others </w:t>
      </w:r>
      <w:r w:rsidR="00C43948" w:rsidRPr="000774C7">
        <w:rPr>
          <w:rFonts w:ascii="Arial" w:hAnsi="Arial" w:cs="Arial"/>
        </w:rPr>
        <w:t xml:space="preserve">and entitle the owner to promptly have the sheriff remove them from the </w:t>
      </w:r>
      <w:r w:rsidR="000774C7">
        <w:rPr>
          <w:rFonts w:ascii="Arial" w:hAnsi="Arial" w:cs="Arial"/>
        </w:rPr>
        <w:t>land without returning to court?</w:t>
      </w:r>
    </w:p>
    <w:p w:rsidR="000774C7" w:rsidRDefault="000774C7" w:rsidP="000774C7">
      <w:pPr>
        <w:pStyle w:val="ListParagraph"/>
        <w:spacing w:line="360" w:lineRule="auto"/>
        <w:ind w:left="1080"/>
        <w:rPr>
          <w:rFonts w:ascii="Arial" w:hAnsi="Arial" w:cs="Arial"/>
        </w:rPr>
      </w:pPr>
    </w:p>
    <w:p w:rsidR="003E7F3E" w:rsidRPr="000774C7" w:rsidRDefault="003610CF" w:rsidP="000774C7">
      <w:pPr>
        <w:pStyle w:val="ListParagraph"/>
        <w:numPr>
          <w:ilvl w:val="0"/>
          <w:numId w:val="19"/>
        </w:numPr>
        <w:spacing w:line="360" w:lineRule="auto"/>
        <w:rPr>
          <w:rFonts w:ascii="Arial" w:hAnsi="Arial" w:cs="Arial"/>
        </w:rPr>
      </w:pPr>
      <w:r>
        <w:rPr>
          <w:rFonts w:ascii="Arial" w:hAnsi="Arial" w:cs="Arial"/>
        </w:rPr>
        <w:t>w</w:t>
      </w:r>
      <w:r w:rsidR="00C43948" w:rsidRPr="000774C7">
        <w:rPr>
          <w:rFonts w:ascii="Arial" w:hAnsi="Arial" w:cs="Arial"/>
        </w:rPr>
        <w:t xml:space="preserve">ill the owner be entitled to bring contempt of court </w:t>
      </w:r>
      <w:r w:rsidR="006F2C95" w:rsidRPr="000774C7">
        <w:rPr>
          <w:rFonts w:ascii="Arial" w:hAnsi="Arial" w:cs="Arial"/>
        </w:rPr>
        <w:t>proceedings</w:t>
      </w:r>
      <w:r w:rsidR="00C43948" w:rsidRPr="000774C7">
        <w:rPr>
          <w:rFonts w:ascii="Arial" w:hAnsi="Arial" w:cs="Arial"/>
        </w:rPr>
        <w:t xml:space="preserve"> against anyone who comes onto the land after the order is granted </w:t>
      </w:r>
      <w:r w:rsidR="008620F2" w:rsidRPr="000774C7">
        <w:rPr>
          <w:rFonts w:ascii="Arial" w:hAnsi="Arial" w:cs="Arial"/>
        </w:rPr>
        <w:t>even i</w:t>
      </w:r>
      <w:r w:rsidR="00C43948" w:rsidRPr="000774C7">
        <w:rPr>
          <w:rFonts w:ascii="Arial" w:hAnsi="Arial" w:cs="Arial"/>
        </w:rPr>
        <w:t xml:space="preserve">f they were not part of the original </w:t>
      </w:r>
      <w:r w:rsidR="008620F2" w:rsidRPr="000774C7">
        <w:rPr>
          <w:rFonts w:ascii="Arial" w:hAnsi="Arial" w:cs="Arial"/>
        </w:rPr>
        <w:t>group</w:t>
      </w:r>
      <w:r w:rsidR="00C43948" w:rsidRPr="000774C7">
        <w:rPr>
          <w:rFonts w:ascii="Arial" w:hAnsi="Arial" w:cs="Arial"/>
        </w:rPr>
        <w:t xml:space="preserve"> </w:t>
      </w:r>
      <w:r w:rsidR="000774C7">
        <w:rPr>
          <w:rFonts w:ascii="Arial" w:hAnsi="Arial" w:cs="Arial"/>
        </w:rPr>
        <w:t xml:space="preserve">against whom the order </w:t>
      </w:r>
      <w:r>
        <w:rPr>
          <w:rFonts w:ascii="Arial" w:hAnsi="Arial" w:cs="Arial"/>
        </w:rPr>
        <w:t>w</w:t>
      </w:r>
      <w:r w:rsidR="000774C7">
        <w:rPr>
          <w:rFonts w:ascii="Arial" w:hAnsi="Arial" w:cs="Arial"/>
        </w:rPr>
        <w:t>as made?</w:t>
      </w:r>
    </w:p>
    <w:p w:rsidR="00C43948" w:rsidRPr="00C43948" w:rsidRDefault="00C43948" w:rsidP="00C43948">
      <w:pPr>
        <w:pStyle w:val="ListParagraph"/>
        <w:rPr>
          <w:rFonts w:ascii="Arial" w:hAnsi="Arial" w:cs="Arial"/>
        </w:rPr>
      </w:pPr>
    </w:p>
    <w:p w:rsidR="00C43948" w:rsidRPr="000774C7" w:rsidRDefault="00C43948" w:rsidP="00A218A9">
      <w:pPr>
        <w:spacing w:line="360" w:lineRule="auto"/>
        <w:rPr>
          <w:rFonts w:ascii="Arial" w:hAnsi="Arial" w:cs="Arial"/>
          <w:b/>
        </w:rPr>
      </w:pPr>
      <w:r w:rsidRPr="000774C7">
        <w:rPr>
          <w:rFonts w:ascii="Arial" w:hAnsi="Arial" w:cs="Arial"/>
          <w:b/>
        </w:rPr>
        <w:t>Citation</w:t>
      </w:r>
    </w:p>
    <w:p w:rsidR="00914CA4" w:rsidRPr="00914CA4" w:rsidRDefault="00914CA4" w:rsidP="00914CA4">
      <w:pPr>
        <w:pStyle w:val="ListParagraph"/>
        <w:rPr>
          <w:rFonts w:ascii="Arial" w:hAnsi="Arial" w:cs="Arial"/>
        </w:rPr>
      </w:pPr>
    </w:p>
    <w:p w:rsidR="00743574" w:rsidRDefault="00914CA4" w:rsidP="00AF22DC">
      <w:pPr>
        <w:pStyle w:val="ListParagraph"/>
        <w:numPr>
          <w:ilvl w:val="0"/>
          <w:numId w:val="3"/>
        </w:numPr>
        <w:spacing w:line="360" w:lineRule="auto"/>
        <w:rPr>
          <w:rFonts w:ascii="Arial" w:hAnsi="Arial" w:cs="Arial"/>
        </w:rPr>
      </w:pPr>
      <w:r>
        <w:rPr>
          <w:rFonts w:ascii="Arial" w:hAnsi="Arial" w:cs="Arial"/>
        </w:rPr>
        <w:t>Earlier</w:t>
      </w:r>
      <w:r w:rsidR="00195B3B">
        <w:rPr>
          <w:rFonts w:ascii="Arial" w:hAnsi="Arial" w:cs="Arial"/>
        </w:rPr>
        <w:t>,</w:t>
      </w:r>
      <w:r>
        <w:rPr>
          <w:rFonts w:ascii="Arial" w:hAnsi="Arial" w:cs="Arial"/>
        </w:rPr>
        <w:t xml:space="preserve"> reference was made to </w:t>
      </w:r>
      <w:r w:rsidRPr="00C560B0">
        <w:rPr>
          <w:rFonts w:ascii="Arial" w:hAnsi="Arial" w:cs="Arial"/>
          <w:i/>
        </w:rPr>
        <w:t>Mtshali</w:t>
      </w:r>
      <w:r>
        <w:rPr>
          <w:rFonts w:ascii="Arial" w:hAnsi="Arial" w:cs="Arial"/>
        </w:rPr>
        <w:t xml:space="preserve">. </w:t>
      </w:r>
      <w:r w:rsidR="00217C79">
        <w:rPr>
          <w:rFonts w:ascii="Arial" w:hAnsi="Arial" w:cs="Arial"/>
        </w:rPr>
        <w:t>The case acknowledged that the</w:t>
      </w:r>
      <w:r w:rsidR="00217C79" w:rsidRPr="00217C79">
        <w:rPr>
          <w:rFonts w:ascii="Arial" w:hAnsi="Arial" w:cs="Arial"/>
        </w:rPr>
        <w:t xml:space="preserve"> citation of the occupiers as an unknown group occ</w:t>
      </w:r>
      <w:r w:rsidR="00217C79">
        <w:rPr>
          <w:rFonts w:ascii="Arial" w:hAnsi="Arial" w:cs="Arial"/>
        </w:rPr>
        <w:t xml:space="preserve">upying a particular property </w:t>
      </w:r>
      <w:r w:rsidR="00217C79">
        <w:rPr>
          <w:rFonts w:ascii="Arial" w:hAnsi="Arial" w:cs="Arial"/>
        </w:rPr>
        <w:lastRenderedPageBreak/>
        <w:t>had</w:t>
      </w:r>
      <w:r w:rsidR="00217C79" w:rsidRPr="00217C79">
        <w:rPr>
          <w:rFonts w:ascii="Arial" w:hAnsi="Arial" w:cs="Arial"/>
        </w:rPr>
        <w:t xml:space="preserve"> become standard</w:t>
      </w:r>
      <w:r w:rsidR="00217C79">
        <w:rPr>
          <w:rFonts w:ascii="Arial" w:hAnsi="Arial" w:cs="Arial"/>
        </w:rPr>
        <w:t xml:space="preserve"> as evidenced by the </w:t>
      </w:r>
      <w:r w:rsidR="003610CF">
        <w:rPr>
          <w:rFonts w:ascii="Arial" w:hAnsi="Arial" w:cs="Arial"/>
        </w:rPr>
        <w:t>citation of parties in</w:t>
      </w:r>
      <w:r w:rsidR="00217C79" w:rsidRPr="00217C79">
        <w:rPr>
          <w:rFonts w:ascii="Arial" w:hAnsi="Arial" w:cs="Arial"/>
        </w:rPr>
        <w:t xml:space="preserve"> cases coming before the Constitutional Court and the S</w:t>
      </w:r>
      <w:r w:rsidR="003610CF">
        <w:rPr>
          <w:rFonts w:ascii="Arial" w:hAnsi="Arial" w:cs="Arial"/>
        </w:rPr>
        <w:t>CA</w:t>
      </w:r>
      <w:r w:rsidR="00217C79">
        <w:rPr>
          <w:rFonts w:ascii="Arial" w:hAnsi="Arial" w:cs="Arial"/>
        </w:rPr>
        <w:t xml:space="preserve">. </w:t>
      </w:r>
    </w:p>
    <w:p w:rsidR="00743574" w:rsidRPr="00743574" w:rsidRDefault="00743574" w:rsidP="00743574">
      <w:pPr>
        <w:pStyle w:val="ListParagraph"/>
        <w:rPr>
          <w:rFonts w:ascii="Arial" w:hAnsi="Arial" w:cs="Arial"/>
        </w:rPr>
      </w:pPr>
    </w:p>
    <w:p w:rsidR="00743574" w:rsidRDefault="00217C79" w:rsidP="008620F2">
      <w:pPr>
        <w:pStyle w:val="ListParagraph"/>
        <w:spacing w:line="360" w:lineRule="auto"/>
        <w:ind w:left="360"/>
        <w:rPr>
          <w:rFonts w:ascii="Arial" w:hAnsi="Arial" w:cs="Arial"/>
        </w:rPr>
      </w:pPr>
      <w:r>
        <w:rPr>
          <w:rFonts w:ascii="Arial" w:hAnsi="Arial" w:cs="Arial"/>
        </w:rPr>
        <w:t>The court also considered that</w:t>
      </w:r>
      <w:r w:rsidR="00C43948">
        <w:rPr>
          <w:rFonts w:ascii="Arial" w:hAnsi="Arial" w:cs="Arial"/>
        </w:rPr>
        <w:t>,</w:t>
      </w:r>
      <w:r>
        <w:rPr>
          <w:rFonts w:ascii="Arial" w:hAnsi="Arial" w:cs="Arial"/>
        </w:rPr>
        <w:t xml:space="preserve"> </w:t>
      </w:r>
      <w:r w:rsidR="00C43948">
        <w:rPr>
          <w:rFonts w:ascii="Arial" w:hAnsi="Arial" w:cs="Arial"/>
        </w:rPr>
        <w:t xml:space="preserve">absent prejudice, </w:t>
      </w:r>
      <w:r>
        <w:rPr>
          <w:rFonts w:ascii="Arial" w:hAnsi="Arial" w:cs="Arial"/>
        </w:rPr>
        <w:t>the failure to first ask condonation for citing parties in such</w:t>
      </w:r>
      <w:r w:rsidR="00195B3B">
        <w:rPr>
          <w:rFonts w:ascii="Arial" w:hAnsi="Arial" w:cs="Arial"/>
        </w:rPr>
        <w:t xml:space="preserve"> a manner </w:t>
      </w:r>
      <w:r w:rsidR="00C43948">
        <w:rPr>
          <w:rFonts w:ascii="Arial" w:hAnsi="Arial" w:cs="Arial"/>
        </w:rPr>
        <w:t xml:space="preserve">was competent </w:t>
      </w:r>
      <w:r>
        <w:rPr>
          <w:rFonts w:ascii="Arial" w:hAnsi="Arial" w:cs="Arial"/>
        </w:rPr>
        <w:t xml:space="preserve">where it was not reasonably possible to ascertain </w:t>
      </w:r>
      <w:r w:rsidR="007B7FB1">
        <w:rPr>
          <w:rFonts w:ascii="Arial" w:hAnsi="Arial" w:cs="Arial"/>
        </w:rPr>
        <w:t xml:space="preserve">the </w:t>
      </w:r>
      <w:r>
        <w:rPr>
          <w:rFonts w:ascii="Arial" w:hAnsi="Arial" w:cs="Arial"/>
        </w:rPr>
        <w:t>identities</w:t>
      </w:r>
      <w:r w:rsidR="007B7FB1">
        <w:rPr>
          <w:rFonts w:ascii="Arial" w:hAnsi="Arial" w:cs="Arial"/>
        </w:rPr>
        <w:t xml:space="preserve"> of individuals to whom the application relates. </w:t>
      </w:r>
    </w:p>
    <w:p w:rsidR="00743574" w:rsidRDefault="00743574" w:rsidP="00743574">
      <w:pPr>
        <w:pStyle w:val="ListParagraph"/>
        <w:spacing w:line="360" w:lineRule="auto"/>
        <w:ind w:left="360"/>
        <w:rPr>
          <w:rFonts w:ascii="Arial" w:hAnsi="Arial" w:cs="Arial"/>
        </w:rPr>
      </w:pPr>
    </w:p>
    <w:p w:rsidR="00A422CC" w:rsidRDefault="00D40E9B" w:rsidP="00AF22DC">
      <w:pPr>
        <w:pStyle w:val="ListParagraph"/>
        <w:numPr>
          <w:ilvl w:val="0"/>
          <w:numId w:val="3"/>
        </w:numPr>
        <w:spacing w:line="360" w:lineRule="auto"/>
        <w:rPr>
          <w:rFonts w:ascii="Arial" w:hAnsi="Arial" w:cs="Arial"/>
        </w:rPr>
      </w:pPr>
      <w:r w:rsidRPr="00FA5A82">
        <w:rPr>
          <w:rFonts w:ascii="Arial" w:hAnsi="Arial" w:cs="Arial"/>
        </w:rPr>
        <w:t xml:space="preserve">In </w:t>
      </w:r>
      <w:r w:rsidR="00743574" w:rsidRPr="00FA5A82">
        <w:rPr>
          <w:rFonts w:ascii="Arial" w:hAnsi="Arial" w:cs="Arial"/>
        </w:rPr>
        <w:t>research</w:t>
      </w:r>
      <w:r w:rsidRPr="00FA5A82">
        <w:rPr>
          <w:rFonts w:ascii="Arial" w:hAnsi="Arial" w:cs="Arial"/>
        </w:rPr>
        <w:t xml:space="preserve">ing for this case a number of </w:t>
      </w:r>
      <w:r w:rsidR="003B40CA">
        <w:rPr>
          <w:rFonts w:ascii="Arial" w:hAnsi="Arial" w:cs="Arial"/>
        </w:rPr>
        <w:t xml:space="preserve">recent </w:t>
      </w:r>
      <w:r w:rsidRPr="00FA5A82">
        <w:rPr>
          <w:rFonts w:ascii="Arial" w:hAnsi="Arial" w:cs="Arial"/>
        </w:rPr>
        <w:t xml:space="preserve">English cases </w:t>
      </w:r>
      <w:r w:rsidR="00195B3B">
        <w:rPr>
          <w:rFonts w:ascii="Arial" w:hAnsi="Arial" w:cs="Arial"/>
        </w:rPr>
        <w:t>which have</w:t>
      </w:r>
      <w:r w:rsidR="00195B3B" w:rsidRPr="00FA5A82">
        <w:rPr>
          <w:rFonts w:ascii="Arial" w:hAnsi="Arial" w:cs="Arial"/>
        </w:rPr>
        <w:t xml:space="preserve"> grappled with similar issues </w:t>
      </w:r>
      <w:r w:rsidR="00FA5A82" w:rsidRPr="00FA5A82">
        <w:rPr>
          <w:rFonts w:ascii="Arial" w:hAnsi="Arial" w:cs="Arial"/>
        </w:rPr>
        <w:t>came up</w:t>
      </w:r>
      <w:r w:rsidRPr="00FA5A82">
        <w:rPr>
          <w:rFonts w:ascii="Arial" w:hAnsi="Arial" w:cs="Arial"/>
        </w:rPr>
        <w:t xml:space="preserve">. </w:t>
      </w:r>
      <w:r w:rsidR="00A218A9">
        <w:rPr>
          <w:rFonts w:ascii="Arial" w:hAnsi="Arial" w:cs="Arial"/>
        </w:rPr>
        <w:t xml:space="preserve">These cases </w:t>
      </w:r>
      <w:r w:rsidR="00F934ED">
        <w:rPr>
          <w:rFonts w:ascii="Arial" w:hAnsi="Arial" w:cs="Arial"/>
        </w:rPr>
        <w:t>have ranged from trespass and nuisance injunctions brought against unlawful encampments by Romani communities to environmenta</w:t>
      </w:r>
      <w:r w:rsidR="00A422CC">
        <w:rPr>
          <w:rFonts w:ascii="Arial" w:hAnsi="Arial" w:cs="Arial"/>
        </w:rPr>
        <w:t>lists</w:t>
      </w:r>
      <w:r w:rsidR="00195B3B">
        <w:rPr>
          <w:rFonts w:ascii="Arial" w:hAnsi="Arial" w:cs="Arial"/>
        </w:rPr>
        <w:t xml:space="preserve"> who ca</w:t>
      </w:r>
      <w:r w:rsidR="00F934ED">
        <w:rPr>
          <w:rFonts w:ascii="Arial" w:hAnsi="Arial" w:cs="Arial"/>
        </w:rPr>
        <w:t xml:space="preserve">me onto </w:t>
      </w:r>
      <w:r w:rsidR="00A422CC">
        <w:rPr>
          <w:rFonts w:ascii="Arial" w:hAnsi="Arial" w:cs="Arial"/>
        </w:rPr>
        <w:t>open</w:t>
      </w:r>
      <w:r w:rsidR="00F934ED">
        <w:rPr>
          <w:rFonts w:ascii="Arial" w:hAnsi="Arial" w:cs="Arial"/>
        </w:rPr>
        <w:t xml:space="preserve"> </w:t>
      </w:r>
      <w:r w:rsidR="006F2C95">
        <w:rPr>
          <w:rFonts w:ascii="Arial" w:hAnsi="Arial" w:cs="Arial"/>
        </w:rPr>
        <w:t>land in</w:t>
      </w:r>
      <w:r w:rsidR="00691182">
        <w:rPr>
          <w:rFonts w:ascii="Arial" w:hAnsi="Arial" w:cs="Arial"/>
        </w:rPr>
        <w:t xml:space="preserve"> order to protest </w:t>
      </w:r>
      <w:r w:rsidR="00F934ED">
        <w:rPr>
          <w:rFonts w:ascii="Arial" w:hAnsi="Arial" w:cs="Arial"/>
        </w:rPr>
        <w:t>against</w:t>
      </w:r>
      <w:r w:rsidR="00A422CC">
        <w:rPr>
          <w:rFonts w:ascii="Arial" w:hAnsi="Arial" w:cs="Arial"/>
        </w:rPr>
        <w:t xml:space="preserve"> </w:t>
      </w:r>
      <w:r w:rsidR="006F2C95">
        <w:rPr>
          <w:rFonts w:ascii="Arial" w:hAnsi="Arial" w:cs="Arial"/>
        </w:rPr>
        <w:t>its development</w:t>
      </w:r>
      <w:r w:rsidR="00691182">
        <w:rPr>
          <w:rFonts w:ascii="Arial" w:hAnsi="Arial" w:cs="Arial"/>
        </w:rPr>
        <w:t>,</w:t>
      </w:r>
      <w:r w:rsidR="00A422CC">
        <w:rPr>
          <w:rFonts w:ascii="Arial" w:hAnsi="Arial" w:cs="Arial"/>
        </w:rPr>
        <w:t xml:space="preserve"> but whose individual identities </w:t>
      </w:r>
      <w:r w:rsidR="00691182">
        <w:rPr>
          <w:rFonts w:ascii="Arial" w:hAnsi="Arial" w:cs="Arial"/>
        </w:rPr>
        <w:t xml:space="preserve">in each case </w:t>
      </w:r>
      <w:r w:rsidR="00A422CC">
        <w:rPr>
          <w:rFonts w:ascii="Arial" w:hAnsi="Arial" w:cs="Arial"/>
        </w:rPr>
        <w:t xml:space="preserve">are unknown. </w:t>
      </w:r>
    </w:p>
    <w:p w:rsidR="00A422CC" w:rsidRDefault="00A422CC" w:rsidP="00A422CC">
      <w:pPr>
        <w:pStyle w:val="ListParagraph"/>
        <w:spacing w:line="360" w:lineRule="auto"/>
        <w:ind w:left="360"/>
        <w:rPr>
          <w:rFonts w:ascii="Arial" w:hAnsi="Arial" w:cs="Arial"/>
        </w:rPr>
      </w:pPr>
    </w:p>
    <w:p w:rsidR="002B062F" w:rsidRDefault="00A422CC" w:rsidP="00A422CC">
      <w:pPr>
        <w:pStyle w:val="ListParagraph"/>
        <w:spacing w:line="360" w:lineRule="auto"/>
        <w:ind w:left="360"/>
        <w:rPr>
          <w:rFonts w:ascii="Arial" w:hAnsi="Arial" w:cs="Arial"/>
        </w:rPr>
      </w:pPr>
      <w:r>
        <w:rPr>
          <w:rFonts w:ascii="Arial" w:hAnsi="Arial" w:cs="Arial"/>
        </w:rPr>
        <w:t xml:space="preserve">Furthermore the injunctions </w:t>
      </w:r>
      <w:r w:rsidR="0086726F">
        <w:rPr>
          <w:rFonts w:ascii="Arial" w:hAnsi="Arial" w:cs="Arial"/>
        </w:rPr>
        <w:t xml:space="preserve">have been </w:t>
      </w:r>
      <w:r>
        <w:rPr>
          <w:rFonts w:ascii="Arial" w:hAnsi="Arial" w:cs="Arial"/>
        </w:rPr>
        <w:t>directed not only at those who are already on the land or are threatening to</w:t>
      </w:r>
      <w:r w:rsidR="00531AE1">
        <w:rPr>
          <w:rFonts w:ascii="Arial" w:hAnsi="Arial" w:cs="Arial"/>
        </w:rPr>
        <w:t>,</w:t>
      </w:r>
      <w:r w:rsidR="0086726F">
        <w:rPr>
          <w:rFonts w:ascii="Arial" w:hAnsi="Arial" w:cs="Arial"/>
        </w:rPr>
        <w:t xml:space="preserve"> </w:t>
      </w:r>
      <w:r>
        <w:rPr>
          <w:rFonts w:ascii="Arial" w:hAnsi="Arial" w:cs="Arial"/>
        </w:rPr>
        <w:t xml:space="preserve">but also those who after the grant of an interim or even final injunction may fall within the same category of persons to whom the </w:t>
      </w:r>
      <w:r w:rsidR="0086726F">
        <w:rPr>
          <w:rFonts w:ascii="Arial" w:hAnsi="Arial" w:cs="Arial"/>
        </w:rPr>
        <w:t>original order applied</w:t>
      </w:r>
      <w:r w:rsidR="00531AE1">
        <w:rPr>
          <w:rFonts w:ascii="Arial" w:hAnsi="Arial" w:cs="Arial"/>
        </w:rPr>
        <w:t xml:space="preserve">. This would </w:t>
      </w:r>
      <w:r w:rsidR="003610CF">
        <w:rPr>
          <w:rFonts w:ascii="Arial" w:hAnsi="Arial" w:cs="Arial"/>
        </w:rPr>
        <w:t>obviate</w:t>
      </w:r>
      <w:r w:rsidR="0086726F">
        <w:rPr>
          <w:rFonts w:ascii="Arial" w:hAnsi="Arial" w:cs="Arial"/>
        </w:rPr>
        <w:t xml:space="preserve"> </w:t>
      </w:r>
      <w:r w:rsidR="009A383A">
        <w:rPr>
          <w:rFonts w:ascii="Arial" w:hAnsi="Arial" w:cs="Arial"/>
        </w:rPr>
        <w:t>the ne</w:t>
      </w:r>
      <w:r w:rsidR="0086726F">
        <w:rPr>
          <w:rFonts w:ascii="Arial" w:hAnsi="Arial" w:cs="Arial"/>
        </w:rPr>
        <w:t xml:space="preserve">cessity </w:t>
      </w:r>
      <w:r w:rsidR="00195B3B">
        <w:rPr>
          <w:rFonts w:ascii="Arial" w:hAnsi="Arial" w:cs="Arial"/>
        </w:rPr>
        <w:t xml:space="preserve">for the landowner to </w:t>
      </w:r>
      <w:r w:rsidR="0086726F">
        <w:rPr>
          <w:rFonts w:ascii="Arial" w:hAnsi="Arial" w:cs="Arial"/>
        </w:rPr>
        <w:t>bring a fresh</w:t>
      </w:r>
      <w:r w:rsidR="00195B3B">
        <w:rPr>
          <w:rFonts w:ascii="Arial" w:hAnsi="Arial" w:cs="Arial"/>
        </w:rPr>
        <w:t xml:space="preserve"> application</w:t>
      </w:r>
      <w:r w:rsidR="00531AE1">
        <w:rPr>
          <w:rStyle w:val="FootnoteReference"/>
          <w:rFonts w:ascii="Arial" w:hAnsi="Arial" w:cs="Arial"/>
        </w:rPr>
        <w:footnoteReference w:id="110"/>
      </w:r>
      <w:r w:rsidR="00531AE1">
        <w:rPr>
          <w:rFonts w:ascii="Arial" w:hAnsi="Arial" w:cs="Arial"/>
        </w:rPr>
        <w:t xml:space="preserve"> </w:t>
      </w:r>
      <w:r w:rsidR="009A383A">
        <w:rPr>
          <w:rFonts w:ascii="Arial" w:hAnsi="Arial" w:cs="Arial"/>
        </w:rPr>
        <w:t>f</w:t>
      </w:r>
      <w:r w:rsidR="0086726F">
        <w:rPr>
          <w:rFonts w:ascii="Arial" w:hAnsi="Arial" w:cs="Arial"/>
        </w:rPr>
        <w:t xml:space="preserve">or the invasion of land rights based on the </w:t>
      </w:r>
      <w:r w:rsidR="009A383A">
        <w:rPr>
          <w:rFonts w:ascii="Arial" w:hAnsi="Arial" w:cs="Arial"/>
        </w:rPr>
        <w:t xml:space="preserve">same </w:t>
      </w:r>
      <w:r w:rsidR="0086726F">
        <w:rPr>
          <w:rFonts w:ascii="Arial" w:hAnsi="Arial" w:cs="Arial"/>
        </w:rPr>
        <w:t>grounds</w:t>
      </w:r>
      <w:r w:rsidR="003610CF">
        <w:rPr>
          <w:rFonts w:ascii="Arial" w:hAnsi="Arial" w:cs="Arial"/>
        </w:rPr>
        <w:t>,</w:t>
      </w:r>
      <w:r w:rsidR="0086726F">
        <w:rPr>
          <w:rFonts w:ascii="Arial" w:hAnsi="Arial" w:cs="Arial"/>
        </w:rPr>
        <w:t xml:space="preserve"> </w:t>
      </w:r>
      <w:r w:rsidR="009A383A">
        <w:rPr>
          <w:rFonts w:ascii="Arial" w:hAnsi="Arial" w:cs="Arial"/>
        </w:rPr>
        <w:t>albeit by</w:t>
      </w:r>
      <w:r w:rsidR="0086726F">
        <w:rPr>
          <w:rFonts w:ascii="Arial" w:hAnsi="Arial" w:cs="Arial"/>
        </w:rPr>
        <w:t xml:space="preserve"> subsequent waves of people from </w:t>
      </w:r>
      <w:r w:rsidR="00531AE1">
        <w:rPr>
          <w:rFonts w:ascii="Arial" w:hAnsi="Arial" w:cs="Arial"/>
        </w:rPr>
        <w:t xml:space="preserve">the </w:t>
      </w:r>
      <w:r w:rsidR="0086726F">
        <w:rPr>
          <w:rFonts w:ascii="Arial" w:hAnsi="Arial" w:cs="Arial"/>
        </w:rPr>
        <w:t xml:space="preserve">same or </w:t>
      </w:r>
      <w:r w:rsidR="00531AE1">
        <w:rPr>
          <w:rFonts w:ascii="Arial" w:hAnsi="Arial" w:cs="Arial"/>
        </w:rPr>
        <w:t xml:space="preserve">a </w:t>
      </w:r>
      <w:r w:rsidR="0086726F">
        <w:rPr>
          <w:rFonts w:ascii="Arial" w:hAnsi="Arial" w:cs="Arial"/>
        </w:rPr>
        <w:t xml:space="preserve">similar group or even individuals </w:t>
      </w:r>
      <w:r w:rsidR="00531AE1">
        <w:rPr>
          <w:rFonts w:ascii="Arial" w:hAnsi="Arial" w:cs="Arial"/>
        </w:rPr>
        <w:t xml:space="preserve">who </w:t>
      </w:r>
      <w:r w:rsidR="0086726F">
        <w:rPr>
          <w:rFonts w:ascii="Arial" w:hAnsi="Arial" w:cs="Arial"/>
        </w:rPr>
        <w:t>trespass (or creat</w:t>
      </w:r>
      <w:r w:rsidR="00531AE1">
        <w:rPr>
          <w:rFonts w:ascii="Arial" w:hAnsi="Arial" w:cs="Arial"/>
        </w:rPr>
        <w:t>e</w:t>
      </w:r>
      <w:r w:rsidR="0086726F">
        <w:rPr>
          <w:rFonts w:ascii="Arial" w:hAnsi="Arial" w:cs="Arial"/>
        </w:rPr>
        <w:t xml:space="preserve"> a nuisance)</w:t>
      </w:r>
      <w:r w:rsidR="00531AE1">
        <w:rPr>
          <w:rFonts w:ascii="Arial" w:hAnsi="Arial" w:cs="Arial"/>
        </w:rPr>
        <w:t xml:space="preserve"> with the same </w:t>
      </w:r>
      <w:r w:rsidR="003610CF">
        <w:rPr>
          <w:rFonts w:ascii="Arial" w:hAnsi="Arial" w:cs="Arial"/>
        </w:rPr>
        <w:t xml:space="preserve">prohibited </w:t>
      </w:r>
      <w:r w:rsidR="00531AE1">
        <w:rPr>
          <w:rFonts w:ascii="Arial" w:hAnsi="Arial" w:cs="Arial"/>
        </w:rPr>
        <w:t xml:space="preserve">objective </w:t>
      </w:r>
      <w:r w:rsidR="003610CF">
        <w:rPr>
          <w:rFonts w:ascii="Arial" w:hAnsi="Arial" w:cs="Arial"/>
        </w:rPr>
        <w:t xml:space="preserve">as identified in the </w:t>
      </w:r>
      <w:r w:rsidR="0086726F">
        <w:rPr>
          <w:rFonts w:ascii="Arial" w:hAnsi="Arial" w:cs="Arial"/>
        </w:rPr>
        <w:t xml:space="preserve">injunction </w:t>
      </w:r>
      <w:r w:rsidR="00531AE1">
        <w:rPr>
          <w:rFonts w:ascii="Arial" w:hAnsi="Arial" w:cs="Arial"/>
        </w:rPr>
        <w:t xml:space="preserve">that was </w:t>
      </w:r>
      <w:r w:rsidR="003610CF">
        <w:rPr>
          <w:rFonts w:ascii="Arial" w:hAnsi="Arial" w:cs="Arial"/>
        </w:rPr>
        <w:t>granted</w:t>
      </w:r>
      <w:r w:rsidR="00531AE1">
        <w:rPr>
          <w:rFonts w:ascii="Arial" w:hAnsi="Arial" w:cs="Arial"/>
        </w:rPr>
        <w:t>.</w:t>
      </w:r>
      <w:r w:rsidR="009A383A">
        <w:rPr>
          <w:rFonts w:ascii="Arial" w:hAnsi="Arial" w:cs="Arial"/>
        </w:rPr>
        <w:t xml:space="preserve">     </w:t>
      </w:r>
    </w:p>
    <w:p w:rsidR="002B062F" w:rsidRDefault="002B062F" w:rsidP="002B062F">
      <w:pPr>
        <w:pStyle w:val="ListParagraph"/>
        <w:spacing w:line="360" w:lineRule="auto"/>
        <w:ind w:left="360"/>
        <w:rPr>
          <w:rFonts w:ascii="Arial" w:hAnsi="Arial" w:cs="Arial"/>
        </w:rPr>
      </w:pPr>
    </w:p>
    <w:p w:rsidR="003610CF" w:rsidRDefault="002B062F" w:rsidP="003610CF">
      <w:pPr>
        <w:pStyle w:val="ListParagraph"/>
        <w:numPr>
          <w:ilvl w:val="0"/>
          <w:numId w:val="3"/>
        </w:numPr>
        <w:spacing w:line="360" w:lineRule="auto"/>
        <w:rPr>
          <w:rFonts w:ascii="Arial" w:hAnsi="Arial" w:cs="Arial"/>
        </w:rPr>
      </w:pPr>
      <w:r>
        <w:rPr>
          <w:rFonts w:ascii="Arial" w:hAnsi="Arial" w:cs="Arial"/>
        </w:rPr>
        <w:t xml:space="preserve">The </w:t>
      </w:r>
      <w:r w:rsidR="00D40E9B" w:rsidRPr="00FA5A82">
        <w:rPr>
          <w:rFonts w:ascii="Arial" w:hAnsi="Arial" w:cs="Arial"/>
        </w:rPr>
        <w:t xml:space="preserve">English </w:t>
      </w:r>
      <w:r>
        <w:rPr>
          <w:rFonts w:ascii="Arial" w:hAnsi="Arial" w:cs="Arial"/>
        </w:rPr>
        <w:t>courts accept</w:t>
      </w:r>
      <w:r w:rsidR="009A383A">
        <w:rPr>
          <w:rFonts w:ascii="Arial" w:hAnsi="Arial" w:cs="Arial"/>
        </w:rPr>
        <w:t xml:space="preserve">, as we do, </w:t>
      </w:r>
      <w:r w:rsidR="00FA5A82" w:rsidRPr="00FA5A82">
        <w:rPr>
          <w:rFonts w:ascii="Arial" w:hAnsi="Arial" w:cs="Arial"/>
        </w:rPr>
        <w:t xml:space="preserve">that interim injunctions can be granted against groups of unknown </w:t>
      </w:r>
      <w:r w:rsidR="009A383A">
        <w:rPr>
          <w:rFonts w:ascii="Arial" w:hAnsi="Arial" w:cs="Arial"/>
        </w:rPr>
        <w:t>persons</w:t>
      </w:r>
      <w:r w:rsidR="0055708B">
        <w:rPr>
          <w:rFonts w:ascii="Arial" w:hAnsi="Arial" w:cs="Arial"/>
        </w:rPr>
        <w:t>. While its use may be trac</w:t>
      </w:r>
      <w:r w:rsidR="00E459C4">
        <w:rPr>
          <w:rFonts w:ascii="Arial" w:hAnsi="Arial" w:cs="Arial"/>
        </w:rPr>
        <w:t xml:space="preserve">ed to landlords seeking to obtain injunctions against squatters and </w:t>
      </w:r>
      <w:r w:rsidR="006F2C95">
        <w:rPr>
          <w:rFonts w:ascii="Arial" w:hAnsi="Arial" w:cs="Arial"/>
        </w:rPr>
        <w:t>trespassers</w:t>
      </w:r>
      <w:r w:rsidR="00531AE1">
        <w:rPr>
          <w:rFonts w:ascii="Arial" w:hAnsi="Arial" w:cs="Arial"/>
        </w:rPr>
        <w:t>,</w:t>
      </w:r>
      <w:r w:rsidR="00E459C4">
        <w:rPr>
          <w:rFonts w:ascii="Arial" w:hAnsi="Arial" w:cs="Arial"/>
        </w:rPr>
        <w:t xml:space="preserve"> mo</w:t>
      </w:r>
      <w:r w:rsidR="0055708B">
        <w:rPr>
          <w:rFonts w:ascii="Arial" w:hAnsi="Arial" w:cs="Arial"/>
        </w:rPr>
        <w:t>r</w:t>
      </w:r>
      <w:r w:rsidR="00E459C4">
        <w:rPr>
          <w:rFonts w:ascii="Arial" w:hAnsi="Arial" w:cs="Arial"/>
        </w:rPr>
        <w:t xml:space="preserve">e recently </w:t>
      </w:r>
      <w:r w:rsidR="0055708B">
        <w:rPr>
          <w:rFonts w:ascii="Arial" w:hAnsi="Arial" w:cs="Arial"/>
        </w:rPr>
        <w:t>i</w:t>
      </w:r>
      <w:r w:rsidR="00E459C4">
        <w:rPr>
          <w:rFonts w:ascii="Arial" w:hAnsi="Arial" w:cs="Arial"/>
        </w:rPr>
        <w:t xml:space="preserve">t has been applied </w:t>
      </w:r>
      <w:r w:rsidR="0055708B">
        <w:rPr>
          <w:rFonts w:ascii="Arial" w:hAnsi="Arial" w:cs="Arial"/>
        </w:rPr>
        <w:t xml:space="preserve">to </w:t>
      </w:r>
      <w:r w:rsidR="00E459C4">
        <w:rPr>
          <w:rFonts w:ascii="Arial" w:hAnsi="Arial" w:cs="Arial"/>
        </w:rPr>
        <w:t>cases</w:t>
      </w:r>
      <w:r w:rsidR="0055708B">
        <w:rPr>
          <w:rFonts w:ascii="Arial" w:hAnsi="Arial" w:cs="Arial"/>
        </w:rPr>
        <w:t xml:space="preserve"> involving </w:t>
      </w:r>
      <w:r w:rsidR="0055708B" w:rsidRPr="0055708B">
        <w:rPr>
          <w:rFonts w:ascii="Arial" w:hAnsi="Arial" w:cs="Arial"/>
        </w:rPr>
        <w:t xml:space="preserve">online fraud and </w:t>
      </w:r>
      <w:r w:rsidR="00531AE1">
        <w:rPr>
          <w:rFonts w:ascii="Arial" w:hAnsi="Arial" w:cs="Arial"/>
        </w:rPr>
        <w:t>internet-</w:t>
      </w:r>
      <w:r w:rsidR="0055708B" w:rsidRPr="0055708B">
        <w:rPr>
          <w:rFonts w:ascii="Arial" w:hAnsi="Arial" w:cs="Arial"/>
        </w:rPr>
        <w:t>defamation</w:t>
      </w:r>
      <w:r w:rsidR="0055708B">
        <w:rPr>
          <w:rFonts w:ascii="Arial" w:hAnsi="Arial" w:cs="Arial"/>
        </w:rPr>
        <w:t xml:space="preserve">. </w:t>
      </w:r>
    </w:p>
    <w:p w:rsidR="003610CF" w:rsidRDefault="003610CF" w:rsidP="003610CF">
      <w:pPr>
        <w:pStyle w:val="ListParagraph"/>
        <w:spacing w:line="360" w:lineRule="auto"/>
        <w:ind w:left="360"/>
        <w:rPr>
          <w:rFonts w:ascii="Arial" w:hAnsi="Arial" w:cs="Arial"/>
        </w:rPr>
      </w:pPr>
    </w:p>
    <w:p w:rsidR="0055708B" w:rsidRDefault="0055708B" w:rsidP="003610CF">
      <w:pPr>
        <w:pStyle w:val="ListParagraph"/>
        <w:spacing w:line="360" w:lineRule="auto"/>
        <w:ind w:left="360"/>
        <w:rPr>
          <w:rFonts w:ascii="Arial" w:hAnsi="Arial" w:cs="Arial"/>
        </w:rPr>
      </w:pPr>
      <w:r>
        <w:rPr>
          <w:rFonts w:ascii="Arial" w:hAnsi="Arial" w:cs="Arial"/>
        </w:rPr>
        <w:t xml:space="preserve">The common </w:t>
      </w:r>
      <w:r w:rsidR="006F2C95">
        <w:rPr>
          <w:rFonts w:ascii="Arial" w:hAnsi="Arial" w:cs="Arial"/>
        </w:rPr>
        <w:t>denominator</w:t>
      </w:r>
      <w:r>
        <w:rPr>
          <w:rFonts w:ascii="Arial" w:hAnsi="Arial" w:cs="Arial"/>
        </w:rPr>
        <w:t xml:space="preserve"> is that </w:t>
      </w:r>
      <w:r w:rsidRPr="0055708B">
        <w:rPr>
          <w:rFonts w:ascii="Arial" w:hAnsi="Arial" w:cs="Arial"/>
        </w:rPr>
        <w:t>despite the unlawful</w:t>
      </w:r>
      <w:r>
        <w:rPr>
          <w:rFonts w:ascii="Arial" w:hAnsi="Arial" w:cs="Arial"/>
        </w:rPr>
        <w:t xml:space="preserve"> act being readily </w:t>
      </w:r>
      <w:r w:rsidR="003B40CA">
        <w:rPr>
          <w:rFonts w:ascii="Arial" w:hAnsi="Arial" w:cs="Arial"/>
        </w:rPr>
        <w:t xml:space="preserve">discernible, many of the </w:t>
      </w:r>
      <w:r>
        <w:rPr>
          <w:rFonts w:ascii="Arial" w:hAnsi="Arial" w:cs="Arial"/>
        </w:rPr>
        <w:t>perpetrators, for one reason or another,</w:t>
      </w:r>
      <w:r w:rsidR="003B40CA">
        <w:rPr>
          <w:rFonts w:ascii="Arial" w:hAnsi="Arial" w:cs="Arial"/>
        </w:rPr>
        <w:t xml:space="preserve"> are not readily identifiable</w:t>
      </w:r>
      <w:r>
        <w:rPr>
          <w:rFonts w:ascii="Arial" w:hAnsi="Arial" w:cs="Arial"/>
        </w:rPr>
        <w:t xml:space="preserve">. </w:t>
      </w:r>
      <w:r w:rsidR="003E1DFE">
        <w:rPr>
          <w:rFonts w:ascii="Arial" w:hAnsi="Arial" w:cs="Arial"/>
        </w:rPr>
        <w:t xml:space="preserve">The situation in respect of nuisance is little different and therefore the </w:t>
      </w:r>
      <w:r w:rsidR="003E1DFE">
        <w:rPr>
          <w:rFonts w:ascii="Arial" w:hAnsi="Arial" w:cs="Arial"/>
        </w:rPr>
        <w:lastRenderedPageBreak/>
        <w:t xml:space="preserve">discussion will only refer to trespass. </w:t>
      </w:r>
    </w:p>
    <w:p w:rsidR="00025D81" w:rsidRDefault="00025D81" w:rsidP="003610CF">
      <w:pPr>
        <w:pStyle w:val="ListParagraph"/>
        <w:spacing w:line="360" w:lineRule="auto"/>
        <w:ind w:left="360"/>
        <w:rPr>
          <w:rFonts w:ascii="Arial" w:hAnsi="Arial" w:cs="Arial"/>
        </w:rPr>
      </w:pPr>
    </w:p>
    <w:p w:rsidR="009A383A" w:rsidRPr="00025D81" w:rsidRDefault="008446CA" w:rsidP="00025D81">
      <w:pPr>
        <w:pStyle w:val="ListParagraph"/>
        <w:numPr>
          <w:ilvl w:val="0"/>
          <w:numId w:val="3"/>
        </w:numPr>
        <w:spacing w:line="360" w:lineRule="auto"/>
        <w:rPr>
          <w:rFonts w:ascii="Arial" w:hAnsi="Arial" w:cs="Arial"/>
        </w:rPr>
      </w:pPr>
      <w:r w:rsidRPr="00025D81">
        <w:rPr>
          <w:rFonts w:ascii="Arial" w:hAnsi="Arial" w:cs="Arial"/>
        </w:rPr>
        <w:t>I</w:t>
      </w:r>
      <w:r w:rsidR="002B062F" w:rsidRPr="00025D81">
        <w:rPr>
          <w:rFonts w:ascii="Arial" w:hAnsi="Arial" w:cs="Arial"/>
        </w:rPr>
        <w:t xml:space="preserve">n order </w:t>
      </w:r>
      <w:r w:rsidR="00FA5A82" w:rsidRPr="00025D81">
        <w:rPr>
          <w:rFonts w:ascii="Arial" w:hAnsi="Arial" w:cs="Arial"/>
        </w:rPr>
        <w:t xml:space="preserve">to prevent </w:t>
      </w:r>
      <w:r w:rsidR="003E1DFE" w:rsidRPr="00025D81">
        <w:rPr>
          <w:rFonts w:ascii="Arial" w:hAnsi="Arial" w:cs="Arial"/>
        </w:rPr>
        <w:t xml:space="preserve">a </w:t>
      </w:r>
      <w:r w:rsidR="00157763" w:rsidRPr="00025D81">
        <w:rPr>
          <w:rFonts w:ascii="Arial" w:hAnsi="Arial" w:cs="Arial"/>
        </w:rPr>
        <w:t>trespass,</w:t>
      </w:r>
      <w:r w:rsidR="00FA5A82" w:rsidRPr="00025D81">
        <w:rPr>
          <w:rFonts w:ascii="Arial" w:hAnsi="Arial" w:cs="Arial"/>
        </w:rPr>
        <w:t xml:space="preserve"> </w:t>
      </w:r>
      <w:r w:rsidR="003E1DFE" w:rsidRPr="00025D81">
        <w:rPr>
          <w:rFonts w:ascii="Arial" w:hAnsi="Arial" w:cs="Arial"/>
        </w:rPr>
        <w:t>t</w:t>
      </w:r>
      <w:r w:rsidR="002B062F" w:rsidRPr="00025D81">
        <w:rPr>
          <w:rFonts w:ascii="Arial" w:hAnsi="Arial" w:cs="Arial"/>
        </w:rPr>
        <w:t>he</w:t>
      </w:r>
      <w:r w:rsidR="009A383A" w:rsidRPr="00025D81">
        <w:rPr>
          <w:rFonts w:ascii="Arial" w:hAnsi="Arial" w:cs="Arial"/>
        </w:rPr>
        <w:t xml:space="preserve"> </w:t>
      </w:r>
      <w:r w:rsidR="006F2C95" w:rsidRPr="00025D81">
        <w:rPr>
          <w:rFonts w:ascii="Arial" w:hAnsi="Arial" w:cs="Arial"/>
        </w:rPr>
        <w:t>respondents</w:t>
      </w:r>
      <w:r w:rsidR="003B40CA" w:rsidRPr="00025D81">
        <w:rPr>
          <w:rFonts w:ascii="Arial" w:hAnsi="Arial" w:cs="Arial"/>
        </w:rPr>
        <w:t xml:space="preserve"> </w:t>
      </w:r>
      <w:r w:rsidR="002B062F" w:rsidRPr="00025D81">
        <w:rPr>
          <w:rFonts w:ascii="Arial" w:hAnsi="Arial" w:cs="Arial"/>
        </w:rPr>
        <w:t xml:space="preserve">must at least be described </w:t>
      </w:r>
      <w:r w:rsidR="009A383A" w:rsidRPr="00025D81">
        <w:rPr>
          <w:rFonts w:ascii="Arial" w:hAnsi="Arial" w:cs="Arial"/>
        </w:rPr>
        <w:t xml:space="preserve">with reasonable precision </w:t>
      </w:r>
      <w:r w:rsidR="002B062F" w:rsidRPr="00025D81">
        <w:rPr>
          <w:rFonts w:ascii="Arial" w:hAnsi="Arial" w:cs="Arial"/>
        </w:rPr>
        <w:t xml:space="preserve">by reference to the act complained </w:t>
      </w:r>
      <w:r w:rsidR="006F2C95" w:rsidRPr="00025D81">
        <w:rPr>
          <w:rFonts w:ascii="Arial" w:hAnsi="Arial" w:cs="Arial"/>
        </w:rPr>
        <w:t>of so</w:t>
      </w:r>
      <w:r w:rsidR="002B062F" w:rsidRPr="00025D81">
        <w:rPr>
          <w:rFonts w:ascii="Arial" w:hAnsi="Arial" w:cs="Arial"/>
        </w:rPr>
        <w:t xml:space="preserve"> that a person will know </w:t>
      </w:r>
      <w:r w:rsidR="009A383A" w:rsidRPr="00025D81">
        <w:rPr>
          <w:rFonts w:ascii="Arial" w:hAnsi="Arial" w:cs="Arial"/>
        </w:rPr>
        <w:t xml:space="preserve">if his or her </w:t>
      </w:r>
      <w:r w:rsidR="002B062F" w:rsidRPr="00025D81">
        <w:rPr>
          <w:rFonts w:ascii="Arial" w:hAnsi="Arial" w:cs="Arial"/>
        </w:rPr>
        <w:t xml:space="preserve">conduct is </w:t>
      </w:r>
      <w:r w:rsidR="006F19E9" w:rsidRPr="00025D81">
        <w:rPr>
          <w:rFonts w:ascii="Arial" w:hAnsi="Arial" w:cs="Arial"/>
        </w:rPr>
        <w:t xml:space="preserve">sought to be </w:t>
      </w:r>
      <w:r w:rsidR="002B062F" w:rsidRPr="00025D81">
        <w:rPr>
          <w:rFonts w:ascii="Arial" w:hAnsi="Arial" w:cs="Arial"/>
        </w:rPr>
        <w:t xml:space="preserve">precluded and </w:t>
      </w:r>
      <w:r w:rsidR="009A383A" w:rsidRPr="00025D81">
        <w:rPr>
          <w:rFonts w:ascii="Arial" w:hAnsi="Arial" w:cs="Arial"/>
        </w:rPr>
        <w:t xml:space="preserve">will also know to which land </w:t>
      </w:r>
      <w:r w:rsidR="002B062F" w:rsidRPr="00025D81">
        <w:rPr>
          <w:rFonts w:ascii="Arial" w:hAnsi="Arial" w:cs="Arial"/>
        </w:rPr>
        <w:t>the prohibition relates. I</w:t>
      </w:r>
      <w:r w:rsidR="009A383A" w:rsidRPr="00025D81">
        <w:rPr>
          <w:rFonts w:ascii="Arial" w:hAnsi="Arial" w:cs="Arial"/>
        </w:rPr>
        <w:t>n this way a r</w:t>
      </w:r>
      <w:r w:rsidR="002B062F" w:rsidRPr="00025D81">
        <w:rPr>
          <w:rFonts w:ascii="Arial" w:hAnsi="Arial" w:cs="Arial"/>
        </w:rPr>
        <w:t xml:space="preserve">espondent </w:t>
      </w:r>
      <w:r w:rsidR="003610CF" w:rsidRPr="00025D81">
        <w:rPr>
          <w:rFonts w:ascii="Arial" w:hAnsi="Arial" w:cs="Arial"/>
        </w:rPr>
        <w:t xml:space="preserve">may </w:t>
      </w:r>
      <w:r w:rsidR="00B26C4D" w:rsidRPr="00025D81">
        <w:rPr>
          <w:rFonts w:ascii="Arial" w:hAnsi="Arial" w:cs="Arial"/>
        </w:rPr>
        <w:t xml:space="preserve">be </w:t>
      </w:r>
      <w:r w:rsidR="002B062F" w:rsidRPr="00025D81">
        <w:rPr>
          <w:rFonts w:ascii="Arial" w:hAnsi="Arial" w:cs="Arial"/>
        </w:rPr>
        <w:t>cited as</w:t>
      </w:r>
      <w:r w:rsidR="00C52983" w:rsidRPr="00025D81">
        <w:rPr>
          <w:rFonts w:ascii="Arial" w:hAnsi="Arial" w:cs="Arial"/>
        </w:rPr>
        <w:t>:</w:t>
      </w:r>
    </w:p>
    <w:p w:rsidR="009A383A" w:rsidRDefault="009A383A" w:rsidP="00A218A9">
      <w:pPr>
        <w:pStyle w:val="ListParagraph"/>
        <w:spacing w:line="360" w:lineRule="auto"/>
        <w:ind w:left="360"/>
        <w:rPr>
          <w:rFonts w:ascii="Arial" w:hAnsi="Arial" w:cs="Arial"/>
        </w:rPr>
      </w:pPr>
      <w:r>
        <w:rPr>
          <w:rFonts w:ascii="Arial" w:hAnsi="Arial" w:cs="Arial"/>
        </w:rPr>
        <w:tab/>
      </w:r>
    </w:p>
    <w:p w:rsidR="00B26C4D" w:rsidRPr="009A383A" w:rsidRDefault="002B062F" w:rsidP="009A383A">
      <w:pPr>
        <w:pStyle w:val="ListParagraph"/>
        <w:spacing w:line="360" w:lineRule="auto"/>
        <w:rPr>
          <w:rFonts w:ascii="Arial" w:hAnsi="Arial" w:cs="Arial"/>
        </w:rPr>
      </w:pPr>
      <w:r>
        <w:rPr>
          <w:rFonts w:ascii="Arial" w:hAnsi="Arial" w:cs="Arial"/>
        </w:rPr>
        <w:t>“</w:t>
      </w:r>
      <w:r w:rsidR="00B26C4D" w:rsidRPr="009A383A">
        <w:rPr>
          <w:rFonts w:ascii="Arial" w:hAnsi="Arial" w:cs="Arial"/>
          <w:i/>
          <w:lang w:val="en-US"/>
        </w:rPr>
        <w:t>PERSONS UNKNOWN (being persons other than those listed in the Schedule to the Claim Form dated 14 July 2004 therein) causing or permitting</w:t>
      </w:r>
    </w:p>
    <w:p w:rsidR="00B26C4D" w:rsidRPr="009A383A" w:rsidRDefault="00B26C4D" w:rsidP="009A383A">
      <w:pPr>
        <w:spacing w:line="360" w:lineRule="auto"/>
        <w:rPr>
          <w:rFonts w:ascii="Arial" w:hAnsi="Arial" w:cs="Arial"/>
          <w:i/>
          <w:lang w:val="en-US"/>
        </w:rPr>
      </w:pPr>
    </w:p>
    <w:p w:rsidR="00B26C4D" w:rsidRPr="00B26C4D" w:rsidRDefault="00B26C4D" w:rsidP="00B26C4D">
      <w:pPr>
        <w:pStyle w:val="ListParagraph"/>
        <w:spacing w:line="360" w:lineRule="auto"/>
        <w:ind w:left="1440"/>
        <w:rPr>
          <w:rFonts w:ascii="Arial" w:hAnsi="Arial" w:cs="Arial"/>
          <w:i/>
          <w:lang w:val="en-US"/>
        </w:rPr>
      </w:pPr>
      <w:r w:rsidRPr="00B26C4D">
        <w:rPr>
          <w:rFonts w:ascii="Arial" w:hAnsi="Arial" w:cs="Arial"/>
          <w:i/>
          <w:lang w:val="en-US"/>
        </w:rPr>
        <w:t>Hardcore to be deposited other than for agricultural purposes on land known as plots 1-11, Victoria View Caravans, …</w:t>
      </w:r>
    </w:p>
    <w:p w:rsidR="00B26C4D" w:rsidRPr="00B26C4D" w:rsidRDefault="00B26C4D" w:rsidP="00B26C4D">
      <w:pPr>
        <w:pStyle w:val="ListParagraph"/>
        <w:spacing w:line="360" w:lineRule="auto"/>
        <w:rPr>
          <w:rFonts w:ascii="Arial" w:hAnsi="Arial" w:cs="Arial"/>
          <w:i/>
          <w:lang w:val="en-US"/>
        </w:rPr>
      </w:pPr>
    </w:p>
    <w:p w:rsidR="00B26C4D" w:rsidRPr="00B26C4D" w:rsidRDefault="00B26C4D" w:rsidP="00B26C4D">
      <w:pPr>
        <w:pStyle w:val="ListParagraph"/>
        <w:spacing w:line="360" w:lineRule="auto"/>
        <w:ind w:left="1440"/>
        <w:rPr>
          <w:rFonts w:ascii="Arial" w:hAnsi="Arial" w:cs="Arial"/>
          <w:i/>
          <w:lang w:val="en-US"/>
        </w:rPr>
      </w:pPr>
      <w:r w:rsidRPr="00B26C4D">
        <w:rPr>
          <w:rFonts w:ascii="Arial" w:hAnsi="Arial" w:cs="Arial"/>
          <w:i/>
          <w:lang w:val="en-US"/>
        </w:rPr>
        <w:t>Mobile homes or other forms of residential accommodation to be stationed other than for agricultural purposes on the said land; or</w:t>
      </w:r>
    </w:p>
    <w:p w:rsidR="00B26C4D" w:rsidRPr="00B26C4D" w:rsidRDefault="00B26C4D" w:rsidP="00B26C4D">
      <w:pPr>
        <w:pStyle w:val="ListParagraph"/>
        <w:spacing w:line="360" w:lineRule="auto"/>
        <w:rPr>
          <w:rFonts w:ascii="Arial" w:hAnsi="Arial" w:cs="Arial"/>
          <w:i/>
          <w:lang w:val="en-US"/>
        </w:rPr>
      </w:pPr>
    </w:p>
    <w:p w:rsidR="00FA5A82" w:rsidRDefault="00B26C4D" w:rsidP="00A556AC">
      <w:pPr>
        <w:pStyle w:val="ListParagraph"/>
        <w:spacing w:line="360" w:lineRule="auto"/>
        <w:ind w:left="1440"/>
        <w:rPr>
          <w:rFonts w:ascii="Arial" w:hAnsi="Arial" w:cs="Arial"/>
        </w:rPr>
      </w:pPr>
      <w:r w:rsidRPr="00B26C4D">
        <w:rPr>
          <w:rFonts w:ascii="Arial" w:hAnsi="Arial" w:cs="Arial"/>
          <w:i/>
          <w:lang w:val="en-US"/>
        </w:rPr>
        <w:t>Existing caravans, mobile homes or other forms of residential accommodation on the said land to be occupied other than for agricultural purposes."</w:t>
      </w:r>
      <w:r w:rsidR="00A556AC">
        <w:rPr>
          <w:rStyle w:val="FootnoteReference"/>
          <w:rFonts w:ascii="Arial" w:hAnsi="Arial" w:cs="Arial"/>
          <w:i/>
          <w:lang w:val="en-US"/>
        </w:rPr>
        <w:footnoteReference w:id="111"/>
      </w:r>
    </w:p>
    <w:p w:rsidR="002B062F" w:rsidRDefault="00C62010" w:rsidP="002B062F">
      <w:pPr>
        <w:pStyle w:val="ListParagraph"/>
        <w:spacing w:line="360"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62010" w:rsidRDefault="003E1DFE" w:rsidP="002B062F">
      <w:pPr>
        <w:pStyle w:val="ListParagraph"/>
        <w:spacing w:line="360" w:lineRule="auto"/>
        <w:ind w:left="360"/>
        <w:rPr>
          <w:rFonts w:ascii="Arial" w:hAnsi="Arial" w:cs="Arial"/>
        </w:rPr>
      </w:pPr>
      <w:r>
        <w:rPr>
          <w:rFonts w:ascii="Arial" w:hAnsi="Arial" w:cs="Arial"/>
        </w:rPr>
        <w:t xml:space="preserve">The claim (application) may also identify </w:t>
      </w:r>
      <w:r w:rsidR="006F2C95">
        <w:rPr>
          <w:rFonts w:ascii="Arial" w:hAnsi="Arial" w:cs="Arial"/>
        </w:rPr>
        <w:t>different</w:t>
      </w:r>
      <w:r>
        <w:rPr>
          <w:rFonts w:ascii="Arial" w:hAnsi="Arial" w:cs="Arial"/>
        </w:rPr>
        <w:t xml:space="preserve"> categories of unknown persons</w:t>
      </w:r>
      <w:r w:rsidR="00902022">
        <w:rPr>
          <w:rFonts w:ascii="Arial" w:hAnsi="Arial" w:cs="Arial"/>
        </w:rPr>
        <w:t xml:space="preserve">, </w:t>
      </w:r>
      <w:r>
        <w:rPr>
          <w:rFonts w:ascii="Arial" w:hAnsi="Arial" w:cs="Arial"/>
        </w:rPr>
        <w:t xml:space="preserve">one of whom </w:t>
      </w:r>
      <w:r w:rsidR="00902022">
        <w:rPr>
          <w:rFonts w:ascii="Arial" w:hAnsi="Arial" w:cs="Arial"/>
        </w:rPr>
        <w:t>was</w:t>
      </w:r>
      <w:r>
        <w:rPr>
          <w:rFonts w:ascii="Arial" w:hAnsi="Arial" w:cs="Arial"/>
        </w:rPr>
        <w:t xml:space="preserve"> described as</w:t>
      </w:r>
      <w:r w:rsidR="00C62010">
        <w:rPr>
          <w:rFonts w:ascii="Arial" w:hAnsi="Arial" w:cs="Arial"/>
        </w:rPr>
        <w:t>:</w:t>
      </w:r>
    </w:p>
    <w:p w:rsidR="00C62010" w:rsidRDefault="00C62010" w:rsidP="002B062F">
      <w:pPr>
        <w:pStyle w:val="ListParagraph"/>
        <w:spacing w:line="360" w:lineRule="auto"/>
        <w:ind w:left="360"/>
        <w:rPr>
          <w:rFonts w:ascii="Arial" w:hAnsi="Arial" w:cs="Arial"/>
        </w:rPr>
      </w:pPr>
    </w:p>
    <w:p w:rsidR="00C62010" w:rsidRDefault="00C62010" w:rsidP="00A556AC">
      <w:pPr>
        <w:pStyle w:val="ListParagraph"/>
        <w:spacing w:line="360" w:lineRule="auto"/>
        <w:rPr>
          <w:rFonts w:ascii="Arial" w:hAnsi="Arial" w:cs="Arial"/>
        </w:rPr>
      </w:pPr>
      <w:r>
        <w:rPr>
          <w:rFonts w:ascii="Arial" w:hAnsi="Arial" w:cs="Arial"/>
        </w:rPr>
        <w:t xml:space="preserve">“ </w:t>
      </w:r>
      <w:r w:rsidRPr="00C62010">
        <w:rPr>
          <w:rFonts w:ascii="Arial" w:hAnsi="Arial" w:cs="Arial"/>
          <w:i/>
        </w:rPr>
        <w:t xml:space="preserve">PERSONS UNKNOWN </w:t>
      </w:r>
      <w:r w:rsidR="003E1DFE" w:rsidRPr="00C62010">
        <w:rPr>
          <w:rFonts w:ascii="Arial" w:hAnsi="Arial" w:cs="Arial"/>
          <w:i/>
        </w:rPr>
        <w:t>entering or remaining without the consent of the claimants on, in or under land acquired or held by the claimants in connection with the high speed two railway scheme shown co</w:t>
      </w:r>
      <w:r w:rsidR="003E1DFE">
        <w:rPr>
          <w:rFonts w:ascii="Arial" w:hAnsi="Arial" w:cs="Arial"/>
          <w:i/>
        </w:rPr>
        <w:t>loured pink, and green on the HS</w:t>
      </w:r>
      <w:r w:rsidR="003E1DFE" w:rsidRPr="00C62010">
        <w:rPr>
          <w:rFonts w:ascii="Arial" w:hAnsi="Arial" w:cs="Arial"/>
          <w:i/>
        </w:rPr>
        <w:t>2 land plans at https://www.gov.uk/government/publications/hs2-route-wideinjunctionproceedings (“the HS2 land”) with the effect of damaging and/or delaying and/or hindering the claimants, their agents, servants, contractors, sub-contractors, group companies, licensees, invitees and/or employees</w:t>
      </w:r>
      <w:r w:rsidRPr="00C62010">
        <w:rPr>
          <w:rFonts w:ascii="Arial" w:hAnsi="Arial" w:cs="Arial"/>
        </w:rPr>
        <w:t>”</w:t>
      </w:r>
      <w:r>
        <w:rPr>
          <w:rStyle w:val="FootnoteReference"/>
          <w:rFonts w:ascii="Arial" w:hAnsi="Arial" w:cs="Arial"/>
        </w:rPr>
        <w:footnoteReference w:id="112"/>
      </w:r>
    </w:p>
    <w:p w:rsidR="008620F2" w:rsidRPr="008620F2" w:rsidRDefault="007B5031" w:rsidP="008620F2">
      <w:pPr>
        <w:pStyle w:val="ListParagraph"/>
        <w:spacing w:line="360" w:lineRule="auto"/>
        <w:ind w:left="0"/>
        <w:rPr>
          <w:rFonts w:ascii="Arial" w:hAnsi="Arial" w:cs="Arial"/>
          <w:b/>
        </w:rPr>
      </w:pPr>
      <w:r>
        <w:rPr>
          <w:rFonts w:ascii="Arial" w:hAnsi="Arial" w:cs="Arial"/>
          <w:b/>
        </w:rPr>
        <w:lastRenderedPageBreak/>
        <w:t>Service and</w:t>
      </w:r>
      <w:r w:rsidR="008620F2" w:rsidRPr="008620F2">
        <w:rPr>
          <w:rFonts w:ascii="Arial" w:hAnsi="Arial" w:cs="Arial"/>
          <w:b/>
        </w:rPr>
        <w:t xml:space="preserve"> notice </w:t>
      </w:r>
    </w:p>
    <w:p w:rsidR="00C62010" w:rsidRPr="00FA5A82" w:rsidRDefault="00C62010" w:rsidP="002B062F">
      <w:pPr>
        <w:pStyle w:val="ListParagraph"/>
        <w:spacing w:line="360" w:lineRule="auto"/>
        <w:ind w:left="360"/>
        <w:rPr>
          <w:rFonts w:ascii="Arial" w:hAnsi="Arial" w:cs="Arial"/>
        </w:rPr>
      </w:pPr>
    </w:p>
    <w:p w:rsidR="008620F2" w:rsidRDefault="003B40CA" w:rsidP="00AF22DC">
      <w:pPr>
        <w:pStyle w:val="ListParagraph"/>
        <w:numPr>
          <w:ilvl w:val="0"/>
          <w:numId w:val="3"/>
        </w:numPr>
        <w:spacing w:line="360" w:lineRule="auto"/>
        <w:rPr>
          <w:rFonts w:ascii="Arial" w:hAnsi="Arial" w:cs="Arial"/>
        </w:rPr>
      </w:pPr>
      <w:r>
        <w:rPr>
          <w:rFonts w:ascii="Arial" w:hAnsi="Arial" w:cs="Arial"/>
        </w:rPr>
        <w:t>Although the</w:t>
      </w:r>
      <w:r w:rsidR="008620F2">
        <w:rPr>
          <w:rFonts w:ascii="Arial" w:hAnsi="Arial" w:cs="Arial"/>
        </w:rPr>
        <w:t xml:space="preserve"> citation </w:t>
      </w:r>
      <w:r>
        <w:rPr>
          <w:rFonts w:ascii="Arial" w:hAnsi="Arial" w:cs="Arial"/>
        </w:rPr>
        <w:t>of unknow</w:t>
      </w:r>
      <w:r w:rsidR="00C176B5">
        <w:rPr>
          <w:rFonts w:ascii="Arial" w:hAnsi="Arial" w:cs="Arial"/>
        </w:rPr>
        <w:t>n persons who are sufficiently ide</w:t>
      </w:r>
      <w:r>
        <w:rPr>
          <w:rFonts w:ascii="Arial" w:hAnsi="Arial" w:cs="Arial"/>
        </w:rPr>
        <w:t>n</w:t>
      </w:r>
      <w:r w:rsidR="00C176B5">
        <w:rPr>
          <w:rFonts w:ascii="Arial" w:hAnsi="Arial" w:cs="Arial"/>
        </w:rPr>
        <w:t>tifi</w:t>
      </w:r>
      <w:r>
        <w:rPr>
          <w:rFonts w:ascii="Arial" w:hAnsi="Arial" w:cs="Arial"/>
        </w:rPr>
        <w:t xml:space="preserve">ed by reference to the conduct </w:t>
      </w:r>
      <w:r w:rsidR="006F2C95">
        <w:rPr>
          <w:rFonts w:ascii="Arial" w:hAnsi="Arial" w:cs="Arial"/>
        </w:rPr>
        <w:t>complained</w:t>
      </w:r>
      <w:r>
        <w:rPr>
          <w:rFonts w:ascii="Arial" w:hAnsi="Arial" w:cs="Arial"/>
        </w:rPr>
        <w:t xml:space="preserve"> of </w:t>
      </w:r>
      <w:r w:rsidR="008620F2">
        <w:rPr>
          <w:rFonts w:ascii="Arial" w:hAnsi="Arial" w:cs="Arial"/>
        </w:rPr>
        <w:t>is competent</w:t>
      </w:r>
      <w:r w:rsidR="007B5031">
        <w:rPr>
          <w:rFonts w:ascii="Arial" w:hAnsi="Arial" w:cs="Arial"/>
        </w:rPr>
        <w:t>,</w:t>
      </w:r>
      <w:r w:rsidR="008620F2">
        <w:rPr>
          <w:rFonts w:ascii="Arial" w:hAnsi="Arial" w:cs="Arial"/>
        </w:rPr>
        <w:t xml:space="preserve"> it </w:t>
      </w:r>
      <w:r w:rsidR="006F2C95">
        <w:rPr>
          <w:rFonts w:ascii="Arial" w:hAnsi="Arial" w:cs="Arial"/>
        </w:rPr>
        <w:t>remains</w:t>
      </w:r>
      <w:r w:rsidR="008620F2">
        <w:rPr>
          <w:rFonts w:ascii="Arial" w:hAnsi="Arial" w:cs="Arial"/>
        </w:rPr>
        <w:t xml:space="preserve"> </w:t>
      </w:r>
      <w:r w:rsidR="006F2C95">
        <w:rPr>
          <w:rFonts w:ascii="Arial" w:hAnsi="Arial" w:cs="Arial"/>
        </w:rPr>
        <w:t>necessary</w:t>
      </w:r>
      <w:r w:rsidR="000774C7">
        <w:rPr>
          <w:rFonts w:ascii="Arial" w:hAnsi="Arial" w:cs="Arial"/>
        </w:rPr>
        <w:t xml:space="preserve"> to;</w:t>
      </w:r>
    </w:p>
    <w:p w:rsidR="000774C7" w:rsidRDefault="000774C7" w:rsidP="000774C7">
      <w:pPr>
        <w:pStyle w:val="ListParagraph"/>
        <w:spacing w:line="360" w:lineRule="auto"/>
        <w:ind w:left="360"/>
        <w:rPr>
          <w:rFonts w:ascii="Arial" w:hAnsi="Arial" w:cs="Arial"/>
        </w:rPr>
      </w:pPr>
    </w:p>
    <w:p w:rsidR="008620F2" w:rsidRDefault="000774C7" w:rsidP="000774C7">
      <w:pPr>
        <w:pStyle w:val="ListParagraph"/>
        <w:numPr>
          <w:ilvl w:val="1"/>
          <w:numId w:val="3"/>
        </w:numPr>
        <w:spacing w:line="360" w:lineRule="auto"/>
        <w:rPr>
          <w:rFonts w:ascii="Arial" w:hAnsi="Arial" w:cs="Arial"/>
        </w:rPr>
      </w:pPr>
      <w:r>
        <w:rPr>
          <w:rFonts w:ascii="Arial" w:hAnsi="Arial" w:cs="Arial"/>
        </w:rPr>
        <w:t>e</w:t>
      </w:r>
      <w:r w:rsidR="008620F2" w:rsidRPr="000774C7">
        <w:rPr>
          <w:rFonts w:ascii="Arial" w:hAnsi="Arial" w:cs="Arial"/>
        </w:rPr>
        <w:t>ffect service of an order on a group in a manner that would result in it coming to the attention of any affected person</w:t>
      </w:r>
      <w:r w:rsidR="00C176B5" w:rsidRPr="000774C7">
        <w:rPr>
          <w:rFonts w:ascii="Arial" w:hAnsi="Arial" w:cs="Arial"/>
        </w:rPr>
        <w:t>s</w:t>
      </w:r>
      <w:r w:rsidR="008620F2" w:rsidRPr="000774C7">
        <w:rPr>
          <w:rFonts w:ascii="Arial" w:hAnsi="Arial" w:cs="Arial"/>
        </w:rPr>
        <w:t xml:space="preserve"> who did not deliberately </w:t>
      </w:r>
      <w:r w:rsidR="00C176B5" w:rsidRPr="000774C7">
        <w:rPr>
          <w:rFonts w:ascii="Arial" w:hAnsi="Arial" w:cs="Arial"/>
        </w:rPr>
        <w:t>shut their</w:t>
      </w:r>
      <w:r w:rsidR="008620F2" w:rsidRPr="000774C7">
        <w:rPr>
          <w:rFonts w:ascii="Arial" w:hAnsi="Arial" w:cs="Arial"/>
        </w:rPr>
        <w:t xml:space="preserve"> </w:t>
      </w:r>
      <w:r w:rsidR="00C176B5" w:rsidRPr="000774C7">
        <w:rPr>
          <w:rFonts w:ascii="Arial" w:hAnsi="Arial" w:cs="Arial"/>
        </w:rPr>
        <w:t>eyes and ears</w:t>
      </w:r>
      <w:r w:rsidR="007B5031" w:rsidRPr="000774C7">
        <w:rPr>
          <w:rFonts w:ascii="Arial" w:hAnsi="Arial" w:cs="Arial"/>
        </w:rPr>
        <w:t xml:space="preserve"> (I will refer to this as constructive notice</w:t>
      </w:r>
      <w:r w:rsidR="00817D58" w:rsidRPr="000774C7">
        <w:rPr>
          <w:rFonts w:ascii="Arial" w:hAnsi="Arial" w:cs="Arial"/>
        </w:rPr>
        <w:t>, albeit in this more circumscribed sense</w:t>
      </w:r>
      <w:r w:rsidR="007B5031" w:rsidRPr="000774C7">
        <w:rPr>
          <w:rFonts w:ascii="Arial" w:hAnsi="Arial" w:cs="Arial"/>
        </w:rPr>
        <w:t>)</w:t>
      </w:r>
      <w:r>
        <w:rPr>
          <w:rFonts w:ascii="Arial" w:hAnsi="Arial" w:cs="Arial"/>
        </w:rPr>
        <w:t>;</w:t>
      </w:r>
    </w:p>
    <w:p w:rsidR="000774C7" w:rsidRDefault="000774C7" w:rsidP="000774C7">
      <w:pPr>
        <w:pStyle w:val="ListParagraph"/>
        <w:spacing w:line="360" w:lineRule="auto"/>
        <w:ind w:left="1080"/>
        <w:rPr>
          <w:rFonts w:ascii="Arial" w:hAnsi="Arial" w:cs="Arial"/>
        </w:rPr>
      </w:pPr>
    </w:p>
    <w:p w:rsidR="00824466" w:rsidRPr="000774C7" w:rsidRDefault="00415761" w:rsidP="000774C7">
      <w:pPr>
        <w:pStyle w:val="ListParagraph"/>
        <w:numPr>
          <w:ilvl w:val="1"/>
          <w:numId w:val="3"/>
        </w:numPr>
        <w:spacing w:line="360" w:lineRule="auto"/>
        <w:rPr>
          <w:rFonts w:ascii="Arial" w:hAnsi="Arial" w:cs="Arial"/>
        </w:rPr>
      </w:pPr>
      <w:r w:rsidRPr="000774C7">
        <w:rPr>
          <w:rFonts w:ascii="Arial" w:hAnsi="Arial" w:cs="Arial"/>
        </w:rPr>
        <w:t>in</w:t>
      </w:r>
      <w:r w:rsidR="008620F2" w:rsidRPr="000774C7">
        <w:rPr>
          <w:rFonts w:ascii="Arial" w:hAnsi="Arial" w:cs="Arial"/>
        </w:rPr>
        <w:t>divi</w:t>
      </w:r>
      <w:r w:rsidRPr="000774C7">
        <w:rPr>
          <w:rFonts w:ascii="Arial" w:hAnsi="Arial" w:cs="Arial"/>
        </w:rPr>
        <w:t>d</w:t>
      </w:r>
      <w:r w:rsidR="008620F2" w:rsidRPr="000774C7">
        <w:rPr>
          <w:rFonts w:ascii="Arial" w:hAnsi="Arial" w:cs="Arial"/>
        </w:rPr>
        <w:t>ually identif</w:t>
      </w:r>
      <w:r w:rsidRPr="000774C7">
        <w:rPr>
          <w:rFonts w:ascii="Arial" w:hAnsi="Arial" w:cs="Arial"/>
        </w:rPr>
        <w:t>y</w:t>
      </w:r>
      <w:r w:rsidR="008620F2" w:rsidRPr="000774C7">
        <w:rPr>
          <w:rFonts w:ascii="Arial" w:hAnsi="Arial" w:cs="Arial"/>
        </w:rPr>
        <w:t xml:space="preserve"> as soon as practicable</w:t>
      </w:r>
      <w:r w:rsidRPr="000774C7">
        <w:rPr>
          <w:rFonts w:ascii="Arial" w:hAnsi="Arial" w:cs="Arial"/>
        </w:rPr>
        <w:t xml:space="preserve"> all those against whom the application was directed with sufficient detail by reference to ID number or other form of official identification, address, contact number, signature and </w:t>
      </w:r>
      <w:r w:rsidR="00C176B5" w:rsidRPr="000774C7">
        <w:rPr>
          <w:rFonts w:ascii="Arial" w:hAnsi="Arial" w:cs="Arial"/>
        </w:rPr>
        <w:t xml:space="preserve">the </w:t>
      </w:r>
      <w:r w:rsidR="006F2C95" w:rsidRPr="000774C7">
        <w:rPr>
          <w:rFonts w:ascii="Arial" w:hAnsi="Arial" w:cs="Arial"/>
        </w:rPr>
        <w:t>household</w:t>
      </w:r>
      <w:r w:rsidR="00824466" w:rsidRPr="000774C7">
        <w:rPr>
          <w:rFonts w:ascii="Arial" w:hAnsi="Arial" w:cs="Arial"/>
        </w:rPr>
        <w:t xml:space="preserve"> </w:t>
      </w:r>
      <w:r w:rsidR="00C176B5" w:rsidRPr="000774C7">
        <w:rPr>
          <w:rFonts w:ascii="Arial" w:hAnsi="Arial" w:cs="Arial"/>
        </w:rPr>
        <w:t xml:space="preserve">of which </w:t>
      </w:r>
      <w:r w:rsidR="00824466" w:rsidRPr="000774C7">
        <w:rPr>
          <w:rFonts w:ascii="Arial" w:hAnsi="Arial" w:cs="Arial"/>
        </w:rPr>
        <w:t xml:space="preserve">the </w:t>
      </w:r>
      <w:r w:rsidRPr="000774C7">
        <w:rPr>
          <w:rFonts w:ascii="Arial" w:hAnsi="Arial" w:cs="Arial"/>
        </w:rPr>
        <w:t xml:space="preserve">person is a member. </w:t>
      </w:r>
    </w:p>
    <w:p w:rsidR="00824466" w:rsidRPr="00824466" w:rsidRDefault="00824466" w:rsidP="00824466">
      <w:pPr>
        <w:pStyle w:val="ListParagraph"/>
        <w:rPr>
          <w:rFonts w:ascii="Arial" w:hAnsi="Arial" w:cs="Arial"/>
        </w:rPr>
      </w:pPr>
    </w:p>
    <w:p w:rsidR="00824466" w:rsidRPr="00415761" w:rsidRDefault="00824466" w:rsidP="000774C7">
      <w:pPr>
        <w:pStyle w:val="ListParagraph"/>
        <w:numPr>
          <w:ilvl w:val="0"/>
          <w:numId w:val="3"/>
        </w:numPr>
        <w:spacing w:line="360" w:lineRule="auto"/>
        <w:rPr>
          <w:rFonts w:ascii="Arial" w:hAnsi="Arial" w:cs="Arial"/>
        </w:rPr>
      </w:pPr>
      <w:r>
        <w:rPr>
          <w:rFonts w:ascii="Arial" w:hAnsi="Arial" w:cs="Arial"/>
        </w:rPr>
        <w:t xml:space="preserve">In </w:t>
      </w:r>
      <w:r>
        <w:rPr>
          <w:rFonts w:ascii="Arial" w:hAnsi="Arial" w:cs="Arial"/>
          <w:i/>
        </w:rPr>
        <w:t xml:space="preserve">Mtshali </w:t>
      </w:r>
      <w:r>
        <w:rPr>
          <w:rFonts w:ascii="Arial" w:hAnsi="Arial" w:cs="Arial"/>
        </w:rPr>
        <w:t>t</w:t>
      </w:r>
      <w:r w:rsidRPr="00415761">
        <w:rPr>
          <w:rFonts w:ascii="Arial" w:hAnsi="Arial" w:cs="Arial"/>
        </w:rPr>
        <w:t>he court also explained the need to identify at the earliest opportunity  those to whom the application was directed.</w:t>
      </w:r>
      <w:r>
        <w:rPr>
          <w:rStyle w:val="FootnoteReference"/>
          <w:rFonts w:ascii="Arial" w:hAnsi="Arial" w:cs="Arial"/>
        </w:rPr>
        <w:footnoteReference w:id="113"/>
      </w:r>
    </w:p>
    <w:p w:rsidR="00824466" w:rsidRPr="00824466" w:rsidRDefault="00824466" w:rsidP="00824466">
      <w:pPr>
        <w:pStyle w:val="ListParagraph"/>
        <w:rPr>
          <w:rFonts w:ascii="Arial" w:hAnsi="Arial" w:cs="Arial"/>
        </w:rPr>
      </w:pPr>
    </w:p>
    <w:p w:rsidR="008620F2" w:rsidRPr="000774C7" w:rsidRDefault="008620F2" w:rsidP="000774C7">
      <w:pPr>
        <w:spacing w:line="360" w:lineRule="auto"/>
        <w:ind w:left="360"/>
        <w:rPr>
          <w:rFonts w:ascii="Arial" w:hAnsi="Arial" w:cs="Arial"/>
        </w:rPr>
      </w:pPr>
      <w:r w:rsidRPr="000774C7">
        <w:rPr>
          <w:rFonts w:ascii="Arial" w:hAnsi="Arial" w:cs="Arial"/>
        </w:rPr>
        <w:t>I</w:t>
      </w:r>
      <w:r w:rsidR="00415761" w:rsidRPr="000774C7">
        <w:rPr>
          <w:rFonts w:ascii="Arial" w:hAnsi="Arial" w:cs="Arial"/>
        </w:rPr>
        <w:t xml:space="preserve">f it was not reasonable possible for the applicant to identify </w:t>
      </w:r>
      <w:r w:rsidRPr="000774C7">
        <w:rPr>
          <w:rFonts w:ascii="Arial" w:hAnsi="Arial" w:cs="Arial"/>
        </w:rPr>
        <w:t xml:space="preserve">each </w:t>
      </w:r>
      <w:r w:rsidR="00415761" w:rsidRPr="000774C7">
        <w:rPr>
          <w:rFonts w:ascii="Arial" w:hAnsi="Arial" w:cs="Arial"/>
        </w:rPr>
        <w:t xml:space="preserve">person against whom the </w:t>
      </w:r>
      <w:r w:rsidR="006F2C95" w:rsidRPr="000774C7">
        <w:rPr>
          <w:rFonts w:ascii="Arial" w:hAnsi="Arial" w:cs="Arial"/>
        </w:rPr>
        <w:t>application</w:t>
      </w:r>
      <w:r w:rsidR="00415761" w:rsidRPr="000774C7">
        <w:rPr>
          <w:rFonts w:ascii="Arial" w:hAnsi="Arial" w:cs="Arial"/>
        </w:rPr>
        <w:t xml:space="preserve"> was </w:t>
      </w:r>
      <w:r w:rsidR="006F2C95" w:rsidRPr="000774C7">
        <w:rPr>
          <w:rFonts w:ascii="Arial" w:hAnsi="Arial" w:cs="Arial"/>
        </w:rPr>
        <w:t>directed,</w:t>
      </w:r>
      <w:r w:rsidR="00415761" w:rsidRPr="000774C7">
        <w:rPr>
          <w:rFonts w:ascii="Arial" w:hAnsi="Arial" w:cs="Arial"/>
        </w:rPr>
        <w:t xml:space="preserve"> then </w:t>
      </w:r>
      <w:r w:rsidRPr="000774C7">
        <w:rPr>
          <w:rFonts w:ascii="Arial" w:hAnsi="Arial" w:cs="Arial"/>
        </w:rPr>
        <w:t>that could be done by the Sheriff in the return of service</w:t>
      </w:r>
      <w:r w:rsidR="00415761" w:rsidRPr="000774C7">
        <w:rPr>
          <w:rFonts w:ascii="Arial" w:hAnsi="Arial" w:cs="Arial"/>
        </w:rPr>
        <w:t xml:space="preserve"> or by requiring tho</w:t>
      </w:r>
      <w:r w:rsidR="00824466" w:rsidRPr="000774C7">
        <w:rPr>
          <w:rFonts w:ascii="Arial" w:hAnsi="Arial" w:cs="Arial"/>
        </w:rPr>
        <w:t>se opposing the order</w:t>
      </w:r>
      <w:r w:rsidR="00415761" w:rsidRPr="000774C7">
        <w:rPr>
          <w:rFonts w:ascii="Arial" w:hAnsi="Arial" w:cs="Arial"/>
        </w:rPr>
        <w:t xml:space="preserve"> </w:t>
      </w:r>
      <w:r w:rsidRPr="000774C7">
        <w:rPr>
          <w:rFonts w:ascii="Arial" w:hAnsi="Arial" w:cs="Arial"/>
        </w:rPr>
        <w:t>to do so in the form of a signed list</w:t>
      </w:r>
      <w:r w:rsidR="003610CF">
        <w:rPr>
          <w:rFonts w:ascii="Arial" w:hAnsi="Arial" w:cs="Arial"/>
        </w:rPr>
        <w:t xml:space="preserve"> to ensure certainty</w:t>
      </w:r>
      <w:r w:rsidRPr="000774C7">
        <w:rPr>
          <w:rFonts w:ascii="Arial" w:hAnsi="Arial" w:cs="Arial"/>
        </w:rPr>
        <w:t xml:space="preserve">. </w:t>
      </w:r>
    </w:p>
    <w:p w:rsidR="00824466" w:rsidRDefault="00824466" w:rsidP="00824466">
      <w:pPr>
        <w:pStyle w:val="ListParagraph"/>
        <w:spacing w:line="360" w:lineRule="auto"/>
        <w:ind w:left="1080"/>
        <w:rPr>
          <w:rFonts w:ascii="Arial" w:hAnsi="Arial" w:cs="Arial"/>
        </w:rPr>
      </w:pPr>
    </w:p>
    <w:p w:rsidR="00CB2367" w:rsidRPr="000774C7" w:rsidRDefault="007A62D5" w:rsidP="000774C7">
      <w:pPr>
        <w:spacing w:line="360" w:lineRule="auto"/>
        <w:ind w:left="360"/>
        <w:rPr>
          <w:rFonts w:ascii="Arial" w:hAnsi="Arial" w:cs="Arial"/>
        </w:rPr>
      </w:pPr>
      <w:r w:rsidRPr="000774C7">
        <w:rPr>
          <w:rFonts w:ascii="Arial" w:hAnsi="Arial" w:cs="Arial"/>
        </w:rPr>
        <w:t>However in the past there ha</w:t>
      </w:r>
      <w:r w:rsidR="000774C7">
        <w:rPr>
          <w:rFonts w:ascii="Arial" w:hAnsi="Arial" w:cs="Arial"/>
        </w:rPr>
        <w:t>ve</w:t>
      </w:r>
      <w:r w:rsidR="00C176B5" w:rsidRPr="000774C7">
        <w:rPr>
          <w:rFonts w:ascii="Arial" w:hAnsi="Arial" w:cs="Arial"/>
        </w:rPr>
        <w:t xml:space="preserve"> </w:t>
      </w:r>
      <w:r w:rsidRPr="000774C7">
        <w:rPr>
          <w:rFonts w:ascii="Arial" w:hAnsi="Arial" w:cs="Arial"/>
        </w:rPr>
        <w:t>been occasion</w:t>
      </w:r>
      <w:r w:rsidR="000774C7">
        <w:rPr>
          <w:rFonts w:ascii="Arial" w:hAnsi="Arial" w:cs="Arial"/>
        </w:rPr>
        <w:t>s</w:t>
      </w:r>
      <w:r w:rsidRPr="000774C7">
        <w:rPr>
          <w:rFonts w:ascii="Arial" w:hAnsi="Arial" w:cs="Arial"/>
        </w:rPr>
        <w:t xml:space="preserve"> where a number of per</w:t>
      </w:r>
      <w:r w:rsidR="00824466" w:rsidRPr="000774C7">
        <w:rPr>
          <w:rFonts w:ascii="Arial" w:hAnsi="Arial" w:cs="Arial"/>
        </w:rPr>
        <w:t>s</w:t>
      </w:r>
      <w:r w:rsidRPr="000774C7">
        <w:rPr>
          <w:rFonts w:ascii="Arial" w:hAnsi="Arial" w:cs="Arial"/>
        </w:rPr>
        <w:t>o</w:t>
      </w:r>
      <w:r w:rsidR="00824466" w:rsidRPr="000774C7">
        <w:rPr>
          <w:rFonts w:ascii="Arial" w:hAnsi="Arial" w:cs="Arial"/>
        </w:rPr>
        <w:t>ns who</w:t>
      </w:r>
      <w:r w:rsidRPr="000774C7">
        <w:rPr>
          <w:rFonts w:ascii="Arial" w:hAnsi="Arial" w:cs="Arial"/>
        </w:rPr>
        <w:t xml:space="preserve">, for whatever reason, </w:t>
      </w:r>
      <w:r w:rsidR="00C176B5" w:rsidRPr="000774C7">
        <w:rPr>
          <w:rFonts w:ascii="Arial" w:hAnsi="Arial" w:cs="Arial"/>
        </w:rPr>
        <w:t>still decline to</w:t>
      </w:r>
      <w:r w:rsidRPr="000774C7">
        <w:rPr>
          <w:rFonts w:ascii="Arial" w:hAnsi="Arial" w:cs="Arial"/>
        </w:rPr>
        <w:t xml:space="preserve"> provide any </w:t>
      </w:r>
      <w:r w:rsidR="00C176B5" w:rsidRPr="000774C7">
        <w:rPr>
          <w:rFonts w:ascii="Arial" w:hAnsi="Arial" w:cs="Arial"/>
        </w:rPr>
        <w:t xml:space="preserve">of their </w:t>
      </w:r>
      <w:r w:rsidRPr="000774C7">
        <w:rPr>
          <w:rFonts w:ascii="Arial" w:hAnsi="Arial" w:cs="Arial"/>
        </w:rPr>
        <w:t>details despite being affected by the terms of an interim order</w:t>
      </w:r>
      <w:r w:rsidR="00CB2367" w:rsidRPr="000774C7">
        <w:rPr>
          <w:rFonts w:ascii="Arial" w:hAnsi="Arial" w:cs="Arial"/>
        </w:rPr>
        <w:t xml:space="preserve">. </w:t>
      </w:r>
    </w:p>
    <w:p w:rsidR="00CB2367" w:rsidRDefault="00CB2367" w:rsidP="00824466">
      <w:pPr>
        <w:pStyle w:val="ListParagraph"/>
        <w:spacing w:line="360" w:lineRule="auto"/>
        <w:ind w:left="1080"/>
        <w:rPr>
          <w:rFonts w:ascii="Arial" w:hAnsi="Arial" w:cs="Arial"/>
        </w:rPr>
      </w:pPr>
    </w:p>
    <w:p w:rsidR="00371A9B" w:rsidRPr="00824466" w:rsidRDefault="00CB2367" w:rsidP="003610CF">
      <w:pPr>
        <w:spacing w:line="360" w:lineRule="auto"/>
        <w:ind w:left="360"/>
        <w:rPr>
          <w:rFonts w:ascii="Arial" w:hAnsi="Arial" w:cs="Arial"/>
          <w:b/>
        </w:rPr>
      </w:pPr>
      <w:r w:rsidRPr="000774C7">
        <w:rPr>
          <w:rFonts w:ascii="Arial" w:hAnsi="Arial" w:cs="Arial"/>
        </w:rPr>
        <w:t xml:space="preserve">This </w:t>
      </w:r>
      <w:r w:rsidR="00C176B5" w:rsidRPr="000774C7">
        <w:rPr>
          <w:rFonts w:ascii="Arial" w:hAnsi="Arial" w:cs="Arial"/>
        </w:rPr>
        <w:t xml:space="preserve">is </w:t>
      </w:r>
      <w:r w:rsidRPr="000774C7">
        <w:rPr>
          <w:rFonts w:ascii="Arial" w:hAnsi="Arial" w:cs="Arial"/>
        </w:rPr>
        <w:t xml:space="preserve">one of the reasons why courts </w:t>
      </w:r>
      <w:r w:rsidR="00371A9B" w:rsidRPr="000774C7">
        <w:rPr>
          <w:rFonts w:ascii="Arial" w:hAnsi="Arial" w:cs="Arial"/>
        </w:rPr>
        <w:t>would</w:t>
      </w:r>
      <w:r w:rsidR="003610CF">
        <w:rPr>
          <w:rFonts w:ascii="Arial" w:hAnsi="Arial" w:cs="Arial"/>
        </w:rPr>
        <w:t xml:space="preserve"> wish to ensure that or</w:t>
      </w:r>
      <w:r w:rsidRPr="000774C7">
        <w:rPr>
          <w:rFonts w:ascii="Arial" w:hAnsi="Arial" w:cs="Arial"/>
        </w:rPr>
        <w:t xml:space="preserve">ders are effective in respect of all those who had trespassed, occupied or were about to and </w:t>
      </w:r>
      <w:r w:rsidR="00371A9B" w:rsidRPr="000774C7">
        <w:rPr>
          <w:rFonts w:ascii="Arial" w:hAnsi="Arial" w:cs="Arial"/>
        </w:rPr>
        <w:t xml:space="preserve">who had </w:t>
      </w:r>
      <w:r w:rsidRPr="000774C7">
        <w:rPr>
          <w:rFonts w:ascii="Arial" w:hAnsi="Arial" w:cs="Arial"/>
        </w:rPr>
        <w:t>been served</w:t>
      </w:r>
      <w:r w:rsidR="003610CF">
        <w:rPr>
          <w:rFonts w:ascii="Arial" w:hAnsi="Arial" w:cs="Arial"/>
        </w:rPr>
        <w:t xml:space="preserve"> at least </w:t>
      </w:r>
      <w:r w:rsidRPr="000774C7">
        <w:rPr>
          <w:rFonts w:ascii="Arial" w:hAnsi="Arial" w:cs="Arial"/>
        </w:rPr>
        <w:t xml:space="preserve">in terms of an order of substituted service or, possibly, were aware of the order. The latter possibility will be </w:t>
      </w:r>
      <w:r w:rsidR="00371A9B" w:rsidRPr="000774C7">
        <w:rPr>
          <w:rFonts w:ascii="Arial" w:hAnsi="Arial" w:cs="Arial"/>
        </w:rPr>
        <w:t xml:space="preserve">dealt with </w:t>
      </w:r>
      <w:r w:rsidRPr="000774C7">
        <w:rPr>
          <w:rFonts w:ascii="Arial" w:hAnsi="Arial" w:cs="Arial"/>
        </w:rPr>
        <w:t xml:space="preserve">when considering those who subsequently attempt to trespass or occupy land in </w:t>
      </w:r>
      <w:r w:rsidRPr="000774C7">
        <w:rPr>
          <w:rFonts w:ascii="Arial" w:hAnsi="Arial" w:cs="Arial"/>
        </w:rPr>
        <w:lastRenderedPageBreak/>
        <w:t xml:space="preserve">respect of which an order has already been made.   </w:t>
      </w:r>
    </w:p>
    <w:p w:rsidR="008620F2" w:rsidRDefault="008620F2" w:rsidP="008620F2">
      <w:pPr>
        <w:pStyle w:val="ListParagraph"/>
        <w:spacing w:line="360" w:lineRule="auto"/>
        <w:ind w:left="360"/>
        <w:rPr>
          <w:rFonts w:ascii="Arial" w:hAnsi="Arial" w:cs="Arial"/>
        </w:rPr>
      </w:pPr>
    </w:p>
    <w:p w:rsidR="00371A9B" w:rsidRDefault="00A556AC" w:rsidP="00AF22DC">
      <w:pPr>
        <w:pStyle w:val="ListParagraph"/>
        <w:numPr>
          <w:ilvl w:val="0"/>
          <w:numId w:val="3"/>
        </w:numPr>
        <w:spacing w:line="360" w:lineRule="auto"/>
        <w:rPr>
          <w:rFonts w:ascii="Arial" w:hAnsi="Arial" w:cs="Arial"/>
        </w:rPr>
      </w:pPr>
      <w:r>
        <w:rPr>
          <w:rFonts w:ascii="Arial" w:hAnsi="Arial" w:cs="Arial"/>
        </w:rPr>
        <w:t>Th</w:t>
      </w:r>
      <w:r w:rsidR="00371A9B">
        <w:rPr>
          <w:rFonts w:ascii="Arial" w:hAnsi="Arial" w:cs="Arial"/>
        </w:rPr>
        <w:t>is</w:t>
      </w:r>
      <w:r w:rsidR="00C176B5">
        <w:rPr>
          <w:rFonts w:ascii="Arial" w:hAnsi="Arial" w:cs="Arial"/>
        </w:rPr>
        <w:t xml:space="preserve"> however</w:t>
      </w:r>
      <w:r w:rsidR="00371A9B">
        <w:rPr>
          <w:rFonts w:ascii="Arial" w:hAnsi="Arial" w:cs="Arial"/>
        </w:rPr>
        <w:t xml:space="preserve"> </w:t>
      </w:r>
      <w:r w:rsidR="00C176B5">
        <w:rPr>
          <w:rFonts w:ascii="Arial" w:hAnsi="Arial" w:cs="Arial"/>
        </w:rPr>
        <w:t>raises</w:t>
      </w:r>
      <w:r w:rsidR="00371A9B">
        <w:rPr>
          <w:rFonts w:ascii="Arial" w:hAnsi="Arial" w:cs="Arial"/>
        </w:rPr>
        <w:t xml:space="preserve"> </w:t>
      </w:r>
      <w:r w:rsidR="00C176B5">
        <w:rPr>
          <w:rFonts w:ascii="Arial" w:hAnsi="Arial" w:cs="Arial"/>
        </w:rPr>
        <w:t>the interrelated issues</w:t>
      </w:r>
      <w:r w:rsidR="00371A9B">
        <w:rPr>
          <w:rFonts w:ascii="Arial" w:hAnsi="Arial" w:cs="Arial"/>
        </w:rPr>
        <w:t xml:space="preserve"> of servic</w:t>
      </w:r>
      <w:r>
        <w:rPr>
          <w:rFonts w:ascii="Arial" w:hAnsi="Arial" w:cs="Arial"/>
        </w:rPr>
        <w:t xml:space="preserve">e </w:t>
      </w:r>
      <w:r w:rsidR="00371A9B">
        <w:rPr>
          <w:rFonts w:ascii="Arial" w:hAnsi="Arial" w:cs="Arial"/>
        </w:rPr>
        <w:t>and notice.</w:t>
      </w:r>
    </w:p>
    <w:p w:rsidR="00371A9B" w:rsidRDefault="00371A9B" w:rsidP="00371A9B">
      <w:pPr>
        <w:pStyle w:val="ListParagraph"/>
        <w:spacing w:line="360" w:lineRule="auto"/>
        <w:ind w:left="360"/>
        <w:rPr>
          <w:rFonts w:ascii="Arial" w:hAnsi="Arial" w:cs="Arial"/>
        </w:rPr>
      </w:pPr>
    </w:p>
    <w:p w:rsidR="003610CF" w:rsidRDefault="00371A9B" w:rsidP="00371A9B">
      <w:pPr>
        <w:pStyle w:val="ListParagraph"/>
        <w:spacing w:line="360" w:lineRule="auto"/>
        <w:ind w:left="360"/>
        <w:rPr>
          <w:rFonts w:ascii="Arial" w:hAnsi="Arial" w:cs="Arial"/>
        </w:rPr>
      </w:pPr>
      <w:r>
        <w:rPr>
          <w:rFonts w:ascii="Arial" w:hAnsi="Arial" w:cs="Arial"/>
        </w:rPr>
        <w:t xml:space="preserve">Where it is not reasonably practicable to serve on each person who is trespassing or about to trespass in cases where all the </w:t>
      </w:r>
      <w:r w:rsidR="006F2C95">
        <w:rPr>
          <w:rFonts w:ascii="Arial" w:hAnsi="Arial" w:cs="Arial"/>
        </w:rPr>
        <w:t>requirements</w:t>
      </w:r>
      <w:r w:rsidR="00C176B5">
        <w:rPr>
          <w:rFonts w:ascii="Arial" w:hAnsi="Arial" w:cs="Arial"/>
        </w:rPr>
        <w:t xml:space="preserve"> for an interim interdict are</w:t>
      </w:r>
      <w:r>
        <w:rPr>
          <w:rFonts w:ascii="Arial" w:hAnsi="Arial" w:cs="Arial"/>
        </w:rPr>
        <w:t xml:space="preserve"> present, our practice allows for substituted service. </w:t>
      </w:r>
    </w:p>
    <w:p w:rsidR="003610CF" w:rsidRDefault="003610CF" w:rsidP="00371A9B">
      <w:pPr>
        <w:pStyle w:val="ListParagraph"/>
        <w:spacing w:line="360" w:lineRule="auto"/>
        <w:ind w:left="360"/>
        <w:rPr>
          <w:rFonts w:ascii="Arial" w:hAnsi="Arial" w:cs="Arial"/>
        </w:rPr>
      </w:pPr>
    </w:p>
    <w:p w:rsidR="00747E15" w:rsidRDefault="00747E15" w:rsidP="00371A9B">
      <w:pPr>
        <w:pStyle w:val="ListParagraph"/>
        <w:spacing w:line="360" w:lineRule="auto"/>
        <w:ind w:left="360"/>
        <w:rPr>
          <w:rFonts w:ascii="Arial" w:hAnsi="Arial" w:cs="Arial"/>
        </w:rPr>
      </w:pPr>
      <w:r>
        <w:rPr>
          <w:rFonts w:ascii="Arial" w:hAnsi="Arial" w:cs="Arial"/>
        </w:rPr>
        <w:t xml:space="preserve">Instances where this has arisen include </w:t>
      </w:r>
      <w:r w:rsidR="00371A9B">
        <w:rPr>
          <w:rFonts w:ascii="Arial" w:hAnsi="Arial" w:cs="Arial"/>
        </w:rPr>
        <w:t xml:space="preserve">mass land invasions or </w:t>
      </w:r>
      <w:r>
        <w:rPr>
          <w:rFonts w:ascii="Arial" w:hAnsi="Arial" w:cs="Arial"/>
        </w:rPr>
        <w:t xml:space="preserve">a refusal to receive any notices by a group of persons who have occupied land or </w:t>
      </w:r>
      <w:r w:rsidR="00371A9B">
        <w:rPr>
          <w:rFonts w:ascii="Arial" w:hAnsi="Arial" w:cs="Arial"/>
        </w:rPr>
        <w:t xml:space="preserve">where there is a reasonable apprehension of harm to those affecting service </w:t>
      </w:r>
      <w:r w:rsidR="00C176B5">
        <w:rPr>
          <w:rFonts w:ascii="Arial" w:hAnsi="Arial" w:cs="Arial"/>
        </w:rPr>
        <w:t>(where for example there is evid</w:t>
      </w:r>
      <w:r>
        <w:rPr>
          <w:rFonts w:ascii="Arial" w:hAnsi="Arial" w:cs="Arial"/>
        </w:rPr>
        <w:t xml:space="preserve">ence of </w:t>
      </w:r>
      <w:r w:rsidR="00C176B5">
        <w:rPr>
          <w:rFonts w:ascii="Arial" w:hAnsi="Arial" w:cs="Arial"/>
        </w:rPr>
        <w:t xml:space="preserve">assault, </w:t>
      </w:r>
      <w:r>
        <w:rPr>
          <w:rFonts w:ascii="Arial" w:hAnsi="Arial" w:cs="Arial"/>
        </w:rPr>
        <w:t xml:space="preserve">harassment or intimidation). </w:t>
      </w:r>
    </w:p>
    <w:p w:rsidR="00747E15" w:rsidRDefault="00747E15" w:rsidP="00371A9B">
      <w:pPr>
        <w:pStyle w:val="ListParagraph"/>
        <w:spacing w:line="360" w:lineRule="auto"/>
        <w:ind w:left="360"/>
        <w:rPr>
          <w:rFonts w:ascii="Arial" w:hAnsi="Arial" w:cs="Arial"/>
        </w:rPr>
      </w:pPr>
    </w:p>
    <w:p w:rsidR="005D1515" w:rsidRDefault="00747E15" w:rsidP="00AF22DC">
      <w:pPr>
        <w:pStyle w:val="ListParagraph"/>
        <w:numPr>
          <w:ilvl w:val="0"/>
          <w:numId w:val="3"/>
        </w:numPr>
        <w:spacing w:line="360" w:lineRule="auto"/>
        <w:rPr>
          <w:rFonts w:ascii="Arial" w:hAnsi="Arial" w:cs="Arial"/>
        </w:rPr>
      </w:pPr>
      <w:r>
        <w:rPr>
          <w:rFonts w:ascii="Arial" w:hAnsi="Arial" w:cs="Arial"/>
        </w:rPr>
        <w:t>While substituted service in respect of unlawful land occupation or attempted trespass generally requires</w:t>
      </w:r>
      <w:r w:rsidR="005D1515">
        <w:rPr>
          <w:rFonts w:ascii="Arial" w:hAnsi="Arial" w:cs="Arial"/>
        </w:rPr>
        <w:t>;</w:t>
      </w:r>
    </w:p>
    <w:p w:rsidR="005D1515" w:rsidRDefault="005D1515" w:rsidP="005D1515">
      <w:pPr>
        <w:pStyle w:val="ListParagraph"/>
        <w:spacing w:line="360" w:lineRule="auto"/>
        <w:ind w:left="360"/>
        <w:rPr>
          <w:rFonts w:ascii="Arial" w:hAnsi="Arial" w:cs="Arial"/>
        </w:rPr>
      </w:pPr>
    </w:p>
    <w:p w:rsidR="005D1515" w:rsidRDefault="00747E15" w:rsidP="000774C7">
      <w:pPr>
        <w:pStyle w:val="ListParagraph"/>
        <w:numPr>
          <w:ilvl w:val="1"/>
          <w:numId w:val="3"/>
        </w:numPr>
        <w:spacing w:line="360" w:lineRule="auto"/>
        <w:rPr>
          <w:rFonts w:ascii="Arial" w:hAnsi="Arial" w:cs="Arial"/>
        </w:rPr>
      </w:pPr>
      <w:r>
        <w:rPr>
          <w:rFonts w:ascii="Arial" w:hAnsi="Arial" w:cs="Arial"/>
        </w:rPr>
        <w:t>the terms of the order being announced over loudhailer</w:t>
      </w:r>
      <w:r w:rsidR="00C176B5">
        <w:rPr>
          <w:rFonts w:ascii="Arial" w:hAnsi="Arial" w:cs="Arial"/>
        </w:rPr>
        <w:t>s in the proximity of those gathered</w:t>
      </w:r>
      <w:r>
        <w:rPr>
          <w:rFonts w:ascii="Arial" w:hAnsi="Arial" w:cs="Arial"/>
        </w:rPr>
        <w:t xml:space="preserve"> on the perimeter of the land, or who have already entered the land</w:t>
      </w:r>
      <w:r w:rsidR="005D1515">
        <w:rPr>
          <w:rFonts w:ascii="Arial" w:hAnsi="Arial" w:cs="Arial"/>
        </w:rPr>
        <w:t>;</w:t>
      </w:r>
    </w:p>
    <w:p w:rsidR="000774C7" w:rsidRDefault="000774C7" w:rsidP="000774C7">
      <w:pPr>
        <w:pStyle w:val="ListParagraph"/>
        <w:spacing w:line="360" w:lineRule="auto"/>
        <w:ind w:left="1080"/>
        <w:rPr>
          <w:rFonts w:ascii="Arial" w:hAnsi="Arial" w:cs="Arial"/>
        </w:rPr>
      </w:pPr>
    </w:p>
    <w:p w:rsidR="00805591" w:rsidRPr="000774C7" w:rsidRDefault="005D1515" w:rsidP="000774C7">
      <w:pPr>
        <w:pStyle w:val="ListParagraph"/>
        <w:numPr>
          <w:ilvl w:val="1"/>
          <w:numId w:val="3"/>
        </w:numPr>
        <w:spacing w:line="360" w:lineRule="auto"/>
        <w:rPr>
          <w:rFonts w:ascii="Arial" w:hAnsi="Arial" w:cs="Arial"/>
        </w:rPr>
      </w:pPr>
      <w:r w:rsidRPr="000774C7">
        <w:rPr>
          <w:rFonts w:ascii="Arial" w:hAnsi="Arial" w:cs="Arial"/>
        </w:rPr>
        <w:t xml:space="preserve">copies of the order being </w:t>
      </w:r>
      <w:r w:rsidR="00747E15" w:rsidRPr="000774C7">
        <w:rPr>
          <w:rFonts w:ascii="Arial" w:hAnsi="Arial" w:cs="Arial"/>
        </w:rPr>
        <w:t>display</w:t>
      </w:r>
      <w:r w:rsidRPr="000774C7">
        <w:rPr>
          <w:rFonts w:ascii="Arial" w:hAnsi="Arial" w:cs="Arial"/>
        </w:rPr>
        <w:t>ed</w:t>
      </w:r>
      <w:r w:rsidR="00805591" w:rsidRPr="000774C7">
        <w:rPr>
          <w:rFonts w:ascii="Arial" w:hAnsi="Arial" w:cs="Arial"/>
        </w:rPr>
        <w:t>,</w:t>
      </w:r>
      <w:r w:rsidR="00747E15" w:rsidRPr="000774C7">
        <w:rPr>
          <w:rFonts w:ascii="Arial" w:hAnsi="Arial" w:cs="Arial"/>
        </w:rPr>
        <w:t xml:space="preserve"> </w:t>
      </w:r>
      <w:r w:rsidR="006F2C95" w:rsidRPr="000774C7">
        <w:rPr>
          <w:rFonts w:ascii="Arial" w:hAnsi="Arial" w:cs="Arial"/>
        </w:rPr>
        <w:t>together</w:t>
      </w:r>
      <w:r w:rsidR="00805591" w:rsidRPr="000774C7">
        <w:rPr>
          <w:rFonts w:ascii="Arial" w:hAnsi="Arial" w:cs="Arial"/>
        </w:rPr>
        <w:t xml:space="preserve"> with </w:t>
      </w:r>
      <w:r w:rsidR="006F2C95" w:rsidRPr="000774C7">
        <w:rPr>
          <w:rFonts w:ascii="Arial" w:hAnsi="Arial" w:cs="Arial"/>
        </w:rPr>
        <w:t>other</w:t>
      </w:r>
      <w:r w:rsidR="00805591" w:rsidRPr="000774C7">
        <w:rPr>
          <w:rFonts w:ascii="Arial" w:hAnsi="Arial" w:cs="Arial"/>
        </w:rPr>
        <w:t xml:space="preserve"> </w:t>
      </w:r>
      <w:r w:rsidRPr="000774C7">
        <w:rPr>
          <w:rFonts w:ascii="Arial" w:hAnsi="Arial" w:cs="Arial"/>
        </w:rPr>
        <w:t xml:space="preserve">necessary </w:t>
      </w:r>
      <w:r w:rsidR="00805591" w:rsidRPr="000774C7">
        <w:rPr>
          <w:rFonts w:ascii="Arial" w:hAnsi="Arial" w:cs="Arial"/>
        </w:rPr>
        <w:t xml:space="preserve">information regarding the </w:t>
      </w:r>
      <w:r w:rsidR="006F2C95" w:rsidRPr="000774C7">
        <w:rPr>
          <w:rFonts w:ascii="Arial" w:hAnsi="Arial" w:cs="Arial"/>
        </w:rPr>
        <w:t>application</w:t>
      </w:r>
      <w:r w:rsidR="00805591" w:rsidRPr="000774C7">
        <w:rPr>
          <w:rFonts w:ascii="Arial" w:hAnsi="Arial" w:cs="Arial"/>
        </w:rPr>
        <w:t xml:space="preserve"> or where a copy may be obtained, </w:t>
      </w:r>
      <w:r w:rsidR="00747E15" w:rsidRPr="000774C7">
        <w:rPr>
          <w:rFonts w:ascii="Arial" w:hAnsi="Arial" w:cs="Arial"/>
        </w:rPr>
        <w:t xml:space="preserve">in prominent positions along the </w:t>
      </w:r>
      <w:r w:rsidR="00805591" w:rsidRPr="000774C7">
        <w:rPr>
          <w:rFonts w:ascii="Arial" w:hAnsi="Arial" w:cs="Arial"/>
        </w:rPr>
        <w:t>p</w:t>
      </w:r>
      <w:r w:rsidR="00747E15" w:rsidRPr="000774C7">
        <w:rPr>
          <w:rFonts w:ascii="Arial" w:hAnsi="Arial" w:cs="Arial"/>
        </w:rPr>
        <w:t>erimeter</w:t>
      </w:r>
      <w:r w:rsidR="00805591" w:rsidRPr="000774C7">
        <w:rPr>
          <w:rFonts w:ascii="Arial" w:hAnsi="Arial" w:cs="Arial"/>
        </w:rPr>
        <w:t>,</w:t>
      </w:r>
      <w:r w:rsidRPr="000774C7">
        <w:rPr>
          <w:rFonts w:ascii="Arial" w:hAnsi="Arial" w:cs="Arial"/>
        </w:rPr>
        <w:t xml:space="preserve"> </w:t>
      </w:r>
      <w:r w:rsidR="00747E15" w:rsidRPr="000774C7">
        <w:rPr>
          <w:rFonts w:ascii="Arial" w:hAnsi="Arial" w:cs="Arial"/>
        </w:rPr>
        <w:t xml:space="preserve">within the boundaries or on each structure </w:t>
      </w:r>
      <w:r w:rsidR="00805591" w:rsidRPr="000774C7">
        <w:rPr>
          <w:rFonts w:ascii="Arial" w:hAnsi="Arial" w:cs="Arial"/>
        </w:rPr>
        <w:t xml:space="preserve">depending on the circumstances. </w:t>
      </w:r>
    </w:p>
    <w:p w:rsidR="00805591" w:rsidRDefault="00805591" w:rsidP="00805591">
      <w:pPr>
        <w:pStyle w:val="ListParagraph"/>
        <w:spacing w:line="360" w:lineRule="auto"/>
        <w:ind w:left="360"/>
        <w:rPr>
          <w:rFonts w:ascii="Arial" w:hAnsi="Arial" w:cs="Arial"/>
        </w:rPr>
      </w:pPr>
    </w:p>
    <w:p w:rsidR="00805591" w:rsidRDefault="00805591" w:rsidP="00AF22DC">
      <w:pPr>
        <w:pStyle w:val="ListParagraph"/>
        <w:numPr>
          <w:ilvl w:val="0"/>
          <w:numId w:val="3"/>
        </w:numPr>
        <w:spacing w:line="360" w:lineRule="auto"/>
        <w:rPr>
          <w:rFonts w:ascii="Arial" w:hAnsi="Arial" w:cs="Arial"/>
        </w:rPr>
      </w:pPr>
      <w:r>
        <w:rPr>
          <w:rFonts w:ascii="Arial" w:hAnsi="Arial" w:cs="Arial"/>
        </w:rPr>
        <w:t xml:space="preserve">While this may be effective service on those affected persons present at the time of service, the difficulty arises where subsequently another wave of land invaders attempts to occupy the very same land. </w:t>
      </w:r>
    </w:p>
    <w:p w:rsidR="003610CF" w:rsidRDefault="00805591" w:rsidP="00805591">
      <w:pPr>
        <w:pStyle w:val="ListParagraph"/>
        <w:spacing w:line="360" w:lineRule="auto"/>
        <w:ind w:left="360"/>
        <w:rPr>
          <w:rFonts w:ascii="Arial" w:hAnsi="Arial" w:cs="Arial"/>
        </w:rPr>
      </w:pPr>
      <w:r>
        <w:rPr>
          <w:rFonts w:ascii="Arial" w:hAnsi="Arial" w:cs="Arial"/>
        </w:rPr>
        <w:t xml:space="preserve">Two considerations arise. </w:t>
      </w:r>
    </w:p>
    <w:p w:rsidR="003610CF" w:rsidRDefault="003610CF" w:rsidP="00805591">
      <w:pPr>
        <w:pStyle w:val="ListParagraph"/>
        <w:spacing w:line="360" w:lineRule="auto"/>
        <w:ind w:left="360"/>
        <w:rPr>
          <w:rFonts w:ascii="Arial" w:hAnsi="Arial" w:cs="Arial"/>
        </w:rPr>
      </w:pPr>
    </w:p>
    <w:p w:rsidR="003610CF" w:rsidRDefault="00805591" w:rsidP="00805591">
      <w:pPr>
        <w:pStyle w:val="ListParagraph"/>
        <w:spacing w:line="360" w:lineRule="auto"/>
        <w:ind w:left="360"/>
        <w:rPr>
          <w:rFonts w:ascii="Arial" w:hAnsi="Arial" w:cs="Arial"/>
        </w:rPr>
      </w:pPr>
      <w:r>
        <w:rPr>
          <w:rFonts w:ascii="Arial" w:hAnsi="Arial" w:cs="Arial"/>
        </w:rPr>
        <w:t xml:space="preserve">The first is that a court has already granted an interim order based on </w:t>
      </w:r>
      <w:r w:rsidR="006F2C95">
        <w:rPr>
          <w:rFonts w:ascii="Arial" w:hAnsi="Arial" w:cs="Arial"/>
        </w:rPr>
        <w:t>acknowledging</w:t>
      </w:r>
      <w:r>
        <w:rPr>
          <w:rFonts w:ascii="Arial" w:hAnsi="Arial" w:cs="Arial"/>
        </w:rPr>
        <w:t>, a</w:t>
      </w:r>
      <w:r w:rsidR="00256CF5">
        <w:rPr>
          <w:rFonts w:ascii="Arial" w:hAnsi="Arial" w:cs="Arial"/>
        </w:rPr>
        <w:t>t</w:t>
      </w:r>
      <w:r>
        <w:rPr>
          <w:rFonts w:ascii="Arial" w:hAnsi="Arial" w:cs="Arial"/>
        </w:rPr>
        <w:t xml:space="preserve"> least </w:t>
      </w:r>
      <w:r w:rsidRPr="003610CF">
        <w:rPr>
          <w:rFonts w:ascii="Arial" w:hAnsi="Arial" w:cs="Arial"/>
          <w:i/>
        </w:rPr>
        <w:t>prima facie</w:t>
      </w:r>
      <w:r>
        <w:rPr>
          <w:rFonts w:ascii="Arial" w:hAnsi="Arial" w:cs="Arial"/>
        </w:rPr>
        <w:t xml:space="preserve"> though open to some doubt, the superior right of the owner to his or her land and that those who are seeking to occupy it would be doing so unlawfully. </w:t>
      </w:r>
    </w:p>
    <w:p w:rsidR="005D1515" w:rsidRDefault="00805591" w:rsidP="00805591">
      <w:pPr>
        <w:pStyle w:val="ListParagraph"/>
        <w:spacing w:line="360" w:lineRule="auto"/>
        <w:ind w:left="360"/>
        <w:rPr>
          <w:rFonts w:ascii="Arial" w:hAnsi="Arial" w:cs="Arial"/>
        </w:rPr>
      </w:pPr>
      <w:r>
        <w:rPr>
          <w:rFonts w:ascii="Arial" w:hAnsi="Arial" w:cs="Arial"/>
        </w:rPr>
        <w:lastRenderedPageBreak/>
        <w:t xml:space="preserve">The other consideration is that PIE only protects an unlawful occupier once the act of </w:t>
      </w:r>
      <w:r w:rsidR="006F2C95">
        <w:rPr>
          <w:rFonts w:ascii="Arial" w:hAnsi="Arial" w:cs="Arial"/>
        </w:rPr>
        <w:t>“</w:t>
      </w:r>
      <w:r w:rsidR="006F2C95" w:rsidRPr="000774C7">
        <w:rPr>
          <w:rFonts w:ascii="Arial" w:hAnsi="Arial" w:cs="Arial"/>
          <w:i/>
        </w:rPr>
        <w:t>occupation</w:t>
      </w:r>
      <w:r>
        <w:rPr>
          <w:rFonts w:ascii="Arial" w:hAnsi="Arial" w:cs="Arial"/>
        </w:rPr>
        <w:t xml:space="preserve">” occurs. Until </w:t>
      </w:r>
      <w:r w:rsidR="006F2C95">
        <w:rPr>
          <w:rFonts w:ascii="Arial" w:hAnsi="Arial" w:cs="Arial"/>
        </w:rPr>
        <w:t>then</w:t>
      </w:r>
      <w:r w:rsidR="005D1515">
        <w:rPr>
          <w:rFonts w:ascii="Arial" w:hAnsi="Arial" w:cs="Arial"/>
        </w:rPr>
        <w:t>,</w:t>
      </w:r>
      <w:r>
        <w:rPr>
          <w:rFonts w:ascii="Arial" w:hAnsi="Arial" w:cs="Arial"/>
        </w:rPr>
        <w:t xml:space="preserve"> those seeking to occupy as part of a mass land invasion or </w:t>
      </w:r>
      <w:r w:rsidR="005D1515">
        <w:rPr>
          <w:rFonts w:ascii="Arial" w:hAnsi="Arial" w:cs="Arial"/>
        </w:rPr>
        <w:t>otherwise</w:t>
      </w:r>
      <w:r>
        <w:rPr>
          <w:rFonts w:ascii="Arial" w:hAnsi="Arial" w:cs="Arial"/>
        </w:rPr>
        <w:t xml:space="preserve"> </w:t>
      </w:r>
      <w:r w:rsidR="00303162">
        <w:rPr>
          <w:rFonts w:ascii="Arial" w:hAnsi="Arial" w:cs="Arial"/>
        </w:rPr>
        <w:t>hav</w:t>
      </w:r>
      <w:r w:rsidR="005D1515">
        <w:rPr>
          <w:rFonts w:ascii="Arial" w:hAnsi="Arial" w:cs="Arial"/>
        </w:rPr>
        <w:t>e</w:t>
      </w:r>
      <w:r w:rsidR="00303162">
        <w:rPr>
          <w:rFonts w:ascii="Arial" w:hAnsi="Arial" w:cs="Arial"/>
        </w:rPr>
        <w:t xml:space="preserve"> </w:t>
      </w:r>
      <w:r>
        <w:rPr>
          <w:rFonts w:ascii="Arial" w:hAnsi="Arial" w:cs="Arial"/>
        </w:rPr>
        <w:t>no right</w:t>
      </w:r>
      <w:r w:rsidR="005D1515">
        <w:rPr>
          <w:rFonts w:ascii="Arial" w:hAnsi="Arial" w:cs="Arial"/>
        </w:rPr>
        <w:t>s</w:t>
      </w:r>
      <w:r>
        <w:rPr>
          <w:rFonts w:ascii="Arial" w:hAnsi="Arial" w:cs="Arial"/>
        </w:rPr>
        <w:t xml:space="preserve"> which can defeat the landowners right </w:t>
      </w:r>
      <w:r w:rsidR="003610CF">
        <w:rPr>
          <w:rFonts w:ascii="Arial" w:hAnsi="Arial" w:cs="Arial"/>
        </w:rPr>
        <w:t xml:space="preserve">to approach the court </w:t>
      </w:r>
      <w:r>
        <w:rPr>
          <w:rFonts w:ascii="Arial" w:hAnsi="Arial" w:cs="Arial"/>
        </w:rPr>
        <w:t xml:space="preserve">to </w:t>
      </w:r>
      <w:r w:rsidR="003610CF">
        <w:rPr>
          <w:rFonts w:ascii="Arial" w:hAnsi="Arial" w:cs="Arial"/>
        </w:rPr>
        <w:t>stop</w:t>
      </w:r>
      <w:r>
        <w:rPr>
          <w:rFonts w:ascii="Arial" w:hAnsi="Arial" w:cs="Arial"/>
        </w:rPr>
        <w:t xml:space="preserve"> their trespass. </w:t>
      </w:r>
    </w:p>
    <w:p w:rsidR="005D1515" w:rsidRDefault="005D1515" w:rsidP="00805591">
      <w:pPr>
        <w:pStyle w:val="ListParagraph"/>
        <w:spacing w:line="360" w:lineRule="auto"/>
        <w:ind w:left="360"/>
        <w:rPr>
          <w:rFonts w:ascii="Arial" w:hAnsi="Arial" w:cs="Arial"/>
        </w:rPr>
      </w:pPr>
    </w:p>
    <w:p w:rsidR="00303162" w:rsidRDefault="005D1515" w:rsidP="00AF22DC">
      <w:pPr>
        <w:pStyle w:val="ListParagraph"/>
        <w:numPr>
          <w:ilvl w:val="0"/>
          <w:numId w:val="3"/>
        </w:numPr>
        <w:spacing w:line="360" w:lineRule="auto"/>
        <w:rPr>
          <w:rFonts w:ascii="Arial" w:hAnsi="Arial" w:cs="Arial"/>
        </w:rPr>
      </w:pPr>
      <w:r>
        <w:rPr>
          <w:rFonts w:ascii="Arial" w:hAnsi="Arial" w:cs="Arial"/>
        </w:rPr>
        <w:t xml:space="preserve">The </w:t>
      </w:r>
      <w:r w:rsidR="006F2C95">
        <w:rPr>
          <w:rFonts w:ascii="Arial" w:hAnsi="Arial" w:cs="Arial"/>
        </w:rPr>
        <w:t>tension</w:t>
      </w:r>
      <w:r>
        <w:rPr>
          <w:rFonts w:ascii="Arial" w:hAnsi="Arial" w:cs="Arial"/>
        </w:rPr>
        <w:t xml:space="preserve"> is therefore clear:</w:t>
      </w:r>
      <w:r w:rsidR="00303162">
        <w:rPr>
          <w:rFonts w:ascii="Arial" w:hAnsi="Arial" w:cs="Arial"/>
        </w:rPr>
        <w:t xml:space="preserve"> Owners, who have a</w:t>
      </w:r>
      <w:r>
        <w:rPr>
          <w:rFonts w:ascii="Arial" w:hAnsi="Arial" w:cs="Arial"/>
        </w:rPr>
        <w:t xml:space="preserve">lready obtained an </w:t>
      </w:r>
      <w:r w:rsidR="006F2C95">
        <w:rPr>
          <w:rFonts w:ascii="Arial" w:hAnsi="Arial" w:cs="Arial"/>
        </w:rPr>
        <w:t>interim</w:t>
      </w:r>
      <w:r>
        <w:rPr>
          <w:rFonts w:ascii="Arial" w:hAnsi="Arial" w:cs="Arial"/>
        </w:rPr>
        <w:t xml:space="preserve"> order</w:t>
      </w:r>
      <w:r w:rsidR="00303162">
        <w:rPr>
          <w:rFonts w:ascii="Arial" w:hAnsi="Arial" w:cs="Arial"/>
        </w:rPr>
        <w:t xml:space="preserve"> or </w:t>
      </w:r>
      <w:r>
        <w:rPr>
          <w:rFonts w:ascii="Arial" w:hAnsi="Arial" w:cs="Arial"/>
        </w:rPr>
        <w:t>e</w:t>
      </w:r>
      <w:r w:rsidR="00303162">
        <w:rPr>
          <w:rFonts w:ascii="Arial" w:hAnsi="Arial" w:cs="Arial"/>
        </w:rPr>
        <w:t xml:space="preserve">ven a final order, have established their right to vacant possession against any attempt at unlawful trespass while </w:t>
      </w:r>
      <w:r w:rsidR="006F2C95">
        <w:rPr>
          <w:rFonts w:ascii="Arial" w:hAnsi="Arial" w:cs="Arial"/>
        </w:rPr>
        <w:t>those</w:t>
      </w:r>
      <w:r w:rsidR="00303162">
        <w:rPr>
          <w:rFonts w:ascii="Arial" w:hAnsi="Arial" w:cs="Arial"/>
        </w:rPr>
        <w:t xml:space="preserve"> who wish to occupy land out of desperation or as part of a mobilisation would need to </w:t>
      </w:r>
      <w:r>
        <w:rPr>
          <w:rFonts w:ascii="Arial" w:hAnsi="Arial" w:cs="Arial"/>
        </w:rPr>
        <w:t xml:space="preserve">establish a sufficient </w:t>
      </w:r>
      <w:r w:rsidR="00303162">
        <w:rPr>
          <w:rFonts w:ascii="Arial" w:hAnsi="Arial" w:cs="Arial"/>
        </w:rPr>
        <w:t xml:space="preserve"> foothold on the land so as to acquire a right to remain on </w:t>
      </w:r>
      <w:r w:rsidR="003610CF">
        <w:rPr>
          <w:rFonts w:ascii="Arial" w:hAnsi="Arial" w:cs="Arial"/>
        </w:rPr>
        <w:t xml:space="preserve">it through </w:t>
      </w:r>
      <w:r>
        <w:rPr>
          <w:rFonts w:ascii="Arial" w:hAnsi="Arial" w:cs="Arial"/>
        </w:rPr>
        <w:t xml:space="preserve">PIE and thereby </w:t>
      </w:r>
      <w:r w:rsidR="00303162">
        <w:rPr>
          <w:rFonts w:ascii="Arial" w:hAnsi="Arial" w:cs="Arial"/>
        </w:rPr>
        <w:t>defeat the landowners right</w:t>
      </w:r>
      <w:r>
        <w:rPr>
          <w:rFonts w:ascii="Arial" w:hAnsi="Arial" w:cs="Arial"/>
        </w:rPr>
        <w:t>-</w:t>
      </w:r>
      <w:r w:rsidR="00303162">
        <w:rPr>
          <w:rFonts w:ascii="Arial" w:hAnsi="Arial" w:cs="Arial"/>
        </w:rPr>
        <w:t xml:space="preserve"> at least for as long as a court </w:t>
      </w:r>
      <w:r>
        <w:rPr>
          <w:rFonts w:ascii="Arial" w:hAnsi="Arial" w:cs="Arial"/>
        </w:rPr>
        <w:t>holds that they are homeless and</w:t>
      </w:r>
      <w:r w:rsidR="00303162">
        <w:rPr>
          <w:rFonts w:ascii="Arial" w:hAnsi="Arial" w:cs="Arial"/>
        </w:rPr>
        <w:t xml:space="preserve"> there is no suitable temporary shelter available. </w:t>
      </w:r>
    </w:p>
    <w:p w:rsidR="00303162" w:rsidRDefault="00303162" w:rsidP="00805591">
      <w:pPr>
        <w:pStyle w:val="ListParagraph"/>
        <w:spacing w:line="360" w:lineRule="auto"/>
        <w:ind w:left="360"/>
        <w:rPr>
          <w:rFonts w:ascii="Arial" w:hAnsi="Arial" w:cs="Arial"/>
        </w:rPr>
      </w:pPr>
    </w:p>
    <w:p w:rsidR="00303162" w:rsidRPr="00025D81" w:rsidRDefault="00303162" w:rsidP="00303162">
      <w:pPr>
        <w:pStyle w:val="ListParagraph"/>
        <w:spacing w:line="360" w:lineRule="auto"/>
        <w:ind w:left="360"/>
        <w:rPr>
          <w:rFonts w:ascii="Arial" w:hAnsi="Arial" w:cs="Arial"/>
        </w:rPr>
      </w:pPr>
      <w:r>
        <w:rPr>
          <w:rFonts w:ascii="Arial" w:hAnsi="Arial" w:cs="Arial"/>
        </w:rPr>
        <w:t>Nonetheless, these te</w:t>
      </w:r>
      <w:r w:rsidR="00CF7775">
        <w:rPr>
          <w:rFonts w:ascii="Arial" w:hAnsi="Arial" w:cs="Arial"/>
        </w:rPr>
        <w:t>n</w:t>
      </w:r>
      <w:r>
        <w:rPr>
          <w:rFonts w:ascii="Arial" w:hAnsi="Arial" w:cs="Arial"/>
        </w:rPr>
        <w:t xml:space="preserve">sions should be seen against the </w:t>
      </w:r>
      <w:r w:rsidR="00A556AC">
        <w:rPr>
          <w:rFonts w:ascii="Arial" w:hAnsi="Arial" w:cs="Arial"/>
        </w:rPr>
        <w:t xml:space="preserve">intent </w:t>
      </w:r>
      <w:r w:rsidR="00691182">
        <w:rPr>
          <w:rFonts w:ascii="Arial" w:hAnsi="Arial" w:cs="Arial"/>
        </w:rPr>
        <w:t xml:space="preserve">of a </w:t>
      </w:r>
      <w:r>
        <w:rPr>
          <w:rFonts w:ascii="Arial" w:hAnsi="Arial" w:cs="Arial"/>
        </w:rPr>
        <w:t xml:space="preserve">court order </w:t>
      </w:r>
      <w:r w:rsidR="00CF7775">
        <w:rPr>
          <w:rFonts w:ascii="Arial" w:hAnsi="Arial" w:cs="Arial"/>
        </w:rPr>
        <w:t xml:space="preserve">that </w:t>
      </w:r>
      <w:r>
        <w:rPr>
          <w:rFonts w:ascii="Arial" w:hAnsi="Arial" w:cs="Arial"/>
        </w:rPr>
        <w:t xml:space="preserve">was originally granted, if valid, to </w:t>
      </w:r>
      <w:r w:rsidR="00A556AC">
        <w:rPr>
          <w:rFonts w:ascii="Arial" w:hAnsi="Arial" w:cs="Arial"/>
        </w:rPr>
        <w:t xml:space="preserve">bring within its </w:t>
      </w:r>
      <w:r w:rsidR="00691182">
        <w:rPr>
          <w:rFonts w:ascii="Arial" w:hAnsi="Arial" w:cs="Arial"/>
        </w:rPr>
        <w:t>ambit</w:t>
      </w:r>
      <w:r w:rsidR="005D1515">
        <w:rPr>
          <w:rFonts w:ascii="Arial" w:hAnsi="Arial" w:cs="Arial"/>
        </w:rPr>
        <w:t xml:space="preserve"> </w:t>
      </w:r>
      <w:r w:rsidR="00A556AC">
        <w:rPr>
          <w:rFonts w:ascii="Arial" w:hAnsi="Arial" w:cs="Arial"/>
        </w:rPr>
        <w:t xml:space="preserve">not only those who were attempting to </w:t>
      </w:r>
      <w:r>
        <w:rPr>
          <w:rFonts w:ascii="Arial" w:hAnsi="Arial" w:cs="Arial"/>
        </w:rPr>
        <w:t xml:space="preserve">trespass and occupy </w:t>
      </w:r>
      <w:r w:rsidR="00A556AC">
        <w:rPr>
          <w:rFonts w:ascii="Arial" w:hAnsi="Arial" w:cs="Arial"/>
        </w:rPr>
        <w:t>at the time but also</w:t>
      </w:r>
      <w:r w:rsidR="00CF7775">
        <w:rPr>
          <w:rFonts w:ascii="Arial" w:hAnsi="Arial" w:cs="Arial"/>
        </w:rPr>
        <w:t>, at the least,</w:t>
      </w:r>
      <w:r w:rsidR="00A556AC">
        <w:rPr>
          <w:rFonts w:ascii="Arial" w:hAnsi="Arial" w:cs="Arial"/>
        </w:rPr>
        <w:t xml:space="preserve"> those who </w:t>
      </w:r>
      <w:r w:rsidR="00CF7775">
        <w:rPr>
          <w:rFonts w:ascii="Arial" w:hAnsi="Arial" w:cs="Arial"/>
        </w:rPr>
        <w:t xml:space="preserve">were about to join the </w:t>
      </w:r>
      <w:r>
        <w:rPr>
          <w:rFonts w:ascii="Arial" w:hAnsi="Arial" w:cs="Arial"/>
        </w:rPr>
        <w:t>land</w:t>
      </w:r>
      <w:r w:rsidR="00691182">
        <w:rPr>
          <w:rFonts w:ascii="Arial" w:hAnsi="Arial" w:cs="Arial"/>
        </w:rPr>
        <w:t xml:space="preserve"> invasion and had knowledge of the essential terms of </w:t>
      </w:r>
      <w:r w:rsidR="00CF7775">
        <w:rPr>
          <w:rFonts w:ascii="Arial" w:hAnsi="Arial" w:cs="Arial"/>
        </w:rPr>
        <w:t>the court order</w:t>
      </w:r>
      <w:r w:rsidR="00691182">
        <w:rPr>
          <w:rFonts w:ascii="Arial" w:hAnsi="Arial" w:cs="Arial"/>
        </w:rPr>
        <w:t xml:space="preserve"> (which would be to prevent occupation or trespass on the land in question by unauthorised </w:t>
      </w:r>
      <w:r w:rsidR="00691182" w:rsidRPr="00025D81">
        <w:rPr>
          <w:rFonts w:ascii="Arial" w:hAnsi="Arial" w:cs="Arial"/>
        </w:rPr>
        <w:t>persons)</w:t>
      </w:r>
      <w:r w:rsidR="00CF7775" w:rsidRPr="00025D81">
        <w:rPr>
          <w:rFonts w:ascii="Arial" w:hAnsi="Arial" w:cs="Arial"/>
        </w:rPr>
        <w:t xml:space="preserve">. </w:t>
      </w:r>
    </w:p>
    <w:p w:rsidR="00025D81" w:rsidRPr="00433B9F" w:rsidRDefault="00025D81" w:rsidP="00303162">
      <w:pPr>
        <w:pStyle w:val="ListParagraph"/>
        <w:spacing w:line="360" w:lineRule="auto"/>
        <w:ind w:left="360"/>
        <w:rPr>
          <w:rFonts w:ascii="Arial" w:hAnsi="Arial" w:cs="Arial"/>
          <w:b/>
        </w:rPr>
      </w:pPr>
    </w:p>
    <w:p w:rsidR="00195B3B" w:rsidRDefault="00691182" w:rsidP="00C32AF8">
      <w:pPr>
        <w:pStyle w:val="ListParagraph"/>
        <w:numPr>
          <w:ilvl w:val="0"/>
          <w:numId w:val="3"/>
        </w:numPr>
        <w:spacing w:line="360" w:lineRule="auto"/>
        <w:rPr>
          <w:rFonts w:ascii="Arial" w:hAnsi="Arial" w:cs="Arial"/>
        </w:rPr>
      </w:pPr>
      <w:r w:rsidRPr="003610CF">
        <w:rPr>
          <w:rFonts w:ascii="Arial" w:hAnsi="Arial" w:cs="Arial"/>
        </w:rPr>
        <w:t xml:space="preserve">It is in this regard that recent </w:t>
      </w:r>
      <w:r w:rsidR="006F2C95" w:rsidRPr="003610CF">
        <w:rPr>
          <w:rFonts w:ascii="Arial" w:hAnsi="Arial" w:cs="Arial"/>
        </w:rPr>
        <w:t>developments in</w:t>
      </w:r>
      <w:r w:rsidRPr="003610CF">
        <w:rPr>
          <w:rFonts w:ascii="Arial" w:hAnsi="Arial" w:cs="Arial"/>
        </w:rPr>
        <w:t xml:space="preserve"> </w:t>
      </w:r>
      <w:r w:rsidR="00CF7775" w:rsidRPr="003610CF">
        <w:rPr>
          <w:rFonts w:ascii="Arial" w:hAnsi="Arial" w:cs="Arial"/>
        </w:rPr>
        <w:t xml:space="preserve">English </w:t>
      </w:r>
      <w:r w:rsidRPr="003610CF">
        <w:rPr>
          <w:rFonts w:ascii="Arial" w:hAnsi="Arial" w:cs="Arial"/>
        </w:rPr>
        <w:t xml:space="preserve">case law </w:t>
      </w:r>
      <w:r w:rsidR="00A026BE" w:rsidRPr="003610CF">
        <w:rPr>
          <w:rFonts w:ascii="Arial" w:hAnsi="Arial" w:cs="Arial"/>
        </w:rPr>
        <w:t xml:space="preserve">illustrate the legal issues which need to be addressed, at least in their jurisdiction. As I intend to demonstrate they are not identical to ours nor is their resolution likely to be the same. </w:t>
      </w:r>
    </w:p>
    <w:p w:rsidR="00195B3B" w:rsidRDefault="00195B3B" w:rsidP="00195B3B">
      <w:pPr>
        <w:pStyle w:val="ListParagraph"/>
        <w:spacing w:line="360" w:lineRule="auto"/>
        <w:ind w:left="360"/>
        <w:rPr>
          <w:rFonts w:ascii="Arial" w:hAnsi="Arial" w:cs="Arial"/>
        </w:rPr>
      </w:pPr>
    </w:p>
    <w:p w:rsidR="003610CF" w:rsidRDefault="00A026BE" w:rsidP="00195B3B">
      <w:pPr>
        <w:pStyle w:val="ListParagraph"/>
        <w:spacing w:line="360" w:lineRule="auto"/>
        <w:ind w:left="360"/>
        <w:rPr>
          <w:rFonts w:ascii="Arial" w:hAnsi="Arial" w:cs="Arial"/>
        </w:rPr>
      </w:pPr>
      <w:r w:rsidRPr="003610CF">
        <w:rPr>
          <w:rFonts w:ascii="Arial" w:hAnsi="Arial" w:cs="Arial"/>
        </w:rPr>
        <w:t xml:space="preserve">However the underlying </w:t>
      </w:r>
      <w:r w:rsidR="006F2C95" w:rsidRPr="003610CF">
        <w:rPr>
          <w:rFonts w:ascii="Arial" w:hAnsi="Arial" w:cs="Arial"/>
        </w:rPr>
        <w:t>jurisprudential</w:t>
      </w:r>
      <w:r w:rsidRPr="003610CF">
        <w:rPr>
          <w:rFonts w:ascii="Arial" w:hAnsi="Arial" w:cs="Arial"/>
        </w:rPr>
        <w:t xml:space="preserve"> considerations are not that </w:t>
      </w:r>
      <w:r w:rsidR="006F2C95" w:rsidRPr="003610CF">
        <w:rPr>
          <w:rFonts w:ascii="Arial" w:hAnsi="Arial" w:cs="Arial"/>
        </w:rPr>
        <w:t>dissimilar</w:t>
      </w:r>
      <w:r w:rsidR="003610CF" w:rsidRPr="003610CF">
        <w:rPr>
          <w:rFonts w:ascii="Arial" w:hAnsi="Arial" w:cs="Arial"/>
        </w:rPr>
        <w:t xml:space="preserve"> and warrant consideration</w:t>
      </w:r>
      <w:r w:rsidR="00195B3B">
        <w:rPr>
          <w:rFonts w:ascii="Arial" w:hAnsi="Arial" w:cs="Arial"/>
        </w:rPr>
        <w:t xml:space="preserve"> in the context that under our jurisprudence  the desirability of </w:t>
      </w:r>
      <w:r w:rsidR="00195B3B" w:rsidRPr="00195B3B">
        <w:rPr>
          <w:rFonts w:ascii="Arial" w:hAnsi="Arial" w:cs="Arial"/>
        </w:rPr>
        <w:t>afford</w:t>
      </w:r>
      <w:r w:rsidR="00195B3B">
        <w:rPr>
          <w:rFonts w:ascii="Arial" w:hAnsi="Arial" w:cs="Arial"/>
        </w:rPr>
        <w:t xml:space="preserve">ing </w:t>
      </w:r>
      <w:r w:rsidR="00195B3B" w:rsidRPr="00195B3B">
        <w:rPr>
          <w:rFonts w:ascii="Arial" w:hAnsi="Arial" w:cs="Arial"/>
        </w:rPr>
        <w:t xml:space="preserve"> protection </w:t>
      </w:r>
      <w:r w:rsidR="00195B3B">
        <w:rPr>
          <w:rFonts w:ascii="Arial" w:hAnsi="Arial" w:cs="Arial"/>
        </w:rPr>
        <w:t xml:space="preserve">will </w:t>
      </w:r>
      <w:r w:rsidR="00195B3B" w:rsidRPr="00195B3B">
        <w:rPr>
          <w:rFonts w:ascii="Arial" w:hAnsi="Arial" w:cs="Arial"/>
        </w:rPr>
        <w:t>comes down to the fundamental rule in our common law that where a right has been infringed the law will provide a</w:t>
      </w:r>
      <w:r w:rsidR="00195B3B">
        <w:rPr>
          <w:rFonts w:ascii="Arial" w:hAnsi="Arial" w:cs="Arial"/>
        </w:rPr>
        <w:t>n effective</w:t>
      </w:r>
      <w:r w:rsidR="00195B3B" w:rsidRPr="00195B3B">
        <w:rPr>
          <w:rFonts w:ascii="Arial" w:hAnsi="Arial" w:cs="Arial"/>
        </w:rPr>
        <w:t xml:space="preserve"> remedy</w:t>
      </w:r>
      <w:r w:rsidR="00195B3B">
        <w:rPr>
          <w:rStyle w:val="FootnoteReference"/>
          <w:rFonts w:ascii="Arial" w:hAnsi="Arial" w:cs="Arial"/>
        </w:rPr>
        <w:footnoteReference w:id="114"/>
      </w:r>
      <w:r w:rsidR="00195B3B">
        <w:rPr>
          <w:rFonts w:ascii="Arial" w:hAnsi="Arial" w:cs="Arial"/>
        </w:rPr>
        <w:t xml:space="preserve"> provided the other party has an opportunity to be heard and that there </w:t>
      </w:r>
      <w:r w:rsidR="00195B3B">
        <w:rPr>
          <w:rFonts w:ascii="Arial" w:hAnsi="Arial" w:cs="Arial"/>
        </w:rPr>
        <w:lastRenderedPageBreak/>
        <w:t>is no other prejudice (as reinforced in the Bill of Rights provisions of s 34 and the application of s 9(1) and if applicable in a given circumstance, s 26(3)</w:t>
      </w:r>
      <w:r w:rsidR="00195B3B">
        <w:rPr>
          <w:rStyle w:val="FootnoteReference"/>
          <w:rFonts w:ascii="Arial" w:hAnsi="Arial" w:cs="Arial"/>
        </w:rPr>
        <w:footnoteReference w:id="115"/>
      </w:r>
      <w:r w:rsidR="00195B3B">
        <w:rPr>
          <w:rFonts w:ascii="Arial" w:hAnsi="Arial" w:cs="Arial"/>
        </w:rPr>
        <w:t xml:space="preserve">). </w:t>
      </w:r>
    </w:p>
    <w:p w:rsidR="00195B3B" w:rsidRDefault="00195B3B" w:rsidP="00195B3B">
      <w:pPr>
        <w:pStyle w:val="ListParagraph"/>
        <w:spacing w:line="360" w:lineRule="auto"/>
        <w:ind w:left="360"/>
        <w:rPr>
          <w:rFonts w:ascii="Arial" w:hAnsi="Arial" w:cs="Arial"/>
        </w:rPr>
      </w:pPr>
    </w:p>
    <w:p w:rsidR="00A026BE" w:rsidRPr="003610CF" w:rsidRDefault="00A026BE" w:rsidP="00C32AF8">
      <w:pPr>
        <w:pStyle w:val="ListParagraph"/>
        <w:numPr>
          <w:ilvl w:val="0"/>
          <w:numId w:val="3"/>
        </w:numPr>
        <w:spacing w:line="360" w:lineRule="auto"/>
        <w:rPr>
          <w:rFonts w:ascii="Arial" w:hAnsi="Arial" w:cs="Arial"/>
        </w:rPr>
      </w:pPr>
      <w:r w:rsidRPr="003610CF">
        <w:rPr>
          <w:rFonts w:ascii="Arial" w:hAnsi="Arial" w:cs="Arial"/>
        </w:rPr>
        <w:t>The</w:t>
      </w:r>
      <w:r w:rsidR="003610CF">
        <w:rPr>
          <w:rFonts w:ascii="Arial" w:hAnsi="Arial" w:cs="Arial"/>
        </w:rPr>
        <w:t xml:space="preserve">re are </w:t>
      </w:r>
      <w:r w:rsidR="001A6756" w:rsidRPr="003610CF">
        <w:rPr>
          <w:rFonts w:ascii="Arial" w:hAnsi="Arial" w:cs="Arial"/>
        </w:rPr>
        <w:t xml:space="preserve">four </w:t>
      </w:r>
      <w:r w:rsidRPr="003610CF">
        <w:rPr>
          <w:rFonts w:ascii="Arial" w:hAnsi="Arial" w:cs="Arial"/>
        </w:rPr>
        <w:t xml:space="preserve">Court of Appeal cases </w:t>
      </w:r>
      <w:r w:rsidR="001A6756" w:rsidRPr="003610CF">
        <w:rPr>
          <w:rFonts w:ascii="Arial" w:hAnsi="Arial" w:cs="Arial"/>
        </w:rPr>
        <w:t>and a further Supreme Court case</w:t>
      </w:r>
      <w:r w:rsidR="001A6756">
        <w:rPr>
          <w:rStyle w:val="FootnoteReference"/>
          <w:rFonts w:ascii="Arial" w:hAnsi="Arial" w:cs="Arial"/>
        </w:rPr>
        <w:footnoteReference w:id="116"/>
      </w:r>
      <w:r w:rsidR="001A6756" w:rsidRPr="003610CF">
        <w:rPr>
          <w:rFonts w:ascii="Arial" w:hAnsi="Arial" w:cs="Arial"/>
        </w:rPr>
        <w:t xml:space="preserve"> </w:t>
      </w:r>
      <w:r w:rsidRPr="003610CF">
        <w:rPr>
          <w:rFonts w:ascii="Arial" w:hAnsi="Arial" w:cs="Arial"/>
        </w:rPr>
        <w:t xml:space="preserve">to which I will refer </w:t>
      </w:r>
      <w:r w:rsidR="003610CF">
        <w:rPr>
          <w:rFonts w:ascii="Arial" w:hAnsi="Arial" w:cs="Arial"/>
        </w:rPr>
        <w:t xml:space="preserve">that </w:t>
      </w:r>
      <w:r w:rsidR="00603061" w:rsidRPr="003610CF">
        <w:rPr>
          <w:rFonts w:ascii="Arial" w:hAnsi="Arial" w:cs="Arial"/>
        </w:rPr>
        <w:t xml:space="preserve">directly concerned </w:t>
      </w:r>
      <w:r w:rsidR="003610CF">
        <w:rPr>
          <w:rFonts w:ascii="Arial" w:hAnsi="Arial" w:cs="Arial"/>
        </w:rPr>
        <w:t>the</w:t>
      </w:r>
      <w:r w:rsidR="00603061" w:rsidRPr="003610CF">
        <w:rPr>
          <w:rFonts w:ascii="Arial" w:hAnsi="Arial" w:cs="Arial"/>
        </w:rPr>
        <w:t xml:space="preserve"> </w:t>
      </w:r>
      <w:r w:rsidR="000F6228" w:rsidRPr="003610CF">
        <w:rPr>
          <w:rFonts w:ascii="Arial" w:hAnsi="Arial" w:cs="Arial"/>
        </w:rPr>
        <w:t xml:space="preserve">reach of </w:t>
      </w:r>
      <w:r w:rsidR="00603061" w:rsidRPr="003610CF">
        <w:rPr>
          <w:rFonts w:ascii="Arial" w:hAnsi="Arial" w:cs="Arial"/>
        </w:rPr>
        <w:t>an order granted against persons unknown</w:t>
      </w:r>
      <w:r w:rsidR="003610CF">
        <w:rPr>
          <w:rFonts w:ascii="Arial" w:hAnsi="Arial" w:cs="Arial"/>
        </w:rPr>
        <w:t xml:space="preserve"> in circumstances where the </w:t>
      </w:r>
      <w:r w:rsidR="000F6228" w:rsidRPr="003610CF">
        <w:rPr>
          <w:rFonts w:ascii="Arial" w:hAnsi="Arial" w:cs="Arial"/>
        </w:rPr>
        <w:t xml:space="preserve">infringement occurred after the order was granted. </w:t>
      </w:r>
      <w:r w:rsidR="00603061" w:rsidRPr="003610CF">
        <w:rPr>
          <w:rFonts w:ascii="Arial" w:hAnsi="Arial" w:cs="Arial"/>
        </w:rPr>
        <w:t xml:space="preserve"> </w:t>
      </w:r>
      <w:r w:rsidRPr="003610CF">
        <w:rPr>
          <w:rFonts w:ascii="Arial" w:hAnsi="Arial" w:cs="Arial"/>
        </w:rPr>
        <w:t xml:space="preserve"> </w:t>
      </w:r>
    </w:p>
    <w:p w:rsidR="00A026BE" w:rsidRDefault="00A026BE" w:rsidP="00A026BE">
      <w:pPr>
        <w:pStyle w:val="ListParagraph"/>
        <w:spacing w:line="360" w:lineRule="auto"/>
        <w:ind w:left="360"/>
        <w:rPr>
          <w:rFonts w:ascii="Arial" w:hAnsi="Arial" w:cs="Arial"/>
        </w:rPr>
      </w:pPr>
    </w:p>
    <w:p w:rsidR="00D265F3" w:rsidRPr="00D265F3" w:rsidRDefault="00195B3B" w:rsidP="00A026BE">
      <w:pPr>
        <w:pStyle w:val="ListParagraph"/>
        <w:spacing w:line="360" w:lineRule="auto"/>
        <w:ind w:left="360"/>
        <w:rPr>
          <w:rFonts w:ascii="Arial" w:hAnsi="Arial" w:cs="Arial"/>
          <w:lang w:val="en-US"/>
        </w:rPr>
      </w:pPr>
      <w:r>
        <w:rPr>
          <w:rFonts w:ascii="Arial" w:hAnsi="Arial" w:cs="Arial"/>
        </w:rPr>
        <w:t xml:space="preserve">The earliest one is </w:t>
      </w:r>
      <w:r w:rsidR="006F2C95" w:rsidRPr="00195B3B">
        <w:rPr>
          <w:rFonts w:ascii="Arial" w:hAnsi="Arial" w:cs="Arial"/>
          <w:i/>
        </w:rPr>
        <w:t>South</w:t>
      </w:r>
      <w:r w:rsidR="008446CA" w:rsidRPr="00D265F3">
        <w:rPr>
          <w:rFonts w:ascii="Arial" w:hAnsi="Arial" w:cs="Arial"/>
          <w:i/>
          <w:lang w:val="en-US"/>
        </w:rPr>
        <w:t xml:space="preserve"> Cambridgeshire District Council v Gammell</w:t>
      </w:r>
      <w:r w:rsidR="00D265F3" w:rsidRPr="00D265F3">
        <w:rPr>
          <w:rFonts w:ascii="Arial" w:hAnsi="Arial" w:cs="Arial"/>
          <w:i/>
          <w:lang w:val="en-US"/>
        </w:rPr>
        <w:t xml:space="preserve"> and </w:t>
      </w:r>
      <w:r w:rsidR="006F2C95" w:rsidRPr="00D265F3">
        <w:rPr>
          <w:rFonts w:ascii="Arial" w:hAnsi="Arial" w:cs="Arial"/>
          <w:i/>
          <w:lang w:val="en-US"/>
        </w:rPr>
        <w:t>Others;</w:t>
      </w:r>
      <w:r w:rsidR="00D265F3" w:rsidRPr="00D265F3">
        <w:rPr>
          <w:rFonts w:ascii="Arial" w:hAnsi="Arial" w:cs="Arial"/>
          <w:lang w:val="en-US"/>
        </w:rPr>
        <w:t xml:space="preserve"> </w:t>
      </w:r>
      <w:r w:rsidR="00D265F3" w:rsidRPr="00D265F3">
        <w:rPr>
          <w:rFonts w:ascii="Arial" w:hAnsi="Arial" w:cs="Arial"/>
          <w:i/>
          <w:lang w:val="en-US"/>
        </w:rPr>
        <w:t>The Mayor And Burgesses Of The London Borough Of Bromley</w:t>
      </w:r>
      <w:r w:rsidR="00D265F3">
        <w:rPr>
          <w:rFonts w:ascii="Arial" w:hAnsi="Arial" w:cs="Arial"/>
          <w:i/>
          <w:lang w:val="en-US"/>
        </w:rPr>
        <w:t xml:space="preserve"> v Maughan a</w:t>
      </w:r>
      <w:r w:rsidR="00D265F3" w:rsidRPr="00D265F3">
        <w:rPr>
          <w:rFonts w:ascii="Arial" w:hAnsi="Arial" w:cs="Arial"/>
          <w:i/>
          <w:lang w:val="en-US"/>
        </w:rPr>
        <w:t>nd Others</w:t>
      </w:r>
      <w:r w:rsidR="00D265F3" w:rsidRPr="00D265F3">
        <w:rPr>
          <w:rFonts w:ascii="Arial" w:hAnsi="Arial" w:cs="Arial"/>
          <w:lang w:val="en-US"/>
        </w:rPr>
        <w:t xml:space="preserve"> </w:t>
      </w:r>
      <w:r w:rsidR="008446CA" w:rsidRPr="00D265F3">
        <w:rPr>
          <w:rFonts w:ascii="Arial" w:hAnsi="Arial" w:cs="Arial"/>
          <w:lang w:val="en-US"/>
        </w:rPr>
        <w:t>[2006] WLR 658; [2005] EWCA Civ 1429</w:t>
      </w:r>
      <w:r w:rsidR="000F6228">
        <w:rPr>
          <w:rFonts w:ascii="Arial" w:hAnsi="Arial" w:cs="Arial"/>
          <w:lang w:val="en-US"/>
        </w:rPr>
        <w:t xml:space="preserve">. </w:t>
      </w:r>
      <w:r>
        <w:rPr>
          <w:rFonts w:ascii="Arial" w:hAnsi="Arial" w:cs="Arial"/>
          <w:lang w:val="en-US"/>
        </w:rPr>
        <w:t xml:space="preserve">Here </w:t>
      </w:r>
      <w:r w:rsidR="000F6228">
        <w:rPr>
          <w:rFonts w:ascii="Arial" w:hAnsi="Arial" w:cs="Arial"/>
          <w:lang w:val="en-US"/>
        </w:rPr>
        <w:t>t</w:t>
      </w:r>
      <w:r w:rsidR="008446CA" w:rsidRPr="00D265F3">
        <w:rPr>
          <w:rFonts w:ascii="Arial" w:hAnsi="Arial" w:cs="Arial"/>
          <w:lang w:val="en-US"/>
        </w:rPr>
        <w:t xml:space="preserve">he </w:t>
      </w:r>
      <w:r w:rsidR="00F22B67">
        <w:rPr>
          <w:rFonts w:ascii="Arial" w:hAnsi="Arial" w:cs="Arial"/>
          <w:lang w:val="en-US"/>
        </w:rPr>
        <w:t xml:space="preserve">Court of </w:t>
      </w:r>
      <w:r w:rsidR="006F2C95">
        <w:rPr>
          <w:rFonts w:ascii="Arial" w:hAnsi="Arial" w:cs="Arial"/>
          <w:lang w:val="en-US"/>
        </w:rPr>
        <w:t>Appeal</w:t>
      </w:r>
      <w:r w:rsidR="008446CA" w:rsidRPr="00D265F3">
        <w:rPr>
          <w:rFonts w:ascii="Arial" w:hAnsi="Arial" w:cs="Arial"/>
          <w:lang w:val="en-US"/>
        </w:rPr>
        <w:t xml:space="preserve"> held that a person who subsequently </w:t>
      </w:r>
      <w:r w:rsidR="0073530C" w:rsidRPr="00D265F3">
        <w:rPr>
          <w:rFonts w:ascii="Arial" w:hAnsi="Arial" w:cs="Arial"/>
          <w:lang w:val="en-US"/>
        </w:rPr>
        <w:t>conducts</w:t>
      </w:r>
      <w:r w:rsidR="008446CA" w:rsidRPr="00D265F3">
        <w:rPr>
          <w:rFonts w:ascii="Arial" w:hAnsi="Arial" w:cs="Arial"/>
          <w:lang w:val="en-US"/>
        </w:rPr>
        <w:t xml:space="preserve"> himself or herself in a manner which</w:t>
      </w:r>
      <w:r w:rsidR="0073530C" w:rsidRPr="00D265F3">
        <w:rPr>
          <w:rFonts w:ascii="Arial" w:hAnsi="Arial" w:cs="Arial"/>
          <w:lang w:val="en-US"/>
        </w:rPr>
        <w:t xml:space="preserve"> is </w:t>
      </w:r>
      <w:r w:rsidR="006F2C95" w:rsidRPr="00D265F3">
        <w:rPr>
          <w:rFonts w:ascii="Arial" w:hAnsi="Arial" w:cs="Arial"/>
          <w:lang w:val="en-US"/>
        </w:rPr>
        <w:t>prohibited by</w:t>
      </w:r>
      <w:r w:rsidR="0073530C" w:rsidRPr="00D265F3">
        <w:rPr>
          <w:rFonts w:ascii="Arial" w:hAnsi="Arial" w:cs="Arial"/>
          <w:lang w:val="en-US"/>
        </w:rPr>
        <w:t xml:space="preserve"> an injunction will be caught in the net</w:t>
      </w:r>
      <w:r w:rsidR="000F6228">
        <w:rPr>
          <w:rFonts w:ascii="Arial" w:hAnsi="Arial" w:cs="Arial"/>
          <w:lang w:val="en-US"/>
        </w:rPr>
        <w:t xml:space="preserve">. </w:t>
      </w:r>
      <w:r w:rsidR="000F6228" w:rsidRPr="00D94C53">
        <w:rPr>
          <w:rFonts w:ascii="Arial" w:hAnsi="Arial" w:cs="Arial"/>
          <w:lang w:val="en-US"/>
        </w:rPr>
        <w:t xml:space="preserve">It also </w:t>
      </w:r>
      <w:r w:rsidR="00D265F3" w:rsidRPr="00D94C53">
        <w:rPr>
          <w:rFonts w:ascii="Arial" w:hAnsi="Arial" w:cs="Arial"/>
          <w:lang w:val="en-US"/>
        </w:rPr>
        <w:t xml:space="preserve">dealt with the procedure </w:t>
      </w:r>
      <w:r w:rsidR="00D94C53">
        <w:rPr>
          <w:rFonts w:ascii="Arial" w:hAnsi="Arial" w:cs="Arial"/>
          <w:lang w:val="en-US"/>
        </w:rPr>
        <w:t xml:space="preserve">that a person who wished to come onto the land with knowledge of an existing injunction should follow if wishing to </w:t>
      </w:r>
      <w:r w:rsidR="00FA2828">
        <w:rPr>
          <w:rFonts w:ascii="Arial" w:hAnsi="Arial" w:cs="Arial"/>
          <w:lang w:val="en-US"/>
        </w:rPr>
        <w:t xml:space="preserve">challenge its terms. </w:t>
      </w:r>
    </w:p>
    <w:p w:rsidR="00D265F3" w:rsidRPr="00D265F3" w:rsidRDefault="00D265F3" w:rsidP="00D265F3">
      <w:pPr>
        <w:pStyle w:val="ListParagraph"/>
        <w:rPr>
          <w:rFonts w:ascii="Arial" w:hAnsi="Arial" w:cs="Arial"/>
          <w:lang w:val="en-US"/>
        </w:rPr>
      </w:pPr>
    </w:p>
    <w:p w:rsidR="000F6228" w:rsidRDefault="00AB52A5" w:rsidP="00AF22DC">
      <w:pPr>
        <w:pStyle w:val="ListParagraph"/>
        <w:numPr>
          <w:ilvl w:val="0"/>
          <w:numId w:val="3"/>
        </w:numPr>
        <w:spacing w:line="360" w:lineRule="auto"/>
        <w:rPr>
          <w:rFonts w:ascii="Arial" w:hAnsi="Arial" w:cs="Arial"/>
          <w:lang w:val="en-US"/>
        </w:rPr>
      </w:pPr>
      <w:r>
        <w:rPr>
          <w:rFonts w:ascii="Arial" w:hAnsi="Arial" w:cs="Arial"/>
          <w:lang w:val="en-US"/>
        </w:rPr>
        <w:t>E</w:t>
      </w:r>
      <w:r w:rsidR="00D265F3" w:rsidRPr="00AB52A5">
        <w:rPr>
          <w:rFonts w:ascii="Arial" w:hAnsi="Arial" w:cs="Arial"/>
          <w:lang w:val="en-US"/>
        </w:rPr>
        <w:t xml:space="preserve">ach of the appellants </w:t>
      </w:r>
      <w:r w:rsidR="000F6228">
        <w:rPr>
          <w:rFonts w:ascii="Arial" w:hAnsi="Arial" w:cs="Arial"/>
          <w:lang w:val="en-US"/>
        </w:rPr>
        <w:t xml:space="preserve">in the case </w:t>
      </w:r>
      <w:r w:rsidR="00D265F3" w:rsidRPr="00AB52A5">
        <w:rPr>
          <w:rFonts w:ascii="Arial" w:hAnsi="Arial" w:cs="Arial"/>
          <w:lang w:val="en-US"/>
        </w:rPr>
        <w:t>became an occupier of</w:t>
      </w:r>
      <w:r>
        <w:rPr>
          <w:rFonts w:ascii="Arial" w:hAnsi="Arial" w:cs="Arial"/>
          <w:lang w:val="en-US"/>
        </w:rPr>
        <w:t xml:space="preserve"> a plot on the</w:t>
      </w:r>
      <w:r w:rsidR="00D265F3" w:rsidRPr="00AB52A5">
        <w:rPr>
          <w:rFonts w:ascii="Arial" w:hAnsi="Arial" w:cs="Arial"/>
          <w:lang w:val="en-US"/>
        </w:rPr>
        <w:t xml:space="preserve"> </w:t>
      </w:r>
      <w:r>
        <w:rPr>
          <w:rFonts w:ascii="Arial" w:hAnsi="Arial" w:cs="Arial"/>
          <w:lang w:val="en-US"/>
        </w:rPr>
        <w:t xml:space="preserve">farm in </w:t>
      </w:r>
      <w:r w:rsidR="006F2C95">
        <w:rPr>
          <w:rFonts w:ascii="Arial" w:hAnsi="Arial" w:cs="Arial"/>
          <w:lang w:val="en-US"/>
        </w:rPr>
        <w:t xml:space="preserve">question </w:t>
      </w:r>
      <w:r w:rsidR="006F2C95" w:rsidRPr="00AB52A5">
        <w:rPr>
          <w:rFonts w:ascii="Arial" w:hAnsi="Arial" w:cs="Arial"/>
          <w:lang w:val="en-US"/>
        </w:rPr>
        <w:t>after</w:t>
      </w:r>
      <w:r w:rsidR="00D265F3" w:rsidRPr="00AB52A5">
        <w:rPr>
          <w:rFonts w:ascii="Arial" w:hAnsi="Arial" w:cs="Arial"/>
          <w:lang w:val="en-US"/>
        </w:rPr>
        <w:t xml:space="preserve"> </w:t>
      </w:r>
      <w:r w:rsidRPr="00AB52A5">
        <w:rPr>
          <w:rFonts w:ascii="Arial" w:hAnsi="Arial" w:cs="Arial"/>
          <w:lang w:val="en-US"/>
        </w:rPr>
        <w:t xml:space="preserve">an interim </w:t>
      </w:r>
      <w:r w:rsidR="00D265F3" w:rsidRPr="00AB52A5">
        <w:rPr>
          <w:rFonts w:ascii="Arial" w:hAnsi="Arial" w:cs="Arial"/>
          <w:lang w:val="en-US"/>
        </w:rPr>
        <w:t xml:space="preserve">injunction </w:t>
      </w:r>
      <w:r>
        <w:rPr>
          <w:rFonts w:ascii="Arial" w:hAnsi="Arial" w:cs="Arial"/>
          <w:lang w:val="en-US"/>
        </w:rPr>
        <w:t>had been</w:t>
      </w:r>
      <w:r w:rsidR="00D265F3" w:rsidRPr="00AB52A5">
        <w:rPr>
          <w:rFonts w:ascii="Arial" w:hAnsi="Arial" w:cs="Arial"/>
          <w:lang w:val="en-US"/>
        </w:rPr>
        <w:t xml:space="preserve"> granted</w:t>
      </w:r>
      <w:r w:rsidRPr="00AB52A5">
        <w:rPr>
          <w:rFonts w:ascii="Arial" w:hAnsi="Arial" w:cs="Arial"/>
          <w:lang w:val="en-US"/>
        </w:rPr>
        <w:t xml:space="preserve"> preventing th</w:t>
      </w:r>
      <w:r>
        <w:rPr>
          <w:rFonts w:ascii="Arial" w:hAnsi="Arial" w:cs="Arial"/>
          <w:lang w:val="en-US"/>
        </w:rPr>
        <w:t xml:space="preserve">ose who were on the land or came onto it </w:t>
      </w:r>
      <w:r w:rsidRPr="00AB52A5">
        <w:rPr>
          <w:rFonts w:ascii="Arial" w:hAnsi="Arial" w:cs="Arial"/>
          <w:lang w:val="en-US"/>
        </w:rPr>
        <w:t>from contravening the p</w:t>
      </w:r>
      <w:r w:rsidR="008B1BBF" w:rsidRPr="00AB52A5">
        <w:rPr>
          <w:rFonts w:ascii="Arial" w:hAnsi="Arial" w:cs="Arial"/>
          <w:lang w:val="en-US"/>
        </w:rPr>
        <w:t xml:space="preserve">rovisions of the Town and Country Planning Act </w:t>
      </w:r>
      <w:r w:rsidRPr="00AB52A5">
        <w:rPr>
          <w:rFonts w:ascii="Arial" w:hAnsi="Arial" w:cs="Arial"/>
          <w:i/>
          <w:lang w:val="en-US"/>
        </w:rPr>
        <w:t>inter alia</w:t>
      </w:r>
      <w:r>
        <w:rPr>
          <w:rFonts w:ascii="Arial" w:hAnsi="Arial" w:cs="Arial"/>
          <w:lang w:val="en-US"/>
        </w:rPr>
        <w:t xml:space="preserve"> by </w:t>
      </w:r>
      <w:r w:rsidR="008B1BBF" w:rsidRPr="00AB52A5">
        <w:rPr>
          <w:rFonts w:ascii="Arial" w:hAnsi="Arial" w:cs="Arial"/>
          <w:lang w:val="en-US"/>
        </w:rPr>
        <w:t xml:space="preserve">stationing their </w:t>
      </w:r>
      <w:r w:rsidR="004D7286">
        <w:rPr>
          <w:rFonts w:ascii="Arial" w:hAnsi="Arial" w:cs="Arial"/>
          <w:lang w:val="en-US"/>
        </w:rPr>
        <w:t xml:space="preserve">caravans </w:t>
      </w:r>
      <w:r w:rsidR="000F6228">
        <w:rPr>
          <w:rFonts w:ascii="Arial" w:hAnsi="Arial" w:cs="Arial"/>
          <w:lang w:val="en-US"/>
        </w:rPr>
        <w:t>on the land</w:t>
      </w:r>
      <w:r>
        <w:rPr>
          <w:rFonts w:ascii="Arial" w:hAnsi="Arial" w:cs="Arial"/>
          <w:lang w:val="en-US"/>
        </w:rPr>
        <w:t xml:space="preserve"> save in certain defined circumstances</w:t>
      </w:r>
      <w:r w:rsidR="008B1BBF" w:rsidRPr="00AB52A5">
        <w:rPr>
          <w:rFonts w:ascii="Arial" w:hAnsi="Arial" w:cs="Arial"/>
          <w:lang w:val="en-US"/>
        </w:rPr>
        <w:t xml:space="preserve">. </w:t>
      </w:r>
    </w:p>
    <w:p w:rsidR="000F6228" w:rsidRDefault="000F6228" w:rsidP="000F6228">
      <w:pPr>
        <w:pStyle w:val="ListParagraph"/>
        <w:spacing w:line="360" w:lineRule="auto"/>
        <w:ind w:left="360"/>
        <w:rPr>
          <w:rFonts w:ascii="Arial" w:hAnsi="Arial" w:cs="Arial"/>
          <w:lang w:val="en-US"/>
        </w:rPr>
      </w:pPr>
    </w:p>
    <w:p w:rsidR="004D7286" w:rsidRDefault="00AB52A5" w:rsidP="000F6228">
      <w:pPr>
        <w:pStyle w:val="ListParagraph"/>
        <w:spacing w:line="360" w:lineRule="auto"/>
        <w:ind w:left="360"/>
        <w:rPr>
          <w:rFonts w:ascii="Arial" w:hAnsi="Arial" w:cs="Arial"/>
          <w:lang w:val="en-US"/>
        </w:rPr>
      </w:pPr>
      <w:r>
        <w:rPr>
          <w:rFonts w:ascii="Arial" w:hAnsi="Arial" w:cs="Arial"/>
          <w:lang w:val="en-US"/>
        </w:rPr>
        <w:t xml:space="preserve">In </w:t>
      </w:r>
      <w:r w:rsidR="00F518B1" w:rsidRPr="003610CF">
        <w:rPr>
          <w:rFonts w:ascii="Arial" w:hAnsi="Arial" w:cs="Arial"/>
          <w:i/>
          <w:lang w:val="en-US"/>
        </w:rPr>
        <w:t>Maughan’s</w:t>
      </w:r>
      <w:r w:rsidR="00F518B1">
        <w:rPr>
          <w:rFonts w:ascii="Arial" w:hAnsi="Arial" w:cs="Arial"/>
          <w:lang w:val="en-US"/>
        </w:rPr>
        <w:t xml:space="preserve"> case </w:t>
      </w:r>
      <w:r>
        <w:rPr>
          <w:rFonts w:ascii="Arial" w:hAnsi="Arial" w:cs="Arial"/>
          <w:lang w:val="en-US"/>
        </w:rPr>
        <w:t>t</w:t>
      </w:r>
      <w:r w:rsidR="00865F69" w:rsidRPr="00AB52A5">
        <w:rPr>
          <w:rFonts w:ascii="Arial" w:hAnsi="Arial" w:cs="Arial"/>
          <w:lang w:val="en-US"/>
        </w:rPr>
        <w:t>he</w:t>
      </w:r>
      <w:r w:rsidR="008B1BBF" w:rsidRPr="00AB52A5">
        <w:rPr>
          <w:rFonts w:ascii="Arial" w:hAnsi="Arial" w:cs="Arial"/>
          <w:lang w:val="en-US"/>
        </w:rPr>
        <w:t xml:space="preserve"> </w:t>
      </w:r>
      <w:r w:rsidR="00865F69" w:rsidRPr="00AB52A5">
        <w:rPr>
          <w:rFonts w:ascii="Arial" w:hAnsi="Arial" w:cs="Arial"/>
          <w:lang w:val="en-US"/>
        </w:rPr>
        <w:t>injunction</w:t>
      </w:r>
      <w:r>
        <w:rPr>
          <w:rFonts w:ascii="Arial" w:hAnsi="Arial" w:cs="Arial"/>
          <w:lang w:val="en-US"/>
        </w:rPr>
        <w:t xml:space="preserve"> w</w:t>
      </w:r>
      <w:r w:rsidR="00F518B1">
        <w:rPr>
          <w:rFonts w:ascii="Arial" w:hAnsi="Arial" w:cs="Arial"/>
          <w:lang w:val="en-US"/>
        </w:rPr>
        <w:t>as</w:t>
      </w:r>
      <w:r w:rsidR="00865F69" w:rsidRPr="00AB52A5">
        <w:rPr>
          <w:rFonts w:ascii="Arial" w:hAnsi="Arial" w:cs="Arial"/>
          <w:lang w:val="en-US"/>
        </w:rPr>
        <w:t xml:space="preserve"> granted </w:t>
      </w:r>
      <w:r w:rsidR="00F518B1">
        <w:rPr>
          <w:rFonts w:ascii="Arial" w:hAnsi="Arial" w:cs="Arial"/>
          <w:lang w:val="en-US"/>
        </w:rPr>
        <w:t xml:space="preserve">in early </w:t>
      </w:r>
      <w:r w:rsidR="00865F69" w:rsidRPr="00AB52A5">
        <w:rPr>
          <w:rFonts w:ascii="Arial" w:hAnsi="Arial" w:cs="Arial"/>
          <w:lang w:val="en-US"/>
        </w:rPr>
        <w:t>July 2004</w:t>
      </w:r>
      <w:r>
        <w:rPr>
          <w:rFonts w:ascii="Arial" w:hAnsi="Arial" w:cs="Arial"/>
          <w:lang w:val="en-US"/>
        </w:rPr>
        <w:t xml:space="preserve"> </w:t>
      </w:r>
      <w:r w:rsidR="00AC1AC9">
        <w:rPr>
          <w:rFonts w:ascii="Arial" w:hAnsi="Arial" w:cs="Arial"/>
          <w:lang w:val="en-US"/>
        </w:rPr>
        <w:t>while</w:t>
      </w:r>
      <w:r>
        <w:rPr>
          <w:rFonts w:ascii="Arial" w:hAnsi="Arial" w:cs="Arial"/>
          <w:lang w:val="en-US"/>
        </w:rPr>
        <w:t xml:space="preserve"> the appellan</w:t>
      </w:r>
      <w:r w:rsidR="00F518B1">
        <w:rPr>
          <w:rFonts w:ascii="Arial" w:hAnsi="Arial" w:cs="Arial"/>
          <w:lang w:val="en-US"/>
        </w:rPr>
        <w:t>t</w:t>
      </w:r>
      <w:r>
        <w:rPr>
          <w:rFonts w:ascii="Arial" w:hAnsi="Arial" w:cs="Arial"/>
          <w:lang w:val="en-US"/>
        </w:rPr>
        <w:t xml:space="preserve"> </w:t>
      </w:r>
      <w:r w:rsidR="00F518B1">
        <w:rPr>
          <w:rFonts w:ascii="Arial" w:hAnsi="Arial" w:cs="Arial"/>
          <w:lang w:val="en-US"/>
        </w:rPr>
        <w:t xml:space="preserve">only </w:t>
      </w:r>
      <w:r>
        <w:rPr>
          <w:rFonts w:ascii="Arial" w:hAnsi="Arial" w:cs="Arial"/>
          <w:lang w:val="en-US"/>
        </w:rPr>
        <w:t xml:space="preserve">came onto the </w:t>
      </w:r>
      <w:r w:rsidR="00F518B1">
        <w:rPr>
          <w:rFonts w:ascii="Arial" w:hAnsi="Arial" w:cs="Arial"/>
          <w:lang w:val="en-US"/>
        </w:rPr>
        <w:t>farm some two months later</w:t>
      </w:r>
      <w:r w:rsidR="00F518B1">
        <w:rPr>
          <w:rStyle w:val="FootnoteReference"/>
          <w:rFonts w:ascii="Arial" w:hAnsi="Arial" w:cs="Arial"/>
          <w:lang w:val="en-US"/>
        </w:rPr>
        <w:footnoteReference w:id="117"/>
      </w:r>
      <w:r w:rsidR="003610CF">
        <w:rPr>
          <w:rFonts w:ascii="Arial" w:hAnsi="Arial" w:cs="Arial"/>
          <w:lang w:val="en-US"/>
        </w:rPr>
        <w:t xml:space="preserve">. In </w:t>
      </w:r>
      <w:r w:rsidR="00F518B1" w:rsidRPr="003610CF">
        <w:rPr>
          <w:rFonts w:ascii="Arial" w:hAnsi="Arial" w:cs="Arial"/>
          <w:i/>
          <w:lang w:val="en-US"/>
        </w:rPr>
        <w:t>Gammell’s</w:t>
      </w:r>
      <w:r w:rsidR="00F518B1">
        <w:rPr>
          <w:rFonts w:ascii="Arial" w:hAnsi="Arial" w:cs="Arial"/>
          <w:lang w:val="en-US"/>
        </w:rPr>
        <w:t xml:space="preserve"> case the original injunction </w:t>
      </w:r>
      <w:r w:rsidR="003610CF">
        <w:rPr>
          <w:rFonts w:ascii="Arial" w:hAnsi="Arial" w:cs="Arial"/>
          <w:lang w:val="en-US"/>
        </w:rPr>
        <w:t xml:space="preserve">was </w:t>
      </w:r>
      <w:r w:rsidR="00F518B1">
        <w:rPr>
          <w:rFonts w:ascii="Arial" w:hAnsi="Arial" w:cs="Arial"/>
          <w:lang w:val="en-US"/>
        </w:rPr>
        <w:t xml:space="preserve">granted in May 2004 </w:t>
      </w:r>
      <w:r w:rsidR="003610CF">
        <w:rPr>
          <w:rFonts w:ascii="Arial" w:hAnsi="Arial" w:cs="Arial"/>
          <w:lang w:val="en-US"/>
        </w:rPr>
        <w:t xml:space="preserve">whereas </w:t>
      </w:r>
      <w:r w:rsidR="00F518B1">
        <w:rPr>
          <w:rFonts w:ascii="Arial" w:hAnsi="Arial" w:cs="Arial"/>
          <w:lang w:val="en-US"/>
        </w:rPr>
        <w:t xml:space="preserve">the </w:t>
      </w:r>
      <w:r w:rsidR="006F2C95">
        <w:rPr>
          <w:rFonts w:ascii="Arial" w:hAnsi="Arial" w:cs="Arial"/>
          <w:lang w:val="en-US"/>
        </w:rPr>
        <w:t>appellant</w:t>
      </w:r>
      <w:r w:rsidR="00F518B1">
        <w:rPr>
          <w:rFonts w:ascii="Arial" w:hAnsi="Arial" w:cs="Arial"/>
          <w:lang w:val="en-US"/>
        </w:rPr>
        <w:t xml:space="preserve"> on</w:t>
      </w:r>
      <w:r w:rsidR="00AC1AC9">
        <w:rPr>
          <w:rFonts w:ascii="Arial" w:hAnsi="Arial" w:cs="Arial"/>
          <w:lang w:val="en-US"/>
        </w:rPr>
        <w:t>ly</w:t>
      </w:r>
      <w:r w:rsidR="00F518B1">
        <w:rPr>
          <w:rFonts w:ascii="Arial" w:hAnsi="Arial" w:cs="Arial"/>
          <w:lang w:val="en-US"/>
        </w:rPr>
        <w:t xml:space="preserve"> came </w:t>
      </w:r>
      <w:r w:rsidR="00F518B1">
        <w:rPr>
          <w:rFonts w:ascii="Arial" w:hAnsi="Arial" w:cs="Arial"/>
          <w:lang w:val="en-US"/>
        </w:rPr>
        <w:lastRenderedPageBreak/>
        <w:t>onto the land</w:t>
      </w:r>
      <w:r w:rsidR="00AC1AC9">
        <w:rPr>
          <w:rFonts w:ascii="Arial" w:hAnsi="Arial" w:cs="Arial"/>
          <w:lang w:val="en-US"/>
        </w:rPr>
        <w:t xml:space="preserve"> </w:t>
      </w:r>
      <w:r w:rsidR="003610CF">
        <w:rPr>
          <w:rFonts w:ascii="Arial" w:hAnsi="Arial" w:cs="Arial"/>
          <w:lang w:val="en-US"/>
        </w:rPr>
        <w:t>close to</w:t>
      </w:r>
      <w:r w:rsidR="00AC1AC9">
        <w:rPr>
          <w:rFonts w:ascii="Arial" w:hAnsi="Arial" w:cs="Arial"/>
          <w:lang w:val="en-US"/>
        </w:rPr>
        <w:t xml:space="preserve"> a year later</w:t>
      </w:r>
      <w:r w:rsidR="00F518B1">
        <w:rPr>
          <w:rFonts w:ascii="Arial" w:hAnsi="Arial" w:cs="Arial"/>
          <w:lang w:val="en-US"/>
        </w:rPr>
        <w:t xml:space="preserve"> in April 2005.</w:t>
      </w:r>
      <w:r w:rsidR="00F518B1">
        <w:rPr>
          <w:rStyle w:val="FootnoteReference"/>
          <w:rFonts w:ascii="Arial" w:hAnsi="Arial" w:cs="Arial"/>
          <w:lang w:val="en-US"/>
        </w:rPr>
        <w:footnoteReference w:id="118"/>
      </w:r>
      <w:r w:rsidR="00F518B1">
        <w:rPr>
          <w:rFonts w:ascii="Arial" w:hAnsi="Arial" w:cs="Arial"/>
          <w:lang w:val="en-US"/>
        </w:rPr>
        <w:t xml:space="preserve"> </w:t>
      </w:r>
      <w:r>
        <w:rPr>
          <w:rFonts w:ascii="Arial" w:hAnsi="Arial" w:cs="Arial"/>
          <w:lang w:val="en-US"/>
        </w:rPr>
        <w:t xml:space="preserve"> </w:t>
      </w:r>
      <w:r w:rsidR="00D265F3" w:rsidRPr="00AB52A5">
        <w:rPr>
          <w:rFonts w:ascii="Arial" w:hAnsi="Arial" w:cs="Arial"/>
          <w:lang w:val="en-US"/>
        </w:rPr>
        <w:t xml:space="preserve"> </w:t>
      </w:r>
    </w:p>
    <w:p w:rsidR="004D7286" w:rsidRPr="004D7286" w:rsidRDefault="004D7286" w:rsidP="004D7286">
      <w:pPr>
        <w:pStyle w:val="ListParagraph"/>
        <w:rPr>
          <w:rFonts w:ascii="Arial" w:hAnsi="Arial" w:cs="Arial"/>
          <w:lang w:val="en-US"/>
        </w:rPr>
      </w:pPr>
    </w:p>
    <w:p w:rsidR="004D7286" w:rsidRDefault="004D7286" w:rsidP="004D7286">
      <w:pPr>
        <w:pStyle w:val="ListParagraph"/>
        <w:spacing w:line="360" w:lineRule="auto"/>
        <w:ind w:left="360"/>
        <w:rPr>
          <w:rFonts w:ascii="Arial" w:hAnsi="Arial" w:cs="Arial"/>
          <w:lang w:val="en-US"/>
        </w:rPr>
      </w:pPr>
      <w:r>
        <w:rPr>
          <w:rFonts w:ascii="Arial" w:hAnsi="Arial" w:cs="Arial"/>
          <w:lang w:val="en-US"/>
        </w:rPr>
        <w:t xml:space="preserve">The </w:t>
      </w:r>
      <w:r w:rsidRPr="00F22B67">
        <w:rPr>
          <w:rFonts w:ascii="Arial" w:hAnsi="Arial" w:cs="Arial"/>
          <w:lang w:val="en-US"/>
        </w:rPr>
        <w:t>Court of Appeal</w:t>
      </w:r>
      <w:r>
        <w:rPr>
          <w:rFonts w:ascii="Arial" w:hAnsi="Arial" w:cs="Arial"/>
          <w:lang w:val="en-US"/>
        </w:rPr>
        <w:t xml:space="preserve"> held </w:t>
      </w:r>
      <w:r w:rsidR="005171D0">
        <w:rPr>
          <w:rFonts w:ascii="Arial" w:hAnsi="Arial" w:cs="Arial"/>
          <w:lang w:val="en-US"/>
        </w:rPr>
        <w:t xml:space="preserve">at para 33 </w:t>
      </w:r>
      <w:r>
        <w:rPr>
          <w:rFonts w:ascii="Arial" w:hAnsi="Arial" w:cs="Arial"/>
          <w:lang w:val="en-US"/>
        </w:rPr>
        <w:t>that;</w:t>
      </w:r>
    </w:p>
    <w:p w:rsidR="004D7286" w:rsidRDefault="004D7286" w:rsidP="004D7286">
      <w:pPr>
        <w:pStyle w:val="ListParagraph"/>
        <w:spacing w:line="360" w:lineRule="auto"/>
        <w:ind w:left="360"/>
        <w:rPr>
          <w:rFonts w:ascii="Arial" w:hAnsi="Arial" w:cs="Arial"/>
          <w:lang w:val="en-US"/>
        </w:rPr>
      </w:pPr>
    </w:p>
    <w:p w:rsidR="004D7286" w:rsidRDefault="004D7286" w:rsidP="000774C7">
      <w:pPr>
        <w:pStyle w:val="ListParagraph"/>
        <w:numPr>
          <w:ilvl w:val="1"/>
          <w:numId w:val="3"/>
        </w:numPr>
        <w:spacing w:line="360" w:lineRule="auto"/>
        <w:rPr>
          <w:rFonts w:ascii="Arial" w:hAnsi="Arial" w:cs="Arial"/>
          <w:lang w:val="en-US"/>
        </w:rPr>
      </w:pPr>
      <w:r>
        <w:rPr>
          <w:rFonts w:ascii="Arial" w:hAnsi="Arial" w:cs="Arial"/>
          <w:lang w:val="en-US"/>
        </w:rPr>
        <w:t xml:space="preserve">an injunction against </w:t>
      </w:r>
      <w:r w:rsidR="00195B3B">
        <w:rPr>
          <w:rFonts w:ascii="Arial" w:hAnsi="Arial" w:cs="Arial"/>
          <w:lang w:val="en-US"/>
        </w:rPr>
        <w:t>“</w:t>
      </w:r>
      <w:r w:rsidRPr="00195B3B">
        <w:rPr>
          <w:rFonts w:ascii="Arial" w:hAnsi="Arial" w:cs="Arial"/>
          <w:i/>
          <w:lang w:val="en-US"/>
        </w:rPr>
        <w:t xml:space="preserve">persons </w:t>
      </w:r>
      <w:r w:rsidR="00AC1AC9" w:rsidRPr="00195B3B">
        <w:rPr>
          <w:rFonts w:ascii="Arial" w:hAnsi="Arial" w:cs="Arial"/>
          <w:i/>
          <w:lang w:val="en-US"/>
        </w:rPr>
        <w:t>unknown</w:t>
      </w:r>
      <w:r w:rsidR="00195B3B">
        <w:rPr>
          <w:rFonts w:ascii="Arial" w:hAnsi="Arial" w:cs="Arial"/>
          <w:lang w:val="en-US"/>
        </w:rPr>
        <w:t>”</w:t>
      </w:r>
      <w:r w:rsidR="00AC1AC9">
        <w:rPr>
          <w:rFonts w:ascii="Arial" w:hAnsi="Arial" w:cs="Arial"/>
          <w:lang w:val="en-US"/>
        </w:rPr>
        <w:t xml:space="preserve"> </w:t>
      </w:r>
      <w:r>
        <w:rPr>
          <w:rFonts w:ascii="Arial" w:hAnsi="Arial" w:cs="Arial"/>
          <w:lang w:val="en-US"/>
        </w:rPr>
        <w:t xml:space="preserve">should only be </w:t>
      </w:r>
      <w:r w:rsidR="00D265F3" w:rsidRPr="00AB52A5">
        <w:rPr>
          <w:rFonts w:ascii="Arial" w:hAnsi="Arial" w:cs="Arial"/>
          <w:lang w:val="en-US"/>
        </w:rPr>
        <w:t>grant</w:t>
      </w:r>
      <w:r>
        <w:rPr>
          <w:rFonts w:ascii="Arial" w:hAnsi="Arial" w:cs="Arial"/>
          <w:lang w:val="en-US"/>
        </w:rPr>
        <w:t xml:space="preserve">ed </w:t>
      </w:r>
      <w:r w:rsidR="00D265F3" w:rsidRPr="00AB52A5">
        <w:rPr>
          <w:rFonts w:ascii="Arial" w:hAnsi="Arial" w:cs="Arial"/>
          <w:lang w:val="en-US"/>
        </w:rPr>
        <w:t>where it is not possible for the applicant to identify th</w:t>
      </w:r>
      <w:r w:rsidR="00195B3B">
        <w:rPr>
          <w:rFonts w:ascii="Arial" w:hAnsi="Arial" w:cs="Arial"/>
          <w:lang w:val="en-US"/>
        </w:rPr>
        <w:t xml:space="preserve">ose </w:t>
      </w:r>
      <w:r w:rsidR="00D265F3" w:rsidRPr="00AB52A5">
        <w:rPr>
          <w:rFonts w:ascii="Arial" w:hAnsi="Arial" w:cs="Arial"/>
          <w:lang w:val="en-US"/>
        </w:rPr>
        <w:t>concerned or likely to be concerned</w:t>
      </w:r>
      <w:r>
        <w:rPr>
          <w:rFonts w:ascii="Arial" w:hAnsi="Arial" w:cs="Arial"/>
          <w:lang w:val="en-US"/>
        </w:rPr>
        <w:t>;</w:t>
      </w:r>
    </w:p>
    <w:p w:rsidR="000774C7" w:rsidRDefault="000774C7" w:rsidP="000774C7">
      <w:pPr>
        <w:pStyle w:val="ListParagraph"/>
        <w:spacing w:line="360" w:lineRule="auto"/>
        <w:ind w:left="1080"/>
        <w:rPr>
          <w:rFonts w:ascii="Arial" w:hAnsi="Arial" w:cs="Arial"/>
          <w:lang w:val="en-US"/>
        </w:rPr>
      </w:pPr>
    </w:p>
    <w:p w:rsidR="004D7286" w:rsidRDefault="00D265F3" w:rsidP="000774C7">
      <w:pPr>
        <w:pStyle w:val="ListParagraph"/>
        <w:numPr>
          <w:ilvl w:val="1"/>
          <w:numId w:val="3"/>
        </w:numPr>
        <w:spacing w:line="360" w:lineRule="auto"/>
        <w:rPr>
          <w:rFonts w:ascii="Arial" w:hAnsi="Arial" w:cs="Arial"/>
          <w:lang w:val="en-US"/>
        </w:rPr>
      </w:pPr>
      <w:r w:rsidRPr="000774C7">
        <w:rPr>
          <w:rFonts w:ascii="Arial" w:hAnsi="Arial" w:cs="Arial"/>
          <w:lang w:val="en-US"/>
        </w:rPr>
        <w:t xml:space="preserve">a person who learns that he </w:t>
      </w:r>
      <w:r w:rsidR="004D7286" w:rsidRPr="000774C7">
        <w:rPr>
          <w:rFonts w:ascii="Arial" w:hAnsi="Arial" w:cs="Arial"/>
          <w:lang w:val="en-US"/>
        </w:rPr>
        <w:t xml:space="preserve">or she </w:t>
      </w:r>
      <w:r w:rsidRPr="000774C7">
        <w:rPr>
          <w:rFonts w:ascii="Arial" w:hAnsi="Arial" w:cs="Arial"/>
          <w:lang w:val="en-US"/>
        </w:rPr>
        <w:t xml:space="preserve">is enjoined </w:t>
      </w:r>
      <w:r w:rsidR="004D7286" w:rsidRPr="000774C7">
        <w:rPr>
          <w:rFonts w:ascii="Arial" w:hAnsi="Arial" w:cs="Arial"/>
          <w:lang w:val="en-US"/>
        </w:rPr>
        <w:t xml:space="preserve">by the terms of </w:t>
      </w:r>
      <w:r w:rsidR="00AC1AC9" w:rsidRPr="000774C7">
        <w:rPr>
          <w:rFonts w:ascii="Arial" w:hAnsi="Arial" w:cs="Arial"/>
          <w:lang w:val="en-US"/>
        </w:rPr>
        <w:t>an</w:t>
      </w:r>
      <w:r w:rsidR="004D7286" w:rsidRPr="000774C7">
        <w:rPr>
          <w:rFonts w:ascii="Arial" w:hAnsi="Arial" w:cs="Arial"/>
          <w:lang w:val="en-US"/>
        </w:rPr>
        <w:t xml:space="preserve"> injunction </w:t>
      </w:r>
      <w:r w:rsidRPr="000774C7">
        <w:rPr>
          <w:rFonts w:ascii="Arial" w:hAnsi="Arial" w:cs="Arial"/>
          <w:lang w:val="en-US"/>
        </w:rPr>
        <w:t xml:space="preserve">and who wishes to take </w:t>
      </w:r>
      <w:r w:rsidR="004D7286" w:rsidRPr="000774C7">
        <w:rPr>
          <w:rFonts w:ascii="Arial" w:hAnsi="Arial" w:cs="Arial"/>
          <w:lang w:val="en-US"/>
        </w:rPr>
        <w:t>a step which “</w:t>
      </w:r>
      <w:r w:rsidR="004D7286" w:rsidRPr="000774C7">
        <w:rPr>
          <w:rFonts w:ascii="Arial" w:hAnsi="Arial" w:cs="Arial"/>
          <w:i/>
          <w:lang w:val="en-US"/>
        </w:rPr>
        <w:t xml:space="preserve">would be </w:t>
      </w:r>
      <w:r w:rsidRPr="000774C7">
        <w:rPr>
          <w:rFonts w:ascii="Arial" w:hAnsi="Arial" w:cs="Arial"/>
          <w:i/>
          <w:lang w:val="en-US"/>
        </w:rPr>
        <w:t>in breach of the injunction, and thus in contempt of court</w:t>
      </w:r>
      <w:r w:rsidR="004D7286" w:rsidRPr="000774C7">
        <w:rPr>
          <w:rFonts w:ascii="Arial" w:hAnsi="Arial" w:cs="Arial"/>
          <w:i/>
          <w:lang w:val="en-US"/>
        </w:rPr>
        <w:t>”</w:t>
      </w:r>
      <w:r w:rsidRPr="000774C7">
        <w:rPr>
          <w:rFonts w:ascii="Arial" w:hAnsi="Arial" w:cs="Arial"/>
          <w:i/>
          <w:lang w:val="en-US"/>
        </w:rPr>
        <w:t>,</w:t>
      </w:r>
      <w:r w:rsidR="004D7286" w:rsidRPr="000774C7">
        <w:rPr>
          <w:rFonts w:ascii="Arial" w:hAnsi="Arial" w:cs="Arial"/>
          <w:lang w:val="en-US"/>
        </w:rPr>
        <w:t xml:space="preserve"> cannot </w:t>
      </w:r>
      <w:r w:rsidR="000F6228" w:rsidRPr="000774C7">
        <w:rPr>
          <w:rFonts w:ascii="Arial" w:hAnsi="Arial" w:cs="Arial"/>
          <w:lang w:val="en-US"/>
        </w:rPr>
        <w:t>take such a step</w:t>
      </w:r>
      <w:r w:rsidR="004D7286" w:rsidRPr="000774C7">
        <w:rPr>
          <w:rFonts w:ascii="Arial" w:hAnsi="Arial" w:cs="Arial"/>
          <w:lang w:val="en-US"/>
        </w:rPr>
        <w:t xml:space="preserve"> but, as soon as that person becomes aware of </w:t>
      </w:r>
      <w:r w:rsidR="00AC1AC9" w:rsidRPr="000774C7">
        <w:rPr>
          <w:rFonts w:ascii="Arial" w:hAnsi="Arial" w:cs="Arial"/>
          <w:lang w:val="en-US"/>
        </w:rPr>
        <w:t>the order</w:t>
      </w:r>
      <w:r w:rsidR="000F6228" w:rsidRPr="000774C7">
        <w:rPr>
          <w:rFonts w:ascii="Arial" w:hAnsi="Arial" w:cs="Arial"/>
          <w:lang w:val="en-US"/>
        </w:rPr>
        <w:t>,</w:t>
      </w:r>
      <w:r w:rsidR="004D7286" w:rsidRPr="000774C7">
        <w:rPr>
          <w:rFonts w:ascii="Arial" w:hAnsi="Arial" w:cs="Arial"/>
          <w:lang w:val="en-US"/>
        </w:rPr>
        <w:t xml:space="preserve"> he or </w:t>
      </w:r>
      <w:r w:rsidR="006F2C95" w:rsidRPr="000774C7">
        <w:rPr>
          <w:rFonts w:ascii="Arial" w:hAnsi="Arial" w:cs="Arial"/>
          <w:lang w:val="en-US"/>
        </w:rPr>
        <w:t>she must</w:t>
      </w:r>
      <w:r w:rsidR="004D7286" w:rsidRPr="000774C7">
        <w:rPr>
          <w:rFonts w:ascii="Arial" w:hAnsi="Arial" w:cs="Arial"/>
          <w:lang w:val="en-US"/>
        </w:rPr>
        <w:t xml:space="preserve"> </w:t>
      </w:r>
      <w:r w:rsidR="003610CF">
        <w:rPr>
          <w:rFonts w:ascii="Arial" w:hAnsi="Arial" w:cs="Arial"/>
          <w:lang w:val="en-US"/>
        </w:rPr>
        <w:t xml:space="preserve">apply to </w:t>
      </w:r>
      <w:r w:rsidRPr="000774C7">
        <w:rPr>
          <w:rFonts w:ascii="Arial" w:hAnsi="Arial" w:cs="Arial"/>
          <w:lang w:val="en-US"/>
        </w:rPr>
        <w:t>court for an order varying or setting</w:t>
      </w:r>
      <w:r w:rsidR="00AC1AC9" w:rsidRPr="000774C7">
        <w:rPr>
          <w:rFonts w:ascii="Arial" w:hAnsi="Arial" w:cs="Arial"/>
          <w:lang w:val="en-US"/>
        </w:rPr>
        <w:t xml:space="preserve"> it</w:t>
      </w:r>
      <w:r w:rsidR="000774C7">
        <w:rPr>
          <w:rFonts w:ascii="Arial" w:hAnsi="Arial" w:cs="Arial"/>
          <w:lang w:val="en-US"/>
        </w:rPr>
        <w:t xml:space="preserve"> aside;</w:t>
      </w:r>
    </w:p>
    <w:p w:rsidR="000774C7" w:rsidRPr="000774C7" w:rsidRDefault="000774C7" w:rsidP="000774C7">
      <w:pPr>
        <w:pStyle w:val="ListParagraph"/>
        <w:rPr>
          <w:rFonts w:ascii="Arial" w:hAnsi="Arial" w:cs="Arial"/>
          <w:lang w:val="en-US"/>
        </w:rPr>
      </w:pPr>
    </w:p>
    <w:p w:rsidR="000F6228" w:rsidRDefault="000774C7" w:rsidP="000774C7">
      <w:pPr>
        <w:pStyle w:val="ListParagraph"/>
        <w:numPr>
          <w:ilvl w:val="1"/>
          <w:numId w:val="3"/>
        </w:numPr>
        <w:spacing w:line="360" w:lineRule="auto"/>
        <w:rPr>
          <w:rFonts w:ascii="Arial" w:hAnsi="Arial" w:cs="Arial"/>
          <w:lang w:val="en-US"/>
        </w:rPr>
      </w:pPr>
      <w:r>
        <w:rPr>
          <w:rFonts w:ascii="Arial" w:hAnsi="Arial" w:cs="Arial"/>
          <w:lang w:val="en-US"/>
        </w:rPr>
        <w:t>a</w:t>
      </w:r>
      <w:r w:rsidR="00C44F45" w:rsidRPr="000774C7">
        <w:rPr>
          <w:rFonts w:ascii="Arial" w:hAnsi="Arial" w:cs="Arial"/>
          <w:lang w:val="en-US"/>
        </w:rPr>
        <w:t xml:space="preserve"> </w:t>
      </w:r>
      <w:r w:rsidR="00D265F3" w:rsidRPr="000774C7">
        <w:rPr>
          <w:rFonts w:ascii="Arial" w:hAnsi="Arial" w:cs="Arial"/>
          <w:lang w:val="en-US"/>
        </w:rPr>
        <w:t xml:space="preserve">person who </w:t>
      </w:r>
      <w:r w:rsidR="00AC1AC9" w:rsidRPr="000774C7">
        <w:rPr>
          <w:rFonts w:ascii="Arial" w:hAnsi="Arial" w:cs="Arial"/>
          <w:lang w:val="en-US"/>
        </w:rPr>
        <w:t xml:space="preserve">with knowledge of the order </w:t>
      </w:r>
      <w:r w:rsidR="00C44F45" w:rsidRPr="000774C7">
        <w:rPr>
          <w:rFonts w:ascii="Arial" w:hAnsi="Arial" w:cs="Arial"/>
          <w:lang w:val="en-US"/>
        </w:rPr>
        <w:t xml:space="preserve">acts </w:t>
      </w:r>
      <w:r w:rsidR="00D265F3" w:rsidRPr="000774C7">
        <w:rPr>
          <w:rFonts w:ascii="Arial" w:hAnsi="Arial" w:cs="Arial"/>
          <w:lang w:val="en-US"/>
        </w:rPr>
        <w:t xml:space="preserve">in breach of the </w:t>
      </w:r>
      <w:r w:rsidR="006F2C95" w:rsidRPr="000774C7">
        <w:rPr>
          <w:rFonts w:ascii="Arial" w:hAnsi="Arial" w:cs="Arial"/>
          <w:lang w:val="en-US"/>
        </w:rPr>
        <w:t>injunction may</w:t>
      </w:r>
      <w:r w:rsidR="00AC1AC9" w:rsidRPr="000774C7">
        <w:rPr>
          <w:rFonts w:ascii="Arial" w:hAnsi="Arial" w:cs="Arial"/>
          <w:lang w:val="en-US"/>
        </w:rPr>
        <w:t xml:space="preserve"> apply to</w:t>
      </w:r>
      <w:r w:rsidR="00D265F3" w:rsidRPr="000774C7">
        <w:rPr>
          <w:rFonts w:ascii="Arial" w:hAnsi="Arial" w:cs="Arial"/>
          <w:lang w:val="en-US"/>
        </w:rPr>
        <w:t xml:space="preserve"> court to vary </w:t>
      </w:r>
      <w:r w:rsidR="00AC1AC9" w:rsidRPr="000774C7">
        <w:rPr>
          <w:rFonts w:ascii="Arial" w:hAnsi="Arial" w:cs="Arial"/>
          <w:lang w:val="en-US"/>
        </w:rPr>
        <w:t xml:space="preserve">its terms </w:t>
      </w:r>
      <w:r>
        <w:rPr>
          <w:rFonts w:ascii="Arial" w:hAnsi="Arial" w:cs="Arial"/>
          <w:lang w:val="en-US"/>
        </w:rPr>
        <w:t>for the future;</w:t>
      </w:r>
    </w:p>
    <w:p w:rsidR="000774C7" w:rsidRPr="000774C7" w:rsidRDefault="000774C7" w:rsidP="000774C7">
      <w:pPr>
        <w:pStyle w:val="ListParagraph"/>
        <w:rPr>
          <w:rFonts w:ascii="Arial" w:hAnsi="Arial" w:cs="Arial"/>
          <w:lang w:val="en-US"/>
        </w:rPr>
      </w:pPr>
    </w:p>
    <w:p w:rsidR="00C44F45" w:rsidRPr="000774C7" w:rsidRDefault="00C44F45" w:rsidP="000774C7">
      <w:pPr>
        <w:spacing w:line="360" w:lineRule="auto"/>
        <w:ind w:left="1080"/>
        <w:rPr>
          <w:rFonts w:ascii="Arial" w:hAnsi="Arial" w:cs="Arial"/>
          <w:lang w:val="en-US"/>
        </w:rPr>
      </w:pPr>
      <w:r w:rsidRPr="000774C7">
        <w:rPr>
          <w:rFonts w:ascii="Arial" w:hAnsi="Arial" w:cs="Arial"/>
          <w:lang w:val="en-US"/>
        </w:rPr>
        <w:t xml:space="preserve">However </w:t>
      </w:r>
      <w:r w:rsidR="000774C7">
        <w:rPr>
          <w:rFonts w:ascii="Arial" w:hAnsi="Arial" w:cs="Arial"/>
          <w:lang w:val="en-US"/>
        </w:rPr>
        <w:t xml:space="preserve">an </w:t>
      </w:r>
      <w:r w:rsidR="00AC1AC9" w:rsidRPr="000774C7">
        <w:rPr>
          <w:rFonts w:ascii="Arial" w:hAnsi="Arial" w:cs="Arial"/>
          <w:lang w:val="en-US"/>
        </w:rPr>
        <w:t>affected</w:t>
      </w:r>
      <w:r w:rsidRPr="000774C7">
        <w:rPr>
          <w:rFonts w:ascii="Arial" w:hAnsi="Arial" w:cs="Arial"/>
          <w:lang w:val="en-US"/>
        </w:rPr>
        <w:t xml:space="preserve"> person </w:t>
      </w:r>
      <w:r w:rsidR="00D265F3" w:rsidRPr="000774C7">
        <w:rPr>
          <w:rFonts w:ascii="Arial" w:hAnsi="Arial" w:cs="Arial"/>
          <w:lang w:val="en-US"/>
        </w:rPr>
        <w:t>should</w:t>
      </w:r>
      <w:r w:rsidR="000F6228" w:rsidRPr="000774C7">
        <w:rPr>
          <w:rFonts w:ascii="Arial" w:hAnsi="Arial" w:cs="Arial"/>
          <w:lang w:val="en-US"/>
        </w:rPr>
        <w:t xml:space="preserve"> acknowledge the infraction </w:t>
      </w:r>
      <w:r w:rsidRPr="000774C7">
        <w:rPr>
          <w:rFonts w:ascii="Arial" w:hAnsi="Arial" w:cs="Arial"/>
          <w:lang w:val="en-US"/>
        </w:rPr>
        <w:t xml:space="preserve">and </w:t>
      </w:r>
      <w:r w:rsidR="006F2C95" w:rsidRPr="000774C7">
        <w:rPr>
          <w:rFonts w:ascii="Arial" w:hAnsi="Arial" w:cs="Arial"/>
          <w:lang w:val="en-US"/>
        </w:rPr>
        <w:t>explain why</w:t>
      </w:r>
      <w:r w:rsidR="00D265F3" w:rsidRPr="000774C7">
        <w:rPr>
          <w:rFonts w:ascii="Arial" w:hAnsi="Arial" w:cs="Arial"/>
          <w:lang w:val="en-US"/>
        </w:rPr>
        <w:t xml:space="preserve"> he </w:t>
      </w:r>
      <w:r w:rsidRPr="000774C7">
        <w:rPr>
          <w:rFonts w:ascii="Arial" w:hAnsi="Arial" w:cs="Arial"/>
          <w:lang w:val="en-US"/>
        </w:rPr>
        <w:t xml:space="preserve">or she acted in breach </w:t>
      </w:r>
      <w:r w:rsidR="00D265F3" w:rsidRPr="000774C7">
        <w:rPr>
          <w:rFonts w:ascii="Arial" w:hAnsi="Arial" w:cs="Arial"/>
          <w:lang w:val="en-US"/>
        </w:rPr>
        <w:t>of the injunction. The court w</w:t>
      </w:r>
      <w:r w:rsidRPr="000774C7">
        <w:rPr>
          <w:rFonts w:ascii="Arial" w:hAnsi="Arial" w:cs="Arial"/>
          <w:lang w:val="en-US"/>
        </w:rPr>
        <w:t xml:space="preserve">ould </w:t>
      </w:r>
      <w:r w:rsidR="00D265F3" w:rsidRPr="000774C7">
        <w:rPr>
          <w:rFonts w:ascii="Arial" w:hAnsi="Arial" w:cs="Arial"/>
          <w:lang w:val="en-US"/>
        </w:rPr>
        <w:t xml:space="preserve">then </w:t>
      </w:r>
      <w:r w:rsidRPr="000774C7">
        <w:rPr>
          <w:rFonts w:ascii="Arial" w:hAnsi="Arial" w:cs="Arial"/>
          <w:lang w:val="en-US"/>
        </w:rPr>
        <w:t>consider all the c</w:t>
      </w:r>
      <w:r w:rsidR="00D265F3" w:rsidRPr="000774C7">
        <w:rPr>
          <w:rFonts w:ascii="Arial" w:hAnsi="Arial" w:cs="Arial"/>
          <w:lang w:val="en-US"/>
        </w:rPr>
        <w:t>ircumstances of the case,</w:t>
      </w:r>
      <w:r w:rsidRPr="000774C7">
        <w:rPr>
          <w:rFonts w:ascii="Arial" w:hAnsi="Arial" w:cs="Arial"/>
          <w:lang w:val="en-US"/>
        </w:rPr>
        <w:t xml:space="preserve">” </w:t>
      </w:r>
      <w:r w:rsidR="00D265F3" w:rsidRPr="000774C7">
        <w:rPr>
          <w:rFonts w:ascii="Arial" w:hAnsi="Arial" w:cs="Arial"/>
          <w:i/>
          <w:lang w:val="en-US"/>
        </w:rPr>
        <w:t>including the reasons for the injunction, the reasons for the breach and the applicant's personal circumstances, in deciding whether to vary the injunction for the future and in deciding what, if any, penalty the court should impose for a contempt committed when he took the action in breach of the injunction</w:t>
      </w:r>
      <w:r w:rsidR="00D265F3" w:rsidRPr="000774C7">
        <w:rPr>
          <w:rFonts w:ascii="Arial" w:hAnsi="Arial" w:cs="Arial"/>
          <w:lang w:val="en-US"/>
        </w:rPr>
        <w:t>.</w:t>
      </w:r>
      <w:r w:rsidRPr="000774C7">
        <w:rPr>
          <w:rFonts w:ascii="Arial" w:hAnsi="Arial" w:cs="Arial"/>
          <w:lang w:val="en-US"/>
        </w:rPr>
        <w:t>”</w:t>
      </w:r>
    </w:p>
    <w:p w:rsidR="00C44F45" w:rsidRPr="00C44F45" w:rsidRDefault="00C44F45" w:rsidP="00C44F45">
      <w:pPr>
        <w:pStyle w:val="ListParagraph"/>
        <w:rPr>
          <w:rFonts w:ascii="Arial" w:hAnsi="Arial" w:cs="Arial"/>
          <w:lang w:val="en-US"/>
        </w:rPr>
      </w:pPr>
    </w:p>
    <w:p w:rsidR="008B1BBF" w:rsidRDefault="000774C7" w:rsidP="000774C7">
      <w:pPr>
        <w:pStyle w:val="ListParagraph"/>
        <w:numPr>
          <w:ilvl w:val="1"/>
          <w:numId w:val="3"/>
        </w:numPr>
        <w:spacing w:line="360" w:lineRule="auto"/>
        <w:rPr>
          <w:rFonts w:ascii="Arial" w:hAnsi="Arial" w:cs="Arial"/>
          <w:lang w:val="en-US"/>
        </w:rPr>
      </w:pPr>
      <w:r>
        <w:rPr>
          <w:rFonts w:ascii="Arial" w:hAnsi="Arial" w:cs="Arial"/>
          <w:lang w:val="en-US"/>
        </w:rPr>
        <w:t>w</w:t>
      </w:r>
      <w:r w:rsidR="00D265F3" w:rsidRPr="00C44F45">
        <w:rPr>
          <w:rFonts w:ascii="Arial" w:hAnsi="Arial" w:cs="Arial"/>
          <w:lang w:val="en-US"/>
        </w:rPr>
        <w:t>here a defendant</w:t>
      </w:r>
      <w:r w:rsidR="00D265F3" w:rsidRPr="00C44F45">
        <w:rPr>
          <w:rFonts w:ascii="Arial" w:hAnsi="Arial" w:cs="Arial"/>
          <w:i/>
          <w:lang w:val="en-US"/>
        </w:rPr>
        <w:t xml:space="preserve"> </w:t>
      </w:r>
      <w:r w:rsidR="006F2C95">
        <w:rPr>
          <w:rFonts w:ascii="Arial" w:hAnsi="Arial" w:cs="Arial"/>
          <w:i/>
          <w:lang w:val="en-US"/>
        </w:rPr>
        <w:t>“has</w:t>
      </w:r>
      <w:r w:rsidR="00D265F3" w:rsidRPr="00C44F45">
        <w:rPr>
          <w:rFonts w:ascii="Arial" w:hAnsi="Arial" w:cs="Arial"/>
          <w:i/>
          <w:lang w:val="en-US"/>
        </w:rPr>
        <w:t xml:space="preserve"> acted in breach of the injunction in knowledge of its existence before the setting aside, he remains in breach of the injunction for the past and in contempt of court even if the injunction is subsequently set aside or varied.</w:t>
      </w:r>
      <w:r w:rsidR="00C44F45">
        <w:rPr>
          <w:rFonts w:ascii="Arial" w:hAnsi="Arial" w:cs="Arial"/>
          <w:lang w:val="en-US"/>
        </w:rPr>
        <w:t xml:space="preserve">” </w:t>
      </w:r>
    </w:p>
    <w:p w:rsidR="00F22B67" w:rsidRPr="00F22B67" w:rsidRDefault="00F22B67" w:rsidP="00F22B67">
      <w:pPr>
        <w:pStyle w:val="ListParagraph"/>
        <w:rPr>
          <w:rFonts w:ascii="Arial" w:hAnsi="Arial" w:cs="Arial"/>
          <w:lang w:val="en-US"/>
        </w:rPr>
      </w:pPr>
    </w:p>
    <w:p w:rsidR="00D94C53" w:rsidRDefault="00F22B67" w:rsidP="00AF22DC">
      <w:pPr>
        <w:pStyle w:val="ListParagraph"/>
        <w:numPr>
          <w:ilvl w:val="0"/>
          <w:numId w:val="3"/>
        </w:numPr>
        <w:spacing w:line="360" w:lineRule="auto"/>
        <w:rPr>
          <w:rFonts w:ascii="Arial" w:hAnsi="Arial" w:cs="Arial"/>
          <w:lang w:val="en-US"/>
        </w:rPr>
      </w:pPr>
      <w:r w:rsidRPr="00F22B67">
        <w:rPr>
          <w:rFonts w:ascii="Arial" w:hAnsi="Arial" w:cs="Arial"/>
          <w:lang w:val="en-US"/>
        </w:rPr>
        <w:t>Th</w:t>
      </w:r>
      <w:r>
        <w:rPr>
          <w:rFonts w:ascii="Arial" w:hAnsi="Arial" w:cs="Arial"/>
          <w:lang w:val="en-US"/>
        </w:rPr>
        <w:t xml:space="preserve">is case therefore </w:t>
      </w:r>
      <w:r w:rsidR="00E1164E">
        <w:rPr>
          <w:rFonts w:ascii="Arial" w:hAnsi="Arial" w:cs="Arial"/>
          <w:lang w:val="en-US"/>
        </w:rPr>
        <w:t xml:space="preserve">became </w:t>
      </w:r>
      <w:r w:rsidR="005171D0">
        <w:rPr>
          <w:rFonts w:ascii="Arial" w:hAnsi="Arial" w:cs="Arial"/>
          <w:lang w:val="en-US"/>
        </w:rPr>
        <w:t xml:space="preserve">authority for the proposition </w:t>
      </w:r>
      <w:r>
        <w:rPr>
          <w:rFonts w:ascii="Arial" w:hAnsi="Arial" w:cs="Arial"/>
          <w:lang w:val="en-US"/>
        </w:rPr>
        <w:t>that</w:t>
      </w:r>
      <w:r w:rsidR="00E1164E">
        <w:rPr>
          <w:rFonts w:ascii="Arial" w:hAnsi="Arial" w:cs="Arial"/>
          <w:lang w:val="en-US"/>
        </w:rPr>
        <w:t xml:space="preserve"> if a person only came onto the land subsequent to the grant of an interim injunction against </w:t>
      </w:r>
      <w:r w:rsidR="00195B3B">
        <w:rPr>
          <w:rFonts w:ascii="Arial" w:hAnsi="Arial" w:cs="Arial"/>
          <w:lang w:val="en-US"/>
        </w:rPr>
        <w:t>“</w:t>
      </w:r>
      <w:r w:rsidR="00E1164E" w:rsidRPr="00195B3B">
        <w:rPr>
          <w:rFonts w:ascii="Arial" w:hAnsi="Arial" w:cs="Arial"/>
          <w:i/>
          <w:lang w:val="en-US"/>
        </w:rPr>
        <w:t>persons unknown</w:t>
      </w:r>
      <w:r w:rsidR="00195B3B">
        <w:rPr>
          <w:rFonts w:ascii="Arial" w:hAnsi="Arial" w:cs="Arial"/>
          <w:i/>
          <w:lang w:val="en-US"/>
        </w:rPr>
        <w:t>”</w:t>
      </w:r>
      <w:r w:rsidR="00E1164E">
        <w:rPr>
          <w:rFonts w:ascii="Arial" w:hAnsi="Arial" w:cs="Arial"/>
          <w:lang w:val="en-US"/>
        </w:rPr>
        <w:t xml:space="preserve"> and acted in breach of that order while it was still in </w:t>
      </w:r>
      <w:r w:rsidR="006F2C95">
        <w:rPr>
          <w:rFonts w:ascii="Arial" w:hAnsi="Arial" w:cs="Arial"/>
          <w:lang w:val="en-US"/>
        </w:rPr>
        <w:t>force then</w:t>
      </w:r>
      <w:r w:rsidR="00E1164E">
        <w:rPr>
          <w:rFonts w:ascii="Arial" w:hAnsi="Arial" w:cs="Arial"/>
          <w:lang w:val="en-US"/>
        </w:rPr>
        <w:t xml:space="preserve"> he </w:t>
      </w:r>
      <w:r w:rsidR="00D94C53">
        <w:rPr>
          <w:rFonts w:ascii="Arial" w:hAnsi="Arial" w:cs="Arial"/>
          <w:lang w:val="en-US"/>
        </w:rPr>
        <w:t>or she;</w:t>
      </w:r>
      <w:r w:rsidR="005171D0">
        <w:rPr>
          <w:rFonts w:ascii="Arial" w:hAnsi="Arial" w:cs="Arial"/>
          <w:lang w:val="en-US"/>
        </w:rPr>
        <w:t xml:space="preserve"> </w:t>
      </w:r>
    </w:p>
    <w:p w:rsidR="00462377" w:rsidRDefault="00F22B67" w:rsidP="000774C7">
      <w:pPr>
        <w:pStyle w:val="ListParagraph"/>
        <w:numPr>
          <w:ilvl w:val="1"/>
          <w:numId w:val="3"/>
        </w:numPr>
        <w:spacing w:line="360" w:lineRule="auto"/>
        <w:rPr>
          <w:rFonts w:ascii="Arial" w:hAnsi="Arial" w:cs="Arial"/>
          <w:lang w:val="en-US"/>
        </w:rPr>
      </w:pPr>
      <w:r>
        <w:rPr>
          <w:rFonts w:ascii="Arial" w:hAnsi="Arial" w:cs="Arial"/>
          <w:lang w:val="en-US"/>
        </w:rPr>
        <w:lastRenderedPageBreak/>
        <w:t xml:space="preserve">became </w:t>
      </w:r>
      <w:r w:rsidRPr="00F22B67">
        <w:rPr>
          <w:rFonts w:ascii="Arial" w:hAnsi="Arial" w:cs="Arial"/>
          <w:lang w:val="en-US"/>
        </w:rPr>
        <w:t xml:space="preserve">a </w:t>
      </w:r>
      <w:r w:rsidR="00157C39">
        <w:rPr>
          <w:rFonts w:ascii="Arial" w:hAnsi="Arial" w:cs="Arial"/>
          <w:lang w:val="en-US"/>
        </w:rPr>
        <w:t xml:space="preserve">party to the proceedings </w:t>
      </w:r>
      <w:r w:rsidR="00D94C53">
        <w:rPr>
          <w:rFonts w:ascii="Arial" w:hAnsi="Arial" w:cs="Arial"/>
          <w:lang w:val="en-US"/>
        </w:rPr>
        <w:t xml:space="preserve">without more. </w:t>
      </w:r>
    </w:p>
    <w:p w:rsidR="00462377" w:rsidRDefault="00462377" w:rsidP="00462377">
      <w:pPr>
        <w:pStyle w:val="ListParagraph"/>
        <w:spacing w:line="360" w:lineRule="auto"/>
        <w:ind w:left="1080"/>
        <w:rPr>
          <w:rFonts w:ascii="Arial" w:hAnsi="Arial" w:cs="Arial"/>
          <w:lang w:val="en-US"/>
        </w:rPr>
      </w:pPr>
    </w:p>
    <w:p w:rsidR="00D94C53" w:rsidRDefault="00D94C53" w:rsidP="00462377">
      <w:pPr>
        <w:pStyle w:val="ListParagraph"/>
        <w:spacing w:line="360" w:lineRule="auto"/>
        <w:ind w:left="1080"/>
        <w:rPr>
          <w:rFonts w:ascii="Arial" w:hAnsi="Arial" w:cs="Arial"/>
          <w:lang w:val="en-US"/>
        </w:rPr>
      </w:pPr>
      <w:r>
        <w:rPr>
          <w:rFonts w:ascii="Arial" w:hAnsi="Arial" w:cs="Arial"/>
          <w:lang w:val="en-US"/>
        </w:rPr>
        <w:t>In other words</w:t>
      </w:r>
      <w:r w:rsidR="00462377">
        <w:rPr>
          <w:rFonts w:ascii="Arial" w:hAnsi="Arial" w:cs="Arial"/>
          <w:lang w:val="en-US"/>
        </w:rPr>
        <w:t xml:space="preserve">, by perpetrating an act </w:t>
      </w:r>
      <w:r w:rsidR="00462377" w:rsidRPr="00462377">
        <w:rPr>
          <w:rFonts w:ascii="Arial" w:hAnsi="Arial" w:cs="Arial"/>
          <w:lang w:val="en-US"/>
        </w:rPr>
        <w:t xml:space="preserve">which brought </w:t>
      </w:r>
      <w:r w:rsidR="00462377">
        <w:rPr>
          <w:rFonts w:ascii="Arial" w:hAnsi="Arial" w:cs="Arial"/>
          <w:lang w:val="en-US"/>
        </w:rPr>
        <w:t xml:space="preserve">a person </w:t>
      </w:r>
      <w:r w:rsidR="00462377" w:rsidRPr="00462377">
        <w:rPr>
          <w:rFonts w:ascii="Arial" w:hAnsi="Arial" w:cs="Arial"/>
          <w:lang w:val="en-US"/>
        </w:rPr>
        <w:t xml:space="preserve">within the </w:t>
      </w:r>
      <w:r w:rsidR="00462377">
        <w:rPr>
          <w:rFonts w:ascii="Arial" w:hAnsi="Arial" w:cs="Arial"/>
          <w:lang w:val="en-US"/>
        </w:rPr>
        <w:t xml:space="preserve">defined category </w:t>
      </w:r>
      <w:r w:rsidR="00E1164E">
        <w:rPr>
          <w:rFonts w:ascii="Arial" w:hAnsi="Arial" w:cs="Arial"/>
          <w:lang w:val="en-US"/>
        </w:rPr>
        <w:t xml:space="preserve">of </w:t>
      </w:r>
      <w:r>
        <w:rPr>
          <w:rFonts w:ascii="Arial" w:hAnsi="Arial" w:cs="Arial"/>
          <w:lang w:val="en-US"/>
        </w:rPr>
        <w:t>“</w:t>
      </w:r>
      <w:r w:rsidRPr="000774C7">
        <w:rPr>
          <w:rFonts w:ascii="Arial" w:hAnsi="Arial" w:cs="Arial"/>
          <w:i/>
          <w:lang w:val="en-US"/>
        </w:rPr>
        <w:t>Person unknown</w:t>
      </w:r>
      <w:r>
        <w:rPr>
          <w:rFonts w:ascii="Arial" w:hAnsi="Arial" w:cs="Arial"/>
          <w:lang w:val="en-US"/>
        </w:rPr>
        <w:t xml:space="preserve">” </w:t>
      </w:r>
      <w:r w:rsidR="00E1164E">
        <w:rPr>
          <w:rFonts w:ascii="Arial" w:hAnsi="Arial" w:cs="Arial"/>
          <w:lang w:val="en-US"/>
        </w:rPr>
        <w:t xml:space="preserve">against </w:t>
      </w:r>
      <w:r>
        <w:rPr>
          <w:rFonts w:ascii="Arial" w:hAnsi="Arial" w:cs="Arial"/>
          <w:lang w:val="en-US"/>
        </w:rPr>
        <w:t>wh</w:t>
      </w:r>
      <w:r w:rsidR="00E1164E">
        <w:rPr>
          <w:rFonts w:ascii="Arial" w:hAnsi="Arial" w:cs="Arial"/>
          <w:lang w:val="en-US"/>
        </w:rPr>
        <w:t>om</w:t>
      </w:r>
      <w:r>
        <w:rPr>
          <w:rFonts w:ascii="Arial" w:hAnsi="Arial" w:cs="Arial"/>
          <w:lang w:val="en-US"/>
        </w:rPr>
        <w:t xml:space="preserve"> the </w:t>
      </w:r>
      <w:r w:rsidR="00F8327C">
        <w:rPr>
          <w:rFonts w:ascii="Arial" w:hAnsi="Arial" w:cs="Arial"/>
          <w:lang w:val="en-US"/>
        </w:rPr>
        <w:t>injunction was</w:t>
      </w:r>
      <w:r w:rsidR="00462377">
        <w:rPr>
          <w:rFonts w:ascii="Arial" w:hAnsi="Arial" w:cs="Arial"/>
          <w:lang w:val="en-US"/>
        </w:rPr>
        <w:t xml:space="preserve"> </w:t>
      </w:r>
      <w:r w:rsidR="00F8327C">
        <w:rPr>
          <w:rFonts w:ascii="Arial" w:hAnsi="Arial" w:cs="Arial"/>
          <w:lang w:val="en-US"/>
        </w:rPr>
        <w:t>obtained</w:t>
      </w:r>
      <w:r w:rsidR="00195B3B">
        <w:rPr>
          <w:rFonts w:ascii="Arial" w:hAnsi="Arial" w:cs="Arial"/>
          <w:lang w:val="en-US"/>
        </w:rPr>
        <w:t>,</w:t>
      </w:r>
      <w:r w:rsidR="003610CF">
        <w:rPr>
          <w:rFonts w:ascii="Arial" w:hAnsi="Arial" w:cs="Arial"/>
          <w:lang w:val="en-US"/>
        </w:rPr>
        <w:t xml:space="preserve"> </w:t>
      </w:r>
      <w:r>
        <w:rPr>
          <w:rFonts w:ascii="Arial" w:hAnsi="Arial" w:cs="Arial"/>
          <w:lang w:val="en-US"/>
        </w:rPr>
        <w:t xml:space="preserve">that person </w:t>
      </w:r>
      <w:r w:rsidR="003610CF">
        <w:rPr>
          <w:rFonts w:ascii="Arial" w:hAnsi="Arial" w:cs="Arial"/>
          <w:lang w:val="en-US"/>
        </w:rPr>
        <w:t xml:space="preserve">was rendered </w:t>
      </w:r>
      <w:r>
        <w:rPr>
          <w:rFonts w:ascii="Arial" w:hAnsi="Arial" w:cs="Arial"/>
          <w:lang w:val="en-US"/>
        </w:rPr>
        <w:t xml:space="preserve">a party to </w:t>
      </w:r>
      <w:r w:rsidR="00E1164E">
        <w:rPr>
          <w:rFonts w:ascii="Arial" w:hAnsi="Arial" w:cs="Arial"/>
          <w:lang w:val="en-US"/>
        </w:rPr>
        <w:t xml:space="preserve">the proceedings </w:t>
      </w:r>
      <w:r>
        <w:rPr>
          <w:rFonts w:ascii="Arial" w:hAnsi="Arial" w:cs="Arial"/>
          <w:lang w:val="en-US"/>
        </w:rPr>
        <w:t>without the need to be separately served or cited; and</w:t>
      </w:r>
    </w:p>
    <w:p w:rsidR="00D94C53" w:rsidRDefault="00D94C53" w:rsidP="00D94C53">
      <w:pPr>
        <w:pStyle w:val="ListParagraph"/>
        <w:spacing w:line="360" w:lineRule="auto"/>
        <w:ind w:left="1080"/>
        <w:rPr>
          <w:rFonts w:ascii="Arial" w:hAnsi="Arial" w:cs="Arial"/>
          <w:lang w:val="en-US"/>
        </w:rPr>
      </w:pPr>
    </w:p>
    <w:p w:rsidR="00F22B67" w:rsidRDefault="00F22B67" w:rsidP="000774C7">
      <w:pPr>
        <w:pStyle w:val="ListParagraph"/>
        <w:numPr>
          <w:ilvl w:val="1"/>
          <w:numId w:val="3"/>
        </w:numPr>
        <w:spacing w:line="360" w:lineRule="auto"/>
        <w:rPr>
          <w:rFonts w:ascii="Arial" w:hAnsi="Arial" w:cs="Arial"/>
          <w:lang w:val="en-US"/>
        </w:rPr>
      </w:pPr>
      <w:r>
        <w:rPr>
          <w:rFonts w:ascii="Arial" w:hAnsi="Arial" w:cs="Arial"/>
          <w:lang w:val="en-US"/>
        </w:rPr>
        <w:t>also became a p</w:t>
      </w:r>
      <w:r w:rsidR="00E1164E">
        <w:rPr>
          <w:rFonts w:ascii="Arial" w:hAnsi="Arial" w:cs="Arial"/>
          <w:lang w:val="en-US"/>
        </w:rPr>
        <w:t>arty</w:t>
      </w:r>
      <w:r>
        <w:rPr>
          <w:rFonts w:ascii="Arial" w:hAnsi="Arial" w:cs="Arial"/>
          <w:lang w:val="en-US"/>
        </w:rPr>
        <w:t xml:space="preserve"> </w:t>
      </w:r>
      <w:r w:rsidRPr="00F22B67">
        <w:rPr>
          <w:rFonts w:ascii="Arial" w:hAnsi="Arial" w:cs="Arial"/>
          <w:lang w:val="en-US"/>
        </w:rPr>
        <w:t xml:space="preserve">to whom the injunction </w:t>
      </w:r>
      <w:r>
        <w:rPr>
          <w:rFonts w:ascii="Arial" w:hAnsi="Arial" w:cs="Arial"/>
          <w:lang w:val="en-US"/>
        </w:rPr>
        <w:t xml:space="preserve">applied and </w:t>
      </w:r>
      <w:r w:rsidR="00157C39">
        <w:rPr>
          <w:rFonts w:ascii="Arial" w:hAnsi="Arial" w:cs="Arial"/>
          <w:lang w:val="en-US"/>
        </w:rPr>
        <w:t xml:space="preserve">was consequently </w:t>
      </w:r>
      <w:r>
        <w:rPr>
          <w:rFonts w:ascii="Arial" w:hAnsi="Arial" w:cs="Arial"/>
          <w:lang w:val="en-US"/>
        </w:rPr>
        <w:t xml:space="preserve">subject </w:t>
      </w:r>
      <w:r w:rsidR="00157C39">
        <w:rPr>
          <w:rFonts w:ascii="Arial" w:hAnsi="Arial" w:cs="Arial"/>
          <w:lang w:val="en-US"/>
        </w:rPr>
        <w:t xml:space="preserve">to contempt proceedings </w:t>
      </w:r>
      <w:r w:rsidR="00E1164E">
        <w:rPr>
          <w:rFonts w:ascii="Arial" w:hAnsi="Arial" w:cs="Arial"/>
          <w:lang w:val="en-US"/>
        </w:rPr>
        <w:t xml:space="preserve">provided </w:t>
      </w:r>
      <w:r w:rsidR="00157C39">
        <w:rPr>
          <w:rFonts w:ascii="Arial" w:hAnsi="Arial" w:cs="Arial"/>
          <w:lang w:val="en-US"/>
        </w:rPr>
        <w:t>he or she had knowledge of the injunction.</w:t>
      </w:r>
      <w:r w:rsidR="00157C39">
        <w:rPr>
          <w:rStyle w:val="FootnoteReference"/>
          <w:rFonts w:ascii="Arial" w:hAnsi="Arial" w:cs="Arial"/>
          <w:lang w:val="en-US"/>
        </w:rPr>
        <w:footnoteReference w:id="119"/>
      </w:r>
      <w:r w:rsidR="00157C39">
        <w:rPr>
          <w:rFonts w:ascii="Arial" w:hAnsi="Arial" w:cs="Arial"/>
          <w:lang w:val="en-US"/>
        </w:rPr>
        <w:t xml:space="preserve"> </w:t>
      </w:r>
    </w:p>
    <w:p w:rsidR="00AC1AC9" w:rsidRPr="00AC1AC9" w:rsidRDefault="00AC1AC9" w:rsidP="00AC1AC9">
      <w:pPr>
        <w:pStyle w:val="ListParagraph"/>
        <w:rPr>
          <w:rFonts w:ascii="Arial" w:hAnsi="Arial" w:cs="Arial"/>
          <w:lang w:val="en-US"/>
        </w:rPr>
      </w:pPr>
    </w:p>
    <w:p w:rsidR="00AC1AC9" w:rsidRPr="00AC1AC9" w:rsidRDefault="00AC1AC9" w:rsidP="00AF22DC">
      <w:pPr>
        <w:pStyle w:val="ListParagraph"/>
        <w:numPr>
          <w:ilvl w:val="0"/>
          <w:numId w:val="3"/>
        </w:numPr>
        <w:spacing w:line="360" w:lineRule="auto"/>
        <w:rPr>
          <w:rFonts w:ascii="Arial" w:hAnsi="Arial" w:cs="Arial"/>
          <w:lang w:val="en-US"/>
        </w:rPr>
      </w:pPr>
      <w:r>
        <w:rPr>
          <w:rFonts w:ascii="Arial" w:hAnsi="Arial" w:cs="Arial"/>
          <w:lang w:val="en-US"/>
        </w:rPr>
        <w:t xml:space="preserve">The </w:t>
      </w:r>
      <w:r w:rsidR="005171D0">
        <w:rPr>
          <w:rFonts w:ascii="Arial" w:hAnsi="Arial" w:cs="Arial"/>
          <w:lang w:val="en-US"/>
        </w:rPr>
        <w:t xml:space="preserve">impact of this decision, which </w:t>
      </w:r>
      <w:r w:rsidR="00462377">
        <w:rPr>
          <w:rFonts w:ascii="Arial" w:hAnsi="Arial" w:cs="Arial"/>
          <w:lang w:val="en-US"/>
        </w:rPr>
        <w:t xml:space="preserve">concerned </w:t>
      </w:r>
      <w:r w:rsidR="005171D0">
        <w:rPr>
          <w:rFonts w:ascii="Arial" w:hAnsi="Arial" w:cs="Arial"/>
          <w:lang w:val="en-US"/>
        </w:rPr>
        <w:t xml:space="preserve">an </w:t>
      </w:r>
      <w:r w:rsidR="00F8327C">
        <w:rPr>
          <w:rFonts w:ascii="Arial" w:hAnsi="Arial" w:cs="Arial"/>
          <w:lang w:val="en-US"/>
        </w:rPr>
        <w:t>interim</w:t>
      </w:r>
      <w:r w:rsidR="005171D0">
        <w:rPr>
          <w:rFonts w:ascii="Arial" w:hAnsi="Arial" w:cs="Arial"/>
          <w:lang w:val="en-US"/>
        </w:rPr>
        <w:t xml:space="preserve"> injunction, on an order considered to be of final effect was considered in two lat</w:t>
      </w:r>
      <w:r w:rsidR="003610CF">
        <w:rPr>
          <w:rFonts w:ascii="Arial" w:hAnsi="Arial" w:cs="Arial"/>
          <w:lang w:val="en-US"/>
        </w:rPr>
        <w:t xml:space="preserve">er Court of Appeal decisions </w:t>
      </w:r>
      <w:r w:rsidR="005171D0">
        <w:rPr>
          <w:rFonts w:ascii="Arial" w:hAnsi="Arial" w:cs="Arial"/>
          <w:lang w:val="en-US"/>
        </w:rPr>
        <w:t xml:space="preserve">which </w:t>
      </w:r>
      <w:r w:rsidR="003610CF">
        <w:rPr>
          <w:rFonts w:ascii="Arial" w:hAnsi="Arial" w:cs="Arial"/>
          <w:lang w:val="en-US"/>
        </w:rPr>
        <w:t>will be considered later.</w:t>
      </w:r>
      <w:r w:rsidR="005171D0">
        <w:rPr>
          <w:rFonts w:ascii="Arial" w:hAnsi="Arial" w:cs="Arial"/>
          <w:lang w:val="en-US"/>
        </w:rPr>
        <w:t xml:space="preserve"> </w:t>
      </w:r>
      <w:r w:rsidRPr="00AC1AC9">
        <w:rPr>
          <w:rFonts w:ascii="Arial" w:hAnsi="Arial" w:cs="Arial"/>
          <w:lang w:val="en-US"/>
        </w:rPr>
        <w:t xml:space="preserve"> </w:t>
      </w:r>
    </w:p>
    <w:p w:rsidR="00AC1AC9" w:rsidRDefault="00AC1AC9" w:rsidP="005171D0">
      <w:pPr>
        <w:pStyle w:val="ListParagraph"/>
        <w:spacing w:line="360" w:lineRule="auto"/>
        <w:ind w:left="360"/>
        <w:rPr>
          <w:rFonts w:ascii="Arial" w:hAnsi="Arial" w:cs="Arial"/>
          <w:lang w:val="en-US"/>
        </w:rPr>
      </w:pPr>
    </w:p>
    <w:p w:rsidR="000A4583" w:rsidRDefault="00D87C6B" w:rsidP="00AF22DC">
      <w:pPr>
        <w:pStyle w:val="ListParagraph"/>
        <w:numPr>
          <w:ilvl w:val="0"/>
          <w:numId w:val="3"/>
        </w:numPr>
        <w:spacing w:line="360" w:lineRule="auto"/>
        <w:rPr>
          <w:rFonts w:ascii="Arial" w:hAnsi="Arial" w:cs="Arial"/>
        </w:rPr>
      </w:pPr>
      <w:r>
        <w:rPr>
          <w:rFonts w:ascii="Arial" w:hAnsi="Arial" w:cs="Arial"/>
        </w:rPr>
        <w:t xml:space="preserve">In the </w:t>
      </w:r>
      <w:r w:rsidR="00C44F45">
        <w:rPr>
          <w:rFonts w:ascii="Arial" w:hAnsi="Arial" w:cs="Arial"/>
        </w:rPr>
        <w:t xml:space="preserve">case of </w:t>
      </w:r>
      <w:r w:rsidR="00E8014B">
        <w:rPr>
          <w:rFonts w:ascii="Arial" w:hAnsi="Arial" w:cs="Arial"/>
          <w:i/>
        </w:rPr>
        <w:t>Cameron</w:t>
      </w:r>
      <w:r w:rsidR="00E8014B" w:rsidRPr="00E8014B">
        <w:rPr>
          <w:rFonts w:ascii="Arial" w:hAnsi="Arial" w:cs="Arial"/>
          <w:i/>
        </w:rPr>
        <w:t xml:space="preserve"> v Liverpool Victor</w:t>
      </w:r>
      <w:r w:rsidR="00E8014B">
        <w:rPr>
          <w:rFonts w:ascii="Arial" w:hAnsi="Arial" w:cs="Arial"/>
          <w:i/>
        </w:rPr>
        <w:t>ia Insurance Co Ltd</w:t>
      </w:r>
      <w:r>
        <w:rPr>
          <w:rFonts w:ascii="Arial" w:hAnsi="Arial" w:cs="Arial"/>
          <w:i/>
        </w:rPr>
        <w:t xml:space="preserve"> </w:t>
      </w:r>
      <w:r w:rsidR="00E8014B">
        <w:rPr>
          <w:rFonts w:ascii="Arial" w:hAnsi="Arial" w:cs="Arial"/>
          <w:i/>
        </w:rPr>
        <w:t xml:space="preserve"> </w:t>
      </w:r>
      <w:r w:rsidR="00E8014B" w:rsidRPr="00E8014B">
        <w:rPr>
          <w:rFonts w:ascii="Arial" w:hAnsi="Arial" w:cs="Arial"/>
        </w:rPr>
        <w:t>[2019] UKSC 6</w:t>
      </w:r>
      <w:r w:rsidR="00E8014B">
        <w:rPr>
          <w:rFonts w:ascii="Arial" w:hAnsi="Arial" w:cs="Arial"/>
        </w:rPr>
        <w:t xml:space="preserve"> the </w:t>
      </w:r>
      <w:r w:rsidR="00E8014B" w:rsidRPr="00F45BFC">
        <w:rPr>
          <w:rFonts w:ascii="Arial" w:hAnsi="Arial" w:cs="Arial"/>
        </w:rPr>
        <w:t>Supreme Court</w:t>
      </w:r>
      <w:r w:rsidR="00E8014B">
        <w:rPr>
          <w:rFonts w:ascii="Arial" w:hAnsi="Arial" w:cs="Arial"/>
        </w:rPr>
        <w:t xml:space="preserve"> traced the </w:t>
      </w:r>
      <w:r w:rsidR="003610CF">
        <w:rPr>
          <w:rFonts w:ascii="Arial" w:hAnsi="Arial" w:cs="Arial"/>
        </w:rPr>
        <w:t xml:space="preserve">evolution </w:t>
      </w:r>
      <w:r w:rsidR="00E8014B">
        <w:rPr>
          <w:rFonts w:ascii="Arial" w:hAnsi="Arial" w:cs="Arial"/>
        </w:rPr>
        <w:t>of c</w:t>
      </w:r>
      <w:r w:rsidR="00462377">
        <w:rPr>
          <w:rFonts w:ascii="Arial" w:hAnsi="Arial" w:cs="Arial"/>
        </w:rPr>
        <w:t xml:space="preserve">iting a </w:t>
      </w:r>
      <w:r w:rsidR="00F8327C">
        <w:rPr>
          <w:rFonts w:ascii="Arial" w:hAnsi="Arial" w:cs="Arial"/>
        </w:rPr>
        <w:t>respondent</w:t>
      </w:r>
      <w:r w:rsidR="00462377">
        <w:rPr>
          <w:rFonts w:ascii="Arial" w:hAnsi="Arial" w:cs="Arial"/>
        </w:rPr>
        <w:t xml:space="preserve"> as a</w:t>
      </w:r>
      <w:r w:rsidR="00E8014B">
        <w:rPr>
          <w:rFonts w:ascii="Arial" w:hAnsi="Arial" w:cs="Arial"/>
        </w:rPr>
        <w:t xml:space="preserve"> </w:t>
      </w:r>
      <w:r w:rsidR="000A74DD">
        <w:rPr>
          <w:rFonts w:ascii="Arial" w:hAnsi="Arial" w:cs="Arial"/>
        </w:rPr>
        <w:t>person</w:t>
      </w:r>
      <w:r w:rsidR="00462377">
        <w:rPr>
          <w:rFonts w:ascii="Arial" w:hAnsi="Arial" w:cs="Arial"/>
        </w:rPr>
        <w:t xml:space="preserve"> unknown</w:t>
      </w:r>
      <w:r w:rsidR="003610CF">
        <w:rPr>
          <w:rFonts w:ascii="Arial" w:hAnsi="Arial" w:cs="Arial"/>
        </w:rPr>
        <w:t xml:space="preserve"> from</w:t>
      </w:r>
      <w:r w:rsidR="000A74DD">
        <w:rPr>
          <w:rFonts w:ascii="Arial" w:hAnsi="Arial" w:cs="Arial"/>
        </w:rPr>
        <w:t xml:space="preserve"> legislation which </w:t>
      </w:r>
      <w:r w:rsidR="00462377">
        <w:rPr>
          <w:rFonts w:ascii="Arial" w:hAnsi="Arial" w:cs="Arial"/>
        </w:rPr>
        <w:t xml:space="preserve">specifically sanctioned </w:t>
      </w:r>
      <w:r w:rsidR="000A74DD">
        <w:rPr>
          <w:rFonts w:ascii="Arial" w:hAnsi="Arial" w:cs="Arial"/>
        </w:rPr>
        <w:t xml:space="preserve">it to a </w:t>
      </w:r>
      <w:r w:rsidR="00462377">
        <w:rPr>
          <w:rFonts w:ascii="Arial" w:hAnsi="Arial" w:cs="Arial"/>
        </w:rPr>
        <w:t>somewhat broader civil law</w:t>
      </w:r>
      <w:r w:rsidR="000A74DD">
        <w:rPr>
          <w:rFonts w:ascii="Arial" w:hAnsi="Arial" w:cs="Arial"/>
        </w:rPr>
        <w:t xml:space="preserve"> adoption</w:t>
      </w:r>
      <w:r w:rsidR="000A74DD">
        <w:rPr>
          <w:rStyle w:val="FootnoteReference"/>
          <w:rFonts w:ascii="Arial" w:hAnsi="Arial" w:cs="Arial"/>
        </w:rPr>
        <w:footnoteReference w:id="120"/>
      </w:r>
      <w:r w:rsidR="00157C39">
        <w:rPr>
          <w:rFonts w:ascii="Arial" w:hAnsi="Arial" w:cs="Arial"/>
        </w:rPr>
        <w:t>.</w:t>
      </w:r>
      <w:r w:rsidR="000A74DD">
        <w:rPr>
          <w:rFonts w:ascii="Arial" w:hAnsi="Arial" w:cs="Arial"/>
        </w:rPr>
        <w:t xml:space="preserve"> </w:t>
      </w:r>
      <w:r w:rsidR="00157C39">
        <w:rPr>
          <w:rFonts w:ascii="Arial" w:hAnsi="Arial" w:cs="Arial"/>
        </w:rPr>
        <w:t>T</w:t>
      </w:r>
      <w:r w:rsidR="000A74DD">
        <w:rPr>
          <w:rFonts w:ascii="Arial" w:hAnsi="Arial" w:cs="Arial"/>
        </w:rPr>
        <w:t>he common denominator</w:t>
      </w:r>
      <w:r w:rsidR="00F45BFC">
        <w:rPr>
          <w:rFonts w:ascii="Arial" w:hAnsi="Arial" w:cs="Arial"/>
        </w:rPr>
        <w:t xml:space="preserve"> </w:t>
      </w:r>
      <w:r w:rsidR="003610CF">
        <w:rPr>
          <w:rFonts w:ascii="Arial" w:hAnsi="Arial" w:cs="Arial"/>
        </w:rPr>
        <w:t>remained</w:t>
      </w:r>
      <w:r w:rsidR="00F8327C">
        <w:rPr>
          <w:rFonts w:ascii="Arial" w:hAnsi="Arial" w:cs="Arial"/>
        </w:rPr>
        <w:t xml:space="preserve"> “</w:t>
      </w:r>
      <w:r w:rsidR="00F8327C" w:rsidRPr="003610CF">
        <w:rPr>
          <w:rFonts w:ascii="Arial" w:hAnsi="Arial" w:cs="Arial"/>
          <w:i/>
        </w:rPr>
        <w:t>anonymous</w:t>
      </w:r>
      <w:r w:rsidR="000A74DD" w:rsidRPr="003610CF">
        <w:rPr>
          <w:rFonts w:ascii="Arial" w:hAnsi="Arial" w:cs="Arial"/>
          <w:i/>
        </w:rPr>
        <w:t xml:space="preserve"> d</w:t>
      </w:r>
      <w:r w:rsidR="000A74DD" w:rsidRPr="000A74DD">
        <w:rPr>
          <w:rFonts w:ascii="Arial" w:hAnsi="Arial" w:cs="Arial"/>
          <w:i/>
        </w:rPr>
        <w:t>efendants who are identifiable but whose names are unknown</w:t>
      </w:r>
      <w:r w:rsidR="000A4583">
        <w:rPr>
          <w:rFonts w:ascii="Arial" w:hAnsi="Arial" w:cs="Arial"/>
          <w:i/>
        </w:rPr>
        <w:t xml:space="preserve">”. </w:t>
      </w:r>
      <w:r w:rsidR="000A4583">
        <w:rPr>
          <w:rStyle w:val="FootnoteReference"/>
          <w:rFonts w:ascii="Arial" w:hAnsi="Arial" w:cs="Arial"/>
          <w:i/>
        </w:rPr>
        <w:footnoteReference w:id="121"/>
      </w:r>
      <w:r w:rsidR="000A4583">
        <w:rPr>
          <w:rFonts w:ascii="Arial" w:hAnsi="Arial" w:cs="Arial"/>
        </w:rPr>
        <w:t xml:space="preserve"> </w:t>
      </w:r>
    </w:p>
    <w:p w:rsidR="000A4583" w:rsidRDefault="000A4583" w:rsidP="000A4583">
      <w:pPr>
        <w:pStyle w:val="ListParagraph"/>
        <w:spacing w:line="360" w:lineRule="auto"/>
        <w:ind w:left="360"/>
        <w:rPr>
          <w:rFonts w:ascii="Arial" w:hAnsi="Arial" w:cs="Arial"/>
        </w:rPr>
      </w:pPr>
    </w:p>
    <w:p w:rsidR="008446CA" w:rsidRPr="00E8014B" w:rsidRDefault="00F45BFC" w:rsidP="000A4583">
      <w:pPr>
        <w:pStyle w:val="ListParagraph"/>
        <w:spacing w:line="360" w:lineRule="auto"/>
        <w:ind w:left="360"/>
        <w:rPr>
          <w:rFonts w:ascii="Arial" w:hAnsi="Arial" w:cs="Arial"/>
        </w:rPr>
      </w:pPr>
      <w:r>
        <w:rPr>
          <w:rFonts w:ascii="Arial" w:hAnsi="Arial" w:cs="Arial"/>
        </w:rPr>
        <w:t>It was also noted that</w:t>
      </w:r>
      <w:r w:rsidR="00157C39">
        <w:rPr>
          <w:rFonts w:ascii="Arial" w:hAnsi="Arial" w:cs="Arial"/>
        </w:rPr>
        <w:t xml:space="preserve"> in</w:t>
      </w:r>
      <w:r w:rsidR="000A4583">
        <w:rPr>
          <w:rFonts w:ascii="Arial" w:hAnsi="Arial" w:cs="Arial"/>
        </w:rPr>
        <w:t xml:space="preserve"> each of these cases </w:t>
      </w:r>
      <w:r w:rsidR="000A74DD" w:rsidRPr="000A74DD">
        <w:rPr>
          <w:rFonts w:ascii="Arial" w:hAnsi="Arial" w:cs="Arial"/>
        </w:rPr>
        <w:t xml:space="preserve"> </w:t>
      </w:r>
      <w:r w:rsidR="000A4583">
        <w:rPr>
          <w:rFonts w:ascii="Arial" w:hAnsi="Arial" w:cs="Arial"/>
        </w:rPr>
        <w:t xml:space="preserve">“ </w:t>
      </w:r>
      <w:r w:rsidR="000A74DD" w:rsidRPr="000A74DD">
        <w:rPr>
          <w:rFonts w:ascii="Arial" w:hAnsi="Arial" w:cs="Arial"/>
          <w:i/>
        </w:rPr>
        <w:t>the defendant is described in a way that makes it possible in principle to locate or communicate with him and to know without further inquiry whether he is the same as the person described in the claim form</w:t>
      </w:r>
      <w:r w:rsidR="000A74DD">
        <w:rPr>
          <w:rFonts w:ascii="Arial" w:hAnsi="Arial" w:cs="Arial"/>
          <w:i/>
        </w:rPr>
        <w:t>”.</w:t>
      </w:r>
      <w:r w:rsidR="000A74DD" w:rsidRPr="000A74DD">
        <w:rPr>
          <w:rStyle w:val="FootnoteReference"/>
        </w:rPr>
        <w:t xml:space="preserve"> </w:t>
      </w:r>
      <w:r w:rsidR="00E8014B" w:rsidRPr="000A74DD">
        <w:rPr>
          <w:rStyle w:val="FootnoteReference"/>
        </w:rPr>
        <w:t xml:space="preserve"> </w:t>
      </w:r>
      <w:r w:rsidR="000A74DD">
        <w:rPr>
          <w:rStyle w:val="FootnoteReference"/>
          <w:rFonts w:ascii="Arial" w:hAnsi="Arial" w:cs="Arial"/>
        </w:rPr>
        <w:footnoteReference w:id="122"/>
      </w:r>
    </w:p>
    <w:p w:rsidR="00E8014B" w:rsidRDefault="00E8014B" w:rsidP="00E8014B">
      <w:pPr>
        <w:spacing w:line="360" w:lineRule="auto"/>
        <w:ind w:left="360"/>
        <w:rPr>
          <w:rFonts w:ascii="Arial" w:hAnsi="Arial" w:cs="Arial"/>
        </w:rPr>
      </w:pPr>
    </w:p>
    <w:p w:rsidR="00157C39" w:rsidRDefault="00E8014B" w:rsidP="00B471A5">
      <w:pPr>
        <w:spacing w:line="360" w:lineRule="auto"/>
        <w:ind w:left="360"/>
        <w:rPr>
          <w:rFonts w:ascii="Arial" w:hAnsi="Arial" w:cs="Arial"/>
        </w:rPr>
      </w:pPr>
      <w:r>
        <w:rPr>
          <w:rFonts w:ascii="Arial" w:hAnsi="Arial" w:cs="Arial"/>
        </w:rPr>
        <w:lastRenderedPageBreak/>
        <w:t xml:space="preserve">The court however </w:t>
      </w:r>
      <w:r w:rsidR="003610CF">
        <w:rPr>
          <w:rFonts w:ascii="Arial" w:hAnsi="Arial" w:cs="Arial"/>
        </w:rPr>
        <w:t>made it clear</w:t>
      </w:r>
      <w:r w:rsidR="000A4583">
        <w:rPr>
          <w:rFonts w:ascii="Arial" w:hAnsi="Arial" w:cs="Arial"/>
        </w:rPr>
        <w:t xml:space="preserve"> </w:t>
      </w:r>
      <w:r>
        <w:rPr>
          <w:rFonts w:ascii="Arial" w:hAnsi="Arial" w:cs="Arial"/>
        </w:rPr>
        <w:t xml:space="preserve">that </w:t>
      </w:r>
      <w:r w:rsidR="00B471A5">
        <w:rPr>
          <w:rFonts w:ascii="Arial" w:hAnsi="Arial" w:cs="Arial"/>
        </w:rPr>
        <w:t xml:space="preserve">a person cannot be subject to the court’s jurisdiction “ </w:t>
      </w:r>
      <w:r w:rsidRPr="00B471A5">
        <w:rPr>
          <w:rFonts w:ascii="Arial" w:hAnsi="Arial" w:cs="Arial"/>
          <w:i/>
        </w:rPr>
        <w:t>without having such notice of the proceedings as will enable him to be heard</w:t>
      </w:r>
      <w:r w:rsidR="00B471A5">
        <w:rPr>
          <w:rFonts w:ascii="Arial" w:hAnsi="Arial" w:cs="Arial"/>
        </w:rPr>
        <w:t>”</w:t>
      </w:r>
      <w:r w:rsidR="00B471A5">
        <w:rPr>
          <w:rStyle w:val="FootnoteReference"/>
          <w:rFonts w:ascii="Arial" w:hAnsi="Arial" w:cs="Arial"/>
        </w:rPr>
        <w:footnoteReference w:id="123"/>
      </w:r>
      <w:r w:rsidR="00B471A5">
        <w:rPr>
          <w:rFonts w:ascii="Arial" w:hAnsi="Arial" w:cs="Arial"/>
        </w:rPr>
        <w:t xml:space="preserve">. </w:t>
      </w:r>
    </w:p>
    <w:p w:rsidR="00157C39" w:rsidRDefault="00157C39" w:rsidP="00B471A5">
      <w:pPr>
        <w:spacing w:line="360" w:lineRule="auto"/>
        <w:ind w:left="360"/>
        <w:rPr>
          <w:rFonts w:ascii="Arial" w:hAnsi="Arial" w:cs="Arial"/>
        </w:rPr>
      </w:pPr>
    </w:p>
    <w:p w:rsidR="00E8014B" w:rsidRDefault="00B471A5" w:rsidP="00B471A5">
      <w:pPr>
        <w:spacing w:line="360" w:lineRule="auto"/>
        <w:ind w:left="360"/>
        <w:rPr>
          <w:rFonts w:ascii="Arial" w:hAnsi="Arial" w:cs="Arial"/>
        </w:rPr>
      </w:pPr>
      <w:r>
        <w:rPr>
          <w:rFonts w:ascii="Arial" w:hAnsi="Arial" w:cs="Arial"/>
        </w:rPr>
        <w:t>Our Constitution makes th</w:t>
      </w:r>
      <w:r w:rsidR="00157C39">
        <w:rPr>
          <w:rFonts w:ascii="Arial" w:hAnsi="Arial" w:cs="Arial"/>
        </w:rPr>
        <w:t>is</w:t>
      </w:r>
      <w:r>
        <w:rPr>
          <w:rFonts w:ascii="Arial" w:hAnsi="Arial" w:cs="Arial"/>
        </w:rPr>
        <w:t xml:space="preserve"> clear in s</w:t>
      </w:r>
      <w:r w:rsidR="003610CF">
        <w:rPr>
          <w:rFonts w:ascii="Arial" w:hAnsi="Arial" w:cs="Arial"/>
        </w:rPr>
        <w:t xml:space="preserve"> </w:t>
      </w:r>
      <w:r>
        <w:rPr>
          <w:rFonts w:ascii="Arial" w:hAnsi="Arial" w:cs="Arial"/>
        </w:rPr>
        <w:t xml:space="preserve">34. </w:t>
      </w:r>
      <w:r>
        <w:rPr>
          <w:rStyle w:val="FootnoteReference"/>
          <w:rFonts w:ascii="Arial" w:hAnsi="Arial" w:cs="Arial"/>
        </w:rPr>
        <w:footnoteReference w:id="124"/>
      </w:r>
    </w:p>
    <w:p w:rsidR="00157C39" w:rsidRDefault="00157C39" w:rsidP="00B471A5">
      <w:pPr>
        <w:spacing w:line="360" w:lineRule="auto"/>
        <w:ind w:left="360"/>
        <w:rPr>
          <w:rFonts w:ascii="Arial" w:hAnsi="Arial" w:cs="Arial"/>
        </w:rPr>
      </w:pPr>
    </w:p>
    <w:p w:rsidR="00E8014B" w:rsidRPr="00030778" w:rsidRDefault="000A4583" w:rsidP="00AF22DC">
      <w:pPr>
        <w:pStyle w:val="ListParagraph"/>
        <w:numPr>
          <w:ilvl w:val="0"/>
          <w:numId w:val="3"/>
        </w:numPr>
        <w:spacing w:line="360" w:lineRule="auto"/>
        <w:rPr>
          <w:rFonts w:ascii="Arial" w:hAnsi="Arial" w:cs="Arial"/>
        </w:rPr>
      </w:pPr>
      <w:r w:rsidRPr="00030778">
        <w:rPr>
          <w:rFonts w:ascii="Arial" w:hAnsi="Arial" w:cs="Arial"/>
        </w:rPr>
        <w:t>The court also explained that unde</w:t>
      </w:r>
      <w:r w:rsidR="00030778" w:rsidRPr="00030778">
        <w:rPr>
          <w:rFonts w:ascii="Arial" w:hAnsi="Arial" w:cs="Arial"/>
        </w:rPr>
        <w:t>r the rules regarding alternativ</w:t>
      </w:r>
      <w:r w:rsidRPr="00030778">
        <w:rPr>
          <w:rFonts w:ascii="Arial" w:hAnsi="Arial" w:cs="Arial"/>
        </w:rPr>
        <w:t>e servic</w:t>
      </w:r>
      <w:r w:rsidR="00F45BFC">
        <w:rPr>
          <w:rFonts w:ascii="Arial" w:hAnsi="Arial" w:cs="Arial"/>
        </w:rPr>
        <w:t>e (our substituted service rule</w:t>
      </w:r>
      <w:r w:rsidRPr="00030778">
        <w:rPr>
          <w:rFonts w:ascii="Arial" w:hAnsi="Arial" w:cs="Arial"/>
        </w:rPr>
        <w:t xml:space="preserve">) it is possible to serve </w:t>
      </w:r>
      <w:r w:rsidR="00F22B67" w:rsidRPr="00030778">
        <w:rPr>
          <w:rFonts w:ascii="Arial" w:hAnsi="Arial" w:cs="Arial"/>
        </w:rPr>
        <w:t xml:space="preserve">on </w:t>
      </w:r>
      <w:r w:rsidRPr="00030778">
        <w:rPr>
          <w:rFonts w:ascii="Arial" w:hAnsi="Arial" w:cs="Arial"/>
        </w:rPr>
        <w:t xml:space="preserve">an  identifiable but anonymous </w:t>
      </w:r>
      <w:r w:rsidR="00F22B67" w:rsidRPr="00030778">
        <w:rPr>
          <w:rFonts w:ascii="Arial" w:hAnsi="Arial" w:cs="Arial"/>
        </w:rPr>
        <w:t xml:space="preserve">person because it is “ </w:t>
      </w:r>
      <w:r w:rsidRPr="00030778">
        <w:rPr>
          <w:rFonts w:ascii="Arial" w:hAnsi="Arial" w:cs="Arial"/>
          <w:i/>
        </w:rPr>
        <w:t>possible to locate or communicate with the defendant and to identify him as the person described in the claim form</w:t>
      </w:r>
      <w:r w:rsidR="00F22B67" w:rsidRPr="00030778">
        <w:rPr>
          <w:rFonts w:ascii="Arial" w:hAnsi="Arial" w:cs="Arial"/>
          <w:i/>
        </w:rPr>
        <w:t>.</w:t>
      </w:r>
      <w:r w:rsidR="00F22B67" w:rsidRPr="00030778">
        <w:rPr>
          <w:rFonts w:ascii="Arial" w:hAnsi="Arial" w:cs="Arial"/>
        </w:rPr>
        <w:t>“</w:t>
      </w:r>
      <w:r w:rsidR="00F22B67" w:rsidRPr="00030778">
        <w:rPr>
          <w:rStyle w:val="FootnoteReference"/>
          <w:rFonts w:ascii="Arial" w:hAnsi="Arial" w:cs="Arial"/>
        </w:rPr>
        <w:footnoteReference w:id="125"/>
      </w:r>
    </w:p>
    <w:p w:rsidR="00030778" w:rsidRPr="00030778" w:rsidRDefault="00030778" w:rsidP="00030778">
      <w:pPr>
        <w:pStyle w:val="ListParagraph"/>
        <w:spacing w:line="360" w:lineRule="auto"/>
        <w:ind w:left="360"/>
        <w:rPr>
          <w:rFonts w:ascii="Arial" w:hAnsi="Arial" w:cs="Arial"/>
        </w:rPr>
      </w:pPr>
    </w:p>
    <w:p w:rsidR="008446CA" w:rsidRPr="00BB5999" w:rsidRDefault="000F50C7" w:rsidP="00AF22DC">
      <w:pPr>
        <w:pStyle w:val="ListParagraph"/>
        <w:numPr>
          <w:ilvl w:val="0"/>
          <w:numId w:val="3"/>
        </w:numPr>
        <w:spacing w:line="360" w:lineRule="auto"/>
        <w:rPr>
          <w:rFonts w:ascii="Arial" w:hAnsi="Arial" w:cs="Arial"/>
        </w:rPr>
      </w:pPr>
      <w:r w:rsidRPr="00BB5999">
        <w:rPr>
          <w:rFonts w:ascii="Arial" w:hAnsi="Arial" w:cs="Arial"/>
        </w:rPr>
        <w:t>However,</w:t>
      </w:r>
      <w:r w:rsidR="000774C7">
        <w:rPr>
          <w:rFonts w:ascii="Arial" w:hAnsi="Arial" w:cs="Arial"/>
        </w:rPr>
        <w:t xml:space="preserve"> as in our jurisdiction</w:t>
      </w:r>
      <w:r w:rsidRPr="00BB5999">
        <w:rPr>
          <w:rFonts w:ascii="Arial" w:hAnsi="Arial" w:cs="Arial"/>
        </w:rPr>
        <w:t xml:space="preserve">, an order for substituted service </w:t>
      </w:r>
      <w:r w:rsidR="00BB5999" w:rsidRPr="00BB5999">
        <w:rPr>
          <w:rFonts w:ascii="Arial" w:hAnsi="Arial" w:cs="Arial"/>
        </w:rPr>
        <w:t xml:space="preserve">in </w:t>
      </w:r>
      <w:r w:rsidR="00BB5999">
        <w:rPr>
          <w:rFonts w:ascii="Arial" w:hAnsi="Arial" w:cs="Arial"/>
        </w:rPr>
        <w:t xml:space="preserve">such cases </w:t>
      </w:r>
      <w:r w:rsidRPr="00BB5999">
        <w:rPr>
          <w:rFonts w:ascii="Arial" w:hAnsi="Arial" w:cs="Arial"/>
        </w:rPr>
        <w:t xml:space="preserve">is granted where the manner of service can reasonably be expected to bring the proceedings to the attention of </w:t>
      </w:r>
      <w:r w:rsidR="003F29DF" w:rsidRPr="00BB5999">
        <w:rPr>
          <w:rFonts w:ascii="Arial" w:hAnsi="Arial" w:cs="Arial"/>
        </w:rPr>
        <w:t>the affected p</w:t>
      </w:r>
      <w:r w:rsidR="00BB5999">
        <w:rPr>
          <w:rFonts w:ascii="Arial" w:hAnsi="Arial" w:cs="Arial"/>
        </w:rPr>
        <w:t>ersons</w:t>
      </w:r>
      <w:r w:rsidR="003F29DF" w:rsidRPr="00BB5999">
        <w:rPr>
          <w:rFonts w:ascii="Arial" w:hAnsi="Arial" w:cs="Arial"/>
        </w:rPr>
        <w:t>.</w:t>
      </w:r>
      <w:r>
        <w:rPr>
          <w:rStyle w:val="FootnoteReference"/>
          <w:rFonts w:ascii="Arial" w:hAnsi="Arial" w:cs="Arial"/>
        </w:rPr>
        <w:footnoteReference w:id="126"/>
      </w:r>
      <w:r w:rsidR="00F45BFC" w:rsidRPr="00BB5999">
        <w:rPr>
          <w:rFonts w:ascii="Arial" w:hAnsi="Arial" w:cs="Arial"/>
        </w:rPr>
        <w:t xml:space="preserve"> </w:t>
      </w:r>
    </w:p>
    <w:p w:rsidR="00E40488" w:rsidRPr="00BB5999" w:rsidRDefault="00E40488" w:rsidP="00BB5999">
      <w:pPr>
        <w:spacing w:line="360" w:lineRule="auto"/>
        <w:rPr>
          <w:rFonts w:ascii="Arial" w:hAnsi="Arial" w:cs="Arial"/>
        </w:rPr>
      </w:pPr>
    </w:p>
    <w:p w:rsidR="003F29DF" w:rsidRPr="00BB5999" w:rsidRDefault="00BB5999" w:rsidP="00AF22DC">
      <w:pPr>
        <w:pStyle w:val="ListParagraph"/>
        <w:numPr>
          <w:ilvl w:val="0"/>
          <w:numId w:val="3"/>
        </w:numPr>
        <w:spacing w:line="360" w:lineRule="auto"/>
        <w:rPr>
          <w:rFonts w:ascii="Arial" w:hAnsi="Arial" w:cs="Arial"/>
        </w:rPr>
      </w:pPr>
      <w:r w:rsidRPr="00BB5999">
        <w:rPr>
          <w:rFonts w:ascii="Arial" w:hAnsi="Arial" w:cs="Arial"/>
        </w:rPr>
        <w:t xml:space="preserve">The </w:t>
      </w:r>
      <w:r w:rsidR="00F8327C" w:rsidRPr="00BB5999">
        <w:rPr>
          <w:rFonts w:ascii="Arial" w:hAnsi="Arial" w:cs="Arial"/>
        </w:rPr>
        <w:t>Supreme</w:t>
      </w:r>
      <w:r w:rsidRPr="00BB5999">
        <w:rPr>
          <w:rFonts w:ascii="Arial" w:hAnsi="Arial" w:cs="Arial"/>
        </w:rPr>
        <w:t xml:space="preserve"> Court therefore </w:t>
      </w:r>
      <w:r w:rsidR="00D87C6B">
        <w:rPr>
          <w:rFonts w:ascii="Arial" w:hAnsi="Arial" w:cs="Arial"/>
        </w:rPr>
        <w:t xml:space="preserve">confirmed the broader use of proceedings against </w:t>
      </w:r>
      <w:r w:rsidR="00195B3B">
        <w:rPr>
          <w:rFonts w:ascii="Arial" w:hAnsi="Arial" w:cs="Arial"/>
        </w:rPr>
        <w:t>“</w:t>
      </w:r>
      <w:r w:rsidR="00D87C6B" w:rsidRPr="00195B3B">
        <w:rPr>
          <w:rFonts w:ascii="Arial" w:hAnsi="Arial" w:cs="Arial"/>
          <w:i/>
        </w:rPr>
        <w:t>persons unknown</w:t>
      </w:r>
      <w:r w:rsidR="00195B3B">
        <w:rPr>
          <w:rFonts w:ascii="Arial" w:hAnsi="Arial" w:cs="Arial"/>
          <w:i/>
        </w:rPr>
        <w:t>”</w:t>
      </w:r>
      <w:r w:rsidR="00D87C6B">
        <w:rPr>
          <w:rFonts w:ascii="Arial" w:hAnsi="Arial" w:cs="Arial"/>
        </w:rPr>
        <w:t xml:space="preserve"> subject </w:t>
      </w:r>
      <w:r w:rsidR="000151C0">
        <w:rPr>
          <w:rFonts w:ascii="Arial" w:hAnsi="Arial" w:cs="Arial"/>
        </w:rPr>
        <w:t xml:space="preserve">to their description being adequate to enable their ready identification by </w:t>
      </w:r>
      <w:r w:rsidR="00F8327C">
        <w:rPr>
          <w:rFonts w:ascii="Arial" w:hAnsi="Arial" w:cs="Arial"/>
        </w:rPr>
        <w:t>reference</w:t>
      </w:r>
      <w:r w:rsidR="000151C0">
        <w:rPr>
          <w:rFonts w:ascii="Arial" w:hAnsi="Arial" w:cs="Arial"/>
        </w:rPr>
        <w:t xml:space="preserve"> to locality and the conduct complained of. It </w:t>
      </w:r>
      <w:r w:rsidR="00F8327C">
        <w:rPr>
          <w:rFonts w:ascii="Arial" w:hAnsi="Arial" w:cs="Arial"/>
        </w:rPr>
        <w:t>also held</w:t>
      </w:r>
      <w:r w:rsidRPr="00BB5999">
        <w:rPr>
          <w:rFonts w:ascii="Arial" w:hAnsi="Arial" w:cs="Arial"/>
        </w:rPr>
        <w:t xml:space="preserve"> that service was required but</w:t>
      </w:r>
      <w:r w:rsidR="000151C0">
        <w:rPr>
          <w:rFonts w:ascii="Arial" w:hAnsi="Arial" w:cs="Arial"/>
        </w:rPr>
        <w:t>,</w:t>
      </w:r>
      <w:r w:rsidR="00D87C6B">
        <w:rPr>
          <w:rFonts w:ascii="Arial" w:hAnsi="Arial" w:cs="Arial"/>
        </w:rPr>
        <w:t xml:space="preserve"> because the d</w:t>
      </w:r>
      <w:r w:rsidR="000151C0">
        <w:rPr>
          <w:rFonts w:ascii="Arial" w:hAnsi="Arial" w:cs="Arial"/>
        </w:rPr>
        <w:t>ecision turned on another aspect</w:t>
      </w:r>
      <w:r w:rsidR="00D87C6B">
        <w:rPr>
          <w:rFonts w:ascii="Arial" w:hAnsi="Arial" w:cs="Arial"/>
        </w:rPr>
        <w:t xml:space="preserve">, </w:t>
      </w:r>
      <w:r w:rsidRPr="00BB5999">
        <w:rPr>
          <w:rFonts w:ascii="Arial" w:hAnsi="Arial" w:cs="Arial"/>
        </w:rPr>
        <w:t>did not identify the form it need</w:t>
      </w:r>
      <w:r w:rsidR="00D87C6B">
        <w:rPr>
          <w:rFonts w:ascii="Arial" w:hAnsi="Arial" w:cs="Arial"/>
        </w:rPr>
        <w:t>ed</w:t>
      </w:r>
      <w:r w:rsidRPr="00BB5999">
        <w:rPr>
          <w:rFonts w:ascii="Arial" w:hAnsi="Arial" w:cs="Arial"/>
        </w:rPr>
        <w:t xml:space="preserve"> to take in order to be </w:t>
      </w:r>
      <w:r w:rsidR="00F8327C">
        <w:rPr>
          <w:rFonts w:ascii="Arial" w:hAnsi="Arial" w:cs="Arial"/>
        </w:rPr>
        <w:t>effective</w:t>
      </w:r>
      <w:r w:rsidR="00D87C6B">
        <w:rPr>
          <w:rFonts w:ascii="Arial" w:hAnsi="Arial" w:cs="Arial"/>
        </w:rPr>
        <w:t>.</w:t>
      </w:r>
      <w:r w:rsidR="003F29DF" w:rsidRPr="00BB5999">
        <w:rPr>
          <w:rFonts w:ascii="Arial" w:hAnsi="Arial" w:cs="Arial"/>
        </w:rPr>
        <w:t xml:space="preserve"> </w:t>
      </w:r>
    </w:p>
    <w:p w:rsidR="00147ABE" w:rsidRPr="00147ABE" w:rsidRDefault="00147ABE" w:rsidP="00147ABE">
      <w:pPr>
        <w:pStyle w:val="ListParagraph"/>
        <w:rPr>
          <w:rFonts w:ascii="Arial" w:hAnsi="Arial" w:cs="Arial"/>
        </w:rPr>
      </w:pPr>
    </w:p>
    <w:p w:rsidR="000151C0" w:rsidRPr="0029403C" w:rsidRDefault="003610CF" w:rsidP="00AF22DC">
      <w:pPr>
        <w:pStyle w:val="ListParagraph"/>
        <w:numPr>
          <w:ilvl w:val="0"/>
          <w:numId w:val="3"/>
        </w:numPr>
        <w:spacing w:line="360" w:lineRule="auto"/>
        <w:rPr>
          <w:rFonts w:ascii="Arial" w:hAnsi="Arial" w:cs="Arial"/>
          <w:lang w:val="en-US"/>
        </w:rPr>
      </w:pPr>
      <w:r>
        <w:rPr>
          <w:rFonts w:ascii="Arial" w:hAnsi="Arial" w:cs="Arial"/>
        </w:rPr>
        <w:t xml:space="preserve">A subsequent </w:t>
      </w:r>
      <w:r w:rsidR="000151C0" w:rsidRPr="0029403C">
        <w:rPr>
          <w:rFonts w:ascii="Arial" w:hAnsi="Arial" w:cs="Arial"/>
        </w:rPr>
        <w:t xml:space="preserve">judgment delivered on 5 March 2020 by the Court of Appeal </w:t>
      </w:r>
      <w:r w:rsidR="00F8327C" w:rsidRPr="001A6756">
        <w:rPr>
          <w:rFonts w:ascii="Arial" w:hAnsi="Arial" w:cs="Arial"/>
        </w:rPr>
        <w:t>in</w:t>
      </w:r>
      <w:r w:rsidR="00F8327C" w:rsidRPr="0029403C">
        <w:rPr>
          <w:rFonts w:ascii="Arial" w:hAnsi="Arial" w:cs="Arial"/>
          <w:i/>
        </w:rPr>
        <w:t xml:space="preserve"> Canada</w:t>
      </w:r>
      <w:r w:rsidR="00F8327C">
        <w:rPr>
          <w:rFonts w:ascii="Arial" w:hAnsi="Arial" w:cs="Arial"/>
          <w:i/>
        </w:rPr>
        <w:t xml:space="preserve"> Goose UK Retail Ltd. v</w:t>
      </w:r>
      <w:r w:rsidR="00660800" w:rsidRPr="0029403C">
        <w:rPr>
          <w:rFonts w:ascii="Arial" w:hAnsi="Arial" w:cs="Arial"/>
          <w:i/>
        </w:rPr>
        <w:t xml:space="preserve"> Persons Unknown and another</w:t>
      </w:r>
      <w:r w:rsidR="0029403C" w:rsidRPr="0029403C">
        <w:rPr>
          <w:rFonts w:ascii="Arial" w:hAnsi="Arial" w:cs="Arial"/>
        </w:rPr>
        <w:t xml:space="preserve"> [2020] EWCA Civ 303</w:t>
      </w:r>
      <w:r w:rsidR="00660800" w:rsidRPr="0029403C">
        <w:rPr>
          <w:rFonts w:ascii="Arial" w:hAnsi="Arial" w:cs="Arial"/>
        </w:rPr>
        <w:t>, [2020] 1 WLR 2802</w:t>
      </w:r>
      <w:r w:rsidR="000151C0" w:rsidRPr="0029403C">
        <w:rPr>
          <w:rFonts w:ascii="Arial" w:hAnsi="Arial" w:cs="Arial"/>
        </w:rPr>
        <w:t xml:space="preserve">    is significant for two reaso</w:t>
      </w:r>
      <w:r w:rsidR="0029403C">
        <w:rPr>
          <w:rFonts w:ascii="Arial" w:hAnsi="Arial" w:cs="Arial"/>
        </w:rPr>
        <w:t>n</w:t>
      </w:r>
      <w:r w:rsidR="000151C0" w:rsidRPr="0029403C">
        <w:rPr>
          <w:rFonts w:ascii="Arial" w:hAnsi="Arial" w:cs="Arial"/>
        </w:rPr>
        <w:t>s:</w:t>
      </w:r>
      <w:r w:rsidR="0029403C">
        <w:rPr>
          <w:rFonts w:ascii="Arial" w:hAnsi="Arial" w:cs="Arial"/>
        </w:rPr>
        <w:t xml:space="preserve"> I</w:t>
      </w:r>
      <w:r w:rsidR="000151C0" w:rsidRPr="0029403C">
        <w:rPr>
          <w:rFonts w:ascii="Arial" w:hAnsi="Arial" w:cs="Arial"/>
        </w:rPr>
        <w:t xml:space="preserve">t </w:t>
      </w:r>
      <w:r w:rsidR="00F8327C" w:rsidRPr="0029403C">
        <w:rPr>
          <w:rFonts w:ascii="Arial" w:hAnsi="Arial" w:cs="Arial"/>
        </w:rPr>
        <w:t>summarised</w:t>
      </w:r>
      <w:r w:rsidR="000151C0" w:rsidRPr="0029403C">
        <w:rPr>
          <w:rFonts w:ascii="Arial" w:hAnsi="Arial" w:cs="Arial"/>
        </w:rPr>
        <w:t xml:space="preserve"> the </w:t>
      </w:r>
      <w:r w:rsidR="00F8327C" w:rsidRPr="0029403C">
        <w:rPr>
          <w:rFonts w:ascii="Arial" w:hAnsi="Arial" w:cs="Arial"/>
        </w:rPr>
        <w:t>requirements</w:t>
      </w:r>
      <w:r w:rsidR="000151C0" w:rsidRPr="0029403C">
        <w:rPr>
          <w:rFonts w:ascii="Arial" w:hAnsi="Arial" w:cs="Arial"/>
        </w:rPr>
        <w:t xml:space="preserve"> for proceedings which may lawfully be taken against persons unknown and held that the decision in </w:t>
      </w:r>
      <w:r w:rsidR="000151C0" w:rsidRPr="0029403C">
        <w:rPr>
          <w:rFonts w:ascii="Arial" w:hAnsi="Arial" w:cs="Arial"/>
          <w:i/>
        </w:rPr>
        <w:t xml:space="preserve">Gammell </w:t>
      </w:r>
      <w:r w:rsidR="000151C0" w:rsidRPr="0029403C">
        <w:rPr>
          <w:rFonts w:ascii="Arial" w:hAnsi="Arial" w:cs="Arial"/>
        </w:rPr>
        <w:t xml:space="preserve">was restricted </w:t>
      </w:r>
      <w:r w:rsidR="00F8327C" w:rsidRPr="0029403C">
        <w:rPr>
          <w:rFonts w:ascii="Arial" w:hAnsi="Arial" w:cs="Arial"/>
        </w:rPr>
        <w:t>to interim</w:t>
      </w:r>
      <w:r w:rsidR="000151C0" w:rsidRPr="0029403C">
        <w:rPr>
          <w:rFonts w:ascii="Arial" w:hAnsi="Arial" w:cs="Arial"/>
        </w:rPr>
        <w:t xml:space="preserve"> injunction proceedings which had not been finalised and could not be extended to </w:t>
      </w:r>
      <w:r w:rsidR="00F8327C" w:rsidRPr="0029403C">
        <w:rPr>
          <w:rFonts w:ascii="Arial" w:hAnsi="Arial" w:cs="Arial"/>
        </w:rPr>
        <w:lastRenderedPageBreak/>
        <w:t>cases</w:t>
      </w:r>
      <w:r w:rsidR="000151C0" w:rsidRPr="0029403C">
        <w:rPr>
          <w:rFonts w:ascii="Arial" w:hAnsi="Arial" w:cs="Arial"/>
        </w:rPr>
        <w:t xml:space="preserve"> where the injunction had been made final. </w:t>
      </w:r>
    </w:p>
    <w:p w:rsidR="0029403C" w:rsidRPr="0029403C" w:rsidRDefault="0029403C" w:rsidP="0029403C">
      <w:pPr>
        <w:pStyle w:val="ListParagraph"/>
        <w:rPr>
          <w:rFonts w:ascii="Arial" w:hAnsi="Arial" w:cs="Arial"/>
          <w:lang w:val="en-US"/>
        </w:rPr>
      </w:pPr>
    </w:p>
    <w:p w:rsidR="0029403C" w:rsidRPr="0029403C" w:rsidRDefault="0029403C" w:rsidP="0029403C">
      <w:pPr>
        <w:pStyle w:val="ListParagraph"/>
        <w:spacing w:line="360" w:lineRule="auto"/>
        <w:ind w:left="360"/>
        <w:rPr>
          <w:rFonts w:ascii="Arial" w:hAnsi="Arial" w:cs="Arial"/>
          <w:lang w:val="en-US"/>
        </w:rPr>
      </w:pPr>
      <w:r w:rsidRPr="0029403C">
        <w:rPr>
          <w:rFonts w:ascii="Arial" w:hAnsi="Arial" w:cs="Arial"/>
        </w:rPr>
        <w:t>It will be recalled that</w:t>
      </w:r>
      <w:r w:rsidRPr="0029403C">
        <w:rPr>
          <w:rFonts w:ascii="Arial" w:hAnsi="Arial" w:cs="Arial"/>
          <w:i/>
        </w:rPr>
        <w:t xml:space="preserve"> Gammell</w:t>
      </w:r>
      <w:r w:rsidRPr="0029403C">
        <w:rPr>
          <w:rFonts w:ascii="Arial" w:hAnsi="Arial" w:cs="Arial"/>
        </w:rPr>
        <w:t xml:space="preserve"> decided that </w:t>
      </w:r>
      <w:r>
        <w:rPr>
          <w:rFonts w:ascii="Arial" w:hAnsi="Arial" w:cs="Arial"/>
        </w:rPr>
        <w:t xml:space="preserve">a person who </w:t>
      </w:r>
      <w:r w:rsidRPr="0029403C">
        <w:rPr>
          <w:rFonts w:ascii="Arial" w:hAnsi="Arial" w:cs="Arial"/>
        </w:rPr>
        <w:t>c</w:t>
      </w:r>
      <w:r>
        <w:rPr>
          <w:rFonts w:ascii="Arial" w:hAnsi="Arial" w:cs="Arial"/>
        </w:rPr>
        <w:t>ame onto</w:t>
      </w:r>
      <w:r w:rsidRPr="0029403C">
        <w:rPr>
          <w:rFonts w:ascii="Arial" w:hAnsi="Arial" w:cs="Arial"/>
        </w:rPr>
        <w:t xml:space="preserve"> land subsequent to the grant of such an interim injunction and act</w:t>
      </w:r>
      <w:r>
        <w:rPr>
          <w:rFonts w:ascii="Arial" w:hAnsi="Arial" w:cs="Arial"/>
        </w:rPr>
        <w:t>ed in breach of its terms became</w:t>
      </w:r>
      <w:r w:rsidRPr="0029403C">
        <w:rPr>
          <w:rFonts w:ascii="Arial" w:hAnsi="Arial" w:cs="Arial"/>
        </w:rPr>
        <w:t xml:space="preserve"> a party to the proceedings without more</w:t>
      </w:r>
      <w:r w:rsidR="003610CF">
        <w:rPr>
          <w:rFonts w:ascii="Arial" w:hAnsi="Arial" w:cs="Arial"/>
        </w:rPr>
        <w:t xml:space="preserve">, became a party </w:t>
      </w:r>
      <w:r>
        <w:rPr>
          <w:rFonts w:ascii="Arial" w:hAnsi="Arial" w:cs="Arial"/>
        </w:rPr>
        <w:t xml:space="preserve">subject to </w:t>
      </w:r>
      <w:r w:rsidRPr="0029403C">
        <w:rPr>
          <w:rFonts w:ascii="Arial" w:hAnsi="Arial" w:cs="Arial"/>
        </w:rPr>
        <w:t xml:space="preserve">the injunction and was consequently </w:t>
      </w:r>
      <w:r>
        <w:rPr>
          <w:rFonts w:ascii="Arial" w:hAnsi="Arial" w:cs="Arial"/>
        </w:rPr>
        <w:t xml:space="preserve">liable for </w:t>
      </w:r>
      <w:r w:rsidRPr="0029403C">
        <w:rPr>
          <w:rFonts w:ascii="Arial" w:hAnsi="Arial" w:cs="Arial"/>
        </w:rPr>
        <w:t xml:space="preserve">contempt </w:t>
      </w:r>
      <w:r>
        <w:rPr>
          <w:rFonts w:ascii="Arial" w:hAnsi="Arial" w:cs="Arial"/>
        </w:rPr>
        <w:t xml:space="preserve">of court if </w:t>
      </w:r>
      <w:r w:rsidR="003610CF">
        <w:rPr>
          <w:rFonts w:ascii="Arial" w:hAnsi="Arial" w:cs="Arial"/>
        </w:rPr>
        <w:t xml:space="preserve">he or she </w:t>
      </w:r>
      <w:r w:rsidRPr="0029403C">
        <w:rPr>
          <w:rFonts w:ascii="Arial" w:hAnsi="Arial" w:cs="Arial"/>
        </w:rPr>
        <w:t xml:space="preserve">had knowledge of the injunction.  </w:t>
      </w:r>
    </w:p>
    <w:p w:rsidR="000151C0" w:rsidRPr="000151C0" w:rsidRDefault="000151C0" w:rsidP="000151C0">
      <w:pPr>
        <w:pStyle w:val="ListParagraph"/>
        <w:rPr>
          <w:rFonts w:ascii="Arial" w:hAnsi="Arial" w:cs="Arial"/>
        </w:rPr>
      </w:pPr>
    </w:p>
    <w:p w:rsidR="003F63CE" w:rsidRDefault="000151C0" w:rsidP="00AF22DC">
      <w:pPr>
        <w:pStyle w:val="ListParagraph"/>
        <w:numPr>
          <w:ilvl w:val="0"/>
          <w:numId w:val="3"/>
        </w:numPr>
        <w:spacing w:line="360" w:lineRule="auto"/>
        <w:rPr>
          <w:rFonts w:ascii="Arial" w:hAnsi="Arial" w:cs="Arial"/>
        </w:rPr>
      </w:pPr>
      <w:r>
        <w:rPr>
          <w:rFonts w:ascii="Arial" w:hAnsi="Arial" w:cs="Arial"/>
        </w:rPr>
        <w:t xml:space="preserve">As to the </w:t>
      </w:r>
      <w:r w:rsidR="003610CF" w:rsidRPr="0029403C">
        <w:rPr>
          <w:rFonts w:ascii="Arial" w:hAnsi="Arial" w:cs="Arial"/>
        </w:rPr>
        <w:t xml:space="preserve">requirements for proceedings which may lawfully be taken against persons unknown </w:t>
      </w:r>
      <w:r w:rsidR="003610CF">
        <w:rPr>
          <w:rFonts w:ascii="Arial" w:hAnsi="Arial" w:cs="Arial"/>
          <w:i/>
        </w:rPr>
        <w:t xml:space="preserve">Canada Goose </w:t>
      </w:r>
      <w:r w:rsidR="003610CF">
        <w:rPr>
          <w:rFonts w:ascii="Arial" w:hAnsi="Arial" w:cs="Arial"/>
        </w:rPr>
        <w:t>said</w:t>
      </w:r>
      <w:r w:rsidR="00660800">
        <w:rPr>
          <w:rFonts w:ascii="Arial" w:hAnsi="Arial" w:cs="Arial"/>
        </w:rPr>
        <w:t xml:space="preserve"> the following</w:t>
      </w:r>
      <w:r w:rsidR="003F63CE">
        <w:rPr>
          <w:rFonts w:ascii="Arial" w:hAnsi="Arial" w:cs="Arial"/>
        </w:rPr>
        <w:t>:</w:t>
      </w:r>
    </w:p>
    <w:p w:rsidR="003F63CE" w:rsidRPr="003F63CE" w:rsidRDefault="003F63CE" w:rsidP="003F63CE">
      <w:pPr>
        <w:pStyle w:val="ListParagraph"/>
        <w:rPr>
          <w:rFonts w:ascii="Arial" w:hAnsi="Arial" w:cs="Arial"/>
        </w:rPr>
      </w:pPr>
    </w:p>
    <w:p w:rsidR="003F63CE" w:rsidRPr="003F63CE" w:rsidRDefault="000774C7" w:rsidP="003F63CE">
      <w:pPr>
        <w:pStyle w:val="ListParagraph"/>
        <w:spacing w:line="360" w:lineRule="auto"/>
        <w:rPr>
          <w:rFonts w:ascii="Arial" w:hAnsi="Arial" w:cs="Arial"/>
          <w:i/>
        </w:rPr>
      </w:pPr>
      <w:r>
        <w:rPr>
          <w:rFonts w:ascii="Arial" w:hAnsi="Arial" w:cs="Arial"/>
          <w:i/>
        </w:rPr>
        <w:t>“</w:t>
      </w:r>
      <w:r w:rsidR="003F63CE" w:rsidRPr="003F63CE">
        <w:rPr>
          <w:rFonts w:ascii="Arial" w:hAnsi="Arial" w:cs="Arial"/>
          <w:i/>
        </w:rPr>
        <w:t>(1) The “persons unknown” defendants in the claim form are, by definition, people who have not been identified at the time of the commencement of the proceedings. If they are known and have been identified, they must be joined as individual defendants to the proceedings. The “persons unknown” defendants must be people who have not been identified but are capable of being identified and served with the proceedings, if necessary by alternative service such as can reasonably be expected to bring the proceedings to their attention. In principle, such persons include both anonymous defendants who are identifiable at the time the proceedings commence but whose names are unknown and also Newcomers, that is to say people who in the future will join the protest and fall within the description of the “persons unknown”.</w:t>
      </w:r>
    </w:p>
    <w:p w:rsidR="003F63CE" w:rsidRDefault="003F63CE" w:rsidP="003F63CE">
      <w:pPr>
        <w:pStyle w:val="ListParagraph"/>
        <w:spacing w:line="360" w:lineRule="auto"/>
        <w:rPr>
          <w:rFonts w:ascii="Arial" w:hAnsi="Arial" w:cs="Arial"/>
          <w:i/>
        </w:rPr>
      </w:pPr>
      <w:r w:rsidRPr="003F63CE">
        <w:rPr>
          <w:rFonts w:ascii="Arial" w:hAnsi="Arial" w:cs="Arial"/>
          <w:i/>
        </w:rPr>
        <w:t>(2) The “persons unknown” must be defined in the originating process by reference to their conduct which is alleged to be unlawful.</w:t>
      </w:r>
    </w:p>
    <w:p w:rsidR="000774C7" w:rsidRPr="003F63CE" w:rsidRDefault="000774C7" w:rsidP="003F63CE">
      <w:pPr>
        <w:pStyle w:val="ListParagraph"/>
        <w:spacing w:line="360" w:lineRule="auto"/>
        <w:rPr>
          <w:rFonts w:ascii="Arial" w:hAnsi="Arial" w:cs="Arial"/>
          <w:i/>
        </w:rPr>
      </w:pPr>
    </w:p>
    <w:p w:rsidR="003F63CE" w:rsidRDefault="003F63CE" w:rsidP="003F63CE">
      <w:pPr>
        <w:pStyle w:val="ListParagraph"/>
        <w:spacing w:line="360" w:lineRule="auto"/>
        <w:rPr>
          <w:rFonts w:ascii="Arial" w:hAnsi="Arial" w:cs="Arial"/>
          <w:i/>
        </w:rPr>
      </w:pPr>
      <w:r w:rsidRPr="003F63CE">
        <w:rPr>
          <w:rFonts w:ascii="Arial" w:hAnsi="Arial" w:cs="Arial"/>
          <w:i/>
        </w:rPr>
        <w:t>(3) Interim injunctive relief may only be granted if there is a sufficiently real and imminent risk of a tort being committed to justify [precautionary] relief.</w:t>
      </w:r>
    </w:p>
    <w:p w:rsidR="000774C7" w:rsidRPr="003F63CE" w:rsidRDefault="000774C7" w:rsidP="003F63CE">
      <w:pPr>
        <w:pStyle w:val="ListParagraph"/>
        <w:spacing w:line="360" w:lineRule="auto"/>
        <w:rPr>
          <w:rFonts w:ascii="Arial" w:hAnsi="Arial" w:cs="Arial"/>
          <w:i/>
        </w:rPr>
      </w:pPr>
    </w:p>
    <w:p w:rsidR="003F63CE" w:rsidRDefault="003F63CE" w:rsidP="003F63CE">
      <w:pPr>
        <w:pStyle w:val="ListParagraph"/>
        <w:spacing w:line="360" w:lineRule="auto"/>
        <w:rPr>
          <w:rFonts w:ascii="Arial" w:hAnsi="Arial" w:cs="Arial"/>
          <w:i/>
        </w:rPr>
      </w:pPr>
      <w:r w:rsidRPr="003F63CE">
        <w:rPr>
          <w:rFonts w:ascii="Arial" w:hAnsi="Arial" w:cs="Arial"/>
          <w:i/>
        </w:rPr>
        <w:t>(4) As in the case of the originating process itself, the defendants subject to the interim injunction must be individually named if known and identified or, if not and described as “persons unknown”, must be capable of being identified and served with the order, if necessary by alternative service, the method of which must be set out in the order.</w:t>
      </w:r>
    </w:p>
    <w:p w:rsidR="000774C7" w:rsidRPr="003F63CE" w:rsidRDefault="000774C7" w:rsidP="003F63CE">
      <w:pPr>
        <w:pStyle w:val="ListParagraph"/>
        <w:spacing w:line="360" w:lineRule="auto"/>
        <w:rPr>
          <w:rFonts w:ascii="Arial" w:hAnsi="Arial" w:cs="Arial"/>
          <w:i/>
        </w:rPr>
      </w:pPr>
    </w:p>
    <w:p w:rsidR="003F63CE" w:rsidRDefault="003F63CE" w:rsidP="003F63CE">
      <w:pPr>
        <w:pStyle w:val="ListParagraph"/>
        <w:spacing w:line="360" w:lineRule="auto"/>
        <w:rPr>
          <w:rFonts w:ascii="Arial" w:hAnsi="Arial" w:cs="Arial"/>
          <w:i/>
        </w:rPr>
      </w:pPr>
      <w:r w:rsidRPr="003F63CE">
        <w:rPr>
          <w:rFonts w:ascii="Arial" w:hAnsi="Arial" w:cs="Arial"/>
          <w:i/>
        </w:rPr>
        <w:t xml:space="preserve">(5) The prohibited acts must correspond to the threatened tort. They may </w:t>
      </w:r>
      <w:r w:rsidRPr="003F63CE">
        <w:rPr>
          <w:rFonts w:ascii="Arial" w:hAnsi="Arial" w:cs="Arial"/>
          <w:i/>
        </w:rPr>
        <w:lastRenderedPageBreak/>
        <w:t>include lawful conduct if, and only to the extent that, there is no other proportionate means of protecting the claimant’s rights.</w:t>
      </w:r>
    </w:p>
    <w:p w:rsidR="000774C7" w:rsidRPr="003F63CE" w:rsidRDefault="000774C7" w:rsidP="003F63CE">
      <w:pPr>
        <w:pStyle w:val="ListParagraph"/>
        <w:spacing w:line="360" w:lineRule="auto"/>
        <w:rPr>
          <w:rFonts w:ascii="Arial" w:hAnsi="Arial" w:cs="Arial"/>
          <w:i/>
        </w:rPr>
      </w:pPr>
    </w:p>
    <w:p w:rsidR="003F63CE" w:rsidRDefault="003F63CE" w:rsidP="003F63CE">
      <w:pPr>
        <w:pStyle w:val="ListParagraph"/>
        <w:spacing w:line="360" w:lineRule="auto"/>
        <w:rPr>
          <w:rFonts w:ascii="Arial" w:hAnsi="Arial" w:cs="Arial"/>
          <w:i/>
        </w:rPr>
      </w:pPr>
      <w:r w:rsidRPr="003F63CE">
        <w:rPr>
          <w:rFonts w:ascii="Arial" w:hAnsi="Arial" w:cs="Arial"/>
          <w:i/>
        </w:rPr>
        <w:t>(6) The terms of the injunction must be sufficiently clear and precise as to enable persons potentially affected to know what they must not do. The prohibited acts must not, therefore, be described in terms of a legal cause of action, such as trespass or harassment or nuisance. They may be defined by reference to the defendant’s intention if that is strictly necessary to correspond to the threatened tort and done in non-technical language which a defendant is capable of understanding and the intention is capable of proof without undue complexity. It is better practice, however, to formulate the injunction without reference to intention if the prohibited tortious act can be described in ordinary language without doing so.</w:t>
      </w:r>
    </w:p>
    <w:p w:rsidR="000774C7" w:rsidRPr="003F63CE" w:rsidRDefault="000774C7" w:rsidP="003F63CE">
      <w:pPr>
        <w:pStyle w:val="ListParagraph"/>
        <w:spacing w:line="360" w:lineRule="auto"/>
        <w:rPr>
          <w:rFonts w:ascii="Arial" w:hAnsi="Arial" w:cs="Arial"/>
          <w:i/>
        </w:rPr>
      </w:pPr>
    </w:p>
    <w:p w:rsidR="003F63CE" w:rsidRDefault="003F63CE" w:rsidP="003F63CE">
      <w:pPr>
        <w:pStyle w:val="ListParagraph"/>
        <w:spacing w:line="360" w:lineRule="auto"/>
        <w:rPr>
          <w:rFonts w:ascii="Arial" w:hAnsi="Arial" w:cs="Arial"/>
          <w:i/>
        </w:rPr>
      </w:pPr>
      <w:r w:rsidRPr="003F63CE">
        <w:rPr>
          <w:rFonts w:ascii="Arial" w:hAnsi="Arial" w:cs="Arial"/>
          <w:i/>
        </w:rPr>
        <w:t>(7) The interim injunction should have clear geographical and temporal limits. It must be time limited because it is an interim and not a final injunction.</w:t>
      </w:r>
      <w:r w:rsidR="000774C7">
        <w:rPr>
          <w:rFonts w:ascii="Arial" w:hAnsi="Arial" w:cs="Arial"/>
          <w:i/>
        </w:rPr>
        <w:t>”</w:t>
      </w:r>
      <w:r w:rsidRPr="003F63CE">
        <w:rPr>
          <w:rFonts w:ascii="Arial" w:hAnsi="Arial" w:cs="Arial"/>
          <w:i/>
        </w:rPr>
        <w:t xml:space="preserve"> </w:t>
      </w:r>
      <w:r>
        <w:rPr>
          <w:rStyle w:val="FootnoteReference"/>
          <w:rFonts w:ascii="Arial" w:hAnsi="Arial" w:cs="Arial"/>
          <w:i/>
        </w:rPr>
        <w:footnoteReference w:id="127"/>
      </w:r>
    </w:p>
    <w:p w:rsidR="0007653A" w:rsidRDefault="0007653A" w:rsidP="003F63CE">
      <w:pPr>
        <w:pStyle w:val="ListParagraph"/>
        <w:spacing w:line="360" w:lineRule="auto"/>
        <w:rPr>
          <w:rFonts w:ascii="Arial" w:hAnsi="Arial" w:cs="Arial"/>
          <w:i/>
        </w:rPr>
      </w:pPr>
    </w:p>
    <w:p w:rsidR="00147ABE" w:rsidRDefault="003610CF" w:rsidP="00AF22DC">
      <w:pPr>
        <w:pStyle w:val="ListParagraph"/>
        <w:numPr>
          <w:ilvl w:val="0"/>
          <w:numId w:val="3"/>
        </w:numPr>
        <w:spacing w:line="360" w:lineRule="auto"/>
        <w:rPr>
          <w:rFonts w:ascii="Arial" w:hAnsi="Arial" w:cs="Arial"/>
        </w:rPr>
      </w:pPr>
      <w:r>
        <w:rPr>
          <w:rFonts w:ascii="Arial" w:hAnsi="Arial" w:cs="Arial"/>
        </w:rPr>
        <w:t>In the case before it the</w:t>
      </w:r>
      <w:r w:rsidR="003F63CE">
        <w:rPr>
          <w:rFonts w:ascii="Arial" w:hAnsi="Arial" w:cs="Arial"/>
        </w:rPr>
        <w:t xml:space="preserve"> Court of Appeal held that the injunction should not have been granted because</w:t>
      </w:r>
      <w:r>
        <w:rPr>
          <w:rFonts w:ascii="Arial" w:hAnsi="Arial" w:cs="Arial"/>
        </w:rPr>
        <w:t>, among other things,</w:t>
      </w:r>
      <w:r w:rsidR="003F63CE">
        <w:rPr>
          <w:rFonts w:ascii="Arial" w:hAnsi="Arial" w:cs="Arial"/>
        </w:rPr>
        <w:t xml:space="preserve"> t</w:t>
      </w:r>
      <w:r w:rsidR="003F63CE" w:rsidRPr="003F63CE">
        <w:rPr>
          <w:rFonts w:ascii="Arial" w:hAnsi="Arial" w:cs="Arial"/>
        </w:rPr>
        <w:t xml:space="preserve">he description of the </w:t>
      </w:r>
      <w:r w:rsidR="0007653A">
        <w:rPr>
          <w:rFonts w:ascii="Arial" w:hAnsi="Arial" w:cs="Arial"/>
        </w:rPr>
        <w:t>“</w:t>
      </w:r>
      <w:r w:rsidR="003F63CE" w:rsidRPr="0007653A">
        <w:rPr>
          <w:rFonts w:ascii="Arial" w:hAnsi="Arial" w:cs="Arial"/>
          <w:i/>
        </w:rPr>
        <w:t>persons unknown</w:t>
      </w:r>
      <w:r w:rsidR="0007653A">
        <w:rPr>
          <w:rFonts w:ascii="Arial" w:hAnsi="Arial" w:cs="Arial"/>
          <w:i/>
        </w:rPr>
        <w:t>”</w:t>
      </w:r>
      <w:r w:rsidR="003F63CE" w:rsidRPr="003F63CE">
        <w:rPr>
          <w:rFonts w:ascii="Arial" w:hAnsi="Arial" w:cs="Arial"/>
        </w:rPr>
        <w:t xml:space="preserve"> </w:t>
      </w:r>
      <w:r w:rsidR="00F8327C" w:rsidRPr="003F63CE">
        <w:rPr>
          <w:rFonts w:ascii="Arial" w:hAnsi="Arial" w:cs="Arial"/>
        </w:rPr>
        <w:t>was too</w:t>
      </w:r>
      <w:r w:rsidR="003F63CE" w:rsidRPr="003F63CE">
        <w:rPr>
          <w:rFonts w:ascii="Arial" w:hAnsi="Arial" w:cs="Arial"/>
        </w:rPr>
        <w:t xml:space="preserve"> wide</w:t>
      </w:r>
      <w:r w:rsidR="003F63CE">
        <w:rPr>
          <w:rFonts w:ascii="Arial" w:hAnsi="Arial" w:cs="Arial"/>
        </w:rPr>
        <w:t xml:space="preserve">, could include those </w:t>
      </w:r>
      <w:r w:rsidR="003F63CE" w:rsidRPr="003F63CE">
        <w:rPr>
          <w:rFonts w:ascii="Arial" w:hAnsi="Arial" w:cs="Arial"/>
        </w:rPr>
        <w:t>who had never been at the</w:t>
      </w:r>
      <w:r w:rsidR="003F63CE">
        <w:rPr>
          <w:rFonts w:ascii="Arial" w:hAnsi="Arial" w:cs="Arial"/>
        </w:rPr>
        <w:t xml:space="preserve"> site and that </w:t>
      </w:r>
      <w:r w:rsidR="003F63CE" w:rsidRPr="003F63CE">
        <w:rPr>
          <w:rFonts w:ascii="Arial" w:hAnsi="Arial" w:cs="Arial"/>
        </w:rPr>
        <w:t>the spec</w:t>
      </w:r>
      <w:r w:rsidR="004D128E">
        <w:rPr>
          <w:rFonts w:ascii="Arial" w:hAnsi="Arial" w:cs="Arial"/>
        </w:rPr>
        <w:t xml:space="preserve">ified prohibited acts were not </w:t>
      </w:r>
      <w:r>
        <w:rPr>
          <w:rFonts w:ascii="Arial" w:hAnsi="Arial" w:cs="Arial"/>
        </w:rPr>
        <w:t>confined</w:t>
      </w:r>
      <w:r w:rsidR="004D128E">
        <w:rPr>
          <w:rFonts w:ascii="Arial" w:hAnsi="Arial" w:cs="Arial"/>
        </w:rPr>
        <w:t xml:space="preserve"> </w:t>
      </w:r>
      <w:r w:rsidR="003F63CE" w:rsidRPr="003F63CE">
        <w:rPr>
          <w:rFonts w:ascii="Arial" w:hAnsi="Arial" w:cs="Arial"/>
        </w:rPr>
        <w:t>to unlawful acts.</w:t>
      </w:r>
    </w:p>
    <w:p w:rsidR="004D128E" w:rsidRDefault="004D128E" w:rsidP="004D128E">
      <w:pPr>
        <w:pStyle w:val="ListParagraph"/>
        <w:spacing w:line="360" w:lineRule="auto"/>
        <w:ind w:left="360"/>
        <w:rPr>
          <w:rFonts w:ascii="Arial" w:hAnsi="Arial" w:cs="Arial"/>
        </w:rPr>
      </w:pPr>
    </w:p>
    <w:p w:rsidR="004D128E" w:rsidRDefault="003610CF" w:rsidP="003610CF">
      <w:pPr>
        <w:pStyle w:val="ListParagraph"/>
        <w:numPr>
          <w:ilvl w:val="0"/>
          <w:numId w:val="3"/>
        </w:numPr>
        <w:spacing w:line="360" w:lineRule="auto"/>
        <w:rPr>
          <w:rFonts w:ascii="Arial" w:hAnsi="Arial" w:cs="Arial"/>
        </w:rPr>
      </w:pPr>
      <w:r>
        <w:rPr>
          <w:rFonts w:ascii="Arial" w:hAnsi="Arial" w:cs="Arial"/>
        </w:rPr>
        <w:t xml:space="preserve">The </w:t>
      </w:r>
      <w:r w:rsidR="0029403C">
        <w:rPr>
          <w:rFonts w:ascii="Arial" w:hAnsi="Arial" w:cs="Arial"/>
        </w:rPr>
        <w:t xml:space="preserve">part of the decision </w:t>
      </w:r>
      <w:r>
        <w:rPr>
          <w:rFonts w:ascii="Arial" w:hAnsi="Arial" w:cs="Arial"/>
        </w:rPr>
        <w:t xml:space="preserve">in </w:t>
      </w:r>
      <w:r>
        <w:rPr>
          <w:rFonts w:ascii="Arial" w:hAnsi="Arial" w:cs="Arial"/>
          <w:i/>
        </w:rPr>
        <w:t xml:space="preserve">Canada Goose, </w:t>
      </w:r>
      <w:r>
        <w:rPr>
          <w:rFonts w:ascii="Arial" w:hAnsi="Arial" w:cs="Arial"/>
        </w:rPr>
        <w:t>which found that</w:t>
      </w:r>
      <w:r w:rsidR="0029403C">
        <w:rPr>
          <w:rFonts w:ascii="Arial" w:hAnsi="Arial" w:cs="Arial"/>
        </w:rPr>
        <w:t xml:space="preserve"> </w:t>
      </w:r>
      <w:r w:rsidR="0029403C" w:rsidRPr="0029403C">
        <w:rPr>
          <w:rFonts w:ascii="Arial" w:hAnsi="Arial" w:cs="Arial"/>
          <w:i/>
        </w:rPr>
        <w:t>Gammell</w:t>
      </w:r>
      <w:r w:rsidR="0029403C">
        <w:rPr>
          <w:rFonts w:ascii="Arial" w:hAnsi="Arial" w:cs="Arial"/>
        </w:rPr>
        <w:t xml:space="preserve"> applied only </w:t>
      </w:r>
      <w:r w:rsidR="006A0383">
        <w:rPr>
          <w:rFonts w:ascii="Arial" w:hAnsi="Arial" w:cs="Arial"/>
        </w:rPr>
        <w:t>while an interim injunction was still pending and could not apply once a fi</w:t>
      </w:r>
      <w:r>
        <w:rPr>
          <w:rFonts w:ascii="Arial" w:hAnsi="Arial" w:cs="Arial"/>
        </w:rPr>
        <w:t>n</w:t>
      </w:r>
      <w:r w:rsidR="0007653A">
        <w:rPr>
          <w:rFonts w:ascii="Arial" w:hAnsi="Arial" w:cs="Arial"/>
        </w:rPr>
        <w:t>al injunction had been granted,</w:t>
      </w:r>
      <w:r w:rsidR="006A0383">
        <w:rPr>
          <w:rFonts w:ascii="Arial" w:hAnsi="Arial" w:cs="Arial"/>
        </w:rPr>
        <w:t xml:space="preserve"> </w:t>
      </w:r>
      <w:r>
        <w:rPr>
          <w:rFonts w:ascii="Arial" w:hAnsi="Arial" w:cs="Arial"/>
        </w:rPr>
        <w:t xml:space="preserve">was in turn held </w:t>
      </w:r>
      <w:r w:rsidR="0007653A">
        <w:rPr>
          <w:rFonts w:ascii="Arial" w:hAnsi="Arial" w:cs="Arial"/>
        </w:rPr>
        <w:t xml:space="preserve">in the subsequent Court of Appeal case of </w:t>
      </w:r>
      <w:r w:rsidR="0007653A" w:rsidRPr="003610CF">
        <w:rPr>
          <w:rFonts w:ascii="Arial" w:hAnsi="Arial" w:cs="Arial"/>
          <w:i/>
        </w:rPr>
        <w:t>London Borough of Barking and Dagenham and others v Persons Unknown</w:t>
      </w:r>
      <w:r w:rsidR="0007653A">
        <w:rPr>
          <w:rFonts w:ascii="Arial" w:hAnsi="Arial" w:cs="Arial"/>
        </w:rPr>
        <w:t xml:space="preserve"> [2022] EWCA Civ </w:t>
      </w:r>
      <w:r w:rsidR="00EE2C3B">
        <w:rPr>
          <w:rFonts w:ascii="Arial" w:hAnsi="Arial" w:cs="Arial"/>
        </w:rPr>
        <w:t>13</w:t>
      </w:r>
      <w:r w:rsidR="00EE2C3B">
        <w:rPr>
          <w:rFonts w:ascii="Arial" w:hAnsi="Arial" w:cs="Arial"/>
          <w:i/>
        </w:rPr>
        <w:t xml:space="preserve"> </w:t>
      </w:r>
      <w:r w:rsidR="00EE2C3B">
        <w:rPr>
          <w:rFonts w:ascii="Arial" w:hAnsi="Arial" w:cs="Arial"/>
        </w:rPr>
        <w:t>to</w:t>
      </w:r>
      <w:r>
        <w:rPr>
          <w:rFonts w:ascii="Arial" w:hAnsi="Arial" w:cs="Arial"/>
        </w:rPr>
        <w:t xml:space="preserve"> be wrongly </w:t>
      </w:r>
      <w:r w:rsidR="00EE2C3B">
        <w:rPr>
          <w:rFonts w:ascii="Arial" w:hAnsi="Arial" w:cs="Arial"/>
        </w:rPr>
        <w:t>decided and</w:t>
      </w:r>
      <w:r w:rsidR="009E09EE">
        <w:rPr>
          <w:rFonts w:ascii="Arial" w:hAnsi="Arial" w:cs="Arial"/>
        </w:rPr>
        <w:t xml:space="preserve"> to </w:t>
      </w:r>
      <w:r w:rsidR="00EE2C3B">
        <w:rPr>
          <w:rFonts w:ascii="Arial" w:hAnsi="Arial" w:cs="Arial"/>
        </w:rPr>
        <w:t>be against</w:t>
      </w:r>
      <w:r>
        <w:rPr>
          <w:rFonts w:ascii="Arial" w:hAnsi="Arial" w:cs="Arial"/>
        </w:rPr>
        <w:t xml:space="preserve"> the precedent set in </w:t>
      </w:r>
      <w:r w:rsidRPr="003610CF">
        <w:rPr>
          <w:rFonts w:ascii="Arial" w:hAnsi="Arial" w:cs="Arial"/>
          <w:i/>
        </w:rPr>
        <w:t>Cameron</w:t>
      </w:r>
      <w:r>
        <w:rPr>
          <w:rFonts w:ascii="Arial" w:hAnsi="Arial" w:cs="Arial"/>
        </w:rPr>
        <w:t xml:space="preserve"> and </w:t>
      </w:r>
      <w:r w:rsidRPr="00072BC8">
        <w:rPr>
          <w:rFonts w:ascii="Arial" w:hAnsi="Arial" w:cs="Arial"/>
          <w:i/>
        </w:rPr>
        <w:t>Gammell</w:t>
      </w:r>
      <w:r>
        <w:rPr>
          <w:rFonts w:ascii="Arial" w:hAnsi="Arial" w:cs="Arial"/>
          <w:i/>
        </w:rPr>
        <w:t xml:space="preserve"> </w:t>
      </w:r>
      <w:r>
        <w:rPr>
          <w:rFonts w:ascii="Arial" w:hAnsi="Arial" w:cs="Arial"/>
        </w:rPr>
        <w:t>itself</w:t>
      </w:r>
      <w:r w:rsidR="004D128E">
        <w:rPr>
          <w:rFonts w:ascii="Arial" w:hAnsi="Arial" w:cs="Arial"/>
        </w:rPr>
        <w:t xml:space="preserve">. </w:t>
      </w:r>
      <w:r w:rsidR="00072BC8">
        <w:rPr>
          <w:rStyle w:val="FootnoteReference"/>
          <w:rFonts w:ascii="Arial" w:hAnsi="Arial" w:cs="Arial"/>
        </w:rPr>
        <w:footnoteReference w:id="128"/>
      </w:r>
      <w:r w:rsidR="004D128E">
        <w:rPr>
          <w:rFonts w:ascii="Arial" w:hAnsi="Arial" w:cs="Arial"/>
        </w:rPr>
        <w:t xml:space="preserve"> </w:t>
      </w:r>
      <w:r>
        <w:rPr>
          <w:rFonts w:ascii="Arial" w:hAnsi="Arial" w:cs="Arial"/>
        </w:rPr>
        <w:t xml:space="preserve">  </w:t>
      </w:r>
    </w:p>
    <w:p w:rsidR="006A0383" w:rsidRPr="006A0383" w:rsidRDefault="006A0383" w:rsidP="006A0383">
      <w:pPr>
        <w:pStyle w:val="ListParagraph"/>
        <w:rPr>
          <w:rFonts w:ascii="Arial" w:hAnsi="Arial" w:cs="Arial"/>
        </w:rPr>
      </w:pPr>
    </w:p>
    <w:p w:rsidR="006A0383" w:rsidRDefault="003610CF" w:rsidP="006A0383">
      <w:pPr>
        <w:pStyle w:val="ListParagraph"/>
        <w:spacing w:line="360" w:lineRule="auto"/>
        <w:ind w:left="360"/>
        <w:rPr>
          <w:rFonts w:ascii="Arial" w:hAnsi="Arial" w:cs="Arial"/>
        </w:rPr>
      </w:pPr>
      <w:r>
        <w:rPr>
          <w:rFonts w:ascii="Arial" w:hAnsi="Arial" w:cs="Arial"/>
        </w:rPr>
        <w:t xml:space="preserve">However, before </w:t>
      </w:r>
      <w:r w:rsidR="006A0383">
        <w:rPr>
          <w:rFonts w:ascii="Arial" w:hAnsi="Arial" w:cs="Arial"/>
        </w:rPr>
        <w:t xml:space="preserve">considering </w:t>
      </w:r>
      <w:r w:rsidR="006A0383" w:rsidRPr="003610CF">
        <w:rPr>
          <w:rFonts w:ascii="Arial" w:hAnsi="Arial" w:cs="Arial"/>
          <w:i/>
        </w:rPr>
        <w:t>Borough</w:t>
      </w:r>
      <w:r w:rsidRPr="003610CF">
        <w:rPr>
          <w:rFonts w:ascii="Arial" w:hAnsi="Arial" w:cs="Arial"/>
          <w:i/>
        </w:rPr>
        <w:t xml:space="preserve"> of </w:t>
      </w:r>
      <w:r w:rsidR="00EE2C3B" w:rsidRPr="003610CF">
        <w:rPr>
          <w:rFonts w:ascii="Arial" w:hAnsi="Arial" w:cs="Arial"/>
          <w:i/>
        </w:rPr>
        <w:t>Barking</w:t>
      </w:r>
      <w:r w:rsidR="00EE2C3B">
        <w:rPr>
          <w:rFonts w:ascii="Arial" w:hAnsi="Arial" w:cs="Arial"/>
        </w:rPr>
        <w:t xml:space="preserve"> it</w:t>
      </w:r>
      <w:r w:rsidR="006A0383">
        <w:rPr>
          <w:rFonts w:ascii="Arial" w:hAnsi="Arial" w:cs="Arial"/>
        </w:rPr>
        <w:t xml:space="preserve"> is necessary to </w:t>
      </w:r>
      <w:r>
        <w:rPr>
          <w:rFonts w:ascii="Arial" w:hAnsi="Arial" w:cs="Arial"/>
        </w:rPr>
        <w:t xml:space="preserve">have regard to </w:t>
      </w:r>
      <w:r w:rsidR="006A0383">
        <w:rPr>
          <w:rFonts w:ascii="Arial" w:hAnsi="Arial" w:cs="Arial"/>
        </w:rPr>
        <w:t>the Court of Appeal case which preceded it.</w:t>
      </w:r>
    </w:p>
    <w:p w:rsidR="003F29DF" w:rsidRPr="003F29DF" w:rsidRDefault="003F29DF" w:rsidP="003F29DF">
      <w:pPr>
        <w:pStyle w:val="ListParagraph"/>
        <w:rPr>
          <w:rFonts w:ascii="Arial" w:hAnsi="Arial" w:cs="Arial"/>
        </w:rPr>
      </w:pPr>
    </w:p>
    <w:p w:rsidR="006A0383" w:rsidRDefault="00743574" w:rsidP="00AF22DC">
      <w:pPr>
        <w:pStyle w:val="ListParagraph"/>
        <w:numPr>
          <w:ilvl w:val="0"/>
          <w:numId w:val="3"/>
        </w:numPr>
        <w:spacing w:line="360" w:lineRule="auto"/>
        <w:rPr>
          <w:rFonts w:ascii="Arial" w:hAnsi="Arial" w:cs="Arial"/>
        </w:rPr>
      </w:pPr>
      <w:r w:rsidRPr="003F29DF">
        <w:rPr>
          <w:rFonts w:ascii="Arial" w:hAnsi="Arial" w:cs="Arial"/>
        </w:rPr>
        <w:t xml:space="preserve"> </w:t>
      </w:r>
      <w:r w:rsidR="007B7FB1" w:rsidRPr="003F29DF">
        <w:rPr>
          <w:rFonts w:ascii="Arial" w:hAnsi="Arial" w:cs="Arial"/>
        </w:rPr>
        <w:t xml:space="preserve"> </w:t>
      </w:r>
      <w:r w:rsidR="003F29DF" w:rsidRPr="00557595">
        <w:rPr>
          <w:rFonts w:ascii="Arial" w:hAnsi="Arial" w:cs="Arial"/>
          <w:i/>
        </w:rPr>
        <w:t xml:space="preserve">Cuciurean v The Secretary of State for Transport and High Speed Two (HS2) Limited </w:t>
      </w:r>
      <w:r w:rsidR="003F29DF" w:rsidRPr="003F29DF">
        <w:rPr>
          <w:rFonts w:ascii="Arial" w:hAnsi="Arial" w:cs="Arial"/>
        </w:rPr>
        <w:t xml:space="preserve">[2021] EWCA Civ </w:t>
      </w:r>
      <w:r w:rsidR="00F8327C" w:rsidRPr="003F29DF">
        <w:rPr>
          <w:rFonts w:ascii="Arial" w:hAnsi="Arial" w:cs="Arial"/>
        </w:rPr>
        <w:t>357</w:t>
      </w:r>
      <w:r w:rsidR="003610CF">
        <w:rPr>
          <w:rFonts w:ascii="Arial" w:hAnsi="Arial" w:cs="Arial"/>
        </w:rPr>
        <w:t xml:space="preserve"> dealt with </w:t>
      </w:r>
      <w:r w:rsidR="00F8327C">
        <w:rPr>
          <w:rFonts w:ascii="Arial" w:hAnsi="Arial" w:cs="Arial"/>
        </w:rPr>
        <w:t>a contempt</w:t>
      </w:r>
      <w:r w:rsidR="00285154" w:rsidRPr="00285154">
        <w:rPr>
          <w:rFonts w:ascii="Arial" w:hAnsi="Arial" w:cs="Arial"/>
        </w:rPr>
        <w:t xml:space="preserve"> of court </w:t>
      </w:r>
      <w:r w:rsidR="00285154">
        <w:rPr>
          <w:rFonts w:ascii="Arial" w:hAnsi="Arial" w:cs="Arial"/>
        </w:rPr>
        <w:t xml:space="preserve">order </w:t>
      </w:r>
      <w:r w:rsidR="006A0383">
        <w:rPr>
          <w:rFonts w:ascii="Arial" w:hAnsi="Arial" w:cs="Arial"/>
        </w:rPr>
        <w:t xml:space="preserve">which had been </w:t>
      </w:r>
      <w:r w:rsidR="00285154">
        <w:rPr>
          <w:rFonts w:ascii="Arial" w:hAnsi="Arial" w:cs="Arial"/>
        </w:rPr>
        <w:t>granted against the appellant for breaching the terms of an injunction where he h</w:t>
      </w:r>
      <w:r w:rsidR="00E5735E">
        <w:rPr>
          <w:rFonts w:ascii="Arial" w:hAnsi="Arial" w:cs="Arial"/>
        </w:rPr>
        <w:t>ad not been named but which ha</w:t>
      </w:r>
      <w:r w:rsidR="00285154">
        <w:rPr>
          <w:rFonts w:ascii="Arial" w:hAnsi="Arial" w:cs="Arial"/>
        </w:rPr>
        <w:t xml:space="preserve">d been brought against </w:t>
      </w:r>
      <w:r w:rsidR="0007653A">
        <w:rPr>
          <w:rFonts w:ascii="Arial" w:hAnsi="Arial" w:cs="Arial"/>
        </w:rPr>
        <w:t>“</w:t>
      </w:r>
      <w:r w:rsidR="00285154" w:rsidRPr="0007653A">
        <w:rPr>
          <w:rFonts w:ascii="Arial" w:hAnsi="Arial" w:cs="Arial"/>
          <w:i/>
        </w:rPr>
        <w:t>Persons Unknown</w:t>
      </w:r>
      <w:r w:rsidR="0007653A" w:rsidRPr="0007653A">
        <w:rPr>
          <w:rFonts w:ascii="Arial" w:hAnsi="Arial" w:cs="Arial"/>
          <w:i/>
        </w:rPr>
        <w:t>”</w:t>
      </w:r>
      <w:r w:rsidR="00285154" w:rsidRPr="00285154">
        <w:rPr>
          <w:rFonts w:ascii="Arial" w:hAnsi="Arial" w:cs="Arial"/>
        </w:rPr>
        <w:t>.</w:t>
      </w:r>
      <w:r w:rsidR="00557595">
        <w:rPr>
          <w:rFonts w:ascii="Arial" w:hAnsi="Arial" w:cs="Arial"/>
        </w:rPr>
        <w:t xml:space="preserve"> </w:t>
      </w:r>
    </w:p>
    <w:p w:rsidR="006A0383" w:rsidRDefault="006A0383" w:rsidP="006A0383">
      <w:pPr>
        <w:pStyle w:val="ListParagraph"/>
        <w:spacing w:line="360" w:lineRule="auto"/>
        <w:ind w:left="360"/>
        <w:rPr>
          <w:rFonts w:ascii="Arial" w:hAnsi="Arial" w:cs="Arial"/>
        </w:rPr>
      </w:pPr>
    </w:p>
    <w:p w:rsidR="00557595" w:rsidRDefault="006A0383" w:rsidP="006A0383">
      <w:pPr>
        <w:pStyle w:val="ListParagraph"/>
        <w:spacing w:line="360" w:lineRule="auto"/>
        <w:ind w:left="360"/>
        <w:rPr>
          <w:rFonts w:ascii="Arial" w:hAnsi="Arial" w:cs="Arial"/>
        </w:rPr>
      </w:pPr>
      <w:r>
        <w:rPr>
          <w:rFonts w:ascii="Arial" w:hAnsi="Arial" w:cs="Arial"/>
        </w:rPr>
        <w:t>Th</w:t>
      </w:r>
      <w:r w:rsidR="00557595">
        <w:rPr>
          <w:rFonts w:ascii="Arial" w:hAnsi="Arial" w:cs="Arial"/>
        </w:rPr>
        <w:t>e main issue for consideration was whether the requirement of receipt of the order had been satisfied</w:t>
      </w:r>
      <w:r w:rsidR="0007653A">
        <w:rPr>
          <w:rFonts w:ascii="Arial" w:hAnsi="Arial" w:cs="Arial"/>
        </w:rPr>
        <w:t xml:space="preserve"> so as </w:t>
      </w:r>
      <w:r w:rsidR="00557595">
        <w:rPr>
          <w:rFonts w:ascii="Arial" w:hAnsi="Arial" w:cs="Arial"/>
        </w:rPr>
        <w:t xml:space="preserve">to hold the appellant in contempt </w:t>
      </w:r>
      <w:r>
        <w:rPr>
          <w:rFonts w:ascii="Arial" w:hAnsi="Arial" w:cs="Arial"/>
        </w:rPr>
        <w:t xml:space="preserve">for </w:t>
      </w:r>
      <w:r w:rsidR="00557595">
        <w:rPr>
          <w:rFonts w:ascii="Arial" w:hAnsi="Arial" w:cs="Arial"/>
        </w:rPr>
        <w:t>breaching the injunction.</w:t>
      </w:r>
      <w:r w:rsidR="00557595">
        <w:rPr>
          <w:rStyle w:val="FootnoteReference"/>
          <w:rFonts w:ascii="Arial" w:hAnsi="Arial" w:cs="Arial"/>
        </w:rPr>
        <w:footnoteReference w:id="129"/>
      </w:r>
      <w:r w:rsidR="00285154" w:rsidRPr="00285154">
        <w:rPr>
          <w:rFonts w:ascii="Arial" w:hAnsi="Arial" w:cs="Arial"/>
        </w:rPr>
        <w:t xml:space="preserve"> </w:t>
      </w:r>
    </w:p>
    <w:p w:rsidR="00025D81" w:rsidRDefault="00025D81" w:rsidP="006A0383">
      <w:pPr>
        <w:pStyle w:val="ListParagraph"/>
        <w:spacing w:line="360" w:lineRule="auto"/>
        <w:ind w:left="360"/>
        <w:rPr>
          <w:rFonts w:ascii="Arial" w:hAnsi="Arial" w:cs="Arial"/>
        </w:rPr>
      </w:pPr>
    </w:p>
    <w:p w:rsidR="003610CF" w:rsidRDefault="00557595" w:rsidP="00AF22DC">
      <w:pPr>
        <w:pStyle w:val="ListParagraph"/>
        <w:numPr>
          <w:ilvl w:val="0"/>
          <w:numId w:val="3"/>
        </w:numPr>
        <w:spacing w:line="360" w:lineRule="auto"/>
        <w:rPr>
          <w:rFonts w:ascii="Arial" w:hAnsi="Arial" w:cs="Arial"/>
          <w:lang w:val="en-US"/>
        </w:rPr>
      </w:pPr>
      <w:r>
        <w:rPr>
          <w:rFonts w:ascii="Arial" w:hAnsi="Arial" w:cs="Arial"/>
        </w:rPr>
        <w:t xml:space="preserve">The court </w:t>
      </w:r>
      <w:r w:rsidRPr="00557595">
        <w:rPr>
          <w:rFonts w:ascii="Arial" w:hAnsi="Arial" w:cs="Arial"/>
          <w:i/>
        </w:rPr>
        <w:t>a quo</w:t>
      </w:r>
      <w:r>
        <w:rPr>
          <w:rFonts w:ascii="Arial" w:hAnsi="Arial" w:cs="Arial"/>
        </w:rPr>
        <w:t xml:space="preserve"> had been satisfied that </w:t>
      </w:r>
      <w:r w:rsidR="008F0108">
        <w:rPr>
          <w:rFonts w:ascii="Arial" w:hAnsi="Arial" w:cs="Arial"/>
        </w:rPr>
        <w:t xml:space="preserve">the </w:t>
      </w:r>
      <w:r w:rsidR="00F8327C">
        <w:rPr>
          <w:rFonts w:ascii="Arial" w:hAnsi="Arial" w:cs="Arial"/>
        </w:rPr>
        <w:t>requirements</w:t>
      </w:r>
      <w:r w:rsidR="008F0108">
        <w:rPr>
          <w:rFonts w:ascii="Arial" w:hAnsi="Arial" w:cs="Arial"/>
        </w:rPr>
        <w:t xml:space="preserve"> of </w:t>
      </w:r>
      <w:r w:rsidRPr="00557595">
        <w:rPr>
          <w:rFonts w:ascii="Arial" w:hAnsi="Arial" w:cs="Arial"/>
          <w:i/>
          <w:iCs/>
          <w:lang w:val="en-US"/>
        </w:rPr>
        <w:t>Canada Goose</w:t>
      </w:r>
      <w:r w:rsidR="008F0108">
        <w:rPr>
          <w:rFonts w:ascii="Arial" w:hAnsi="Arial" w:cs="Arial"/>
          <w:i/>
          <w:iCs/>
          <w:lang w:val="en-US"/>
        </w:rPr>
        <w:t xml:space="preserve"> </w:t>
      </w:r>
      <w:r w:rsidR="006A0383">
        <w:rPr>
          <w:rFonts w:ascii="Arial" w:hAnsi="Arial" w:cs="Arial"/>
          <w:iCs/>
          <w:lang w:val="en-US"/>
        </w:rPr>
        <w:t xml:space="preserve">were </w:t>
      </w:r>
      <w:r w:rsidR="008F0108" w:rsidRPr="008F0108">
        <w:rPr>
          <w:rFonts w:ascii="Arial" w:hAnsi="Arial" w:cs="Arial"/>
          <w:iCs/>
          <w:lang w:val="en-US"/>
        </w:rPr>
        <w:t>complied with</w:t>
      </w:r>
      <w:r w:rsidR="008F0108">
        <w:rPr>
          <w:rFonts w:ascii="Arial" w:hAnsi="Arial" w:cs="Arial"/>
          <w:iCs/>
          <w:lang w:val="en-US"/>
        </w:rPr>
        <w:t xml:space="preserve">; namely that </w:t>
      </w:r>
      <w:r w:rsidRPr="00557595">
        <w:rPr>
          <w:rFonts w:ascii="Arial" w:hAnsi="Arial" w:cs="Arial"/>
          <w:lang w:val="en-US"/>
        </w:rPr>
        <w:t xml:space="preserve">the defendants’ identities were </w:t>
      </w:r>
      <w:r w:rsidR="008F0108">
        <w:rPr>
          <w:rFonts w:ascii="Arial" w:hAnsi="Arial" w:cs="Arial"/>
          <w:lang w:val="en-US"/>
        </w:rPr>
        <w:t>un</w:t>
      </w:r>
      <w:r w:rsidRPr="00557595">
        <w:rPr>
          <w:rFonts w:ascii="Arial" w:hAnsi="Arial" w:cs="Arial"/>
          <w:lang w:val="en-US"/>
        </w:rPr>
        <w:t xml:space="preserve">known, that they were not identifiable, that there was enough evidence to demonstrate a real risk of further trespasses by persons opposed to the </w:t>
      </w:r>
      <w:r w:rsidR="008F0108">
        <w:rPr>
          <w:rFonts w:ascii="Arial" w:hAnsi="Arial" w:cs="Arial"/>
          <w:lang w:val="en-US"/>
        </w:rPr>
        <w:t xml:space="preserve">railway </w:t>
      </w:r>
      <w:r w:rsidR="000C0621">
        <w:rPr>
          <w:rFonts w:ascii="Arial" w:hAnsi="Arial" w:cs="Arial"/>
          <w:lang w:val="en-US"/>
        </w:rPr>
        <w:t>development project (“</w:t>
      </w:r>
      <w:r w:rsidR="000C0621" w:rsidRPr="000C0621">
        <w:rPr>
          <w:rFonts w:ascii="Arial" w:hAnsi="Arial" w:cs="Arial"/>
          <w:i/>
          <w:lang w:val="en-US"/>
        </w:rPr>
        <w:t>the HS2</w:t>
      </w:r>
      <w:r w:rsidR="000C0621">
        <w:rPr>
          <w:rFonts w:ascii="Arial" w:hAnsi="Arial" w:cs="Arial"/>
          <w:i/>
          <w:lang w:val="en-US"/>
        </w:rPr>
        <w:t>”</w:t>
      </w:r>
      <w:r w:rsidR="00F8327C">
        <w:rPr>
          <w:rFonts w:ascii="Arial" w:hAnsi="Arial" w:cs="Arial"/>
          <w:lang w:val="en-US"/>
        </w:rPr>
        <w:t>),</w:t>
      </w:r>
      <w:r w:rsidRPr="00557595">
        <w:rPr>
          <w:rFonts w:ascii="Arial" w:hAnsi="Arial" w:cs="Arial"/>
          <w:lang w:val="en-US"/>
        </w:rPr>
        <w:t xml:space="preserve"> and that the claimants were likely to obtain final relief. </w:t>
      </w:r>
    </w:p>
    <w:p w:rsidR="003610CF" w:rsidRDefault="003610CF" w:rsidP="003610CF">
      <w:pPr>
        <w:pStyle w:val="ListParagraph"/>
        <w:spacing w:line="360" w:lineRule="auto"/>
        <w:ind w:left="360"/>
        <w:rPr>
          <w:rFonts w:ascii="Arial" w:hAnsi="Arial" w:cs="Arial"/>
          <w:lang w:val="en-US"/>
        </w:rPr>
      </w:pPr>
    </w:p>
    <w:p w:rsidR="00557595" w:rsidRPr="00557595" w:rsidRDefault="006A0383" w:rsidP="003610CF">
      <w:pPr>
        <w:pStyle w:val="ListParagraph"/>
        <w:spacing w:line="360" w:lineRule="auto"/>
        <w:ind w:left="360"/>
        <w:rPr>
          <w:rFonts w:ascii="Arial" w:hAnsi="Arial" w:cs="Arial"/>
          <w:lang w:val="en-US"/>
        </w:rPr>
      </w:pPr>
      <w:r>
        <w:rPr>
          <w:rFonts w:ascii="Arial" w:hAnsi="Arial" w:cs="Arial"/>
          <w:lang w:val="en-US"/>
        </w:rPr>
        <w:t xml:space="preserve">The injunction had defined the relevant defendant (the second defendant) </w:t>
      </w:r>
      <w:r w:rsidR="008F0108">
        <w:rPr>
          <w:rFonts w:ascii="Arial" w:hAnsi="Arial" w:cs="Arial"/>
          <w:lang w:val="en-US"/>
        </w:rPr>
        <w:t>as</w:t>
      </w:r>
      <w:r w:rsidR="00557595" w:rsidRPr="00557595">
        <w:rPr>
          <w:rFonts w:ascii="Arial" w:hAnsi="Arial" w:cs="Arial"/>
          <w:lang w:val="en-US"/>
        </w:rPr>
        <w:t>:</w:t>
      </w:r>
    </w:p>
    <w:p w:rsidR="008F0108" w:rsidRDefault="008F0108" w:rsidP="008F0108">
      <w:pPr>
        <w:pStyle w:val="ListParagraph"/>
        <w:spacing w:line="360" w:lineRule="auto"/>
        <w:ind w:left="360"/>
        <w:rPr>
          <w:rFonts w:ascii="Arial" w:hAnsi="Arial" w:cs="Arial"/>
          <w:lang w:val="en-US"/>
        </w:rPr>
      </w:pPr>
    </w:p>
    <w:p w:rsidR="00557595" w:rsidRDefault="00557595" w:rsidP="008F0108">
      <w:pPr>
        <w:pStyle w:val="ListParagraph"/>
        <w:spacing w:line="360" w:lineRule="auto"/>
        <w:rPr>
          <w:rFonts w:ascii="Arial" w:hAnsi="Arial" w:cs="Arial"/>
          <w:lang w:val="en-US"/>
        </w:rPr>
      </w:pPr>
      <w:r w:rsidRPr="00557595">
        <w:rPr>
          <w:rFonts w:ascii="Arial" w:hAnsi="Arial" w:cs="Arial"/>
          <w:lang w:val="en-US"/>
        </w:rPr>
        <w:t>“</w:t>
      </w:r>
      <w:r w:rsidRPr="008F0108">
        <w:rPr>
          <w:rFonts w:ascii="Arial" w:hAnsi="Arial" w:cs="Arial"/>
          <w:i/>
          <w:lang w:val="en-US"/>
        </w:rPr>
        <w:t>Persons Unknown entering or remaining without the consent of the Claimants on Land at Crackley Wood, Birches Wood and Broadwells Wood, Kenilworth, Warwickshire shown coloured green, blue and pink and edged red on Plan B annexed to the Particulars of Claim</w:t>
      </w:r>
      <w:r w:rsidRPr="00557595">
        <w:rPr>
          <w:rFonts w:ascii="Arial" w:hAnsi="Arial" w:cs="Arial"/>
          <w:lang w:val="en-US"/>
        </w:rPr>
        <w:t>”</w:t>
      </w:r>
    </w:p>
    <w:p w:rsidR="008F0108" w:rsidRDefault="008F0108" w:rsidP="008F0108">
      <w:pPr>
        <w:pStyle w:val="ListParagraph"/>
        <w:spacing w:line="360" w:lineRule="auto"/>
        <w:rPr>
          <w:rFonts w:ascii="Arial" w:hAnsi="Arial" w:cs="Arial"/>
          <w:lang w:val="en-US"/>
        </w:rPr>
      </w:pPr>
    </w:p>
    <w:p w:rsidR="008F0108" w:rsidRDefault="008F0108" w:rsidP="008F0108">
      <w:pPr>
        <w:pStyle w:val="ListParagraph"/>
        <w:spacing w:line="360" w:lineRule="auto"/>
        <w:ind w:left="360"/>
        <w:rPr>
          <w:rFonts w:ascii="Arial" w:hAnsi="Arial" w:cs="Arial"/>
          <w:lang w:val="en-US"/>
        </w:rPr>
      </w:pPr>
      <w:r w:rsidRPr="008F0108">
        <w:rPr>
          <w:rFonts w:ascii="Arial" w:hAnsi="Arial" w:cs="Arial"/>
          <w:lang w:val="en-US"/>
        </w:rPr>
        <w:t>T</w:t>
      </w:r>
      <w:r>
        <w:rPr>
          <w:rFonts w:ascii="Arial" w:hAnsi="Arial" w:cs="Arial"/>
          <w:lang w:val="en-US"/>
        </w:rPr>
        <w:t xml:space="preserve">he court </w:t>
      </w:r>
      <w:r w:rsidR="006A0383" w:rsidRPr="006A0383">
        <w:rPr>
          <w:rFonts w:ascii="Arial" w:hAnsi="Arial" w:cs="Arial"/>
          <w:i/>
          <w:lang w:val="en-US"/>
        </w:rPr>
        <w:t>a quo</w:t>
      </w:r>
      <w:r w:rsidR="006A0383">
        <w:rPr>
          <w:rFonts w:ascii="Arial" w:hAnsi="Arial" w:cs="Arial"/>
          <w:lang w:val="en-US"/>
        </w:rPr>
        <w:t xml:space="preserve"> had then </w:t>
      </w:r>
      <w:r w:rsidRPr="008F0108">
        <w:rPr>
          <w:rFonts w:ascii="Arial" w:hAnsi="Arial" w:cs="Arial"/>
          <w:lang w:val="en-US"/>
        </w:rPr>
        <w:t xml:space="preserve">directed </w:t>
      </w:r>
      <w:r>
        <w:rPr>
          <w:rFonts w:ascii="Arial" w:hAnsi="Arial" w:cs="Arial"/>
          <w:lang w:val="en-US"/>
        </w:rPr>
        <w:t xml:space="preserve">substituted </w:t>
      </w:r>
      <w:r w:rsidRPr="008F0108">
        <w:rPr>
          <w:rFonts w:ascii="Arial" w:hAnsi="Arial" w:cs="Arial"/>
          <w:lang w:val="en-US"/>
        </w:rPr>
        <w:t xml:space="preserve">service </w:t>
      </w:r>
      <w:r>
        <w:rPr>
          <w:rFonts w:ascii="Arial" w:hAnsi="Arial" w:cs="Arial"/>
          <w:lang w:val="en-US"/>
        </w:rPr>
        <w:t xml:space="preserve">in terms of the </w:t>
      </w:r>
      <w:r w:rsidR="00F8327C">
        <w:rPr>
          <w:rFonts w:ascii="Arial" w:hAnsi="Arial" w:cs="Arial"/>
          <w:lang w:val="en-US"/>
        </w:rPr>
        <w:t>Rules</w:t>
      </w:r>
      <w:r>
        <w:rPr>
          <w:rFonts w:ascii="Arial" w:hAnsi="Arial" w:cs="Arial"/>
          <w:lang w:val="en-US"/>
        </w:rPr>
        <w:t xml:space="preserve"> by requiring inter alia:</w:t>
      </w:r>
    </w:p>
    <w:p w:rsidR="008F0108" w:rsidRPr="006D71F4" w:rsidRDefault="008F0108" w:rsidP="008F0108">
      <w:pPr>
        <w:pStyle w:val="ListParagraph"/>
        <w:spacing w:line="360" w:lineRule="auto"/>
        <w:ind w:left="1080"/>
        <w:rPr>
          <w:rFonts w:ascii="Arial" w:hAnsi="Arial" w:cs="Arial"/>
          <w:i/>
          <w:lang w:val="en-US"/>
        </w:rPr>
      </w:pPr>
    </w:p>
    <w:p w:rsidR="008F0108" w:rsidRPr="006D71F4" w:rsidRDefault="008F0108" w:rsidP="008F0108">
      <w:pPr>
        <w:pStyle w:val="ListParagraph"/>
        <w:spacing w:line="360" w:lineRule="auto"/>
        <w:ind w:left="1080"/>
        <w:rPr>
          <w:rFonts w:ascii="Arial" w:hAnsi="Arial" w:cs="Arial"/>
          <w:i/>
          <w:lang w:val="en-US"/>
        </w:rPr>
      </w:pPr>
      <w:r w:rsidRPr="006D71F4">
        <w:rPr>
          <w:rFonts w:ascii="Arial" w:hAnsi="Arial" w:cs="Arial"/>
          <w:i/>
          <w:lang w:val="en-US"/>
        </w:rPr>
        <w:lastRenderedPageBreak/>
        <w:t>8.1</w:t>
      </w:r>
    </w:p>
    <w:p w:rsidR="008F0108" w:rsidRPr="006D71F4" w:rsidRDefault="008F0108" w:rsidP="008F0108">
      <w:pPr>
        <w:pStyle w:val="ListParagraph"/>
        <w:spacing w:line="360" w:lineRule="auto"/>
        <w:ind w:left="1080"/>
        <w:rPr>
          <w:rFonts w:ascii="Arial" w:hAnsi="Arial" w:cs="Arial"/>
          <w:i/>
          <w:lang w:val="en-US"/>
        </w:rPr>
      </w:pPr>
      <w:r w:rsidRPr="006D71F4">
        <w:rPr>
          <w:rFonts w:ascii="Arial" w:hAnsi="Arial" w:cs="Arial"/>
          <w:i/>
          <w:lang w:val="en-US"/>
        </w:rPr>
        <w:t>The Claimants shall affix sealed copies of this Order in transparent envelopes to posts, gates, fences and hedges at conspicuous locations around…the Crackley Land.</w:t>
      </w:r>
    </w:p>
    <w:p w:rsidR="008F0108" w:rsidRPr="006D71F4" w:rsidRDefault="008F0108" w:rsidP="008F0108">
      <w:pPr>
        <w:pStyle w:val="ListParagraph"/>
        <w:spacing w:line="360" w:lineRule="auto"/>
        <w:ind w:left="1080"/>
        <w:rPr>
          <w:rFonts w:ascii="Arial" w:hAnsi="Arial" w:cs="Arial"/>
          <w:i/>
          <w:lang w:val="en-US"/>
        </w:rPr>
      </w:pPr>
      <w:r w:rsidRPr="006D71F4">
        <w:rPr>
          <w:rFonts w:ascii="Arial" w:hAnsi="Arial" w:cs="Arial"/>
          <w:i/>
          <w:lang w:val="en-US"/>
        </w:rPr>
        <w:t>8.2</w:t>
      </w:r>
    </w:p>
    <w:p w:rsidR="008F0108" w:rsidRPr="006D71F4" w:rsidRDefault="008F0108" w:rsidP="008F0108">
      <w:pPr>
        <w:pStyle w:val="ListParagraph"/>
        <w:spacing w:line="360" w:lineRule="auto"/>
        <w:ind w:left="1080"/>
        <w:rPr>
          <w:rFonts w:ascii="Arial" w:hAnsi="Arial" w:cs="Arial"/>
          <w:i/>
          <w:lang w:val="en-US"/>
        </w:rPr>
      </w:pPr>
      <w:r w:rsidRPr="006D71F4">
        <w:rPr>
          <w:rFonts w:ascii="Arial" w:hAnsi="Arial" w:cs="Arial"/>
          <w:i/>
          <w:lang w:val="en-US"/>
        </w:rPr>
        <w:t>The Claimants shall position signs, no smaller than A3 in size, advertising the existence of this Order and providing the Claimants’ solicitors contact details in case of requests for a copy of the Order or further information in relation to it.</w:t>
      </w:r>
    </w:p>
    <w:p w:rsidR="008F0108" w:rsidRPr="006D71F4" w:rsidRDefault="008F0108" w:rsidP="008F0108">
      <w:pPr>
        <w:pStyle w:val="ListParagraph"/>
        <w:spacing w:line="360" w:lineRule="auto"/>
        <w:ind w:left="1080"/>
        <w:rPr>
          <w:rFonts w:ascii="Arial" w:hAnsi="Arial" w:cs="Arial"/>
          <w:i/>
          <w:lang w:val="en-US"/>
        </w:rPr>
      </w:pPr>
      <w:r w:rsidRPr="006D71F4">
        <w:rPr>
          <w:rFonts w:ascii="Arial" w:hAnsi="Arial" w:cs="Arial"/>
          <w:i/>
          <w:lang w:val="en-US"/>
        </w:rPr>
        <w:t>…</w:t>
      </w:r>
    </w:p>
    <w:p w:rsidR="008F0108" w:rsidRPr="006D71F4" w:rsidRDefault="008F0108" w:rsidP="008F0108">
      <w:pPr>
        <w:pStyle w:val="ListParagraph"/>
        <w:spacing w:line="360" w:lineRule="auto"/>
        <w:ind w:left="1080"/>
        <w:rPr>
          <w:rFonts w:ascii="Arial" w:hAnsi="Arial" w:cs="Arial"/>
          <w:i/>
          <w:lang w:val="en-US"/>
        </w:rPr>
      </w:pPr>
      <w:r w:rsidRPr="006D71F4">
        <w:rPr>
          <w:rFonts w:ascii="Arial" w:hAnsi="Arial" w:cs="Arial"/>
          <w:i/>
          <w:lang w:val="en-US"/>
        </w:rPr>
        <w:t>9.</w:t>
      </w:r>
    </w:p>
    <w:p w:rsidR="008F0108" w:rsidRPr="006D71F4" w:rsidRDefault="008F0108" w:rsidP="008F0108">
      <w:pPr>
        <w:pStyle w:val="ListParagraph"/>
        <w:spacing w:line="360" w:lineRule="auto"/>
        <w:ind w:left="1080"/>
        <w:rPr>
          <w:rFonts w:ascii="Arial" w:hAnsi="Arial" w:cs="Arial"/>
          <w:i/>
          <w:lang w:val="en-US"/>
        </w:rPr>
      </w:pPr>
      <w:r w:rsidRPr="006D71F4">
        <w:rPr>
          <w:rFonts w:ascii="Arial" w:hAnsi="Arial" w:cs="Arial"/>
          <w:i/>
          <w:lang w:val="en-US"/>
        </w:rPr>
        <w:t>The taking of the steps set out in paragraph 8 shall be good and sufficient service of this Order on the…Second Defendants and each of them. This Order shall be deemed served on those Defendants the date that the last of the above steps is taken, and shall be verified by a certificate of service.</w:t>
      </w:r>
    </w:p>
    <w:p w:rsidR="006D71F4" w:rsidRPr="006D71F4" w:rsidRDefault="006D71F4" w:rsidP="008F0108">
      <w:pPr>
        <w:pStyle w:val="ListParagraph"/>
        <w:spacing w:line="360" w:lineRule="auto"/>
        <w:ind w:left="1080"/>
        <w:rPr>
          <w:rFonts w:ascii="Arial" w:hAnsi="Arial" w:cs="Arial"/>
          <w:i/>
          <w:lang w:val="en-US"/>
        </w:rPr>
      </w:pPr>
    </w:p>
    <w:p w:rsidR="008F0108" w:rsidRPr="006D71F4" w:rsidRDefault="008F0108" w:rsidP="008F0108">
      <w:pPr>
        <w:pStyle w:val="ListParagraph"/>
        <w:spacing w:line="360" w:lineRule="auto"/>
        <w:ind w:left="1080"/>
        <w:rPr>
          <w:rFonts w:ascii="Arial" w:hAnsi="Arial" w:cs="Arial"/>
          <w:i/>
          <w:lang w:val="en-US"/>
        </w:rPr>
      </w:pPr>
      <w:r w:rsidRPr="006D71F4">
        <w:rPr>
          <w:rFonts w:ascii="Arial" w:hAnsi="Arial" w:cs="Arial"/>
          <w:i/>
          <w:lang w:val="en-US"/>
        </w:rPr>
        <w:t>10.</w:t>
      </w:r>
    </w:p>
    <w:p w:rsidR="008F0108" w:rsidRPr="006D71F4" w:rsidRDefault="008F0108" w:rsidP="008F0108">
      <w:pPr>
        <w:pStyle w:val="ListParagraph"/>
        <w:spacing w:line="360" w:lineRule="auto"/>
        <w:ind w:left="1080"/>
        <w:rPr>
          <w:rFonts w:ascii="Arial" w:hAnsi="Arial" w:cs="Arial"/>
          <w:i/>
          <w:lang w:val="en-US"/>
        </w:rPr>
      </w:pPr>
      <w:r w:rsidRPr="006D71F4">
        <w:rPr>
          <w:rFonts w:ascii="Arial" w:hAnsi="Arial" w:cs="Arial"/>
          <w:i/>
          <w:lang w:val="en-US"/>
        </w:rPr>
        <w:t>The Claimants shall from time-to-time (and no less frequently than every 28 days) confirm that copies of the orders and signs referred to at paragraphs [8.1] and [8.2] remain in place and legible, and, if not, shall replace them as soon as practicable.”</w:t>
      </w:r>
    </w:p>
    <w:p w:rsidR="008F0108" w:rsidRDefault="008F0108" w:rsidP="008F0108">
      <w:pPr>
        <w:pStyle w:val="ListParagraph"/>
        <w:spacing w:line="360" w:lineRule="auto"/>
        <w:ind w:left="1080"/>
        <w:rPr>
          <w:rFonts w:ascii="Arial" w:hAnsi="Arial" w:cs="Arial"/>
          <w:i/>
          <w:lang w:val="en-US"/>
        </w:rPr>
      </w:pPr>
      <w:r w:rsidRPr="006D71F4">
        <w:rPr>
          <w:rFonts w:ascii="Arial" w:hAnsi="Arial" w:cs="Arial"/>
          <w:i/>
          <w:lang w:val="en-US"/>
        </w:rPr>
        <w:t xml:space="preserve">(Paragraphs 8.3 and 8.4 provided for notice to be given by email to a specified address and by advertisement on an HS2 website </w:t>
      </w:r>
      <w:r w:rsidR="006D71F4" w:rsidRPr="006D71F4">
        <w:rPr>
          <w:rFonts w:ascii="Arial" w:hAnsi="Arial" w:cs="Arial"/>
          <w:i/>
          <w:lang w:val="en-US"/>
        </w:rPr>
        <w:t xml:space="preserve">and a government website. </w:t>
      </w:r>
    </w:p>
    <w:p w:rsidR="006D71F4" w:rsidRPr="006D71F4" w:rsidRDefault="006D71F4" w:rsidP="008F0108">
      <w:pPr>
        <w:pStyle w:val="ListParagraph"/>
        <w:spacing w:line="360" w:lineRule="auto"/>
        <w:ind w:left="1080"/>
        <w:rPr>
          <w:rFonts w:ascii="Arial" w:hAnsi="Arial" w:cs="Arial"/>
          <w:i/>
          <w:lang w:val="en-US"/>
        </w:rPr>
      </w:pPr>
      <w:r>
        <w:rPr>
          <w:rFonts w:ascii="Arial" w:hAnsi="Arial" w:cs="Arial"/>
          <w:i/>
          <w:lang w:val="en-US"/>
        </w:rPr>
        <w:t>…</w:t>
      </w:r>
    </w:p>
    <w:p w:rsidR="006D71F4" w:rsidRPr="006D71F4" w:rsidRDefault="006D71F4" w:rsidP="008F0108">
      <w:pPr>
        <w:pStyle w:val="ListParagraph"/>
        <w:spacing w:line="360" w:lineRule="auto"/>
        <w:ind w:left="1080"/>
        <w:rPr>
          <w:rFonts w:ascii="Arial" w:hAnsi="Arial" w:cs="Arial"/>
          <w:i/>
          <w:lang w:val="en-US"/>
        </w:rPr>
      </w:pPr>
      <w:r w:rsidRPr="006D71F4">
        <w:rPr>
          <w:rFonts w:ascii="Arial" w:hAnsi="Arial" w:cs="Arial"/>
          <w:i/>
          <w:lang w:val="en-US"/>
        </w:rPr>
        <w:t>15.</w:t>
      </w:r>
    </w:p>
    <w:p w:rsidR="008F0108" w:rsidRPr="006D71F4" w:rsidRDefault="006D71F4" w:rsidP="008F0108">
      <w:pPr>
        <w:pStyle w:val="ListParagraph"/>
        <w:spacing w:line="360" w:lineRule="auto"/>
        <w:ind w:left="1080"/>
        <w:rPr>
          <w:rFonts w:ascii="Arial" w:hAnsi="Arial" w:cs="Arial"/>
          <w:i/>
          <w:lang w:val="en-US"/>
        </w:rPr>
      </w:pPr>
      <w:r w:rsidRPr="006D71F4">
        <w:rPr>
          <w:rFonts w:ascii="Arial" w:hAnsi="Arial" w:cs="Arial"/>
          <w:i/>
          <w:lang w:val="en-US"/>
        </w:rPr>
        <w:t>T</w:t>
      </w:r>
      <w:r w:rsidR="008F0108" w:rsidRPr="006D71F4">
        <w:rPr>
          <w:rFonts w:ascii="Arial" w:hAnsi="Arial" w:cs="Arial"/>
          <w:i/>
          <w:lang w:val="en-US"/>
        </w:rPr>
        <w:t xml:space="preserve">he defendants or any person affected by </w:t>
      </w:r>
      <w:r w:rsidRPr="006D71F4">
        <w:rPr>
          <w:rFonts w:ascii="Arial" w:hAnsi="Arial" w:cs="Arial"/>
          <w:i/>
          <w:lang w:val="en-US"/>
        </w:rPr>
        <w:t xml:space="preserve">the injunction could </w:t>
      </w:r>
      <w:r w:rsidR="008F0108" w:rsidRPr="006D71F4">
        <w:rPr>
          <w:rFonts w:ascii="Arial" w:hAnsi="Arial" w:cs="Arial"/>
          <w:i/>
          <w:lang w:val="en-US"/>
        </w:rPr>
        <w:t>apply to the Court at any time to vary or discharge it.</w:t>
      </w:r>
    </w:p>
    <w:p w:rsidR="008F0108" w:rsidRPr="00557595" w:rsidRDefault="008F0108" w:rsidP="006D71F4">
      <w:pPr>
        <w:pStyle w:val="ListParagraph"/>
        <w:spacing w:line="360" w:lineRule="auto"/>
        <w:ind w:left="360"/>
        <w:rPr>
          <w:rFonts w:ascii="Arial" w:hAnsi="Arial" w:cs="Arial"/>
          <w:lang w:val="en-US"/>
        </w:rPr>
      </w:pPr>
      <w:r>
        <w:rPr>
          <w:rFonts w:ascii="Arial" w:hAnsi="Arial" w:cs="Arial"/>
          <w:lang w:val="en-US"/>
        </w:rPr>
        <w:tab/>
      </w:r>
    </w:p>
    <w:p w:rsidR="00557595" w:rsidRDefault="000C0621" w:rsidP="00AF22DC">
      <w:pPr>
        <w:pStyle w:val="ListParagraph"/>
        <w:numPr>
          <w:ilvl w:val="0"/>
          <w:numId w:val="3"/>
        </w:numPr>
        <w:spacing w:line="360" w:lineRule="auto"/>
        <w:rPr>
          <w:rFonts w:ascii="Arial" w:hAnsi="Arial" w:cs="Arial"/>
        </w:rPr>
      </w:pPr>
      <w:r>
        <w:rPr>
          <w:rFonts w:ascii="Arial" w:hAnsi="Arial" w:cs="Arial"/>
        </w:rPr>
        <w:t>T</w:t>
      </w:r>
      <w:r w:rsidR="00F87662">
        <w:rPr>
          <w:rFonts w:ascii="Arial" w:hAnsi="Arial" w:cs="Arial"/>
        </w:rPr>
        <w:t xml:space="preserve">he </w:t>
      </w:r>
      <w:r w:rsidR="00A21710">
        <w:rPr>
          <w:rFonts w:ascii="Arial" w:hAnsi="Arial" w:cs="Arial"/>
        </w:rPr>
        <w:t>High Court</w:t>
      </w:r>
      <w:r>
        <w:rPr>
          <w:rFonts w:ascii="Arial" w:hAnsi="Arial" w:cs="Arial"/>
        </w:rPr>
        <w:t xml:space="preserve"> was </w:t>
      </w:r>
      <w:r w:rsidR="00F8327C">
        <w:rPr>
          <w:rFonts w:ascii="Arial" w:hAnsi="Arial" w:cs="Arial"/>
        </w:rPr>
        <w:t>satisfied</w:t>
      </w:r>
      <w:r>
        <w:rPr>
          <w:rFonts w:ascii="Arial" w:hAnsi="Arial" w:cs="Arial"/>
        </w:rPr>
        <w:t xml:space="preserve"> that there had been service of the injunction in terms of the order</w:t>
      </w:r>
      <w:r w:rsidR="00F87662">
        <w:rPr>
          <w:rFonts w:ascii="Arial" w:hAnsi="Arial" w:cs="Arial"/>
        </w:rPr>
        <w:t xml:space="preserve">. It was also </w:t>
      </w:r>
      <w:r w:rsidR="003610CF">
        <w:rPr>
          <w:rFonts w:ascii="Arial" w:hAnsi="Arial" w:cs="Arial"/>
        </w:rPr>
        <w:t>satisfied that the appellant had been</w:t>
      </w:r>
      <w:r w:rsidR="00F87662">
        <w:rPr>
          <w:rFonts w:ascii="Arial" w:hAnsi="Arial" w:cs="Arial"/>
        </w:rPr>
        <w:t xml:space="preserve"> aware of the order and its most essential term- not to enter on the land. </w:t>
      </w:r>
      <w:r w:rsidR="00F87662">
        <w:rPr>
          <w:rStyle w:val="FootnoteReference"/>
          <w:rFonts w:ascii="Arial" w:hAnsi="Arial" w:cs="Arial"/>
        </w:rPr>
        <w:footnoteReference w:id="130"/>
      </w:r>
    </w:p>
    <w:p w:rsidR="00F87662" w:rsidRDefault="00F87662" w:rsidP="00F87662">
      <w:pPr>
        <w:pStyle w:val="ListParagraph"/>
        <w:spacing w:line="360" w:lineRule="auto"/>
        <w:ind w:left="360"/>
        <w:rPr>
          <w:rFonts w:ascii="Arial" w:hAnsi="Arial" w:cs="Arial"/>
        </w:rPr>
      </w:pPr>
      <w:r>
        <w:rPr>
          <w:rFonts w:ascii="Arial" w:hAnsi="Arial" w:cs="Arial"/>
        </w:rPr>
        <w:lastRenderedPageBreak/>
        <w:t>Of significance in the court</w:t>
      </w:r>
      <w:r w:rsidR="00A21710">
        <w:rPr>
          <w:rFonts w:ascii="Arial" w:hAnsi="Arial" w:cs="Arial"/>
        </w:rPr>
        <w:t xml:space="preserve"> </w:t>
      </w:r>
      <w:r w:rsidR="00A21710" w:rsidRPr="00A21710">
        <w:rPr>
          <w:rFonts w:ascii="Arial" w:hAnsi="Arial" w:cs="Arial"/>
          <w:i/>
        </w:rPr>
        <w:t>a quo</w:t>
      </w:r>
      <w:r w:rsidRPr="00A21710">
        <w:rPr>
          <w:rFonts w:ascii="Arial" w:hAnsi="Arial" w:cs="Arial"/>
          <w:i/>
        </w:rPr>
        <w:t>’s</w:t>
      </w:r>
      <w:r>
        <w:rPr>
          <w:rFonts w:ascii="Arial" w:hAnsi="Arial" w:cs="Arial"/>
        </w:rPr>
        <w:t xml:space="preserve"> reasoning was its finding that it “ </w:t>
      </w:r>
      <w:r w:rsidRPr="00B46BAC">
        <w:rPr>
          <w:rFonts w:ascii="Arial" w:hAnsi="Arial" w:cs="Arial"/>
          <w:i/>
        </w:rPr>
        <w:t>was not necessary for the claimants to establish that there had been “continuing compliance” with the requirements of paragraph 10 of the March Order, nor was it relevan</w:t>
      </w:r>
      <w:r w:rsidR="00A21710">
        <w:rPr>
          <w:rFonts w:ascii="Arial" w:hAnsi="Arial" w:cs="Arial"/>
          <w:i/>
        </w:rPr>
        <w:t>t that compliance with those req</w:t>
      </w:r>
      <w:r w:rsidRPr="00B46BAC">
        <w:rPr>
          <w:rFonts w:ascii="Arial" w:hAnsi="Arial" w:cs="Arial"/>
          <w:i/>
        </w:rPr>
        <w:t>uirements had not been established to the criminal standard</w:t>
      </w:r>
      <w:r>
        <w:rPr>
          <w:rFonts w:ascii="Arial" w:hAnsi="Arial" w:cs="Arial"/>
        </w:rPr>
        <w:t>”</w:t>
      </w:r>
      <w:r w:rsidRPr="00F87662">
        <w:rPr>
          <w:rFonts w:ascii="Arial" w:hAnsi="Arial" w:cs="Arial"/>
        </w:rPr>
        <w:t>.</w:t>
      </w:r>
      <w:r>
        <w:rPr>
          <w:rStyle w:val="FootnoteReference"/>
          <w:rFonts w:ascii="Arial" w:hAnsi="Arial" w:cs="Arial"/>
        </w:rPr>
        <w:footnoteReference w:id="131"/>
      </w:r>
    </w:p>
    <w:p w:rsidR="00AE61DA" w:rsidRDefault="00AE61DA" w:rsidP="00F87662">
      <w:pPr>
        <w:pStyle w:val="ListParagraph"/>
        <w:spacing w:line="360" w:lineRule="auto"/>
        <w:ind w:left="360"/>
        <w:rPr>
          <w:rFonts w:ascii="Arial" w:hAnsi="Arial" w:cs="Arial"/>
        </w:rPr>
      </w:pPr>
    </w:p>
    <w:p w:rsidR="00AE61DA" w:rsidRDefault="00AE61DA" w:rsidP="00AF22DC">
      <w:pPr>
        <w:pStyle w:val="ListParagraph"/>
        <w:numPr>
          <w:ilvl w:val="0"/>
          <w:numId w:val="3"/>
        </w:numPr>
        <w:spacing w:line="360" w:lineRule="auto"/>
        <w:rPr>
          <w:rFonts w:ascii="Arial" w:hAnsi="Arial" w:cs="Arial"/>
        </w:rPr>
      </w:pPr>
      <w:r>
        <w:rPr>
          <w:rFonts w:ascii="Arial" w:hAnsi="Arial" w:cs="Arial"/>
        </w:rPr>
        <w:t xml:space="preserve">As I </w:t>
      </w:r>
      <w:r w:rsidR="00F8327C">
        <w:rPr>
          <w:rFonts w:ascii="Arial" w:hAnsi="Arial" w:cs="Arial"/>
        </w:rPr>
        <w:t>understand</w:t>
      </w:r>
      <w:r>
        <w:rPr>
          <w:rFonts w:ascii="Arial" w:hAnsi="Arial" w:cs="Arial"/>
        </w:rPr>
        <w:t xml:space="preserve"> the judgment</w:t>
      </w:r>
      <w:r w:rsidR="00A21710">
        <w:rPr>
          <w:rFonts w:ascii="Arial" w:hAnsi="Arial" w:cs="Arial"/>
        </w:rPr>
        <w:t xml:space="preserve"> </w:t>
      </w:r>
      <w:r>
        <w:rPr>
          <w:rFonts w:ascii="Arial" w:hAnsi="Arial" w:cs="Arial"/>
        </w:rPr>
        <w:t xml:space="preserve">of the </w:t>
      </w:r>
      <w:r w:rsidRPr="003610CF">
        <w:rPr>
          <w:rFonts w:ascii="Arial" w:hAnsi="Arial" w:cs="Arial"/>
        </w:rPr>
        <w:t>Court of Appeal</w:t>
      </w:r>
      <w:r>
        <w:rPr>
          <w:rFonts w:ascii="Arial" w:hAnsi="Arial" w:cs="Arial"/>
        </w:rPr>
        <w:t xml:space="preserve"> </w:t>
      </w:r>
      <w:r w:rsidR="00A21710">
        <w:rPr>
          <w:rFonts w:ascii="Arial" w:hAnsi="Arial" w:cs="Arial"/>
        </w:rPr>
        <w:t xml:space="preserve">in </w:t>
      </w:r>
      <w:r w:rsidR="00F8327C">
        <w:rPr>
          <w:rFonts w:ascii="Arial" w:hAnsi="Arial" w:cs="Arial"/>
          <w:i/>
        </w:rPr>
        <w:t>Cuciurean,</w:t>
      </w:r>
      <w:r w:rsidR="00A21710">
        <w:rPr>
          <w:rFonts w:ascii="Arial" w:hAnsi="Arial" w:cs="Arial"/>
        </w:rPr>
        <w:t xml:space="preserve"> </w:t>
      </w:r>
      <w:r>
        <w:rPr>
          <w:rFonts w:ascii="Arial" w:hAnsi="Arial" w:cs="Arial"/>
        </w:rPr>
        <w:t>it held that;</w:t>
      </w:r>
    </w:p>
    <w:p w:rsidR="00AE61DA" w:rsidRDefault="00AE61DA" w:rsidP="00AE61DA">
      <w:pPr>
        <w:pStyle w:val="ListParagraph"/>
        <w:spacing w:line="360" w:lineRule="auto"/>
        <w:ind w:left="360"/>
        <w:rPr>
          <w:rFonts w:ascii="Arial" w:hAnsi="Arial" w:cs="Arial"/>
        </w:rPr>
      </w:pPr>
    </w:p>
    <w:p w:rsidR="00AE61DA" w:rsidRDefault="00AE61DA" w:rsidP="000774C7">
      <w:pPr>
        <w:pStyle w:val="ListParagraph"/>
        <w:numPr>
          <w:ilvl w:val="1"/>
          <w:numId w:val="3"/>
        </w:numPr>
        <w:spacing w:line="360" w:lineRule="auto"/>
        <w:rPr>
          <w:rFonts w:ascii="Arial" w:hAnsi="Arial" w:cs="Arial"/>
        </w:rPr>
      </w:pPr>
      <w:r>
        <w:rPr>
          <w:rFonts w:ascii="Arial" w:hAnsi="Arial" w:cs="Arial"/>
        </w:rPr>
        <w:t>giving notice and effecting service of the injunction by way of substituted service are synonymous</w:t>
      </w:r>
      <w:r w:rsidR="000774C7">
        <w:rPr>
          <w:rFonts w:ascii="Arial" w:hAnsi="Arial" w:cs="Arial"/>
        </w:rPr>
        <w:t>;</w:t>
      </w:r>
      <w:r w:rsidR="00A21710">
        <w:rPr>
          <w:rStyle w:val="FootnoteReference"/>
          <w:rFonts w:ascii="Arial" w:hAnsi="Arial" w:cs="Arial"/>
        </w:rPr>
        <w:footnoteReference w:id="132"/>
      </w:r>
      <w:r>
        <w:rPr>
          <w:rFonts w:ascii="Arial" w:hAnsi="Arial" w:cs="Arial"/>
        </w:rPr>
        <w:t xml:space="preserve"> </w:t>
      </w:r>
    </w:p>
    <w:p w:rsidR="000774C7" w:rsidRDefault="000774C7" w:rsidP="000774C7">
      <w:pPr>
        <w:pStyle w:val="ListParagraph"/>
        <w:spacing w:line="360" w:lineRule="auto"/>
        <w:ind w:left="1080"/>
        <w:rPr>
          <w:rFonts w:ascii="Arial" w:hAnsi="Arial" w:cs="Arial"/>
        </w:rPr>
      </w:pPr>
    </w:p>
    <w:p w:rsidR="00B46BAC" w:rsidRDefault="00A21710" w:rsidP="000774C7">
      <w:pPr>
        <w:pStyle w:val="ListParagraph"/>
        <w:numPr>
          <w:ilvl w:val="1"/>
          <w:numId w:val="3"/>
        </w:numPr>
        <w:spacing w:line="360" w:lineRule="auto"/>
        <w:rPr>
          <w:rFonts w:ascii="Arial" w:hAnsi="Arial" w:cs="Arial"/>
        </w:rPr>
      </w:pPr>
      <w:r w:rsidRPr="000774C7">
        <w:rPr>
          <w:rFonts w:ascii="Arial" w:hAnsi="Arial" w:cs="Arial"/>
        </w:rPr>
        <w:t>t</w:t>
      </w:r>
      <w:r w:rsidR="00B46BAC" w:rsidRPr="000774C7">
        <w:rPr>
          <w:rFonts w:ascii="Arial" w:hAnsi="Arial" w:cs="Arial"/>
        </w:rPr>
        <w:t xml:space="preserve">he terms of an order for </w:t>
      </w:r>
      <w:r w:rsidRPr="000774C7">
        <w:rPr>
          <w:rFonts w:ascii="Arial" w:hAnsi="Arial" w:cs="Arial"/>
        </w:rPr>
        <w:t>s</w:t>
      </w:r>
      <w:r w:rsidR="00B46BAC" w:rsidRPr="000774C7">
        <w:rPr>
          <w:rFonts w:ascii="Arial" w:hAnsi="Arial" w:cs="Arial"/>
        </w:rPr>
        <w:t xml:space="preserve">ubstituted service </w:t>
      </w:r>
      <w:r w:rsidR="00F8327C" w:rsidRPr="000774C7">
        <w:rPr>
          <w:rFonts w:ascii="Arial" w:hAnsi="Arial" w:cs="Arial"/>
        </w:rPr>
        <w:t>should</w:t>
      </w:r>
      <w:r w:rsidR="003610CF">
        <w:rPr>
          <w:rFonts w:ascii="Arial" w:hAnsi="Arial" w:cs="Arial"/>
        </w:rPr>
        <w:t xml:space="preserve"> be such “</w:t>
      </w:r>
      <w:r w:rsidR="00B46BAC" w:rsidRPr="000774C7">
        <w:rPr>
          <w:rFonts w:ascii="Arial" w:hAnsi="Arial" w:cs="Arial"/>
          <w:i/>
        </w:rPr>
        <w:t>as can reasonably be expected to bring the proceedings to the attention of the defendant</w:t>
      </w:r>
      <w:r w:rsidRPr="000774C7">
        <w:rPr>
          <w:rFonts w:ascii="Arial" w:hAnsi="Arial" w:cs="Arial"/>
        </w:rPr>
        <w:t>”</w:t>
      </w:r>
      <w:r w:rsidR="00B46BAC" w:rsidRPr="000774C7">
        <w:rPr>
          <w:rFonts w:ascii="Arial" w:hAnsi="Arial" w:cs="Arial"/>
        </w:rPr>
        <w:t>;</w:t>
      </w:r>
      <w:r w:rsidR="000C5429">
        <w:rPr>
          <w:rStyle w:val="FootnoteReference"/>
          <w:rFonts w:ascii="Arial" w:hAnsi="Arial" w:cs="Arial"/>
        </w:rPr>
        <w:footnoteReference w:id="133"/>
      </w:r>
    </w:p>
    <w:p w:rsidR="000774C7" w:rsidRPr="000774C7" w:rsidRDefault="000774C7" w:rsidP="000774C7">
      <w:pPr>
        <w:pStyle w:val="ListParagraph"/>
        <w:rPr>
          <w:rFonts w:ascii="Arial" w:hAnsi="Arial" w:cs="Arial"/>
        </w:rPr>
      </w:pPr>
    </w:p>
    <w:p w:rsidR="00B46BAC" w:rsidRDefault="00AE61DA" w:rsidP="000774C7">
      <w:pPr>
        <w:pStyle w:val="ListParagraph"/>
        <w:numPr>
          <w:ilvl w:val="1"/>
          <w:numId w:val="3"/>
        </w:numPr>
        <w:spacing w:line="360" w:lineRule="auto"/>
        <w:rPr>
          <w:rFonts w:ascii="Arial" w:hAnsi="Arial" w:cs="Arial"/>
        </w:rPr>
      </w:pPr>
      <w:r w:rsidRPr="000774C7">
        <w:rPr>
          <w:rFonts w:ascii="Arial" w:hAnsi="Arial" w:cs="Arial"/>
        </w:rPr>
        <w:t xml:space="preserve">once an order for substituted service </w:t>
      </w:r>
      <w:r w:rsidR="00B46BAC" w:rsidRPr="000774C7">
        <w:rPr>
          <w:rFonts w:ascii="Arial" w:hAnsi="Arial" w:cs="Arial"/>
        </w:rPr>
        <w:t>i</w:t>
      </w:r>
      <w:r w:rsidRPr="000774C7">
        <w:rPr>
          <w:rFonts w:ascii="Arial" w:hAnsi="Arial" w:cs="Arial"/>
        </w:rPr>
        <w:t xml:space="preserve">s granted the standard adopted by the </w:t>
      </w:r>
      <w:r w:rsidR="00F8327C" w:rsidRPr="000774C7">
        <w:rPr>
          <w:rFonts w:ascii="Arial" w:hAnsi="Arial" w:cs="Arial"/>
        </w:rPr>
        <w:t>trial</w:t>
      </w:r>
      <w:r w:rsidRPr="000774C7">
        <w:rPr>
          <w:rFonts w:ascii="Arial" w:hAnsi="Arial" w:cs="Arial"/>
        </w:rPr>
        <w:t xml:space="preserve"> judge in directing the form of notice applies prospectively; </w:t>
      </w:r>
      <w:r w:rsidR="000C5429">
        <w:rPr>
          <w:rStyle w:val="FootnoteReference"/>
          <w:rFonts w:ascii="Arial" w:hAnsi="Arial" w:cs="Arial"/>
        </w:rPr>
        <w:footnoteReference w:id="134"/>
      </w:r>
    </w:p>
    <w:p w:rsidR="000774C7" w:rsidRPr="000774C7" w:rsidRDefault="000774C7" w:rsidP="000774C7">
      <w:pPr>
        <w:pStyle w:val="ListParagraph"/>
        <w:rPr>
          <w:rFonts w:ascii="Arial" w:hAnsi="Arial" w:cs="Arial"/>
        </w:rPr>
      </w:pPr>
    </w:p>
    <w:p w:rsidR="00B46BAC" w:rsidRDefault="00B46BAC" w:rsidP="000774C7">
      <w:pPr>
        <w:pStyle w:val="ListParagraph"/>
        <w:numPr>
          <w:ilvl w:val="1"/>
          <w:numId w:val="3"/>
        </w:numPr>
        <w:spacing w:line="360" w:lineRule="auto"/>
        <w:rPr>
          <w:rFonts w:ascii="Arial" w:hAnsi="Arial" w:cs="Arial"/>
        </w:rPr>
      </w:pPr>
      <w:r w:rsidRPr="000774C7">
        <w:rPr>
          <w:rFonts w:ascii="Arial" w:hAnsi="Arial" w:cs="Arial"/>
        </w:rPr>
        <w:t>since th</w:t>
      </w:r>
      <w:r w:rsidR="00A21710" w:rsidRPr="000774C7">
        <w:rPr>
          <w:rFonts w:ascii="Arial" w:hAnsi="Arial" w:cs="Arial"/>
        </w:rPr>
        <w:t>e order applies prospectively a</w:t>
      </w:r>
      <w:r w:rsidRPr="000774C7">
        <w:rPr>
          <w:rFonts w:ascii="Arial" w:hAnsi="Arial" w:cs="Arial"/>
        </w:rPr>
        <w:t xml:space="preserve"> court cannot revisit it retrospectively</w:t>
      </w:r>
      <w:r w:rsidR="000774C7">
        <w:rPr>
          <w:rFonts w:ascii="Arial" w:hAnsi="Arial" w:cs="Arial"/>
        </w:rPr>
        <w:t>;</w:t>
      </w:r>
      <w:r w:rsidR="000C5429">
        <w:rPr>
          <w:rStyle w:val="FootnoteReference"/>
          <w:rFonts w:ascii="Arial" w:hAnsi="Arial" w:cs="Arial"/>
        </w:rPr>
        <w:footnoteReference w:id="135"/>
      </w:r>
    </w:p>
    <w:p w:rsidR="000774C7" w:rsidRPr="000774C7" w:rsidRDefault="000774C7" w:rsidP="000774C7">
      <w:pPr>
        <w:pStyle w:val="ListParagraph"/>
        <w:rPr>
          <w:rFonts w:ascii="Arial" w:hAnsi="Arial" w:cs="Arial"/>
        </w:rPr>
      </w:pPr>
    </w:p>
    <w:p w:rsidR="00AE61DA" w:rsidRPr="000774C7" w:rsidRDefault="000774C7" w:rsidP="000774C7">
      <w:pPr>
        <w:pStyle w:val="ListParagraph"/>
        <w:numPr>
          <w:ilvl w:val="1"/>
          <w:numId w:val="3"/>
        </w:numPr>
        <w:spacing w:line="360" w:lineRule="auto"/>
        <w:rPr>
          <w:rFonts w:ascii="Arial" w:hAnsi="Arial" w:cs="Arial"/>
        </w:rPr>
      </w:pPr>
      <w:r>
        <w:rPr>
          <w:rFonts w:ascii="Arial" w:hAnsi="Arial" w:cs="Arial"/>
        </w:rPr>
        <w:t>however</w:t>
      </w:r>
      <w:r w:rsidR="00157763" w:rsidRPr="000774C7">
        <w:rPr>
          <w:rFonts w:ascii="Arial" w:hAnsi="Arial" w:cs="Arial"/>
        </w:rPr>
        <w:t>,</w:t>
      </w:r>
      <w:r w:rsidR="00B46BAC" w:rsidRPr="000774C7">
        <w:rPr>
          <w:rFonts w:ascii="Arial" w:hAnsi="Arial" w:cs="Arial"/>
        </w:rPr>
        <w:t xml:space="preserve"> it remains open for a defendant who is joined as a person unknown to </w:t>
      </w:r>
      <w:r w:rsidR="00F8327C" w:rsidRPr="000774C7">
        <w:rPr>
          <w:rFonts w:ascii="Arial" w:hAnsi="Arial" w:cs="Arial"/>
        </w:rPr>
        <w:t>“</w:t>
      </w:r>
      <w:r w:rsidR="00F8327C" w:rsidRPr="000774C7">
        <w:rPr>
          <w:rFonts w:ascii="Arial" w:hAnsi="Arial" w:cs="Arial"/>
          <w:i/>
        </w:rPr>
        <w:t>set</w:t>
      </w:r>
      <w:r w:rsidR="00AE61DA" w:rsidRPr="000774C7">
        <w:rPr>
          <w:rFonts w:ascii="Arial" w:hAnsi="Arial" w:cs="Arial"/>
          <w:i/>
        </w:rPr>
        <w:t xml:space="preserve"> aside or vary an order for service by alternative means, on the grounds that the Court was misinformed or otherwise erred in its assessment of what would be reasonable</w:t>
      </w:r>
      <w:r w:rsidR="00AE61DA" w:rsidRPr="000774C7">
        <w:rPr>
          <w:rFonts w:ascii="Arial" w:hAnsi="Arial" w:cs="Arial"/>
        </w:rPr>
        <w:t>.</w:t>
      </w:r>
      <w:r w:rsidR="00A21710" w:rsidRPr="000774C7">
        <w:rPr>
          <w:rFonts w:ascii="Arial" w:hAnsi="Arial" w:cs="Arial"/>
        </w:rPr>
        <w:t xml:space="preserve"> </w:t>
      </w:r>
      <w:r w:rsidR="00A21710" w:rsidRPr="000774C7">
        <w:rPr>
          <w:rFonts w:ascii="Arial" w:hAnsi="Arial" w:cs="Arial"/>
          <w:i/>
        </w:rPr>
        <w:t>But that is not this case. It is accepted that the relevant criteria were correctly identified and faithfully applied by Andrews J. None of the cases cited supports the further proposition advanced by Ms Williams, that on a committal application such as this the applicant and the Court must revi</w:t>
      </w:r>
      <w:r w:rsidR="003610CF">
        <w:rPr>
          <w:rFonts w:ascii="Arial" w:hAnsi="Arial" w:cs="Arial"/>
          <w:i/>
        </w:rPr>
        <w:t>sit the position retrospectively</w:t>
      </w:r>
      <w:r w:rsidR="0007653A">
        <w:rPr>
          <w:rFonts w:ascii="Arial" w:hAnsi="Arial" w:cs="Arial"/>
          <w:i/>
        </w:rPr>
        <w:t>.</w:t>
      </w:r>
      <w:r w:rsidR="00B46BAC" w:rsidRPr="000774C7">
        <w:rPr>
          <w:rFonts w:ascii="Arial" w:hAnsi="Arial" w:cs="Arial"/>
        </w:rPr>
        <w:t>”</w:t>
      </w:r>
      <w:r w:rsidR="00B46BAC">
        <w:rPr>
          <w:rStyle w:val="FootnoteReference"/>
          <w:rFonts w:ascii="Arial" w:hAnsi="Arial" w:cs="Arial"/>
        </w:rPr>
        <w:footnoteReference w:id="136"/>
      </w:r>
      <w:r w:rsidR="00AE61DA" w:rsidRPr="000774C7">
        <w:rPr>
          <w:rFonts w:ascii="Arial" w:hAnsi="Arial" w:cs="Arial"/>
        </w:rPr>
        <w:t xml:space="preserve"> </w:t>
      </w:r>
    </w:p>
    <w:p w:rsidR="00B46BAC" w:rsidRDefault="000774C7" w:rsidP="00AF22DC">
      <w:pPr>
        <w:pStyle w:val="ListParagraph"/>
        <w:numPr>
          <w:ilvl w:val="0"/>
          <w:numId w:val="3"/>
        </w:numPr>
        <w:spacing w:line="360" w:lineRule="auto"/>
        <w:rPr>
          <w:rFonts w:ascii="Arial" w:hAnsi="Arial" w:cs="Arial"/>
        </w:rPr>
      </w:pPr>
      <w:r>
        <w:rPr>
          <w:rFonts w:ascii="Arial" w:hAnsi="Arial" w:cs="Arial"/>
        </w:rPr>
        <w:lastRenderedPageBreak/>
        <w:t>Nonethe</w:t>
      </w:r>
      <w:r w:rsidR="003610CF">
        <w:rPr>
          <w:rFonts w:ascii="Arial" w:hAnsi="Arial" w:cs="Arial"/>
        </w:rPr>
        <w:t>le</w:t>
      </w:r>
      <w:r>
        <w:rPr>
          <w:rFonts w:ascii="Arial" w:hAnsi="Arial" w:cs="Arial"/>
        </w:rPr>
        <w:t>ss,</w:t>
      </w:r>
      <w:r w:rsidR="00082699">
        <w:rPr>
          <w:rFonts w:ascii="Arial" w:hAnsi="Arial" w:cs="Arial"/>
        </w:rPr>
        <w:t xml:space="preserve"> in the context of a </w:t>
      </w:r>
      <w:r w:rsidR="00F8327C">
        <w:rPr>
          <w:rFonts w:ascii="Arial" w:hAnsi="Arial" w:cs="Arial"/>
        </w:rPr>
        <w:t>requirement</w:t>
      </w:r>
      <w:r w:rsidR="00AF3947">
        <w:rPr>
          <w:rFonts w:ascii="Arial" w:hAnsi="Arial" w:cs="Arial"/>
        </w:rPr>
        <w:t xml:space="preserve"> </w:t>
      </w:r>
      <w:r w:rsidR="003610CF">
        <w:rPr>
          <w:rFonts w:ascii="Arial" w:hAnsi="Arial" w:cs="Arial"/>
        </w:rPr>
        <w:t xml:space="preserve">existing </w:t>
      </w:r>
      <w:r w:rsidR="00AF3947" w:rsidRPr="00AF3947">
        <w:rPr>
          <w:rFonts w:ascii="Arial" w:hAnsi="Arial" w:cs="Arial"/>
        </w:rPr>
        <w:t>that</w:t>
      </w:r>
      <w:r w:rsidR="003610CF">
        <w:rPr>
          <w:rFonts w:ascii="Arial" w:hAnsi="Arial" w:cs="Arial"/>
        </w:rPr>
        <w:t xml:space="preserve"> a defendant had </w:t>
      </w:r>
      <w:r w:rsidR="00AF3947" w:rsidRPr="00AF3947">
        <w:rPr>
          <w:rFonts w:ascii="Arial" w:hAnsi="Arial" w:cs="Arial"/>
        </w:rPr>
        <w:t xml:space="preserve">sufficient notice of the March Order to justify a finding that any such encroachment amounted to </w:t>
      </w:r>
      <w:r w:rsidR="00F8327C" w:rsidRPr="00AF3947">
        <w:rPr>
          <w:rFonts w:ascii="Arial" w:hAnsi="Arial" w:cs="Arial"/>
        </w:rPr>
        <w:t>contempt,</w:t>
      </w:r>
      <w:r w:rsidR="00082699">
        <w:rPr>
          <w:rFonts w:ascii="Arial" w:hAnsi="Arial" w:cs="Arial"/>
        </w:rPr>
        <w:t xml:space="preserve"> the </w:t>
      </w:r>
      <w:r w:rsidR="00B46BAC">
        <w:rPr>
          <w:rFonts w:ascii="Arial" w:hAnsi="Arial" w:cs="Arial"/>
        </w:rPr>
        <w:t xml:space="preserve">Court of Appeal said that </w:t>
      </w:r>
      <w:r w:rsidR="00082699">
        <w:rPr>
          <w:rFonts w:ascii="Arial" w:hAnsi="Arial" w:cs="Arial"/>
        </w:rPr>
        <w:t xml:space="preserve">even though it may not be shown that the appellant had </w:t>
      </w:r>
      <w:r w:rsidR="00B46BAC" w:rsidRPr="00B46BAC">
        <w:rPr>
          <w:rFonts w:ascii="Arial" w:hAnsi="Arial" w:cs="Arial"/>
        </w:rPr>
        <w:t>actual knowledge of the</w:t>
      </w:r>
      <w:r w:rsidR="00082699">
        <w:rPr>
          <w:rFonts w:ascii="Arial" w:hAnsi="Arial" w:cs="Arial"/>
        </w:rPr>
        <w:t xml:space="preserve"> order</w:t>
      </w:r>
      <w:r w:rsidR="00B46BAC" w:rsidRPr="00B46BAC">
        <w:rPr>
          <w:rFonts w:ascii="Arial" w:hAnsi="Arial" w:cs="Arial"/>
        </w:rPr>
        <w:t xml:space="preserve"> or its </w:t>
      </w:r>
      <w:r w:rsidR="00082699">
        <w:rPr>
          <w:rFonts w:ascii="Arial" w:hAnsi="Arial" w:cs="Arial"/>
        </w:rPr>
        <w:t xml:space="preserve">material terms such situations do </w:t>
      </w:r>
      <w:r w:rsidR="00082699" w:rsidRPr="003610CF">
        <w:rPr>
          <w:rFonts w:ascii="Arial" w:hAnsi="Arial" w:cs="Arial"/>
        </w:rPr>
        <w:t>“</w:t>
      </w:r>
      <w:r w:rsidR="00B46BAC" w:rsidRPr="003610CF">
        <w:rPr>
          <w:rFonts w:ascii="Arial" w:hAnsi="Arial" w:cs="Arial"/>
          <w:i/>
        </w:rPr>
        <w:t xml:space="preserve">not seem likely to occur often. And if it does then, as this </w:t>
      </w:r>
      <w:r w:rsidR="00B46BAC" w:rsidRPr="0007653A">
        <w:rPr>
          <w:rFonts w:ascii="Arial" w:hAnsi="Arial" w:cs="Arial"/>
          <w:i/>
        </w:rPr>
        <w:t>Court indicated in Cuadrilla,</w:t>
      </w:r>
      <w:r w:rsidR="00B46BAC" w:rsidRPr="003610CF">
        <w:rPr>
          <w:rFonts w:ascii="Arial" w:hAnsi="Arial" w:cs="Arial"/>
          <w:i/>
        </w:rPr>
        <w:t xml:space="preserve"> no penalty would be imposed. I do not see that as problematic in principle, especially as this is</w:t>
      </w:r>
      <w:r w:rsidR="00B46BAC" w:rsidRPr="00DF60F6">
        <w:rPr>
          <w:rFonts w:ascii="Arial" w:hAnsi="Arial" w:cs="Arial"/>
          <w:i/>
        </w:rPr>
        <w:t xml:space="preserve"> a civil not a criminal jurisdiction.</w:t>
      </w:r>
      <w:r w:rsidR="00082699">
        <w:rPr>
          <w:rFonts w:ascii="Arial" w:hAnsi="Arial" w:cs="Arial"/>
        </w:rPr>
        <w:t>”</w:t>
      </w:r>
      <w:r w:rsidR="00B46BAC">
        <w:rPr>
          <w:rFonts w:ascii="Arial" w:hAnsi="Arial" w:cs="Arial"/>
        </w:rPr>
        <w:t xml:space="preserve"> </w:t>
      </w:r>
      <w:r w:rsidR="00B46BAC">
        <w:rPr>
          <w:rStyle w:val="FootnoteReference"/>
          <w:rFonts w:ascii="Arial" w:hAnsi="Arial" w:cs="Arial"/>
        </w:rPr>
        <w:footnoteReference w:id="137"/>
      </w:r>
    </w:p>
    <w:p w:rsidR="00082699" w:rsidRDefault="00082699" w:rsidP="00082699">
      <w:pPr>
        <w:pStyle w:val="ListParagraph"/>
        <w:spacing w:line="360" w:lineRule="auto"/>
        <w:ind w:left="360"/>
        <w:rPr>
          <w:rFonts w:ascii="Arial" w:hAnsi="Arial" w:cs="Arial"/>
        </w:rPr>
      </w:pPr>
    </w:p>
    <w:p w:rsidR="00082699" w:rsidRPr="00B46BAC" w:rsidRDefault="00775C2C" w:rsidP="00AF22DC">
      <w:pPr>
        <w:pStyle w:val="ListParagraph"/>
        <w:numPr>
          <w:ilvl w:val="0"/>
          <w:numId w:val="3"/>
        </w:numPr>
        <w:spacing w:line="360" w:lineRule="auto"/>
        <w:rPr>
          <w:rFonts w:ascii="Arial" w:hAnsi="Arial" w:cs="Arial"/>
        </w:rPr>
      </w:pPr>
      <w:r>
        <w:rPr>
          <w:rFonts w:ascii="Arial" w:hAnsi="Arial" w:cs="Arial"/>
        </w:rPr>
        <w:t>I</w:t>
      </w:r>
      <w:r w:rsidR="00DF60F6">
        <w:rPr>
          <w:rFonts w:ascii="Arial" w:hAnsi="Arial" w:cs="Arial"/>
        </w:rPr>
        <w:t xml:space="preserve">n </w:t>
      </w:r>
      <w:r w:rsidR="00F8327C">
        <w:rPr>
          <w:rFonts w:ascii="Arial" w:hAnsi="Arial" w:cs="Arial"/>
        </w:rPr>
        <w:t>relation</w:t>
      </w:r>
      <w:r w:rsidR="00DF60F6">
        <w:rPr>
          <w:rFonts w:ascii="Arial" w:hAnsi="Arial" w:cs="Arial"/>
        </w:rPr>
        <w:t xml:space="preserve"> to the question of </w:t>
      </w:r>
      <w:r w:rsidR="00F8327C">
        <w:rPr>
          <w:rFonts w:ascii="Arial" w:hAnsi="Arial" w:cs="Arial"/>
        </w:rPr>
        <w:t>whether the</w:t>
      </w:r>
      <w:r w:rsidR="00DF60F6" w:rsidRPr="00DF60F6">
        <w:rPr>
          <w:rFonts w:ascii="Arial" w:hAnsi="Arial" w:cs="Arial"/>
        </w:rPr>
        <w:t xml:space="preserve"> appellant ha</w:t>
      </w:r>
      <w:r w:rsidR="00DF60F6">
        <w:rPr>
          <w:rFonts w:ascii="Arial" w:hAnsi="Arial" w:cs="Arial"/>
        </w:rPr>
        <w:t>d</w:t>
      </w:r>
      <w:r w:rsidR="00DF60F6" w:rsidRPr="00DF60F6">
        <w:rPr>
          <w:rFonts w:ascii="Arial" w:hAnsi="Arial" w:cs="Arial"/>
        </w:rPr>
        <w:t xml:space="preserve"> sufficient </w:t>
      </w:r>
      <w:r w:rsidR="00DF60F6">
        <w:rPr>
          <w:rFonts w:ascii="Arial" w:hAnsi="Arial" w:cs="Arial"/>
        </w:rPr>
        <w:t>knowledge or notice of the injunction</w:t>
      </w:r>
      <w:r w:rsidR="003610CF">
        <w:rPr>
          <w:rFonts w:ascii="Arial" w:hAnsi="Arial" w:cs="Arial"/>
        </w:rPr>
        <w:t>, and in particular its penal content,</w:t>
      </w:r>
      <w:r>
        <w:rPr>
          <w:rFonts w:ascii="Arial" w:hAnsi="Arial" w:cs="Arial"/>
        </w:rPr>
        <w:t xml:space="preserve"> the Court of Appeal considered that it sufficed for the affected </w:t>
      </w:r>
      <w:r w:rsidR="00F8327C">
        <w:rPr>
          <w:rFonts w:ascii="Arial" w:hAnsi="Arial" w:cs="Arial"/>
        </w:rPr>
        <w:t>person:</w:t>
      </w:r>
      <w:r w:rsidR="00DF60F6" w:rsidRPr="00DF60F6">
        <w:rPr>
          <w:rFonts w:ascii="Arial" w:hAnsi="Arial" w:cs="Arial"/>
        </w:rPr>
        <w:t xml:space="preserve"> </w:t>
      </w:r>
      <w:r w:rsidRPr="00775C2C">
        <w:rPr>
          <w:rFonts w:ascii="Arial" w:hAnsi="Arial" w:cs="Arial"/>
          <w:i/>
        </w:rPr>
        <w:t>“</w:t>
      </w:r>
      <w:r w:rsidR="00DF60F6" w:rsidRPr="00775C2C">
        <w:rPr>
          <w:rFonts w:ascii="Arial" w:hAnsi="Arial" w:cs="Arial"/>
          <w:i/>
        </w:rPr>
        <w:t>(a) to know that there was a Court order in existence, prohibiting him from entering certain land; and (b) to enter on land in the knowledge that it fell within the scope of the prohibition</w:t>
      </w:r>
      <w:r w:rsidRPr="00775C2C">
        <w:rPr>
          <w:rFonts w:ascii="Arial" w:hAnsi="Arial" w:cs="Arial"/>
          <w:i/>
        </w:rPr>
        <w:t>”</w:t>
      </w:r>
      <w:r>
        <w:rPr>
          <w:rFonts w:ascii="Arial" w:hAnsi="Arial" w:cs="Arial"/>
        </w:rPr>
        <w:t xml:space="preserve">. </w:t>
      </w:r>
      <w:r>
        <w:rPr>
          <w:rStyle w:val="FootnoteReference"/>
          <w:rFonts w:ascii="Arial" w:hAnsi="Arial" w:cs="Arial"/>
        </w:rPr>
        <w:footnoteReference w:id="138"/>
      </w:r>
    </w:p>
    <w:p w:rsidR="00775C2C" w:rsidRDefault="00775C2C" w:rsidP="00775C2C">
      <w:pPr>
        <w:pStyle w:val="ListParagraph"/>
        <w:spacing w:line="360" w:lineRule="auto"/>
        <w:ind w:left="360"/>
        <w:rPr>
          <w:rFonts w:ascii="Arial" w:hAnsi="Arial" w:cs="Arial"/>
        </w:rPr>
      </w:pPr>
    </w:p>
    <w:p w:rsidR="003610CF" w:rsidRDefault="00B25667" w:rsidP="00AF22DC">
      <w:pPr>
        <w:pStyle w:val="ListParagraph"/>
        <w:numPr>
          <w:ilvl w:val="0"/>
          <w:numId w:val="3"/>
        </w:numPr>
        <w:spacing w:line="360" w:lineRule="auto"/>
        <w:rPr>
          <w:rFonts w:ascii="Arial" w:hAnsi="Arial" w:cs="Arial"/>
        </w:rPr>
      </w:pPr>
      <w:r>
        <w:rPr>
          <w:rFonts w:ascii="Arial" w:hAnsi="Arial" w:cs="Arial"/>
        </w:rPr>
        <w:t xml:space="preserve">The most recent case before the Court of Appeal is </w:t>
      </w:r>
      <w:r w:rsidR="00775C2C" w:rsidRPr="003610CF">
        <w:rPr>
          <w:rFonts w:ascii="Arial" w:hAnsi="Arial" w:cs="Arial"/>
          <w:i/>
        </w:rPr>
        <w:t>Boro</w:t>
      </w:r>
      <w:r w:rsidR="0007653A">
        <w:rPr>
          <w:rFonts w:ascii="Arial" w:hAnsi="Arial" w:cs="Arial"/>
          <w:i/>
        </w:rPr>
        <w:t>ugh of Barking</w:t>
      </w:r>
      <w:r w:rsidR="008C5E15">
        <w:rPr>
          <w:rFonts w:ascii="Arial" w:hAnsi="Arial" w:cs="Arial"/>
        </w:rPr>
        <w:t>,</w:t>
      </w:r>
      <w:r>
        <w:rPr>
          <w:rFonts w:ascii="Arial" w:hAnsi="Arial" w:cs="Arial"/>
        </w:rPr>
        <w:t xml:space="preserve"> </w:t>
      </w:r>
      <w:r w:rsidR="008C5E15">
        <w:rPr>
          <w:rFonts w:ascii="Arial" w:hAnsi="Arial" w:cs="Arial"/>
        </w:rPr>
        <w:t>a judgment</w:t>
      </w:r>
      <w:r>
        <w:rPr>
          <w:rFonts w:ascii="Arial" w:hAnsi="Arial" w:cs="Arial"/>
        </w:rPr>
        <w:t xml:space="preserve"> delivered on 13 January 2022</w:t>
      </w:r>
      <w:r w:rsidR="00775C2C">
        <w:rPr>
          <w:rFonts w:ascii="Arial" w:hAnsi="Arial" w:cs="Arial"/>
        </w:rPr>
        <w:t xml:space="preserve">. </w:t>
      </w:r>
    </w:p>
    <w:p w:rsidR="003610CF" w:rsidRDefault="003610CF" w:rsidP="003610CF">
      <w:pPr>
        <w:pStyle w:val="ListParagraph"/>
        <w:spacing w:line="360" w:lineRule="auto"/>
        <w:ind w:left="360"/>
        <w:rPr>
          <w:rFonts w:ascii="Arial" w:hAnsi="Arial" w:cs="Arial"/>
        </w:rPr>
      </w:pPr>
    </w:p>
    <w:p w:rsidR="00775C2C" w:rsidRDefault="00775C2C" w:rsidP="003610CF">
      <w:pPr>
        <w:pStyle w:val="ListParagraph"/>
        <w:spacing w:line="360" w:lineRule="auto"/>
        <w:ind w:left="360"/>
        <w:rPr>
          <w:rFonts w:ascii="Arial" w:hAnsi="Arial" w:cs="Arial"/>
        </w:rPr>
      </w:pPr>
      <w:r>
        <w:rPr>
          <w:rFonts w:ascii="Arial" w:hAnsi="Arial" w:cs="Arial"/>
        </w:rPr>
        <w:t xml:space="preserve">In this case the issue was </w:t>
      </w:r>
      <w:r w:rsidR="00F8327C">
        <w:rPr>
          <w:rFonts w:ascii="Arial" w:hAnsi="Arial" w:cs="Arial"/>
        </w:rPr>
        <w:t xml:space="preserve">whether </w:t>
      </w:r>
      <w:r w:rsidR="00F8327C" w:rsidRPr="00775C2C">
        <w:rPr>
          <w:rFonts w:ascii="Arial" w:hAnsi="Arial" w:cs="Arial"/>
        </w:rPr>
        <w:t>the</w:t>
      </w:r>
      <w:r w:rsidRPr="00775C2C">
        <w:rPr>
          <w:rFonts w:ascii="Arial" w:hAnsi="Arial" w:cs="Arial"/>
        </w:rPr>
        <w:t xml:space="preserve"> </w:t>
      </w:r>
      <w:r w:rsidR="008C5E15">
        <w:rPr>
          <w:rFonts w:ascii="Arial" w:hAnsi="Arial" w:cs="Arial"/>
        </w:rPr>
        <w:t xml:space="preserve">High Court </w:t>
      </w:r>
      <w:r w:rsidR="003610CF">
        <w:rPr>
          <w:rFonts w:ascii="Arial" w:hAnsi="Arial" w:cs="Arial"/>
        </w:rPr>
        <w:t xml:space="preserve">had </w:t>
      </w:r>
      <w:r w:rsidR="00C006D9">
        <w:rPr>
          <w:rFonts w:ascii="Arial" w:hAnsi="Arial" w:cs="Arial"/>
        </w:rPr>
        <w:t>correct</w:t>
      </w:r>
      <w:r w:rsidR="003610CF">
        <w:rPr>
          <w:rFonts w:ascii="Arial" w:hAnsi="Arial" w:cs="Arial"/>
        </w:rPr>
        <w:t>ly</w:t>
      </w:r>
      <w:r w:rsidR="008C5E15">
        <w:rPr>
          <w:rFonts w:ascii="Arial" w:hAnsi="Arial" w:cs="Arial"/>
        </w:rPr>
        <w:t xml:space="preserve"> f</w:t>
      </w:r>
      <w:r w:rsidR="003610CF">
        <w:rPr>
          <w:rFonts w:ascii="Arial" w:hAnsi="Arial" w:cs="Arial"/>
        </w:rPr>
        <w:t>ound</w:t>
      </w:r>
      <w:r w:rsidR="008C5E15">
        <w:rPr>
          <w:rFonts w:ascii="Arial" w:hAnsi="Arial" w:cs="Arial"/>
        </w:rPr>
        <w:t xml:space="preserve"> </w:t>
      </w:r>
      <w:r w:rsidRPr="00775C2C">
        <w:rPr>
          <w:rFonts w:ascii="Arial" w:hAnsi="Arial" w:cs="Arial"/>
        </w:rPr>
        <w:t xml:space="preserve">that </w:t>
      </w:r>
      <w:r w:rsidR="00C006D9">
        <w:rPr>
          <w:rFonts w:ascii="Arial" w:hAnsi="Arial" w:cs="Arial"/>
        </w:rPr>
        <w:t xml:space="preserve">it could not </w:t>
      </w:r>
      <w:r w:rsidRPr="00775C2C">
        <w:rPr>
          <w:rFonts w:ascii="Arial" w:hAnsi="Arial" w:cs="Arial"/>
        </w:rPr>
        <w:t xml:space="preserve">grant final injunctions </w:t>
      </w:r>
      <w:r w:rsidR="0007653A">
        <w:rPr>
          <w:rFonts w:ascii="Arial" w:hAnsi="Arial" w:cs="Arial"/>
        </w:rPr>
        <w:t>which</w:t>
      </w:r>
      <w:r w:rsidR="00C006D9">
        <w:rPr>
          <w:rFonts w:ascii="Arial" w:hAnsi="Arial" w:cs="Arial"/>
        </w:rPr>
        <w:t xml:space="preserve"> </w:t>
      </w:r>
      <w:r w:rsidR="00F8327C">
        <w:rPr>
          <w:rFonts w:ascii="Arial" w:hAnsi="Arial" w:cs="Arial"/>
        </w:rPr>
        <w:t>“</w:t>
      </w:r>
      <w:r w:rsidR="00F8327C" w:rsidRPr="000774C7">
        <w:rPr>
          <w:rFonts w:ascii="Arial" w:hAnsi="Arial" w:cs="Arial"/>
          <w:i/>
        </w:rPr>
        <w:t>prevent</w:t>
      </w:r>
      <w:r w:rsidRPr="000774C7">
        <w:rPr>
          <w:rFonts w:ascii="Arial" w:hAnsi="Arial" w:cs="Arial"/>
          <w:i/>
        </w:rPr>
        <w:t xml:space="preserve"> persons</w:t>
      </w:r>
      <w:r w:rsidRPr="00C006D9">
        <w:rPr>
          <w:rFonts w:ascii="Arial" w:hAnsi="Arial" w:cs="Arial"/>
          <w:i/>
        </w:rPr>
        <w:t>, who are unknown and unidentified at the date of the order (i.e. newcomers), from occupying and trespassing on local authority land</w:t>
      </w:r>
      <w:r w:rsidR="00C006D9" w:rsidRPr="00C006D9">
        <w:rPr>
          <w:rFonts w:ascii="Arial" w:hAnsi="Arial" w:cs="Arial"/>
          <w:i/>
        </w:rPr>
        <w:t>”</w:t>
      </w:r>
      <w:r w:rsidR="00C006D9">
        <w:rPr>
          <w:rFonts w:ascii="Arial" w:hAnsi="Arial" w:cs="Arial"/>
        </w:rPr>
        <w:t xml:space="preserve">. </w:t>
      </w:r>
      <w:r w:rsidR="00C006D9">
        <w:rPr>
          <w:rStyle w:val="FootnoteReference"/>
          <w:rFonts w:ascii="Arial" w:hAnsi="Arial" w:cs="Arial"/>
        </w:rPr>
        <w:footnoteReference w:id="139"/>
      </w:r>
    </w:p>
    <w:p w:rsidR="00C006D9" w:rsidRPr="00C006D9" w:rsidRDefault="00C006D9" w:rsidP="00C006D9">
      <w:pPr>
        <w:pStyle w:val="ListParagraph"/>
        <w:rPr>
          <w:rFonts w:ascii="Arial" w:hAnsi="Arial" w:cs="Arial"/>
        </w:rPr>
      </w:pPr>
    </w:p>
    <w:p w:rsidR="00C006D9" w:rsidRDefault="00C006D9" w:rsidP="00AF22DC">
      <w:pPr>
        <w:pStyle w:val="ListParagraph"/>
        <w:numPr>
          <w:ilvl w:val="0"/>
          <w:numId w:val="3"/>
        </w:numPr>
        <w:spacing w:line="360" w:lineRule="auto"/>
        <w:rPr>
          <w:rFonts w:ascii="Arial" w:hAnsi="Arial" w:cs="Arial"/>
        </w:rPr>
      </w:pPr>
      <w:r>
        <w:rPr>
          <w:rFonts w:ascii="Arial" w:hAnsi="Arial" w:cs="Arial"/>
        </w:rPr>
        <w:t xml:space="preserve">The court </w:t>
      </w:r>
      <w:r w:rsidRPr="003610CF">
        <w:rPr>
          <w:rFonts w:ascii="Arial" w:hAnsi="Arial" w:cs="Arial"/>
          <w:i/>
        </w:rPr>
        <w:t>a quo</w:t>
      </w:r>
      <w:r>
        <w:rPr>
          <w:rFonts w:ascii="Arial" w:hAnsi="Arial" w:cs="Arial"/>
        </w:rPr>
        <w:t xml:space="preserve"> accepted that </w:t>
      </w:r>
      <w:r w:rsidRPr="00C006D9">
        <w:rPr>
          <w:rFonts w:ascii="Arial" w:hAnsi="Arial" w:cs="Arial"/>
        </w:rPr>
        <w:t xml:space="preserve">interim injunctions could be </w:t>
      </w:r>
      <w:r w:rsidR="0007653A">
        <w:rPr>
          <w:rFonts w:ascii="Arial" w:hAnsi="Arial" w:cs="Arial"/>
        </w:rPr>
        <w:t xml:space="preserve">granted </w:t>
      </w:r>
      <w:r w:rsidRPr="00C006D9">
        <w:rPr>
          <w:rFonts w:ascii="Arial" w:hAnsi="Arial" w:cs="Arial"/>
        </w:rPr>
        <w:t>against persons unknown</w:t>
      </w:r>
      <w:r>
        <w:rPr>
          <w:rFonts w:ascii="Arial" w:hAnsi="Arial" w:cs="Arial"/>
        </w:rPr>
        <w:t xml:space="preserve"> but</w:t>
      </w:r>
      <w:r w:rsidR="003610CF">
        <w:rPr>
          <w:rFonts w:ascii="Arial" w:hAnsi="Arial" w:cs="Arial"/>
        </w:rPr>
        <w:t xml:space="preserve"> held</w:t>
      </w:r>
      <w:r>
        <w:rPr>
          <w:rFonts w:ascii="Arial" w:hAnsi="Arial" w:cs="Arial"/>
        </w:rPr>
        <w:t xml:space="preserve"> that a </w:t>
      </w:r>
      <w:r w:rsidRPr="00C006D9">
        <w:rPr>
          <w:rFonts w:ascii="Arial" w:hAnsi="Arial" w:cs="Arial"/>
        </w:rPr>
        <w:t xml:space="preserve">final injunction could only be made against parties who had been identified and </w:t>
      </w:r>
      <w:r>
        <w:rPr>
          <w:rFonts w:ascii="Arial" w:hAnsi="Arial" w:cs="Arial"/>
        </w:rPr>
        <w:t>who had the</w:t>
      </w:r>
      <w:r w:rsidRPr="00C006D9">
        <w:rPr>
          <w:rFonts w:ascii="Arial" w:hAnsi="Arial" w:cs="Arial"/>
        </w:rPr>
        <w:t xml:space="preserve"> opportunity</w:t>
      </w:r>
      <w:r>
        <w:rPr>
          <w:rFonts w:ascii="Arial" w:hAnsi="Arial" w:cs="Arial"/>
        </w:rPr>
        <w:t>, if the</w:t>
      </w:r>
      <w:r w:rsidR="008C5E15">
        <w:rPr>
          <w:rFonts w:ascii="Arial" w:hAnsi="Arial" w:cs="Arial"/>
        </w:rPr>
        <w:t>y wished</w:t>
      </w:r>
      <w:r>
        <w:rPr>
          <w:rFonts w:ascii="Arial" w:hAnsi="Arial" w:cs="Arial"/>
        </w:rPr>
        <w:t>,</w:t>
      </w:r>
      <w:r w:rsidRPr="00C006D9">
        <w:rPr>
          <w:rFonts w:ascii="Arial" w:hAnsi="Arial" w:cs="Arial"/>
        </w:rPr>
        <w:t xml:space="preserve"> to contest the final order sought</w:t>
      </w:r>
      <w:r>
        <w:rPr>
          <w:rFonts w:ascii="Arial" w:hAnsi="Arial" w:cs="Arial"/>
        </w:rPr>
        <w:t>.</w:t>
      </w:r>
    </w:p>
    <w:p w:rsidR="00C006D9" w:rsidRPr="00C006D9" w:rsidRDefault="00C006D9" w:rsidP="00C006D9">
      <w:pPr>
        <w:pStyle w:val="ListParagraph"/>
        <w:rPr>
          <w:rFonts w:ascii="Arial" w:hAnsi="Arial" w:cs="Arial"/>
        </w:rPr>
      </w:pPr>
    </w:p>
    <w:p w:rsidR="00445C16" w:rsidRDefault="003610CF" w:rsidP="00AF22DC">
      <w:pPr>
        <w:pStyle w:val="ListParagraph"/>
        <w:numPr>
          <w:ilvl w:val="0"/>
          <w:numId w:val="3"/>
        </w:numPr>
        <w:spacing w:line="360" w:lineRule="auto"/>
        <w:rPr>
          <w:rFonts w:ascii="Arial" w:hAnsi="Arial" w:cs="Arial"/>
        </w:rPr>
      </w:pPr>
      <w:r>
        <w:rPr>
          <w:rFonts w:ascii="Arial" w:hAnsi="Arial" w:cs="Arial"/>
        </w:rPr>
        <w:t xml:space="preserve">The </w:t>
      </w:r>
      <w:r w:rsidR="00147ABE">
        <w:rPr>
          <w:rFonts w:ascii="Arial" w:hAnsi="Arial" w:cs="Arial"/>
        </w:rPr>
        <w:t xml:space="preserve">Court of </w:t>
      </w:r>
      <w:r w:rsidR="00F8327C">
        <w:rPr>
          <w:rFonts w:ascii="Arial" w:hAnsi="Arial" w:cs="Arial"/>
        </w:rPr>
        <w:t>Appeal</w:t>
      </w:r>
      <w:r w:rsidR="00147ABE">
        <w:rPr>
          <w:rFonts w:ascii="Arial" w:hAnsi="Arial" w:cs="Arial"/>
        </w:rPr>
        <w:t xml:space="preserve"> </w:t>
      </w:r>
      <w:r>
        <w:rPr>
          <w:rFonts w:ascii="Arial" w:hAnsi="Arial" w:cs="Arial"/>
        </w:rPr>
        <w:t xml:space="preserve">however </w:t>
      </w:r>
      <w:r w:rsidR="00147ABE">
        <w:rPr>
          <w:rFonts w:ascii="Arial" w:hAnsi="Arial" w:cs="Arial"/>
        </w:rPr>
        <w:t xml:space="preserve">upheld the appeal and </w:t>
      </w:r>
      <w:r>
        <w:rPr>
          <w:rFonts w:ascii="Arial" w:hAnsi="Arial" w:cs="Arial"/>
        </w:rPr>
        <w:t xml:space="preserve">considered </w:t>
      </w:r>
      <w:r w:rsidR="00147ABE">
        <w:rPr>
          <w:rFonts w:ascii="Arial" w:hAnsi="Arial" w:cs="Arial"/>
        </w:rPr>
        <w:t xml:space="preserve">that a court is </w:t>
      </w:r>
      <w:r w:rsidR="00F8327C">
        <w:rPr>
          <w:rFonts w:ascii="Arial" w:hAnsi="Arial" w:cs="Arial"/>
        </w:rPr>
        <w:t>competent</w:t>
      </w:r>
      <w:r w:rsidR="00147ABE">
        <w:rPr>
          <w:rFonts w:ascii="Arial" w:hAnsi="Arial" w:cs="Arial"/>
        </w:rPr>
        <w:t xml:space="preserve"> to</w:t>
      </w:r>
      <w:r w:rsidR="00147ABE" w:rsidRPr="00147ABE">
        <w:rPr>
          <w:rFonts w:ascii="Arial" w:hAnsi="Arial" w:cs="Arial"/>
        </w:rPr>
        <w:t xml:space="preserve"> grant final injunctions </w:t>
      </w:r>
      <w:r w:rsidR="00147ABE">
        <w:rPr>
          <w:rFonts w:ascii="Arial" w:hAnsi="Arial" w:cs="Arial"/>
        </w:rPr>
        <w:t xml:space="preserve">which </w:t>
      </w:r>
      <w:r w:rsidR="00147ABE" w:rsidRPr="00147ABE">
        <w:rPr>
          <w:rFonts w:ascii="Arial" w:hAnsi="Arial" w:cs="Arial"/>
        </w:rPr>
        <w:t xml:space="preserve">prevent persons, who are unknown and unidentified at the date </w:t>
      </w:r>
      <w:r w:rsidR="00147ABE">
        <w:rPr>
          <w:rFonts w:ascii="Arial" w:hAnsi="Arial" w:cs="Arial"/>
        </w:rPr>
        <w:t>of the order, from occupying or</w:t>
      </w:r>
      <w:r w:rsidR="00147ABE" w:rsidRPr="00147ABE">
        <w:rPr>
          <w:rFonts w:ascii="Arial" w:hAnsi="Arial" w:cs="Arial"/>
        </w:rPr>
        <w:t xml:space="preserve"> trespassing on land</w:t>
      </w:r>
      <w:r w:rsidR="00147ABE">
        <w:rPr>
          <w:rFonts w:ascii="Arial" w:hAnsi="Arial" w:cs="Arial"/>
        </w:rPr>
        <w:t xml:space="preserve">. </w:t>
      </w:r>
    </w:p>
    <w:p w:rsidR="00445C16" w:rsidRPr="00445C16" w:rsidRDefault="00445C16" w:rsidP="00445C16">
      <w:pPr>
        <w:pStyle w:val="ListParagraph"/>
        <w:rPr>
          <w:rFonts w:ascii="Arial" w:hAnsi="Arial" w:cs="Arial"/>
        </w:rPr>
      </w:pPr>
    </w:p>
    <w:p w:rsidR="00D22B48" w:rsidRDefault="00147ABE" w:rsidP="00AF22DC">
      <w:pPr>
        <w:pStyle w:val="ListParagraph"/>
        <w:numPr>
          <w:ilvl w:val="0"/>
          <w:numId w:val="3"/>
        </w:numPr>
        <w:spacing w:line="360" w:lineRule="auto"/>
        <w:rPr>
          <w:rFonts w:ascii="Arial" w:hAnsi="Arial" w:cs="Arial"/>
        </w:rPr>
      </w:pPr>
      <w:r>
        <w:rPr>
          <w:rFonts w:ascii="Arial" w:hAnsi="Arial" w:cs="Arial"/>
        </w:rPr>
        <w:lastRenderedPageBreak/>
        <w:t xml:space="preserve">It </w:t>
      </w:r>
      <w:r w:rsidR="00445C16">
        <w:rPr>
          <w:rFonts w:ascii="Arial" w:hAnsi="Arial" w:cs="Arial"/>
        </w:rPr>
        <w:t xml:space="preserve">held that the purpose </w:t>
      </w:r>
      <w:r w:rsidR="00F8327C">
        <w:rPr>
          <w:rFonts w:ascii="Arial" w:hAnsi="Arial" w:cs="Arial"/>
        </w:rPr>
        <w:t>of interim</w:t>
      </w:r>
      <w:r w:rsidR="00445C16">
        <w:rPr>
          <w:rFonts w:ascii="Arial" w:hAnsi="Arial" w:cs="Arial"/>
        </w:rPr>
        <w:t xml:space="preserve"> </w:t>
      </w:r>
      <w:r>
        <w:rPr>
          <w:rFonts w:ascii="Arial" w:hAnsi="Arial" w:cs="Arial"/>
        </w:rPr>
        <w:t>re</w:t>
      </w:r>
      <w:r w:rsidR="00445C16">
        <w:rPr>
          <w:rFonts w:ascii="Arial" w:hAnsi="Arial" w:cs="Arial"/>
        </w:rPr>
        <w:t>lief was not</w:t>
      </w:r>
      <w:r w:rsidR="00D22B48">
        <w:rPr>
          <w:rFonts w:ascii="Arial" w:hAnsi="Arial" w:cs="Arial"/>
        </w:rPr>
        <w:t xml:space="preserve"> intended to</w:t>
      </w:r>
      <w:r w:rsidR="00445C16" w:rsidRPr="00D22B48">
        <w:rPr>
          <w:rFonts w:ascii="Arial" w:hAnsi="Arial" w:cs="Arial"/>
        </w:rPr>
        <w:t xml:space="preserve"> “</w:t>
      </w:r>
      <w:r w:rsidR="00D22B48" w:rsidRPr="00D22B48">
        <w:rPr>
          <w:rFonts w:ascii="Arial" w:hAnsi="Arial" w:cs="Arial"/>
          <w:i/>
        </w:rPr>
        <w:t>enable the claimant to identify wrongdoers, either by name or as anonymous persons</w:t>
      </w:r>
      <w:r w:rsidR="00D22B48" w:rsidRPr="00D22B48">
        <w:rPr>
          <w:rFonts w:ascii="Arial" w:hAnsi="Arial" w:cs="Arial"/>
        </w:rPr>
        <w:t xml:space="preserve"> … </w:t>
      </w:r>
      <w:r w:rsidR="00F8327C" w:rsidRPr="00D22B48">
        <w:rPr>
          <w:rFonts w:ascii="Arial" w:hAnsi="Arial" w:cs="Arial"/>
        </w:rPr>
        <w:t>“.</w:t>
      </w:r>
      <w:r w:rsidR="00D22B48">
        <w:rPr>
          <w:rFonts w:ascii="Arial" w:hAnsi="Arial" w:cs="Arial"/>
        </w:rPr>
        <w:t xml:space="preserve"> </w:t>
      </w:r>
      <w:r w:rsidR="008C5E15">
        <w:rPr>
          <w:rFonts w:ascii="Arial" w:hAnsi="Arial" w:cs="Arial"/>
        </w:rPr>
        <w:t>S</w:t>
      </w:r>
      <w:r w:rsidR="00D22B48">
        <w:rPr>
          <w:rFonts w:ascii="Arial" w:hAnsi="Arial" w:cs="Arial"/>
        </w:rPr>
        <w:t>uch reasoning</w:t>
      </w:r>
      <w:r w:rsidR="008C5E15">
        <w:rPr>
          <w:rFonts w:ascii="Arial" w:hAnsi="Arial" w:cs="Arial"/>
        </w:rPr>
        <w:t>, it said,</w:t>
      </w:r>
      <w:r w:rsidR="00D22B48">
        <w:rPr>
          <w:rFonts w:ascii="Arial" w:hAnsi="Arial" w:cs="Arial"/>
        </w:rPr>
        <w:t xml:space="preserve"> would ignore the finding in </w:t>
      </w:r>
      <w:r w:rsidR="00D22B48" w:rsidRPr="00D22B48">
        <w:rPr>
          <w:rFonts w:ascii="Arial" w:hAnsi="Arial" w:cs="Arial"/>
          <w:i/>
        </w:rPr>
        <w:t>Gammell</w:t>
      </w:r>
      <w:r w:rsidR="00D22B48">
        <w:rPr>
          <w:rFonts w:ascii="Arial" w:hAnsi="Arial" w:cs="Arial"/>
        </w:rPr>
        <w:t xml:space="preserve"> and </w:t>
      </w:r>
      <w:r w:rsidR="00D22B48" w:rsidRPr="00D22B48">
        <w:rPr>
          <w:rFonts w:ascii="Arial" w:hAnsi="Arial" w:cs="Arial"/>
          <w:i/>
        </w:rPr>
        <w:t>Canada Goose</w:t>
      </w:r>
      <w:r w:rsidR="00D22B48" w:rsidRPr="00D22B48">
        <w:rPr>
          <w:rFonts w:ascii="Arial" w:hAnsi="Arial" w:cs="Arial"/>
        </w:rPr>
        <w:t xml:space="preserve"> itself that </w:t>
      </w:r>
      <w:r w:rsidR="00F8327C">
        <w:rPr>
          <w:rFonts w:ascii="Arial" w:hAnsi="Arial" w:cs="Arial"/>
        </w:rPr>
        <w:t>“an</w:t>
      </w:r>
      <w:r w:rsidR="00D22B48" w:rsidRPr="008C5E15">
        <w:rPr>
          <w:rFonts w:ascii="Arial" w:hAnsi="Arial" w:cs="Arial"/>
          <w:i/>
        </w:rPr>
        <w:t xml:space="preserve"> unknown and unidentified person knowingly violating an injunction makes themselves parties to the action. Where an injunction is granted, whether on an interim or a final basis for a fixed period, the court retains the right to supervise and enforce it, including bringing before it parties violating it and thereby making themselves parties to the action</w:t>
      </w:r>
      <w:r w:rsidR="00D22B48" w:rsidRPr="00D22B48">
        <w:rPr>
          <w:rFonts w:ascii="Arial" w:hAnsi="Arial" w:cs="Arial"/>
        </w:rPr>
        <w:t>.</w:t>
      </w:r>
      <w:r w:rsidR="00D22B48">
        <w:rPr>
          <w:rFonts w:ascii="Arial" w:hAnsi="Arial" w:cs="Arial"/>
        </w:rPr>
        <w:t xml:space="preserve">” </w:t>
      </w:r>
      <w:r w:rsidR="008C5E15">
        <w:rPr>
          <w:rStyle w:val="FootnoteReference"/>
          <w:rFonts w:ascii="Arial" w:hAnsi="Arial" w:cs="Arial"/>
        </w:rPr>
        <w:footnoteReference w:id="140"/>
      </w:r>
    </w:p>
    <w:p w:rsidR="00D22B48" w:rsidRPr="00D22B48" w:rsidRDefault="00D22B48" w:rsidP="00D22B48">
      <w:pPr>
        <w:pStyle w:val="ListParagraph"/>
        <w:rPr>
          <w:rFonts w:ascii="Arial" w:hAnsi="Arial" w:cs="Arial"/>
        </w:rPr>
      </w:pPr>
    </w:p>
    <w:p w:rsidR="00445C16" w:rsidRDefault="00D22B48" w:rsidP="00D22B48">
      <w:pPr>
        <w:pStyle w:val="ListParagraph"/>
        <w:spacing w:line="360" w:lineRule="auto"/>
        <w:ind w:left="360"/>
        <w:rPr>
          <w:rFonts w:ascii="Arial" w:hAnsi="Arial" w:cs="Arial"/>
        </w:rPr>
      </w:pPr>
      <w:r>
        <w:rPr>
          <w:rFonts w:ascii="Arial" w:hAnsi="Arial" w:cs="Arial"/>
        </w:rPr>
        <w:t xml:space="preserve">The Court of </w:t>
      </w:r>
      <w:r w:rsidR="00F8327C">
        <w:rPr>
          <w:rFonts w:ascii="Arial" w:hAnsi="Arial" w:cs="Arial"/>
        </w:rPr>
        <w:t>Appeal</w:t>
      </w:r>
      <w:r>
        <w:rPr>
          <w:rFonts w:ascii="Arial" w:hAnsi="Arial" w:cs="Arial"/>
        </w:rPr>
        <w:t xml:space="preserve"> pertinently referred to </w:t>
      </w:r>
      <w:r w:rsidRPr="00D22B48">
        <w:rPr>
          <w:rFonts w:ascii="Arial" w:hAnsi="Arial" w:cs="Arial"/>
        </w:rPr>
        <w:t xml:space="preserve">point 7 of the guidelines in </w:t>
      </w:r>
      <w:r w:rsidRPr="00D22B48">
        <w:rPr>
          <w:rFonts w:ascii="Arial" w:hAnsi="Arial" w:cs="Arial"/>
          <w:i/>
        </w:rPr>
        <w:t>Canada Goose</w:t>
      </w:r>
      <w:r>
        <w:rPr>
          <w:rFonts w:ascii="Arial" w:hAnsi="Arial" w:cs="Arial"/>
        </w:rPr>
        <w:t xml:space="preserve"> </w:t>
      </w:r>
      <w:r w:rsidRPr="00D22B48">
        <w:rPr>
          <w:rFonts w:ascii="Arial" w:hAnsi="Arial" w:cs="Arial"/>
        </w:rPr>
        <w:t xml:space="preserve">which </w:t>
      </w:r>
      <w:r>
        <w:rPr>
          <w:rFonts w:ascii="Arial" w:hAnsi="Arial" w:cs="Arial"/>
        </w:rPr>
        <w:t xml:space="preserve">provides that </w:t>
      </w:r>
      <w:r w:rsidRPr="00D22B48">
        <w:rPr>
          <w:rFonts w:ascii="Arial" w:hAnsi="Arial" w:cs="Arial"/>
        </w:rPr>
        <w:t xml:space="preserve">a </w:t>
      </w:r>
      <w:r w:rsidR="0007653A">
        <w:rPr>
          <w:rFonts w:ascii="Arial" w:hAnsi="Arial" w:cs="Arial"/>
        </w:rPr>
        <w:t>“</w:t>
      </w:r>
      <w:r w:rsidRPr="0007653A">
        <w:rPr>
          <w:rFonts w:ascii="Arial" w:hAnsi="Arial" w:cs="Arial"/>
          <w:i/>
        </w:rPr>
        <w:t xml:space="preserve">persons </w:t>
      </w:r>
      <w:r w:rsidR="00EE2C3B" w:rsidRPr="0007653A">
        <w:rPr>
          <w:rFonts w:ascii="Arial" w:hAnsi="Arial" w:cs="Arial"/>
          <w:i/>
        </w:rPr>
        <w:t>unknown</w:t>
      </w:r>
      <w:r w:rsidR="00EE2C3B">
        <w:rPr>
          <w:rFonts w:ascii="Arial" w:hAnsi="Arial" w:cs="Arial"/>
          <w:i/>
        </w:rPr>
        <w:t xml:space="preserve">” </w:t>
      </w:r>
      <w:r w:rsidR="00EE2C3B" w:rsidRPr="00D22B48">
        <w:rPr>
          <w:rFonts w:ascii="Arial" w:hAnsi="Arial" w:cs="Arial"/>
        </w:rPr>
        <w:t>injunction</w:t>
      </w:r>
      <w:r w:rsidRPr="00D22B48">
        <w:rPr>
          <w:rFonts w:ascii="Arial" w:hAnsi="Arial" w:cs="Arial"/>
        </w:rPr>
        <w:t xml:space="preserve"> should have “</w:t>
      </w:r>
      <w:r w:rsidRPr="00D22B48">
        <w:rPr>
          <w:rFonts w:ascii="Arial" w:hAnsi="Arial" w:cs="Arial"/>
          <w:i/>
        </w:rPr>
        <w:t>clear geographical and temporal limits</w:t>
      </w:r>
      <w:r w:rsidRPr="00D22B48">
        <w:rPr>
          <w:rFonts w:ascii="Arial" w:hAnsi="Arial" w:cs="Arial"/>
        </w:rPr>
        <w:t xml:space="preserve">”. </w:t>
      </w:r>
      <w:r>
        <w:rPr>
          <w:rStyle w:val="FootnoteReference"/>
          <w:rFonts w:ascii="Arial" w:hAnsi="Arial" w:cs="Arial"/>
        </w:rPr>
        <w:footnoteReference w:id="141"/>
      </w:r>
    </w:p>
    <w:p w:rsidR="005D1F50" w:rsidRDefault="005D1F50" w:rsidP="00D22B48">
      <w:pPr>
        <w:pStyle w:val="ListParagraph"/>
        <w:spacing w:line="360" w:lineRule="auto"/>
        <w:ind w:left="360"/>
        <w:rPr>
          <w:rFonts w:ascii="Arial" w:hAnsi="Arial" w:cs="Arial"/>
        </w:rPr>
      </w:pPr>
    </w:p>
    <w:p w:rsidR="002317C8" w:rsidRDefault="002317C8" w:rsidP="00AF22DC">
      <w:pPr>
        <w:pStyle w:val="ListParagraph"/>
        <w:numPr>
          <w:ilvl w:val="0"/>
          <w:numId w:val="3"/>
        </w:numPr>
        <w:spacing w:line="360" w:lineRule="auto"/>
        <w:rPr>
          <w:rFonts w:ascii="Arial" w:hAnsi="Arial" w:cs="Arial"/>
        </w:rPr>
      </w:pPr>
      <w:r>
        <w:rPr>
          <w:rFonts w:ascii="Arial" w:hAnsi="Arial" w:cs="Arial"/>
        </w:rPr>
        <w:t>Unlike our law, injunctions are provided for in terms of original legislation, more particularly s 37 of the Senior Courts Act of 1981. The section provides that:</w:t>
      </w:r>
    </w:p>
    <w:p w:rsidR="002317C8" w:rsidRDefault="002317C8" w:rsidP="002317C8">
      <w:pPr>
        <w:pStyle w:val="ListParagraph"/>
        <w:spacing w:line="360" w:lineRule="auto"/>
        <w:ind w:left="360"/>
        <w:rPr>
          <w:rFonts w:ascii="Arial" w:hAnsi="Arial" w:cs="Arial"/>
        </w:rPr>
      </w:pPr>
    </w:p>
    <w:p w:rsidR="002317C8" w:rsidRDefault="002317C8" w:rsidP="002317C8">
      <w:pPr>
        <w:pStyle w:val="ListParagraph"/>
        <w:spacing w:line="360" w:lineRule="auto"/>
        <w:rPr>
          <w:rFonts w:ascii="Arial" w:hAnsi="Arial" w:cs="Arial"/>
        </w:rPr>
      </w:pPr>
      <w:r w:rsidRPr="002317C8">
        <w:rPr>
          <w:rFonts w:ascii="Arial" w:hAnsi="Arial" w:cs="Arial"/>
        </w:rPr>
        <w:t>“</w:t>
      </w:r>
      <w:r w:rsidRPr="002317C8">
        <w:rPr>
          <w:rFonts w:ascii="Arial" w:hAnsi="Arial" w:cs="Arial"/>
          <w:i/>
        </w:rPr>
        <w:t>the High Court may by order (whether interlocutory or final) grant an injunction … in all cases in which it appears to the court to be just and convenient to do so</w:t>
      </w:r>
      <w:r w:rsidRPr="002317C8">
        <w:rPr>
          <w:rFonts w:ascii="Arial" w:hAnsi="Arial" w:cs="Arial"/>
        </w:rPr>
        <w:t xml:space="preserve">”. </w:t>
      </w:r>
    </w:p>
    <w:p w:rsidR="002317C8" w:rsidRDefault="002317C8" w:rsidP="002317C8">
      <w:pPr>
        <w:pStyle w:val="ListParagraph"/>
        <w:spacing w:line="360" w:lineRule="auto"/>
        <w:rPr>
          <w:rFonts w:ascii="Arial" w:hAnsi="Arial" w:cs="Arial"/>
        </w:rPr>
      </w:pPr>
    </w:p>
    <w:p w:rsidR="00D22B48" w:rsidRDefault="002317C8" w:rsidP="002317C8">
      <w:pPr>
        <w:pStyle w:val="ListParagraph"/>
        <w:spacing w:line="360" w:lineRule="auto"/>
        <w:ind w:left="360"/>
        <w:rPr>
          <w:rFonts w:ascii="Arial" w:hAnsi="Arial" w:cs="Arial"/>
        </w:rPr>
      </w:pPr>
      <w:r>
        <w:rPr>
          <w:rFonts w:ascii="Arial" w:hAnsi="Arial" w:cs="Arial"/>
        </w:rPr>
        <w:t xml:space="preserve">In   </w:t>
      </w:r>
      <w:r w:rsidRPr="002317C8">
        <w:rPr>
          <w:rFonts w:ascii="Arial" w:hAnsi="Arial" w:cs="Arial"/>
          <w:i/>
        </w:rPr>
        <w:t>Borough of Barking</w:t>
      </w:r>
      <w:r w:rsidRPr="002317C8">
        <w:rPr>
          <w:rFonts w:ascii="Arial" w:hAnsi="Arial" w:cs="Arial"/>
        </w:rPr>
        <w:t xml:space="preserve"> </w:t>
      </w:r>
      <w:r w:rsidR="008C5E15">
        <w:rPr>
          <w:rFonts w:ascii="Arial" w:hAnsi="Arial" w:cs="Arial"/>
        </w:rPr>
        <w:t xml:space="preserve">the Court of Appeal </w:t>
      </w:r>
      <w:r>
        <w:rPr>
          <w:rFonts w:ascii="Arial" w:hAnsi="Arial" w:cs="Arial"/>
        </w:rPr>
        <w:t>noted that s 37 wa</w:t>
      </w:r>
      <w:r w:rsidRPr="002317C8">
        <w:rPr>
          <w:rFonts w:ascii="Arial" w:hAnsi="Arial" w:cs="Arial"/>
        </w:rPr>
        <w:t xml:space="preserve">s </w:t>
      </w:r>
      <w:r>
        <w:rPr>
          <w:rFonts w:ascii="Arial" w:hAnsi="Arial" w:cs="Arial"/>
        </w:rPr>
        <w:t xml:space="preserve">“ </w:t>
      </w:r>
      <w:r w:rsidRPr="002317C8">
        <w:rPr>
          <w:rFonts w:ascii="Arial" w:hAnsi="Arial" w:cs="Arial"/>
          <w:i/>
        </w:rPr>
        <w:t>a broad provision</w:t>
      </w:r>
      <w:r>
        <w:rPr>
          <w:rFonts w:ascii="Arial" w:hAnsi="Arial" w:cs="Arial"/>
          <w:i/>
        </w:rPr>
        <w:t xml:space="preserve">” </w:t>
      </w:r>
      <w:r w:rsidRPr="002317C8">
        <w:rPr>
          <w:rFonts w:ascii="Arial" w:hAnsi="Arial" w:cs="Arial"/>
        </w:rPr>
        <w:t xml:space="preserve"> </w:t>
      </w:r>
      <w:r>
        <w:rPr>
          <w:rFonts w:ascii="Arial" w:hAnsi="Arial" w:cs="Arial"/>
        </w:rPr>
        <w:t xml:space="preserve">and </w:t>
      </w:r>
      <w:r w:rsidRPr="002317C8">
        <w:rPr>
          <w:rFonts w:ascii="Arial" w:hAnsi="Arial" w:cs="Arial"/>
        </w:rPr>
        <w:t xml:space="preserve">that  </w:t>
      </w:r>
      <w:r>
        <w:rPr>
          <w:rFonts w:ascii="Arial" w:hAnsi="Arial" w:cs="Arial"/>
        </w:rPr>
        <w:t xml:space="preserve">“ </w:t>
      </w:r>
      <w:r w:rsidRPr="002317C8">
        <w:rPr>
          <w:rFonts w:ascii="Arial" w:hAnsi="Arial" w:cs="Arial"/>
          <w:i/>
        </w:rPr>
        <w:t>courts should not cut down the breadth of that provision by imposing limitations which may tie a future court’s hands in types of case that cannot now be predicted</w:t>
      </w:r>
      <w:r>
        <w:rPr>
          <w:rFonts w:ascii="Arial" w:hAnsi="Arial" w:cs="Arial"/>
        </w:rPr>
        <w:t>.”</w:t>
      </w:r>
      <w:r>
        <w:rPr>
          <w:rStyle w:val="FootnoteReference"/>
          <w:rFonts w:ascii="Arial" w:hAnsi="Arial" w:cs="Arial"/>
        </w:rPr>
        <w:footnoteReference w:id="142"/>
      </w:r>
    </w:p>
    <w:p w:rsidR="002317C8" w:rsidRDefault="002317C8" w:rsidP="002317C8">
      <w:pPr>
        <w:pStyle w:val="ListParagraph"/>
        <w:spacing w:line="360" w:lineRule="auto"/>
        <w:ind w:left="360"/>
        <w:rPr>
          <w:rFonts w:ascii="Arial" w:hAnsi="Arial" w:cs="Arial"/>
        </w:rPr>
      </w:pPr>
    </w:p>
    <w:p w:rsidR="008D44B5" w:rsidRDefault="00411095" w:rsidP="003610CF">
      <w:pPr>
        <w:pStyle w:val="ListParagraph"/>
        <w:numPr>
          <w:ilvl w:val="0"/>
          <w:numId w:val="3"/>
        </w:numPr>
        <w:spacing w:line="360" w:lineRule="auto"/>
        <w:rPr>
          <w:rFonts w:ascii="Arial" w:hAnsi="Arial" w:cs="Arial"/>
        </w:rPr>
      </w:pPr>
      <w:r>
        <w:rPr>
          <w:rFonts w:ascii="Arial" w:hAnsi="Arial" w:cs="Arial"/>
        </w:rPr>
        <w:t>T</w:t>
      </w:r>
      <w:r w:rsidR="002317C8">
        <w:rPr>
          <w:rFonts w:ascii="Arial" w:hAnsi="Arial" w:cs="Arial"/>
        </w:rPr>
        <w:t xml:space="preserve">he </w:t>
      </w:r>
      <w:r w:rsidR="008C5E15">
        <w:rPr>
          <w:rFonts w:ascii="Arial" w:hAnsi="Arial" w:cs="Arial"/>
        </w:rPr>
        <w:t>court also</w:t>
      </w:r>
      <w:r w:rsidR="002317C8">
        <w:rPr>
          <w:rFonts w:ascii="Arial" w:hAnsi="Arial" w:cs="Arial"/>
        </w:rPr>
        <w:t xml:space="preserve"> </w:t>
      </w:r>
      <w:r w:rsidR="008D44B5">
        <w:rPr>
          <w:rFonts w:ascii="Arial" w:hAnsi="Arial" w:cs="Arial"/>
        </w:rPr>
        <w:t xml:space="preserve">accepted that </w:t>
      </w:r>
      <w:r w:rsidR="008D44B5" w:rsidRPr="008D44B5">
        <w:rPr>
          <w:rFonts w:ascii="Arial" w:hAnsi="Arial" w:cs="Arial"/>
        </w:rPr>
        <w:t xml:space="preserve">a final injunction </w:t>
      </w:r>
      <w:r w:rsidR="008D44B5">
        <w:rPr>
          <w:rFonts w:ascii="Arial" w:hAnsi="Arial" w:cs="Arial"/>
        </w:rPr>
        <w:t xml:space="preserve">ordinarily </w:t>
      </w:r>
      <w:r w:rsidR="008D44B5" w:rsidRPr="008D44B5">
        <w:rPr>
          <w:rFonts w:ascii="Arial" w:hAnsi="Arial" w:cs="Arial"/>
        </w:rPr>
        <w:t>operates only between the parties to the proceedings</w:t>
      </w:r>
      <w:r w:rsidR="008D44B5">
        <w:rPr>
          <w:rFonts w:ascii="Arial" w:hAnsi="Arial" w:cs="Arial"/>
        </w:rPr>
        <w:t xml:space="preserve"> because </w:t>
      </w:r>
      <w:r w:rsidR="008D44B5" w:rsidRPr="008D44B5">
        <w:rPr>
          <w:rFonts w:ascii="Arial" w:hAnsi="Arial" w:cs="Arial"/>
        </w:rPr>
        <w:t xml:space="preserve">a person cannot be made subject to the jurisdiction of the court </w:t>
      </w:r>
      <w:r w:rsidR="008D44B5">
        <w:rPr>
          <w:rFonts w:ascii="Arial" w:hAnsi="Arial" w:cs="Arial"/>
        </w:rPr>
        <w:t>unless he or she first has</w:t>
      </w:r>
      <w:r w:rsidR="008D44B5" w:rsidRPr="008D44B5">
        <w:rPr>
          <w:rFonts w:ascii="Arial" w:hAnsi="Arial" w:cs="Arial"/>
        </w:rPr>
        <w:t xml:space="preserve"> notice of </w:t>
      </w:r>
      <w:r w:rsidR="008C5E15">
        <w:rPr>
          <w:rFonts w:ascii="Arial" w:hAnsi="Arial" w:cs="Arial"/>
        </w:rPr>
        <w:t>it</w:t>
      </w:r>
      <w:r w:rsidR="008D44B5" w:rsidRPr="008D44B5">
        <w:rPr>
          <w:rFonts w:ascii="Arial" w:hAnsi="Arial" w:cs="Arial"/>
        </w:rPr>
        <w:t xml:space="preserve"> </w:t>
      </w:r>
      <w:r w:rsidR="008D44B5">
        <w:rPr>
          <w:rFonts w:ascii="Arial" w:hAnsi="Arial" w:cs="Arial"/>
        </w:rPr>
        <w:t>so</w:t>
      </w:r>
      <w:r w:rsidR="00012CAF">
        <w:rPr>
          <w:rFonts w:ascii="Arial" w:hAnsi="Arial" w:cs="Arial"/>
        </w:rPr>
        <w:t xml:space="preserve"> as</w:t>
      </w:r>
      <w:r w:rsidR="003610CF">
        <w:rPr>
          <w:rFonts w:ascii="Arial" w:hAnsi="Arial" w:cs="Arial"/>
        </w:rPr>
        <w:t xml:space="preserve"> to</w:t>
      </w:r>
      <w:r w:rsidR="00012CAF">
        <w:rPr>
          <w:rFonts w:ascii="Arial" w:hAnsi="Arial" w:cs="Arial"/>
        </w:rPr>
        <w:t xml:space="preserve"> enable th</w:t>
      </w:r>
      <w:r w:rsidR="008C5E15">
        <w:rPr>
          <w:rFonts w:ascii="Arial" w:hAnsi="Arial" w:cs="Arial"/>
        </w:rPr>
        <w:t>e individual</w:t>
      </w:r>
      <w:r w:rsidR="00012CAF">
        <w:rPr>
          <w:rFonts w:ascii="Arial" w:hAnsi="Arial" w:cs="Arial"/>
        </w:rPr>
        <w:t xml:space="preserve"> to be heard.</w:t>
      </w:r>
      <w:r w:rsidR="00012CAF">
        <w:rPr>
          <w:rStyle w:val="FootnoteReference"/>
          <w:rFonts w:ascii="Arial" w:hAnsi="Arial" w:cs="Arial"/>
        </w:rPr>
        <w:footnoteReference w:id="143"/>
      </w:r>
      <w:r w:rsidR="008D44B5">
        <w:rPr>
          <w:rFonts w:ascii="Arial" w:hAnsi="Arial" w:cs="Arial"/>
        </w:rPr>
        <w:t xml:space="preserve"> </w:t>
      </w:r>
    </w:p>
    <w:p w:rsidR="003610CF" w:rsidRDefault="003610CF" w:rsidP="002317C8">
      <w:pPr>
        <w:pStyle w:val="ListParagraph"/>
        <w:spacing w:line="360" w:lineRule="auto"/>
        <w:ind w:left="360"/>
        <w:rPr>
          <w:rFonts w:ascii="Arial" w:hAnsi="Arial" w:cs="Arial"/>
        </w:rPr>
      </w:pPr>
    </w:p>
    <w:p w:rsidR="002317C8" w:rsidRDefault="008C5E15" w:rsidP="002317C8">
      <w:pPr>
        <w:pStyle w:val="ListParagraph"/>
        <w:spacing w:line="360" w:lineRule="auto"/>
        <w:ind w:left="360"/>
        <w:rPr>
          <w:rFonts w:ascii="Arial" w:hAnsi="Arial" w:cs="Arial"/>
        </w:rPr>
      </w:pPr>
      <w:r>
        <w:rPr>
          <w:rFonts w:ascii="Arial" w:hAnsi="Arial" w:cs="Arial"/>
        </w:rPr>
        <w:lastRenderedPageBreak/>
        <w:t>Nonetheless it</w:t>
      </w:r>
      <w:r w:rsidR="00012CAF">
        <w:rPr>
          <w:rFonts w:ascii="Arial" w:hAnsi="Arial" w:cs="Arial"/>
        </w:rPr>
        <w:t xml:space="preserve"> </w:t>
      </w:r>
      <w:r>
        <w:rPr>
          <w:rFonts w:ascii="Arial" w:hAnsi="Arial" w:cs="Arial"/>
        </w:rPr>
        <w:t xml:space="preserve">maintained </w:t>
      </w:r>
      <w:r w:rsidR="002317C8">
        <w:rPr>
          <w:rFonts w:ascii="Arial" w:hAnsi="Arial" w:cs="Arial"/>
        </w:rPr>
        <w:t>that:</w:t>
      </w:r>
    </w:p>
    <w:p w:rsidR="002317C8" w:rsidRDefault="002317C8" w:rsidP="002317C8">
      <w:pPr>
        <w:pStyle w:val="ListParagraph"/>
        <w:spacing w:line="360" w:lineRule="auto"/>
        <w:ind w:left="360"/>
        <w:rPr>
          <w:rFonts w:ascii="Arial" w:hAnsi="Arial" w:cs="Arial"/>
        </w:rPr>
      </w:pPr>
    </w:p>
    <w:p w:rsidR="002317C8" w:rsidRDefault="00F8327C" w:rsidP="002317C8">
      <w:pPr>
        <w:pStyle w:val="ListParagraph"/>
        <w:spacing w:line="360" w:lineRule="auto"/>
        <w:rPr>
          <w:rFonts w:ascii="Arial" w:hAnsi="Arial" w:cs="Arial"/>
          <w:i/>
        </w:rPr>
      </w:pPr>
      <w:r>
        <w:rPr>
          <w:rFonts w:ascii="Arial" w:hAnsi="Arial" w:cs="Arial"/>
          <w:i/>
        </w:rPr>
        <w:t>“Whilst</w:t>
      </w:r>
      <w:r w:rsidR="002317C8" w:rsidRPr="00411095">
        <w:rPr>
          <w:rFonts w:ascii="Arial" w:hAnsi="Arial" w:cs="Arial"/>
          <w:i/>
        </w:rPr>
        <w:t xml:space="preserve"> it is the court’s proper function to give procedural guidelines, the court cannot and should not limit in advance the types of injunction that may in future cases be held appropriate to make under section 37 </w:t>
      </w:r>
      <w:r w:rsidR="002317C8" w:rsidRPr="00411095">
        <w:rPr>
          <w:rFonts w:ascii="Arial" w:hAnsi="Arial" w:cs="Arial"/>
          <w:i/>
          <w:u w:val="single"/>
        </w:rPr>
        <w:t>against the world</w:t>
      </w:r>
      <w:r w:rsidR="002317C8" w:rsidRPr="00411095">
        <w:rPr>
          <w:rFonts w:ascii="Arial" w:hAnsi="Arial" w:cs="Arial"/>
          <w:i/>
        </w:rPr>
        <w:t>.</w:t>
      </w:r>
      <w:r w:rsidR="00411095">
        <w:rPr>
          <w:rFonts w:ascii="Arial" w:hAnsi="Arial" w:cs="Arial"/>
          <w:i/>
        </w:rPr>
        <w:t>”</w:t>
      </w:r>
    </w:p>
    <w:p w:rsidR="00411095" w:rsidRDefault="00411095" w:rsidP="002317C8">
      <w:pPr>
        <w:pStyle w:val="ListParagraph"/>
        <w:spacing w:line="360" w:lineRule="auto"/>
        <w:rPr>
          <w:rFonts w:ascii="Arial" w:hAnsi="Arial" w:cs="Arial"/>
        </w:rPr>
      </w:pPr>
      <w:r>
        <w:rPr>
          <w:rFonts w:ascii="Arial" w:hAnsi="Arial" w:cs="Arial"/>
        </w:rPr>
        <w:t>(emphasis added)</w:t>
      </w:r>
    </w:p>
    <w:p w:rsidR="00411095" w:rsidRDefault="00411095" w:rsidP="002317C8">
      <w:pPr>
        <w:pStyle w:val="ListParagraph"/>
        <w:spacing w:line="360" w:lineRule="auto"/>
        <w:rPr>
          <w:rFonts w:ascii="Arial" w:hAnsi="Arial" w:cs="Arial"/>
        </w:rPr>
      </w:pPr>
    </w:p>
    <w:p w:rsidR="008D44B5" w:rsidRDefault="00411095" w:rsidP="00411095">
      <w:pPr>
        <w:pStyle w:val="ListParagraph"/>
        <w:spacing w:line="360" w:lineRule="auto"/>
        <w:ind w:left="360"/>
        <w:rPr>
          <w:rFonts w:ascii="Arial" w:hAnsi="Arial" w:cs="Arial"/>
        </w:rPr>
      </w:pPr>
      <w:r>
        <w:rPr>
          <w:rFonts w:ascii="Arial" w:hAnsi="Arial" w:cs="Arial"/>
        </w:rPr>
        <w:t>On these foundations the court held that</w:t>
      </w:r>
      <w:r w:rsidR="000774C7">
        <w:rPr>
          <w:rFonts w:ascii="Arial" w:hAnsi="Arial" w:cs="Arial"/>
        </w:rPr>
        <w:t xml:space="preserve"> </w:t>
      </w:r>
      <w:r w:rsidR="00157763">
        <w:rPr>
          <w:rFonts w:ascii="Arial" w:hAnsi="Arial" w:cs="Arial"/>
        </w:rPr>
        <w:t>a</w:t>
      </w:r>
      <w:r>
        <w:rPr>
          <w:rFonts w:ascii="Arial" w:hAnsi="Arial" w:cs="Arial"/>
        </w:rPr>
        <w:t xml:space="preserve"> </w:t>
      </w:r>
      <w:r w:rsidRPr="00411095">
        <w:rPr>
          <w:rFonts w:ascii="Arial" w:hAnsi="Arial" w:cs="Arial"/>
        </w:rPr>
        <w:t xml:space="preserve">final injunction </w:t>
      </w:r>
      <w:r w:rsidR="00F8327C" w:rsidRPr="00411095">
        <w:rPr>
          <w:rFonts w:ascii="Arial" w:hAnsi="Arial" w:cs="Arial"/>
        </w:rPr>
        <w:t>can</w:t>
      </w:r>
      <w:r w:rsidR="00F8327C">
        <w:rPr>
          <w:rFonts w:ascii="Arial" w:hAnsi="Arial" w:cs="Arial"/>
        </w:rPr>
        <w:t xml:space="preserve"> </w:t>
      </w:r>
      <w:r w:rsidR="00F8327C" w:rsidRPr="00411095">
        <w:rPr>
          <w:rFonts w:ascii="Arial" w:hAnsi="Arial" w:cs="Arial"/>
        </w:rPr>
        <w:t>be</w:t>
      </w:r>
      <w:r w:rsidRPr="00411095">
        <w:rPr>
          <w:rFonts w:ascii="Arial" w:hAnsi="Arial" w:cs="Arial"/>
        </w:rPr>
        <w:t xml:space="preserve"> granted in a protester case against “</w:t>
      </w:r>
      <w:r w:rsidRPr="00411095">
        <w:rPr>
          <w:rFonts w:ascii="Arial" w:hAnsi="Arial" w:cs="Arial"/>
          <w:i/>
        </w:rPr>
        <w:t>persons unknown</w:t>
      </w:r>
      <w:r w:rsidRPr="00411095">
        <w:rPr>
          <w:rFonts w:ascii="Arial" w:hAnsi="Arial" w:cs="Arial"/>
        </w:rPr>
        <w:t xml:space="preserve">” </w:t>
      </w:r>
      <w:r>
        <w:rPr>
          <w:rFonts w:ascii="Arial" w:hAnsi="Arial" w:cs="Arial"/>
        </w:rPr>
        <w:t>even though</w:t>
      </w:r>
      <w:r w:rsidR="008D44B5">
        <w:rPr>
          <w:rFonts w:ascii="Arial" w:hAnsi="Arial" w:cs="Arial"/>
        </w:rPr>
        <w:t>;</w:t>
      </w:r>
    </w:p>
    <w:p w:rsidR="008D44B5" w:rsidRDefault="008D44B5" w:rsidP="00411095">
      <w:pPr>
        <w:pStyle w:val="ListParagraph"/>
        <w:spacing w:line="360" w:lineRule="auto"/>
        <w:ind w:left="360"/>
        <w:rPr>
          <w:rFonts w:ascii="Arial" w:hAnsi="Arial" w:cs="Arial"/>
        </w:rPr>
      </w:pPr>
    </w:p>
    <w:p w:rsidR="008D44B5" w:rsidRDefault="00411095" w:rsidP="000774C7">
      <w:pPr>
        <w:pStyle w:val="ListParagraph"/>
        <w:numPr>
          <w:ilvl w:val="1"/>
          <w:numId w:val="3"/>
        </w:numPr>
        <w:spacing w:line="360" w:lineRule="auto"/>
        <w:rPr>
          <w:rFonts w:ascii="Arial" w:hAnsi="Arial" w:cs="Arial"/>
        </w:rPr>
      </w:pPr>
      <w:r>
        <w:rPr>
          <w:rFonts w:ascii="Arial" w:hAnsi="Arial" w:cs="Arial"/>
        </w:rPr>
        <w:t xml:space="preserve">they were </w:t>
      </w:r>
      <w:r w:rsidRPr="00411095">
        <w:rPr>
          <w:rFonts w:ascii="Arial" w:hAnsi="Arial" w:cs="Arial"/>
        </w:rPr>
        <w:t>not parties at the date of the final order</w:t>
      </w:r>
      <w:r w:rsidR="008D44B5">
        <w:rPr>
          <w:rFonts w:ascii="Arial" w:hAnsi="Arial" w:cs="Arial"/>
        </w:rPr>
        <w:t xml:space="preserve"> (referred to as “</w:t>
      </w:r>
      <w:r w:rsidR="008D44B5" w:rsidRPr="008D44B5">
        <w:rPr>
          <w:rFonts w:ascii="Arial" w:hAnsi="Arial" w:cs="Arial"/>
          <w:i/>
        </w:rPr>
        <w:t>newcomers</w:t>
      </w:r>
      <w:r w:rsidR="008D44B5">
        <w:rPr>
          <w:rFonts w:ascii="Arial" w:hAnsi="Arial" w:cs="Arial"/>
        </w:rPr>
        <w:t>”);</w:t>
      </w:r>
    </w:p>
    <w:p w:rsidR="000774C7" w:rsidRDefault="000774C7" w:rsidP="000774C7">
      <w:pPr>
        <w:pStyle w:val="ListParagraph"/>
        <w:spacing w:line="360" w:lineRule="auto"/>
        <w:ind w:left="1080"/>
        <w:rPr>
          <w:rFonts w:ascii="Arial" w:hAnsi="Arial" w:cs="Arial"/>
        </w:rPr>
      </w:pPr>
    </w:p>
    <w:p w:rsidR="008D44B5" w:rsidRPr="000774C7" w:rsidRDefault="008D44B5" w:rsidP="000774C7">
      <w:pPr>
        <w:pStyle w:val="ListParagraph"/>
        <w:numPr>
          <w:ilvl w:val="1"/>
          <w:numId w:val="3"/>
        </w:numPr>
        <w:spacing w:line="360" w:lineRule="auto"/>
        <w:rPr>
          <w:rFonts w:ascii="Arial" w:hAnsi="Arial" w:cs="Arial"/>
        </w:rPr>
      </w:pPr>
      <w:r w:rsidRPr="000774C7">
        <w:rPr>
          <w:rFonts w:ascii="Arial" w:hAnsi="Arial" w:cs="Arial"/>
        </w:rPr>
        <w:t xml:space="preserve">they </w:t>
      </w:r>
      <w:r w:rsidR="00F8327C" w:rsidRPr="000774C7">
        <w:rPr>
          <w:rFonts w:ascii="Arial" w:hAnsi="Arial" w:cs="Arial"/>
        </w:rPr>
        <w:t>only committed</w:t>
      </w:r>
      <w:r w:rsidR="00411095" w:rsidRPr="000774C7">
        <w:rPr>
          <w:rFonts w:ascii="Arial" w:hAnsi="Arial" w:cs="Arial"/>
        </w:rPr>
        <w:t xml:space="preserve"> the prohibited acts </w:t>
      </w:r>
      <w:r w:rsidRPr="000774C7">
        <w:rPr>
          <w:rFonts w:ascii="Arial" w:hAnsi="Arial" w:cs="Arial"/>
        </w:rPr>
        <w:t>after the final order was granted;</w:t>
      </w:r>
    </w:p>
    <w:p w:rsidR="00012CAF" w:rsidRPr="00012CAF" w:rsidRDefault="00012CAF" w:rsidP="00012CAF">
      <w:pPr>
        <w:pStyle w:val="ListParagraph"/>
        <w:rPr>
          <w:rFonts w:ascii="Arial" w:hAnsi="Arial" w:cs="Arial"/>
        </w:rPr>
      </w:pPr>
    </w:p>
    <w:p w:rsidR="0007653A" w:rsidRDefault="003610CF" w:rsidP="003610CF">
      <w:pPr>
        <w:pStyle w:val="ListParagraph"/>
        <w:numPr>
          <w:ilvl w:val="0"/>
          <w:numId w:val="3"/>
        </w:numPr>
        <w:spacing w:line="360" w:lineRule="auto"/>
        <w:rPr>
          <w:rFonts w:ascii="Arial" w:hAnsi="Arial" w:cs="Arial"/>
        </w:rPr>
      </w:pPr>
      <w:r>
        <w:rPr>
          <w:rFonts w:ascii="Arial" w:hAnsi="Arial" w:cs="Arial"/>
        </w:rPr>
        <w:t>T</w:t>
      </w:r>
      <w:r w:rsidR="00012CAF">
        <w:rPr>
          <w:rFonts w:ascii="Arial" w:hAnsi="Arial" w:cs="Arial"/>
        </w:rPr>
        <w:t>he</w:t>
      </w:r>
      <w:r>
        <w:rPr>
          <w:rFonts w:ascii="Arial" w:hAnsi="Arial" w:cs="Arial"/>
        </w:rPr>
        <w:t xml:space="preserve"> Court of Appeal therefore found that there</w:t>
      </w:r>
      <w:r w:rsidR="0007653A">
        <w:rPr>
          <w:rFonts w:ascii="Arial" w:hAnsi="Arial" w:cs="Arial"/>
        </w:rPr>
        <w:t xml:space="preserve"> r</w:t>
      </w:r>
      <w:r w:rsidR="00F8327C">
        <w:rPr>
          <w:rFonts w:ascii="Arial" w:hAnsi="Arial" w:cs="Arial"/>
        </w:rPr>
        <w:t>emains</w:t>
      </w:r>
      <w:r w:rsidR="0007653A">
        <w:rPr>
          <w:rFonts w:ascii="Arial" w:hAnsi="Arial" w:cs="Arial"/>
        </w:rPr>
        <w:t xml:space="preserve"> a category of persons </w:t>
      </w:r>
      <w:r w:rsidR="00012CAF">
        <w:rPr>
          <w:rFonts w:ascii="Arial" w:hAnsi="Arial" w:cs="Arial"/>
        </w:rPr>
        <w:t>fall</w:t>
      </w:r>
      <w:r w:rsidR="0007653A">
        <w:rPr>
          <w:rFonts w:ascii="Arial" w:hAnsi="Arial" w:cs="Arial"/>
        </w:rPr>
        <w:t>ing</w:t>
      </w:r>
      <w:r w:rsidR="00012CAF">
        <w:rPr>
          <w:rFonts w:ascii="Arial" w:hAnsi="Arial" w:cs="Arial"/>
        </w:rPr>
        <w:t xml:space="preserve"> within the citation of “</w:t>
      </w:r>
      <w:r w:rsidR="00012CAF" w:rsidRPr="000774C7">
        <w:rPr>
          <w:rFonts w:ascii="Arial" w:hAnsi="Arial" w:cs="Arial"/>
          <w:i/>
        </w:rPr>
        <w:t>persons unknown</w:t>
      </w:r>
      <w:r w:rsidR="00012CAF">
        <w:rPr>
          <w:rFonts w:ascii="Arial" w:hAnsi="Arial" w:cs="Arial"/>
        </w:rPr>
        <w:t xml:space="preserve">” who had breached the interim injunction </w:t>
      </w:r>
      <w:r w:rsidR="00542F88">
        <w:rPr>
          <w:rFonts w:ascii="Arial" w:hAnsi="Arial" w:cs="Arial"/>
        </w:rPr>
        <w:t>and, although not joined as named persons, remain “</w:t>
      </w:r>
      <w:r w:rsidR="00012CAF" w:rsidRPr="00542F88">
        <w:rPr>
          <w:rFonts w:ascii="Arial" w:hAnsi="Arial" w:cs="Arial"/>
          <w:i/>
        </w:rPr>
        <w:t>identifiable albeit anonymous</w:t>
      </w:r>
      <w:r w:rsidR="00542F88">
        <w:rPr>
          <w:rFonts w:ascii="Arial" w:hAnsi="Arial" w:cs="Arial"/>
        </w:rPr>
        <w:t>”</w:t>
      </w:r>
      <w:r w:rsidR="00012CAF" w:rsidRPr="00012CAF">
        <w:rPr>
          <w:rFonts w:ascii="Arial" w:hAnsi="Arial" w:cs="Arial"/>
        </w:rPr>
        <w:t>. The</w:t>
      </w:r>
      <w:r w:rsidR="00542F88">
        <w:rPr>
          <w:rFonts w:ascii="Arial" w:hAnsi="Arial" w:cs="Arial"/>
        </w:rPr>
        <w:t xml:space="preserve">y </w:t>
      </w:r>
      <w:r w:rsidR="0007653A">
        <w:rPr>
          <w:rFonts w:ascii="Arial" w:hAnsi="Arial" w:cs="Arial"/>
        </w:rPr>
        <w:t>furthermore</w:t>
      </w:r>
      <w:r w:rsidR="00542F88">
        <w:rPr>
          <w:rFonts w:ascii="Arial" w:hAnsi="Arial" w:cs="Arial"/>
        </w:rPr>
        <w:t xml:space="preserve"> remain persons to whom the final order relates. </w:t>
      </w:r>
    </w:p>
    <w:p w:rsidR="0007653A" w:rsidRDefault="0007653A" w:rsidP="0007653A">
      <w:pPr>
        <w:pStyle w:val="ListParagraph"/>
        <w:spacing w:line="360" w:lineRule="auto"/>
        <w:ind w:left="360"/>
        <w:rPr>
          <w:rFonts w:ascii="Arial" w:hAnsi="Arial" w:cs="Arial"/>
        </w:rPr>
      </w:pPr>
    </w:p>
    <w:p w:rsidR="00012CAF" w:rsidRDefault="00542F88" w:rsidP="0007653A">
      <w:pPr>
        <w:pStyle w:val="ListParagraph"/>
        <w:spacing w:line="360" w:lineRule="auto"/>
        <w:ind w:left="360"/>
        <w:rPr>
          <w:rFonts w:ascii="Arial" w:hAnsi="Arial" w:cs="Arial"/>
        </w:rPr>
      </w:pPr>
      <w:r>
        <w:rPr>
          <w:rFonts w:ascii="Arial" w:hAnsi="Arial" w:cs="Arial"/>
        </w:rPr>
        <w:t>Accordingly “</w:t>
      </w:r>
      <w:r w:rsidRPr="00542F88">
        <w:rPr>
          <w:rFonts w:ascii="Arial" w:hAnsi="Arial" w:cs="Arial"/>
          <w:i/>
        </w:rPr>
        <w:t>o</w:t>
      </w:r>
      <w:r w:rsidR="00012CAF" w:rsidRPr="00542F88">
        <w:rPr>
          <w:rFonts w:ascii="Arial" w:hAnsi="Arial" w:cs="Arial"/>
          <w:i/>
        </w:rPr>
        <w:t>nce the trial has taken place and the rights of the parties have been determined, the litigation is at an end</w:t>
      </w:r>
      <w:r>
        <w:rPr>
          <w:rFonts w:ascii="Arial" w:hAnsi="Arial" w:cs="Arial"/>
        </w:rPr>
        <w:t>”</w:t>
      </w:r>
      <w:r w:rsidR="00012CAF" w:rsidRPr="00012CAF">
        <w:rPr>
          <w:rFonts w:ascii="Arial" w:hAnsi="Arial" w:cs="Arial"/>
        </w:rPr>
        <w:t>.</w:t>
      </w:r>
      <w:r>
        <w:rPr>
          <w:rStyle w:val="FootnoteReference"/>
          <w:rFonts w:ascii="Arial" w:hAnsi="Arial" w:cs="Arial"/>
        </w:rPr>
        <w:footnoteReference w:id="144"/>
      </w:r>
    </w:p>
    <w:p w:rsidR="0008432A" w:rsidRDefault="0008432A" w:rsidP="00012CAF">
      <w:pPr>
        <w:pStyle w:val="ListParagraph"/>
        <w:spacing w:line="360" w:lineRule="auto"/>
        <w:ind w:left="360"/>
        <w:rPr>
          <w:rFonts w:ascii="Arial" w:hAnsi="Arial" w:cs="Arial"/>
        </w:rPr>
      </w:pPr>
    </w:p>
    <w:p w:rsidR="00012CAF" w:rsidRDefault="003610CF" w:rsidP="0007653A">
      <w:pPr>
        <w:pStyle w:val="ListParagraph"/>
        <w:numPr>
          <w:ilvl w:val="0"/>
          <w:numId w:val="3"/>
        </w:numPr>
        <w:spacing w:line="360" w:lineRule="auto"/>
        <w:rPr>
          <w:rFonts w:ascii="Arial" w:hAnsi="Arial" w:cs="Arial"/>
        </w:rPr>
      </w:pPr>
      <w:r>
        <w:rPr>
          <w:rFonts w:ascii="Arial" w:hAnsi="Arial" w:cs="Arial"/>
        </w:rPr>
        <w:t>In c</w:t>
      </w:r>
      <w:r w:rsidR="0008432A">
        <w:rPr>
          <w:rFonts w:ascii="Arial" w:hAnsi="Arial" w:cs="Arial"/>
        </w:rPr>
        <w:t xml:space="preserve">ases involving </w:t>
      </w:r>
      <w:r w:rsidR="0007653A">
        <w:rPr>
          <w:rFonts w:ascii="Arial" w:hAnsi="Arial" w:cs="Arial"/>
        </w:rPr>
        <w:t>persons</w:t>
      </w:r>
      <w:r w:rsidR="0008432A" w:rsidRPr="0008432A">
        <w:rPr>
          <w:rFonts w:ascii="Arial" w:hAnsi="Arial" w:cs="Arial"/>
        </w:rPr>
        <w:t xml:space="preserve"> who are unknown and unidentified at the date of the </w:t>
      </w:r>
      <w:r w:rsidR="0008432A">
        <w:rPr>
          <w:rFonts w:ascii="Arial" w:hAnsi="Arial" w:cs="Arial"/>
        </w:rPr>
        <w:t>final injunction</w:t>
      </w:r>
      <w:r w:rsidR="0007653A">
        <w:rPr>
          <w:rFonts w:ascii="Arial" w:hAnsi="Arial" w:cs="Arial"/>
        </w:rPr>
        <w:t>,</w:t>
      </w:r>
      <w:r w:rsidR="0008432A">
        <w:rPr>
          <w:rFonts w:ascii="Arial" w:hAnsi="Arial" w:cs="Arial"/>
        </w:rPr>
        <w:t xml:space="preserve"> and who after such order </w:t>
      </w:r>
      <w:r w:rsidR="0008432A" w:rsidRPr="0008432A">
        <w:rPr>
          <w:rFonts w:ascii="Arial" w:hAnsi="Arial" w:cs="Arial"/>
        </w:rPr>
        <w:t>occupy</w:t>
      </w:r>
      <w:r w:rsidR="0008432A">
        <w:rPr>
          <w:rFonts w:ascii="Arial" w:hAnsi="Arial" w:cs="Arial"/>
        </w:rPr>
        <w:t xml:space="preserve"> or </w:t>
      </w:r>
      <w:r w:rsidR="0008432A" w:rsidRPr="0008432A">
        <w:rPr>
          <w:rFonts w:ascii="Arial" w:hAnsi="Arial" w:cs="Arial"/>
        </w:rPr>
        <w:t>trespass</w:t>
      </w:r>
      <w:r w:rsidR="0008432A">
        <w:rPr>
          <w:rFonts w:ascii="Arial" w:hAnsi="Arial" w:cs="Arial"/>
        </w:rPr>
        <w:t xml:space="preserve"> on </w:t>
      </w:r>
      <w:r w:rsidR="0008432A" w:rsidRPr="0008432A">
        <w:rPr>
          <w:rFonts w:ascii="Arial" w:hAnsi="Arial" w:cs="Arial"/>
        </w:rPr>
        <w:t>local authority land</w:t>
      </w:r>
      <w:r w:rsidR="0007653A">
        <w:rPr>
          <w:rFonts w:ascii="Arial" w:hAnsi="Arial" w:cs="Arial"/>
        </w:rPr>
        <w:t>,</w:t>
      </w:r>
      <w:r w:rsidR="0008432A">
        <w:rPr>
          <w:rFonts w:ascii="Arial" w:hAnsi="Arial" w:cs="Arial"/>
        </w:rPr>
        <w:t xml:space="preserve"> the Court of Appeal held that they will nonetheless be subject to</w:t>
      </w:r>
      <w:r w:rsidR="0007653A">
        <w:rPr>
          <w:rFonts w:ascii="Arial" w:hAnsi="Arial" w:cs="Arial"/>
        </w:rPr>
        <w:t xml:space="preserve"> the injunction </w:t>
      </w:r>
      <w:r w:rsidR="0008432A">
        <w:rPr>
          <w:rFonts w:ascii="Arial" w:hAnsi="Arial" w:cs="Arial"/>
        </w:rPr>
        <w:t xml:space="preserve">and subject to contempt of court proceedings </w:t>
      </w:r>
      <w:r w:rsidR="0007653A">
        <w:rPr>
          <w:rFonts w:ascii="Arial" w:hAnsi="Arial" w:cs="Arial"/>
        </w:rPr>
        <w:t xml:space="preserve">provided </w:t>
      </w:r>
      <w:r w:rsidR="00F8327C">
        <w:rPr>
          <w:rFonts w:ascii="Arial" w:hAnsi="Arial" w:cs="Arial"/>
        </w:rPr>
        <w:t>they</w:t>
      </w:r>
      <w:r w:rsidR="0007653A">
        <w:rPr>
          <w:rFonts w:ascii="Arial" w:hAnsi="Arial" w:cs="Arial"/>
        </w:rPr>
        <w:t xml:space="preserve"> had knowledge. T</w:t>
      </w:r>
      <w:r w:rsidR="0008432A">
        <w:rPr>
          <w:rFonts w:ascii="Arial" w:hAnsi="Arial" w:cs="Arial"/>
        </w:rPr>
        <w:t xml:space="preserve">he premise </w:t>
      </w:r>
      <w:r w:rsidR="0007653A">
        <w:rPr>
          <w:rFonts w:ascii="Arial" w:hAnsi="Arial" w:cs="Arial"/>
        </w:rPr>
        <w:t xml:space="preserve">is </w:t>
      </w:r>
      <w:r w:rsidR="0008432A">
        <w:rPr>
          <w:rFonts w:ascii="Arial" w:hAnsi="Arial" w:cs="Arial"/>
        </w:rPr>
        <w:t xml:space="preserve">that this falls within the category of exceptional cases where a court order can be effective against the whole world. </w:t>
      </w:r>
      <w:r w:rsidR="0008432A">
        <w:rPr>
          <w:rStyle w:val="FootnoteReference"/>
          <w:rFonts w:ascii="Arial" w:hAnsi="Arial" w:cs="Arial"/>
        </w:rPr>
        <w:footnoteReference w:id="145"/>
      </w:r>
      <w:r w:rsidR="0008432A" w:rsidRPr="0008432A">
        <w:rPr>
          <w:rFonts w:ascii="Arial" w:hAnsi="Arial" w:cs="Arial"/>
        </w:rPr>
        <w:t xml:space="preserve"> </w:t>
      </w:r>
    </w:p>
    <w:p w:rsidR="006376EA" w:rsidRDefault="006376EA" w:rsidP="00012CAF">
      <w:pPr>
        <w:pStyle w:val="ListParagraph"/>
        <w:spacing w:line="360" w:lineRule="auto"/>
        <w:ind w:left="360"/>
        <w:rPr>
          <w:rFonts w:ascii="Arial" w:hAnsi="Arial" w:cs="Arial"/>
        </w:rPr>
      </w:pPr>
    </w:p>
    <w:p w:rsidR="006376EA" w:rsidRDefault="006376EA" w:rsidP="00AF22DC">
      <w:pPr>
        <w:pStyle w:val="ListParagraph"/>
        <w:numPr>
          <w:ilvl w:val="0"/>
          <w:numId w:val="3"/>
        </w:numPr>
        <w:spacing w:line="360" w:lineRule="auto"/>
        <w:rPr>
          <w:rFonts w:ascii="Arial" w:hAnsi="Arial" w:cs="Arial"/>
        </w:rPr>
      </w:pPr>
      <w:r>
        <w:rPr>
          <w:rFonts w:ascii="Arial" w:hAnsi="Arial" w:cs="Arial"/>
        </w:rPr>
        <w:t xml:space="preserve">In amplification the court </w:t>
      </w:r>
      <w:r w:rsidR="00F8327C">
        <w:rPr>
          <w:rFonts w:ascii="Arial" w:hAnsi="Arial" w:cs="Arial"/>
        </w:rPr>
        <w:t>explained,</w:t>
      </w:r>
      <w:r>
        <w:rPr>
          <w:rFonts w:ascii="Arial" w:hAnsi="Arial" w:cs="Arial"/>
        </w:rPr>
        <w:t xml:space="preserve"> by reference to existing </w:t>
      </w:r>
      <w:r w:rsidR="003610CF">
        <w:rPr>
          <w:rFonts w:ascii="Arial" w:hAnsi="Arial" w:cs="Arial"/>
        </w:rPr>
        <w:t xml:space="preserve">English </w:t>
      </w:r>
      <w:r>
        <w:rPr>
          <w:rFonts w:ascii="Arial" w:hAnsi="Arial" w:cs="Arial"/>
        </w:rPr>
        <w:t>case law that:</w:t>
      </w:r>
    </w:p>
    <w:p w:rsidR="000774C7" w:rsidRDefault="000774C7" w:rsidP="006376EA">
      <w:pPr>
        <w:pStyle w:val="ListParagraph"/>
        <w:spacing w:line="360" w:lineRule="auto"/>
        <w:rPr>
          <w:rFonts w:ascii="Arial" w:hAnsi="Arial" w:cs="Arial"/>
        </w:rPr>
      </w:pPr>
    </w:p>
    <w:p w:rsidR="006376EA" w:rsidRDefault="00F8327C" w:rsidP="000774C7">
      <w:pPr>
        <w:pStyle w:val="ListParagraph"/>
        <w:spacing w:line="360" w:lineRule="auto"/>
        <w:ind w:left="1440"/>
        <w:rPr>
          <w:rFonts w:ascii="Arial" w:hAnsi="Arial" w:cs="Arial"/>
        </w:rPr>
      </w:pPr>
      <w:r>
        <w:rPr>
          <w:rFonts w:ascii="Arial" w:hAnsi="Arial" w:cs="Arial"/>
        </w:rPr>
        <w:t>“‘</w:t>
      </w:r>
      <w:r w:rsidR="006376EA" w:rsidRPr="006376EA">
        <w:rPr>
          <w:rFonts w:ascii="Arial" w:hAnsi="Arial" w:cs="Arial"/>
          <w:i/>
        </w:rPr>
        <w:t>[u]ntil an act infringing the order is committed, no-one is party to the proceedings. It is the act of infringing the order that makes the infringer a party”. Any person affected by the order could apply to set it aside under</w:t>
      </w:r>
      <w:r w:rsidR="006376EA">
        <w:rPr>
          <w:rFonts w:ascii="Arial" w:hAnsi="Arial" w:cs="Arial"/>
          <w:i/>
        </w:rPr>
        <w:t xml:space="preserve"> </w:t>
      </w:r>
      <w:r w:rsidR="006376EA" w:rsidRPr="006376EA">
        <w:rPr>
          <w:rFonts w:ascii="Arial" w:hAnsi="Arial" w:cs="Arial"/>
          <w:i/>
        </w:rPr>
        <w:t>CPR 40.9.</w:t>
      </w:r>
      <w:r w:rsidR="006376EA">
        <w:rPr>
          <w:rFonts w:ascii="Arial" w:hAnsi="Arial" w:cs="Arial"/>
          <w:i/>
        </w:rPr>
        <w:t>”</w:t>
      </w:r>
      <w:r w:rsidR="006376EA">
        <w:rPr>
          <w:rStyle w:val="FootnoteReference"/>
          <w:rFonts w:ascii="Arial" w:hAnsi="Arial" w:cs="Arial"/>
          <w:i/>
        </w:rPr>
        <w:footnoteReference w:id="146"/>
      </w:r>
    </w:p>
    <w:p w:rsidR="006376EA" w:rsidRDefault="006376EA" w:rsidP="006376EA">
      <w:pPr>
        <w:pStyle w:val="ListParagraph"/>
        <w:spacing w:line="360" w:lineRule="auto"/>
        <w:rPr>
          <w:rFonts w:ascii="Arial" w:hAnsi="Arial" w:cs="Arial"/>
        </w:rPr>
      </w:pPr>
    </w:p>
    <w:p w:rsidR="000774C7" w:rsidRDefault="00D52422" w:rsidP="006376EA">
      <w:pPr>
        <w:pStyle w:val="ListParagraph"/>
        <w:spacing w:line="360" w:lineRule="auto"/>
        <w:rPr>
          <w:rFonts w:ascii="Arial" w:hAnsi="Arial" w:cs="Arial"/>
        </w:rPr>
      </w:pPr>
      <w:r>
        <w:rPr>
          <w:rFonts w:ascii="Arial" w:hAnsi="Arial" w:cs="Arial"/>
        </w:rPr>
        <w:t>In this context therefore “</w:t>
      </w:r>
      <w:r w:rsidRPr="000774C7">
        <w:rPr>
          <w:rFonts w:ascii="Arial" w:hAnsi="Arial" w:cs="Arial"/>
          <w:i/>
        </w:rPr>
        <w:t>persons unknown</w:t>
      </w:r>
      <w:r>
        <w:rPr>
          <w:rFonts w:ascii="Arial" w:hAnsi="Arial" w:cs="Arial"/>
        </w:rPr>
        <w:t>” were “</w:t>
      </w:r>
      <w:r w:rsidRPr="000774C7">
        <w:rPr>
          <w:rFonts w:ascii="Arial" w:hAnsi="Arial" w:cs="Arial"/>
          <w:i/>
        </w:rPr>
        <w:t>served</w:t>
      </w:r>
      <w:r>
        <w:rPr>
          <w:rFonts w:ascii="Arial" w:hAnsi="Arial" w:cs="Arial"/>
        </w:rPr>
        <w:t>” and</w:t>
      </w:r>
      <w:r w:rsidR="000774C7">
        <w:rPr>
          <w:rFonts w:ascii="Arial" w:hAnsi="Arial" w:cs="Arial"/>
        </w:rPr>
        <w:t>,</w:t>
      </w:r>
      <w:r>
        <w:rPr>
          <w:rFonts w:ascii="Arial" w:hAnsi="Arial" w:cs="Arial"/>
        </w:rPr>
        <w:t xml:space="preserve"> </w:t>
      </w:r>
      <w:r w:rsidR="000774C7">
        <w:rPr>
          <w:rFonts w:ascii="Arial" w:hAnsi="Arial" w:cs="Arial"/>
        </w:rPr>
        <w:t xml:space="preserve">provided they had knowledge of the order, automatically </w:t>
      </w:r>
      <w:r w:rsidR="00F8327C">
        <w:rPr>
          <w:rFonts w:ascii="Arial" w:hAnsi="Arial" w:cs="Arial"/>
        </w:rPr>
        <w:t xml:space="preserve">became parties </w:t>
      </w:r>
      <w:r w:rsidR="000774C7">
        <w:rPr>
          <w:rFonts w:ascii="Arial" w:hAnsi="Arial" w:cs="Arial"/>
        </w:rPr>
        <w:t xml:space="preserve">when they </w:t>
      </w:r>
      <w:r>
        <w:rPr>
          <w:rFonts w:ascii="Arial" w:hAnsi="Arial" w:cs="Arial"/>
        </w:rPr>
        <w:t>violat</w:t>
      </w:r>
      <w:r w:rsidR="000774C7">
        <w:rPr>
          <w:rFonts w:ascii="Arial" w:hAnsi="Arial" w:cs="Arial"/>
        </w:rPr>
        <w:t>ed</w:t>
      </w:r>
      <w:r>
        <w:rPr>
          <w:rFonts w:ascii="Arial" w:hAnsi="Arial" w:cs="Arial"/>
        </w:rPr>
        <w:t xml:space="preserve"> the injunction. This was based on the ratio in </w:t>
      </w:r>
      <w:r w:rsidRPr="00D52422">
        <w:rPr>
          <w:rFonts w:ascii="Arial" w:hAnsi="Arial" w:cs="Arial"/>
          <w:i/>
        </w:rPr>
        <w:t>Gammell</w:t>
      </w:r>
      <w:r>
        <w:rPr>
          <w:rFonts w:ascii="Arial" w:hAnsi="Arial" w:cs="Arial"/>
        </w:rPr>
        <w:t>.</w:t>
      </w:r>
      <w:r>
        <w:rPr>
          <w:rStyle w:val="FootnoteReference"/>
          <w:rFonts w:ascii="Arial" w:hAnsi="Arial" w:cs="Arial"/>
        </w:rPr>
        <w:footnoteReference w:id="147"/>
      </w:r>
      <w:r>
        <w:rPr>
          <w:rFonts w:ascii="Arial" w:hAnsi="Arial" w:cs="Arial"/>
        </w:rPr>
        <w:t xml:space="preserve">. </w:t>
      </w:r>
    </w:p>
    <w:p w:rsidR="000774C7" w:rsidRDefault="000774C7" w:rsidP="006376EA">
      <w:pPr>
        <w:pStyle w:val="ListParagraph"/>
        <w:spacing w:line="360" w:lineRule="auto"/>
        <w:rPr>
          <w:rFonts w:ascii="Arial" w:hAnsi="Arial" w:cs="Arial"/>
        </w:rPr>
      </w:pPr>
    </w:p>
    <w:p w:rsidR="003610CF" w:rsidRDefault="00D52422" w:rsidP="003610CF">
      <w:pPr>
        <w:pStyle w:val="ListParagraph"/>
        <w:numPr>
          <w:ilvl w:val="0"/>
          <w:numId w:val="3"/>
        </w:numPr>
        <w:spacing w:line="360" w:lineRule="auto"/>
        <w:rPr>
          <w:rFonts w:ascii="Arial" w:hAnsi="Arial" w:cs="Arial"/>
        </w:rPr>
      </w:pPr>
      <w:r>
        <w:rPr>
          <w:rFonts w:ascii="Arial" w:hAnsi="Arial" w:cs="Arial"/>
        </w:rPr>
        <w:t xml:space="preserve">Furthermore, </w:t>
      </w:r>
      <w:r w:rsidR="000774C7">
        <w:rPr>
          <w:rFonts w:ascii="Arial" w:hAnsi="Arial" w:cs="Arial"/>
        </w:rPr>
        <w:t xml:space="preserve">because they had knowledge and became parties, </w:t>
      </w:r>
      <w:r w:rsidR="003610CF" w:rsidRPr="003610CF">
        <w:rPr>
          <w:rFonts w:ascii="Arial" w:hAnsi="Arial" w:cs="Arial"/>
          <w:i/>
        </w:rPr>
        <w:t xml:space="preserve">Borough of Barking </w:t>
      </w:r>
      <w:r w:rsidR="003610CF">
        <w:rPr>
          <w:rFonts w:ascii="Arial" w:hAnsi="Arial" w:cs="Arial"/>
        </w:rPr>
        <w:t xml:space="preserve">found that </w:t>
      </w:r>
      <w:r w:rsidR="0007653A">
        <w:rPr>
          <w:rFonts w:ascii="Arial" w:hAnsi="Arial" w:cs="Arial"/>
        </w:rPr>
        <w:t xml:space="preserve">the newcomers </w:t>
      </w:r>
      <w:r w:rsidR="000774C7">
        <w:rPr>
          <w:rFonts w:ascii="Arial" w:hAnsi="Arial" w:cs="Arial"/>
        </w:rPr>
        <w:t>had been entitled to</w:t>
      </w:r>
      <w:r w:rsidR="000774C7" w:rsidRPr="00D52422">
        <w:rPr>
          <w:rFonts w:ascii="Arial" w:hAnsi="Arial" w:cs="Arial"/>
        </w:rPr>
        <w:t xml:space="preserve"> contest </w:t>
      </w:r>
      <w:r w:rsidR="000774C7">
        <w:rPr>
          <w:rFonts w:ascii="Arial" w:hAnsi="Arial" w:cs="Arial"/>
        </w:rPr>
        <w:t xml:space="preserve">the order  </w:t>
      </w:r>
      <w:r>
        <w:rPr>
          <w:rFonts w:ascii="Arial" w:hAnsi="Arial" w:cs="Arial"/>
        </w:rPr>
        <w:t xml:space="preserve">before </w:t>
      </w:r>
      <w:r w:rsidR="000774C7">
        <w:rPr>
          <w:rFonts w:ascii="Arial" w:hAnsi="Arial" w:cs="Arial"/>
        </w:rPr>
        <w:t xml:space="preserve">it was sought to be </w:t>
      </w:r>
      <w:r>
        <w:rPr>
          <w:rFonts w:ascii="Arial" w:hAnsi="Arial" w:cs="Arial"/>
        </w:rPr>
        <w:t>enforce</w:t>
      </w:r>
      <w:r w:rsidR="000774C7">
        <w:rPr>
          <w:rFonts w:ascii="Arial" w:hAnsi="Arial" w:cs="Arial"/>
        </w:rPr>
        <w:t xml:space="preserve">d </w:t>
      </w:r>
      <w:r>
        <w:rPr>
          <w:rFonts w:ascii="Arial" w:hAnsi="Arial" w:cs="Arial"/>
        </w:rPr>
        <w:t>against them</w:t>
      </w:r>
      <w:r>
        <w:rPr>
          <w:rStyle w:val="FootnoteReference"/>
          <w:rFonts w:ascii="Arial" w:hAnsi="Arial" w:cs="Arial"/>
        </w:rPr>
        <w:footnoteReference w:id="148"/>
      </w:r>
      <w:r w:rsidR="00A611E8">
        <w:rPr>
          <w:rFonts w:ascii="Arial" w:hAnsi="Arial" w:cs="Arial"/>
        </w:rPr>
        <w:t xml:space="preserve">. </w:t>
      </w:r>
    </w:p>
    <w:p w:rsidR="003610CF" w:rsidRDefault="003610CF" w:rsidP="003610CF">
      <w:pPr>
        <w:pStyle w:val="ListParagraph"/>
        <w:spacing w:line="360" w:lineRule="auto"/>
        <w:ind w:left="360"/>
        <w:rPr>
          <w:rFonts w:ascii="Arial" w:hAnsi="Arial" w:cs="Arial"/>
        </w:rPr>
      </w:pPr>
    </w:p>
    <w:p w:rsidR="00D52422" w:rsidRDefault="00A611E8" w:rsidP="003610CF">
      <w:pPr>
        <w:pStyle w:val="ListParagraph"/>
        <w:spacing w:line="360" w:lineRule="auto"/>
        <w:ind w:left="360"/>
        <w:rPr>
          <w:rFonts w:ascii="Arial" w:hAnsi="Arial" w:cs="Arial"/>
        </w:rPr>
      </w:pPr>
      <w:r>
        <w:rPr>
          <w:rFonts w:ascii="Arial" w:hAnsi="Arial" w:cs="Arial"/>
        </w:rPr>
        <w:t>This however required reliance on the Civil P</w:t>
      </w:r>
      <w:r w:rsidR="008B65E4">
        <w:rPr>
          <w:rFonts w:ascii="Arial" w:hAnsi="Arial" w:cs="Arial"/>
        </w:rPr>
        <w:t>rocedure</w:t>
      </w:r>
      <w:r>
        <w:rPr>
          <w:rFonts w:ascii="Arial" w:hAnsi="Arial" w:cs="Arial"/>
        </w:rPr>
        <w:t xml:space="preserve"> Rule</w:t>
      </w:r>
      <w:r w:rsidR="008B65E4">
        <w:rPr>
          <w:rFonts w:ascii="Arial" w:hAnsi="Arial" w:cs="Arial"/>
        </w:rPr>
        <w:t>s</w:t>
      </w:r>
      <w:r>
        <w:rPr>
          <w:rFonts w:ascii="Arial" w:hAnsi="Arial" w:cs="Arial"/>
        </w:rPr>
        <w:t xml:space="preserve"> (CPR) 70.4</w:t>
      </w:r>
      <w:r w:rsidR="008B65E4">
        <w:rPr>
          <w:rFonts w:ascii="Arial" w:hAnsi="Arial" w:cs="Arial"/>
        </w:rPr>
        <w:t xml:space="preserve"> and 40.9 </w:t>
      </w:r>
      <w:r>
        <w:rPr>
          <w:rFonts w:ascii="Arial" w:hAnsi="Arial" w:cs="Arial"/>
        </w:rPr>
        <w:t xml:space="preserve"> which </w:t>
      </w:r>
      <w:r w:rsidR="00B16C18">
        <w:rPr>
          <w:rFonts w:ascii="Arial" w:hAnsi="Arial" w:cs="Arial"/>
        </w:rPr>
        <w:t xml:space="preserve">provide </w:t>
      </w:r>
      <w:r w:rsidR="008B65E4">
        <w:rPr>
          <w:rFonts w:ascii="Arial" w:hAnsi="Arial" w:cs="Arial"/>
        </w:rPr>
        <w:t xml:space="preserve">respectively that </w:t>
      </w:r>
      <w:r w:rsidRPr="00A611E8">
        <w:rPr>
          <w:rFonts w:ascii="Arial" w:hAnsi="Arial" w:cs="Arial"/>
        </w:rPr>
        <w:t>a judgme</w:t>
      </w:r>
      <w:r w:rsidR="00B16C18">
        <w:rPr>
          <w:rFonts w:ascii="Arial" w:hAnsi="Arial" w:cs="Arial"/>
        </w:rPr>
        <w:t xml:space="preserve">nt or order against </w:t>
      </w:r>
      <w:r w:rsidRPr="00B16C18">
        <w:rPr>
          <w:rFonts w:ascii="Arial" w:hAnsi="Arial" w:cs="Arial"/>
        </w:rPr>
        <w:t>a person who is not a party to proceedings</w:t>
      </w:r>
      <w:r w:rsidR="00B16C18">
        <w:rPr>
          <w:rFonts w:ascii="Arial" w:hAnsi="Arial" w:cs="Arial"/>
        </w:rPr>
        <w:t xml:space="preserve"> </w:t>
      </w:r>
      <w:r w:rsidRPr="00A611E8">
        <w:rPr>
          <w:rFonts w:ascii="Arial" w:hAnsi="Arial" w:cs="Arial"/>
        </w:rPr>
        <w:t>may be enforced “</w:t>
      </w:r>
      <w:r w:rsidRPr="00A611E8">
        <w:rPr>
          <w:rFonts w:ascii="Arial" w:hAnsi="Arial" w:cs="Arial"/>
          <w:i/>
        </w:rPr>
        <w:t>against that person by the same methods as if he were a party</w:t>
      </w:r>
      <w:r w:rsidRPr="00A611E8">
        <w:rPr>
          <w:rFonts w:ascii="Arial" w:hAnsi="Arial" w:cs="Arial"/>
        </w:rPr>
        <w:t>”</w:t>
      </w:r>
      <w:r w:rsidR="008B65E4">
        <w:rPr>
          <w:rFonts w:ascii="Arial" w:hAnsi="Arial" w:cs="Arial"/>
        </w:rPr>
        <w:t xml:space="preserve"> and that “</w:t>
      </w:r>
      <w:r w:rsidR="008B65E4" w:rsidRPr="008B65E4">
        <w:rPr>
          <w:rFonts w:ascii="Arial" w:hAnsi="Arial" w:cs="Arial"/>
          <w:i/>
        </w:rPr>
        <w:t xml:space="preserve">a person who is not a </w:t>
      </w:r>
      <w:r w:rsidR="00B16C18">
        <w:rPr>
          <w:rFonts w:ascii="Arial" w:hAnsi="Arial" w:cs="Arial"/>
          <w:i/>
        </w:rPr>
        <w:t>p</w:t>
      </w:r>
      <w:r w:rsidR="008B65E4" w:rsidRPr="008B65E4">
        <w:rPr>
          <w:rFonts w:ascii="Arial" w:hAnsi="Arial" w:cs="Arial"/>
          <w:i/>
        </w:rPr>
        <w:t xml:space="preserve">arty but who is directly affected by a judgment or </w:t>
      </w:r>
      <w:r w:rsidR="00F8327C" w:rsidRPr="008B65E4">
        <w:rPr>
          <w:rFonts w:ascii="Arial" w:hAnsi="Arial" w:cs="Arial"/>
          <w:i/>
        </w:rPr>
        <w:t>order</w:t>
      </w:r>
      <w:r w:rsidR="008B65E4" w:rsidRPr="008B65E4">
        <w:rPr>
          <w:rFonts w:ascii="Arial" w:hAnsi="Arial" w:cs="Arial"/>
          <w:i/>
        </w:rPr>
        <w:t xml:space="preserve"> may apply to have … (it) … set aside or varied”</w:t>
      </w:r>
      <w:r w:rsidR="008B65E4">
        <w:rPr>
          <w:rFonts w:ascii="Arial" w:hAnsi="Arial" w:cs="Arial"/>
        </w:rPr>
        <w:t>.</w:t>
      </w:r>
      <w:r>
        <w:rPr>
          <w:rStyle w:val="FootnoteReference"/>
          <w:rFonts w:ascii="Arial" w:hAnsi="Arial" w:cs="Arial"/>
        </w:rPr>
        <w:footnoteReference w:id="149"/>
      </w:r>
    </w:p>
    <w:p w:rsidR="00B16C18" w:rsidRDefault="00B16C18" w:rsidP="006376EA">
      <w:pPr>
        <w:pStyle w:val="ListParagraph"/>
        <w:spacing w:line="360" w:lineRule="auto"/>
        <w:rPr>
          <w:rFonts w:ascii="Arial" w:hAnsi="Arial" w:cs="Arial"/>
        </w:rPr>
      </w:pPr>
    </w:p>
    <w:p w:rsidR="00AF5F89" w:rsidRPr="003610CF" w:rsidRDefault="00B16C18" w:rsidP="003610CF">
      <w:pPr>
        <w:spacing w:line="360" w:lineRule="auto"/>
        <w:ind w:left="360"/>
        <w:rPr>
          <w:rFonts w:ascii="Arial" w:hAnsi="Arial" w:cs="Arial"/>
        </w:rPr>
      </w:pPr>
      <w:r w:rsidRPr="003610CF">
        <w:rPr>
          <w:rFonts w:ascii="Arial" w:hAnsi="Arial" w:cs="Arial"/>
        </w:rPr>
        <w:t>The</w:t>
      </w:r>
      <w:r w:rsidR="003610CF">
        <w:rPr>
          <w:rFonts w:ascii="Arial" w:hAnsi="Arial" w:cs="Arial"/>
        </w:rPr>
        <w:t xml:space="preserve"> </w:t>
      </w:r>
      <w:r w:rsidRPr="003610CF">
        <w:rPr>
          <w:rFonts w:ascii="Arial" w:hAnsi="Arial" w:cs="Arial"/>
          <w:i/>
        </w:rPr>
        <w:t>caveat</w:t>
      </w:r>
      <w:r w:rsidRPr="003610CF">
        <w:rPr>
          <w:rFonts w:ascii="Arial" w:hAnsi="Arial" w:cs="Arial"/>
        </w:rPr>
        <w:t xml:space="preserve"> </w:t>
      </w:r>
      <w:r w:rsidR="003610CF">
        <w:rPr>
          <w:rFonts w:ascii="Arial" w:hAnsi="Arial" w:cs="Arial"/>
        </w:rPr>
        <w:t xml:space="preserve">seems to be that </w:t>
      </w:r>
      <w:r w:rsidRPr="003610CF">
        <w:rPr>
          <w:rFonts w:ascii="Arial" w:hAnsi="Arial" w:cs="Arial"/>
        </w:rPr>
        <w:t xml:space="preserve">the final injunction itself </w:t>
      </w:r>
      <w:r w:rsidR="003610CF">
        <w:rPr>
          <w:rFonts w:ascii="Arial" w:hAnsi="Arial" w:cs="Arial"/>
        </w:rPr>
        <w:t xml:space="preserve">must be </w:t>
      </w:r>
      <w:r w:rsidRPr="003610CF">
        <w:rPr>
          <w:rFonts w:ascii="Arial" w:hAnsi="Arial" w:cs="Arial"/>
        </w:rPr>
        <w:t>stated to be for a fixed period</w:t>
      </w:r>
      <w:r w:rsidR="003610CF">
        <w:rPr>
          <w:rFonts w:ascii="Arial" w:hAnsi="Arial" w:cs="Arial"/>
        </w:rPr>
        <w:t xml:space="preserve">. This then affords the </w:t>
      </w:r>
      <w:r w:rsidRPr="003610CF">
        <w:rPr>
          <w:rFonts w:ascii="Arial" w:hAnsi="Arial" w:cs="Arial"/>
        </w:rPr>
        <w:t>court oversight powers</w:t>
      </w:r>
      <w:r w:rsidR="003610CF">
        <w:rPr>
          <w:rFonts w:ascii="Arial" w:hAnsi="Arial" w:cs="Arial"/>
        </w:rPr>
        <w:t>. I</w:t>
      </w:r>
      <w:r w:rsidR="00A53BBE" w:rsidRPr="003610CF">
        <w:rPr>
          <w:rFonts w:ascii="Arial" w:hAnsi="Arial" w:cs="Arial"/>
        </w:rPr>
        <w:t xml:space="preserve">n other </w:t>
      </w:r>
      <w:r w:rsidR="00157763" w:rsidRPr="003610CF">
        <w:rPr>
          <w:rFonts w:ascii="Arial" w:hAnsi="Arial" w:cs="Arial"/>
        </w:rPr>
        <w:t>words,</w:t>
      </w:r>
      <w:r w:rsidR="00A53BBE" w:rsidRPr="003610CF">
        <w:rPr>
          <w:rFonts w:ascii="Arial" w:hAnsi="Arial" w:cs="Arial"/>
        </w:rPr>
        <w:t xml:space="preserve"> the final injunction </w:t>
      </w:r>
      <w:r w:rsidR="003610CF">
        <w:rPr>
          <w:rFonts w:ascii="Arial" w:hAnsi="Arial" w:cs="Arial"/>
        </w:rPr>
        <w:t xml:space="preserve">in its terms </w:t>
      </w:r>
      <w:r w:rsidR="00A53BBE" w:rsidRPr="003610CF">
        <w:rPr>
          <w:rFonts w:ascii="Arial" w:hAnsi="Arial" w:cs="Arial"/>
        </w:rPr>
        <w:t>preve</w:t>
      </w:r>
      <w:r w:rsidR="003610CF">
        <w:rPr>
          <w:rFonts w:ascii="Arial" w:hAnsi="Arial" w:cs="Arial"/>
        </w:rPr>
        <w:t xml:space="preserve">nts trespass or occupation to a fixed future date of say a </w:t>
      </w:r>
      <w:r w:rsidR="00A53BBE" w:rsidRPr="003610CF">
        <w:rPr>
          <w:rFonts w:ascii="Arial" w:hAnsi="Arial" w:cs="Arial"/>
        </w:rPr>
        <w:t>year</w:t>
      </w:r>
      <w:r w:rsidRPr="003610CF">
        <w:rPr>
          <w:rFonts w:ascii="Arial" w:hAnsi="Arial" w:cs="Arial"/>
        </w:rPr>
        <w:t xml:space="preserve">. </w:t>
      </w:r>
      <w:r>
        <w:rPr>
          <w:rStyle w:val="FootnoteReference"/>
          <w:rFonts w:ascii="Arial" w:hAnsi="Arial" w:cs="Arial"/>
        </w:rPr>
        <w:footnoteReference w:id="150"/>
      </w:r>
    </w:p>
    <w:p w:rsidR="001341B9" w:rsidRDefault="001341B9" w:rsidP="006376EA">
      <w:pPr>
        <w:pStyle w:val="ListParagraph"/>
        <w:spacing w:line="360" w:lineRule="auto"/>
        <w:rPr>
          <w:rFonts w:ascii="Arial" w:hAnsi="Arial" w:cs="Arial"/>
        </w:rPr>
      </w:pPr>
    </w:p>
    <w:p w:rsidR="001341B9" w:rsidRDefault="001341B9" w:rsidP="00AF22DC">
      <w:pPr>
        <w:pStyle w:val="ListParagraph"/>
        <w:numPr>
          <w:ilvl w:val="0"/>
          <w:numId w:val="3"/>
        </w:numPr>
        <w:spacing w:line="360" w:lineRule="auto"/>
        <w:rPr>
          <w:rFonts w:ascii="Arial" w:hAnsi="Arial" w:cs="Arial"/>
        </w:rPr>
      </w:pPr>
      <w:r>
        <w:rPr>
          <w:rFonts w:ascii="Arial" w:hAnsi="Arial" w:cs="Arial"/>
        </w:rPr>
        <w:t xml:space="preserve">The Court of Appeal </w:t>
      </w:r>
      <w:r w:rsidR="003610CF">
        <w:rPr>
          <w:rFonts w:ascii="Arial" w:hAnsi="Arial" w:cs="Arial"/>
        </w:rPr>
        <w:t xml:space="preserve">in </w:t>
      </w:r>
      <w:r w:rsidR="003610CF" w:rsidRPr="003610CF">
        <w:rPr>
          <w:rFonts w:ascii="Arial" w:hAnsi="Arial" w:cs="Arial"/>
          <w:i/>
        </w:rPr>
        <w:t>Borough of Barking</w:t>
      </w:r>
      <w:r w:rsidR="003610CF">
        <w:rPr>
          <w:rFonts w:ascii="Arial" w:hAnsi="Arial" w:cs="Arial"/>
        </w:rPr>
        <w:t xml:space="preserve"> </w:t>
      </w:r>
      <w:r>
        <w:rPr>
          <w:rFonts w:ascii="Arial" w:hAnsi="Arial" w:cs="Arial"/>
        </w:rPr>
        <w:t>conclude</w:t>
      </w:r>
      <w:r w:rsidR="00F10C58">
        <w:rPr>
          <w:rFonts w:ascii="Arial" w:hAnsi="Arial" w:cs="Arial"/>
        </w:rPr>
        <w:t>d</w:t>
      </w:r>
      <w:r>
        <w:rPr>
          <w:rFonts w:ascii="Arial" w:hAnsi="Arial" w:cs="Arial"/>
        </w:rPr>
        <w:t xml:space="preserve"> that:</w:t>
      </w:r>
    </w:p>
    <w:p w:rsidR="001341B9" w:rsidRDefault="001341B9" w:rsidP="001341B9">
      <w:pPr>
        <w:spacing w:line="360" w:lineRule="auto"/>
        <w:rPr>
          <w:rFonts w:ascii="Arial" w:hAnsi="Arial" w:cs="Arial"/>
        </w:rPr>
      </w:pPr>
    </w:p>
    <w:p w:rsidR="001341B9" w:rsidRDefault="001341B9" w:rsidP="001341B9">
      <w:pPr>
        <w:spacing w:line="360" w:lineRule="auto"/>
        <w:ind w:left="1440"/>
        <w:rPr>
          <w:rFonts w:ascii="Arial" w:hAnsi="Arial" w:cs="Arial"/>
          <w:i/>
        </w:rPr>
      </w:pPr>
      <w:r>
        <w:rPr>
          <w:rFonts w:ascii="Arial" w:hAnsi="Arial" w:cs="Arial"/>
        </w:rPr>
        <w:t>“</w:t>
      </w:r>
      <w:r w:rsidRPr="001341B9">
        <w:rPr>
          <w:rFonts w:ascii="Arial" w:hAnsi="Arial" w:cs="Arial"/>
          <w:i/>
        </w:rPr>
        <w:t xml:space="preserve">The applicant must describe any persons unknown in the claim form by reference to photographs, things belonging to them or any other </w:t>
      </w:r>
      <w:r w:rsidRPr="001341B9">
        <w:rPr>
          <w:rFonts w:ascii="Arial" w:hAnsi="Arial" w:cs="Arial"/>
          <w:i/>
        </w:rPr>
        <w:lastRenderedPageBreak/>
        <w:t>evidence, and that description must be sufficiently clear to enable persons unknown to be served with the proceedings, whilst acknowledging that the court retains the power in appropriate cases to dispense with service or to permit service by an alternative method or at an alternative place. These safeguards and those referred to with approval earlier in this judgment are as much applicable to an injunction sought in an unauthorised encampment cases under section 187B as they are to one sought in such a case to restrain apprehended trespass or nuisance. Indeed, CPR 8APD.20 seems to me to have been drafted with the objective of providing, so far as possible, procedural coherence and consistency rather than separate procedures for different kinds of cases.</w:t>
      </w:r>
      <w:r>
        <w:rPr>
          <w:rStyle w:val="FootnoteReference"/>
          <w:rFonts w:ascii="Arial" w:hAnsi="Arial" w:cs="Arial"/>
          <w:i/>
        </w:rPr>
        <w:footnoteReference w:id="151"/>
      </w:r>
    </w:p>
    <w:p w:rsidR="00F10C58" w:rsidRDefault="00F10C58" w:rsidP="00F10C58">
      <w:pPr>
        <w:spacing w:line="360" w:lineRule="auto"/>
        <w:rPr>
          <w:rFonts w:ascii="Arial" w:hAnsi="Arial" w:cs="Arial"/>
        </w:rPr>
      </w:pPr>
      <w:r>
        <w:rPr>
          <w:rFonts w:ascii="Arial" w:hAnsi="Arial" w:cs="Arial"/>
        </w:rPr>
        <w:tab/>
      </w:r>
    </w:p>
    <w:p w:rsidR="00F10C58" w:rsidRPr="00976BCD" w:rsidRDefault="00025D81" w:rsidP="000774C7">
      <w:pPr>
        <w:spacing w:line="360" w:lineRule="auto"/>
        <w:ind w:left="720"/>
        <w:rPr>
          <w:rFonts w:ascii="Arial" w:hAnsi="Arial" w:cs="Arial"/>
        </w:rPr>
      </w:pPr>
      <w:r>
        <w:rPr>
          <w:rFonts w:ascii="Arial" w:hAnsi="Arial" w:cs="Arial"/>
        </w:rPr>
        <w:t>Moreover</w:t>
      </w:r>
      <w:r w:rsidR="003610CF">
        <w:rPr>
          <w:rFonts w:ascii="Arial" w:hAnsi="Arial" w:cs="Arial"/>
        </w:rPr>
        <w:t xml:space="preserve"> it said that</w:t>
      </w:r>
      <w:r w:rsidR="00F10C58">
        <w:rPr>
          <w:rFonts w:ascii="Arial" w:hAnsi="Arial" w:cs="Arial"/>
        </w:rPr>
        <w:t xml:space="preserve"> a</w:t>
      </w:r>
      <w:r w:rsidR="00F10C58" w:rsidRPr="00F10C58">
        <w:rPr>
          <w:rFonts w:ascii="Arial" w:hAnsi="Arial" w:cs="Arial"/>
        </w:rPr>
        <w:t xml:space="preserve"> court </w:t>
      </w:r>
      <w:r w:rsidR="00F8327C">
        <w:rPr>
          <w:rFonts w:ascii="Arial" w:hAnsi="Arial" w:cs="Arial"/>
        </w:rPr>
        <w:t>“</w:t>
      </w:r>
      <w:r w:rsidR="00F8327C" w:rsidRPr="003610CF">
        <w:rPr>
          <w:rFonts w:ascii="Arial" w:hAnsi="Arial" w:cs="Arial"/>
          <w:i/>
        </w:rPr>
        <w:t>cannot</w:t>
      </w:r>
      <w:r w:rsidR="00F10C58" w:rsidRPr="003610CF">
        <w:rPr>
          <w:rFonts w:ascii="Arial" w:hAnsi="Arial" w:cs="Arial"/>
          <w:i/>
        </w:rPr>
        <w:t xml:space="preserve"> </w:t>
      </w:r>
      <w:r w:rsidR="00F10C58" w:rsidRPr="00F10C58">
        <w:rPr>
          <w:rFonts w:ascii="Arial" w:hAnsi="Arial" w:cs="Arial"/>
          <w:i/>
        </w:rPr>
        <w:t>and should not limit in advance the types of injunction that may in future cases be held appropriate to make under section 37 against the world</w:t>
      </w:r>
      <w:r w:rsidR="00F10C58">
        <w:rPr>
          <w:rFonts w:ascii="Arial" w:hAnsi="Arial" w:cs="Arial"/>
        </w:rPr>
        <w:t xml:space="preserve">” </w:t>
      </w:r>
      <w:r w:rsidR="00047126">
        <w:rPr>
          <w:rFonts w:ascii="Arial" w:hAnsi="Arial" w:cs="Arial"/>
        </w:rPr>
        <w:t xml:space="preserve">and that a </w:t>
      </w:r>
      <w:r w:rsidR="00F8327C">
        <w:rPr>
          <w:rFonts w:ascii="Arial" w:hAnsi="Arial" w:cs="Arial"/>
        </w:rPr>
        <w:t>final injunction</w:t>
      </w:r>
      <w:r w:rsidR="00F10C58" w:rsidRPr="00F10C58">
        <w:rPr>
          <w:rFonts w:ascii="Arial" w:hAnsi="Arial" w:cs="Arial"/>
        </w:rPr>
        <w:t xml:space="preserve"> against persons unknown, </w:t>
      </w:r>
      <w:r w:rsidR="00F8327C">
        <w:rPr>
          <w:rFonts w:ascii="Arial" w:hAnsi="Arial" w:cs="Arial"/>
        </w:rPr>
        <w:t>“</w:t>
      </w:r>
      <w:r w:rsidR="00F8327C" w:rsidRPr="003610CF">
        <w:rPr>
          <w:rFonts w:ascii="Arial" w:hAnsi="Arial" w:cs="Arial"/>
          <w:i/>
        </w:rPr>
        <w:t>being</w:t>
      </w:r>
      <w:r w:rsidR="00F10C58" w:rsidRPr="003610CF">
        <w:rPr>
          <w:rFonts w:ascii="Arial" w:hAnsi="Arial" w:cs="Arial"/>
          <w:i/>
        </w:rPr>
        <w:t xml:space="preserve"> a</w:t>
      </w:r>
      <w:r w:rsidR="00F10C58" w:rsidRPr="00F10C58">
        <w:rPr>
          <w:rFonts w:ascii="Arial" w:hAnsi="Arial" w:cs="Arial"/>
          <w:i/>
        </w:rPr>
        <w:t xml:space="preserve"> species of injunction against all the world</w:t>
      </w:r>
      <w:r w:rsidR="00F8327C">
        <w:rPr>
          <w:rFonts w:ascii="Arial" w:hAnsi="Arial" w:cs="Arial"/>
        </w:rPr>
        <w:t>”,</w:t>
      </w:r>
      <w:r w:rsidR="00F10C58" w:rsidRPr="00F10C58">
        <w:rPr>
          <w:rFonts w:ascii="Arial" w:hAnsi="Arial" w:cs="Arial"/>
        </w:rPr>
        <w:t xml:space="preserve"> c</w:t>
      </w:r>
      <w:r w:rsidR="00F10C58">
        <w:rPr>
          <w:rFonts w:ascii="Arial" w:hAnsi="Arial" w:cs="Arial"/>
        </w:rPr>
        <w:t xml:space="preserve">an be granted </w:t>
      </w:r>
      <w:r w:rsidR="00F10C58" w:rsidRPr="00F10C58">
        <w:rPr>
          <w:rFonts w:ascii="Arial" w:hAnsi="Arial" w:cs="Arial"/>
        </w:rPr>
        <w:t>in unauthorised encampment cases</w:t>
      </w:r>
      <w:r w:rsidR="00047126">
        <w:rPr>
          <w:rFonts w:ascii="Arial" w:hAnsi="Arial" w:cs="Arial"/>
        </w:rPr>
        <w:t xml:space="preserve">. The court added </w:t>
      </w:r>
      <w:r w:rsidR="00F8327C">
        <w:rPr>
          <w:rFonts w:ascii="Arial" w:hAnsi="Arial" w:cs="Arial"/>
        </w:rPr>
        <w:t>that while</w:t>
      </w:r>
      <w:r w:rsidR="00047126">
        <w:rPr>
          <w:rFonts w:ascii="Arial" w:hAnsi="Arial" w:cs="Arial"/>
        </w:rPr>
        <w:t xml:space="preserve"> such cases are </w:t>
      </w:r>
      <w:r w:rsidR="00F10C58" w:rsidRPr="00F10C58">
        <w:rPr>
          <w:rFonts w:ascii="Arial" w:hAnsi="Arial" w:cs="Arial"/>
        </w:rPr>
        <w:t xml:space="preserve">exceptional, </w:t>
      </w:r>
      <w:r w:rsidR="00047126">
        <w:rPr>
          <w:rFonts w:ascii="Arial" w:hAnsi="Arial" w:cs="Arial"/>
        </w:rPr>
        <w:t xml:space="preserve">it does not </w:t>
      </w:r>
      <w:r w:rsidR="00F10C58" w:rsidRPr="00F10C58">
        <w:rPr>
          <w:rFonts w:ascii="Arial" w:hAnsi="Arial" w:cs="Arial"/>
        </w:rPr>
        <w:t xml:space="preserve">mean that other categories </w:t>
      </w:r>
      <w:r w:rsidR="00976BCD">
        <w:rPr>
          <w:rFonts w:ascii="Arial" w:hAnsi="Arial" w:cs="Arial"/>
        </w:rPr>
        <w:t xml:space="preserve">cannot be added where the relief is </w:t>
      </w:r>
      <w:r w:rsidR="00F10C58" w:rsidRPr="00F10C58">
        <w:rPr>
          <w:rFonts w:ascii="Arial" w:hAnsi="Arial" w:cs="Arial"/>
        </w:rPr>
        <w:t xml:space="preserve">shown to </w:t>
      </w:r>
      <w:r w:rsidR="00976BCD">
        <w:rPr>
          <w:rFonts w:ascii="Arial" w:hAnsi="Arial" w:cs="Arial"/>
        </w:rPr>
        <w:t>be proportionate and justified and that “</w:t>
      </w:r>
      <w:r w:rsidR="00F10C58" w:rsidRPr="00976BCD">
        <w:rPr>
          <w:rFonts w:ascii="Arial" w:hAnsi="Arial" w:cs="Arial"/>
          <w:i/>
        </w:rPr>
        <w:t>the court cannot and should not limit in advance the types of injunction that may in future cases be held appropriate</w:t>
      </w:r>
      <w:r w:rsidR="00976BCD">
        <w:rPr>
          <w:rFonts w:ascii="Arial" w:hAnsi="Arial" w:cs="Arial"/>
          <w:i/>
        </w:rPr>
        <w:t xml:space="preserve">”. </w:t>
      </w:r>
      <w:r w:rsidR="00976BCD">
        <w:rPr>
          <w:rStyle w:val="FootnoteReference"/>
          <w:rFonts w:ascii="Arial" w:hAnsi="Arial" w:cs="Arial"/>
          <w:i/>
        </w:rPr>
        <w:footnoteReference w:id="152"/>
      </w:r>
    </w:p>
    <w:p w:rsidR="00F10C58" w:rsidRPr="001341B9" w:rsidRDefault="00F10C58" w:rsidP="001341B9">
      <w:pPr>
        <w:spacing w:line="360" w:lineRule="auto"/>
        <w:ind w:left="1440"/>
        <w:rPr>
          <w:rFonts w:ascii="Arial" w:hAnsi="Arial" w:cs="Arial"/>
          <w:i/>
        </w:rPr>
      </w:pPr>
    </w:p>
    <w:p w:rsidR="001341B9" w:rsidRPr="00AE6ECA" w:rsidRDefault="00AE6ECA" w:rsidP="00AF22DC">
      <w:pPr>
        <w:pStyle w:val="ListParagraph"/>
        <w:numPr>
          <w:ilvl w:val="0"/>
          <w:numId w:val="3"/>
        </w:numPr>
        <w:spacing w:line="360" w:lineRule="auto"/>
        <w:rPr>
          <w:rFonts w:ascii="Arial" w:hAnsi="Arial" w:cs="Arial"/>
        </w:rPr>
      </w:pPr>
      <w:r>
        <w:rPr>
          <w:rFonts w:ascii="Arial" w:hAnsi="Arial" w:cs="Arial"/>
        </w:rPr>
        <w:t xml:space="preserve">Despite holding that </w:t>
      </w:r>
      <w:r>
        <w:rPr>
          <w:rFonts w:ascii="Arial" w:hAnsi="Arial" w:cs="Arial"/>
          <w:i/>
        </w:rPr>
        <w:t xml:space="preserve">Canada Goose </w:t>
      </w:r>
      <w:r>
        <w:rPr>
          <w:rFonts w:ascii="Arial" w:hAnsi="Arial" w:cs="Arial"/>
        </w:rPr>
        <w:t xml:space="preserve">was incorrect to restrict the application of </w:t>
      </w:r>
      <w:r>
        <w:rPr>
          <w:rFonts w:ascii="Arial" w:hAnsi="Arial" w:cs="Arial"/>
          <w:i/>
        </w:rPr>
        <w:t xml:space="preserve">Gammell </w:t>
      </w:r>
      <w:r>
        <w:rPr>
          <w:rFonts w:ascii="Arial" w:hAnsi="Arial" w:cs="Arial"/>
        </w:rPr>
        <w:t xml:space="preserve">to interim injunctions which were still pending, </w:t>
      </w:r>
      <w:r w:rsidRPr="00AE6ECA">
        <w:rPr>
          <w:rFonts w:ascii="Arial" w:hAnsi="Arial" w:cs="Arial"/>
          <w:i/>
        </w:rPr>
        <w:t>Borough</w:t>
      </w:r>
      <w:r w:rsidR="003610CF">
        <w:rPr>
          <w:rFonts w:ascii="Arial" w:hAnsi="Arial" w:cs="Arial"/>
          <w:i/>
        </w:rPr>
        <w:t xml:space="preserve"> of Barking</w:t>
      </w:r>
      <w:r>
        <w:rPr>
          <w:rFonts w:ascii="Arial" w:hAnsi="Arial" w:cs="Arial"/>
        </w:rPr>
        <w:t xml:space="preserve"> noted that </w:t>
      </w:r>
      <w:r w:rsidRPr="00AE6ECA">
        <w:rPr>
          <w:rFonts w:ascii="Arial" w:hAnsi="Arial" w:cs="Arial"/>
        </w:rPr>
        <w:t xml:space="preserve"> </w:t>
      </w:r>
      <w:r>
        <w:rPr>
          <w:rFonts w:ascii="Arial" w:hAnsi="Arial" w:cs="Arial"/>
        </w:rPr>
        <w:t xml:space="preserve">subject to certain limitations </w:t>
      </w:r>
      <w:r w:rsidRPr="00AE6ECA">
        <w:rPr>
          <w:rFonts w:ascii="Arial" w:hAnsi="Arial" w:cs="Arial"/>
        </w:rPr>
        <w:t xml:space="preserve">the guidelines </w:t>
      </w:r>
      <w:r>
        <w:rPr>
          <w:rFonts w:ascii="Arial" w:hAnsi="Arial" w:cs="Arial"/>
        </w:rPr>
        <w:t xml:space="preserve">set </w:t>
      </w:r>
      <w:r w:rsidRPr="00AE6ECA">
        <w:rPr>
          <w:rFonts w:ascii="Arial" w:hAnsi="Arial" w:cs="Arial"/>
        </w:rPr>
        <w:t xml:space="preserve">in </w:t>
      </w:r>
      <w:r w:rsidRPr="00AE6ECA">
        <w:rPr>
          <w:rFonts w:ascii="Arial" w:hAnsi="Arial" w:cs="Arial"/>
          <w:i/>
        </w:rPr>
        <w:t>Canada Goose</w:t>
      </w:r>
      <w:r w:rsidRPr="00AE6ECA">
        <w:rPr>
          <w:rFonts w:ascii="Arial" w:hAnsi="Arial" w:cs="Arial"/>
        </w:rPr>
        <w:t xml:space="preserve"> </w:t>
      </w:r>
      <w:r>
        <w:rPr>
          <w:rFonts w:ascii="Arial" w:hAnsi="Arial" w:cs="Arial"/>
        </w:rPr>
        <w:t>had to be followed.</w:t>
      </w:r>
      <w:r>
        <w:rPr>
          <w:rStyle w:val="FootnoteReference"/>
          <w:rFonts w:ascii="Arial" w:hAnsi="Arial" w:cs="Arial"/>
        </w:rPr>
        <w:footnoteReference w:id="153"/>
      </w:r>
    </w:p>
    <w:p w:rsidR="00F10C58" w:rsidRDefault="00F10C58" w:rsidP="00F10C58">
      <w:pPr>
        <w:pStyle w:val="ListParagraph"/>
        <w:spacing w:line="360" w:lineRule="auto"/>
        <w:ind w:left="360"/>
        <w:rPr>
          <w:rFonts w:ascii="Arial" w:hAnsi="Arial" w:cs="Arial"/>
        </w:rPr>
      </w:pPr>
    </w:p>
    <w:p w:rsidR="00445C16" w:rsidRPr="00025D81" w:rsidRDefault="00F10C58" w:rsidP="00025D81">
      <w:pPr>
        <w:pStyle w:val="ListParagraph"/>
        <w:numPr>
          <w:ilvl w:val="0"/>
          <w:numId w:val="3"/>
        </w:numPr>
        <w:spacing w:line="360" w:lineRule="auto"/>
        <w:rPr>
          <w:rFonts w:ascii="Arial" w:hAnsi="Arial" w:cs="Arial"/>
        </w:rPr>
      </w:pPr>
      <w:r>
        <w:rPr>
          <w:rFonts w:ascii="Arial" w:hAnsi="Arial" w:cs="Arial"/>
        </w:rPr>
        <w:t>Th</w:t>
      </w:r>
      <w:r w:rsidR="00BD5461">
        <w:rPr>
          <w:rFonts w:ascii="Arial" w:hAnsi="Arial" w:cs="Arial"/>
        </w:rPr>
        <w:t xml:space="preserve">is case has settled the </w:t>
      </w:r>
      <w:r w:rsidR="00F8327C">
        <w:rPr>
          <w:rFonts w:ascii="Arial" w:hAnsi="Arial" w:cs="Arial"/>
        </w:rPr>
        <w:t>difficulty</w:t>
      </w:r>
      <w:r w:rsidR="003610CF">
        <w:rPr>
          <w:rFonts w:ascii="Arial" w:hAnsi="Arial" w:cs="Arial"/>
        </w:rPr>
        <w:t xml:space="preserve"> created by</w:t>
      </w:r>
      <w:r w:rsidR="000774C7">
        <w:rPr>
          <w:rFonts w:ascii="Arial" w:hAnsi="Arial" w:cs="Arial"/>
        </w:rPr>
        <w:t xml:space="preserve"> </w:t>
      </w:r>
      <w:r w:rsidR="00BD5461">
        <w:rPr>
          <w:rFonts w:ascii="Arial" w:hAnsi="Arial" w:cs="Arial"/>
        </w:rPr>
        <w:t xml:space="preserve">earlier </w:t>
      </w:r>
      <w:r w:rsidR="000774C7">
        <w:rPr>
          <w:rFonts w:ascii="Arial" w:hAnsi="Arial" w:cs="Arial"/>
        </w:rPr>
        <w:t xml:space="preserve">Court of Appeal </w:t>
      </w:r>
      <w:r w:rsidR="000774C7" w:rsidRPr="003610CF">
        <w:rPr>
          <w:rFonts w:ascii="Arial" w:hAnsi="Arial" w:cs="Arial"/>
        </w:rPr>
        <w:t>decisions</w:t>
      </w:r>
      <w:r w:rsidR="000774C7">
        <w:rPr>
          <w:rFonts w:ascii="Arial" w:hAnsi="Arial" w:cs="Arial"/>
        </w:rPr>
        <w:t xml:space="preserve"> </w:t>
      </w:r>
      <w:r w:rsidR="00E90078">
        <w:rPr>
          <w:rFonts w:ascii="Arial" w:hAnsi="Arial" w:cs="Arial"/>
        </w:rPr>
        <w:t>which app</w:t>
      </w:r>
      <w:r w:rsidR="003610CF">
        <w:rPr>
          <w:rFonts w:ascii="Arial" w:hAnsi="Arial" w:cs="Arial"/>
        </w:rPr>
        <w:t xml:space="preserve">eared to hold that, </w:t>
      </w:r>
      <w:r w:rsidR="00BD5461">
        <w:rPr>
          <w:rFonts w:ascii="Arial" w:hAnsi="Arial" w:cs="Arial"/>
        </w:rPr>
        <w:t xml:space="preserve">once there was what </w:t>
      </w:r>
      <w:r w:rsidR="000774C7">
        <w:rPr>
          <w:rFonts w:ascii="Arial" w:hAnsi="Arial" w:cs="Arial"/>
        </w:rPr>
        <w:t xml:space="preserve">we </w:t>
      </w:r>
      <w:r w:rsidR="00BD5461">
        <w:rPr>
          <w:rFonts w:ascii="Arial" w:hAnsi="Arial" w:cs="Arial"/>
        </w:rPr>
        <w:t xml:space="preserve">would </w:t>
      </w:r>
      <w:r w:rsidR="003610CF">
        <w:rPr>
          <w:rFonts w:ascii="Arial" w:hAnsi="Arial" w:cs="Arial"/>
        </w:rPr>
        <w:t xml:space="preserve">term </w:t>
      </w:r>
      <w:r w:rsidR="00BD5461">
        <w:rPr>
          <w:rFonts w:ascii="Arial" w:hAnsi="Arial" w:cs="Arial"/>
        </w:rPr>
        <w:lastRenderedPageBreak/>
        <w:t>constructive service in terms of a substituted service order</w:t>
      </w:r>
      <w:r w:rsidR="003610CF">
        <w:rPr>
          <w:rFonts w:ascii="Arial" w:hAnsi="Arial" w:cs="Arial"/>
        </w:rPr>
        <w:t>,</w:t>
      </w:r>
      <w:r w:rsidR="00BD5461">
        <w:rPr>
          <w:rFonts w:ascii="Arial" w:hAnsi="Arial" w:cs="Arial"/>
        </w:rPr>
        <w:t xml:space="preserve"> </w:t>
      </w:r>
      <w:r w:rsidR="000774C7">
        <w:rPr>
          <w:rFonts w:ascii="Arial" w:hAnsi="Arial" w:cs="Arial"/>
        </w:rPr>
        <w:t>i</w:t>
      </w:r>
      <w:r w:rsidR="00BD5461">
        <w:rPr>
          <w:rFonts w:ascii="Arial" w:hAnsi="Arial" w:cs="Arial"/>
        </w:rPr>
        <w:t xml:space="preserve">t </w:t>
      </w:r>
      <w:r w:rsidR="003610CF">
        <w:rPr>
          <w:rFonts w:ascii="Arial" w:hAnsi="Arial" w:cs="Arial"/>
        </w:rPr>
        <w:t xml:space="preserve">is </w:t>
      </w:r>
      <w:r w:rsidR="00BD5461">
        <w:rPr>
          <w:rFonts w:ascii="Arial" w:hAnsi="Arial" w:cs="Arial"/>
        </w:rPr>
        <w:t>unnecessary to show knowledge for a successfu</w:t>
      </w:r>
      <w:r w:rsidR="003610CF">
        <w:rPr>
          <w:rFonts w:ascii="Arial" w:hAnsi="Arial" w:cs="Arial"/>
        </w:rPr>
        <w:t>l contempt of court applica</w:t>
      </w:r>
      <w:r w:rsidR="009E09EE">
        <w:rPr>
          <w:rFonts w:ascii="Arial" w:hAnsi="Arial" w:cs="Arial"/>
        </w:rPr>
        <w:t>t</w:t>
      </w:r>
      <w:r w:rsidR="000774C7">
        <w:rPr>
          <w:rFonts w:ascii="Arial" w:hAnsi="Arial" w:cs="Arial"/>
        </w:rPr>
        <w:t>ion</w:t>
      </w:r>
      <w:r w:rsidR="00BD5461">
        <w:rPr>
          <w:rStyle w:val="FootnoteReference"/>
          <w:rFonts w:ascii="Arial" w:hAnsi="Arial" w:cs="Arial"/>
        </w:rPr>
        <w:footnoteReference w:id="154"/>
      </w:r>
      <w:r w:rsidR="000774C7">
        <w:rPr>
          <w:rFonts w:ascii="Arial" w:hAnsi="Arial" w:cs="Arial"/>
        </w:rPr>
        <w:t xml:space="preserve">  </w:t>
      </w:r>
    </w:p>
    <w:p w:rsidR="00FC7685" w:rsidRDefault="00FC7685" w:rsidP="00FC7685">
      <w:pPr>
        <w:spacing w:line="360" w:lineRule="auto"/>
        <w:rPr>
          <w:rFonts w:ascii="Arial" w:hAnsi="Arial" w:cs="Arial"/>
        </w:rPr>
      </w:pPr>
    </w:p>
    <w:p w:rsidR="00FC7685" w:rsidRDefault="00FC7685" w:rsidP="00FC7685">
      <w:pPr>
        <w:spacing w:line="360" w:lineRule="auto"/>
        <w:rPr>
          <w:rFonts w:ascii="Arial" w:hAnsi="Arial" w:cs="Arial"/>
          <w:b/>
        </w:rPr>
      </w:pPr>
      <w:r w:rsidRPr="00FC7685">
        <w:rPr>
          <w:rFonts w:ascii="Arial" w:hAnsi="Arial" w:cs="Arial"/>
          <w:b/>
        </w:rPr>
        <w:t>Observations</w:t>
      </w:r>
    </w:p>
    <w:p w:rsidR="00FC7685" w:rsidRDefault="00FC7685" w:rsidP="00FC7685">
      <w:pPr>
        <w:spacing w:line="360" w:lineRule="auto"/>
        <w:rPr>
          <w:rFonts w:ascii="Arial" w:hAnsi="Arial" w:cs="Arial"/>
          <w:b/>
        </w:rPr>
      </w:pPr>
    </w:p>
    <w:p w:rsidR="00FC7685" w:rsidRDefault="00FC7685" w:rsidP="00AF22DC">
      <w:pPr>
        <w:pStyle w:val="ListParagraph"/>
        <w:numPr>
          <w:ilvl w:val="0"/>
          <w:numId w:val="3"/>
        </w:numPr>
        <w:spacing w:line="360" w:lineRule="auto"/>
        <w:rPr>
          <w:rFonts w:ascii="Arial" w:hAnsi="Arial" w:cs="Arial"/>
        </w:rPr>
      </w:pPr>
      <w:r>
        <w:rPr>
          <w:rFonts w:ascii="Arial" w:hAnsi="Arial" w:cs="Arial"/>
        </w:rPr>
        <w:t>The following observations may be made</w:t>
      </w:r>
      <w:r w:rsidR="00DB3F98">
        <w:rPr>
          <w:rFonts w:ascii="Arial" w:hAnsi="Arial" w:cs="Arial"/>
        </w:rPr>
        <w:t xml:space="preserve"> at least in relation to cases involving land invasions</w:t>
      </w:r>
      <w:r w:rsidR="00025D81">
        <w:rPr>
          <w:rFonts w:ascii="Arial" w:hAnsi="Arial" w:cs="Arial"/>
        </w:rPr>
        <w:t>.</w:t>
      </w:r>
    </w:p>
    <w:p w:rsidR="00FC7685" w:rsidRDefault="00FC7685" w:rsidP="00FC7685">
      <w:pPr>
        <w:pStyle w:val="ListParagraph"/>
        <w:spacing w:line="360" w:lineRule="auto"/>
        <w:ind w:left="360"/>
        <w:rPr>
          <w:rFonts w:ascii="Arial" w:hAnsi="Arial" w:cs="Arial"/>
        </w:rPr>
      </w:pPr>
    </w:p>
    <w:p w:rsidR="00FC7685" w:rsidRDefault="00FC7685" w:rsidP="00491C20">
      <w:pPr>
        <w:pStyle w:val="ListParagraph"/>
        <w:numPr>
          <w:ilvl w:val="0"/>
          <w:numId w:val="3"/>
        </w:numPr>
        <w:spacing w:line="360" w:lineRule="auto"/>
        <w:rPr>
          <w:rFonts w:ascii="Arial" w:hAnsi="Arial" w:cs="Arial"/>
        </w:rPr>
      </w:pPr>
      <w:r>
        <w:rPr>
          <w:rFonts w:ascii="Arial" w:hAnsi="Arial" w:cs="Arial"/>
        </w:rPr>
        <w:t xml:space="preserve">Our procedures </w:t>
      </w:r>
      <w:r w:rsidR="00157763">
        <w:rPr>
          <w:rFonts w:ascii="Arial" w:hAnsi="Arial" w:cs="Arial"/>
        </w:rPr>
        <w:t>recognise</w:t>
      </w:r>
      <w:r>
        <w:rPr>
          <w:rFonts w:ascii="Arial" w:hAnsi="Arial" w:cs="Arial"/>
        </w:rPr>
        <w:t xml:space="preserve"> the citation of persons who cannot be identified by name (in the present matter referred to as “</w:t>
      </w:r>
      <w:r w:rsidRPr="00FC7685">
        <w:rPr>
          <w:rFonts w:ascii="Arial" w:hAnsi="Arial" w:cs="Arial"/>
          <w:i/>
        </w:rPr>
        <w:t>Unknown Individuals</w:t>
      </w:r>
      <w:r>
        <w:rPr>
          <w:rFonts w:ascii="Arial" w:hAnsi="Arial" w:cs="Arial"/>
        </w:rPr>
        <w:t>”) provided;</w:t>
      </w:r>
    </w:p>
    <w:p w:rsidR="00FC7685" w:rsidRDefault="00FC7685" w:rsidP="00FC7685">
      <w:pPr>
        <w:pStyle w:val="ListParagraph"/>
        <w:spacing w:line="360" w:lineRule="auto"/>
        <w:ind w:left="1080"/>
        <w:rPr>
          <w:rFonts w:ascii="Arial" w:hAnsi="Arial" w:cs="Arial"/>
        </w:rPr>
      </w:pPr>
    </w:p>
    <w:p w:rsidR="000774C7" w:rsidRDefault="00FC7685" w:rsidP="000774C7">
      <w:pPr>
        <w:pStyle w:val="ListParagraph"/>
        <w:numPr>
          <w:ilvl w:val="0"/>
          <w:numId w:val="20"/>
        </w:numPr>
        <w:spacing w:line="360" w:lineRule="auto"/>
        <w:rPr>
          <w:rFonts w:ascii="Arial" w:hAnsi="Arial" w:cs="Arial"/>
        </w:rPr>
      </w:pPr>
      <w:r w:rsidRPr="00A26B55">
        <w:rPr>
          <w:rFonts w:ascii="Arial" w:hAnsi="Arial" w:cs="Arial"/>
        </w:rPr>
        <w:t xml:space="preserve">the conduct which is sought to be prevented </w:t>
      </w:r>
      <w:r w:rsidR="00754DE2">
        <w:rPr>
          <w:rFonts w:ascii="Arial" w:hAnsi="Arial" w:cs="Arial"/>
        </w:rPr>
        <w:t xml:space="preserve">and alleged to be unlawful </w:t>
      </w:r>
      <w:r w:rsidR="00EE2C3B" w:rsidRPr="00A26B55">
        <w:rPr>
          <w:rFonts w:ascii="Arial" w:hAnsi="Arial" w:cs="Arial"/>
        </w:rPr>
        <w:t>is identified</w:t>
      </w:r>
      <w:r w:rsidRPr="00A26B55">
        <w:rPr>
          <w:rFonts w:ascii="Arial" w:hAnsi="Arial" w:cs="Arial"/>
        </w:rPr>
        <w:t xml:space="preserve"> with sufficient precision</w:t>
      </w:r>
      <w:r w:rsidR="00C747AD">
        <w:rPr>
          <w:rFonts w:ascii="Arial" w:hAnsi="Arial" w:cs="Arial"/>
        </w:rPr>
        <w:t>,</w:t>
      </w:r>
      <w:r w:rsidRPr="00A26B55">
        <w:rPr>
          <w:rFonts w:ascii="Arial" w:hAnsi="Arial" w:cs="Arial"/>
        </w:rPr>
        <w:t xml:space="preserve"> </w:t>
      </w:r>
      <w:r w:rsidR="000774C7">
        <w:rPr>
          <w:rFonts w:ascii="Arial" w:hAnsi="Arial" w:cs="Arial"/>
        </w:rPr>
        <w:t>together with;</w:t>
      </w:r>
    </w:p>
    <w:p w:rsidR="000774C7" w:rsidRDefault="000774C7" w:rsidP="000774C7">
      <w:pPr>
        <w:pStyle w:val="ListParagraph"/>
        <w:spacing w:line="360" w:lineRule="auto"/>
        <w:ind w:left="1440"/>
        <w:rPr>
          <w:rFonts w:ascii="Arial" w:hAnsi="Arial" w:cs="Arial"/>
        </w:rPr>
      </w:pPr>
    </w:p>
    <w:p w:rsidR="000774C7" w:rsidRDefault="00FC7685" w:rsidP="000774C7">
      <w:pPr>
        <w:pStyle w:val="ListParagraph"/>
        <w:numPr>
          <w:ilvl w:val="2"/>
          <w:numId w:val="3"/>
        </w:numPr>
        <w:spacing w:line="360" w:lineRule="auto"/>
        <w:rPr>
          <w:rFonts w:ascii="Arial" w:hAnsi="Arial" w:cs="Arial"/>
        </w:rPr>
      </w:pPr>
      <w:r w:rsidRPr="00A26B55">
        <w:rPr>
          <w:rFonts w:ascii="Arial" w:hAnsi="Arial" w:cs="Arial"/>
        </w:rPr>
        <w:t xml:space="preserve">the </w:t>
      </w:r>
      <w:r w:rsidR="00571E90">
        <w:rPr>
          <w:rFonts w:ascii="Arial" w:hAnsi="Arial" w:cs="Arial"/>
        </w:rPr>
        <w:t>precise physical,</w:t>
      </w:r>
      <w:r w:rsidR="004D53D0">
        <w:rPr>
          <w:rFonts w:ascii="Arial" w:hAnsi="Arial" w:cs="Arial"/>
        </w:rPr>
        <w:t xml:space="preserve"> </w:t>
      </w:r>
      <w:r w:rsidR="00571E90">
        <w:rPr>
          <w:rFonts w:ascii="Arial" w:hAnsi="Arial" w:cs="Arial"/>
        </w:rPr>
        <w:t xml:space="preserve">geographical </w:t>
      </w:r>
      <w:r w:rsidR="000774C7">
        <w:rPr>
          <w:rFonts w:ascii="Arial" w:hAnsi="Arial" w:cs="Arial"/>
        </w:rPr>
        <w:t xml:space="preserve">or </w:t>
      </w:r>
      <w:r w:rsidR="00571E90">
        <w:rPr>
          <w:rFonts w:ascii="Arial" w:hAnsi="Arial" w:cs="Arial"/>
        </w:rPr>
        <w:t xml:space="preserve">topographical location </w:t>
      </w:r>
      <w:r w:rsidR="000774C7" w:rsidRPr="00A26B55">
        <w:rPr>
          <w:rFonts w:ascii="Arial" w:hAnsi="Arial" w:cs="Arial"/>
        </w:rPr>
        <w:t>to which it applies</w:t>
      </w:r>
      <w:r w:rsidR="000774C7">
        <w:rPr>
          <w:rFonts w:ascii="Arial" w:hAnsi="Arial" w:cs="Arial"/>
        </w:rPr>
        <w:t xml:space="preserve"> </w:t>
      </w:r>
      <w:r w:rsidR="00571E90">
        <w:rPr>
          <w:rFonts w:ascii="Arial" w:hAnsi="Arial" w:cs="Arial"/>
        </w:rPr>
        <w:t xml:space="preserve">(whether by reference to street boundaries, development or other physically identifiable features aside from the erf number if not </w:t>
      </w:r>
      <w:r w:rsidR="004D53D0">
        <w:rPr>
          <w:rFonts w:ascii="Arial" w:hAnsi="Arial" w:cs="Arial"/>
        </w:rPr>
        <w:t xml:space="preserve">actually </w:t>
      </w:r>
      <w:r w:rsidR="00571E90">
        <w:rPr>
          <w:rFonts w:ascii="Arial" w:hAnsi="Arial" w:cs="Arial"/>
        </w:rPr>
        <w:t>displayed at the locality</w:t>
      </w:r>
      <w:r w:rsidR="00EE2C3B">
        <w:rPr>
          <w:rFonts w:ascii="Arial" w:hAnsi="Arial" w:cs="Arial"/>
        </w:rPr>
        <w:t>); and</w:t>
      </w:r>
    </w:p>
    <w:p w:rsidR="000774C7" w:rsidRDefault="000774C7" w:rsidP="000774C7">
      <w:pPr>
        <w:pStyle w:val="ListParagraph"/>
        <w:spacing w:line="360" w:lineRule="auto"/>
        <w:ind w:left="1800"/>
        <w:rPr>
          <w:rFonts w:ascii="Arial" w:hAnsi="Arial" w:cs="Arial"/>
        </w:rPr>
      </w:pPr>
    </w:p>
    <w:p w:rsidR="000774C7" w:rsidRDefault="000774C7" w:rsidP="000774C7">
      <w:pPr>
        <w:pStyle w:val="ListParagraph"/>
        <w:numPr>
          <w:ilvl w:val="2"/>
          <w:numId w:val="3"/>
        </w:numPr>
        <w:spacing w:line="360" w:lineRule="auto"/>
        <w:rPr>
          <w:rFonts w:ascii="Arial" w:hAnsi="Arial" w:cs="Arial"/>
        </w:rPr>
      </w:pPr>
      <w:r>
        <w:rPr>
          <w:rFonts w:ascii="Arial" w:hAnsi="Arial" w:cs="Arial"/>
        </w:rPr>
        <w:t xml:space="preserve">the </w:t>
      </w:r>
      <w:r w:rsidR="00C747AD">
        <w:rPr>
          <w:rFonts w:ascii="Arial" w:hAnsi="Arial" w:cs="Arial"/>
        </w:rPr>
        <w:t>return dates or period of effectiveness</w:t>
      </w:r>
      <w:r w:rsidR="00C747AD">
        <w:rPr>
          <w:rStyle w:val="FootnoteReference"/>
          <w:rFonts w:ascii="Arial" w:hAnsi="Arial" w:cs="Arial"/>
        </w:rPr>
        <w:footnoteReference w:id="155"/>
      </w:r>
      <w:r w:rsidR="00C747AD">
        <w:rPr>
          <w:rFonts w:ascii="Arial" w:hAnsi="Arial" w:cs="Arial"/>
        </w:rPr>
        <w:t>,</w:t>
      </w:r>
      <w:r w:rsidR="00A26B55" w:rsidRPr="00A26B55">
        <w:rPr>
          <w:rFonts w:ascii="Arial" w:hAnsi="Arial" w:cs="Arial"/>
        </w:rPr>
        <w:t xml:space="preserve"> </w:t>
      </w:r>
    </w:p>
    <w:p w:rsidR="000774C7" w:rsidRPr="000774C7" w:rsidRDefault="000774C7" w:rsidP="000774C7">
      <w:pPr>
        <w:pStyle w:val="ListParagraph"/>
        <w:rPr>
          <w:rFonts w:ascii="Arial" w:hAnsi="Arial" w:cs="Arial"/>
        </w:rPr>
      </w:pPr>
    </w:p>
    <w:p w:rsidR="00FC7685" w:rsidRPr="000774C7" w:rsidRDefault="00FC7685" w:rsidP="000774C7">
      <w:pPr>
        <w:pStyle w:val="ListParagraph"/>
        <w:spacing w:line="360" w:lineRule="auto"/>
        <w:ind w:left="1080"/>
        <w:rPr>
          <w:rFonts w:ascii="Arial" w:hAnsi="Arial" w:cs="Arial"/>
        </w:rPr>
      </w:pPr>
      <w:r w:rsidRPr="000774C7">
        <w:rPr>
          <w:rFonts w:ascii="Arial" w:hAnsi="Arial" w:cs="Arial"/>
        </w:rPr>
        <w:t xml:space="preserve">so that persons who may be subject to its terms </w:t>
      </w:r>
      <w:r w:rsidR="00A26B55" w:rsidRPr="000774C7">
        <w:rPr>
          <w:rFonts w:ascii="Arial" w:hAnsi="Arial" w:cs="Arial"/>
        </w:rPr>
        <w:t xml:space="preserve">know without further enquiry that they are the ones described in the served notice; </w:t>
      </w:r>
    </w:p>
    <w:p w:rsidR="00754DE2" w:rsidRDefault="00754DE2" w:rsidP="00754DE2">
      <w:pPr>
        <w:pStyle w:val="ListParagraph"/>
        <w:spacing w:line="360" w:lineRule="auto"/>
        <w:ind w:left="1800"/>
        <w:rPr>
          <w:rFonts w:ascii="Arial" w:hAnsi="Arial" w:cs="Arial"/>
        </w:rPr>
      </w:pPr>
    </w:p>
    <w:p w:rsidR="004D53D0" w:rsidRDefault="00754DE2" w:rsidP="000774C7">
      <w:pPr>
        <w:pStyle w:val="ListParagraph"/>
        <w:numPr>
          <w:ilvl w:val="0"/>
          <w:numId w:val="20"/>
        </w:numPr>
        <w:spacing w:line="360" w:lineRule="auto"/>
        <w:rPr>
          <w:rFonts w:ascii="Arial" w:hAnsi="Arial" w:cs="Arial"/>
        </w:rPr>
      </w:pPr>
      <w:r>
        <w:rPr>
          <w:rFonts w:ascii="Arial" w:hAnsi="Arial" w:cs="Arial"/>
        </w:rPr>
        <w:t>the terms of the interim interdict sought</w:t>
      </w:r>
      <w:r w:rsidR="004D53D0">
        <w:rPr>
          <w:rFonts w:ascii="Arial" w:hAnsi="Arial" w:cs="Arial"/>
        </w:rPr>
        <w:t>;</w:t>
      </w:r>
    </w:p>
    <w:p w:rsidR="000774C7" w:rsidRDefault="000774C7" w:rsidP="000774C7">
      <w:pPr>
        <w:pStyle w:val="ListParagraph"/>
        <w:spacing w:line="360" w:lineRule="auto"/>
        <w:ind w:left="1440"/>
        <w:rPr>
          <w:rFonts w:ascii="Arial" w:hAnsi="Arial" w:cs="Arial"/>
        </w:rPr>
      </w:pPr>
    </w:p>
    <w:p w:rsidR="00754DE2" w:rsidRDefault="00754DE2" w:rsidP="000774C7">
      <w:pPr>
        <w:pStyle w:val="ListParagraph"/>
        <w:numPr>
          <w:ilvl w:val="0"/>
          <w:numId w:val="22"/>
        </w:numPr>
        <w:spacing w:line="360" w:lineRule="auto"/>
        <w:rPr>
          <w:rFonts w:ascii="Arial" w:hAnsi="Arial" w:cs="Arial"/>
        </w:rPr>
      </w:pPr>
      <w:r>
        <w:rPr>
          <w:rFonts w:ascii="Arial" w:hAnsi="Arial" w:cs="Arial"/>
        </w:rPr>
        <w:t xml:space="preserve">are sufficiently precise and its terms readily </w:t>
      </w:r>
      <w:r w:rsidR="00C747AD">
        <w:rPr>
          <w:rFonts w:ascii="Arial" w:hAnsi="Arial" w:cs="Arial"/>
        </w:rPr>
        <w:t xml:space="preserve">understood by </w:t>
      </w:r>
      <w:r>
        <w:rPr>
          <w:rFonts w:ascii="Arial" w:hAnsi="Arial" w:cs="Arial"/>
        </w:rPr>
        <w:t xml:space="preserve">those </w:t>
      </w:r>
      <w:r w:rsidR="00C747AD">
        <w:rPr>
          <w:rFonts w:ascii="Arial" w:hAnsi="Arial" w:cs="Arial"/>
        </w:rPr>
        <w:t xml:space="preserve">potentially </w:t>
      </w:r>
      <w:r>
        <w:rPr>
          <w:rFonts w:ascii="Arial" w:hAnsi="Arial" w:cs="Arial"/>
        </w:rPr>
        <w:t>affected by it</w:t>
      </w:r>
      <w:r w:rsidR="00C747AD">
        <w:rPr>
          <w:rFonts w:ascii="Arial" w:hAnsi="Arial" w:cs="Arial"/>
        </w:rPr>
        <w:t xml:space="preserve"> (</w:t>
      </w:r>
      <w:r w:rsidR="00157763">
        <w:rPr>
          <w:rFonts w:ascii="Arial" w:hAnsi="Arial" w:cs="Arial"/>
        </w:rPr>
        <w:t>i.e.</w:t>
      </w:r>
      <w:r w:rsidR="00C747AD">
        <w:rPr>
          <w:rFonts w:ascii="Arial" w:hAnsi="Arial" w:cs="Arial"/>
        </w:rPr>
        <w:t xml:space="preserve"> </w:t>
      </w:r>
      <w:r w:rsidR="000774C7">
        <w:rPr>
          <w:rFonts w:ascii="Arial" w:hAnsi="Arial" w:cs="Arial"/>
        </w:rPr>
        <w:t xml:space="preserve">by using </w:t>
      </w:r>
      <w:r w:rsidR="00C747AD">
        <w:rPr>
          <w:rFonts w:ascii="Arial" w:hAnsi="Arial" w:cs="Arial"/>
        </w:rPr>
        <w:t xml:space="preserve">non-technical terms unless </w:t>
      </w:r>
      <w:r w:rsidR="00C747AD">
        <w:rPr>
          <w:rFonts w:ascii="Arial" w:hAnsi="Arial" w:cs="Arial"/>
        </w:rPr>
        <w:lastRenderedPageBreak/>
        <w:t>those terms are then adequately explained)</w:t>
      </w:r>
    </w:p>
    <w:p w:rsidR="000774C7" w:rsidRDefault="000774C7" w:rsidP="000774C7">
      <w:pPr>
        <w:pStyle w:val="ListParagraph"/>
        <w:spacing w:line="360" w:lineRule="auto"/>
        <w:ind w:left="1800"/>
        <w:rPr>
          <w:rFonts w:ascii="Arial" w:hAnsi="Arial" w:cs="Arial"/>
        </w:rPr>
      </w:pPr>
    </w:p>
    <w:p w:rsidR="004D53D0" w:rsidRDefault="004D53D0" w:rsidP="000774C7">
      <w:pPr>
        <w:pStyle w:val="ListParagraph"/>
        <w:numPr>
          <w:ilvl w:val="0"/>
          <w:numId w:val="22"/>
        </w:numPr>
        <w:spacing w:line="360" w:lineRule="auto"/>
        <w:rPr>
          <w:rFonts w:ascii="Arial" w:hAnsi="Arial" w:cs="Arial"/>
        </w:rPr>
      </w:pPr>
      <w:r w:rsidRPr="000774C7">
        <w:rPr>
          <w:rFonts w:ascii="Arial" w:hAnsi="Arial" w:cs="Arial"/>
        </w:rPr>
        <w:t>explain the steps to be taken</w:t>
      </w:r>
      <w:r w:rsidR="005B2D22" w:rsidRPr="000774C7">
        <w:rPr>
          <w:rFonts w:ascii="Arial" w:hAnsi="Arial" w:cs="Arial"/>
        </w:rPr>
        <w:t xml:space="preserve"> should a person wish to oppose</w:t>
      </w:r>
      <w:r w:rsidRPr="000774C7">
        <w:rPr>
          <w:rFonts w:ascii="Arial" w:hAnsi="Arial" w:cs="Arial"/>
        </w:rPr>
        <w:t xml:space="preserve"> </w:t>
      </w:r>
    </w:p>
    <w:p w:rsidR="000774C7" w:rsidRPr="000774C7" w:rsidRDefault="000774C7" w:rsidP="000774C7">
      <w:pPr>
        <w:pStyle w:val="ListParagraph"/>
        <w:rPr>
          <w:rFonts w:ascii="Arial" w:hAnsi="Arial" w:cs="Arial"/>
        </w:rPr>
      </w:pPr>
    </w:p>
    <w:p w:rsidR="00FC7685" w:rsidRDefault="00FC7685" w:rsidP="000774C7">
      <w:pPr>
        <w:pStyle w:val="ListParagraph"/>
        <w:numPr>
          <w:ilvl w:val="0"/>
          <w:numId w:val="20"/>
        </w:numPr>
        <w:spacing w:line="360" w:lineRule="auto"/>
        <w:rPr>
          <w:rFonts w:ascii="Arial" w:hAnsi="Arial" w:cs="Arial"/>
        </w:rPr>
      </w:pPr>
      <w:r w:rsidRPr="000774C7">
        <w:rPr>
          <w:rFonts w:ascii="Arial" w:hAnsi="Arial" w:cs="Arial"/>
        </w:rPr>
        <w:t>Service is effec</w:t>
      </w:r>
      <w:r w:rsidR="00571E90" w:rsidRPr="000774C7">
        <w:rPr>
          <w:rFonts w:ascii="Arial" w:hAnsi="Arial" w:cs="Arial"/>
        </w:rPr>
        <w:t>t</w:t>
      </w:r>
      <w:r w:rsidRPr="000774C7">
        <w:rPr>
          <w:rFonts w:ascii="Arial" w:hAnsi="Arial" w:cs="Arial"/>
        </w:rPr>
        <w:t xml:space="preserve">ed in a way </w:t>
      </w:r>
      <w:r w:rsidR="000774C7">
        <w:rPr>
          <w:rFonts w:ascii="Arial" w:hAnsi="Arial" w:cs="Arial"/>
        </w:rPr>
        <w:t xml:space="preserve">which </w:t>
      </w:r>
      <w:r w:rsidR="002E5619" w:rsidRPr="000774C7">
        <w:rPr>
          <w:rFonts w:ascii="Arial" w:hAnsi="Arial" w:cs="Arial"/>
        </w:rPr>
        <w:t xml:space="preserve">will reasonably ensure that </w:t>
      </w:r>
      <w:r w:rsidR="00571E90" w:rsidRPr="000774C7">
        <w:rPr>
          <w:rFonts w:ascii="Arial" w:hAnsi="Arial" w:cs="Arial"/>
        </w:rPr>
        <w:t xml:space="preserve">notice of </w:t>
      </w:r>
      <w:r w:rsidR="003C1CC4" w:rsidRPr="000774C7">
        <w:rPr>
          <w:rFonts w:ascii="Arial" w:hAnsi="Arial" w:cs="Arial"/>
        </w:rPr>
        <w:t>the interdict proceedings (or its essential details and where a full set may be obtained taking into account accessibility considerations) and the order obtained  come</w:t>
      </w:r>
      <w:r w:rsidR="00571E90" w:rsidRPr="000774C7">
        <w:rPr>
          <w:rFonts w:ascii="Arial" w:hAnsi="Arial" w:cs="Arial"/>
        </w:rPr>
        <w:t xml:space="preserve"> to the </w:t>
      </w:r>
      <w:r w:rsidR="00A26B55" w:rsidRPr="000774C7">
        <w:rPr>
          <w:rFonts w:ascii="Arial" w:hAnsi="Arial" w:cs="Arial"/>
        </w:rPr>
        <w:t xml:space="preserve">attention of those who are or will be </w:t>
      </w:r>
      <w:r w:rsidR="003C1CC4" w:rsidRPr="000774C7">
        <w:rPr>
          <w:rFonts w:ascii="Arial" w:hAnsi="Arial" w:cs="Arial"/>
        </w:rPr>
        <w:t>subject to</w:t>
      </w:r>
      <w:r w:rsidR="00754DE2" w:rsidRPr="000774C7">
        <w:rPr>
          <w:rFonts w:ascii="Arial" w:hAnsi="Arial" w:cs="Arial"/>
        </w:rPr>
        <w:t xml:space="preserve"> its terms and that they in turn </w:t>
      </w:r>
      <w:r w:rsidR="000774C7">
        <w:rPr>
          <w:rFonts w:ascii="Arial" w:hAnsi="Arial" w:cs="Arial"/>
        </w:rPr>
        <w:t xml:space="preserve">are able </w:t>
      </w:r>
      <w:r w:rsidR="009E09EE">
        <w:rPr>
          <w:rFonts w:ascii="Arial" w:hAnsi="Arial" w:cs="Arial"/>
        </w:rPr>
        <w:t>t</w:t>
      </w:r>
      <w:r w:rsidR="000774C7">
        <w:rPr>
          <w:rFonts w:ascii="Arial" w:hAnsi="Arial" w:cs="Arial"/>
        </w:rPr>
        <w:t xml:space="preserve">o </w:t>
      </w:r>
      <w:r w:rsidR="00754DE2" w:rsidRPr="000774C7">
        <w:rPr>
          <w:rFonts w:ascii="Arial" w:hAnsi="Arial" w:cs="Arial"/>
        </w:rPr>
        <w:t xml:space="preserve">identify themselves by reference to the prohibited conduct should they engage or intend to engage in it, so that they  </w:t>
      </w:r>
      <w:r w:rsidR="003C1CC4" w:rsidRPr="000774C7">
        <w:rPr>
          <w:rFonts w:ascii="Arial" w:hAnsi="Arial" w:cs="Arial"/>
        </w:rPr>
        <w:t>may</w:t>
      </w:r>
      <w:r w:rsidR="00A26B55" w:rsidRPr="000774C7">
        <w:rPr>
          <w:rFonts w:ascii="Arial" w:hAnsi="Arial" w:cs="Arial"/>
        </w:rPr>
        <w:t xml:space="preserve"> exercise their right to oppose and be heard</w:t>
      </w:r>
      <w:r w:rsidR="00754DE2" w:rsidRPr="000774C7">
        <w:rPr>
          <w:rFonts w:ascii="Arial" w:hAnsi="Arial" w:cs="Arial"/>
        </w:rPr>
        <w:t xml:space="preserve"> if they so wish</w:t>
      </w:r>
      <w:r w:rsidR="003C1CC4" w:rsidRPr="000774C7">
        <w:rPr>
          <w:rFonts w:ascii="Arial" w:hAnsi="Arial" w:cs="Arial"/>
        </w:rPr>
        <w:t>;</w:t>
      </w:r>
    </w:p>
    <w:p w:rsidR="000774C7" w:rsidRDefault="000774C7" w:rsidP="000774C7">
      <w:pPr>
        <w:pStyle w:val="ListParagraph"/>
        <w:spacing w:line="360" w:lineRule="auto"/>
        <w:ind w:left="1080"/>
        <w:rPr>
          <w:rFonts w:ascii="Arial" w:hAnsi="Arial" w:cs="Arial"/>
        </w:rPr>
      </w:pPr>
    </w:p>
    <w:p w:rsidR="004D53D0" w:rsidRPr="000774C7" w:rsidRDefault="004D53D0" w:rsidP="000774C7">
      <w:pPr>
        <w:pStyle w:val="ListParagraph"/>
        <w:numPr>
          <w:ilvl w:val="0"/>
          <w:numId w:val="20"/>
        </w:numPr>
        <w:spacing w:line="360" w:lineRule="auto"/>
        <w:rPr>
          <w:rFonts w:ascii="Arial" w:hAnsi="Arial" w:cs="Arial"/>
        </w:rPr>
      </w:pPr>
      <w:r w:rsidRPr="000774C7">
        <w:rPr>
          <w:rFonts w:ascii="Arial" w:hAnsi="Arial" w:cs="Arial"/>
        </w:rPr>
        <w:t xml:space="preserve">Where the interim </w:t>
      </w:r>
      <w:r w:rsidR="005B2D22" w:rsidRPr="000774C7">
        <w:rPr>
          <w:rFonts w:ascii="Arial" w:hAnsi="Arial" w:cs="Arial"/>
        </w:rPr>
        <w:t xml:space="preserve">order </w:t>
      </w:r>
      <w:r w:rsidRPr="000774C7">
        <w:rPr>
          <w:rFonts w:ascii="Arial" w:hAnsi="Arial" w:cs="Arial"/>
        </w:rPr>
        <w:t xml:space="preserve">is sought and obtained to </w:t>
      </w:r>
      <w:r w:rsidR="005B2D22" w:rsidRPr="000774C7">
        <w:rPr>
          <w:rFonts w:ascii="Arial" w:hAnsi="Arial" w:cs="Arial"/>
        </w:rPr>
        <w:t xml:space="preserve">interdict </w:t>
      </w:r>
      <w:r w:rsidRPr="000774C7">
        <w:rPr>
          <w:rFonts w:ascii="Arial" w:hAnsi="Arial" w:cs="Arial"/>
        </w:rPr>
        <w:t>those who may still attempt to come onto the land</w:t>
      </w:r>
      <w:r w:rsidR="009E09EE">
        <w:rPr>
          <w:rFonts w:ascii="Arial" w:hAnsi="Arial" w:cs="Arial"/>
        </w:rPr>
        <w:t xml:space="preserve"> after the interim order is </w:t>
      </w:r>
      <w:r w:rsidR="00EE2C3B">
        <w:rPr>
          <w:rFonts w:ascii="Arial" w:hAnsi="Arial" w:cs="Arial"/>
        </w:rPr>
        <w:t xml:space="preserve">granted </w:t>
      </w:r>
      <w:r w:rsidR="00EE2C3B" w:rsidRPr="000774C7">
        <w:rPr>
          <w:rFonts w:ascii="Arial" w:hAnsi="Arial" w:cs="Arial"/>
        </w:rPr>
        <w:t>(</w:t>
      </w:r>
      <w:r w:rsidRPr="000774C7">
        <w:rPr>
          <w:rFonts w:ascii="Arial" w:hAnsi="Arial" w:cs="Arial"/>
        </w:rPr>
        <w:t xml:space="preserve">the English Courts </w:t>
      </w:r>
      <w:r w:rsidR="005B2D22" w:rsidRPr="000774C7">
        <w:rPr>
          <w:rFonts w:ascii="Arial" w:hAnsi="Arial" w:cs="Arial"/>
        </w:rPr>
        <w:t xml:space="preserve">conveniently </w:t>
      </w:r>
      <w:r w:rsidRPr="000774C7">
        <w:rPr>
          <w:rFonts w:ascii="Arial" w:hAnsi="Arial" w:cs="Arial"/>
        </w:rPr>
        <w:t xml:space="preserve">identify </w:t>
      </w:r>
      <w:r w:rsidR="005B2D22" w:rsidRPr="000774C7">
        <w:rPr>
          <w:rFonts w:ascii="Arial" w:hAnsi="Arial" w:cs="Arial"/>
        </w:rPr>
        <w:t xml:space="preserve">them </w:t>
      </w:r>
      <w:r w:rsidRPr="000774C7">
        <w:rPr>
          <w:rFonts w:ascii="Arial" w:hAnsi="Arial" w:cs="Arial"/>
        </w:rPr>
        <w:t>as “</w:t>
      </w:r>
      <w:r w:rsidRPr="000774C7">
        <w:rPr>
          <w:rFonts w:ascii="Arial" w:hAnsi="Arial" w:cs="Arial"/>
          <w:i/>
        </w:rPr>
        <w:t>newcomers</w:t>
      </w:r>
      <w:r w:rsidRPr="000774C7">
        <w:rPr>
          <w:rFonts w:ascii="Arial" w:hAnsi="Arial" w:cs="Arial"/>
        </w:rPr>
        <w:t>”)</w:t>
      </w:r>
      <w:r w:rsidR="005B2D22" w:rsidRPr="000774C7">
        <w:rPr>
          <w:rFonts w:ascii="Arial" w:hAnsi="Arial" w:cs="Arial"/>
        </w:rPr>
        <w:t xml:space="preserve"> then the order sought should require the applicant to regularly confirm that copies of the orders remain in place and legible or otherwise replace them and provide proof by way of </w:t>
      </w:r>
      <w:r w:rsidR="00157763" w:rsidRPr="000774C7">
        <w:rPr>
          <w:rFonts w:ascii="Arial" w:hAnsi="Arial" w:cs="Arial"/>
        </w:rPr>
        <w:t>photographs</w:t>
      </w:r>
      <w:r w:rsidR="005B2D22" w:rsidRPr="000774C7">
        <w:rPr>
          <w:rFonts w:ascii="Arial" w:hAnsi="Arial" w:cs="Arial"/>
        </w:rPr>
        <w:t xml:space="preserve"> w</w:t>
      </w:r>
      <w:r w:rsidR="000774C7">
        <w:rPr>
          <w:rFonts w:ascii="Arial" w:hAnsi="Arial" w:cs="Arial"/>
        </w:rPr>
        <w:t>ith automated date stamping</w:t>
      </w:r>
      <w:r w:rsidR="005B2D22" w:rsidRPr="000774C7">
        <w:rPr>
          <w:rFonts w:ascii="Arial" w:hAnsi="Arial" w:cs="Arial"/>
        </w:rPr>
        <w:t xml:space="preserve">. </w:t>
      </w:r>
      <w:r w:rsidR="005B2D22">
        <w:rPr>
          <w:rStyle w:val="FootnoteReference"/>
          <w:rFonts w:ascii="Arial" w:hAnsi="Arial" w:cs="Arial"/>
        </w:rPr>
        <w:footnoteReference w:id="156"/>
      </w:r>
    </w:p>
    <w:p w:rsidR="00DB3F98" w:rsidRPr="00DB3F98" w:rsidRDefault="00DB3F98" w:rsidP="00DB3F98">
      <w:pPr>
        <w:pStyle w:val="ListParagraph"/>
        <w:rPr>
          <w:rFonts w:ascii="Arial" w:hAnsi="Arial" w:cs="Arial"/>
        </w:rPr>
      </w:pPr>
    </w:p>
    <w:p w:rsidR="00DB3F98" w:rsidRDefault="00DB3F98" w:rsidP="00491C20">
      <w:pPr>
        <w:pStyle w:val="ListParagraph"/>
        <w:numPr>
          <w:ilvl w:val="0"/>
          <w:numId w:val="3"/>
        </w:numPr>
        <w:spacing w:line="360" w:lineRule="auto"/>
        <w:rPr>
          <w:rFonts w:ascii="Arial" w:hAnsi="Arial" w:cs="Arial"/>
        </w:rPr>
      </w:pPr>
      <w:r>
        <w:rPr>
          <w:rFonts w:ascii="Arial" w:hAnsi="Arial" w:cs="Arial"/>
        </w:rPr>
        <w:t>At least prior to the confirmation of any interim order and</w:t>
      </w:r>
      <w:r w:rsidR="000774C7">
        <w:rPr>
          <w:rFonts w:ascii="Arial" w:hAnsi="Arial" w:cs="Arial"/>
        </w:rPr>
        <w:t xml:space="preserve"> subject to </w:t>
      </w:r>
      <w:r w:rsidRPr="009E09EE">
        <w:rPr>
          <w:rFonts w:ascii="Arial" w:hAnsi="Arial" w:cs="Arial"/>
        </w:rPr>
        <w:t xml:space="preserve">the form of service </w:t>
      </w:r>
      <w:r w:rsidR="009E09EE" w:rsidRPr="009E09EE">
        <w:rPr>
          <w:rFonts w:ascii="Arial" w:hAnsi="Arial" w:cs="Arial"/>
        </w:rPr>
        <w:t xml:space="preserve">requiring the </w:t>
      </w:r>
      <w:r w:rsidRPr="009E09EE">
        <w:rPr>
          <w:rFonts w:ascii="Arial" w:hAnsi="Arial" w:cs="Arial"/>
        </w:rPr>
        <w:t xml:space="preserve">continued placing of the </w:t>
      </w:r>
      <w:r w:rsidR="00157763" w:rsidRPr="009E09EE">
        <w:rPr>
          <w:rFonts w:ascii="Arial" w:hAnsi="Arial" w:cs="Arial"/>
        </w:rPr>
        <w:t>notice of</w:t>
      </w:r>
      <w:r w:rsidRPr="009E09EE">
        <w:rPr>
          <w:rFonts w:ascii="Arial" w:hAnsi="Arial" w:cs="Arial"/>
        </w:rPr>
        <w:t xml:space="preserve"> service</w:t>
      </w:r>
      <w:r w:rsidR="00BB7FF0">
        <w:rPr>
          <w:rFonts w:ascii="Arial" w:hAnsi="Arial" w:cs="Arial"/>
        </w:rPr>
        <w:t xml:space="preserve"> </w:t>
      </w:r>
      <w:r w:rsidR="009E09EE">
        <w:rPr>
          <w:rFonts w:ascii="Arial" w:hAnsi="Arial" w:cs="Arial"/>
        </w:rPr>
        <w:t>(</w:t>
      </w:r>
      <w:r w:rsidR="00BB7FF0">
        <w:rPr>
          <w:rFonts w:ascii="Arial" w:hAnsi="Arial" w:cs="Arial"/>
        </w:rPr>
        <w:t xml:space="preserve">and </w:t>
      </w:r>
      <w:r w:rsidR="009E09EE">
        <w:rPr>
          <w:rFonts w:ascii="Arial" w:hAnsi="Arial" w:cs="Arial"/>
        </w:rPr>
        <w:t>this part of the order being</w:t>
      </w:r>
      <w:r w:rsidR="00BB7FF0">
        <w:rPr>
          <w:rFonts w:ascii="Arial" w:hAnsi="Arial" w:cs="Arial"/>
        </w:rPr>
        <w:t xml:space="preserve"> complied </w:t>
      </w:r>
      <w:r w:rsidR="00157763">
        <w:rPr>
          <w:rFonts w:ascii="Arial" w:hAnsi="Arial" w:cs="Arial"/>
        </w:rPr>
        <w:t>with</w:t>
      </w:r>
      <w:r w:rsidR="009E09EE">
        <w:rPr>
          <w:rFonts w:ascii="Arial" w:hAnsi="Arial" w:cs="Arial"/>
        </w:rPr>
        <w:t>),</w:t>
      </w:r>
      <w:r w:rsidR="00157763">
        <w:rPr>
          <w:rFonts w:ascii="Arial" w:hAnsi="Arial" w:cs="Arial"/>
        </w:rPr>
        <w:t xml:space="preserve"> any</w:t>
      </w:r>
      <w:r w:rsidRPr="00DB3F98">
        <w:rPr>
          <w:rFonts w:ascii="Arial" w:hAnsi="Arial" w:cs="Arial"/>
        </w:rPr>
        <w:t xml:space="preserve"> person who</w:t>
      </w:r>
      <w:r w:rsidR="009E09EE">
        <w:rPr>
          <w:rFonts w:ascii="Arial" w:hAnsi="Arial" w:cs="Arial"/>
        </w:rPr>
        <w:t>;</w:t>
      </w:r>
    </w:p>
    <w:p w:rsidR="000774C7" w:rsidRDefault="000774C7" w:rsidP="000774C7">
      <w:pPr>
        <w:pStyle w:val="ListParagraph"/>
        <w:spacing w:line="360" w:lineRule="auto"/>
        <w:ind w:left="360"/>
        <w:rPr>
          <w:rFonts w:ascii="Arial" w:hAnsi="Arial" w:cs="Arial"/>
        </w:rPr>
      </w:pPr>
    </w:p>
    <w:p w:rsidR="00BB7FF0" w:rsidRPr="009E09EE" w:rsidRDefault="00BB7FF0" w:rsidP="009E09EE">
      <w:pPr>
        <w:pStyle w:val="ListParagraph"/>
        <w:numPr>
          <w:ilvl w:val="1"/>
          <w:numId w:val="3"/>
        </w:numPr>
        <w:spacing w:line="360" w:lineRule="auto"/>
        <w:rPr>
          <w:rFonts w:ascii="Arial" w:hAnsi="Arial" w:cs="Arial"/>
        </w:rPr>
      </w:pPr>
      <w:r w:rsidRPr="009E09EE">
        <w:rPr>
          <w:rFonts w:ascii="Arial" w:hAnsi="Arial" w:cs="Arial"/>
        </w:rPr>
        <w:t xml:space="preserve">intends to act in  a manner which </w:t>
      </w:r>
      <w:r w:rsidR="009E09EE" w:rsidRPr="009E09EE">
        <w:rPr>
          <w:rFonts w:ascii="Arial" w:hAnsi="Arial" w:cs="Arial"/>
        </w:rPr>
        <w:t>breaches the terms of the order</w:t>
      </w:r>
      <w:r w:rsidRPr="009E09EE">
        <w:rPr>
          <w:rFonts w:ascii="Arial" w:hAnsi="Arial" w:cs="Arial"/>
        </w:rPr>
        <w:t xml:space="preserve"> must</w:t>
      </w:r>
      <w:r w:rsidR="009E09EE">
        <w:rPr>
          <w:rFonts w:ascii="Arial" w:hAnsi="Arial" w:cs="Arial"/>
        </w:rPr>
        <w:t>,</w:t>
      </w:r>
      <w:r w:rsidRPr="009E09EE">
        <w:rPr>
          <w:rFonts w:ascii="Arial" w:hAnsi="Arial" w:cs="Arial"/>
        </w:rPr>
        <w:t xml:space="preserve"> prior to taking any </w:t>
      </w:r>
      <w:r w:rsidR="009E09EE">
        <w:rPr>
          <w:rFonts w:ascii="Arial" w:hAnsi="Arial" w:cs="Arial"/>
        </w:rPr>
        <w:t xml:space="preserve">such </w:t>
      </w:r>
      <w:r w:rsidRPr="009E09EE">
        <w:rPr>
          <w:rFonts w:ascii="Arial" w:hAnsi="Arial" w:cs="Arial"/>
        </w:rPr>
        <w:t>steps</w:t>
      </w:r>
      <w:r w:rsidR="009E09EE">
        <w:rPr>
          <w:rFonts w:ascii="Arial" w:hAnsi="Arial" w:cs="Arial"/>
        </w:rPr>
        <w:t>,</w:t>
      </w:r>
      <w:r w:rsidR="009E09EE" w:rsidRPr="009E09EE">
        <w:rPr>
          <w:rFonts w:ascii="Arial" w:hAnsi="Arial" w:cs="Arial"/>
        </w:rPr>
        <w:t xml:space="preserve"> </w:t>
      </w:r>
      <w:r w:rsidRPr="009E09EE">
        <w:rPr>
          <w:rFonts w:ascii="Arial" w:hAnsi="Arial" w:cs="Arial"/>
        </w:rPr>
        <w:t xml:space="preserve">oppose the application or apply to </w:t>
      </w:r>
      <w:r w:rsidR="002E5619" w:rsidRPr="009E09EE">
        <w:rPr>
          <w:rFonts w:ascii="Arial" w:hAnsi="Arial" w:cs="Arial"/>
        </w:rPr>
        <w:t xml:space="preserve">have </w:t>
      </w:r>
      <w:r w:rsidRPr="009E09EE">
        <w:rPr>
          <w:rFonts w:ascii="Arial" w:hAnsi="Arial" w:cs="Arial"/>
        </w:rPr>
        <w:t>the order</w:t>
      </w:r>
      <w:r w:rsidR="002E5619" w:rsidRPr="009E09EE">
        <w:rPr>
          <w:rFonts w:ascii="Arial" w:hAnsi="Arial" w:cs="Arial"/>
        </w:rPr>
        <w:t xml:space="preserve"> varied or set aside</w:t>
      </w:r>
      <w:r w:rsidR="000774C7" w:rsidRPr="009E09EE">
        <w:rPr>
          <w:rFonts w:ascii="Arial" w:hAnsi="Arial" w:cs="Arial"/>
        </w:rPr>
        <w:t xml:space="preserve">  (and </w:t>
      </w:r>
      <w:r w:rsidR="009E09EE">
        <w:rPr>
          <w:rFonts w:ascii="Arial" w:hAnsi="Arial" w:cs="Arial"/>
        </w:rPr>
        <w:t xml:space="preserve">by so doing </w:t>
      </w:r>
      <w:r w:rsidR="003C1CC4" w:rsidRPr="009E09EE">
        <w:rPr>
          <w:rFonts w:ascii="Arial" w:hAnsi="Arial" w:cs="Arial"/>
        </w:rPr>
        <w:t xml:space="preserve">either becomes an individually identified respondent or is </w:t>
      </w:r>
      <w:r w:rsidRPr="009E09EE">
        <w:rPr>
          <w:rFonts w:ascii="Arial" w:hAnsi="Arial" w:cs="Arial"/>
        </w:rPr>
        <w:t>individually identified as part of the cited respondent)</w:t>
      </w:r>
      <w:r w:rsidR="000774C7" w:rsidRPr="009E09EE">
        <w:rPr>
          <w:rFonts w:ascii="Arial" w:hAnsi="Arial" w:cs="Arial"/>
        </w:rPr>
        <w:t>;</w:t>
      </w:r>
      <w:r w:rsidR="003C1CC4">
        <w:rPr>
          <w:rStyle w:val="FootnoteReference"/>
          <w:rFonts w:ascii="Arial" w:hAnsi="Arial" w:cs="Arial"/>
        </w:rPr>
        <w:footnoteReference w:id="157"/>
      </w:r>
    </w:p>
    <w:p w:rsidR="009E09EE" w:rsidRDefault="009E09EE" w:rsidP="00025D81">
      <w:pPr>
        <w:spacing w:line="360" w:lineRule="auto"/>
        <w:ind w:left="720"/>
        <w:rPr>
          <w:rFonts w:ascii="Arial" w:hAnsi="Arial" w:cs="Arial"/>
        </w:rPr>
      </w:pPr>
      <w:r>
        <w:rPr>
          <w:rFonts w:ascii="Arial" w:hAnsi="Arial" w:cs="Arial"/>
        </w:rPr>
        <w:lastRenderedPageBreak/>
        <w:t xml:space="preserve"> </w:t>
      </w:r>
      <w:r w:rsidRPr="000774C7">
        <w:rPr>
          <w:rFonts w:ascii="Arial" w:hAnsi="Arial" w:cs="Arial"/>
        </w:rPr>
        <w:t>act</w:t>
      </w:r>
      <w:r>
        <w:rPr>
          <w:rFonts w:ascii="Arial" w:hAnsi="Arial" w:cs="Arial"/>
        </w:rPr>
        <w:t>s</w:t>
      </w:r>
      <w:r w:rsidRPr="000774C7">
        <w:rPr>
          <w:rFonts w:ascii="Arial" w:hAnsi="Arial" w:cs="Arial"/>
        </w:rPr>
        <w:t xml:space="preserve"> in a manner which is in breach of the order</w:t>
      </w:r>
      <w:r>
        <w:rPr>
          <w:rFonts w:ascii="Arial" w:hAnsi="Arial" w:cs="Arial"/>
        </w:rPr>
        <w:t xml:space="preserve"> without first taking the steps mentioned in (a);</w:t>
      </w:r>
    </w:p>
    <w:p w:rsidR="009E09EE" w:rsidRPr="000774C7" w:rsidRDefault="009E09EE" w:rsidP="009E09EE">
      <w:pPr>
        <w:pStyle w:val="ListParagraph"/>
        <w:rPr>
          <w:rFonts w:ascii="Arial" w:hAnsi="Arial" w:cs="Arial"/>
        </w:rPr>
      </w:pPr>
    </w:p>
    <w:p w:rsidR="009E09EE" w:rsidRDefault="009E09EE" w:rsidP="009E09EE">
      <w:pPr>
        <w:pStyle w:val="ListParagraph"/>
        <w:numPr>
          <w:ilvl w:val="2"/>
          <w:numId w:val="3"/>
        </w:numPr>
        <w:spacing w:line="360" w:lineRule="auto"/>
        <w:rPr>
          <w:rFonts w:ascii="Arial" w:hAnsi="Arial" w:cs="Arial"/>
        </w:rPr>
      </w:pPr>
      <w:r>
        <w:rPr>
          <w:rFonts w:ascii="Arial" w:hAnsi="Arial" w:cs="Arial"/>
        </w:rPr>
        <w:t xml:space="preserve">will automatically </w:t>
      </w:r>
      <w:r w:rsidRPr="000774C7">
        <w:rPr>
          <w:rFonts w:ascii="Arial" w:hAnsi="Arial" w:cs="Arial"/>
        </w:rPr>
        <w:t xml:space="preserve">become a party to the proceedings without </w:t>
      </w:r>
      <w:r>
        <w:rPr>
          <w:rFonts w:ascii="Arial" w:hAnsi="Arial" w:cs="Arial"/>
        </w:rPr>
        <w:t>being</w:t>
      </w:r>
      <w:r w:rsidRPr="000774C7">
        <w:rPr>
          <w:rFonts w:ascii="Arial" w:hAnsi="Arial" w:cs="Arial"/>
        </w:rPr>
        <w:t xml:space="preserve"> specifically added to the list of those </w:t>
      </w:r>
      <w:r>
        <w:rPr>
          <w:rFonts w:ascii="Arial" w:hAnsi="Arial" w:cs="Arial"/>
        </w:rPr>
        <w:t xml:space="preserve">already </w:t>
      </w:r>
      <w:r w:rsidRPr="000774C7">
        <w:rPr>
          <w:rFonts w:ascii="Arial" w:hAnsi="Arial" w:cs="Arial"/>
        </w:rPr>
        <w:t xml:space="preserve">identified or </w:t>
      </w:r>
      <w:r>
        <w:rPr>
          <w:rFonts w:ascii="Arial" w:hAnsi="Arial" w:cs="Arial"/>
        </w:rPr>
        <w:t xml:space="preserve">who </w:t>
      </w:r>
      <w:r w:rsidRPr="000774C7">
        <w:rPr>
          <w:rFonts w:ascii="Arial" w:hAnsi="Arial" w:cs="Arial"/>
        </w:rPr>
        <w:t xml:space="preserve">have identified themselves as </w:t>
      </w:r>
      <w:r>
        <w:rPr>
          <w:rFonts w:ascii="Arial" w:hAnsi="Arial" w:cs="Arial"/>
        </w:rPr>
        <w:t xml:space="preserve">being part of the cited respondent </w:t>
      </w:r>
      <w:r w:rsidRPr="009E09EE">
        <w:rPr>
          <w:rFonts w:ascii="Arial" w:hAnsi="Arial" w:cs="Arial"/>
          <w:i/>
        </w:rPr>
        <w:t>and</w:t>
      </w:r>
      <w:r w:rsidRPr="000774C7">
        <w:rPr>
          <w:rFonts w:ascii="Arial" w:hAnsi="Arial" w:cs="Arial"/>
        </w:rPr>
        <w:t xml:space="preserve"> </w:t>
      </w:r>
      <w:r>
        <w:rPr>
          <w:rFonts w:ascii="Arial" w:hAnsi="Arial" w:cs="Arial"/>
        </w:rPr>
        <w:t xml:space="preserve">will be bound by the interim order </w:t>
      </w:r>
      <w:r w:rsidRPr="000774C7">
        <w:rPr>
          <w:rFonts w:ascii="Arial" w:hAnsi="Arial" w:cs="Arial"/>
        </w:rPr>
        <w:t xml:space="preserve">and the order eventually made unless he or she takes steps within a reasonable time to oppose the application </w:t>
      </w:r>
      <w:r>
        <w:rPr>
          <w:rFonts w:ascii="Arial" w:hAnsi="Arial" w:cs="Arial"/>
        </w:rPr>
        <w:t>(</w:t>
      </w:r>
      <w:r w:rsidRPr="000774C7">
        <w:rPr>
          <w:rFonts w:ascii="Arial" w:hAnsi="Arial" w:cs="Arial"/>
        </w:rPr>
        <w:t>or vary its terms for the future</w:t>
      </w:r>
      <w:r>
        <w:rPr>
          <w:rFonts w:ascii="Arial" w:hAnsi="Arial" w:cs="Arial"/>
        </w:rPr>
        <w:t xml:space="preserve">) </w:t>
      </w:r>
      <w:r>
        <w:rPr>
          <w:rFonts w:ascii="Arial" w:hAnsi="Arial" w:cs="Arial"/>
          <w:i/>
        </w:rPr>
        <w:t xml:space="preserve">and </w:t>
      </w:r>
      <w:r w:rsidRPr="000774C7">
        <w:rPr>
          <w:rFonts w:ascii="Arial" w:hAnsi="Arial" w:cs="Arial"/>
        </w:rPr>
        <w:t xml:space="preserve">provides an explain why </w:t>
      </w:r>
      <w:r>
        <w:rPr>
          <w:rFonts w:ascii="Arial" w:hAnsi="Arial" w:cs="Arial"/>
        </w:rPr>
        <w:t xml:space="preserve">he or she breached the terms of the interim </w:t>
      </w:r>
      <w:r w:rsidRPr="000774C7">
        <w:rPr>
          <w:rFonts w:ascii="Arial" w:hAnsi="Arial" w:cs="Arial"/>
        </w:rPr>
        <w:t>order;</w:t>
      </w:r>
    </w:p>
    <w:p w:rsidR="009E09EE" w:rsidRDefault="009E09EE" w:rsidP="009E09EE">
      <w:pPr>
        <w:pStyle w:val="ListParagraph"/>
        <w:spacing w:line="360" w:lineRule="auto"/>
        <w:ind w:left="1800"/>
        <w:rPr>
          <w:rFonts w:ascii="Arial" w:hAnsi="Arial" w:cs="Arial"/>
        </w:rPr>
      </w:pPr>
    </w:p>
    <w:p w:rsidR="009E09EE" w:rsidRPr="000774C7" w:rsidRDefault="009E09EE" w:rsidP="009E09EE">
      <w:pPr>
        <w:pStyle w:val="ListParagraph"/>
        <w:numPr>
          <w:ilvl w:val="2"/>
          <w:numId w:val="3"/>
        </w:numPr>
        <w:spacing w:line="360" w:lineRule="auto"/>
        <w:rPr>
          <w:rFonts w:ascii="Arial" w:hAnsi="Arial" w:cs="Arial"/>
        </w:rPr>
      </w:pPr>
      <w:r w:rsidRPr="000774C7">
        <w:rPr>
          <w:rFonts w:ascii="Arial" w:hAnsi="Arial" w:cs="Arial"/>
        </w:rPr>
        <w:t xml:space="preserve">will be subject to contempt of court proceedings </w:t>
      </w:r>
      <w:r>
        <w:rPr>
          <w:rFonts w:ascii="Arial" w:hAnsi="Arial" w:cs="Arial"/>
        </w:rPr>
        <w:t>provided</w:t>
      </w:r>
      <w:r w:rsidRPr="000774C7">
        <w:rPr>
          <w:rFonts w:ascii="Arial" w:hAnsi="Arial" w:cs="Arial"/>
        </w:rPr>
        <w:t xml:space="preserve"> </w:t>
      </w:r>
      <w:r>
        <w:rPr>
          <w:rFonts w:ascii="Arial" w:hAnsi="Arial" w:cs="Arial"/>
        </w:rPr>
        <w:t xml:space="preserve">that </w:t>
      </w:r>
      <w:r w:rsidRPr="000774C7">
        <w:rPr>
          <w:rFonts w:ascii="Arial" w:hAnsi="Arial" w:cs="Arial"/>
        </w:rPr>
        <w:t>he or she had knowledge of the essential terms of the interdict prohibiting the conduct complained of within the defined locality</w:t>
      </w:r>
      <w:r>
        <w:rPr>
          <w:rFonts w:ascii="Arial" w:hAnsi="Arial" w:cs="Arial"/>
        </w:rPr>
        <w:t>.</w:t>
      </w:r>
    </w:p>
    <w:p w:rsidR="00FC7685" w:rsidRDefault="00FC7685" w:rsidP="00FC7685">
      <w:pPr>
        <w:pStyle w:val="ListParagraph"/>
        <w:spacing w:line="360" w:lineRule="auto"/>
        <w:ind w:left="1080"/>
        <w:rPr>
          <w:rFonts w:ascii="Arial" w:hAnsi="Arial" w:cs="Arial"/>
        </w:rPr>
      </w:pPr>
    </w:p>
    <w:p w:rsidR="00312F45" w:rsidRDefault="00312F45" w:rsidP="00AF22DC">
      <w:pPr>
        <w:pStyle w:val="ListParagraph"/>
        <w:numPr>
          <w:ilvl w:val="0"/>
          <w:numId w:val="3"/>
        </w:numPr>
        <w:spacing w:line="360" w:lineRule="auto"/>
        <w:rPr>
          <w:rFonts w:ascii="Arial" w:hAnsi="Arial" w:cs="Arial"/>
        </w:rPr>
      </w:pPr>
      <w:r>
        <w:rPr>
          <w:rFonts w:ascii="Arial" w:hAnsi="Arial" w:cs="Arial"/>
        </w:rPr>
        <w:t xml:space="preserve">The issue which obviously is unique in our jurisdiction </w:t>
      </w:r>
      <w:r w:rsidR="009E09EE">
        <w:rPr>
          <w:rFonts w:ascii="Arial" w:hAnsi="Arial" w:cs="Arial"/>
        </w:rPr>
        <w:t>concerns the protective provisions that apply to unlawful occupiers under PIE.</w:t>
      </w:r>
      <w:r>
        <w:rPr>
          <w:rFonts w:ascii="Arial" w:hAnsi="Arial" w:cs="Arial"/>
        </w:rPr>
        <w:t xml:space="preserve"> This impacts both the reach of an interim </w:t>
      </w:r>
      <w:r w:rsidR="009E09EE">
        <w:rPr>
          <w:rFonts w:ascii="Arial" w:hAnsi="Arial" w:cs="Arial"/>
        </w:rPr>
        <w:t xml:space="preserve">interdict </w:t>
      </w:r>
      <w:r>
        <w:rPr>
          <w:rFonts w:ascii="Arial" w:hAnsi="Arial" w:cs="Arial"/>
        </w:rPr>
        <w:t xml:space="preserve">against </w:t>
      </w:r>
      <w:r w:rsidR="00157763">
        <w:rPr>
          <w:rFonts w:ascii="Arial" w:hAnsi="Arial" w:cs="Arial"/>
        </w:rPr>
        <w:t>newcomers</w:t>
      </w:r>
      <w:r w:rsidR="009E09EE">
        <w:rPr>
          <w:rFonts w:ascii="Arial" w:hAnsi="Arial" w:cs="Arial"/>
        </w:rPr>
        <w:t xml:space="preserve"> and </w:t>
      </w:r>
      <w:r>
        <w:rPr>
          <w:rFonts w:ascii="Arial" w:hAnsi="Arial" w:cs="Arial"/>
        </w:rPr>
        <w:t>the</w:t>
      </w:r>
      <w:r w:rsidR="00B10E5B">
        <w:rPr>
          <w:rFonts w:ascii="Arial" w:hAnsi="Arial" w:cs="Arial"/>
        </w:rPr>
        <w:t xml:space="preserve"> </w:t>
      </w:r>
      <w:r w:rsidR="009E09EE">
        <w:rPr>
          <w:rFonts w:ascii="Arial" w:hAnsi="Arial" w:cs="Arial"/>
        </w:rPr>
        <w:t xml:space="preserve">possible </w:t>
      </w:r>
      <w:r w:rsidR="00B10E5B">
        <w:rPr>
          <w:rFonts w:ascii="Arial" w:hAnsi="Arial" w:cs="Arial"/>
        </w:rPr>
        <w:t xml:space="preserve">use of contempt proceedings to achieve an ulterior objective. </w:t>
      </w:r>
    </w:p>
    <w:p w:rsidR="00B10E5B" w:rsidRDefault="00B10E5B" w:rsidP="00B10E5B">
      <w:pPr>
        <w:pStyle w:val="ListParagraph"/>
        <w:spacing w:line="360" w:lineRule="auto"/>
        <w:ind w:left="360"/>
        <w:rPr>
          <w:rFonts w:ascii="Arial" w:hAnsi="Arial" w:cs="Arial"/>
        </w:rPr>
      </w:pPr>
    </w:p>
    <w:p w:rsidR="009E09EE" w:rsidRDefault="00B10E5B" w:rsidP="00AF22DC">
      <w:pPr>
        <w:pStyle w:val="ListParagraph"/>
        <w:numPr>
          <w:ilvl w:val="0"/>
          <w:numId w:val="3"/>
        </w:numPr>
        <w:spacing w:line="360" w:lineRule="auto"/>
        <w:rPr>
          <w:rFonts w:ascii="Arial" w:hAnsi="Arial" w:cs="Arial"/>
        </w:rPr>
      </w:pPr>
      <w:r>
        <w:rPr>
          <w:rFonts w:ascii="Arial" w:hAnsi="Arial" w:cs="Arial"/>
        </w:rPr>
        <w:t xml:space="preserve">While there may be no quarrel with granting orders which are also directed at newcomers (on which I express no final view as I did not hear adequate argument </w:t>
      </w:r>
      <w:r w:rsidR="00157763">
        <w:rPr>
          <w:rFonts w:ascii="Arial" w:hAnsi="Arial" w:cs="Arial"/>
        </w:rPr>
        <w:t>in this</w:t>
      </w:r>
      <w:r>
        <w:rPr>
          <w:rFonts w:ascii="Arial" w:hAnsi="Arial" w:cs="Arial"/>
        </w:rPr>
        <w:t xml:space="preserve"> regard)</w:t>
      </w:r>
      <w:r w:rsidR="009E09EE">
        <w:rPr>
          <w:rFonts w:ascii="Arial" w:hAnsi="Arial" w:cs="Arial"/>
        </w:rPr>
        <w:t>,</w:t>
      </w:r>
      <w:r>
        <w:rPr>
          <w:rFonts w:ascii="Arial" w:hAnsi="Arial" w:cs="Arial"/>
        </w:rPr>
        <w:t xml:space="preserve"> once a trespasser </w:t>
      </w:r>
      <w:r w:rsidR="00A90AD7">
        <w:rPr>
          <w:rFonts w:ascii="Arial" w:hAnsi="Arial" w:cs="Arial"/>
        </w:rPr>
        <w:t xml:space="preserve">gains a foothold which brings him or her within the definition of an occupier for purposes of PIE the protective right not to be evicted has now to be weighed against s 165 (5) of the Constitution which expressly provides that a court order is binding on </w:t>
      </w:r>
      <w:r w:rsidR="009E09EE">
        <w:rPr>
          <w:rFonts w:ascii="Arial" w:hAnsi="Arial" w:cs="Arial"/>
        </w:rPr>
        <w:t>all persons to whom it applies.</w:t>
      </w:r>
      <w:r w:rsidR="008E2783">
        <w:rPr>
          <w:rStyle w:val="FootnoteReference"/>
          <w:rFonts w:ascii="Arial" w:hAnsi="Arial" w:cs="Arial"/>
        </w:rPr>
        <w:footnoteReference w:id="158"/>
      </w:r>
    </w:p>
    <w:p w:rsidR="009E09EE" w:rsidRPr="009E09EE" w:rsidRDefault="009E09EE" w:rsidP="009E09EE">
      <w:pPr>
        <w:pStyle w:val="ListParagraph"/>
        <w:rPr>
          <w:rFonts w:ascii="Arial" w:hAnsi="Arial" w:cs="Arial"/>
        </w:rPr>
      </w:pPr>
    </w:p>
    <w:p w:rsidR="00A90AD7" w:rsidRDefault="00A90AD7" w:rsidP="009E09EE">
      <w:pPr>
        <w:pStyle w:val="ListParagraph"/>
        <w:spacing w:line="360" w:lineRule="auto"/>
        <w:ind w:left="360"/>
        <w:rPr>
          <w:rFonts w:ascii="Arial" w:hAnsi="Arial" w:cs="Arial"/>
        </w:rPr>
      </w:pPr>
      <w:r>
        <w:rPr>
          <w:rFonts w:ascii="Arial" w:hAnsi="Arial" w:cs="Arial"/>
        </w:rPr>
        <w:t>It reads:</w:t>
      </w:r>
    </w:p>
    <w:p w:rsidR="00A90AD7" w:rsidRPr="00A90AD7" w:rsidRDefault="00A90AD7" w:rsidP="00A90AD7">
      <w:pPr>
        <w:pStyle w:val="ListParagraph"/>
        <w:rPr>
          <w:rFonts w:ascii="Arial" w:hAnsi="Arial" w:cs="Arial"/>
        </w:rPr>
      </w:pPr>
    </w:p>
    <w:p w:rsidR="00A90AD7" w:rsidRPr="008E2783" w:rsidRDefault="00A90AD7" w:rsidP="000774C7">
      <w:pPr>
        <w:spacing w:line="360" w:lineRule="auto"/>
        <w:ind w:left="1440"/>
        <w:rPr>
          <w:rFonts w:ascii="Arial" w:hAnsi="Arial" w:cs="Arial"/>
        </w:rPr>
      </w:pPr>
      <w:r>
        <w:rPr>
          <w:rFonts w:ascii="Arial" w:hAnsi="Arial" w:cs="Arial"/>
        </w:rPr>
        <w:t>“</w:t>
      </w:r>
      <w:r>
        <w:rPr>
          <w:rFonts w:ascii="Arial" w:hAnsi="Arial" w:cs="Arial"/>
          <w:i/>
        </w:rPr>
        <w:t xml:space="preserve">An order or decision </w:t>
      </w:r>
      <w:r w:rsidR="008E2783">
        <w:rPr>
          <w:rFonts w:ascii="Arial" w:hAnsi="Arial" w:cs="Arial"/>
          <w:i/>
        </w:rPr>
        <w:t xml:space="preserve">issued by a court binds all persons to whom and organs of State to which it applies”. </w:t>
      </w:r>
    </w:p>
    <w:p w:rsidR="00A90AD7" w:rsidRPr="00A90AD7" w:rsidRDefault="00A90AD7" w:rsidP="00A90AD7">
      <w:pPr>
        <w:pStyle w:val="ListParagraph"/>
        <w:rPr>
          <w:rFonts w:ascii="Arial" w:hAnsi="Arial" w:cs="Arial"/>
        </w:rPr>
      </w:pPr>
    </w:p>
    <w:p w:rsidR="00615E9A" w:rsidRDefault="00B10E5B" w:rsidP="00AF22DC">
      <w:pPr>
        <w:pStyle w:val="ListParagraph"/>
        <w:numPr>
          <w:ilvl w:val="0"/>
          <w:numId w:val="3"/>
        </w:numPr>
        <w:spacing w:line="360" w:lineRule="auto"/>
        <w:rPr>
          <w:rFonts w:ascii="Arial" w:hAnsi="Arial" w:cs="Arial"/>
        </w:rPr>
      </w:pPr>
      <w:r>
        <w:rPr>
          <w:rFonts w:ascii="Arial" w:hAnsi="Arial" w:cs="Arial"/>
        </w:rPr>
        <w:lastRenderedPageBreak/>
        <w:t xml:space="preserve"> </w:t>
      </w:r>
      <w:r w:rsidR="00A0064A">
        <w:rPr>
          <w:rFonts w:ascii="Arial" w:hAnsi="Arial" w:cs="Arial"/>
        </w:rPr>
        <w:t xml:space="preserve">On the assumption that interim orders against newcomers subject </w:t>
      </w:r>
      <w:r w:rsidR="00615E9A">
        <w:rPr>
          <w:rFonts w:ascii="Arial" w:hAnsi="Arial" w:cs="Arial"/>
        </w:rPr>
        <w:t>the</w:t>
      </w:r>
      <w:r w:rsidR="00A0064A">
        <w:rPr>
          <w:rFonts w:ascii="Arial" w:hAnsi="Arial" w:cs="Arial"/>
        </w:rPr>
        <w:t>m to the proceedings and an</w:t>
      </w:r>
      <w:r w:rsidR="00615E9A">
        <w:rPr>
          <w:rFonts w:ascii="Arial" w:hAnsi="Arial" w:cs="Arial"/>
        </w:rPr>
        <w:t>y adverse</w:t>
      </w:r>
      <w:r w:rsidR="00A0064A">
        <w:rPr>
          <w:rFonts w:ascii="Arial" w:hAnsi="Arial" w:cs="Arial"/>
        </w:rPr>
        <w:t xml:space="preserve"> order ultimately made</w:t>
      </w:r>
      <w:r w:rsidR="00615E9A">
        <w:rPr>
          <w:rFonts w:ascii="Arial" w:hAnsi="Arial" w:cs="Arial"/>
        </w:rPr>
        <w:t xml:space="preserve"> (</w:t>
      </w:r>
      <w:r w:rsidR="00A0064A">
        <w:rPr>
          <w:rFonts w:ascii="Arial" w:hAnsi="Arial" w:cs="Arial"/>
        </w:rPr>
        <w:t>if they do not oppose</w:t>
      </w:r>
      <w:r w:rsidR="00615E9A">
        <w:rPr>
          <w:rFonts w:ascii="Arial" w:hAnsi="Arial" w:cs="Arial"/>
        </w:rPr>
        <w:t>),</w:t>
      </w:r>
      <w:r w:rsidR="009E09EE">
        <w:rPr>
          <w:rFonts w:ascii="Arial" w:hAnsi="Arial" w:cs="Arial"/>
        </w:rPr>
        <w:t xml:space="preserve"> </w:t>
      </w:r>
      <w:r w:rsidR="00615E9A">
        <w:rPr>
          <w:rFonts w:ascii="Arial" w:hAnsi="Arial" w:cs="Arial"/>
        </w:rPr>
        <w:t>there may be no impediment to pursuing contempt proceedings in respect of those who had prior knowledge of the interdict</w:t>
      </w:r>
      <w:r w:rsidR="009E09EE" w:rsidRPr="009E09EE">
        <w:rPr>
          <w:rFonts w:ascii="Arial" w:hAnsi="Arial" w:cs="Arial"/>
        </w:rPr>
        <w:t xml:space="preserve"> </w:t>
      </w:r>
      <w:r w:rsidR="009E09EE">
        <w:rPr>
          <w:rFonts w:ascii="Arial" w:hAnsi="Arial" w:cs="Arial"/>
        </w:rPr>
        <w:t>even if they can subsequently claim protection under PIE</w:t>
      </w:r>
      <w:r w:rsidR="00615E9A">
        <w:rPr>
          <w:rFonts w:ascii="Arial" w:hAnsi="Arial" w:cs="Arial"/>
        </w:rPr>
        <w:t xml:space="preserve">. </w:t>
      </w:r>
    </w:p>
    <w:p w:rsidR="00615E9A" w:rsidRDefault="00615E9A" w:rsidP="00615E9A">
      <w:pPr>
        <w:pStyle w:val="ListParagraph"/>
        <w:spacing w:line="360" w:lineRule="auto"/>
        <w:ind w:left="360"/>
        <w:rPr>
          <w:rFonts w:ascii="Arial" w:hAnsi="Arial" w:cs="Arial"/>
        </w:rPr>
      </w:pPr>
    </w:p>
    <w:p w:rsidR="00312F45" w:rsidRDefault="00615E9A" w:rsidP="00615E9A">
      <w:pPr>
        <w:pStyle w:val="ListParagraph"/>
        <w:spacing w:line="360" w:lineRule="auto"/>
        <w:ind w:left="360"/>
        <w:rPr>
          <w:rFonts w:ascii="Arial" w:hAnsi="Arial" w:cs="Arial"/>
        </w:rPr>
      </w:pPr>
      <w:r>
        <w:rPr>
          <w:rFonts w:ascii="Arial" w:hAnsi="Arial" w:cs="Arial"/>
        </w:rPr>
        <w:t xml:space="preserve">The principle would remain sound and the courts presumably would consider the individual’s plight, frustrations and all other relevant circumstances </w:t>
      </w:r>
      <w:r w:rsidR="00157763">
        <w:rPr>
          <w:rFonts w:ascii="Arial" w:hAnsi="Arial" w:cs="Arial"/>
        </w:rPr>
        <w:t>with humanity</w:t>
      </w:r>
      <w:r>
        <w:rPr>
          <w:rFonts w:ascii="Arial" w:hAnsi="Arial" w:cs="Arial"/>
        </w:rPr>
        <w:t xml:space="preserve"> and compassion while mindful that such p</w:t>
      </w:r>
      <w:r w:rsidR="009E09EE">
        <w:rPr>
          <w:rFonts w:ascii="Arial" w:hAnsi="Arial" w:cs="Arial"/>
        </w:rPr>
        <w:t>roceedings brought against such persons,</w:t>
      </w:r>
      <w:r>
        <w:rPr>
          <w:rFonts w:ascii="Arial" w:hAnsi="Arial" w:cs="Arial"/>
        </w:rPr>
        <w:t xml:space="preserve"> other than instigators or </w:t>
      </w:r>
      <w:r w:rsidR="009E09EE">
        <w:rPr>
          <w:rFonts w:ascii="Arial" w:hAnsi="Arial" w:cs="Arial"/>
        </w:rPr>
        <w:t xml:space="preserve">those </w:t>
      </w:r>
      <w:r>
        <w:rPr>
          <w:rFonts w:ascii="Arial" w:hAnsi="Arial" w:cs="Arial"/>
        </w:rPr>
        <w:t xml:space="preserve">who have made financial gain, may be motivated </w:t>
      </w:r>
      <w:r w:rsidRPr="00615E9A">
        <w:rPr>
          <w:rFonts w:ascii="Arial" w:hAnsi="Arial" w:cs="Arial"/>
          <w:i/>
        </w:rPr>
        <w:t>in terrorem</w:t>
      </w:r>
      <w:r>
        <w:rPr>
          <w:rFonts w:ascii="Arial" w:hAnsi="Arial" w:cs="Arial"/>
        </w:rPr>
        <w:t xml:space="preserve">. </w:t>
      </w:r>
    </w:p>
    <w:p w:rsidR="00312F45" w:rsidRPr="00312F45" w:rsidRDefault="00312F45" w:rsidP="00312F45">
      <w:pPr>
        <w:spacing w:line="360" w:lineRule="auto"/>
        <w:rPr>
          <w:rFonts w:ascii="Arial" w:hAnsi="Arial" w:cs="Arial"/>
        </w:rPr>
      </w:pPr>
    </w:p>
    <w:p w:rsidR="007B40D6" w:rsidRDefault="007B40D6" w:rsidP="00AF22DC">
      <w:pPr>
        <w:pStyle w:val="ListParagraph"/>
        <w:numPr>
          <w:ilvl w:val="0"/>
          <w:numId w:val="3"/>
        </w:numPr>
        <w:spacing w:line="360" w:lineRule="auto"/>
        <w:rPr>
          <w:rFonts w:ascii="Arial" w:hAnsi="Arial" w:cs="Arial"/>
        </w:rPr>
      </w:pPr>
      <w:r>
        <w:rPr>
          <w:rFonts w:ascii="Arial" w:hAnsi="Arial" w:cs="Arial"/>
        </w:rPr>
        <w:t xml:space="preserve">The question of whether newcomers may be subject to an interdict once made final does not arise for present consideration. There are however some obvious difficulties </w:t>
      </w:r>
      <w:r w:rsidR="009E09EE">
        <w:rPr>
          <w:rFonts w:ascii="Arial" w:hAnsi="Arial" w:cs="Arial"/>
        </w:rPr>
        <w:t>that</w:t>
      </w:r>
      <w:r>
        <w:rPr>
          <w:rFonts w:ascii="Arial" w:hAnsi="Arial" w:cs="Arial"/>
        </w:rPr>
        <w:t xml:space="preserve"> would </w:t>
      </w:r>
      <w:r w:rsidR="009E09EE">
        <w:rPr>
          <w:rFonts w:ascii="Arial" w:hAnsi="Arial" w:cs="Arial"/>
        </w:rPr>
        <w:t xml:space="preserve">need </w:t>
      </w:r>
      <w:r>
        <w:rPr>
          <w:rFonts w:ascii="Arial" w:hAnsi="Arial" w:cs="Arial"/>
        </w:rPr>
        <w:t xml:space="preserve">to be considered </w:t>
      </w:r>
      <w:r w:rsidR="000774C7">
        <w:rPr>
          <w:rFonts w:ascii="Arial" w:hAnsi="Arial" w:cs="Arial"/>
        </w:rPr>
        <w:t xml:space="preserve">and </w:t>
      </w:r>
      <w:r w:rsidR="0009278F">
        <w:rPr>
          <w:rFonts w:ascii="Arial" w:hAnsi="Arial" w:cs="Arial"/>
        </w:rPr>
        <w:t>which</w:t>
      </w:r>
      <w:r>
        <w:rPr>
          <w:rFonts w:ascii="Arial" w:hAnsi="Arial" w:cs="Arial"/>
        </w:rPr>
        <w:t xml:space="preserve"> do not appear to arise under English substantive or </w:t>
      </w:r>
      <w:r w:rsidR="00157763">
        <w:rPr>
          <w:rFonts w:ascii="Arial" w:hAnsi="Arial" w:cs="Arial"/>
        </w:rPr>
        <w:t>adjectival</w:t>
      </w:r>
      <w:r w:rsidR="000774C7">
        <w:rPr>
          <w:rFonts w:ascii="Arial" w:hAnsi="Arial" w:cs="Arial"/>
        </w:rPr>
        <w:t xml:space="preserve"> law. They would include:</w:t>
      </w:r>
    </w:p>
    <w:p w:rsidR="000774C7" w:rsidRDefault="000774C7" w:rsidP="000774C7">
      <w:pPr>
        <w:pStyle w:val="ListParagraph"/>
        <w:spacing w:line="360" w:lineRule="auto"/>
        <w:ind w:left="360"/>
        <w:rPr>
          <w:rFonts w:ascii="Arial" w:hAnsi="Arial" w:cs="Arial"/>
        </w:rPr>
      </w:pPr>
    </w:p>
    <w:p w:rsidR="009E09EE" w:rsidRDefault="009E09EE" w:rsidP="000774C7">
      <w:pPr>
        <w:pStyle w:val="ListParagraph"/>
        <w:numPr>
          <w:ilvl w:val="1"/>
          <w:numId w:val="3"/>
        </w:numPr>
        <w:spacing w:line="360" w:lineRule="auto"/>
        <w:rPr>
          <w:rFonts w:ascii="Arial" w:hAnsi="Arial" w:cs="Arial"/>
        </w:rPr>
      </w:pPr>
      <w:r>
        <w:rPr>
          <w:rFonts w:ascii="Arial" w:hAnsi="Arial" w:cs="Arial"/>
        </w:rPr>
        <w:t>Generally a</w:t>
      </w:r>
      <w:r w:rsidR="00157763" w:rsidRPr="000774C7">
        <w:rPr>
          <w:rFonts w:ascii="Arial" w:hAnsi="Arial" w:cs="Arial"/>
        </w:rPr>
        <w:t xml:space="preserve"> court</w:t>
      </w:r>
      <w:r w:rsidR="0009278F" w:rsidRPr="000774C7">
        <w:rPr>
          <w:rFonts w:ascii="Arial" w:hAnsi="Arial" w:cs="Arial"/>
        </w:rPr>
        <w:t xml:space="preserve"> order is only effective against persons to whom it applies a</w:t>
      </w:r>
      <w:r w:rsidR="002E5C54" w:rsidRPr="000774C7">
        <w:rPr>
          <w:rFonts w:ascii="Arial" w:hAnsi="Arial" w:cs="Arial"/>
        </w:rPr>
        <w:t>nd not against the whole world</w:t>
      </w:r>
      <w:r>
        <w:rPr>
          <w:rFonts w:ascii="Arial" w:hAnsi="Arial" w:cs="Arial"/>
        </w:rPr>
        <w:t xml:space="preserve"> unless authorised under law</w:t>
      </w:r>
      <w:r>
        <w:rPr>
          <w:rStyle w:val="FootnoteReference"/>
          <w:rFonts w:ascii="Arial" w:hAnsi="Arial" w:cs="Arial"/>
        </w:rPr>
        <w:footnoteReference w:id="159"/>
      </w:r>
    </w:p>
    <w:p w:rsidR="002E5C54" w:rsidRDefault="002E5C54" w:rsidP="000774C7">
      <w:pPr>
        <w:pStyle w:val="ListParagraph"/>
        <w:spacing w:line="360" w:lineRule="auto"/>
        <w:ind w:left="1080"/>
        <w:rPr>
          <w:rFonts w:ascii="Arial" w:hAnsi="Arial" w:cs="Arial"/>
        </w:rPr>
      </w:pPr>
      <w:r w:rsidRPr="000774C7">
        <w:rPr>
          <w:rFonts w:ascii="Arial" w:hAnsi="Arial" w:cs="Arial"/>
        </w:rPr>
        <w:t xml:space="preserve">Although </w:t>
      </w:r>
      <w:r w:rsidR="009E09EE">
        <w:rPr>
          <w:rFonts w:ascii="Arial" w:hAnsi="Arial" w:cs="Arial"/>
        </w:rPr>
        <w:t xml:space="preserve">the protection of a real right </w:t>
      </w:r>
      <w:r w:rsidRPr="000774C7">
        <w:rPr>
          <w:rFonts w:ascii="Arial" w:hAnsi="Arial" w:cs="Arial"/>
        </w:rPr>
        <w:t>is available against the whole world</w:t>
      </w:r>
      <w:r w:rsidR="009E09EE">
        <w:rPr>
          <w:rFonts w:ascii="Arial" w:hAnsi="Arial" w:cs="Arial"/>
        </w:rPr>
        <w:t xml:space="preserve"> and the development in English law cases of a trespass order being effective against the whole world </w:t>
      </w:r>
      <w:r w:rsidR="00FE6FD3" w:rsidRPr="000774C7">
        <w:rPr>
          <w:rFonts w:ascii="Arial" w:hAnsi="Arial" w:cs="Arial"/>
        </w:rPr>
        <w:t xml:space="preserve">is understandable in cases where the right </w:t>
      </w:r>
      <w:r w:rsidR="00165A34" w:rsidRPr="000774C7">
        <w:rPr>
          <w:rFonts w:ascii="Arial" w:hAnsi="Arial" w:cs="Arial"/>
        </w:rPr>
        <w:t xml:space="preserve">to </w:t>
      </w:r>
      <w:r w:rsidR="00157763" w:rsidRPr="000774C7">
        <w:rPr>
          <w:rFonts w:ascii="Arial" w:hAnsi="Arial" w:cs="Arial"/>
        </w:rPr>
        <w:t>undisturbed</w:t>
      </w:r>
      <w:r w:rsidR="00165A34" w:rsidRPr="000774C7">
        <w:rPr>
          <w:rFonts w:ascii="Arial" w:hAnsi="Arial" w:cs="Arial"/>
        </w:rPr>
        <w:t xml:space="preserve"> possession of </w:t>
      </w:r>
      <w:r w:rsidR="00FE6FD3" w:rsidRPr="000774C7">
        <w:rPr>
          <w:rFonts w:ascii="Arial" w:hAnsi="Arial" w:cs="Arial"/>
        </w:rPr>
        <w:t xml:space="preserve">land is unassailable and </w:t>
      </w:r>
      <w:r w:rsidR="00165A34" w:rsidRPr="000774C7">
        <w:rPr>
          <w:rFonts w:ascii="Arial" w:hAnsi="Arial" w:cs="Arial"/>
        </w:rPr>
        <w:t xml:space="preserve">there is a </w:t>
      </w:r>
      <w:r w:rsidR="00FE6FD3" w:rsidRPr="000774C7">
        <w:rPr>
          <w:rFonts w:ascii="Arial" w:hAnsi="Arial" w:cs="Arial"/>
        </w:rPr>
        <w:t xml:space="preserve">continuing trespass </w:t>
      </w:r>
      <w:r w:rsidR="00165A34" w:rsidRPr="000774C7">
        <w:rPr>
          <w:rFonts w:ascii="Arial" w:hAnsi="Arial" w:cs="Arial"/>
        </w:rPr>
        <w:t xml:space="preserve">onto it </w:t>
      </w:r>
      <w:r w:rsidR="009E09EE">
        <w:rPr>
          <w:rFonts w:ascii="Arial" w:hAnsi="Arial" w:cs="Arial"/>
        </w:rPr>
        <w:t>by those</w:t>
      </w:r>
      <w:r w:rsidR="00FE6FD3" w:rsidRPr="000774C7">
        <w:rPr>
          <w:rFonts w:ascii="Arial" w:hAnsi="Arial" w:cs="Arial"/>
        </w:rPr>
        <w:t xml:space="preserve"> who fall within an identified category </w:t>
      </w:r>
      <w:r w:rsidR="00157763" w:rsidRPr="000774C7">
        <w:rPr>
          <w:rFonts w:ascii="Arial" w:hAnsi="Arial" w:cs="Arial"/>
        </w:rPr>
        <w:t xml:space="preserve">of </w:t>
      </w:r>
      <w:r w:rsidR="009E09EE">
        <w:rPr>
          <w:rFonts w:ascii="Arial" w:hAnsi="Arial" w:cs="Arial"/>
        </w:rPr>
        <w:t xml:space="preserve">persons </w:t>
      </w:r>
      <w:r w:rsidR="00FE6FD3" w:rsidRPr="000774C7">
        <w:rPr>
          <w:rFonts w:ascii="Arial" w:hAnsi="Arial" w:cs="Arial"/>
        </w:rPr>
        <w:t xml:space="preserve">committing </w:t>
      </w:r>
      <w:r w:rsidR="009E09EE">
        <w:rPr>
          <w:rFonts w:ascii="Arial" w:hAnsi="Arial" w:cs="Arial"/>
        </w:rPr>
        <w:t xml:space="preserve">the specified </w:t>
      </w:r>
      <w:r w:rsidR="00FE6FD3" w:rsidRPr="000774C7">
        <w:rPr>
          <w:rFonts w:ascii="Arial" w:hAnsi="Arial" w:cs="Arial"/>
        </w:rPr>
        <w:t>unlawful act</w:t>
      </w:r>
      <w:r w:rsidR="00165A34" w:rsidRPr="000774C7">
        <w:rPr>
          <w:rFonts w:ascii="Arial" w:hAnsi="Arial" w:cs="Arial"/>
        </w:rPr>
        <w:t>, I am not sure there is a sufficient foundation based</w:t>
      </w:r>
      <w:r w:rsidR="009E09EE">
        <w:rPr>
          <w:rFonts w:ascii="Arial" w:hAnsi="Arial" w:cs="Arial"/>
        </w:rPr>
        <w:t xml:space="preserve"> on precedent to extend it in the</w:t>
      </w:r>
      <w:r w:rsidR="00165A34" w:rsidRPr="000774C7">
        <w:rPr>
          <w:rFonts w:ascii="Arial" w:hAnsi="Arial" w:cs="Arial"/>
        </w:rPr>
        <w:t xml:space="preserve"> way </w:t>
      </w:r>
      <w:r w:rsidR="009E09EE">
        <w:rPr>
          <w:rFonts w:ascii="Arial" w:hAnsi="Arial" w:cs="Arial"/>
        </w:rPr>
        <w:t xml:space="preserve">as </w:t>
      </w:r>
      <w:r w:rsidR="00165A34" w:rsidRPr="000774C7">
        <w:rPr>
          <w:rFonts w:ascii="Arial" w:hAnsi="Arial" w:cs="Arial"/>
        </w:rPr>
        <w:t>the English Courts</w:t>
      </w:r>
      <w:r w:rsidR="009E09EE">
        <w:rPr>
          <w:rFonts w:ascii="Arial" w:hAnsi="Arial" w:cs="Arial"/>
        </w:rPr>
        <w:t xml:space="preserve"> have. </w:t>
      </w:r>
      <w:r w:rsidR="00165A34" w:rsidRPr="000774C7">
        <w:rPr>
          <w:rFonts w:ascii="Arial" w:hAnsi="Arial" w:cs="Arial"/>
        </w:rPr>
        <w:t>Furthermore the protective right against eviction a</w:t>
      </w:r>
      <w:r w:rsidR="009E09EE">
        <w:rPr>
          <w:rFonts w:ascii="Arial" w:hAnsi="Arial" w:cs="Arial"/>
        </w:rPr>
        <w:t xml:space="preserve">fforded </w:t>
      </w:r>
      <w:r w:rsidR="00165A34" w:rsidRPr="000774C7">
        <w:rPr>
          <w:rFonts w:ascii="Arial" w:hAnsi="Arial" w:cs="Arial"/>
        </w:rPr>
        <w:t xml:space="preserve">to an unlawful occupier under PIE </w:t>
      </w:r>
      <w:r w:rsidR="009E09EE">
        <w:rPr>
          <w:rFonts w:ascii="Arial" w:hAnsi="Arial" w:cs="Arial"/>
        </w:rPr>
        <w:t>pending the provision of</w:t>
      </w:r>
      <w:r w:rsidR="00165A34" w:rsidRPr="000774C7">
        <w:rPr>
          <w:rFonts w:ascii="Arial" w:hAnsi="Arial" w:cs="Arial"/>
        </w:rPr>
        <w:t xml:space="preserve"> temporary emergency shelter would also have to be judicially weighed</w:t>
      </w:r>
      <w:r w:rsidR="000774C7">
        <w:rPr>
          <w:rFonts w:ascii="Arial" w:hAnsi="Arial" w:cs="Arial"/>
        </w:rPr>
        <w:t>.</w:t>
      </w:r>
    </w:p>
    <w:p w:rsidR="000774C7" w:rsidRDefault="000774C7" w:rsidP="000774C7">
      <w:pPr>
        <w:pStyle w:val="ListParagraph"/>
        <w:spacing w:line="360" w:lineRule="auto"/>
        <w:ind w:left="1080"/>
        <w:rPr>
          <w:rFonts w:ascii="Arial" w:hAnsi="Arial" w:cs="Arial"/>
        </w:rPr>
      </w:pPr>
    </w:p>
    <w:p w:rsidR="009E09EE" w:rsidRDefault="002E5C54" w:rsidP="000774C7">
      <w:pPr>
        <w:pStyle w:val="ListParagraph"/>
        <w:numPr>
          <w:ilvl w:val="1"/>
          <w:numId w:val="3"/>
        </w:numPr>
        <w:spacing w:line="360" w:lineRule="auto"/>
        <w:rPr>
          <w:rFonts w:ascii="Arial" w:hAnsi="Arial" w:cs="Arial"/>
        </w:rPr>
      </w:pPr>
      <w:r w:rsidRPr="000774C7">
        <w:rPr>
          <w:rFonts w:ascii="Arial" w:hAnsi="Arial" w:cs="Arial"/>
        </w:rPr>
        <w:t>I</w:t>
      </w:r>
      <w:r w:rsidR="0009278F" w:rsidRPr="000774C7">
        <w:rPr>
          <w:rFonts w:ascii="Arial" w:hAnsi="Arial" w:cs="Arial"/>
        </w:rPr>
        <w:t xml:space="preserve">t is </w:t>
      </w:r>
      <w:r w:rsidR="00EE4395" w:rsidRPr="000774C7">
        <w:rPr>
          <w:rFonts w:ascii="Arial" w:hAnsi="Arial" w:cs="Arial"/>
        </w:rPr>
        <w:t>difficult</w:t>
      </w:r>
      <w:r w:rsidR="0009278F" w:rsidRPr="000774C7">
        <w:rPr>
          <w:rFonts w:ascii="Arial" w:hAnsi="Arial" w:cs="Arial"/>
        </w:rPr>
        <w:t xml:space="preserve"> to </w:t>
      </w:r>
      <w:r w:rsidR="00EE4395" w:rsidRPr="000774C7">
        <w:rPr>
          <w:rFonts w:ascii="Arial" w:hAnsi="Arial" w:cs="Arial"/>
        </w:rPr>
        <w:t>comprehend</w:t>
      </w:r>
      <w:r w:rsidR="0009278F" w:rsidRPr="000774C7">
        <w:rPr>
          <w:rFonts w:ascii="Arial" w:hAnsi="Arial" w:cs="Arial"/>
        </w:rPr>
        <w:t xml:space="preserve"> an order, even if directed at a class of person, </w:t>
      </w:r>
      <w:r w:rsidR="0009278F" w:rsidRPr="000774C7">
        <w:rPr>
          <w:rFonts w:ascii="Arial" w:hAnsi="Arial" w:cs="Arial"/>
        </w:rPr>
        <w:lastRenderedPageBreak/>
        <w:t xml:space="preserve">being enforceable against anyone other than those who became a party to the proceedings before it was made final. </w:t>
      </w:r>
      <w:r w:rsidRPr="000774C7">
        <w:rPr>
          <w:rFonts w:ascii="Arial" w:hAnsi="Arial" w:cs="Arial"/>
        </w:rPr>
        <w:t xml:space="preserve">Even in the case of beneficiaries under a will, their existence by definition predates the grant of an order. </w:t>
      </w:r>
    </w:p>
    <w:p w:rsidR="008C4115" w:rsidRDefault="008C4115" w:rsidP="008C4115">
      <w:pPr>
        <w:pStyle w:val="ListParagraph"/>
        <w:spacing w:line="360" w:lineRule="auto"/>
        <w:ind w:left="1080"/>
        <w:rPr>
          <w:rFonts w:ascii="Arial" w:hAnsi="Arial" w:cs="Arial"/>
        </w:rPr>
      </w:pPr>
    </w:p>
    <w:p w:rsidR="008412E3" w:rsidRDefault="009E09EE" w:rsidP="008C4115">
      <w:pPr>
        <w:pStyle w:val="ListParagraph"/>
        <w:numPr>
          <w:ilvl w:val="0"/>
          <w:numId w:val="3"/>
        </w:numPr>
        <w:spacing w:line="360" w:lineRule="auto"/>
        <w:rPr>
          <w:rFonts w:ascii="Arial" w:hAnsi="Arial" w:cs="Arial"/>
        </w:rPr>
      </w:pPr>
      <w:r w:rsidRPr="008C4115">
        <w:rPr>
          <w:rFonts w:ascii="Arial" w:hAnsi="Arial" w:cs="Arial"/>
        </w:rPr>
        <w:t>However t</w:t>
      </w:r>
      <w:r w:rsidR="0009278F" w:rsidRPr="008C4115">
        <w:rPr>
          <w:rFonts w:ascii="Arial" w:hAnsi="Arial" w:cs="Arial"/>
        </w:rPr>
        <w:t xml:space="preserve">he possibility </w:t>
      </w:r>
      <w:r w:rsidR="00EE4395" w:rsidRPr="008C4115">
        <w:rPr>
          <w:rFonts w:ascii="Arial" w:hAnsi="Arial" w:cs="Arial"/>
        </w:rPr>
        <w:t>remains</w:t>
      </w:r>
      <w:r w:rsidR="0009278F" w:rsidRPr="008C4115">
        <w:rPr>
          <w:rFonts w:ascii="Arial" w:hAnsi="Arial" w:cs="Arial"/>
        </w:rPr>
        <w:t xml:space="preserve"> that a final order can be couched in a way that expires only once a certain discernible event </w:t>
      </w:r>
      <w:r w:rsidR="00EE4395" w:rsidRPr="008C4115">
        <w:rPr>
          <w:rFonts w:ascii="Arial" w:hAnsi="Arial" w:cs="Arial"/>
        </w:rPr>
        <w:t>occurs</w:t>
      </w:r>
      <w:r w:rsidR="0009278F" w:rsidRPr="008C4115">
        <w:rPr>
          <w:rFonts w:ascii="Arial" w:hAnsi="Arial" w:cs="Arial"/>
        </w:rPr>
        <w:t xml:space="preserve">, such as </w:t>
      </w:r>
      <w:r w:rsidRPr="008C4115">
        <w:rPr>
          <w:rFonts w:ascii="Arial" w:hAnsi="Arial" w:cs="Arial"/>
        </w:rPr>
        <w:t xml:space="preserve">the </w:t>
      </w:r>
      <w:r w:rsidR="0009278F" w:rsidRPr="008C4115">
        <w:rPr>
          <w:rFonts w:ascii="Arial" w:hAnsi="Arial" w:cs="Arial"/>
        </w:rPr>
        <w:t xml:space="preserve">completion of a development including </w:t>
      </w:r>
      <w:r w:rsidRPr="008C4115">
        <w:rPr>
          <w:rFonts w:ascii="Arial" w:hAnsi="Arial" w:cs="Arial"/>
        </w:rPr>
        <w:t xml:space="preserve">the handing over of </w:t>
      </w:r>
      <w:r w:rsidR="0009278F" w:rsidRPr="008C4115">
        <w:rPr>
          <w:rFonts w:ascii="Arial" w:hAnsi="Arial" w:cs="Arial"/>
        </w:rPr>
        <w:t>occupation to those lawfully entitled to it. Again I make no decision on this</w:t>
      </w:r>
      <w:r w:rsidR="002E5C54" w:rsidRPr="008C4115">
        <w:rPr>
          <w:rFonts w:ascii="Arial" w:hAnsi="Arial" w:cs="Arial"/>
        </w:rPr>
        <w:t xml:space="preserve"> possibility which seems to find favour with the English Courts.</w:t>
      </w:r>
      <w:r w:rsidR="002E5C54">
        <w:rPr>
          <w:rStyle w:val="FootnoteReference"/>
          <w:rFonts w:ascii="Arial" w:hAnsi="Arial" w:cs="Arial"/>
        </w:rPr>
        <w:footnoteReference w:id="160"/>
      </w:r>
      <w:r w:rsidR="002E5C54" w:rsidRPr="008C4115">
        <w:rPr>
          <w:rFonts w:ascii="Arial" w:hAnsi="Arial" w:cs="Arial"/>
        </w:rPr>
        <w:t xml:space="preserve"> </w:t>
      </w:r>
      <w:r w:rsidR="0009278F" w:rsidRPr="008C4115">
        <w:rPr>
          <w:rFonts w:ascii="Arial" w:hAnsi="Arial" w:cs="Arial"/>
        </w:rPr>
        <w:t xml:space="preserve">  </w:t>
      </w:r>
    </w:p>
    <w:p w:rsidR="008C4115" w:rsidRDefault="008C4115" w:rsidP="008C4115">
      <w:pPr>
        <w:pStyle w:val="ListParagraph"/>
        <w:spacing w:line="360" w:lineRule="auto"/>
        <w:ind w:left="360"/>
        <w:rPr>
          <w:rFonts w:ascii="Arial" w:hAnsi="Arial" w:cs="Arial"/>
        </w:rPr>
      </w:pPr>
    </w:p>
    <w:p w:rsidR="008C4115" w:rsidRPr="008C4115" w:rsidRDefault="008C4115" w:rsidP="008C4115">
      <w:pPr>
        <w:pStyle w:val="ListParagraph"/>
        <w:spacing w:line="360" w:lineRule="auto"/>
        <w:ind w:left="0"/>
        <w:rPr>
          <w:rFonts w:ascii="Arial" w:hAnsi="Arial" w:cs="Arial"/>
          <w:b/>
        </w:rPr>
      </w:pPr>
      <w:r w:rsidRPr="008C4115">
        <w:rPr>
          <w:rFonts w:ascii="Arial" w:hAnsi="Arial" w:cs="Arial"/>
          <w:b/>
        </w:rPr>
        <w:t>FINDING IN RESPECT OF EIGHTH RESPONDENT GROUP</w:t>
      </w:r>
    </w:p>
    <w:p w:rsidR="008C4115" w:rsidRDefault="008C4115" w:rsidP="008C4115">
      <w:pPr>
        <w:pStyle w:val="ListParagraph"/>
        <w:spacing w:line="360" w:lineRule="auto"/>
        <w:ind w:left="360"/>
        <w:rPr>
          <w:rFonts w:ascii="Arial" w:hAnsi="Arial" w:cs="Arial"/>
        </w:rPr>
      </w:pPr>
    </w:p>
    <w:p w:rsidR="008C4115" w:rsidRDefault="00BE3C43" w:rsidP="00195B3B">
      <w:pPr>
        <w:pStyle w:val="ListParagraph"/>
        <w:numPr>
          <w:ilvl w:val="0"/>
          <w:numId w:val="3"/>
        </w:numPr>
        <w:spacing w:line="360" w:lineRule="auto"/>
        <w:rPr>
          <w:rFonts w:ascii="Arial" w:hAnsi="Arial" w:cs="Arial"/>
        </w:rPr>
      </w:pPr>
      <w:r>
        <w:rPr>
          <w:rFonts w:ascii="Arial" w:hAnsi="Arial" w:cs="Arial"/>
        </w:rPr>
        <w:t xml:space="preserve">In </w:t>
      </w:r>
      <w:r w:rsidR="008C4115">
        <w:rPr>
          <w:rFonts w:ascii="Arial" w:hAnsi="Arial" w:cs="Arial"/>
        </w:rPr>
        <w:t xml:space="preserve">an application for a final interdict the facts averred by the eighth respondent group are accepted as the evidence before the court unless one of the </w:t>
      </w:r>
      <w:r w:rsidR="00EE2C3B">
        <w:rPr>
          <w:rFonts w:ascii="Arial" w:hAnsi="Arial" w:cs="Arial"/>
        </w:rPr>
        <w:t>exceptions mentioned</w:t>
      </w:r>
      <w:r w:rsidR="008C4115">
        <w:rPr>
          <w:rFonts w:ascii="Arial" w:hAnsi="Arial" w:cs="Arial"/>
        </w:rPr>
        <w:t xml:space="preserve"> in </w:t>
      </w:r>
      <w:r w:rsidR="008C4115">
        <w:rPr>
          <w:rFonts w:ascii="Arial" w:hAnsi="Arial" w:cs="Arial"/>
          <w:i/>
        </w:rPr>
        <w:t xml:space="preserve">Plascon-Evans </w:t>
      </w:r>
      <w:r>
        <w:rPr>
          <w:rFonts w:ascii="Arial" w:hAnsi="Arial" w:cs="Arial"/>
        </w:rPr>
        <w:t>is</w:t>
      </w:r>
      <w:r w:rsidR="008C4115">
        <w:rPr>
          <w:rFonts w:ascii="Arial" w:hAnsi="Arial" w:cs="Arial"/>
        </w:rPr>
        <w:t xml:space="preserve"> present. </w:t>
      </w:r>
      <w:r w:rsidR="00195B3B">
        <w:rPr>
          <w:rFonts w:ascii="Arial" w:hAnsi="Arial" w:cs="Arial"/>
        </w:rPr>
        <w:t>T</w:t>
      </w:r>
      <w:r w:rsidR="008C4115">
        <w:rPr>
          <w:rFonts w:ascii="Arial" w:hAnsi="Arial" w:cs="Arial"/>
        </w:rPr>
        <w:t>he</w:t>
      </w:r>
      <w:r w:rsidR="00195B3B">
        <w:rPr>
          <w:rFonts w:ascii="Arial" w:hAnsi="Arial" w:cs="Arial"/>
        </w:rPr>
        <w:t xml:space="preserve"> answering affidavit does not </w:t>
      </w:r>
      <w:r w:rsidR="00195B3B" w:rsidRPr="00195B3B">
        <w:rPr>
          <w:rFonts w:ascii="Arial" w:hAnsi="Arial" w:cs="Arial"/>
        </w:rPr>
        <w:t>amount to a bald denial</w:t>
      </w:r>
      <w:r w:rsidR="00195B3B">
        <w:rPr>
          <w:rFonts w:ascii="Arial" w:hAnsi="Arial" w:cs="Arial"/>
        </w:rPr>
        <w:t xml:space="preserve"> and in my view their contents are not </w:t>
      </w:r>
      <w:r w:rsidR="00195B3B" w:rsidRPr="00195B3B">
        <w:rPr>
          <w:rFonts w:ascii="Arial" w:hAnsi="Arial" w:cs="Arial"/>
        </w:rPr>
        <w:t>clearly untenable</w:t>
      </w:r>
      <w:r w:rsidR="00195B3B">
        <w:rPr>
          <w:rFonts w:ascii="Arial" w:hAnsi="Arial" w:cs="Arial"/>
        </w:rPr>
        <w:t>.</w:t>
      </w:r>
      <w:r w:rsidR="00195B3B">
        <w:rPr>
          <w:rStyle w:val="FootnoteReference"/>
          <w:rFonts w:ascii="Arial" w:hAnsi="Arial" w:cs="Arial"/>
        </w:rPr>
        <w:footnoteReference w:id="161"/>
      </w:r>
    </w:p>
    <w:p w:rsidR="008C4115" w:rsidRDefault="008C4115" w:rsidP="008C4115">
      <w:pPr>
        <w:pStyle w:val="ListParagraph"/>
        <w:spacing w:line="360" w:lineRule="auto"/>
        <w:ind w:left="360"/>
        <w:rPr>
          <w:rFonts w:ascii="Arial" w:hAnsi="Arial" w:cs="Arial"/>
        </w:rPr>
      </w:pPr>
    </w:p>
    <w:p w:rsidR="00BE3C43" w:rsidRDefault="0007653A" w:rsidP="008C4115">
      <w:pPr>
        <w:pStyle w:val="ListParagraph"/>
        <w:numPr>
          <w:ilvl w:val="0"/>
          <w:numId w:val="3"/>
        </w:numPr>
        <w:spacing w:line="360" w:lineRule="auto"/>
        <w:rPr>
          <w:rFonts w:ascii="Arial" w:hAnsi="Arial" w:cs="Arial"/>
        </w:rPr>
      </w:pPr>
      <w:r>
        <w:rPr>
          <w:rFonts w:ascii="Arial" w:hAnsi="Arial" w:cs="Arial"/>
        </w:rPr>
        <w:t xml:space="preserve">On the facts, </w:t>
      </w:r>
      <w:r w:rsidR="00BE3C43">
        <w:rPr>
          <w:rFonts w:ascii="Arial" w:hAnsi="Arial" w:cs="Arial"/>
        </w:rPr>
        <w:t xml:space="preserve">the Metro accepted that </w:t>
      </w:r>
      <w:r>
        <w:rPr>
          <w:rFonts w:ascii="Arial" w:hAnsi="Arial" w:cs="Arial"/>
        </w:rPr>
        <w:t xml:space="preserve">seven </w:t>
      </w:r>
      <w:r w:rsidR="00BE3C43">
        <w:rPr>
          <w:rFonts w:ascii="Arial" w:hAnsi="Arial" w:cs="Arial"/>
        </w:rPr>
        <w:t xml:space="preserve">persons mentioned earlier had in fact been allocated RDP houses in the development although they were listed among the respondent group. The effect is that they do not fall within the category of cited respondent to which the application relates since they were neither trespassing nor </w:t>
      </w:r>
      <w:r>
        <w:rPr>
          <w:rFonts w:ascii="Arial" w:hAnsi="Arial" w:cs="Arial"/>
        </w:rPr>
        <w:t>attempting to invade or settle i</w:t>
      </w:r>
      <w:r w:rsidR="00BE3C43">
        <w:rPr>
          <w:rFonts w:ascii="Arial" w:hAnsi="Arial" w:cs="Arial"/>
        </w:rPr>
        <w:t xml:space="preserve">n the development.  </w:t>
      </w:r>
    </w:p>
    <w:p w:rsidR="00BE3C43" w:rsidRPr="00BE3C43" w:rsidRDefault="00BE3C43" w:rsidP="00BE3C43">
      <w:pPr>
        <w:pStyle w:val="ListParagraph"/>
        <w:rPr>
          <w:rFonts w:ascii="Arial" w:hAnsi="Arial" w:cs="Arial"/>
        </w:rPr>
      </w:pPr>
    </w:p>
    <w:p w:rsidR="008C4115" w:rsidRDefault="008C4115" w:rsidP="008C4115">
      <w:pPr>
        <w:pStyle w:val="ListParagraph"/>
        <w:numPr>
          <w:ilvl w:val="0"/>
          <w:numId w:val="3"/>
        </w:numPr>
        <w:spacing w:line="360" w:lineRule="auto"/>
        <w:rPr>
          <w:rFonts w:ascii="Arial" w:hAnsi="Arial" w:cs="Arial"/>
        </w:rPr>
      </w:pPr>
      <w:r>
        <w:rPr>
          <w:rFonts w:ascii="Arial" w:hAnsi="Arial" w:cs="Arial"/>
        </w:rPr>
        <w:t>T</w:t>
      </w:r>
      <w:r w:rsidR="00BE3C43">
        <w:rPr>
          <w:rFonts w:ascii="Arial" w:hAnsi="Arial" w:cs="Arial"/>
        </w:rPr>
        <w:t>he eighth respond</w:t>
      </w:r>
      <w:r>
        <w:rPr>
          <w:rFonts w:ascii="Arial" w:hAnsi="Arial" w:cs="Arial"/>
        </w:rPr>
        <w:t>e</w:t>
      </w:r>
      <w:r w:rsidR="00BE3C43">
        <w:rPr>
          <w:rFonts w:ascii="Arial" w:hAnsi="Arial" w:cs="Arial"/>
        </w:rPr>
        <w:t>nt group c</w:t>
      </w:r>
      <w:r>
        <w:rPr>
          <w:rFonts w:ascii="Arial" w:hAnsi="Arial" w:cs="Arial"/>
        </w:rPr>
        <w:t>l</w:t>
      </w:r>
      <w:r w:rsidR="00BE3C43">
        <w:rPr>
          <w:rFonts w:ascii="Arial" w:hAnsi="Arial" w:cs="Arial"/>
        </w:rPr>
        <w:t>a</w:t>
      </w:r>
      <w:r>
        <w:rPr>
          <w:rFonts w:ascii="Arial" w:hAnsi="Arial" w:cs="Arial"/>
        </w:rPr>
        <w:t xml:space="preserve">im to have been on the land since at least </w:t>
      </w:r>
      <w:r w:rsidR="00BE3C43">
        <w:rPr>
          <w:rFonts w:ascii="Arial" w:hAnsi="Arial" w:cs="Arial"/>
        </w:rPr>
        <w:t>January 2020.</w:t>
      </w:r>
      <w:r>
        <w:rPr>
          <w:rFonts w:ascii="Arial" w:hAnsi="Arial" w:cs="Arial"/>
        </w:rPr>
        <w:t xml:space="preserve"> </w:t>
      </w:r>
      <w:r w:rsidR="00BE3C43">
        <w:rPr>
          <w:rFonts w:ascii="Arial" w:hAnsi="Arial" w:cs="Arial"/>
        </w:rPr>
        <w:t>On the papers t</w:t>
      </w:r>
      <w:r>
        <w:rPr>
          <w:rFonts w:ascii="Arial" w:hAnsi="Arial" w:cs="Arial"/>
        </w:rPr>
        <w:t>he attempt to remove them only occurred in</w:t>
      </w:r>
      <w:r w:rsidR="00BE3C43">
        <w:rPr>
          <w:rFonts w:ascii="Arial" w:hAnsi="Arial" w:cs="Arial"/>
        </w:rPr>
        <w:t xml:space="preserve"> May 2021 at the time when the Metro brought its joinder </w:t>
      </w:r>
      <w:r w:rsidR="0007653A">
        <w:rPr>
          <w:rFonts w:ascii="Arial" w:hAnsi="Arial" w:cs="Arial"/>
        </w:rPr>
        <w:t>application</w:t>
      </w:r>
      <w:r w:rsidR="00BE3C43">
        <w:rPr>
          <w:rFonts w:ascii="Arial" w:hAnsi="Arial" w:cs="Arial"/>
        </w:rPr>
        <w:t>.</w:t>
      </w:r>
      <w:r>
        <w:rPr>
          <w:rFonts w:ascii="Arial" w:hAnsi="Arial" w:cs="Arial"/>
        </w:rPr>
        <w:t xml:space="preserve"> There is no allegation that any non-physical resistance was put up </w:t>
      </w:r>
      <w:r w:rsidR="00BE3C43">
        <w:rPr>
          <w:rFonts w:ascii="Arial" w:hAnsi="Arial" w:cs="Arial"/>
        </w:rPr>
        <w:t xml:space="preserve">by the Metro </w:t>
      </w:r>
      <w:r>
        <w:rPr>
          <w:rFonts w:ascii="Arial" w:hAnsi="Arial" w:cs="Arial"/>
        </w:rPr>
        <w:t>when th</w:t>
      </w:r>
      <w:r w:rsidR="0007653A">
        <w:rPr>
          <w:rFonts w:ascii="Arial" w:hAnsi="Arial" w:cs="Arial"/>
        </w:rPr>
        <w:t xml:space="preserve">is group </w:t>
      </w:r>
      <w:r>
        <w:rPr>
          <w:rFonts w:ascii="Arial" w:hAnsi="Arial" w:cs="Arial"/>
        </w:rPr>
        <w:t xml:space="preserve">initially came onto the land. They therefore were in peaceful and undisturbed possession </w:t>
      </w:r>
      <w:r w:rsidR="00BE3C43">
        <w:rPr>
          <w:rFonts w:ascii="Arial" w:hAnsi="Arial" w:cs="Arial"/>
        </w:rPr>
        <w:t xml:space="preserve">at the time </w:t>
      </w:r>
      <w:r>
        <w:rPr>
          <w:rFonts w:ascii="Arial" w:hAnsi="Arial" w:cs="Arial"/>
        </w:rPr>
        <w:t>the Metro brough</w:t>
      </w:r>
      <w:r w:rsidR="00BE3C43">
        <w:rPr>
          <w:rFonts w:ascii="Arial" w:hAnsi="Arial" w:cs="Arial"/>
        </w:rPr>
        <w:t>t i</w:t>
      </w:r>
      <w:r w:rsidR="0007653A">
        <w:rPr>
          <w:rFonts w:ascii="Arial" w:hAnsi="Arial" w:cs="Arial"/>
        </w:rPr>
        <w:t xml:space="preserve">ts application to join them as </w:t>
      </w:r>
      <w:r w:rsidR="00BE3C43">
        <w:rPr>
          <w:rFonts w:ascii="Arial" w:hAnsi="Arial" w:cs="Arial"/>
        </w:rPr>
        <w:t>p</w:t>
      </w:r>
      <w:r w:rsidR="0007653A">
        <w:rPr>
          <w:rFonts w:ascii="Arial" w:hAnsi="Arial" w:cs="Arial"/>
        </w:rPr>
        <w:t>a</w:t>
      </w:r>
      <w:r w:rsidR="00BE3C43">
        <w:rPr>
          <w:rFonts w:ascii="Arial" w:hAnsi="Arial" w:cs="Arial"/>
        </w:rPr>
        <w:t xml:space="preserve">rties to the </w:t>
      </w:r>
      <w:r>
        <w:rPr>
          <w:rFonts w:ascii="Arial" w:hAnsi="Arial" w:cs="Arial"/>
        </w:rPr>
        <w:t xml:space="preserve">original application. </w:t>
      </w:r>
    </w:p>
    <w:p w:rsidR="008C4115" w:rsidRDefault="008C4115" w:rsidP="008C4115">
      <w:pPr>
        <w:pStyle w:val="ListParagraph"/>
        <w:numPr>
          <w:ilvl w:val="0"/>
          <w:numId w:val="3"/>
        </w:numPr>
        <w:spacing w:line="360" w:lineRule="auto"/>
        <w:rPr>
          <w:rFonts w:ascii="Arial" w:hAnsi="Arial" w:cs="Arial"/>
        </w:rPr>
      </w:pPr>
      <w:r>
        <w:rPr>
          <w:rFonts w:ascii="Arial" w:hAnsi="Arial" w:cs="Arial"/>
        </w:rPr>
        <w:lastRenderedPageBreak/>
        <w:t>Moreover without evidence to show that they are not homeless and would not be rendered homeless if evicted</w:t>
      </w:r>
      <w:r w:rsidR="00BE3C43">
        <w:rPr>
          <w:rFonts w:ascii="Arial" w:hAnsi="Arial" w:cs="Arial"/>
        </w:rPr>
        <w:t>,</w:t>
      </w:r>
      <w:r>
        <w:rPr>
          <w:rFonts w:ascii="Arial" w:hAnsi="Arial" w:cs="Arial"/>
        </w:rPr>
        <w:t xml:space="preserve"> they all </w:t>
      </w:r>
      <w:r w:rsidR="00BE3C43">
        <w:rPr>
          <w:rFonts w:ascii="Arial" w:hAnsi="Arial" w:cs="Arial"/>
        </w:rPr>
        <w:t xml:space="preserve">claim to </w:t>
      </w:r>
      <w:r>
        <w:rPr>
          <w:rFonts w:ascii="Arial" w:hAnsi="Arial" w:cs="Arial"/>
        </w:rPr>
        <w:t xml:space="preserve">reside on the development and are subject to the protection afforded </w:t>
      </w:r>
      <w:r w:rsidR="0007653A">
        <w:rPr>
          <w:rFonts w:ascii="Arial" w:hAnsi="Arial" w:cs="Arial"/>
        </w:rPr>
        <w:t xml:space="preserve">to unlawful occupiers </w:t>
      </w:r>
      <w:r>
        <w:rPr>
          <w:rFonts w:ascii="Arial" w:hAnsi="Arial" w:cs="Arial"/>
        </w:rPr>
        <w:t>under</w:t>
      </w:r>
      <w:r w:rsidR="0007653A">
        <w:rPr>
          <w:rFonts w:ascii="Arial" w:hAnsi="Arial" w:cs="Arial"/>
        </w:rPr>
        <w:t xml:space="preserve"> the provisions of PIE.</w:t>
      </w:r>
      <w:r>
        <w:rPr>
          <w:rFonts w:ascii="Arial" w:hAnsi="Arial" w:cs="Arial"/>
        </w:rPr>
        <w:t xml:space="preserve"> </w:t>
      </w:r>
    </w:p>
    <w:p w:rsidR="008C4115" w:rsidRPr="008C4115" w:rsidRDefault="008C4115" w:rsidP="008C4115">
      <w:pPr>
        <w:pStyle w:val="ListParagraph"/>
        <w:rPr>
          <w:rFonts w:ascii="Arial" w:hAnsi="Arial" w:cs="Arial"/>
        </w:rPr>
      </w:pPr>
    </w:p>
    <w:p w:rsidR="008C4115" w:rsidRDefault="008C4115" w:rsidP="008C4115">
      <w:pPr>
        <w:pStyle w:val="ListParagraph"/>
        <w:spacing w:line="360" w:lineRule="auto"/>
        <w:ind w:left="360"/>
        <w:rPr>
          <w:rFonts w:ascii="Arial" w:hAnsi="Arial" w:cs="Arial"/>
        </w:rPr>
      </w:pPr>
      <w:r>
        <w:rPr>
          <w:rFonts w:ascii="Arial" w:hAnsi="Arial" w:cs="Arial"/>
        </w:rPr>
        <w:t>The Metro elected not to engage that issue in the present proceedings but confined its</w:t>
      </w:r>
      <w:r w:rsidR="00BE3C43">
        <w:rPr>
          <w:rFonts w:ascii="Arial" w:hAnsi="Arial" w:cs="Arial"/>
        </w:rPr>
        <w:t>elf to relying on t</w:t>
      </w:r>
      <w:r>
        <w:rPr>
          <w:rFonts w:ascii="Arial" w:hAnsi="Arial" w:cs="Arial"/>
        </w:rPr>
        <w:t xml:space="preserve">he original interim order being effective against all subsequent persons who attempted to invade the development.  </w:t>
      </w:r>
    </w:p>
    <w:p w:rsidR="008C4115" w:rsidRDefault="008C4115" w:rsidP="008C4115">
      <w:pPr>
        <w:pStyle w:val="ListParagraph"/>
        <w:spacing w:line="360" w:lineRule="auto"/>
        <w:ind w:left="360"/>
        <w:rPr>
          <w:rFonts w:ascii="Arial" w:hAnsi="Arial" w:cs="Arial"/>
        </w:rPr>
      </w:pPr>
    </w:p>
    <w:p w:rsidR="008C4115" w:rsidRDefault="008C4115" w:rsidP="008C4115">
      <w:pPr>
        <w:pStyle w:val="ListParagraph"/>
        <w:numPr>
          <w:ilvl w:val="0"/>
          <w:numId w:val="3"/>
        </w:numPr>
        <w:spacing w:line="360" w:lineRule="auto"/>
        <w:rPr>
          <w:rFonts w:ascii="Arial" w:hAnsi="Arial" w:cs="Arial"/>
        </w:rPr>
      </w:pPr>
      <w:r>
        <w:rPr>
          <w:rFonts w:ascii="Arial" w:hAnsi="Arial" w:cs="Arial"/>
        </w:rPr>
        <w:t xml:space="preserve">It is evident from the earlier detailed consideration of the way in which an applicant ought to bring newcomers into a trespass or eviction application while it is still pending, that the </w:t>
      </w:r>
      <w:r w:rsidR="00BE3C43">
        <w:rPr>
          <w:rFonts w:ascii="Arial" w:hAnsi="Arial" w:cs="Arial"/>
        </w:rPr>
        <w:t>relief sought cannot be granted against them since</w:t>
      </w:r>
      <w:r>
        <w:rPr>
          <w:rFonts w:ascii="Arial" w:hAnsi="Arial" w:cs="Arial"/>
        </w:rPr>
        <w:t>;</w:t>
      </w:r>
    </w:p>
    <w:p w:rsidR="008C4115" w:rsidRDefault="008C4115" w:rsidP="008C4115">
      <w:pPr>
        <w:pStyle w:val="ListParagraph"/>
        <w:spacing w:line="360" w:lineRule="auto"/>
        <w:ind w:left="360"/>
        <w:rPr>
          <w:rFonts w:ascii="Arial" w:hAnsi="Arial" w:cs="Arial"/>
        </w:rPr>
      </w:pPr>
    </w:p>
    <w:p w:rsidR="008C4115" w:rsidRDefault="008C4115" w:rsidP="008C4115">
      <w:pPr>
        <w:pStyle w:val="ListParagraph"/>
        <w:numPr>
          <w:ilvl w:val="1"/>
          <w:numId w:val="3"/>
        </w:numPr>
        <w:spacing w:line="360" w:lineRule="auto"/>
        <w:rPr>
          <w:rFonts w:ascii="Arial" w:hAnsi="Arial" w:cs="Arial"/>
        </w:rPr>
      </w:pPr>
      <w:r>
        <w:rPr>
          <w:rFonts w:ascii="Arial" w:hAnsi="Arial" w:cs="Arial"/>
        </w:rPr>
        <w:t xml:space="preserve">No allegation was made in the papers that the interim order </w:t>
      </w:r>
      <w:r w:rsidR="00BE3C43">
        <w:rPr>
          <w:rFonts w:ascii="Arial" w:hAnsi="Arial" w:cs="Arial"/>
        </w:rPr>
        <w:t xml:space="preserve">granted in July 2019 </w:t>
      </w:r>
      <w:r>
        <w:rPr>
          <w:rFonts w:ascii="Arial" w:hAnsi="Arial" w:cs="Arial"/>
        </w:rPr>
        <w:t xml:space="preserve">or any of the court papers for that matter were </w:t>
      </w:r>
      <w:r w:rsidR="00BE3C43">
        <w:rPr>
          <w:rFonts w:ascii="Arial" w:hAnsi="Arial" w:cs="Arial"/>
        </w:rPr>
        <w:t xml:space="preserve">still </w:t>
      </w:r>
      <w:r w:rsidR="0007653A">
        <w:rPr>
          <w:rFonts w:ascii="Arial" w:hAnsi="Arial" w:cs="Arial"/>
        </w:rPr>
        <w:t xml:space="preserve">being </w:t>
      </w:r>
      <w:r>
        <w:rPr>
          <w:rFonts w:ascii="Arial" w:hAnsi="Arial" w:cs="Arial"/>
        </w:rPr>
        <w:t xml:space="preserve">displayed </w:t>
      </w:r>
      <w:r w:rsidR="0007653A">
        <w:rPr>
          <w:rFonts w:ascii="Arial" w:hAnsi="Arial" w:cs="Arial"/>
        </w:rPr>
        <w:t>at</w:t>
      </w:r>
      <w:r>
        <w:rPr>
          <w:rFonts w:ascii="Arial" w:hAnsi="Arial" w:cs="Arial"/>
        </w:rPr>
        <w:t xml:space="preserve"> the development </w:t>
      </w:r>
      <w:r w:rsidR="0007653A">
        <w:rPr>
          <w:rFonts w:ascii="Arial" w:hAnsi="Arial" w:cs="Arial"/>
        </w:rPr>
        <w:t>by</w:t>
      </w:r>
      <w:r w:rsidR="00BE3C43">
        <w:rPr>
          <w:rFonts w:ascii="Arial" w:hAnsi="Arial" w:cs="Arial"/>
        </w:rPr>
        <w:t xml:space="preserve"> </w:t>
      </w:r>
      <w:r>
        <w:rPr>
          <w:rFonts w:ascii="Arial" w:hAnsi="Arial" w:cs="Arial"/>
        </w:rPr>
        <w:t xml:space="preserve">the time </w:t>
      </w:r>
      <w:r w:rsidR="00BE3C43">
        <w:rPr>
          <w:rFonts w:ascii="Arial" w:hAnsi="Arial" w:cs="Arial"/>
        </w:rPr>
        <w:t xml:space="preserve">any of </w:t>
      </w:r>
      <w:r>
        <w:rPr>
          <w:rFonts w:ascii="Arial" w:hAnsi="Arial" w:cs="Arial"/>
        </w:rPr>
        <w:t>th</w:t>
      </w:r>
      <w:r w:rsidR="00BE3C43">
        <w:rPr>
          <w:rFonts w:ascii="Arial" w:hAnsi="Arial" w:cs="Arial"/>
        </w:rPr>
        <w:t>os</w:t>
      </w:r>
      <w:r>
        <w:rPr>
          <w:rFonts w:ascii="Arial" w:hAnsi="Arial" w:cs="Arial"/>
        </w:rPr>
        <w:t xml:space="preserve">e </w:t>
      </w:r>
      <w:r w:rsidR="00BE3C43">
        <w:rPr>
          <w:rFonts w:ascii="Arial" w:hAnsi="Arial" w:cs="Arial"/>
        </w:rPr>
        <w:t xml:space="preserve">comprising the </w:t>
      </w:r>
      <w:r>
        <w:rPr>
          <w:rFonts w:ascii="Arial" w:hAnsi="Arial" w:cs="Arial"/>
        </w:rPr>
        <w:t xml:space="preserve">eighth respondent group </w:t>
      </w:r>
      <w:r w:rsidR="00BE3C43">
        <w:rPr>
          <w:rFonts w:ascii="Arial" w:hAnsi="Arial" w:cs="Arial"/>
        </w:rPr>
        <w:t xml:space="preserve">subsequently </w:t>
      </w:r>
      <w:r>
        <w:rPr>
          <w:rFonts w:ascii="Arial" w:hAnsi="Arial" w:cs="Arial"/>
        </w:rPr>
        <w:t>came onto the land;</w:t>
      </w:r>
    </w:p>
    <w:p w:rsidR="008C4115" w:rsidRDefault="008C4115" w:rsidP="008C4115">
      <w:pPr>
        <w:pStyle w:val="ListParagraph"/>
        <w:spacing w:line="360" w:lineRule="auto"/>
        <w:ind w:left="1080"/>
        <w:rPr>
          <w:rFonts w:ascii="Arial" w:hAnsi="Arial" w:cs="Arial"/>
        </w:rPr>
      </w:pPr>
    </w:p>
    <w:p w:rsidR="008C4115" w:rsidRDefault="008C4115" w:rsidP="008C4115">
      <w:pPr>
        <w:pStyle w:val="ListParagraph"/>
        <w:numPr>
          <w:ilvl w:val="1"/>
          <w:numId w:val="3"/>
        </w:numPr>
        <w:spacing w:line="360" w:lineRule="auto"/>
        <w:rPr>
          <w:rFonts w:ascii="Arial" w:hAnsi="Arial" w:cs="Arial"/>
        </w:rPr>
      </w:pPr>
      <w:r>
        <w:rPr>
          <w:rFonts w:ascii="Arial" w:hAnsi="Arial" w:cs="Arial"/>
        </w:rPr>
        <w:t>No other allegation was made that th</w:t>
      </w:r>
      <w:r w:rsidR="00BE3C43">
        <w:rPr>
          <w:rFonts w:ascii="Arial" w:hAnsi="Arial" w:cs="Arial"/>
        </w:rPr>
        <w:t xml:space="preserve">ose comprising the group </w:t>
      </w:r>
      <w:r w:rsidR="0007653A">
        <w:rPr>
          <w:rFonts w:ascii="Arial" w:hAnsi="Arial" w:cs="Arial"/>
        </w:rPr>
        <w:t>were aware</w:t>
      </w:r>
      <w:r>
        <w:rPr>
          <w:rFonts w:ascii="Arial" w:hAnsi="Arial" w:cs="Arial"/>
        </w:rPr>
        <w:t xml:space="preserve">, or ought to have been aware, of the </w:t>
      </w:r>
      <w:r w:rsidR="00BE3C43">
        <w:rPr>
          <w:rFonts w:ascii="Arial" w:hAnsi="Arial" w:cs="Arial"/>
        </w:rPr>
        <w:t xml:space="preserve">existence of the </w:t>
      </w:r>
      <w:r>
        <w:rPr>
          <w:rFonts w:ascii="Arial" w:hAnsi="Arial" w:cs="Arial"/>
        </w:rPr>
        <w:t>interim order</w:t>
      </w:r>
      <w:r w:rsidR="00BE3C43">
        <w:rPr>
          <w:rFonts w:ascii="Arial" w:hAnsi="Arial" w:cs="Arial"/>
        </w:rPr>
        <w:t xml:space="preserve"> and that it was still extant</w:t>
      </w:r>
      <w:r>
        <w:rPr>
          <w:rFonts w:ascii="Arial" w:hAnsi="Arial" w:cs="Arial"/>
        </w:rPr>
        <w:t>;</w:t>
      </w:r>
    </w:p>
    <w:p w:rsidR="008C4115" w:rsidRPr="008C4115" w:rsidRDefault="008C4115" w:rsidP="008C4115">
      <w:pPr>
        <w:pStyle w:val="ListParagraph"/>
        <w:rPr>
          <w:rFonts w:ascii="Arial" w:hAnsi="Arial" w:cs="Arial"/>
        </w:rPr>
      </w:pPr>
    </w:p>
    <w:p w:rsidR="008C4115" w:rsidRDefault="008C4115" w:rsidP="008C4115">
      <w:pPr>
        <w:pStyle w:val="ListParagraph"/>
        <w:numPr>
          <w:ilvl w:val="1"/>
          <w:numId w:val="3"/>
        </w:numPr>
        <w:spacing w:line="360" w:lineRule="auto"/>
        <w:rPr>
          <w:rFonts w:ascii="Arial" w:hAnsi="Arial" w:cs="Arial"/>
        </w:rPr>
      </w:pPr>
      <w:r>
        <w:rPr>
          <w:rFonts w:ascii="Arial" w:hAnsi="Arial" w:cs="Arial"/>
        </w:rPr>
        <w:t xml:space="preserve">Insufficient allegations were made in the founding affidavit to indicate </w:t>
      </w:r>
      <w:r w:rsidR="00BE3C43">
        <w:rPr>
          <w:rFonts w:ascii="Arial" w:hAnsi="Arial" w:cs="Arial"/>
        </w:rPr>
        <w:t>that the interim order sought</w:t>
      </w:r>
      <w:r>
        <w:rPr>
          <w:rFonts w:ascii="Arial" w:hAnsi="Arial" w:cs="Arial"/>
        </w:rPr>
        <w:t xml:space="preserve"> was to apply to newcomers</w:t>
      </w:r>
      <w:r w:rsidR="00BE3C43">
        <w:rPr>
          <w:rFonts w:ascii="Arial" w:hAnsi="Arial" w:cs="Arial"/>
        </w:rPr>
        <w:t xml:space="preserve">. Furthermore </w:t>
      </w:r>
      <w:r>
        <w:rPr>
          <w:rFonts w:ascii="Arial" w:hAnsi="Arial" w:cs="Arial"/>
        </w:rPr>
        <w:t>the interim order itself was couched in the present and past tense without reference to persons who in the future might attempt to trespass or invade the development;</w:t>
      </w:r>
    </w:p>
    <w:p w:rsidR="008C4115" w:rsidRPr="008C4115" w:rsidRDefault="008C4115" w:rsidP="008C4115">
      <w:pPr>
        <w:pStyle w:val="ListParagraph"/>
        <w:rPr>
          <w:rFonts w:ascii="Arial" w:hAnsi="Arial" w:cs="Arial"/>
        </w:rPr>
      </w:pPr>
    </w:p>
    <w:p w:rsidR="008C4115" w:rsidRDefault="008C4115" w:rsidP="008C4115">
      <w:pPr>
        <w:pStyle w:val="ListParagraph"/>
        <w:numPr>
          <w:ilvl w:val="1"/>
          <w:numId w:val="3"/>
        </w:numPr>
        <w:spacing w:line="360" w:lineRule="auto"/>
        <w:rPr>
          <w:rFonts w:ascii="Arial" w:hAnsi="Arial" w:cs="Arial"/>
        </w:rPr>
      </w:pPr>
      <w:r>
        <w:rPr>
          <w:rFonts w:ascii="Arial" w:hAnsi="Arial" w:cs="Arial"/>
        </w:rPr>
        <w:t>No allegation was made that</w:t>
      </w:r>
      <w:r w:rsidR="0007653A">
        <w:rPr>
          <w:rFonts w:ascii="Arial" w:hAnsi="Arial" w:cs="Arial"/>
        </w:rPr>
        <w:t>,</w:t>
      </w:r>
      <w:r>
        <w:rPr>
          <w:rFonts w:ascii="Arial" w:hAnsi="Arial" w:cs="Arial"/>
        </w:rPr>
        <w:t xml:space="preserve"> at the time the eighth respondent group alleged that they came onto the development</w:t>
      </w:r>
      <w:r w:rsidR="0007653A">
        <w:rPr>
          <w:rFonts w:ascii="Arial" w:hAnsi="Arial" w:cs="Arial"/>
        </w:rPr>
        <w:t>,</w:t>
      </w:r>
      <w:r>
        <w:rPr>
          <w:rFonts w:ascii="Arial" w:hAnsi="Arial" w:cs="Arial"/>
        </w:rPr>
        <w:t xml:space="preserve"> the Metro </w:t>
      </w:r>
      <w:r w:rsidR="00BE3C43">
        <w:rPr>
          <w:rFonts w:ascii="Arial" w:hAnsi="Arial" w:cs="Arial"/>
        </w:rPr>
        <w:t xml:space="preserve">had </w:t>
      </w:r>
      <w:r>
        <w:rPr>
          <w:rFonts w:ascii="Arial" w:hAnsi="Arial" w:cs="Arial"/>
        </w:rPr>
        <w:t xml:space="preserve">approached them, threatened to remove them whether under the interim order or </w:t>
      </w:r>
      <w:r w:rsidR="00EE2C3B">
        <w:rPr>
          <w:rFonts w:ascii="Arial" w:hAnsi="Arial" w:cs="Arial"/>
        </w:rPr>
        <w:t>otherwise, or</w:t>
      </w:r>
      <w:r>
        <w:rPr>
          <w:rFonts w:ascii="Arial" w:hAnsi="Arial" w:cs="Arial"/>
        </w:rPr>
        <w:t xml:space="preserve"> that by the time </w:t>
      </w:r>
      <w:r w:rsidR="00BE3C43">
        <w:rPr>
          <w:rFonts w:ascii="Arial" w:hAnsi="Arial" w:cs="Arial"/>
        </w:rPr>
        <w:t xml:space="preserve">they were </w:t>
      </w:r>
      <w:r>
        <w:rPr>
          <w:rFonts w:ascii="Arial" w:hAnsi="Arial" w:cs="Arial"/>
        </w:rPr>
        <w:t>approached they had not acquired peaceful and undisturbed possession let alone that they were not unlawful occupiers for the purposes of PIE.</w:t>
      </w:r>
    </w:p>
    <w:p w:rsidR="00025D81" w:rsidRPr="00025D81" w:rsidRDefault="00025D81" w:rsidP="00025D81">
      <w:pPr>
        <w:pStyle w:val="ListParagraph"/>
        <w:rPr>
          <w:rFonts w:ascii="Arial" w:hAnsi="Arial" w:cs="Arial"/>
        </w:rPr>
      </w:pPr>
    </w:p>
    <w:p w:rsidR="00025D81" w:rsidRDefault="00025D81" w:rsidP="00025D81">
      <w:pPr>
        <w:pStyle w:val="ListParagraph"/>
        <w:numPr>
          <w:ilvl w:val="0"/>
          <w:numId w:val="3"/>
        </w:numPr>
        <w:spacing w:line="360" w:lineRule="auto"/>
        <w:rPr>
          <w:rFonts w:ascii="Arial" w:hAnsi="Arial" w:cs="Arial"/>
        </w:rPr>
      </w:pPr>
      <w:r>
        <w:rPr>
          <w:rFonts w:ascii="Arial" w:hAnsi="Arial" w:cs="Arial"/>
        </w:rPr>
        <w:lastRenderedPageBreak/>
        <w:t xml:space="preserve">Before concluding this aspect, it is necessary to say something about the eighth respondent’s contention that once the first </w:t>
      </w:r>
      <w:r w:rsidR="00EE2C3B">
        <w:rPr>
          <w:rFonts w:ascii="Arial" w:hAnsi="Arial" w:cs="Arial"/>
        </w:rPr>
        <w:t>respondent group</w:t>
      </w:r>
      <w:r>
        <w:rPr>
          <w:rFonts w:ascii="Arial" w:hAnsi="Arial" w:cs="Arial"/>
        </w:rPr>
        <w:t xml:space="preserve"> provided a list of persons falling within the category of those to whom the citation related the list of persons who could be joined or could participate as part of the first respondent group became closed. </w:t>
      </w:r>
    </w:p>
    <w:p w:rsidR="00025D81" w:rsidRPr="0007653A" w:rsidRDefault="00025D81" w:rsidP="00025D81">
      <w:pPr>
        <w:spacing w:line="360" w:lineRule="auto"/>
        <w:rPr>
          <w:rFonts w:ascii="Arial" w:hAnsi="Arial" w:cs="Arial"/>
        </w:rPr>
      </w:pPr>
    </w:p>
    <w:p w:rsidR="00025D81" w:rsidRDefault="00025D81" w:rsidP="00025D81">
      <w:pPr>
        <w:pStyle w:val="ListParagraph"/>
        <w:spacing w:line="360" w:lineRule="auto"/>
        <w:ind w:left="360"/>
        <w:rPr>
          <w:rFonts w:ascii="Arial" w:hAnsi="Arial" w:cs="Arial"/>
        </w:rPr>
      </w:pPr>
      <w:r>
        <w:rPr>
          <w:rFonts w:ascii="Arial" w:hAnsi="Arial" w:cs="Arial"/>
        </w:rPr>
        <w:t xml:space="preserve">This is incorrect. The </w:t>
      </w:r>
      <w:r w:rsidRPr="0007653A">
        <w:rPr>
          <w:rFonts w:ascii="Arial" w:hAnsi="Arial" w:cs="Arial"/>
        </w:rPr>
        <w:t xml:space="preserve">identification of </w:t>
      </w:r>
      <w:r>
        <w:rPr>
          <w:rFonts w:ascii="Arial" w:hAnsi="Arial" w:cs="Arial"/>
        </w:rPr>
        <w:t xml:space="preserve">individual </w:t>
      </w:r>
      <w:r w:rsidRPr="0007653A">
        <w:rPr>
          <w:rFonts w:ascii="Arial" w:hAnsi="Arial" w:cs="Arial"/>
        </w:rPr>
        <w:t xml:space="preserve">respondents </w:t>
      </w:r>
      <w:r>
        <w:rPr>
          <w:rFonts w:ascii="Arial" w:hAnsi="Arial" w:cs="Arial"/>
        </w:rPr>
        <w:t xml:space="preserve">who fall within the category of persons to whom the citation of the first respondent relates </w:t>
      </w:r>
      <w:r w:rsidRPr="0007653A">
        <w:rPr>
          <w:rFonts w:ascii="Arial" w:hAnsi="Arial" w:cs="Arial"/>
        </w:rPr>
        <w:t>does not mean that the description</w:t>
      </w:r>
      <w:r>
        <w:rPr>
          <w:rFonts w:ascii="Arial" w:hAnsi="Arial" w:cs="Arial"/>
        </w:rPr>
        <w:t xml:space="preserve"> of the first respondent is altered to the </w:t>
      </w:r>
      <w:r w:rsidR="00EE2C3B">
        <w:rPr>
          <w:rFonts w:ascii="Arial" w:hAnsi="Arial" w:cs="Arial"/>
        </w:rPr>
        <w:t>persons</w:t>
      </w:r>
      <w:r>
        <w:rPr>
          <w:rFonts w:ascii="Arial" w:hAnsi="Arial" w:cs="Arial"/>
        </w:rPr>
        <w:t xml:space="preserve"> named on the list supplied. The first respondent and the category of affected persons identified by its citation does not change and more persons may fall within its ambit should they have attempted to trespass or invade the land at the time the order was granted. </w:t>
      </w:r>
    </w:p>
    <w:p w:rsidR="00025D81" w:rsidRDefault="00025D81" w:rsidP="00025D81">
      <w:pPr>
        <w:pStyle w:val="ListParagraph"/>
        <w:spacing w:line="360" w:lineRule="auto"/>
        <w:ind w:left="360"/>
        <w:rPr>
          <w:rFonts w:ascii="Arial" w:hAnsi="Arial" w:cs="Arial"/>
        </w:rPr>
      </w:pPr>
    </w:p>
    <w:p w:rsidR="00025D81" w:rsidRPr="0007653A" w:rsidRDefault="00025D81" w:rsidP="00025D81">
      <w:pPr>
        <w:pStyle w:val="ListParagraph"/>
        <w:spacing w:line="360" w:lineRule="auto"/>
        <w:ind w:left="360"/>
        <w:rPr>
          <w:rFonts w:ascii="Arial" w:hAnsi="Arial" w:cs="Arial"/>
        </w:rPr>
      </w:pPr>
      <w:r>
        <w:rPr>
          <w:rFonts w:ascii="Arial" w:hAnsi="Arial" w:cs="Arial"/>
        </w:rPr>
        <w:t xml:space="preserve">In other words, the provision of a list of those claiming to fall within the category of persons cited as the first respondent did </w:t>
      </w:r>
      <w:r w:rsidRPr="0007653A">
        <w:rPr>
          <w:rFonts w:ascii="Arial" w:hAnsi="Arial" w:cs="Arial"/>
        </w:rPr>
        <w:t xml:space="preserve">not create a </w:t>
      </w:r>
      <w:r w:rsidRPr="00025D81">
        <w:rPr>
          <w:rFonts w:ascii="Arial" w:hAnsi="Arial" w:cs="Arial"/>
          <w:i/>
        </w:rPr>
        <w:t>numerus clausus</w:t>
      </w:r>
      <w:r>
        <w:rPr>
          <w:rFonts w:ascii="Arial" w:hAnsi="Arial" w:cs="Arial"/>
        </w:rPr>
        <w:t xml:space="preserve">. </w:t>
      </w:r>
      <w:r w:rsidRPr="0007653A">
        <w:rPr>
          <w:rFonts w:ascii="Arial" w:hAnsi="Arial" w:cs="Arial"/>
        </w:rPr>
        <w:t xml:space="preserve">Anyone </w:t>
      </w:r>
      <w:r>
        <w:rPr>
          <w:rFonts w:ascii="Arial" w:hAnsi="Arial" w:cs="Arial"/>
        </w:rPr>
        <w:t xml:space="preserve">who acts in a manner which falls within the cited category of persons identified as the first respondent can be added on to the same proceedings either as part of those falling within the group and individually identified as such or by way of joinder.  </w:t>
      </w:r>
    </w:p>
    <w:p w:rsidR="00025D81" w:rsidRDefault="00025D81" w:rsidP="00025D81">
      <w:pPr>
        <w:pStyle w:val="ListParagraph"/>
        <w:spacing w:line="360" w:lineRule="auto"/>
        <w:ind w:left="360"/>
        <w:rPr>
          <w:rFonts w:ascii="Arial" w:hAnsi="Arial" w:cs="Arial"/>
        </w:rPr>
      </w:pPr>
    </w:p>
    <w:p w:rsidR="008C4115" w:rsidRPr="008C4115" w:rsidRDefault="008C4115" w:rsidP="008C4115">
      <w:pPr>
        <w:pStyle w:val="ListParagraph"/>
        <w:rPr>
          <w:rFonts w:ascii="Arial" w:hAnsi="Arial" w:cs="Arial"/>
        </w:rPr>
      </w:pPr>
    </w:p>
    <w:p w:rsidR="008C4115" w:rsidRDefault="008C4115" w:rsidP="008C4115">
      <w:pPr>
        <w:pStyle w:val="ListParagraph"/>
        <w:numPr>
          <w:ilvl w:val="0"/>
          <w:numId w:val="3"/>
        </w:numPr>
        <w:spacing w:line="360" w:lineRule="auto"/>
        <w:rPr>
          <w:rFonts w:ascii="Arial" w:hAnsi="Arial" w:cs="Arial"/>
        </w:rPr>
      </w:pPr>
      <w:r>
        <w:rPr>
          <w:rFonts w:ascii="Arial" w:hAnsi="Arial" w:cs="Arial"/>
        </w:rPr>
        <w:t xml:space="preserve">In </w:t>
      </w:r>
      <w:r w:rsidR="00025D81">
        <w:rPr>
          <w:rFonts w:ascii="Arial" w:hAnsi="Arial" w:cs="Arial"/>
        </w:rPr>
        <w:t xml:space="preserve">light of the findings made </w:t>
      </w:r>
      <w:r>
        <w:rPr>
          <w:rFonts w:ascii="Arial" w:hAnsi="Arial" w:cs="Arial"/>
        </w:rPr>
        <w:t>the eighth respondent group cannot be evicted under the order sought in the present application. The irony is that they in fact laid no claim to an entitlement to housing but came onto the project in order to get the status of an unlawful occupier which</w:t>
      </w:r>
      <w:r w:rsidR="0007653A">
        <w:rPr>
          <w:rFonts w:ascii="Arial" w:hAnsi="Arial" w:cs="Arial"/>
        </w:rPr>
        <w:t>, by reason of PIE,</w:t>
      </w:r>
      <w:r>
        <w:rPr>
          <w:rFonts w:ascii="Arial" w:hAnsi="Arial" w:cs="Arial"/>
        </w:rPr>
        <w:t xml:space="preserve"> immunise</w:t>
      </w:r>
      <w:r w:rsidR="0007653A">
        <w:rPr>
          <w:rFonts w:ascii="Arial" w:hAnsi="Arial" w:cs="Arial"/>
        </w:rPr>
        <w:t>s</w:t>
      </w:r>
      <w:r>
        <w:rPr>
          <w:rFonts w:ascii="Arial" w:hAnsi="Arial" w:cs="Arial"/>
        </w:rPr>
        <w:t xml:space="preserve"> them </w:t>
      </w:r>
      <w:r w:rsidR="0007653A">
        <w:rPr>
          <w:rFonts w:ascii="Arial" w:hAnsi="Arial" w:cs="Arial"/>
        </w:rPr>
        <w:t>against eviction</w:t>
      </w:r>
      <w:r>
        <w:rPr>
          <w:rFonts w:ascii="Arial" w:hAnsi="Arial" w:cs="Arial"/>
        </w:rPr>
        <w:t xml:space="preserve"> until temporary emergency shelter is provided</w:t>
      </w:r>
      <w:r w:rsidR="0007653A">
        <w:rPr>
          <w:rFonts w:ascii="Arial" w:hAnsi="Arial" w:cs="Arial"/>
        </w:rPr>
        <w:t>,</w:t>
      </w:r>
      <w:r>
        <w:rPr>
          <w:rFonts w:ascii="Arial" w:hAnsi="Arial" w:cs="Arial"/>
        </w:rPr>
        <w:t xml:space="preserve"> unless of course they would not be rendered homeless if evicted. </w:t>
      </w:r>
    </w:p>
    <w:p w:rsidR="008C4115" w:rsidRDefault="008C4115" w:rsidP="008C4115">
      <w:pPr>
        <w:pStyle w:val="ListParagraph"/>
        <w:spacing w:line="360" w:lineRule="auto"/>
        <w:ind w:left="360"/>
        <w:rPr>
          <w:rFonts w:ascii="Arial" w:hAnsi="Arial" w:cs="Arial"/>
        </w:rPr>
      </w:pPr>
    </w:p>
    <w:p w:rsidR="00025D81" w:rsidRDefault="008C4115" w:rsidP="00B15D59">
      <w:pPr>
        <w:pStyle w:val="ListParagraph"/>
        <w:numPr>
          <w:ilvl w:val="0"/>
          <w:numId w:val="3"/>
        </w:numPr>
        <w:spacing w:line="360" w:lineRule="auto"/>
        <w:rPr>
          <w:rFonts w:ascii="Arial" w:hAnsi="Arial" w:cs="Arial"/>
        </w:rPr>
      </w:pPr>
      <w:r w:rsidRPr="00025D81">
        <w:rPr>
          <w:rFonts w:ascii="Arial" w:hAnsi="Arial" w:cs="Arial"/>
        </w:rPr>
        <w:t>Once again this is not as a consequence of the common law but as a result of the way PIE is drafted without any exception being made where State land is set aside for projects undertaken to give effect to s</w:t>
      </w:r>
      <w:r w:rsidR="00025D81">
        <w:rPr>
          <w:rFonts w:ascii="Arial" w:hAnsi="Arial" w:cs="Arial"/>
        </w:rPr>
        <w:t xml:space="preserve"> </w:t>
      </w:r>
      <w:r w:rsidRPr="00025D81">
        <w:rPr>
          <w:rFonts w:ascii="Arial" w:hAnsi="Arial" w:cs="Arial"/>
        </w:rPr>
        <w:t xml:space="preserve">26 of the Constitution despite the beneficiaries of such projects being obliged to put their names on waiting lists and being subject to allocation criteria before being eventually allocated a home </w:t>
      </w:r>
      <w:r w:rsidRPr="00025D81">
        <w:rPr>
          <w:rFonts w:ascii="Arial" w:hAnsi="Arial" w:cs="Arial"/>
        </w:rPr>
        <w:lastRenderedPageBreak/>
        <w:t xml:space="preserve">unlike the PIE unlawful occupiers who now </w:t>
      </w:r>
      <w:r w:rsidR="00BE3C43" w:rsidRPr="00025D81">
        <w:rPr>
          <w:rFonts w:ascii="Arial" w:hAnsi="Arial" w:cs="Arial"/>
        </w:rPr>
        <w:t>frustrate</w:t>
      </w:r>
      <w:r w:rsidRPr="00025D81">
        <w:rPr>
          <w:rFonts w:ascii="Arial" w:hAnsi="Arial" w:cs="Arial"/>
        </w:rPr>
        <w:t xml:space="preserve"> th</w:t>
      </w:r>
      <w:r w:rsidR="00025D81">
        <w:rPr>
          <w:rFonts w:ascii="Arial" w:hAnsi="Arial" w:cs="Arial"/>
        </w:rPr>
        <w:t>is</w:t>
      </w:r>
      <w:r w:rsidRPr="00025D81">
        <w:rPr>
          <w:rFonts w:ascii="Arial" w:hAnsi="Arial" w:cs="Arial"/>
        </w:rPr>
        <w:t xml:space="preserve"> from being realised any time soon. </w:t>
      </w:r>
    </w:p>
    <w:p w:rsidR="00025D81" w:rsidRPr="00025D81" w:rsidRDefault="00025D81" w:rsidP="00025D81">
      <w:pPr>
        <w:pStyle w:val="ListParagraph"/>
        <w:rPr>
          <w:rFonts w:ascii="Arial" w:hAnsi="Arial" w:cs="Arial"/>
        </w:rPr>
      </w:pPr>
    </w:p>
    <w:p w:rsidR="0007653A" w:rsidRDefault="00BE3C43" w:rsidP="00B15D59">
      <w:pPr>
        <w:pStyle w:val="ListParagraph"/>
        <w:numPr>
          <w:ilvl w:val="0"/>
          <w:numId w:val="3"/>
        </w:numPr>
        <w:spacing w:line="360" w:lineRule="auto"/>
        <w:rPr>
          <w:rFonts w:ascii="Arial" w:hAnsi="Arial" w:cs="Arial"/>
        </w:rPr>
      </w:pPr>
      <w:r w:rsidRPr="00025D81">
        <w:rPr>
          <w:rFonts w:ascii="Arial" w:hAnsi="Arial" w:cs="Arial"/>
        </w:rPr>
        <w:t>Without an amendment to the legislation</w:t>
      </w:r>
      <w:r w:rsidR="00025D81">
        <w:rPr>
          <w:rFonts w:ascii="Arial" w:hAnsi="Arial" w:cs="Arial"/>
        </w:rPr>
        <w:t>,</w:t>
      </w:r>
      <w:r w:rsidRPr="00025D81">
        <w:rPr>
          <w:rFonts w:ascii="Arial" w:hAnsi="Arial" w:cs="Arial"/>
        </w:rPr>
        <w:t xml:space="preserve"> these situations will continue to arise unless a court were to find on an application by a metropolitan authority that PIE is unconstitutional in its application to unlawful occupiers where land has already been allocated in furtherance of s</w:t>
      </w:r>
      <w:r w:rsidR="00025D81">
        <w:rPr>
          <w:rFonts w:ascii="Arial" w:hAnsi="Arial" w:cs="Arial"/>
        </w:rPr>
        <w:t xml:space="preserve">  </w:t>
      </w:r>
      <w:r w:rsidRPr="00025D81">
        <w:rPr>
          <w:rFonts w:ascii="Arial" w:hAnsi="Arial" w:cs="Arial"/>
        </w:rPr>
        <w:t xml:space="preserve">26 constitutional objectives and subject of course to the </w:t>
      </w:r>
      <w:r w:rsidR="00025D81">
        <w:rPr>
          <w:rFonts w:ascii="Arial" w:hAnsi="Arial" w:cs="Arial"/>
        </w:rPr>
        <w:t xml:space="preserve">possible effect </w:t>
      </w:r>
      <w:r w:rsidRPr="00025D81">
        <w:rPr>
          <w:rFonts w:ascii="Arial" w:hAnsi="Arial" w:cs="Arial"/>
        </w:rPr>
        <w:t xml:space="preserve">of the majority decision in  </w:t>
      </w:r>
      <w:r w:rsidRPr="00025D81">
        <w:rPr>
          <w:rFonts w:ascii="Arial" w:hAnsi="Arial" w:cs="Arial"/>
          <w:i/>
        </w:rPr>
        <w:t xml:space="preserve">Thubakgale </w:t>
      </w:r>
      <w:r w:rsidRPr="00025D81">
        <w:rPr>
          <w:rFonts w:ascii="Arial" w:hAnsi="Arial" w:cs="Arial"/>
        </w:rPr>
        <w:t>that s 26 only imposes a negative obligation not to interfere with the enjoyment of the right to housing</w:t>
      </w:r>
    </w:p>
    <w:p w:rsidR="00025D81" w:rsidRPr="00025D81" w:rsidRDefault="00025D81" w:rsidP="00025D81">
      <w:pPr>
        <w:pStyle w:val="ListParagraph"/>
        <w:rPr>
          <w:rFonts w:ascii="Arial" w:hAnsi="Arial" w:cs="Arial"/>
        </w:rPr>
      </w:pPr>
    </w:p>
    <w:p w:rsidR="008412E3" w:rsidRDefault="008412E3" w:rsidP="008412E3">
      <w:pPr>
        <w:spacing w:line="360" w:lineRule="auto"/>
        <w:rPr>
          <w:rFonts w:ascii="Arial" w:hAnsi="Arial" w:cs="Arial"/>
        </w:rPr>
      </w:pPr>
    </w:p>
    <w:p w:rsidR="008412E3" w:rsidRPr="008412E3" w:rsidRDefault="008412E3" w:rsidP="008412E3">
      <w:pPr>
        <w:spacing w:line="360" w:lineRule="auto"/>
        <w:rPr>
          <w:rFonts w:ascii="Arial" w:hAnsi="Arial" w:cs="Arial"/>
          <w:b/>
        </w:rPr>
      </w:pPr>
      <w:r w:rsidRPr="008412E3">
        <w:rPr>
          <w:rFonts w:ascii="Arial" w:hAnsi="Arial" w:cs="Arial"/>
          <w:b/>
        </w:rPr>
        <w:t xml:space="preserve">REMOVAL OR DESTRUCTION OF POSSESSIONS </w:t>
      </w:r>
      <w:r w:rsidR="008C4115">
        <w:rPr>
          <w:rFonts w:ascii="Arial" w:hAnsi="Arial" w:cs="Arial"/>
          <w:b/>
        </w:rPr>
        <w:t>(only first respondent group)</w:t>
      </w:r>
    </w:p>
    <w:p w:rsidR="008412E3" w:rsidRPr="008412E3" w:rsidRDefault="008412E3" w:rsidP="008412E3">
      <w:pPr>
        <w:pStyle w:val="ListParagraph"/>
        <w:rPr>
          <w:rFonts w:ascii="Arial" w:hAnsi="Arial" w:cs="Arial"/>
        </w:rPr>
      </w:pPr>
    </w:p>
    <w:p w:rsidR="008412E3" w:rsidRDefault="008C4115" w:rsidP="00AF22DC">
      <w:pPr>
        <w:pStyle w:val="ListParagraph"/>
        <w:numPr>
          <w:ilvl w:val="0"/>
          <w:numId w:val="3"/>
        </w:numPr>
        <w:spacing w:line="360" w:lineRule="auto"/>
        <w:rPr>
          <w:rFonts w:ascii="Arial" w:hAnsi="Arial" w:cs="Arial"/>
        </w:rPr>
      </w:pPr>
      <w:r>
        <w:rPr>
          <w:rFonts w:ascii="Arial" w:hAnsi="Arial" w:cs="Arial"/>
        </w:rPr>
        <w:t xml:space="preserve">Some of those comprising the </w:t>
      </w:r>
      <w:r w:rsidR="008412E3">
        <w:rPr>
          <w:rFonts w:ascii="Arial" w:hAnsi="Arial" w:cs="Arial"/>
        </w:rPr>
        <w:t xml:space="preserve">first </w:t>
      </w:r>
      <w:r w:rsidR="00EE4395">
        <w:rPr>
          <w:rFonts w:ascii="Arial" w:hAnsi="Arial" w:cs="Arial"/>
        </w:rPr>
        <w:t>respondent</w:t>
      </w:r>
      <w:r w:rsidR="008412E3">
        <w:rPr>
          <w:rFonts w:ascii="Arial" w:hAnsi="Arial" w:cs="Arial"/>
        </w:rPr>
        <w:t xml:space="preserve"> group </w:t>
      </w:r>
      <w:r w:rsidR="00EE4395">
        <w:rPr>
          <w:rFonts w:ascii="Arial" w:hAnsi="Arial" w:cs="Arial"/>
        </w:rPr>
        <w:t>claim</w:t>
      </w:r>
      <w:r w:rsidR="008412E3">
        <w:rPr>
          <w:rFonts w:ascii="Arial" w:hAnsi="Arial" w:cs="Arial"/>
        </w:rPr>
        <w:t xml:space="preserve"> that their</w:t>
      </w:r>
      <w:r w:rsidR="00885C87">
        <w:rPr>
          <w:rFonts w:ascii="Arial" w:hAnsi="Arial" w:cs="Arial"/>
        </w:rPr>
        <w:t xml:space="preserve"> </w:t>
      </w:r>
      <w:r w:rsidR="00EE4395">
        <w:rPr>
          <w:rFonts w:ascii="Arial" w:hAnsi="Arial" w:cs="Arial"/>
        </w:rPr>
        <w:t>personal</w:t>
      </w:r>
      <w:r w:rsidR="00885C87">
        <w:rPr>
          <w:rFonts w:ascii="Arial" w:hAnsi="Arial" w:cs="Arial"/>
        </w:rPr>
        <w:t xml:space="preserve"> possessions were removed or destroyed by the Metro or its agents.</w:t>
      </w:r>
    </w:p>
    <w:p w:rsidR="00885C87" w:rsidRDefault="00885C87" w:rsidP="00885C87">
      <w:pPr>
        <w:pStyle w:val="ListParagraph"/>
        <w:spacing w:line="360" w:lineRule="auto"/>
        <w:ind w:left="360"/>
        <w:rPr>
          <w:rFonts w:ascii="Arial" w:hAnsi="Arial" w:cs="Arial"/>
        </w:rPr>
      </w:pPr>
    </w:p>
    <w:p w:rsidR="00885C87" w:rsidRDefault="00885C87" w:rsidP="00AF22DC">
      <w:pPr>
        <w:pStyle w:val="ListParagraph"/>
        <w:numPr>
          <w:ilvl w:val="0"/>
          <w:numId w:val="3"/>
        </w:numPr>
        <w:spacing w:line="360" w:lineRule="auto"/>
        <w:rPr>
          <w:rFonts w:ascii="Arial" w:hAnsi="Arial" w:cs="Arial"/>
        </w:rPr>
      </w:pPr>
      <w:r>
        <w:rPr>
          <w:rFonts w:ascii="Arial" w:hAnsi="Arial" w:cs="Arial"/>
        </w:rPr>
        <w:t xml:space="preserve">There is insufficient information to determine the items removed and from whom.  </w:t>
      </w:r>
    </w:p>
    <w:p w:rsidR="00885C87" w:rsidRPr="00885C87" w:rsidRDefault="00885C87" w:rsidP="00885C87">
      <w:pPr>
        <w:pStyle w:val="ListParagraph"/>
        <w:rPr>
          <w:rFonts w:ascii="Arial" w:hAnsi="Arial" w:cs="Arial"/>
        </w:rPr>
      </w:pPr>
    </w:p>
    <w:p w:rsidR="00885C87" w:rsidRDefault="00885C87" w:rsidP="006F78F3">
      <w:pPr>
        <w:pStyle w:val="ListParagraph"/>
        <w:spacing w:line="360" w:lineRule="auto"/>
        <w:ind w:left="360"/>
        <w:rPr>
          <w:rFonts w:ascii="Arial" w:hAnsi="Arial" w:cs="Arial"/>
        </w:rPr>
      </w:pPr>
      <w:r>
        <w:rPr>
          <w:rFonts w:ascii="Arial" w:hAnsi="Arial" w:cs="Arial"/>
        </w:rPr>
        <w:t>It is t</w:t>
      </w:r>
      <w:r w:rsidR="00025D81">
        <w:rPr>
          <w:rFonts w:ascii="Arial" w:hAnsi="Arial" w:cs="Arial"/>
        </w:rPr>
        <w:t>herefore necessary to affor</w:t>
      </w:r>
      <w:r w:rsidR="008C4115">
        <w:rPr>
          <w:rFonts w:ascii="Arial" w:hAnsi="Arial" w:cs="Arial"/>
        </w:rPr>
        <w:t>d the</w:t>
      </w:r>
      <w:r>
        <w:rPr>
          <w:rFonts w:ascii="Arial" w:hAnsi="Arial" w:cs="Arial"/>
        </w:rPr>
        <w:t xml:space="preserve"> </w:t>
      </w:r>
      <w:r w:rsidR="00EE4395">
        <w:rPr>
          <w:rFonts w:ascii="Arial" w:hAnsi="Arial" w:cs="Arial"/>
        </w:rPr>
        <w:t>first</w:t>
      </w:r>
      <w:r>
        <w:rPr>
          <w:rFonts w:ascii="Arial" w:hAnsi="Arial" w:cs="Arial"/>
        </w:rPr>
        <w:t xml:space="preserve"> </w:t>
      </w:r>
      <w:r w:rsidR="00EE4395">
        <w:rPr>
          <w:rFonts w:ascii="Arial" w:hAnsi="Arial" w:cs="Arial"/>
        </w:rPr>
        <w:t>respondent</w:t>
      </w:r>
      <w:r>
        <w:rPr>
          <w:rFonts w:ascii="Arial" w:hAnsi="Arial" w:cs="Arial"/>
        </w:rPr>
        <w:t xml:space="preserve"> group an opportunity </w:t>
      </w:r>
      <w:r w:rsidR="00EE4395">
        <w:rPr>
          <w:rFonts w:ascii="Arial" w:hAnsi="Arial" w:cs="Arial"/>
        </w:rPr>
        <w:t>to</w:t>
      </w:r>
      <w:r>
        <w:rPr>
          <w:rFonts w:ascii="Arial" w:hAnsi="Arial" w:cs="Arial"/>
        </w:rPr>
        <w:t xml:space="preserve"> </w:t>
      </w:r>
      <w:r w:rsidR="00EE4395">
        <w:rPr>
          <w:rFonts w:ascii="Arial" w:hAnsi="Arial" w:cs="Arial"/>
        </w:rPr>
        <w:t>properly</w:t>
      </w:r>
      <w:r>
        <w:rPr>
          <w:rFonts w:ascii="Arial" w:hAnsi="Arial" w:cs="Arial"/>
        </w:rPr>
        <w:t xml:space="preserve"> identify and </w:t>
      </w:r>
      <w:r w:rsidR="00EE4395">
        <w:rPr>
          <w:rFonts w:ascii="Arial" w:hAnsi="Arial" w:cs="Arial"/>
        </w:rPr>
        <w:t>quantity</w:t>
      </w:r>
      <w:r>
        <w:rPr>
          <w:rFonts w:ascii="Arial" w:hAnsi="Arial" w:cs="Arial"/>
        </w:rPr>
        <w:t xml:space="preserve"> the possessions which are claimed to have been removed.</w:t>
      </w:r>
    </w:p>
    <w:p w:rsidR="00885C87" w:rsidRPr="00885C87" w:rsidRDefault="00885C87" w:rsidP="00885C87">
      <w:pPr>
        <w:pStyle w:val="ListParagraph"/>
        <w:rPr>
          <w:rFonts w:ascii="Arial" w:hAnsi="Arial" w:cs="Arial"/>
        </w:rPr>
      </w:pPr>
    </w:p>
    <w:p w:rsidR="00885C87" w:rsidRDefault="00885C87" w:rsidP="00AF22DC">
      <w:pPr>
        <w:pStyle w:val="ListParagraph"/>
        <w:numPr>
          <w:ilvl w:val="0"/>
          <w:numId w:val="3"/>
        </w:numPr>
        <w:spacing w:line="360" w:lineRule="auto"/>
        <w:rPr>
          <w:rFonts w:ascii="Arial" w:hAnsi="Arial" w:cs="Arial"/>
        </w:rPr>
      </w:pPr>
      <w:r>
        <w:rPr>
          <w:rFonts w:ascii="Arial" w:hAnsi="Arial" w:cs="Arial"/>
        </w:rPr>
        <w:t xml:space="preserve">It </w:t>
      </w:r>
      <w:r w:rsidR="005D7185">
        <w:rPr>
          <w:rFonts w:ascii="Arial" w:hAnsi="Arial" w:cs="Arial"/>
        </w:rPr>
        <w:t>will</w:t>
      </w:r>
      <w:r>
        <w:rPr>
          <w:rFonts w:ascii="Arial" w:hAnsi="Arial" w:cs="Arial"/>
        </w:rPr>
        <w:t xml:space="preserve"> then be necessary to </w:t>
      </w:r>
      <w:r w:rsidR="005D7185">
        <w:rPr>
          <w:rFonts w:ascii="Arial" w:hAnsi="Arial" w:cs="Arial"/>
        </w:rPr>
        <w:t>hear</w:t>
      </w:r>
      <w:r>
        <w:rPr>
          <w:rFonts w:ascii="Arial" w:hAnsi="Arial" w:cs="Arial"/>
        </w:rPr>
        <w:t xml:space="preserve"> argument on the basis of the claim. </w:t>
      </w:r>
    </w:p>
    <w:p w:rsidR="008412E3" w:rsidRPr="008412E3" w:rsidRDefault="008412E3" w:rsidP="008412E3">
      <w:pPr>
        <w:pStyle w:val="ListParagraph"/>
        <w:rPr>
          <w:rFonts w:ascii="Arial" w:hAnsi="Arial" w:cs="Arial"/>
        </w:rPr>
      </w:pPr>
    </w:p>
    <w:p w:rsidR="00FC7685" w:rsidRDefault="00FC7685" w:rsidP="00B05EA0">
      <w:pPr>
        <w:spacing w:line="360" w:lineRule="auto"/>
        <w:rPr>
          <w:rFonts w:ascii="Arial" w:hAnsi="Arial" w:cs="Arial"/>
          <w:b/>
        </w:rPr>
      </w:pPr>
    </w:p>
    <w:p w:rsidR="000774C7" w:rsidRDefault="000774C7" w:rsidP="00B05EA0">
      <w:pPr>
        <w:spacing w:line="360" w:lineRule="auto"/>
        <w:rPr>
          <w:rFonts w:ascii="Arial" w:hAnsi="Arial" w:cs="Arial"/>
          <w:b/>
        </w:rPr>
      </w:pPr>
    </w:p>
    <w:p w:rsidR="00B05EA0" w:rsidRPr="00B05EA0" w:rsidRDefault="00B05EA0" w:rsidP="00B05EA0">
      <w:pPr>
        <w:spacing w:line="360" w:lineRule="auto"/>
        <w:rPr>
          <w:rFonts w:ascii="Arial" w:hAnsi="Arial" w:cs="Arial"/>
          <w:b/>
        </w:rPr>
      </w:pPr>
      <w:r w:rsidRPr="00B05EA0">
        <w:rPr>
          <w:rFonts w:ascii="Arial" w:hAnsi="Arial" w:cs="Arial"/>
          <w:b/>
        </w:rPr>
        <w:t>COSTS</w:t>
      </w:r>
    </w:p>
    <w:p w:rsidR="004E4D50" w:rsidRPr="004E4D50" w:rsidRDefault="004E4D50" w:rsidP="004E4D50">
      <w:pPr>
        <w:pStyle w:val="ListParagraph"/>
        <w:rPr>
          <w:rFonts w:ascii="Arial" w:hAnsi="Arial" w:cs="Arial"/>
        </w:rPr>
      </w:pPr>
    </w:p>
    <w:p w:rsidR="00B05EA0" w:rsidRDefault="00B05EA0" w:rsidP="0023226E">
      <w:pPr>
        <w:pStyle w:val="ListParagraph"/>
        <w:rPr>
          <w:rFonts w:ascii="Arial" w:hAnsi="Arial" w:cs="Arial"/>
        </w:rPr>
      </w:pPr>
    </w:p>
    <w:p w:rsidR="00AA5EEE" w:rsidRDefault="009D7049" w:rsidP="00AF22DC">
      <w:pPr>
        <w:pStyle w:val="ListParagraph"/>
        <w:numPr>
          <w:ilvl w:val="0"/>
          <w:numId w:val="3"/>
        </w:numPr>
        <w:spacing w:line="360" w:lineRule="auto"/>
        <w:rPr>
          <w:rFonts w:ascii="Arial" w:hAnsi="Arial" w:cs="Arial"/>
        </w:rPr>
      </w:pPr>
      <w:r>
        <w:rPr>
          <w:rFonts w:ascii="Arial" w:hAnsi="Arial" w:cs="Arial"/>
        </w:rPr>
        <w:t>The development is self-</w:t>
      </w:r>
      <w:r w:rsidR="00B05EA0" w:rsidRPr="00AA5EEE">
        <w:rPr>
          <w:rFonts w:ascii="Arial" w:hAnsi="Arial" w:cs="Arial"/>
        </w:rPr>
        <w:t>evi</w:t>
      </w:r>
      <w:r>
        <w:rPr>
          <w:rFonts w:ascii="Arial" w:hAnsi="Arial" w:cs="Arial"/>
        </w:rPr>
        <w:t>dently</w:t>
      </w:r>
      <w:r w:rsidR="00B05EA0" w:rsidRPr="00AA5EEE">
        <w:rPr>
          <w:rFonts w:ascii="Arial" w:hAnsi="Arial" w:cs="Arial"/>
        </w:rPr>
        <w:t xml:space="preserve"> for the establishment of RDP housing. The eighth respond</w:t>
      </w:r>
      <w:r w:rsidR="006F78F3">
        <w:rPr>
          <w:rFonts w:ascii="Arial" w:hAnsi="Arial" w:cs="Arial"/>
        </w:rPr>
        <w:t>ent</w:t>
      </w:r>
      <w:r w:rsidR="00B05EA0" w:rsidRPr="00AA5EEE">
        <w:rPr>
          <w:rFonts w:ascii="Arial" w:hAnsi="Arial" w:cs="Arial"/>
        </w:rPr>
        <w:t xml:space="preserve"> group presently before the court profess no basis for being entitled to jump the allocation </w:t>
      </w:r>
      <w:r w:rsidR="008C4115">
        <w:rPr>
          <w:rFonts w:ascii="Arial" w:hAnsi="Arial" w:cs="Arial"/>
        </w:rPr>
        <w:t xml:space="preserve">list </w:t>
      </w:r>
      <w:r w:rsidR="00B05EA0" w:rsidRPr="00AA5EEE">
        <w:rPr>
          <w:rFonts w:ascii="Arial" w:hAnsi="Arial" w:cs="Arial"/>
        </w:rPr>
        <w:t xml:space="preserve">and </w:t>
      </w:r>
      <w:r w:rsidR="00AA5EEE" w:rsidRPr="00AA5EEE">
        <w:rPr>
          <w:rFonts w:ascii="Arial" w:hAnsi="Arial" w:cs="Arial"/>
        </w:rPr>
        <w:t xml:space="preserve">do not offer to ensure that they will leave the area of the </w:t>
      </w:r>
      <w:r w:rsidRPr="00AA5EEE">
        <w:rPr>
          <w:rFonts w:ascii="Arial" w:hAnsi="Arial" w:cs="Arial"/>
        </w:rPr>
        <w:t>development</w:t>
      </w:r>
      <w:r w:rsidR="00AA5EEE" w:rsidRPr="00AA5EEE">
        <w:rPr>
          <w:rFonts w:ascii="Arial" w:hAnsi="Arial" w:cs="Arial"/>
        </w:rPr>
        <w:t xml:space="preserve"> they occupy in the </w:t>
      </w:r>
      <w:r w:rsidR="00AA5EEE">
        <w:rPr>
          <w:rFonts w:ascii="Arial" w:hAnsi="Arial" w:cs="Arial"/>
        </w:rPr>
        <w:t>same condition as it was found.</w:t>
      </w:r>
    </w:p>
    <w:p w:rsidR="009D7049" w:rsidRDefault="009D7049" w:rsidP="009D7049">
      <w:pPr>
        <w:pStyle w:val="ListParagraph"/>
        <w:spacing w:line="360" w:lineRule="auto"/>
        <w:ind w:left="360"/>
        <w:rPr>
          <w:rFonts w:ascii="Arial" w:hAnsi="Arial" w:cs="Arial"/>
        </w:rPr>
      </w:pPr>
    </w:p>
    <w:p w:rsidR="00B05EA0" w:rsidRPr="00AA5EEE" w:rsidRDefault="00AA5EEE" w:rsidP="00AF22DC">
      <w:pPr>
        <w:pStyle w:val="ListParagraph"/>
        <w:numPr>
          <w:ilvl w:val="0"/>
          <w:numId w:val="3"/>
        </w:numPr>
        <w:spacing w:line="360" w:lineRule="auto"/>
        <w:rPr>
          <w:rFonts w:ascii="Arial" w:hAnsi="Arial" w:cs="Arial"/>
        </w:rPr>
      </w:pPr>
      <w:r w:rsidRPr="00AA5EEE">
        <w:rPr>
          <w:rFonts w:ascii="Arial" w:hAnsi="Arial" w:cs="Arial"/>
        </w:rPr>
        <w:lastRenderedPageBreak/>
        <w:t>I am therefore inclined to only give them the costs of an unopposed application</w:t>
      </w:r>
      <w:r>
        <w:rPr>
          <w:rFonts w:ascii="Arial" w:hAnsi="Arial" w:cs="Arial"/>
        </w:rPr>
        <w:t xml:space="preserve"> so as not to stifle litigat</w:t>
      </w:r>
      <w:r w:rsidR="006F78F3">
        <w:rPr>
          <w:rFonts w:ascii="Arial" w:hAnsi="Arial" w:cs="Arial"/>
        </w:rPr>
        <w:t xml:space="preserve">ion. </w:t>
      </w:r>
      <w:r>
        <w:rPr>
          <w:rFonts w:ascii="Arial" w:hAnsi="Arial" w:cs="Arial"/>
        </w:rPr>
        <w:t xml:space="preserve"> There can be little doubt on the facts that the mass invasion required advance planning and co-ordination, was organised and executed </w:t>
      </w:r>
      <w:r w:rsidR="009D7049">
        <w:rPr>
          <w:rFonts w:ascii="Arial" w:hAnsi="Arial" w:cs="Arial"/>
        </w:rPr>
        <w:t>with allocations</w:t>
      </w:r>
      <w:r>
        <w:rPr>
          <w:rFonts w:ascii="Arial" w:hAnsi="Arial" w:cs="Arial"/>
        </w:rPr>
        <w:t xml:space="preserve"> being made in advance by those behind the invasion. It is </w:t>
      </w:r>
      <w:r w:rsidR="009D7049">
        <w:rPr>
          <w:rFonts w:ascii="Arial" w:hAnsi="Arial" w:cs="Arial"/>
        </w:rPr>
        <w:t>therefore</w:t>
      </w:r>
      <w:r>
        <w:rPr>
          <w:rFonts w:ascii="Arial" w:hAnsi="Arial" w:cs="Arial"/>
        </w:rPr>
        <w:t xml:space="preserve"> probable that </w:t>
      </w:r>
      <w:r w:rsidR="006F78F3">
        <w:rPr>
          <w:rFonts w:ascii="Arial" w:hAnsi="Arial" w:cs="Arial"/>
        </w:rPr>
        <w:t>money passed hands and it is those</w:t>
      </w:r>
      <w:r>
        <w:rPr>
          <w:rFonts w:ascii="Arial" w:hAnsi="Arial" w:cs="Arial"/>
        </w:rPr>
        <w:t xml:space="preserve"> </w:t>
      </w:r>
      <w:r w:rsidR="006F78F3">
        <w:rPr>
          <w:rFonts w:ascii="Arial" w:hAnsi="Arial" w:cs="Arial"/>
        </w:rPr>
        <w:t xml:space="preserve">organising the land invasion who </w:t>
      </w:r>
      <w:r>
        <w:rPr>
          <w:rFonts w:ascii="Arial" w:hAnsi="Arial" w:cs="Arial"/>
        </w:rPr>
        <w:t xml:space="preserve">should be looked to for covering costs above the unopposed costs that the court is awarding.  </w:t>
      </w:r>
    </w:p>
    <w:p w:rsidR="00025D81" w:rsidRDefault="00025D81" w:rsidP="00B05EA0">
      <w:pPr>
        <w:spacing w:line="360" w:lineRule="auto"/>
        <w:rPr>
          <w:rFonts w:ascii="Arial" w:hAnsi="Arial" w:cs="Arial"/>
          <w:b/>
        </w:rPr>
      </w:pPr>
    </w:p>
    <w:p w:rsidR="0081183A" w:rsidRPr="00B05EA0" w:rsidRDefault="00B05EA0" w:rsidP="00B05EA0">
      <w:pPr>
        <w:spacing w:line="360" w:lineRule="auto"/>
        <w:rPr>
          <w:rFonts w:ascii="Arial" w:hAnsi="Arial" w:cs="Arial"/>
          <w:b/>
        </w:rPr>
      </w:pPr>
      <w:r w:rsidRPr="00B05EA0">
        <w:rPr>
          <w:rFonts w:ascii="Arial" w:hAnsi="Arial" w:cs="Arial"/>
          <w:b/>
        </w:rPr>
        <w:t>ORDER</w:t>
      </w:r>
    </w:p>
    <w:p w:rsidR="00F361E4" w:rsidRPr="00F361E4" w:rsidRDefault="00F361E4" w:rsidP="00F361E4">
      <w:pPr>
        <w:pStyle w:val="ListParagraph"/>
        <w:rPr>
          <w:rFonts w:ascii="Arial" w:hAnsi="Arial" w:cs="Arial"/>
        </w:rPr>
      </w:pPr>
    </w:p>
    <w:p w:rsidR="00A51CEA" w:rsidRDefault="00B05EA0" w:rsidP="00A51CEA">
      <w:pPr>
        <w:spacing w:line="360" w:lineRule="auto"/>
        <w:rPr>
          <w:rFonts w:ascii="Arial" w:hAnsi="Arial" w:cs="Arial"/>
        </w:rPr>
      </w:pPr>
      <w:r>
        <w:rPr>
          <w:rFonts w:ascii="Arial" w:hAnsi="Arial" w:cs="Arial"/>
        </w:rPr>
        <w:t>82,</w:t>
      </w:r>
      <w:r>
        <w:rPr>
          <w:rFonts w:ascii="Arial" w:hAnsi="Arial" w:cs="Arial"/>
        </w:rPr>
        <w:tab/>
      </w:r>
      <w:r w:rsidR="008412E3">
        <w:rPr>
          <w:rFonts w:ascii="Arial" w:hAnsi="Arial" w:cs="Arial"/>
        </w:rPr>
        <w:t>The following order was made</w:t>
      </w:r>
      <w:r>
        <w:rPr>
          <w:rFonts w:ascii="Arial" w:hAnsi="Arial" w:cs="Arial"/>
        </w:rPr>
        <w:t>:</w:t>
      </w:r>
    </w:p>
    <w:p w:rsidR="00B05EA0" w:rsidRDefault="00B05EA0" w:rsidP="00A51CEA">
      <w:pPr>
        <w:spacing w:line="360" w:lineRule="auto"/>
        <w:rPr>
          <w:rFonts w:ascii="Arial" w:hAnsi="Arial" w:cs="Arial"/>
        </w:rPr>
      </w:pPr>
    </w:p>
    <w:p w:rsidR="00B05EA0" w:rsidRPr="00B05EA0" w:rsidRDefault="00B05EA0" w:rsidP="00B05EA0">
      <w:pPr>
        <w:widowControl/>
        <w:spacing w:before="240" w:after="240" w:line="480" w:lineRule="auto"/>
        <w:jc w:val="both"/>
        <w:rPr>
          <w:rFonts w:ascii="Arial" w:hAnsi="Arial" w:cs="Arial"/>
          <w:i/>
          <w:color w:val="000000"/>
          <w:sz w:val="22"/>
          <w:szCs w:val="22"/>
        </w:rPr>
      </w:pPr>
      <w:r>
        <w:rPr>
          <w:rFonts w:ascii="Arial" w:hAnsi="Arial" w:cs="Arial"/>
        </w:rPr>
        <w:tab/>
      </w:r>
      <w:r w:rsidRPr="00B05EA0">
        <w:rPr>
          <w:rFonts w:ascii="Arial" w:hAnsi="Arial" w:cs="Arial"/>
          <w:i/>
          <w:color w:val="000000"/>
          <w:sz w:val="22"/>
          <w:szCs w:val="22"/>
        </w:rPr>
        <w:t>IN RESPECT OF THE FIRST RESPONDENT</w:t>
      </w:r>
    </w:p>
    <w:p w:rsidR="00B05EA0" w:rsidRPr="00B05EA0" w:rsidRDefault="00B05EA0" w:rsidP="00B05EA0">
      <w:pPr>
        <w:pStyle w:val="Level1"/>
        <w:widowControl/>
        <w:spacing w:line="480" w:lineRule="auto"/>
        <w:jc w:val="both"/>
        <w:rPr>
          <w:rFonts w:ascii="Arial" w:hAnsi="Arial" w:cs="Arial"/>
          <w:i/>
          <w:sz w:val="22"/>
          <w:szCs w:val="22"/>
        </w:rPr>
      </w:pPr>
      <w:r w:rsidRPr="00B05EA0">
        <w:rPr>
          <w:rFonts w:ascii="Arial" w:hAnsi="Arial" w:cs="Arial"/>
          <w:i/>
          <w:sz w:val="22"/>
          <w:szCs w:val="22"/>
        </w:rPr>
        <w:t>The rule nisi issued by the Court on 24 July 2019 is confirmed in respect of those persons identified in the consolidated list attached to the first respondent’s answering affidavit of October 2019 as “AA1</w:t>
      </w:r>
      <w:r w:rsidR="009D7049" w:rsidRPr="00B05EA0">
        <w:rPr>
          <w:rFonts w:ascii="Arial" w:hAnsi="Arial" w:cs="Arial"/>
          <w:i/>
          <w:sz w:val="22"/>
          <w:szCs w:val="22"/>
        </w:rPr>
        <w:t>”, save</w:t>
      </w:r>
      <w:r w:rsidRPr="00B05EA0">
        <w:rPr>
          <w:rFonts w:ascii="Arial" w:hAnsi="Arial" w:cs="Arial"/>
          <w:i/>
          <w:sz w:val="22"/>
          <w:szCs w:val="22"/>
        </w:rPr>
        <w:t xml:space="preserve"> for those persons who have produced a valid document of allocation of a house in the RDP project at Farm Rietfontein 153 (also known as Palm Ridge Extensions 10 </w:t>
      </w:r>
      <w:r w:rsidR="009D7049" w:rsidRPr="00B05EA0">
        <w:rPr>
          <w:rFonts w:ascii="Arial" w:hAnsi="Arial" w:cs="Arial"/>
          <w:i/>
          <w:sz w:val="22"/>
          <w:szCs w:val="22"/>
        </w:rPr>
        <w:t>and 18</w:t>
      </w:r>
      <w:r w:rsidRPr="00B05EA0">
        <w:rPr>
          <w:rFonts w:ascii="Arial" w:hAnsi="Arial" w:cs="Arial"/>
          <w:i/>
          <w:sz w:val="22"/>
          <w:szCs w:val="22"/>
        </w:rPr>
        <w:t xml:space="preserve"> to 30</w:t>
      </w:r>
      <w:r w:rsidR="009D7049" w:rsidRPr="00B05EA0">
        <w:rPr>
          <w:rFonts w:ascii="Arial" w:hAnsi="Arial" w:cs="Arial"/>
          <w:i/>
          <w:sz w:val="22"/>
          <w:szCs w:val="22"/>
        </w:rPr>
        <w:t>).</w:t>
      </w:r>
      <w:r w:rsidRPr="00B05EA0">
        <w:rPr>
          <w:rFonts w:ascii="Arial" w:hAnsi="Arial" w:cs="Arial"/>
          <w:i/>
          <w:sz w:val="22"/>
          <w:szCs w:val="22"/>
        </w:rPr>
        <w:t xml:space="preserve"> </w:t>
      </w:r>
    </w:p>
    <w:p w:rsidR="00B05EA0" w:rsidRPr="00B05EA0" w:rsidRDefault="00B05EA0" w:rsidP="00B05EA0">
      <w:pPr>
        <w:pStyle w:val="Body2"/>
        <w:rPr>
          <w:rFonts w:ascii="Arial" w:hAnsi="Arial" w:cs="Arial"/>
          <w:i/>
          <w:sz w:val="22"/>
          <w:szCs w:val="22"/>
        </w:rPr>
      </w:pPr>
    </w:p>
    <w:p w:rsidR="00B05EA0" w:rsidRPr="00B05EA0" w:rsidRDefault="00B05EA0" w:rsidP="00B05EA0">
      <w:pPr>
        <w:pStyle w:val="Level1"/>
        <w:spacing w:line="480" w:lineRule="auto"/>
        <w:rPr>
          <w:rFonts w:ascii="Arial" w:hAnsi="Arial" w:cs="Arial"/>
          <w:i/>
          <w:sz w:val="22"/>
          <w:szCs w:val="22"/>
        </w:rPr>
      </w:pPr>
      <w:r w:rsidRPr="00B05EA0">
        <w:rPr>
          <w:rFonts w:ascii="Arial" w:hAnsi="Arial" w:cs="Arial"/>
          <w:i/>
          <w:sz w:val="22"/>
          <w:szCs w:val="22"/>
        </w:rPr>
        <w:t xml:space="preserve">The first respondent shall be entitled to deliver an affidavit by no later than Friday 9 </w:t>
      </w:r>
      <w:r w:rsidR="000774C7">
        <w:rPr>
          <w:rFonts w:ascii="Arial" w:hAnsi="Arial" w:cs="Arial"/>
          <w:i/>
          <w:sz w:val="22"/>
          <w:szCs w:val="22"/>
        </w:rPr>
        <w:t>Se</w:t>
      </w:r>
      <w:r w:rsidRPr="00B05EA0">
        <w:rPr>
          <w:rFonts w:ascii="Arial" w:hAnsi="Arial" w:cs="Arial"/>
          <w:i/>
          <w:sz w:val="22"/>
          <w:szCs w:val="22"/>
        </w:rPr>
        <w:t xml:space="preserve">ptember 2022 identifying such goods and possessions as each person, identified separately,  claims he or she was dispossessed of by the applicant on 24 July 2019 and, if such affidavit is delivered by then,  the applicant shall deliver an affidavit by Friday 7 October 2022 stating whether it has any of the identified  goods or possessions and, if so,  where they will be made available for collection by the identified person of the first respondent at the applicant’s expense. </w:t>
      </w:r>
    </w:p>
    <w:p w:rsidR="00B05EA0" w:rsidRPr="00B05EA0" w:rsidRDefault="00B05EA0" w:rsidP="00B05EA0">
      <w:pPr>
        <w:pStyle w:val="Level1"/>
        <w:spacing w:line="360" w:lineRule="auto"/>
        <w:rPr>
          <w:rFonts w:ascii="Arial" w:hAnsi="Arial" w:cs="Arial"/>
          <w:i/>
          <w:sz w:val="22"/>
          <w:szCs w:val="22"/>
        </w:rPr>
      </w:pPr>
      <w:r w:rsidRPr="00B05EA0">
        <w:rPr>
          <w:rFonts w:ascii="Arial" w:hAnsi="Arial" w:cs="Arial"/>
          <w:i/>
          <w:sz w:val="22"/>
          <w:szCs w:val="22"/>
        </w:rPr>
        <w:lastRenderedPageBreak/>
        <w:t>A virtual case management meeting will be held on Wednesday 12 October at 15.30 on MS-Teams to deal with the issues arising from para 2 hereof</w:t>
      </w:r>
    </w:p>
    <w:p w:rsidR="00B05EA0" w:rsidRPr="00B05EA0" w:rsidRDefault="00B05EA0" w:rsidP="00B05EA0">
      <w:pPr>
        <w:pStyle w:val="Level1"/>
        <w:spacing w:line="360" w:lineRule="auto"/>
        <w:rPr>
          <w:rFonts w:ascii="Arial" w:hAnsi="Arial" w:cs="Arial"/>
          <w:i/>
          <w:sz w:val="22"/>
          <w:szCs w:val="22"/>
        </w:rPr>
      </w:pPr>
      <w:r w:rsidRPr="00B05EA0">
        <w:rPr>
          <w:rFonts w:ascii="Arial" w:hAnsi="Arial" w:cs="Arial"/>
          <w:i/>
          <w:sz w:val="22"/>
          <w:szCs w:val="22"/>
        </w:rPr>
        <w:t xml:space="preserve">Save as set out in para 2, the first respondents’ counterapplication is dismissed  </w:t>
      </w:r>
    </w:p>
    <w:p w:rsidR="00B05EA0" w:rsidRPr="00991313" w:rsidRDefault="00B05EA0" w:rsidP="008B6EA3">
      <w:pPr>
        <w:pStyle w:val="Level1"/>
        <w:widowControl/>
        <w:spacing w:line="480" w:lineRule="auto"/>
        <w:jc w:val="both"/>
        <w:rPr>
          <w:rFonts w:ascii="Arial" w:hAnsi="Arial" w:cs="Arial"/>
          <w:i/>
          <w:sz w:val="22"/>
          <w:szCs w:val="22"/>
        </w:rPr>
      </w:pPr>
      <w:r w:rsidRPr="00991313">
        <w:rPr>
          <w:rFonts w:ascii="Arial" w:hAnsi="Arial" w:cs="Arial"/>
          <w:i/>
          <w:sz w:val="22"/>
          <w:szCs w:val="22"/>
        </w:rPr>
        <w:t>There will be no order as to costs as between the applicant and the first respondents in respect of either the application or the counterapplication.</w:t>
      </w:r>
    </w:p>
    <w:p w:rsidR="00B05EA0" w:rsidRPr="00B05EA0" w:rsidRDefault="00B05EA0" w:rsidP="00B05EA0">
      <w:pPr>
        <w:pStyle w:val="Body2"/>
        <w:rPr>
          <w:rFonts w:ascii="Arial" w:hAnsi="Arial" w:cs="Arial"/>
          <w:i/>
          <w:sz w:val="22"/>
          <w:szCs w:val="22"/>
        </w:rPr>
      </w:pPr>
    </w:p>
    <w:p w:rsidR="00B05EA0" w:rsidRPr="00B05EA0" w:rsidRDefault="00B05EA0" w:rsidP="00B05EA0">
      <w:pPr>
        <w:pStyle w:val="Body2"/>
        <w:ind w:left="0"/>
        <w:rPr>
          <w:rFonts w:ascii="Arial" w:hAnsi="Arial" w:cs="Arial"/>
          <w:i/>
          <w:sz w:val="22"/>
          <w:szCs w:val="22"/>
        </w:rPr>
      </w:pPr>
      <w:r w:rsidRPr="00B05EA0">
        <w:rPr>
          <w:rFonts w:ascii="Arial" w:hAnsi="Arial" w:cs="Arial"/>
          <w:i/>
          <w:sz w:val="22"/>
          <w:szCs w:val="22"/>
        </w:rPr>
        <w:t xml:space="preserve">IN RESPECT OF THE EIGHTH RESPONDENT </w:t>
      </w:r>
    </w:p>
    <w:p w:rsidR="00B05EA0" w:rsidRPr="00B05EA0" w:rsidRDefault="00B05EA0" w:rsidP="00B05EA0">
      <w:pPr>
        <w:pStyle w:val="Body2"/>
        <w:ind w:left="0"/>
        <w:rPr>
          <w:rFonts w:ascii="Arial" w:hAnsi="Arial" w:cs="Arial"/>
          <w:i/>
          <w:sz w:val="22"/>
          <w:szCs w:val="22"/>
        </w:rPr>
      </w:pPr>
    </w:p>
    <w:p w:rsidR="00B05EA0" w:rsidRPr="00B05EA0" w:rsidRDefault="00B05EA0" w:rsidP="00B05EA0">
      <w:pPr>
        <w:pStyle w:val="Level1"/>
        <w:widowControl/>
        <w:spacing w:line="480" w:lineRule="auto"/>
        <w:jc w:val="both"/>
        <w:rPr>
          <w:rFonts w:ascii="Arial" w:hAnsi="Arial" w:cs="Arial"/>
          <w:i/>
          <w:sz w:val="22"/>
          <w:szCs w:val="22"/>
        </w:rPr>
      </w:pPr>
      <w:r w:rsidRPr="00B05EA0">
        <w:rPr>
          <w:rFonts w:ascii="Arial" w:hAnsi="Arial" w:cs="Arial"/>
          <w:i/>
          <w:sz w:val="22"/>
          <w:szCs w:val="22"/>
        </w:rPr>
        <w:t xml:space="preserve">The rule nisi issued by the Court on 24 July 2019 as read with the joinder of the eighth </w:t>
      </w:r>
      <w:r w:rsidR="009D7049" w:rsidRPr="00B05EA0">
        <w:rPr>
          <w:rFonts w:ascii="Arial" w:hAnsi="Arial" w:cs="Arial"/>
          <w:i/>
          <w:sz w:val="22"/>
          <w:szCs w:val="22"/>
        </w:rPr>
        <w:t>respondent on</w:t>
      </w:r>
      <w:r w:rsidRPr="00B05EA0">
        <w:rPr>
          <w:rFonts w:ascii="Arial" w:hAnsi="Arial" w:cs="Arial"/>
          <w:i/>
          <w:sz w:val="22"/>
          <w:szCs w:val="22"/>
        </w:rPr>
        <w:t xml:space="preserve"> 10 June 2021 is discharged in respect of those persons identified in the list attached to the eighth respondent’s answering affidavit of July 2021 as TM1.</w:t>
      </w:r>
    </w:p>
    <w:p w:rsidR="00067143" w:rsidRDefault="00B05EA0" w:rsidP="00A95E6D">
      <w:pPr>
        <w:pStyle w:val="Level1"/>
        <w:spacing w:line="360" w:lineRule="auto"/>
      </w:pPr>
      <w:r w:rsidRPr="00991313">
        <w:rPr>
          <w:rFonts w:ascii="Arial" w:hAnsi="Arial" w:cs="Arial"/>
          <w:i/>
          <w:sz w:val="22"/>
          <w:szCs w:val="22"/>
        </w:rPr>
        <w:t>The applicant will pay the costs of the eighth respondent on the unopposed scale</w:t>
      </w:r>
      <w:r w:rsidR="00991313">
        <w:rPr>
          <w:rFonts w:ascii="Arial" w:hAnsi="Arial" w:cs="Arial"/>
          <w:i/>
          <w:sz w:val="22"/>
          <w:szCs w:val="22"/>
        </w:rPr>
        <w:t>.</w:t>
      </w:r>
    </w:p>
    <w:p w:rsidR="00067143" w:rsidRDefault="00067143" w:rsidP="00067143"/>
    <w:p w:rsidR="00067143" w:rsidRDefault="00067143" w:rsidP="00067143">
      <w:pPr>
        <w:ind w:left="4320"/>
      </w:pPr>
    </w:p>
    <w:p w:rsidR="00991313" w:rsidRDefault="00991313" w:rsidP="00067143">
      <w:pPr>
        <w:ind w:left="4320"/>
      </w:pPr>
    </w:p>
    <w:p w:rsidR="00067143" w:rsidRPr="00067143" w:rsidRDefault="00067143" w:rsidP="00067143">
      <w:pPr>
        <w:ind w:left="5760"/>
        <w:rPr>
          <w:rFonts w:ascii="Arial" w:hAnsi="Arial" w:cs="Arial"/>
          <w:b/>
        </w:rPr>
      </w:pPr>
      <w:r w:rsidRPr="00067143">
        <w:rPr>
          <w:rFonts w:ascii="Arial" w:hAnsi="Arial" w:cs="Arial"/>
          <w:b/>
        </w:rPr>
        <w:t>_____________</w:t>
      </w:r>
    </w:p>
    <w:p w:rsidR="00B05EA0" w:rsidRPr="00067143" w:rsidRDefault="00067143" w:rsidP="00B05EA0">
      <w:pPr>
        <w:pStyle w:val="Body2"/>
        <w:spacing w:line="360" w:lineRule="auto"/>
        <w:rPr>
          <w:rFonts w:ascii="Arial" w:hAnsi="Arial" w:cs="Arial"/>
          <w:b/>
        </w:rPr>
      </w:pPr>
      <w:r w:rsidRPr="00067143">
        <w:rPr>
          <w:rFonts w:ascii="Arial" w:hAnsi="Arial" w:cs="Arial"/>
          <w:b/>
        </w:rPr>
        <w:tab/>
      </w:r>
      <w:r w:rsidRPr="00067143">
        <w:rPr>
          <w:rFonts w:ascii="Arial" w:hAnsi="Arial" w:cs="Arial"/>
          <w:b/>
        </w:rPr>
        <w:tab/>
      </w:r>
      <w:r w:rsidRPr="00067143">
        <w:rPr>
          <w:rFonts w:ascii="Arial" w:hAnsi="Arial" w:cs="Arial"/>
          <w:b/>
        </w:rPr>
        <w:tab/>
      </w:r>
      <w:r w:rsidRPr="00067143">
        <w:rPr>
          <w:rFonts w:ascii="Arial" w:hAnsi="Arial" w:cs="Arial"/>
          <w:b/>
        </w:rPr>
        <w:tab/>
      </w:r>
      <w:r w:rsidRPr="00067143">
        <w:rPr>
          <w:rFonts w:ascii="Arial" w:hAnsi="Arial" w:cs="Arial"/>
          <w:b/>
        </w:rPr>
        <w:tab/>
      </w:r>
      <w:r w:rsidRPr="00067143">
        <w:rPr>
          <w:rFonts w:ascii="Arial" w:hAnsi="Arial" w:cs="Arial"/>
          <w:b/>
        </w:rPr>
        <w:tab/>
      </w:r>
      <w:r w:rsidRPr="00067143">
        <w:rPr>
          <w:rFonts w:ascii="Arial" w:hAnsi="Arial" w:cs="Arial"/>
          <w:b/>
        </w:rPr>
        <w:tab/>
      </w:r>
      <w:r w:rsidRPr="00067143">
        <w:rPr>
          <w:rFonts w:ascii="Arial" w:hAnsi="Arial" w:cs="Arial"/>
          <w:b/>
        </w:rPr>
        <w:tab/>
        <w:t xml:space="preserve">     SPILG, J</w:t>
      </w:r>
    </w:p>
    <w:p w:rsidR="00B05EA0" w:rsidRDefault="00B05EA0" w:rsidP="00B05EA0">
      <w:pPr>
        <w:pStyle w:val="Level1"/>
        <w:numPr>
          <w:ilvl w:val="0"/>
          <w:numId w:val="0"/>
        </w:numPr>
        <w:rPr>
          <w:rFonts w:asciiTheme="minorHAnsi" w:hAnsiTheme="minorHAnsi" w:cstheme="minorHAnsi"/>
          <w:b/>
          <w:szCs w:val="24"/>
        </w:rPr>
      </w:pPr>
      <w:r w:rsidRPr="00963CDD">
        <w:rPr>
          <w:rFonts w:asciiTheme="minorHAnsi" w:hAnsiTheme="minorHAnsi" w:cstheme="minorHAnsi"/>
        </w:rPr>
        <w:t xml:space="preserve"> </w:t>
      </w:r>
      <w:r w:rsidR="00AA5EEE">
        <w:rPr>
          <w:rFonts w:asciiTheme="minorHAnsi" w:hAnsiTheme="minorHAnsi" w:cstheme="minorHAnsi"/>
          <w:b/>
          <w:szCs w:val="24"/>
        </w:rPr>
        <w:t>_________________________________________________________________________</w:t>
      </w:r>
    </w:p>
    <w:p w:rsidR="00067143" w:rsidRDefault="00067143" w:rsidP="008C4115">
      <w:r>
        <w:t>DATE OF JUDGMENT</w:t>
      </w:r>
      <w:r w:rsidR="008C4115">
        <w:t>:</w:t>
      </w:r>
      <w:r w:rsidR="008C4115">
        <w:tab/>
      </w:r>
      <w:r w:rsidR="008C4115">
        <w:tab/>
      </w:r>
      <w:r>
        <w:tab/>
        <w:t>22 February 2023</w:t>
      </w:r>
    </w:p>
    <w:p w:rsidR="00991313" w:rsidRDefault="008C4115" w:rsidP="00991313">
      <w:r>
        <w:t>REVISED:</w:t>
      </w:r>
      <w:r>
        <w:tab/>
      </w:r>
      <w:r>
        <w:tab/>
      </w:r>
      <w:r>
        <w:tab/>
      </w:r>
      <w:r>
        <w:tab/>
        <w:t>22 March 20223</w:t>
      </w:r>
    </w:p>
    <w:p w:rsidR="00991313" w:rsidRDefault="00AA5EEE" w:rsidP="00991313">
      <w:pPr>
        <w:rPr>
          <w:rFonts w:asciiTheme="minorHAnsi" w:hAnsiTheme="minorHAnsi" w:cstheme="minorHAnsi"/>
          <w:lang w:val="en-GB"/>
        </w:rPr>
      </w:pPr>
      <w:r>
        <w:rPr>
          <w:rFonts w:asciiTheme="minorHAnsi" w:hAnsiTheme="minorHAnsi" w:cstheme="minorHAnsi"/>
          <w:lang w:val="en-GB"/>
        </w:rPr>
        <w:t xml:space="preserve">For the </w:t>
      </w:r>
      <w:r w:rsidR="008C4115">
        <w:rPr>
          <w:rFonts w:asciiTheme="minorHAnsi" w:hAnsiTheme="minorHAnsi" w:cstheme="minorHAnsi"/>
          <w:lang w:val="en-GB"/>
        </w:rPr>
        <w:t>Applicant</w:t>
      </w:r>
      <w:r>
        <w:rPr>
          <w:rFonts w:asciiTheme="minorHAnsi" w:hAnsiTheme="minorHAnsi" w:cstheme="minorHAnsi"/>
          <w:lang w:val="en-GB"/>
        </w:rPr>
        <w:t>:</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009D7049">
        <w:rPr>
          <w:rFonts w:asciiTheme="minorHAnsi" w:hAnsiTheme="minorHAnsi" w:cstheme="minorHAnsi"/>
          <w:lang w:val="en-GB"/>
        </w:rPr>
        <w:t>Adv.</w:t>
      </w:r>
      <w:r>
        <w:rPr>
          <w:rFonts w:asciiTheme="minorHAnsi" w:hAnsiTheme="minorHAnsi" w:cstheme="minorHAnsi"/>
          <w:lang w:val="en-GB"/>
        </w:rPr>
        <w:t xml:space="preserve"> E Sithole</w:t>
      </w:r>
    </w:p>
    <w:p w:rsidR="00AA5EEE" w:rsidRPr="00991313" w:rsidRDefault="00AA5EEE" w:rsidP="00991313">
      <w:pPr>
        <w:ind w:left="2880" w:firstLine="720"/>
      </w:pPr>
      <w:r>
        <w:rPr>
          <w:rFonts w:asciiTheme="minorHAnsi" w:hAnsiTheme="minorHAnsi" w:cstheme="minorHAnsi"/>
          <w:lang w:val="en-GB"/>
        </w:rPr>
        <w:t>Jose and Associates</w:t>
      </w:r>
    </w:p>
    <w:p w:rsidR="00AA5EEE" w:rsidRDefault="00AA5EEE" w:rsidP="008C4115">
      <w:pPr>
        <w:pStyle w:val="Body1"/>
        <w:spacing w:before="240"/>
        <w:rPr>
          <w:rFonts w:asciiTheme="minorHAnsi" w:hAnsiTheme="minorHAnsi" w:cstheme="minorHAnsi"/>
          <w:lang w:val="en-GB"/>
        </w:rPr>
      </w:pPr>
      <w:r>
        <w:rPr>
          <w:rFonts w:asciiTheme="minorHAnsi" w:hAnsiTheme="minorHAnsi" w:cstheme="minorHAnsi"/>
          <w:lang w:val="en-GB"/>
        </w:rPr>
        <w:t>For 1</w:t>
      </w:r>
      <w:r w:rsidRPr="005F5D1F">
        <w:rPr>
          <w:rFonts w:asciiTheme="minorHAnsi" w:hAnsiTheme="minorHAnsi" w:cstheme="minorHAnsi"/>
          <w:vertAlign w:val="superscript"/>
          <w:lang w:val="en-GB"/>
        </w:rPr>
        <w:t>st</w:t>
      </w:r>
      <w:r>
        <w:rPr>
          <w:rFonts w:asciiTheme="minorHAnsi" w:hAnsiTheme="minorHAnsi" w:cstheme="minorHAnsi"/>
          <w:lang w:val="en-GB"/>
        </w:rPr>
        <w:t xml:space="preserve"> Respondents:</w:t>
      </w:r>
      <w:r>
        <w:rPr>
          <w:rFonts w:asciiTheme="minorHAnsi" w:hAnsiTheme="minorHAnsi" w:cstheme="minorHAnsi"/>
          <w:lang w:val="en-GB"/>
        </w:rPr>
        <w:tab/>
      </w:r>
      <w:r>
        <w:rPr>
          <w:rFonts w:asciiTheme="minorHAnsi" w:hAnsiTheme="minorHAnsi" w:cstheme="minorHAnsi"/>
          <w:lang w:val="en-GB"/>
        </w:rPr>
        <w:tab/>
      </w:r>
      <w:r w:rsidR="000774C7">
        <w:rPr>
          <w:rFonts w:asciiTheme="minorHAnsi" w:hAnsiTheme="minorHAnsi" w:cstheme="minorHAnsi"/>
          <w:lang w:val="en-GB"/>
        </w:rPr>
        <w:tab/>
      </w:r>
      <w:r w:rsidR="009D7049">
        <w:rPr>
          <w:rFonts w:asciiTheme="minorHAnsi" w:hAnsiTheme="minorHAnsi" w:cstheme="minorHAnsi"/>
          <w:lang w:val="en-GB"/>
        </w:rPr>
        <w:t>Adv.</w:t>
      </w:r>
      <w:r>
        <w:rPr>
          <w:rFonts w:asciiTheme="minorHAnsi" w:hAnsiTheme="minorHAnsi" w:cstheme="minorHAnsi"/>
          <w:lang w:val="en-GB"/>
        </w:rPr>
        <w:t xml:space="preserve"> T Raogale</w:t>
      </w:r>
    </w:p>
    <w:p w:rsidR="00AA5EEE" w:rsidRDefault="00AA5EEE" w:rsidP="008C4115">
      <w:pPr>
        <w:pStyle w:val="Body1"/>
        <w:spacing w:before="240"/>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Mabuza Attorneys</w:t>
      </w:r>
    </w:p>
    <w:p w:rsidR="00AA5EEE" w:rsidRDefault="00AA5EEE" w:rsidP="008C4115">
      <w:pPr>
        <w:pStyle w:val="Body1"/>
        <w:spacing w:before="240"/>
        <w:rPr>
          <w:rFonts w:asciiTheme="minorHAnsi" w:hAnsiTheme="minorHAnsi" w:cstheme="minorHAnsi"/>
          <w:lang w:val="en-GB"/>
        </w:rPr>
      </w:pPr>
      <w:r>
        <w:rPr>
          <w:rFonts w:asciiTheme="minorHAnsi" w:hAnsiTheme="minorHAnsi" w:cstheme="minorHAnsi"/>
          <w:lang w:val="en-GB"/>
        </w:rPr>
        <w:t>For 8</w:t>
      </w:r>
      <w:r w:rsidRPr="005F5D1F">
        <w:rPr>
          <w:rFonts w:asciiTheme="minorHAnsi" w:hAnsiTheme="minorHAnsi" w:cstheme="minorHAnsi"/>
          <w:vertAlign w:val="superscript"/>
          <w:lang w:val="en-GB"/>
        </w:rPr>
        <w:t>th</w:t>
      </w:r>
      <w:r>
        <w:rPr>
          <w:rFonts w:asciiTheme="minorHAnsi" w:hAnsiTheme="minorHAnsi" w:cstheme="minorHAnsi"/>
          <w:lang w:val="en-GB"/>
        </w:rPr>
        <w:t xml:space="preserve"> Respondents:</w:t>
      </w:r>
      <w:r>
        <w:rPr>
          <w:rFonts w:asciiTheme="minorHAnsi" w:hAnsiTheme="minorHAnsi" w:cstheme="minorHAnsi"/>
          <w:lang w:val="en-GB"/>
        </w:rPr>
        <w:tab/>
      </w:r>
      <w:r>
        <w:rPr>
          <w:rFonts w:asciiTheme="minorHAnsi" w:hAnsiTheme="minorHAnsi" w:cstheme="minorHAnsi"/>
          <w:lang w:val="en-GB"/>
        </w:rPr>
        <w:tab/>
      </w:r>
      <w:r w:rsidR="000774C7">
        <w:rPr>
          <w:rFonts w:asciiTheme="minorHAnsi" w:hAnsiTheme="minorHAnsi" w:cstheme="minorHAnsi"/>
          <w:lang w:val="en-GB"/>
        </w:rPr>
        <w:tab/>
      </w:r>
      <w:r>
        <w:rPr>
          <w:rFonts w:asciiTheme="minorHAnsi" w:hAnsiTheme="minorHAnsi" w:cstheme="minorHAnsi"/>
          <w:lang w:val="en-GB"/>
        </w:rPr>
        <w:t>Niyko Mhlongo</w:t>
      </w:r>
    </w:p>
    <w:p w:rsidR="00AA5EEE" w:rsidRPr="00AA5EEE" w:rsidRDefault="00AA5EEE" w:rsidP="008C4115">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 xml:space="preserve">Maluleke </w:t>
      </w:r>
      <w:r w:rsidR="009D7049">
        <w:rPr>
          <w:rFonts w:asciiTheme="minorHAnsi" w:hAnsiTheme="minorHAnsi" w:cstheme="minorHAnsi"/>
          <w:lang w:val="en-GB"/>
        </w:rPr>
        <w:t>Inc.</w:t>
      </w:r>
      <w:r>
        <w:rPr>
          <w:rFonts w:asciiTheme="minorHAnsi" w:hAnsiTheme="minorHAnsi" w:cstheme="minorHAnsi"/>
          <w:lang w:val="en-GB"/>
        </w:rPr>
        <w:t xml:space="preserve"> Attorneys (for Dion Ledonka)</w:t>
      </w:r>
      <w:r>
        <w:rPr>
          <w:rFonts w:asciiTheme="minorHAnsi" w:hAnsiTheme="minorHAnsi" w:cstheme="minorHAnsi"/>
          <w:lang w:val="en-GB"/>
        </w:rPr>
        <w:tab/>
      </w:r>
    </w:p>
    <w:p w:rsidR="00B05EA0" w:rsidRPr="00963CDD" w:rsidRDefault="00B05EA0" w:rsidP="00B05EA0">
      <w:pPr>
        <w:pStyle w:val="HCLAdr"/>
        <w:rPr>
          <w:rFonts w:asciiTheme="minorHAnsi" w:hAnsiTheme="minorHAnsi" w:cstheme="minorHAnsi"/>
          <w:sz w:val="24"/>
          <w:szCs w:val="24"/>
          <w:lang w:val="en-US"/>
        </w:rPr>
      </w:pPr>
    </w:p>
    <w:p w:rsidR="00B05EA0" w:rsidRDefault="00B05EA0" w:rsidP="00A51CEA">
      <w:pPr>
        <w:spacing w:line="360" w:lineRule="auto"/>
        <w:rPr>
          <w:rFonts w:ascii="Arial" w:hAnsi="Arial" w:cs="Arial"/>
        </w:rPr>
      </w:pPr>
    </w:p>
    <w:sectPr w:rsidR="00B05EA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D6" w:rsidRDefault="00EB5FD6" w:rsidP="00CE4950">
      <w:r>
        <w:separator/>
      </w:r>
    </w:p>
  </w:endnote>
  <w:endnote w:type="continuationSeparator" w:id="0">
    <w:p w:rsidR="00EB5FD6" w:rsidRDefault="00EB5FD6" w:rsidP="00CE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D6" w:rsidRDefault="00EB5FD6" w:rsidP="00CE4950">
      <w:r>
        <w:separator/>
      </w:r>
    </w:p>
  </w:footnote>
  <w:footnote w:type="continuationSeparator" w:id="0">
    <w:p w:rsidR="00EB5FD6" w:rsidRDefault="00EB5FD6" w:rsidP="00CE4950">
      <w:r>
        <w:continuationSeparator/>
      </w:r>
    </w:p>
  </w:footnote>
  <w:footnote w:id="1">
    <w:p w:rsidR="00900FA6" w:rsidRPr="005724CF" w:rsidRDefault="00900FA6">
      <w:pPr>
        <w:pStyle w:val="FootnoteText"/>
        <w:rPr>
          <w:lang w:val="en-GB"/>
        </w:rPr>
      </w:pPr>
      <w:r>
        <w:rPr>
          <w:rStyle w:val="FootnoteReference"/>
        </w:rPr>
        <w:footnoteRef/>
      </w:r>
      <w:r>
        <w:t xml:space="preserve"> </w:t>
      </w:r>
      <w:r>
        <w:rPr>
          <w:lang w:val="en-GB"/>
        </w:rPr>
        <w:t xml:space="preserve">RDP housing describes the Reconstruction and Development Programme (“RDP”) which is a government funded social housing project. It is to be contrasted with </w:t>
      </w:r>
      <w:r w:rsidR="00250AC1">
        <w:rPr>
          <w:lang w:val="en-GB"/>
        </w:rPr>
        <w:t xml:space="preserve">other </w:t>
      </w:r>
      <w:r>
        <w:rPr>
          <w:lang w:val="en-GB"/>
        </w:rPr>
        <w:t xml:space="preserve">subsidised housing projects. </w:t>
      </w:r>
    </w:p>
  </w:footnote>
  <w:footnote w:id="2">
    <w:p w:rsidR="00900FA6" w:rsidRPr="00A756BF" w:rsidRDefault="00900FA6">
      <w:pPr>
        <w:pStyle w:val="FootnoteText"/>
        <w:rPr>
          <w:lang w:val="en-GB"/>
        </w:rPr>
      </w:pPr>
      <w:r>
        <w:rPr>
          <w:rStyle w:val="FootnoteReference"/>
        </w:rPr>
        <w:footnoteRef/>
      </w:r>
      <w:r>
        <w:t xml:space="preserve"> </w:t>
      </w:r>
      <w:r>
        <w:rPr>
          <w:lang w:val="en-GB"/>
        </w:rPr>
        <w:t>Eighth Resp</w:t>
      </w:r>
      <w:r w:rsidR="000774C7">
        <w:rPr>
          <w:lang w:val="en-GB"/>
        </w:rPr>
        <w:t>ondent’s AA paras 10.23 and</w:t>
      </w:r>
      <w:r>
        <w:rPr>
          <w:lang w:val="en-GB"/>
        </w:rPr>
        <w:t xml:space="preserve"> 13</w:t>
      </w:r>
    </w:p>
  </w:footnote>
  <w:footnote w:id="3">
    <w:p w:rsidR="00900FA6" w:rsidRDefault="00900FA6" w:rsidP="00D82E43">
      <w:pPr>
        <w:pStyle w:val="FootnoteText"/>
        <w:rPr>
          <w:i/>
          <w:lang w:val="en-US"/>
        </w:rPr>
      </w:pPr>
      <w:r>
        <w:rPr>
          <w:rStyle w:val="FootnoteReference"/>
        </w:rPr>
        <w:footnoteRef/>
      </w:r>
      <w:r>
        <w:t xml:space="preserve"> </w:t>
      </w:r>
      <w:r>
        <w:rPr>
          <w:lang w:val="en-US"/>
        </w:rPr>
        <w:t xml:space="preserve">In </w:t>
      </w:r>
      <w:r w:rsidRPr="00D82E43">
        <w:rPr>
          <w:i/>
          <w:lang w:val="en-US"/>
        </w:rPr>
        <w:t xml:space="preserve">Occupiers of Skurweplaas 353 JR v PPC Aggregate Quarries (Pty) Ltd </w:t>
      </w:r>
      <w:r w:rsidRPr="00D82E43">
        <w:rPr>
          <w:lang w:val="en-US"/>
        </w:rPr>
        <w:t>(2012 4 BCLR 382 (CC)</w:t>
      </w:r>
      <w:r>
        <w:rPr>
          <w:lang w:val="en-US"/>
        </w:rPr>
        <w:t xml:space="preserve"> the court was critical of the citation of the respondents as the “</w:t>
      </w:r>
      <w:r w:rsidRPr="000774C7">
        <w:rPr>
          <w:i/>
          <w:lang w:val="en-US"/>
        </w:rPr>
        <w:t xml:space="preserve">people </w:t>
      </w:r>
      <w:r w:rsidRPr="00244B19">
        <w:rPr>
          <w:i/>
          <w:lang w:val="en-US"/>
        </w:rPr>
        <w:t xml:space="preserve">who intend invading the Remaining Extent of the Farm </w:t>
      </w:r>
      <w:r>
        <w:rPr>
          <w:i/>
          <w:lang w:val="en-US"/>
        </w:rPr>
        <w:t xml:space="preserve">… </w:t>
      </w:r>
      <w:r w:rsidRPr="00244B19">
        <w:rPr>
          <w:lang w:val="en-US"/>
        </w:rPr>
        <w:t>" and</w:t>
      </w:r>
      <w:r>
        <w:rPr>
          <w:lang w:val="en-US"/>
        </w:rPr>
        <w:t xml:space="preserve"> the "</w:t>
      </w:r>
      <w:r w:rsidRPr="00244B19">
        <w:rPr>
          <w:lang w:val="en-US"/>
        </w:rPr>
        <w:t xml:space="preserve"> </w:t>
      </w:r>
      <w:r w:rsidRPr="00244B19">
        <w:rPr>
          <w:i/>
          <w:lang w:val="en-US"/>
        </w:rPr>
        <w:t xml:space="preserve">unknown people who invaded the Remaining Extent of the Farm </w:t>
      </w:r>
      <w:r>
        <w:rPr>
          <w:i/>
          <w:lang w:val="en-US"/>
        </w:rPr>
        <w:t xml:space="preserve">… </w:t>
      </w:r>
    </w:p>
    <w:p w:rsidR="00900FA6" w:rsidRDefault="00900FA6" w:rsidP="00D82E43">
      <w:pPr>
        <w:pStyle w:val="FootnoteText"/>
        <w:rPr>
          <w:lang w:val="en-US"/>
        </w:rPr>
      </w:pPr>
    </w:p>
    <w:p w:rsidR="00900FA6" w:rsidRDefault="00900FA6" w:rsidP="00D82E43">
      <w:pPr>
        <w:pStyle w:val="FootnoteText"/>
        <w:rPr>
          <w:lang w:val="en-US"/>
        </w:rPr>
      </w:pPr>
      <w:r>
        <w:rPr>
          <w:lang w:val="en-US"/>
        </w:rPr>
        <w:t xml:space="preserve">Yacoob J indicated at para 3 that; </w:t>
      </w:r>
    </w:p>
    <w:p w:rsidR="00900FA6" w:rsidRDefault="00900FA6" w:rsidP="00D82E43">
      <w:pPr>
        <w:pStyle w:val="FootnoteText"/>
        <w:rPr>
          <w:lang w:val="en-US"/>
        </w:rPr>
      </w:pPr>
    </w:p>
    <w:p w:rsidR="00900FA6" w:rsidRDefault="00900FA6" w:rsidP="00AF3A64">
      <w:pPr>
        <w:pStyle w:val="FootnoteText"/>
        <w:ind w:left="720"/>
        <w:rPr>
          <w:i/>
          <w:lang w:val="en-US"/>
        </w:rPr>
      </w:pPr>
      <w:r w:rsidRPr="00244B19">
        <w:rPr>
          <w:i/>
          <w:lang w:val="en-US"/>
        </w:rPr>
        <w:t>“This description of human beings is less than satisfactory and cannot pass without comment. It detracts from the humanity of the occupiers, is emotive and judgmental, and comes close to criminalising the occupiers. This form of citation should not be resorted to. A more neutral appellation like "occupiers" might well be more appropriate.”</w:t>
      </w:r>
    </w:p>
    <w:p w:rsidR="00900FA6" w:rsidRDefault="00900FA6" w:rsidP="00D82E43">
      <w:pPr>
        <w:pStyle w:val="FootnoteText"/>
        <w:rPr>
          <w:i/>
          <w:lang w:val="en-US"/>
        </w:rPr>
      </w:pPr>
    </w:p>
    <w:p w:rsidR="008C4115" w:rsidRDefault="00900FA6" w:rsidP="009374E4">
      <w:pPr>
        <w:pStyle w:val="FootnoteText"/>
        <w:rPr>
          <w:lang w:val="en-US"/>
        </w:rPr>
      </w:pPr>
      <w:r>
        <w:rPr>
          <w:lang w:val="en-US"/>
        </w:rPr>
        <w:t xml:space="preserve">Where the applicant is unable to identify a group of persons, who are attempting to come onto land or have already done so, by name but only by description of the activity which is sought to be interdicted (see below) then it remains possible to describe them by reference to their act of intrusion or incursion as suggested by G Muller and </w:t>
      </w:r>
      <w:r w:rsidRPr="00AF3A64">
        <w:rPr>
          <w:lang w:val="en-US"/>
        </w:rPr>
        <w:t>EJ Marais</w:t>
      </w:r>
      <w:r>
        <w:rPr>
          <w:lang w:val="en-US"/>
        </w:rPr>
        <w:t xml:space="preserve"> in   </w:t>
      </w:r>
      <w:r w:rsidRPr="00AF3A64">
        <w:rPr>
          <w:i/>
          <w:lang w:val="en-US"/>
        </w:rPr>
        <w:t>Reconsidering counter-spoliation as a common-law remedy in the eviction context in view of the single-system-of-law principle</w:t>
      </w:r>
      <w:r>
        <w:rPr>
          <w:lang w:val="en-US"/>
        </w:rPr>
        <w:t xml:space="preserve"> </w:t>
      </w:r>
      <w:r w:rsidRPr="00AF3A64">
        <w:rPr>
          <w:lang w:val="en-US"/>
        </w:rPr>
        <w:t>2020 TSAR 103</w:t>
      </w:r>
      <w:r>
        <w:rPr>
          <w:lang w:val="en-US"/>
        </w:rPr>
        <w:t xml:space="preserve"> at 105.</w:t>
      </w:r>
    </w:p>
    <w:p w:rsidR="008C4115" w:rsidRDefault="008C4115" w:rsidP="009374E4">
      <w:pPr>
        <w:pStyle w:val="FootnoteText"/>
        <w:rPr>
          <w:lang w:val="en-US"/>
        </w:rPr>
      </w:pPr>
    </w:p>
    <w:p w:rsidR="00900FA6" w:rsidRPr="009374E4" w:rsidRDefault="00900FA6" w:rsidP="009374E4">
      <w:pPr>
        <w:pStyle w:val="FootnoteText"/>
        <w:rPr>
          <w:lang w:val="en-US"/>
        </w:rPr>
      </w:pPr>
      <w:r>
        <w:rPr>
          <w:lang w:val="en-US"/>
        </w:rPr>
        <w:t>The difficulty with using the term “</w:t>
      </w:r>
      <w:r w:rsidRPr="008C4115">
        <w:rPr>
          <w:i/>
          <w:lang w:val="en-US"/>
        </w:rPr>
        <w:t>occupy</w:t>
      </w:r>
      <w:r>
        <w:rPr>
          <w:lang w:val="en-US"/>
        </w:rPr>
        <w:t>”, “</w:t>
      </w:r>
      <w:r w:rsidRPr="000774C7">
        <w:rPr>
          <w:i/>
          <w:lang w:val="en-US"/>
        </w:rPr>
        <w:t>possess</w:t>
      </w:r>
      <w:r>
        <w:rPr>
          <w:lang w:val="en-US"/>
        </w:rPr>
        <w:t xml:space="preserve">” or their derivatives is that they may be construed as self-defining in what may still be uncertain terrain (See below and compare </w:t>
      </w:r>
      <w:r w:rsidRPr="009374E4">
        <w:rPr>
          <w:i/>
          <w:lang w:val="en-US"/>
        </w:rPr>
        <w:t>S</w:t>
      </w:r>
      <w:r>
        <w:rPr>
          <w:i/>
          <w:lang w:val="en-US"/>
        </w:rPr>
        <w:t xml:space="preserve">outh </w:t>
      </w:r>
      <w:r w:rsidRPr="009374E4">
        <w:rPr>
          <w:i/>
          <w:lang w:val="en-US"/>
        </w:rPr>
        <w:t>A</w:t>
      </w:r>
      <w:r>
        <w:rPr>
          <w:i/>
          <w:lang w:val="en-US"/>
        </w:rPr>
        <w:t>frican</w:t>
      </w:r>
      <w:r w:rsidRPr="009374E4">
        <w:rPr>
          <w:i/>
          <w:lang w:val="en-US"/>
        </w:rPr>
        <w:t xml:space="preserve"> Human Rights </w:t>
      </w:r>
      <w:r>
        <w:rPr>
          <w:i/>
          <w:lang w:val="en-US"/>
        </w:rPr>
        <w:t xml:space="preserve">Commission </w:t>
      </w:r>
      <w:r w:rsidRPr="009374E4">
        <w:rPr>
          <w:i/>
          <w:lang w:val="en-US"/>
        </w:rPr>
        <w:t>v City of Cape Town</w:t>
      </w:r>
      <w:r w:rsidRPr="009374E4">
        <w:rPr>
          <w:lang w:val="en-US"/>
        </w:rPr>
        <w:t xml:space="preserve"> 2022 (5) SA 622 (WCC)</w:t>
      </w:r>
      <w:r>
        <w:rPr>
          <w:lang w:val="en-US"/>
        </w:rPr>
        <w:t xml:space="preserve"> at paras 54 and 57) </w:t>
      </w:r>
    </w:p>
    <w:p w:rsidR="00900FA6" w:rsidRPr="00244B19" w:rsidRDefault="00900FA6" w:rsidP="00AF3A64">
      <w:pPr>
        <w:pStyle w:val="FootnoteText"/>
        <w:rPr>
          <w:lang w:val="en-US"/>
        </w:rPr>
      </w:pPr>
    </w:p>
  </w:footnote>
  <w:footnote w:id="4">
    <w:p w:rsidR="00900FA6" w:rsidRPr="00461C48" w:rsidRDefault="00900FA6">
      <w:pPr>
        <w:pStyle w:val="FootnoteText"/>
        <w:rPr>
          <w:lang w:val="en-US"/>
        </w:rPr>
      </w:pPr>
      <w:r>
        <w:rPr>
          <w:rStyle w:val="FootnoteReference"/>
        </w:rPr>
        <w:footnoteRef/>
      </w:r>
      <w:r>
        <w:t xml:space="preserve"> </w:t>
      </w:r>
      <w:r>
        <w:rPr>
          <w:lang w:val="en-US"/>
        </w:rPr>
        <w:t>See Annexure AA1- CaseLines pp 003-29 et sec</w:t>
      </w:r>
    </w:p>
  </w:footnote>
  <w:footnote w:id="5">
    <w:p w:rsidR="00900FA6" w:rsidRPr="00C86150" w:rsidRDefault="00900FA6">
      <w:pPr>
        <w:pStyle w:val="FootnoteText"/>
        <w:rPr>
          <w:lang w:val="en-GB"/>
        </w:rPr>
      </w:pPr>
      <w:r>
        <w:rPr>
          <w:rStyle w:val="FootnoteReference"/>
        </w:rPr>
        <w:footnoteRef/>
      </w:r>
      <w:r>
        <w:t xml:space="preserve"> </w:t>
      </w:r>
      <w:r>
        <w:rPr>
          <w:lang w:val="en-GB"/>
        </w:rPr>
        <w:t xml:space="preserve">There is authority that the provision of temporary shelter or permanent housing must be within reasonable proximity to where an illegal occupies has been living. </w:t>
      </w:r>
    </w:p>
  </w:footnote>
  <w:footnote w:id="6">
    <w:p w:rsidR="00900FA6" w:rsidRPr="00E03FA4" w:rsidRDefault="00900FA6">
      <w:pPr>
        <w:pStyle w:val="FootnoteText"/>
        <w:rPr>
          <w:lang w:val="en-US"/>
        </w:rPr>
      </w:pPr>
      <w:r>
        <w:rPr>
          <w:rStyle w:val="FootnoteReference"/>
        </w:rPr>
        <w:footnoteRef/>
      </w:r>
      <w:r>
        <w:t xml:space="preserve"> Answering Affidavit para 16. CaseLines p 003-6 </w:t>
      </w:r>
    </w:p>
  </w:footnote>
  <w:footnote w:id="7">
    <w:p w:rsidR="00900FA6" w:rsidRPr="00A85A0F" w:rsidRDefault="00900FA6">
      <w:pPr>
        <w:pStyle w:val="FootnoteText"/>
        <w:rPr>
          <w:lang w:val="en-US"/>
        </w:rPr>
      </w:pPr>
      <w:r>
        <w:rPr>
          <w:rStyle w:val="FootnoteReference"/>
        </w:rPr>
        <w:footnoteRef/>
      </w:r>
      <w:r>
        <w:t xml:space="preserve"> </w:t>
      </w:r>
      <w:r>
        <w:rPr>
          <w:lang w:val="en-US"/>
        </w:rPr>
        <w:t>Id para 18. CaseLines p 003-7</w:t>
      </w:r>
    </w:p>
  </w:footnote>
  <w:footnote w:id="8">
    <w:p w:rsidR="00900FA6" w:rsidRPr="00CF2D62" w:rsidRDefault="00900FA6">
      <w:pPr>
        <w:pStyle w:val="FootnoteText"/>
        <w:rPr>
          <w:lang w:val="en-US"/>
        </w:rPr>
      </w:pPr>
      <w:r>
        <w:rPr>
          <w:rStyle w:val="FootnoteReference"/>
        </w:rPr>
        <w:footnoteRef/>
      </w:r>
      <w:r>
        <w:t xml:space="preserve"> </w:t>
      </w:r>
      <w:r>
        <w:rPr>
          <w:lang w:val="en-US"/>
        </w:rPr>
        <w:t xml:space="preserve">There is some cause for concern in relation to four of the twelve. One was born in 1985 while the other three were born in 1980. </w:t>
      </w:r>
    </w:p>
  </w:footnote>
  <w:footnote w:id="9">
    <w:p w:rsidR="00900FA6" w:rsidRPr="00417950" w:rsidRDefault="00900FA6">
      <w:pPr>
        <w:pStyle w:val="FootnoteText"/>
        <w:rPr>
          <w:lang w:val="en-US"/>
        </w:rPr>
      </w:pPr>
      <w:r>
        <w:rPr>
          <w:rStyle w:val="FootnoteReference"/>
        </w:rPr>
        <w:footnoteRef/>
      </w:r>
      <w:r>
        <w:t xml:space="preserve"> </w:t>
      </w:r>
      <w:r>
        <w:rPr>
          <w:lang w:val="en-US"/>
        </w:rPr>
        <w:t>CaseLines p003-29 et sec</w:t>
      </w:r>
    </w:p>
  </w:footnote>
  <w:footnote w:id="10">
    <w:p w:rsidR="00900FA6" w:rsidRPr="003662EF" w:rsidRDefault="00900FA6">
      <w:pPr>
        <w:pStyle w:val="FootnoteText"/>
        <w:rPr>
          <w:lang w:val="en-GB"/>
        </w:rPr>
      </w:pPr>
      <w:r>
        <w:rPr>
          <w:rStyle w:val="FootnoteReference"/>
        </w:rPr>
        <w:footnoteRef/>
      </w:r>
      <w:r>
        <w:t xml:space="preserve"> The seven are </w:t>
      </w:r>
      <w:r>
        <w:rPr>
          <w:lang w:val="en-GB"/>
        </w:rPr>
        <w:t>Thandaxzani Mdletshe, Nomvula Mabizela, Nokubongga Nkosi, Eunice Z Ndebele, MD Madonsela, Bonginkosi Mbingo and Deon Ledonka</w:t>
      </w:r>
    </w:p>
  </w:footnote>
  <w:footnote w:id="11">
    <w:p w:rsidR="00900FA6" w:rsidRPr="00706D4B" w:rsidRDefault="00900FA6">
      <w:pPr>
        <w:pStyle w:val="FootnoteText"/>
        <w:rPr>
          <w:lang w:val="en-US"/>
        </w:rPr>
      </w:pPr>
      <w:r>
        <w:rPr>
          <w:rStyle w:val="FootnoteReference"/>
        </w:rPr>
        <w:footnoteRef/>
      </w:r>
      <w:r>
        <w:t xml:space="preserve"> A</w:t>
      </w:r>
      <w:r w:rsidRPr="00706D4B">
        <w:t>nnexure “</w:t>
      </w:r>
      <w:r w:rsidRPr="00706D4B">
        <w:rPr>
          <w:i/>
        </w:rPr>
        <w:t>TM1</w:t>
      </w:r>
      <w:r w:rsidRPr="00706D4B">
        <w:t>” to the eighth re</w:t>
      </w:r>
      <w:r>
        <w:t>spondents’ answering affidavit</w:t>
      </w:r>
      <w:r w:rsidRPr="00706D4B">
        <w:t xml:space="preserve">   </w:t>
      </w:r>
    </w:p>
  </w:footnote>
  <w:footnote w:id="12">
    <w:p w:rsidR="00900FA6" w:rsidRPr="00766DC3" w:rsidRDefault="00900FA6">
      <w:pPr>
        <w:pStyle w:val="FootnoteText"/>
        <w:rPr>
          <w:lang w:val="en-GB"/>
        </w:rPr>
      </w:pPr>
      <w:r>
        <w:rPr>
          <w:rStyle w:val="FootnoteReference"/>
        </w:rPr>
        <w:footnoteRef/>
      </w:r>
      <w:r>
        <w:t xml:space="preserve"> The court was referring to the interpretation given to similar qualifications to socio-economic rights, in other provisions of the Constitution, in the cases of Mazibuko</w:t>
      </w:r>
      <w:r w:rsidRPr="00766DC3">
        <w:rPr>
          <w:i/>
        </w:rPr>
        <w:t xml:space="preserve"> v City of Johannesburg</w:t>
      </w:r>
      <w:r w:rsidRPr="00766DC3">
        <w:t xml:space="preserve"> [2009] ZACC 28; 2010 (4) SA 1 (CC)</w:t>
      </w:r>
      <w:r>
        <w:t xml:space="preserve"> at para 48 and 49 citing </w:t>
      </w:r>
      <w:r w:rsidRPr="00766DC3">
        <w:rPr>
          <w:i/>
        </w:rPr>
        <w:t xml:space="preserve">Minister of Health v Treatment Action Campaign (No 2) </w:t>
      </w:r>
      <w:r w:rsidRPr="00766DC3">
        <w:t>[2002] ZACC 15; 2002 (5) SA 721 (CC)</w:t>
      </w:r>
      <w:r>
        <w:t xml:space="preserve"> </w:t>
      </w:r>
    </w:p>
  </w:footnote>
  <w:footnote w:id="13">
    <w:p w:rsidR="00900FA6" w:rsidRPr="00A43FE4" w:rsidRDefault="00900FA6">
      <w:pPr>
        <w:pStyle w:val="FootnoteText"/>
        <w:rPr>
          <w:lang w:val="en-GB"/>
        </w:rPr>
      </w:pPr>
      <w:r>
        <w:rPr>
          <w:rStyle w:val="FootnoteReference"/>
        </w:rPr>
        <w:footnoteRef/>
      </w:r>
      <w:r>
        <w:t xml:space="preserve"> </w:t>
      </w:r>
      <w:r w:rsidRPr="00EE2CEE">
        <w:rPr>
          <w:i/>
        </w:rPr>
        <w:t>Thubakgale</w:t>
      </w:r>
      <w:r>
        <w:t xml:space="preserve"> at para 89</w:t>
      </w:r>
    </w:p>
  </w:footnote>
  <w:footnote w:id="14">
    <w:p w:rsidR="00900FA6" w:rsidRPr="00EE2CEE" w:rsidRDefault="00900FA6">
      <w:pPr>
        <w:pStyle w:val="FootnoteText"/>
        <w:rPr>
          <w:lang w:val="en-GB"/>
        </w:rPr>
      </w:pPr>
      <w:r>
        <w:rPr>
          <w:rStyle w:val="FootnoteReference"/>
        </w:rPr>
        <w:footnoteRef/>
      </w:r>
      <w:r>
        <w:t xml:space="preserve"> </w:t>
      </w:r>
      <w:r w:rsidRPr="00EE2CEE">
        <w:rPr>
          <w:i/>
        </w:rPr>
        <w:t xml:space="preserve">Thubakgale </w:t>
      </w:r>
      <w:r>
        <w:t>at para 86</w:t>
      </w:r>
    </w:p>
  </w:footnote>
  <w:footnote w:id="15">
    <w:p w:rsidR="00900FA6" w:rsidRPr="00572B3D" w:rsidRDefault="00900FA6">
      <w:pPr>
        <w:pStyle w:val="FootnoteText"/>
        <w:rPr>
          <w:lang w:val="en-GB"/>
        </w:rPr>
      </w:pPr>
      <w:r>
        <w:rPr>
          <w:rStyle w:val="FootnoteReference"/>
        </w:rPr>
        <w:footnoteRef/>
      </w:r>
      <w:r>
        <w:t xml:space="preserve"> </w:t>
      </w:r>
      <w:r>
        <w:rPr>
          <w:lang w:val="en-GB"/>
        </w:rPr>
        <w:t xml:space="preserve">Relying on </w:t>
      </w:r>
      <w:r w:rsidRPr="00572B3D">
        <w:rPr>
          <w:i/>
          <w:lang w:val="en-GB"/>
        </w:rPr>
        <w:t xml:space="preserve">Mazibuko </w:t>
      </w:r>
    </w:p>
  </w:footnote>
  <w:footnote w:id="16">
    <w:p w:rsidR="00900FA6" w:rsidRPr="00376AF3" w:rsidRDefault="00900FA6">
      <w:pPr>
        <w:pStyle w:val="FootnoteText"/>
        <w:rPr>
          <w:lang w:val="en-GB"/>
        </w:rPr>
      </w:pPr>
      <w:r>
        <w:rPr>
          <w:rStyle w:val="FootnoteReference"/>
        </w:rPr>
        <w:footnoteRef/>
      </w:r>
      <w:r>
        <w:t xml:space="preserve"> </w:t>
      </w:r>
      <w:r>
        <w:rPr>
          <w:lang w:val="en-GB"/>
        </w:rPr>
        <w:t xml:space="preserve">The minority judgment of Majiedt J at para 81 and 89 considered that the case before it went beyond </w:t>
      </w:r>
      <w:r w:rsidRPr="00572B3D">
        <w:rPr>
          <w:i/>
          <w:lang w:val="en-GB"/>
        </w:rPr>
        <w:t>Mazibuko</w:t>
      </w:r>
      <w:r>
        <w:rPr>
          <w:lang w:val="en-GB"/>
        </w:rPr>
        <w:t xml:space="preserve">. </w:t>
      </w:r>
    </w:p>
  </w:footnote>
  <w:footnote w:id="17">
    <w:p w:rsidR="00900FA6" w:rsidRPr="00A72DE9" w:rsidRDefault="00900FA6">
      <w:pPr>
        <w:pStyle w:val="FootnoteText"/>
        <w:rPr>
          <w:lang w:val="en-GB"/>
        </w:rPr>
      </w:pPr>
      <w:r>
        <w:rPr>
          <w:rStyle w:val="FootnoteReference"/>
        </w:rPr>
        <w:footnoteRef/>
      </w:r>
      <w:r>
        <w:t xml:space="preserve"> </w:t>
      </w:r>
      <w:r w:rsidRPr="00507FB7">
        <w:rPr>
          <w:i/>
          <w:lang w:val="en-GB"/>
        </w:rPr>
        <w:t>Thubakgale</w:t>
      </w:r>
      <w:r w:rsidRPr="00507FB7">
        <w:rPr>
          <w:lang w:val="en-GB"/>
        </w:rPr>
        <w:t xml:space="preserve"> </w:t>
      </w:r>
      <w:r>
        <w:rPr>
          <w:lang w:val="en-GB"/>
        </w:rPr>
        <w:t>at para 170</w:t>
      </w:r>
    </w:p>
  </w:footnote>
  <w:footnote w:id="18">
    <w:p w:rsidR="00900FA6" w:rsidRPr="00B95EBE" w:rsidRDefault="00900FA6">
      <w:pPr>
        <w:pStyle w:val="FootnoteText"/>
        <w:rPr>
          <w:lang w:val="en-GB"/>
        </w:rPr>
      </w:pPr>
      <w:r>
        <w:rPr>
          <w:rStyle w:val="FootnoteReference"/>
        </w:rPr>
        <w:footnoteRef/>
      </w:r>
      <w:r>
        <w:t xml:space="preserve"> </w:t>
      </w:r>
      <w:r w:rsidRPr="00507FB7">
        <w:rPr>
          <w:i/>
          <w:lang w:val="en-GB"/>
        </w:rPr>
        <w:t>Thubakgale</w:t>
      </w:r>
      <w:r>
        <w:rPr>
          <w:lang w:val="en-GB"/>
        </w:rPr>
        <w:t xml:space="preserve"> at para 169</w:t>
      </w:r>
    </w:p>
  </w:footnote>
  <w:footnote w:id="19">
    <w:p w:rsidR="00900FA6" w:rsidRPr="00A72DE9" w:rsidRDefault="00900FA6">
      <w:pPr>
        <w:pStyle w:val="FootnoteText"/>
        <w:rPr>
          <w:lang w:val="en-GB"/>
        </w:rPr>
      </w:pPr>
      <w:r>
        <w:rPr>
          <w:rStyle w:val="FootnoteReference"/>
        </w:rPr>
        <w:footnoteRef/>
      </w:r>
      <w:r>
        <w:t xml:space="preserve"> </w:t>
      </w:r>
      <w:r w:rsidRPr="00507FB7">
        <w:rPr>
          <w:i/>
          <w:lang w:val="en-GB"/>
        </w:rPr>
        <w:t>Thubakgale</w:t>
      </w:r>
      <w:r w:rsidRPr="00507FB7">
        <w:rPr>
          <w:lang w:val="en-GB"/>
        </w:rPr>
        <w:t xml:space="preserve"> </w:t>
      </w:r>
      <w:r>
        <w:rPr>
          <w:lang w:val="en-GB"/>
        </w:rPr>
        <w:t xml:space="preserve">at para 193. The other alternative raised by the majority decision at paras 186 and 193 of bringing contempt proceedings against the Municipality for a failure to comply with the High Court order to provide housing by a particular date would only have been possible if the order to provide the houses was competent to begin with. </w:t>
      </w:r>
    </w:p>
  </w:footnote>
  <w:footnote w:id="20">
    <w:p w:rsidR="00900FA6" w:rsidRPr="00672CF5" w:rsidRDefault="00900FA6" w:rsidP="000B22D3">
      <w:pPr>
        <w:pStyle w:val="FootnoteText"/>
        <w:rPr>
          <w:lang w:val="en-GB"/>
        </w:rPr>
      </w:pPr>
      <w:r>
        <w:rPr>
          <w:rStyle w:val="FootnoteReference"/>
        </w:rPr>
        <w:footnoteRef/>
      </w:r>
      <w:r>
        <w:t xml:space="preserve"> </w:t>
      </w:r>
      <w:r w:rsidRPr="000B22D3">
        <w:t>The MEC for the Gauteng Department of Human Settlements disclosed in a written reply to a question tabled in the Provincial Legislature during early August 2022 that 1.2 million people have put their name</w:t>
      </w:r>
      <w:r w:rsidR="000774C7">
        <w:t>s</w:t>
      </w:r>
      <w:r w:rsidRPr="000B22D3">
        <w:t xml:space="preserve"> on the waiting list for RDP housing</w:t>
      </w:r>
      <w:r>
        <w:t xml:space="preserve">; </w:t>
      </w:r>
      <w:r>
        <w:rPr>
          <w:lang w:val="en-GB"/>
        </w:rPr>
        <w:t>256 651 did so between 1996 and 2000. From 2001 to 2010 another 310 637 people put their names down and since 2011 to 2022 a f</w:t>
      </w:r>
      <w:r w:rsidR="006144C6">
        <w:rPr>
          <w:lang w:val="en-GB"/>
        </w:rPr>
        <w:t>urther 696 372 names were added.</w:t>
      </w:r>
    </w:p>
  </w:footnote>
  <w:footnote w:id="21">
    <w:p w:rsidR="00900FA6" w:rsidRPr="00CE7038" w:rsidRDefault="00900FA6" w:rsidP="00CE7038">
      <w:pPr>
        <w:pStyle w:val="FootnoteText"/>
      </w:pPr>
      <w:r>
        <w:rPr>
          <w:rStyle w:val="FootnoteReference"/>
        </w:rPr>
        <w:footnoteRef/>
      </w:r>
      <w:r>
        <w:t xml:space="preserve"> Source: Also the </w:t>
      </w:r>
      <w:r w:rsidRPr="00CE7038">
        <w:t>MEC for the Gauteng Department of Human Settlements</w:t>
      </w:r>
      <w:r>
        <w:t>’</w:t>
      </w:r>
      <w:r w:rsidRPr="00CE7038">
        <w:t xml:space="preserve">   written reply</w:t>
      </w:r>
      <w:r>
        <w:t xml:space="preserve"> of August 2022</w:t>
      </w:r>
    </w:p>
  </w:footnote>
  <w:footnote w:id="22">
    <w:p w:rsidR="00900FA6" w:rsidRDefault="00900FA6"/>
    <w:p w:rsidR="00900FA6" w:rsidRPr="006B6007" w:rsidRDefault="00900FA6">
      <w:pPr>
        <w:pStyle w:val="FootnoteText"/>
        <w:rPr>
          <w:lang w:val="en-GB"/>
        </w:rPr>
      </w:pPr>
    </w:p>
  </w:footnote>
  <w:footnote w:id="23">
    <w:p w:rsidR="00900FA6" w:rsidRPr="002C5DF5" w:rsidRDefault="00900FA6">
      <w:pPr>
        <w:pStyle w:val="FootnoteText"/>
        <w:rPr>
          <w:lang w:val="en-GB"/>
        </w:rPr>
      </w:pPr>
      <w:r>
        <w:rPr>
          <w:rStyle w:val="FootnoteReference"/>
        </w:rPr>
        <w:footnoteRef/>
      </w:r>
      <w:r>
        <w:t xml:space="preserve"> </w:t>
      </w:r>
      <w:r w:rsidRPr="002C5DF5">
        <w:rPr>
          <w:i/>
        </w:rPr>
        <w:t>Thubakgale</w:t>
      </w:r>
      <w:r>
        <w:t xml:space="preserve"> at para 166</w:t>
      </w:r>
    </w:p>
  </w:footnote>
  <w:footnote w:id="24">
    <w:p w:rsidR="00900FA6" w:rsidRPr="00B94E8B" w:rsidRDefault="00900FA6" w:rsidP="00B94E8B">
      <w:pPr>
        <w:pStyle w:val="FootnoteText"/>
      </w:pPr>
      <w:r>
        <w:rPr>
          <w:rStyle w:val="FootnoteReference"/>
        </w:rPr>
        <w:footnoteRef/>
      </w:r>
      <w:r>
        <w:t xml:space="preserve"> </w:t>
      </w:r>
      <w:r w:rsidRPr="00B94E8B">
        <w:rPr>
          <w:i/>
        </w:rPr>
        <w:t>Mazibuko</w:t>
      </w:r>
      <w:r>
        <w:t xml:space="preserve"> at para 67; </w:t>
      </w:r>
      <w:r w:rsidRPr="00B94E8B">
        <w:rPr>
          <w:i/>
        </w:rPr>
        <w:t>Thubakgale</w:t>
      </w:r>
      <w:r>
        <w:rPr>
          <w:i/>
        </w:rPr>
        <w:t xml:space="preserve"> </w:t>
      </w:r>
      <w:r>
        <w:t>at para 17</w:t>
      </w:r>
    </w:p>
  </w:footnote>
  <w:footnote w:id="25">
    <w:p w:rsidR="00900FA6" w:rsidRPr="00030778" w:rsidRDefault="00900FA6" w:rsidP="00030778">
      <w:pPr>
        <w:pStyle w:val="FootnoteText"/>
        <w:rPr>
          <w:lang w:val="en-US"/>
        </w:rPr>
      </w:pPr>
      <w:r>
        <w:rPr>
          <w:rStyle w:val="FootnoteReference"/>
        </w:rPr>
        <w:footnoteRef/>
      </w:r>
      <w:r>
        <w:t xml:space="preserve"> </w:t>
      </w:r>
      <w:r>
        <w:rPr>
          <w:lang w:val="en-US"/>
        </w:rPr>
        <w:t>Under common law the underlying principle is that an occupier will be evicted from property if the applicant can show a better right to possession</w:t>
      </w:r>
    </w:p>
  </w:footnote>
  <w:footnote w:id="26">
    <w:p w:rsidR="00250AC1" w:rsidRPr="00250AC1" w:rsidRDefault="00250AC1">
      <w:pPr>
        <w:pStyle w:val="FootnoteText"/>
        <w:rPr>
          <w:lang w:val="en-US"/>
        </w:rPr>
      </w:pPr>
      <w:r>
        <w:rPr>
          <w:rStyle w:val="FootnoteReference"/>
        </w:rPr>
        <w:footnoteRef/>
      </w:r>
      <w:r>
        <w:t xml:space="preserve"> </w:t>
      </w:r>
      <w:r>
        <w:rPr>
          <w:lang w:val="en-US"/>
        </w:rPr>
        <w:t>See under the heading “</w:t>
      </w:r>
      <w:r w:rsidRPr="00250AC1">
        <w:rPr>
          <w:i/>
          <w:lang w:val="en-US"/>
        </w:rPr>
        <w:t>Fi</w:t>
      </w:r>
      <w:r>
        <w:rPr>
          <w:i/>
          <w:lang w:val="en-US"/>
        </w:rPr>
        <w:t>nding</w:t>
      </w:r>
      <w:r w:rsidRPr="00250AC1">
        <w:rPr>
          <w:i/>
          <w:lang w:val="en-US"/>
        </w:rPr>
        <w:t xml:space="preserve"> in respect of the Eighth Responde</w:t>
      </w:r>
      <w:r>
        <w:rPr>
          <w:i/>
          <w:lang w:val="en-US"/>
        </w:rPr>
        <w:t>n</w:t>
      </w:r>
      <w:r w:rsidRPr="00250AC1">
        <w:rPr>
          <w:i/>
          <w:lang w:val="en-US"/>
        </w:rPr>
        <w:t>t</w:t>
      </w:r>
      <w:r>
        <w:rPr>
          <w:i/>
          <w:lang w:val="en-US"/>
        </w:rPr>
        <w:t xml:space="preserve"> Group</w:t>
      </w:r>
      <w:r>
        <w:rPr>
          <w:lang w:val="en-US"/>
        </w:rPr>
        <w:t xml:space="preserve">” </w:t>
      </w:r>
    </w:p>
  </w:footnote>
  <w:footnote w:id="27">
    <w:p w:rsidR="00250AC1" w:rsidRPr="00250AC1" w:rsidRDefault="00250AC1">
      <w:pPr>
        <w:pStyle w:val="FootnoteText"/>
        <w:rPr>
          <w:lang w:val="en-US"/>
        </w:rPr>
      </w:pPr>
      <w:r>
        <w:rPr>
          <w:rStyle w:val="FootnoteReference"/>
        </w:rPr>
        <w:footnoteRef/>
      </w:r>
      <w:r>
        <w:t xml:space="preserve"> </w:t>
      </w:r>
      <w:r>
        <w:rPr>
          <w:lang w:val="en-US"/>
        </w:rPr>
        <w:t xml:space="preserve">See the analysis later of </w:t>
      </w:r>
      <w:r w:rsidRPr="00250AC1">
        <w:rPr>
          <w:i/>
        </w:rPr>
        <w:t>Mbangi &amp; Others v Dobsonville City Council</w:t>
      </w:r>
      <w:r w:rsidRPr="00250AC1">
        <w:t xml:space="preserve"> 1991 (2) SA 330 (W)</w:t>
      </w:r>
      <w:r>
        <w:rPr>
          <w:lang w:val="en-US"/>
        </w:rPr>
        <w:t xml:space="preserve"> which dealt with non-physical resistance on the part of an owner defeating an intruder’s claim of peaceful and undisturbed possession for purposes of the mandament van spolie. </w:t>
      </w:r>
    </w:p>
  </w:footnote>
  <w:footnote w:id="28">
    <w:p w:rsidR="00900FA6" w:rsidRDefault="00900FA6">
      <w:pPr>
        <w:pStyle w:val="FootnoteText"/>
        <w:rPr>
          <w:lang w:val="en-US"/>
        </w:rPr>
      </w:pPr>
      <w:r>
        <w:rPr>
          <w:rStyle w:val="FootnoteReference"/>
        </w:rPr>
        <w:footnoteRef/>
      </w:r>
      <w:r>
        <w:t xml:space="preserve"> </w:t>
      </w:r>
      <w:r>
        <w:rPr>
          <w:lang w:val="en-US"/>
        </w:rPr>
        <w:t>Sections 26(1) and (2) read:</w:t>
      </w:r>
    </w:p>
    <w:p w:rsidR="00900FA6" w:rsidRPr="00813413" w:rsidRDefault="00900FA6" w:rsidP="00813413">
      <w:pPr>
        <w:pStyle w:val="FootnoteText"/>
        <w:rPr>
          <w:i/>
          <w:u w:val="single"/>
          <w:lang w:val="en-US"/>
        </w:rPr>
      </w:pPr>
      <w:r>
        <w:rPr>
          <w:lang w:val="en-US"/>
        </w:rPr>
        <w:tab/>
      </w:r>
      <w:r w:rsidRPr="00813413">
        <w:rPr>
          <w:i/>
          <w:u w:val="single"/>
          <w:lang w:val="en-US"/>
        </w:rPr>
        <w:t>Housing</w:t>
      </w:r>
    </w:p>
    <w:p w:rsidR="00900FA6" w:rsidRPr="00813413" w:rsidRDefault="00900FA6" w:rsidP="00813413">
      <w:pPr>
        <w:pStyle w:val="FootnoteText"/>
        <w:ind w:firstLine="720"/>
        <w:rPr>
          <w:i/>
          <w:lang w:val="en-US"/>
        </w:rPr>
      </w:pPr>
      <w:r w:rsidRPr="00813413">
        <w:rPr>
          <w:i/>
          <w:lang w:val="en-US"/>
        </w:rPr>
        <w:t>(1) Everyone has the right to have access to adequate housing.</w:t>
      </w:r>
    </w:p>
    <w:p w:rsidR="00900FA6" w:rsidRDefault="00900FA6" w:rsidP="00813413">
      <w:pPr>
        <w:pStyle w:val="FootnoteText"/>
        <w:ind w:left="720"/>
        <w:rPr>
          <w:i/>
          <w:lang w:val="en-US"/>
        </w:rPr>
      </w:pPr>
      <w:r w:rsidRPr="00813413">
        <w:rPr>
          <w:i/>
          <w:lang w:val="en-US"/>
        </w:rPr>
        <w:t>(2) The state must take reasonable legislative and other measures, within its available resources, to achieve the progressive realisation of this right.</w:t>
      </w:r>
      <w:r w:rsidRPr="00813413">
        <w:rPr>
          <w:i/>
          <w:lang w:val="en-US"/>
        </w:rPr>
        <w:cr/>
      </w:r>
    </w:p>
    <w:p w:rsidR="00900FA6" w:rsidRPr="00915D06" w:rsidRDefault="00900FA6" w:rsidP="00915D06">
      <w:pPr>
        <w:pStyle w:val="FootnoteText"/>
        <w:rPr>
          <w:lang w:val="en-US"/>
        </w:rPr>
      </w:pPr>
      <w:r w:rsidRPr="00915D06">
        <w:rPr>
          <w:lang w:val="en-US"/>
        </w:rPr>
        <w:t xml:space="preserve">  </w:t>
      </w:r>
      <w:r>
        <w:rPr>
          <w:lang w:val="en-US"/>
        </w:rPr>
        <w:t xml:space="preserve">   </w:t>
      </w:r>
      <w:r w:rsidRPr="00915D06">
        <w:rPr>
          <w:lang w:val="en-US"/>
        </w:rPr>
        <w:t>Section 25(5)</w:t>
      </w:r>
    </w:p>
    <w:p w:rsidR="00900FA6" w:rsidRPr="00915D06" w:rsidRDefault="00900FA6" w:rsidP="00915D06">
      <w:pPr>
        <w:pStyle w:val="FootnoteText"/>
        <w:rPr>
          <w:i/>
          <w:u w:val="single"/>
          <w:lang w:val="en-US"/>
        </w:rPr>
      </w:pPr>
      <w:r>
        <w:rPr>
          <w:i/>
          <w:lang w:val="en-US"/>
        </w:rPr>
        <w:tab/>
      </w:r>
      <w:r w:rsidRPr="00915D06">
        <w:rPr>
          <w:i/>
          <w:u w:val="single"/>
          <w:lang w:val="en-US"/>
        </w:rPr>
        <w:t>Property</w:t>
      </w:r>
    </w:p>
    <w:p w:rsidR="00900FA6" w:rsidRPr="00915D06" w:rsidRDefault="00900FA6" w:rsidP="00915D06">
      <w:pPr>
        <w:pStyle w:val="FootnoteText"/>
        <w:ind w:left="720"/>
        <w:rPr>
          <w:i/>
          <w:lang w:val="en-US"/>
        </w:rPr>
      </w:pPr>
      <w:r w:rsidRPr="00915D06">
        <w:rPr>
          <w:i/>
          <w:lang w:val="en-US"/>
        </w:rPr>
        <w:t>(5) The state must take reasonable legislative and other measures, wit</w:t>
      </w:r>
      <w:r>
        <w:rPr>
          <w:i/>
          <w:lang w:val="en-US"/>
        </w:rPr>
        <w:t xml:space="preserve">hin its available resources, to </w:t>
      </w:r>
      <w:r w:rsidRPr="00915D06">
        <w:rPr>
          <w:i/>
          <w:lang w:val="en-US"/>
        </w:rPr>
        <w:t>foster conditions which enable citizens</w:t>
      </w:r>
      <w:r>
        <w:rPr>
          <w:i/>
          <w:lang w:val="en-US"/>
        </w:rPr>
        <w:t xml:space="preserve"> </w:t>
      </w:r>
      <w:r w:rsidRPr="00915D06">
        <w:rPr>
          <w:i/>
          <w:lang w:val="en-US"/>
        </w:rPr>
        <w:t>to gain access to land on an equitable basis.</w:t>
      </w:r>
    </w:p>
  </w:footnote>
  <w:footnote w:id="29">
    <w:p w:rsidR="00900FA6" w:rsidRDefault="00900FA6" w:rsidP="00915D06">
      <w:pPr>
        <w:pStyle w:val="FootnoteText"/>
        <w:rPr>
          <w:lang w:val="en-US"/>
        </w:rPr>
      </w:pPr>
      <w:r>
        <w:rPr>
          <w:rStyle w:val="FootnoteReference"/>
        </w:rPr>
        <w:footnoteRef/>
      </w:r>
      <w:r>
        <w:t xml:space="preserve"> </w:t>
      </w:r>
      <w:r>
        <w:rPr>
          <w:lang w:val="en-US"/>
        </w:rPr>
        <w:t xml:space="preserve">Section 25(1) </w:t>
      </w:r>
    </w:p>
    <w:p w:rsidR="00900FA6" w:rsidRPr="00915D06" w:rsidRDefault="00900FA6" w:rsidP="00915D06">
      <w:pPr>
        <w:pStyle w:val="FootnoteText"/>
        <w:ind w:firstLine="720"/>
        <w:rPr>
          <w:i/>
          <w:u w:val="single"/>
          <w:lang w:val="en-US"/>
        </w:rPr>
      </w:pPr>
      <w:r w:rsidRPr="00915D06">
        <w:rPr>
          <w:i/>
          <w:u w:val="single"/>
          <w:lang w:val="en-US"/>
        </w:rPr>
        <w:t>Property</w:t>
      </w:r>
    </w:p>
    <w:p w:rsidR="00900FA6" w:rsidRDefault="00900FA6" w:rsidP="00915D06">
      <w:pPr>
        <w:pStyle w:val="FootnoteText"/>
        <w:numPr>
          <w:ilvl w:val="0"/>
          <w:numId w:val="11"/>
        </w:numPr>
        <w:rPr>
          <w:i/>
          <w:lang w:val="en-US"/>
        </w:rPr>
      </w:pPr>
      <w:r w:rsidRPr="00915D06">
        <w:rPr>
          <w:i/>
          <w:lang w:val="en-US"/>
        </w:rPr>
        <w:t>No one may be deprived of property except in terms of law of general application, and no law may permit arbitrary deprivation of property.</w:t>
      </w:r>
      <w:r w:rsidRPr="00915D06">
        <w:rPr>
          <w:i/>
          <w:lang w:val="en-US"/>
        </w:rPr>
        <w:cr/>
      </w:r>
    </w:p>
    <w:p w:rsidR="00900FA6" w:rsidRPr="00915D06" w:rsidRDefault="00900FA6" w:rsidP="00915D06">
      <w:pPr>
        <w:pStyle w:val="FootnoteText"/>
        <w:rPr>
          <w:lang w:val="en-US"/>
        </w:rPr>
      </w:pPr>
      <w:r w:rsidRPr="00915D06">
        <w:rPr>
          <w:lang w:val="en-US"/>
        </w:rPr>
        <w:t xml:space="preserve">    </w:t>
      </w:r>
      <w:r>
        <w:rPr>
          <w:lang w:val="en-US"/>
        </w:rPr>
        <w:t xml:space="preserve">  </w:t>
      </w:r>
      <w:r w:rsidRPr="00915D06">
        <w:rPr>
          <w:lang w:val="en-US"/>
        </w:rPr>
        <w:t>Section 26(3)</w:t>
      </w:r>
    </w:p>
    <w:p w:rsidR="00900FA6" w:rsidRPr="00915D06" w:rsidRDefault="00900FA6" w:rsidP="00915D06">
      <w:pPr>
        <w:pStyle w:val="FootnoteText"/>
        <w:rPr>
          <w:i/>
          <w:u w:val="single"/>
          <w:lang w:val="en-US"/>
        </w:rPr>
      </w:pPr>
      <w:r>
        <w:rPr>
          <w:i/>
          <w:lang w:val="en-US"/>
        </w:rPr>
        <w:tab/>
      </w:r>
      <w:r w:rsidRPr="00915D06">
        <w:rPr>
          <w:i/>
          <w:u w:val="single"/>
          <w:lang w:val="en-US"/>
        </w:rPr>
        <w:t>Housing</w:t>
      </w:r>
    </w:p>
    <w:p w:rsidR="00900FA6" w:rsidRPr="00915D06" w:rsidRDefault="00900FA6" w:rsidP="00915D06">
      <w:pPr>
        <w:pStyle w:val="FootnoteText"/>
        <w:ind w:left="720"/>
        <w:rPr>
          <w:i/>
          <w:lang w:val="en-US"/>
        </w:rPr>
      </w:pPr>
      <w:r w:rsidRPr="00915D06">
        <w:rPr>
          <w:i/>
          <w:lang w:val="en-US"/>
        </w:rPr>
        <w:t>(3) No one may be evicted from their home, or have their home demolished, without an order of court made after considering all the relevant</w:t>
      </w:r>
      <w:r>
        <w:rPr>
          <w:i/>
          <w:lang w:val="en-US"/>
        </w:rPr>
        <w:t xml:space="preserve"> </w:t>
      </w:r>
      <w:r w:rsidRPr="00915D06">
        <w:rPr>
          <w:i/>
          <w:lang w:val="en-US"/>
        </w:rPr>
        <w:t>circumstances. No legislation may permit arbitrary evictions.</w:t>
      </w:r>
      <w:r w:rsidRPr="00915D06">
        <w:rPr>
          <w:i/>
          <w:lang w:val="en-US"/>
        </w:rPr>
        <w:cr/>
      </w:r>
    </w:p>
  </w:footnote>
  <w:footnote w:id="30">
    <w:p w:rsidR="00900FA6" w:rsidRPr="007B0AE6" w:rsidRDefault="00900FA6">
      <w:pPr>
        <w:pStyle w:val="FootnoteText"/>
        <w:rPr>
          <w:lang w:val="en-GB"/>
        </w:rPr>
      </w:pPr>
      <w:r>
        <w:rPr>
          <w:rStyle w:val="FootnoteReference"/>
        </w:rPr>
        <w:footnoteRef/>
      </w:r>
      <w:r>
        <w:t xml:space="preserve"> </w:t>
      </w:r>
      <w:r>
        <w:rPr>
          <w:lang w:val="en-GB"/>
        </w:rPr>
        <w:t>See s 25(5) in respect of property, s26(2) for housing, s 27(2) for health care, food, water and social security. Compare ss 29(1) and (2) in respect of education</w:t>
      </w:r>
    </w:p>
  </w:footnote>
  <w:footnote w:id="31">
    <w:p w:rsidR="00250AC1" w:rsidRPr="00250AC1" w:rsidRDefault="00250AC1">
      <w:pPr>
        <w:pStyle w:val="FootnoteText"/>
        <w:rPr>
          <w:lang w:val="en-US"/>
        </w:rPr>
      </w:pPr>
      <w:r>
        <w:rPr>
          <w:rStyle w:val="FootnoteReference"/>
        </w:rPr>
        <w:footnoteRef/>
      </w:r>
      <w:r>
        <w:t xml:space="preserve"> </w:t>
      </w:r>
      <w:r>
        <w:rPr>
          <w:lang w:val="en-US"/>
        </w:rPr>
        <w:t>See the specific provisions of the Constitution mentioned earlier</w:t>
      </w:r>
    </w:p>
  </w:footnote>
  <w:footnote w:id="32">
    <w:p w:rsidR="00900FA6" w:rsidRPr="00834415" w:rsidRDefault="00900FA6">
      <w:pPr>
        <w:pStyle w:val="FootnoteText"/>
        <w:rPr>
          <w:lang w:val="en-GB"/>
        </w:rPr>
      </w:pPr>
      <w:r>
        <w:rPr>
          <w:rStyle w:val="FootnoteReference"/>
        </w:rPr>
        <w:footnoteRef/>
      </w:r>
      <w:r>
        <w:t xml:space="preserve"> </w:t>
      </w:r>
      <w:r>
        <w:rPr>
          <w:lang w:val="en-GB"/>
        </w:rPr>
        <w:t>See also para 15 and 39</w:t>
      </w:r>
    </w:p>
  </w:footnote>
  <w:footnote w:id="33">
    <w:p w:rsidR="00900FA6" w:rsidRPr="00713E28" w:rsidRDefault="00900FA6" w:rsidP="00713E28">
      <w:pPr>
        <w:pStyle w:val="FootnoteText"/>
      </w:pPr>
      <w:r>
        <w:rPr>
          <w:rStyle w:val="FootnoteReference"/>
        </w:rPr>
        <w:footnoteRef/>
      </w:r>
      <w:r>
        <w:t xml:space="preserve"> Section 5 of PIE does not appear to apply in the case of State-owned land</w:t>
      </w:r>
      <w:r w:rsidRPr="00713E28">
        <w:t>.</w:t>
      </w:r>
    </w:p>
  </w:footnote>
  <w:footnote w:id="34">
    <w:p w:rsidR="00900FA6" w:rsidRPr="00AC67A8" w:rsidRDefault="00900FA6" w:rsidP="00A42D53">
      <w:pPr>
        <w:pStyle w:val="FootnoteText"/>
      </w:pPr>
      <w:r>
        <w:rPr>
          <w:rStyle w:val="FootnoteReference"/>
        </w:rPr>
        <w:footnoteRef/>
      </w:r>
      <w:r>
        <w:t xml:space="preserve"> In the present case i</w:t>
      </w:r>
      <w:r w:rsidRPr="00AC67A8">
        <w:t>t took</w:t>
      </w:r>
      <w:r>
        <w:t xml:space="preserve"> some three months </w:t>
      </w:r>
      <w:r w:rsidRPr="00AC67A8">
        <w:t xml:space="preserve">despite </w:t>
      </w:r>
      <w:r>
        <w:t xml:space="preserve">the original order having required </w:t>
      </w:r>
      <w:r w:rsidR="009C7E27">
        <w:t xml:space="preserve">the identification of affected respondents </w:t>
      </w:r>
    </w:p>
  </w:footnote>
  <w:footnote w:id="35">
    <w:p w:rsidR="00900FA6" w:rsidRDefault="00900FA6">
      <w:pPr>
        <w:pStyle w:val="FootnoteText"/>
        <w:rPr>
          <w:lang w:val="en-GB"/>
        </w:rPr>
      </w:pPr>
      <w:r>
        <w:rPr>
          <w:rStyle w:val="FootnoteReference"/>
        </w:rPr>
        <w:footnoteRef/>
      </w:r>
      <w:r>
        <w:t xml:space="preserve"> </w:t>
      </w:r>
      <w:r>
        <w:rPr>
          <w:lang w:val="en-GB"/>
        </w:rPr>
        <w:t xml:space="preserve">See criticisms levelled by the Constitutional Court and the Supreme Court of Appeal when obliged to make sense of statutes such as the Criminal Procedure Amendment Act regarding minimum sentencing, </w:t>
      </w:r>
      <w:r w:rsidRPr="00A002C0">
        <w:rPr>
          <w:lang w:val="en-GB"/>
        </w:rPr>
        <w:t>the Companies Act and the National Credits Act</w:t>
      </w:r>
      <w:r>
        <w:rPr>
          <w:lang w:val="en-GB"/>
        </w:rPr>
        <w:t xml:space="preserve">. </w:t>
      </w:r>
    </w:p>
    <w:p w:rsidR="00900FA6" w:rsidRDefault="00900FA6">
      <w:pPr>
        <w:pStyle w:val="FootnoteText"/>
        <w:rPr>
          <w:lang w:val="en-GB"/>
        </w:rPr>
      </w:pPr>
    </w:p>
    <w:p w:rsidR="00900FA6" w:rsidRDefault="00900FA6">
      <w:pPr>
        <w:pStyle w:val="FootnoteText"/>
        <w:rPr>
          <w:lang w:val="en-GB"/>
        </w:rPr>
      </w:pPr>
      <w:r>
        <w:rPr>
          <w:lang w:val="en-GB"/>
        </w:rPr>
        <w:t>I</w:t>
      </w:r>
      <w:r w:rsidRPr="005E63A1">
        <w:rPr>
          <w:lang w:val="en-GB"/>
        </w:rPr>
        <w:t xml:space="preserve">n </w:t>
      </w:r>
      <w:r w:rsidRPr="005E63A1">
        <w:rPr>
          <w:i/>
          <w:lang w:val="en-GB"/>
        </w:rPr>
        <w:t>National Credit Regulator v Opperman and Others</w:t>
      </w:r>
      <w:r w:rsidRPr="005E63A1">
        <w:rPr>
          <w:lang w:val="en-GB"/>
        </w:rPr>
        <w:t xml:space="preserve"> 2013 (2) SA 1 (CC)</w:t>
      </w:r>
      <w:r>
        <w:rPr>
          <w:lang w:val="en-GB"/>
        </w:rPr>
        <w:t xml:space="preserve">, which involved the interpretation of </w:t>
      </w:r>
      <w:r w:rsidRPr="005E63A1">
        <w:rPr>
          <w:lang w:val="en-GB"/>
        </w:rPr>
        <w:t>s89 (5) of the</w:t>
      </w:r>
      <w:r>
        <w:rPr>
          <w:lang w:val="en-GB"/>
        </w:rPr>
        <w:t xml:space="preserve"> National Credit Act 34 of 2005, Cameron J in a minority judgment expressed the following in para 105:   </w:t>
      </w:r>
    </w:p>
    <w:p w:rsidR="00900FA6" w:rsidRPr="005E63A1" w:rsidRDefault="00900FA6" w:rsidP="005E63A1">
      <w:pPr>
        <w:pStyle w:val="FootnoteText"/>
        <w:ind w:left="720"/>
        <w:rPr>
          <w:i/>
          <w:lang w:val="en-GB"/>
        </w:rPr>
      </w:pPr>
      <w:r w:rsidRPr="005E63A1">
        <w:rPr>
          <w:i/>
          <w:lang w:val="en-GB"/>
        </w:rPr>
        <w:t>“But even if constitutionally impermissible vagueness is not the result, then it seems there is little constitutional purpose in examining alternative meanings that will result in unconstitutionality or depriving the provision of the purpose for which it seems to have been enacted. There is then no particular constitutional imperative to squeeze a meaning from the provision. Rather, we must accept the words of the provision for what they say, even at the cost of accepting that the provision is ineffectual. It is better, in my view, to acknowledge the drafting error, and to leave Parliament to correct it</w:t>
      </w:r>
      <w:r>
        <w:rPr>
          <w:i/>
          <w:lang w:val="en-GB"/>
        </w:rPr>
        <w:t xml:space="preserve">”. </w:t>
      </w:r>
    </w:p>
  </w:footnote>
  <w:footnote w:id="36">
    <w:p w:rsidR="00900FA6" w:rsidRDefault="00900FA6" w:rsidP="0030658E">
      <w:pPr>
        <w:pStyle w:val="FootnoteText"/>
      </w:pPr>
      <w:r>
        <w:rPr>
          <w:rStyle w:val="FootnoteReference"/>
        </w:rPr>
        <w:footnoteRef/>
      </w:r>
      <w:r>
        <w:t xml:space="preserve"> The land would have special </w:t>
      </w:r>
      <w:r w:rsidR="00AD0DAF">
        <w:t>significance</w:t>
      </w:r>
      <w:r>
        <w:t xml:space="preserve"> to claimants because of cultural and other deep rooted </w:t>
      </w:r>
      <w:r w:rsidR="000774C7">
        <w:t>attachments</w:t>
      </w:r>
      <w:r>
        <w:t xml:space="preserve"> including the </w:t>
      </w:r>
      <w:r w:rsidR="00AD0DAF">
        <w:t xml:space="preserve">burial sites </w:t>
      </w:r>
      <w:r>
        <w:t xml:space="preserve">of ancestors and more immediate family </w:t>
      </w:r>
      <w:r w:rsidR="00AD0DAF">
        <w:t>members</w:t>
      </w:r>
    </w:p>
    <w:p w:rsidR="00AD0DAF" w:rsidRDefault="00AD0DAF" w:rsidP="0030658E">
      <w:pPr>
        <w:pStyle w:val="FootnoteText"/>
      </w:pPr>
    </w:p>
    <w:p w:rsidR="00900FA6" w:rsidRPr="004415D6" w:rsidRDefault="00900FA6" w:rsidP="0030658E">
      <w:pPr>
        <w:pStyle w:val="FootnoteText"/>
      </w:pPr>
      <w:r>
        <w:t>See</w:t>
      </w:r>
      <w:r w:rsidRPr="00F1453F">
        <w:rPr>
          <w:i/>
          <w:lang w:val="en-GB"/>
        </w:rPr>
        <w:t xml:space="preserve"> </w:t>
      </w:r>
      <w:r w:rsidRPr="004415D6">
        <w:rPr>
          <w:i/>
          <w:lang w:val="en-GB"/>
        </w:rPr>
        <w:t>Land Access Movement of South Africa and Others v Chairperson of the National Council of Provinces and Others</w:t>
      </w:r>
      <w:r w:rsidRPr="004415D6">
        <w:rPr>
          <w:lang w:val="en-GB"/>
        </w:rPr>
        <w:t xml:space="preserve"> 2016 (5) SA 635 (CC); 2016 (10) BCLR 1277 at para 82 (LAMOSA 1</w:t>
      </w:r>
      <w:r>
        <w:t xml:space="preserve">) where the legislature was afforded two years to reintroduce the Bill. Parliament’s failure to meet the time afforded resulted in LAMOSA 2 declaring the Act unconstitutional. See </w:t>
      </w:r>
      <w:r w:rsidRPr="004415D6">
        <w:rPr>
          <w:i/>
          <w:lang w:val="en-GB"/>
        </w:rPr>
        <w:t>National Assembly and Another v Land Access Movement of South Africa and Others</w:t>
      </w:r>
      <w:r w:rsidRPr="004415D6">
        <w:rPr>
          <w:lang w:val="en-GB"/>
        </w:rPr>
        <w:t xml:space="preserve"> 2019 (6) SA 568 (CC); 2019 (5) BCLR 619</w:t>
      </w:r>
      <w:r>
        <w:rPr>
          <w:lang w:val="en-GB"/>
        </w:rPr>
        <w:t xml:space="preserve">. </w:t>
      </w:r>
      <w:r>
        <w:t>After that a private members Bill was laid but not pursued</w:t>
      </w:r>
      <w:r w:rsidRPr="004415D6">
        <w:rPr>
          <w:lang w:val="en-GB"/>
        </w:rPr>
        <w:t xml:space="preserve">. See generally </w:t>
      </w:r>
      <w:r w:rsidRPr="004415D6">
        <w:rPr>
          <w:i/>
          <w:lang w:val="en-GB"/>
        </w:rPr>
        <w:t>Farao and Another v Regional Land Claims Commissioner and Others</w:t>
      </w:r>
      <w:r w:rsidRPr="004415D6">
        <w:rPr>
          <w:lang w:val="en-GB"/>
        </w:rPr>
        <w:t xml:space="preserve"> [2020] ZALCC 16 at paras 3 to 6</w:t>
      </w:r>
    </w:p>
    <w:p w:rsidR="00900FA6" w:rsidRDefault="00900FA6">
      <w:pPr>
        <w:pStyle w:val="FootnoteText"/>
        <w:rPr>
          <w:lang w:val="en-US"/>
        </w:rPr>
      </w:pPr>
    </w:p>
    <w:p w:rsidR="00900FA6" w:rsidRDefault="00900FA6">
      <w:pPr>
        <w:pStyle w:val="FootnoteText"/>
        <w:rPr>
          <w:lang w:val="en-US"/>
        </w:rPr>
      </w:pPr>
      <w:r>
        <w:rPr>
          <w:lang w:val="en-US"/>
        </w:rPr>
        <w:t>In terms of the Restitution of Land Rights Act 22 of 1994 (“</w:t>
      </w:r>
      <w:r w:rsidRPr="000774C7">
        <w:rPr>
          <w:i/>
          <w:lang w:val="en-US"/>
        </w:rPr>
        <w:t>the Restitution Act</w:t>
      </w:r>
      <w:r>
        <w:rPr>
          <w:lang w:val="en-US"/>
        </w:rPr>
        <w:t>”) the cut-off date for lodging land claims was 31 De</w:t>
      </w:r>
      <w:r w:rsidR="00AD0DAF">
        <w:rPr>
          <w:lang w:val="en-US"/>
        </w:rPr>
        <w:t>cember 1998</w:t>
      </w:r>
    </w:p>
    <w:p w:rsidR="00900FA6" w:rsidRPr="00354EC1" w:rsidRDefault="00900FA6">
      <w:pPr>
        <w:pStyle w:val="FootnoteText"/>
        <w:rPr>
          <w:lang w:val="en-US"/>
        </w:rPr>
      </w:pPr>
    </w:p>
  </w:footnote>
  <w:footnote w:id="37">
    <w:p w:rsidR="00900FA6" w:rsidRPr="004415D6" w:rsidRDefault="00900FA6">
      <w:pPr>
        <w:pStyle w:val="FootnoteText"/>
      </w:pPr>
      <w:r>
        <w:rPr>
          <w:rStyle w:val="FootnoteReference"/>
        </w:rPr>
        <w:footnoteRef/>
      </w:r>
      <w:r>
        <w:t xml:space="preserve"> </w:t>
      </w:r>
      <w:r>
        <w:rPr>
          <w:lang w:val="en-GB"/>
        </w:rPr>
        <w:t xml:space="preserve">Section 33 of the Restitution Act obliges the court to have regard to all relevant factors including the market value of the land when determining just and equitable compensation. See generally </w:t>
      </w:r>
      <w:r w:rsidRPr="002470C6">
        <w:rPr>
          <w:i/>
          <w:lang w:val="en-GB"/>
        </w:rPr>
        <w:t>Florence v Government of the Republic of South Africa</w:t>
      </w:r>
      <w:r w:rsidRPr="002470C6">
        <w:rPr>
          <w:lang w:val="en-GB"/>
        </w:rPr>
        <w:t xml:space="preserve"> 2014 (6) SA 456 (CC)</w:t>
      </w:r>
    </w:p>
  </w:footnote>
  <w:footnote w:id="38">
    <w:p w:rsidR="00900FA6" w:rsidRPr="009168FD" w:rsidRDefault="00900FA6" w:rsidP="00C904EA">
      <w:pPr>
        <w:pStyle w:val="FootnoteText"/>
      </w:pPr>
      <w:r w:rsidRPr="009168FD">
        <w:rPr>
          <w:rStyle w:val="FootnoteReference"/>
        </w:rPr>
        <w:footnoteRef/>
      </w:r>
      <w:r w:rsidRPr="009168FD">
        <w:t xml:space="preserve"> </w:t>
      </w:r>
      <w:r>
        <w:t>This refers to housing which forms an essential component of the R</w:t>
      </w:r>
      <w:r w:rsidRPr="009168FD">
        <w:t>econstruction and</w:t>
      </w:r>
      <w:r>
        <w:t xml:space="preserve"> Development Programme, an integrated socio-ec</w:t>
      </w:r>
      <w:r w:rsidRPr="009168FD">
        <w:t xml:space="preserve">onomic </w:t>
      </w:r>
      <w:r>
        <w:t>upliftment program introduced in 1994 in order to establish a more equal society after the advent of democracy</w:t>
      </w:r>
    </w:p>
  </w:footnote>
  <w:footnote w:id="39">
    <w:p w:rsidR="00900FA6" w:rsidRDefault="00900FA6">
      <w:pPr>
        <w:pStyle w:val="FootnoteText"/>
      </w:pPr>
      <w:r>
        <w:rPr>
          <w:rStyle w:val="FootnoteReference"/>
        </w:rPr>
        <w:footnoteRef/>
      </w:r>
      <w:r>
        <w:t xml:space="preserve"> Section 1 of PIE defines” </w:t>
      </w:r>
      <w:r>
        <w:rPr>
          <w:i/>
        </w:rPr>
        <w:t>u</w:t>
      </w:r>
      <w:r w:rsidRPr="00AC21AE">
        <w:rPr>
          <w:i/>
        </w:rPr>
        <w:t>nlawful occupier</w:t>
      </w:r>
      <w:r>
        <w:t>” to mean:</w:t>
      </w:r>
    </w:p>
    <w:p w:rsidR="00900FA6" w:rsidRPr="00AC21AE" w:rsidRDefault="00900FA6" w:rsidP="00AC21AE">
      <w:pPr>
        <w:pStyle w:val="FootnoteText"/>
        <w:ind w:left="720"/>
        <w:rPr>
          <w:i/>
        </w:rPr>
      </w:pPr>
      <w:r>
        <w:t>“</w:t>
      </w:r>
      <w:r w:rsidRPr="00AC21AE">
        <w:rPr>
          <w:i/>
        </w:rPr>
        <w:t>a person who occupies land without the express or tacit consent of the owner or person in charge, or without any other right in law to occupy such land, excluding a person who is an occupier in terms of the Extension of Security of Tenure Act, 1997,</w:t>
      </w:r>
    </w:p>
    <w:p w:rsidR="00900FA6" w:rsidRPr="00AC21AE" w:rsidRDefault="00900FA6" w:rsidP="00AC21AE">
      <w:pPr>
        <w:pStyle w:val="FootnoteText"/>
        <w:ind w:left="720"/>
        <w:rPr>
          <w:i/>
        </w:rPr>
      </w:pPr>
      <w:r w:rsidRPr="00AC21AE">
        <w:rPr>
          <w:i/>
        </w:rPr>
        <w:t xml:space="preserve">and excluding …. “ </w:t>
      </w:r>
    </w:p>
    <w:p w:rsidR="00900FA6" w:rsidRDefault="00900FA6" w:rsidP="00AC21AE">
      <w:pPr>
        <w:pStyle w:val="FootnoteText"/>
      </w:pPr>
      <w:r>
        <w:t xml:space="preserve">     </w:t>
      </w:r>
      <w:r w:rsidRPr="0074746D">
        <w:t>In</w:t>
      </w:r>
      <w:r>
        <w:t xml:space="preserve">   </w:t>
      </w:r>
      <w:r w:rsidRPr="006B6309">
        <w:rPr>
          <w:i/>
        </w:rPr>
        <w:t>Barnett v Minister of Land Affairs</w:t>
      </w:r>
      <w:r w:rsidRPr="006B6309">
        <w:t xml:space="preserve"> 2007 (6) SA 313 (SCA)</w:t>
      </w:r>
      <w:r>
        <w:t xml:space="preserve"> at</w:t>
      </w:r>
      <w:r w:rsidRPr="006B6309">
        <w:t xml:space="preserve"> para 38</w:t>
      </w:r>
      <w:r>
        <w:t xml:space="preserve">   the court held that the definition requires “</w:t>
      </w:r>
      <w:r w:rsidRPr="006B6309">
        <w:rPr>
          <w:i/>
        </w:rPr>
        <w:t>an element of regular occupation coupled with some degree of permanence</w:t>
      </w:r>
      <w:r w:rsidRPr="006B6309">
        <w:t xml:space="preserve">.' </w:t>
      </w:r>
    </w:p>
    <w:p w:rsidR="00900FA6" w:rsidRPr="00CC661E" w:rsidRDefault="00900FA6" w:rsidP="00AC21AE">
      <w:pPr>
        <w:pStyle w:val="FootnoteText"/>
        <w:ind w:firstLine="720"/>
        <w:rPr>
          <w:lang w:val="en-US"/>
        </w:rPr>
      </w:pPr>
    </w:p>
  </w:footnote>
  <w:footnote w:id="40">
    <w:p w:rsidR="00900FA6" w:rsidRPr="005868BA" w:rsidRDefault="00900FA6">
      <w:pPr>
        <w:pStyle w:val="FootnoteText"/>
        <w:rPr>
          <w:lang w:val="en-US"/>
        </w:rPr>
      </w:pPr>
      <w:r>
        <w:rPr>
          <w:rStyle w:val="FootnoteReference"/>
        </w:rPr>
        <w:footnoteRef/>
      </w:r>
      <w:r>
        <w:t xml:space="preserve"> </w:t>
      </w:r>
      <w:r>
        <w:rPr>
          <w:lang w:val="en-US"/>
        </w:rPr>
        <w:t xml:space="preserve">Lee &amp; Honore, </w:t>
      </w:r>
      <w:r>
        <w:rPr>
          <w:i/>
          <w:lang w:val="en-US"/>
        </w:rPr>
        <w:t xml:space="preserve">The South African Law of Property, Family Relations and Succession </w:t>
      </w:r>
      <w:r>
        <w:rPr>
          <w:lang w:val="en-US"/>
        </w:rPr>
        <w:t xml:space="preserve">at para 18 refers to trespass as the unlawful </w:t>
      </w:r>
      <w:r>
        <w:rPr>
          <w:i/>
          <w:lang w:val="en-US"/>
        </w:rPr>
        <w:t xml:space="preserve">disturbance </w:t>
      </w:r>
      <w:r>
        <w:rPr>
          <w:lang w:val="en-US"/>
        </w:rPr>
        <w:t xml:space="preserve">of possession whereas spoliation is the unlawful </w:t>
      </w:r>
      <w:r>
        <w:rPr>
          <w:i/>
          <w:lang w:val="en-US"/>
        </w:rPr>
        <w:t xml:space="preserve">deprivation </w:t>
      </w:r>
      <w:r>
        <w:rPr>
          <w:lang w:val="en-US"/>
        </w:rPr>
        <w:t xml:space="preserve">of possession. I do not intend to suggest that trespass always bears this more limited meaning. It is however a convenient distinction for </w:t>
      </w:r>
      <w:r w:rsidR="002129A5">
        <w:rPr>
          <w:lang w:val="en-US"/>
        </w:rPr>
        <w:t>present</w:t>
      </w:r>
      <w:r>
        <w:rPr>
          <w:lang w:val="en-US"/>
        </w:rPr>
        <w:t xml:space="preserve"> purposes.  </w:t>
      </w:r>
      <w:r>
        <w:rPr>
          <w:i/>
          <w:lang w:val="en-US"/>
        </w:rPr>
        <w:t xml:space="preserve"> </w:t>
      </w:r>
      <w:r>
        <w:rPr>
          <w:lang w:val="en-US"/>
        </w:rPr>
        <w:t xml:space="preserve"> </w:t>
      </w:r>
    </w:p>
  </w:footnote>
  <w:footnote w:id="41">
    <w:p w:rsidR="00900FA6" w:rsidRPr="00C461D2" w:rsidRDefault="00900FA6" w:rsidP="003B4F06">
      <w:pPr>
        <w:pStyle w:val="FootnoteText"/>
        <w:rPr>
          <w:lang w:val="en-US"/>
        </w:rPr>
      </w:pPr>
      <w:r>
        <w:rPr>
          <w:rStyle w:val="FootnoteReference"/>
        </w:rPr>
        <w:footnoteRef/>
      </w:r>
      <w:r>
        <w:t xml:space="preserve"> </w:t>
      </w:r>
      <w:r w:rsidRPr="00743574">
        <w:t>[2022] ZAWCHC 173</w:t>
      </w:r>
      <w:r>
        <w:t xml:space="preserve">; </w:t>
      </w:r>
      <w:r w:rsidRPr="00C461D2">
        <w:t>[2022] 4 All SA 475 (WCC)</w:t>
      </w:r>
    </w:p>
  </w:footnote>
  <w:footnote w:id="42">
    <w:p w:rsidR="00992371" w:rsidRPr="00992371" w:rsidRDefault="00992371" w:rsidP="00992371">
      <w:pPr>
        <w:pStyle w:val="FootnoteText"/>
      </w:pPr>
      <w:r>
        <w:rPr>
          <w:rStyle w:val="FootnoteReference"/>
        </w:rPr>
        <w:footnoteRef/>
      </w:r>
      <w:r>
        <w:t xml:space="preserve"> </w:t>
      </w:r>
      <w:r w:rsidR="00491C20">
        <w:rPr>
          <w:i/>
        </w:rPr>
        <w:t xml:space="preserve">Fischer </w:t>
      </w:r>
      <w:r>
        <w:t xml:space="preserve">at para 23 </w:t>
      </w:r>
    </w:p>
  </w:footnote>
  <w:footnote w:id="43">
    <w:p w:rsidR="00900FA6" w:rsidRDefault="00900FA6">
      <w:pPr>
        <w:pStyle w:val="FootnoteText"/>
      </w:pPr>
      <w:r>
        <w:rPr>
          <w:rStyle w:val="FootnoteReference"/>
        </w:rPr>
        <w:footnoteRef/>
      </w:r>
      <w:r>
        <w:t xml:space="preserve">  I</w:t>
      </w:r>
      <w:r w:rsidRPr="00972513">
        <w:t xml:space="preserve">n </w:t>
      </w:r>
      <w:r w:rsidRPr="00972513">
        <w:rPr>
          <w:i/>
        </w:rPr>
        <w:t>Nino Bonino v de Lange</w:t>
      </w:r>
      <w:r>
        <w:t xml:space="preserve"> 1906 T</w:t>
      </w:r>
      <w:r w:rsidRPr="00972513">
        <w:t>S 120</w:t>
      </w:r>
      <w:r>
        <w:t xml:space="preserve"> at 122 the court said</w:t>
      </w:r>
      <w:r w:rsidRPr="00972513">
        <w:t>:</w:t>
      </w:r>
    </w:p>
    <w:p w:rsidR="00900FA6" w:rsidRPr="00972513" w:rsidRDefault="00900FA6" w:rsidP="00972513">
      <w:pPr>
        <w:pStyle w:val="FootnoteText"/>
        <w:ind w:left="720"/>
        <w:rPr>
          <w:i/>
          <w:lang w:val="en-US"/>
        </w:rPr>
      </w:pPr>
      <w:r w:rsidRPr="00972513">
        <w:t>"</w:t>
      </w:r>
      <w:r w:rsidRPr="00972513">
        <w:rPr>
          <w:i/>
        </w:rPr>
        <w:t>It is a fundamental principle that no man is allowed to take the law into his own hands; no one is permitted to dispossess another forcibly or wrongfully and against his consent of the possession of property whether movable or immovable. If he does so, the Court will summarily restore the status quo ante, and will do that as a preliminary to any inquiry or investigation into the merits of the dispute."</w:t>
      </w:r>
    </w:p>
  </w:footnote>
  <w:footnote w:id="44">
    <w:p w:rsidR="00900FA6" w:rsidRPr="004A4DE3" w:rsidRDefault="00900FA6">
      <w:pPr>
        <w:pStyle w:val="FootnoteText"/>
        <w:rPr>
          <w:lang w:val="en-US"/>
        </w:rPr>
      </w:pPr>
      <w:r>
        <w:rPr>
          <w:rStyle w:val="FootnoteReference"/>
        </w:rPr>
        <w:footnoteRef/>
      </w:r>
      <w:r>
        <w:t xml:space="preserve"> </w:t>
      </w:r>
      <w:r>
        <w:rPr>
          <w:i/>
          <w:lang w:val="en-US"/>
        </w:rPr>
        <w:t xml:space="preserve">Ivanov v North West Gambling Bard and others </w:t>
      </w:r>
      <w:r w:rsidRPr="004A4DE3">
        <w:rPr>
          <w:lang w:val="en-US"/>
        </w:rPr>
        <w:t>2012 (6) SA 67 (SCA)</w:t>
      </w:r>
    </w:p>
  </w:footnote>
  <w:footnote w:id="45">
    <w:p w:rsidR="00900FA6" w:rsidRPr="004A4DE3" w:rsidRDefault="00900FA6">
      <w:pPr>
        <w:pStyle w:val="FootnoteText"/>
        <w:rPr>
          <w:lang w:val="en-US"/>
        </w:rPr>
      </w:pPr>
      <w:r>
        <w:rPr>
          <w:rStyle w:val="FootnoteReference"/>
        </w:rPr>
        <w:footnoteRef/>
      </w:r>
      <w:r>
        <w:t xml:space="preserve"> </w:t>
      </w:r>
      <w:r w:rsidRPr="004A4DE3">
        <w:rPr>
          <w:i/>
        </w:rPr>
        <w:t>Yeko v Qana</w:t>
      </w:r>
      <w:r>
        <w:t xml:space="preserve"> 1973 (4) SA 735 (A)</w:t>
      </w:r>
    </w:p>
  </w:footnote>
  <w:footnote w:id="46">
    <w:p w:rsidR="00900FA6" w:rsidRDefault="00900FA6">
      <w:pPr>
        <w:pStyle w:val="FootnoteText"/>
        <w:rPr>
          <w:lang w:val="en-US"/>
        </w:rPr>
      </w:pPr>
      <w:r>
        <w:rPr>
          <w:rStyle w:val="FootnoteReference"/>
        </w:rPr>
        <w:footnoteRef/>
      </w:r>
      <w:r>
        <w:t xml:space="preserve"> </w:t>
      </w:r>
      <w:r>
        <w:rPr>
          <w:i/>
          <w:lang w:val="en-US"/>
        </w:rPr>
        <w:t xml:space="preserve">Smit v Saipem </w:t>
      </w:r>
      <w:r>
        <w:rPr>
          <w:lang w:val="en-US"/>
        </w:rPr>
        <w:t xml:space="preserve">1974 (4) SA 918 (A) at 926D-F; LAWSA vol 27 (Things) paras 71, 74 and 75 (authored by Prof. van der Merwe). The then Appellate Division in </w:t>
      </w:r>
      <w:r>
        <w:rPr>
          <w:i/>
          <w:lang w:val="en-US"/>
        </w:rPr>
        <w:t xml:space="preserve">Smit </w:t>
      </w:r>
      <w:r>
        <w:rPr>
          <w:lang w:val="en-US"/>
        </w:rPr>
        <w:t>adopted the traditional view expressed in Voet 41.2.2.  Voet 41.2.2 (Gane translation) reads:</w:t>
      </w:r>
    </w:p>
    <w:p w:rsidR="00900FA6" w:rsidRDefault="00900FA6">
      <w:pPr>
        <w:pStyle w:val="FootnoteText"/>
        <w:rPr>
          <w:i/>
          <w:u w:val="single"/>
          <w:lang w:val="en-US"/>
        </w:rPr>
      </w:pPr>
      <w:r>
        <w:rPr>
          <w:lang w:val="en-US"/>
        </w:rPr>
        <w:tab/>
        <w:t>“</w:t>
      </w:r>
      <w:r>
        <w:rPr>
          <w:i/>
          <w:u w:val="single"/>
          <w:lang w:val="en-US"/>
        </w:rPr>
        <w:t>Possession is a matter of fact, not law</w:t>
      </w:r>
    </w:p>
    <w:p w:rsidR="00900FA6" w:rsidRPr="00227AC8" w:rsidRDefault="00900FA6" w:rsidP="00227AC8">
      <w:pPr>
        <w:pStyle w:val="FootnoteText"/>
        <w:ind w:left="720"/>
        <w:rPr>
          <w:i/>
          <w:lang w:val="en-US"/>
        </w:rPr>
      </w:pPr>
      <w:r>
        <w:rPr>
          <w:lang w:val="en-US"/>
        </w:rPr>
        <w:t xml:space="preserve"> </w:t>
      </w:r>
      <w:r>
        <w:rPr>
          <w:i/>
          <w:lang w:val="en-US"/>
        </w:rPr>
        <w:t xml:space="preserve">Finally ownership is matter of law, but possession matter only of fact. … So on the other hand the form of possession which is in question here is, when regarded in itself, wholly matter of fact, and not of law” </w:t>
      </w:r>
    </w:p>
  </w:footnote>
  <w:footnote w:id="47">
    <w:p w:rsidR="00900FA6" w:rsidRPr="004A4DE3" w:rsidRDefault="00900FA6">
      <w:pPr>
        <w:pStyle w:val="FootnoteText"/>
        <w:rPr>
          <w:lang w:val="en-US"/>
        </w:rPr>
      </w:pPr>
      <w:r>
        <w:rPr>
          <w:rStyle w:val="FootnoteReference"/>
        </w:rPr>
        <w:footnoteRef/>
      </w:r>
      <w:r>
        <w:t xml:space="preserve"> </w:t>
      </w:r>
      <w:r>
        <w:rPr>
          <w:lang w:val="en-US"/>
        </w:rPr>
        <w:t xml:space="preserve">See generally </w:t>
      </w:r>
      <w:r w:rsidRPr="004A4DE3">
        <w:rPr>
          <w:i/>
          <w:lang w:val="en-US"/>
        </w:rPr>
        <w:t>Impala Water Users Association v Lourens NO</w:t>
      </w:r>
      <w:r>
        <w:rPr>
          <w:lang w:val="en-US"/>
        </w:rPr>
        <w:t xml:space="preserve"> 2008 (2) SA 495 (SCA) and </w:t>
      </w:r>
      <w:r w:rsidRPr="00227AC8">
        <w:rPr>
          <w:i/>
          <w:iCs/>
          <w:lang w:val="en-US"/>
        </w:rPr>
        <w:t>Nienaber v Stuckey</w:t>
      </w:r>
      <w:r w:rsidRPr="00227AC8">
        <w:rPr>
          <w:lang w:val="en-US"/>
        </w:rPr>
        <w:t> </w:t>
      </w:r>
      <w:hyperlink r:id="rId1" w:tgtFrame="main" w:history="1">
        <w:r w:rsidRPr="00227AC8">
          <w:rPr>
            <w:rStyle w:val="Hyperlink"/>
            <w:color w:val="000000" w:themeColor="text1"/>
            <w:u w:val="none"/>
            <w:lang w:val="en-US"/>
          </w:rPr>
          <w:t>1946 AD 1049</w:t>
        </w:r>
      </w:hyperlink>
      <w:r w:rsidRPr="00227AC8">
        <w:rPr>
          <w:color w:val="000000" w:themeColor="text1"/>
          <w:lang w:val="en-US"/>
        </w:rPr>
        <w:t> </w:t>
      </w:r>
      <w:r>
        <w:rPr>
          <w:color w:val="000000" w:themeColor="text1"/>
          <w:lang w:val="en-US"/>
        </w:rPr>
        <w:t xml:space="preserve">at </w:t>
      </w:r>
      <w:r w:rsidRPr="00227AC8">
        <w:rPr>
          <w:lang w:val="en-US"/>
        </w:rPr>
        <w:t>1056</w:t>
      </w:r>
    </w:p>
  </w:footnote>
  <w:footnote w:id="48">
    <w:p w:rsidR="00900FA6" w:rsidRPr="004A4DE3" w:rsidRDefault="00900FA6">
      <w:pPr>
        <w:pStyle w:val="FootnoteText"/>
        <w:rPr>
          <w:lang w:val="en-US"/>
        </w:rPr>
      </w:pPr>
      <w:r>
        <w:rPr>
          <w:rStyle w:val="FootnoteReference"/>
        </w:rPr>
        <w:footnoteRef/>
      </w:r>
      <w:r>
        <w:t xml:space="preserve"> </w:t>
      </w:r>
      <w:r w:rsidRPr="004A4DE3">
        <w:rPr>
          <w:i/>
          <w:lang w:val="en-US"/>
        </w:rPr>
        <w:t>Yeko</w:t>
      </w:r>
    </w:p>
  </w:footnote>
  <w:footnote w:id="49">
    <w:p w:rsidR="00900FA6" w:rsidRPr="00603D53" w:rsidRDefault="00900FA6">
      <w:pPr>
        <w:pStyle w:val="FootnoteText"/>
        <w:rPr>
          <w:lang w:val="en-US"/>
        </w:rPr>
      </w:pPr>
      <w:r>
        <w:rPr>
          <w:rStyle w:val="FootnoteReference"/>
        </w:rPr>
        <w:footnoteRef/>
      </w:r>
      <w:r>
        <w:t xml:space="preserve"> </w:t>
      </w:r>
      <w:r>
        <w:rPr>
          <w:i/>
          <w:lang w:val="en-US"/>
        </w:rPr>
        <w:t xml:space="preserve">Silo v Naude </w:t>
      </w:r>
      <w:r>
        <w:rPr>
          <w:lang w:val="en-US"/>
        </w:rPr>
        <w:t>1929 AD 21</w:t>
      </w:r>
    </w:p>
  </w:footnote>
  <w:footnote w:id="50">
    <w:p w:rsidR="00900FA6" w:rsidRPr="00E30978" w:rsidRDefault="00900FA6" w:rsidP="00E30978">
      <w:pPr>
        <w:pStyle w:val="FootnoteText"/>
        <w:rPr>
          <w:lang w:val="en-US"/>
        </w:rPr>
      </w:pPr>
      <w:r>
        <w:rPr>
          <w:rStyle w:val="FootnoteReference"/>
        </w:rPr>
        <w:footnoteRef/>
      </w:r>
      <w:r>
        <w:t xml:space="preserve"> </w:t>
      </w:r>
      <w:r>
        <w:rPr>
          <w:lang w:val="en-US"/>
        </w:rPr>
        <w:t>See also G Muller and EJ Marais “</w:t>
      </w:r>
      <w:r w:rsidRPr="00E30978">
        <w:rPr>
          <w:i/>
          <w:lang w:val="en-US"/>
        </w:rPr>
        <w:t>Reconsidering counter-spoliation as a common-law remedy in the eviction context in view of the single-system-of-law principle</w:t>
      </w:r>
      <w:r>
        <w:rPr>
          <w:i/>
          <w:lang w:val="en-US"/>
        </w:rPr>
        <w:t>”</w:t>
      </w:r>
      <w:r>
        <w:rPr>
          <w:lang w:val="en-US"/>
        </w:rPr>
        <w:t xml:space="preserve"> </w:t>
      </w:r>
      <w:r w:rsidRPr="00E30978">
        <w:rPr>
          <w:lang w:val="en-US"/>
        </w:rPr>
        <w:t>2020 TSAR 103</w:t>
      </w:r>
      <w:r>
        <w:rPr>
          <w:lang w:val="en-US"/>
        </w:rPr>
        <w:t xml:space="preserve"> at 107 para 3.2</w:t>
      </w:r>
    </w:p>
    <w:p w:rsidR="00900FA6" w:rsidRPr="00E30978" w:rsidRDefault="00900FA6" w:rsidP="00E30978">
      <w:pPr>
        <w:pStyle w:val="FootnoteText"/>
        <w:rPr>
          <w:lang w:val="en-US"/>
        </w:rPr>
      </w:pPr>
    </w:p>
  </w:footnote>
  <w:footnote w:id="51">
    <w:p w:rsidR="00900FA6" w:rsidRPr="00C41300" w:rsidRDefault="00900FA6">
      <w:pPr>
        <w:pStyle w:val="FootnoteText"/>
        <w:rPr>
          <w:lang w:val="en-US"/>
        </w:rPr>
      </w:pPr>
      <w:r>
        <w:rPr>
          <w:rStyle w:val="FootnoteReference"/>
        </w:rPr>
        <w:footnoteRef/>
      </w:r>
      <w:r>
        <w:t xml:space="preserve"> </w:t>
      </w:r>
      <w:r>
        <w:rPr>
          <w:lang w:val="en-US"/>
        </w:rPr>
        <w:t xml:space="preserve">At 335H-J. In </w:t>
      </w:r>
      <w:r w:rsidRPr="00C41300">
        <w:rPr>
          <w:i/>
          <w:lang w:val="en-US"/>
        </w:rPr>
        <w:t xml:space="preserve">Burnham </w:t>
      </w:r>
      <w:r>
        <w:rPr>
          <w:lang w:val="en-US"/>
        </w:rPr>
        <w:t>Bristowe J indicated that it was unnecessary in a spoliation</w:t>
      </w:r>
      <w:r w:rsidRPr="00972513">
        <w:rPr>
          <w:lang w:val="en-US"/>
        </w:rPr>
        <w:t xml:space="preserve"> application </w:t>
      </w:r>
      <w:r>
        <w:rPr>
          <w:lang w:val="en-US"/>
        </w:rPr>
        <w:t xml:space="preserve">(then petition) to expressly </w:t>
      </w:r>
      <w:r w:rsidRPr="00972513">
        <w:rPr>
          <w:lang w:val="en-US"/>
        </w:rPr>
        <w:t>alleg</w:t>
      </w:r>
      <w:r>
        <w:rPr>
          <w:lang w:val="en-US"/>
        </w:rPr>
        <w:t xml:space="preserve">e </w:t>
      </w:r>
      <w:r w:rsidRPr="00972513">
        <w:rPr>
          <w:lang w:val="en-US"/>
        </w:rPr>
        <w:t>peaceful and undisturbed possession</w:t>
      </w:r>
      <w:r>
        <w:rPr>
          <w:lang w:val="en-US"/>
        </w:rPr>
        <w:t xml:space="preserve"> as long as </w:t>
      </w:r>
      <w:r w:rsidRPr="00972513">
        <w:rPr>
          <w:lang w:val="en-US"/>
        </w:rPr>
        <w:t>th</w:t>
      </w:r>
      <w:r>
        <w:rPr>
          <w:lang w:val="en-US"/>
        </w:rPr>
        <w:t>is ca</w:t>
      </w:r>
      <w:r w:rsidR="002129A5">
        <w:rPr>
          <w:lang w:val="en-US"/>
        </w:rPr>
        <w:t>n be gathered from the contex</w:t>
      </w:r>
      <w:r>
        <w:rPr>
          <w:lang w:val="en-US"/>
        </w:rPr>
        <w:t xml:space="preserve">t as a whole. </w:t>
      </w:r>
    </w:p>
  </w:footnote>
  <w:footnote w:id="52">
    <w:p w:rsidR="00900FA6" w:rsidRPr="00C41300" w:rsidRDefault="00900FA6">
      <w:pPr>
        <w:pStyle w:val="FootnoteText"/>
        <w:rPr>
          <w:lang w:val="en-US"/>
        </w:rPr>
      </w:pPr>
      <w:r>
        <w:rPr>
          <w:rStyle w:val="FootnoteReference"/>
        </w:rPr>
        <w:footnoteRef/>
      </w:r>
      <w:r>
        <w:t xml:space="preserve"> </w:t>
      </w:r>
      <w:r>
        <w:rPr>
          <w:lang w:val="en-US"/>
        </w:rPr>
        <w:t>At 338A-B</w:t>
      </w:r>
    </w:p>
  </w:footnote>
  <w:footnote w:id="53">
    <w:p w:rsidR="00491C20" w:rsidRPr="00491C20" w:rsidRDefault="00491C20">
      <w:pPr>
        <w:pStyle w:val="FootnoteText"/>
        <w:rPr>
          <w:i/>
          <w:lang w:val="en-US"/>
        </w:rPr>
      </w:pPr>
      <w:r>
        <w:rPr>
          <w:rStyle w:val="FootnoteReference"/>
        </w:rPr>
        <w:footnoteRef/>
      </w:r>
      <w:r>
        <w:t xml:space="preserve"> </w:t>
      </w:r>
      <w:r>
        <w:rPr>
          <w:lang w:val="en-US"/>
        </w:rPr>
        <w:t xml:space="preserve">See footnote 41 </w:t>
      </w:r>
      <w:r w:rsidRPr="00491C20">
        <w:rPr>
          <w:i/>
          <w:lang w:val="en-US"/>
        </w:rPr>
        <w:t>infra</w:t>
      </w:r>
    </w:p>
  </w:footnote>
  <w:footnote w:id="54">
    <w:p w:rsidR="00900FA6" w:rsidRPr="00224C97" w:rsidRDefault="00900FA6">
      <w:pPr>
        <w:pStyle w:val="FootnoteText"/>
        <w:rPr>
          <w:lang w:val="en-US"/>
        </w:rPr>
      </w:pPr>
      <w:r>
        <w:rPr>
          <w:rStyle w:val="FootnoteReference"/>
        </w:rPr>
        <w:footnoteRef/>
      </w:r>
      <w:r>
        <w:t xml:space="preserve"> </w:t>
      </w:r>
      <w:r>
        <w:rPr>
          <w:lang w:val="en-US"/>
        </w:rPr>
        <w:t>At 336E-F</w:t>
      </w:r>
    </w:p>
  </w:footnote>
  <w:footnote w:id="55">
    <w:p w:rsidR="00900FA6" w:rsidRPr="000270F3" w:rsidRDefault="00900FA6">
      <w:pPr>
        <w:pStyle w:val="FootnoteText"/>
        <w:rPr>
          <w:lang w:val="en-US"/>
        </w:rPr>
      </w:pPr>
      <w:r>
        <w:rPr>
          <w:rStyle w:val="FootnoteReference"/>
        </w:rPr>
        <w:footnoteRef/>
      </w:r>
      <w:r>
        <w:t xml:space="preserve"> </w:t>
      </w:r>
      <w:r>
        <w:rPr>
          <w:lang w:val="en-US"/>
        </w:rPr>
        <w:t>At 336C-D</w:t>
      </w:r>
    </w:p>
  </w:footnote>
  <w:footnote w:id="56">
    <w:p w:rsidR="00900FA6" w:rsidRPr="005943FA" w:rsidRDefault="00900FA6">
      <w:pPr>
        <w:pStyle w:val="FootnoteText"/>
        <w:rPr>
          <w:lang w:val="en-US"/>
        </w:rPr>
      </w:pPr>
      <w:r>
        <w:rPr>
          <w:rStyle w:val="FootnoteReference"/>
        </w:rPr>
        <w:footnoteRef/>
      </w:r>
      <w:r>
        <w:t xml:space="preserve"> </w:t>
      </w:r>
      <w:r>
        <w:rPr>
          <w:lang w:val="en-US"/>
        </w:rPr>
        <w:t>At 336D-E</w:t>
      </w:r>
    </w:p>
  </w:footnote>
  <w:footnote w:id="57">
    <w:p w:rsidR="00900FA6" w:rsidRPr="007B7A6E" w:rsidRDefault="00900FA6">
      <w:pPr>
        <w:pStyle w:val="FootnoteText"/>
        <w:rPr>
          <w:lang w:val="en-US"/>
        </w:rPr>
      </w:pPr>
      <w:r>
        <w:rPr>
          <w:rStyle w:val="FootnoteReference"/>
        </w:rPr>
        <w:footnoteRef/>
      </w:r>
      <w:r>
        <w:t xml:space="preserve"> </w:t>
      </w:r>
      <w:r>
        <w:rPr>
          <w:lang w:val="en-US"/>
        </w:rPr>
        <w:t>At 336F-H</w:t>
      </w:r>
    </w:p>
  </w:footnote>
  <w:footnote w:id="58">
    <w:p w:rsidR="00900FA6" w:rsidRPr="007B7A6E" w:rsidRDefault="00900FA6">
      <w:pPr>
        <w:pStyle w:val="FootnoteText"/>
        <w:rPr>
          <w:lang w:val="en-US"/>
        </w:rPr>
      </w:pPr>
      <w:r>
        <w:rPr>
          <w:rStyle w:val="FootnoteReference"/>
        </w:rPr>
        <w:footnoteRef/>
      </w:r>
      <w:r>
        <w:t xml:space="preserve"> </w:t>
      </w:r>
      <w:r>
        <w:rPr>
          <w:lang w:val="en-US"/>
        </w:rPr>
        <w:t>At 336I - 337D</w:t>
      </w:r>
    </w:p>
  </w:footnote>
  <w:footnote w:id="59">
    <w:p w:rsidR="00250AC1" w:rsidRPr="00250AC1" w:rsidRDefault="00250AC1">
      <w:pPr>
        <w:pStyle w:val="FootnoteText"/>
        <w:rPr>
          <w:lang w:val="en-US"/>
        </w:rPr>
      </w:pPr>
      <w:r>
        <w:rPr>
          <w:rStyle w:val="FootnoteReference"/>
        </w:rPr>
        <w:footnoteRef/>
      </w:r>
      <w:r>
        <w:t xml:space="preserve"> </w:t>
      </w:r>
      <w:r>
        <w:rPr>
          <w:lang w:val="en-US"/>
        </w:rPr>
        <w:t>This was the court’s own emphasis</w:t>
      </w:r>
    </w:p>
  </w:footnote>
  <w:footnote w:id="60">
    <w:p w:rsidR="00900FA6" w:rsidRDefault="00900FA6" w:rsidP="002129A5">
      <w:pPr>
        <w:rPr>
          <w:rFonts w:asciiTheme="minorHAnsi" w:hAnsiTheme="minorHAnsi" w:cstheme="minorHAnsi"/>
          <w:sz w:val="20"/>
        </w:rPr>
      </w:pPr>
      <w:r>
        <w:rPr>
          <w:rStyle w:val="FootnoteReference"/>
        </w:rPr>
        <w:footnoteRef/>
      </w:r>
      <w:r>
        <w:t xml:space="preserve"> </w:t>
      </w:r>
      <w:r w:rsidRPr="002129A5">
        <w:rPr>
          <w:rFonts w:asciiTheme="minorHAnsi" w:hAnsiTheme="minorHAnsi" w:cstheme="minorHAnsi"/>
          <w:sz w:val="20"/>
          <w:lang w:val="en-US"/>
        </w:rPr>
        <w:t>There is disagreement among academic writers about whether the object of the mandament is also “</w:t>
      </w:r>
      <w:r w:rsidRPr="002129A5">
        <w:rPr>
          <w:rFonts w:asciiTheme="minorHAnsi" w:hAnsiTheme="minorHAnsi" w:cstheme="minorHAnsi"/>
          <w:i/>
          <w:sz w:val="20"/>
          <w:lang w:val="en-US"/>
        </w:rPr>
        <w:t xml:space="preserve">to preserve legal order through the restoration of the possessory relationship between a person and particular property that has been disturbed by self-help”. </w:t>
      </w:r>
      <w:r w:rsidRPr="002129A5">
        <w:rPr>
          <w:rFonts w:asciiTheme="minorHAnsi" w:hAnsiTheme="minorHAnsi" w:cstheme="minorHAnsi"/>
          <w:sz w:val="20"/>
          <w:lang w:val="en-US"/>
        </w:rPr>
        <w:t>See Wille’s Principles of South African Law (9</w:t>
      </w:r>
      <w:r w:rsidRPr="002129A5">
        <w:rPr>
          <w:rFonts w:asciiTheme="minorHAnsi" w:hAnsiTheme="minorHAnsi" w:cstheme="minorHAnsi"/>
          <w:sz w:val="20"/>
          <w:vertAlign w:val="superscript"/>
          <w:lang w:val="en-US"/>
        </w:rPr>
        <w:t>th</w:t>
      </w:r>
      <w:r w:rsidRPr="002129A5">
        <w:rPr>
          <w:rFonts w:asciiTheme="minorHAnsi" w:hAnsiTheme="minorHAnsi" w:cstheme="minorHAnsi"/>
          <w:sz w:val="20"/>
          <w:lang w:val="en-US"/>
        </w:rPr>
        <w:t xml:space="preserve"> ed) p 454 (section authored by Prof CG van der Merwe and A Pope). In</w:t>
      </w:r>
      <w:r w:rsidRPr="002129A5">
        <w:rPr>
          <w:rFonts w:asciiTheme="minorHAnsi" w:hAnsiTheme="minorHAnsi" w:cstheme="minorHAnsi"/>
          <w:sz w:val="20"/>
        </w:rPr>
        <w:t xml:space="preserve"> </w:t>
      </w:r>
      <w:r w:rsidRPr="002129A5">
        <w:rPr>
          <w:rFonts w:asciiTheme="minorHAnsi" w:hAnsiTheme="minorHAnsi" w:cstheme="minorHAnsi"/>
          <w:i/>
          <w:sz w:val="20"/>
        </w:rPr>
        <w:t>Bisschoff &amp; Others v Welbeplan Boerdery (Pty) Ltd</w:t>
      </w:r>
      <w:r w:rsidRPr="002129A5">
        <w:rPr>
          <w:rFonts w:asciiTheme="minorHAnsi" w:hAnsiTheme="minorHAnsi" w:cstheme="minorHAnsi"/>
          <w:sz w:val="20"/>
        </w:rPr>
        <w:t xml:space="preserve"> </w:t>
      </w:r>
      <w:r w:rsidR="00187C0F" w:rsidRPr="00187C0F">
        <w:rPr>
          <w:rFonts w:asciiTheme="minorHAnsi" w:hAnsiTheme="minorHAnsi" w:cstheme="minorHAnsi"/>
          <w:sz w:val="20"/>
        </w:rPr>
        <w:t>2021 (5) SA 54 (SCA)</w:t>
      </w:r>
      <w:r w:rsidR="00187C0F">
        <w:rPr>
          <w:rFonts w:asciiTheme="minorHAnsi" w:hAnsiTheme="minorHAnsi" w:cstheme="minorHAnsi"/>
          <w:sz w:val="20"/>
        </w:rPr>
        <w:t xml:space="preserve">; </w:t>
      </w:r>
      <w:r w:rsidRPr="002129A5">
        <w:rPr>
          <w:rFonts w:asciiTheme="minorHAnsi" w:hAnsiTheme="minorHAnsi" w:cstheme="minorHAnsi"/>
          <w:sz w:val="20"/>
        </w:rPr>
        <w:t xml:space="preserve">[2021] ZASCA 81 at para 5 </w:t>
      </w:r>
      <w:r w:rsidR="00187C0F">
        <w:rPr>
          <w:rFonts w:asciiTheme="minorHAnsi" w:hAnsiTheme="minorHAnsi" w:cstheme="minorHAnsi"/>
          <w:sz w:val="20"/>
        </w:rPr>
        <w:t>the SCA</w:t>
      </w:r>
      <w:r w:rsidRPr="002129A5">
        <w:rPr>
          <w:rFonts w:asciiTheme="minorHAnsi" w:hAnsiTheme="minorHAnsi" w:cstheme="minorHAnsi"/>
          <w:sz w:val="20"/>
        </w:rPr>
        <w:t xml:space="preserve"> said that: </w:t>
      </w:r>
    </w:p>
    <w:p w:rsidR="002129A5" w:rsidRPr="002129A5" w:rsidRDefault="002129A5" w:rsidP="002129A5">
      <w:pPr>
        <w:rPr>
          <w:rFonts w:asciiTheme="minorHAnsi" w:hAnsiTheme="minorHAnsi" w:cstheme="minorHAnsi"/>
          <w:sz w:val="20"/>
        </w:rPr>
      </w:pPr>
    </w:p>
    <w:p w:rsidR="00900FA6" w:rsidRPr="002129A5" w:rsidRDefault="00900FA6" w:rsidP="002129A5">
      <w:pPr>
        <w:ind w:left="720"/>
        <w:rPr>
          <w:rFonts w:asciiTheme="minorHAnsi" w:hAnsiTheme="minorHAnsi" w:cstheme="minorHAnsi"/>
          <w:i/>
          <w:sz w:val="20"/>
        </w:rPr>
      </w:pPr>
      <w:r w:rsidRPr="002129A5">
        <w:rPr>
          <w:rFonts w:asciiTheme="minorHAnsi" w:hAnsiTheme="minorHAnsi" w:cstheme="minorHAnsi"/>
          <w:sz w:val="20"/>
        </w:rPr>
        <w:t xml:space="preserve">” </w:t>
      </w:r>
      <w:r w:rsidRPr="002129A5">
        <w:rPr>
          <w:rFonts w:asciiTheme="minorHAnsi" w:hAnsiTheme="minorHAnsi" w:cstheme="minorHAnsi"/>
          <w:i/>
          <w:sz w:val="20"/>
        </w:rPr>
        <w:t>The mandament van spolie is rooted in the rule of law and its main purpose is to preserve public order by preventing persons from taking the law into their own hands.</w:t>
      </w:r>
      <w:r w:rsidR="00250AC1">
        <w:rPr>
          <w:rFonts w:asciiTheme="minorHAnsi" w:hAnsiTheme="minorHAnsi" w:cstheme="minorHAnsi"/>
          <w:i/>
          <w:sz w:val="20"/>
        </w:rPr>
        <w:t>”</w:t>
      </w:r>
    </w:p>
    <w:p w:rsidR="00900FA6" w:rsidRPr="0051449E" w:rsidRDefault="00900FA6" w:rsidP="0051449E">
      <w:pPr>
        <w:pStyle w:val="FootnoteText"/>
        <w:rPr>
          <w:rStyle w:val="FootnoteReference"/>
        </w:rPr>
      </w:pPr>
      <w:r>
        <w:rPr>
          <w:lang w:val="en-US"/>
        </w:rPr>
        <w:t xml:space="preserve">   </w:t>
      </w:r>
    </w:p>
  </w:footnote>
  <w:footnote w:id="61">
    <w:p w:rsidR="00900FA6" w:rsidRPr="0051449E" w:rsidRDefault="00900FA6">
      <w:pPr>
        <w:pStyle w:val="FootnoteText"/>
        <w:rPr>
          <w:lang w:val="en-US"/>
        </w:rPr>
      </w:pPr>
      <w:r>
        <w:rPr>
          <w:rStyle w:val="FootnoteReference"/>
        </w:rPr>
        <w:footnoteRef/>
      </w:r>
      <w:r>
        <w:t xml:space="preserve"> </w:t>
      </w:r>
      <w:r>
        <w:rPr>
          <w:lang w:val="en-US"/>
        </w:rPr>
        <w:t xml:space="preserve">At para 5. The court also referred to its previous decisions </w:t>
      </w:r>
      <w:r w:rsidRPr="0051449E">
        <w:rPr>
          <w:i/>
          <w:lang w:val="en-US"/>
        </w:rPr>
        <w:t>in Tswelopele Non-Profit Organisation and Others v City of Tshwane Metropolitan Municipality and Others</w:t>
      </w:r>
      <w:r w:rsidRPr="0051449E">
        <w:rPr>
          <w:lang w:val="en-US"/>
        </w:rPr>
        <w:t xml:space="preserve"> [2007] ZASCA 70; 2007 (6) SA 511 (SCA) </w:t>
      </w:r>
      <w:r>
        <w:rPr>
          <w:lang w:val="en-US"/>
        </w:rPr>
        <w:t xml:space="preserve">at </w:t>
      </w:r>
      <w:r w:rsidRPr="0051449E">
        <w:rPr>
          <w:lang w:val="en-US"/>
        </w:rPr>
        <w:t>para 22</w:t>
      </w:r>
      <w:r>
        <w:rPr>
          <w:lang w:val="en-US"/>
        </w:rPr>
        <w:t xml:space="preserve"> and;</w:t>
      </w:r>
      <w:r w:rsidRPr="0051449E">
        <w:rPr>
          <w:lang w:val="en-US"/>
        </w:rPr>
        <w:t xml:space="preserve"> </w:t>
      </w:r>
      <w:r w:rsidRPr="0051449E">
        <w:rPr>
          <w:i/>
          <w:lang w:val="en-US"/>
        </w:rPr>
        <w:t>Ngqukumba v Minister of Safety and Security and Others</w:t>
      </w:r>
      <w:r w:rsidRPr="0051449E">
        <w:rPr>
          <w:lang w:val="en-US"/>
        </w:rPr>
        <w:t xml:space="preserve"> [2014] ZACC 14; 2014 (5) SA 112 (CC)</w:t>
      </w:r>
      <w:r>
        <w:rPr>
          <w:lang w:val="en-US"/>
        </w:rPr>
        <w:t xml:space="preserve"> at </w:t>
      </w:r>
      <w:r w:rsidRPr="0051449E">
        <w:rPr>
          <w:lang w:val="en-US"/>
        </w:rPr>
        <w:t>paras 10-12.</w:t>
      </w:r>
      <w:r>
        <w:rPr>
          <w:lang w:val="en-US"/>
        </w:rPr>
        <w:t xml:space="preserve">  for the proposition </w:t>
      </w:r>
      <w:r w:rsidR="002129A5">
        <w:rPr>
          <w:lang w:val="en-US"/>
        </w:rPr>
        <w:t xml:space="preserve">that the mandament is rooted </w:t>
      </w:r>
      <w:r w:rsidR="002129A5" w:rsidRPr="002129A5">
        <w:rPr>
          <w:lang w:val="en-US"/>
        </w:rPr>
        <w:t>“</w:t>
      </w:r>
      <w:r w:rsidR="002129A5" w:rsidRPr="002129A5">
        <w:rPr>
          <w:i/>
          <w:lang w:val="en-US"/>
        </w:rPr>
        <w:t xml:space="preserve">in the rule of law and its </w:t>
      </w:r>
      <w:r w:rsidRPr="002129A5">
        <w:rPr>
          <w:i/>
          <w:lang w:val="en-US"/>
        </w:rPr>
        <w:t>main purpose</w:t>
      </w:r>
      <w:r w:rsidRPr="0051449E">
        <w:rPr>
          <w:i/>
          <w:lang w:val="en-US"/>
        </w:rPr>
        <w:t xml:space="preserve"> is to preserve public order by preventing persons from taking the law into their own hands</w:t>
      </w:r>
      <w:r>
        <w:rPr>
          <w:lang w:val="en-US"/>
        </w:rPr>
        <w:t>.”</w:t>
      </w:r>
    </w:p>
  </w:footnote>
  <w:footnote w:id="62">
    <w:p w:rsidR="00900FA6" w:rsidRPr="00720E3B" w:rsidRDefault="00900FA6">
      <w:pPr>
        <w:pStyle w:val="FootnoteText"/>
        <w:rPr>
          <w:lang w:val="en-US"/>
        </w:rPr>
      </w:pPr>
      <w:r>
        <w:rPr>
          <w:rStyle w:val="FootnoteReference"/>
        </w:rPr>
        <w:footnoteRef/>
      </w:r>
      <w:r>
        <w:t xml:space="preserve"> </w:t>
      </w:r>
      <w:r>
        <w:rPr>
          <w:lang w:val="en-US"/>
        </w:rPr>
        <w:t xml:space="preserve">By way of illustration: A lease is terminated by effluxion of time and </w:t>
      </w:r>
      <w:r w:rsidR="00250AC1">
        <w:rPr>
          <w:lang w:val="en-US"/>
        </w:rPr>
        <w:t xml:space="preserve">on </w:t>
      </w:r>
      <w:r>
        <w:rPr>
          <w:lang w:val="en-US"/>
        </w:rPr>
        <w:t xml:space="preserve">the day of its expiry the lessee changes the locks so that he can continue occupying and prevent the owner from entering. Compare the facts in  </w:t>
      </w:r>
      <w:r w:rsidRPr="00720E3B">
        <w:rPr>
          <w:i/>
          <w:lang w:val="en-US"/>
        </w:rPr>
        <w:t xml:space="preserve"> De Beer v Firs Investments Ltd </w:t>
      </w:r>
      <w:r>
        <w:rPr>
          <w:lang w:val="en-US"/>
        </w:rPr>
        <w:t>(1980) (3) SA 1087 (W) where a new occupier unbeknown to the landlord came onto leased premises and installed locks.  Coetzee J (at the time</w:t>
      </w:r>
      <w:r w:rsidR="002129A5">
        <w:rPr>
          <w:lang w:val="en-US"/>
        </w:rPr>
        <w:t xml:space="preserve"> </w:t>
      </w:r>
      <w:r>
        <w:rPr>
          <w:lang w:val="en-US"/>
        </w:rPr>
        <w:t>determined the case on the basis of lawful counter-spoliation where the landlord, on getting wind of what had occurred r</w:t>
      </w:r>
      <w:r w:rsidR="002129A5">
        <w:rPr>
          <w:lang w:val="en-US"/>
        </w:rPr>
        <w:t>eplaced the locks with its own.</w:t>
      </w:r>
    </w:p>
  </w:footnote>
  <w:footnote w:id="63">
    <w:p w:rsidR="00900FA6" w:rsidRPr="00FA0B6D" w:rsidRDefault="00900FA6">
      <w:pPr>
        <w:pStyle w:val="FootnoteText"/>
        <w:rPr>
          <w:lang w:val="en-US"/>
        </w:rPr>
      </w:pPr>
      <w:r>
        <w:rPr>
          <w:rStyle w:val="FootnoteReference"/>
        </w:rPr>
        <w:footnoteRef/>
      </w:r>
      <w:r>
        <w:t xml:space="preserve"> </w:t>
      </w:r>
      <w:r>
        <w:rPr>
          <w:lang w:val="en-US"/>
        </w:rPr>
        <w:t xml:space="preserve"> See </w:t>
      </w:r>
      <w:r w:rsidRPr="00FA0B6D">
        <w:rPr>
          <w:i/>
          <w:lang w:val="en-US"/>
        </w:rPr>
        <w:t>Fischer</w:t>
      </w:r>
      <w:r>
        <w:rPr>
          <w:lang w:val="en-US"/>
        </w:rPr>
        <w:t xml:space="preserve"> at para 24</w:t>
      </w:r>
    </w:p>
  </w:footnote>
  <w:footnote w:id="64">
    <w:p w:rsidR="00900FA6" w:rsidRPr="009966E2" w:rsidRDefault="00900FA6">
      <w:pPr>
        <w:pStyle w:val="FootnoteText"/>
        <w:rPr>
          <w:lang w:val="en-US"/>
        </w:rPr>
      </w:pPr>
      <w:r>
        <w:rPr>
          <w:rStyle w:val="FootnoteReference"/>
        </w:rPr>
        <w:footnoteRef/>
      </w:r>
      <w:r>
        <w:t xml:space="preserve"> </w:t>
      </w:r>
      <w:r>
        <w:rPr>
          <w:lang w:val="en-US"/>
        </w:rPr>
        <w:t>At para 17</w:t>
      </w:r>
    </w:p>
  </w:footnote>
  <w:footnote w:id="65">
    <w:p w:rsidR="00900FA6" w:rsidRPr="00B7474B" w:rsidRDefault="00900FA6">
      <w:pPr>
        <w:pStyle w:val="FootnoteText"/>
        <w:rPr>
          <w:lang w:val="en-US"/>
        </w:rPr>
      </w:pPr>
      <w:r>
        <w:rPr>
          <w:rStyle w:val="FootnoteReference"/>
        </w:rPr>
        <w:footnoteRef/>
      </w:r>
      <w:r>
        <w:t xml:space="preserve"> </w:t>
      </w:r>
      <w:r>
        <w:rPr>
          <w:lang w:val="en-US"/>
        </w:rPr>
        <w:t>At 336I-337B</w:t>
      </w:r>
    </w:p>
  </w:footnote>
  <w:footnote w:id="66">
    <w:p w:rsidR="00250AC1" w:rsidRPr="00250AC1" w:rsidRDefault="00250AC1" w:rsidP="00250AC1">
      <w:pPr>
        <w:pStyle w:val="FootnoteText"/>
        <w:rPr>
          <w:lang w:val="en-US"/>
        </w:rPr>
      </w:pPr>
      <w:r>
        <w:rPr>
          <w:rStyle w:val="FootnoteReference"/>
        </w:rPr>
        <w:footnoteRef/>
      </w:r>
      <w:r>
        <w:t xml:space="preserve"> This is a </w:t>
      </w:r>
      <w:r w:rsidRPr="00250AC1">
        <w:t xml:space="preserve">judgment of that court </w:t>
      </w:r>
      <w:r>
        <w:t xml:space="preserve">which is required to be </w:t>
      </w:r>
      <w:r w:rsidRPr="00250AC1">
        <w:t xml:space="preserve">respected </w:t>
      </w:r>
      <w:r>
        <w:t xml:space="preserve">and enforced </w:t>
      </w:r>
      <w:r w:rsidRPr="00250AC1">
        <w:t xml:space="preserve">under the </w:t>
      </w:r>
      <w:r>
        <w:t xml:space="preserve">provisions of the </w:t>
      </w:r>
      <w:r w:rsidRPr="00250AC1">
        <w:t>Constitution</w:t>
      </w:r>
      <w:r>
        <w:t xml:space="preserve">. The Land Claims Court judgment was presumably given under </w:t>
      </w:r>
      <w:r w:rsidRPr="00250AC1">
        <w:t xml:space="preserve">the provisions of </w:t>
      </w:r>
      <w:r>
        <w:t>the Extension of Security of Tenure Act 62 of 1997) which is also legislation born out of s 26 of eth Constitution. If not under ESTA then the judgment may have been given pursuant to the provisions of the Restitution of Land Rights Act 22 of 1994 (the “</w:t>
      </w:r>
      <w:r w:rsidRPr="00250AC1">
        <w:rPr>
          <w:i/>
        </w:rPr>
        <w:t>Restitution Act</w:t>
      </w:r>
      <w:r>
        <w:t xml:space="preserve">”) which is the legislation introduced to give effect to s 25 of the Constitution, primarily in order to provide restitution of land to those dispossessed as a consequence of past racially discriminatory laws and practices.   </w:t>
      </w:r>
    </w:p>
  </w:footnote>
  <w:footnote w:id="67">
    <w:p w:rsidR="00900FA6" w:rsidRPr="0067135C" w:rsidRDefault="00900FA6">
      <w:pPr>
        <w:pStyle w:val="FootnoteText"/>
        <w:rPr>
          <w:lang w:val="en-US"/>
        </w:rPr>
      </w:pPr>
      <w:r>
        <w:rPr>
          <w:rStyle w:val="FootnoteReference"/>
        </w:rPr>
        <w:footnoteRef/>
      </w:r>
      <w:r w:rsidR="00195B3B">
        <w:t xml:space="preserve"> </w:t>
      </w:r>
      <w:r w:rsidR="00195B3B" w:rsidRPr="00195B3B">
        <w:rPr>
          <w:i/>
        </w:rPr>
        <w:t xml:space="preserve">Ness </w:t>
      </w:r>
      <w:r w:rsidR="00195B3B">
        <w:t>at</w:t>
      </w:r>
      <w:r>
        <w:t xml:space="preserve"> </w:t>
      </w:r>
      <w:r w:rsidRPr="0067135C">
        <w:t>649 D – F</w:t>
      </w:r>
    </w:p>
  </w:footnote>
  <w:footnote w:id="68">
    <w:p w:rsidR="00195B3B" w:rsidRPr="00195B3B" w:rsidRDefault="00195B3B">
      <w:pPr>
        <w:pStyle w:val="FootnoteText"/>
        <w:rPr>
          <w:lang w:val="en-US"/>
        </w:rPr>
      </w:pPr>
      <w:r>
        <w:rPr>
          <w:rStyle w:val="FootnoteReference"/>
        </w:rPr>
        <w:footnoteRef/>
      </w:r>
      <w:r>
        <w:t xml:space="preserve"> </w:t>
      </w:r>
      <w:r w:rsidRPr="00195B3B">
        <w:rPr>
          <w:i/>
          <w:lang w:val="en-US"/>
        </w:rPr>
        <w:t>Mbangi</w:t>
      </w:r>
      <w:r>
        <w:rPr>
          <w:lang w:val="en-US"/>
        </w:rPr>
        <w:t xml:space="preserve"> at 335E</w:t>
      </w:r>
    </w:p>
  </w:footnote>
  <w:footnote w:id="69">
    <w:p w:rsidR="00900FA6" w:rsidRPr="00B86FCC" w:rsidRDefault="00900FA6">
      <w:pPr>
        <w:pStyle w:val="FootnoteText"/>
        <w:rPr>
          <w:lang w:val="en-US"/>
        </w:rPr>
      </w:pPr>
      <w:r>
        <w:rPr>
          <w:rStyle w:val="FootnoteReference"/>
        </w:rPr>
        <w:footnoteRef/>
      </w:r>
      <w:r>
        <w:t xml:space="preserve"> </w:t>
      </w:r>
      <w:r w:rsidRPr="00B86FCC">
        <w:rPr>
          <w:i/>
          <w:lang w:val="en-US"/>
        </w:rPr>
        <w:t>Fischer</w:t>
      </w:r>
      <w:r>
        <w:rPr>
          <w:lang w:val="en-US"/>
        </w:rPr>
        <w:t xml:space="preserve"> at para 17. The SCA referred this issue back for the hearing of oral evidence</w:t>
      </w:r>
    </w:p>
  </w:footnote>
  <w:footnote w:id="70">
    <w:p w:rsidR="00195B3B" w:rsidRPr="00195B3B" w:rsidRDefault="00195B3B">
      <w:pPr>
        <w:pStyle w:val="FootnoteText"/>
        <w:rPr>
          <w:lang w:val="en-US"/>
        </w:rPr>
      </w:pPr>
      <w:r>
        <w:rPr>
          <w:rStyle w:val="FootnoteReference"/>
        </w:rPr>
        <w:footnoteRef/>
      </w:r>
      <w:r>
        <w:t xml:space="preserve"> </w:t>
      </w:r>
      <w:r>
        <w:rPr>
          <w:lang w:val="en-US"/>
        </w:rPr>
        <w:t xml:space="preserve">By contrast, </w:t>
      </w:r>
      <w:r w:rsidR="00EE2C3B">
        <w:rPr>
          <w:i/>
          <w:lang w:val="en-US"/>
        </w:rPr>
        <w:t>SAHRC,</w:t>
      </w:r>
      <w:r>
        <w:rPr>
          <w:lang w:val="en-US"/>
        </w:rPr>
        <w:t xml:space="preserve"> although a Full Court decision is not binding on this court but is of persuasive value because it emanate</w:t>
      </w:r>
      <w:r w:rsidR="00025D81">
        <w:rPr>
          <w:lang w:val="en-US"/>
        </w:rPr>
        <w:t>s</w:t>
      </w:r>
      <w:r>
        <w:rPr>
          <w:lang w:val="en-US"/>
        </w:rPr>
        <w:t xml:space="preserve"> from another Division </w:t>
      </w:r>
    </w:p>
  </w:footnote>
  <w:footnote w:id="71">
    <w:p w:rsidR="00900FA6" w:rsidRPr="00E66EA3" w:rsidRDefault="00900FA6">
      <w:pPr>
        <w:pStyle w:val="FootnoteText"/>
        <w:rPr>
          <w:lang w:val="en-US"/>
        </w:rPr>
      </w:pPr>
      <w:r>
        <w:rPr>
          <w:rStyle w:val="FootnoteReference"/>
        </w:rPr>
        <w:footnoteRef/>
      </w:r>
      <w:r>
        <w:t xml:space="preserve"> </w:t>
      </w:r>
      <w:r>
        <w:rPr>
          <w:i/>
          <w:lang w:val="en-US"/>
        </w:rPr>
        <w:t xml:space="preserve">De Beer </w:t>
      </w:r>
      <w:r>
        <w:rPr>
          <w:lang w:val="en-US"/>
        </w:rPr>
        <w:t xml:space="preserve">at 1092F-G. See </w:t>
      </w:r>
      <w:r>
        <w:rPr>
          <w:i/>
          <w:lang w:val="en-US"/>
        </w:rPr>
        <w:t xml:space="preserve">Mans </w:t>
      </w:r>
      <w:r w:rsidRPr="00E66EA3">
        <w:rPr>
          <w:lang w:val="en-US"/>
        </w:rPr>
        <w:t xml:space="preserve">at </w:t>
      </w:r>
      <w:r>
        <w:rPr>
          <w:lang w:val="en-US"/>
        </w:rPr>
        <w:t>978</w:t>
      </w:r>
    </w:p>
  </w:footnote>
  <w:footnote w:id="72">
    <w:p w:rsidR="00900FA6" w:rsidRPr="00EF25F1" w:rsidRDefault="00900FA6">
      <w:pPr>
        <w:pStyle w:val="FootnoteText"/>
        <w:rPr>
          <w:lang w:val="en-US"/>
        </w:rPr>
      </w:pPr>
      <w:r>
        <w:rPr>
          <w:rStyle w:val="FootnoteReference"/>
        </w:rPr>
        <w:footnoteRef/>
      </w:r>
      <w:r>
        <w:t xml:space="preserve"> </w:t>
      </w:r>
      <w:r>
        <w:rPr>
          <w:lang w:val="en-US"/>
        </w:rPr>
        <w:t>At 1092 F-G</w:t>
      </w:r>
    </w:p>
  </w:footnote>
  <w:footnote w:id="73">
    <w:p w:rsidR="00900FA6" w:rsidRPr="003B1053" w:rsidRDefault="00900FA6">
      <w:pPr>
        <w:pStyle w:val="FootnoteText"/>
        <w:rPr>
          <w:lang w:val="en-US"/>
        </w:rPr>
      </w:pPr>
      <w:r>
        <w:rPr>
          <w:rStyle w:val="FootnoteReference"/>
        </w:rPr>
        <w:footnoteRef/>
      </w:r>
      <w:r>
        <w:t xml:space="preserve"> </w:t>
      </w:r>
      <w:r>
        <w:rPr>
          <w:lang w:val="en-US"/>
        </w:rPr>
        <w:t>At 648F-</w:t>
      </w:r>
    </w:p>
  </w:footnote>
  <w:footnote w:id="74">
    <w:p w:rsidR="00900FA6" w:rsidRPr="003B1053" w:rsidRDefault="00900FA6">
      <w:pPr>
        <w:pStyle w:val="FootnoteText"/>
        <w:rPr>
          <w:lang w:val="en-US"/>
        </w:rPr>
      </w:pPr>
      <w:r>
        <w:rPr>
          <w:rStyle w:val="FootnoteReference"/>
        </w:rPr>
        <w:footnoteRef/>
      </w:r>
      <w:r>
        <w:t xml:space="preserve"> </w:t>
      </w:r>
      <w:r>
        <w:rPr>
          <w:lang w:val="en-US"/>
        </w:rPr>
        <w:t>At 116G-E</w:t>
      </w:r>
    </w:p>
  </w:footnote>
  <w:footnote w:id="75">
    <w:p w:rsidR="00195B3B" w:rsidRPr="00195B3B" w:rsidRDefault="00195B3B">
      <w:pPr>
        <w:pStyle w:val="FootnoteText"/>
        <w:rPr>
          <w:lang w:val="en-US"/>
        </w:rPr>
      </w:pPr>
      <w:r>
        <w:rPr>
          <w:rStyle w:val="FootnoteReference"/>
        </w:rPr>
        <w:footnoteRef/>
      </w:r>
      <w:r>
        <w:t xml:space="preserve"> </w:t>
      </w:r>
      <w:r>
        <w:rPr>
          <w:lang w:val="en-US"/>
        </w:rPr>
        <w:t>Act 200 of 1993</w:t>
      </w:r>
    </w:p>
  </w:footnote>
  <w:footnote w:id="76">
    <w:p w:rsidR="00900FA6" w:rsidRDefault="00900FA6">
      <w:pPr>
        <w:pStyle w:val="FootnoteText"/>
        <w:rPr>
          <w:lang w:val="en-US"/>
        </w:rPr>
      </w:pPr>
      <w:r>
        <w:rPr>
          <w:rStyle w:val="FootnoteReference"/>
        </w:rPr>
        <w:footnoteRef/>
      </w:r>
      <w:r>
        <w:t xml:space="preserve"> </w:t>
      </w:r>
      <w:r>
        <w:rPr>
          <w:lang w:val="en-US"/>
        </w:rPr>
        <w:t xml:space="preserve">The converse does not apply. In terms of s 4(1) of PIE the Act only applies to </w:t>
      </w:r>
      <w:r w:rsidR="00195B3B">
        <w:rPr>
          <w:lang w:val="en-US"/>
        </w:rPr>
        <w:t xml:space="preserve">a </w:t>
      </w:r>
      <w:r>
        <w:rPr>
          <w:lang w:val="en-US"/>
        </w:rPr>
        <w:t>person who falls within the definition of an unlawful occupier. It is for this reason that counter=spoliation against a person attempting to possess but has not yet fallen within the definition of an unlawful occupier is unaffected by the terms of s 4(1). Section 4(1) provides:</w:t>
      </w:r>
    </w:p>
    <w:p w:rsidR="00900FA6" w:rsidRDefault="00900FA6" w:rsidP="00CD1162">
      <w:pPr>
        <w:pStyle w:val="FootnoteText"/>
        <w:numPr>
          <w:ilvl w:val="0"/>
          <w:numId w:val="14"/>
        </w:numPr>
        <w:rPr>
          <w:i/>
          <w:lang w:val="en-US"/>
        </w:rPr>
      </w:pPr>
      <w:r w:rsidRPr="00CD1162">
        <w:rPr>
          <w:i/>
          <w:lang w:val="en-US"/>
        </w:rPr>
        <w:t>Notwithstanding anything to the contrary contained in any law or the common law, the provisions of this section apply to proceedings by an owner or person in charge of land for the ev</w:t>
      </w:r>
      <w:r>
        <w:rPr>
          <w:i/>
          <w:lang w:val="en-US"/>
        </w:rPr>
        <w:t>iction of an unlawful occupier.</w:t>
      </w:r>
    </w:p>
    <w:p w:rsidR="00900FA6" w:rsidRDefault="00900FA6" w:rsidP="00CD1162">
      <w:pPr>
        <w:pStyle w:val="FootnoteText"/>
        <w:rPr>
          <w:lang w:val="en-US"/>
        </w:rPr>
      </w:pPr>
      <w:r w:rsidRPr="00CD1162">
        <w:rPr>
          <w:lang w:val="en-US"/>
        </w:rPr>
        <w:t>An</w:t>
      </w:r>
      <w:r>
        <w:rPr>
          <w:i/>
          <w:lang w:val="en-US"/>
        </w:rPr>
        <w:t xml:space="preserve"> unlawful occupier </w:t>
      </w:r>
      <w:r>
        <w:rPr>
          <w:lang w:val="en-US"/>
        </w:rPr>
        <w:t>means in terms of s 1:</w:t>
      </w:r>
    </w:p>
    <w:p w:rsidR="00900FA6" w:rsidRPr="00CD1162" w:rsidRDefault="00900FA6" w:rsidP="00CD1162">
      <w:pPr>
        <w:pStyle w:val="FootnoteText"/>
        <w:ind w:left="720"/>
        <w:rPr>
          <w:i/>
          <w:lang w:val="en-US"/>
        </w:rPr>
      </w:pPr>
      <w:r w:rsidRPr="00CD1162">
        <w:rPr>
          <w:i/>
          <w:lang w:val="en-US"/>
        </w:rPr>
        <w:t>a person who occupies land without the express or tacit consent of the owner or person in charge, or without any other right in law to occupy such land, excluding a person who is an occupier in terms of the Extension of Security of Tenure Act, 1997 …</w:t>
      </w:r>
    </w:p>
    <w:p w:rsidR="00900FA6" w:rsidRPr="00CD1162" w:rsidRDefault="00900FA6" w:rsidP="00CD1162">
      <w:pPr>
        <w:pStyle w:val="FootnoteText"/>
        <w:rPr>
          <w:lang w:val="en-US"/>
        </w:rPr>
      </w:pPr>
    </w:p>
  </w:footnote>
  <w:footnote w:id="77">
    <w:p w:rsidR="00900FA6" w:rsidRPr="00040B51" w:rsidRDefault="00900FA6">
      <w:pPr>
        <w:pStyle w:val="FootnoteText"/>
        <w:rPr>
          <w:lang w:val="en-US"/>
        </w:rPr>
      </w:pPr>
      <w:r>
        <w:rPr>
          <w:rStyle w:val="FootnoteReference"/>
        </w:rPr>
        <w:footnoteRef/>
      </w:r>
      <w:r>
        <w:t xml:space="preserve"> </w:t>
      </w:r>
      <w:r>
        <w:rPr>
          <w:lang w:val="en-US"/>
        </w:rPr>
        <w:t xml:space="preserve">See </w:t>
      </w:r>
      <w:r w:rsidRPr="00040B51">
        <w:rPr>
          <w:i/>
          <w:lang w:val="en-US"/>
        </w:rPr>
        <w:t xml:space="preserve">SAHRC </w:t>
      </w:r>
      <w:r>
        <w:rPr>
          <w:lang w:val="en-US"/>
        </w:rPr>
        <w:t>at para 73 which indicated that for purposes of PIE occupation may be satisfied by plastic and cardboard structures which could be erected in minutes. This could potentially occur prior to occupiers gaining peaceful and undisturbed possession while negotiations are taking place</w:t>
      </w:r>
      <w:r w:rsidR="00413836">
        <w:rPr>
          <w:lang w:val="en-US"/>
        </w:rPr>
        <w:t xml:space="preserve"> during the </w:t>
      </w:r>
      <w:r w:rsidR="00413836" w:rsidRPr="00413836">
        <w:rPr>
          <w:i/>
          <w:lang w:val="en-US"/>
        </w:rPr>
        <w:t>res gestae</w:t>
      </w:r>
      <w:r w:rsidR="00413836">
        <w:rPr>
          <w:lang w:val="en-US"/>
        </w:rPr>
        <w:t xml:space="preserve"> </w:t>
      </w:r>
      <w:r w:rsidR="00EE2C3B">
        <w:rPr>
          <w:lang w:val="en-US"/>
        </w:rPr>
        <w:t>period (</w:t>
      </w:r>
      <w:r>
        <w:rPr>
          <w:lang w:val="en-US"/>
        </w:rPr>
        <w:t xml:space="preserve">as occurred in </w:t>
      </w:r>
      <w:r>
        <w:rPr>
          <w:i/>
          <w:lang w:val="en-US"/>
        </w:rPr>
        <w:t>Mbangi</w:t>
      </w:r>
      <w:r w:rsidR="00413836">
        <w:rPr>
          <w:lang w:val="en-US"/>
        </w:rPr>
        <w:t xml:space="preserve">) even though this might be pursuant to the application of </w:t>
      </w:r>
      <w:r>
        <w:rPr>
          <w:lang w:val="en-US"/>
        </w:rPr>
        <w:t>the SALGA guidelines</w:t>
      </w:r>
      <w:r w:rsidR="00413836">
        <w:rPr>
          <w:lang w:val="en-US"/>
        </w:rPr>
        <w:t>.</w:t>
      </w:r>
      <w:r>
        <w:rPr>
          <w:lang w:val="en-US"/>
        </w:rPr>
        <w:t xml:space="preserve">  </w:t>
      </w:r>
    </w:p>
  </w:footnote>
  <w:footnote w:id="78">
    <w:p w:rsidR="00730708" w:rsidRPr="00730708" w:rsidRDefault="00730708" w:rsidP="00730708">
      <w:pPr>
        <w:pStyle w:val="FootnoteText"/>
      </w:pPr>
      <w:r>
        <w:rPr>
          <w:rStyle w:val="FootnoteReference"/>
        </w:rPr>
        <w:footnoteRef/>
      </w:r>
      <w:r>
        <w:t xml:space="preserve"> </w:t>
      </w:r>
      <w:r w:rsidRPr="00730708">
        <w:t xml:space="preserve">While there </w:t>
      </w:r>
      <w:r>
        <w:t>is law which prevents a party f</w:t>
      </w:r>
      <w:r w:rsidRPr="00730708">
        <w:t>r</w:t>
      </w:r>
      <w:r>
        <w:t>o</w:t>
      </w:r>
      <w:r w:rsidRPr="00730708">
        <w:t xml:space="preserve">m </w:t>
      </w:r>
      <w:r>
        <w:t xml:space="preserve">taking steps to frustrate the grant of </w:t>
      </w:r>
      <w:r w:rsidRPr="00730708">
        <w:t>interdictory relief</w:t>
      </w:r>
      <w:r>
        <w:t xml:space="preserve"> when papers are served, s 4(1) of PIE which provides that </w:t>
      </w:r>
      <w:r w:rsidR="00EE2C3B">
        <w:t>“Notwithstanding</w:t>
      </w:r>
      <w:r w:rsidRPr="00730708">
        <w:rPr>
          <w:i/>
        </w:rPr>
        <w:t xml:space="preserve"> anything to the contrary contained in any law or the common law, the provisions of this section apply to proceedings by an owner or person in charge of land for the eviction of an unlawful occupier</w:t>
      </w:r>
      <w:r>
        <w:t>” may be interpreted to override that the moment th</w:t>
      </w:r>
      <w:r w:rsidR="00413836">
        <w:t xml:space="preserve">e </w:t>
      </w:r>
      <w:r w:rsidR="00EE2C3B">
        <w:t>intruder becomes</w:t>
      </w:r>
      <w:r>
        <w:t xml:space="preserve"> an unlawful occupier as defined. </w:t>
      </w:r>
    </w:p>
  </w:footnote>
  <w:footnote w:id="79">
    <w:p w:rsidR="00413836" w:rsidRPr="000D2806" w:rsidRDefault="00413836" w:rsidP="00413836">
      <w:pPr>
        <w:pStyle w:val="FootnoteText"/>
        <w:rPr>
          <w:lang w:val="en-US"/>
        </w:rPr>
      </w:pPr>
      <w:r>
        <w:rPr>
          <w:rStyle w:val="FootnoteReference"/>
        </w:rPr>
        <w:footnoteRef/>
      </w:r>
      <w:r>
        <w:t xml:space="preserve"> </w:t>
      </w:r>
      <w:r w:rsidRPr="00A655D4">
        <w:rPr>
          <w:i/>
          <w:lang w:val="en-US"/>
        </w:rPr>
        <w:t>SAHR</w:t>
      </w:r>
      <w:r>
        <w:rPr>
          <w:i/>
          <w:lang w:val="en-US"/>
        </w:rPr>
        <w:t>C</w:t>
      </w:r>
      <w:r>
        <w:rPr>
          <w:lang w:val="en-US"/>
        </w:rPr>
        <w:t xml:space="preserve"> para 17</w:t>
      </w:r>
    </w:p>
  </w:footnote>
  <w:footnote w:id="80">
    <w:p w:rsidR="00413836" w:rsidRPr="00A655D4" w:rsidRDefault="00413836" w:rsidP="00413836">
      <w:pPr>
        <w:pStyle w:val="FootnoteText"/>
        <w:rPr>
          <w:lang w:val="en-US"/>
        </w:rPr>
      </w:pPr>
      <w:r>
        <w:rPr>
          <w:rStyle w:val="FootnoteReference"/>
        </w:rPr>
        <w:footnoteRef/>
      </w:r>
      <w:r>
        <w:t xml:space="preserve"> </w:t>
      </w:r>
      <w:r w:rsidRPr="00A655D4">
        <w:rPr>
          <w:lang w:val="en-US"/>
        </w:rPr>
        <w:t>I</w:t>
      </w:r>
      <w:r>
        <w:rPr>
          <w:lang w:val="en-US"/>
        </w:rPr>
        <w:t xml:space="preserve">t </w:t>
      </w:r>
      <w:r w:rsidRPr="00A655D4">
        <w:rPr>
          <w:lang w:val="en-US"/>
        </w:rPr>
        <w:t>initially</w:t>
      </w:r>
      <w:r>
        <w:rPr>
          <w:lang w:val="en-US"/>
        </w:rPr>
        <w:t xml:space="preserve"> </w:t>
      </w:r>
      <w:r w:rsidRPr="00A655D4">
        <w:rPr>
          <w:lang w:val="en-US"/>
        </w:rPr>
        <w:t>read: “the</w:t>
      </w:r>
      <w:r w:rsidRPr="00A655D4">
        <w:rPr>
          <w:i/>
          <w:lang w:val="en-US"/>
        </w:rPr>
        <w:t xml:space="preserve"> common law principle of counter spoliation is, insofar as it permits or authorises the eviction of persons from, and the demolition of, any informal dwelling, hut, shack, tent, or similar structure or any other form of temporary or permanent dwelling or shelter, whether occupied or unoccupied at the time of such eviction or demolition, is inconsistent with the Constitution, and invalid”. </w:t>
      </w:r>
      <w:r w:rsidRPr="00A655D4">
        <w:rPr>
          <w:lang w:val="en-US"/>
        </w:rPr>
        <w:t xml:space="preserve">See </w:t>
      </w:r>
      <w:r w:rsidRPr="00A655D4">
        <w:rPr>
          <w:i/>
          <w:lang w:val="en-US"/>
        </w:rPr>
        <w:t>SAHR</w:t>
      </w:r>
      <w:r>
        <w:rPr>
          <w:i/>
          <w:lang w:val="en-US"/>
        </w:rPr>
        <w:t>C</w:t>
      </w:r>
      <w:r>
        <w:rPr>
          <w:lang w:val="en-US"/>
        </w:rPr>
        <w:t xml:space="preserve"> at </w:t>
      </w:r>
      <w:r w:rsidRPr="00A655D4">
        <w:rPr>
          <w:lang w:val="en-US"/>
        </w:rPr>
        <w:t>para 9 and also the original terms of the order at para 8</w:t>
      </w:r>
    </w:p>
  </w:footnote>
  <w:footnote w:id="81">
    <w:p w:rsidR="00413836" w:rsidRPr="000B0178" w:rsidRDefault="00413836" w:rsidP="00413836">
      <w:pPr>
        <w:pStyle w:val="FootnoteText"/>
        <w:rPr>
          <w:lang w:val="en-US"/>
        </w:rPr>
      </w:pPr>
      <w:r>
        <w:rPr>
          <w:rStyle w:val="FootnoteReference"/>
        </w:rPr>
        <w:footnoteRef/>
      </w:r>
      <w:r>
        <w:t xml:space="preserve"> </w:t>
      </w:r>
      <w:r w:rsidRPr="000B0178">
        <w:rPr>
          <w:i/>
          <w:lang w:val="en-US"/>
        </w:rPr>
        <w:t>SAHR</w:t>
      </w:r>
      <w:r>
        <w:rPr>
          <w:i/>
          <w:lang w:val="en-US"/>
        </w:rPr>
        <w:t xml:space="preserve">C </w:t>
      </w:r>
      <w:r>
        <w:rPr>
          <w:lang w:val="en-US"/>
        </w:rPr>
        <w:t xml:space="preserve">at para 17. </w:t>
      </w:r>
    </w:p>
  </w:footnote>
  <w:footnote w:id="82">
    <w:p w:rsidR="00413836" w:rsidRPr="00D20978" w:rsidRDefault="00413836" w:rsidP="00413836">
      <w:pPr>
        <w:pStyle w:val="FootnoteText"/>
        <w:rPr>
          <w:lang w:val="en-US"/>
        </w:rPr>
      </w:pPr>
      <w:r>
        <w:rPr>
          <w:rStyle w:val="FootnoteReference"/>
        </w:rPr>
        <w:footnoteRef/>
      </w:r>
      <w:r>
        <w:t xml:space="preserve"> </w:t>
      </w:r>
      <w:r w:rsidRPr="00413836">
        <w:rPr>
          <w:i/>
          <w:lang w:val="en-US"/>
        </w:rPr>
        <w:t>SAHR</w:t>
      </w:r>
      <w:r>
        <w:rPr>
          <w:lang w:val="en-US"/>
        </w:rPr>
        <w:t xml:space="preserve"> at para 1</w:t>
      </w:r>
    </w:p>
  </w:footnote>
  <w:footnote w:id="83">
    <w:p w:rsidR="00413836" w:rsidRPr="00E371DC" w:rsidRDefault="00413836" w:rsidP="00413836">
      <w:pPr>
        <w:pStyle w:val="FootnoteText"/>
        <w:rPr>
          <w:lang w:val="en-US"/>
        </w:rPr>
      </w:pPr>
      <w:r>
        <w:rPr>
          <w:rStyle w:val="FootnoteReference"/>
        </w:rPr>
        <w:footnoteRef/>
      </w:r>
      <w:r>
        <w:t xml:space="preserve"> </w:t>
      </w:r>
      <w:r w:rsidRPr="00413836">
        <w:rPr>
          <w:i/>
          <w:lang w:val="en-US"/>
        </w:rPr>
        <w:t>Id</w:t>
      </w:r>
      <w:r>
        <w:rPr>
          <w:lang w:val="en-US"/>
        </w:rPr>
        <w:t xml:space="preserve"> at paras 29 and 67. See also para 16</w:t>
      </w:r>
    </w:p>
  </w:footnote>
  <w:footnote w:id="84">
    <w:p w:rsidR="00413836" w:rsidRPr="005A7656" w:rsidRDefault="00413836" w:rsidP="00413836">
      <w:pPr>
        <w:pStyle w:val="FootnoteText"/>
        <w:rPr>
          <w:lang w:val="en-US"/>
        </w:rPr>
      </w:pPr>
      <w:r>
        <w:rPr>
          <w:rStyle w:val="FootnoteReference"/>
        </w:rPr>
        <w:footnoteRef/>
      </w:r>
      <w:r>
        <w:t xml:space="preserve"> </w:t>
      </w:r>
      <w:r w:rsidRPr="00730708">
        <w:rPr>
          <w:i/>
          <w:lang w:val="en-US"/>
        </w:rPr>
        <w:t>SAHRC</w:t>
      </w:r>
      <w:r>
        <w:rPr>
          <w:lang w:val="en-US"/>
        </w:rPr>
        <w:t xml:space="preserve"> at para 29 citing </w:t>
      </w:r>
      <w:r w:rsidRPr="00730708">
        <w:rPr>
          <w:i/>
          <w:lang w:val="en-US"/>
        </w:rPr>
        <w:t>Yeko v Qana</w:t>
      </w:r>
      <w:r>
        <w:rPr>
          <w:lang w:val="en-US"/>
        </w:rPr>
        <w:t xml:space="preserve"> 1973 (4) SA 735</w:t>
      </w:r>
      <w:r w:rsidR="00195B3B">
        <w:rPr>
          <w:lang w:val="en-US"/>
        </w:rPr>
        <w:t xml:space="preserve"> (A) at 739. See also at para 25 of </w:t>
      </w:r>
      <w:r w:rsidR="00EE2C3B" w:rsidRPr="00195B3B">
        <w:rPr>
          <w:i/>
          <w:lang w:val="en-US"/>
        </w:rPr>
        <w:t>SAHRC</w:t>
      </w:r>
      <w:r w:rsidR="00EE2C3B">
        <w:rPr>
          <w:lang w:val="en-US"/>
        </w:rPr>
        <w:t xml:space="preserve"> where</w:t>
      </w:r>
      <w:r w:rsidR="00195B3B">
        <w:rPr>
          <w:lang w:val="en-US"/>
        </w:rPr>
        <w:t xml:space="preserve"> in </w:t>
      </w:r>
      <w:r w:rsidR="00025D81">
        <w:rPr>
          <w:lang w:val="en-US"/>
        </w:rPr>
        <w:t>summ</w:t>
      </w:r>
      <w:r w:rsidR="00195B3B">
        <w:rPr>
          <w:lang w:val="en-US"/>
        </w:rPr>
        <w:t xml:space="preserve">arising </w:t>
      </w:r>
      <w:r w:rsidR="00195B3B" w:rsidRPr="00195B3B">
        <w:rPr>
          <w:i/>
          <w:lang w:val="en-US"/>
        </w:rPr>
        <w:t>Yeko</w:t>
      </w:r>
      <w:r w:rsidR="00195B3B">
        <w:rPr>
          <w:lang w:val="en-US"/>
        </w:rPr>
        <w:t xml:space="preserve"> the court said</w:t>
      </w:r>
      <w:r>
        <w:rPr>
          <w:lang w:val="en-US"/>
        </w:rPr>
        <w:t>: “</w:t>
      </w:r>
      <w:r w:rsidRPr="00730708">
        <w:rPr>
          <w:i/>
          <w:lang w:val="en-US"/>
        </w:rPr>
        <w:t>However, in lim</w:t>
      </w:r>
      <w:r w:rsidRPr="00EE69C4">
        <w:rPr>
          <w:i/>
          <w:lang w:val="en-US"/>
        </w:rPr>
        <w:t xml:space="preserve">ited circumstances, a party may take the law into his/her own hands by using the defence of counter spoliation against the wrongful disturbance of his/her peaceful and undisturbed possession. In these circumstances counter spoliation would be a continuation or part of the </w:t>
      </w:r>
      <w:r w:rsidRPr="00EE69C4">
        <w:rPr>
          <w:i/>
          <w:iCs/>
          <w:lang w:val="en-US"/>
        </w:rPr>
        <w:t>res gestae</w:t>
      </w:r>
      <w:r w:rsidRPr="00EE69C4">
        <w:rPr>
          <w:i/>
          <w:lang w:val="en-US"/>
        </w:rPr>
        <w:t xml:space="preserve"> and is </w:t>
      </w:r>
      <w:r w:rsidRPr="00EE69C4">
        <w:rPr>
          <w:i/>
          <w:iCs/>
          <w:lang w:val="en-US"/>
        </w:rPr>
        <w:t>instanter</w:t>
      </w:r>
      <w:r w:rsidRPr="00EE69C4">
        <w:rPr>
          <w:i/>
          <w:lang w:val="en-US"/>
        </w:rPr>
        <w:t xml:space="preserve"> to the despoiler’s unlawful appropriation of possession</w:t>
      </w:r>
      <w:r w:rsidRPr="00EE69C4">
        <w:rPr>
          <w:lang w:val="en-US"/>
        </w:rPr>
        <w:t>.</w:t>
      </w:r>
      <w:r>
        <w:rPr>
          <w:lang w:val="en-US"/>
        </w:rPr>
        <w:t xml:space="preserve">” </w:t>
      </w:r>
    </w:p>
  </w:footnote>
  <w:footnote w:id="85">
    <w:p w:rsidR="00413836" w:rsidRPr="00B32349" w:rsidRDefault="00413836" w:rsidP="00413836">
      <w:pPr>
        <w:pStyle w:val="FootnoteText"/>
        <w:rPr>
          <w:lang w:val="en-US"/>
        </w:rPr>
      </w:pPr>
      <w:r>
        <w:rPr>
          <w:rStyle w:val="FootnoteReference"/>
        </w:rPr>
        <w:footnoteRef/>
      </w:r>
      <w:r>
        <w:t xml:space="preserve"> </w:t>
      </w:r>
      <w:r w:rsidRPr="00730708">
        <w:rPr>
          <w:i/>
          <w:lang w:val="en-US"/>
        </w:rPr>
        <w:t>SAHRC</w:t>
      </w:r>
      <w:r>
        <w:rPr>
          <w:lang w:val="en-US"/>
        </w:rPr>
        <w:t xml:space="preserve"> at para 38 relying on </w:t>
      </w:r>
      <w:r w:rsidRPr="00730708">
        <w:rPr>
          <w:i/>
          <w:lang w:val="en-US"/>
        </w:rPr>
        <w:t>Ness and another v Greef</w:t>
      </w:r>
      <w:r>
        <w:rPr>
          <w:lang w:val="en-US"/>
        </w:rPr>
        <w:t xml:space="preserve"> 1985 ($) SA 641 (</w:t>
      </w:r>
      <w:r w:rsidR="00EE2C3B">
        <w:rPr>
          <w:lang w:val="en-US"/>
        </w:rPr>
        <w:t>C)</w:t>
      </w:r>
      <w:r>
        <w:rPr>
          <w:lang w:val="en-US"/>
        </w:rPr>
        <w:t xml:space="preserve"> at 647CE</w:t>
      </w:r>
    </w:p>
  </w:footnote>
  <w:footnote w:id="86">
    <w:p w:rsidR="00195B3B" w:rsidRPr="00195B3B" w:rsidRDefault="00195B3B">
      <w:pPr>
        <w:pStyle w:val="FootnoteText"/>
        <w:rPr>
          <w:lang w:val="en-US"/>
        </w:rPr>
      </w:pPr>
      <w:r>
        <w:rPr>
          <w:rStyle w:val="FootnoteReference"/>
        </w:rPr>
        <w:footnoteRef/>
      </w:r>
      <w:r>
        <w:t xml:space="preserve"> </w:t>
      </w:r>
      <w:r>
        <w:rPr>
          <w:lang w:val="en-US"/>
        </w:rPr>
        <w:t>Id at para 66</w:t>
      </w:r>
    </w:p>
  </w:footnote>
  <w:footnote w:id="87">
    <w:p w:rsidR="00413836" w:rsidRPr="003263B3" w:rsidRDefault="00413836" w:rsidP="00413836">
      <w:pPr>
        <w:pStyle w:val="FootnoteText"/>
        <w:rPr>
          <w:lang w:val="en-US"/>
        </w:rPr>
      </w:pPr>
      <w:r>
        <w:rPr>
          <w:rStyle w:val="FootnoteReference"/>
        </w:rPr>
        <w:footnoteRef/>
      </w:r>
      <w:r>
        <w:t xml:space="preserve"> </w:t>
      </w:r>
      <w:r>
        <w:rPr>
          <w:lang w:val="en-US"/>
        </w:rPr>
        <w:t>Id at para 29 citing</w:t>
      </w:r>
      <w:r w:rsidRPr="003263B3">
        <w:rPr>
          <w:i/>
          <w:lang w:val="en-US"/>
        </w:rPr>
        <w:t xml:space="preserve"> Yeko</w:t>
      </w:r>
      <w:r>
        <w:rPr>
          <w:lang w:val="en-US"/>
        </w:rPr>
        <w:t xml:space="preserve"> at para 739</w:t>
      </w:r>
    </w:p>
  </w:footnote>
  <w:footnote w:id="88">
    <w:p w:rsidR="00413836" w:rsidRPr="006C6165" w:rsidRDefault="00413836" w:rsidP="00413836">
      <w:pPr>
        <w:pStyle w:val="FootnoteText"/>
        <w:rPr>
          <w:lang w:val="en-US"/>
        </w:rPr>
      </w:pPr>
      <w:r>
        <w:rPr>
          <w:rStyle w:val="FootnoteReference"/>
        </w:rPr>
        <w:footnoteRef/>
      </w:r>
      <w:r>
        <w:t xml:space="preserve"> </w:t>
      </w:r>
      <w:r>
        <w:rPr>
          <w:lang w:val="en-US"/>
        </w:rPr>
        <w:t>Id at para 32</w:t>
      </w:r>
    </w:p>
  </w:footnote>
  <w:footnote w:id="89">
    <w:p w:rsidR="00413836" w:rsidRDefault="00413836" w:rsidP="00413836">
      <w:pPr>
        <w:pStyle w:val="FootnoteText"/>
        <w:rPr>
          <w:lang w:val="en-US"/>
        </w:rPr>
      </w:pPr>
      <w:r>
        <w:rPr>
          <w:rStyle w:val="FootnoteReference"/>
        </w:rPr>
        <w:footnoteRef/>
      </w:r>
      <w:r>
        <w:t xml:space="preserve"> </w:t>
      </w:r>
      <w:r>
        <w:rPr>
          <w:lang w:val="en-US"/>
        </w:rPr>
        <w:t xml:space="preserve">Id at para 84: </w:t>
      </w:r>
    </w:p>
    <w:p w:rsidR="00413836" w:rsidRPr="00730708" w:rsidRDefault="00413836" w:rsidP="00413836">
      <w:pPr>
        <w:pStyle w:val="FootnoteText"/>
        <w:ind w:left="720"/>
        <w:rPr>
          <w:i/>
          <w:lang w:val="en-US"/>
        </w:rPr>
      </w:pPr>
      <w:r w:rsidRPr="006A299B">
        <w:rPr>
          <w:i/>
          <w:lang w:val="en-US"/>
        </w:rPr>
        <w:t xml:space="preserve">“The structure need not be completed nor occupied for the possessory element of spoliation, as defined in Yeko, to be perfected.” </w:t>
      </w:r>
      <w:r>
        <w:rPr>
          <w:i/>
          <w:lang w:val="en-US"/>
        </w:rPr>
        <w:t xml:space="preserve">   </w:t>
      </w:r>
    </w:p>
  </w:footnote>
  <w:footnote w:id="90">
    <w:p w:rsidR="00413836" w:rsidRPr="00013188" w:rsidRDefault="00413836" w:rsidP="00413836">
      <w:pPr>
        <w:pStyle w:val="FootnoteText"/>
        <w:rPr>
          <w:lang w:val="en-US"/>
        </w:rPr>
      </w:pPr>
      <w:r>
        <w:rPr>
          <w:rStyle w:val="FootnoteReference"/>
        </w:rPr>
        <w:footnoteRef/>
      </w:r>
      <w:r>
        <w:t xml:space="preserve"> Id at para 66</w:t>
      </w:r>
      <w:r>
        <w:rPr>
          <w:lang w:val="en-US"/>
        </w:rPr>
        <w:t xml:space="preserve"> </w:t>
      </w:r>
    </w:p>
  </w:footnote>
  <w:footnote w:id="91">
    <w:p w:rsidR="00900FA6" w:rsidRPr="003566C6" w:rsidRDefault="00900FA6">
      <w:pPr>
        <w:pStyle w:val="FootnoteText"/>
        <w:rPr>
          <w:lang w:val="en-US"/>
        </w:rPr>
      </w:pPr>
      <w:r>
        <w:rPr>
          <w:rStyle w:val="FootnoteReference"/>
        </w:rPr>
        <w:footnoteRef/>
      </w:r>
      <w:r>
        <w:t xml:space="preserve"> </w:t>
      </w:r>
      <w:r w:rsidRPr="00F3790B">
        <w:rPr>
          <w:i/>
          <w:lang w:val="en-US"/>
        </w:rPr>
        <w:t>SAHRC</w:t>
      </w:r>
      <w:r>
        <w:rPr>
          <w:lang w:val="en-US"/>
        </w:rPr>
        <w:t xml:space="preserve"> at para 54.</w:t>
      </w:r>
    </w:p>
  </w:footnote>
  <w:footnote w:id="92">
    <w:p w:rsidR="00900FA6" w:rsidRPr="003566C6" w:rsidRDefault="00900FA6">
      <w:pPr>
        <w:pStyle w:val="FootnoteText"/>
        <w:rPr>
          <w:lang w:val="en-US"/>
        </w:rPr>
      </w:pPr>
      <w:r>
        <w:rPr>
          <w:rStyle w:val="FootnoteReference"/>
        </w:rPr>
        <w:footnoteRef/>
      </w:r>
      <w:r>
        <w:t xml:space="preserve"> </w:t>
      </w:r>
      <w:r>
        <w:rPr>
          <w:lang w:val="en-US"/>
        </w:rPr>
        <w:t xml:space="preserve">Id at para 56 citing Yeko at 739E </w:t>
      </w:r>
    </w:p>
  </w:footnote>
  <w:footnote w:id="93">
    <w:p w:rsidR="00730708" w:rsidRPr="000B7F63" w:rsidRDefault="00730708" w:rsidP="00730708">
      <w:pPr>
        <w:pStyle w:val="FootnoteText"/>
        <w:rPr>
          <w:lang w:val="en-US"/>
        </w:rPr>
      </w:pPr>
      <w:r>
        <w:rPr>
          <w:rStyle w:val="FootnoteReference"/>
        </w:rPr>
        <w:footnoteRef/>
      </w:r>
      <w:r>
        <w:t xml:space="preserve"> </w:t>
      </w:r>
      <w:r>
        <w:rPr>
          <w:lang w:val="en-US"/>
        </w:rPr>
        <w:t>Yeko at 739G</w:t>
      </w:r>
    </w:p>
  </w:footnote>
  <w:footnote w:id="94">
    <w:p w:rsidR="00900FA6" w:rsidRPr="00985C1A" w:rsidRDefault="00900FA6">
      <w:pPr>
        <w:pStyle w:val="FootnoteText"/>
        <w:rPr>
          <w:lang w:val="en-US"/>
        </w:rPr>
      </w:pPr>
      <w:r>
        <w:rPr>
          <w:rStyle w:val="FootnoteReference"/>
        </w:rPr>
        <w:footnoteRef/>
      </w:r>
      <w:r>
        <w:t xml:space="preserve"> </w:t>
      </w:r>
      <w:r>
        <w:rPr>
          <w:lang w:val="en-US"/>
        </w:rPr>
        <w:t>Yeko at 739H</w:t>
      </w:r>
    </w:p>
  </w:footnote>
  <w:footnote w:id="95">
    <w:p w:rsidR="00900FA6" w:rsidRPr="00985C1A" w:rsidRDefault="00900FA6">
      <w:pPr>
        <w:pStyle w:val="FootnoteText"/>
        <w:rPr>
          <w:lang w:val="en-US"/>
        </w:rPr>
      </w:pPr>
      <w:r>
        <w:rPr>
          <w:rStyle w:val="FootnoteReference"/>
        </w:rPr>
        <w:footnoteRef/>
      </w:r>
      <w:r>
        <w:t xml:space="preserve"> </w:t>
      </w:r>
      <w:r w:rsidRPr="00413836">
        <w:rPr>
          <w:i/>
          <w:lang w:val="en-US"/>
        </w:rPr>
        <w:t>Id</w:t>
      </w:r>
      <w:r>
        <w:rPr>
          <w:lang w:val="en-US"/>
        </w:rPr>
        <w:t xml:space="preserve"> at 739C-D</w:t>
      </w:r>
    </w:p>
  </w:footnote>
  <w:footnote w:id="96">
    <w:p w:rsidR="00900FA6" w:rsidRPr="00985C1A" w:rsidRDefault="00900FA6">
      <w:pPr>
        <w:pStyle w:val="FootnoteText"/>
        <w:rPr>
          <w:lang w:val="en-US"/>
        </w:rPr>
      </w:pPr>
      <w:r>
        <w:rPr>
          <w:rStyle w:val="FootnoteReference"/>
        </w:rPr>
        <w:footnoteRef/>
      </w:r>
      <w:r>
        <w:t xml:space="preserve"> </w:t>
      </w:r>
      <w:r w:rsidR="00413836" w:rsidRPr="00413836">
        <w:rPr>
          <w:i/>
          <w:lang w:val="en-US"/>
        </w:rPr>
        <w:t>Id</w:t>
      </w:r>
      <w:r>
        <w:rPr>
          <w:lang w:val="en-US"/>
        </w:rPr>
        <w:t xml:space="preserve"> at 740A-B</w:t>
      </w:r>
    </w:p>
  </w:footnote>
  <w:footnote w:id="97">
    <w:p w:rsidR="00900FA6" w:rsidRPr="00066C68" w:rsidRDefault="00900FA6">
      <w:pPr>
        <w:pStyle w:val="FootnoteText"/>
        <w:rPr>
          <w:lang w:val="en-US"/>
        </w:rPr>
      </w:pPr>
    </w:p>
  </w:footnote>
  <w:footnote w:id="98">
    <w:p w:rsidR="00413836" w:rsidRPr="00413836" w:rsidRDefault="00413836">
      <w:pPr>
        <w:pStyle w:val="FootnoteText"/>
        <w:rPr>
          <w:lang w:val="en-US"/>
        </w:rPr>
      </w:pPr>
      <w:r>
        <w:rPr>
          <w:rStyle w:val="FootnoteReference"/>
        </w:rPr>
        <w:footnoteRef/>
      </w:r>
      <w:r>
        <w:t xml:space="preserve"> </w:t>
      </w:r>
      <w:r w:rsidRPr="00413836">
        <w:rPr>
          <w:i/>
        </w:rPr>
        <w:t>Fischer</w:t>
      </w:r>
      <w:r w:rsidRPr="00413836">
        <w:t xml:space="preserve"> at paras 22 and 23 against ftns 14 and 16</w:t>
      </w:r>
    </w:p>
  </w:footnote>
  <w:footnote w:id="99">
    <w:p w:rsidR="00D93310" w:rsidRPr="00D93310" w:rsidRDefault="00D93310">
      <w:pPr>
        <w:pStyle w:val="FootnoteText"/>
        <w:rPr>
          <w:lang w:val="en-US"/>
        </w:rPr>
      </w:pPr>
      <w:r>
        <w:rPr>
          <w:rStyle w:val="FootnoteReference"/>
        </w:rPr>
        <w:footnoteRef/>
      </w:r>
      <w:r>
        <w:t xml:space="preserve"> </w:t>
      </w:r>
      <w:r w:rsidR="00413836">
        <w:rPr>
          <w:i/>
          <w:lang w:val="en-US"/>
        </w:rPr>
        <w:t>Id</w:t>
      </w:r>
      <w:r>
        <w:rPr>
          <w:i/>
          <w:lang w:val="en-US"/>
        </w:rPr>
        <w:t xml:space="preserve"> </w:t>
      </w:r>
      <w:r>
        <w:rPr>
          <w:lang w:val="en-US"/>
        </w:rPr>
        <w:t>a</w:t>
      </w:r>
      <w:r w:rsidR="00413836">
        <w:rPr>
          <w:lang w:val="en-US"/>
        </w:rPr>
        <w:t xml:space="preserve">t </w:t>
      </w:r>
      <w:r w:rsidR="00EE2C3B">
        <w:rPr>
          <w:lang w:val="en-US"/>
        </w:rPr>
        <w:t>para 23</w:t>
      </w:r>
      <w:r>
        <w:rPr>
          <w:lang w:val="en-US"/>
        </w:rPr>
        <w:t xml:space="preserve"> against ftn 16</w:t>
      </w:r>
    </w:p>
  </w:footnote>
  <w:footnote w:id="100">
    <w:p w:rsidR="00413836" w:rsidRPr="00195B3B" w:rsidRDefault="00413836">
      <w:pPr>
        <w:pStyle w:val="FootnoteText"/>
        <w:rPr>
          <w:i/>
          <w:lang w:val="en-US"/>
        </w:rPr>
      </w:pPr>
      <w:r>
        <w:rPr>
          <w:rStyle w:val="FootnoteReference"/>
        </w:rPr>
        <w:footnoteRef/>
      </w:r>
      <w:r>
        <w:t xml:space="preserve"> See </w:t>
      </w:r>
      <w:r w:rsidRPr="00413836">
        <w:rPr>
          <w:i/>
          <w:lang w:val="en-US"/>
        </w:rPr>
        <w:t>SAHRC</w:t>
      </w:r>
      <w:r>
        <w:rPr>
          <w:lang w:val="en-US"/>
        </w:rPr>
        <w:t xml:space="preserve"> at para 60</w:t>
      </w:r>
    </w:p>
  </w:footnote>
  <w:footnote w:id="101">
    <w:p w:rsidR="00900FA6" w:rsidRPr="009378E7" w:rsidRDefault="00900FA6">
      <w:pPr>
        <w:pStyle w:val="FootnoteText"/>
        <w:rPr>
          <w:lang w:val="en-US"/>
        </w:rPr>
      </w:pPr>
      <w:r>
        <w:rPr>
          <w:rStyle w:val="FootnoteReference"/>
        </w:rPr>
        <w:footnoteRef/>
      </w:r>
      <w:r>
        <w:t xml:space="preserve"> </w:t>
      </w:r>
      <w:r>
        <w:rPr>
          <w:lang w:val="en-US"/>
        </w:rPr>
        <w:t xml:space="preserve">Although </w:t>
      </w:r>
      <w:r w:rsidRPr="00413836">
        <w:rPr>
          <w:i/>
          <w:lang w:val="en-US"/>
        </w:rPr>
        <w:t>SAHCR</w:t>
      </w:r>
      <w:r>
        <w:rPr>
          <w:lang w:val="en-US"/>
        </w:rPr>
        <w:t xml:space="preserve"> considered that the City was required to engage in peaceful negotiations with occupants under SAGA guidelines (at para 63), the general principles </w:t>
      </w:r>
      <w:r w:rsidR="00195B3B">
        <w:rPr>
          <w:lang w:val="en-US"/>
        </w:rPr>
        <w:t xml:space="preserve">which the case identified as entitling a party to </w:t>
      </w:r>
      <w:r>
        <w:rPr>
          <w:lang w:val="en-US"/>
        </w:rPr>
        <w:t>obtain a mandament or for a lawful counter-spoliation</w:t>
      </w:r>
      <w:r w:rsidR="00195B3B">
        <w:rPr>
          <w:lang w:val="en-US"/>
        </w:rPr>
        <w:t xml:space="preserve"> </w:t>
      </w:r>
      <w:r>
        <w:rPr>
          <w:lang w:val="en-US"/>
        </w:rPr>
        <w:t xml:space="preserve">do not appear to recognise this form of resistance as disrupting any attempt to gain peaceful and undisturbed possession during the </w:t>
      </w:r>
      <w:r w:rsidRPr="00013188">
        <w:rPr>
          <w:i/>
          <w:lang w:val="en-US"/>
        </w:rPr>
        <w:t>res gestae</w:t>
      </w:r>
      <w:r>
        <w:rPr>
          <w:lang w:val="en-US"/>
        </w:rPr>
        <w:t xml:space="preserve"> period. </w:t>
      </w:r>
    </w:p>
  </w:footnote>
  <w:footnote w:id="102">
    <w:p w:rsidR="00413836" w:rsidRPr="00413836" w:rsidRDefault="00413836">
      <w:pPr>
        <w:pStyle w:val="FootnoteText"/>
        <w:rPr>
          <w:lang w:val="en-US"/>
        </w:rPr>
      </w:pPr>
      <w:r>
        <w:rPr>
          <w:rStyle w:val="FootnoteReference"/>
        </w:rPr>
        <w:footnoteRef/>
      </w:r>
      <w:r>
        <w:t xml:space="preserve"> </w:t>
      </w:r>
      <w:r w:rsidRPr="00413836">
        <w:rPr>
          <w:i/>
        </w:rPr>
        <w:t>SAHRC</w:t>
      </w:r>
      <w:r>
        <w:t xml:space="preserve"> at para 44</w:t>
      </w:r>
    </w:p>
  </w:footnote>
  <w:footnote w:id="103">
    <w:p w:rsidR="00900FA6" w:rsidRDefault="00900FA6">
      <w:pPr>
        <w:pStyle w:val="FootnoteText"/>
        <w:rPr>
          <w:lang w:val="en-US"/>
        </w:rPr>
      </w:pPr>
      <w:r>
        <w:rPr>
          <w:rStyle w:val="FootnoteReference"/>
        </w:rPr>
        <w:footnoteRef/>
      </w:r>
      <w:r>
        <w:t xml:space="preserve"> </w:t>
      </w:r>
      <w:r>
        <w:rPr>
          <w:lang w:val="en-US"/>
        </w:rPr>
        <w:t>At 801B-F. The court also pointed out at 801F-G that:</w:t>
      </w:r>
    </w:p>
    <w:p w:rsidR="00900FA6" w:rsidRPr="00F020F6" w:rsidRDefault="00900FA6" w:rsidP="0031724B">
      <w:pPr>
        <w:pStyle w:val="FootnoteText"/>
        <w:ind w:left="720"/>
        <w:rPr>
          <w:i/>
          <w:lang w:val="en-US"/>
        </w:rPr>
      </w:pPr>
      <w:r w:rsidRPr="00F020F6">
        <w:rPr>
          <w:i/>
          <w:lang w:val="en-US"/>
        </w:rPr>
        <w:t>“There is obviously a fundamental difference (in scope) between the mental elements of natural possession and civil possession. The affectus or animus tenendi of natural possession is directed towards the exercise of the physical control over a corporeal thing for the possessor as his own (animus rem sibi habendi).  The mandament is concerned exclusively with natural possession. See Voet 41.2.3(Gane translation) ftns 2 and (b) and 41.2.5</w:t>
      </w:r>
    </w:p>
  </w:footnote>
  <w:footnote w:id="104">
    <w:p w:rsidR="000774C7" w:rsidRPr="000774C7" w:rsidRDefault="000774C7">
      <w:pPr>
        <w:pStyle w:val="FootnoteText"/>
        <w:rPr>
          <w:lang w:val="en-US"/>
        </w:rPr>
      </w:pPr>
      <w:r>
        <w:rPr>
          <w:rStyle w:val="FootnoteReference"/>
        </w:rPr>
        <w:footnoteRef/>
      </w:r>
      <w:r>
        <w:t xml:space="preserve"> In the </w:t>
      </w:r>
      <w:r>
        <w:rPr>
          <w:lang w:val="en-US"/>
        </w:rPr>
        <w:t>AA at para 35 the first respondent group allege that this occurred “</w:t>
      </w:r>
      <w:r w:rsidRPr="000774C7">
        <w:rPr>
          <w:i/>
          <w:lang w:val="en-US"/>
        </w:rPr>
        <w:t>On or about 18 July</w:t>
      </w:r>
      <w:r>
        <w:rPr>
          <w:lang w:val="en-US"/>
        </w:rPr>
        <w:t>”.  In context it appears that the date would have been the day before.</w:t>
      </w:r>
    </w:p>
  </w:footnote>
  <w:footnote w:id="105">
    <w:p w:rsidR="00900FA6" w:rsidRPr="001501FE" w:rsidRDefault="00900FA6">
      <w:pPr>
        <w:pStyle w:val="FootnoteText"/>
        <w:rPr>
          <w:lang w:val="en-US"/>
        </w:rPr>
      </w:pPr>
      <w:r>
        <w:rPr>
          <w:rStyle w:val="FootnoteReference"/>
        </w:rPr>
        <w:footnoteRef/>
      </w:r>
      <w:r>
        <w:t xml:space="preserve"> </w:t>
      </w:r>
      <w:r>
        <w:rPr>
          <w:lang w:val="en-US"/>
        </w:rPr>
        <w:t>AA para 35</w:t>
      </w:r>
    </w:p>
  </w:footnote>
  <w:footnote w:id="106">
    <w:p w:rsidR="00900FA6" w:rsidRPr="00125AC4" w:rsidRDefault="00900FA6">
      <w:pPr>
        <w:pStyle w:val="FootnoteText"/>
        <w:rPr>
          <w:lang w:val="en-US"/>
        </w:rPr>
      </w:pPr>
      <w:r>
        <w:rPr>
          <w:rStyle w:val="FootnoteReference"/>
        </w:rPr>
        <w:footnoteRef/>
      </w:r>
      <w:r>
        <w:t xml:space="preserve"> </w:t>
      </w:r>
      <w:r>
        <w:rPr>
          <w:lang w:val="en-US"/>
        </w:rPr>
        <w:t>AA para 39</w:t>
      </w:r>
    </w:p>
  </w:footnote>
  <w:footnote w:id="107">
    <w:p w:rsidR="00900FA6" w:rsidRPr="00154776" w:rsidRDefault="00900FA6">
      <w:pPr>
        <w:pStyle w:val="FootnoteText"/>
        <w:rPr>
          <w:lang w:val="en-US"/>
        </w:rPr>
      </w:pPr>
      <w:r>
        <w:rPr>
          <w:rStyle w:val="FootnoteReference"/>
        </w:rPr>
        <w:footnoteRef/>
      </w:r>
      <w:r>
        <w:t xml:space="preserve"> </w:t>
      </w:r>
      <w:r>
        <w:rPr>
          <w:lang w:val="en-US"/>
        </w:rPr>
        <w:t>The affidavit did not embellish on what was meant by ambush</w:t>
      </w:r>
    </w:p>
  </w:footnote>
  <w:footnote w:id="108">
    <w:p w:rsidR="00900FA6" w:rsidRPr="00FA06D2" w:rsidRDefault="00900FA6">
      <w:pPr>
        <w:pStyle w:val="FootnoteText"/>
        <w:rPr>
          <w:lang w:val="en-US"/>
        </w:rPr>
      </w:pPr>
      <w:r>
        <w:rPr>
          <w:rStyle w:val="FootnoteReference"/>
        </w:rPr>
        <w:footnoteRef/>
      </w:r>
      <w:r>
        <w:t xml:space="preserve"> </w:t>
      </w:r>
      <w:r>
        <w:rPr>
          <w:lang w:val="en-US"/>
        </w:rPr>
        <w:t>AA para 47</w:t>
      </w:r>
    </w:p>
  </w:footnote>
  <w:footnote w:id="109">
    <w:p w:rsidR="00900FA6" w:rsidRPr="007926C7" w:rsidRDefault="00900FA6">
      <w:pPr>
        <w:pStyle w:val="FootnoteText"/>
        <w:rPr>
          <w:lang w:val="en-GB"/>
        </w:rPr>
      </w:pPr>
      <w:r>
        <w:rPr>
          <w:rStyle w:val="FootnoteReference"/>
        </w:rPr>
        <w:footnoteRef/>
      </w:r>
      <w:r>
        <w:t xml:space="preserve"> </w:t>
      </w:r>
      <w:r>
        <w:rPr>
          <w:lang w:val="en-GB"/>
        </w:rPr>
        <w:t xml:space="preserve">AA para </w:t>
      </w:r>
    </w:p>
  </w:footnote>
  <w:footnote w:id="110">
    <w:p w:rsidR="00900FA6" w:rsidRPr="00531AE1" w:rsidRDefault="00900FA6" w:rsidP="00531AE1">
      <w:pPr>
        <w:pStyle w:val="FootnoteText"/>
        <w:rPr>
          <w:lang w:val="en-US"/>
        </w:rPr>
      </w:pPr>
      <w:r>
        <w:rPr>
          <w:rStyle w:val="FootnoteReference"/>
        </w:rPr>
        <w:footnoteRef/>
      </w:r>
      <w:r>
        <w:t xml:space="preserve"> </w:t>
      </w:r>
      <w:r>
        <w:rPr>
          <w:lang w:val="en-US"/>
        </w:rPr>
        <w:t xml:space="preserve">The protection would also be afforded to a person who holds </w:t>
      </w:r>
      <w:r w:rsidRPr="00531AE1">
        <w:rPr>
          <w:lang w:val="en-US"/>
        </w:rPr>
        <w:t>a superior right of pos</w:t>
      </w:r>
      <w:r>
        <w:rPr>
          <w:lang w:val="en-US"/>
        </w:rPr>
        <w:t>session to that claimed by the trespasser</w:t>
      </w:r>
    </w:p>
  </w:footnote>
  <w:footnote w:id="111">
    <w:p w:rsidR="00900FA6" w:rsidRPr="00A556AC" w:rsidRDefault="00900FA6" w:rsidP="00A556AC">
      <w:pPr>
        <w:pStyle w:val="FootnoteText"/>
      </w:pPr>
      <w:r>
        <w:rPr>
          <w:rStyle w:val="FootnoteReference"/>
        </w:rPr>
        <w:footnoteRef/>
      </w:r>
      <w:r>
        <w:t xml:space="preserve">   </w:t>
      </w:r>
      <w:r w:rsidRPr="00A556AC">
        <w:rPr>
          <w:i/>
        </w:rPr>
        <w:t>South Cambridgeshire District Council v Gammell And Others; The Mayor And Burgesses Of The London Borough Of Bromley v Winnie Maughan And Others</w:t>
      </w:r>
      <w:r>
        <w:t xml:space="preserve"> [</w:t>
      </w:r>
      <w:r w:rsidRPr="00A556AC">
        <w:t>2005] EWCA Civ 1429</w:t>
      </w:r>
      <w:r>
        <w:t xml:space="preserve"> at paras 21 and 32 to 33</w:t>
      </w:r>
    </w:p>
  </w:footnote>
  <w:footnote w:id="112">
    <w:p w:rsidR="00900FA6" w:rsidRPr="00C62010" w:rsidRDefault="00900FA6" w:rsidP="00C62010">
      <w:pPr>
        <w:pStyle w:val="FootnoteText"/>
        <w:rPr>
          <w:i/>
        </w:rPr>
      </w:pPr>
      <w:r>
        <w:rPr>
          <w:rStyle w:val="FootnoteReference"/>
        </w:rPr>
        <w:footnoteRef/>
      </w:r>
      <w:r>
        <w:t xml:space="preserve"> </w:t>
      </w:r>
      <w:r w:rsidRPr="00C62010">
        <w:rPr>
          <w:i/>
        </w:rPr>
        <w:t xml:space="preserve">High Speed Two (Hs2) Limited and another v Four Categories Of Persons Unknown </w:t>
      </w:r>
    </w:p>
    <w:p w:rsidR="00900FA6" w:rsidRPr="00C62010" w:rsidRDefault="00900FA6" w:rsidP="00C62010">
      <w:pPr>
        <w:pStyle w:val="FootnoteText"/>
      </w:pPr>
      <w:r w:rsidRPr="00C62010">
        <w:rPr>
          <w:i/>
        </w:rPr>
        <w:t>-and others</w:t>
      </w:r>
      <w:r>
        <w:t xml:space="preserve"> </w:t>
      </w:r>
      <w:r w:rsidRPr="00C62010">
        <w:t>[2022] EWHC 2360 (KB)</w:t>
      </w:r>
      <w:r>
        <w:t xml:space="preserve"> at paras 61 to 63. </w:t>
      </w:r>
    </w:p>
  </w:footnote>
  <w:footnote w:id="113">
    <w:p w:rsidR="00900FA6" w:rsidRPr="007B7FB1" w:rsidRDefault="00900FA6" w:rsidP="00824466">
      <w:pPr>
        <w:pStyle w:val="FootnoteText"/>
        <w:rPr>
          <w:lang w:val="en-US"/>
        </w:rPr>
      </w:pPr>
      <w:r>
        <w:rPr>
          <w:rStyle w:val="FootnoteReference"/>
        </w:rPr>
        <w:footnoteRef/>
      </w:r>
      <w:r>
        <w:t xml:space="preserve"> See </w:t>
      </w:r>
      <w:r>
        <w:rPr>
          <w:i/>
        </w:rPr>
        <w:t xml:space="preserve">Mtshali </w:t>
      </w:r>
      <w:r>
        <w:t>at paras 190 to 201 for more comprehensive details of the cases and the manner of securing service as well the individual details of those affected by the order</w:t>
      </w:r>
      <w:r w:rsidRPr="007B7FB1">
        <w:t xml:space="preserve">     </w:t>
      </w:r>
    </w:p>
  </w:footnote>
  <w:footnote w:id="114">
    <w:p w:rsidR="00195B3B" w:rsidRPr="00195B3B" w:rsidRDefault="00195B3B" w:rsidP="00195B3B">
      <w:pPr>
        <w:rPr>
          <w:sz w:val="20"/>
        </w:rPr>
      </w:pPr>
      <w:r>
        <w:rPr>
          <w:rStyle w:val="FootnoteReference"/>
        </w:rPr>
        <w:footnoteRef/>
      </w:r>
      <w:r>
        <w:t xml:space="preserve"> </w:t>
      </w:r>
      <w:r w:rsidRPr="00195B3B">
        <w:rPr>
          <w:sz w:val="20"/>
        </w:rPr>
        <w:t xml:space="preserve">Where </w:t>
      </w:r>
      <w:r>
        <w:rPr>
          <w:sz w:val="20"/>
        </w:rPr>
        <w:t>the need arises courts will</w:t>
      </w:r>
      <w:r w:rsidRPr="00195B3B">
        <w:rPr>
          <w:sz w:val="20"/>
        </w:rPr>
        <w:t xml:space="preserve"> fashion a remedy where a right has been infringed. See </w:t>
      </w:r>
      <w:r w:rsidRPr="00195B3B">
        <w:rPr>
          <w:i/>
          <w:sz w:val="20"/>
        </w:rPr>
        <w:t>Minister of the Interior and another v Harris</w:t>
      </w:r>
      <w:r w:rsidRPr="00195B3B">
        <w:rPr>
          <w:sz w:val="20"/>
        </w:rPr>
        <w:t xml:space="preserve"> 1952(4) SA 769 (AD) at p781A-B. It is also implicit from the authorities there cited that a party is entitled to a remedy that is effective in order to redress the right infringed.</w:t>
      </w:r>
    </w:p>
    <w:p w:rsidR="00195B3B" w:rsidRPr="00195B3B" w:rsidRDefault="00195B3B">
      <w:pPr>
        <w:pStyle w:val="FootnoteText"/>
        <w:rPr>
          <w:lang w:val="en-US"/>
        </w:rPr>
      </w:pPr>
    </w:p>
  </w:footnote>
  <w:footnote w:id="115">
    <w:p w:rsidR="00195B3B" w:rsidRPr="00195B3B" w:rsidRDefault="00195B3B">
      <w:pPr>
        <w:pStyle w:val="FootnoteText"/>
        <w:rPr>
          <w:lang w:val="en-US"/>
        </w:rPr>
      </w:pPr>
      <w:r>
        <w:rPr>
          <w:rStyle w:val="FootnoteReference"/>
        </w:rPr>
        <w:footnoteRef/>
      </w:r>
      <w:r>
        <w:t xml:space="preserve"> </w:t>
      </w:r>
      <w:r>
        <w:rPr>
          <w:lang w:val="en-US"/>
        </w:rPr>
        <w:t>S 34 is concerned with access to the courts and the right to a fair hearing; s 9(1) deals with the right of every person to equality before the law and to equal protection and benefit of the law; s 26(3) provides that no one m</w:t>
      </w:r>
      <w:r w:rsidR="00025D81">
        <w:rPr>
          <w:lang w:val="en-US"/>
        </w:rPr>
        <w:t xml:space="preserve">ay be evicted from their house </w:t>
      </w:r>
      <w:r>
        <w:rPr>
          <w:lang w:val="en-US"/>
        </w:rPr>
        <w:t xml:space="preserve">or have their home demolished without an order of court made after considering the relevant circumstances (see ftn 29 which sets out the wording of s 26(3) </w:t>
      </w:r>
    </w:p>
  </w:footnote>
  <w:footnote w:id="116">
    <w:p w:rsidR="00900FA6" w:rsidRDefault="00900FA6">
      <w:pPr>
        <w:pStyle w:val="FootnoteText"/>
        <w:rPr>
          <w:lang w:val="en-US"/>
        </w:rPr>
      </w:pPr>
      <w:r>
        <w:rPr>
          <w:rStyle w:val="FootnoteReference"/>
        </w:rPr>
        <w:footnoteRef/>
      </w:r>
      <w:r>
        <w:t xml:space="preserve"> Chronologically the </w:t>
      </w:r>
      <w:r>
        <w:rPr>
          <w:lang w:val="en-US"/>
        </w:rPr>
        <w:t xml:space="preserve">five cases are: </w:t>
      </w:r>
    </w:p>
    <w:p w:rsidR="00900FA6" w:rsidRDefault="00900FA6" w:rsidP="001A6756">
      <w:pPr>
        <w:pStyle w:val="FootnoteText"/>
        <w:ind w:left="720"/>
        <w:rPr>
          <w:lang w:val="en-US"/>
        </w:rPr>
      </w:pPr>
      <w:r w:rsidRPr="001A6756">
        <w:rPr>
          <w:i/>
          <w:lang w:val="en-US"/>
        </w:rPr>
        <w:t>South Cambridgeshire Distri</w:t>
      </w:r>
      <w:r>
        <w:rPr>
          <w:i/>
          <w:lang w:val="en-US"/>
        </w:rPr>
        <w:t>ct Council v Gammell and Others</w:t>
      </w:r>
      <w:r w:rsidRPr="001A6756">
        <w:rPr>
          <w:i/>
          <w:lang w:val="en-US"/>
        </w:rPr>
        <w:t xml:space="preserve">; The Mayor And Burgesses Of The </w:t>
      </w:r>
      <w:r>
        <w:rPr>
          <w:i/>
          <w:lang w:val="en-US"/>
        </w:rPr>
        <w:t xml:space="preserve">  </w:t>
      </w:r>
      <w:r w:rsidRPr="001A6756">
        <w:rPr>
          <w:i/>
          <w:lang w:val="en-US"/>
        </w:rPr>
        <w:t>London Borough Of Bromley v Maughan and Others</w:t>
      </w:r>
      <w:r w:rsidRPr="001A6756">
        <w:rPr>
          <w:lang w:val="en-US"/>
        </w:rPr>
        <w:t xml:space="preserve"> [2006] WLR 658; [2005] EWCA Civ 1429</w:t>
      </w:r>
    </w:p>
    <w:p w:rsidR="00900FA6" w:rsidRDefault="00900FA6" w:rsidP="001A6756">
      <w:pPr>
        <w:pStyle w:val="FootnoteText"/>
        <w:ind w:left="720"/>
        <w:rPr>
          <w:lang w:val="en-US"/>
        </w:rPr>
      </w:pPr>
      <w:r w:rsidRPr="001A6756">
        <w:rPr>
          <w:i/>
          <w:lang w:val="en-US"/>
        </w:rPr>
        <w:t>Cameron v Liverpool Victoria Insurance Co Ltd</w:t>
      </w:r>
      <w:r w:rsidRPr="001A6756">
        <w:rPr>
          <w:lang w:val="en-US"/>
        </w:rPr>
        <w:t xml:space="preserve"> [2019] UKSC 6</w:t>
      </w:r>
    </w:p>
    <w:p w:rsidR="00900FA6" w:rsidRDefault="00900FA6" w:rsidP="001A6756">
      <w:pPr>
        <w:pStyle w:val="FootnoteText"/>
        <w:ind w:left="720"/>
        <w:rPr>
          <w:lang w:val="en-US"/>
        </w:rPr>
      </w:pPr>
      <w:r w:rsidRPr="001A6756">
        <w:rPr>
          <w:i/>
          <w:lang w:val="en-US"/>
        </w:rPr>
        <w:t>Canada Goose UK Retail Ltd. v. Persons Unknown and another</w:t>
      </w:r>
      <w:r w:rsidRPr="001A6756">
        <w:rPr>
          <w:lang w:val="en-US"/>
        </w:rPr>
        <w:t xml:space="preserve"> [2020] EWCA Civ 303, [2020] 1 WLR 2802</w:t>
      </w:r>
    </w:p>
    <w:p w:rsidR="00900FA6" w:rsidRDefault="00900FA6" w:rsidP="001A6756">
      <w:pPr>
        <w:pStyle w:val="FootnoteText"/>
        <w:ind w:left="720"/>
        <w:rPr>
          <w:lang w:val="en-US"/>
        </w:rPr>
      </w:pPr>
      <w:r w:rsidRPr="001A6756">
        <w:rPr>
          <w:i/>
          <w:lang w:val="en-US"/>
        </w:rPr>
        <w:t>Cuciurean v The Secretary of State for Transport and High Speed Two (HS2) Limited</w:t>
      </w:r>
      <w:r w:rsidRPr="001A6756">
        <w:rPr>
          <w:lang w:val="en-US"/>
        </w:rPr>
        <w:t xml:space="preserve"> [2021] EWCA Civ 357  </w:t>
      </w:r>
    </w:p>
    <w:p w:rsidR="00900FA6" w:rsidRPr="001A6756" w:rsidRDefault="00900FA6" w:rsidP="001A6756">
      <w:pPr>
        <w:pStyle w:val="FootnoteText"/>
        <w:ind w:left="720"/>
        <w:rPr>
          <w:lang w:val="en-US"/>
        </w:rPr>
      </w:pPr>
      <w:r w:rsidRPr="001A6756">
        <w:rPr>
          <w:i/>
          <w:lang w:val="en-US"/>
        </w:rPr>
        <w:t>London Borough of Barking and Dagenham and others v Persons Unknown</w:t>
      </w:r>
      <w:r w:rsidRPr="001A6756">
        <w:rPr>
          <w:lang w:val="en-US"/>
        </w:rPr>
        <w:t xml:space="preserve"> [2022] EWCA Civ 13</w:t>
      </w:r>
    </w:p>
  </w:footnote>
  <w:footnote w:id="117">
    <w:p w:rsidR="00900FA6" w:rsidRPr="00F518B1" w:rsidRDefault="00900FA6">
      <w:pPr>
        <w:pStyle w:val="FootnoteText"/>
        <w:rPr>
          <w:lang w:val="en-US"/>
        </w:rPr>
      </w:pPr>
      <w:r>
        <w:rPr>
          <w:rStyle w:val="FootnoteReference"/>
        </w:rPr>
        <w:footnoteRef/>
      </w:r>
      <w:r>
        <w:t xml:space="preserve"> </w:t>
      </w:r>
      <w:r w:rsidRPr="00F518B1">
        <w:rPr>
          <w:i/>
          <w:lang w:val="en-US"/>
        </w:rPr>
        <w:t>Gammell</w:t>
      </w:r>
      <w:r>
        <w:rPr>
          <w:lang w:val="en-US"/>
        </w:rPr>
        <w:t xml:space="preserve"> at paras 15, 16 </w:t>
      </w:r>
    </w:p>
  </w:footnote>
  <w:footnote w:id="118">
    <w:p w:rsidR="00900FA6" w:rsidRPr="00F518B1" w:rsidRDefault="00900FA6">
      <w:pPr>
        <w:pStyle w:val="FootnoteText"/>
        <w:rPr>
          <w:lang w:val="en-US"/>
        </w:rPr>
      </w:pPr>
      <w:r>
        <w:rPr>
          <w:rStyle w:val="FootnoteReference"/>
        </w:rPr>
        <w:footnoteRef/>
      </w:r>
      <w:r>
        <w:t xml:space="preserve"> </w:t>
      </w:r>
      <w:r w:rsidRPr="00F518B1">
        <w:rPr>
          <w:i/>
          <w:lang w:val="en-US"/>
        </w:rPr>
        <w:t>Gamm</w:t>
      </w:r>
      <w:r>
        <w:rPr>
          <w:i/>
          <w:lang w:val="en-US"/>
        </w:rPr>
        <w:t>e</w:t>
      </w:r>
      <w:r w:rsidRPr="00F518B1">
        <w:rPr>
          <w:i/>
          <w:lang w:val="en-US"/>
        </w:rPr>
        <w:t>ll</w:t>
      </w:r>
      <w:r>
        <w:rPr>
          <w:lang w:val="en-US"/>
        </w:rPr>
        <w:t xml:space="preserve"> at paras 21 and 24</w:t>
      </w:r>
    </w:p>
  </w:footnote>
  <w:footnote w:id="119">
    <w:p w:rsidR="00900FA6" w:rsidRDefault="00900FA6">
      <w:pPr>
        <w:pStyle w:val="FootnoteText"/>
        <w:rPr>
          <w:lang w:val="en-US"/>
        </w:rPr>
      </w:pPr>
      <w:r>
        <w:rPr>
          <w:rStyle w:val="FootnoteReference"/>
        </w:rPr>
        <w:footnoteRef/>
      </w:r>
      <w:r>
        <w:t xml:space="preserve"> </w:t>
      </w:r>
      <w:r>
        <w:rPr>
          <w:i/>
          <w:lang w:val="en-US"/>
        </w:rPr>
        <w:t xml:space="preserve">Gammell </w:t>
      </w:r>
      <w:r>
        <w:rPr>
          <w:lang w:val="en-US"/>
        </w:rPr>
        <w:t>at para 32:</w:t>
      </w:r>
    </w:p>
    <w:p w:rsidR="00900FA6" w:rsidRPr="00157C39" w:rsidRDefault="00900FA6" w:rsidP="00157C39">
      <w:pPr>
        <w:pStyle w:val="FootnoteText"/>
        <w:ind w:left="720"/>
        <w:rPr>
          <w:i/>
          <w:lang w:val="en-US"/>
        </w:rPr>
      </w:pPr>
      <w:r w:rsidRPr="00157C39">
        <w:rPr>
          <w:i/>
          <w:lang w:val="en-US"/>
        </w:rPr>
        <w:t>In my opinion that submission cannot be accepted. In each of these appeals the appellant became a party to the proceedings when she did an act which brought her within the definition of defendant in the particular case. Thus in the case of WM she became a person to whom the injunction was addressed and a defendant when she caused her three caravans to be stationed on the land on 20 September 2004. In the case of KG, she became both a person to whom the injunction was addressed and the defendant when she caused or permitted her caravans to occupy the site. In neither case was it necessary to make her a defendant to the proceedings later.</w:t>
      </w:r>
    </w:p>
  </w:footnote>
  <w:footnote w:id="120">
    <w:p w:rsidR="00900FA6" w:rsidRPr="000A74DD" w:rsidRDefault="00900FA6">
      <w:pPr>
        <w:pStyle w:val="FootnoteText"/>
        <w:rPr>
          <w:lang w:val="en-US"/>
        </w:rPr>
      </w:pPr>
      <w:r>
        <w:rPr>
          <w:rStyle w:val="FootnoteReference"/>
        </w:rPr>
        <w:footnoteRef/>
      </w:r>
      <w:r>
        <w:t xml:space="preserve"> </w:t>
      </w:r>
      <w:r w:rsidRPr="000A74DD">
        <w:rPr>
          <w:i/>
        </w:rPr>
        <w:t>Cameron</w:t>
      </w:r>
      <w:r w:rsidRPr="000A74DD">
        <w:t xml:space="preserve"> </w:t>
      </w:r>
      <w:r>
        <w:t xml:space="preserve">at </w:t>
      </w:r>
      <w:r w:rsidRPr="000A74DD">
        <w:t>paras 8 to 15</w:t>
      </w:r>
    </w:p>
  </w:footnote>
  <w:footnote w:id="121">
    <w:p w:rsidR="00900FA6" w:rsidRPr="000A4583" w:rsidRDefault="00900FA6">
      <w:pPr>
        <w:pStyle w:val="FootnoteText"/>
        <w:rPr>
          <w:lang w:val="en-US"/>
        </w:rPr>
      </w:pPr>
      <w:r>
        <w:rPr>
          <w:rStyle w:val="FootnoteReference"/>
        </w:rPr>
        <w:footnoteRef/>
      </w:r>
      <w:r>
        <w:t xml:space="preserve"> </w:t>
      </w:r>
      <w:r w:rsidR="003610CF" w:rsidRPr="003610CF">
        <w:rPr>
          <w:i/>
          <w:lang w:val="en-US"/>
        </w:rPr>
        <w:t>Id</w:t>
      </w:r>
      <w:r>
        <w:rPr>
          <w:lang w:val="en-US"/>
        </w:rPr>
        <w:t xml:space="preserve"> at para 13</w:t>
      </w:r>
    </w:p>
  </w:footnote>
  <w:footnote w:id="122">
    <w:p w:rsidR="00900FA6" w:rsidRPr="000A74DD" w:rsidRDefault="00900FA6">
      <w:pPr>
        <w:pStyle w:val="FootnoteText"/>
        <w:rPr>
          <w:lang w:val="en-US"/>
        </w:rPr>
      </w:pPr>
      <w:r>
        <w:rPr>
          <w:rStyle w:val="FootnoteReference"/>
        </w:rPr>
        <w:footnoteRef/>
      </w:r>
      <w:r>
        <w:t xml:space="preserve"> </w:t>
      </w:r>
      <w:r>
        <w:rPr>
          <w:i/>
          <w:lang w:val="en-US"/>
        </w:rPr>
        <w:t>Id</w:t>
      </w:r>
      <w:r>
        <w:rPr>
          <w:lang w:val="en-US"/>
        </w:rPr>
        <w:t xml:space="preserve"> </w:t>
      </w:r>
    </w:p>
  </w:footnote>
  <w:footnote w:id="123">
    <w:p w:rsidR="00900FA6" w:rsidRPr="00B471A5" w:rsidRDefault="00900FA6">
      <w:pPr>
        <w:pStyle w:val="FootnoteText"/>
        <w:rPr>
          <w:lang w:val="en-US"/>
        </w:rPr>
      </w:pPr>
      <w:r>
        <w:rPr>
          <w:rStyle w:val="FootnoteReference"/>
        </w:rPr>
        <w:footnoteRef/>
      </w:r>
      <w:r>
        <w:t xml:space="preserve"> </w:t>
      </w:r>
      <w:r w:rsidR="003610CF">
        <w:rPr>
          <w:i/>
          <w:lang w:val="en-US"/>
        </w:rPr>
        <w:t>id</w:t>
      </w:r>
      <w:r>
        <w:rPr>
          <w:lang w:val="en-US"/>
        </w:rPr>
        <w:t xml:space="preserve"> at para 17</w:t>
      </w:r>
    </w:p>
  </w:footnote>
  <w:footnote w:id="124">
    <w:p w:rsidR="00900FA6" w:rsidRDefault="00900FA6">
      <w:pPr>
        <w:pStyle w:val="FootnoteText"/>
        <w:rPr>
          <w:lang w:val="en-US"/>
        </w:rPr>
      </w:pPr>
      <w:r>
        <w:rPr>
          <w:rStyle w:val="FootnoteReference"/>
        </w:rPr>
        <w:footnoteRef/>
      </w:r>
      <w:r>
        <w:t xml:space="preserve"> </w:t>
      </w:r>
      <w:r>
        <w:rPr>
          <w:lang w:val="en-US"/>
        </w:rPr>
        <w:t>Section 34 provides:</w:t>
      </w:r>
    </w:p>
    <w:p w:rsidR="00900FA6" w:rsidRPr="00B471A5" w:rsidRDefault="00900FA6" w:rsidP="00B471A5">
      <w:pPr>
        <w:pStyle w:val="FootnoteText"/>
        <w:rPr>
          <w:i/>
          <w:u w:val="single"/>
          <w:lang w:val="en-US"/>
        </w:rPr>
      </w:pPr>
      <w:r>
        <w:rPr>
          <w:lang w:val="en-US"/>
        </w:rPr>
        <w:tab/>
      </w:r>
      <w:r w:rsidRPr="00B471A5">
        <w:rPr>
          <w:i/>
          <w:u w:val="single"/>
          <w:lang w:val="en-US"/>
        </w:rPr>
        <w:t>Access to courts</w:t>
      </w:r>
    </w:p>
    <w:p w:rsidR="00900FA6" w:rsidRDefault="00900FA6" w:rsidP="00B471A5">
      <w:pPr>
        <w:pStyle w:val="FootnoteText"/>
        <w:ind w:left="720"/>
        <w:rPr>
          <w:lang w:val="en-US"/>
        </w:rPr>
      </w:pPr>
      <w:r w:rsidRPr="00B471A5">
        <w:rPr>
          <w:i/>
          <w:lang w:val="en-US"/>
        </w:rPr>
        <w:t>Everyone has the right to have any dispute that can be resolved by the application of law decided in a fair public hearing before a court or, where appropriate, another independent and impartial tribunal or forum</w:t>
      </w:r>
      <w:r w:rsidRPr="00B471A5">
        <w:rPr>
          <w:lang w:val="en-US"/>
        </w:rPr>
        <w:t>.</w:t>
      </w:r>
    </w:p>
    <w:p w:rsidR="00900FA6" w:rsidRPr="000F50C7" w:rsidRDefault="00900FA6" w:rsidP="000F50C7">
      <w:pPr>
        <w:pStyle w:val="FootnoteText"/>
        <w:rPr>
          <w:lang w:val="en-US"/>
        </w:rPr>
      </w:pPr>
      <w:r>
        <w:rPr>
          <w:lang w:val="en-US"/>
        </w:rPr>
        <w:t xml:space="preserve">      The right cannot be effective without notice and an opportunity to be heard</w:t>
      </w:r>
    </w:p>
    <w:p w:rsidR="00900FA6" w:rsidRPr="00B471A5" w:rsidRDefault="00900FA6">
      <w:pPr>
        <w:pStyle w:val="FootnoteText"/>
        <w:rPr>
          <w:lang w:val="en-US"/>
        </w:rPr>
      </w:pPr>
    </w:p>
  </w:footnote>
  <w:footnote w:id="125">
    <w:p w:rsidR="00900FA6" w:rsidRPr="00F22B67" w:rsidRDefault="00900FA6">
      <w:pPr>
        <w:pStyle w:val="FootnoteText"/>
        <w:rPr>
          <w:lang w:val="en-US"/>
        </w:rPr>
      </w:pPr>
      <w:r>
        <w:rPr>
          <w:rStyle w:val="FootnoteReference"/>
        </w:rPr>
        <w:footnoteRef/>
      </w:r>
      <w:r>
        <w:t xml:space="preserve"> </w:t>
      </w:r>
      <w:r w:rsidRPr="003610CF">
        <w:rPr>
          <w:i/>
          <w:lang w:val="en-US"/>
        </w:rPr>
        <w:t>Cameron</w:t>
      </w:r>
      <w:r>
        <w:rPr>
          <w:lang w:val="en-US"/>
        </w:rPr>
        <w:t xml:space="preserve"> at para 15</w:t>
      </w:r>
    </w:p>
  </w:footnote>
  <w:footnote w:id="126">
    <w:p w:rsidR="00900FA6" w:rsidRPr="000F50C7" w:rsidRDefault="00900FA6">
      <w:pPr>
        <w:pStyle w:val="FootnoteText"/>
        <w:rPr>
          <w:lang w:val="en-US"/>
        </w:rPr>
      </w:pPr>
      <w:r>
        <w:rPr>
          <w:rStyle w:val="FootnoteReference"/>
        </w:rPr>
        <w:footnoteRef/>
      </w:r>
      <w:r>
        <w:t xml:space="preserve"> </w:t>
      </w:r>
      <w:r w:rsidR="003610CF">
        <w:rPr>
          <w:i/>
        </w:rPr>
        <w:t>Id</w:t>
      </w:r>
      <w:r>
        <w:rPr>
          <w:lang w:val="en-US"/>
        </w:rPr>
        <w:t xml:space="preserve"> at para 21.</w:t>
      </w:r>
    </w:p>
  </w:footnote>
  <w:footnote w:id="127">
    <w:p w:rsidR="00900FA6" w:rsidRPr="003F63CE" w:rsidRDefault="00900FA6">
      <w:pPr>
        <w:pStyle w:val="FootnoteText"/>
        <w:rPr>
          <w:lang w:val="en-US"/>
        </w:rPr>
      </w:pPr>
      <w:r>
        <w:rPr>
          <w:rStyle w:val="FootnoteReference"/>
        </w:rPr>
        <w:footnoteRef/>
      </w:r>
      <w:r>
        <w:t xml:space="preserve"> </w:t>
      </w:r>
      <w:r w:rsidR="0007653A" w:rsidRPr="0007653A">
        <w:rPr>
          <w:i/>
          <w:lang w:val="en-US"/>
        </w:rPr>
        <w:t>Canada Goose</w:t>
      </w:r>
      <w:r w:rsidR="0007653A">
        <w:rPr>
          <w:lang w:val="en-US"/>
        </w:rPr>
        <w:t xml:space="preserve"> at para 82. This was repeated with approval in </w:t>
      </w:r>
      <w:r w:rsidR="0007653A" w:rsidRPr="0007653A">
        <w:rPr>
          <w:i/>
        </w:rPr>
        <w:t>London Borough of Barking and Dagenham and others v Persons Unknown</w:t>
      </w:r>
      <w:r w:rsidR="0007653A" w:rsidRPr="0007653A">
        <w:t xml:space="preserve"> [2022] EWCA Civ </w:t>
      </w:r>
      <w:r w:rsidR="00EE2C3B" w:rsidRPr="0007653A">
        <w:t>13</w:t>
      </w:r>
      <w:r w:rsidR="00EE2C3B" w:rsidRPr="0007653A">
        <w:rPr>
          <w:i/>
        </w:rPr>
        <w:t xml:space="preserve"> </w:t>
      </w:r>
      <w:r w:rsidR="00EE2C3B" w:rsidRPr="0007653A">
        <w:t>at</w:t>
      </w:r>
      <w:r w:rsidR="0007653A">
        <w:t xml:space="preserve"> para 56. This despite </w:t>
      </w:r>
      <w:r w:rsidR="0007653A">
        <w:rPr>
          <w:i/>
        </w:rPr>
        <w:t xml:space="preserve">Borough of Barking </w:t>
      </w:r>
      <w:r w:rsidR="0007653A">
        <w:t xml:space="preserve">finding that the outcome of </w:t>
      </w:r>
      <w:r w:rsidR="0007653A">
        <w:rPr>
          <w:i/>
        </w:rPr>
        <w:t xml:space="preserve">Canada Goose </w:t>
      </w:r>
      <w:r w:rsidR="0007653A">
        <w:t>was incorrectly decided</w:t>
      </w:r>
      <w:r w:rsidR="0007653A">
        <w:rPr>
          <w:i/>
        </w:rPr>
        <w:t xml:space="preserve"> </w:t>
      </w:r>
      <w:r w:rsidR="0007653A">
        <w:t xml:space="preserve"> </w:t>
      </w:r>
      <w:r w:rsidR="0007653A">
        <w:rPr>
          <w:i/>
        </w:rPr>
        <w:t xml:space="preserve"> </w:t>
      </w:r>
    </w:p>
  </w:footnote>
  <w:footnote w:id="128">
    <w:p w:rsidR="00900FA6" w:rsidRDefault="00900FA6">
      <w:pPr>
        <w:pStyle w:val="FootnoteText"/>
        <w:rPr>
          <w:lang w:val="en-US"/>
        </w:rPr>
      </w:pPr>
      <w:r>
        <w:rPr>
          <w:rStyle w:val="FootnoteReference"/>
        </w:rPr>
        <w:footnoteRef/>
      </w:r>
      <w:r>
        <w:t xml:space="preserve"> </w:t>
      </w:r>
      <w:r w:rsidRPr="0007653A">
        <w:rPr>
          <w:i/>
          <w:lang w:val="en-US"/>
        </w:rPr>
        <w:t>Borough</w:t>
      </w:r>
      <w:r w:rsidR="009E09EE" w:rsidRPr="0007653A">
        <w:rPr>
          <w:i/>
          <w:lang w:val="en-US"/>
        </w:rPr>
        <w:t xml:space="preserve"> of </w:t>
      </w:r>
      <w:r w:rsidR="00EE2C3B" w:rsidRPr="0007653A">
        <w:rPr>
          <w:i/>
          <w:lang w:val="en-US"/>
        </w:rPr>
        <w:t>Barking</w:t>
      </w:r>
      <w:r w:rsidR="00EE2C3B">
        <w:rPr>
          <w:lang w:val="en-US"/>
        </w:rPr>
        <w:t xml:space="preserve"> at</w:t>
      </w:r>
      <w:r>
        <w:rPr>
          <w:lang w:val="en-US"/>
        </w:rPr>
        <w:t xml:space="preserve"> paras 99 to 100</w:t>
      </w:r>
      <w:r w:rsidR="009E09EE">
        <w:rPr>
          <w:lang w:val="en-US"/>
        </w:rPr>
        <w:t>. At paras 92 of the judgment the court said:</w:t>
      </w:r>
    </w:p>
    <w:p w:rsidR="009E09EE" w:rsidRPr="009E09EE" w:rsidRDefault="009E09EE" w:rsidP="009E09EE">
      <w:pPr>
        <w:pStyle w:val="FootnoteText"/>
        <w:ind w:left="720"/>
        <w:rPr>
          <w:i/>
          <w:lang w:val="en-US"/>
        </w:rPr>
      </w:pPr>
      <w:r w:rsidRPr="009E09EE">
        <w:rPr>
          <w:i/>
          <w:lang w:val="en-US"/>
        </w:rPr>
        <w:t>It was illogical for the court at [92] in Canada Goose to suggest, in the face of Gammell, that the parties to the action could only include persons unknown “who have breached the interim injunction and are identifiable albeit anonymous”. There is, as I have said, almost never a trial in a persons unknown case, whether one involving protesters or unauthorised encampments. It was wrong to suggest in this context that “[o]nce the trial has taken place and the rights of the parties have been determined, the litigation is at an end”. In these cases, the case is not at end until the injunction has been discharged.</w:t>
      </w:r>
    </w:p>
    <w:p w:rsidR="009E09EE" w:rsidRPr="00072BC8" w:rsidRDefault="009E09EE" w:rsidP="009E09EE">
      <w:pPr>
        <w:pStyle w:val="FootnoteText"/>
        <w:ind w:left="720"/>
        <w:rPr>
          <w:lang w:val="en-US"/>
        </w:rPr>
      </w:pPr>
    </w:p>
  </w:footnote>
  <w:footnote w:id="129">
    <w:p w:rsidR="00900FA6" w:rsidRPr="00557595" w:rsidRDefault="00900FA6" w:rsidP="00557595">
      <w:pPr>
        <w:pStyle w:val="FootnoteText"/>
      </w:pPr>
      <w:r>
        <w:rPr>
          <w:rStyle w:val="FootnoteReference"/>
        </w:rPr>
        <w:footnoteRef/>
      </w:r>
      <w:r>
        <w:t xml:space="preserve"> </w:t>
      </w:r>
      <w:r w:rsidRPr="00557595">
        <w:rPr>
          <w:i/>
        </w:rPr>
        <w:t>Cuciurean</w:t>
      </w:r>
      <w:r>
        <w:rPr>
          <w:i/>
        </w:rPr>
        <w:t xml:space="preserve"> </w:t>
      </w:r>
      <w:r>
        <w:t>at para 13</w:t>
      </w:r>
    </w:p>
  </w:footnote>
  <w:footnote w:id="130">
    <w:p w:rsidR="00900FA6" w:rsidRPr="00F87662" w:rsidRDefault="00900FA6">
      <w:pPr>
        <w:pStyle w:val="FootnoteText"/>
        <w:rPr>
          <w:lang w:val="en-US"/>
        </w:rPr>
      </w:pPr>
      <w:r>
        <w:rPr>
          <w:rStyle w:val="FootnoteReference"/>
        </w:rPr>
        <w:footnoteRef/>
      </w:r>
      <w:r>
        <w:t xml:space="preserve"> </w:t>
      </w:r>
      <w:r w:rsidRPr="00F87662">
        <w:rPr>
          <w:i/>
        </w:rPr>
        <w:t xml:space="preserve">Cuciurean </w:t>
      </w:r>
      <w:r w:rsidRPr="00F87662">
        <w:t>a</w:t>
      </w:r>
      <w:r>
        <w:t>t para 35</w:t>
      </w:r>
    </w:p>
  </w:footnote>
  <w:footnote w:id="131">
    <w:p w:rsidR="00900FA6" w:rsidRPr="00F87662" w:rsidRDefault="00900FA6">
      <w:pPr>
        <w:pStyle w:val="FootnoteText"/>
        <w:rPr>
          <w:lang w:val="en-US"/>
        </w:rPr>
      </w:pPr>
      <w:r>
        <w:rPr>
          <w:rStyle w:val="FootnoteReference"/>
        </w:rPr>
        <w:footnoteRef/>
      </w:r>
      <w:r>
        <w:t xml:space="preserve"> </w:t>
      </w:r>
      <w:r>
        <w:rPr>
          <w:lang w:val="en-US"/>
        </w:rPr>
        <w:t>Id para 35 (6)</w:t>
      </w:r>
    </w:p>
  </w:footnote>
  <w:footnote w:id="132">
    <w:p w:rsidR="00900FA6" w:rsidRPr="00A21710" w:rsidRDefault="00900FA6">
      <w:pPr>
        <w:pStyle w:val="FootnoteText"/>
        <w:rPr>
          <w:lang w:val="en-US"/>
        </w:rPr>
      </w:pPr>
      <w:r>
        <w:rPr>
          <w:rStyle w:val="FootnoteReference"/>
        </w:rPr>
        <w:footnoteRef/>
      </w:r>
      <w:r>
        <w:t xml:space="preserve"> </w:t>
      </w:r>
      <w:r>
        <w:rPr>
          <w:lang w:val="en-US"/>
        </w:rPr>
        <w:t>Id para 58</w:t>
      </w:r>
    </w:p>
  </w:footnote>
  <w:footnote w:id="133">
    <w:p w:rsidR="00900FA6" w:rsidRPr="000C5429" w:rsidRDefault="00900FA6">
      <w:pPr>
        <w:pStyle w:val="FootnoteText"/>
        <w:rPr>
          <w:lang w:val="en-US"/>
        </w:rPr>
      </w:pPr>
      <w:r>
        <w:rPr>
          <w:rStyle w:val="FootnoteReference"/>
        </w:rPr>
        <w:footnoteRef/>
      </w:r>
      <w:r>
        <w:t xml:space="preserve"> </w:t>
      </w:r>
      <w:r>
        <w:rPr>
          <w:lang w:val="en-US"/>
        </w:rPr>
        <w:t>Id para 60</w:t>
      </w:r>
    </w:p>
  </w:footnote>
  <w:footnote w:id="134">
    <w:p w:rsidR="00900FA6" w:rsidRPr="000C5429" w:rsidRDefault="00900FA6">
      <w:pPr>
        <w:pStyle w:val="FootnoteText"/>
        <w:rPr>
          <w:lang w:val="en-US"/>
        </w:rPr>
      </w:pPr>
      <w:r>
        <w:rPr>
          <w:rStyle w:val="FootnoteReference"/>
        </w:rPr>
        <w:footnoteRef/>
      </w:r>
      <w:r>
        <w:t xml:space="preserve"> </w:t>
      </w:r>
      <w:r>
        <w:rPr>
          <w:lang w:val="en-US"/>
        </w:rPr>
        <w:t>Id para 60</w:t>
      </w:r>
    </w:p>
  </w:footnote>
  <w:footnote w:id="135">
    <w:p w:rsidR="00900FA6" w:rsidRPr="000C5429" w:rsidRDefault="00900FA6">
      <w:pPr>
        <w:pStyle w:val="FootnoteText"/>
        <w:rPr>
          <w:lang w:val="en-US"/>
        </w:rPr>
      </w:pPr>
      <w:r>
        <w:rPr>
          <w:rStyle w:val="FootnoteReference"/>
        </w:rPr>
        <w:footnoteRef/>
      </w:r>
      <w:r>
        <w:t xml:space="preserve"> </w:t>
      </w:r>
      <w:r>
        <w:rPr>
          <w:lang w:val="en-US"/>
        </w:rPr>
        <w:t>Id para 60</w:t>
      </w:r>
    </w:p>
  </w:footnote>
  <w:footnote w:id="136">
    <w:p w:rsidR="00900FA6" w:rsidRPr="00B46BAC" w:rsidRDefault="00900FA6">
      <w:pPr>
        <w:pStyle w:val="FootnoteText"/>
        <w:rPr>
          <w:lang w:val="en-US"/>
        </w:rPr>
      </w:pPr>
      <w:r>
        <w:rPr>
          <w:rStyle w:val="FootnoteReference"/>
        </w:rPr>
        <w:footnoteRef/>
      </w:r>
      <w:r>
        <w:t xml:space="preserve"> </w:t>
      </w:r>
      <w:r>
        <w:rPr>
          <w:lang w:val="en-US"/>
        </w:rPr>
        <w:t>Id para 60</w:t>
      </w:r>
    </w:p>
  </w:footnote>
  <w:footnote w:id="137">
    <w:p w:rsidR="00900FA6" w:rsidRPr="00B46BAC" w:rsidRDefault="00900FA6">
      <w:pPr>
        <w:pStyle w:val="FootnoteText"/>
        <w:rPr>
          <w:lang w:val="en-US"/>
        </w:rPr>
      </w:pPr>
      <w:r>
        <w:rPr>
          <w:rStyle w:val="FootnoteReference"/>
        </w:rPr>
        <w:footnoteRef/>
      </w:r>
      <w:r>
        <w:t xml:space="preserve"> </w:t>
      </w:r>
      <w:r>
        <w:rPr>
          <w:lang w:val="en-US"/>
        </w:rPr>
        <w:t>Id para 62</w:t>
      </w:r>
    </w:p>
  </w:footnote>
  <w:footnote w:id="138">
    <w:p w:rsidR="00900FA6" w:rsidRPr="00775C2C" w:rsidRDefault="00900FA6">
      <w:pPr>
        <w:pStyle w:val="FootnoteText"/>
        <w:rPr>
          <w:lang w:val="en-US"/>
        </w:rPr>
      </w:pPr>
      <w:r>
        <w:rPr>
          <w:rStyle w:val="FootnoteReference"/>
        </w:rPr>
        <w:footnoteRef/>
      </w:r>
      <w:r>
        <w:t xml:space="preserve"> </w:t>
      </w:r>
      <w:r>
        <w:rPr>
          <w:lang w:val="en-US"/>
        </w:rPr>
        <w:t>Id para 67</w:t>
      </w:r>
    </w:p>
  </w:footnote>
  <w:footnote w:id="139">
    <w:p w:rsidR="00900FA6" w:rsidRPr="00C006D9" w:rsidRDefault="00900FA6" w:rsidP="00C006D9">
      <w:pPr>
        <w:pStyle w:val="FootnoteText"/>
      </w:pPr>
      <w:r>
        <w:rPr>
          <w:rStyle w:val="FootnoteReference"/>
        </w:rPr>
        <w:footnoteRef/>
      </w:r>
      <w:r>
        <w:t xml:space="preserve"> </w:t>
      </w:r>
      <w:r w:rsidRPr="00C006D9">
        <w:rPr>
          <w:i/>
        </w:rPr>
        <w:t>London Borough of Barking</w:t>
      </w:r>
      <w:r>
        <w:rPr>
          <w:i/>
        </w:rPr>
        <w:t xml:space="preserve"> </w:t>
      </w:r>
      <w:r>
        <w:t>at para 2</w:t>
      </w:r>
    </w:p>
  </w:footnote>
  <w:footnote w:id="140">
    <w:p w:rsidR="00900FA6" w:rsidRPr="008C5E15" w:rsidRDefault="00900FA6">
      <w:pPr>
        <w:pStyle w:val="FootnoteText"/>
        <w:rPr>
          <w:lang w:val="en-US"/>
        </w:rPr>
      </w:pPr>
      <w:r>
        <w:rPr>
          <w:rStyle w:val="FootnoteReference"/>
        </w:rPr>
        <w:footnoteRef/>
      </w:r>
      <w:r>
        <w:t xml:space="preserve"> </w:t>
      </w:r>
      <w:r w:rsidRPr="003610CF">
        <w:rPr>
          <w:i/>
          <w:lang w:val="en-US"/>
        </w:rPr>
        <w:t xml:space="preserve">Id </w:t>
      </w:r>
      <w:r>
        <w:rPr>
          <w:lang w:val="en-US"/>
        </w:rPr>
        <w:t>para 91</w:t>
      </w:r>
    </w:p>
  </w:footnote>
  <w:footnote w:id="141">
    <w:p w:rsidR="00900FA6" w:rsidRPr="00D22B48" w:rsidRDefault="00900FA6">
      <w:pPr>
        <w:pStyle w:val="FootnoteText"/>
        <w:rPr>
          <w:lang w:val="en-US"/>
        </w:rPr>
      </w:pPr>
      <w:r>
        <w:rPr>
          <w:rStyle w:val="FootnoteReference"/>
        </w:rPr>
        <w:footnoteRef/>
      </w:r>
      <w:r>
        <w:t xml:space="preserve"> </w:t>
      </w:r>
      <w:r w:rsidRPr="003610CF">
        <w:rPr>
          <w:i/>
          <w:lang w:val="en-US"/>
        </w:rPr>
        <w:t>Borough</w:t>
      </w:r>
      <w:r w:rsidR="003610CF" w:rsidRPr="003610CF">
        <w:rPr>
          <w:i/>
          <w:lang w:val="en-US"/>
        </w:rPr>
        <w:t xml:space="preserve"> of Barking</w:t>
      </w:r>
      <w:r w:rsidR="003610CF">
        <w:rPr>
          <w:lang w:val="en-US"/>
        </w:rPr>
        <w:t xml:space="preserve"> </w:t>
      </w:r>
      <w:r>
        <w:rPr>
          <w:lang w:val="en-US"/>
        </w:rPr>
        <w:t xml:space="preserve">at paras 91 and 92 </w:t>
      </w:r>
    </w:p>
  </w:footnote>
  <w:footnote w:id="142">
    <w:p w:rsidR="00900FA6" w:rsidRPr="002317C8" w:rsidRDefault="00900FA6">
      <w:pPr>
        <w:pStyle w:val="FootnoteText"/>
        <w:rPr>
          <w:lang w:val="en-US"/>
        </w:rPr>
      </w:pPr>
      <w:r>
        <w:rPr>
          <w:rStyle w:val="FootnoteReference"/>
        </w:rPr>
        <w:footnoteRef/>
      </w:r>
      <w:r>
        <w:t xml:space="preserve"> </w:t>
      </w:r>
      <w:r w:rsidRPr="003610CF">
        <w:rPr>
          <w:i/>
        </w:rPr>
        <w:t>Id</w:t>
      </w:r>
      <w:r>
        <w:t xml:space="preserve"> at para 7</w:t>
      </w:r>
    </w:p>
  </w:footnote>
  <w:footnote w:id="143">
    <w:p w:rsidR="00900FA6" w:rsidRPr="00012CAF" w:rsidRDefault="00900FA6">
      <w:pPr>
        <w:pStyle w:val="FootnoteText"/>
        <w:rPr>
          <w:lang w:val="en-US"/>
        </w:rPr>
      </w:pPr>
      <w:r>
        <w:rPr>
          <w:rStyle w:val="FootnoteReference"/>
        </w:rPr>
        <w:footnoteRef/>
      </w:r>
      <w:r>
        <w:t xml:space="preserve"> </w:t>
      </w:r>
      <w:r w:rsidRPr="003610CF">
        <w:rPr>
          <w:i/>
          <w:lang w:val="en-US"/>
        </w:rPr>
        <w:t>Id</w:t>
      </w:r>
      <w:r>
        <w:rPr>
          <w:lang w:val="en-US"/>
        </w:rPr>
        <w:t xml:space="preserve"> at para 89</w:t>
      </w:r>
    </w:p>
  </w:footnote>
  <w:footnote w:id="144">
    <w:p w:rsidR="00900FA6" w:rsidRPr="00542F88" w:rsidRDefault="00900FA6">
      <w:pPr>
        <w:pStyle w:val="FootnoteText"/>
        <w:rPr>
          <w:lang w:val="en-US"/>
        </w:rPr>
      </w:pPr>
      <w:r>
        <w:rPr>
          <w:rStyle w:val="FootnoteReference"/>
        </w:rPr>
        <w:footnoteRef/>
      </w:r>
      <w:r>
        <w:t xml:space="preserve"> </w:t>
      </w:r>
      <w:r>
        <w:rPr>
          <w:lang w:val="en-US"/>
        </w:rPr>
        <w:t>London Borough of B at para 92</w:t>
      </w:r>
    </w:p>
  </w:footnote>
  <w:footnote w:id="145">
    <w:p w:rsidR="00900FA6" w:rsidRPr="0008432A" w:rsidRDefault="00900FA6">
      <w:pPr>
        <w:pStyle w:val="FootnoteText"/>
        <w:rPr>
          <w:lang w:val="en-US"/>
        </w:rPr>
      </w:pPr>
      <w:r>
        <w:rPr>
          <w:rStyle w:val="FootnoteReference"/>
        </w:rPr>
        <w:footnoteRef/>
      </w:r>
      <w:r>
        <w:t xml:space="preserve"> </w:t>
      </w:r>
      <w:r>
        <w:rPr>
          <w:lang w:val="en-US"/>
        </w:rPr>
        <w:t xml:space="preserve">Id at paras 75, 80 to 82  </w:t>
      </w:r>
    </w:p>
  </w:footnote>
  <w:footnote w:id="146">
    <w:p w:rsidR="00900FA6" w:rsidRPr="006376EA" w:rsidRDefault="00900FA6">
      <w:pPr>
        <w:pStyle w:val="FootnoteText"/>
        <w:rPr>
          <w:lang w:val="en-US"/>
        </w:rPr>
      </w:pPr>
      <w:r>
        <w:rPr>
          <w:rStyle w:val="FootnoteReference"/>
        </w:rPr>
        <w:footnoteRef/>
      </w:r>
      <w:r>
        <w:t xml:space="preserve"> </w:t>
      </w:r>
      <w:r>
        <w:rPr>
          <w:lang w:val="en-US"/>
        </w:rPr>
        <w:t>Id at para 83</w:t>
      </w:r>
    </w:p>
  </w:footnote>
  <w:footnote w:id="147">
    <w:p w:rsidR="00900FA6" w:rsidRPr="00D52422" w:rsidRDefault="00900FA6">
      <w:pPr>
        <w:pStyle w:val="FootnoteText"/>
        <w:rPr>
          <w:lang w:val="en-US"/>
        </w:rPr>
      </w:pPr>
      <w:r>
        <w:rPr>
          <w:rStyle w:val="FootnoteReference"/>
        </w:rPr>
        <w:footnoteRef/>
      </w:r>
      <w:r>
        <w:t xml:space="preserve"> </w:t>
      </w:r>
      <w:r>
        <w:rPr>
          <w:lang w:val="en-US"/>
        </w:rPr>
        <w:t>Id at para 85</w:t>
      </w:r>
    </w:p>
  </w:footnote>
  <w:footnote w:id="148">
    <w:p w:rsidR="00900FA6" w:rsidRPr="00D52422" w:rsidRDefault="00900FA6">
      <w:pPr>
        <w:pStyle w:val="FootnoteText"/>
        <w:rPr>
          <w:lang w:val="en-US"/>
        </w:rPr>
      </w:pPr>
      <w:r>
        <w:rPr>
          <w:rStyle w:val="FootnoteReference"/>
        </w:rPr>
        <w:footnoteRef/>
      </w:r>
      <w:r>
        <w:t xml:space="preserve"> </w:t>
      </w:r>
      <w:r>
        <w:rPr>
          <w:lang w:val="en-US"/>
        </w:rPr>
        <w:t>Id at para 85</w:t>
      </w:r>
    </w:p>
  </w:footnote>
  <w:footnote w:id="149">
    <w:p w:rsidR="00900FA6" w:rsidRPr="00A611E8" w:rsidRDefault="00900FA6">
      <w:pPr>
        <w:pStyle w:val="FootnoteText"/>
        <w:rPr>
          <w:lang w:val="en-US"/>
        </w:rPr>
      </w:pPr>
      <w:r>
        <w:rPr>
          <w:rStyle w:val="FootnoteReference"/>
        </w:rPr>
        <w:footnoteRef/>
      </w:r>
      <w:r>
        <w:t xml:space="preserve"> </w:t>
      </w:r>
      <w:r>
        <w:rPr>
          <w:lang w:val="en-US"/>
        </w:rPr>
        <w:t>Id at paras 11 and 89</w:t>
      </w:r>
    </w:p>
  </w:footnote>
  <w:footnote w:id="150">
    <w:p w:rsidR="00900FA6" w:rsidRPr="00B16C18" w:rsidRDefault="00900FA6">
      <w:pPr>
        <w:pStyle w:val="FootnoteText"/>
        <w:rPr>
          <w:lang w:val="en-US"/>
        </w:rPr>
      </w:pPr>
      <w:r>
        <w:rPr>
          <w:rStyle w:val="FootnoteReference"/>
        </w:rPr>
        <w:footnoteRef/>
      </w:r>
      <w:r>
        <w:t xml:space="preserve"> </w:t>
      </w:r>
      <w:r>
        <w:rPr>
          <w:lang w:val="en-US"/>
        </w:rPr>
        <w:t>Id at paras 91, 92 and 107</w:t>
      </w:r>
    </w:p>
  </w:footnote>
  <w:footnote w:id="151">
    <w:p w:rsidR="00900FA6" w:rsidRPr="001341B9" w:rsidRDefault="00900FA6">
      <w:pPr>
        <w:pStyle w:val="FootnoteText"/>
        <w:rPr>
          <w:lang w:val="en-US"/>
        </w:rPr>
      </w:pPr>
      <w:r>
        <w:rPr>
          <w:rStyle w:val="FootnoteReference"/>
        </w:rPr>
        <w:footnoteRef/>
      </w:r>
      <w:r>
        <w:t xml:space="preserve"> </w:t>
      </w:r>
      <w:r>
        <w:rPr>
          <w:lang w:val="en-US"/>
        </w:rPr>
        <w:t xml:space="preserve">Id at para 117. CPR 8 deals with cases where there is unlikely to be a substantial dispute of fact (our motion proceedings) while ADP20 is a Practice Direction which supplements CPR 8 and deals with counterclaims and other additional claims  </w:t>
      </w:r>
    </w:p>
  </w:footnote>
  <w:footnote w:id="152">
    <w:p w:rsidR="00900FA6" w:rsidRPr="00976BCD" w:rsidRDefault="00900FA6">
      <w:pPr>
        <w:pStyle w:val="FootnoteText"/>
        <w:rPr>
          <w:lang w:val="en-US"/>
        </w:rPr>
      </w:pPr>
      <w:r>
        <w:rPr>
          <w:rStyle w:val="FootnoteReference"/>
        </w:rPr>
        <w:footnoteRef/>
      </w:r>
      <w:r>
        <w:t xml:space="preserve"> </w:t>
      </w:r>
      <w:r>
        <w:rPr>
          <w:lang w:val="en-US"/>
        </w:rPr>
        <w:t xml:space="preserve">Id para 120 to 121 </w:t>
      </w:r>
    </w:p>
  </w:footnote>
  <w:footnote w:id="153">
    <w:p w:rsidR="00900FA6" w:rsidRPr="00AE6ECA" w:rsidRDefault="00900FA6">
      <w:pPr>
        <w:pStyle w:val="FootnoteText"/>
        <w:rPr>
          <w:lang w:val="en-US"/>
        </w:rPr>
      </w:pPr>
      <w:r>
        <w:rPr>
          <w:rStyle w:val="FootnoteReference"/>
        </w:rPr>
        <w:footnoteRef/>
      </w:r>
      <w:r>
        <w:t xml:space="preserve"> </w:t>
      </w:r>
      <w:r>
        <w:rPr>
          <w:lang w:val="en-US"/>
        </w:rPr>
        <w:t>Id para 91</w:t>
      </w:r>
    </w:p>
  </w:footnote>
  <w:footnote w:id="154">
    <w:p w:rsidR="009E09EE" w:rsidRPr="009E09EE" w:rsidRDefault="00900FA6" w:rsidP="009E09EE">
      <w:pPr>
        <w:pStyle w:val="FootnoteText"/>
      </w:pPr>
      <w:r>
        <w:rPr>
          <w:rStyle w:val="FootnoteReference"/>
        </w:rPr>
        <w:footnoteRef/>
      </w:r>
      <w:r>
        <w:t xml:space="preserve"> See for instance </w:t>
      </w:r>
      <w:r w:rsidRPr="00BD5461">
        <w:rPr>
          <w:i/>
        </w:rPr>
        <w:t>MBR Acres Limited &amp; Ors v Gillian Frances McGivern</w:t>
      </w:r>
      <w:r>
        <w:t xml:space="preserve"> </w:t>
      </w:r>
      <w:r w:rsidRPr="00BD5461">
        <w:t>[2022] EWHC 2072 (QB)</w:t>
      </w:r>
      <w:r w:rsidR="009E09EE">
        <w:t xml:space="preserve">. See also </w:t>
      </w:r>
      <w:r w:rsidR="00902022" w:rsidRPr="009E09EE">
        <w:rPr>
          <w:i/>
        </w:rPr>
        <w:t xml:space="preserve">High Speed Two (Hs2) Limited and another v Four Categories Of Persons Unknown and </w:t>
      </w:r>
      <w:r w:rsidR="00E90078" w:rsidRPr="009E09EE">
        <w:rPr>
          <w:i/>
        </w:rPr>
        <w:t>others</w:t>
      </w:r>
      <w:r w:rsidR="00E90078" w:rsidRPr="009E09EE">
        <w:t xml:space="preserve"> [</w:t>
      </w:r>
      <w:r w:rsidR="00902022" w:rsidRPr="009E09EE">
        <w:t xml:space="preserve">2022] EWHC 2360 </w:t>
      </w:r>
      <w:r w:rsidR="009E09EE" w:rsidRPr="009E09EE">
        <w:t>(KB)</w:t>
      </w:r>
      <w:r w:rsidR="009E09EE">
        <w:t xml:space="preserve"> which is another more recent English High Court decision </w:t>
      </w:r>
    </w:p>
    <w:p w:rsidR="00900FA6" w:rsidRPr="00BD5461" w:rsidRDefault="00900FA6" w:rsidP="00BD5461">
      <w:pPr>
        <w:pStyle w:val="FootnoteText"/>
      </w:pPr>
      <w:r>
        <w:t xml:space="preserve"> </w:t>
      </w:r>
    </w:p>
    <w:p w:rsidR="00900FA6" w:rsidRPr="00BD5461" w:rsidRDefault="00900FA6">
      <w:pPr>
        <w:pStyle w:val="FootnoteText"/>
        <w:rPr>
          <w:lang w:val="en-US"/>
        </w:rPr>
      </w:pPr>
    </w:p>
  </w:footnote>
  <w:footnote w:id="155">
    <w:p w:rsidR="00900FA6" w:rsidRPr="00C747AD" w:rsidRDefault="00900FA6">
      <w:pPr>
        <w:pStyle w:val="FootnoteText"/>
        <w:rPr>
          <w:lang w:val="en-US"/>
        </w:rPr>
      </w:pPr>
      <w:r>
        <w:rPr>
          <w:rStyle w:val="FootnoteReference"/>
        </w:rPr>
        <w:footnoteRef/>
      </w:r>
      <w:r>
        <w:t xml:space="preserve"> </w:t>
      </w:r>
      <w:r>
        <w:rPr>
          <w:lang w:val="en-US"/>
        </w:rPr>
        <w:t>If only a return date is provided then it may be necessary to obtain an order for substituted re-service,</w:t>
      </w:r>
      <w:r w:rsidRPr="00571E90">
        <w:rPr>
          <w:lang w:val="en-US"/>
        </w:rPr>
        <w:t xml:space="preserve"> </w:t>
      </w:r>
      <w:r>
        <w:rPr>
          <w:lang w:val="en-US"/>
        </w:rPr>
        <w:t xml:space="preserve">in at least the same manner as before, of every extended return date if the interdict is to have continued efficacy on those who attempt to come onto the land in question after the initial return date   </w:t>
      </w:r>
    </w:p>
  </w:footnote>
  <w:footnote w:id="156">
    <w:p w:rsidR="00900FA6" w:rsidRPr="005B2D22" w:rsidRDefault="00900FA6">
      <w:pPr>
        <w:pStyle w:val="FootnoteText"/>
        <w:rPr>
          <w:lang w:val="en-US"/>
        </w:rPr>
      </w:pPr>
      <w:r>
        <w:rPr>
          <w:rStyle w:val="FootnoteReference"/>
        </w:rPr>
        <w:footnoteRef/>
      </w:r>
      <w:r>
        <w:t xml:space="preserve"> </w:t>
      </w:r>
      <w:r>
        <w:rPr>
          <w:lang w:val="en-US"/>
        </w:rPr>
        <w:t xml:space="preserve">The order for substituted service granted in </w:t>
      </w:r>
      <w:r w:rsidRPr="005B2D22">
        <w:rPr>
          <w:i/>
          <w:lang w:val="en-US"/>
        </w:rPr>
        <w:t>Cuciurean</w:t>
      </w:r>
      <w:r>
        <w:rPr>
          <w:lang w:val="en-US"/>
        </w:rPr>
        <w:t xml:space="preserve"> and reproduced earlier, insofar as it refers to the continued display of notices at the locality (as the extract does not deal with notification to those present at time of service through loud hailers) may provide some useful guidance, obviously adapted to the prevailing exigencies so as to achieve the same objective </w:t>
      </w:r>
    </w:p>
  </w:footnote>
  <w:footnote w:id="157">
    <w:p w:rsidR="00900FA6" w:rsidRPr="003C1CC4" w:rsidRDefault="00900FA6">
      <w:pPr>
        <w:pStyle w:val="FootnoteText"/>
        <w:rPr>
          <w:lang w:val="en-US"/>
        </w:rPr>
      </w:pPr>
      <w:r>
        <w:rPr>
          <w:rStyle w:val="FootnoteReference"/>
        </w:rPr>
        <w:footnoteRef/>
      </w:r>
      <w:r>
        <w:t xml:space="preserve"> </w:t>
      </w:r>
      <w:r>
        <w:rPr>
          <w:lang w:val="en-US"/>
        </w:rPr>
        <w:t>The realities of individually citing household heads let alone every adult and the guardian of or responsible person for a minor child makes it a formidable task where large groups of families or individuals are</w:t>
      </w:r>
      <w:r w:rsidR="009E09EE">
        <w:rPr>
          <w:lang w:val="en-US"/>
        </w:rPr>
        <w:t xml:space="preserve"> concerned and where they may be reluctant to identify themselves as falling within the category of persons identified in the citation. Let alone that by their signature they </w:t>
      </w:r>
      <w:r>
        <w:rPr>
          <w:lang w:val="en-US"/>
        </w:rPr>
        <w:t xml:space="preserve">are instructing </w:t>
      </w:r>
      <w:r w:rsidR="009E09EE">
        <w:rPr>
          <w:lang w:val="en-US"/>
        </w:rPr>
        <w:t xml:space="preserve">an </w:t>
      </w:r>
      <w:r>
        <w:rPr>
          <w:lang w:val="en-US"/>
        </w:rPr>
        <w:t>attorney to act on their behalf and opp</w:t>
      </w:r>
      <w:r w:rsidR="009E09EE">
        <w:rPr>
          <w:lang w:val="en-US"/>
        </w:rPr>
        <w:t xml:space="preserve">ose the application or seek </w:t>
      </w:r>
      <w:r>
        <w:rPr>
          <w:lang w:val="en-US"/>
        </w:rPr>
        <w:t xml:space="preserve">other redress. </w:t>
      </w:r>
    </w:p>
  </w:footnote>
  <w:footnote w:id="158">
    <w:p w:rsidR="00900FA6" w:rsidRPr="008E2783" w:rsidRDefault="00900FA6">
      <w:pPr>
        <w:pStyle w:val="FootnoteText"/>
        <w:rPr>
          <w:lang w:val="en-US"/>
        </w:rPr>
      </w:pPr>
      <w:r>
        <w:rPr>
          <w:rStyle w:val="FootnoteReference"/>
        </w:rPr>
        <w:footnoteRef/>
      </w:r>
      <w:r>
        <w:t xml:space="preserve"> </w:t>
      </w:r>
      <w:r>
        <w:rPr>
          <w:lang w:val="en-US"/>
        </w:rPr>
        <w:t xml:space="preserve">Sections 34 read with s 7 of the Bill of Rights may also impact on the weight to be given to a claim under such circumstances of protection from eviction under PIE, as might </w:t>
      </w:r>
    </w:p>
  </w:footnote>
  <w:footnote w:id="159">
    <w:p w:rsidR="009E09EE" w:rsidRPr="009E09EE" w:rsidRDefault="009E09EE">
      <w:pPr>
        <w:pStyle w:val="FootnoteText"/>
        <w:rPr>
          <w:lang w:val="en-US"/>
        </w:rPr>
      </w:pPr>
      <w:r>
        <w:rPr>
          <w:rStyle w:val="FootnoteReference"/>
        </w:rPr>
        <w:footnoteRef/>
      </w:r>
      <w:r>
        <w:t xml:space="preserve"> S</w:t>
      </w:r>
      <w:r w:rsidRPr="009E09EE">
        <w:t>uch as under insolvency l</w:t>
      </w:r>
      <w:r>
        <w:t>aws or provided there is compliance with certain forms of notice or publication in a Government Gazette</w:t>
      </w:r>
    </w:p>
  </w:footnote>
  <w:footnote w:id="160">
    <w:p w:rsidR="00900FA6" w:rsidRPr="008067A8" w:rsidRDefault="00900FA6" w:rsidP="008067A8">
      <w:pPr>
        <w:pStyle w:val="FootnoteText"/>
      </w:pPr>
      <w:r>
        <w:rPr>
          <w:rStyle w:val="FootnoteReference"/>
        </w:rPr>
        <w:footnoteRef/>
      </w:r>
      <w:r>
        <w:t xml:space="preserve"> </w:t>
      </w:r>
      <w:r>
        <w:rPr>
          <w:i/>
        </w:rPr>
        <w:t>London Borough of Barking at</w:t>
      </w:r>
      <w:r>
        <w:t xml:space="preserve"> </w:t>
      </w:r>
      <w:r w:rsidRPr="002E5C54">
        <w:t>paras 91, 92 and 107</w:t>
      </w:r>
      <w:r>
        <w:t xml:space="preserve">. Compare </w:t>
      </w:r>
      <w:r w:rsidRPr="008067A8">
        <w:rPr>
          <w:i/>
        </w:rPr>
        <w:t>Mankowitz v Loewenthal</w:t>
      </w:r>
      <w:r w:rsidRPr="008067A8">
        <w:t xml:space="preserve"> 1982 3 SA 758 (A) </w:t>
      </w:r>
      <w:r>
        <w:t>at 767F to H (although not directly in point)</w:t>
      </w:r>
    </w:p>
  </w:footnote>
  <w:footnote w:id="161">
    <w:p w:rsidR="00195B3B" w:rsidRPr="00195B3B" w:rsidRDefault="00195B3B">
      <w:pPr>
        <w:pStyle w:val="FootnoteText"/>
        <w:rPr>
          <w:lang w:val="en-US"/>
        </w:rPr>
      </w:pPr>
      <w:r>
        <w:rPr>
          <w:rStyle w:val="FootnoteReference"/>
        </w:rPr>
        <w:footnoteRef/>
      </w:r>
      <w:r>
        <w:t xml:space="preserve"> </w:t>
      </w:r>
      <w:r w:rsidRPr="00195B3B">
        <w:rPr>
          <w:i/>
        </w:rPr>
        <w:t>Plascon-Evans Paints Ltd v Van Riebeeck Paints (Pty) Ltd</w:t>
      </w:r>
      <w:r>
        <w:t xml:space="preserve"> </w:t>
      </w:r>
      <w:r w:rsidRPr="00195B3B">
        <w:t>1984 (3) SA 623 (A) at 634H –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519211"/>
      <w:docPartObj>
        <w:docPartGallery w:val="Page Numbers (Top of Page)"/>
        <w:docPartUnique/>
      </w:docPartObj>
    </w:sdtPr>
    <w:sdtEndPr>
      <w:rPr>
        <w:noProof/>
      </w:rPr>
    </w:sdtEndPr>
    <w:sdtContent>
      <w:p w:rsidR="00900FA6" w:rsidRDefault="00900FA6">
        <w:pPr>
          <w:pStyle w:val="Header"/>
          <w:jc w:val="right"/>
        </w:pPr>
        <w:r>
          <w:fldChar w:fldCharType="begin"/>
        </w:r>
        <w:r>
          <w:instrText xml:space="preserve"> PAGE   \* MERGEFORMAT </w:instrText>
        </w:r>
        <w:r>
          <w:fldChar w:fldCharType="separate"/>
        </w:r>
        <w:r w:rsidR="00611859">
          <w:rPr>
            <w:noProof/>
          </w:rPr>
          <w:t>1</w:t>
        </w:r>
        <w:r>
          <w:rPr>
            <w:noProof/>
          </w:rPr>
          <w:fldChar w:fldCharType="end"/>
        </w:r>
      </w:p>
    </w:sdtContent>
  </w:sdt>
  <w:p w:rsidR="00900FA6" w:rsidRDefault="00900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nsid w:val="0B450FCE"/>
    <w:multiLevelType w:val="hybridMultilevel"/>
    <w:tmpl w:val="0AFA98B4"/>
    <w:lvl w:ilvl="0" w:tplc="1C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74F7D"/>
    <w:multiLevelType w:val="multilevel"/>
    <w:tmpl w:val="0790824A"/>
    <w:name w:val="CustomListNum"/>
    <w:lvl w:ilvl="0">
      <w:start w:val="1"/>
      <w:numFmt w:val="decimal"/>
      <w:pStyle w:val="Level1"/>
      <w:lvlText w:val="%1."/>
      <w:lvlJc w:val="left"/>
      <w:pPr>
        <w:tabs>
          <w:tab w:val="num" w:pos="1418"/>
        </w:tabs>
        <w:ind w:left="1418" w:hanging="709"/>
      </w:pPr>
      <w:rPr>
        <w:rFonts w:ascii="Arial" w:hAnsi="Arial" w:cs="Arial" w:hint="default"/>
        <w:b w:val="0"/>
      </w:rPr>
    </w:lvl>
    <w:lvl w:ilvl="1">
      <w:start w:val="1"/>
      <w:numFmt w:val="decimal"/>
      <w:pStyle w:val="Level2"/>
      <w:isLgl/>
      <w:lvlText w:val="%1.%2"/>
      <w:lvlJc w:val="left"/>
      <w:pPr>
        <w:tabs>
          <w:tab w:val="num" w:pos="1418"/>
        </w:tabs>
        <w:ind w:left="1418" w:hanging="709"/>
      </w:pPr>
      <w:rPr>
        <w:rFonts w:ascii="Arial" w:hAnsi="Arial" w:cs="Arial" w:hint="default"/>
        <w:b w:val="0"/>
      </w:rPr>
    </w:lvl>
    <w:lvl w:ilvl="2">
      <w:start w:val="1"/>
      <w:numFmt w:val="lowerLetter"/>
      <w:pStyle w:val="Level3"/>
      <w:lvlText w:val="(%3)"/>
      <w:lvlJc w:val="left"/>
      <w:pPr>
        <w:tabs>
          <w:tab w:val="num" w:pos="2126"/>
        </w:tabs>
        <w:ind w:left="2126" w:hanging="708"/>
      </w:pPr>
      <w:rPr>
        <w:rFonts w:ascii="Arial" w:hAnsi="Arial" w:cs="Arial" w:hint="default"/>
        <w:b w:val="0"/>
      </w:rPr>
    </w:lvl>
    <w:lvl w:ilvl="3">
      <w:start w:val="1"/>
      <w:numFmt w:val="lowerRoman"/>
      <w:pStyle w:val="Level4"/>
      <w:lvlText w:val="(%4)"/>
      <w:lvlJc w:val="left"/>
      <w:pPr>
        <w:tabs>
          <w:tab w:val="num" w:pos="2835"/>
        </w:tabs>
        <w:ind w:left="2835" w:hanging="709"/>
      </w:pPr>
      <w:rPr>
        <w:rFonts w:ascii="Arial" w:hAnsi="Arial" w:cs="Arial" w:hint="default"/>
        <w:b w:val="0"/>
      </w:rPr>
    </w:lvl>
    <w:lvl w:ilvl="4">
      <w:start w:val="1"/>
      <w:numFmt w:val="decimal"/>
      <w:pStyle w:val="Level5"/>
      <w:lvlText w:val="(%5)"/>
      <w:lvlJc w:val="left"/>
      <w:pPr>
        <w:tabs>
          <w:tab w:val="num" w:pos="3544"/>
        </w:tabs>
        <w:ind w:left="3544" w:hanging="709"/>
      </w:pPr>
      <w:rPr>
        <w:rFonts w:ascii="Arial" w:hAnsi="Arial" w:cs="Arial" w:hint="default"/>
        <w:b w:val="0"/>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3">
    <w:nsid w:val="24046529"/>
    <w:multiLevelType w:val="hybridMultilevel"/>
    <w:tmpl w:val="31EE069A"/>
    <w:lvl w:ilvl="0" w:tplc="1C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80C88"/>
    <w:multiLevelType w:val="hybridMultilevel"/>
    <w:tmpl w:val="CE307EF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4E4906"/>
    <w:multiLevelType w:val="hybridMultilevel"/>
    <w:tmpl w:val="47749D28"/>
    <w:lvl w:ilvl="0" w:tplc="B4F220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8C22B7A"/>
    <w:multiLevelType w:val="hybridMultilevel"/>
    <w:tmpl w:val="949C9462"/>
    <w:lvl w:ilvl="0" w:tplc="1C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00184"/>
    <w:multiLevelType w:val="multilevel"/>
    <w:tmpl w:val="BB1232D8"/>
    <w:lvl w:ilvl="0">
      <w:start w:val="1"/>
      <w:numFmt w:val="decimal"/>
      <w:lvlText w:val="%1."/>
      <w:lvlJc w:val="left"/>
      <w:pPr>
        <w:tabs>
          <w:tab w:val="num" w:pos="567"/>
        </w:tabs>
        <w:ind w:left="567" w:hanging="567"/>
      </w:pPr>
      <w:rPr>
        <w:rFonts w:hint="default"/>
        <w:b w:val="0"/>
        <w:i w:val="0"/>
        <w:sz w:val="24"/>
      </w:rPr>
    </w:lvl>
    <w:lvl w:ilvl="1">
      <w:start w:val="1"/>
      <w:numFmt w:val="decimal"/>
      <w:lvlText w:val="%1.%2."/>
      <w:lvlJc w:val="left"/>
      <w:pPr>
        <w:tabs>
          <w:tab w:val="num" w:pos="1418"/>
        </w:tabs>
        <w:ind w:left="1418" w:hanging="851"/>
      </w:pPr>
      <w:rPr>
        <w:rFonts w:ascii="Arial" w:hAnsi="Arial" w:hint="default"/>
        <w:b w:val="0"/>
        <w:i w:val="0"/>
        <w:sz w:val="24"/>
      </w:rPr>
    </w:lvl>
    <w:lvl w:ilvl="2">
      <w:start w:val="1"/>
      <w:numFmt w:val="decimal"/>
      <w:lvlText w:val="%1.%2.%3."/>
      <w:lvlJc w:val="left"/>
      <w:pPr>
        <w:tabs>
          <w:tab w:val="num" w:pos="2552"/>
        </w:tabs>
        <w:ind w:left="2552" w:hanging="1134"/>
      </w:pPr>
      <w:rPr>
        <w:rFonts w:ascii="Arial" w:hAnsi="Arial" w:hint="default"/>
        <w:b w:val="0"/>
        <w:i w:val="0"/>
        <w:sz w:val="24"/>
      </w:rPr>
    </w:lvl>
    <w:lvl w:ilvl="3">
      <w:start w:val="1"/>
      <w:numFmt w:val="decimal"/>
      <w:isLgl/>
      <w:lvlText w:val="%1.%2.%3.%4."/>
      <w:lvlJc w:val="left"/>
      <w:pPr>
        <w:tabs>
          <w:tab w:val="num" w:pos="3686"/>
        </w:tabs>
        <w:ind w:left="3686" w:hanging="1134"/>
      </w:pPr>
      <w:rPr>
        <w:rFonts w:ascii="Arial" w:hAnsi="Arial" w:hint="default"/>
        <w:b w:val="0"/>
        <w:i w:val="0"/>
        <w:sz w:val="24"/>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F7832FF"/>
    <w:multiLevelType w:val="hybridMultilevel"/>
    <w:tmpl w:val="542ECFD2"/>
    <w:lvl w:ilvl="0" w:tplc="46B88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ED2269"/>
    <w:multiLevelType w:val="hybridMultilevel"/>
    <w:tmpl w:val="B6FC7E68"/>
    <w:lvl w:ilvl="0" w:tplc="DB0015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F745E"/>
    <w:multiLevelType w:val="hybridMultilevel"/>
    <w:tmpl w:val="352C68D4"/>
    <w:lvl w:ilvl="0" w:tplc="12B85E18">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1">
    <w:nsid w:val="49CF5379"/>
    <w:multiLevelType w:val="hybridMultilevel"/>
    <w:tmpl w:val="3C781D94"/>
    <w:lvl w:ilvl="0" w:tplc="1C09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4E69D6"/>
    <w:multiLevelType w:val="hybridMultilevel"/>
    <w:tmpl w:val="1A9297B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4E9576FE"/>
    <w:multiLevelType w:val="hybridMultilevel"/>
    <w:tmpl w:val="634A7E94"/>
    <w:lvl w:ilvl="0" w:tplc="39ACF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724358"/>
    <w:multiLevelType w:val="hybridMultilevel"/>
    <w:tmpl w:val="31EE069A"/>
    <w:lvl w:ilvl="0" w:tplc="1C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D818AC"/>
    <w:multiLevelType w:val="hybridMultilevel"/>
    <w:tmpl w:val="2674AFE2"/>
    <w:lvl w:ilvl="0" w:tplc="8126FA4E">
      <w:start w:val="1"/>
      <w:numFmt w:val="low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6">
    <w:nsid w:val="68FC5A65"/>
    <w:multiLevelType w:val="hybridMultilevel"/>
    <w:tmpl w:val="30FA5322"/>
    <w:lvl w:ilvl="0" w:tplc="1C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791D24"/>
    <w:multiLevelType w:val="hybridMultilevel"/>
    <w:tmpl w:val="A1F017A6"/>
    <w:lvl w:ilvl="0" w:tplc="97A03A64">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nsid w:val="78B768C2"/>
    <w:multiLevelType w:val="hybridMultilevel"/>
    <w:tmpl w:val="31EE069A"/>
    <w:lvl w:ilvl="0" w:tplc="1C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7E05AB"/>
    <w:multiLevelType w:val="hybridMultilevel"/>
    <w:tmpl w:val="D4E4C076"/>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B71686D"/>
    <w:multiLevelType w:val="hybridMultilevel"/>
    <w:tmpl w:val="017C2F6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BC45596"/>
    <w:multiLevelType w:val="hybridMultilevel"/>
    <w:tmpl w:val="CFA460C6"/>
    <w:lvl w:ilvl="0" w:tplc="ABA8C4D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0"/>
  </w:num>
  <w:num w:numId="3">
    <w:abstractNumId w:val="19"/>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17"/>
  </w:num>
  <w:num w:numId="9">
    <w:abstractNumId w:val="20"/>
  </w:num>
  <w:num w:numId="10">
    <w:abstractNumId w:val="13"/>
  </w:num>
  <w:num w:numId="11">
    <w:abstractNumId w:val="8"/>
  </w:num>
  <w:num w:numId="12">
    <w:abstractNumId w:val="15"/>
  </w:num>
  <w:num w:numId="13">
    <w:abstractNumId w:val="7"/>
  </w:num>
  <w:num w:numId="14">
    <w:abstractNumId w:val="10"/>
  </w:num>
  <w:num w:numId="15">
    <w:abstractNumId w:val="12"/>
  </w:num>
  <w:num w:numId="16">
    <w:abstractNumId w:val="3"/>
  </w:num>
  <w:num w:numId="17">
    <w:abstractNumId w:val="14"/>
  </w:num>
  <w:num w:numId="18">
    <w:abstractNumId w:val="18"/>
  </w:num>
  <w:num w:numId="19">
    <w:abstractNumId w:val="9"/>
  </w:num>
  <w:num w:numId="20">
    <w:abstractNumId w:val="6"/>
  </w:num>
  <w:num w:numId="21">
    <w:abstractNumId w:val="11"/>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EB"/>
    <w:rsid w:val="00001294"/>
    <w:rsid w:val="00002B4B"/>
    <w:rsid w:val="00004AD6"/>
    <w:rsid w:val="00012CAF"/>
    <w:rsid w:val="00013188"/>
    <w:rsid w:val="000151C0"/>
    <w:rsid w:val="000201C5"/>
    <w:rsid w:val="00025D81"/>
    <w:rsid w:val="000270BA"/>
    <w:rsid w:val="000270F3"/>
    <w:rsid w:val="00030778"/>
    <w:rsid w:val="00031699"/>
    <w:rsid w:val="000319F0"/>
    <w:rsid w:val="00032193"/>
    <w:rsid w:val="00034A49"/>
    <w:rsid w:val="00035710"/>
    <w:rsid w:val="00037517"/>
    <w:rsid w:val="00040853"/>
    <w:rsid w:val="00040B51"/>
    <w:rsid w:val="00041488"/>
    <w:rsid w:val="00043BFC"/>
    <w:rsid w:val="00045C58"/>
    <w:rsid w:val="000469CD"/>
    <w:rsid w:val="00046CEC"/>
    <w:rsid w:val="00047126"/>
    <w:rsid w:val="00057910"/>
    <w:rsid w:val="00057EE8"/>
    <w:rsid w:val="000625F3"/>
    <w:rsid w:val="00064E35"/>
    <w:rsid w:val="000662D7"/>
    <w:rsid w:val="000666A4"/>
    <w:rsid w:val="00066C68"/>
    <w:rsid w:val="00067143"/>
    <w:rsid w:val="000713A8"/>
    <w:rsid w:val="00072BC8"/>
    <w:rsid w:val="000740E2"/>
    <w:rsid w:val="00074BF4"/>
    <w:rsid w:val="0007653A"/>
    <w:rsid w:val="000774C7"/>
    <w:rsid w:val="00077E41"/>
    <w:rsid w:val="000817A0"/>
    <w:rsid w:val="00082699"/>
    <w:rsid w:val="00083362"/>
    <w:rsid w:val="0008432A"/>
    <w:rsid w:val="00087F92"/>
    <w:rsid w:val="00090C70"/>
    <w:rsid w:val="0009278F"/>
    <w:rsid w:val="000A07C8"/>
    <w:rsid w:val="000A3C37"/>
    <w:rsid w:val="000A4583"/>
    <w:rsid w:val="000A5146"/>
    <w:rsid w:val="000A55B5"/>
    <w:rsid w:val="000A74DD"/>
    <w:rsid w:val="000B0178"/>
    <w:rsid w:val="000B01E6"/>
    <w:rsid w:val="000B09F3"/>
    <w:rsid w:val="000B22D3"/>
    <w:rsid w:val="000B34BB"/>
    <w:rsid w:val="000B4036"/>
    <w:rsid w:val="000B7F63"/>
    <w:rsid w:val="000C0621"/>
    <w:rsid w:val="000C12F3"/>
    <w:rsid w:val="000C1FA7"/>
    <w:rsid w:val="000C4E75"/>
    <w:rsid w:val="000C5429"/>
    <w:rsid w:val="000D149B"/>
    <w:rsid w:val="000D2806"/>
    <w:rsid w:val="000F0A0C"/>
    <w:rsid w:val="000F50C7"/>
    <w:rsid w:val="000F6228"/>
    <w:rsid w:val="00102A33"/>
    <w:rsid w:val="00104D15"/>
    <w:rsid w:val="00113629"/>
    <w:rsid w:val="00115904"/>
    <w:rsid w:val="00124CD8"/>
    <w:rsid w:val="00124DD8"/>
    <w:rsid w:val="00125AC4"/>
    <w:rsid w:val="00126081"/>
    <w:rsid w:val="00127FFD"/>
    <w:rsid w:val="00131BF4"/>
    <w:rsid w:val="001341B9"/>
    <w:rsid w:val="00137C83"/>
    <w:rsid w:val="001414DF"/>
    <w:rsid w:val="00147ABE"/>
    <w:rsid w:val="001501FE"/>
    <w:rsid w:val="00154776"/>
    <w:rsid w:val="00156B0F"/>
    <w:rsid w:val="00157763"/>
    <w:rsid w:val="00157C39"/>
    <w:rsid w:val="00161CD0"/>
    <w:rsid w:val="001642FB"/>
    <w:rsid w:val="00165A34"/>
    <w:rsid w:val="00166F21"/>
    <w:rsid w:val="001728AB"/>
    <w:rsid w:val="00177BC3"/>
    <w:rsid w:val="001802B9"/>
    <w:rsid w:val="00181A0E"/>
    <w:rsid w:val="00187C0F"/>
    <w:rsid w:val="00192734"/>
    <w:rsid w:val="0019294C"/>
    <w:rsid w:val="00195B3B"/>
    <w:rsid w:val="00196057"/>
    <w:rsid w:val="001A07E3"/>
    <w:rsid w:val="001A41D4"/>
    <w:rsid w:val="001A44BA"/>
    <w:rsid w:val="001A5DB0"/>
    <w:rsid w:val="001A670C"/>
    <w:rsid w:val="001A6756"/>
    <w:rsid w:val="001B077F"/>
    <w:rsid w:val="001B08D9"/>
    <w:rsid w:val="001B1DE6"/>
    <w:rsid w:val="001B56DD"/>
    <w:rsid w:val="001B7C17"/>
    <w:rsid w:val="001C1298"/>
    <w:rsid w:val="001C7D3E"/>
    <w:rsid w:val="001D3270"/>
    <w:rsid w:val="001E1F2A"/>
    <w:rsid w:val="001E6A9E"/>
    <w:rsid w:val="001F63EF"/>
    <w:rsid w:val="00200B64"/>
    <w:rsid w:val="002023F3"/>
    <w:rsid w:val="002035B9"/>
    <w:rsid w:val="00203BC4"/>
    <w:rsid w:val="00211AA6"/>
    <w:rsid w:val="00211DED"/>
    <w:rsid w:val="002129A5"/>
    <w:rsid w:val="0021521B"/>
    <w:rsid w:val="00216AFA"/>
    <w:rsid w:val="00216C2C"/>
    <w:rsid w:val="0021790C"/>
    <w:rsid w:val="00217C79"/>
    <w:rsid w:val="00224C97"/>
    <w:rsid w:val="00226894"/>
    <w:rsid w:val="00227893"/>
    <w:rsid w:val="00227AC8"/>
    <w:rsid w:val="0023089A"/>
    <w:rsid w:val="002317C8"/>
    <w:rsid w:val="0023226E"/>
    <w:rsid w:val="002353EE"/>
    <w:rsid w:val="00236725"/>
    <w:rsid w:val="00244B19"/>
    <w:rsid w:val="00250AC1"/>
    <w:rsid w:val="00252687"/>
    <w:rsid w:val="0025365B"/>
    <w:rsid w:val="00254AB7"/>
    <w:rsid w:val="00256CF5"/>
    <w:rsid w:val="002601F7"/>
    <w:rsid w:val="002626F6"/>
    <w:rsid w:val="00263BF2"/>
    <w:rsid w:val="00265B88"/>
    <w:rsid w:val="00265C1A"/>
    <w:rsid w:val="0026715A"/>
    <w:rsid w:val="002674EB"/>
    <w:rsid w:val="00277DF3"/>
    <w:rsid w:val="00281238"/>
    <w:rsid w:val="0028260D"/>
    <w:rsid w:val="00285154"/>
    <w:rsid w:val="00292439"/>
    <w:rsid w:val="0029403C"/>
    <w:rsid w:val="00297756"/>
    <w:rsid w:val="002A72C1"/>
    <w:rsid w:val="002B062F"/>
    <w:rsid w:val="002B3CA9"/>
    <w:rsid w:val="002B4782"/>
    <w:rsid w:val="002C1886"/>
    <w:rsid w:val="002C599F"/>
    <w:rsid w:val="002C5DF5"/>
    <w:rsid w:val="002D1466"/>
    <w:rsid w:val="002D67A7"/>
    <w:rsid w:val="002E22ED"/>
    <w:rsid w:val="002E5619"/>
    <w:rsid w:val="002E5C54"/>
    <w:rsid w:val="002E68A1"/>
    <w:rsid w:val="002E7157"/>
    <w:rsid w:val="002E73C0"/>
    <w:rsid w:val="002F2334"/>
    <w:rsid w:val="002F38EE"/>
    <w:rsid w:val="003011BD"/>
    <w:rsid w:val="00302F92"/>
    <w:rsid w:val="003030B2"/>
    <w:rsid w:val="00303162"/>
    <w:rsid w:val="00306025"/>
    <w:rsid w:val="0030658E"/>
    <w:rsid w:val="00306AAF"/>
    <w:rsid w:val="00312F45"/>
    <w:rsid w:val="00316978"/>
    <w:rsid w:val="0031724B"/>
    <w:rsid w:val="00320D6C"/>
    <w:rsid w:val="00323D69"/>
    <w:rsid w:val="003263B3"/>
    <w:rsid w:val="0032651C"/>
    <w:rsid w:val="00330A8A"/>
    <w:rsid w:val="003344BD"/>
    <w:rsid w:val="00335E8C"/>
    <w:rsid w:val="003364BB"/>
    <w:rsid w:val="00337C67"/>
    <w:rsid w:val="00344D29"/>
    <w:rsid w:val="00345439"/>
    <w:rsid w:val="003468B1"/>
    <w:rsid w:val="00346A85"/>
    <w:rsid w:val="00347BF6"/>
    <w:rsid w:val="003508C5"/>
    <w:rsid w:val="00350962"/>
    <w:rsid w:val="003517CA"/>
    <w:rsid w:val="00351E5D"/>
    <w:rsid w:val="0035217F"/>
    <w:rsid w:val="003540DE"/>
    <w:rsid w:val="00354EC1"/>
    <w:rsid w:val="003566C6"/>
    <w:rsid w:val="003610CF"/>
    <w:rsid w:val="00361DDE"/>
    <w:rsid w:val="00365A08"/>
    <w:rsid w:val="003662EF"/>
    <w:rsid w:val="00370ADE"/>
    <w:rsid w:val="00371A9B"/>
    <w:rsid w:val="003751B1"/>
    <w:rsid w:val="00376AF3"/>
    <w:rsid w:val="00377115"/>
    <w:rsid w:val="003814A7"/>
    <w:rsid w:val="00381B05"/>
    <w:rsid w:val="00382EF9"/>
    <w:rsid w:val="00387D29"/>
    <w:rsid w:val="003935E3"/>
    <w:rsid w:val="00397E95"/>
    <w:rsid w:val="003A2847"/>
    <w:rsid w:val="003A3C0D"/>
    <w:rsid w:val="003A74AF"/>
    <w:rsid w:val="003B1053"/>
    <w:rsid w:val="003B40CA"/>
    <w:rsid w:val="003B4F06"/>
    <w:rsid w:val="003B597D"/>
    <w:rsid w:val="003B5ADB"/>
    <w:rsid w:val="003C162A"/>
    <w:rsid w:val="003C1CC4"/>
    <w:rsid w:val="003C69CB"/>
    <w:rsid w:val="003C727C"/>
    <w:rsid w:val="003D19A2"/>
    <w:rsid w:val="003D3E50"/>
    <w:rsid w:val="003D77DB"/>
    <w:rsid w:val="003E1DFE"/>
    <w:rsid w:val="003E46B9"/>
    <w:rsid w:val="003E7818"/>
    <w:rsid w:val="003E7F3E"/>
    <w:rsid w:val="003F13CB"/>
    <w:rsid w:val="003F29DF"/>
    <w:rsid w:val="003F63CE"/>
    <w:rsid w:val="003F72B4"/>
    <w:rsid w:val="0040261D"/>
    <w:rsid w:val="0040319C"/>
    <w:rsid w:val="0040788C"/>
    <w:rsid w:val="00411095"/>
    <w:rsid w:val="004121D4"/>
    <w:rsid w:val="00412403"/>
    <w:rsid w:val="00413836"/>
    <w:rsid w:val="00414487"/>
    <w:rsid w:val="00415011"/>
    <w:rsid w:val="00415761"/>
    <w:rsid w:val="0041649C"/>
    <w:rsid w:val="00417950"/>
    <w:rsid w:val="0042669E"/>
    <w:rsid w:val="0043067B"/>
    <w:rsid w:val="00432228"/>
    <w:rsid w:val="0043223B"/>
    <w:rsid w:val="00433B9F"/>
    <w:rsid w:val="00434178"/>
    <w:rsid w:val="0043454C"/>
    <w:rsid w:val="00440E5E"/>
    <w:rsid w:val="004415D6"/>
    <w:rsid w:val="004443C2"/>
    <w:rsid w:val="00444664"/>
    <w:rsid w:val="00445C16"/>
    <w:rsid w:val="00450A99"/>
    <w:rsid w:val="00457D4E"/>
    <w:rsid w:val="00461C48"/>
    <w:rsid w:val="00462377"/>
    <w:rsid w:val="004714D7"/>
    <w:rsid w:val="0047254D"/>
    <w:rsid w:val="00473541"/>
    <w:rsid w:val="004742A0"/>
    <w:rsid w:val="0047773F"/>
    <w:rsid w:val="00483253"/>
    <w:rsid w:val="00491C20"/>
    <w:rsid w:val="00492DA0"/>
    <w:rsid w:val="00493FB8"/>
    <w:rsid w:val="004955BE"/>
    <w:rsid w:val="00497CAF"/>
    <w:rsid w:val="004A0C79"/>
    <w:rsid w:val="004A4299"/>
    <w:rsid w:val="004A4DE3"/>
    <w:rsid w:val="004A5DA9"/>
    <w:rsid w:val="004B1B5D"/>
    <w:rsid w:val="004B1D70"/>
    <w:rsid w:val="004B2277"/>
    <w:rsid w:val="004B4159"/>
    <w:rsid w:val="004B7D1C"/>
    <w:rsid w:val="004C20BA"/>
    <w:rsid w:val="004C47AF"/>
    <w:rsid w:val="004D0D1E"/>
    <w:rsid w:val="004D128E"/>
    <w:rsid w:val="004D53D0"/>
    <w:rsid w:val="004D7286"/>
    <w:rsid w:val="004D76E5"/>
    <w:rsid w:val="004E0054"/>
    <w:rsid w:val="004E0673"/>
    <w:rsid w:val="004E4D50"/>
    <w:rsid w:val="004F196E"/>
    <w:rsid w:val="004F372D"/>
    <w:rsid w:val="004F3B4F"/>
    <w:rsid w:val="004F3F40"/>
    <w:rsid w:val="004F6828"/>
    <w:rsid w:val="005002C1"/>
    <w:rsid w:val="00500579"/>
    <w:rsid w:val="00500722"/>
    <w:rsid w:val="00503F30"/>
    <w:rsid w:val="0050641E"/>
    <w:rsid w:val="00507FB7"/>
    <w:rsid w:val="005112D5"/>
    <w:rsid w:val="0051449E"/>
    <w:rsid w:val="00517136"/>
    <w:rsid w:val="005171D0"/>
    <w:rsid w:val="005174BA"/>
    <w:rsid w:val="00520A62"/>
    <w:rsid w:val="005213BF"/>
    <w:rsid w:val="005269CD"/>
    <w:rsid w:val="00530BF6"/>
    <w:rsid w:val="00531AE1"/>
    <w:rsid w:val="005329B8"/>
    <w:rsid w:val="00534696"/>
    <w:rsid w:val="00534C28"/>
    <w:rsid w:val="00537F03"/>
    <w:rsid w:val="00542F88"/>
    <w:rsid w:val="0054361D"/>
    <w:rsid w:val="00547B78"/>
    <w:rsid w:val="00547B95"/>
    <w:rsid w:val="0055708B"/>
    <w:rsid w:val="00557595"/>
    <w:rsid w:val="005622BB"/>
    <w:rsid w:val="00571E90"/>
    <w:rsid w:val="00572416"/>
    <w:rsid w:val="005724CF"/>
    <w:rsid w:val="00572B3D"/>
    <w:rsid w:val="005817BB"/>
    <w:rsid w:val="005836A4"/>
    <w:rsid w:val="005868BA"/>
    <w:rsid w:val="005923F6"/>
    <w:rsid w:val="00593C77"/>
    <w:rsid w:val="005943FA"/>
    <w:rsid w:val="005973DB"/>
    <w:rsid w:val="00597BB1"/>
    <w:rsid w:val="005A2A05"/>
    <w:rsid w:val="005A40AE"/>
    <w:rsid w:val="005A5064"/>
    <w:rsid w:val="005A7656"/>
    <w:rsid w:val="005B0A6F"/>
    <w:rsid w:val="005B2D22"/>
    <w:rsid w:val="005B4D99"/>
    <w:rsid w:val="005B5C8B"/>
    <w:rsid w:val="005B5EB5"/>
    <w:rsid w:val="005C2C6D"/>
    <w:rsid w:val="005D1515"/>
    <w:rsid w:val="005D1F50"/>
    <w:rsid w:val="005D7185"/>
    <w:rsid w:val="005E4E3A"/>
    <w:rsid w:val="005E5444"/>
    <w:rsid w:val="005E5DFB"/>
    <w:rsid w:val="005E618F"/>
    <w:rsid w:val="005E63A1"/>
    <w:rsid w:val="005F32FF"/>
    <w:rsid w:val="005F493C"/>
    <w:rsid w:val="005F6086"/>
    <w:rsid w:val="00603061"/>
    <w:rsid w:val="00603D53"/>
    <w:rsid w:val="00611859"/>
    <w:rsid w:val="00611AF8"/>
    <w:rsid w:val="006144C6"/>
    <w:rsid w:val="00615B75"/>
    <w:rsid w:val="00615E9A"/>
    <w:rsid w:val="00621487"/>
    <w:rsid w:val="0062153F"/>
    <w:rsid w:val="00625867"/>
    <w:rsid w:val="0062675E"/>
    <w:rsid w:val="00627534"/>
    <w:rsid w:val="00627883"/>
    <w:rsid w:val="00632476"/>
    <w:rsid w:val="00634D8D"/>
    <w:rsid w:val="006376EA"/>
    <w:rsid w:val="00641144"/>
    <w:rsid w:val="00641EAE"/>
    <w:rsid w:val="006423BA"/>
    <w:rsid w:val="00642D9D"/>
    <w:rsid w:val="00645CF7"/>
    <w:rsid w:val="006478D1"/>
    <w:rsid w:val="00654907"/>
    <w:rsid w:val="00660800"/>
    <w:rsid w:val="0066176E"/>
    <w:rsid w:val="00662035"/>
    <w:rsid w:val="00667176"/>
    <w:rsid w:val="00667E11"/>
    <w:rsid w:val="0067043F"/>
    <w:rsid w:val="0067135C"/>
    <w:rsid w:val="0067176F"/>
    <w:rsid w:val="00672CF5"/>
    <w:rsid w:val="00674310"/>
    <w:rsid w:val="00682982"/>
    <w:rsid w:val="00683EBD"/>
    <w:rsid w:val="0068407E"/>
    <w:rsid w:val="00691182"/>
    <w:rsid w:val="006919A7"/>
    <w:rsid w:val="00694F92"/>
    <w:rsid w:val="00695F48"/>
    <w:rsid w:val="006A0383"/>
    <w:rsid w:val="006A2741"/>
    <w:rsid w:val="006A299B"/>
    <w:rsid w:val="006A3309"/>
    <w:rsid w:val="006A446E"/>
    <w:rsid w:val="006A4633"/>
    <w:rsid w:val="006A7556"/>
    <w:rsid w:val="006B01F2"/>
    <w:rsid w:val="006B07EB"/>
    <w:rsid w:val="006B11CB"/>
    <w:rsid w:val="006B6007"/>
    <w:rsid w:val="006B6309"/>
    <w:rsid w:val="006B6996"/>
    <w:rsid w:val="006C2C0B"/>
    <w:rsid w:val="006C5AE2"/>
    <w:rsid w:val="006C6165"/>
    <w:rsid w:val="006C679A"/>
    <w:rsid w:val="006D0463"/>
    <w:rsid w:val="006D053A"/>
    <w:rsid w:val="006D5C7E"/>
    <w:rsid w:val="006D71F4"/>
    <w:rsid w:val="006E4FDE"/>
    <w:rsid w:val="006F19E9"/>
    <w:rsid w:val="006F200E"/>
    <w:rsid w:val="006F2895"/>
    <w:rsid w:val="006F2C95"/>
    <w:rsid w:val="006F5F44"/>
    <w:rsid w:val="006F78F3"/>
    <w:rsid w:val="00702FD7"/>
    <w:rsid w:val="007049BA"/>
    <w:rsid w:val="00704CA8"/>
    <w:rsid w:val="00706D4B"/>
    <w:rsid w:val="00713E28"/>
    <w:rsid w:val="00715583"/>
    <w:rsid w:val="00720E3B"/>
    <w:rsid w:val="00721C6A"/>
    <w:rsid w:val="00722B60"/>
    <w:rsid w:val="00726E57"/>
    <w:rsid w:val="00730197"/>
    <w:rsid w:val="00730708"/>
    <w:rsid w:val="0073530C"/>
    <w:rsid w:val="00735CC7"/>
    <w:rsid w:val="0073643B"/>
    <w:rsid w:val="00737A50"/>
    <w:rsid w:val="00743574"/>
    <w:rsid w:val="007446B5"/>
    <w:rsid w:val="0074746D"/>
    <w:rsid w:val="00747E15"/>
    <w:rsid w:val="007535A5"/>
    <w:rsid w:val="00754DE2"/>
    <w:rsid w:val="007579E6"/>
    <w:rsid w:val="007669F5"/>
    <w:rsid w:val="00766DC3"/>
    <w:rsid w:val="0077049F"/>
    <w:rsid w:val="007725A6"/>
    <w:rsid w:val="00772652"/>
    <w:rsid w:val="00775C2C"/>
    <w:rsid w:val="00785E03"/>
    <w:rsid w:val="00787536"/>
    <w:rsid w:val="007904B3"/>
    <w:rsid w:val="00790EE1"/>
    <w:rsid w:val="007926C7"/>
    <w:rsid w:val="00794390"/>
    <w:rsid w:val="00796047"/>
    <w:rsid w:val="007A222B"/>
    <w:rsid w:val="007A33A6"/>
    <w:rsid w:val="007A5684"/>
    <w:rsid w:val="007A62D5"/>
    <w:rsid w:val="007A7343"/>
    <w:rsid w:val="007A7685"/>
    <w:rsid w:val="007A7FDB"/>
    <w:rsid w:val="007B0567"/>
    <w:rsid w:val="007B0AE6"/>
    <w:rsid w:val="007B40D6"/>
    <w:rsid w:val="007B5031"/>
    <w:rsid w:val="007B5D35"/>
    <w:rsid w:val="007B7A6E"/>
    <w:rsid w:val="007B7FB1"/>
    <w:rsid w:val="007C2E21"/>
    <w:rsid w:val="007C587B"/>
    <w:rsid w:val="007D3F79"/>
    <w:rsid w:val="007D78D8"/>
    <w:rsid w:val="007E007E"/>
    <w:rsid w:val="007E33D1"/>
    <w:rsid w:val="007E47F3"/>
    <w:rsid w:val="007E7BEE"/>
    <w:rsid w:val="007F193E"/>
    <w:rsid w:val="007F210F"/>
    <w:rsid w:val="007F588B"/>
    <w:rsid w:val="00801ED2"/>
    <w:rsid w:val="00805591"/>
    <w:rsid w:val="008067A8"/>
    <w:rsid w:val="0081183A"/>
    <w:rsid w:val="00811FA5"/>
    <w:rsid w:val="00813413"/>
    <w:rsid w:val="00815349"/>
    <w:rsid w:val="008162FA"/>
    <w:rsid w:val="00817D58"/>
    <w:rsid w:val="00822E4F"/>
    <w:rsid w:val="00824466"/>
    <w:rsid w:val="008264BF"/>
    <w:rsid w:val="008317DA"/>
    <w:rsid w:val="00832765"/>
    <w:rsid w:val="00833334"/>
    <w:rsid w:val="00834415"/>
    <w:rsid w:val="00835684"/>
    <w:rsid w:val="00836C87"/>
    <w:rsid w:val="00837B02"/>
    <w:rsid w:val="008412E3"/>
    <w:rsid w:val="00843C76"/>
    <w:rsid w:val="008446CA"/>
    <w:rsid w:val="00844DE6"/>
    <w:rsid w:val="00847D33"/>
    <w:rsid w:val="00855339"/>
    <w:rsid w:val="00855CEE"/>
    <w:rsid w:val="00856EE6"/>
    <w:rsid w:val="00860E11"/>
    <w:rsid w:val="008620F2"/>
    <w:rsid w:val="00863418"/>
    <w:rsid w:val="00864955"/>
    <w:rsid w:val="00865F69"/>
    <w:rsid w:val="008665E7"/>
    <w:rsid w:val="0086726F"/>
    <w:rsid w:val="00871F86"/>
    <w:rsid w:val="00872A44"/>
    <w:rsid w:val="00880555"/>
    <w:rsid w:val="008842A7"/>
    <w:rsid w:val="00885C87"/>
    <w:rsid w:val="00891CDD"/>
    <w:rsid w:val="00893EF1"/>
    <w:rsid w:val="008949EB"/>
    <w:rsid w:val="008955C5"/>
    <w:rsid w:val="00896172"/>
    <w:rsid w:val="008969CB"/>
    <w:rsid w:val="008B1BBF"/>
    <w:rsid w:val="008B505E"/>
    <w:rsid w:val="008B5EF0"/>
    <w:rsid w:val="008B5FB6"/>
    <w:rsid w:val="008B65E4"/>
    <w:rsid w:val="008C0057"/>
    <w:rsid w:val="008C2BD2"/>
    <w:rsid w:val="008C4115"/>
    <w:rsid w:val="008C578E"/>
    <w:rsid w:val="008C5E15"/>
    <w:rsid w:val="008D0A31"/>
    <w:rsid w:val="008D3E20"/>
    <w:rsid w:val="008D44B5"/>
    <w:rsid w:val="008D4983"/>
    <w:rsid w:val="008D6D91"/>
    <w:rsid w:val="008E0EAC"/>
    <w:rsid w:val="008E1935"/>
    <w:rsid w:val="008E2783"/>
    <w:rsid w:val="008E2EB1"/>
    <w:rsid w:val="008E2FD5"/>
    <w:rsid w:val="008E3629"/>
    <w:rsid w:val="008F0108"/>
    <w:rsid w:val="008F1EAC"/>
    <w:rsid w:val="008F215C"/>
    <w:rsid w:val="008F2CD0"/>
    <w:rsid w:val="00900FA6"/>
    <w:rsid w:val="00901627"/>
    <w:rsid w:val="00902022"/>
    <w:rsid w:val="009108E9"/>
    <w:rsid w:val="00912C35"/>
    <w:rsid w:val="00914CA4"/>
    <w:rsid w:val="00915D06"/>
    <w:rsid w:val="009168FD"/>
    <w:rsid w:val="009226C4"/>
    <w:rsid w:val="00927657"/>
    <w:rsid w:val="009364BF"/>
    <w:rsid w:val="00936B8B"/>
    <w:rsid w:val="009374E4"/>
    <w:rsid w:val="009378E7"/>
    <w:rsid w:val="00941026"/>
    <w:rsid w:val="00942F02"/>
    <w:rsid w:val="00943651"/>
    <w:rsid w:val="0094405E"/>
    <w:rsid w:val="00954016"/>
    <w:rsid w:val="00960A95"/>
    <w:rsid w:val="0096521B"/>
    <w:rsid w:val="00966D1F"/>
    <w:rsid w:val="00966EED"/>
    <w:rsid w:val="00967F6B"/>
    <w:rsid w:val="00972513"/>
    <w:rsid w:val="009725D4"/>
    <w:rsid w:val="00976BCD"/>
    <w:rsid w:val="00977E9C"/>
    <w:rsid w:val="00985C1A"/>
    <w:rsid w:val="00986A49"/>
    <w:rsid w:val="00991313"/>
    <w:rsid w:val="00992371"/>
    <w:rsid w:val="00992516"/>
    <w:rsid w:val="00994CE2"/>
    <w:rsid w:val="009966E2"/>
    <w:rsid w:val="00997F53"/>
    <w:rsid w:val="009A095D"/>
    <w:rsid w:val="009A192C"/>
    <w:rsid w:val="009A383A"/>
    <w:rsid w:val="009A5346"/>
    <w:rsid w:val="009B0064"/>
    <w:rsid w:val="009B6568"/>
    <w:rsid w:val="009B67BE"/>
    <w:rsid w:val="009B7397"/>
    <w:rsid w:val="009C5FA9"/>
    <w:rsid w:val="009C658B"/>
    <w:rsid w:val="009C7E27"/>
    <w:rsid w:val="009D0B94"/>
    <w:rsid w:val="009D129B"/>
    <w:rsid w:val="009D2EBD"/>
    <w:rsid w:val="009D7049"/>
    <w:rsid w:val="009E09EE"/>
    <w:rsid w:val="009E2638"/>
    <w:rsid w:val="009E5B38"/>
    <w:rsid w:val="009F340C"/>
    <w:rsid w:val="009F6E4B"/>
    <w:rsid w:val="00A002C0"/>
    <w:rsid w:val="00A0064A"/>
    <w:rsid w:val="00A02230"/>
    <w:rsid w:val="00A026BE"/>
    <w:rsid w:val="00A02883"/>
    <w:rsid w:val="00A033F1"/>
    <w:rsid w:val="00A07A91"/>
    <w:rsid w:val="00A07FE4"/>
    <w:rsid w:val="00A147D5"/>
    <w:rsid w:val="00A21710"/>
    <w:rsid w:val="00A218A9"/>
    <w:rsid w:val="00A22137"/>
    <w:rsid w:val="00A2698E"/>
    <w:rsid w:val="00A26B55"/>
    <w:rsid w:val="00A3021A"/>
    <w:rsid w:val="00A31ADC"/>
    <w:rsid w:val="00A3404B"/>
    <w:rsid w:val="00A352F0"/>
    <w:rsid w:val="00A40D69"/>
    <w:rsid w:val="00A422CC"/>
    <w:rsid w:val="00A42D53"/>
    <w:rsid w:val="00A43152"/>
    <w:rsid w:val="00A43FE4"/>
    <w:rsid w:val="00A458F4"/>
    <w:rsid w:val="00A47809"/>
    <w:rsid w:val="00A51CEA"/>
    <w:rsid w:val="00A520CD"/>
    <w:rsid w:val="00A537A6"/>
    <w:rsid w:val="00A53A9C"/>
    <w:rsid w:val="00A53BBE"/>
    <w:rsid w:val="00A53C69"/>
    <w:rsid w:val="00A551B0"/>
    <w:rsid w:val="00A556AC"/>
    <w:rsid w:val="00A600D6"/>
    <w:rsid w:val="00A60E36"/>
    <w:rsid w:val="00A611E8"/>
    <w:rsid w:val="00A655D4"/>
    <w:rsid w:val="00A65D36"/>
    <w:rsid w:val="00A663F1"/>
    <w:rsid w:val="00A67020"/>
    <w:rsid w:val="00A67A35"/>
    <w:rsid w:val="00A723C4"/>
    <w:rsid w:val="00A72DE9"/>
    <w:rsid w:val="00A73002"/>
    <w:rsid w:val="00A756BF"/>
    <w:rsid w:val="00A776CB"/>
    <w:rsid w:val="00A83605"/>
    <w:rsid w:val="00A83CF5"/>
    <w:rsid w:val="00A84F6F"/>
    <w:rsid w:val="00A8502B"/>
    <w:rsid w:val="00A85A0F"/>
    <w:rsid w:val="00A90AD7"/>
    <w:rsid w:val="00A94467"/>
    <w:rsid w:val="00AA01ED"/>
    <w:rsid w:val="00AA182B"/>
    <w:rsid w:val="00AA5104"/>
    <w:rsid w:val="00AA5EEE"/>
    <w:rsid w:val="00AA71E5"/>
    <w:rsid w:val="00AA7715"/>
    <w:rsid w:val="00AB4470"/>
    <w:rsid w:val="00AB52A5"/>
    <w:rsid w:val="00AB6DD6"/>
    <w:rsid w:val="00AC1AC9"/>
    <w:rsid w:val="00AC21AE"/>
    <w:rsid w:val="00AC67A8"/>
    <w:rsid w:val="00AD0DAF"/>
    <w:rsid w:val="00AD2248"/>
    <w:rsid w:val="00AE61DA"/>
    <w:rsid w:val="00AE6ECA"/>
    <w:rsid w:val="00AF22DC"/>
    <w:rsid w:val="00AF3947"/>
    <w:rsid w:val="00AF3A64"/>
    <w:rsid w:val="00AF5F89"/>
    <w:rsid w:val="00AF7FF7"/>
    <w:rsid w:val="00B05EA0"/>
    <w:rsid w:val="00B106BB"/>
    <w:rsid w:val="00B10E5B"/>
    <w:rsid w:val="00B13359"/>
    <w:rsid w:val="00B16C18"/>
    <w:rsid w:val="00B171FE"/>
    <w:rsid w:val="00B21219"/>
    <w:rsid w:val="00B22B99"/>
    <w:rsid w:val="00B25667"/>
    <w:rsid w:val="00B26C4D"/>
    <w:rsid w:val="00B26C8A"/>
    <w:rsid w:val="00B32349"/>
    <w:rsid w:val="00B32C2A"/>
    <w:rsid w:val="00B34EC6"/>
    <w:rsid w:val="00B356B5"/>
    <w:rsid w:val="00B35A65"/>
    <w:rsid w:val="00B41F07"/>
    <w:rsid w:val="00B42070"/>
    <w:rsid w:val="00B46BAC"/>
    <w:rsid w:val="00B471A5"/>
    <w:rsid w:val="00B547F1"/>
    <w:rsid w:val="00B5605C"/>
    <w:rsid w:val="00B65937"/>
    <w:rsid w:val="00B6619B"/>
    <w:rsid w:val="00B703AB"/>
    <w:rsid w:val="00B71359"/>
    <w:rsid w:val="00B72EE8"/>
    <w:rsid w:val="00B7437B"/>
    <w:rsid w:val="00B7474B"/>
    <w:rsid w:val="00B76CB0"/>
    <w:rsid w:val="00B86FCC"/>
    <w:rsid w:val="00B87D69"/>
    <w:rsid w:val="00B87E37"/>
    <w:rsid w:val="00B94E8B"/>
    <w:rsid w:val="00B95EBE"/>
    <w:rsid w:val="00B97CEE"/>
    <w:rsid w:val="00BA0DC2"/>
    <w:rsid w:val="00BB036E"/>
    <w:rsid w:val="00BB0CC4"/>
    <w:rsid w:val="00BB42F0"/>
    <w:rsid w:val="00BB5999"/>
    <w:rsid w:val="00BB7FF0"/>
    <w:rsid w:val="00BD0EF7"/>
    <w:rsid w:val="00BD10FE"/>
    <w:rsid w:val="00BD3173"/>
    <w:rsid w:val="00BD48B4"/>
    <w:rsid w:val="00BD5461"/>
    <w:rsid w:val="00BE1C1F"/>
    <w:rsid w:val="00BE2900"/>
    <w:rsid w:val="00BE3C43"/>
    <w:rsid w:val="00BF5662"/>
    <w:rsid w:val="00BF681D"/>
    <w:rsid w:val="00BF6965"/>
    <w:rsid w:val="00C006D9"/>
    <w:rsid w:val="00C02FBC"/>
    <w:rsid w:val="00C035E2"/>
    <w:rsid w:val="00C04825"/>
    <w:rsid w:val="00C04E2C"/>
    <w:rsid w:val="00C06312"/>
    <w:rsid w:val="00C064B6"/>
    <w:rsid w:val="00C152AD"/>
    <w:rsid w:val="00C16A42"/>
    <w:rsid w:val="00C176B5"/>
    <w:rsid w:val="00C226DD"/>
    <w:rsid w:val="00C22B94"/>
    <w:rsid w:val="00C27261"/>
    <w:rsid w:val="00C32D55"/>
    <w:rsid w:val="00C349C8"/>
    <w:rsid w:val="00C41300"/>
    <w:rsid w:val="00C42B73"/>
    <w:rsid w:val="00C43948"/>
    <w:rsid w:val="00C44F45"/>
    <w:rsid w:val="00C461D2"/>
    <w:rsid w:val="00C46922"/>
    <w:rsid w:val="00C52983"/>
    <w:rsid w:val="00C54048"/>
    <w:rsid w:val="00C5604C"/>
    <w:rsid w:val="00C560B0"/>
    <w:rsid w:val="00C62010"/>
    <w:rsid w:val="00C65BA2"/>
    <w:rsid w:val="00C70C54"/>
    <w:rsid w:val="00C71642"/>
    <w:rsid w:val="00C747AD"/>
    <w:rsid w:val="00C75BA8"/>
    <w:rsid w:val="00C80D9D"/>
    <w:rsid w:val="00C85037"/>
    <w:rsid w:val="00C86150"/>
    <w:rsid w:val="00C903DC"/>
    <w:rsid w:val="00C904EA"/>
    <w:rsid w:val="00C9117D"/>
    <w:rsid w:val="00C9282D"/>
    <w:rsid w:val="00C9381A"/>
    <w:rsid w:val="00CA0CF3"/>
    <w:rsid w:val="00CA3437"/>
    <w:rsid w:val="00CA3A8E"/>
    <w:rsid w:val="00CA7356"/>
    <w:rsid w:val="00CB0359"/>
    <w:rsid w:val="00CB14D0"/>
    <w:rsid w:val="00CB2367"/>
    <w:rsid w:val="00CB5922"/>
    <w:rsid w:val="00CC08F9"/>
    <w:rsid w:val="00CC1BAC"/>
    <w:rsid w:val="00CC36AE"/>
    <w:rsid w:val="00CC661E"/>
    <w:rsid w:val="00CC6FDB"/>
    <w:rsid w:val="00CC7FD5"/>
    <w:rsid w:val="00CD003A"/>
    <w:rsid w:val="00CD1162"/>
    <w:rsid w:val="00CE0669"/>
    <w:rsid w:val="00CE1638"/>
    <w:rsid w:val="00CE2A0D"/>
    <w:rsid w:val="00CE4950"/>
    <w:rsid w:val="00CE7038"/>
    <w:rsid w:val="00CF2213"/>
    <w:rsid w:val="00CF2D62"/>
    <w:rsid w:val="00CF4BC6"/>
    <w:rsid w:val="00CF4F4B"/>
    <w:rsid w:val="00CF7775"/>
    <w:rsid w:val="00CF7AD9"/>
    <w:rsid w:val="00D02997"/>
    <w:rsid w:val="00D066DF"/>
    <w:rsid w:val="00D1133B"/>
    <w:rsid w:val="00D11BD2"/>
    <w:rsid w:val="00D20978"/>
    <w:rsid w:val="00D22B48"/>
    <w:rsid w:val="00D265F3"/>
    <w:rsid w:val="00D341E9"/>
    <w:rsid w:val="00D40E9B"/>
    <w:rsid w:val="00D42B16"/>
    <w:rsid w:val="00D50855"/>
    <w:rsid w:val="00D52422"/>
    <w:rsid w:val="00D57E0E"/>
    <w:rsid w:val="00D66340"/>
    <w:rsid w:val="00D6692B"/>
    <w:rsid w:val="00D71F24"/>
    <w:rsid w:val="00D76DD1"/>
    <w:rsid w:val="00D82E43"/>
    <w:rsid w:val="00D8471C"/>
    <w:rsid w:val="00D857D9"/>
    <w:rsid w:val="00D858F2"/>
    <w:rsid w:val="00D85F5B"/>
    <w:rsid w:val="00D87C6B"/>
    <w:rsid w:val="00D90C94"/>
    <w:rsid w:val="00D93310"/>
    <w:rsid w:val="00D93F8B"/>
    <w:rsid w:val="00D94C53"/>
    <w:rsid w:val="00DA411B"/>
    <w:rsid w:val="00DA6D05"/>
    <w:rsid w:val="00DB3F98"/>
    <w:rsid w:val="00DC5BAD"/>
    <w:rsid w:val="00DD06FE"/>
    <w:rsid w:val="00DD1450"/>
    <w:rsid w:val="00DD256A"/>
    <w:rsid w:val="00DD5A5F"/>
    <w:rsid w:val="00DD696E"/>
    <w:rsid w:val="00DE3781"/>
    <w:rsid w:val="00DE518C"/>
    <w:rsid w:val="00DF0667"/>
    <w:rsid w:val="00DF331C"/>
    <w:rsid w:val="00DF34FE"/>
    <w:rsid w:val="00DF52B5"/>
    <w:rsid w:val="00DF60F6"/>
    <w:rsid w:val="00E0009D"/>
    <w:rsid w:val="00E01AB8"/>
    <w:rsid w:val="00E02B86"/>
    <w:rsid w:val="00E02BC3"/>
    <w:rsid w:val="00E03FA4"/>
    <w:rsid w:val="00E04050"/>
    <w:rsid w:val="00E1164E"/>
    <w:rsid w:val="00E173DA"/>
    <w:rsid w:val="00E2518A"/>
    <w:rsid w:val="00E25AE7"/>
    <w:rsid w:val="00E3031B"/>
    <w:rsid w:val="00E30978"/>
    <w:rsid w:val="00E31D33"/>
    <w:rsid w:val="00E3555F"/>
    <w:rsid w:val="00E35EF8"/>
    <w:rsid w:val="00E36B6B"/>
    <w:rsid w:val="00E371DC"/>
    <w:rsid w:val="00E40488"/>
    <w:rsid w:val="00E4415E"/>
    <w:rsid w:val="00E459C4"/>
    <w:rsid w:val="00E511CC"/>
    <w:rsid w:val="00E537F4"/>
    <w:rsid w:val="00E5735E"/>
    <w:rsid w:val="00E666AC"/>
    <w:rsid w:val="00E66EA3"/>
    <w:rsid w:val="00E76344"/>
    <w:rsid w:val="00E8014B"/>
    <w:rsid w:val="00E81DC4"/>
    <w:rsid w:val="00E85366"/>
    <w:rsid w:val="00E85F33"/>
    <w:rsid w:val="00E86149"/>
    <w:rsid w:val="00E90078"/>
    <w:rsid w:val="00E905A0"/>
    <w:rsid w:val="00E912FB"/>
    <w:rsid w:val="00EA37EB"/>
    <w:rsid w:val="00EA47B3"/>
    <w:rsid w:val="00EB55EE"/>
    <w:rsid w:val="00EB5FD6"/>
    <w:rsid w:val="00EB687B"/>
    <w:rsid w:val="00EB7DB1"/>
    <w:rsid w:val="00EC2DA8"/>
    <w:rsid w:val="00EC2F9D"/>
    <w:rsid w:val="00EC3410"/>
    <w:rsid w:val="00EC6E66"/>
    <w:rsid w:val="00ED01E3"/>
    <w:rsid w:val="00ED06F9"/>
    <w:rsid w:val="00ED1560"/>
    <w:rsid w:val="00ED169A"/>
    <w:rsid w:val="00ED49A8"/>
    <w:rsid w:val="00ED4A80"/>
    <w:rsid w:val="00ED7AFA"/>
    <w:rsid w:val="00EE1123"/>
    <w:rsid w:val="00EE193D"/>
    <w:rsid w:val="00EE2C3B"/>
    <w:rsid w:val="00EE2CEE"/>
    <w:rsid w:val="00EE4395"/>
    <w:rsid w:val="00EE53F5"/>
    <w:rsid w:val="00EE5FEA"/>
    <w:rsid w:val="00EE69C4"/>
    <w:rsid w:val="00EE7237"/>
    <w:rsid w:val="00EF05F2"/>
    <w:rsid w:val="00EF24AB"/>
    <w:rsid w:val="00EF25F1"/>
    <w:rsid w:val="00EF2F95"/>
    <w:rsid w:val="00EF5435"/>
    <w:rsid w:val="00EF7C74"/>
    <w:rsid w:val="00EF7F94"/>
    <w:rsid w:val="00F0121A"/>
    <w:rsid w:val="00F01C7E"/>
    <w:rsid w:val="00F020F6"/>
    <w:rsid w:val="00F06E4F"/>
    <w:rsid w:val="00F07DDA"/>
    <w:rsid w:val="00F10C58"/>
    <w:rsid w:val="00F1453F"/>
    <w:rsid w:val="00F15E12"/>
    <w:rsid w:val="00F16838"/>
    <w:rsid w:val="00F16C9A"/>
    <w:rsid w:val="00F16CB5"/>
    <w:rsid w:val="00F22B67"/>
    <w:rsid w:val="00F22F5E"/>
    <w:rsid w:val="00F26AC4"/>
    <w:rsid w:val="00F27B74"/>
    <w:rsid w:val="00F27F7A"/>
    <w:rsid w:val="00F33AD3"/>
    <w:rsid w:val="00F361E4"/>
    <w:rsid w:val="00F3790B"/>
    <w:rsid w:val="00F42D0F"/>
    <w:rsid w:val="00F4350F"/>
    <w:rsid w:val="00F43BDB"/>
    <w:rsid w:val="00F45324"/>
    <w:rsid w:val="00F45BFC"/>
    <w:rsid w:val="00F518B1"/>
    <w:rsid w:val="00F52922"/>
    <w:rsid w:val="00F53B5F"/>
    <w:rsid w:val="00F5592C"/>
    <w:rsid w:val="00F567CF"/>
    <w:rsid w:val="00F56A89"/>
    <w:rsid w:val="00F6021C"/>
    <w:rsid w:val="00F6522B"/>
    <w:rsid w:val="00F666AE"/>
    <w:rsid w:val="00F70439"/>
    <w:rsid w:val="00F76C03"/>
    <w:rsid w:val="00F76D05"/>
    <w:rsid w:val="00F8327C"/>
    <w:rsid w:val="00F8672C"/>
    <w:rsid w:val="00F86BC0"/>
    <w:rsid w:val="00F86E32"/>
    <w:rsid w:val="00F87662"/>
    <w:rsid w:val="00F934ED"/>
    <w:rsid w:val="00FA06D2"/>
    <w:rsid w:val="00FA0B6D"/>
    <w:rsid w:val="00FA1EAA"/>
    <w:rsid w:val="00FA2828"/>
    <w:rsid w:val="00FA3966"/>
    <w:rsid w:val="00FA5397"/>
    <w:rsid w:val="00FA5A82"/>
    <w:rsid w:val="00FB5B3B"/>
    <w:rsid w:val="00FB61C6"/>
    <w:rsid w:val="00FC052A"/>
    <w:rsid w:val="00FC30BE"/>
    <w:rsid w:val="00FC7685"/>
    <w:rsid w:val="00FC7A3A"/>
    <w:rsid w:val="00FD281A"/>
    <w:rsid w:val="00FD5A63"/>
    <w:rsid w:val="00FD7BD5"/>
    <w:rsid w:val="00FE3CCA"/>
    <w:rsid w:val="00FE61A9"/>
    <w:rsid w:val="00FE6F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3A242-3771-40BE-93C0-6564D806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napToGrid w:val="0"/>
        <w:sz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410"/>
    <w:pPr>
      <w:widowControl w:val="0"/>
      <w:spacing w:after="0" w:line="240" w:lineRule="auto"/>
    </w:pPr>
  </w:style>
  <w:style w:type="paragraph" w:styleId="Heading1">
    <w:name w:val="heading 1"/>
    <w:basedOn w:val="Normal"/>
    <w:next w:val="Normal"/>
    <w:link w:val="Heading1Char"/>
    <w:uiPriority w:val="9"/>
    <w:qFormat/>
    <w:rsid w:val="00EC34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next w:val="Normal"/>
    <w:link w:val="Level1Char"/>
    <w:uiPriority w:val="6"/>
    <w:qFormat/>
    <w:rsid w:val="00EC3410"/>
    <w:pPr>
      <w:numPr>
        <w:numId w:val="1"/>
      </w:numPr>
      <w:spacing w:after="210"/>
      <w:outlineLvl w:val="0"/>
    </w:pPr>
  </w:style>
  <w:style w:type="paragraph" w:customStyle="1" w:styleId="Level2">
    <w:name w:val="Level 2"/>
    <w:basedOn w:val="Normal"/>
    <w:next w:val="Normal"/>
    <w:link w:val="Level2Char"/>
    <w:uiPriority w:val="6"/>
    <w:qFormat/>
    <w:rsid w:val="00EC3410"/>
    <w:pPr>
      <w:numPr>
        <w:ilvl w:val="1"/>
        <w:numId w:val="1"/>
      </w:numPr>
      <w:spacing w:after="210"/>
      <w:outlineLvl w:val="1"/>
    </w:pPr>
  </w:style>
  <w:style w:type="paragraph" w:customStyle="1" w:styleId="Level3">
    <w:name w:val="Level 3"/>
    <w:basedOn w:val="Normal"/>
    <w:next w:val="Normal"/>
    <w:link w:val="Level3Char"/>
    <w:uiPriority w:val="6"/>
    <w:qFormat/>
    <w:rsid w:val="00EC3410"/>
    <w:pPr>
      <w:numPr>
        <w:ilvl w:val="2"/>
        <w:numId w:val="1"/>
      </w:numPr>
      <w:spacing w:after="210"/>
      <w:outlineLvl w:val="2"/>
    </w:pPr>
  </w:style>
  <w:style w:type="paragraph" w:customStyle="1" w:styleId="Level4">
    <w:name w:val="Level 4"/>
    <w:basedOn w:val="Normal"/>
    <w:next w:val="Normal"/>
    <w:uiPriority w:val="6"/>
    <w:qFormat/>
    <w:rsid w:val="00EC3410"/>
    <w:pPr>
      <w:numPr>
        <w:ilvl w:val="3"/>
        <w:numId w:val="1"/>
      </w:numPr>
      <w:spacing w:after="210"/>
      <w:outlineLvl w:val="3"/>
    </w:pPr>
  </w:style>
  <w:style w:type="paragraph" w:customStyle="1" w:styleId="Level5">
    <w:name w:val="Level 5"/>
    <w:basedOn w:val="Normal"/>
    <w:next w:val="Normal"/>
    <w:uiPriority w:val="6"/>
    <w:qFormat/>
    <w:rsid w:val="00EC3410"/>
    <w:pPr>
      <w:numPr>
        <w:ilvl w:val="4"/>
        <w:numId w:val="1"/>
      </w:numPr>
      <w:spacing w:after="210"/>
      <w:outlineLvl w:val="4"/>
    </w:pPr>
  </w:style>
  <w:style w:type="character" w:customStyle="1" w:styleId="Heading1Char">
    <w:name w:val="Heading 1 Char"/>
    <w:basedOn w:val="DefaultParagraphFont"/>
    <w:link w:val="Heading1"/>
    <w:uiPriority w:val="9"/>
    <w:rsid w:val="00EC3410"/>
    <w:rPr>
      <w:rFonts w:asciiTheme="majorHAnsi" w:eastAsiaTheme="majorEastAsia" w:hAnsiTheme="majorHAnsi" w:cstheme="majorBidi"/>
      <w:snapToGrid/>
      <w:color w:val="2E74B5" w:themeColor="accent1" w:themeShade="BF"/>
      <w:sz w:val="32"/>
      <w:szCs w:val="32"/>
      <w:lang w:val="en-US"/>
    </w:rPr>
  </w:style>
  <w:style w:type="paragraph" w:styleId="TOCHeading">
    <w:name w:val="TOC Heading"/>
    <w:basedOn w:val="Heading1"/>
    <w:next w:val="Normal"/>
    <w:uiPriority w:val="49"/>
    <w:semiHidden/>
    <w:rsid w:val="00EC3410"/>
    <w:pPr>
      <w:tabs>
        <w:tab w:val="num" w:pos="709"/>
        <w:tab w:val="right" w:pos="9072"/>
      </w:tabs>
      <w:spacing w:before="0" w:after="240"/>
      <w:ind w:left="709" w:hanging="709"/>
      <w:jc w:val="center"/>
      <w:outlineLvl w:val="9"/>
    </w:pPr>
    <w:rPr>
      <w:rFonts w:ascii="Courier" w:hAnsi="Courier"/>
      <w:b/>
      <w:bCs/>
      <w:smallCaps/>
      <w:color w:val="auto"/>
      <w:sz w:val="24"/>
      <w:szCs w:val="28"/>
    </w:rPr>
  </w:style>
  <w:style w:type="paragraph" w:styleId="ListParagraph">
    <w:name w:val="List Paragraph"/>
    <w:basedOn w:val="Normal"/>
    <w:uiPriority w:val="34"/>
    <w:qFormat/>
    <w:rsid w:val="00EC3410"/>
    <w:pPr>
      <w:ind w:left="720"/>
      <w:contextualSpacing/>
    </w:pPr>
  </w:style>
  <w:style w:type="paragraph" w:customStyle="1" w:styleId="Body1">
    <w:name w:val="Body 1"/>
    <w:basedOn w:val="Normal"/>
    <w:link w:val="Body1Char"/>
    <w:qFormat/>
    <w:rsid w:val="008317DA"/>
    <w:pPr>
      <w:spacing w:after="210"/>
    </w:pPr>
  </w:style>
  <w:style w:type="character" w:customStyle="1" w:styleId="Body1Char">
    <w:name w:val="Body 1 Char"/>
    <w:basedOn w:val="DefaultParagraphFont"/>
    <w:link w:val="Body1"/>
    <w:rsid w:val="008317DA"/>
    <w:rPr>
      <w:rFonts w:ascii="Courier" w:eastAsia="Times New Roman" w:hAnsi="Courier" w:cs="Times New Roman"/>
      <w:snapToGrid/>
      <w:sz w:val="24"/>
      <w:szCs w:val="20"/>
      <w:lang w:val="en-US"/>
    </w:rPr>
  </w:style>
  <w:style w:type="character" w:customStyle="1" w:styleId="Level2Char">
    <w:name w:val="Level 2 Char"/>
    <w:basedOn w:val="DefaultParagraphFont"/>
    <w:link w:val="Level2"/>
    <w:uiPriority w:val="6"/>
    <w:rsid w:val="008317DA"/>
    <w:rPr>
      <w:rFonts w:ascii="Courier" w:eastAsia="Times New Roman" w:hAnsi="Courier" w:cs="Times New Roman"/>
      <w:snapToGrid/>
      <w:sz w:val="24"/>
      <w:szCs w:val="20"/>
      <w:lang w:val="en-US"/>
    </w:rPr>
  </w:style>
  <w:style w:type="character" w:customStyle="1" w:styleId="Level1Char">
    <w:name w:val="Level 1 Char"/>
    <w:basedOn w:val="Body1Char"/>
    <w:link w:val="Level1"/>
    <w:uiPriority w:val="6"/>
    <w:rsid w:val="008317DA"/>
    <w:rPr>
      <w:rFonts w:ascii="Courier" w:eastAsia="Times New Roman" w:hAnsi="Courier" w:cs="Times New Roman"/>
      <w:snapToGrid/>
      <w:sz w:val="24"/>
      <w:szCs w:val="20"/>
      <w:lang w:val="en-US"/>
    </w:rPr>
  </w:style>
  <w:style w:type="character" w:customStyle="1" w:styleId="Level3Char">
    <w:name w:val="Level 3 Char"/>
    <w:basedOn w:val="DefaultParagraphFont"/>
    <w:link w:val="Level3"/>
    <w:uiPriority w:val="6"/>
    <w:rsid w:val="008317DA"/>
    <w:rPr>
      <w:rFonts w:ascii="Courier" w:eastAsia="Times New Roman" w:hAnsi="Courier" w:cs="Times New Roman"/>
      <w:snapToGrid/>
      <w:sz w:val="24"/>
      <w:szCs w:val="20"/>
      <w:lang w:val="en-US"/>
    </w:rPr>
  </w:style>
  <w:style w:type="paragraph" w:customStyle="1" w:styleId="HCLAdr">
    <w:name w:val="HCLAdr"/>
    <w:basedOn w:val="Normal"/>
    <w:rsid w:val="008317DA"/>
    <w:pPr>
      <w:keepNext/>
      <w:widowControl/>
    </w:pPr>
    <w:rPr>
      <w:rFonts w:ascii="Verdana" w:hAnsi="Verdana"/>
      <w:snapToGrid/>
      <w:sz w:val="22"/>
      <w:lang w:eastAsia="en-ZA"/>
    </w:rPr>
  </w:style>
  <w:style w:type="paragraph" w:styleId="Header">
    <w:name w:val="header"/>
    <w:basedOn w:val="Normal"/>
    <w:link w:val="HeaderChar"/>
    <w:uiPriority w:val="99"/>
    <w:unhideWhenUsed/>
    <w:rsid w:val="00CE4950"/>
    <w:pPr>
      <w:tabs>
        <w:tab w:val="center" w:pos="4513"/>
        <w:tab w:val="right" w:pos="9026"/>
      </w:tabs>
    </w:pPr>
  </w:style>
  <w:style w:type="character" w:customStyle="1" w:styleId="HeaderChar">
    <w:name w:val="Header Char"/>
    <w:basedOn w:val="DefaultParagraphFont"/>
    <w:link w:val="Header"/>
    <w:uiPriority w:val="99"/>
    <w:rsid w:val="00CE4950"/>
    <w:rPr>
      <w:rFonts w:ascii="Courier" w:eastAsia="Times New Roman" w:hAnsi="Courier" w:cs="Times New Roman"/>
      <w:snapToGrid/>
      <w:sz w:val="24"/>
      <w:szCs w:val="20"/>
      <w:lang w:val="en-US"/>
    </w:rPr>
  </w:style>
  <w:style w:type="paragraph" w:styleId="Footer">
    <w:name w:val="footer"/>
    <w:basedOn w:val="Normal"/>
    <w:link w:val="FooterChar"/>
    <w:uiPriority w:val="99"/>
    <w:unhideWhenUsed/>
    <w:rsid w:val="00CE4950"/>
    <w:pPr>
      <w:tabs>
        <w:tab w:val="center" w:pos="4513"/>
        <w:tab w:val="right" w:pos="9026"/>
      </w:tabs>
    </w:pPr>
  </w:style>
  <w:style w:type="character" w:customStyle="1" w:styleId="FooterChar">
    <w:name w:val="Footer Char"/>
    <w:basedOn w:val="DefaultParagraphFont"/>
    <w:link w:val="Footer"/>
    <w:uiPriority w:val="99"/>
    <w:rsid w:val="00CE4950"/>
    <w:rPr>
      <w:rFonts w:ascii="Courier" w:eastAsia="Times New Roman" w:hAnsi="Courier" w:cs="Times New Roman"/>
      <w:snapToGrid/>
      <w:sz w:val="24"/>
      <w:szCs w:val="20"/>
      <w:lang w:val="en-US"/>
    </w:rPr>
  </w:style>
  <w:style w:type="paragraph" w:styleId="FootnoteText">
    <w:name w:val="footnote text"/>
    <w:basedOn w:val="Normal"/>
    <w:link w:val="FootnoteTextChar"/>
    <w:uiPriority w:val="99"/>
    <w:unhideWhenUsed/>
    <w:rsid w:val="006478D1"/>
    <w:rPr>
      <w:sz w:val="20"/>
    </w:rPr>
  </w:style>
  <w:style w:type="character" w:customStyle="1" w:styleId="FootnoteTextChar">
    <w:name w:val="Footnote Text Char"/>
    <w:basedOn w:val="DefaultParagraphFont"/>
    <w:link w:val="FootnoteText"/>
    <w:uiPriority w:val="99"/>
    <w:rsid w:val="006478D1"/>
    <w:rPr>
      <w:rFonts w:ascii="Courier" w:eastAsia="Times New Roman" w:hAnsi="Courier" w:cs="Times New Roman"/>
      <w:snapToGrid/>
      <w:sz w:val="20"/>
      <w:szCs w:val="20"/>
      <w:lang w:val="en-US"/>
    </w:rPr>
  </w:style>
  <w:style w:type="character" w:styleId="FootnoteReference">
    <w:name w:val="footnote reference"/>
    <w:basedOn w:val="DefaultParagraphFont"/>
    <w:uiPriority w:val="99"/>
    <w:semiHidden/>
    <w:unhideWhenUsed/>
    <w:rsid w:val="006478D1"/>
    <w:rPr>
      <w:vertAlign w:val="superscript"/>
    </w:rPr>
  </w:style>
  <w:style w:type="paragraph" w:styleId="BalloonText">
    <w:name w:val="Balloon Text"/>
    <w:basedOn w:val="Normal"/>
    <w:link w:val="BalloonTextChar"/>
    <w:uiPriority w:val="99"/>
    <w:semiHidden/>
    <w:unhideWhenUsed/>
    <w:rsid w:val="00F06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4F"/>
    <w:rPr>
      <w:rFonts w:ascii="Segoe UI" w:hAnsi="Segoe UI" w:cs="Segoe UI"/>
      <w:sz w:val="18"/>
      <w:szCs w:val="18"/>
    </w:rPr>
  </w:style>
  <w:style w:type="paragraph" w:customStyle="1" w:styleId="Body2">
    <w:name w:val="Body 2"/>
    <w:basedOn w:val="Normal"/>
    <w:link w:val="Body2Char"/>
    <w:qFormat/>
    <w:rsid w:val="00B05EA0"/>
    <w:pPr>
      <w:spacing w:after="210"/>
      <w:ind w:left="709"/>
    </w:pPr>
    <w:rPr>
      <w:rFonts w:ascii="Courier" w:eastAsia="Times New Roman" w:hAnsi="Courier"/>
      <w:lang w:val="en-US"/>
    </w:rPr>
  </w:style>
  <w:style w:type="character" w:customStyle="1" w:styleId="Body2Char">
    <w:name w:val="Body 2 Char"/>
    <w:basedOn w:val="DefaultParagraphFont"/>
    <w:link w:val="Body2"/>
    <w:rsid w:val="00B05EA0"/>
    <w:rPr>
      <w:rFonts w:ascii="Courier" w:eastAsia="Times New Roman" w:hAnsi="Courier"/>
      <w:lang w:val="en-US"/>
    </w:rPr>
  </w:style>
  <w:style w:type="character" w:styleId="Hyperlink">
    <w:name w:val="Hyperlink"/>
    <w:basedOn w:val="DefaultParagraphFont"/>
    <w:uiPriority w:val="99"/>
    <w:unhideWhenUsed/>
    <w:rsid w:val="00227A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0327">
      <w:bodyDiv w:val="1"/>
      <w:marLeft w:val="0"/>
      <w:marRight w:val="0"/>
      <w:marTop w:val="0"/>
      <w:marBottom w:val="0"/>
      <w:divBdr>
        <w:top w:val="none" w:sz="0" w:space="0" w:color="auto"/>
        <w:left w:val="none" w:sz="0" w:space="0" w:color="auto"/>
        <w:bottom w:val="none" w:sz="0" w:space="0" w:color="auto"/>
        <w:right w:val="none" w:sz="0" w:space="0" w:color="auto"/>
      </w:divBdr>
      <w:divsChild>
        <w:div w:id="496266913">
          <w:marLeft w:val="0"/>
          <w:marRight w:val="0"/>
          <w:marTop w:val="120"/>
          <w:marBottom w:val="0"/>
          <w:divBdr>
            <w:top w:val="none" w:sz="0" w:space="0" w:color="auto"/>
            <w:left w:val="none" w:sz="0" w:space="0" w:color="auto"/>
            <w:bottom w:val="none" w:sz="0" w:space="0" w:color="auto"/>
            <w:right w:val="none" w:sz="0" w:space="0" w:color="auto"/>
          </w:divBdr>
        </w:div>
        <w:div w:id="820461319">
          <w:marLeft w:val="0"/>
          <w:marRight w:val="0"/>
          <w:marTop w:val="120"/>
          <w:marBottom w:val="0"/>
          <w:divBdr>
            <w:top w:val="none" w:sz="0" w:space="0" w:color="auto"/>
            <w:left w:val="none" w:sz="0" w:space="0" w:color="auto"/>
            <w:bottom w:val="none" w:sz="0" w:space="0" w:color="auto"/>
            <w:right w:val="none" w:sz="0" w:space="0" w:color="auto"/>
          </w:divBdr>
        </w:div>
        <w:div w:id="1763988039">
          <w:marLeft w:val="0"/>
          <w:marRight w:val="0"/>
          <w:marTop w:val="240"/>
          <w:marBottom w:val="24"/>
          <w:divBdr>
            <w:top w:val="single" w:sz="8" w:space="2" w:color="808080"/>
            <w:left w:val="none" w:sz="0" w:space="0" w:color="auto"/>
            <w:bottom w:val="none" w:sz="0" w:space="0" w:color="auto"/>
            <w:right w:val="none" w:sz="0" w:space="0" w:color="auto"/>
          </w:divBdr>
        </w:div>
        <w:div w:id="1766919045">
          <w:marLeft w:val="0"/>
          <w:marRight w:val="0"/>
          <w:marTop w:val="120"/>
          <w:marBottom w:val="0"/>
          <w:divBdr>
            <w:top w:val="none" w:sz="0" w:space="0" w:color="auto"/>
            <w:left w:val="none" w:sz="0" w:space="0" w:color="auto"/>
            <w:bottom w:val="none" w:sz="0" w:space="0" w:color="auto"/>
            <w:right w:val="none" w:sz="0" w:space="0" w:color="auto"/>
          </w:divBdr>
        </w:div>
        <w:div w:id="2121752996">
          <w:marLeft w:val="0"/>
          <w:marRight w:val="0"/>
          <w:marTop w:val="120"/>
          <w:marBottom w:val="0"/>
          <w:divBdr>
            <w:top w:val="none" w:sz="0" w:space="0" w:color="auto"/>
            <w:left w:val="none" w:sz="0" w:space="0" w:color="auto"/>
            <w:bottom w:val="none" w:sz="0" w:space="0" w:color="auto"/>
            <w:right w:val="none" w:sz="0" w:space="0" w:color="auto"/>
          </w:divBdr>
        </w:div>
      </w:divsChild>
    </w:div>
    <w:div w:id="711349847">
      <w:bodyDiv w:val="1"/>
      <w:marLeft w:val="0"/>
      <w:marRight w:val="0"/>
      <w:marTop w:val="0"/>
      <w:marBottom w:val="0"/>
      <w:divBdr>
        <w:top w:val="none" w:sz="0" w:space="0" w:color="auto"/>
        <w:left w:val="none" w:sz="0" w:space="0" w:color="auto"/>
        <w:bottom w:val="none" w:sz="0" w:space="0" w:color="auto"/>
        <w:right w:val="none" w:sz="0" w:space="0" w:color="auto"/>
      </w:divBdr>
      <w:divsChild>
        <w:div w:id="509101706">
          <w:marLeft w:val="0"/>
          <w:marRight w:val="0"/>
          <w:marTop w:val="120"/>
          <w:marBottom w:val="0"/>
          <w:divBdr>
            <w:top w:val="none" w:sz="0" w:space="0" w:color="auto"/>
            <w:left w:val="none" w:sz="0" w:space="0" w:color="auto"/>
            <w:bottom w:val="none" w:sz="0" w:space="0" w:color="auto"/>
            <w:right w:val="none" w:sz="0" w:space="0" w:color="auto"/>
          </w:divBdr>
        </w:div>
        <w:div w:id="1198814017">
          <w:marLeft w:val="0"/>
          <w:marRight w:val="0"/>
          <w:marTop w:val="120"/>
          <w:marBottom w:val="0"/>
          <w:divBdr>
            <w:top w:val="none" w:sz="0" w:space="0" w:color="auto"/>
            <w:left w:val="none" w:sz="0" w:space="0" w:color="auto"/>
            <w:bottom w:val="none" w:sz="0" w:space="0" w:color="auto"/>
            <w:right w:val="none" w:sz="0" w:space="0" w:color="auto"/>
          </w:divBdr>
        </w:div>
        <w:div w:id="1605846355">
          <w:marLeft w:val="0"/>
          <w:marRight w:val="0"/>
          <w:marTop w:val="120"/>
          <w:marBottom w:val="0"/>
          <w:divBdr>
            <w:top w:val="none" w:sz="0" w:space="0" w:color="auto"/>
            <w:left w:val="none" w:sz="0" w:space="0" w:color="auto"/>
            <w:bottom w:val="none" w:sz="0" w:space="0" w:color="auto"/>
            <w:right w:val="none" w:sz="0" w:space="0" w:color="auto"/>
          </w:divBdr>
        </w:div>
      </w:divsChild>
    </w:div>
    <w:div w:id="786780370">
      <w:bodyDiv w:val="1"/>
      <w:marLeft w:val="0"/>
      <w:marRight w:val="0"/>
      <w:marTop w:val="0"/>
      <w:marBottom w:val="0"/>
      <w:divBdr>
        <w:top w:val="none" w:sz="0" w:space="0" w:color="auto"/>
        <w:left w:val="none" w:sz="0" w:space="0" w:color="auto"/>
        <w:bottom w:val="none" w:sz="0" w:space="0" w:color="auto"/>
        <w:right w:val="none" w:sz="0" w:space="0" w:color="auto"/>
      </w:divBdr>
      <w:divsChild>
        <w:div w:id="115291841">
          <w:marLeft w:val="0"/>
          <w:marRight w:val="0"/>
          <w:marTop w:val="120"/>
          <w:marBottom w:val="0"/>
          <w:divBdr>
            <w:top w:val="none" w:sz="0" w:space="0" w:color="auto"/>
            <w:left w:val="none" w:sz="0" w:space="0" w:color="auto"/>
            <w:bottom w:val="none" w:sz="0" w:space="0" w:color="auto"/>
            <w:right w:val="none" w:sz="0" w:space="0" w:color="auto"/>
          </w:divBdr>
        </w:div>
        <w:div w:id="358354192">
          <w:marLeft w:val="0"/>
          <w:marRight w:val="0"/>
          <w:marTop w:val="120"/>
          <w:marBottom w:val="0"/>
          <w:divBdr>
            <w:top w:val="none" w:sz="0" w:space="0" w:color="auto"/>
            <w:left w:val="none" w:sz="0" w:space="0" w:color="auto"/>
            <w:bottom w:val="none" w:sz="0" w:space="0" w:color="auto"/>
            <w:right w:val="none" w:sz="0" w:space="0" w:color="auto"/>
          </w:divBdr>
        </w:div>
        <w:div w:id="862985303">
          <w:marLeft w:val="0"/>
          <w:marRight w:val="0"/>
          <w:marTop w:val="120"/>
          <w:marBottom w:val="0"/>
          <w:divBdr>
            <w:top w:val="none" w:sz="0" w:space="0" w:color="auto"/>
            <w:left w:val="none" w:sz="0" w:space="0" w:color="auto"/>
            <w:bottom w:val="none" w:sz="0" w:space="0" w:color="auto"/>
            <w:right w:val="none" w:sz="0" w:space="0" w:color="auto"/>
          </w:divBdr>
        </w:div>
        <w:div w:id="882446481">
          <w:marLeft w:val="0"/>
          <w:marRight w:val="0"/>
          <w:marTop w:val="120"/>
          <w:marBottom w:val="0"/>
          <w:divBdr>
            <w:top w:val="none" w:sz="0" w:space="0" w:color="auto"/>
            <w:left w:val="none" w:sz="0" w:space="0" w:color="auto"/>
            <w:bottom w:val="none" w:sz="0" w:space="0" w:color="auto"/>
            <w:right w:val="none" w:sz="0" w:space="0" w:color="auto"/>
          </w:divBdr>
        </w:div>
      </w:divsChild>
    </w:div>
    <w:div w:id="1340622915">
      <w:bodyDiv w:val="1"/>
      <w:marLeft w:val="0"/>
      <w:marRight w:val="0"/>
      <w:marTop w:val="0"/>
      <w:marBottom w:val="0"/>
      <w:divBdr>
        <w:top w:val="none" w:sz="0" w:space="0" w:color="auto"/>
        <w:left w:val="none" w:sz="0" w:space="0" w:color="auto"/>
        <w:bottom w:val="none" w:sz="0" w:space="0" w:color="auto"/>
        <w:right w:val="none" w:sz="0" w:space="0" w:color="auto"/>
      </w:divBdr>
      <w:divsChild>
        <w:div w:id="376513979">
          <w:marLeft w:val="0"/>
          <w:marRight w:val="0"/>
          <w:marTop w:val="120"/>
          <w:marBottom w:val="0"/>
          <w:divBdr>
            <w:top w:val="none" w:sz="0" w:space="0" w:color="auto"/>
            <w:left w:val="none" w:sz="0" w:space="0" w:color="auto"/>
            <w:bottom w:val="none" w:sz="0" w:space="0" w:color="auto"/>
            <w:right w:val="none" w:sz="0" w:space="0" w:color="auto"/>
          </w:divBdr>
        </w:div>
        <w:div w:id="400760216">
          <w:marLeft w:val="0"/>
          <w:marRight w:val="0"/>
          <w:marTop w:val="120"/>
          <w:marBottom w:val="0"/>
          <w:divBdr>
            <w:top w:val="none" w:sz="0" w:space="0" w:color="auto"/>
            <w:left w:val="none" w:sz="0" w:space="0" w:color="auto"/>
            <w:bottom w:val="none" w:sz="0" w:space="0" w:color="auto"/>
            <w:right w:val="none" w:sz="0" w:space="0" w:color="auto"/>
          </w:divBdr>
        </w:div>
        <w:div w:id="1319922035">
          <w:marLeft w:val="0"/>
          <w:marRight w:val="0"/>
          <w:marTop w:val="120"/>
          <w:marBottom w:val="0"/>
          <w:divBdr>
            <w:top w:val="none" w:sz="0" w:space="0" w:color="auto"/>
            <w:left w:val="none" w:sz="0" w:space="0" w:color="auto"/>
            <w:bottom w:val="none" w:sz="0" w:space="0" w:color="auto"/>
            <w:right w:val="none" w:sz="0" w:space="0" w:color="auto"/>
          </w:divBdr>
        </w:div>
        <w:div w:id="2014019240">
          <w:marLeft w:val="0"/>
          <w:marRight w:val="0"/>
          <w:marTop w:val="120"/>
          <w:marBottom w:val="0"/>
          <w:divBdr>
            <w:top w:val="none" w:sz="0" w:space="0" w:color="auto"/>
            <w:left w:val="none" w:sz="0" w:space="0" w:color="auto"/>
            <w:bottom w:val="none" w:sz="0" w:space="0" w:color="auto"/>
            <w:right w:val="none" w:sz="0" w:space="0" w:color="auto"/>
          </w:divBdr>
        </w:div>
      </w:divsChild>
    </w:div>
    <w:div w:id="1422795079">
      <w:bodyDiv w:val="1"/>
      <w:marLeft w:val="0"/>
      <w:marRight w:val="0"/>
      <w:marTop w:val="0"/>
      <w:marBottom w:val="0"/>
      <w:divBdr>
        <w:top w:val="none" w:sz="0" w:space="0" w:color="auto"/>
        <w:left w:val="none" w:sz="0" w:space="0" w:color="auto"/>
        <w:bottom w:val="none" w:sz="0" w:space="0" w:color="auto"/>
        <w:right w:val="none" w:sz="0" w:space="0" w:color="auto"/>
      </w:divBdr>
      <w:divsChild>
        <w:div w:id="226916449">
          <w:marLeft w:val="0"/>
          <w:marRight w:val="0"/>
          <w:marTop w:val="120"/>
          <w:marBottom w:val="0"/>
          <w:divBdr>
            <w:top w:val="none" w:sz="0" w:space="0" w:color="auto"/>
            <w:left w:val="none" w:sz="0" w:space="0" w:color="auto"/>
            <w:bottom w:val="none" w:sz="0" w:space="0" w:color="auto"/>
            <w:right w:val="none" w:sz="0" w:space="0" w:color="auto"/>
          </w:divBdr>
        </w:div>
        <w:div w:id="519514556">
          <w:marLeft w:val="0"/>
          <w:marRight w:val="0"/>
          <w:marTop w:val="120"/>
          <w:marBottom w:val="0"/>
          <w:divBdr>
            <w:top w:val="none" w:sz="0" w:space="0" w:color="auto"/>
            <w:left w:val="none" w:sz="0" w:space="0" w:color="auto"/>
            <w:bottom w:val="none" w:sz="0" w:space="0" w:color="auto"/>
            <w:right w:val="none" w:sz="0" w:space="0" w:color="auto"/>
          </w:divBdr>
        </w:div>
        <w:div w:id="710030529">
          <w:marLeft w:val="0"/>
          <w:marRight w:val="0"/>
          <w:marTop w:val="120"/>
          <w:marBottom w:val="0"/>
          <w:divBdr>
            <w:top w:val="none" w:sz="0" w:space="0" w:color="auto"/>
            <w:left w:val="none" w:sz="0" w:space="0" w:color="auto"/>
            <w:bottom w:val="none" w:sz="0" w:space="0" w:color="auto"/>
            <w:right w:val="none" w:sz="0" w:space="0" w:color="auto"/>
          </w:divBdr>
        </w:div>
        <w:div w:id="945042942">
          <w:marLeft w:val="0"/>
          <w:marRight w:val="0"/>
          <w:marTop w:val="240"/>
          <w:marBottom w:val="24"/>
          <w:divBdr>
            <w:top w:val="single" w:sz="8" w:space="2" w:color="808080"/>
            <w:left w:val="none" w:sz="0" w:space="0" w:color="auto"/>
            <w:bottom w:val="none" w:sz="0" w:space="0" w:color="auto"/>
            <w:right w:val="none" w:sz="0" w:space="0" w:color="auto"/>
          </w:divBdr>
        </w:div>
        <w:div w:id="1567301211">
          <w:marLeft w:val="0"/>
          <w:marRight w:val="0"/>
          <w:marTop w:val="120"/>
          <w:marBottom w:val="0"/>
          <w:divBdr>
            <w:top w:val="none" w:sz="0" w:space="0" w:color="auto"/>
            <w:left w:val="none" w:sz="0" w:space="0" w:color="auto"/>
            <w:bottom w:val="none" w:sz="0" w:space="0" w:color="auto"/>
            <w:right w:val="none" w:sz="0" w:space="0" w:color="auto"/>
          </w:divBdr>
        </w:div>
        <w:div w:id="1655837084">
          <w:marLeft w:val="0"/>
          <w:marRight w:val="0"/>
          <w:marTop w:val="120"/>
          <w:marBottom w:val="0"/>
          <w:divBdr>
            <w:top w:val="none" w:sz="0" w:space="0" w:color="auto"/>
            <w:left w:val="none" w:sz="0" w:space="0" w:color="auto"/>
            <w:bottom w:val="none" w:sz="0" w:space="0" w:color="auto"/>
            <w:right w:val="none" w:sz="0" w:space="0" w:color="auto"/>
          </w:divBdr>
        </w:div>
      </w:divsChild>
    </w:div>
    <w:div w:id="185545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31843%27%5d&amp;xhitlist_md=target-id=0-0-0-531779"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54641%27%5d&amp;xhitlist_md=target-id=0-0-0-3366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461049%27%5d&amp;xhitlist_md=target-id=0-0-0-133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CE33D-34EA-4778-AD40-1A90C427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25752</Words>
  <Characters>146791</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Judge-Brian Spilg</dc:creator>
  <cp:keywords/>
  <dc:description/>
  <cp:lastModifiedBy>Mokone</cp:lastModifiedBy>
  <cp:revision>2</cp:revision>
  <cp:lastPrinted>2023-03-23T08:17:00Z</cp:lastPrinted>
  <dcterms:created xsi:type="dcterms:W3CDTF">2023-03-23T13:40:00Z</dcterms:created>
  <dcterms:modified xsi:type="dcterms:W3CDTF">2023-03-23T13:40:00Z</dcterms:modified>
</cp:coreProperties>
</file>