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53" w:rsidRPr="006E2081" w:rsidRDefault="00FF6D53" w:rsidP="00FF6D53">
      <w:pPr>
        <w:rPr>
          <w:b/>
          <w:u w:val="none"/>
          <w:lang w:val="en-ZA"/>
        </w:rPr>
      </w:pPr>
      <w:r w:rsidRPr="006E2081">
        <w:rPr>
          <w:b/>
          <w:u w:val="none"/>
          <w:lang w:val="en-ZA"/>
        </w:rPr>
        <w:tab/>
      </w:r>
      <w:r w:rsidRPr="006E2081">
        <w:rPr>
          <w:b/>
          <w:u w:val="none"/>
          <w:lang w:val="en-ZA"/>
        </w:rPr>
        <w:tab/>
      </w:r>
      <w:r w:rsidRPr="006E2081">
        <w:rPr>
          <w:b/>
          <w:u w:val="none"/>
          <w:lang w:val="en-ZA"/>
        </w:rPr>
        <w:tab/>
        <w:t>REPUBLIC OF SOUTH AFRICA</w:t>
      </w:r>
    </w:p>
    <w:p w:rsidR="00FF6D53" w:rsidRPr="00F3610A" w:rsidRDefault="00FF6D53" w:rsidP="00FF6D53">
      <w:pPr>
        <w:jc w:val="center"/>
        <w:rPr>
          <w:b/>
          <w:u w:val="none"/>
          <w:lang w:val="en-ZA"/>
        </w:rPr>
      </w:pPr>
      <w:r>
        <w:rPr>
          <w:u w:val="none"/>
          <w:lang w:val="en-US"/>
        </w:rPr>
        <w:t xml:space="preserve">          </w:t>
      </w:r>
      <w:r>
        <w:rPr>
          <w:noProof/>
          <w:u w:val="none"/>
          <w:lang w:val="en-US" w:eastAsia="en-US"/>
        </w:rPr>
        <w:drawing>
          <wp:inline distT="0" distB="0" distL="0" distR="0" wp14:anchorId="454CA0E8" wp14:editId="27C5B4FB">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US" w:eastAsia="en-US"/>
        </w:rPr>
        <mc:AlternateContent>
          <mc:Choice Requires="wpc">
            <w:drawing>
              <wp:inline distT="0" distB="0" distL="0" distR="0" wp14:anchorId="66BCCCB6" wp14:editId="74063F8D">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544D0500"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F6D53" w:rsidRPr="006E2081" w:rsidRDefault="00FF6D53" w:rsidP="00FF6D53">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F6D53" w:rsidRPr="006E2081" w:rsidRDefault="00FF6D53" w:rsidP="00FF6D53">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F6D53" w:rsidRPr="006E2081" w:rsidRDefault="00FF6D53" w:rsidP="00FF6D53">
      <w:pPr>
        <w:jc w:val="center"/>
        <w:rPr>
          <w:b/>
          <w:u w:val="none"/>
          <w:lang w:val="en-ZA"/>
        </w:rPr>
      </w:pPr>
    </w:p>
    <w:p w:rsidR="00FF6D53" w:rsidRDefault="00FF6D53" w:rsidP="00FF6D53">
      <w:pPr>
        <w:rPr>
          <w:b/>
          <w:u w:val="none"/>
          <w:lang w:val="en-ZA"/>
        </w:rPr>
      </w:pPr>
    </w:p>
    <w:p w:rsidR="00FF6D53" w:rsidRPr="006E2081" w:rsidRDefault="00FF6D53" w:rsidP="00FF6D53">
      <w:pPr>
        <w:rPr>
          <w:b/>
          <w:u w:val="none"/>
          <w:lang w:val="en-ZA"/>
        </w:rPr>
      </w:pPr>
    </w:p>
    <w:p w:rsidR="00FF6D53" w:rsidRPr="00F3610A" w:rsidRDefault="00FF6D53" w:rsidP="00FF6D53">
      <w:pPr>
        <w:jc w:val="center"/>
        <w:rPr>
          <w:b/>
          <w:u w:val="none"/>
          <w:lang w:val="en-ZA"/>
        </w:rPr>
      </w:pPr>
      <w:r>
        <w:rPr>
          <w:b/>
          <w:u w:val="none"/>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2EC0F178" wp14:editId="3AFC5C24">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113988" w:rsidRPr="00913F95" w:rsidRDefault="00113988" w:rsidP="00FF6D53">
                            <w:pPr>
                              <w:jc w:val="center"/>
                              <w:rPr>
                                <w:rFonts w:ascii="Century Gothic" w:hAnsi="Century Gothic"/>
                                <w:b/>
                                <w:sz w:val="20"/>
                                <w:szCs w:val="20"/>
                              </w:rPr>
                            </w:pPr>
                          </w:p>
                          <w:p w:rsidR="00113988" w:rsidRDefault="00214694" w:rsidP="00214694">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113988" w:rsidRPr="00913F95">
                              <w:rPr>
                                <w:rFonts w:ascii="Century Gothic" w:hAnsi="Century Gothic"/>
                                <w:sz w:val="20"/>
                                <w:szCs w:val="20"/>
                              </w:rPr>
                              <w:t xml:space="preserve">REPORTABLE: </w:t>
                            </w:r>
                            <w:r w:rsidR="00113988">
                              <w:rPr>
                                <w:rFonts w:ascii="Century Gothic" w:hAnsi="Century Gothic"/>
                                <w:sz w:val="20"/>
                                <w:szCs w:val="20"/>
                              </w:rPr>
                              <w:t>NO</w:t>
                            </w:r>
                          </w:p>
                          <w:p w:rsidR="00113988" w:rsidRPr="00913F95" w:rsidRDefault="00214694" w:rsidP="00214694">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113988">
                              <w:rPr>
                                <w:rFonts w:ascii="Century Gothic" w:hAnsi="Century Gothic"/>
                                <w:sz w:val="20"/>
                                <w:szCs w:val="20"/>
                              </w:rPr>
                              <w:t>OF INTEREST TO OTHER JUDGES: NO</w:t>
                            </w:r>
                          </w:p>
                          <w:p w:rsidR="00113988" w:rsidRPr="00913F95" w:rsidRDefault="00113988" w:rsidP="00FF6D53">
                            <w:pPr>
                              <w:ind w:left="900"/>
                              <w:rPr>
                                <w:rFonts w:ascii="Century Gothic" w:hAnsi="Century Gothic"/>
                                <w:sz w:val="20"/>
                                <w:szCs w:val="20"/>
                              </w:rPr>
                            </w:pPr>
                          </w:p>
                          <w:p w:rsidR="00113988" w:rsidRDefault="00113988" w:rsidP="00FF6D53">
                            <w:pPr>
                              <w:rPr>
                                <w:rFonts w:ascii="Century Gothic" w:hAnsi="Century Gothic"/>
                                <w:b/>
                                <w:sz w:val="18"/>
                                <w:szCs w:val="18"/>
                              </w:rPr>
                            </w:pPr>
                          </w:p>
                          <w:p w:rsidR="00113988" w:rsidRPr="00084341" w:rsidRDefault="00162C14" w:rsidP="00162C14">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sidR="00EA4003">
                              <w:rPr>
                                <w:rFonts w:ascii="Century Gothic" w:hAnsi="Century Gothic"/>
                                <w:b/>
                                <w:sz w:val="18"/>
                                <w:szCs w:val="18"/>
                                <w:u w:val="none"/>
                              </w:rPr>
                              <w:t>06</w:t>
                            </w:r>
                            <w:r>
                              <w:rPr>
                                <w:rFonts w:ascii="Century Gothic" w:hAnsi="Century Gothic"/>
                                <w:b/>
                                <w:sz w:val="18"/>
                                <w:szCs w:val="18"/>
                                <w:u w:val="none"/>
                              </w:rPr>
                              <w:t xml:space="preserve"> MARCH </w:t>
                            </w:r>
                            <w:r w:rsidR="00113988">
                              <w:rPr>
                                <w:rFonts w:ascii="Century Gothic" w:hAnsi="Century Gothic"/>
                                <w:b/>
                                <w:sz w:val="18"/>
                                <w:szCs w:val="18"/>
                                <w:u w:val="none"/>
                              </w:rPr>
                              <w:t>2023</w:t>
                            </w:r>
                            <w:r>
                              <w:rPr>
                                <w:rFonts w:ascii="Century Gothic" w:hAnsi="Century Gothic"/>
                                <w:b/>
                                <w:sz w:val="18"/>
                                <w:szCs w:val="18"/>
                                <w:u w:val="none"/>
                              </w:rPr>
                              <w:tab/>
                            </w:r>
                            <w:r w:rsidR="00113988" w:rsidRPr="00084341">
                              <w:rPr>
                                <w:rFonts w:ascii="Century Gothic" w:hAnsi="Century Gothic"/>
                                <w:b/>
                                <w:sz w:val="18"/>
                                <w:szCs w:val="18"/>
                                <w:u w:val="none"/>
                              </w:rPr>
                              <w:tab/>
                              <w:t>………………………...</w:t>
                            </w:r>
                          </w:p>
                          <w:p w:rsidR="00113988" w:rsidRPr="00084341" w:rsidRDefault="00113988" w:rsidP="00FF6D53">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F178"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113988" w:rsidRPr="00913F95" w:rsidRDefault="00113988" w:rsidP="00FF6D53">
                      <w:pPr>
                        <w:jc w:val="center"/>
                        <w:rPr>
                          <w:rFonts w:ascii="Century Gothic" w:hAnsi="Century Gothic"/>
                          <w:b/>
                          <w:sz w:val="20"/>
                          <w:szCs w:val="20"/>
                        </w:rPr>
                      </w:pPr>
                    </w:p>
                    <w:p w:rsidR="00113988" w:rsidRDefault="00214694" w:rsidP="00214694">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113988" w:rsidRPr="00913F95">
                        <w:rPr>
                          <w:rFonts w:ascii="Century Gothic" w:hAnsi="Century Gothic"/>
                          <w:sz w:val="20"/>
                          <w:szCs w:val="20"/>
                        </w:rPr>
                        <w:t xml:space="preserve">REPORTABLE: </w:t>
                      </w:r>
                      <w:r w:rsidR="00113988">
                        <w:rPr>
                          <w:rFonts w:ascii="Century Gothic" w:hAnsi="Century Gothic"/>
                          <w:sz w:val="20"/>
                          <w:szCs w:val="20"/>
                        </w:rPr>
                        <w:t>NO</w:t>
                      </w:r>
                    </w:p>
                    <w:p w:rsidR="00113988" w:rsidRPr="00913F95" w:rsidRDefault="00214694" w:rsidP="00214694">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113988">
                        <w:rPr>
                          <w:rFonts w:ascii="Century Gothic" w:hAnsi="Century Gothic"/>
                          <w:sz w:val="20"/>
                          <w:szCs w:val="20"/>
                        </w:rPr>
                        <w:t>OF INTEREST TO OTHER JUDGES: NO</w:t>
                      </w:r>
                    </w:p>
                    <w:p w:rsidR="00113988" w:rsidRPr="00913F95" w:rsidRDefault="00113988" w:rsidP="00FF6D53">
                      <w:pPr>
                        <w:ind w:left="900"/>
                        <w:rPr>
                          <w:rFonts w:ascii="Century Gothic" w:hAnsi="Century Gothic"/>
                          <w:sz w:val="20"/>
                          <w:szCs w:val="20"/>
                        </w:rPr>
                      </w:pPr>
                    </w:p>
                    <w:p w:rsidR="00113988" w:rsidRDefault="00113988" w:rsidP="00FF6D53">
                      <w:pPr>
                        <w:rPr>
                          <w:rFonts w:ascii="Century Gothic" w:hAnsi="Century Gothic"/>
                          <w:b/>
                          <w:sz w:val="18"/>
                          <w:szCs w:val="18"/>
                        </w:rPr>
                      </w:pPr>
                    </w:p>
                    <w:p w:rsidR="00113988" w:rsidRPr="00084341" w:rsidRDefault="00162C14" w:rsidP="00162C14">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sidR="00EA4003">
                        <w:rPr>
                          <w:rFonts w:ascii="Century Gothic" w:hAnsi="Century Gothic"/>
                          <w:b/>
                          <w:sz w:val="18"/>
                          <w:szCs w:val="18"/>
                          <w:u w:val="none"/>
                        </w:rPr>
                        <w:t>06</w:t>
                      </w:r>
                      <w:r>
                        <w:rPr>
                          <w:rFonts w:ascii="Century Gothic" w:hAnsi="Century Gothic"/>
                          <w:b/>
                          <w:sz w:val="18"/>
                          <w:szCs w:val="18"/>
                          <w:u w:val="none"/>
                        </w:rPr>
                        <w:t xml:space="preserve"> MARCH </w:t>
                      </w:r>
                      <w:r w:rsidR="00113988">
                        <w:rPr>
                          <w:rFonts w:ascii="Century Gothic" w:hAnsi="Century Gothic"/>
                          <w:b/>
                          <w:sz w:val="18"/>
                          <w:szCs w:val="18"/>
                          <w:u w:val="none"/>
                        </w:rPr>
                        <w:t>2023</w:t>
                      </w:r>
                      <w:r>
                        <w:rPr>
                          <w:rFonts w:ascii="Century Gothic" w:hAnsi="Century Gothic"/>
                          <w:b/>
                          <w:sz w:val="18"/>
                          <w:szCs w:val="18"/>
                          <w:u w:val="none"/>
                        </w:rPr>
                        <w:tab/>
                      </w:r>
                      <w:r w:rsidR="00113988" w:rsidRPr="00084341">
                        <w:rPr>
                          <w:rFonts w:ascii="Century Gothic" w:hAnsi="Century Gothic"/>
                          <w:b/>
                          <w:sz w:val="18"/>
                          <w:szCs w:val="18"/>
                          <w:u w:val="none"/>
                        </w:rPr>
                        <w:tab/>
                        <w:t>………………………...</w:t>
                      </w:r>
                    </w:p>
                    <w:p w:rsidR="00113988" w:rsidRPr="00084341" w:rsidRDefault="00113988" w:rsidP="00FF6D53">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sidR="00D751CA">
        <w:rPr>
          <w:b/>
          <w:u w:val="none"/>
          <w:lang w:val="en-ZA"/>
        </w:rPr>
        <w:t xml:space="preserve"> 23052/2022</w:t>
      </w:r>
    </w:p>
    <w:p w:rsidR="00FF6D53" w:rsidRPr="006E2081" w:rsidRDefault="00FF6D53" w:rsidP="00FF6D53">
      <w:pPr>
        <w:jc w:val="both"/>
      </w:pPr>
    </w:p>
    <w:p w:rsidR="00FF6D53" w:rsidRPr="006E2081" w:rsidRDefault="00FF6D53" w:rsidP="00FF6D53">
      <w:pPr>
        <w:jc w:val="both"/>
      </w:pPr>
    </w:p>
    <w:p w:rsidR="00FF6D53" w:rsidRPr="006E2081" w:rsidRDefault="00FF6D53" w:rsidP="00FF6D53">
      <w:pPr>
        <w:jc w:val="both"/>
      </w:pPr>
    </w:p>
    <w:p w:rsidR="00FF6D53" w:rsidRPr="006E2081" w:rsidRDefault="00FF6D53" w:rsidP="00FF6D53">
      <w:pPr>
        <w:jc w:val="both"/>
      </w:pPr>
    </w:p>
    <w:p w:rsidR="00FF6D53" w:rsidRPr="006E2081" w:rsidRDefault="00FF6D53" w:rsidP="00FF6D53">
      <w:pPr>
        <w:jc w:val="both"/>
      </w:pPr>
    </w:p>
    <w:p w:rsidR="00FF6D53" w:rsidRPr="006E2081" w:rsidRDefault="00FF6D53" w:rsidP="00FF6D53">
      <w:pPr>
        <w:jc w:val="both"/>
      </w:pPr>
    </w:p>
    <w:p w:rsidR="00FF6D53" w:rsidRPr="006E2081" w:rsidRDefault="00FF6D53" w:rsidP="00FF6D53">
      <w:pPr>
        <w:jc w:val="both"/>
      </w:pPr>
    </w:p>
    <w:p w:rsidR="00FF6D53" w:rsidRPr="006E2081" w:rsidRDefault="00FF6D53" w:rsidP="00FF6D53">
      <w:pPr>
        <w:rPr>
          <w:u w:val="none"/>
        </w:rPr>
      </w:pPr>
    </w:p>
    <w:p w:rsidR="00FF6D53" w:rsidRDefault="00FF6D53" w:rsidP="00FF6D53">
      <w:pPr>
        <w:rPr>
          <w:u w:val="none"/>
        </w:rPr>
      </w:pPr>
    </w:p>
    <w:p w:rsidR="00FF6D53" w:rsidRDefault="00FF6D53" w:rsidP="00FF6D53">
      <w:pPr>
        <w:rPr>
          <w:u w:val="none"/>
        </w:rPr>
      </w:pPr>
      <w:r w:rsidRPr="005A0544">
        <w:rPr>
          <w:u w:val="none"/>
        </w:rPr>
        <w:t>In the matter between:</w:t>
      </w:r>
    </w:p>
    <w:p w:rsidR="00FF6D53" w:rsidRPr="005A0544" w:rsidRDefault="00FF6D53" w:rsidP="00FF6D53">
      <w:pPr>
        <w:rPr>
          <w:u w:val="none"/>
        </w:rPr>
      </w:pPr>
    </w:p>
    <w:p w:rsidR="00FF6D53" w:rsidRDefault="00E84D97" w:rsidP="00FF6D53">
      <w:pPr>
        <w:rPr>
          <w:u w:val="none"/>
        </w:rPr>
      </w:pPr>
      <w:r>
        <w:rPr>
          <w:b/>
          <w:u w:val="none"/>
        </w:rPr>
        <w:t>JEROME REUBEN SAFI</w:t>
      </w:r>
      <w:r w:rsidR="00FF6D53" w:rsidRPr="005A0544">
        <w:rPr>
          <w:u w:val="none"/>
        </w:rPr>
        <w:t xml:space="preserve"> </w:t>
      </w:r>
      <w:r w:rsidR="00FF6D53">
        <w:rPr>
          <w:u w:val="none"/>
        </w:rPr>
        <w:tab/>
      </w:r>
      <w:r w:rsidR="00FF6D53">
        <w:rPr>
          <w:u w:val="none"/>
        </w:rPr>
        <w:tab/>
      </w:r>
      <w:r w:rsidR="00FF6D53">
        <w:rPr>
          <w:u w:val="none"/>
        </w:rPr>
        <w:tab/>
      </w:r>
      <w:r w:rsidR="00FF6D53">
        <w:rPr>
          <w:u w:val="none"/>
        </w:rPr>
        <w:tab/>
      </w:r>
      <w:r>
        <w:rPr>
          <w:u w:val="none"/>
        </w:rPr>
        <w:tab/>
      </w:r>
      <w:r>
        <w:rPr>
          <w:u w:val="none"/>
        </w:rPr>
        <w:tab/>
        <w:t>Plaintiff</w:t>
      </w:r>
    </w:p>
    <w:p w:rsidR="00FF6D53" w:rsidRPr="005A0544" w:rsidRDefault="00FF6D53" w:rsidP="00FF6D53">
      <w:pPr>
        <w:rPr>
          <w:u w:val="none"/>
        </w:rPr>
      </w:pPr>
    </w:p>
    <w:p w:rsidR="00FF6D53" w:rsidRDefault="00FF6D53" w:rsidP="00FF6D53">
      <w:pPr>
        <w:rPr>
          <w:u w:val="none"/>
        </w:rPr>
      </w:pPr>
      <w:r w:rsidRPr="005A0544">
        <w:rPr>
          <w:u w:val="none"/>
        </w:rPr>
        <w:t>And</w:t>
      </w:r>
    </w:p>
    <w:p w:rsidR="00FF6D53" w:rsidRPr="005A0544" w:rsidRDefault="00FF6D53" w:rsidP="00FF6D53">
      <w:pPr>
        <w:rPr>
          <w:u w:val="none"/>
        </w:rPr>
      </w:pPr>
    </w:p>
    <w:p w:rsidR="00FF6D53" w:rsidRDefault="00E84D97" w:rsidP="00FF6D53">
      <w:pPr>
        <w:rPr>
          <w:u w:val="none"/>
        </w:rPr>
      </w:pPr>
      <w:r>
        <w:rPr>
          <w:b/>
          <w:u w:val="none"/>
        </w:rPr>
        <w:t>GASCOIGNE RANDON AND ASSOCIATES</w:t>
      </w:r>
      <w:r w:rsidR="00FF6D53">
        <w:rPr>
          <w:u w:val="none"/>
        </w:rPr>
        <w:tab/>
      </w:r>
      <w:r w:rsidR="00FF6D53">
        <w:rPr>
          <w:u w:val="none"/>
        </w:rPr>
        <w:tab/>
      </w:r>
      <w:r w:rsidR="00FF6D53">
        <w:rPr>
          <w:u w:val="none"/>
        </w:rPr>
        <w:tab/>
      </w:r>
      <w:r>
        <w:rPr>
          <w:u w:val="none"/>
        </w:rPr>
        <w:t>Defen</w:t>
      </w:r>
      <w:r w:rsidR="00FF6D53" w:rsidRPr="005A0544">
        <w:rPr>
          <w:u w:val="none"/>
        </w:rPr>
        <w:t>d</w:t>
      </w:r>
      <w:r>
        <w:rPr>
          <w:u w:val="none"/>
        </w:rPr>
        <w:t>a</w:t>
      </w:r>
      <w:r w:rsidR="00FF6D53" w:rsidRPr="005A0544">
        <w:rPr>
          <w:u w:val="none"/>
        </w:rPr>
        <w:t>nt</w:t>
      </w:r>
    </w:p>
    <w:p w:rsidR="00FF6D53" w:rsidRPr="0040443F" w:rsidRDefault="00FF6D53" w:rsidP="00FF6D53">
      <w:pPr>
        <w:rPr>
          <w:u w:val="none"/>
        </w:rPr>
      </w:pPr>
    </w:p>
    <w:p w:rsidR="00FF6D53" w:rsidRDefault="00FF6D53" w:rsidP="00FF6D53">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FF6D53" w:rsidRPr="0040443F" w:rsidRDefault="00FF6D53" w:rsidP="00FF6D53">
      <w:pPr>
        <w:spacing w:line="360" w:lineRule="auto"/>
        <w:jc w:val="both"/>
        <w:rPr>
          <w:b/>
          <w:u w:val="none"/>
        </w:rPr>
      </w:pPr>
      <w:r w:rsidRPr="008D2F45">
        <w:rPr>
          <w:sz w:val="22"/>
          <w:szCs w:val="22"/>
          <w:u w:val="none"/>
        </w:rPr>
        <w:t>(</w:t>
      </w:r>
      <w:r w:rsidRPr="00992EF6">
        <w:rPr>
          <w:bCs/>
          <w:sz w:val="20"/>
          <w:szCs w:val="20"/>
          <w:u w:val="none"/>
        </w:rPr>
        <w:t>This judgment is handed down electronically by circulation to the parties’ legal representatives by email and uploading to the electronic fil</w:t>
      </w:r>
      <w:r>
        <w:rPr>
          <w:bCs/>
          <w:sz w:val="20"/>
          <w:szCs w:val="20"/>
          <w:u w:val="none"/>
        </w:rPr>
        <w:t xml:space="preserve">e of this matter on CaseLines. </w:t>
      </w:r>
      <w:r w:rsidRPr="00992EF6">
        <w:rPr>
          <w:bCs/>
          <w:sz w:val="20"/>
          <w:szCs w:val="20"/>
          <w:u w:val="none"/>
        </w:rPr>
        <w:t>The date for hand-down is deemed to be</w:t>
      </w:r>
      <w:r>
        <w:rPr>
          <w:sz w:val="20"/>
          <w:szCs w:val="20"/>
          <w:u w:val="none"/>
        </w:rPr>
        <w:t xml:space="preserve"> </w:t>
      </w:r>
      <w:r w:rsidR="00162C14">
        <w:rPr>
          <w:sz w:val="20"/>
          <w:szCs w:val="20"/>
          <w:u w:val="none"/>
        </w:rPr>
        <w:t>06 March</w:t>
      </w:r>
      <w:r w:rsidR="00D751CA">
        <w:rPr>
          <w:sz w:val="20"/>
          <w:szCs w:val="20"/>
          <w:u w:val="none"/>
        </w:rPr>
        <w:t xml:space="preserve"> </w:t>
      </w:r>
      <w:r>
        <w:rPr>
          <w:sz w:val="20"/>
          <w:szCs w:val="20"/>
          <w:u w:val="none"/>
        </w:rPr>
        <w:t>2023</w:t>
      </w:r>
      <w:r w:rsidRPr="008D2F45">
        <w:rPr>
          <w:sz w:val="22"/>
          <w:szCs w:val="22"/>
          <w:u w:val="none"/>
        </w:rPr>
        <w:t>.)</w:t>
      </w:r>
    </w:p>
    <w:p w:rsidR="00FF6D53" w:rsidRPr="008D2F45" w:rsidRDefault="00FF6D53" w:rsidP="00FF6D53">
      <w:pPr>
        <w:pBdr>
          <w:bottom w:val="single" w:sz="12" w:space="1" w:color="auto"/>
        </w:pBdr>
        <w:spacing w:line="360" w:lineRule="auto"/>
        <w:jc w:val="both"/>
        <w:rPr>
          <w:sz w:val="22"/>
          <w:szCs w:val="22"/>
          <w:u w:val="none"/>
        </w:rPr>
      </w:pPr>
    </w:p>
    <w:p w:rsidR="00FF6D53" w:rsidRPr="0096135C" w:rsidRDefault="00FF6D53" w:rsidP="00FF6D53">
      <w:pPr>
        <w:spacing w:line="360" w:lineRule="auto"/>
        <w:rPr>
          <w:b/>
          <w:u w:val="none"/>
        </w:rPr>
      </w:pPr>
    </w:p>
    <w:p w:rsidR="00FF6D53" w:rsidRPr="0096135C" w:rsidRDefault="00FF6D53" w:rsidP="00FF6D53">
      <w:pPr>
        <w:pBdr>
          <w:bottom w:val="single" w:sz="12" w:space="1" w:color="auto"/>
        </w:pBdr>
        <w:spacing w:line="360" w:lineRule="auto"/>
        <w:jc w:val="center"/>
        <w:rPr>
          <w:u w:val="none"/>
        </w:rPr>
      </w:pPr>
      <w:r>
        <w:rPr>
          <w:b/>
          <w:u w:val="none"/>
        </w:rPr>
        <w:t>JUDGMENT</w:t>
      </w:r>
    </w:p>
    <w:p w:rsidR="00FF6D53" w:rsidRPr="00033D59" w:rsidRDefault="00FF6D53" w:rsidP="00FF6D53">
      <w:pPr>
        <w:tabs>
          <w:tab w:val="left" w:pos="-720"/>
        </w:tabs>
        <w:suppressAutoHyphens/>
        <w:spacing w:line="360" w:lineRule="auto"/>
        <w:jc w:val="both"/>
        <w:rPr>
          <w:b/>
          <w:bCs/>
          <w:spacing w:val="-3"/>
          <w:u w:val="none"/>
        </w:rPr>
      </w:pPr>
      <w:r w:rsidRPr="00033D59">
        <w:rPr>
          <w:b/>
          <w:bCs/>
          <w:spacing w:val="-3"/>
          <w:u w:val="none"/>
        </w:rPr>
        <w:t>MIA J:</w:t>
      </w:r>
    </w:p>
    <w:p w:rsidR="00FF6D53" w:rsidRDefault="00FF6D53" w:rsidP="00FF6D53">
      <w:pPr>
        <w:tabs>
          <w:tab w:val="left" w:pos="-720"/>
        </w:tabs>
        <w:suppressAutoHyphens/>
        <w:spacing w:line="360" w:lineRule="auto"/>
        <w:jc w:val="both"/>
        <w:rPr>
          <w:b/>
          <w:bCs/>
          <w:spacing w:val="-3"/>
        </w:rPr>
      </w:pPr>
    </w:p>
    <w:p w:rsidR="00FF6D53" w:rsidRPr="004069D3" w:rsidRDefault="00214694" w:rsidP="00214694">
      <w:pPr>
        <w:pStyle w:val="level1"/>
        <w:numPr>
          <w:ilvl w:val="0"/>
          <w:numId w:val="0"/>
        </w:numPr>
        <w:spacing w:after="480" w:line="360" w:lineRule="auto"/>
        <w:jc w:val="both"/>
        <w:rPr>
          <w:lang w:val="en-US"/>
        </w:rPr>
      </w:pPr>
      <w:r w:rsidRPr="004069D3">
        <w:rPr>
          <w:lang w:val="en-US"/>
        </w:rPr>
        <w:t>[1]</w:t>
      </w:r>
      <w:r w:rsidRPr="004069D3">
        <w:rPr>
          <w:lang w:val="en-US"/>
        </w:rPr>
        <w:tab/>
      </w:r>
      <w:r w:rsidR="00FF6D53" w:rsidRPr="004069D3">
        <w:rPr>
          <w:rFonts w:cs="Arial"/>
          <w:color w:val="000000"/>
        </w:rPr>
        <w:t xml:space="preserve">The </w:t>
      </w:r>
      <w:r w:rsidR="00E84D97">
        <w:rPr>
          <w:rFonts w:cs="Arial"/>
          <w:color w:val="000000"/>
        </w:rPr>
        <w:t xml:space="preserve">defendant </w:t>
      </w:r>
      <w:r w:rsidR="00FF6D53">
        <w:rPr>
          <w:rFonts w:cs="Arial"/>
          <w:color w:val="000000"/>
        </w:rPr>
        <w:t xml:space="preserve">excepts to the </w:t>
      </w:r>
      <w:r w:rsidR="00E84D97">
        <w:rPr>
          <w:rFonts w:cs="Arial"/>
          <w:color w:val="000000"/>
        </w:rPr>
        <w:t>plaintiff</w:t>
      </w:r>
      <w:r w:rsidR="00FF6D53">
        <w:rPr>
          <w:rFonts w:cs="Arial"/>
          <w:color w:val="000000"/>
        </w:rPr>
        <w:t xml:space="preserve">’s particulars of claim alleging that it lacks </w:t>
      </w:r>
      <w:r w:rsidR="006B7960">
        <w:rPr>
          <w:rFonts w:cs="Arial"/>
          <w:color w:val="000000"/>
        </w:rPr>
        <w:t xml:space="preserve">the </w:t>
      </w:r>
      <w:r w:rsidR="00FF6D53">
        <w:rPr>
          <w:rFonts w:cs="Arial"/>
          <w:color w:val="000000"/>
        </w:rPr>
        <w:t xml:space="preserve">averments necessary to </w:t>
      </w:r>
      <w:r w:rsidR="006B7960">
        <w:rPr>
          <w:rFonts w:cs="Arial"/>
          <w:color w:val="000000"/>
        </w:rPr>
        <w:t>find</w:t>
      </w:r>
      <w:r w:rsidR="00FF6D53">
        <w:rPr>
          <w:rFonts w:cs="Arial"/>
          <w:color w:val="000000"/>
        </w:rPr>
        <w:t xml:space="preserve"> a cause of action.</w:t>
      </w:r>
      <w:r w:rsidR="00940DFB">
        <w:rPr>
          <w:lang w:val="en-US"/>
        </w:rPr>
        <w:t xml:space="preserve"> The </w:t>
      </w:r>
      <w:r w:rsidR="00E84D97">
        <w:rPr>
          <w:lang w:val="en-US"/>
        </w:rPr>
        <w:t>plaintiff</w:t>
      </w:r>
      <w:r w:rsidR="006B7960">
        <w:rPr>
          <w:lang w:val="en-US"/>
        </w:rPr>
        <w:t xml:space="preserve"> </w:t>
      </w:r>
      <w:r w:rsidR="00940DFB">
        <w:rPr>
          <w:lang w:val="en-US"/>
        </w:rPr>
        <w:t>was the purchaser of immovable property and claim</w:t>
      </w:r>
      <w:r w:rsidR="00D12D8A">
        <w:rPr>
          <w:lang w:val="en-US"/>
        </w:rPr>
        <w:t>ed</w:t>
      </w:r>
      <w:r w:rsidR="00940DFB">
        <w:rPr>
          <w:lang w:val="en-US"/>
        </w:rPr>
        <w:t xml:space="preserve"> the amount of R889 308.50 from </w:t>
      </w:r>
      <w:r w:rsidR="00940DFB">
        <w:rPr>
          <w:lang w:val="en-US"/>
        </w:rPr>
        <w:lastRenderedPageBreak/>
        <w:t xml:space="preserve">the </w:t>
      </w:r>
      <w:r w:rsidR="00C939D5">
        <w:rPr>
          <w:lang w:val="en-US"/>
        </w:rPr>
        <w:t>defendant</w:t>
      </w:r>
      <w:r w:rsidR="00D12D8A">
        <w:rPr>
          <w:lang w:val="en-US"/>
        </w:rPr>
        <w:t xml:space="preserve">, </w:t>
      </w:r>
      <w:r w:rsidR="00940DFB">
        <w:rPr>
          <w:lang w:val="en-US"/>
        </w:rPr>
        <w:t xml:space="preserve">the conveyancing attorney responsible for the transfer of the property, in respect of the sale of </w:t>
      </w:r>
      <w:r w:rsidR="00D12D8A">
        <w:rPr>
          <w:lang w:val="en-US"/>
        </w:rPr>
        <w:t xml:space="preserve">a </w:t>
      </w:r>
      <w:r w:rsidR="00940DFB">
        <w:rPr>
          <w:lang w:val="en-US"/>
        </w:rPr>
        <w:t>property.</w:t>
      </w:r>
    </w:p>
    <w:p w:rsidR="00A8187D" w:rsidRPr="00A8187D" w:rsidRDefault="00214694" w:rsidP="00214694">
      <w:pPr>
        <w:pStyle w:val="level1"/>
        <w:numPr>
          <w:ilvl w:val="0"/>
          <w:numId w:val="0"/>
        </w:numPr>
        <w:spacing w:after="480" w:line="360" w:lineRule="auto"/>
        <w:jc w:val="both"/>
        <w:rPr>
          <w:rFonts w:cs="Arial"/>
          <w:i/>
          <w:color w:val="000000"/>
        </w:rPr>
      </w:pPr>
      <w:r w:rsidRPr="00A8187D">
        <w:rPr>
          <w:rFonts w:cs="Arial"/>
          <w:color w:val="000000"/>
        </w:rPr>
        <w:t>[2</w:t>
      </w:r>
      <w:bookmarkStart w:id="0" w:name="_GoBack"/>
      <w:bookmarkEnd w:id="0"/>
      <w:r w:rsidRPr="00A8187D">
        <w:rPr>
          <w:rFonts w:cs="Arial"/>
          <w:color w:val="000000"/>
        </w:rPr>
        <w:t>]</w:t>
      </w:r>
      <w:r w:rsidRPr="00A8187D">
        <w:rPr>
          <w:rFonts w:cs="Arial"/>
          <w:color w:val="000000"/>
        </w:rPr>
        <w:tab/>
      </w:r>
      <w:r w:rsidR="00940DFB">
        <w:rPr>
          <w:lang w:val="en-US"/>
        </w:rPr>
        <w:t xml:space="preserve">The claim arises from an incident of cybercrime. The </w:t>
      </w:r>
      <w:r w:rsidR="00E84D97">
        <w:rPr>
          <w:lang w:val="en-US"/>
        </w:rPr>
        <w:t>plaintiff</w:t>
      </w:r>
      <w:r w:rsidR="00940DFB">
        <w:rPr>
          <w:lang w:val="en-US"/>
        </w:rPr>
        <w:t xml:space="preserve"> received email correspondence </w:t>
      </w:r>
      <w:r w:rsidR="0016526C">
        <w:rPr>
          <w:lang w:val="en-US"/>
        </w:rPr>
        <w:t xml:space="preserve">from an employee of the </w:t>
      </w:r>
      <w:r w:rsidR="00E84D97">
        <w:rPr>
          <w:lang w:val="en-US"/>
        </w:rPr>
        <w:t xml:space="preserve">defendant </w:t>
      </w:r>
      <w:r w:rsidR="0016526C">
        <w:rPr>
          <w:lang w:val="en-US"/>
        </w:rPr>
        <w:t xml:space="preserve">requesting that the </w:t>
      </w:r>
      <w:r w:rsidR="00E84D97">
        <w:rPr>
          <w:lang w:val="en-US"/>
        </w:rPr>
        <w:t>plaintiff</w:t>
      </w:r>
      <w:r w:rsidR="006B7960">
        <w:rPr>
          <w:lang w:val="en-US"/>
        </w:rPr>
        <w:t xml:space="preserve"> </w:t>
      </w:r>
      <w:r w:rsidR="0016526C">
        <w:rPr>
          <w:lang w:val="en-US"/>
        </w:rPr>
        <w:t xml:space="preserve">deposit and </w:t>
      </w:r>
      <w:r w:rsidR="006B7960">
        <w:rPr>
          <w:lang w:val="en-US"/>
        </w:rPr>
        <w:t xml:space="preserve">the </w:t>
      </w:r>
      <w:r w:rsidR="0016526C">
        <w:rPr>
          <w:lang w:val="en-US"/>
        </w:rPr>
        <w:t xml:space="preserve">transfer fees be paid into a bank account. </w:t>
      </w:r>
      <w:r w:rsidR="0016526C" w:rsidRPr="00A8187D">
        <w:rPr>
          <w:lang w:val="en-US"/>
        </w:rPr>
        <w:t xml:space="preserve">Unbeknown to the </w:t>
      </w:r>
      <w:r w:rsidR="00E84D97">
        <w:rPr>
          <w:lang w:val="en-US"/>
        </w:rPr>
        <w:t>plaintiff</w:t>
      </w:r>
      <w:r w:rsidR="006646EC">
        <w:rPr>
          <w:lang w:val="en-US"/>
        </w:rPr>
        <w:t xml:space="preserve"> </w:t>
      </w:r>
      <w:r w:rsidR="0016526C" w:rsidRPr="00A8187D">
        <w:rPr>
          <w:lang w:val="en-US"/>
        </w:rPr>
        <w:t xml:space="preserve">the email was intercepted by a hacker who inserted their own banking details </w:t>
      </w:r>
      <w:r w:rsidR="006B7960">
        <w:rPr>
          <w:lang w:val="en-US"/>
        </w:rPr>
        <w:t xml:space="preserve">in an email </w:t>
      </w:r>
      <w:r w:rsidR="0016526C" w:rsidRPr="00A8187D">
        <w:rPr>
          <w:lang w:val="en-US"/>
        </w:rPr>
        <w:t xml:space="preserve">and the monies were transferred into the </w:t>
      </w:r>
      <w:r w:rsidR="00A6589C">
        <w:rPr>
          <w:lang w:val="en-US"/>
        </w:rPr>
        <w:t>hacker</w:t>
      </w:r>
      <w:r w:rsidR="006B7960">
        <w:rPr>
          <w:lang w:val="en-US"/>
        </w:rPr>
        <w:t>’s</w:t>
      </w:r>
      <w:r w:rsidR="0016526C" w:rsidRPr="00A8187D">
        <w:rPr>
          <w:lang w:val="en-US"/>
        </w:rPr>
        <w:t xml:space="preserve"> bank acc</w:t>
      </w:r>
      <w:r w:rsidR="006B7960">
        <w:rPr>
          <w:lang w:val="en-US"/>
        </w:rPr>
        <w:t xml:space="preserve">ount resulting in a loss to the </w:t>
      </w:r>
      <w:r w:rsidR="00E84D97">
        <w:rPr>
          <w:lang w:val="en-US"/>
        </w:rPr>
        <w:t>plaintiff</w:t>
      </w:r>
      <w:r w:rsidR="0016526C" w:rsidRPr="00A8187D">
        <w:rPr>
          <w:lang w:val="en-US"/>
        </w:rPr>
        <w:t xml:space="preserve">. The </w:t>
      </w:r>
      <w:r w:rsidR="00E84D97">
        <w:rPr>
          <w:lang w:val="en-US"/>
        </w:rPr>
        <w:t>plaintiff</w:t>
      </w:r>
      <w:r w:rsidR="006646EC">
        <w:rPr>
          <w:lang w:val="en-US"/>
        </w:rPr>
        <w:t xml:space="preserve"> </w:t>
      </w:r>
      <w:r w:rsidR="00A8187D">
        <w:rPr>
          <w:lang w:val="en-US"/>
        </w:rPr>
        <w:t>believed</w:t>
      </w:r>
      <w:r w:rsidR="0016526C" w:rsidRPr="00A8187D">
        <w:rPr>
          <w:lang w:val="en-US"/>
        </w:rPr>
        <w:t xml:space="preserve"> he was </w:t>
      </w:r>
      <w:r w:rsidR="006B7960">
        <w:rPr>
          <w:lang w:val="en-US"/>
        </w:rPr>
        <w:t xml:space="preserve">effecting </w:t>
      </w:r>
      <w:r w:rsidR="0016526C" w:rsidRPr="00A8187D">
        <w:rPr>
          <w:lang w:val="en-US"/>
        </w:rPr>
        <w:t xml:space="preserve">a transfer into </w:t>
      </w:r>
      <w:r w:rsidR="00DA0DCA">
        <w:rPr>
          <w:lang w:val="en-US"/>
        </w:rPr>
        <w:t xml:space="preserve">the </w:t>
      </w:r>
      <w:r w:rsidR="00C939D5">
        <w:rPr>
          <w:lang w:val="en-US"/>
        </w:rPr>
        <w:t>defendant</w:t>
      </w:r>
      <w:r w:rsidR="006B7960">
        <w:rPr>
          <w:lang w:val="en-US"/>
        </w:rPr>
        <w:t xml:space="preserve">’s </w:t>
      </w:r>
      <w:r w:rsidR="0016526C" w:rsidRPr="00A8187D">
        <w:rPr>
          <w:lang w:val="en-US"/>
        </w:rPr>
        <w:t>bank account</w:t>
      </w:r>
      <w:r w:rsidR="006B7960">
        <w:rPr>
          <w:lang w:val="en-US"/>
        </w:rPr>
        <w:t xml:space="preserve">. </w:t>
      </w:r>
      <w:r w:rsidR="00A6589C">
        <w:rPr>
          <w:lang w:val="en-US"/>
        </w:rPr>
        <w:t xml:space="preserve"> </w:t>
      </w:r>
      <w:r w:rsidR="006B7960">
        <w:rPr>
          <w:lang w:val="en-US"/>
        </w:rPr>
        <w:t xml:space="preserve">He states </w:t>
      </w:r>
      <w:r w:rsidR="0016526C" w:rsidRPr="00A8187D">
        <w:rPr>
          <w:lang w:val="en-US"/>
        </w:rPr>
        <w:t xml:space="preserve">he was defrauded by </w:t>
      </w:r>
      <w:r w:rsidR="00A8187D">
        <w:rPr>
          <w:lang w:val="en-US"/>
        </w:rPr>
        <w:t xml:space="preserve">a third </w:t>
      </w:r>
      <w:r w:rsidR="006B7960">
        <w:rPr>
          <w:lang w:val="en-US"/>
        </w:rPr>
        <w:t>party in the particulars of claim</w:t>
      </w:r>
      <w:r w:rsidR="00A8187D">
        <w:rPr>
          <w:lang w:val="en-US"/>
        </w:rPr>
        <w:t xml:space="preserve">. </w:t>
      </w:r>
      <w:r w:rsidR="00A8187D" w:rsidRPr="00A8187D">
        <w:rPr>
          <w:lang w:val="en-US"/>
        </w:rPr>
        <w:t xml:space="preserve">The </w:t>
      </w:r>
      <w:r w:rsidR="00E84D97">
        <w:rPr>
          <w:lang w:val="en-US"/>
        </w:rPr>
        <w:t>plaintiff</w:t>
      </w:r>
      <w:r w:rsidR="006646EC">
        <w:rPr>
          <w:lang w:val="en-US"/>
        </w:rPr>
        <w:t xml:space="preserve"> </w:t>
      </w:r>
      <w:r w:rsidR="00A8187D" w:rsidRPr="00A8187D">
        <w:rPr>
          <w:lang w:val="en-US"/>
        </w:rPr>
        <w:t xml:space="preserve">suffered a loss of </w:t>
      </w:r>
      <w:r w:rsidR="00C111EB" w:rsidRPr="00A8187D">
        <w:t>R889 308.50, being the deposit and transfer fees for the transaction,</w:t>
      </w:r>
      <w:r w:rsidR="00A8187D" w:rsidRPr="00A8187D">
        <w:t xml:space="preserve"> that was paid </w:t>
      </w:r>
      <w:r w:rsidR="00C111EB" w:rsidRPr="00A8187D">
        <w:t xml:space="preserve">into </w:t>
      </w:r>
      <w:r w:rsidR="00A8187D" w:rsidRPr="00A8187D">
        <w:t xml:space="preserve">the </w:t>
      </w:r>
      <w:r w:rsidR="00C111EB" w:rsidRPr="00A8187D">
        <w:t xml:space="preserve">incorrect bank account which he believed to be the </w:t>
      </w:r>
      <w:r w:rsidR="00E84D97">
        <w:t xml:space="preserve">defendant </w:t>
      </w:r>
      <w:r w:rsidR="006B7960">
        <w:t xml:space="preserve">’s </w:t>
      </w:r>
      <w:r w:rsidR="00C111EB" w:rsidRPr="00A8187D">
        <w:t>trust account.</w:t>
      </w:r>
      <w:r w:rsidR="00A8187D" w:rsidRPr="00A8187D">
        <w:t xml:space="preserve"> He is unable to recover the amount from the incorrect bank account.</w:t>
      </w:r>
      <w:r w:rsidR="00A8187D">
        <w:rPr>
          <w:i/>
        </w:rPr>
        <w:t xml:space="preserve"> </w:t>
      </w:r>
    </w:p>
    <w:p w:rsidR="00C111EB" w:rsidRPr="00A6589C" w:rsidRDefault="00214694" w:rsidP="00214694">
      <w:pPr>
        <w:pStyle w:val="level1"/>
        <w:numPr>
          <w:ilvl w:val="0"/>
          <w:numId w:val="0"/>
        </w:numPr>
        <w:spacing w:after="480" w:line="360" w:lineRule="auto"/>
        <w:jc w:val="both"/>
        <w:rPr>
          <w:rFonts w:cs="Arial"/>
          <w:i/>
          <w:color w:val="000000"/>
        </w:rPr>
      </w:pPr>
      <w:r w:rsidRPr="00A6589C">
        <w:rPr>
          <w:rFonts w:cs="Arial"/>
          <w:color w:val="000000"/>
        </w:rPr>
        <w:t>[3]</w:t>
      </w:r>
      <w:r w:rsidRPr="00A6589C">
        <w:rPr>
          <w:rFonts w:cs="Arial"/>
          <w:color w:val="000000"/>
        </w:rPr>
        <w:tab/>
      </w:r>
      <w:r w:rsidR="0016526C" w:rsidRPr="00A6589C">
        <w:rPr>
          <w:lang w:val="en-US"/>
        </w:rPr>
        <w:t xml:space="preserve">The </w:t>
      </w:r>
      <w:r w:rsidR="00E84D97">
        <w:rPr>
          <w:lang w:val="en-US"/>
        </w:rPr>
        <w:t xml:space="preserve">defendant </w:t>
      </w:r>
      <w:r w:rsidR="0016526C" w:rsidRPr="00A6589C">
        <w:rPr>
          <w:lang w:val="en-US"/>
        </w:rPr>
        <w:t>excepts to the partic</w:t>
      </w:r>
      <w:r w:rsidR="00DA0DCA">
        <w:rPr>
          <w:lang w:val="en-US"/>
        </w:rPr>
        <w:t>ulars of claim,</w:t>
      </w:r>
      <w:r w:rsidR="00A71AA5" w:rsidRPr="00A6589C">
        <w:rPr>
          <w:lang w:val="en-US"/>
        </w:rPr>
        <w:t xml:space="preserve"> contending that</w:t>
      </w:r>
      <w:r w:rsidR="00A6589C">
        <w:rPr>
          <w:lang w:val="en-US"/>
        </w:rPr>
        <w:t xml:space="preserve"> </w:t>
      </w:r>
      <w:r w:rsidR="00A71AA5">
        <w:t>t</w:t>
      </w:r>
      <w:r w:rsidR="00C111EB" w:rsidRPr="00A71AA5">
        <w:t>he particulars of claim are clearly excipiable</w:t>
      </w:r>
      <w:r w:rsidR="00A71AA5">
        <w:t xml:space="preserve">. </w:t>
      </w:r>
      <w:r w:rsidR="00A71AA5" w:rsidRPr="00D56219">
        <w:t xml:space="preserve">This is so </w:t>
      </w:r>
      <w:r w:rsidR="00B70F2E" w:rsidRPr="00D56219">
        <w:t xml:space="preserve">it </w:t>
      </w:r>
      <w:r w:rsidR="00A71AA5" w:rsidRPr="00D56219">
        <w:t xml:space="preserve">says </w:t>
      </w:r>
      <w:r w:rsidR="00A71AA5" w:rsidRPr="00A6589C">
        <w:t>because the</w:t>
      </w:r>
      <w:r w:rsidR="00B70F2E">
        <w:t xml:space="preserve"> </w:t>
      </w:r>
      <w:r w:rsidR="00E84D97">
        <w:t>plaintiff</w:t>
      </w:r>
      <w:r w:rsidR="00B70F2E">
        <w:t xml:space="preserve"> </w:t>
      </w:r>
      <w:r w:rsidR="00C111EB" w:rsidRPr="00A6589C">
        <w:t>fail</w:t>
      </w:r>
      <w:r w:rsidR="00B70F2E">
        <w:t>s</w:t>
      </w:r>
      <w:r w:rsidR="00C111EB" w:rsidRPr="00A6589C">
        <w:t xml:space="preserve"> to disclose a cause of action, alternatively,</w:t>
      </w:r>
      <w:r w:rsidR="00DA0DCA">
        <w:t xml:space="preserve"> </w:t>
      </w:r>
      <w:r w:rsidR="00B70F2E">
        <w:t xml:space="preserve">the particulars of claim </w:t>
      </w:r>
      <w:r w:rsidR="00C111EB" w:rsidRPr="00A6589C">
        <w:t>are vague and embarrassing in a number of respects.</w:t>
      </w:r>
      <w:r w:rsidR="00A71AA5" w:rsidRPr="00A6589C">
        <w:t xml:space="preserve"> The </w:t>
      </w:r>
      <w:r w:rsidR="00E84D97">
        <w:t xml:space="preserve">defendant </w:t>
      </w:r>
      <w:r w:rsidR="00A71AA5" w:rsidRPr="00A6589C">
        <w:t>raised</w:t>
      </w:r>
      <w:r w:rsidR="00C111EB" w:rsidRPr="00A6589C">
        <w:t xml:space="preserve"> five grounds of exception</w:t>
      </w:r>
      <w:r w:rsidR="00A71AA5" w:rsidRPr="00A6589C">
        <w:t xml:space="preserve"> and contended further that the </w:t>
      </w:r>
      <w:r w:rsidR="00E84D97">
        <w:t>plaintiff</w:t>
      </w:r>
      <w:r w:rsidR="00B70F2E">
        <w:t xml:space="preserve"> </w:t>
      </w:r>
      <w:r w:rsidR="00B70F2E" w:rsidRPr="00A6589C">
        <w:t>failed</w:t>
      </w:r>
      <w:r w:rsidR="00A71AA5" w:rsidRPr="00A6589C">
        <w:t xml:space="preserve"> </w:t>
      </w:r>
      <w:r w:rsidR="00C111EB" w:rsidRPr="00A6589C">
        <w:t>t</w:t>
      </w:r>
      <w:r w:rsidR="00B70F2E">
        <w:t>o plead the material facts</w:t>
      </w:r>
      <w:r w:rsidR="00C111EB" w:rsidRPr="00A6589C">
        <w:t xml:space="preserve"> </w:t>
      </w:r>
      <w:r w:rsidR="00A71AA5" w:rsidRPr="00A6589C">
        <w:t xml:space="preserve">that would </w:t>
      </w:r>
      <w:r w:rsidR="00C111EB" w:rsidRPr="00A6589C">
        <w:t xml:space="preserve">permit this Court to draw conclusions of liability in the law of delict. </w:t>
      </w:r>
      <w:r w:rsidR="00B70F2E">
        <w:t xml:space="preserve">In highlighting this, the </w:t>
      </w:r>
      <w:r w:rsidR="00E84D97">
        <w:t xml:space="preserve">defendant </w:t>
      </w:r>
      <w:r w:rsidR="00B70F2E">
        <w:t>states that the</w:t>
      </w:r>
      <w:r w:rsidR="00C111EB" w:rsidRPr="00A6589C">
        <w:t xml:space="preserve"> particulars of claim do not plead the facts which identify any conduct on the part of the </w:t>
      </w:r>
      <w:r w:rsidR="00E84D97">
        <w:t xml:space="preserve">defendant </w:t>
      </w:r>
      <w:r w:rsidR="00C111EB" w:rsidRPr="00A6589C">
        <w:t>which, if proved, would amount to conduct in b</w:t>
      </w:r>
      <w:r w:rsidR="00B70F2E">
        <w:t xml:space="preserve">reach of the alleged legal duty in that </w:t>
      </w:r>
      <w:r w:rsidR="00A71AA5" w:rsidRPr="00A6589C">
        <w:t xml:space="preserve">the </w:t>
      </w:r>
      <w:r w:rsidR="00E84D97">
        <w:t>plaintiff</w:t>
      </w:r>
      <w:r w:rsidR="00B70F2E">
        <w:t xml:space="preserve"> </w:t>
      </w:r>
      <w:r w:rsidR="00C111EB" w:rsidRPr="00A6589C">
        <w:t>fail</w:t>
      </w:r>
      <w:r w:rsidR="00A71AA5" w:rsidRPr="00A6589C">
        <w:t>ed</w:t>
      </w:r>
      <w:r w:rsidR="00C111EB" w:rsidRPr="00A6589C">
        <w:t xml:space="preserve"> to plead facts which demonstrate what steps the </w:t>
      </w:r>
      <w:r w:rsidR="00E84D97">
        <w:t xml:space="preserve">defendant </w:t>
      </w:r>
      <w:r w:rsidR="00C111EB" w:rsidRPr="00A6589C">
        <w:t>did or did not take which falls short of the st</w:t>
      </w:r>
      <w:r w:rsidR="00B70F2E">
        <w:t xml:space="preserve">andard of the reasonable person </w:t>
      </w:r>
      <w:r w:rsidR="00C111EB" w:rsidRPr="00A6589C">
        <w:t>and which, if proved, would amount to negligent conduct.</w:t>
      </w:r>
      <w:r w:rsidR="00A6589C" w:rsidRPr="00A6589C">
        <w:t xml:space="preserve"> Thus</w:t>
      </w:r>
      <w:r w:rsidR="00A6589C">
        <w:t xml:space="preserve"> </w:t>
      </w:r>
      <w:r w:rsidR="00C111EB" w:rsidRPr="00A6589C">
        <w:t xml:space="preserve">to the extent that the </w:t>
      </w:r>
      <w:r w:rsidR="00E84D97">
        <w:t>plaintiff</w:t>
      </w:r>
      <w:r w:rsidR="006646EC">
        <w:t xml:space="preserve"> </w:t>
      </w:r>
      <w:r w:rsidR="00A6589C" w:rsidRPr="00A6589C">
        <w:t>failed to</w:t>
      </w:r>
      <w:r w:rsidR="00C111EB" w:rsidRPr="00A6589C">
        <w:t xml:space="preserve"> plead</w:t>
      </w:r>
      <w:r w:rsidR="00A6589C" w:rsidRPr="00A6589C">
        <w:t xml:space="preserve"> </w:t>
      </w:r>
      <w:r w:rsidR="00C111EB" w:rsidRPr="00A6589C">
        <w:t xml:space="preserve">the material facts to satisfy either of these two elements of a delict, there is no factual basis or legal basis to determine the manner in which the </w:t>
      </w:r>
      <w:r w:rsidR="00E84D97">
        <w:t xml:space="preserve">defendant </w:t>
      </w:r>
      <w:r w:rsidR="00C111EB" w:rsidRPr="00A6589C">
        <w:t xml:space="preserve">allegedly caused the </w:t>
      </w:r>
      <w:r w:rsidR="00E84D97">
        <w:t>plaintiff</w:t>
      </w:r>
      <w:r w:rsidR="006646EC">
        <w:t xml:space="preserve"> </w:t>
      </w:r>
      <w:r w:rsidR="00C111EB" w:rsidRPr="00A6589C">
        <w:t>t</w:t>
      </w:r>
      <w:r w:rsidR="00A6589C" w:rsidRPr="00A6589C">
        <w:t xml:space="preserve">o </w:t>
      </w:r>
      <w:r w:rsidR="00A6589C">
        <w:t>suffer</w:t>
      </w:r>
      <w:r w:rsidR="00A6589C" w:rsidRPr="00A6589C">
        <w:t xml:space="preserve"> a loss</w:t>
      </w:r>
      <w:r w:rsidR="00A6589C">
        <w:t xml:space="preserve">. </w:t>
      </w:r>
    </w:p>
    <w:p w:rsidR="00C87273" w:rsidRPr="00C87273" w:rsidRDefault="00214694" w:rsidP="00214694">
      <w:pPr>
        <w:pStyle w:val="level1"/>
        <w:numPr>
          <w:ilvl w:val="0"/>
          <w:numId w:val="0"/>
        </w:numPr>
        <w:spacing w:after="480" w:line="360" w:lineRule="auto"/>
        <w:jc w:val="both"/>
        <w:rPr>
          <w:rFonts w:cs="Arial"/>
          <w:color w:val="000000"/>
        </w:rPr>
      </w:pPr>
      <w:r w:rsidRPr="00C87273">
        <w:rPr>
          <w:rFonts w:cs="Arial"/>
          <w:color w:val="000000"/>
        </w:rPr>
        <w:lastRenderedPageBreak/>
        <w:t>[4]</w:t>
      </w:r>
      <w:r w:rsidRPr="00C87273">
        <w:rPr>
          <w:rFonts w:cs="Arial"/>
          <w:color w:val="000000"/>
        </w:rPr>
        <w:tab/>
      </w:r>
      <w:r w:rsidR="0016526C">
        <w:rPr>
          <w:lang w:val="en-US"/>
        </w:rPr>
        <w:t xml:space="preserve"> </w:t>
      </w:r>
      <w:r w:rsidR="00252D71">
        <w:rPr>
          <w:lang w:val="en-US"/>
        </w:rPr>
        <w:t xml:space="preserve">The </w:t>
      </w:r>
      <w:r w:rsidR="00E84D97">
        <w:rPr>
          <w:lang w:val="en-US"/>
        </w:rPr>
        <w:t xml:space="preserve">defendant </w:t>
      </w:r>
      <w:r w:rsidR="00252D71">
        <w:rPr>
          <w:lang w:val="en-US"/>
        </w:rPr>
        <w:t>contended</w:t>
      </w:r>
      <w:r w:rsidR="00B70F2E">
        <w:rPr>
          <w:lang w:val="en-US"/>
        </w:rPr>
        <w:t xml:space="preserve">, additionally, </w:t>
      </w:r>
      <w:r w:rsidR="00252D71">
        <w:rPr>
          <w:lang w:val="en-US"/>
        </w:rPr>
        <w:t xml:space="preserve">that </w:t>
      </w:r>
      <w:r w:rsidR="00252D71">
        <w:t xml:space="preserve">the </w:t>
      </w:r>
      <w:r w:rsidR="00E84D97">
        <w:t>plaintiff</w:t>
      </w:r>
      <w:r w:rsidR="006646EC">
        <w:t xml:space="preserve"> </w:t>
      </w:r>
      <w:r w:rsidR="00252D71">
        <w:t xml:space="preserve">’s particulars of claim are vague and embarrassing in that the </w:t>
      </w:r>
      <w:r w:rsidR="00E84D97">
        <w:t>plaintiff</w:t>
      </w:r>
      <w:r w:rsidR="006646EC">
        <w:t xml:space="preserve"> </w:t>
      </w:r>
      <w:r w:rsidR="00252D71">
        <w:t xml:space="preserve">pleads generally that the </w:t>
      </w:r>
      <w:r w:rsidR="00E84D97">
        <w:t xml:space="preserve">defendant </w:t>
      </w:r>
      <w:r w:rsidR="00252D71">
        <w:t>has a “professional and legal duty” in terms of the Companies Act and P</w:t>
      </w:r>
      <w:r w:rsidR="00D400CD">
        <w:t xml:space="preserve">rotection </w:t>
      </w:r>
      <w:r w:rsidR="00B054FD">
        <w:t>o</w:t>
      </w:r>
      <w:r w:rsidR="00D400CD">
        <w:t xml:space="preserve">f </w:t>
      </w:r>
      <w:r w:rsidR="00252D71">
        <w:t>P</w:t>
      </w:r>
      <w:r w:rsidR="00D400CD">
        <w:t xml:space="preserve">ersonal </w:t>
      </w:r>
      <w:r w:rsidR="00252D71">
        <w:t>I</w:t>
      </w:r>
      <w:r w:rsidR="00D400CD">
        <w:t xml:space="preserve">nformation </w:t>
      </w:r>
      <w:r w:rsidR="00252D71">
        <w:t>A</w:t>
      </w:r>
      <w:r w:rsidR="00D400CD">
        <w:t>ct</w:t>
      </w:r>
      <w:r w:rsidR="00A516BE">
        <w:t xml:space="preserve"> 4 of 2013(POPIA)</w:t>
      </w:r>
      <w:r w:rsidR="00D400CD">
        <w:t xml:space="preserve"> </w:t>
      </w:r>
      <w:r w:rsidR="00252D71">
        <w:t xml:space="preserve">but does not plead the sections in either of these statutes upon which he relies. </w:t>
      </w:r>
      <w:r w:rsidR="00C87273">
        <w:t xml:space="preserve">The </w:t>
      </w:r>
      <w:r w:rsidR="00E84D97">
        <w:t xml:space="preserve">defendant </w:t>
      </w:r>
      <w:r w:rsidR="00D400CD">
        <w:t>is</w:t>
      </w:r>
      <w:r w:rsidR="00C87273">
        <w:t xml:space="preserve"> unable to identify which section of the legislation the </w:t>
      </w:r>
      <w:r w:rsidR="00E84D97">
        <w:t>plaintiff</w:t>
      </w:r>
      <w:r w:rsidR="006646EC">
        <w:t xml:space="preserve"> </w:t>
      </w:r>
      <w:r w:rsidR="00B054FD">
        <w:t>relies</w:t>
      </w:r>
      <w:r w:rsidR="00C87273">
        <w:t xml:space="preserve"> on to hold the </w:t>
      </w:r>
      <w:r w:rsidR="00E84D97">
        <w:t xml:space="preserve">defendant </w:t>
      </w:r>
      <w:r w:rsidR="00C87273">
        <w:t>accountable.</w:t>
      </w:r>
    </w:p>
    <w:p w:rsidR="004568AD" w:rsidRPr="00C87273" w:rsidRDefault="00214694" w:rsidP="00214694">
      <w:pPr>
        <w:pStyle w:val="level1"/>
        <w:numPr>
          <w:ilvl w:val="0"/>
          <w:numId w:val="0"/>
        </w:numPr>
        <w:spacing w:after="480" w:line="360" w:lineRule="auto"/>
        <w:jc w:val="both"/>
        <w:rPr>
          <w:rFonts w:cs="Arial"/>
          <w:color w:val="000000"/>
        </w:rPr>
      </w:pPr>
      <w:r w:rsidRPr="00C87273">
        <w:rPr>
          <w:rFonts w:cs="Arial"/>
          <w:color w:val="000000"/>
        </w:rPr>
        <w:t>[5]</w:t>
      </w:r>
      <w:r w:rsidRPr="00C87273">
        <w:rPr>
          <w:rFonts w:cs="Arial"/>
          <w:color w:val="000000"/>
        </w:rPr>
        <w:tab/>
      </w:r>
      <w:r w:rsidR="00C87273">
        <w:t xml:space="preserve">The </w:t>
      </w:r>
      <w:r w:rsidR="00E84D97">
        <w:t>plaintiff</w:t>
      </w:r>
      <w:r w:rsidR="006646EC">
        <w:t xml:space="preserve"> </w:t>
      </w:r>
      <w:r w:rsidR="00C87273">
        <w:t xml:space="preserve">does not </w:t>
      </w:r>
      <w:r w:rsidR="002F35D7">
        <w:t>state</w:t>
      </w:r>
      <w:r w:rsidR="00C87273">
        <w:t xml:space="preserve"> the </w:t>
      </w:r>
      <w:r w:rsidR="00E84D97">
        <w:t xml:space="preserve">defendant </w:t>
      </w:r>
      <w:r w:rsidR="00C87273">
        <w:t>sent the email but that it</w:t>
      </w:r>
      <w:r w:rsidR="001C6849">
        <w:t xml:space="preserve"> </w:t>
      </w:r>
      <w:r w:rsidR="00C87273">
        <w:t>appear</w:t>
      </w:r>
      <w:r w:rsidR="00B054FD">
        <w:t>s</w:t>
      </w:r>
      <w:r w:rsidR="00C87273">
        <w:t xml:space="preserve"> to have come from an email “ostensibly from the defendant’s office. </w:t>
      </w:r>
      <w:r w:rsidR="001C6849">
        <w:t>On the basis of this email he paid the amount</w:t>
      </w:r>
      <w:r w:rsidR="00435DEF" w:rsidRPr="00C87273">
        <w:rPr>
          <w:rFonts w:cs="Arial"/>
          <w:color w:val="000000"/>
        </w:rPr>
        <w:t xml:space="preserve"> </w:t>
      </w:r>
      <w:r w:rsidR="001C6849">
        <w:t>of R889 308.50 into the bank account specified in the email.</w:t>
      </w:r>
      <w:r w:rsidR="002F7271">
        <w:t xml:space="preserve"> The </w:t>
      </w:r>
      <w:r w:rsidR="00E84D97">
        <w:t>plaintiff</w:t>
      </w:r>
      <w:r w:rsidR="006646EC">
        <w:t xml:space="preserve"> </w:t>
      </w:r>
      <w:r w:rsidR="002F35D7">
        <w:t>avers he l</w:t>
      </w:r>
      <w:r w:rsidR="00B054FD">
        <w:t xml:space="preserve">ost the money because he was a </w:t>
      </w:r>
      <w:r w:rsidR="002F35D7">
        <w:t>victim of a “phishing</w:t>
      </w:r>
      <w:r w:rsidR="00B054FD">
        <w:t>”</w:t>
      </w:r>
      <w:r w:rsidR="002F35D7">
        <w:t xml:space="preserve"> email scam due to the </w:t>
      </w:r>
      <w:r w:rsidR="00E84D97">
        <w:t xml:space="preserve">defendant </w:t>
      </w:r>
      <w:r w:rsidR="00B054FD">
        <w:t>’s</w:t>
      </w:r>
      <w:r w:rsidR="002F35D7">
        <w:t xml:space="preserve"> </w:t>
      </w:r>
      <w:r w:rsidR="00B054FD">
        <w:t>“</w:t>
      </w:r>
      <w:r w:rsidR="002F35D7">
        <w:t>business email being fraudulently compromise</w:t>
      </w:r>
      <w:r w:rsidR="003C7333">
        <w:t xml:space="preserve">d” (BEC). He states generally </w:t>
      </w:r>
      <w:r w:rsidR="002F35D7">
        <w:t>that</w:t>
      </w:r>
      <w:r w:rsidR="003C7333">
        <w:t xml:space="preserve"> the </w:t>
      </w:r>
      <w:r w:rsidR="00E84D97">
        <w:t xml:space="preserve">defendant </w:t>
      </w:r>
      <w:r w:rsidR="003C7333">
        <w:t>had a legal duty and obligation in terms of the Companies Act and POPIA ‘to take appropriate and reasonable technical and organisational measures to securely maintain the integrity and confidentiality of any personal information it holds.’</w:t>
      </w:r>
      <w:r w:rsidR="00B054FD">
        <w:t xml:space="preserve"> This is without any specificity. </w:t>
      </w:r>
    </w:p>
    <w:p w:rsidR="004A4EE9" w:rsidRPr="004A4EE9" w:rsidRDefault="00214694" w:rsidP="00214694">
      <w:pPr>
        <w:pStyle w:val="level1"/>
        <w:numPr>
          <w:ilvl w:val="0"/>
          <w:numId w:val="0"/>
        </w:numPr>
        <w:spacing w:after="480" w:line="360" w:lineRule="auto"/>
        <w:jc w:val="both"/>
        <w:rPr>
          <w:rFonts w:cs="Arial"/>
          <w:color w:val="000000"/>
        </w:rPr>
      </w:pPr>
      <w:r w:rsidRPr="004A4EE9">
        <w:rPr>
          <w:rFonts w:cs="Arial"/>
          <w:color w:val="000000"/>
        </w:rPr>
        <w:t>[6]</w:t>
      </w:r>
      <w:r w:rsidRPr="004A4EE9">
        <w:rPr>
          <w:rFonts w:cs="Arial"/>
          <w:color w:val="000000"/>
        </w:rPr>
        <w:tab/>
      </w:r>
      <w:r w:rsidR="003C7333">
        <w:t xml:space="preserve">The </w:t>
      </w:r>
      <w:r w:rsidR="00E84D97">
        <w:t>plaintiff</w:t>
      </w:r>
      <w:r w:rsidR="006646EC">
        <w:t xml:space="preserve"> </w:t>
      </w:r>
      <w:r w:rsidR="003C7333">
        <w:t xml:space="preserve">asserts that the </w:t>
      </w:r>
      <w:r w:rsidR="00E84D97">
        <w:t xml:space="preserve">defendant </w:t>
      </w:r>
      <w:r w:rsidR="0047140F">
        <w:t xml:space="preserve">’s </w:t>
      </w:r>
      <w:r w:rsidR="003C7333">
        <w:t xml:space="preserve">duty to the </w:t>
      </w:r>
      <w:r w:rsidR="00E84D97">
        <w:t>plaintiff</w:t>
      </w:r>
      <w:r w:rsidR="003C7333">
        <w:t xml:space="preserve"> as a client in terms of the Companies Act and POPIA would have been discharged had it taken the </w:t>
      </w:r>
      <w:r w:rsidR="004A4EE9">
        <w:t>out steps</w:t>
      </w:r>
      <w:r w:rsidR="003C7333">
        <w:t xml:space="preserve"> below.</w:t>
      </w:r>
      <w:r w:rsidR="004A4EE9">
        <w:t xml:space="preserve"> They include:</w:t>
      </w:r>
    </w:p>
    <w:p w:rsidR="004A4EE9" w:rsidRDefault="003C7333" w:rsidP="00225EE8">
      <w:pPr>
        <w:pStyle w:val="level1"/>
        <w:numPr>
          <w:ilvl w:val="0"/>
          <w:numId w:val="0"/>
        </w:numPr>
        <w:spacing w:after="480" w:line="360" w:lineRule="auto"/>
        <w:ind w:left="1440" w:hanging="720"/>
        <w:jc w:val="both"/>
      </w:pPr>
      <w:r>
        <w:t>6</w:t>
      </w:r>
      <w:r w:rsidR="00225EE8">
        <w:t>.1</w:t>
      </w:r>
      <w:r w:rsidR="00225EE8">
        <w:tab/>
      </w:r>
      <w:r w:rsidR="004A4EE9">
        <w:t>establishing and maintaining a proper information security management system to protect their own information and that of their clients;</w:t>
      </w:r>
    </w:p>
    <w:p w:rsidR="004A4EE9" w:rsidRDefault="003C7333" w:rsidP="00225EE8">
      <w:pPr>
        <w:pStyle w:val="level1"/>
        <w:numPr>
          <w:ilvl w:val="0"/>
          <w:numId w:val="0"/>
        </w:numPr>
        <w:spacing w:after="480" w:line="360" w:lineRule="auto"/>
        <w:ind w:left="1440" w:hanging="720"/>
        <w:jc w:val="both"/>
      </w:pPr>
      <w:r>
        <w:t>6</w:t>
      </w:r>
      <w:r w:rsidR="004A4EE9">
        <w:t>.2</w:t>
      </w:r>
      <w:r w:rsidR="004A4EE9">
        <w:tab/>
        <w:t>putting in place documented policies or processes governing the use of the technology or that define information management and security;</w:t>
      </w:r>
    </w:p>
    <w:p w:rsidR="00C111EB" w:rsidRDefault="003C7333" w:rsidP="00225EE8">
      <w:pPr>
        <w:pStyle w:val="level1"/>
        <w:numPr>
          <w:ilvl w:val="0"/>
          <w:numId w:val="0"/>
        </w:numPr>
        <w:spacing w:after="480" w:line="360" w:lineRule="auto"/>
        <w:ind w:left="1440" w:hanging="720"/>
        <w:jc w:val="both"/>
      </w:pPr>
      <w:r>
        <w:t>6</w:t>
      </w:r>
      <w:r w:rsidR="004A4EE9">
        <w:t xml:space="preserve">.3 </w:t>
      </w:r>
      <w:r w:rsidR="00225EE8">
        <w:tab/>
      </w:r>
      <w:r w:rsidR="004A4EE9">
        <w:t>educating and making its staff using the technology aware of their information security responsibilities.</w:t>
      </w:r>
    </w:p>
    <w:p w:rsidR="00224314" w:rsidRPr="0047140F" w:rsidRDefault="00214694" w:rsidP="00214694">
      <w:pPr>
        <w:pStyle w:val="level1"/>
        <w:numPr>
          <w:ilvl w:val="0"/>
          <w:numId w:val="0"/>
        </w:numPr>
        <w:spacing w:line="360" w:lineRule="auto"/>
        <w:jc w:val="both"/>
        <w:rPr>
          <w:rFonts w:cs="Arial"/>
          <w:color w:val="000000"/>
        </w:rPr>
      </w:pPr>
      <w:r w:rsidRPr="0047140F">
        <w:rPr>
          <w:rFonts w:cs="Arial"/>
          <w:color w:val="000000"/>
        </w:rPr>
        <w:lastRenderedPageBreak/>
        <w:t>[7]</w:t>
      </w:r>
      <w:r w:rsidRPr="0047140F">
        <w:rPr>
          <w:rFonts w:cs="Arial"/>
          <w:color w:val="000000"/>
        </w:rPr>
        <w:tab/>
      </w:r>
      <w:r w:rsidR="00905902" w:rsidRPr="00C276EF">
        <w:rPr>
          <w:rFonts w:cs="Arial"/>
          <w:color w:val="000000"/>
        </w:rPr>
        <w:t xml:space="preserve">The issue for determination is whether the </w:t>
      </w:r>
      <w:r w:rsidR="00E84D97">
        <w:rPr>
          <w:rFonts w:cs="Arial"/>
          <w:color w:val="000000"/>
        </w:rPr>
        <w:t>plaintiff</w:t>
      </w:r>
      <w:r w:rsidR="00905902" w:rsidRPr="00C276EF">
        <w:rPr>
          <w:rFonts w:cs="Arial"/>
          <w:color w:val="000000"/>
        </w:rPr>
        <w:t>’s particulars of claim are vague and embarrassing.</w:t>
      </w:r>
      <w:r w:rsidR="003C7333" w:rsidRPr="003C7333">
        <w:t xml:space="preserve"> </w:t>
      </w:r>
    </w:p>
    <w:p w:rsidR="0047140F" w:rsidRPr="00224314" w:rsidRDefault="0047140F" w:rsidP="0047140F">
      <w:pPr>
        <w:pStyle w:val="level1"/>
        <w:numPr>
          <w:ilvl w:val="0"/>
          <w:numId w:val="0"/>
        </w:numPr>
        <w:spacing w:line="360" w:lineRule="auto"/>
        <w:ind w:left="5760" w:hanging="360"/>
        <w:jc w:val="both"/>
        <w:rPr>
          <w:rFonts w:cs="Arial"/>
          <w:color w:val="000000"/>
        </w:rPr>
      </w:pPr>
    </w:p>
    <w:p w:rsidR="005D0E45" w:rsidRPr="005D0E45" w:rsidRDefault="00214694" w:rsidP="00214694">
      <w:pPr>
        <w:pStyle w:val="level1"/>
        <w:numPr>
          <w:ilvl w:val="0"/>
          <w:numId w:val="0"/>
        </w:numPr>
        <w:spacing w:line="360" w:lineRule="auto"/>
        <w:jc w:val="both"/>
        <w:rPr>
          <w:rFonts w:cs="Arial"/>
          <w:color w:val="000000"/>
        </w:rPr>
      </w:pPr>
      <w:r w:rsidRPr="005D0E45">
        <w:rPr>
          <w:rFonts w:cs="Arial"/>
          <w:color w:val="000000"/>
        </w:rPr>
        <w:t>[8]</w:t>
      </w:r>
      <w:r w:rsidRPr="005D0E45">
        <w:rPr>
          <w:rFonts w:cs="Arial"/>
          <w:color w:val="000000"/>
        </w:rPr>
        <w:tab/>
      </w:r>
      <w:r w:rsidR="003C7333">
        <w:t xml:space="preserve">Rule 18(4) which provides that: ‘every pleading shall contain a clear and concise statement of the material facts upon which the pleader relied for his claim. </w:t>
      </w:r>
      <w:r w:rsidR="00FF6D53" w:rsidRPr="00C276EF">
        <w:rPr>
          <w:rFonts w:cs="Arial"/>
          <w:color w:val="000000"/>
        </w:rPr>
        <w:t xml:space="preserve"> </w:t>
      </w:r>
      <w:r w:rsidR="00A51D65" w:rsidRPr="00C276EF">
        <w:rPr>
          <w:rFonts w:cs="Arial"/>
          <w:color w:val="000000"/>
        </w:rPr>
        <w:t>Exceptions go to the root of the defence of the claim.</w:t>
      </w:r>
      <w:r w:rsidR="00A51D65">
        <w:rPr>
          <w:rStyle w:val="FootnoteReference"/>
          <w:rFonts w:cs="Arial"/>
          <w:color w:val="000000"/>
        </w:rPr>
        <w:footnoteReference w:id="1"/>
      </w:r>
      <w:r w:rsidR="00AA7B2D" w:rsidRPr="00C276EF">
        <w:rPr>
          <w:rFonts w:cs="Arial"/>
          <w:color w:val="000000"/>
        </w:rPr>
        <w:t xml:space="preserve"> In </w:t>
      </w:r>
      <w:r w:rsidR="00AA7B2D" w:rsidRPr="00C276EF">
        <w:rPr>
          <w:i/>
        </w:rPr>
        <w:t>Telematrix (Pty) Ltd t/a Matrix Vehicle Tracking v Advertising Standards Authority SA</w:t>
      </w:r>
      <w:r w:rsidR="00AA7B2D">
        <w:rPr>
          <w:rStyle w:val="FootnoteReference"/>
          <w:rFonts w:cs="Arial"/>
          <w:color w:val="000000"/>
        </w:rPr>
        <w:footnoteReference w:id="2"/>
      </w:r>
      <w:r w:rsidR="00AA7B2D" w:rsidRPr="00C276EF">
        <w:rPr>
          <w:i/>
        </w:rPr>
        <w:t xml:space="preserve">, </w:t>
      </w:r>
      <w:r w:rsidR="00AA7B2D" w:rsidRPr="00AA7B2D">
        <w:t>t</w:t>
      </w:r>
      <w:r w:rsidR="00AA7B2D" w:rsidRPr="00C276EF">
        <w:rPr>
          <w:rFonts w:cs="Arial"/>
          <w:color w:val="000000"/>
        </w:rPr>
        <w:t xml:space="preserve">he Court indicated that </w:t>
      </w:r>
      <w:r w:rsidR="00AA7B2D">
        <w:t xml:space="preserve">courts should adopt a common sense approach </w:t>
      </w:r>
      <w:r w:rsidR="0047140F">
        <w:t>and</w:t>
      </w:r>
      <w:r w:rsidR="00DD1650">
        <w:t xml:space="preserve"> </w:t>
      </w:r>
      <w:r w:rsidR="00AA7B2D">
        <w:t xml:space="preserve">consider the pleadings </w:t>
      </w:r>
      <w:r w:rsidR="00DD1650">
        <w:t xml:space="preserve">as well as </w:t>
      </w:r>
      <w:r w:rsidR="00AA7B2D">
        <w:t>the documents attached thereto, which tell a story</w:t>
      </w:r>
      <w:r w:rsidR="00C276EF">
        <w:t>.</w:t>
      </w:r>
    </w:p>
    <w:p w:rsidR="00FF6D53" w:rsidRPr="005D0E45" w:rsidRDefault="00FF6D53" w:rsidP="004211D0">
      <w:pPr>
        <w:pStyle w:val="level1"/>
        <w:numPr>
          <w:ilvl w:val="0"/>
          <w:numId w:val="0"/>
        </w:numPr>
        <w:spacing w:line="360" w:lineRule="auto"/>
        <w:jc w:val="both"/>
        <w:rPr>
          <w:rFonts w:cs="Arial"/>
          <w:color w:val="000000"/>
        </w:rPr>
      </w:pPr>
    </w:p>
    <w:p w:rsidR="005D0E45" w:rsidRPr="005D0E45" w:rsidRDefault="00214694" w:rsidP="00214694">
      <w:pPr>
        <w:pStyle w:val="level1"/>
        <w:numPr>
          <w:ilvl w:val="0"/>
          <w:numId w:val="0"/>
        </w:numPr>
        <w:spacing w:line="360" w:lineRule="auto"/>
        <w:jc w:val="both"/>
        <w:rPr>
          <w:rFonts w:cs="Arial"/>
          <w:color w:val="000000"/>
        </w:rPr>
      </w:pPr>
      <w:r w:rsidRPr="005D0E45">
        <w:rPr>
          <w:rFonts w:cs="Arial"/>
          <w:color w:val="000000"/>
        </w:rPr>
        <w:t>[9]</w:t>
      </w:r>
      <w:r w:rsidRPr="005D0E45">
        <w:rPr>
          <w:rFonts w:cs="Arial"/>
          <w:color w:val="000000"/>
        </w:rPr>
        <w:tab/>
      </w:r>
      <w:r w:rsidR="005D0E45">
        <w:t>The Court has held previously</w:t>
      </w:r>
      <w:r w:rsidR="005D0E45">
        <w:rPr>
          <w:rStyle w:val="FootnoteReference"/>
        </w:rPr>
        <w:footnoteReference w:id="3"/>
      </w:r>
      <w:r w:rsidR="005D0E45">
        <w:t xml:space="preserve"> that:</w:t>
      </w:r>
    </w:p>
    <w:p w:rsidR="005D0E45" w:rsidRDefault="005D0E45" w:rsidP="005D0E45">
      <w:pPr>
        <w:pStyle w:val="level1"/>
        <w:numPr>
          <w:ilvl w:val="0"/>
          <w:numId w:val="0"/>
        </w:numPr>
        <w:spacing w:line="360" w:lineRule="auto"/>
        <w:ind w:left="720"/>
        <w:jc w:val="both"/>
        <w:rPr>
          <w:sz w:val="22"/>
          <w:szCs w:val="22"/>
        </w:rPr>
      </w:pPr>
      <w:r w:rsidRPr="005D0E45">
        <w:rPr>
          <w:sz w:val="22"/>
          <w:szCs w:val="22"/>
        </w:rPr>
        <w:t xml:space="preserve">“Particulars of claim should be so phrased that </w:t>
      </w:r>
      <w:r w:rsidR="0047140F" w:rsidRPr="00D56219">
        <w:rPr>
          <w:sz w:val="22"/>
          <w:szCs w:val="22"/>
        </w:rPr>
        <w:t>an</w:t>
      </w:r>
      <w:r w:rsidRPr="00605666">
        <w:rPr>
          <w:color w:val="FF0000"/>
          <w:sz w:val="22"/>
          <w:szCs w:val="22"/>
        </w:rPr>
        <w:t xml:space="preserve"> </w:t>
      </w:r>
      <w:r w:rsidR="00D74617">
        <w:rPr>
          <w:sz w:val="22"/>
          <w:szCs w:val="22"/>
        </w:rPr>
        <w:t>defendant may</w:t>
      </w:r>
      <w:r w:rsidRPr="005D0E45">
        <w:rPr>
          <w:sz w:val="22"/>
          <w:szCs w:val="22"/>
        </w:rPr>
        <w:t xml:space="preserve"> reasonably and fairly be required to plead thereto. This must be seen against the background of the further requirement that the object of pleadings is to enable each side to come to trial prepared to meet the case of the other and not be taken by surprise. Pleadings must therefore be lucid and logical and in an intelligible form; the cause of action or defence must appear clearly from the factual allegations made.”</w:t>
      </w:r>
    </w:p>
    <w:p w:rsidR="005D0E45" w:rsidRPr="005D0E45" w:rsidRDefault="005D0E45" w:rsidP="005D0E45">
      <w:pPr>
        <w:pStyle w:val="level1"/>
        <w:numPr>
          <w:ilvl w:val="0"/>
          <w:numId w:val="0"/>
        </w:numPr>
        <w:spacing w:line="360" w:lineRule="auto"/>
        <w:ind w:left="720"/>
        <w:jc w:val="both"/>
        <w:rPr>
          <w:rFonts w:cs="Arial"/>
          <w:color w:val="000000"/>
          <w:sz w:val="22"/>
          <w:szCs w:val="22"/>
        </w:rPr>
      </w:pPr>
    </w:p>
    <w:p w:rsidR="005D0E45" w:rsidRPr="0047140F" w:rsidRDefault="00CC6A95" w:rsidP="005D0E45">
      <w:pPr>
        <w:pStyle w:val="ListParagraph"/>
        <w:rPr>
          <w:b/>
          <w:color w:val="000000"/>
          <w:u w:val="none"/>
        </w:rPr>
      </w:pPr>
      <w:r w:rsidRPr="0047140F">
        <w:rPr>
          <w:b/>
          <w:color w:val="000000"/>
          <w:u w:val="none"/>
        </w:rPr>
        <w:t xml:space="preserve">FIRST GROUND </w:t>
      </w:r>
    </w:p>
    <w:p w:rsidR="00F83B20" w:rsidRPr="00F83B20" w:rsidRDefault="00214694" w:rsidP="00214694">
      <w:pPr>
        <w:pStyle w:val="level1"/>
        <w:numPr>
          <w:ilvl w:val="0"/>
          <w:numId w:val="0"/>
        </w:numPr>
        <w:spacing w:line="360" w:lineRule="auto"/>
        <w:jc w:val="both"/>
        <w:rPr>
          <w:sz w:val="22"/>
          <w:szCs w:val="22"/>
        </w:rPr>
      </w:pPr>
      <w:r w:rsidRPr="00F83B20">
        <w:rPr>
          <w:sz w:val="22"/>
          <w:szCs w:val="22"/>
        </w:rPr>
        <w:t>[10]</w:t>
      </w:r>
      <w:r w:rsidRPr="00F83B20">
        <w:rPr>
          <w:sz w:val="22"/>
          <w:szCs w:val="22"/>
        </w:rPr>
        <w:tab/>
      </w:r>
      <w:r w:rsidR="00A24840">
        <w:rPr>
          <w:rFonts w:cs="Arial"/>
          <w:color w:val="000000"/>
        </w:rPr>
        <w:t xml:space="preserve">The </w:t>
      </w:r>
      <w:r w:rsidR="00E84D97">
        <w:rPr>
          <w:rFonts w:cs="Arial"/>
          <w:color w:val="000000"/>
        </w:rPr>
        <w:t xml:space="preserve">defendant </w:t>
      </w:r>
      <w:r w:rsidR="00A24840">
        <w:rPr>
          <w:rFonts w:cs="Arial"/>
          <w:color w:val="000000"/>
        </w:rPr>
        <w:t xml:space="preserve">complains that the </w:t>
      </w:r>
      <w:r w:rsidR="00E84D97">
        <w:rPr>
          <w:rFonts w:cs="Arial"/>
          <w:color w:val="000000"/>
        </w:rPr>
        <w:t>plaintiff</w:t>
      </w:r>
      <w:r w:rsidR="0047140F">
        <w:rPr>
          <w:rFonts w:cs="Arial"/>
          <w:color w:val="000000"/>
        </w:rPr>
        <w:t>’s</w:t>
      </w:r>
      <w:r w:rsidR="00A24840">
        <w:rPr>
          <w:rFonts w:cs="Arial"/>
          <w:color w:val="000000"/>
        </w:rPr>
        <w:t xml:space="preserve"> pleading does not enable it </w:t>
      </w:r>
      <w:r w:rsidR="00A24840">
        <w:t xml:space="preserve">to identify what conduct by it is alleged to have been wrongful or negligent. The allegations in paragraphs 16 to 19 of the particulars of claim are general statements describing broad duties and the </w:t>
      </w:r>
      <w:r w:rsidR="00E84D97">
        <w:t>plaintiff</w:t>
      </w:r>
      <w:r w:rsidR="006646EC">
        <w:t xml:space="preserve"> </w:t>
      </w:r>
      <w:r w:rsidR="00A24840">
        <w:t>does not identify</w:t>
      </w:r>
      <w:r w:rsidR="0047140F">
        <w:t xml:space="preserve"> elements </w:t>
      </w:r>
      <w:r w:rsidR="00A24840">
        <w:t>of the defendant’s system or practice it alleges to be defective. The subsequent paragraphs 20 and 21 are equally broad allegations that the ‘</w:t>
      </w:r>
      <w:r w:rsidR="00E84D97">
        <w:t xml:space="preserve">defendant </w:t>
      </w:r>
      <w:r w:rsidR="00A24840">
        <w:t xml:space="preserve">failed to discharge its legal duty when it reasonably could have done so’ and was negligent. The </w:t>
      </w:r>
      <w:r w:rsidR="00E84D97">
        <w:t>plaintiff</w:t>
      </w:r>
      <w:r w:rsidR="00A24840">
        <w:t xml:space="preserve">’s particulars of claim do not aver any facts which identify the </w:t>
      </w:r>
      <w:r w:rsidR="005416B0">
        <w:t xml:space="preserve">specific </w:t>
      </w:r>
      <w:r w:rsidR="00A24840">
        <w:t xml:space="preserve">conduct on the part of the </w:t>
      </w:r>
      <w:r w:rsidR="00E84D97">
        <w:t xml:space="preserve">defendant </w:t>
      </w:r>
      <w:r w:rsidR="00A24840">
        <w:t>which, if proved, would amount to conduct</w:t>
      </w:r>
      <w:r w:rsidR="00EF582A">
        <w:t xml:space="preserve"> of </w:t>
      </w:r>
      <w:r w:rsidR="00A24840">
        <w:t xml:space="preserve">breach of the alleged duty pleaded in paragraphs 16 to 19. </w:t>
      </w:r>
      <w:r w:rsidR="005416B0">
        <w:t xml:space="preserve">The </w:t>
      </w:r>
      <w:r w:rsidR="00E84D97">
        <w:lastRenderedPageBreak/>
        <w:t xml:space="preserve">defendant </w:t>
      </w:r>
      <w:r w:rsidR="005416B0">
        <w:t xml:space="preserve">is thus unable to ascertain whether </w:t>
      </w:r>
      <w:r w:rsidR="00A24840">
        <w:t xml:space="preserve">the </w:t>
      </w:r>
      <w:r w:rsidR="00E84D97">
        <w:t>plaintiff</w:t>
      </w:r>
      <w:r w:rsidR="006646EC">
        <w:t xml:space="preserve"> </w:t>
      </w:r>
      <w:r w:rsidR="00A24840">
        <w:t xml:space="preserve">relies on a positive act or </w:t>
      </w:r>
      <w:r w:rsidR="005416B0">
        <w:t xml:space="preserve">an omission by the </w:t>
      </w:r>
      <w:r w:rsidR="00C939D5">
        <w:t>defendant</w:t>
      </w:r>
      <w:r w:rsidR="005416B0">
        <w:t xml:space="preserve">. The </w:t>
      </w:r>
      <w:r w:rsidR="00E84D97">
        <w:t xml:space="preserve">defendant </w:t>
      </w:r>
      <w:r w:rsidR="005416B0">
        <w:t>maintains that</w:t>
      </w:r>
      <w:r w:rsidR="00EF582A">
        <w:t xml:space="preserve"> </w:t>
      </w:r>
      <w:r w:rsidR="00A24840">
        <w:t xml:space="preserve">the </w:t>
      </w:r>
      <w:r w:rsidR="00E84D97">
        <w:t>plaintiff</w:t>
      </w:r>
      <w:r w:rsidR="00A24840">
        <w:t xml:space="preserve">’s particulars of claim lack the averments necessary to sustain a cause of action against the </w:t>
      </w:r>
      <w:r w:rsidR="00C939D5">
        <w:t>defendant</w:t>
      </w:r>
      <w:r w:rsidR="00A24840">
        <w:t>.</w:t>
      </w:r>
      <w:r w:rsidR="00937012">
        <w:t xml:space="preserve"> </w:t>
      </w:r>
    </w:p>
    <w:p w:rsidR="00F83B20" w:rsidRPr="00F83B20" w:rsidRDefault="00F83B20" w:rsidP="00F83B20">
      <w:pPr>
        <w:pStyle w:val="level1"/>
        <w:numPr>
          <w:ilvl w:val="0"/>
          <w:numId w:val="0"/>
        </w:numPr>
        <w:spacing w:line="360" w:lineRule="auto"/>
        <w:ind w:left="5760" w:hanging="360"/>
        <w:jc w:val="both"/>
        <w:rPr>
          <w:sz w:val="22"/>
          <w:szCs w:val="22"/>
        </w:rPr>
      </w:pPr>
    </w:p>
    <w:p w:rsidR="00A65AB1" w:rsidRPr="00D751CA" w:rsidRDefault="00214694" w:rsidP="00214694">
      <w:pPr>
        <w:pStyle w:val="level1"/>
        <w:numPr>
          <w:ilvl w:val="0"/>
          <w:numId w:val="0"/>
        </w:numPr>
        <w:spacing w:line="360" w:lineRule="auto"/>
        <w:jc w:val="both"/>
        <w:rPr>
          <w:sz w:val="22"/>
          <w:szCs w:val="22"/>
        </w:rPr>
      </w:pPr>
      <w:r w:rsidRPr="00D751CA">
        <w:rPr>
          <w:sz w:val="22"/>
          <w:szCs w:val="22"/>
        </w:rPr>
        <w:t>[11]</w:t>
      </w:r>
      <w:r w:rsidRPr="00D751CA">
        <w:rPr>
          <w:sz w:val="22"/>
          <w:szCs w:val="22"/>
        </w:rPr>
        <w:tab/>
      </w:r>
      <w:r w:rsidR="00937012">
        <w:t>In response</w:t>
      </w:r>
      <w:r w:rsidR="00EF582A">
        <w:t>,</w:t>
      </w:r>
      <w:r w:rsidR="00937012">
        <w:t xml:space="preserve"> Counsel for the </w:t>
      </w:r>
      <w:r w:rsidR="00E84D97">
        <w:t>plaintiff</w:t>
      </w:r>
      <w:r w:rsidR="00EF582A">
        <w:t xml:space="preserve"> </w:t>
      </w:r>
      <w:r w:rsidR="00EF582A" w:rsidRPr="00CC6A95">
        <w:t>submitted</w:t>
      </w:r>
      <w:r w:rsidR="00CC6A95">
        <w:t xml:space="preserve"> on the first ground </w:t>
      </w:r>
      <w:r w:rsidR="00EF582A">
        <w:t xml:space="preserve">relating to the alleged </w:t>
      </w:r>
      <w:r w:rsidR="00CC6A95">
        <w:t xml:space="preserve">lack </w:t>
      </w:r>
      <w:r w:rsidR="00EF582A">
        <w:t xml:space="preserve">of </w:t>
      </w:r>
      <w:r w:rsidR="00CC6A95">
        <w:t>averments</w:t>
      </w:r>
      <w:r w:rsidR="00EF582A">
        <w:t xml:space="preserve">, </w:t>
      </w:r>
      <w:r w:rsidR="00CC6A95">
        <w:t>that pleadings must be read as a whole and not in isolation. It was excipiable only if evidence led would not disclose a cause of action.</w:t>
      </w:r>
      <w:r w:rsidR="00A65AB1" w:rsidRPr="00A65AB1">
        <w:t xml:space="preserve"> </w:t>
      </w:r>
      <w:r w:rsidR="005F54DB">
        <w:t xml:space="preserve">He </w:t>
      </w:r>
      <w:r w:rsidR="00A65AB1">
        <w:t>argued that the pleadings were not vague such that no cause</w:t>
      </w:r>
      <w:r w:rsidR="00EF582A">
        <w:t xml:space="preserve"> of action was discernible. </w:t>
      </w:r>
      <w:r w:rsidR="005F54DB">
        <w:t>Additionally, h</w:t>
      </w:r>
      <w:r w:rsidR="00EF582A">
        <w:t xml:space="preserve">e </w:t>
      </w:r>
      <w:r w:rsidR="00A65AB1">
        <w:t xml:space="preserve">continued that a distinction had to be made between </w:t>
      </w:r>
      <w:r w:rsidR="00A65AB1" w:rsidRPr="00F1025E">
        <w:rPr>
          <w:i/>
        </w:rPr>
        <w:t>facta probanda</w:t>
      </w:r>
      <w:r w:rsidR="00A65AB1">
        <w:t xml:space="preserve"> and </w:t>
      </w:r>
      <w:r w:rsidR="00A65AB1" w:rsidRPr="00F1025E">
        <w:rPr>
          <w:i/>
        </w:rPr>
        <w:t>facta probantia</w:t>
      </w:r>
      <w:r w:rsidR="00A65AB1">
        <w:t xml:space="preserve">. Counsel relied on the </w:t>
      </w:r>
      <w:r w:rsidR="00A65AB1" w:rsidRPr="00780FB3">
        <w:rPr>
          <w:i/>
        </w:rPr>
        <w:t>Trope</w:t>
      </w:r>
      <w:r w:rsidR="00A65AB1">
        <w:rPr>
          <w:rStyle w:val="FootnoteReference"/>
          <w:i/>
        </w:rPr>
        <w:footnoteReference w:id="4"/>
      </w:r>
      <w:r w:rsidR="00A65AB1">
        <w:t xml:space="preserve"> decision to submit that the </w:t>
      </w:r>
      <w:r w:rsidR="00E84D97">
        <w:t>plaintiff</w:t>
      </w:r>
      <w:r w:rsidR="00A65AB1">
        <w:t>’s particulars of claim would onl</w:t>
      </w:r>
      <w:r w:rsidR="00710128">
        <w:t xml:space="preserve">y be vague and embarrassing if </w:t>
      </w:r>
      <w:r w:rsidR="00A65AB1">
        <w:t xml:space="preserve">the pleadings were contradictory and not pleaded in the alternative.  </w:t>
      </w:r>
      <w:r w:rsidR="005F54DB">
        <w:t xml:space="preserve">He </w:t>
      </w:r>
      <w:r w:rsidR="00A65AB1">
        <w:t>con</w:t>
      </w:r>
      <w:r w:rsidR="00AD0E93">
        <w:t>tinued moreover that the</w:t>
      </w:r>
      <w:r w:rsidR="005F54DB">
        <w:t xml:space="preserve"> </w:t>
      </w:r>
      <w:r w:rsidR="006E58B0">
        <w:t>defendant’</w:t>
      </w:r>
      <w:r w:rsidR="005F54DB">
        <w:t xml:space="preserve">s </w:t>
      </w:r>
      <w:r w:rsidR="00A65AB1">
        <w:t>attack on the particulars of claim being void of specificity and particularity was ill-founded.</w:t>
      </w:r>
      <w:r w:rsidR="00A65AB1">
        <w:rPr>
          <w:rStyle w:val="FootnoteReference"/>
        </w:rPr>
        <w:footnoteReference w:id="5"/>
      </w:r>
      <w:r w:rsidR="00A65AB1">
        <w:t xml:space="preserve">  </w:t>
      </w:r>
    </w:p>
    <w:p w:rsidR="00CC6A95" w:rsidRDefault="00CC6A95" w:rsidP="00CC6A95">
      <w:pPr>
        <w:pStyle w:val="level1"/>
        <w:numPr>
          <w:ilvl w:val="0"/>
          <w:numId w:val="0"/>
        </w:numPr>
        <w:spacing w:line="360" w:lineRule="auto"/>
        <w:ind w:left="720"/>
        <w:jc w:val="both"/>
        <w:rPr>
          <w:rFonts w:cs="Arial"/>
          <w:color w:val="000000"/>
        </w:rPr>
      </w:pPr>
    </w:p>
    <w:p w:rsidR="00B452CF" w:rsidRPr="00AD2E83" w:rsidRDefault="00CC6A95" w:rsidP="00CC6A95">
      <w:pPr>
        <w:pStyle w:val="level1"/>
        <w:numPr>
          <w:ilvl w:val="0"/>
          <w:numId w:val="0"/>
        </w:numPr>
        <w:spacing w:line="360" w:lineRule="auto"/>
        <w:ind w:left="720"/>
        <w:jc w:val="both"/>
        <w:rPr>
          <w:rFonts w:cs="Arial"/>
          <w:b/>
          <w:color w:val="000000"/>
        </w:rPr>
      </w:pPr>
      <w:r w:rsidRPr="00AD2E83">
        <w:rPr>
          <w:rFonts w:cs="Arial"/>
          <w:b/>
          <w:color w:val="000000"/>
        </w:rPr>
        <w:t>SECOND GROUND</w:t>
      </w:r>
    </w:p>
    <w:p w:rsidR="00A65AB1" w:rsidRPr="00F83B20" w:rsidRDefault="00214694" w:rsidP="00214694">
      <w:pPr>
        <w:pStyle w:val="level1"/>
        <w:numPr>
          <w:ilvl w:val="0"/>
          <w:numId w:val="0"/>
        </w:numPr>
        <w:spacing w:line="360" w:lineRule="auto"/>
        <w:jc w:val="both"/>
        <w:rPr>
          <w:rFonts w:cs="Arial"/>
          <w:color w:val="000000"/>
        </w:rPr>
      </w:pPr>
      <w:r w:rsidRPr="00F83B20">
        <w:rPr>
          <w:rFonts w:cs="Arial"/>
          <w:color w:val="000000"/>
        </w:rPr>
        <w:t>[12]</w:t>
      </w:r>
      <w:r w:rsidRPr="00F83B20">
        <w:rPr>
          <w:rFonts w:cs="Arial"/>
          <w:color w:val="000000"/>
        </w:rPr>
        <w:tab/>
      </w:r>
      <w:r w:rsidR="00A24840">
        <w:t xml:space="preserve"> </w:t>
      </w:r>
      <w:r w:rsidR="00AD0E93">
        <w:t xml:space="preserve">In further submissions to dismiss the exception, </w:t>
      </w:r>
      <w:r w:rsidR="00E26F63">
        <w:t xml:space="preserve">counsel for the </w:t>
      </w:r>
      <w:r w:rsidR="00E84D97">
        <w:t xml:space="preserve">defendant </w:t>
      </w:r>
      <w:r w:rsidR="00E26F63">
        <w:t xml:space="preserve">argued that </w:t>
      </w:r>
      <w:r w:rsidR="007044B3">
        <w:t xml:space="preserve">the </w:t>
      </w:r>
      <w:r w:rsidR="00E84D97">
        <w:t>plaintiff</w:t>
      </w:r>
      <w:r w:rsidR="0027622B">
        <w:t>’s</w:t>
      </w:r>
      <w:r w:rsidR="006646EC">
        <w:t xml:space="preserve"> </w:t>
      </w:r>
      <w:r w:rsidR="00C939D5">
        <w:t>bo</w:t>
      </w:r>
      <w:r w:rsidR="007044B3">
        <w:t xml:space="preserve">ld </w:t>
      </w:r>
      <w:r w:rsidR="00C939D5">
        <w:t>claim</w:t>
      </w:r>
      <w:r w:rsidR="007044B3">
        <w:t xml:space="preserve"> </w:t>
      </w:r>
      <w:r w:rsidR="00A24840">
        <w:t>that the ‘defendant negligently caused the incident’</w:t>
      </w:r>
      <w:r w:rsidR="007044B3">
        <w:t xml:space="preserve"> was not sufficient in that negligence is a legal </w:t>
      </w:r>
      <w:r w:rsidR="00A24840">
        <w:t xml:space="preserve">conclusion. </w:t>
      </w:r>
      <w:r w:rsidR="007044B3">
        <w:t xml:space="preserve"> The </w:t>
      </w:r>
      <w:r w:rsidR="00E84D97">
        <w:t>plaintiff</w:t>
      </w:r>
      <w:r w:rsidR="006646EC">
        <w:t xml:space="preserve"> </w:t>
      </w:r>
      <w:r w:rsidR="007044B3">
        <w:t xml:space="preserve">failed to plead all </w:t>
      </w:r>
      <w:r w:rsidR="00A24840">
        <w:t>material facts which support</w:t>
      </w:r>
      <w:r w:rsidR="007044B3">
        <w:t xml:space="preserve">ed the </w:t>
      </w:r>
      <w:r w:rsidR="00A24840">
        <w:t>conclusion</w:t>
      </w:r>
      <w:r w:rsidR="007044B3">
        <w:t xml:space="preserve"> it sought the court to reach. </w:t>
      </w:r>
      <w:r w:rsidR="00A24840">
        <w:t xml:space="preserve">  </w:t>
      </w:r>
      <w:r w:rsidR="007044B3">
        <w:t xml:space="preserve">Counsel relied on the decision of </w:t>
      </w:r>
      <w:r w:rsidR="00A24840" w:rsidRPr="007044B3">
        <w:rPr>
          <w:i/>
        </w:rPr>
        <w:t xml:space="preserve">VM and Another v Member of the Executive Council for Education, Eastern Cape Provincial Government and </w:t>
      </w:r>
      <w:r w:rsidR="00FB19CD">
        <w:rPr>
          <w:i/>
        </w:rPr>
        <w:t>Others</w:t>
      </w:r>
      <w:r w:rsidR="00C77860">
        <w:rPr>
          <w:rStyle w:val="FootnoteReference"/>
          <w:i/>
        </w:rPr>
        <w:footnoteReference w:id="6"/>
      </w:r>
      <w:r w:rsidR="00FB19CD">
        <w:rPr>
          <w:i/>
        </w:rPr>
        <w:t xml:space="preserve"> </w:t>
      </w:r>
      <w:r w:rsidR="00FB19CD" w:rsidRPr="00C77860">
        <w:t>where</w:t>
      </w:r>
      <w:r w:rsidR="00FB19CD">
        <w:t xml:space="preserve"> the </w:t>
      </w:r>
      <w:r w:rsidR="00E84D97">
        <w:t>plaintiff</w:t>
      </w:r>
      <w:r w:rsidR="006646EC">
        <w:t xml:space="preserve"> </w:t>
      </w:r>
      <w:r w:rsidR="00FB19CD">
        <w:t xml:space="preserve"> failed to aver necessary facts to establish negligence and the court</w:t>
      </w:r>
      <w:r w:rsidR="00A24840">
        <w:t xml:space="preserve"> upheld the exception. </w:t>
      </w:r>
    </w:p>
    <w:p w:rsidR="00F83B20" w:rsidRPr="00F83B20" w:rsidRDefault="00F83B20" w:rsidP="00F83B20">
      <w:pPr>
        <w:pStyle w:val="level1"/>
        <w:numPr>
          <w:ilvl w:val="0"/>
          <w:numId w:val="0"/>
        </w:numPr>
        <w:spacing w:line="360" w:lineRule="auto"/>
        <w:ind w:left="5760" w:hanging="360"/>
        <w:jc w:val="both"/>
        <w:rPr>
          <w:rFonts w:cs="Arial"/>
          <w:color w:val="000000"/>
        </w:rPr>
      </w:pPr>
    </w:p>
    <w:p w:rsidR="00F83B20" w:rsidRPr="00A65AB1" w:rsidRDefault="00214694" w:rsidP="00214694">
      <w:pPr>
        <w:pStyle w:val="level1"/>
        <w:numPr>
          <w:ilvl w:val="0"/>
          <w:numId w:val="0"/>
        </w:numPr>
        <w:spacing w:line="360" w:lineRule="auto"/>
        <w:jc w:val="both"/>
        <w:rPr>
          <w:rFonts w:cs="Arial"/>
          <w:color w:val="000000"/>
        </w:rPr>
      </w:pPr>
      <w:r w:rsidRPr="00A65AB1">
        <w:rPr>
          <w:rFonts w:cs="Arial"/>
          <w:color w:val="000000"/>
        </w:rPr>
        <w:t>[13]</w:t>
      </w:r>
      <w:r w:rsidRPr="00A65AB1">
        <w:rPr>
          <w:rFonts w:cs="Arial"/>
          <w:color w:val="000000"/>
        </w:rPr>
        <w:tab/>
      </w:r>
      <w:r w:rsidR="0027622B">
        <w:t xml:space="preserve">In response, </w:t>
      </w:r>
      <w:r w:rsidR="00F83B20">
        <w:t xml:space="preserve">Counsel for the </w:t>
      </w:r>
      <w:r w:rsidR="00E84D97">
        <w:t>plaintiff</w:t>
      </w:r>
      <w:r w:rsidR="006646EC">
        <w:t xml:space="preserve"> </w:t>
      </w:r>
      <w:r w:rsidR="00F83B20">
        <w:t xml:space="preserve">submitted that the allegations specifically made carried with them implied allegations and were to be read as such. This included the reference to the </w:t>
      </w:r>
      <w:r w:rsidR="00E84D97">
        <w:t xml:space="preserve">defendant </w:t>
      </w:r>
      <w:r w:rsidR="00F83B20">
        <w:t xml:space="preserve">experiencing a similar </w:t>
      </w:r>
      <w:r w:rsidR="00F83B20">
        <w:lastRenderedPageBreak/>
        <w:t xml:space="preserve">breach previously. This was indicative of the </w:t>
      </w:r>
      <w:r w:rsidR="00E84D97">
        <w:t>defenda</w:t>
      </w:r>
      <w:r w:rsidR="006E58B0">
        <w:t>nt</w:t>
      </w:r>
      <w:r w:rsidR="00E1773E">
        <w:t xml:space="preserve">’s </w:t>
      </w:r>
      <w:r w:rsidR="00F83B20">
        <w:t>failure to implement and maintain a proper information management security system of their own and clients</w:t>
      </w:r>
      <w:r w:rsidR="00B33C70">
        <w:t>’</w:t>
      </w:r>
      <w:r w:rsidR="00F83B20">
        <w:t xml:space="preserve"> information.  </w:t>
      </w:r>
    </w:p>
    <w:p w:rsidR="00A65AB1" w:rsidRPr="00A65AB1" w:rsidRDefault="00A65AB1" w:rsidP="00A65AB1">
      <w:pPr>
        <w:pStyle w:val="level1"/>
        <w:numPr>
          <w:ilvl w:val="0"/>
          <w:numId w:val="0"/>
        </w:numPr>
        <w:spacing w:line="360" w:lineRule="auto"/>
        <w:ind w:left="5760" w:hanging="360"/>
        <w:jc w:val="both"/>
        <w:rPr>
          <w:rFonts w:cs="Arial"/>
          <w:color w:val="000000"/>
        </w:rPr>
      </w:pPr>
    </w:p>
    <w:p w:rsidR="00A65AB1" w:rsidRPr="00AD2E83" w:rsidRDefault="00A65AB1" w:rsidP="00A65AB1">
      <w:pPr>
        <w:pStyle w:val="level1"/>
        <w:numPr>
          <w:ilvl w:val="0"/>
          <w:numId w:val="0"/>
        </w:numPr>
        <w:spacing w:line="360" w:lineRule="auto"/>
        <w:ind w:left="720"/>
        <w:jc w:val="both"/>
        <w:rPr>
          <w:rFonts w:cs="Arial"/>
          <w:b/>
          <w:color w:val="000000"/>
        </w:rPr>
      </w:pPr>
      <w:r w:rsidRPr="00AD2E83">
        <w:rPr>
          <w:rFonts w:cs="Arial"/>
          <w:b/>
          <w:color w:val="000000"/>
        </w:rPr>
        <w:t>THIRD AND FOURTH GROUND</w:t>
      </w:r>
    </w:p>
    <w:p w:rsidR="00B452CF" w:rsidRPr="009D0A3A" w:rsidRDefault="00214694" w:rsidP="00214694">
      <w:pPr>
        <w:pStyle w:val="level1"/>
        <w:numPr>
          <w:ilvl w:val="0"/>
          <w:numId w:val="0"/>
        </w:numPr>
        <w:spacing w:line="360" w:lineRule="auto"/>
        <w:jc w:val="both"/>
        <w:rPr>
          <w:rFonts w:cs="Arial"/>
          <w:color w:val="000000"/>
        </w:rPr>
      </w:pPr>
      <w:r w:rsidRPr="009D0A3A">
        <w:rPr>
          <w:rFonts w:cs="Arial"/>
          <w:color w:val="000000"/>
        </w:rPr>
        <w:t>[14]</w:t>
      </w:r>
      <w:r w:rsidRPr="009D0A3A">
        <w:rPr>
          <w:rFonts w:cs="Arial"/>
          <w:color w:val="000000"/>
        </w:rPr>
        <w:tab/>
      </w:r>
      <w:r w:rsidR="00C77860">
        <w:t xml:space="preserve">The </w:t>
      </w:r>
      <w:r w:rsidR="00E84D97">
        <w:t xml:space="preserve">defendant </w:t>
      </w:r>
      <w:r w:rsidR="00C77860">
        <w:t xml:space="preserve">avers that the </w:t>
      </w:r>
      <w:r w:rsidR="00E84D97">
        <w:t>plaintiff</w:t>
      </w:r>
      <w:r w:rsidR="00C77860">
        <w:t xml:space="preserve">’s </w:t>
      </w:r>
      <w:r w:rsidR="00A24840">
        <w:t>particulars of</w:t>
      </w:r>
      <w:r w:rsidR="00C77860">
        <w:t xml:space="preserve"> claim contain the same defect in that it makes reference to the</w:t>
      </w:r>
      <w:r w:rsidR="00A24840">
        <w:t xml:space="preserve"> </w:t>
      </w:r>
      <w:r w:rsidR="006E58B0">
        <w:t>defendant</w:t>
      </w:r>
      <w:r w:rsidR="00E1773E">
        <w:t xml:space="preserve">’s </w:t>
      </w:r>
      <w:r w:rsidR="00A24840">
        <w:t>duty in terms of the Companies Act and POPIA</w:t>
      </w:r>
      <w:r w:rsidR="00C77860">
        <w:t xml:space="preserve"> and does not specify the act or omission with specificity but references sections of the legislation instead. </w:t>
      </w:r>
      <w:r w:rsidR="00A24840">
        <w:t xml:space="preserve">The </w:t>
      </w:r>
      <w:r w:rsidR="00E84D97">
        <w:t>plaintiff</w:t>
      </w:r>
      <w:r w:rsidR="006646EC">
        <w:t xml:space="preserve"> </w:t>
      </w:r>
      <w:r w:rsidR="00A24840">
        <w:t xml:space="preserve">then </w:t>
      </w:r>
      <w:r w:rsidR="00B452CF">
        <w:t>simply</w:t>
      </w:r>
      <w:r w:rsidR="00A24840">
        <w:t xml:space="preserve"> </w:t>
      </w:r>
      <w:r w:rsidR="00B452CF">
        <w:t xml:space="preserve">attributes conclusions </w:t>
      </w:r>
      <w:r w:rsidR="00B452CF" w:rsidRPr="00D56219">
        <w:t xml:space="preserve">such </w:t>
      </w:r>
      <w:r w:rsidR="00D56219" w:rsidRPr="00D56219">
        <w:t xml:space="preserve">as </w:t>
      </w:r>
      <w:r w:rsidR="00B452CF">
        <w:t>“</w:t>
      </w:r>
      <w:r w:rsidR="00A24840">
        <w:t xml:space="preserve">that the </w:t>
      </w:r>
      <w:r w:rsidR="00E84D97">
        <w:t xml:space="preserve">defendant </w:t>
      </w:r>
      <w:r w:rsidR="00A24840">
        <w:t>failed to discharge its legal duty when it reasonably could have done so</w:t>
      </w:r>
      <w:r w:rsidR="00B452CF">
        <w:t>”</w:t>
      </w:r>
      <w:r w:rsidR="00A24840">
        <w:t xml:space="preserve"> and </w:t>
      </w:r>
      <w:r w:rsidR="00B452CF">
        <w:t xml:space="preserve">“negligently caused the incident”. The conclusions are not obvious or tenable argued counsel without the </w:t>
      </w:r>
      <w:r w:rsidR="00E84D97">
        <w:t>plaintiff</w:t>
      </w:r>
      <w:r w:rsidR="006646EC">
        <w:t xml:space="preserve"> </w:t>
      </w:r>
      <w:r w:rsidR="00B452CF">
        <w:t xml:space="preserve">attaching facts to support the conclusions. </w:t>
      </w:r>
      <w:r w:rsidR="003A7501">
        <w:t xml:space="preserve">Counsel continued that the particulars suggest a person other than the </w:t>
      </w:r>
      <w:r w:rsidR="00E84D97">
        <w:t>defendant</w:t>
      </w:r>
      <w:r w:rsidR="00E1773E">
        <w:t xml:space="preserve"> </w:t>
      </w:r>
      <w:r w:rsidR="003A7501">
        <w:t xml:space="preserve">caused the loss and the </w:t>
      </w:r>
      <w:r w:rsidR="00E84D97">
        <w:t>plaintiff</w:t>
      </w:r>
      <w:r w:rsidR="003A7501">
        <w:t xml:space="preserve">’s particulars of claim do not establish factual or legal causation against the defendant. </w:t>
      </w:r>
      <w:r w:rsidR="00C20046">
        <w:t xml:space="preserve"> Counsel </w:t>
      </w:r>
      <w:r w:rsidR="00E1773E">
        <w:t xml:space="preserve">for the </w:t>
      </w:r>
      <w:r w:rsidR="00E84D97">
        <w:t>plaintiff</w:t>
      </w:r>
      <w:r w:rsidR="00E1773E">
        <w:t xml:space="preserve"> </w:t>
      </w:r>
      <w:r w:rsidR="00C20046">
        <w:t xml:space="preserve">submitted that the </w:t>
      </w:r>
      <w:r w:rsidR="00E84D97">
        <w:t xml:space="preserve">defendant </w:t>
      </w:r>
      <w:r w:rsidR="00C20046">
        <w:t xml:space="preserve">was required to comply with POPIA in its entirety and </w:t>
      </w:r>
      <w:r w:rsidR="00C20046" w:rsidRPr="00D56219">
        <w:t xml:space="preserve">if </w:t>
      </w:r>
      <w:r w:rsidR="00FB06CF" w:rsidRPr="00D56219">
        <w:t xml:space="preserve">was </w:t>
      </w:r>
      <w:r w:rsidR="00FB06CF">
        <w:t xml:space="preserve">not applicable </w:t>
      </w:r>
      <w:r w:rsidR="00E1773E">
        <w:t xml:space="preserve">it </w:t>
      </w:r>
      <w:r w:rsidR="00FB06CF">
        <w:t xml:space="preserve">could deny the allegation. The phishing scam that the </w:t>
      </w:r>
      <w:r w:rsidR="00E84D97">
        <w:t>plaintiff</w:t>
      </w:r>
      <w:r w:rsidR="00FB06CF">
        <w:t xml:space="preserve"> was subject to was an indication of the compromise of the </w:t>
      </w:r>
      <w:r w:rsidR="00FE03B3">
        <w:t>defendant</w:t>
      </w:r>
      <w:r w:rsidR="00E1773E">
        <w:t xml:space="preserve">’s </w:t>
      </w:r>
      <w:r w:rsidR="00FB06CF">
        <w:t xml:space="preserve">information system. </w:t>
      </w:r>
    </w:p>
    <w:p w:rsidR="009D0A3A" w:rsidRPr="00B33C70" w:rsidRDefault="009D0A3A" w:rsidP="009D0A3A">
      <w:pPr>
        <w:pStyle w:val="level1"/>
        <w:numPr>
          <w:ilvl w:val="0"/>
          <w:numId w:val="0"/>
        </w:numPr>
        <w:spacing w:line="360" w:lineRule="auto"/>
        <w:ind w:left="5760" w:hanging="360"/>
        <w:jc w:val="both"/>
        <w:rPr>
          <w:rFonts w:cs="Arial"/>
          <w:color w:val="000000"/>
        </w:rPr>
      </w:pPr>
    </w:p>
    <w:p w:rsidR="00B33C70" w:rsidRPr="00B452CF" w:rsidRDefault="00214694" w:rsidP="00214694">
      <w:pPr>
        <w:pStyle w:val="level1"/>
        <w:numPr>
          <w:ilvl w:val="0"/>
          <w:numId w:val="0"/>
        </w:numPr>
        <w:spacing w:line="360" w:lineRule="auto"/>
        <w:jc w:val="both"/>
        <w:rPr>
          <w:rFonts w:cs="Arial"/>
          <w:color w:val="000000"/>
        </w:rPr>
      </w:pPr>
      <w:r w:rsidRPr="00B452CF">
        <w:rPr>
          <w:rFonts w:cs="Arial"/>
          <w:color w:val="000000"/>
        </w:rPr>
        <w:t>[15]</w:t>
      </w:r>
      <w:r w:rsidRPr="00B452CF">
        <w:rPr>
          <w:rFonts w:cs="Arial"/>
          <w:color w:val="000000"/>
        </w:rPr>
        <w:tab/>
      </w:r>
      <w:r w:rsidR="00B33C70">
        <w:t xml:space="preserve">Counsel </w:t>
      </w:r>
      <w:r w:rsidR="00E1773E">
        <w:t xml:space="preserve">for the </w:t>
      </w:r>
      <w:r w:rsidR="00E84D97">
        <w:t>plaintiff</w:t>
      </w:r>
      <w:r w:rsidR="00E1773E">
        <w:t xml:space="preserve"> </w:t>
      </w:r>
      <w:r w:rsidR="00B33C70">
        <w:t xml:space="preserve">noted that the reference to the Companies Act and the </w:t>
      </w:r>
      <w:r w:rsidR="00E84D97">
        <w:t xml:space="preserve">defendant </w:t>
      </w:r>
      <w:r w:rsidR="00B33C70">
        <w:t>being a partnership and acknowledged th</w:t>
      </w:r>
      <w:r w:rsidR="009D0A3A">
        <w:t>at the Particulars of Claim required an amendment to remove the reference to the Companies Act.</w:t>
      </w:r>
      <w:r w:rsidR="00C20046">
        <w:t xml:space="preserve"> It </w:t>
      </w:r>
      <w:r w:rsidR="00037A76">
        <w:t>was</w:t>
      </w:r>
      <w:r w:rsidR="00C20046">
        <w:t xml:space="preserve"> in any event an allegation that the </w:t>
      </w:r>
      <w:r w:rsidR="00E84D97">
        <w:t xml:space="preserve">defendant </w:t>
      </w:r>
      <w:r w:rsidR="00C20046">
        <w:t>could deny and did not require an over technical approach</w:t>
      </w:r>
      <w:r w:rsidR="00E1773E">
        <w:t xml:space="preserve"> counsel submitted</w:t>
      </w:r>
      <w:r w:rsidR="00C20046">
        <w:t xml:space="preserve">. </w:t>
      </w:r>
      <w:r w:rsidR="009D0A3A">
        <w:t xml:space="preserve"> </w:t>
      </w:r>
    </w:p>
    <w:p w:rsidR="00A65AB1" w:rsidRDefault="00A65AB1" w:rsidP="00A65AB1">
      <w:pPr>
        <w:pStyle w:val="level1"/>
        <w:numPr>
          <w:ilvl w:val="0"/>
          <w:numId w:val="0"/>
        </w:numPr>
        <w:spacing w:line="360" w:lineRule="auto"/>
        <w:ind w:left="720"/>
        <w:jc w:val="both"/>
        <w:rPr>
          <w:rFonts w:cs="Arial"/>
          <w:color w:val="000000"/>
        </w:rPr>
      </w:pPr>
    </w:p>
    <w:p w:rsidR="00B452CF" w:rsidRPr="00AD2E83" w:rsidRDefault="00A65AB1" w:rsidP="00A65AB1">
      <w:pPr>
        <w:pStyle w:val="level1"/>
        <w:numPr>
          <w:ilvl w:val="0"/>
          <w:numId w:val="0"/>
        </w:numPr>
        <w:spacing w:line="360" w:lineRule="auto"/>
        <w:ind w:left="720"/>
        <w:jc w:val="both"/>
        <w:rPr>
          <w:rFonts w:cs="Arial"/>
          <w:b/>
          <w:color w:val="000000"/>
        </w:rPr>
      </w:pPr>
      <w:r w:rsidRPr="00AD2E83">
        <w:rPr>
          <w:rFonts w:cs="Arial"/>
          <w:b/>
          <w:color w:val="000000"/>
        </w:rPr>
        <w:t>FIFTH GROUND</w:t>
      </w:r>
    </w:p>
    <w:p w:rsidR="00D751CA" w:rsidRPr="008167F9" w:rsidRDefault="005665D1" w:rsidP="005775C6">
      <w:pPr>
        <w:pStyle w:val="level1"/>
        <w:numPr>
          <w:ilvl w:val="0"/>
          <w:numId w:val="0"/>
        </w:numPr>
        <w:spacing w:line="360" w:lineRule="auto"/>
        <w:jc w:val="both"/>
        <w:rPr>
          <w:sz w:val="22"/>
          <w:szCs w:val="22"/>
        </w:rPr>
      </w:pPr>
      <w:r w:rsidRPr="00D56219">
        <w:t>[16]</w:t>
      </w:r>
      <w:r>
        <w:tab/>
      </w:r>
      <w:r w:rsidR="009D21C9">
        <w:t xml:space="preserve">Additionally, </w:t>
      </w:r>
      <w:r w:rsidR="00660745">
        <w:t xml:space="preserve">counsel submitted where the </w:t>
      </w:r>
      <w:r w:rsidR="00E84D97">
        <w:t>plaintiff</w:t>
      </w:r>
      <w:r w:rsidR="006646EC">
        <w:t xml:space="preserve"> </w:t>
      </w:r>
      <w:r w:rsidR="00660745">
        <w:t>r</w:t>
      </w:r>
      <w:r w:rsidR="009D21C9">
        <w:t>elied on a professional duty ow</w:t>
      </w:r>
      <w:r w:rsidR="00660745">
        <w:t xml:space="preserve">ed by the </w:t>
      </w:r>
      <w:r w:rsidR="00E84D97">
        <w:t xml:space="preserve">defendant </w:t>
      </w:r>
      <w:r w:rsidR="00660745">
        <w:t xml:space="preserve">to the </w:t>
      </w:r>
      <w:r w:rsidR="00E84D97">
        <w:t>plaintiff</w:t>
      </w:r>
      <w:r w:rsidR="006646EC">
        <w:t xml:space="preserve"> </w:t>
      </w:r>
      <w:r w:rsidR="00660745">
        <w:t xml:space="preserve">specifically, the </w:t>
      </w:r>
      <w:r w:rsidR="00E84D97">
        <w:t>plaintiff</w:t>
      </w:r>
      <w:r w:rsidR="006646EC">
        <w:t xml:space="preserve"> </w:t>
      </w:r>
      <w:r w:rsidR="00660745">
        <w:t>failed to establish a relationship of an attorney-client relationship between it and the</w:t>
      </w:r>
      <w:r w:rsidR="00AD2E83">
        <w:t xml:space="preserve"> </w:t>
      </w:r>
      <w:r w:rsidR="00C939D5">
        <w:t>defendant</w:t>
      </w:r>
      <w:r w:rsidR="00660745">
        <w:t xml:space="preserve">. </w:t>
      </w:r>
      <w:r w:rsidR="00A24840">
        <w:t>The only “client relationship” that is</w:t>
      </w:r>
      <w:r w:rsidR="00C87487">
        <w:t xml:space="preserve"> </w:t>
      </w:r>
      <w:r w:rsidR="001D1A13">
        <w:t>evident</w:t>
      </w:r>
      <w:r w:rsidR="00A24840">
        <w:t xml:space="preserve"> is the relationship between the </w:t>
      </w:r>
      <w:r w:rsidR="00E84D97">
        <w:t xml:space="preserve">defendant </w:t>
      </w:r>
      <w:r w:rsidR="00A24840">
        <w:t>and the seller</w:t>
      </w:r>
      <w:r w:rsidR="001D1A13">
        <w:t xml:space="preserve">. The seller </w:t>
      </w:r>
      <w:r w:rsidR="00A24840">
        <w:t xml:space="preserve">nominated and appointed the </w:t>
      </w:r>
      <w:r w:rsidR="00E84D97">
        <w:t xml:space="preserve">defendant </w:t>
      </w:r>
      <w:r w:rsidR="009D21C9">
        <w:t>as the conveyancing attorney</w:t>
      </w:r>
      <w:r w:rsidR="00A24840">
        <w:t xml:space="preserve"> in respect of the sale of the property. </w:t>
      </w:r>
      <w:r w:rsidR="001D1A13">
        <w:t xml:space="preserve">Thus the </w:t>
      </w:r>
      <w:r w:rsidR="00E84D97">
        <w:t xml:space="preserve">defendant </w:t>
      </w:r>
      <w:r w:rsidR="001D1A13">
        <w:t xml:space="preserve">contends it is </w:t>
      </w:r>
      <w:r w:rsidR="00A24840">
        <w:t xml:space="preserve">not clear from the </w:t>
      </w:r>
      <w:r w:rsidR="00E84D97">
        <w:t>plaintiff</w:t>
      </w:r>
      <w:r w:rsidR="006646EC">
        <w:t xml:space="preserve"> </w:t>
      </w:r>
      <w:r w:rsidR="00A24840">
        <w:t xml:space="preserve">’s particulars of </w:t>
      </w:r>
      <w:r w:rsidR="00A24840">
        <w:lastRenderedPageBreak/>
        <w:t xml:space="preserve">claim what professional legal duty </w:t>
      </w:r>
      <w:r w:rsidR="001D1A13">
        <w:t xml:space="preserve">the </w:t>
      </w:r>
      <w:r w:rsidR="00E84D97">
        <w:t>plaintiff</w:t>
      </w:r>
      <w:r w:rsidR="006646EC">
        <w:t xml:space="preserve"> </w:t>
      </w:r>
      <w:r w:rsidR="00A24840">
        <w:t>rel</w:t>
      </w:r>
      <w:r w:rsidR="009D21C9">
        <w:t xml:space="preserve">ies </w:t>
      </w:r>
      <w:r w:rsidR="00A24840">
        <w:t>upon</w:t>
      </w:r>
      <w:r w:rsidR="001D1A13">
        <w:t xml:space="preserve">. </w:t>
      </w:r>
      <w:r w:rsidR="009D21C9">
        <w:t xml:space="preserve">Counsel submitted that it was </w:t>
      </w:r>
      <w:r w:rsidR="001D1A13">
        <w:t xml:space="preserve">not clear </w:t>
      </w:r>
      <w:r w:rsidR="00A24840">
        <w:t xml:space="preserve">whether such professional duty was </w:t>
      </w:r>
      <w:r w:rsidR="00762161">
        <w:t xml:space="preserve">a duty </w:t>
      </w:r>
      <w:r w:rsidR="00A24840">
        <w:t xml:space="preserve">that the </w:t>
      </w:r>
      <w:r w:rsidR="00E84D97">
        <w:t xml:space="preserve">defendant </w:t>
      </w:r>
      <w:r w:rsidR="00A24840">
        <w:t xml:space="preserve">owed specifically to the </w:t>
      </w:r>
      <w:r w:rsidR="00E84D97">
        <w:t>plaintiff</w:t>
      </w:r>
      <w:r w:rsidR="00A24840">
        <w:t xml:space="preserve">. </w:t>
      </w:r>
      <w:r w:rsidR="00762161">
        <w:t xml:space="preserve">Counsel referred to the </w:t>
      </w:r>
      <w:r w:rsidR="00A24840">
        <w:t xml:space="preserve">case of </w:t>
      </w:r>
      <w:r w:rsidR="00A24840" w:rsidRPr="008167F9">
        <w:rPr>
          <w:i/>
        </w:rPr>
        <w:t>Fourie v Van der Spuy and De Jongh Inc. and Others</w:t>
      </w:r>
      <w:r w:rsidR="00406029">
        <w:rPr>
          <w:rStyle w:val="FootnoteReference"/>
          <w:i/>
        </w:rPr>
        <w:footnoteReference w:id="7"/>
      </w:r>
      <w:r w:rsidR="00A24840">
        <w:t xml:space="preserve"> </w:t>
      </w:r>
      <w:r w:rsidR="00406029">
        <w:t xml:space="preserve"> where the court  dealt with an instance of </w:t>
      </w:r>
      <w:r w:rsidR="00A24840">
        <w:t>cybercrime</w:t>
      </w:r>
      <w:r w:rsidR="00406029">
        <w:t xml:space="preserve">. </w:t>
      </w:r>
      <w:r w:rsidR="009D21C9">
        <w:t>She submitted that t</w:t>
      </w:r>
      <w:r w:rsidR="00406029">
        <w:t xml:space="preserve">he facts differed from the present </w:t>
      </w:r>
      <w:r w:rsidR="00DD7AD0">
        <w:t xml:space="preserve">matter </w:t>
      </w:r>
      <w:r w:rsidR="00406029">
        <w:t xml:space="preserve">as the </w:t>
      </w:r>
      <w:r w:rsidR="00E84D97">
        <w:t>plaintiff</w:t>
      </w:r>
      <w:r w:rsidR="006646EC">
        <w:t xml:space="preserve"> </w:t>
      </w:r>
      <w:r w:rsidR="00406029">
        <w:t>was a client of the law firm</w:t>
      </w:r>
      <w:r w:rsidR="00AD2E83">
        <w:t xml:space="preserve"> in that matter</w:t>
      </w:r>
      <w:r w:rsidR="00406029">
        <w:t xml:space="preserve">. The client claimed damages against the firm where </w:t>
      </w:r>
      <w:r w:rsidR="00A24840">
        <w:t xml:space="preserve">one of the attorneys erroneously transferred the client’s funds held in the firm’s trust account into several bank accounts held by one or more unknown hackers. </w:t>
      </w:r>
      <w:r w:rsidR="00406029">
        <w:t xml:space="preserve">In that matter, the attorney was negligent as it </w:t>
      </w:r>
      <w:r w:rsidR="00A24840">
        <w:t xml:space="preserve">failed to exercise the requisite skill, knowledge and diligence </w:t>
      </w:r>
      <w:r w:rsidR="003A653F">
        <w:t>that was accepted in the practice of an attorney and the associated</w:t>
      </w:r>
      <w:r w:rsidR="00A24840">
        <w:t xml:space="preserve"> standard of care, skill and diligence in the performance of </w:t>
      </w:r>
      <w:r w:rsidR="00DD7AD0">
        <w:t>the</w:t>
      </w:r>
      <w:r w:rsidR="00AD2E83">
        <w:t>ir</w:t>
      </w:r>
      <w:r w:rsidR="00DD7AD0">
        <w:t xml:space="preserve"> </w:t>
      </w:r>
      <w:r w:rsidR="00A24840">
        <w:t>professional</w:t>
      </w:r>
      <w:r w:rsidR="003A653F">
        <w:t xml:space="preserve"> duty. </w:t>
      </w:r>
      <w:r w:rsidR="00DD7AD0">
        <w:t xml:space="preserve">The matter gave rise to a </w:t>
      </w:r>
      <w:r w:rsidR="003A653F">
        <w:t xml:space="preserve">contractual mandate of </w:t>
      </w:r>
      <w:r w:rsidR="00DD7AD0">
        <w:t xml:space="preserve">an </w:t>
      </w:r>
      <w:r w:rsidR="008167F9">
        <w:t>attorney</w:t>
      </w:r>
      <w:r w:rsidR="00A24840">
        <w:t>/client</w:t>
      </w:r>
      <w:r w:rsidR="003A653F">
        <w:t xml:space="preserve"> relationship </w:t>
      </w:r>
      <w:r w:rsidR="00DD7AD0">
        <w:t xml:space="preserve">encompassing </w:t>
      </w:r>
      <w:r w:rsidR="00A24840">
        <w:t xml:space="preserve">fiduciary obligations and a duty of care towards the client; and the common law </w:t>
      </w:r>
      <w:r w:rsidR="009970D5">
        <w:t xml:space="preserve">duty </w:t>
      </w:r>
      <w:r w:rsidR="00C20046">
        <w:t xml:space="preserve">which </w:t>
      </w:r>
      <w:r w:rsidR="00076E92">
        <w:t xml:space="preserve">required </w:t>
      </w:r>
      <w:r w:rsidR="00A24840">
        <w:t>sufficient care and attention.</w:t>
      </w:r>
      <w:r w:rsidR="00076E92">
        <w:t xml:space="preserve"> </w:t>
      </w:r>
      <w:r w:rsidR="00C20046">
        <w:t>In the present matter, t</w:t>
      </w:r>
      <w:r w:rsidR="00076E92">
        <w:t xml:space="preserve">he </w:t>
      </w:r>
      <w:r w:rsidR="00E84D97">
        <w:t>plaintiff</w:t>
      </w:r>
      <w:r w:rsidR="006646EC">
        <w:t xml:space="preserve"> </w:t>
      </w:r>
      <w:r w:rsidR="00076E92">
        <w:t>did not plead a contractual relationship</w:t>
      </w:r>
      <w:r w:rsidR="006646EC">
        <w:t xml:space="preserve"> </w:t>
      </w:r>
      <w:r w:rsidR="00076E92">
        <w:t xml:space="preserve">between it and the </w:t>
      </w:r>
      <w:r w:rsidR="00E84D97">
        <w:t xml:space="preserve">defendant </w:t>
      </w:r>
      <w:r w:rsidR="00076E92">
        <w:t xml:space="preserve">or explain how one arose or the extent thereof thus counsel requested that the </w:t>
      </w:r>
      <w:r w:rsidR="00E84D97">
        <w:t>plaintiff</w:t>
      </w:r>
      <w:r w:rsidR="006646EC">
        <w:t xml:space="preserve"> </w:t>
      </w:r>
      <w:r w:rsidR="00076E92">
        <w:t xml:space="preserve">’s claim be dismissed with costs. </w:t>
      </w:r>
    </w:p>
    <w:p w:rsidR="00395561" w:rsidRPr="00D751CA" w:rsidRDefault="00395561" w:rsidP="00395561">
      <w:pPr>
        <w:pStyle w:val="level1"/>
        <w:numPr>
          <w:ilvl w:val="0"/>
          <w:numId w:val="0"/>
        </w:numPr>
        <w:spacing w:line="360" w:lineRule="auto"/>
        <w:ind w:left="5760" w:hanging="360"/>
        <w:jc w:val="both"/>
        <w:rPr>
          <w:sz w:val="22"/>
          <w:szCs w:val="22"/>
        </w:rPr>
      </w:pPr>
    </w:p>
    <w:p w:rsidR="005A45B5" w:rsidRPr="005A45B5" w:rsidRDefault="00E431DA" w:rsidP="00E431DA">
      <w:pPr>
        <w:pStyle w:val="level1"/>
        <w:numPr>
          <w:ilvl w:val="0"/>
          <w:numId w:val="0"/>
        </w:numPr>
        <w:spacing w:line="360" w:lineRule="auto"/>
        <w:jc w:val="both"/>
        <w:rPr>
          <w:sz w:val="22"/>
          <w:szCs w:val="22"/>
        </w:rPr>
      </w:pPr>
      <w:r>
        <w:t>[17]</w:t>
      </w:r>
      <w:r>
        <w:tab/>
      </w:r>
      <w:r w:rsidR="005A45B5">
        <w:t xml:space="preserve">Counsel for the </w:t>
      </w:r>
      <w:r w:rsidR="00E84D97">
        <w:t>plaintiff</w:t>
      </w:r>
      <w:r w:rsidR="005436D8">
        <w:t xml:space="preserve"> </w:t>
      </w:r>
      <w:r w:rsidR="005A45B5">
        <w:t xml:space="preserve">argued that the fact that the </w:t>
      </w:r>
      <w:r w:rsidR="00E84D97">
        <w:t xml:space="preserve">defendant </w:t>
      </w:r>
      <w:r w:rsidR="006646EC">
        <w:t>as</w:t>
      </w:r>
      <w:r w:rsidR="005A45B5">
        <w:t xml:space="preserve"> nominated attorneys would transfer the property and be paid for the transfer implied a relationship from the expressed facts </w:t>
      </w:r>
      <w:r w:rsidR="00AD2E83">
        <w:t xml:space="preserve">and </w:t>
      </w:r>
      <w:r w:rsidR="005A45B5">
        <w:t xml:space="preserve">that established a client relationship. If the </w:t>
      </w:r>
      <w:r w:rsidR="00E84D97">
        <w:t xml:space="preserve">defendant </w:t>
      </w:r>
      <w:r w:rsidR="005436D8">
        <w:t>disputed</w:t>
      </w:r>
      <w:r w:rsidR="005A45B5">
        <w:t xml:space="preserve"> that a relationship existed, it could deny same. For this reason</w:t>
      </w:r>
      <w:r w:rsidR="006646EC">
        <w:t>,</w:t>
      </w:r>
      <w:r w:rsidR="005A45B5">
        <w:t xml:space="preserve"> the </w:t>
      </w:r>
      <w:r w:rsidR="00E84D97">
        <w:t>plaintiff</w:t>
      </w:r>
      <w:r w:rsidR="005436D8">
        <w:t xml:space="preserve"> </w:t>
      </w:r>
      <w:r w:rsidR="005A45B5">
        <w:t xml:space="preserve">requested that the exception be dismissed. </w:t>
      </w:r>
    </w:p>
    <w:p w:rsidR="005A45B5" w:rsidRDefault="005A45B5" w:rsidP="005A45B5">
      <w:pPr>
        <w:pStyle w:val="ListParagraph"/>
      </w:pPr>
    </w:p>
    <w:p w:rsidR="00660001" w:rsidRPr="00660001" w:rsidRDefault="00E431DA" w:rsidP="00E431DA">
      <w:pPr>
        <w:pStyle w:val="level1"/>
        <w:numPr>
          <w:ilvl w:val="0"/>
          <w:numId w:val="0"/>
        </w:numPr>
        <w:spacing w:line="360" w:lineRule="auto"/>
        <w:jc w:val="both"/>
        <w:rPr>
          <w:sz w:val="22"/>
          <w:szCs w:val="22"/>
        </w:rPr>
      </w:pPr>
      <w:r>
        <w:t>[18]</w:t>
      </w:r>
      <w:r>
        <w:tab/>
      </w:r>
      <w:r w:rsidR="006646EC">
        <w:t xml:space="preserve">In considering the </w:t>
      </w:r>
      <w:r w:rsidR="00AD2E83">
        <w:t xml:space="preserve">various grounds raised and counter submission made, it is instructive that a common sense approach inform the view adopted as indicated in </w:t>
      </w:r>
      <w:r w:rsidR="00AD2E83" w:rsidRPr="00300EAB">
        <w:rPr>
          <w:i/>
        </w:rPr>
        <w:t>Telematrix</w:t>
      </w:r>
      <w:r w:rsidR="00AD2E83">
        <w:rPr>
          <w:rStyle w:val="FootnoteReference"/>
        </w:rPr>
        <w:footnoteReference w:id="8"/>
      </w:r>
      <w:r w:rsidR="00AD2E83">
        <w:t xml:space="preserve">.  </w:t>
      </w:r>
      <w:r w:rsidR="00300EAB">
        <w:t xml:space="preserve">The </w:t>
      </w:r>
      <w:r w:rsidR="00E84D97">
        <w:t xml:space="preserve">defendant </w:t>
      </w:r>
      <w:r w:rsidR="00300EAB">
        <w:t xml:space="preserve">failure to implement and maintain a proper information management security system of their own and clients’ information if proven may well assist the </w:t>
      </w:r>
      <w:r w:rsidR="00E84D97">
        <w:t>plaintiff</w:t>
      </w:r>
      <w:r w:rsidR="00300EAB">
        <w:t>’s case even if the reference to the Companies Act is conceded to be incorrect. Th</w:t>
      </w:r>
      <w:r w:rsidR="00113988">
        <w:t>e</w:t>
      </w:r>
      <w:r w:rsidR="00300EAB">
        <w:t xml:space="preserve"> </w:t>
      </w:r>
      <w:r w:rsidR="00E84D97">
        <w:t>plaintiff</w:t>
      </w:r>
      <w:r w:rsidR="00300EAB">
        <w:t xml:space="preserve"> indicated this </w:t>
      </w:r>
      <w:r w:rsidR="00300EAB">
        <w:lastRenderedPageBreak/>
        <w:t xml:space="preserve">requires an amendment which will occur. There is an issue relating to the </w:t>
      </w:r>
      <w:r w:rsidR="00113988">
        <w:t xml:space="preserve">incident of BEC and the </w:t>
      </w:r>
      <w:r w:rsidR="00E84D97">
        <w:t xml:space="preserve">defendant </w:t>
      </w:r>
      <w:r w:rsidR="00113988">
        <w:t>’s duty to its client which it say</w:t>
      </w:r>
      <w:r w:rsidR="004E1151">
        <w:t>s</w:t>
      </w:r>
      <w:r w:rsidR="00113988">
        <w:t xml:space="preserve"> it does not owe to the </w:t>
      </w:r>
      <w:r w:rsidR="00E84D97">
        <w:t>plaintiff</w:t>
      </w:r>
      <w:r w:rsidR="00113988">
        <w:t xml:space="preserve">. This approach is conservative.  The </w:t>
      </w:r>
      <w:r w:rsidR="00E84D97">
        <w:t xml:space="preserve">defendant </w:t>
      </w:r>
      <w:r w:rsidR="00113988">
        <w:t xml:space="preserve">received money from the </w:t>
      </w:r>
      <w:r w:rsidR="00E84D97">
        <w:t>plaintiff</w:t>
      </w:r>
      <w:r w:rsidR="00113988">
        <w:t xml:space="preserve"> to hold into their Trust account. It would be taking a short sighted view to suggest that such party could never expect any courtesy and protection of their money, and information whilst engaging with an attorney. It is also contrary to the purposes of POPIA that the </w:t>
      </w:r>
      <w:r w:rsidR="00E84D97">
        <w:t>plaintiff</w:t>
      </w:r>
      <w:r w:rsidR="00113988">
        <w:t xml:space="preserve">’s information and privacy were breached through the </w:t>
      </w:r>
      <w:r w:rsidR="00E84D97">
        <w:t xml:space="preserve">defendant </w:t>
      </w:r>
      <w:r w:rsidR="00113988">
        <w:t xml:space="preserve">s </w:t>
      </w:r>
      <w:r w:rsidR="00660001">
        <w:t xml:space="preserve">IT portal.  </w:t>
      </w:r>
    </w:p>
    <w:p w:rsidR="00660001" w:rsidRDefault="00660001" w:rsidP="00660001">
      <w:pPr>
        <w:pStyle w:val="ListParagraph"/>
      </w:pPr>
    </w:p>
    <w:p w:rsidR="00660001" w:rsidRPr="00660001" w:rsidRDefault="00E431DA" w:rsidP="00E431DA">
      <w:pPr>
        <w:pStyle w:val="level1"/>
        <w:numPr>
          <w:ilvl w:val="0"/>
          <w:numId w:val="0"/>
        </w:numPr>
        <w:spacing w:line="360" w:lineRule="auto"/>
        <w:jc w:val="both"/>
        <w:rPr>
          <w:sz w:val="22"/>
          <w:szCs w:val="22"/>
        </w:rPr>
      </w:pPr>
      <w:r>
        <w:t>[19]</w:t>
      </w:r>
      <w:r>
        <w:tab/>
      </w:r>
      <w:r w:rsidR="00660001">
        <w:t>As far as cost</w:t>
      </w:r>
      <w:r w:rsidR="00742119">
        <w:t xml:space="preserve"> are concerned </w:t>
      </w:r>
      <w:r w:rsidR="00660001">
        <w:t>the usual order should follow.</w:t>
      </w:r>
    </w:p>
    <w:p w:rsidR="00660001" w:rsidRDefault="00660001" w:rsidP="00660001">
      <w:pPr>
        <w:pStyle w:val="ListParagraph"/>
        <w:rPr>
          <w:sz w:val="22"/>
          <w:szCs w:val="22"/>
        </w:rPr>
      </w:pPr>
    </w:p>
    <w:p w:rsidR="00660001" w:rsidRPr="00040500" w:rsidRDefault="00E431DA" w:rsidP="00E431DA">
      <w:pPr>
        <w:pStyle w:val="level1"/>
        <w:numPr>
          <w:ilvl w:val="0"/>
          <w:numId w:val="0"/>
        </w:numPr>
        <w:spacing w:line="360" w:lineRule="auto"/>
        <w:jc w:val="both"/>
      </w:pPr>
      <w:r w:rsidRPr="00040500">
        <w:t>[20]</w:t>
      </w:r>
      <w:r w:rsidRPr="00040500">
        <w:tab/>
      </w:r>
      <w:r w:rsidR="00660001" w:rsidRPr="00040500">
        <w:t>For the reasons a</w:t>
      </w:r>
      <w:r w:rsidR="004E1151" w:rsidRPr="00040500">
        <w:t>bove I make the following order</w:t>
      </w:r>
      <w:r w:rsidR="00660001" w:rsidRPr="00040500">
        <w:t>:</w:t>
      </w:r>
    </w:p>
    <w:p w:rsidR="00660001" w:rsidRDefault="00660001" w:rsidP="00660001">
      <w:pPr>
        <w:pStyle w:val="ListParagraph"/>
        <w:rPr>
          <w:sz w:val="22"/>
          <w:szCs w:val="22"/>
        </w:rPr>
      </w:pPr>
    </w:p>
    <w:p w:rsidR="00660001" w:rsidRPr="00660001" w:rsidRDefault="00214694" w:rsidP="00214694">
      <w:pPr>
        <w:pStyle w:val="level1"/>
        <w:numPr>
          <w:ilvl w:val="0"/>
          <w:numId w:val="0"/>
        </w:numPr>
        <w:ind w:left="1080" w:hanging="360"/>
      </w:pPr>
      <w:r w:rsidRPr="00660001">
        <w:t>1.</w:t>
      </w:r>
      <w:r w:rsidRPr="00660001">
        <w:tab/>
      </w:r>
      <w:r w:rsidR="00660001">
        <w:t xml:space="preserve">The </w:t>
      </w:r>
      <w:r w:rsidR="00742119">
        <w:t xml:space="preserve">application for exception </w:t>
      </w:r>
      <w:r w:rsidR="00660001">
        <w:t>is dismissed</w:t>
      </w:r>
      <w:r w:rsidR="00742119">
        <w:t xml:space="preserve"> with costs. </w:t>
      </w:r>
      <w:r w:rsidR="00660001">
        <w:t xml:space="preserve"> </w:t>
      </w:r>
    </w:p>
    <w:p w:rsidR="00660001" w:rsidRDefault="00660001" w:rsidP="00660001">
      <w:pPr>
        <w:pStyle w:val="ListParagraph"/>
      </w:pPr>
    </w:p>
    <w:p w:rsidR="00FF6D53" w:rsidRPr="00742119" w:rsidRDefault="00FF6D53" w:rsidP="00FF6D53">
      <w:pPr>
        <w:tabs>
          <w:tab w:val="right" w:pos="0"/>
        </w:tabs>
        <w:spacing w:line="360" w:lineRule="auto"/>
        <w:jc w:val="both"/>
        <w:rPr>
          <w:b/>
          <w:u w:val="none"/>
          <w:lang w:val="en-ZA"/>
        </w:rPr>
      </w:pPr>
      <w:r w:rsidRPr="00742119">
        <w:rPr>
          <w:b/>
          <w:u w:val="none"/>
          <w:lang w:val="en-ZA"/>
        </w:rPr>
        <w:tab/>
      </w:r>
      <w:r w:rsidRPr="00742119">
        <w:rPr>
          <w:b/>
          <w:u w:val="none"/>
          <w:lang w:val="en-ZA"/>
        </w:rPr>
        <w:tab/>
      </w:r>
    </w:p>
    <w:p w:rsidR="00FF6D53" w:rsidRDefault="00FF6D53" w:rsidP="00FF6D53">
      <w:pPr>
        <w:tabs>
          <w:tab w:val="right" w:pos="0"/>
        </w:tabs>
        <w:spacing w:line="360" w:lineRule="auto"/>
        <w:jc w:val="both"/>
        <w:rPr>
          <w:b/>
          <w:u w:val="none"/>
          <w:lang w:val="en-ZA"/>
        </w:rPr>
      </w:pPr>
    </w:p>
    <w:p w:rsidR="00FF6D53" w:rsidRPr="0096135C" w:rsidRDefault="00FF6D53" w:rsidP="00FF6D53">
      <w:pPr>
        <w:tabs>
          <w:tab w:val="right" w:pos="0"/>
        </w:tabs>
        <w:spacing w:line="360" w:lineRule="auto"/>
        <w:jc w:val="both"/>
        <w:rPr>
          <w:u w:val="none"/>
          <w:lang w:val="en-ZA"/>
        </w:rPr>
      </w:pPr>
      <w:r>
        <w:rPr>
          <w:b/>
          <w:u w:val="none"/>
          <w:lang w:val="en-ZA"/>
        </w:rPr>
        <w:tab/>
      </w:r>
      <w:r>
        <w:rPr>
          <w:b/>
          <w:u w:val="none"/>
          <w:lang w:val="en-ZA"/>
        </w:rPr>
        <w:tab/>
      </w:r>
      <w:r w:rsidRPr="0096135C">
        <w:rPr>
          <w:u w:val="none"/>
          <w:lang w:val="en-ZA"/>
        </w:rPr>
        <w:t>_________________________________________________</w:t>
      </w:r>
    </w:p>
    <w:p w:rsidR="00FF6D53" w:rsidRPr="0096135C" w:rsidRDefault="00FF6D53" w:rsidP="00FF6D53">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FF6D53" w:rsidRPr="0096135C" w:rsidRDefault="00FF6D53" w:rsidP="00FF6D53">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FF6D53" w:rsidRDefault="00FF6D53" w:rsidP="00FF6D53">
      <w:pPr>
        <w:tabs>
          <w:tab w:val="right" w:pos="0"/>
        </w:tabs>
        <w:jc w:val="both"/>
        <w:rPr>
          <w:b/>
          <w:u w:val="none"/>
          <w:lang w:val="en-ZA"/>
        </w:rPr>
      </w:pPr>
      <w:r>
        <w:rPr>
          <w:b/>
          <w:u w:val="none"/>
          <w:lang w:val="en-ZA"/>
        </w:rPr>
        <w:tab/>
      </w:r>
      <w:r>
        <w:rPr>
          <w:b/>
          <w:u w:val="none"/>
          <w:lang w:val="en-ZA"/>
        </w:rPr>
        <w:tab/>
        <w:t xml:space="preserve">             GAUTENG LOCAL DIVISION, JOHANNESBURG</w:t>
      </w:r>
    </w:p>
    <w:p w:rsidR="00FF6D53" w:rsidRPr="0096135C"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p>
    <w:p w:rsidR="00FF6D53" w:rsidRDefault="00FF6D53" w:rsidP="00FF6D53">
      <w:pPr>
        <w:spacing w:after="160" w:line="259" w:lineRule="auto"/>
        <w:rPr>
          <w:b/>
          <w:u w:val="none"/>
          <w:lang w:val="en-ZA"/>
        </w:rPr>
      </w:pPr>
      <w:r>
        <w:rPr>
          <w:b/>
          <w:u w:val="none"/>
          <w:lang w:val="en-ZA"/>
        </w:rPr>
        <w:br w:type="page"/>
      </w:r>
    </w:p>
    <w:p w:rsidR="00FF6D53" w:rsidRDefault="00FF6D53" w:rsidP="00FF6D53">
      <w:pPr>
        <w:tabs>
          <w:tab w:val="right" w:pos="0"/>
        </w:tabs>
        <w:jc w:val="both"/>
        <w:rPr>
          <w:b/>
          <w:u w:val="none"/>
          <w:lang w:val="en-ZA"/>
        </w:rPr>
      </w:pPr>
    </w:p>
    <w:p w:rsidR="00FF6D53" w:rsidRDefault="00FF6D53" w:rsidP="00FF6D53">
      <w:pPr>
        <w:tabs>
          <w:tab w:val="right" w:pos="0"/>
        </w:tabs>
        <w:jc w:val="both"/>
        <w:rPr>
          <w:b/>
          <w:u w:val="none"/>
          <w:lang w:val="en-ZA"/>
        </w:rPr>
      </w:pPr>
      <w:r>
        <w:rPr>
          <w:b/>
          <w:u w:val="none"/>
          <w:lang w:val="en-ZA"/>
        </w:rPr>
        <w:t>Appearances:</w:t>
      </w:r>
    </w:p>
    <w:p w:rsidR="00FF6D53" w:rsidRPr="00813D40" w:rsidRDefault="00FF6D53" w:rsidP="00FF6D53">
      <w:pPr>
        <w:tabs>
          <w:tab w:val="right" w:pos="0"/>
        </w:tabs>
        <w:jc w:val="both"/>
        <w:rPr>
          <w:b/>
          <w:u w:val="none"/>
          <w:lang w:val="en-ZA"/>
        </w:rPr>
      </w:pPr>
    </w:p>
    <w:p w:rsidR="00FF6D53" w:rsidRDefault="00FF6D53" w:rsidP="00FF6D53">
      <w:pPr>
        <w:tabs>
          <w:tab w:val="right" w:pos="0"/>
        </w:tabs>
        <w:spacing w:line="360" w:lineRule="auto"/>
        <w:jc w:val="both"/>
        <w:rPr>
          <w:u w:val="none"/>
        </w:rPr>
      </w:pPr>
      <w:r>
        <w:rPr>
          <w:u w:val="none"/>
          <w:lang w:val="en-ZA"/>
        </w:rPr>
        <w:t xml:space="preserve">On behalf of the </w:t>
      </w:r>
      <w:r w:rsidR="00E84D97">
        <w:rPr>
          <w:u w:val="none"/>
          <w:lang w:val="en-ZA"/>
        </w:rPr>
        <w:t>plaintiff</w:t>
      </w:r>
      <w:r w:rsidR="00E84D97">
        <w:rPr>
          <w:u w:val="none"/>
          <w:lang w:val="en-ZA"/>
        </w:rPr>
        <w:tab/>
      </w:r>
      <w:r>
        <w:rPr>
          <w:u w:val="none"/>
          <w:lang w:val="en-ZA"/>
        </w:rPr>
        <w:tab/>
      </w:r>
      <w:r>
        <w:rPr>
          <w:u w:val="none"/>
          <w:lang w:val="en-ZA"/>
        </w:rPr>
        <w:tab/>
        <w:t>:</w:t>
      </w:r>
      <w:r w:rsidRPr="00EA4F48">
        <w:rPr>
          <w:u w:val="none"/>
        </w:rPr>
        <w:t xml:space="preserve"> </w:t>
      </w:r>
      <w:r w:rsidR="0022456D">
        <w:rPr>
          <w:u w:val="none"/>
        </w:rPr>
        <w:t xml:space="preserve">Adv. </w:t>
      </w:r>
      <w:r w:rsidR="0022456D" w:rsidRPr="0022456D">
        <w:rPr>
          <w:u w:val="none"/>
        </w:rPr>
        <w:t>Awie du Plooy</w:t>
      </w:r>
    </w:p>
    <w:p w:rsidR="00FF6D53" w:rsidRDefault="00FF6D53" w:rsidP="00FF6D53">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t>:</w:t>
      </w:r>
      <w:r w:rsidR="006177E6">
        <w:rPr>
          <w:u w:val="none"/>
        </w:rPr>
        <w:t xml:space="preserve"> </w:t>
      </w:r>
      <w:r w:rsidR="006177E6" w:rsidRPr="006177E6">
        <w:rPr>
          <w:u w:val="none"/>
          <w:lang w:val="en-ZA"/>
        </w:rPr>
        <w:t>Kyprianou Attorneys</w:t>
      </w:r>
      <w:r>
        <w:rPr>
          <w:u w:val="none"/>
          <w:lang w:val="en-ZA"/>
        </w:rPr>
        <w:tab/>
      </w:r>
      <w:r>
        <w:rPr>
          <w:u w:val="none"/>
          <w:lang w:val="en-ZA"/>
        </w:rPr>
        <w:tab/>
        <w:t xml:space="preserve">  </w:t>
      </w:r>
    </w:p>
    <w:p w:rsidR="00FF6D53" w:rsidRDefault="00FF6D53" w:rsidP="00FF6D53">
      <w:pPr>
        <w:tabs>
          <w:tab w:val="right" w:pos="0"/>
        </w:tabs>
        <w:jc w:val="both"/>
        <w:rPr>
          <w:u w:val="none"/>
          <w:lang w:val="en-ZA"/>
        </w:rPr>
      </w:pPr>
    </w:p>
    <w:p w:rsidR="00FF6D53" w:rsidRPr="00C3772B" w:rsidRDefault="00FF6D53" w:rsidP="00FF6D53">
      <w:pPr>
        <w:tabs>
          <w:tab w:val="right" w:pos="0"/>
        </w:tabs>
        <w:spacing w:line="360" w:lineRule="auto"/>
        <w:jc w:val="both"/>
        <w:rPr>
          <w:u w:val="none"/>
          <w:lang w:val="en-ZA"/>
        </w:rPr>
      </w:pPr>
      <w:r>
        <w:rPr>
          <w:u w:val="none"/>
          <w:lang w:val="en-ZA"/>
        </w:rPr>
        <w:t xml:space="preserve">On behalf of the </w:t>
      </w:r>
      <w:r w:rsidR="00E84D97">
        <w:rPr>
          <w:u w:val="none"/>
          <w:lang w:val="en-ZA"/>
        </w:rPr>
        <w:t>defendant</w:t>
      </w:r>
      <w:r w:rsidR="00E84D97">
        <w:rPr>
          <w:u w:val="none"/>
          <w:lang w:val="en-ZA"/>
        </w:rPr>
        <w:tab/>
      </w:r>
      <w:r>
        <w:rPr>
          <w:u w:val="none"/>
          <w:lang w:val="en-ZA"/>
        </w:rPr>
        <w:tab/>
      </w:r>
      <w:r>
        <w:rPr>
          <w:u w:val="none"/>
          <w:lang w:val="en-ZA"/>
        </w:rPr>
        <w:tab/>
        <w:t>: Adv.</w:t>
      </w:r>
      <w:r w:rsidR="0022456D">
        <w:rPr>
          <w:u w:val="none"/>
        </w:rPr>
        <w:t xml:space="preserve"> </w:t>
      </w:r>
      <w:r w:rsidR="0022456D" w:rsidRPr="0022456D">
        <w:rPr>
          <w:u w:val="none"/>
          <w:lang w:val="en-ZA"/>
        </w:rPr>
        <w:t>Ammara Cachalia</w:t>
      </w:r>
    </w:p>
    <w:p w:rsidR="00FF6D53" w:rsidRDefault="00FF6D53" w:rsidP="00FF6D53">
      <w:pPr>
        <w:tabs>
          <w:tab w:val="right" w:pos="0"/>
        </w:tabs>
        <w:spacing w:line="360" w:lineRule="auto"/>
        <w:jc w:val="both"/>
        <w:rPr>
          <w:u w:val="none"/>
          <w:lang w:val="en-ZA"/>
        </w:rPr>
      </w:pPr>
      <w:r>
        <w:rPr>
          <w:u w:val="none"/>
          <w:lang w:val="en-ZA"/>
        </w:rPr>
        <w:t xml:space="preserve">Instructed by    </w:t>
      </w:r>
      <w:r w:rsidR="006177E6">
        <w:rPr>
          <w:u w:val="none"/>
          <w:lang w:val="en-ZA"/>
        </w:rPr>
        <w:t xml:space="preserve">                       </w:t>
      </w:r>
      <w:r w:rsidR="006177E6">
        <w:rPr>
          <w:u w:val="none"/>
          <w:lang w:val="en-ZA"/>
        </w:rPr>
        <w:tab/>
      </w:r>
      <w:r w:rsidR="006177E6">
        <w:rPr>
          <w:u w:val="none"/>
          <w:lang w:val="en-ZA"/>
        </w:rPr>
        <w:tab/>
        <w:t xml:space="preserve">: </w:t>
      </w:r>
      <w:r w:rsidR="006177E6" w:rsidRPr="006177E6">
        <w:rPr>
          <w:u w:val="none"/>
          <w:lang w:val="en-ZA"/>
        </w:rPr>
        <w:t>Webber Wentzel</w:t>
      </w:r>
    </w:p>
    <w:p w:rsidR="00FF6D53" w:rsidRDefault="00FF6D53" w:rsidP="00FF6D53">
      <w:pPr>
        <w:tabs>
          <w:tab w:val="right" w:pos="0"/>
        </w:tabs>
        <w:spacing w:line="360" w:lineRule="auto"/>
        <w:jc w:val="both"/>
        <w:rPr>
          <w:u w:val="none"/>
          <w:lang w:val="en-ZA"/>
        </w:rPr>
      </w:pPr>
    </w:p>
    <w:p w:rsidR="00FF6D53" w:rsidRDefault="00FF6D53" w:rsidP="00FF6D53">
      <w:pPr>
        <w:tabs>
          <w:tab w:val="right" w:pos="0"/>
        </w:tabs>
        <w:spacing w:line="360" w:lineRule="auto"/>
        <w:jc w:val="both"/>
        <w:rPr>
          <w:u w:val="none"/>
          <w:lang w:val="en-ZA"/>
        </w:rPr>
      </w:pPr>
    </w:p>
    <w:p w:rsidR="00FF6D53" w:rsidRDefault="00FF6D53" w:rsidP="00FF6D53">
      <w:pPr>
        <w:tabs>
          <w:tab w:val="right" w:pos="0"/>
        </w:tabs>
        <w:spacing w:line="360" w:lineRule="auto"/>
        <w:jc w:val="both"/>
        <w:rPr>
          <w:u w:val="none"/>
          <w:lang w:val="en-ZA"/>
        </w:rPr>
      </w:pPr>
      <w:r>
        <w:rPr>
          <w:u w:val="none"/>
          <w:lang w:val="en-ZA"/>
        </w:rPr>
        <w:t xml:space="preserve">Date of hearing                              </w:t>
      </w:r>
      <w:r>
        <w:rPr>
          <w:u w:val="none"/>
          <w:lang w:val="en-ZA"/>
        </w:rPr>
        <w:tab/>
        <w:t>: 20 February 2023</w:t>
      </w:r>
    </w:p>
    <w:p w:rsidR="00FF6D53" w:rsidRDefault="00FF6D53" w:rsidP="00FF6D53">
      <w:pPr>
        <w:tabs>
          <w:tab w:val="right" w:pos="0"/>
        </w:tabs>
        <w:spacing w:line="360" w:lineRule="auto"/>
        <w:jc w:val="both"/>
        <w:rPr>
          <w:u w:val="none"/>
          <w:lang w:val="en-ZA"/>
        </w:rPr>
      </w:pPr>
      <w:r>
        <w:rPr>
          <w:u w:val="none"/>
          <w:lang w:val="en-ZA"/>
        </w:rPr>
        <w:t>Date of judgmen</w:t>
      </w:r>
      <w:r w:rsidR="00A12573">
        <w:rPr>
          <w:u w:val="none"/>
          <w:lang w:val="en-ZA"/>
        </w:rPr>
        <w:t xml:space="preserve">t                          </w:t>
      </w:r>
      <w:r w:rsidR="00A12573">
        <w:rPr>
          <w:u w:val="none"/>
          <w:lang w:val="en-ZA"/>
        </w:rPr>
        <w:tab/>
        <w:t xml:space="preserve"> </w:t>
      </w:r>
      <w:r w:rsidR="00A12573">
        <w:rPr>
          <w:u w:val="none"/>
          <w:lang w:val="en-ZA"/>
        </w:rPr>
        <w:tab/>
        <w:t>: 06 March 2023</w:t>
      </w:r>
    </w:p>
    <w:p w:rsidR="00FF6D53" w:rsidRDefault="00FF6D53" w:rsidP="00FF6D53">
      <w:pPr>
        <w:tabs>
          <w:tab w:val="right" w:pos="0"/>
        </w:tabs>
        <w:spacing w:line="360" w:lineRule="auto"/>
        <w:jc w:val="both"/>
        <w:rPr>
          <w:u w:val="none"/>
          <w:lang w:val="en-ZA"/>
        </w:rPr>
      </w:pPr>
      <w:r>
        <w:rPr>
          <w:u w:val="none"/>
          <w:lang w:val="en-ZA"/>
        </w:rPr>
        <w:t xml:space="preserve">                                                                 </w:t>
      </w:r>
    </w:p>
    <w:p w:rsidR="00FF6D53" w:rsidRDefault="00FF6D53" w:rsidP="00FF6D53">
      <w:pPr>
        <w:tabs>
          <w:tab w:val="right" w:pos="0"/>
        </w:tabs>
        <w:spacing w:line="360" w:lineRule="auto"/>
        <w:jc w:val="both"/>
        <w:rPr>
          <w:u w:val="none"/>
          <w:lang w:val="en-ZA"/>
        </w:rPr>
      </w:pPr>
      <w:r>
        <w:rPr>
          <w:u w:val="none"/>
          <w:lang w:val="en-ZA"/>
        </w:rPr>
        <w:t xml:space="preserve">                                                        </w:t>
      </w:r>
    </w:p>
    <w:p w:rsidR="00FF6D53" w:rsidRPr="00FB1C7B" w:rsidRDefault="00FF6D53" w:rsidP="00FF6D53">
      <w:pPr>
        <w:tabs>
          <w:tab w:val="right" w:pos="0"/>
        </w:tabs>
        <w:jc w:val="both"/>
        <w:rPr>
          <w:u w:val="none"/>
          <w:lang w:val="en-ZA"/>
        </w:rPr>
      </w:pPr>
    </w:p>
    <w:p w:rsidR="00FF6D53" w:rsidRDefault="00FF6D53" w:rsidP="00FF6D53"/>
    <w:p w:rsidR="00FF6D53" w:rsidRDefault="00FF6D53" w:rsidP="00FF6D53"/>
    <w:p w:rsidR="00FF6D53" w:rsidRDefault="00FF6D53" w:rsidP="00FF6D53"/>
    <w:p w:rsidR="00FF6D53" w:rsidRDefault="00FF6D53" w:rsidP="00FF6D53"/>
    <w:p w:rsidR="00FF6D53" w:rsidRDefault="00FF6D53" w:rsidP="00FF6D53"/>
    <w:p w:rsidR="00FF6D53" w:rsidRDefault="00FF6D53" w:rsidP="00FF6D53"/>
    <w:p w:rsidR="00FF6D53" w:rsidRDefault="00FF6D53" w:rsidP="00FF6D53"/>
    <w:p w:rsidR="0040108D" w:rsidRDefault="0040108D"/>
    <w:sectPr w:rsidR="0040108D" w:rsidSect="002163B5">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F2" w:rsidRDefault="005938F2">
      <w:r>
        <w:separator/>
      </w:r>
    </w:p>
  </w:endnote>
  <w:endnote w:type="continuationSeparator" w:id="0">
    <w:p w:rsidR="005938F2" w:rsidRDefault="005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F2" w:rsidRDefault="005938F2">
      <w:r>
        <w:separator/>
      </w:r>
    </w:p>
  </w:footnote>
  <w:footnote w:type="continuationSeparator" w:id="0">
    <w:p w:rsidR="005938F2" w:rsidRDefault="005938F2">
      <w:r>
        <w:continuationSeparator/>
      </w:r>
    </w:p>
  </w:footnote>
  <w:footnote w:id="1">
    <w:p w:rsidR="00113988" w:rsidRPr="00A51D65" w:rsidRDefault="00113988">
      <w:pPr>
        <w:pStyle w:val="FootnoteText"/>
        <w:rPr>
          <w:u w:val="none"/>
          <w:lang w:val="en-ZA"/>
        </w:rPr>
      </w:pPr>
      <w:r w:rsidRPr="00A51D65">
        <w:rPr>
          <w:rStyle w:val="FootnoteReference"/>
          <w:u w:val="none"/>
        </w:rPr>
        <w:footnoteRef/>
      </w:r>
      <w:r w:rsidRPr="00A51D65">
        <w:rPr>
          <w:u w:val="none"/>
        </w:rPr>
        <w:t xml:space="preserve"> </w:t>
      </w:r>
      <w:r w:rsidRPr="00A51D65">
        <w:rPr>
          <w:i/>
          <w:u w:val="none"/>
        </w:rPr>
        <w:t>Dharumpal Transport Pty Ltd v Dharumpal</w:t>
      </w:r>
      <w:r w:rsidRPr="00A51D65">
        <w:rPr>
          <w:u w:val="none"/>
        </w:rPr>
        <w:t xml:space="preserve"> 1956 (1) 700 (A) at 706; </w:t>
      </w:r>
      <w:r w:rsidRPr="00A51D65">
        <w:rPr>
          <w:i/>
          <w:u w:val="none"/>
        </w:rPr>
        <w:t xml:space="preserve">Vermeulen v Goose Valley Investments Pty Ltd </w:t>
      </w:r>
      <w:r w:rsidRPr="00A51D65">
        <w:rPr>
          <w:u w:val="none"/>
        </w:rPr>
        <w:t xml:space="preserve">2001 (3) SA 986 (SCA) at 997; </w:t>
      </w:r>
      <w:r w:rsidRPr="00A51D65">
        <w:rPr>
          <w:i/>
          <w:u w:val="none"/>
        </w:rPr>
        <w:t>Koth Property consultants CC v Lepelle-Nkumpi Local Municipality Ltd</w:t>
      </w:r>
      <w:r>
        <w:rPr>
          <w:u w:val="none"/>
        </w:rPr>
        <w:t xml:space="preserve"> 2006 (2) 25 (T) at 31</w:t>
      </w:r>
    </w:p>
  </w:footnote>
  <w:footnote w:id="2">
    <w:p w:rsidR="00113988" w:rsidRPr="00AA7B2D" w:rsidRDefault="00113988" w:rsidP="00AA7B2D">
      <w:pPr>
        <w:pStyle w:val="FootnoteText"/>
        <w:rPr>
          <w:u w:val="none"/>
          <w:lang w:val="en-ZA"/>
        </w:rPr>
      </w:pPr>
      <w:r w:rsidRPr="00AA7B2D">
        <w:rPr>
          <w:rStyle w:val="FootnoteReference"/>
          <w:u w:val="none"/>
        </w:rPr>
        <w:footnoteRef/>
      </w:r>
      <w:r w:rsidRPr="00AA7B2D">
        <w:rPr>
          <w:u w:val="none"/>
        </w:rPr>
        <w:t xml:space="preserve"> </w:t>
      </w:r>
      <w:r w:rsidRPr="00AA7B2D">
        <w:rPr>
          <w:i/>
          <w:u w:val="none"/>
        </w:rPr>
        <w:t>Telematrix (Pty) Ltd t/a Matrix Vehicle Tracking v Advertising Standards Authority SA</w:t>
      </w:r>
      <w:r w:rsidRPr="00AA7B2D">
        <w:rPr>
          <w:u w:val="none"/>
        </w:rPr>
        <w:t xml:space="preserve"> 2006 (1) SA 461 (SCA) para 2</w:t>
      </w:r>
      <w:r>
        <w:rPr>
          <w:u w:val="none"/>
        </w:rPr>
        <w:t xml:space="preserve"> &amp; 465H</w:t>
      </w:r>
    </w:p>
  </w:footnote>
  <w:footnote w:id="3">
    <w:p w:rsidR="00113988" w:rsidRPr="005D0E45" w:rsidRDefault="00113988">
      <w:pPr>
        <w:pStyle w:val="FootnoteText"/>
        <w:rPr>
          <w:lang w:val="en-ZA"/>
        </w:rPr>
      </w:pPr>
      <w:r w:rsidRPr="005D0E45">
        <w:rPr>
          <w:rStyle w:val="FootnoteReference"/>
          <w:u w:val="none"/>
        </w:rPr>
        <w:footnoteRef/>
      </w:r>
      <w:r w:rsidRPr="005D0E45">
        <w:rPr>
          <w:u w:val="none"/>
        </w:rPr>
        <w:t xml:space="preserve"> </w:t>
      </w:r>
      <w:r w:rsidRPr="005D0E45">
        <w:rPr>
          <w:i/>
          <w:u w:val="none"/>
        </w:rPr>
        <w:t>Trope v South African Reserve Bank and Another and Two Other Cases</w:t>
      </w:r>
      <w:r w:rsidRPr="005D0E45">
        <w:rPr>
          <w:u w:val="none"/>
        </w:rPr>
        <w:t xml:space="preserve"> 1992 (3) SA 208 (T) at</w:t>
      </w:r>
      <w:r>
        <w:rPr>
          <w:u w:val="none"/>
        </w:rPr>
        <w:t xml:space="preserve"> 269</w:t>
      </w:r>
    </w:p>
  </w:footnote>
  <w:footnote w:id="4">
    <w:p w:rsidR="00113988" w:rsidRPr="00780FB3" w:rsidRDefault="00113988" w:rsidP="00A65AB1">
      <w:pPr>
        <w:pStyle w:val="FootnoteText"/>
        <w:rPr>
          <w:lang w:val="en-ZA"/>
        </w:rPr>
      </w:pPr>
      <w:r w:rsidRPr="00550D24">
        <w:rPr>
          <w:rStyle w:val="FootnoteReference"/>
          <w:u w:val="none"/>
        </w:rPr>
        <w:footnoteRef/>
      </w:r>
      <w:r w:rsidRPr="00550D24">
        <w:rPr>
          <w:u w:val="none"/>
        </w:rPr>
        <w:t xml:space="preserve"> </w:t>
      </w:r>
      <w:r w:rsidRPr="00F1025E">
        <w:rPr>
          <w:i/>
          <w:u w:val="none"/>
          <w:lang w:val="en-ZA"/>
        </w:rPr>
        <w:t>Trope</w:t>
      </w:r>
      <w:r w:rsidRPr="00F1025E">
        <w:rPr>
          <w:u w:val="none"/>
          <w:lang w:val="en-ZA"/>
        </w:rPr>
        <w:t xml:space="preserve"> above at para 221 A-E</w:t>
      </w:r>
    </w:p>
  </w:footnote>
  <w:footnote w:id="5">
    <w:p w:rsidR="00113988" w:rsidRPr="000365D8" w:rsidRDefault="00113988" w:rsidP="00A65AB1">
      <w:pPr>
        <w:pStyle w:val="FootnoteText"/>
        <w:rPr>
          <w:u w:val="none"/>
          <w:lang w:val="en-ZA"/>
        </w:rPr>
      </w:pPr>
      <w:r w:rsidRPr="000365D8">
        <w:rPr>
          <w:rStyle w:val="FootnoteReference"/>
          <w:u w:val="none"/>
        </w:rPr>
        <w:footnoteRef/>
      </w:r>
      <w:r w:rsidRPr="000365D8">
        <w:rPr>
          <w:u w:val="none"/>
        </w:rPr>
        <w:t xml:space="preserve"> </w:t>
      </w:r>
      <w:r w:rsidRPr="00550D24">
        <w:rPr>
          <w:i/>
          <w:u w:val="none"/>
        </w:rPr>
        <w:t xml:space="preserve">Jowell v Bramwell-Jones &amp; Others </w:t>
      </w:r>
      <w:r w:rsidRPr="000365D8">
        <w:rPr>
          <w:u w:val="none"/>
        </w:rPr>
        <w:t>1998 (1) SA 836 (W)</w:t>
      </w:r>
      <w:r>
        <w:rPr>
          <w:u w:val="none"/>
        </w:rPr>
        <w:t xml:space="preserve">; </w:t>
      </w:r>
      <w:r w:rsidRPr="00550D24">
        <w:rPr>
          <w:i/>
          <w:u w:val="none"/>
        </w:rPr>
        <w:t>Nel and Other NNO v McArthur and Others</w:t>
      </w:r>
      <w:r>
        <w:rPr>
          <w:u w:val="none"/>
        </w:rPr>
        <w:t xml:space="preserve"> 2003(4) SA 142 (T)</w:t>
      </w:r>
    </w:p>
  </w:footnote>
  <w:footnote w:id="6">
    <w:p w:rsidR="00113988" w:rsidRPr="00C77860" w:rsidRDefault="00113988">
      <w:pPr>
        <w:pStyle w:val="FootnoteText"/>
        <w:rPr>
          <w:u w:val="none"/>
          <w:lang w:val="en-ZA"/>
        </w:rPr>
      </w:pPr>
      <w:r w:rsidRPr="00C77860">
        <w:rPr>
          <w:rStyle w:val="FootnoteReference"/>
          <w:u w:val="none"/>
        </w:rPr>
        <w:footnoteRef/>
      </w:r>
      <w:r w:rsidRPr="00C77860">
        <w:rPr>
          <w:u w:val="none"/>
        </w:rPr>
        <w:t xml:space="preserve"> 1 [2020] ZAECBHC 32</w:t>
      </w:r>
    </w:p>
  </w:footnote>
  <w:footnote w:id="7">
    <w:p w:rsidR="00113988" w:rsidRPr="00406029" w:rsidRDefault="00113988">
      <w:pPr>
        <w:pStyle w:val="FootnoteText"/>
        <w:rPr>
          <w:u w:val="none"/>
          <w:lang w:val="en-ZA"/>
        </w:rPr>
      </w:pPr>
      <w:r w:rsidRPr="00406029">
        <w:rPr>
          <w:rStyle w:val="FootnoteReference"/>
          <w:u w:val="none"/>
        </w:rPr>
        <w:footnoteRef/>
      </w:r>
      <w:r w:rsidRPr="00F1025E">
        <w:rPr>
          <w:u w:val="none"/>
        </w:rPr>
        <w:t xml:space="preserve"> </w:t>
      </w:r>
      <w:r w:rsidRPr="00F1025E">
        <w:rPr>
          <w:i/>
          <w:u w:val="none"/>
        </w:rPr>
        <w:t>Fourie v Van der Spuy and De Jongh Inc. and Others</w:t>
      </w:r>
      <w:r w:rsidRPr="00406029">
        <w:rPr>
          <w:u w:val="none"/>
        </w:rPr>
        <w:t xml:space="preserve"> [2019] ZAGPPHC 449; 2020 (1) SA 560 (GP)</w:t>
      </w:r>
    </w:p>
  </w:footnote>
  <w:footnote w:id="8">
    <w:p w:rsidR="00113988" w:rsidRPr="00AD2E83" w:rsidRDefault="00113988">
      <w:pPr>
        <w:pStyle w:val="FootnoteText"/>
        <w:rPr>
          <w:u w:val="none"/>
          <w:lang w:val="en-ZA"/>
        </w:rPr>
      </w:pPr>
      <w:r w:rsidRPr="00AD2E83">
        <w:rPr>
          <w:rStyle w:val="FootnoteReference"/>
          <w:u w:val="none"/>
        </w:rPr>
        <w:footnoteRef/>
      </w:r>
      <w:r w:rsidRPr="00AD2E83">
        <w:rPr>
          <w:u w:val="none"/>
        </w:rPr>
        <w:t xml:space="preserve"> </w:t>
      </w:r>
      <w:r w:rsidRPr="00AD2E83">
        <w:rPr>
          <w:u w:val="none"/>
          <w:lang w:val="en-ZA"/>
        </w:rPr>
        <w:t xml:space="preserve">See </w:t>
      </w:r>
      <w:r>
        <w:rPr>
          <w:u w:val="none"/>
          <w:lang w:val="en-ZA"/>
        </w:rPr>
        <w:t xml:space="preserve">fn2 </w:t>
      </w:r>
      <w:r w:rsidRPr="00AD2E83">
        <w:rPr>
          <w:u w:val="none"/>
          <w:lang w:val="en-ZA"/>
        </w:rPr>
        <w:t xml:space="preserve">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88" w:rsidRDefault="00113988" w:rsidP="002163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988" w:rsidRDefault="0011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88" w:rsidRPr="00165851" w:rsidRDefault="00113988" w:rsidP="002163B5">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214694">
      <w:rPr>
        <w:rStyle w:val="PageNumber"/>
        <w:noProof/>
        <w:u w:val="none"/>
      </w:rPr>
      <w:t>2</w:t>
    </w:r>
    <w:r w:rsidRPr="00165851">
      <w:rPr>
        <w:rStyle w:val="PageNumber"/>
        <w:u w:val="none"/>
      </w:rPr>
      <w:fldChar w:fldCharType="end"/>
    </w:r>
  </w:p>
  <w:p w:rsidR="00113988" w:rsidRDefault="0011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62505C16"/>
    <w:multiLevelType w:val="hybridMultilevel"/>
    <w:tmpl w:val="F8C8ABBE"/>
    <w:lvl w:ilvl="0" w:tplc="2BFAA4FE">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BD17F80"/>
    <w:multiLevelType w:val="hybridMultilevel"/>
    <w:tmpl w:val="48A8BF86"/>
    <w:lvl w:ilvl="0" w:tplc="605ABA1C">
      <w:start w:val="1"/>
      <w:numFmt w:val="decimal"/>
      <w:pStyle w:val="level1"/>
      <w:lvlText w:val="[%1]"/>
      <w:lvlJc w:val="left"/>
      <w:pPr>
        <w:ind w:left="5760" w:hanging="360"/>
      </w:pPr>
      <w:rPr>
        <w:rFonts w:hint="default"/>
        <w:i w:val="0"/>
      </w:rPr>
    </w:lvl>
    <w:lvl w:ilvl="1" w:tplc="1C090019">
      <w:start w:val="1"/>
      <w:numFmt w:val="lowerLetter"/>
      <w:lvlText w:val="%2."/>
      <w:lvlJc w:val="left"/>
      <w:pPr>
        <w:ind w:left="6480" w:hanging="360"/>
      </w:pPr>
    </w:lvl>
    <w:lvl w:ilvl="2" w:tplc="1C09001B">
      <w:start w:val="1"/>
      <w:numFmt w:val="lowerRoman"/>
      <w:lvlText w:val="%3."/>
      <w:lvlJc w:val="right"/>
      <w:pPr>
        <w:ind w:left="7200" w:hanging="180"/>
      </w:pPr>
    </w:lvl>
    <w:lvl w:ilvl="3" w:tplc="1C09000F" w:tentative="1">
      <w:start w:val="1"/>
      <w:numFmt w:val="decimal"/>
      <w:lvlText w:val="%4."/>
      <w:lvlJc w:val="left"/>
      <w:pPr>
        <w:ind w:left="7920" w:hanging="360"/>
      </w:pPr>
    </w:lvl>
    <w:lvl w:ilvl="4" w:tplc="1C090019" w:tentative="1">
      <w:start w:val="1"/>
      <w:numFmt w:val="lowerLetter"/>
      <w:lvlText w:val="%5."/>
      <w:lvlJc w:val="left"/>
      <w:pPr>
        <w:ind w:left="8640" w:hanging="360"/>
      </w:pPr>
    </w:lvl>
    <w:lvl w:ilvl="5" w:tplc="1C09001B" w:tentative="1">
      <w:start w:val="1"/>
      <w:numFmt w:val="lowerRoman"/>
      <w:lvlText w:val="%6."/>
      <w:lvlJc w:val="right"/>
      <w:pPr>
        <w:ind w:left="9360" w:hanging="180"/>
      </w:pPr>
    </w:lvl>
    <w:lvl w:ilvl="6" w:tplc="1C09000F" w:tentative="1">
      <w:start w:val="1"/>
      <w:numFmt w:val="decimal"/>
      <w:lvlText w:val="%7."/>
      <w:lvlJc w:val="left"/>
      <w:pPr>
        <w:ind w:left="10080" w:hanging="360"/>
      </w:pPr>
    </w:lvl>
    <w:lvl w:ilvl="7" w:tplc="1C090019" w:tentative="1">
      <w:start w:val="1"/>
      <w:numFmt w:val="lowerLetter"/>
      <w:lvlText w:val="%8."/>
      <w:lvlJc w:val="left"/>
      <w:pPr>
        <w:ind w:left="10800" w:hanging="360"/>
      </w:pPr>
    </w:lvl>
    <w:lvl w:ilvl="8" w:tplc="1C09001B" w:tentative="1">
      <w:start w:val="1"/>
      <w:numFmt w:val="lowerRoman"/>
      <w:lvlText w:val="%9."/>
      <w:lvlJc w:val="right"/>
      <w:pPr>
        <w:ind w:left="115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61EBFB-B1BF-4000-A636-3CF15BB79BFB}"/>
    <w:docVar w:name="dgnword-eventsink" w:val="2457879544112"/>
  </w:docVars>
  <w:rsids>
    <w:rsidRoot w:val="00FF6D53"/>
    <w:rsid w:val="000365D8"/>
    <w:rsid w:val="00037A76"/>
    <w:rsid w:val="00040500"/>
    <w:rsid w:val="00076E92"/>
    <w:rsid w:val="000C1212"/>
    <w:rsid w:val="00113988"/>
    <w:rsid w:val="00162C14"/>
    <w:rsid w:val="0016526C"/>
    <w:rsid w:val="001C6849"/>
    <w:rsid w:val="001D1A13"/>
    <w:rsid w:val="00214694"/>
    <w:rsid w:val="002163B5"/>
    <w:rsid w:val="00224314"/>
    <w:rsid w:val="0022456D"/>
    <w:rsid w:val="00225EE8"/>
    <w:rsid w:val="00252D71"/>
    <w:rsid w:val="0027622B"/>
    <w:rsid w:val="002E2250"/>
    <w:rsid w:val="002F35D7"/>
    <w:rsid w:val="002F7271"/>
    <w:rsid w:val="00300EAB"/>
    <w:rsid w:val="00393FEF"/>
    <w:rsid w:val="00395561"/>
    <w:rsid w:val="003A653F"/>
    <w:rsid w:val="003A7501"/>
    <w:rsid w:val="003C7333"/>
    <w:rsid w:val="00400834"/>
    <w:rsid w:val="0040108D"/>
    <w:rsid w:val="00406029"/>
    <w:rsid w:val="004211D0"/>
    <w:rsid w:val="00435DEF"/>
    <w:rsid w:val="00440FCE"/>
    <w:rsid w:val="00442FDD"/>
    <w:rsid w:val="00447C79"/>
    <w:rsid w:val="004568AD"/>
    <w:rsid w:val="0047140F"/>
    <w:rsid w:val="004A4EE9"/>
    <w:rsid w:val="004E1151"/>
    <w:rsid w:val="00523AD8"/>
    <w:rsid w:val="005416B0"/>
    <w:rsid w:val="005436D8"/>
    <w:rsid w:val="00550D24"/>
    <w:rsid w:val="005665D1"/>
    <w:rsid w:val="005938F2"/>
    <w:rsid w:val="005A45B5"/>
    <w:rsid w:val="005C6BE3"/>
    <w:rsid w:val="005D0E45"/>
    <w:rsid w:val="005F54DB"/>
    <w:rsid w:val="00605666"/>
    <w:rsid w:val="00612D96"/>
    <w:rsid w:val="006177E6"/>
    <w:rsid w:val="0065764C"/>
    <w:rsid w:val="00660001"/>
    <w:rsid w:val="00660745"/>
    <w:rsid w:val="006646EC"/>
    <w:rsid w:val="006B7960"/>
    <w:rsid w:val="006D0A10"/>
    <w:rsid w:val="006D42AC"/>
    <w:rsid w:val="006E58B0"/>
    <w:rsid w:val="006F3E05"/>
    <w:rsid w:val="007044B3"/>
    <w:rsid w:val="00710128"/>
    <w:rsid w:val="00740741"/>
    <w:rsid w:val="00742119"/>
    <w:rsid w:val="00753BB9"/>
    <w:rsid w:val="00762161"/>
    <w:rsid w:val="00780FB3"/>
    <w:rsid w:val="007F64ED"/>
    <w:rsid w:val="00802684"/>
    <w:rsid w:val="008167F9"/>
    <w:rsid w:val="008648C1"/>
    <w:rsid w:val="00905902"/>
    <w:rsid w:val="00937012"/>
    <w:rsid w:val="00940DFB"/>
    <w:rsid w:val="009970D5"/>
    <w:rsid w:val="009A1BE6"/>
    <w:rsid w:val="009A4A21"/>
    <w:rsid w:val="009D00BF"/>
    <w:rsid w:val="009D0A3A"/>
    <w:rsid w:val="009D21C9"/>
    <w:rsid w:val="00A12573"/>
    <w:rsid w:val="00A24840"/>
    <w:rsid w:val="00A516BE"/>
    <w:rsid w:val="00A51D65"/>
    <w:rsid w:val="00A6589C"/>
    <w:rsid w:val="00A65AB1"/>
    <w:rsid w:val="00A71AA5"/>
    <w:rsid w:val="00A8187D"/>
    <w:rsid w:val="00AA7B2D"/>
    <w:rsid w:val="00AD0E93"/>
    <w:rsid w:val="00AD2E83"/>
    <w:rsid w:val="00B05462"/>
    <w:rsid w:val="00B054FD"/>
    <w:rsid w:val="00B27C4B"/>
    <w:rsid w:val="00B33C70"/>
    <w:rsid w:val="00B438F5"/>
    <w:rsid w:val="00B452CF"/>
    <w:rsid w:val="00B70F2E"/>
    <w:rsid w:val="00BD3553"/>
    <w:rsid w:val="00C111EB"/>
    <w:rsid w:val="00C17FD8"/>
    <w:rsid w:val="00C20046"/>
    <w:rsid w:val="00C276EF"/>
    <w:rsid w:val="00C56714"/>
    <w:rsid w:val="00C7594A"/>
    <w:rsid w:val="00C77860"/>
    <w:rsid w:val="00C87273"/>
    <w:rsid w:val="00C87487"/>
    <w:rsid w:val="00C939D5"/>
    <w:rsid w:val="00CC6A95"/>
    <w:rsid w:val="00CE4127"/>
    <w:rsid w:val="00D12D8A"/>
    <w:rsid w:val="00D3064C"/>
    <w:rsid w:val="00D400CD"/>
    <w:rsid w:val="00D56219"/>
    <w:rsid w:val="00D6336C"/>
    <w:rsid w:val="00D63E2F"/>
    <w:rsid w:val="00D74617"/>
    <w:rsid w:val="00D751CA"/>
    <w:rsid w:val="00D935C3"/>
    <w:rsid w:val="00DA0DCA"/>
    <w:rsid w:val="00DD1650"/>
    <w:rsid w:val="00DD7AD0"/>
    <w:rsid w:val="00E1773E"/>
    <w:rsid w:val="00E26F63"/>
    <w:rsid w:val="00E431DA"/>
    <w:rsid w:val="00E7567A"/>
    <w:rsid w:val="00E77933"/>
    <w:rsid w:val="00E8007E"/>
    <w:rsid w:val="00E84D97"/>
    <w:rsid w:val="00EA4003"/>
    <w:rsid w:val="00EE1435"/>
    <w:rsid w:val="00EF582A"/>
    <w:rsid w:val="00F1025E"/>
    <w:rsid w:val="00F83B20"/>
    <w:rsid w:val="00FB06CF"/>
    <w:rsid w:val="00FB19CD"/>
    <w:rsid w:val="00FE013D"/>
    <w:rsid w:val="00FE03B3"/>
    <w:rsid w:val="00FF6D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466C822-F674-4D40-B324-62E9EDC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53"/>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D53"/>
    <w:pPr>
      <w:tabs>
        <w:tab w:val="center" w:pos="4153"/>
        <w:tab w:val="right" w:pos="8306"/>
      </w:tabs>
    </w:pPr>
  </w:style>
  <w:style w:type="character" w:customStyle="1" w:styleId="HeaderChar">
    <w:name w:val="Header Char"/>
    <w:basedOn w:val="DefaultParagraphFont"/>
    <w:link w:val="Header"/>
    <w:rsid w:val="00FF6D53"/>
    <w:rPr>
      <w:rFonts w:ascii="Arial" w:eastAsia="Times New Roman" w:hAnsi="Arial" w:cs="Arial"/>
      <w:sz w:val="24"/>
      <w:szCs w:val="24"/>
      <w:u w:val="single"/>
      <w:lang w:val="en-GB" w:eastAsia="en-GB"/>
    </w:rPr>
  </w:style>
  <w:style w:type="character" w:styleId="PageNumber">
    <w:name w:val="page number"/>
    <w:basedOn w:val="DefaultParagraphFont"/>
    <w:rsid w:val="00FF6D53"/>
  </w:style>
  <w:style w:type="paragraph" w:styleId="NormalWeb">
    <w:name w:val="Normal (Web)"/>
    <w:basedOn w:val="Normal"/>
    <w:uiPriority w:val="99"/>
    <w:unhideWhenUsed/>
    <w:rsid w:val="00FF6D53"/>
    <w:pPr>
      <w:spacing w:before="100" w:beforeAutospacing="1" w:after="100" w:afterAutospacing="1"/>
    </w:pPr>
    <w:rPr>
      <w:rFonts w:ascii="Times New Roman" w:hAnsi="Times New Roman" w:cs="Times New Roman"/>
      <w:u w:val="none"/>
      <w:lang w:val="en-ZA" w:eastAsia="en-ZA"/>
    </w:rPr>
  </w:style>
  <w:style w:type="paragraph" w:customStyle="1" w:styleId="level1">
    <w:name w:val="level1"/>
    <w:basedOn w:val="Normal"/>
    <w:rsid w:val="00FF6D53"/>
    <w:pPr>
      <w:numPr>
        <w:numId w:val="2"/>
      </w:numPr>
    </w:pPr>
    <w:rPr>
      <w:rFonts w:cs="Times New Roman"/>
      <w:kern w:val="28"/>
      <w:u w:val="none"/>
      <w:lang w:val="en-ZA"/>
    </w:rPr>
  </w:style>
  <w:style w:type="paragraph" w:styleId="FootnoteText">
    <w:name w:val="footnote text"/>
    <w:basedOn w:val="Normal"/>
    <w:link w:val="FootnoteTextChar"/>
    <w:uiPriority w:val="99"/>
    <w:semiHidden/>
    <w:unhideWhenUsed/>
    <w:rsid w:val="00A51D65"/>
    <w:rPr>
      <w:sz w:val="20"/>
      <w:szCs w:val="20"/>
    </w:rPr>
  </w:style>
  <w:style w:type="character" w:customStyle="1" w:styleId="FootnoteTextChar">
    <w:name w:val="Footnote Text Char"/>
    <w:basedOn w:val="DefaultParagraphFont"/>
    <w:link w:val="FootnoteText"/>
    <w:uiPriority w:val="99"/>
    <w:semiHidden/>
    <w:rsid w:val="00A51D65"/>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A51D65"/>
    <w:rPr>
      <w:vertAlign w:val="superscript"/>
    </w:rPr>
  </w:style>
  <w:style w:type="paragraph" w:styleId="ListParagraph">
    <w:name w:val="List Paragraph"/>
    <w:basedOn w:val="Normal"/>
    <w:uiPriority w:val="34"/>
    <w:qFormat/>
    <w:rsid w:val="005D0E45"/>
    <w:pPr>
      <w:ind w:left="720"/>
      <w:contextualSpacing/>
    </w:pPr>
  </w:style>
  <w:style w:type="paragraph" w:styleId="BalloonText">
    <w:name w:val="Balloon Text"/>
    <w:basedOn w:val="Normal"/>
    <w:link w:val="BalloonTextChar"/>
    <w:uiPriority w:val="99"/>
    <w:semiHidden/>
    <w:unhideWhenUsed/>
    <w:rsid w:val="00BD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53"/>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127F-CF8F-4390-BFED-4BEC63EB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3</cp:revision>
  <cp:lastPrinted>2023-03-06T13:35:00Z</cp:lastPrinted>
  <dcterms:created xsi:type="dcterms:W3CDTF">2023-03-23T13:56:00Z</dcterms:created>
  <dcterms:modified xsi:type="dcterms:W3CDTF">2023-03-23T13:57:00Z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09ecbf6ead3daf6181c357b015ef0b4cfa162a1690b053d152d7faa0483402cf</vt:lpwstr>
  </property>
</Properties>
</file>