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0B505" w14:textId="77777777" w:rsidR="00BC7399" w:rsidRPr="00BC7399" w:rsidRDefault="00BC7399" w:rsidP="00BC7399">
      <w:pPr>
        <w:tabs>
          <w:tab w:val="left" w:pos="2342"/>
          <w:tab w:val="center" w:pos="4513"/>
        </w:tabs>
        <w:spacing w:before="0" w:after="0"/>
        <w:jc w:val="center"/>
        <w:outlineLvl w:val="0"/>
        <w:rPr>
          <w:rFonts w:ascii="Times New Roman" w:eastAsia="Times New Roman" w:hAnsi="Times New Roman" w:cs="Times New Roman"/>
          <w:b/>
          <w:noProof/>
          <w:szCs w:val="24"/>
          <w:lang w:eastAsia="en-ZA"/>
        </w:rPr>
      </w:pPr>
      <w:bookmarkStart w:id="0" w:name="_Toc129165106"/>
      <w:r w:rsidRPr="00BC7399">
        <w:rPr>
          <w:rFonts w:ascii="Times New Roman" w:eastAsia="Times New Roman" w:hAnsi="Times New Roman" w:cs="Times New Roman"/>
          <w:b/>
          <w:noProof/>
          <w:szCs w:val="24"/>
          <w:lang w:eastAsia="en-ZA"/>
        </w:rPr>
        <w:t>REPUBLIC OF SOUTH AFRICA</w:t>
      </w:r>
    </w:p>
    <w:p w14:paraId="22FD3F15" w14:textId="77777777" w:rsidR="00BC7399" w:rsidRPr="00BC7399" w:rsidRDefault="00BC7399" w:rsidP="00BC7399">
      <w:pPr>
        <w:tabs>
          <w:tab w:val="left" w:pos="2342"/>
          <w:tab w:val="center" w:pos="4513"/>
        </w:tabs>
        <w:spacing w:before="0" w:after="0"/>
        <w:jc w:val="center"/>
        <w:outlineLvl w:val="0"/>
        <w:rPr>
          <w:rFonts w:ascii="Times New Roman" w:eastAsia="Times New Roman" w:hAnsi="Times New Roman" w:cs="Times New Roman"/>
          <w:b/>
          <w:noProof/>
          <w:szCs w:val="24"/>
          <w:lang w:eastAsia="en-ZA"/>
        </w:rPr>
      </w:pPr>
    </w:p>
    <w:p w14:paraId="6869E04B" w14:textId="77777777" w:rsidR="00BC7399" w:rsidRPr="00BC7399" w:rsidRDefault="00BC7399" w:rsidP="00BC7399">
      <w:pPr>
        <w:tabs>
          <w:tab w:val="left" w:pos="2342"/>
          <w:tab w:val="center" w:pos="4513"/>
        </w:tabs>
        <w:spacing w:before="0" w:after="0"/>
        <w:jc w:val="center"/>
        <w:outlineLvl w:val="0"/>
        <w:rPr>
          <w:rFonts w:ascii="Times New Roman" w:eastAsia="Times New Roman" w:hAnsi="Times New Roman" w:cs="Times New Roman"/>
          <w:szCs w:val="24"/>
        </w:rPr>
      </w:pPr>
      <w:r w:rsidRPr="00BC7399">
        <w:rPr>
          <w:rFonts w:ascii="Times New Roman" w:eastAsia="Times New Roman" w:hAnsi="Times New Roman" w:cs="Times New Roman"/>
          <w:noProof/>
          <w:szCs w:val="24"/>
          <w:lang w:val="en-US"/>
        </w:rPr>
        <w:drawing>
          <wp:inline distT="0" distB="0" distL="0" distR="0" wp14:anchorId="2C91FE39" wp14:editId="77D29051">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0CE8B04" w14:textId="77777777" w:rsidR="00BC7399" w:rsidRPr="00BC7399" w:rsidRDefault="00BC7399" w:rsidP="00BC7399">
      <w:pPr>
        <w:spacing w:before="0" w:after="0"/>
        <w:jc w:val="center"/>
        <w:outlineLvl w:val="0"/>
        <w:rPr>
          <w:rFonts w:ascii="Times New Roman" w:eastAsia="Times New Roman" w:hAnsi="Times New Roman" w:cs="Times New Roman"/>
          <w:b/>
          <w:szCs w:val="24"/>
        </w:rPr>
      </w:pPr>
    </w:p>
    <w:p w14:paraId="4EB7F643" w14:textId="77777777" w:rsidR="00BC7399" w:rsidRPr="00BC7399" w:rsidRDefault="00BC7399" w:rsidP="00BC7399">
      <w:pPr>
        <w:spacing w:before="0" w:after="0"/>
        <w:jc w:val="center"/>
        <w:outlineLvl w:val="0"/>
        <w:rPr>
          <w:rFonts w:ascii="Times New Roman" w:eastAsia="Times New Roman" w:hAnsi="Times New Roman" w:cs="Times New Roman"/>
          <w:b/>
          <w:szCs w:val="24"/>
        </w:rPr>
      </w:pPr>
      <w:r w:rsidRPr="00BC7399">
        <w:rPr>
          <w:rFonts w:ascii="Times New Roman" w:eastAsia="Times New Roman" w:hAnsi="Times New Roman" w:cs="Times New Roman"/>
          <w:b/>
          <w:szCs w:val="24"/>
        </w:rPr>
        <w:t>IN THE HIGH COURT OF SOUTH AFRICA</w:t>
      </w:r>
    </w:p>
    <w:p w14:paraId="026F5211" w14:textId="77777777" w:rsidR="00BC7399" w:rsidRPr="00BC7399" w:rsidRDefault="00BC7399" w:rsidP="00BC7399">
      <w:pPr>
        <w:spacing w:before="0" w:after="0"/>
        <w:jc w:val="center"/>
        <w:outlineLvl w:val="0"/>
        <w:rPr>
          <w:rFonts w:ascii="Times New Roman" w:eastAsia="Times New Roman" w:hAnsi="Times New Roman" w:cs="Times New Roman"/>
          <w:b/>
          <w:szCs w:val="24"/>
        </w:rPr>
      </w:pPr>
      <w:r w:rsidRPr="00BC7399">
        <w:rPr>
          <w:rFonts w:ascii="Times New Roman" w:eastAsia="Times New Roman" w:hAnsi="Times New Roman" w:cs="Times New Roman"/>
          <w:b/>
          <w:szCs w:val="24"/>
        </w:rPr>
        <w:t>GAUTENG LOCAL DIVISION, JOHANNESBURG</w:t>
      </w:r>
    </w:p>
    <w:p w14:paraId="03AC14F8" w14:textId="77777777" w:rsidR="00BC7399" w:rsidRPr="00BC7399" w:rsidRDefault="00BC7399" w:rsidP="00BC7399">
      <w:pPr>
        <w:spacing w:before="0" w:after="0"/>
        <w:rPr>
          <w:rFonts w:ascii="Times New Roman" w:eastAsia="Times New Roman" w:hAnsi="Times New Roman" w:cs="Times New Roman"/>
          <w:szCs w:val="24"/>
        </w:rPr>
      </w:pPr>
    </w:p>
    <w:p w14:paraId="7BAD29D0" w14:textId="77777777" w:rsidR="00BC7399" w:rsidRPr="00BC7399" w:rsidRDefault="00BC7399" w:rsidP="00BC7399">
      <w:pPr>
        <w:spacing w:before="0" w:after="0"/>
        <w:rPr>
          <w:rFonts w:ascii="Times New Roman" w:eastAsia="Times New Roman" w:hAnsi="Times New Roman" w:cs="Times New Roman"/>
          <w:szCs w:val="24"/>
        </w:rPr>
      </w:pPr>
    </w:p>
    <w:p w14:paraId="3D29F87B" w14:textId="322E38B4" w:rsidR="00BC7399" w:rsidRPr="00BC7399" w:rsidRDefault="00BC7399" w:rsidP="00BC7399">
      <w:pPr>
        <w:tabs>
          <w:tab w:val="right" w:pos="9029"/>
        </w:tabs>
        <w:spacing w:before="0" w:after="0"/>
        <w:rPr>
          <w:rFonts w:ascii="Times New Roman" w:eastAsia="Times New Roman" w:hAnsi="Times New Roman" w:cs="Times New Roman"/>
          <w:bCs/>
          <w:szCs w:val="24"/>
        </w:rPr>
      </w:pPr>
      <w:r w:rsidRPr="00BC7399">
        <w:rPr>
          <w:rFonts w:ascii="Times New Roman" w:eastAsia="Times New Roman" w:hAnsi="Times New Roman" w:cs="Times New Roman"/>
          <w:szCs w:val="24"/>
        </w:rPr>
        <w:tab/>
      </w:r>
      <w:r w:rsidRPr="00BC7399">
        <w:rPr>
          <w:rFonts w:ascii="Times New Roman" w:eastAsia="Times New Roman" w:hAnsi="Times New Roman" w:cs="Times New Roman"/>
          <w:b/>
          <w:szCs w:val="24"/>
        </w:rPr>
        <w:t>CASE NUMBER</w:t>
      </w:r>
      <w:r w:rsidRPr="00BC7399">
        <w:rPr>
          <w:rFonts w:ascii="Times New Roman" w:eastAsia="Times New Roman" w:hAnsi="Times New Roman" w:cs="Times New Roman"/>
          <w:bCs/>
          <w:szCs w:val="24"/>
        </w:rPr>
        <w:t xml:space="preserve">: </w:t>
      </w:r>
      <w:r>
        <w:rPr>
          <w:rFonts w:ascii="Times New Roman" w:eastAsia="Times New Roman" w:hAnsi="Times New Roman" w:cs="Times New Roman"/>
          <w:bCs/>
          <w:szCs w:val="24"/>
        </w:rPr>
        <w:t>2021/21636</w:t>
      </w:r>
    </w:p>
    <w:p w14:paraId="0E2E4ED8" w14:textId="77777777" w:rsidR="00BC7399" w:rsidRPr="00BC7399" w:rsidRDefault="00BC7399" w:rsidP="00BC7399">
      <w:pPr>
        <w:tabs>
          <w:tab w:val="right" w:pos="9029"/>
        </w:tabs>
        <w:spacing w:before="0" w:after="0"/>
        <w:rPr>
          <w:rFonts w:ascii="Times New Roman" w:eastAsia="Times New Roman" w:hAnsi="Times New Roman" w:cs="Times New Roman"/>
          <w:szCs w:val="24"/>
        </w:rPr>
      </w:pPr>
    </w:p>
    <w:p w14:paraId="219364E0" w14:textId="77777777" w:rsidR="00BC7399" w:rsidRPr="00BC7399" w:rsidRDefault="00BC7399" w:rsidP="00BC7399">
      <w:pPr>
        <w:tabs>
          <w:tab w:val="left" w:pos="8998"/>
        </w:tabs>
        <w:spacing w:before="0" w:after="0"/>
        <w:rPr>
          <w:rFonts w:ascii="Times New Roman" w:eastAsia="Times New Roman" w:hAnsi="Times New Roman" w:cs="Times New Roman"/>
          <w:szCs w:val="24"/>
        </w:rPr>
      </w:pPr>
      <w:r w:rsidRPr="00BC7399">
        <w:rPr>
          <w:rFonts w:ascii="Times New Roman" w:hAnsi="Times New Roman" w:cs="Times New Roman"/>
          <w:noProof/>
          <w:szCs w:val="24"/>
          <w:lang w:val="en-US"/>
        </w:rPr>
        <mc:AlternateContent>
          <mc:Choice Requires="wps">
            <w:drawing>
              <wp:anchor distT="0" distB="0" distL="114300" distR="114300" simplePos="0" relativeHeight="251659264" behindDoc="0" locked="0" layoutInCell="1" allowOverlap="1" wp14:anchorId="63F77BCB" wp14:editId="28550B11">
                <wp:simplePos x="0" y="0"/>
                <wp:positionH relativeFrom="margin">
                  <wp:posOffset>0</wp:posOffset>
                </wp:positionH>
                <wp:positionV relativeFrom="paragraph">
                  <wp:posOffset>39647</wp:posOffset>
                </wp:positionV>
                <wp:extent cx="3314700" cy="1294645"/>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94645"/>
                        </a:xfrm>
                        <a:prstGeom prst="rect">
                          <a:avLst/>
                        </a:prstGeom>
                        <a:solidFill>
                          <a:srgbClr val="FFFFFF"/>
                        </a:solidFill>
                        <a:ln w="9525">
                          <a:solidFill>
                            <a:srgbClr val="000000"/>
                          </a:solidFill>
                          <a:miter lim="800000"/>
                          <a:headEnd/>
                          <a:tailEnd/>
                        </a:ln>
                      </wps:spPr>
                      <wps:txbx>
                        <w:txbxContent>
                          <w:p w14:paraId="166C58FF" w14:textId="77777777" w:rsidR="00BC7399" w:rsidRPr="00913F95" w:rsidRDefault="00BC7399" w:rsidP="00BC7399">
                            <w:pPr>
                              <w:jc w:val="center"/>
                              <w:rPr>
                                <w:rFonts w:ascii="Century Gothic" w:hAnsi="Century Gothic"/>
                                <w:b/>
                                <w:sz w:val="20"/>
                                <w:szCs w:val="20"/>
                              </w:rPr>
                            </w:pPr>
                          </w:p>
                          <w:p w14:paraId="559EDCCB" w14:textId="71C55643" w:rsidR="00BC7399" w:rsidRPr="002A2849" w:rsidRDefault="00051A9F" w:rsidP="00051A9F">
                            <w:pPr>
                              <w:tabs>
                                <w:tab w:val="left" w:pos="900"/>
                              </w:tabs>
                              <w:spacing w:before="0" w:after="0"/>
                              <w:ind w:left="900" w:hanging="720"/>
                              <w:jc w:val="left"/>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C7399" w:rsidRPr="002A2849">
                              <w:rPr>
                                <w:rFonts w:ascii="Times New Roman" w:hAnsi="Times New Roman" w:cs="Times New Roman"/>
                                <w:sz w:val="20"/>
                                <w:szCs w:val="20"/>
                              </w:rPr>
                              <w:t>REPORTABLE: NO</w:t>
                            </w:r>
                          </w:p>
                          <w:p w14:paraId="4A892D64" w14:textId="1522C3FC" w:rsidR="00BC7399" w:rsidRPr="002A2849" w:rsidRDefault="00051A9F" w:rsidP="00051A9F">
                            <w:pPr>
                              <w:tabs>
                                <w:tab w:val="left" w:pos="900"/>
                              </w:tabs>
                              <w:spacing w:before="0" w:after="0"/>
                              <w:ind w:left="900" w:hanging="720"/>
                              <w:jc w:val="left"/>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C7399" w:rsidRPr="002A2849">
                              <w:rPr>
                                <w:rFonts w:ascii="Times New Roman" w:hAnsi="Times New Roman" w:cs="Times New Roman"/>
                                <w:sz w:val="20"/>
                                <w:szCs w:val="20"/>
                              </w:rPr>
                              <w:t>OF INTEREST TO OTHER JUDGES: NO</w:t>
                            </w:r>
                          </w:p>
                          <w:p w14:paraId="0B9F2069" w14:textId="4C9F44E4" w:rsidR="00BC7399" w:rsidRDefault="00051A9F" w:rsidP="00051A9F">
                            <w:pPr>
                              <w:tabs>
                                <w:tab w:val="left" w:pos="900"/>
                              </w:tabs>
                              <w:spacing w:before="0" w:after="0"/>
                              <w:ind w:left="900" w:hanging="720"/>
                              <w:jc w:val="left"/>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00BC7399" w:rsidRPr="002A2849">
                              <w:rPr>
                                <w:rFonts w:ascii="Times New Roman" w:hAnsi="Times New Roman" w:cs="Times New Roman"/>
                                <w:sz w:val="20"/>
                                <w:szCs w:val="20"/>
                              </w:rPr>
                              <w:t>REVISED</w:t>
                            </w:r>
                            <w:r w:rsidR="00BC7399">
                              <w:rPr>
                                <w:rFonts w:ascii="Times New Roman" w:hAnsi="Times New Roman" w:cs="Times New Roman"/>
                                <w:sz w:val="20"/>
                                <w:szCs w:val="20"/>
                              </w:rPr>
                              <w:t>: NO</w:t>
                            </w:r>
                          </w:p>
                          <w:p w14:paraId="4FF6A4B6" w14:textId="6C5EA6D2" w:rsidR="00BC7399" w:rsidRDefault="00BC7399" w:rsidP="00BC7399">
                            <w:pPr>
                              <w:spacing w:before="0" w:after="0"/>
                              <w:ind w:left="900"/>
                              <w:jc w:val="left"/>
                              <w:rPr>
                                <w:rFonts w:ascii="Times New Roman" w:hAnsi="Times New Roman" w:cs="Times New Roman"/>
                                <w:sz w:val="20"/>
                                <w:szCs w:val="20"/>
                              </w:rPr>
                            </w:pPr>
                          </w:p>
                          <w:p w14:paraId="0632ADFE" w14:textId="4366043C" w:rsidR="00BC7399" w:rsidRDefault="00BC7399" w:rsidP="00BC7399">
                            <w:pPr>
                              <w:spacing w:before="0" w:after="0"/>
                              <w:ind w:left="900"/>
                              <w:jc w:val="left"/>
                              <w:rPr>
                                <w:rFonts w:ascii="Times New Roman" w:hAnsi="Times New Roman" w:cs="Times New Roman"/>
                                <w:sz w:val="20"/>
                                <w:szCs w:val="20"/>
                              </w:rPr>
                            </w:pPr>
                            <w:r>
                              <w:rPr>
                                <w:rFonts w:ascii="Times New Roman" w:hAnsi="Times New Roman" w:cs="Times New Roman"/>
                                <w:sz w:val="20"/>
                                <w:szCs w:val="20"/>
                              </w:rPr>
                              <w:t>________________          __________________</w:t>
                            </w:r>
                          </w:p>
                          <w:p w14:paraId="080128E4" w14:textId="7A5BBD84" w:rsidR="00BC7399" w:rsidRDefault="00BC7399" w:rsidP="00BC7399">
                            <w:pPr>
                              <w:spacing w:before="0" w:after="0"/>
                              <w:ind w:left="900"/>
                              <w:jc w:val="left"/>
                              <w:rPr>
                                <w:rFonts w:ascii="Times New Roman" w:hAnsi="Times New Roman" w:cs="Times New Roman"/>
                                <w:sz w:val="20"/>
                                <w:szCs w:val="20"/>
                              </w:rPr>
                            </w:pPr>
                            <w:r>
                              <w:rPr>
                                <w:rFonts w:ascii="Times New Roman" w:hAnsi="Times New Roman" w:cs="Times New Roman"/>
                                <w:sz w:val="20"/>
                                <w:szCs w:val="20"/>
                              </w:rPr>
                              <w:t>DATE                                      SIGNATURE</w:t>
                            </w:r>
                          </w:p>
                          <w:p w14:paraId="72AB0FC4" w14:textId="77777777" w:rsidR="00BC7399" w:rsidRPr="002A2849" w:rsidRDefault="00BC7399" w:rsidP="00BC7399">
                            <w:pPr>
                              <w:ind w:left="900"/>
                              <w:rPr>
                                <w:rFonts w:ascii="Times New Roman" w:hAnsi="Times New Roman" w:cs="Times New Roman"/>
                                <w:sz w:val="20"/>
                                <w:szCs w:val="20"/>
                              </w:rPr>
                            </w:pPr>
                          </w:p>
                          <w:p w14:paraId="2788D82D" w14:textId="77777777" w:rsidR="00BC7399" w:rsidRPr="002A2849" w:rsidRDefault="00BC7399" w:rsidP="00BC7399">
                            <w:pPr>
                              <w:rPr>
                                <w:rFonts w:ascii="Times New Roman" w:hAnsi="Times New Roman" w:cs="Times New Roman"/>
                                <w:b/>
                                <w:sz w:val="20"/>
                                <w:szCs w:val="20"/>
                              </w:rPr>
                            </w:pPr>
                            <w:r>
                              <w:rPr>
                                <w:rFonts w:ascii="Times New Roman" w:hAnsi="Times New Roman" w:cs="Times New Roman"/>
                                <w:b/>
                                <w:sz w:val="20"/>
                                <w:szCs w:val="20"/>
                              </w:rPr>
                              <w:t xml:space="preserve">        </w:t>
                            </w:r>
                          </w:p>
                          <w:p w14:paraId="47DA077F" w14:textId="77777777" w:rsidR="00BC7399" w:rsidRPr="002A2849" w:rsidRDefault="00BC7399" w:rsidP="00BC739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125E621D" w14:textId="77777777" w:rsidR="00BC7399" w:rsidRPr="002A2849" w:rsidRDefault="00BC7399" w:rsidP="00BC739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77BCB" id="_x0000_t202" coordsize="21600,21600" o:spt="202" path="m,l,21600r21600,l21600,xe">
                <v:stroke joinstyle="miter"/>
                <v:path gradientshapeok="t" o:connecttype="rect"/>
              </v:shapetype>
              <v:shape id="Text Box 2" o:spid="_x0000_s1026" type="#_x0000_t202" style="position:absolute;left:0;text-align:left;margin-left:0;margin-top:3.1pt;width:261pt;height:10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">
                <v:textbox>
                  <w:txbxContent>
                    <w:p w14:paraId="166C58FF" w14:textId="77777777" w:rsidR="00BC7399" w:rsidRPr="00913F95" w:rsidRDefault="00BC7399" w:rsidP="00BC7399">
                      <w:pPr>
                        <w:jc w:val="center"/>
                        <w:rPr>
                          <w:rFonts w:ascii="Century Gothic" w:hAnsi="Century Gothic"/>
                          <w:b/>
                          <w:sz w:val="20"/>
                          <w:szCs w:val="20"/>
                        </w:rPr>
                      </w:pPr>
                    </w:p>
                    <w:p w14:paraId="559EDCCB" w14:textId="71C55643" w:rsidR="00BC7399" w:rsidRPr="002A2849" w:rsidRDefault="00051A9F" w:rsidP="00051A9F">
                      <w:pPr>
                        <w:tabs>
                          <w:tab w:val="left" w:pos="900"/>
                        </w:tabs>
                        <w:spacing w:before="0" w:after="0"/>
                        <w:ind w:left="900" w:hanging="720"/>
                        <w:jc w:val="left"/>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C7399" w:rsidRPr="002A2849">
                        <w:rPr>
                          <w:rFonts w:ascii="Times New Roman" w:hAnsi="Times New Roman" w:cs="Times New Roman"/>
                          <w:sz w:val="20"/>
                          <w:szCs w:val="20"/>
                        </w:rPr>
                        <w:t>REPORTABLE: NO</w:t>
                      </w:r>
                    </w:p>
                    <w:p w14:paraId="4A892D64" w14:textId="1522C3FC" w:rsidR="00BC7399" w:rsidRPr="002A2849" w:rsidRDefault="00051A9F" w:rsidP="00051A9F">
                      <w:pPr>
                        <w:tabs>
                          <w:tab w:val="left" w:pos="900"/>
                        </w:tabs>
                        <w:spacing w:before="0" w:after="0"/>
                        <w:ind w:left="900" w:hanging="720"/>
                        <w:jc w:val="left"/>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C7399" w:rsidRPr="002A2849">
                        <w:rPr>
                          <w:rFonts w:ascii="Times New Roman" w:hAnsi="Times New Roman" w:cs="Times New Roman"/>
                          <w:sz w:val="20"/>
                          <w:szCs w:val="20"/>
                        </w:rPr>
                        <w:t>OF INTEREST TO OTHER JUDGES: NO</w:t>
                      </w:r>
                    </w:p>
                    <w:p w14:paraId="0B9F2069" w14:textId="4C9F44E4" w:rsidR="00BC7399" w:rsidRDefault="00051A9F" w:rsidP="00051A9F">
                      <w:pPr>
                        <w:tabs>
                          <w:tab w:val="left" w:pos="900"/>
                        </w:tabs>
                        <w:spacing w:before="0" w:after="0"/>
                        <w:ind w:left="900" w:hanging="720"/>
                        <w:jc w:val="left"/>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00BC7399" w:rsidRPr="002A2849">
                        <w:rPr>
                          <w:rFonts w:ascii="Times New Roman" w:hAnsi="Times New Roman" w:cs="Times New Roman"/>
                          <w:sz w:val="20"/>
                          <w:szCs w:val="20"/>
                        </w:rPr>
                        <w:t>REVISED</w:t>
                      </w:r>
                      <w:r w:rsidR="00BC7399">
                        <w:rPr>
                          <w:rFonts w:ascii="Times New Roman" w:hAnsi="Times New Roman" w:cs="Times New Roman"/>
                          <w:sz w:val="20"/>
                          <w:szCs w:val="20"/>
                        </w:rPr>
                        <w:t>: NO</w:t>
                      </w:r>
                    </w:p>
                    <w:p w14:paraId="4FF6A4B6" w14:textId="6C5EA6D2" w:rsidR="00BC7399" w:rsidRDefault="00BC7399" w:rsidP="00BC7399">
                      <w:pPr>
                        <w:spacing w:before="0" w:after="0"/>
                        <w:ind w:left="900"/>
                        <w:jc w:val="left"/>
                        <w:rPr>
                          <w:rFonts w:ascii="Times New Roman" w:hAnsi="Times New Roman" w:cs="Times New Roman"/>
                          <w:sz w:val="20"/>
                          <w:szCs w:val="20"/>
                        </w:rPr>
                      </w:pPr>
                    </w:p>
                    <w:p w14:paraId="0632ADFE" w14:textId="4366043C" w:rsidR="00BC7399" w:rsidRDefault="00BC7399" w:rsidP="00BC7399">
                      <w:pPr>
                        <w:spacing w:before="0" w:after="0"/>
                        <w:ind w:left="900"/>
                        <w:jc w:val="left"/>
                        <w:rPr>
                          <w:rFonts w:ascii="Times New Roman" w:hAnsi="Times New Roman" w:cs="Times New Roman"/>
                          <w:sz w:val="20"/>
                          <w:szCs w:val="20"/>
                        </w:rPr>
                      </w:pPr>
                      <w:r>
                        <w:rPr>
                          <w:rFonts w:ascii="Times New Roman" w:hAnsi="Times New Roman" w:cs="Times New Roman"/>
                          <w:sz w:val="20"/>
                          <w:szCs w:val="20"/>
                        </w:rPr>
                        <w:t>________________          __________________</w:t>
                      </w:r>
                    </w:p>
                    <w:p w14:paraId="080128E4" w14:textId="7A5BBD84" w:rsidR="00BC7399" w:rsidRDefault="00BC7399" w:rsidP="00BC7399">
                      <w:pPr>
                        <w:spacing w:before="0" w:after="0"/>
                        <w:ind w:left="900"/>
                        <w:jc w:val="left"/>
                        <w:rPr>
                          <w:rFonts w:ascii="Times New Roman" w:hAnsi="Times New Roman" w:cs="Times New Roman"/>
                          <w:sz w:val="20"/>
                          <w:szCs w:val="20"/>
                        </w:rPr>
                      </w:pPr>
                      <w:r>
                        <w:rPr>
                          <w:rFonts w:ascii="Times New Roman" w:hAnsi="Times New Roman" w:cs="Times New Roman"/>
                          <w:sz w:val="20"/>
                          <w:szCs w:val="20"/>
                        </w:rPr>
                        <w:t>DATE                                      SIGNATURE</w:t>
                      </w:r>
                    </w:p>
                    <w:p w14:paraId="72AB0FC4" w14:textId="77777777" w:rsidR="00BC7399" w:rsidRPr="002A2849" w:rsidRDefault="00BC7399" w:rsidP="00BC7399">
                      <w:pPr>
                        <w:ind w:left="900"/>
                        <w:rPr>
                          <w:rFonts w:ascii="Times New Roman" w:hAnsi="Times New Roman" w:cs="Times New Roman"/>
                          <w:sz w:val="20"/>
                          <w:szCs w:val="20"/>
                        </w:rPr>
                      </w:pPr>
                    </w:p>
                    <w:p w14:paraId="2788D82D" w14:textId="77777777" w:rsidR="00BC7399" w:rsidRPr="002A2849" w:rsidRDefault="00BC7399" w:rsidP="00BC7399">
                      <w:pPr>
                        <w:rPr>
                          <w:rFonts w:ascii="Times New Roman" w:hAnsi="Times New Roman" w:cs="Times New Roman"/>
                          <w:b/>
                          <w:sz w:val="20"/>
                          <w:szCs w:val="20"/>
                        </w:rPr>
                      </w:pPr>
                      <w:r>
                        <w:rPr>
                          <w:rFonts w:ascii="Times New Roman" w:hAnsi="Times New Roman" w:cs="Times New Roman"/>
                          <w:b/>
                          <w:sz w:val="20"/>
                          <w:szCs w:val="20"/>
                        </w:rPr>
                        <w:t xml:space="preserve">        </w:t>
                      </w:r>
                    </w:p>
                    <w:p w14:paraId="47DA077F" w14:textId="77777777" w:rsidR="00BC7399" w:rsidRPr="002A2849" w:rsidRDefault="00BC7399" w:rsidP="00BC739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125E621D" w14:textId="77777777" w:rsidR="00BC7399" w:rsidRPr="002A2849" w:rsidRDefault="00BC7399" w:rsidP="00BC739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v:textbox>
                <w10:wrap anchorx="margin"/>
              </v:shape>
            </w:pict>
          </mc:Fallback>
        </mc:AlternateContent>
      </w:r>
    </w:p>
    <w:p w14:paraId="2E91A5E4" w14:textId="77777777" w:rsidR="00BC7399" w:rsidRPr="00BC7399" w:rsidRDefault="00BC7399" w:rsidP="00BC7399">
      <w:pPr>
        <w:tabs>
          <w:tab w:val="left" w:pos="8998"/>
        </w:tabs>
        <w:spacing w:before="0" w:after="0"/>
        <w:rPr>
          <w:rFonts w:ascii="Times New Roman" w:eastAsia="Times New Roman" w:hAnsi="Times New Roman" w:cs="Times New Roman"/>
          <w:szCs w:val="24"/>
        </w:rPr>
      </w:pPr>
    </w:p>
    <w:p w14:paraId="2495DE5E" w14:textId="77777777" w:rsidR="00BC7399" w:rsidRPr="00BC7399" w:rsidRDefault="00BC7399" w:rsidP="00BC7399">
      <w:pPr>
        <w:tabs>
          <w:tab w:val="left" w:pos="8998"/>
        </w:tabs>
        <w:spacing w:before="0" w:after="0"/>
        <w:rPr>
          <w:rFonts w:ascii="Times New Roman" w:eastAsia="Times New Roman" w:hAnsi="Times New Roman" w:cs="Times New Roman"/>
          <w:szCs w:val="24"/>
        </w:rPr>
      </w:pPr>
    </w:p>
    <w:p w14:paraId="24807B04" w14:textId="77777777" w:rsidR="00BC7399" w:rsidRPr="00BC7399" w:rsidRDefault="00BC7399" w:rsidP="00BC7399">
      <w:pPr>
        <w:tabs>
          <w:tab w:val="right" w:pos="9029"/>
        </w:tabs>
        <w:spacing w:before="0" w:after="0"/>
        <w:rPr>
          <w:rFonts w:ascii="Times New Roman" w:eastAsia="Times New Roman" w:hAnsi="Times New Roman" w:cs="Times New Roman"/>
          <w:szCs w:val="24"/>
        </w:rPr>
      </w:pPr>
    </w:p>
    <w:p w14:paraId="6FFC0B23" w14:textId="77777777" w:rsidR="00BC7399" w:rsidRPr="00BC7399" w:rsidRDefault="00BC7399" w:rsidP="00BC7399">
      <w:pPr>
        <w:tabs>
          <w:tab w:val="right" w:pos="9029"/>
        </w:tabs>
        <w:spacing w:before="0" w:after="0"/>
        <w:rPr>
          <w:rFonts w:ascii="Times New Roman" w:eastAsia="Times New Roman" w:hAnsi="Times New Roman" w:cs="Times New Roman"/>
          <w:szCs w:val="24"/>
        </w:rPr>
      </w:pPr>
    </w:p>
    <w:p w14:paraId="334430E1" w14:textId="77777777" w:rsidR="00BC7399" w:rsidRPr="00BC7399" w:rsidRDefault="00BC7399" w:rsidP="00BC7399">
      <w:pPr>
        <w:tabs>
          <w:tab w:val="right" w:pos="9029"/>
        </w:tabs>
        <w:spacing w:before="0" w:after="0"/>
        <w:contextualSpacing/>
        <w:rPr>
          <w:rFonts w:ascii="Times New Roman" w:eastAsia="Times New Roman" w:hAnsi="Times New Roman" w:cs="Times New Roman"/>
          <w:b/>
          <w:szCs w:val="24"/>
        </w:rPr>
      </w:pPr>
    </w:p>
    <w:p w14:paraId="5A14089F" w14:textId="77777777" w:rsidR="00BC7399" w:rsidRPr="00BC7399" w:rsidRDefault="00BC7399" w:rsidP="00BC7399">
      <w:pPr>
        <w:tabs>
          <w:tab w:val="right" w:pos="9029"/>
        </w:tabs>
        <w:spacing w:before="0" w:after="0"/>
        <w:contextualSpacing/>
        <w:rPr>
          <w:rFonts w:ascii="Times New Roman" w:eastAsia="Times New Roman" w:hAnsi="Times New Roman" w:cs="Times New Roman"/>
          <w:b/>
          <w:szCs w:val="24"/>
        </w:rPr>
      </w:pPr>
    </w:p>
    <w:p w14:paraId="4D9B9048" w14:textId="77777777" w:rsidR="00BC7399" w:rsidRPr="00BC7399" w:rsidRDefault="00BC7399" w:rsidP="00BC7399">
      <w:pPr>
        <w:tabs>
          <w:tab w:val="right" w:pos="9029"/>
        </w:tabs>
        <w:spacing w:before="0" w:after="0"/>
        <w:contextualSpacing/>
        <w:rPr>
          <w:rFonts w:ascii="Times New Roman" w:eastAsia="Times New Roman" w:hAnsi="Times New Roman" w:cs="Times New Roman"/>
          <w:b/>
          <w:szCs w:val="24"/>
        </w:rPr>
      </w:pPr>
    </w:p>
    <w:p w14:paraId="63FAEFCC" w14:textId="77777777" w:rsidR="00BC7399" w:rsidRPr="00BC7399" w:rsidRDefault="00BC7399" w:rsidP="00BC7399">
      <w:pPr>
        <w:tabs>
          <w:tab w:val="right" w:pos="9029"/>
        </w:tabs>
        <w:spacing w:before="0" w:after="0"/>
        <w:contextualSpacing/>
        <w:rPr>
          <w:rFonts w:ascii="Times New Roman" w:eastAsia="Times New Roman" w:hAnsi="Times New Roman" w:cs="Times New Roman"/>
          <w:b/>
          <w:szCs w:val="24"/>
        </w:rPr>
      </w:pPr>
    </w:p>
    <w:p w14:paraId="2CCE568D" w14:textId="77777777" w:rsidR="00BC7399" w:rsidRPr="00BC7399" w:rsidRDefault="00BC7399" w:rsidP="00BC7399">
      <w:pPr>
        <w:tabs>
          <w:tab w:val="right" w:pos="9029"/>
        </w:tabs>
        <w:spacing w:before="0" w:after="0"/>
        <w:contextualSpacing/>
        <w:rPr>
          <w:rFonts w:ascii="Times New Roman" w:eastAsia="Times New Roman" w:hAnsi="Times New Roman" w:cs="Times New Roman"/>
          <w:bCs/>
          <w:szCs w:val="24"/>
        </w:rPr>
      </w:pPr>
    </w:p>
    <w:p w14:paraId="02DB3937" w14:textId="77777777" w:rsidR="00BC7399" w:rsidRPr="00BC7399" w:rsidRDefault="00BC7399" w:rsidP="00BC7399">
      <w:pPr>
        <w:tabs>
          <w:tab w:val="right" w:pos="9029"/>
        </w:tabs>
        <w:spacing w:before="0" w:after="0"/>
        <w:contextualSpacing/>
        <w:rPr>
          <w:rFonts w:ascii="Times New Roman" w:eastAsia="Times New Roman" w:hAnsi="Times New Roman" w:cs="Times New Roman"/>
          <w:bCs/>
          <w:szCs w:val="24"/>
        </w:rPr>
      </w:pPr>
    </w:p>
    <w:p w14:paraId="05FAFD30" w14:textId="1372E785" w:rsidR="007B1A95" w:rsidRDefault="00BC7399" w:rsidP="00BC7399">
      <w:pPr>
        <w:tabs>
          <w:tab w:val="right" w:pos="9029"/>
        </w:tabs>
        <w:spacing w:before="0" w:after="0"/>
        <w:contextualSpacing/>
        <w:rPr>
          <w:rFonts w:ascii="Times New Roman" w:eastAsia="Times New Roman" w:hAnsi="Times New Roman" w:cs="Times New Roman"/>
          <w:bCs/>
          <w:szCs w:val="24"/>
        </w:rPr>
      </w:pPr>
      <w:r w:rsidRPr="00BC7399">
        <w:rPr>
          <w:rFonts w:ascii="Times New Roman" w:eastAsia="Times New Roman" w:hAnsi="Times New Roman" w:cs="Times New Roman"/>
          <w:bCs/>
          <w:szCs w:val="24"/>
        </w:rPr>
        <w:t>In the matter between:</w:t>
      </w:r>
    </w:p>
    <w:p w14:paraId="3A288F31" w14:textId="6C85D1FB" w:rsidR="00BC7399" w:rsidRDefault="00BC7399" w:rsidP="00BC7399">
      <w:pPr>
        <w:tabs>
          <w:tab w:val="right" w:pos="9029"/>
        </w:tabs>
        <w:spacing w:before="0" w:after="0"/>
        <w:contextualSpacing/>
        <w:rPr>
          <w:rFonts w:ascii="Times New Roman" w:eastAsia="Times New Roman" w:hAnsi="Times New Roman" w:cs="Times New Roman"/>
          <w:bCs/>
          <w:szCs w:val="24"/>
        </w:rPr>
      </w:pPr>
    </w:p>
    <w:p w14:paraId="64D56E83" w14:textId="77777777" w:rsidR="00BC7399" w:rsidRPr="00BC7399" w:rsidRDefault="00BC7399" w:rsidP="00BC7399">
      <w:pPr>
        <w:tabs>
          <w:tab w:val="right" w:pos="9029"/>
        </w:tabs>
        <w:spacing w:before="0" w:after="0"/>
        <w:contextualSpacing/>
        <w:rPr>
          <w:rFonts w:ascii="Times New Roman" w:eastAsia="Times New Roman" w:hAnsi="Times New Roman" w:cs="Times New Roman"/>
          <w:bCs/>
          <w:szCs w:val="24"/>
        </w:rPr>
      </w:pPr>
    </w:p>
    <w:tbl>
      <w:tblPr>
        <w:tblW w:w="8931" w:type="dxa"/>
        <w:tblLook w:val="0000" w:firstRow="0" w:lastRow="0" w:firstColumn="0" w:lastColumn="0" w:noHBand="0" w:noVBand="0"/>
      </w:tblPr>
      <w:tblGrid>
        <w:gridCol w:w="5670"/>
        <w:gridCol w:w="3261"/>
      </w:tblGrid>
      <w:tr w:rsidR="007B1A95" w:rsidRPr="00A52C81" w14:paraId="43C15FA3" w14:textId="77777777" w:rsidTr="00DF7FD7">
        <w:tc>
          <w:tcPr>
            <w:tcW w:w="5670" w:type="dxa"/>
          </w:tcPr>
          <w:p w14:paraId="08CFD8DB" w14:textId="1D8F05E5" w:rsidR="007B1A95" w:rsidRPr="00A52C81" w:rsidRDefault="007B1A95" w:rsidP="00DF7FD7">
            <w:pPr>
              <w:spacing w:before="0" w:after="160" w:line="360" w:lineRule="auto"/>
              <w:ind w:left="-100"/>
              <w:rPr>
                <w:rFonts w:eastAsia="Calibri" w:cs="Times New Roman"/>
                <w:b/>
                <w:bCs/>
              </w:rPr>
            </w:pPr>
            <w:r>
              <w:rPr>
                <w:rFonts w:eastAsia="Calibri" w:cs="Arial"/>
                <w:b/>
                <w:szCs w:val="24"/>
                <w:lang w:val="en-GB" w:eastAsia="en-GB"/>
              </w:rPr>
              <w:t>UNIVERSAL BL</w:t>
            </w:r>
            <w:r w:rsidR="00A2455D">
              <w:rPr>
                <w:rFonts w:eastAsia="Calibri" w:cs="Arial"/>
                <w:b/>
                <w:szCs w:val="24"/>
                <w:lang w:val="en-GB" w:eastAsia="en-GB"/>
              </w:rPr>
              <w:t>E</w:t>
            </w:r>
            <w:r>
              <w:rPr>
                <w:rFonts w:eastAsia="Calibri" w:cs="Arial"/>
                <w:b/>
                <w:szCs w:val="24"/>
                <w:lang w:val="en-GB" w:eastAsia="en-GB"/>
              </w:rPr>
              <w:t>NDING (PTY) LTD</w:t>
            </w:r>
          </w:p>
        </w:tc>
        <w:tc>
          <w:tcPr>
            <w:tcW w:w="3261" w:type="dxa"/>
          </w:tcPr>
          <w:p w14:paraId="28BF08CD" w14:textId="48EB9458" w:rsidR="007B1A95" w:rsidRPr="00A2455D" w:rsidRDefault="00A2455D" w:rsidP="00DF7FD7">
            <w:pPr>
              <w:spacing w:before="0" w:after="160" w:line="360" w:lineRule="auto"/>
              <w:jc w:val="right"/>
              <w:rPr>
                <w:rFonts w:eastAsia="Calibri" w:cs="Times New Roman"/>
              </w:rPr>
            </w:pPr>
            <w:r w:rsidRPr="00A2455D">
              <w:rPr>
                <w:rFonts w:eastAsia="Calibri" w:cs="Times New Roman"/>
              </w:rPr>
              <w:t>Applicant</w:t>
            </w:r>
          </w:p>
        </w:tc>
      </w:tr>
      <w:tr w:rsidR="007B1A95" w:rsidRPr="00A52C81" w14:paraId="4A53970D" w14:textId="77777777" w:rsidTr="00DF7FD7">
        <w:tc>
          <w:tcPr>
            <w:tcW w:w="5670" w:type="dxa"/>
          </w:tcPr>
          <w:p w14:paraId="6C7ECEC6" w14:textId="77777777" w:rsidR="007B1A95" w:rsidRPr="00A52C81" w:rsidRDefault="007B1A95" w:rsidP="00DF7FD7">
            <w:pPr>
              <w:spacing w:before="0" w:after="160" w:line="360" w:lineRule="auto"/>
              <w:ind w:left="-100"/>
              <w:rPr>
                <w:rFonts w:eastAsia="Calibri" w:cs="Times New Roman"/>
              </w:rPr>
            </w:pPr>
            <w:r w:rsidRPr="00A52C81">
              <w:rPr>
                <w:rFonts w:eastAsia="Calibri" w:cs="Times New Roman"/>
              </w:rPr>
              <w:t>and</w:t>
            </w:r>
          </w:p>
        </w:tc>
        <w:tc>
          <w:tcPr>
            <w:tcW w:w="3261" w:type="dxa"/>
          </w:tcPr>
          <w:p w14:paraId="57CF649C" w14:textId="77777777" w:rsidR="007B1A95" w:rsidRPr="00A52C81" w:rsidRDefault="007B1A95" w:rsidP="00DF7FD7">
            <w:pPr>
              <w:spacing w:before="0" w:after="160" w:line="360" w:lineRule="auto"/>
              <w:jc w:val="right"/>
              <w:rPr>
                <w:rFonts w:eastAsia="Calibri" w:cs="Times New Roman"/>
              </w:rPr>
            </w:pPr>
          </w:p>
        </w:tc>
      </w:tr>
      <w:tr w:rsidR="007B1A95" w:rsidRPr="00A52C81" w14:paraId="231A1347" w14:textId="77777777" w:rsidTr="00DF7FD7">
        <w:tc>
          <w:tcPr>
            <w:tcW w:w="5670" w:type="dxa"/>
          </w:tcPr>
          <w:p w14:paraId="03D6BA86" w14:textId="0553682A" w:rsidR="007B1A95" w:rsidRPr="00A52C81" w:rsidRDefault="00A2455D" w:rsidP="00DF7FD7">
            <w:pPr>
              <w:widowControl w:val="0"/>
              <w:spacing w:after="0" w:line="360" w:lineRule="auto"/>
              <w:ind w:left="-100" w:right="227"/>
              <w:rPr>
                <w:rFonts w:eastAsia="Times New Roman" w:cs="Arial"/>
                <w:b/>
                <w:caps/>
                <w:szCs w:val="24"/>
                <w:lang w:val="en-US"/>
              </w:rPr>
            </w:pPr>
            <w:r>
              <w:rPr>
                <w:rFonts w:eastAsia="Times New Roman" w:cs="Arial"/>
                <w:b/>
                <w:caps/>
                <w:szCs w:val="24"/>
                <w:lang w:val="en-GB" w:eastAsia="en-GB"/>
              </w:rPr>
              <w:t>SAREL HENDERSON</w:t>
            </w:r>
          </w:p>
        </w:tc>
        <w:tc>
          <w:tcPr>
            <w:tcW w:w="3261" w:type="dxa"/>
          </w:tcPr>
          <w:p w14:paraId="5FBE5043" w14:textId="58D54BCC" w:rsidR="007B1A95" w:rsidRPr="00A52C81" w:rsidRDefault="00A2455D" w:rsidP="00DF7FD7">
            <w:pPr>
              <w:spacing w:before="0" w:after="160" w:line="360" w:lineRule="auto"/>
              <w:ind w:left="-100"/>
              <w:jc w:val="right"/>
              <w:rPr>
                <w:rFonts w:eastAsia="Calibri" w:cs="Times New Roman"/>
              </w:rPr>
            </w:pPr>
            <w:r>
              <w:rPr>
                <w:rFonts w:eastAsia="Calibri" w:cs="Times New Roman"/>
              </w:rPr>
              <w:t>Respondent</w:t>
            </w:r>
          </w:p>
        </w:tc>
      </w:tr>
    </w:tbl>
    <w:p w14:paraId="4E9D6540" w14:textId="77777777" w:rsidR="007B1A95" w:rsidRDefault="007B1A95" w:rsidP="007B1A95">
      <w:pPr>
        <w:spacing w:before="0" w:after="160" w:line="480" w:lineRule="auto"/>
        <w:rPr>
          <w:rFonts w:eastAsia="Calibri" w:cs="Times New Roman"/>
        </w:rPr>
      </w:pPr>
    </w:p>
    <w:p w14:paraId="07423AAB" w14:textId="2E328DDC" w:rsidR="007B1A95" w:rsidRPr="00AA17D0" w:rsidRDefault="007B1A95" w:rsidP="007B1A95">
      <w:pPr>
        <w:tabs>
          <w:tab w:val="left" w:pos="5868"/>
        </w:tabs>
        <w:spacing w:line="360" w:lineRule="auto"/>
        <w:ind w:left="936" w:hanging="936"/>
        <w:rPr>
          <w:rFonts w:eastAsia="Times New Roman" w:cs="Arial"/>
          <w:b/>
          <w:szCs w:val="24"/>
          <w:lang w:eastAsia="en-GB"/>
        </w:rPr>
      </w:pPr>
      <w:r>
        <w:rPr>
          <w:rFonts w:eastAsia="Times New Roman" w:cs="Arial"/>
          <w:b/>
          <w:szCs w:val="24"/>
          <w:lang w:eastAsia="en-GB"/>
        </w:rPr>
        <w:t>Heard on:</w:t>
      </w:r>
      <w:r>
        <w:rPr>
          <w:rFonts w:eastAsia="Times New Roman" w:cs="Arial"/>
          <w:b/>
          <w:szCs w:val="24"/>
          <w:lang w:eastAsia="en-GB"/>
        </w:rPr>
        <w:tab/>
      </w:r>
      <w:r w:rsidR="00BC7399">
        <w:rPr>
          <w:rFonts w:eastAsia="Times New Roman" w:cs="Arial"/>
          <w:b/>
          <w:szCs w:val="24"/>
          <w:lang w:eastAsia="en-GB"/>
        </w:rPr>
        <w:t xml:space="preserve">                       </w:t>
      </w:r>
      <w:r>
        <w:rPr>
          <w:rFonts w:eastAsia="Times New Roman" w:cs="Arial"/>
          <w:b/>
          <w:szCs w:val="24"/>
          <w:lang w:eastAsia="en-GB"/>
        </w:rPr>
        <w:t>7 March 2023</w:t>
      </w:r>
    </w:p>
    <w:p w14:paraId="12D1739D" w14:textId="33040DF5" w:rsidR="007B1A95" w:rsidRDefault="007B1A95" w:rsidP="007B1A95">
      <w:pPr>
        <w:tabs>
          <w:tab w:val="left" w:pos="5868"/>
        </w:tabs>
        <w:spacing w:line="360" w:lineRule="auto"/>
        <w:ind w:left="936" w:hanging="936"/>
        <w:rPr>
          <w:rFonts w:eastAsia="Times New Roman" w:cs="Arial"/>
          <w:b/>
          <w:szCs w:val="24"/>
          <w:lang w:eastAsia="en-GB"/>
        </w:rPr>
      </w:pPr>
      <w:r w:rsidRPr="00AA17D0">
        <w:rPr>
          <w:rFonts w:eastAsia="Times New Roman" w:cs="Arial"/>
          <w:b/>
          <w:szCs w:val="24"/>
          <w:lang w:eastAsia="en-GB"/>
        </w:rPr>
        <w:t>Delivered on:</w:t>
      </w:r>
      <w:r w:rsidRPr="00AA17D0">
        <w:rPr>
          <w:rFonts w:eastAsia="Times New Roman" w:cs="Arial"/>
          <w:b/>
          <w:szCs w:val="24"/>
          <w:lang w:eastAsia="en-GB"/>
        </w:rPr>
        <w:tab/>
      </w:r>
      <w:r w:rsidR="00BC7399">
        <w:rPr>
          <w:rFonts w:eastAsia="Times New Roman" w:cs="Arial"/>
          <w:b/>
          <w:szCs w:val="24"/>
          <w:lang w:eastAsia="en-GB"/>
        </w:rPr>
        <w:t xml:space="preserve">                    </w:t>
      </w:r>
      <w:r w:rsidR="00052363" w:rsidRPr="00BC7399">
        <w:rPr>
          <w:rFonts w:eastAsia="Times New Roman" w:cs="Arial"/>
          <w:b/>
          <w:szCs w:val="24"/>
          <w:lang w:eastAsia="en-GB"/>
        </w:rPr>
        <w:t>2</w:t>
      </w:r>
      <w:r w:rsidR="004507FB">
        <w:rPr>
          <w:rFonts w:eastAsia="Times New Roman" w:cs="Arial"/>
          <w:b/>
          <w:szCs w:val="24"/>
          <w:lang w:eastAsia="en-GB"/>
        </w:rPr>
        <w:t>4</w:t>
      </w:r>
      <w:r w:rsidRPr="00BC7399">
        <w:rPr>
          <w:rFonts w:eastAsia="Times New Roman" w:cs="Arial"/>
          <w:b/>
          <w:szCs w:val="24"/>
          <w:lang w:eastAsia="en-GB"/>
        </w:rPr>
        <w:t xml:space="preserve"> March 2023</w:t>
      </w:r>
    </w:p>
    <w:p w14:paraId="084CF813" w14:textId="77777777" w:rsidR="007B1A95" w:rsidRDefault="007B1A95" w:rsidP="007B1A95">
      <w:pPr>
        <w:tabs>
          <w:tab w:val="left" w:pos="5868"/>
        </w:tabs>
        <w:spacing w:after="0" w:line="360" w:lineRule="auto"/>
        <w:rPr>
          <w:rFonts w:eastAsia="Times New Roman" w:cs="Arial"/>
          <w:b/>
          <w:szCs w:val="24"/>
          <w:lang w:eastAsia="en-GB"/>
        </w:rPr>
      </w:pPr>
      <w:r>
        <w:rPr>
          <w:rFonts w:eastAsia="Times New Roman" w:cs="Arial"/>
          <w:b/>
          <w:szCs w:val="24"/>
          <w:lang w:eastAsia="en-GB"/>
        </w:rPr>
        <w:t>___________________________________________________________________</w:t>
      </w:r>
    </w:p>
    <w:p w14:paraId="0BD5A08F" w14:textId="77777777" w:rsidR="007B1A95" w:rsidRPr="003303C8" w:rsidRDefault="007B1A95" w:rsidP="007B1A95">
      <w:pPr>
        <w:pStyle w:val="Heading5"/>
        <w:spacing w:before="240"/>
        <w:jc w:val="center"/>
        <w:rPr>
          <w:rFonts w:ascii="Arial" w:hAnsi="Arial" w:cs="Arial"/>
          <w:b/>
          <w:color w:val="auto"/>
          <w:szCs w:val="24"/>
        </w:rPr>
      </w:pPr>
      <w:r>
        <w:rPr>
          <w:rFonts w:ascii="Arial" w:hAnsi="Arial" w:cs="Arial"/>
          <w:b/>
          <w:color w:val="auto"/>
          <w:szCs w:val="24"/>
        </w:rPr>
        <w:t>JUDGMENT</w:t>
      </w:r>
    </w:p>
    <w:p w14:paraId="1D7D5582" w14:textId="77777777" w:rsidR="007B1A95" w:rsidRDefault="007B1A95" w:rsidP="007B1A95">
      <w:pPr>
        <w:tabs>
          <w:tab w:val="left" w:pos="5868"/>
        </w:tabs>
        <w:spacing w:after="0" w:line="360" w:lineRule="auto"/>
        <w:rPr>
          <w:rFonts w:eastAsia="Times New Roman" w:cs="Arial"/>
          <w:b/>
          <w:szCs w:val="24"/>
          <w:lang w:eastAsia="en-GB"/>
        </w:rPr>
      </w:pPr>
      <w:r w:rsidRPr="003303C8">
        <w:rPr>
          <w:rFonts w:eastAsia="Times New Roman" w:cs="Arial"/>
          <w:b/>
          <w:szCs w:val="24"/>
          <w:lang w:eastAsia="en-GB"/>
        </w:rPr>
        <w:t>___________________________________________________________________</w:t>
      </w:r>
    </w:p>
    <w:p w14:paraId="6C46219C" w14:textId="77777777" w:rsidR="007B1A95" w:rsidRDefault="007B1A95" w:rsidP="007B1A95">
      <w:pPr>
        <w:rPr>
          <w:rFonts w:eastAsia="Calibri" w:cs="Times New Roman"/>
          <w:b/>
          <w:bCs/>
        </w:rPr>
      </w:pPr>
    </w:p>
    <w:p w14:paraId="59843F27" w14:textId="77777777" w:rsidR="007B1A95" w:rsidRPr="00607F58" w:rsidRDefault="007B1A95" w:rsidP="007B1A95">
      <w:pPr>
        <w:rPr>
          <w:rFonts w:eastAsia="Calibri" w:cs="Times New Roman"/>
          <w:b/>
          <w:bCs/>
        </w:rPr>
      </w:pPr>
      <w:r w:rsidRPr="00607F58">
        <w:rPr>
          <w:rFonts w:eastAsia="Calibri" w:cs="Times New Roman"/>
          <w:b/>
          <w:bCs/>
        </w:rPr>
        <w:lastRenderedPageBreak/>
        <w:t>WESLEY AJ</w:t>
      </w:r>
      <w:r>
        <w:rPr>
          <w:rFonts w:eastAsia="Calibri" w:cs="Times New Roman"/>
          <w:b/>
          <w:bCs/>
        </w:rPr>
        <w:t>:</w:t>
      </w:r>
    </w:p>
    <w:p w14:paraId="4177A125" w14:textId="77777777" w:rsidR="007B1A95" w:rsidRPr="00607F58" w:rsidRDefault="007B1A95" w:rsidP="007B1A95">
      <w:pPr>
        <w:rPr>
          <w:rFonts w:eastAsia="Calibri" w:cs="Times New Roman"/>
        </w:rPr>
      </w:pPr>
    </w:p>
    <w:bookmarkEnd w:id="0"/>
    <w:p w14:paraId="2A1DEF7E" w14:textId="5B905F27" w:rsidR="0055088B" w:rsidRDefault="00051A9F" w:rsidP="00051A9F">
      <w:pPr>
        <w:pStyle w:val="Std"/>
        <w:numPr>
          <w:ilvl w:val="0"/>
          <w:numId w:val="0"/>
        </w:numPr>
        <w:ind w:left="360" w:hanging="360"/>
      </w:pPr>
      <w:r>
        <w:t>[1</w:t>
      </w:r>
      <w:bookmarkStart w:id="1" w:name="_GoBack"/>
      <w:bookmarkEnd w:id="1"/>
      <w:r>
        <w:t>]</w:t>
      </w:r>
      <w:r>
        <w:tab/>
      </w:r>
      <w:r w:rsidR="0055088B">
        <w:t>The respondent was employed by the applicant from 2014 and also became a director and shareholder in 2019. He resigned as employee and director in September 2020 and returned his shares</w:t>
      </w:r>
      <w:r w:rsidR="008759FF">
        <w:t xml:space="preserve"> at the same time</w:t>
      </w:r>
      <w:r w:rsidR="0055088B">
        <w:t>. The applicant alleges that the respondent</w:t>
      </w:r>
      <w:r w:rsidR="00267686">
        <w:t>, through his employment at the applicant,</w:t>
      </w:r>
      <w:r w:rsidR="0055088B">
        <w:t xml:space="preserve"> acquired knowledge of </w:t>
      </w:r>
      <w:r w:rsidR="00267686">
        <w:t>the formula for manufacturing its</w:t>
      </w:r>
      <w:r w:rsidR="0055088B">
        <w:t xml:space="preserve"> “Roadsaver” product</w:t>
      </w:r>
      <w:r w:rsidR="00267686">
        <w:t xml:space="preserve">, a bitumen product that can be used to fill and seal potholes and cracks in tarred surfaces, </w:t>
      </w:r>
      <w:r w:rsidR="0055088B">
        <w:t>and</w:t>
      </w:r>
      <w:r w:rsidR="00572A24">
        <w:t xml:space="preserve"> that the respondent</w:t>
      </w:r>
      <w:r w:rsidR="0055088B">
        <w:t xml:space="preserve"> is now using that knowledge to </w:t>
      </w:r>
      <w:r w:rsidR="00267686">
        <w:t xml:space="preserve">produce the Roadsaver product in </w:t>
      </w:r>
      <w:r w:rsidR="0055088B">
        <w:t>compet</w:t>
      </w:r>
      <w:r w:rsidR="00267686">
        <w:t>ition</w:t>
      </w:r>
      <w:r w:rsidR="0055088B">
        <w:t xml:space="preserve"> with the applicant. The applicant </w:t>
      </w:r>
      <w:r w:rsidR="00F8213F">
        <w:t>contends</w:t>
      </w:r>
      <w:r w:rsidR="0055088B">
        <w:t xml:space="preserve"> that </w:t>
      </w:r>
      <w:r w:rsidR="000A7CE9">
        <w:t>the respondent’s conduct</w:t>
      </w:r>
      <w:r w:rsidR="0055088B">
        <w:t xml:space="preserve"> is unlawful because the</w:t>
      </w:r>
      <w:r w:rsidR="00A907E5">
        <w:t xml:space="preserve"> formula for producing </w:t>
      </w:r>
      <w:r w:rsidR="0055088B">
        <w:t xml:space="preserve">the Roadsaver product is a trade secret that </w:t>
      </w:r>
      <w:r w:rsidR="00294B78">
        <w:t>it owns.</w:t>
      </w:r>
    </w:p>
    <w:p w14:paraId="6458EA96" w14:textId="7ADBC137" w:rsidR="0055088B" w:rsidRDefault="00051A9F" w:rsidP="00051A9F">
      <w:pPr>
        <w:pStyle w:val="Std"/>
        <w:numPr>
          <w:ilvl w:val="0"/>
          <w:numId w:val="0"/>
        </w:numPr>
        <w:ind w:left="360" w:hanging="360"/>
      </w:pPr>
      <w:r>
        <w:t>[2]</w:t>
      </w:r>
      <w:r>
        <w:tab/>
      </w:r>
      <w:r w:rsidR="0055088B">
        <w:t xml:space="preserve">The applicant </w:t>
      </w:r>
      <w:r w:rsidR="000A7CE9">
        <w:t>claims</w:t>
      </w:r>
      <w:r w:rsidR="0055088B">
        <w:t xml:space="preserve"> </w:t>
      </w:r>
      <w:r w:rsidR="00572A24">
        <w:t xml:space="preserve">further </w:t>
      </w:r>
      <w:r w:rsidR="0055088B">
        <w:t xml:space="preserve">that in fact the respondent is the only person who knows the full formula for the Roadsaver product, because </w:t>
      </w:r>
      <w:r w:rsidR="00A907E5">
        <w:t xml:space="preserve">while still employed at the applicant </w:t>
      </w:r>
      <w:r w:rsidR="0055088B">
        <w:t xml:space="preserve">he was responsible for revising the formula for the product </w:t>
      </w:r>
      <w:r w:rsidR="000A7CE9">
        <w:t>(</w:t>
      </w:r>
      <w:r w:rsidR="0055088B">
        <w:t>to replace an additive that could no longer be used because it was found to be carcinogenic</w:t>
      </w:r>
      <w:r w:rsidR="000A7CE9">
        <w:t>)</w:t>
      </w:r>
      <w:r w:rsidR="0055088B">
        <w:t xml:space="preserve">. The applicant alleges that the respondent has refused to divulge the </w:t>
      </w:r>
      <w:r w:rsidR="00A907E5">
        <w:t xml:space="preserve">full </w:t>
      </w:r>
      <w:r w:rsidR="0055088B">
        <w:t>formula to it</w:t>
      </w:r>
      <w:r w:rsidR="00A907E5">
        <w:t xml:space="preserve"> despite demand</w:t>
      </w:r>
      <w:r w:rsidR="0055088B">
        <w:t>.</w:t>
      </w:r>
    </w:p>
    <w:p w14:paraId="3A46690F" w14:textId="5E8DA40F" w:rsidR="0055088B" w:rsidRDefault="00051A9F" w:rsidP="00051A9F">
      <w:pPr>
        <w:pStyle w:val="Std"/>
        <w:numPr>
          <w:ilvl w:val="0"/>
          <w:numId w:val="0"/>
        </w:numPr>
        <w:ind w:left="360" w:hanging="360"/>
      </w:pPr>
      <w:r>
        <w:t>[3]</w:t>
      </w:r>
      <w:r>
        <w:tab/>
      </w:r>
      <w:r w:rsidR="0055088B">
        <w:t xml:space="preserve">In the circumstances, </w:t>
      </w:r>
      <w:r w:rsidR="00572A24">
        <w:t xml:space="preserve">in April 2021 the applicant launched an urgent application in which it sought </w:t>
      </w:r>
      <w:r w:rsidR="0055088B">
        <w:t>the following relief against the respondent:</w:t>
      </w:r>
    </w:p>
    <w:p w14:paraId="3A3941A9" w14:textId="2E7BCDA9" w:rsidR="0055088B" w:rsidRDefault="00051A9F" w:rsidP="00051A9F">
      <w:pPr>
        <w:pStyle w:val="Std"/>
        <w:numPr>
          <w:ilvl w:val="0"/>
          <w:numId w:val="0"/>
        </w:numPr>
        <w:tabs>
          <w:tab w:val="left" w:pos="792"/>
        </w:tabs>
        <w:ind w:left="792" w:hanging="432"/>
      </w:pPr>
      <w:r>
        <w:t>[3.1]</w:t>
      </w:r>
      <w:r>
        <w:tab/>
      </w:r>
      <w:r w:rsidR="0055088B">
        <w:t>ordering the respondent to reveal to the applicant, forthwith and immediately and in writing, the entire composition and manufacturing process of its proprietary solvent-based pothole and crack filler known to it and the respondent as “Roadsaver”;</w:t>
      </w:r>
    </w:p>
    <w:p w14:paraId="4198C8BC" w14:textId="4058ECA8" w:rsidR="0055088B" w:rsidRDefault="00051A9F" w:rsidP="00051A9F">
      <w:pPr>
        <w:pStyle w:val="Std"/>
        <w:numPr>
          <w:ilvl w:val="0"/>
          <w:numId w:val="0"/>
        </w:numPr>
        <w:tabs>
          <w:tab w:val="left" w:pos="792"/>
        </w:tabs>
        <w:ind w:left="792" w:hanging="432"/>
      </w:pPr>
      <w:r>
        <w:lastRenderedPageBreak/>
        <w:t>[3.2]</w:t>
      </w:r>
      <w:r>
        <w:tab/>
      </w:r>
      <w:r w:rsidR="0055088B">
        <w:t>interdicting and restraining the respondent from competing with the applicant by using in any way, alone or with any other persons or entities, the applicant’s confidential information, namely the formulation and manufacturing process of the aforesaid products, namely “Roadsaver”;</w:t>
      </w:r>
    </w:p>
    <w:p w14:paraId="1D59B40F" w14:textId="6B308B32" w:rsidR="0055088B" w:rsidRDefault="00051A9F" w:rsidP="00051A9F">
      <w:pPr>
        <w:pStyle w:val="Std"/>
        <w:numPr>
          <w:ilvl w:val="0"/>
          <w:numId w:val="0"/>
        </w:numPr>
        <w:tabs>
          <w:tab w:val="left" w:pos="792"/>
        </w:tabs>
        <w:ind w:left="792" w:hanging="432"/>
      </w:pPr>
      <w:r>
        <w:t>[3.3]</w:t>
      </w:r>
      <w:r>
        <w:tab/>
      </w:r>
      <w:r w:rsidR="0055088B">
        <w:t>interdicting and restraining the respondent from revealing or divulging to any persons or entities the formulation and manufacturing process of the applicant’s aforesaid products</w:t>
      </w:r>
      <w:r w:rsidR="0085256F">
        <w:t>;</w:t>
      </w:r>
    </w:p>
    <w:p w14:paraId="155D5C2C" w14:textId="0F73DEA1" w:rsidR="0055088B" w:rsidRDefault="00051A9F" w:rsidP="00051A9F">
      <w:pPr>
        <w:pStyle w:val="Std"/>
        <w:numPr>
          <w:ilvl w:val="0"/>
          <w:numId w:val="0"/>
        </w:numPr>
        <w:tabs>
          <w:tab w:val="left" w:pos="792"/>
        </w:tabs>
        <w:ind w:left="792" w:hanging="432"/>
      </w:pPr>
      <w:r>
        <w:t>[3.4]</w:t>
      </w:r>
      <w:r>
        <w:tab/>
      </w:r>
      <w:r w:rsidR="0055088B">
        <w:t>interdicting and restraining the respondent from patenting or otherwise exploiting, in any way, the formulation and manufacturing process of the applicant’s aforesaid products.</w:t>
      </w:r>
    </w:p>
    <w:p w14:paraId="0FF2C27E" w14:textId="45EC25D3" w:rsidR="00572A24" w:rsidRDefault="00051A9F" w:rsidP="00051A9F">
      <w:pPr>
        <w:pStyle w:val="Std"/>
        <w:numPr>
          <w:ilvl w:val="0"/>
          <w:numId w:val="0"/>
        </w:numPr>
        <w:ind w:left="360" w:hanging="360"/>
      </w:pPr>
      <w:r>
        <w:t>[4]</w:t>
      </w:r>
      <w:r>
        <w:tab/>
      </w:r>
      <w:r w:rsidR="00572A24">
        <w:t>The matter did not proceed on an urgent basis and now comes before me as an ordinary opposed motion, with the applicant seeking final relief</w:t>
      </w:r>
      <w:r w:rsidR="00496BFC">
        <w:t xml:space="preserve"> and the respondent seeking that the application be dismissed</w:t>
      </w:r>
      <w:r w:rsidR="00572A24">
        <w:t>.</w:t>
      </w:r>
    </w:p>
    <w:p w14:paraId="1550065F" w14:textId="61667F8D" w:rsidR="0055088B" w:rsidRDefault="0055088B" w:rsidP="0055088B">
      <w:pPr>
        <w:pStyle w:val="Heading1"/>
      </w:pPr>
      <w:bookmarkStart w:id="2" w:name="_Toc129165107"/>
      <w:r>
        <w:t xml:space="preserve">The </w:t>
      </w:r>
      <w:r w:rsidR="0085256F">
        <w:t xml:space="preserve">relevant </w:t>
      </w:r>
      <w:r>
        <w:t>legal principles</w:t>
      </w:r>
      <w:bookmarkEnd w:id="2"/>
    </w:p>
    <w:p w14:paraId="4982E361" w14:textId="56E26291" w:rsidR="0055088B" w:rsidRDefault="00051A9F" w:rsidP="00051A9F">
      <w:pPr>
        <w:pStyle w:val="Std"/>
        <w:numPr>
          <w:ilvl w:val="0"/>
          <w:numId w:val="0"/>
        </w:numPr>
        <w:spacing w:before="240"/>
        <w:ind w:left="360" w:hanging="360"/>
      </w:pPr>
      <w:r>
        <w:t>[5]</w:t>
      </w:r>
      <w:r>
        <w:tab/>
      </w:r>
      <w:r w:rsidR="0055088B">
        <w:t>The unauthorised use of another’s trade secrets is unlawful competition and can be interdicted, even in the absence of a restraint of trade</w:t>
      </w:r>
      <w:r w:rsidR="0085256F">
        <w:t xml:space="preserve"> (</w:t>
      </w:r>
      <w:r w:rsidR="0055088B" w:rsidRPr="0055088B">
        <w:rPr>
          <w:b/>
          <w:bCs/>
        </w:rPr>
        <w:t>Pexmart CC and Others v H Mocke Construction (Pty) Ltd and Another</w:t>
      </w:r>
      <w:r w:rsidR="0055088B">
        <w:t xml:space="preserve"> 2019 (3) SA 117 (SCA) at [63] – [67] and [77]</w:t>
      </w:r>
      <w:r w:rsidR="0085256F">
        <w:t>)</w:t>
      </w:r>
      <w:r w:rsidR="00D03E89">
        <w:t>.</w:t>
      </w:r>
    </w:p>
    <w:p w14:paraId="3D59EC36" w14:textId="726CE6E2" w:rsidR="0055088B" w:rsidRDefault="00051A9F" w:rsidP="00051A9F">
      <w:pPr>
        <w:pStyle w:val="Std"/>
        <w:numPr>
          <w:ilvl w:val="0"/>
          <w:numId w:val="0"/>
        </w:numPr>
        <w:ind w:left="360" w:hanging="360"/>
      </w:pPr>
      <w:r>
        <w:t>[6]</w:t>
      </w:r>
      <w:r>
        <w:tab/>
      </w:r>
      <w:r w:rsidR="0055088B">
        <w:t>In order to establish a right to relief the applicant must show that:</w:t>
      </w:r>
    </w:p>
    <w:p w14:paraId="3DC7A3A4" w14:textId="034B14E2" w:rsidR="0055088B" w:rsidRDefault="00051A9F" w:rsidP="00051A9F">
      <w:pPr>
        <w:pStyle w:val="Std"/>
        <w:numPr>
          <w:ilvl w:val="0"/>
          <w:numId w:val="0"/>
        </w:numPr>
        <w:tabs>
          <w:tab w:val="left" w:pos="792"/>
        </w:tabs>
        <w:ind w:left="792" w:hanging="432"/>
      </w:pPr>
      <w:r>
        <w:t>[6.1]</w:t>
      </w:r>
      <w:r>
        <w:tab/>
      </w:r>
      <w:r w:rsidR="0055088B">
        <w:t>it is the owner of the Roadsaver product</w:t>
      </w:r>
      <w:r w:rsidR="0085256F">
        <w:t>;</w:t>
      </w:r>
    </w:p>
    <w:p w14:paraId="2EDDA41E" w14:textId="52041FF6" w:rsidR="0055088B" w:rsidRDefault="00051A9F" w:rsidP="00051A9F">
      <w:pPr>
        <w:pStyle w:val="Std"/>
        <w:numPr>
          <w:ilvl w:val="0"/>
          <w:numId w:val="0"/>
        </w:numPr>
        <w:tabs>
          <w:tab w:val="left" w:pos="792"/>
        </w:tabs>
        <w:ind w:left="792" w:hanging="432"/>
      </w:pPr>
      <w:r>
        <w:t>[6.2]</w:t>
      </w:r>
      <w:r>
        <w:tab/>
      </w:r>
      <w:r w:rsidR="0055088B">
        <w:t xml:space="preserve">the product constitutes a trade secret </w:t>
      </w:r>
      <w:r w:rsidR="00294B78">
        <w:t>in that</w:t>
      </w:r>
      <w:r w:rsidR="0055088B">
        <w:t xml:space="preserve">: </w:t>
      </w:r>
    </w:p>
    <w:p w14:paraId="07EDEF10" w14:textId="7C728FD0" w:rsidR="0055088B" w:rsidRDefault="00051A9F" w:rsidP="00051A9F">
      <w:pPr>
        <w:pStyle w:val="Std"/>
        <w:numPr>
          <w:ilvl w:val="0"/>
          <w:numId w:val="0"/>
        </w:numPr>
        <w:tabs>
          <w:tab w:val="left" w:pos="1440"/>
        </w:tabs>
        <w:ind w:left="1224" w:hanging="504"/>
      </w:pPr>
      <w:r>
        <w:t>[6.2.1.]</w:t>
      </w:r>
      <w:r>
        <w:tab/>
      </w:r>
      <w:r w:rsidR="009D2B59">
        <w:t>i</w:t>
      </w:r>
      <w:r w:rsidR="0055088B">
        <w:t>t relate</w:t>
      </w:r>
      <w:r w:rsidR="00294B78">
        <w:t>s</w:t>
      </w:r>
      <w:r w:rsidR="0055088B">
        <w:t xml:space="preserve"> to, and </w:t>
      </w:r>
      <w:r w:rsidR="00294B78">
        <w:t>is</w:t>
      </w:r>
      <w:r w:rsidR="0055088B">
        <w:t xml:space="preserve"> capable of application in, trade and industry</w:t>
      </w:r>
      <w:r w:rsidR="0085256F">
        <w:t>;</w:t>
      </w:r>
      <w:r w:rsidR="0055088B">
        <w:t xml:space="preserve"> </w:t>
      </w:r>
    </w:p>
    <w:p w14:paraId="4DF8FC53" w14:textId="2EA49EF3" w:rsidR="0055088B" w:rsidRDefault="00051A9F" w:rsidP="00051A9F">
      <w:pPr>
        <w:pStyle w:val="Std"/>
        <w:numPr>
          <w:ilvl w:val="0"/>
          <w:numId w:val="0"/>
        </w:numPr>
        <w:tabs>
          <w:tab w:val="left" w:pos="1440"/>
        </w:tabs>
        <w:ind w:left="1224" w:hanging="504"/>
      </w:pPr>
      <w:r>
        <w:lastRenderedPageBreak/>
        <w:t>[6.2.2.]</w:t>
      </w:r>
      <w:r>
        <w:tab/>
      </w:r>
      <w:r w:rsidR="009D2B59">
        <w:t>i</w:t>
      </w:r>
      <w:r w:rsidR="0055088B">
        <w:t xml:space="preserve">t </w:t>
      </w:r>
      <w:r w:rsidR="00294B78">
        <w:t>is</w:t>
      </w:r>
      <w:r w:rsidR="0055088B">
        <w:t xml:space="preserve"> secret or confidential; and</w:t>
      </w:r>
    </w:p>
    <w:p w14:paraId="63F4C8E1" w14:textId="595F0DE3" w:rsidR="0055088B" w:rsidRDefault="00051A9F" w:rsidP="00051A9F">
      <w:pPr>
        <w:pStyle w:val="Std"/>
        <w:numPr>
          <w:ilvl w:val="0"/>
          <w:numId w:val="0"/>
        </w:numPr>
        <w:tabs>
          <w:tab w:val="left" w:pos="1440"/>
        </w:tabs>
        <w:ind w:left="1224" w:hanging="504"/>
      </w:pPr>
      <w:r>
        <w:t>[6.2.3.]</w:t>
      </w:r>
      <w:r>
        <w:tab/>
      </w:r>
      <w:r w:rsidR="0055088B">
        <w:t xml:space="preserve">it </w:t>
      </w:r>
      <w:r w:rsidR="00294B78">
        <w:t>is</w:t>
      </w:r>
      <w:r w:rsidR="0055088B">
        <w:t xml:space="preserve"> of economic value to the applicant</w:t>
      </w:r>
      <w:r w:rsidR="0085256F">
        <w:t>;</w:t>
      </w:r>
    </w:p>
    <w:p w14:paraId="40CB3994" w14:textId="39B7C075" w:rsidR="0055088B" w:rsidRDefault="00051A9F" w:rsidP="00051A9F">
      <w:pPr>
        <w:pStyle w:val="Std"/>
        <w:numPr>
          <w:ilvl w:val="0"/>
          <w:numId w:val="0"/>
        </w:numPr>
        <w:tabs>
          <w:tab w:val="left" w:pos="792"/>
        </w:tabs>
        <w:ind w:left="792" w:hanging="432"/>
      </w:pPr>
      <w:r>
        <w:t>[6.3]</w:t>
      </w:r>
      <w:r>
        <w:tab/>
      </w:r>
      <w:r w:rsidR="0055088B">
        <w:t>the respondent is using the product to compete with the applicant.</w:t>
      </w:r>
    </w:p>
    <w:p w14:paraId="03889653" w14:textId="46A4C21E" w:rsidR="0055088B" w:rsidRDefault="00051A9F" w:rsidP="00051A9F">
      <w:pPr>
        <w:pStyle w:val="Std"/>
        <w:numPr>
          <w:ilvl w:val="0"/>
          <w:numId w:val="0"/>
        </w:numPr>
        <w:ind w:left="360" w:hanging="360"/>
      </w:pPr>
      <w:r>
        <w:t>[7]</w:t>
      </w:r>
      <w:r>
        <w:tab/>
      </w:r>
      <w:r w:rsidR="00294B78" w:rsidRPr="00294B78">
        <w:t>S</w:t>
      </w:r>
      <w:r w:rsidR="0055088B" w:rsidRPr="00294B78">
        <w:t>ince the applicant seeks final relief in motion proceedings,</w:t>
      </w:r>
      <w:r w:rsidR="0055088B">
        <w:t xml:space="preserve"> </w:t>
      </w:r>
      <w:r w:rsidR="00294B78">
        <w:t xml:space="preserve">relief can </w:t>
      </w:r>
      <w:r w:rsidR="00294B78" w:rsidRPr="00294B78">
        <w:t xml:space="preserve">only be granted if the facts as stated by the respondent together with the admitted facts in the applicant's affidavits justify </w:t>
      </w:r>
      <w:r w:rsidR="00294B78">
        <w:t>an order</w:t>
      </w:r>
      <w:r w:rsidR="0055088B">
        <w:t>, unless the respondent’s allegations or denials “</w:t>
      </w:r>
      <w:r w:rsidR="0055088B">
        <w:rPr>
          <w:i/>
          <w:iCs/>
        </w:rPr>
        <w:t>are so far-fetched or clearly untenable that the Court is justified in rejecting them merely on the papers</w:t>
      </w:r>
      <w:r w:rsidR="0055088B">
        <w:t>”</w:t>
      </w:r>
      <w:r w:rsidR="0085256F">
        <w:t xml:space="preserve"> (</w:t>
      </w:r>
      <w:r w:rsidR="0055088B">
        <w:rPr>
          <w:b/>
          <w:bCs/>
        </w:rPr>
        <w:t>Plascon-Evans Paints Ltd v Van Riebeeck Paints (Pty) Ltd</w:t>
      </w:r>
      <w:r w:rsidR="0055088B">
        <w:t> 1984 (3) SA 623 (A) at 634I – 635C</w:t>
      </w:r>
      <w:r w:rsidR="0085256F">
        <w:t>)</w:t>
      </w:r>
    </w:p>
    <w:p w14:paraId="29FB9F75" w14:textId="7C2F88EC" w:rsidR="0055088B" w:rsidRDefault="00051A9F" w:rsidP="00051A9F">
      <w:pPr>
        <w:pStyle w:val="Std"/>
        <w:numPr>
          <w:ilvl w:val="0"/>
          <w:numId w:val="0"/>
        </w:numPr>
        <w:ind w:left="360" w:hanging="360"/>
      </w:pPr>
      <w:r>
        <w:t>[8]</w:t>
      </w:r>
      <w:r>
        <w:tab/>
      </w:r>
      <w:r w:rsidR="0055088B">
        <w:t xml:space="preserve">In </w:t>
      </w:r>
      <w:r w:rsidR="0055088B">
        <w:rPr>
          <w:b/>
          <w:bCs/>
        </w:rPr>
        <w:t>Fakie NO v CCII Systems (Pty) Ltd </w:t>
      </w:r>
      <w:r w:rsidR="0055088B">
        <w:t xml:space="preserve">2006 (4) SA 326 (SCA) at [56], the </w:t>
      </w:r>
      <w:r w:rsidR="0085256F">
        <w:t>Supreme Court of Appeal</w:t>
      </w:r>
      <w:r w:rsidR="0055088B">
        <w:t xml:space="preserve"> re-stated the test in relation to “</w:t>
      </w:r>
      <w:r w:rsidR="0055088B" w:rsidRPr="0085256F">
        <w:rPr>
          <w:i/>
          <w:iCs/>
        </w:rPr>
        <w:t>far</w:t>
      </w:r>
      <w:r w:rsidR="00294B78" w:rsidRPr="0085256F">
        <w:rPr>
          <w:i/>
          <w:iCs/>
        </w:rPr>
        <w:t>-</w:t>
      </w:r>
      <w:r w:rsidR="0055088B" w:rsidRPr="0085256F">
        <w:rPr>
          <w:i/>
          <w:iCs/>
        </w:rPr>
        <w:t>fetched</w:t>
      </w:r>
      <w:r w:rsidR="0055088B">
        <w:t xml:space="preserve">” allegations as </w:t>
      </w:r>
      <w:r w:rsidR="00294B78">
        <w:t>follows</w:t>
      </w:r>
      <w:r w:rsidR="0055088B">
        <w:t>:</w:t>
      </w:r>
    </w:p>
    <w:p w14:paraId="352112E9" w14:textId="77777777" w:rsidR="0055088B" w:rsidRDefault="0055088B" w:rsidP="0055088B">
      <w:pPr>
        <w:pStyle w:val="Quote"/>
      </w:pPr>
      <w:r>
        <w:t xml:space="preserve">“A respondent's version can be rejected in motion proceedings only if it is   'fictitious' or so far-fetched and clearly untenable that it can confidently be said, on the papers alone, that it is demonstrably and clearly unworthy of credence.” </w:t>
      </w:r>
    </w:p>
    <w:p w14:paraId="2586E842" w14:textId="19E30C47" w:rsidR="0055088B" w:rsidRDefault="0055088B" w:rsidP="0055088B">
      <w:pPr>
        <w:pStyle w:val="Heading1"/>
        <w:rPr>
          <w:highlight w:val="yellow"/>
        </w:rPr>
      </w:pPr>
      <w:bookmarkStart w:id="3" w:name="_Toc129165108"/>
      <w:r w:rsidRPr="0055088B">
        <w:t xml:space="preserve">The </w:t>
      </w:r>
      <w:r w:rsidR="00572A24">
        <w:t>merits</w:t>
      </w:r>
      <w:bookmarkEnd w:id="3"/>
    </w:p>
    <w:p w14:paraId="226B15DE" w14:textId="50F8AE2F" w:rsidR="0055088B" w:rsidRDefault="0055088B" w:rsidP="0055088B">
      <w:pPr>
        <w:pStyle w:val="Heading2"/>
      </w:pPr>
      <w:bookmarkStart w:id="4" w:name="_Toc129165109"/>
      <w:r>
        <w:t xml:space="preserve">The nature of the </w:t>
      </w:r>
      <w:r w:rsidR="0085256F">
        <w:t xml:space="preserve">Roadsaver </w:t>
      </w:r>
      <w:r>
        <w:t>product and its use by the respondent</w:t>
      </w:r>
      <w:bookmarkEnd w:id="4"/>
    </w:p>
    <w:p w14:paraId="352C7688" w14:textId="632E2432" w:rsidR="00EE0B0C" w:rsidRDefault="00051A9F" w:rsidP="00051A9F">
      <w:pPr>
        <w:pStyle w:val="Std"/>
        <w:numPr>
          <w:ilvl w:val="0"/>
          <w:numId w:val="0"/>
        </w:numPr>
        <w:ind w:left="360" w:hanging="360"/>
      </w:pPr>
      <w:r>
        <w:t>[9]</w:t>
      </w:r>
      <w:r>
        <w:tab/>
      </w:r>
      <w:r w:rsidR="0055088B">
        <w:t xml:space="preserve">The </w:t>
      </w:r>
      <w:r w:rsidR="00EE0B0C">
        <w:t>contents of the respondent’s own answering affidavit confirm that the composition and formula for the manufacture of the Ro</w:t>
      </w:r>
      <w:r w:rsidR="00F8213F">
        <w:t>a</w:t>
      </w:r>
      <w:r w:rsidR="00EE0B0C">
        <w:t xml:space="preserve">dsaver product </w:t>
      </w:r>
      <w:r w:rsidR="00D03E89">
        <w:t>are</w:t>
      </w:r>
      <w:r w:rsidR="00EE0B0C">
        <w:t xml:space="preserve"> not generally known and </w:t>
      </w:r>
      <w:r w:rsidR="00D03E89">
        <w:t>have</w:t>
      </w:r>
      <w:r w:rsidR="00EE0B0C">
        <w:t xml:space="preserve"> substantial economic value. The respondent has also expressly confirmed in his answering affidavit</w:t>
      </w:r>
      <w:r w:rsidR="00572A24">
        <w:t xml:space="preserve"> that he intends competing</w:t>
      </w:r>
      <w:r w:rsidR="00D03E89">
        <w:t xml:space="preserve"> with the applicant</w:t>
      </w:r>
      <w:r w:rsidR="00EE0B0C">
        <w:t>.</w:t>
      </w:r>
      <w:r w:rsidR="00006D6E">
        <w:t xml:space="preserve"> </w:t>
      </w:r>
      <w:r w:rsidR="00EE0B0C">
        <w:t>In the circumstances,</w:t>
      </w:r>
      <w:r w:rsidR="00F8213F">
        <w:t xml:space="preserve"> and as rightly conceded</w:t>
      </w:r>
      <w:r w:rsidR="00D03E89">
        <w:t xml:space="preserve"> by the respondent’s representative</w:t>
      </w:r>
      <w:r w:rsidR="00F8213F">
        <w:t xml:space="preserve"> </w:t>
      </w:r>
      <w:r w:rsidR="0085256F">
        <w:t>in argument</w:t>
      </w:r>
      <w:r w:rsidR="00F8213F">
        <w:t xml:space="preserve">, there is no dispute </w:t>
      </w:r>
      <w:r w:rsidR="00EE0B0C">
        <w:t xml:space="preserve">that the Roadsaver product </w:t>
      </w:r>
      <w:r w:rsidR="00EE0B0C">
        <w:lastRenderedPageBreak/>
        <w:t xml:space="preserve">constitutes a trade secret and that the respondent intends making use of it </w:t>
      </w:r>
      <w:r w:rsidR="00F8213F">
        <w:t xml:space="preserve">to compete with the applicant </w:t>
      </w:r>
      <w:r w:rsidR="00EE0B0C">
        <w:t>absent an order from this Court.</w:t>
      </w:r>
    </w:p>
    <w:p w14:paraId="1A93FD86" w14:textId="1E20962E" w:rsidR="00EE0B0C" w:rsidRDefault="00051A9F" w:rsidP="00051A9F">
      <w:pPr>
        <w:pStyle w:val="Std"/>
        <w:numPr>
          <w:ilvl w:val="0"/>
          <w:numId w:val="0"/>
        </w:numPr>
        <w:ind w:left="360" w:hanging="360"/>
      </w:pPr>
      <w:r>
        <w:t>[10]</w:t>
      </w:r>
      <w:r>
        <w:tab/>
      </w:r>
      <w:r w:rsidR="00EE0B0C">
        <w:t xml:space="preserve">The </w:t>
      </w:r>
      <w:r w:rsidR="00267686">
        <w:t>main</w:t>
      </w:r>
      <w:r w:rsidR="00EE0B0C">
        <w:t xml:space="preserve"> issue for determination</w:t>
      </w:r>
      <w:r w:rsidR="00F8213F">
        <w:t xml:space="preserve"> by me</w:t>
      </w:r>
      <w:r w:rsidR="00EE0B0C">
        <w:t xml:space="preserve"> then is whether the applicant has proved that it is the owner of the Roadsaver product.</w:t>
      </w:r>
    </w:p>
    <w:p w14:paraId="39A5CAB8" w14:textId="52FE963D" w:rsidR="0055088B" w:rsidRDefault="00EE0B0C" w:rsidP="0055088B">
      <w:pPr>
        <w:pStyle w:val="Heading2"/>
      </w:pPr>
      <w:bookmarkStart w:id="5" w:name="_Toc129165110"/>
      <w:r>
        <w:t>Ownership</w:t>
      </w:r>
      <w:bookmarkEnd w:id="5"/>
    </w:p>
    <w:p w14:paraId="151AB6FE" w14:textId="0D8E10A1" w:rsidR="00A907E5" w:rsidRDefault="00051A9F" w:rsidP="00051A9F">
      <w:pPr>
        <w:pStyle w:val="Std"/>
        <w:numPr>
          <w:ilvl w:val="0"/>
          <w:numId w:val="0"/>
        </w:numPr>
        <w:ind w:left="360" w:hanging="360"/>
      </w:pPr>
      <w:r>
        <w:t>[11]</w:t>
      </w:r>
      <w:r>
        <w:tab/>
      </w:r>
      <w:r w:rsidR="0055088B">
        <w:t xml:space="preserve">The </w:t>
      </w:r>
      <w:r w:rsidR="00F8213F">
        <w:t xml:space="preserve">applicant alleges in the founding affidavit that it is the owner of the </w:t>
      </w:r>
      <w:r w:rsidR="00006D6E">
        <w:t xml:space="preserve">Roadsaver </w:t>
      </w:r>
      <w:r w:rsidR="00F8213F">
        <w:t>product, but it does not clearly explain how it acquired ownership</w:t>
      </w:r>
      <w:r w:rsidR="002233C7">
        <w:t>, a</w:t>
      </w:r>
      <w:r w:rsidR="00F8213F">
        <w:t xml:space="preserve"> point I return to in more detail below.</w:t>
      </w:r>
      <w:r w:rsidR="00006D6E">
        <w:t xml:space="preserve"> </w:t>
      </w:r>
      <w:r w:rsidR="00F8213F">
        <w:t xml:space="preserve">The </w:t>
      </w:r>
      <w:r w:rsidR="00A907E5">
        <w:t>respondent</w:t>
      </w:r>
      <w:r w:rsidR="00006D6E">
        <w:t>, on the other hand,</w:t>
      </w:r>
      <w:r w:rsidR="00A907E5">
        <w:t xml:space="preserve"> expressly </w:t>
      </w:r>
      <w:r w:rsidR="00F8213F">
        <w:t>denies that the applicant is the owner</w:t>
      </w:r>
      <w:r w:rsidR="00960D98">
        <w:t>. He</w:t>
      </w:r>
      <w:r w:rsidR="00F8213F">
        <w:t xml:space="preserve"> </w:t>
      </w:r>
      <w:r w:rsidR="00A907E5">
        <w:t xml:space="preserve">asserts that he is the owner or, otherwise, </w:t>
      </w:r>
      <w:r w:rsidR="002233C7">
        <w:t xml:space="preserve">a close corporation called </w:t>
      </w:r>
      <w:r w:rsidR="00A907E5">
        <w:t xml:space="preserve">Pilot Lubricant CC </w:t>
      </w:r>
      <w:r w:rsidR="00006D6E">
        <w:t xml:space="preserve">(“Pilot”) </w:t>
      </w:r>
      <w:r w:rsidR="00A907E5">
        <w:t>is the owner</w:t>
      </w:r>
      <w:r w:rsidR="00F8213F">
        <w:t xml:space="preserve"> of the product</w:t>
      </w:r>
      <w:r w:rsidR="00A907E5">
        <w:t>.</w:t>
      </w:r>
      <w:r w:rsidR="002233C7">
        <w:t xml:space="preserve"> Pilot is the </w:t>
      </w:r>
      <w:r w:rsidR="00006D6E">
        <w:t>entity</w:t>
      </w:r>
      <w:r w:rsidR="002233C7">
        <w:t xml:space="preserve"> that historically supplied the Roadsaver product to the applicant.</w:t>
      </w:r>
    </w:p>
    <w:p w14:paraId="5D9A7C25" w14:textId="26545D5A" w:rsidR="005A71A5" w:rsidRDefault="00051A9F" w:rsidP="00051A9F">
      <w:pPr>
        <w:pStyle w:val="Std"/>
        <w:numPr>
          <w:ilvl w:val="0"/>
          <w:numId w:val="0"/>
        </w:numPr>
        <w:ind w:left="360" w:hanging="360"/>
      </w:pPr>
      <w:r>
        <w:t>[12]</w:t>
      </w:r>
      <w:r>
        <w:tab/>
      </w:r>
      <w:r w:rsidR="00175428">
        <w:t xml:space="preserve">Since the applicant seeks final relief, </w:t>
      </w:r>
      <w:r w:rsidR="005A71A5">
        <w:t xml:space="preserve">I must accept the respondent’s version </w:t>
      </w:r>
      <w:r w:rsidR="00960D98">
        <w:t xml:space="preserve">that the applicant is not the owner of the Roadsaver product </w:t>
      </w:r>
      <w:r w:rsidR="005A71A5">
        <w:t>unless it is so far-fetched or untenable that it falls to be rejected out of hand.</w:t>
      </w:r>
    </w:p>
    <w:p w14:paraId="5DD5AF60" w14:textId="3A5D3F5B" w:rsidR="00175428" w:rsidRDefault="00051A9F" w:rsidP="00051A9F">
      <w:pPr>
        <w:pStyle w:val="Std"/>
        <w:numPr>
          <w:ilvl w:val="0"/>
          <w:numId w:val="0"/>
        </w:numPr>
        <w:ind w:left="360" w:hanging="360"/>
      </w:pPr>
      <w:r>
        <w:t>[13]</w:t>
      </w:r>
      <w:r>
        <w:tab/>
      </w:r>
      <w:r w:rsidR="00175428">
        <w:t xml:space="preserve">In my view, the respondent’s contention that he is </w:t>
      </w:r>
      <w:r w:rsidR="005A71A5">
        <w:t xml:space="preserve">the owner </w:t>
      </w:r>
      <w:r w:rsidR="00006D6E">
        <w:t>of the Ro</w:t>
      </w:r>
      <w:r w:rsidR="00960D98">
        <w:t>a</w:t>
      </w:r>
      <w:r w:rsidR="00006D6E">
        <w:t xml:space="preserve">dsaver product </w:t>
      </w:r>
      <w:r w:rsidR="005A71A5">
        <w:t xml:space="preserve">can be </w:t>
      </w:r>
      <w:r w:rsidR="00175428">
        <w:t xml:space="preserve">so </w:t>
      </w:r>
      <w:r w:rsidR="005A71A5">
        <w:t>dismissed.</w:t>
      </w:r>
      <w:r w:rsidR="00F8213F">
        <w:t xml:space="preserve"> </w:t>
      </w:r>
      <w:r w:rsidR="00175428">
        <w:t xml:space="preserve">The respondent says that </w:t>
      </w:r>
      <w:r w:rsidR="00F8213F">
        <w:t xml:space="preserve">in 2016 </w:t>
      </w:r>
      <w:r w:rsidR="00175428">
        <w:t>he</w:t>
      </w:r>
      <w:r w:rsidR="00F8213F">
        <w:t xml:space="preserve">, of his own accord, </w:t>
      </w:r>
      <w:r w:rsidR="00175428">
        <w:t xml:space="preserve">approached Mr </w:t>
      </w:r>
      <w:r w:rsidR="0030112E">
        <w:t xml:space="preserve">CA </w:t>
      </w:r>
      <w:r w:rsidR="00175428">
        <w:t xml:space="preserve">Botes, the applicant’s main shareholder, who gave him </w:t>
      </w:r>
      <w:r w:rsidR="00006D6E">
        <w:t>a list with the</w:t>
      </w:r>
      <w:r w:rsidR="00175428">
        <w:t xml:space="preserve"> names of the chemicals used to produce the Ro</w:t>
      </w:r>
      <w:r w:rsidR="00F8213F">
        <w:t>a</w:t>
      </w:r>
      <w:r w:rsidR="00175428">
        <w:t>dsaver product. The respondent says that he used this list and, through a process of trial and error, eventually determined how to manufacture the Roadsaver product.</w:t>
      </w:r>
      <w:r w:rsidR="00F8213F">
        <w:t xml:space="preserve"> He says he did this without financial support from the applicant</w:t>
      </w:r>
      <w:r w:rsidR="002233C7">
        <w:t xml:space="preserve"> and using his own </w:t>
      </w:r>
      <w:r w:rsidR="00361424">
        <w:t>resources</w:t>
      </w:r>
      <w:r w:rsidR="00F8213F">
        <w:t>. The respondent says that in the circumstances he developed the formula independently of the applicant and not for the applicant’s benefit.</w:t>
      </w:r>
    </w:p>
    <w:p w14:paraId="284879A0" w14:textId="31E1B158" w:rsidR="00175428" w:rsidRDefault="00051A9F" w:rsidP="00051A9F">
      <w:pPr>
        <w:pStyle w:val="Std"/>
        <w:numPr>
          <w:ilvl w:val="0"/>
          <w:numId w:val="0"/>
        </w:numPr>
        <w:ind w:left="360" w:hanging="360"/>
      </w:pPr>
      <w:r>
        <w:lastRenderedPageBreak/>
        <w:t>[14]</w:t>
      </w:r>
      <w:r>
        <w:tab/>
      </w:r>
      <w:r w:rsidR="00175428">
        <w:t xml:space="preserve">The contention is entirely implausible. The respondent acknowledges that Mr </w:t>
      </w:r>
      <w:r w:rsidR="007B01EB">
        <w:t>Botes</w:t>
      </w:r>
      <w:r w:rsidR="00175428">
        <w:t xml:space="preserve">, </w:t>
      </w:r>
      <w:r w:rsidR="00006D6E">
        <w:t xml:space="preserve">who, as I have said, was </w:t>
      </w:r>
      <w:r w:rsidR="00175428">
        <w:t>the applicant’s main shareholder,</w:t>
      </w:r>
      <w:r w:rsidR="007B01EB">
        <w:t xml:space="preserve"> </w:t>
      </w:r>
      <w:r w:rsidR="00222B07">
        <w:t>provided him with at least the starting point for recreating the formula</w:t>
      </w:r>
      <w:r w:rsidR="002233C7">
        <w:t xml:space="preserve"> in the form of the list of chemicals</w:t>
      </w:r>
      <w:r w:rsidR="00222B07">
        <w:t>.</w:t>
      </w:r>
      <w:r w:rsidR="00F8213F">
        <w:t xml:space="preserve"> </w:t>
      </w:r>
      <w:r w:rsidR="00222B07">
        <w:t xml:space="preserve">The respondent </w:t>
      </w:r>
      <w:r w:rsidR="002233C7">
        <w:t xml:space="preserve">acknowledges that he </w:t>
      </w:r>
      <w:r w:rsidR="00222B07">
        <w:t xml:space="preserve">was an employee of the applicant at this time. </w:t>
      </w:r>
      <w:r w:rsidR="00175428">
        <w:t xml:space="preserve">The respondent </w:t>
      </w:r>
      <w:r w:rsidR="00D03E89">
        <w:t>also himself says</w:t>
      </w:r>
      <w:r w:rsidR="00175428">
        <w:t xml:space="preserve"> that at the time Mr Botes provided him with the original formula the applicant </w:t>
      </w:r>
      <w:r w:rsidR="00222B07">
        <w:t xml:space="preserve">was </w:t>
      </w:r>
      <w:r w:rsidR="00175428">
        <w:t>facing increasing prices from its then supplier, Pilot</w:t>
      </w:r>
      <w:r w:rsidR="00222B07">
        <w:t>, which was making its business unprofitable</w:t>
      </w:r>
      <w:r w:rsidR="00175428">
        <w:t xml:space="preserve">. </w:t>
      </w:r>
    </w:p>
    <w:p w14:paraId="7432ED72" w14:textId="4DB19D05" w:rsidR="00FD76A2" w:rsidRDefault="00051A9F" w:rsidP="00051A9F">
      <w:pPr>
        <w:pStyle w:val="Std"/>
        <w:numPr>
          <w:ilvl w:val="0"/>
          <w:numId w:val="0"/>
        </w:numPr>
        <w:ind w:left="360" w:hanging="360"/>
      </w:pPr>
      <w:r>
        <w:t>[15]</w:t>
      </w:r>
      <w:r>
        <w:tab/>
      </w:r>
      <w:r w:rsidR="00960D98">
        <w:t>The</w:t>
      </w:r>
      <w:r w:rsidR="00FD76A2">
        <w:t xml:space="preserve"> respondent’s version in his </w:t>
      </w:r>
      <w:r w:rsidR="00960D98">
        <w:t xml:space="preserve">answering </w:t>
      </w:r>
      <w:r w:rsidR="00FD76A2">
        <w:t xml:space="preserve">affidavit that he approached Mr Botes </w:t>
      </w:r>
      <w:r w:rsidR="00006D6E">
        <w:t xml:space="preserve">specifically to ask for the names of the chemicals used in the Roadsaver product so that he could independently recreate the formula for his own account, </w:t>
      </w:r>
      <w:r w:rsidR="00FD76A2">
        <w:t xml:space="preserve">is also inconsistent with what </w:t>
      </w:r>
      <w:r w:rsidR="00960D98">
        <w:t>he</w:t>
      </w:r>
      <w:r w:rsidR="00FD76A2">
        <w:t xml:space="preserve"> said in his letter of resignation in September 2020, a copy of which the applicant attached to its founding affidavit</w:t>
      </w:r>
      <w:r w:rsidR="00006D6E">
        <w:t>, and which the respondent did not deal with in his answering affidavit</w:t>
      </w:r>
      <w:r w:rsidR="00FD76A2">
        <w:t xml:space="preserve">. </w:t>
      </w:r>
      <w:r w:rsidR="00006D6E">
        <w:t>I</w:t>
      </w:r>
      <w:r w:rsidR="00FD76A2">
        <w:t>n that letter, the respondent indicated that during the course of a visit he made to Mr Botes, Mr Botes gave him the chemical ingredients and asked him if he could do something with them.</w:t>
      </w:r>
    </w:p>
    <w:p w14:paraId="6478982C" w14:textId="6B699CCF" w:rsidR="00222B07" w:rsidRDefault="00051A9F" w:rsidP="00051A9F">
      <w:pPr>
        <w:pStyle w:val="Std"/>
        <w:numPr>
          <w:ilvl w:val="0"/>
          <w:numId w:val="0"/>
        </w:numPr>
        <w:ind w:left="360" w:hanging="360"/>
      </w:pPr>
      <w:r>
        <w:t>[16]</w:t>
      </w:r>
      <w:r>
        <w:tab/>
      </w:r>
      <w:r w:rsidR="00175428">
        <w:t>In these circumstances, the respondent’s suggestion that</w:t>
      </w:r>
      <w:r w:rsidR="00F8213F">
        <w:t xml:space="preserve"> </w:t>
      </w:r>
      <w:r w:rsidR="002233C7">
        <w:t xml:space="preserve">Mr Botes assisted him to develop the formula for his own benefit and not for the applicant </w:t>
      </w:r>
      <w:r w:rsidR="00F8213F">
        <w:t xml:space="preserve">is </w:t>
      </w:r>
      <w:r w:rsidR="002233C7">
        <w:t xml:space="preserve">simply </w:t>
      </w:r>
      <w:r w:rsidR="00F8213F">
        <w:t>not credible</w:t>
      </w:r>
      <w:r w:rsidR="00222B07">
        <w:t>.</w:t>
      </w:r>
    </w:p>
    <w:p w14:paraId="7B5E7EB2" w14:textId="313C2524" w:rsidR="002233C7" w:rsidRDefault="00051A9F" w:rsidP="00051A9F">
      <w:pPr>
        <w:pStyle w:val="Std"/>
        <w:numPr>
          <w:ilvl w:val="0"/>
          <w:numId w:val="0"/>
        </w:numPr>
        <w:ind w:left="360" w:hanging="360"/>
      </w:pPr>
      <w:r>
        <w:t>[17]</w:t>
      </w:r>
      <w:r>
        <w:tab/>
      </w:r>
      <w:r w:rsidR="002233C7">
        <w:t>The respondent’s allegation that Pilot</w:t>
      </w:r>
      <w:r w:rsidR="00006D6E">
        <w:t xml:space="preserve"> is</w:t>
      </w:r>
      <w:r w:rsidR="002233C7">
        <w:t xml:space="preserve"> </w:t>
      </w:r>
      <w:r w:rsidR="00222B07">
        <w:t xml:space="preserve">the </w:t>
      </w:r>
      <w:r w:rsidR="00006D6E">
        <w:t xml:space="preserve">lawful </w:t>
      </w:r>
      <w:r w:rsidR="00222B07">
        <w:t xml:space="preserve">owner of the </w:t>
      </w:r>
      <w:r w:rsidR="002233C7">
        <w:t>Roadsaver product requires more careful consideration</w:t>
      </w:r>
      <w:r w:rsidR="00222B07">
        <w:t xml:space="preserve">. </w:t>
      </w:r>
      <w:r w:rsidR="002233C7">
        <w:t>As I have indicated</w:t>
      </w:r>
      <w:r w:rsidR="00361424">
        <w:t xml:space="preserve">, </w:t>
      </w:r>
      <w:r w:rsidR="002233C7">
        <w:t xml:space="preserve">Pilot is the firm that </w:t>
      </w:r>
      <w:r w:rsidR="00FD76A2">
        <w:t xml:space="preserve">historically </w:t>
      </w:r>
      <w:r w:rsidR="002233C7">
        <w:t>supplied the Ro</w:t>
      </w:r>
      <w:r w:rsidR="00361424">
        <w:t>a</w:t>
      </w:r>
      <w:r w:rsidR="002233C7">
        <w:t xml:space="preserve">dsaver product to </w:t>
      </w:r>
      <w:r w:rsidR="00006D6E">
        <w:t>the applicant</w:t>
      </w:r>
      <w:r w:rsidR="002233C7">
        <w:t>.</w:t>
      </w:r>
    </w:p>
    <w:p w14:paraId="5A66A194" w14:textId="5E3BA52A" w:rsidR="003D0302" w:rsidRDefault="00051A9F" w:rsidP="00051A9F">
      <w:pPr>
        <w:pStyle w:val="Std"/>
        <w:numPr>
          <w:ilvl w:val="0"/>
          <w:numId w:val="0"/>
        </w:numPr>
        <w:ind w:left="360" w:hanging="360"/>
      </w:pPr>
      <w:r>
        <w:t>[18]</w:t>
      </w:r>
      <w:r>
        <w:tab/>
      </w:r>
      <w:r w:rsidR="002233C7">
        <w:t xml:space="preserve">The respondent attaches two documents to </w:t>
      </w:r>
      <w:r w:rsidR="00960D98">
        <w:t>his</w:t>
      </w:r>
      <w:r w:rsidR="002233C7">
        <w:t xml:space="preserve"> answering affidavit in support of his allegation. The first is an email from Mr </w:t>
      </w:r>
      <w:r w:rsidR="001D47C6">
        <w:t xml:space="preserve">Johnny </w:t>
      </w:r>
      <w:r w:rsidR="002233C7">
        <w:t>Pillay</w:t>
      </w:r>
      <w:r w:rsidR="00006D6E">
        <w:t xml:space="preserve">, the sole member of </w:t>
      </w:r>
      <w:r w:rsidR="00006D6E">
        <w:lastRenderedPageBreak/>
        <w:t>Pilot,</w:t>
      </w:r>
      <w:r w:rsidR="002233C7">
        <w:t xml:space="preserve"> </w:t>
      </w:r>
      <w:r w:rsidR="001D47C6">
        <w:t>dated 31</w:t>
      </w:r>
      <w:r w:rsidR="002233C7">
        <w:t xml:space="preserve"> October 2012 in which Mr Pillay refers to Roadsaver as a product “</w:t>
      </w:r>
      <w:r w:rsidR="002233C7" w:rsidRPr="00006D6E">
        <w:rPr>
          <w:i/>
          <w:iCs/>
        </w:rPr>
        <w:t>that I have formulated</w:t>
      </w:r>
      <w:r w:rsidR="002233C7">
        <w:t>”.</w:t>
      </w:r>
      <w:r w:rsidR="00006D6E">
        <w:t xml:space="preserve"> </w:t>
      </w:r>
    </w:p>
    <w:p w14:paraId="6AED793C" w14:textId="1A418297" w:rsidR="00960D98" w:rsidRDefault="00051A9F" w:rsidP="00051A9F">
      <w:pPr>
        <w:pStyle w:val="Std"/>
        <w:numPr>
          <w:ilvl w:val="0"/>
          <w:numId w:val="0"/>
        </w:numPr>
        <w:ind w:left="360" w:hanging="360"/>
      </w:pPr>
      <w:r>
        <w:t>[19]</w:t>
      </w:r>
      <w:r>
        <w:tab/>
      </w:r>
      <w:r w:rsidR="00361424">
        <w:t xml:space="preserve">The second is </w:t>
      </w:r>
      <w:r w:rsidR="001D47C6">
        <w:t xml:space="preserve">a letter dated 11 July 2017 from </w:t>
      </w:r>
      <w:r w:rsidR="00361424">
        <w:t>Da Silva Attorneys</w:t>
      </w:r>
      <w:r w:rsidR="001D47C6">
        <w:t xml:space="preserve"> to Mr Pillay. </w:t>
      </w:r>
      <w:r w:rsidR="003D0302">
        <w:t>T</w:t>
      </w:r>
      <w:r w:rsidR="001D47C6">
        <w:t>he letter indicates that it encloses “</w:t>
      </w:r>
      <w:r w:rsidR="001D47C6" w:rsidRPr="00960D98">
        <w:rPr>
          <w:i/>
          <w:iCs/>
        </w:rPr>
        <w:t>a draft response to Cornelius Botes which he can then forward on his attorney</w:t>
      </w:r>
      <w:r w:rsidR="001D47C6">
        <w:t xml:space="preserve">”. </w:t>
      </w:r>
      <w:r w:rsidR="00960D98">
        <w:t>There is no dispute that “</w:t>
      </w:r>
      <w:r w:rsidR="00960D98" w:rsidRPr="00960D98">
        <w:rPr>
          <w:i/>
          <w:iCs/>
        </w:rPr>
        <w:t>Cornelius Botes</w:t>
      </w:r>
      <w:r w:rsidR="00960D98">
        <w:t xml:space="preserve">” is </w:t>
      </w:r>
      <w:r w:rsidR="001D47C6">
        <w:t>Mr Botes</w:t>
      </w:r>
      <w:r w:rsidR="00960D98">
        <w:t>,</w:t>
      </w:r>
      <w:r w:rsidR="001D47C6">
        <w:t xml:space="preserve"> the applicant’s main shareholder. The draft response, to be sent by Da Silva Attorneys</w:t>
      </w:r>
      <w:r w:rsidR="003D0302">
        <w:t xml:space="preserve"> on behalf of Pilot to Mr Botes</w:t>
      </w:r>
      <w:r w:rsidR="001D47C6">
        <w:t>, is headed “</w:t>
      </w:r>
      <w:r w:rsidR="001D47C6" w:rsidRPr="00960D98">
        <w:rPr>
          <w:i/>
          <w:iCs/>
        </w:rPr>
        <w:t>Re: Pilot Lubricants CC/Universal Blending</w:t>
      </w:r>
      <w:r w:rsidR="001D47C6">
        <w:t>”</w:t>
      </w:r>
      <w:r w:rsidR="00960D98">
        <w:t xml:space="preserve"> and </w:t>
      </w:r>
      <w:r w:rsidR="001D47C6">
        <w:t xml:space="preserve">indicates that Da Silva </w:t>
      </w:r>
      <w:r w:rsidR="003D0302">
        <w:t>Attorneys</w:t>
      </w:r>
      <w:r w:rsidR="001D47C6">
        <w:t xml:space="preserve"> have been requested to assist Mr Pillay regarding a draft agreement, “</w:t>
      </w:r>
      <w:r w:rsidR="001D47C6" w:rsidRPr="00960D98">
        <w:rPr>
          <w:i/>
          <w:iCs/>
        </w:rPr>
        <w:t>prepared by your offices and/or your attorneys</w:t>
      </w:r>
      <w:r w:rsidR="001D47C6">
        <w:t>”.</w:t>
      </w:r>
      <w:r w:rsidR="00960D98">
        <w:t xml:space="preserve"> </w:t>
      </w:r>
      <w:r w:rsidR="001D47C6">
        <w:t xml:space="preserve">The draft agreement itself is attached to the draft response. </w:t>
      </w:r>
      <w:r w:rsidR="003D0302">
        <w:t>It</w:t>
      </w:r>
      <w:r w:rsidR="001D47C6">
        <w:t xml:space="preserve"> is an agreement</w:t>
      </w:r>
      <w:r w:rsidR="00361424">
        <w:t xml:space="preserve"> of sale of Pilot</w:t>
      </w:r>
      <w:r w:rsidR="001D47C6">
        <w:t xml:space="preserve">’s </w:t>
      </w:r>
      <w:r w:rsidR="00361424">
        <w:t>intellectual property rights in the Roadsaver product to the applican</w:t>
      </w:r>
      <w:r w:rsidR="001D47C6">
        <w:t>t</w:t>
      </w:r>
      <w:r w:rsidR="00361424">
        <w:t xml:space="preserve">. </w:t>
      </w:r>
    </w:p>
    <w:p w14:paraId="28A40C62" w14:textId="04FA8809" w:rsidR="00361424" w:rsidRDefault="00051A9F" w:rsidP="00051A9F">
      <w:pPr>
        <w:pStyle w:val="Std"/>
        <w:numPr>
          <w:ilvl w:val="0"/>
          <w:numId w:val="0"/>
        </w:numPr>
        <w:ind w:left="360" w:hanging="360"/>
      </w:pPr>
      <w:r>
        <w:t>[20]</w:t>
      </w:r>
      <w:r>
        <w:tab/>
      </w:r>
      <w:r w:rsidR="00361424">
        <w:t xml:space="preserve">The </w:t>
      </w:r>
      <w:r w:rsidR="00960D98">
        <w:t>draft response</w:t>
      </w:r>
      <w:r w:rsidR="00361424">
        <w:t xml:space="preserve"> records that</w:t>
      </w:r>
      <w:r w:rsidR="001D47C6">
        <w:t xml:space="preserve"> there are various aspects of the agreement</w:t>
      </w:r>
      <w:r w:rsidR="00361424">
        <w:t xml:space="preserve"> </w:t>
      </w:r>
      <w:r w:rsidR="001D47C6">
        <w:t xml:space="preserve">that need to be changed. It records that the first major issue that needs to be addressed is that </w:t>
      </w:r>
      <w:r w:rsidR="00361424">
        <w:t>Mr Pillay “</w:t>
      </w:r>
      <w:r w:rsidR="00361424" w:rsidRPr="00960D98">
        <w:rPr>
          <w:i/>
          <w:iCs/>
        </w:rPr>
        <w:t>in his capacity as a member of a close corporation and in his personal capacity is the owner of the product and the intellectual Property and this should be reflected accordingly</w:t>
      </w:r>
      <w:r w:rsidR="00361424">
        <w:t>”.</w:t>
      </w:r>
      <w:r w:rsidR="003D0302">
        <w:t xml:space="preserve"> The draft agreement records in this regard</w:t>
      </w:r>
      <w:r w:rsidR="00960D98">
        <w:t xml:space="preserve"> in paragraph 2.1</w:t>
      </w:r>
      <w:r w:rsidR="003D0302">
        <w:t xml:space="preserve"> that the applicant </w:t>
      </w:r>
      <w:r w:rsidR="00960D98">
        <w:t>has “</w:t>
      </w:r>
      <w:r w:rsidR="00960D98" w:rsidRPr="00960D98">
        <w:rPr>
          <w:i/>
          <w:iCs/>
        </w:rPr>
        <w:t>co-developed</w:t>
      </w:r>
      <w:r w:rsidR="00960D98">
        <w:t xml:space="preserve">” the Roadsaver product </w:t>
      </w:r>
      <w:r w:rsidR="003D0302">
        <w:t xml:space="preserve">and </w:t>
      </w:r>
      <w:r w:rsidR="00960D98">
        <w:t xml:space="preserve">in paragraph 2.3 that the applicant and </w:t>
      </w:r>
      <w:r w:rsidR="003D0302">
        <w:t>Pilot “</w:t>
      </w:r>
      <w:r w:rsidR="003D0302" w:rsidRPr="00960D98">
        <w:rPr>
          <w:i/>
          <w:iCs/>
        </w:rPr>
        <w:t>have jointly developed and jointly own the Intellectual Property Rights</w:t>
      </w:r>
      <w:r w:rsidR="003D0302">
        <w:t>” to the Roadsaver product.</w:t>
      </w:r>
      <w:r w:rsidR="00960D98">
        <w:t xml:space="preserve"> The draft response indicates that paragraph 2.1 “</w:t>
      </w:r>
      <w:r w:rsidR="00960D98" w:rsidRPr="002F6ABC">
        <w:rPr>
          <w:i/>
          <w:iCs/>
        </w:rPr>
        <w:t>needs to be deleted in its entirety as [the applicant] has not been a co-dev</w:t>
      </w:r>
      <w:r w:rsidR="002F6ABC">
        <w:rPr>
          <w:i/>
          <w:iCs/>
        </w:rPr>
        <w:t>e</w:t>
      </w:r>
      <w:r w:rsidR="00960D98" w:rsidRPr="002F6ABC">
        <w:rPr>
          <w:i/>
          <w:iCs/>
        </w:rPr>
        <w:t>loper as alleged</w:t>
      </w:r>
      <w:r w:rsidR="00960D98">
        <w:t>” and tha</w:t>
      </w:r>
      <w:r w:rsidR="002F6ABC">
        <w:t>t paragraph 2.3 must also be amended.</w:t>
      </w:r>
    </w:p>
    <w:p w14:paraId="369B5F1C" w14:textId="0E9F011E" w:rsidR="00361424" w:rsidRDefault="00051A9F" w:rsidP="00051A9F">
      <w:pPr>
        <w:pStyle w:val="Std"/>
        <w:numPr>
          <w:ilvl w:val="0"/>
          <w:numId w:val="0"/>
        </w:numPr>
        <w:ind w:left="360" w:hanging="360"/>
      </w:pPr>
      <w:r>
        <w:lastRenderedPageBreak/>
        <w:t>[21]</w:t>
      </w:r>
      <w:r>
        <w:tab/>
      </w:r>
      <w:r w:rsidR="00361424">
        <w:t xml:space="preserve">The </w:t>
      </w:r>
      <w:r w:rsidR="00361424" w:rsidRPr="00B035C4">
        <w:t>respondent’s</w:t>
      </w:r>
      <w:r w:rsidR="00361424">
        <w:t xml:space="preserve"> claim </w:t>
      </w:r>
      <w:r w:rsidR="003D0302">
        <w:t xml:space="preserve">that Pilot is the lawful owner of the Roadsaver product </w:t>
      </w:r>
      <w:r w:rsidR="00361424">
        <w:t>is consistent with his allegation</w:t>
      </w:r>
      <w:r w:rsidR="002F6ABC">
        <w:t xml:space="preserve"> in his answering affidavit</w:t>
      </w:r>
      <w:r w:rsidR="00361424">
        <w:t xml:space="preserve"> that the reason he and Mr Botes discussed recreating the R</w:t>
      </w:r>
      <w:r w:rsidR="00FD76A2">
        <w:t>o</w:t>
      </w:r>
      <w:r w:rsidR="00361424">
        <w:t xml:space="preserve">adsaver formula </w:t>
      </w:r>
      <w:r w:rsidR="003D0302">
        <w:t xml:space="preserve">in 2016 </w:t>
      </w:r>
      <w:r w:rsidR="00361424">
        <w:t xml:space="preserve">was because </w:t>
      </w:r>
      <w:r w:rsidR="00FD76A2">
        <w:t xml:space="preserve">Pilot had increased its prices for the product to the extent that it was no longer profitable for the applicant to continue purchasing the product. </w:t>
      </w:r>
      <w:r w:rsidR="00361424">
        <w:t xml:space="preserve">If the applicant was the owner of the </w:t>
      </w:r>
      <w:r w:rsidR="003D0302">
        <w:t>product</w:t>
      </w:r>
      <w:r w:rsidR="002F6ABC">
        <w:t xml:space="preserve"> </w:t>
      </w:r>
      <w:r w:rsidR="00361424">
        <w:t>then</w:t>
      </w:r>
      <w:r w:rsidR="00FD76A2">
        <w:t>, on the face of it, it</w:t>
      </w:r>
      <w:r w:rsidR="00361424">
        <w:t xml:space="preserve"> would </w:t>
      </w:r>
      <w:r w:rsidR="00FD76A2">
        <w:t>not have needed to recreate the formula in order to escape its difficulty. It could</w:t>
      </w:r>
      <w:r w:rsidR="00361424">
        <w:t xml:space="preserve"> simply have found another manufacturer and provided </w:t>
      </w:r>
      <w:r w:rsidR="003D0302">
        <w:t>that manufacturer</w:t>
      </w:r>
      <w:r w:rsidR="00361424">
        <w:t xml:space="preserve"> with the formula to produce </w:t>
      </w:r>
      <w:r w:rsidR="00FD76A2">
        <w:t>the product.</w:t>
      </w:r>
    </w:p>
    <w:p w14:paraId="31F72CBD" w14:textId="001A5E44" w:rsidR="008759FF" w:rsidRDefault="00051A9F" w:rsidP="00051A9F">
      <w:pPr>
        <w:pStyle w:val="Std"/>
        <w:numPr>
          <w:ilvl w:val="0"/>
          <w:numId w:val="0"/>
        </w:numPr>
        <w:ind w:left="360" w:hanging="360"/>
      </w:pPr>
      <w:r>
        <w:t>[22]</w:t>
      </w:r>
      <w:r>
        <w:tab/>
      </w:r>
      <w:r w:rsidR="008759FF">
        <w:t>The draft agreement also supports the respondent’s assertion in the answering affidavit that the applicant initially considered buying the formula from Pilot, but could not reach agreement on an acceptable price.</w:t>
      </w:r>
    </w:p>
    <w:p w14:paraId="66953707" w14:textId="2235AC29" w:rsidR="003C09BF" w:rsidRDefault="00051A9F" w:rsidP="00051A9F">
      <w:pPr>
        <w:pStyle w:val="Std"/>
        <w:numPr>
          <w:ilvl w:val="0"/>
          <w:numId w:val="0"/>
        </w:numPr>
        <w:ind w:left="360" w:hanging="360"/>
      </w:pPr>
      <w:r>
        <w:t>[23]</w:t>
      </w:r>
      <w:r>
        <w:tab/>
      </w:r>
      <w:r w:rsidR="003D0302">
        <w:t>Finally, t</w:t>
      </w:r>
      <w:r w:rsidR="00FD76A2">
        <w:t xml:space="preserve">he respondent’s claim that the </w:t>
      </w:r>
      <w:r w:rsidR="003D0302">
        <w:t xml:space="preserve">Roadsaver </w:t>
      </w:r>
      <w:r w:rsidR="00FD76A2">
        <w:t xml:space="preserve">product </w:t>
      </w:r>
      <w:r w:rsidR="003D0302">
        <w:t>is</w:t>
      </w:r>
      <w:r w:rsidR="00FD76A2">
        <w:t xml:space="preserve"> owned by Pilot is also consistent with what he asserted at </w:t>
      </w:r>
      <w:r w:rsidR="003C09BF">
        <w:t>in his letter of</w:t>
      </w:r>
      <w:r w:rsidR="00FD76A2">
        <w:t xml:space="preserve"> resignation in September 2020</w:t>
      </w:r>
      <w:r w:rsidR="003C09BF">
        <w:t>.</w:t>
      </w:r>
    </w:p>
    <w:p w14:paraId="0B15949E" w14:textId="4E4E057F" w:rsidR="00FD76A2" w:rsidRDefault="00051A9F" w:rsidP="00051A9F">
      <w:pPr>
        <w:pStyle w:val="Std"/>
        <w:numPr>
          <w:ilvl w:val="0"/>
          <w:numId w:val="0"/>
        </w:numPr>
        <w:ind w:left="360" w:hanging="360"/>
      </w:pPr>
      <w:r>
        <w:t>[24]</w:t>
      </w:r>
      <w:r>
        <w:tab/>
      </w:r>
      <w:r w:rsidR="003C09BF">
        <w:t xml:space="preserve">The simplest way for the applicant to have </w:t>
      </w:r>
      <w:r w:rsidR="003D0302">
        <w:t>dealt with the respondent’s</w:t>
      </w:r>
      <w:r w:rsidR="003C09BF">
        <w:t xml:space="preserve"> claim would have been for it to procure an affidavit from Pilot confirming that it was not the owner of the product and </w:t>
      </w:r>
      <w:r w:rsidR="003D0302">
        <w:t xml:space="preserve">to have </w:t>
      </w:r>
      <w:r w:rsidR="003C09BF">
        <w:t xml:space="preserve">put this up </w:t>
      </w:r>
      <w:r w:rsidR="001B252F">
        <w:t xml:space="preserve">along </w:t>
      </w:r>
      <w:r w:rsidR="001B252F" w:rsidRPr="00294B78">
        <w:t>with</w:t>
      </w:r>
      <w:r w:rsidR="001B252F">
        <w:t xml:space="preserve"> its</w:t>
      </w:r>
      <w:r w:rsidR="003C09BF">
        <w:t xml:space="preserve"> replying affidavit</w:t>
      </w:r>
      <w:r w:rsidR="003D0302">
        <w:t>, delivered some two months after the answering affidavit</w:t>
      </w:r>
      <w:r w:rsidR="003C09BF">
        <w:t xml:space="preserve">. The applicant did not do so and provided no explanation for </w:t>
      </w:r>
      <w:r w:rsidR="00294B78">
        <w:t>this omission</w:t>
      </w:r>
      <w:r w:rsidR="003C09BF">
        <w:t>.</w:t>
      </w:r>
    </w:p>
    <w:p w14:paraId="3A3EF61D" w14:textId="1FA9C096" w:rsidR="003C09BF" w:rsidRDefault="00051A9F" w:rsidP="00051A9F">
      <w:pPr>
        <w:pStyle w:val="Std"/>
        <w:numPr>
          <w:ilvl w:val="0"/>
          <w:numId w:val="0"/>
        </w:numPr>
        <w:ind w:left="360" w:hanging="360"/>
      </w:pPr>
      <w:r>
        <w:t>[25]</w:t>
      </w:r>
      <w:r>
        <w:tab/>
      </w:r>
      <w:r w:rsidR="003C09BF">
        <w:t xml:space="preserve">The applicant also did not deal adequately </w:t>
      </w:r>
      <w:r w:rsidR="00FE354D">
        <w:t xml:space="preserve">in the replying affidavit </w:t>
      </w:r>
      <w:r w:rsidR="003C09BF">
        <w:t>with the documents put up by the respondent</w:t>
      </w:r>
      <w:r w:rsidR="008759FF">
        <w:t xml:space="preserve"> or the claims he made</w:t>
      </w:r>
      <w:r w:rsidR="003D0302">
        <w:t xml:space="preserve"> in relation to ownership in his answering affidavit</w:t>
      </w:r>
      <w:r w:rsidR="003C09BF">
        <w:t xml:space="preserve">. The applicant did not deal </w:t>
      </w:r>
      <w:r w:rsidR="003D0302">
        <w:t xml:space="preserve">at all </w:t>
      </w:r>
      <w:r w:rsidR="003C09BF">
        <w:t xml:space="preserve">with the contents of </w:t>
      </w:r>
      <w:r w:rsidR="003D0302">
        <w:t>Mr Pillay’s</w:t>
      </w:r>
      <w:r w:rsidR="003C09BF">
        <w:t xml:space="preserve"> email of October 2012</w:t>
      </w:r>
      <w:r w:rsidR="00FE354D">
        <w:t>, while it</w:t>
      </w:r>
      <w:r w:rsidR="003C09BF">
        <w:t xml:space="preserve">s only response to the </w:t>
      </w:r>
      <w:r w:rsidR="003D0302">
        <w:t>letter from</w:t>
      </w:r>
      <w:r w:rsidR="003C09BF">
        <w:t xml:space="preserve"> Da Silva Attorneys </w:t>
      </w:r>
      <w:r w:rsidR="002F6ABC">
        <w:t>to</w:t>
      </w:r>
      <w:r w:rsidR="003C09BF">
        <w:t xml:space="preserve"> Mr Pillay</w:t>
      </w:r>
      <w:r w:rsidR="00FE354D">
        <w:t xml:space="preserve"> in July 2017</w:t>
      </w:r>
      <w:r w:rsidR="002F6ABC">
        <w:t xml:space="preserve">, and the attached draft response and </w:t>
      </w:r>
      <w:r w:rsidR="002F6ABC">
        <w:lastRenderedPageBreak/>
        <w:t>agreement,</w:t>
      </w:r>
      <w:r w:rsidR="003C09BF">
        <w:t xml:space="preserve"> was </w:t>
      </w:r>
      <w:r w:rsidR="001B252F">
        <w:t xml:space="preserve">to say </w:t>
      </w:r>
      <w:r w:rsidR="003C09BF">
        <w:t xml:space="preserve">that it had never before seen </w:t>
      </w:r>
      <w:r w:rsidR="002F6ABC">
        <w:t>these documents and</w:t>
      </w:r>
      <w:r w:rsidR="003C09BF">
        <w:t xml:space="preserve"> to point out that clause 2.3 of the </w:t>
      </w:r>
      <w:r w:rsidR="003D0302">
        <w:t xml:space="preserve">draft </w:t>
      </w:r>
      <w:r w:rsidR="003C09BF">
        <w:t xml:space="preserve">agreement recorded that </w:t>
      </w:r>
      <w:r w:rsidR="001B252F">
        <w:t xml:space="preserve">the </w:t>
      </w:r>
      <w:r w:rsidR="003C09BF">
        <w:t xml:space="preserve">formula for the Roadsaver product was jointly owned by </w:t>
      </w:r>
      <w:r w:rsidR="003D0302">
        <w:t>the applicant and Pilot</w:t>
      </w:r>
      <w:r w:rsidR="003C09BF">
        <w:t xml:space="preserve">. The applicant did not </w:t>
      </w:r>
      <w:r w:rsidR="002F6ABC">
        <w:t>though deal with the fact</w:t>
      </w:r>
      <w:r w:rsidR="003C09BF">
        <w:t xml:space="preserve"> that the draft </w:t>
      </w:r>
      <w:r w:rsidR="002F6ABC">
        <w:t>response</w:t>
      </w:r>
      <w:r w:rsidR="003D0302">
        <w:t xml:space="preserve"> recorded that this clause needed to be amended</w:t>
      </w:r>
      <w:r w:rsidR="003C09BF">
        <w:t xml:space="preserve">. </w:t>
      </w:r>
      <w:r w:rsidR="008759FF">
        <w:t xml:space="preserve">The applicant </w:t>
      </w:r>
      <w:r w:rsidR="002F6ABC">
        <w:t xml:space="preserve">also </w:t>
      </w:r>
      <w:r w:rsidR="008759FF">
        <w:t xml:space="preserve">did not address </w:t>
      </w:r>
      <w:r w:rsidR="002F6ABC">
        <w:t xml:space="preserve">at all </w:t>
      </w:r>
      <w:r w:rsidR="008759FF">
        <w:t>the substance of the respondent’s assertion</w:t>
      </w:r>
      <w:r w:rsidR="002F6ABC">
        <w:t>,</w:t>
      </w:r>
      <w:r w:rsidR="008759FF">
        <w:t xml:space="preserve"> that in 2017 the applicant was struggling with high prices from Pilot and </w:t>
      </w:r>
      <w:r w:rsidR="003D0302">
        <w:t>engaged in discussions with Pilot to purchase</w:t>
      </w:r>
      <w:r w:rsidR="008759FF">
        <w:t xml:space="preserve"> the </w:t>
      </w:r>
      <w:r w:rsidR="003D0302">
        <w:t>formula for the Roadsaver product</w:t>
      </w:r>
      <w:r w:rsidR="00093E42">
        <w:t xml:space="preserve"> from Pilot</w:t>
      </w:r>
      <w:r w:rsidR="008759FF">
        <w:t>.</w:t>
      </w:r>
    </w:p>
    <w:p w14:paraId="308BD253" w14:textId="5EA5F4B6" w:rsidR="003C09BF" w:rsidRDefault="00051A9F" w:rsidP="00051A9F">
      <w:pPr>
        <w:pStyle w:val="Std"/>
        <w:numPr>
          <w:ilvl w:val="0"/>
          <w:numId w:val="0"/>
        </w:numPr>
        <w:ind w:left="360" w:hanging="360"/>
      </w:pPr>
      <w:r>
        <w:t>[26]</w:t>
      </w:r>
      <w:r>
        <w:tab/>
      </w:r>
      <w:r w:rsidR="00FE354D">
        <w:t>The applicant also went on to say in the replying affidavit that Pilot “</w:t>
      </w:r>
      <w:r w:rsidR="00FE354D" w:rsidRPr="00294B78">
        <w:rPr>
          <w:i/>
          <w:iCs/>
        </w:rPr>
        <w:t>only supplied a portion of the formula, which was secret</w:t>
      </w:r>
      <w:r w:rsidR="00FE354D">
        <w:t xml:space="preserve">”, a statement that appears to suggest that Pilot owned at least some portion of the </w:t>
      </w:r>
      <w:r w:rsidR="00FE354D" w:rsidRPr="00294B78">
        <w:t>formula</w:t>
      </w:r>
      <w:r w:rsidR="00FE354D">
        <w:t xml:space="preserve"> and </w:t>
      </w:r>
      <w:r w:rsidR="001B252F">
        <w:t xml:space="preserve">for </w:t>
      </w:r>
      <w:r w:rsidR="00FE354D">
        <w:t>which counsel for the applicant could not provide an</w:t>
      </w:r>
      <w:r w:rsidR="001B252F">
        <w:t>y</w:t>
      </w:r>
      <w:r w:rsidR="00FE354D">
        <w:t xml:space="preserve"> </w:t>
      </w:r>
      <w:r w:rsidR="002F6ABC">
        <w:t>other</w:t>
      </w:r>
      <w:r w:rsidR="00FE354D">
        <w:t xml:space="preserve"> explanation.</w:t>
      </w:r>
    </w:p>
    <w:p w14:paraId="122AC4A4" w14:textId="1334762A" w:rsidR="0091480D" w:rsidRDefault="00051A9F" w:rsidP="00051A9F">
      <w:pPr>
        <w:pStyle w:val="Std"/>
        <w:numPr>
          <w:ilvl w:val="0"/>
          <w:numId w:val="0"/>
        </w:numPr>
        <w:ind w:left="360" w:hanging="360"/>
      </w:pPr>
      <w:r>
        <w:t>[27]</w:t>
      </w:r>
      <w:r>
        <w:tab/>
      </w:r>
      <w:r w:rsidR="002F6ABC">
        <w:t>The</w:t>
      </w:r>
      <w:r w:rsidR="00FE354D">
        <w:t xml:space="preserve"> applicant </w:t>
      </w:r>
      <w:r w:rsidR="002F6ABC">
        <w:t>did attach</w:t>
      </w:r>
      <w:r w:rsidR="0091480D">
        <w:t xml:space="preserve"> to </w:t>
      </w:r>
      <w:r w:rsidR="002F6ABC">
        <w:t>its replying</w:t>
      </w:r>
      <w:r w:rsidR="0091480D">
        <w:t xml:space="preserve"> affidavit</w:t>
      </w:r>
      <w:r w:rsidR="00FE354D">
        <w:t xml:space="preserve"> a</w:t>
      </w:r>
      <w:r w:rsidR="002F6ABC">
        <w:t>n undated</w:t>
      </w:r>
      <w:r w:rsidR="0091480D">
        <w:t xml:space="preserve"> document on a Pilot letterhead headed</w:t>
      </w:r>
      <w:r w:rsidR="00FE354D">
        <w:t xml:space="preserve"> “</w:t>
      </w:r>
      <w:r w:rsidR="00FE354D" w:rsidRPr="00294B78">
        <w:rPr>
          <w:i/>
          <w:iCs/>
        </w:rPr>
        <w:t>certificate of quality</w:t>
      </w:r>
      <w:r w:rsidR="00FE354D">
        <w:t>”</w:t>
      </w:r>
      <w:r w:rsidR="0091480D">
        <w:t>, in which it is stated that Pilot “</w:t>
      </w:r>
      <w:r w:rsidR="0091480D" w:rsidRPr="00294B78">
        <w:rPr>
          <w:i/>
          <w:iCs/>
        </w:rPr>
        <w:t xml:space="preserve">are the developers, blenders and manufacturers of the cold bitumen product </w:t>
      </w:r>
      <w:r w:rsidR="001B252F" w:rsidRPr="00294B78">
        <w:rPr>
          <w:i/>
          <w:iCs/>
        </w:rPr>
        <w:t>‘</w:t>
      </w:r>
      <w:r w:rsidR="0091480D" w:rsidRPr="00294B78">
        <w:rPr>
          <w:i/>
          <w:iCs/>
        </w:rPr>
        <w:t>Roadsaver</w:t>
      </w:r>
      <w:r w:rsidR="001B252F" w:rsidRPr="00294B78">
        <w:rPr>
          <w:i/>
          <w:iCs/>
        </w:rPr>
        <w:t>’</w:t>
      </w:r>
      <w:r w:rsidR="0091480D" w:rsidRPr="00294B78">
        <w:rPr>
          <w:i/>
          <w:iCs/>
        </w:rPr>
        <w:t>, used in the sealing of road potholes and cracks. We manufacture on behalf of Universal Blending (Pty) Ltd, who are the owners, distributors and exporters of the product</w:t>
      </w:r>
      <w:r w:rsidR="0091480D">
        <w:t>”.</w:t>
      </w:r>
      <w:r w:rsidR="001B252F">
        <w:t xml:space="preserve"> </w:t>
      </w:r>
      <w:r w:rsidR="0091480D">
        <w:t>The applicant provided no explanation though as to when this document was created, or the circumstances surrounding its creation, or any proof that it even in fact emanated from Pilot.</w:t>
      </w:r>
    </w:p>
    <w:p w14:paraId="48151C2D" w14:textId="173624F5" w:rsidR="00C0577C" w:rsidRDefault="00051A9F" w:rsidP="00051A9F">
      <w:pPr>
        <w:pStyle w:val="Std"/>
        <w:numPr>
          <w:ilvl w:val="0"/>
          <w:numId w:val="0"/>
        </w:numPr>
        <w:ind w:left="360" w:hanging="360"/>
      </w:pPr>
      <w:r>
        <w:t>[28]</w:t>
      </w:r>
      <w:r>
        <w:tab/>
      </w:r>
      <w:r w:rsidR="001B252F">
        <w:t xml:space="preserve">What the document does indicate is that Pilot developed the </w:t>
      </w:r>
      <w:r w:rsidR="003D0302">
        <w:t xml:space="preserve">Roadsaver </w:t>
      </w:r>
      <w:r w:rsidR="001B252F">
        <w:t xml:space="preserve">product. Documents attached to the founding affidavit by the applicant reflect the same claim. </w:t>
      </w:r>
      <w:r w:rsidR="003D0302">
        <w:t>For example, the</w:t>
      </w:r>
      <w:r w:rsidR="001B252F">
        <w:t xml:space="preserve"> applicant attached a letter </w:t>
      </w:r>
      <w:r w:rsidR="00C0577C">
        <w:t>on a</w:t>
      </w:r>
      <w:r w:rsidR="001B252F">
        <w:t xml:space="preserve"> Pilot </w:t>
      </w:r>
      <w:r w:rsidR="00C0577C">
        <w:t>letterhead</w:t>
      </w:r>
      <w:r w:rsidR="001B252F">
        <w:t>, which</w:t>
      </w:r>
      <w:r w:rsidR="00C0577C">
        <w:t xml:space="preserve"> is </w:t>
      </w:r>
      <w:r w:rsidR="002F6ABC">
        <w:t xml:space="preserve">also </w:t>
      </w:r>
      <w:r w:rsidR="00C0577C">
        <w:t>undated</w:t>
      </w:r>
      <w:r w:rsidR="001B252F">
        <w:t xml:space="preserve"> </w:t>
      </w:r>
      <w:r w:rsidR="00C0577C">
        <w:t xml:space="preserve">but which </w:t>
      </w:r>
      <w:r w:rsidR="001B252F">
        <w:t xml:space="preserve">the applicant says was prepared in October 2004, </w:t>
      </w:r>
      <w:r w:rsidR="001B252F">
        <w:lastRenderedPageBreak/>
        <w:t xml:space="preserve">which records that </w:t>
      </w:r>
      <w:r w:rsidR="00C0577C">
        <w:t>“</w:t>
      </w:r>
      <w:r w:rsidR="00C0577C" w:rsidRPr="009170E3">
        <w:rPr>
          <w:i/>
          <w:iCs/>
        </w:rPr>
        <w:t xml:space="preserve">CA Botes approached Mrs EJ Van Assen (see CV on p36) </w:t>
      </w:r>
      <w:r w:rsidR="00C0577C" w:rsidRPr="009170E3">
        <w:rPr>
          <w:i/>
          <w:iCs/>
          <w:u w:val="single"/>
        </w:rPr>
        <w:t>to assist us</w:t>
      </w:r>
      <w:r w:rsidR="00C0577C" w:rsidRPr="009170E3">
        <w:rPr>
          <w:i/>
          <w:iCs/>
        </w:rPr>
        <w:t xml:space="preserve"> under contract to develop a cold bitumen asphalt crack filler</w:t>
      </w:r>
      <w:r w:rsidR="00C0577C">
        <w:t>” (my underlining). The letter suggests that “</w:t>
      </w:r>
      <w:r w:rsidR="00C0577C" w:rsidRPr="009170E3">
        <w:rPr>
          <w:i/>
          <w:iCs/>
        </w:rPr>
        <w:t>should you require more information please do not hesitate to contact us at the above company</w:t>
      </w:r>
      <w:r w:rsidR="00C0577C">
        <w:t xml:space="preserve">”. </w:t>
      </w:r>
    </w:p>
    <w:p w14:paraId="4C33DBEF" w14:textId="1E8609E4" w:rsidR="001B252F" w:rsidRDefault="00051A9F" w:rsidP="00051A9F">
      <w:pPr>
        <w:pStyle w:val="Std"/>
        <w:numPr>
          <w:ilvl w:val="0"/>
          <w:numId w:val="0"/>
        </w:numPr>
        <w:ind w:left="360" w:hanging="360"/>
      </w:pPr>
      <w:r>
        <w:t>[29]</w:t>
      </w:r>
      <w:r>
        <w:tab/>
      </w:r>
      <w:r w:rsidR="001B252F">
        <w:t xml:space="preserve">Curiously, the applicant also </w:t>
      </w:r>
      <w:r w:rsidR="00C0577C">
        <w:t>attached to the founding affidavit</w:t>
      </w:r>
      <w:r w:rsidR="001B252F">
        <w:t xml:space="preserve"> another letter </w:t>
      </w:r>
      <w:r w:rsidR="00C0577C">
        <w:t>on a</w:t>
      </w:r>
      <w:r w:rsidR="001B252F">
        <w:t xml:space="preserve"> Pilot</w:t>
      </w:r>
      <w:r w:rsidR="00C0577C">
        <w:t xml:space="preserve"> letterhead</w:t>
      </w:r>
      <w:r w:rsidR="001B252F">
        <w:t xml:space="preserve">, also undated, which is identical to the letter </w:t>
      </w:r>
      <w:r w:rsidR="003D0302">
        <w:t xml:space="preserve">I have just discussed </w:t>
      </w:r>
      <w:r w:rsidR="001B252F">
        <w:t>save that a paragraph has been inserted at the commencement of the letter recording:</w:t>
      </w:r>
      <w:r w:rsidR="00C0577C">
        <w:t xml:space="preserve"> “</w:t>
      </w:r>
      <w:r w:rsidR="00C0577C" w:rsidRPr="00C0577C">
        <w:rPr>
          <w:i/>
          <w:iCs/>
        </w:rPr>
        <w:t xml:space="preserve">Pilot Lubricants was involved in the development of roadfix cold mix pothole filler. </w:t>
      </w:r>
      <w:r w:rsidR="003D0302">
        <w:rPr>
          <w:i/>
          <w:iCs/>
        </w:rPr>
        <w:t>W</w:t>
      </w:r>
      <w:r w:rsidR="00C0577C" w:rsidRPr="00C0577C">
        <w:rPr>
          <w:i/>
          <w:iCs/>
        </w:rPr>
        <w:t xml:space="preserve">e developed roadfix in conjunction with CSIR </w:t>
      </w:r>
      <w:r w:rsidR="00A12BB8">
        <w:rPr>
          <w:i/>
          <w:iCs/>
        </w:rPr>
        <w:t>(</w:t>
      </w:r>
      <w:r w:rsidR="00C0577C" w:rsidRPr="00C0577C">
        <w:rPr>
          <w:i/>
          <w:iCs/>
        </w:rPr>
        <w:t>Council for Scientific and Industrial Research</w:t>
      </w:r>
      <w:r w:rsidR="00A12BB8">
        <w:rPr>
          <w:i/>
          <w:iCs/>
        </w:rPr>
        <w:t>)</w:t>
      </w:r>
      <w:r w:rsidR="00C0577C" w:rsidRPr="00C0577C">
        <w:rPr>
          <w:i/>
          <w:iCs/>
        </w:rPr>
        <w:t>, by supplying the secret formula and improved it all the time in collaboration with the owners, Universal Blending Pty Ltd</w:t>
      </w:r>
      <w:r w:rsidR="00C0577C">
        <w:t xml:space="preserve">”. </w:t>
      </w:r>
      <w:r w:rsidR="001B252F">
        <w:t>Although it is suggested in the founding affidavit that this letter was prepared at around the same time as the first letter, this cannot be correct, because it is common cause that the applicant was only registered as a company in 2012</w:t>
      </w:r>
      <w:r w:rsidR="00C0577C">
        <w:t>, and so could not have been mentioned by name in a letter drafted in 2004</w:t>
      </w:r>
      <w:r w:rsidR="008D1D74">
        <w:t>.</w:t>
      </w:r>
      <w:r w:rsidR="00A12BB8">
        <w:t xml:space="preserve"> No other explanation is provided </w:t>
      </w:r>
      <w:r w:rsidR="002F6ABC">
        <w:t>as to</w:t>
      </w:r>
      <w:r w:rsidR="00A12BB8">
        <w:t xml:space="preserve"> the circumstances in which this second letter was drawn up, or who prepared it, or how it came into the applicant’s possession.</w:t>
      </w:r>
    </w:p>
    <w:p w14:paraId="7AC4B27D" w14:textId="6B4DB0D7" w:rsidR="00FD76A2" w:rsidRDefault="00051A9F" w:rsidP="00051A9F">
      <w:pPr>
        <w:pStyle w:val="Std"/>
        <w:numPr>
          <w:ilvl w:val="0"/>
          <w:numId w:val="0"/>
        </w:numPr>
        <w:ind w:left="360" w:hanging="360"/>
      </w:pPr>
      <w:r>
        <w:t>[30]</w:t>
      </w:r>
      <w:r>
        <w:tab/>
      </w:r>
      <w:r w:rsidR="002F6ABC">
        <w:t>T</w:t>
      </w:r>
      <w:r w:rsidR="0030112E">
        <w:t>o be clear, t</w:t>
      </w:r>
      <w:r w:rsidR="000F3CA2">
        <w:t xml:space="preserve">here </w:t>
      </w:r>
      <w:r w:rsidR="002F6ABC">
        <w:t xml:space="preserve">is </w:t>
      </w:r>
      <w:r w:rsidR="0030112E">
        <w:t xml:space="preserve">also </w:t>
      </w:r>
      <w:r w:rsidR="002F6ABC">
        <w:t>support</w:t>
      </w:r>
      <w:r w:rsidR="000F3CA2">
        <w:t xml:space="preserve"> </w:t>
      </w:r>
      <w:r w:rsidR="00A12BB8">
        <w:t>in the papers</w:t>
      </w:r>
      <w:r w:rsidR="002F6ABC">
        <w:t xml:space="preserve"> for the applicant’s version that is </w:t>
      </w:r>
      <w:r w:rsidR="000F3CA2">
        <w:t>the owner</w:t>
      </w:r>
      <w:r w:rsidR="00A12BB8">
        <w:t xml:space="preserve"> of the Ro</w:t>
      </w:r>
      <w:r w:rsidR="00A926BD">
        <w:t>a</w:t>
      </w:r>
      <w:r w:rsidR="00A12BB8">
        <w:t>dsaver product</w:t>
      </w:r>
      <w:r w:rsidR="000F3CA2">
        <w:t>. The letter I have just mentioned says this in terms, as does the letter on a Pilot letterhead attached to the replying affidavit that I have discussed above.</w:t>
      </w:r>
      <w:r w:rsidR="00A12BB8">
        <w:t xml:space="preserve"> Other</w:t>
      </w:r>
      <w:r w:rsidR="000F3CA2">
        <w:t xml:space="preserve"> letters </w:t>
      </w:r>
      <w:r w:rsidR="009170E3">
        <w:t xml:space="preserve">attached to the founding affidavit, including a letter from the CSIR to Roadfix International, but marked for the attention of Mr Botes, </w:t>
      </w:r>
      <w:r w:rsidR="000F3CA2" w:rsidRPr="00864334">
        <w:t>also seem to confirm Mr Botes’ role in developing the product</w:t>
      </w:r>
      <w:r w:rsidR="009170E3">
        <w:t xml:space="preserve"> from 2004</w:t>
      </w:r>
      <w:r w:rsidR="000F3CA2" w:rsidRPr="00864334">
        <w:t>.</w:t>
      </w:r>
      <w:r w:rsidR="00864334">
        <w:t xml:space="preserve"> The respondent’s </w:t>
      </w:r>
      <w:r w:rsidR="002F6ABC">
        <w:t xml:space="preserve">own </w:t>
      </w:r>
      <w:r w:rsidR="00A12BB8">
        <w:t xml:space="preserve">allegations in his </w:t>
      </w:r>
      <w:r w:rsidR="00864334">
        <w:t xml:space="preserve">answering affidavit confirm at </w:t>
      </w:r>
      <w:r w:rsidR="00864334">
        <w:lastRenderedPageBreak/>
        <w:t xml:space="preserve">least </w:t>
      </w:r>
      <w:r w:rsidR="009170E3">
        <w:t>Mr Botes’</w:t>
      </w:r>
      <w:r w:rsidR="00864334">
        <w:t xml:space="preserve"> knowledge of some part of the formula for manufacturing the </w:t>
      </w:r>
      <w:r w:rsidR="00A12BB8">
        <w:t xml:space="preserve">Roadsaver </w:t>
      </w:r>
      <w:r w:rsidR="00864334">
        <w:t>product</w:t>
      </w:r>
      <w:r w:rsidR="00E05CDE">
        <w:t xml:space="preserve">, because </w:t>
      </w:r>
      <w:r w:rsidR="00A12BB8">
        <w:t>Mr Botes</w:t>
      </w:r>
      <w:r w:rsidR="00E05CDE">
        <w:t xml:space="preserve"> provided this to the respondent</w:t>
      </w:r>
      <w:r w:rsidR="00864334">
        <w:t>.</w:t>
      </w:r>
    </w:p>
    <w:p w14:paraId="2294EFD4" w14:textId="46E21BB4" w:rsidR="00B035C4" w:rsidRDefault="00051A9F" w:rsidP="00051A9F">
      <w:pPr>
        <w:pStyle w:val="Std"/>
        <w:numPr>
          <w:ilvl w:val="0"/>
          <w:numId w:val="0"/>
        </w:numPr>
        <w:ind w:left="360" w:hanging="360"/>
      </w:pPr>
      <w:r>
        <w:t>[31]</w:t>
      </w:r>
      <w:r>
        <w:tab/>
      </w:r>
      <w:r w:rsidR="00B035C4">
        <w:t xml:space="preserve">There </w:t>
      </w:r>
      <w:r w:rsidR="00E05CDE">
        <w:t xml:space="preserve">is also evidence that </w:t>
      </w:r>
      <w:r w:rsidR="00B035C4">
        <w:t xml:space="preserve">the applicant </w:t>
      </w:r>
      <w:r w:rsidR="00E05CDE">
        <w:t xml:space="preserve">represented to third parties that it owned the </w:t>
      </w:r>
      <w:r w:rsidR="00A12BB8">
        <w:t xml:space="preserve">Roadsaver </w:t>
      </w:r>
      <w:r w:rsidR="00E05CDE">
        <w:t>product, for example its discussions with representatives from Hi-Eco-Teck (Pty) in 2019 and its application to Agrement South Africa (Pty) Ltd for certification of the product</w:t>
      </w:r>
      <w:r w:rsidR="00A926BD">
        <w:t xml:space="preserve"> around the same time</w:t>
      </w:r>
      <w:r w:rsidR="00E05CDE">
        <w:t xml:space="preserve">, both </w:t>
      </w:r>
      <w:r w:rsidR="00A926BD">
        <w:t xml:space="preserve">of which are </w:t>
      </w:r>
      <w:r w:rsidR="00E05CDE">
        <w:t>discussed in the founding affidavit and</w:t>
      </w:r>
      <w:r w:rsidR="00A926BD">
        <w:t xml:space="preserve"> are</w:t>
      </w:r>
      <w:r w:rsidR="00E05CDE">
        <w:t xml:space="preserve"> not disputed in the answering affidavit.</w:t>
      </w:r>
    </w:p>
    <w:p w14:paraId="10D35177" w14:textId="54EDEE77" w:rsidR="00864334" w:rsidRDefault="00051A9F" w:rsidP="00051A9F">
      <w:pPr>
        <w:pStyle w:val="Std"/>
        <w:numPr>
          <w:ilvl w:val="0"/>
          <w:numId w:val="0"/>
        </w:numPr>
        <w:ind w:left="360" w:hanging="360"/>
      </w:pPr>
      <w:r>
        <w:t>[32]</w:t>
      </w:r>
      <w:r>
        <w:tab/>
      </w:r>
      <w:r w:rsidR="00864334" w:rsidRPr="00864334">
        <w:t xml:space="preserve">There is not though any clear explanation </w:t>
      </w:r>
      <w:r w:rsidR="00A12BB8">
        <w:t>in the founding affidavit</w:t>
      </w:r>
      <w:r w:rsidR="00864334" w:rsidRPr="00864334">
        <w:t xml:space="preserve"> as to how </w:t>
      </w:r>
      <w:r w:rsidR="00A12BB8">
        <w:t>the applicant</w:t>
      </w:r>
      <w:r w:rsidR="00864334" w:rsidRPr="00864334">
        <w:t xml:space="preserve"> acquired ownership </w:t>
      </w:r>
      <w:r w:rsidR="00A12BB8">
        <w:t xml:space="preserve">of the Roadsaver product </w:t>
      </w:r>
      <w:r w:rsidR="00B035C4">
        <w:t>that</w:t>
      </w:r>
      <w:r w:rsidR="00864334" w:rsidRPr="00864334">
        <w:t xml:space="preserve"> </w:t>
      </w:r>
      <w:r w:rsidR="00E05CDE">
        <w:t xml:space="preserve">satisfactorily </w:t>
      </w:r>
      <w:r w:rsidR="00864334" w:rsidRPr="00864334">
        <w:t>resolves the</w:t>
      </w:r>
      <w:r w:rsidR="00864334">
        <w:t xml:space="preserve"> </w:t>
      </w:r>
      <w:r w:rsidR="00B035C4">
        <w:t>evidence to the contrary that I have identified above.</w:t>
      </w:r>
      <w:r w:rsidR="009170E3">
        <w:t xml:space="preserve"> The facts </w:t>
      </w:r>
      <w:r w:rsidR="00A12BB8">
        <w:t xml:space="preserve">relating to the acquisition of ownership </w:t>
      </w:r>
      <w:r w:rsidR="009170E3">
        <w:t xml:space="preserve">are dealt with </w:t>
      </w:r>
      <w:r w:rsidR="00A12BB8">
        <w:t xml:space="preserve">vaguely </w:t>
      </w:r>
      <w:r w:rsidR="009170E3">
        <w:t>by the applicant</w:t>
      </w:r>
      <w:r w:rsidR="00A12BB8">
        <w:t>, insofar as they are dealt with at all</w:t>
      </w:r>
      <w:r w:rsidR="009170E3">
        <w:t>. The</w:t>
      </w:r>
      <w:r w:rsidR="00A12BB8">
        <w:t xml:space="preserve"> deponent to the founding affidavit alleges, </w:t>
      </w:r>
      <w:r w:rsidR="009170E3">
        <w:t>for example</w:t>
      </w:r>
      <w:r w:rsidR="00A12BB8">
        <w:t xml:space="preserve">, that the applicant </w:t>
      </w:r>
      <w:r w:rsidR="008759FF">
        <w:t xml:space="preserve">developed the </w:t>
      </w:r>
      <w:r w:rsidR="00A12BB8">
        <w:t xml:space="preserve">Roadsaver </w:t>
      </w:r>
      <w:r w:rsidR="008759FF">
        <w:t xml:space="preserve">product from 2004. But </w:t>
      </w:r>
      <w:r w:rsidR="00A12BB8">
        <w:t>the applicant</w:t>
      </w:r>
      <w:r w:rsidR="008759FF">
        <w:t xml:space="preserve"> did not exist in 2004. It </w:t>
      </w:r>
      <w:r w:rsidR="00A12BB8">
        <w:t xml:space="preserve">was only registered as a company in 2012. The deponent to the founding affidavit </w:t>
      </w:r>
      <w:r w:rsidR="008759FF">
        <w:t xml:space="preserve">makes the bare allegation that </w:t>
      </w:r>
      <w:r w:rsidR="00A12BB8">
        <w:t>the applicant</w:t>
      </w:r>
      <w:r w:rsidR="008759FF">
        <w:t xml:space="preserve"> was “</w:t>
      </w:r>
      <w:r w:rsidR="008759FF" w:rsidRPr="00A12BB8">
        <w:rPr>
          <w:i/>
          <w:iCs/>
        </w:rPr>
        <w:t>then known as Roadfix International</w:t>
      </w:r>
      <w:r w:rsidR="008759FF">
        <w:t xml:space="preserve">”, but this also does not appear to be correct. </w:t>
      </w:r>
      <w:r w:rsidR="00A12BB8">
        <w:t>Roadfix International is clearly a separate firm from the applicant</w:t>
      </w:r>
      <w:r w:rsidR="008759FF">
        <w:t xml:space="preserve">, albeit that Mr Botes appears to have been the driving force behind </w:t>
      </w:r>
      <w:r w:rsidR="00A12BB8">
        <w:t>both</w:t>
      </w:r>
      <w:r w:rsidR="008759FF">
        <w:t>.</w:t>
      </w:r>
    </w:p>
    <w:p w14:paraId="3D224DE7" w14:textId="0137CE31" w:rsidR="00B035C4" w:rsidRDefault="00051A9F" w:rsidP="00051A9F">
      <w:pPr>
        <w:pStyle w:val="Std"/>
        <w:numPr>
          <w:ilvl w:val="0"/>
          <w:numId w:val="0"/>
        </w:numPr>
        <w:ind w:left="360" w:hanging="360"/>
      </w:pPr>
      <w:r>
        <w:t>[33]</w:t>
      </w:r>
      <w:r>
        <w:tab/>
      </w:r>
      <w:r w:rsidR="008759FF">
        <w:t xml:space="preserve">Finally, it </w:t>
      </w:r>
      <w:r w:rsidR="00B035C4">
        <w:t xml:space="preserve">is true that the respondent </w:t>
      </w:r>
      <w:r w:rsidR="0030112E">
        <w:t xml:space="preserve">has admitted that he </w:t>
      </w:r>
      <w:r w:rsidR="00B035C4">
        <w:t xml:space="preserve">provided the applicant with the formula he had developed at a meeting in November 2019 and signed various documents on that date in which he acknowledged that the applicant owned the formula. The respondent asserts, however, that </w:t>
      </w:r>
      <w:r w:rsidR="008759FF">
        <w:t xml:space="preserve">the statements in these documents are not true and that </w:t>
      </w:r>
      <w:r w:rsidR="00B035C4">
        <w:t xml:space="preserve">he was coerced and intimidated into signing the documents, a claim that I </w:t>
      </w:r>
      <w:r w:rsidR="008759FF">
        <w:t xml:space="preserve">certainly </w:t>
      </w:r>
      <w:r w:rsidR="00B035C4">
        <w:t xml:space="preserve">cannot </w:t>
      </w:r>
      <w:r w:rsidR="008759FF">
        <w:t xml:space="preserve">dismiss </w:t>
      </w:r>
      <w:r w:rsidR="00B035C4">
        <w:t>simply on the papers before me.</w:t>
      </w:r>
    </w:p>
    <w:p w14:paraId="4D374790" w14:textId="7BCCF74A" w:rsidR="000F3CA2" w:rsidRDefault="00051A9F" w:rsidP="00051A9F">
      <w:pPr>
        <w:pStyle w:val="Std"/>
        <w:numPr>
          <w:ilvl w:val="0"/>
          <w:numId w:val="0"/>
        </w:numPr>
        <w:ind w:left="360" w:hanging="360"/>
      </w:pPr>
      <w:r>
        <w:lastRenderedPageBreak/>
        <w:t>[34]</w:t>
      </w:r>
      <w:r>
        <w:tab/>
      </w:r>
      <w:r w:rsidR="00B035C4">
        <w:t xml:space="preserve">This brings me back to the important point. </w:t>
      </w:r>
      <w:r w:rsidR="000F3CA2">
        <w:t xml:space="preserve">I am not required in this application to try and weigh up the probabilities of the parties’ respective versions. I am required to determine </w:t>
      </w:r>
      <w:r w:rsidR="00A12BB8">
        <w:t xml:space="preserve">only </w:t>
      </w:r>
      <w:r w:rsidR="000F3CA2">
        <w:t xml:space="preserve">whether the respondent’s version is so improbable that it falls to be rejected out of hand. </w:t>
      </w:r>
      <w:r w:rsidR="00F76A03" w:rsidRPr="00F76A03">
        <w:t>H</w:t>
      </w:r>
      <w:r w:rsidR="000F3CA2" w:rsidRPr="00F76A03">
        <w:t>aving</w:t>
      </w:r>
      <w:r w:rsidR="000F3CA2">
        <w:t xml:space="preserve"> regard to the facts I have set out above, I do not consider this to be the case.</w:t>
      </w:r>
      <w:r w:rsidR="007B1A95">
        <w:t xml:space="preserve"> </w:t>
      </w:r>
      <w:r w:rsidR="00864334">
        <w:t>I</w:t>
      </w:r>
      <w:r w:rsidR="000F3CA2">
        <w:t>t may well be that</w:t>
      </w:r>
      <w:r w:rsidR="00864334" w:rsidRPr="00864334">
        <w:t xml:space="preserve"> </w:t>
      </w:r>
      <w:r w:rsidR="00864334">
        <w:t xml:space="preserve">the applicant has answers to all of the concerns I have raised above. But they do not appear on the papers before me, and in the absence of such answers I cannot conclude that the respondent’s version is so </w:t>
      </w:r>
      <w:r w:rsidR="007B1A95">
        <w:t>far-fetched that it can confidently be said, on the papers alone, that it is demonstrably and clearly unworthy of credence</w:t>
      </w:r>
      <w:r w:rsidR="00864334">
        <w:t>.</w:t>
      </w:r>
    </w:p>
    <w:p w14:paraId="0E9B14C6" w14:textId="7E40175B" w:rsidR="007B1A95" w:rsidRDefault="00051A9F" w:rsidP="00051A9F">
      <w:pPr>
        <w:pStyle w:val="Std"/>
        <w:numPr>
          <w:ilvl w:val="0"/>
          <w:numId w:val="0"/>
        </w:numPr>
        <w:ind w:left="360" w:hanging="360"/>
      </w:pPr>
      <w:r>
        <w:t>[35]</w:t>
      </w:r>
      <w:r>
        <w:tab/>
      </w:r>
      <w:r w:rsidR="007B1A95">
        <w:t xml:space="preserve">In the circumstances, for purposes of determining the applicant’s right to the final relief it seeks in this application, </w:t>
      </w:r>
      <w:r w:rsidR="000F3CA2">
        <w:t xml:space="preserve">I must accept </w:t>
      </w:r>
      <w:r w:rsidR="000F3CA2" w:rsidRPr="00F76A03">
        <w:t>the</w:t>
      </w:r>
      <w:r w:rsidR="000F3CA2">
        <w:t xml:space="preserve"> respon</w:t>
      </w:r>
      <w:r w:rsidR="00B035C4">
        <w:t>d</w:t>
      </w:r>
      <w:r w:rsidR="000F3CA2">
        <w:t xml:space="preserve">ent’s version </w:t>
      </w:r>
      <w:r w:rsidR="00B035C4">
        <w:t>that the Roadsaver product was owned by Pilot</w:t>
      </w:r>
      <w:r w:rsidR="000F3CA2">
        <w:t xml:space="preserve"> and find that the applicant has not proved that it is the owner of the R</w:t>
      </w:r>
      <w:r w:rsidR="00B035C4">
        <w:t>oa</w:t>
      </w:r>
      <w:r w:rsidR="000F3CA2">
        <w:t>dsaver product.</w:t>
      </w:r>
      <w:r w:rsidR="007B1A95">
        <w:t xml:space="preserve"> </w:t>
      </w:r>
      <w:bookmarkStart w:id="6" w:name="_Toc129165111"/>
    </w:p>
    <w:bookmarkEnd w:id="6"/>
    <w:p w14:paraId="3A3DC66A" w14:textId="22204695" w:rsidR="00093E42" w:rsidRDefault="00A2455D" w:rsidP="007B1A95">
      <w:pPr>
        <w:pStyle w:val="Heading1"/>
      </w:pPr>
      <w:r>
        <w:t>Conclusion</w:t>
      </w:r>
    </w:p>
    <w:p w14:paraId="7993BDF4" w14:textId="0FA9C039" w:rsidR="003C48DE" w:rsidRDefault="00051A9F" w:rsidP="00051A9F">
      <w:pPr>
        <w:pStyle w:val="Std"/>
        <w:numPr>
          <w:ilvl w:val="0"/>
          <w:numId w:val="0"/>
        </w:numPr>
        <w:ind w:left="360" w:hanging="360"/>
      </w:pPr>
      <w:r>
        <w:t>[36]</w:t>
      </w:r>
      <w:r>
        <w:tab/>
      </w:r>
      <w:r w:rsidR="003C48DE">
        <w:t>I have found that the applicant has not established that it is the owner of the R</w:t>
      </w:r>
      <w:r w:rsidR="00A926BD">
        <w:t>o</w:t>
      </w:r>
      <w:r w:rsidR="003C48DE">
        <w:t xml:space="preserve">adsaver product. </w:t>
      </w:r>
      <w:r w:rsidR="007B1A95">
        <w:t>Counsel for the applicant accepted in oral argument before me that</w:t>
      </w:r>
      <w:r w:rsidR="00A926BD">
        <w:t xml:space="preserve"> all of</w:t>
      </w:r>
      <w:r w:rsidR="007B1A95">
        <w:t xml:space="preserve"> the relief sought by the applicant is predicated on a finding that it is the owner of the product. In the circumstances, it follows that the applicant has not established a right to </w:t>
      </w:r>
      <w:r w:rsidR="003C48DE">
        <w:t xml:space="preserve">any of the relief </w:t>
      </w:r>
      <w:r w:rsidR="00A926BD">
        <w:t>sought in the notice of motion</w:t>
      </w:r>
      <w:r w:rsidR="003C48DE">
        <w:t>.</w:t>
      </w:r>
    </w:p>
    <w:p w14:paraId="7E4CF95B" w14:textId="7809164F" w:rsidR="0023537F" w:rsidRDefault="00051A9F" w:rsidP="00051A9F">
      <w:pPr>
        <w:pStyle w:val="Std"/>
        <w:numPr>
          <w:ilvl w:val="0"/>
          <w:numId w:val="0"/>
        </w:numPr>
        <w:ind w:left="360" w:hanging="360"/>
      </w:pPr>
      <w:r>
        <w:t>[37]</w:t>
      </w:r>
      <w:r>
        <w:tab/>
      </w:r>
      <w:r w:rsidR="00A31538">
        <w:t>Having reached this conclusion, it is not necessary for me to consider the respondent’s further objection</w:t>
      </w:r>
      <w:r w:rsidR="007B1A95">
        <w:t>s</w:t>
      </w:r>
      <w:r w:rsidR="00A31538">
        <w:t xml:space="preserve"> to the relief sought, namely that it </w:t>
      </w:r>
      <w:r w:rsidR="00A926BD">
        <w:t>is</w:t>
      </w:r>
      <w:r w:rsidR="00A31538">
        <w:t xml:space="preserve"> too vague to be enforceable</w:t>
      </w:r>
      <w:r w:rsidR="00093E42">
        <w:t xml:space="preserve"> and that he had already handed over the formula rendering the relief requiring him to do so superfluous</w:t>
      </w:r>
      <w:r w:rsidR="00A31538">
        <w:t>.</w:t>
      </w:r>
      <w:r w:rsidR="00D03E89">
        <w:t xml:space="preserve"> I</w:t>
      </w:r>
      <w:r w:rsidR="00A31538">
        <w:t xml:space="preserve">t is also not necessary for me to consider </w:t>
      </w:r>
      <w:r w:rsidR="00A31538">
        <w:lastRenderedPageBreak/>
        <w:t xml:space="preserve">whether </w:t>
      </w:r>
      <w:r w:rsidR="00685946">
        <w:t>I should</w:t>
      </w:r>
      <w:r w:rsidR="00A31538">
        <w:t xml:space="preserve"> admit the supplementary affidavit delivered by the respondent in November 2022</w:t>
      </w:r>
      <w:r w:rsidR="00685946">
        <w:t>,</w:t>
      </w:r>
      <w:r w:rsidR="00C346CE">
        <w:t xml:space="preserve"> </w:t>
      </w:r>
      <w:r w:rsidR="00A31538">
        <w:t>which</w:t>
      </w:r>
      <w:r w:rsidR="007B1A95">
        <w:t xml:space="preserve"> admission</w:t>
      </w:r>
      <w:r w:rsidR="00A31538">
        <w:t xml:space="preserve"> the applicant </w:t>
      </w:r>
      <w:r w:rsidR="00685946">
        <w:t>opposed</w:t>
      </w:r>
      <w:r w:rsidR="00C346CE">
        <w:t>,</w:t>
      </w:r>
      <w:r w:rsidR="00A31538">
        <w:t xml:space="preserve"> although for completeness I note that the respondent did not bring any formal application for </w:t>
      </w:r>
      <w:r w:rsidR="007B1A95">
        <w:t>the</w:t>
      </w:r>
      <w:r w:rsidR="00A31538">
        <w:t xml:space="preserve"> admission</w:t>
      </w:r>
      <w:r w:rsidR="007B1A95">
        <w:t xml:space="preserve"> of that affidavit</w:t>
      </w:r>
      <w:r w:rsidR="00A31538">
        <w:t>,</w:t>
      </w:r>
      <w:r w:rsidR="00A926BD">
        <w:t xml:space="preserve"> and, i</w:t>
      </w:r>
      <w:r w:rsidR="00C346CE">
        <w:t xml:space="preserve">n any event, </w:t>
      </w:r>
      <w:r w:rsidR="00A926BD">
        <w:t xml:space="preserve">I do not consider that </w:t>
      </w:r>
      <w:r w:rsidR="00C346CE">
        <w:t xml:space="preserve">its contents </w:t>
      </w:r>
      <w:r w:rsidR="00A926BD">
        <w:t xml:space="preserve">are relevant to any of the </w:t>
      </w:r>
      <w:r w:rsidR="00C346CE">
        <w:t xml:space="preserve">issues </w:t>
      </w:r>
      <w:r w:rsidR="00A926BD">
        <w:t xml:space="preserve">to be determined </w:t>
      </w:r>
      <w:r w:rsidR="00C346CE">
        <w:t>in the application</w:t>
      </w:r>
      <w:r w:rsidR="00A926BD">
        <w:t>, on which basis I would not have been minded to admit it</w:t>
      </w:r>
      <w:r w:rsidR="00A31538">
        <w:t>.</w:t>
      </w:r>
    </w:p>
    <w:p w14:paraId="6B4F2A5C" w14:textId="2E9728E8" w:rsidR="003C48DE" w:rsidRDefault="00051A9F" w:rsidP="00051A9F">
      <w:pPr>
        <w:pStyle w:val="Std"/>
        <w:numPr>
          <w:ilvl w:val="0"/>
          <w:numId w:val="0"/>
        </w:numPr>
        <w:ind w:left="360" w:hanging="360"/>
      </w:pPr>
      <w:r>
        <w:t>[38]</w:t>
      </w:r>
      <w:r>
        <w:tab/>
      </w:r>
      <w:r w:rsidR="00D03E89">
        <w:t>Both parties sought costs in the event that they were successful and there</w:t>
      </w:r>
      <w:r w:rsidR="003C48DE">
        <w:t xml:space="preserve"> is no reason why costs </w:t>
      </w:r>
      <w:r w:rsidR="007B1A95">
        <w:t xml:space="preserve">of the application </w:t>
      </w:r>
      <w:r w:rsidR="003C48DE">
        <w:t>should not follow the result.</w:t>
      </w:r>
      <w:r w:rsidR="00294B78">
        <w:t xml:space="preserve"> Although the respondent suggested faintly that I should make a special order of costs against the applicant, no proper basis was advanced for such an order and I do not consider that there is one.</w:t>
      </w:r>
    </w:p>
    <w:p w14:paraId="5FBD6E71" w14:textId="17DA590E" w:rsidR="003C48DE" w:rsidRDefault="00051A9F" w:rsidP="00051A9F">
      <w:pPr>
        <w:pStyle w:val="Std"/>
        <w:numPr>
          <w:ilvl w:val="0"/>
          <w:numId w:val="0"/>
        </w:numPr>
        <w:ind w:left="360" w:hanging="360"/>
      </w:pPr>
      <w:r>
        <w:t>[39]</w:t>
      </w:r>
      <w:r>
        <w:tab/>
      </w:r>
      <w:r w:rsidR="003C48DE">
        <w:t>In the circumstances, I make the following order:</w:t>
      </w:r>
    </w:p>
    <w:p w14:paraId="1F7BE88D" w14:textId="77777777" w:rsidR="007B1A95" w:rsidRDefault="007B1A95" w:rsidP="007B1A95">
      <w:pPr>
        <w:pStyle w:val="Std"/>
        <w:numPr>
          <w:ilvl w:val="0"/>
          <w:numId w:val="0"/>
        </w:numPr>
        <w:ind w:left="360"/>
      </w:pPr>
    </w:p>
    <w:p w14:paraId="520030DE" w14:textId="16DC2DEB" w:rsidR="003C48DE" w:rsidRDefault="00051A9F" w:rsidP="00051A9F">
      <w:pPr>
        <w:spacing w:line="480" w:lineRule="auto"/>
        <w:ind w:left="720" w:hanging="360"/>
      </w:pPr>
      <w:r>
        <w:t>1.</w:t>
      </w:r>
      <w:r>
        <w:tab/>
      </w:r>
      <w:r w:rsidR="003C48DE">
        <w:t>The application is dismissed</w:t>
      </w:r>
      <w:r w:rsidR="00D03E89">
        <w:t>;</w:t>
      </w:r>
    </w:p>
    <w:p w14:paraId="7AABF7AA" w14:textId="7B27205B" w:rsidR="003C48DE" w:rsidRDefault="00051A9F" w:rsidP="00051A9F">
      <w:pPr>
        <w:spacing w:line="480" w:lineRule="auto"/>
        <w:ind w:left="720" w:hanging="360"/>
      </w:pPr>
      <w:r>
        <w:t>2.</w:t>
      </w:r>
      <w:r>
        <w:tab/>
      </w:r>
      <w:r w:rsidR="003C48DE">
        <w:t>The applicant is to pay the respondent’s costs.</w:t>
      </w:r>
    </w:p>
    <w:p w14:paraId="01833750" w14:textId="1F8BEF9A" w:rsidR="00A31538" w:rsidRDefault="00A31538"/>
    <w:p w14:paraId="2FDD6608" w14:textId="77777777" w:rsidR="007B1A95" w:rsidRPr="006335A8" w:rsidRDefault="007B1A95" w:rsidP="007B1A95">
      <w:pPr>
        <w:tabs>
          <w:tab w:val="left" w:pos="851"/>
          <w:tab w:val="left" w:pos="1701"/>
          <w:tab w:val="left" w:pos="2835"/>
          <w:tab w:val="left" w:pos="3969"/>
          <w:tab w:val="right" w:pos="8222"/>
        </w:tabs>
        <w:spacing w:line="276" w:lineRule="auto"/>
        <w:contextualSpacing/>
        <w:jc w:val="right"/>
        <w:rPr>
          <w:rFonts w:cs="Arial"/>
          <w:lang w:val="en-GB"/>
        </w:rPr>
      </w:pPr>
    </w:p>
    <w:p w14:paraId="5BA00FBB" w14:textId="77777777" w:rsidR="007B1A95" w:rsidRPr="006335A8" w:rsidRDefault="007B1A95" w:rsidP="007B1A95">
      <w:pPr>
        <w:tabs>
          <w:tab w:val="left" w:pos="851"/>
          <w:tab w:val="left" w:pos="1701"/>
          <w:tab w:val="left" w:pos="2835"/>
          <w:tab w:val="left" w:pos="3969"/>
          <w:tab w:val="right" w:pos="8222"/>
        </w:tabs>
        <w:spacing w:line="276" w:lineRule="auto"/>
        <w:contextualSpacing/>
        <w:jc w:val="right"/>
        <w:rPr>
          <w:rFonts w:cs="Arial"/>
          <w:lang w:val="en-GB"/>
        </w:rPr>
      </w:pPr>
    </w:p>
    <w:p w14:paraId="26885612" w14:textId="77777777" w:rsidR="007B1A95" w:rsidRPr="006335A8" w:rsidRDefault="007B1A95" w:rsidP="007B1A95">
      <w:pPr>
        <w:tabs>
          <w:tab w:val="left" w:pos="851"/>
          <w:tab w:val="left" w:pos="1701"/>
          <w:tab w:val="left" w:pos="2835"/>
          <w:tab w:val="left" w:pos="3969"/>
          <w:tab w:val="right" w:pos="8222"/>
        </w:tabs>
        <w:spacing w:line="276" w:lineRule="auto"/>
        <w:contextualSpacing/>
        <w:jc w:val="right"/>
        <w:rPr>
          <w:rFonts w:cs="Arial"/>
          <w:lang w:val="en-GB"/>
        </w:rPr>
      </w:pPr>
      <w:r w:rsidRPr="006335A8">
        <w:rPr>
          <w:rFonts w:cs="Arial"/>
          <w:lang w:val="en-GB"/>
        </w:rPr>
        <w:t>________________________</w:t>
      </w:r>
    </w:p>
    <w:p w14:paraId="575AC1E9" w14:textId="77777777" w:rsidR="007B1A95" w:rsidRPr="006335A8" w:rsidRDefault="007B1A95" w:rsidP="007B1A95">
      <w:pPr>
        <w:tabs>
          <w:tab w:val="left" w:pos="851"/>
          <w:tab w:val="left" w:pos="1701"/>
          <w:tab w:val="left" w:pos="2835"/>
          <w:tab w:val="left" w:pos="3969"/>
          <w:tab w:val="right" w:pos="8222"/>
        </w:tabs>
        <w:spacing w:line="276" w:lineRule="auto"/>
        <w:contextualSpacing/>
        <w:jc w:val="right"/>
        <w:rPr>
          <w:rFonts w:cs="Arial"/>
          <w:b/>
          <w:lang w:val="en-GB"/>
        </w:rPr>
      </w:pPr>
      <w:r>
        <w:rPr>
          <w:rFonts w:cs="Arial"/>
          <w:b/>
          <w:lang w:val="en-GB"/>
        </w:rPr>
        <w:t>MA WESLEY</w:t>
      </w:r>
    </w:p>
    <w:p w14:paraId="4FCDEB86" w14:textId="02C4303B" w:rsidR="007B1A95" w:rsidRPr="006335A8" w:rsidRDefault="007B1A95" w:rsidP="007B1A95">
      <w:pPr>
        <w:tabs>
          <w:tab w:val="left" w:pos="851"/>
          <w:tab w:val="left" w:pos="1701"/>
          <w:tab w:val="left" w:pos="2835"/>
          <w:tab w:val="left" w:pos="3969"/>
          <w:tab w:val="right" w:pos="8222"/>
        </w:tabs>
        <w:spacing w:line="276" w:lineRule="auto"/>
        <w:contextualSpacing/>
        <w:jc w:val="right"/>
        <w:rPr>
          <w:rFonts w:cs="Arial"/>
          <w:lang w:val="en-GB"/>
        </w:rPr>
      </w:pPr>
      <w:r w:rsidRPr="006335A8">
        <w:rPr>
          <w:rFonts w:cs="Arial"/>
          <w:lang w:val="en-GB"/>
        </w:rPr>
        <w:t xml:space="preserve">Acting Judge of </w:t>
      </w:r>
      <w:r w:rsidR="00B6312F">
        <w:rPr>
          <w:rFonts w:cs="Arial"/>
          <w:lang w:val="en-GB"/>
        </w:rPr>
        <w:t xml:space="preserve">the </w:t>
      </w:r>
      <w:r w:rsidRPr="006335A8">
        <w:rPr>
          <w:rFonts w:cs="Arial"/>
          <w:lang w:val="en-GB"/>
        </w:rPr>
        <w:t>High Court</w:t>
      </w:r>
    </w:p>
    <w:p w14:paraId="29D15264" w14:textId="44522C5D" w:rsidR="007B1A95" w:rsidRDefault="007B1A95" w:rsidP="007B1A95">
      <w:pPr>
        <w:tabs>
          <w:tab w:val="left" w:pos="851"/>
          <w:tab w:val="left" w:pos="1701"/>
          <w:tab w:val="left" w:pos="2835"/>
          <w:tab w:val="left" w:pos="3969"/>
          <w:tab w:val="right" w:pos="8222"/>
        </w:tabs>
        <w:spacing w:line="276" w:lineRule="auto"/>
        <w:contextualSpacing/>
        <w:jc w:val="right"/>
        <w:rPr>
          <w:rFonts w:cs="Arial"/>
          <w:lang w:val="en-GB"/>
        </w:rPr>
      </w:pPr>
      <w:r w:rsidRPr="006335A8">
        <w:rPr>
          <w:rFonts w:cs="Arial"/>
          <w:lang w:val="en-GB"/>
        </w:rPr>
        <w:t xml:space="preserve">Gauteng Local Division, Johannesburg </w:t>
      </w:r>
    </w:p>
    <w:p w14:paraId="1F7CC8C6" w14:textId="639761BB" w:rsidR="004D398C" w:rsidRDefault="004D398C" w:rsidP="007B1A95">
      <w:pPr>
        <w:tabs>
          <w:tab w:val="left" w:pos="851"/>
          <w:tab w:val="left" w:pos="1701"/>
          <w:tab w:val="left" w:pos="2835"/>
          <w:tab w:val="left" w:pos="3969"/>
          <w:tab w:val="right" w:pos="8222"/>
        </w:tabs>
        <w:spacing w:line="276" w:lineRule="auto"/>
        <w:contextualSpacing/>
        <w:jc w:val="right"/>
        <w:rPr>
          <w:rFonts w:cs="Arial"/>
          <w:lang w:val="en-GB"/>
        </w:rPr>
      </w:pPr>
    </w:p>
    <w:p w14:paraId="418D22B1" w14:textId="77777777" w:rsidR="004D398C" w:rsidRPr="006335A8" w:rsidRDefault="004D398C" w:rsidP="007B1A95">
      <w:pPr>
        <w:tabs>
          <w:tab w:val="left" w:pos="851"/>
          <w:tab w:val="left" w:pos="1701"/>
          <w:tab w:val="left" w:pos="2835"/>
          <w:tab w:val="left" w:pos="3969"/>
          <w:tab w:val="right" w:pos="8222"/>
        </w:tabs>
        <w:spacing w:line="276" w:lineRule="auto"/>
        <w:contextualSpacing/>
        <w:jc w:val="right"/>
        <w:rPr>
          <w:rFonts w:cs="Arial"/>
          <w:lang w:val="en-GB"/>
        </w:rPr>
      </w:pPr>
    </w:p>
    <w:p w14:paraId="06993331" w14:textId="5CD14DF3" w:rsidR="004D398C" w:rsidRPr="004D398C" w:rsidRDefault="004D398C" w:rsidP="004D398C">
      <w:pPr>
        <w:spacing w:before="0" w:after="0" w:line="360" w:lineRule="auto"/>
        <w:rPr>
          <w:rFonts w:ascii="Times New Roman" w:hAnsi="Times New Roman" w:cs="Times New Roman"/>
          <w:color w:val="000000"/>
          <w:szCs w:val="24"/>
          <w:lang w:val="en-GB"/>
        </w:rPr>
      </w:pPr>
      <w:r w:rsidRPr="004D398C">
        <w:rPr>
          <w:rFonts w:ascii="Times New Roman" w:hAnsi="Times New Roman" w:cs="Times New Roman"/>
          <w:color w:val="000000"/>
          <w:szCs w:val="24"/>
          <w:lang w:val="en-GB"/>
        </w:rPr>
        <w:t>This judgment was handed down electronically by circulation to the parties’ representatives by email, by being uploaded to </w:t>
      </w:r>
      <w:r w:rsidRPr="004D398C">
        <w:rPr>
          <w:rFonts w:ascii="Times New Roman" w:hAnsi="Times New Roman" w:cs="Times New Roman"/>
          <w:i/>
          <w:iCs/>
          <w:color w:val="000000"/>
          <w:szCs w:val="24"/>
          <w:lang w:val="en-GB"/>
        </w:rPr>
        <w:t>Case Lines</w:t>
      </w:r>
      <w:r w:rsidRPr="004D398C">
        <w:rPr>
          <w:rFonts w:ascii="Times New Roman" w:hAnsi="Times New Roman" w:cs="Times New Roman"/>
          <w:color w:val="000000"/>
          <w:szCs w:val="24"/>
          <w:lang w:val="en-GB"/>
        </w:rPr>
        <w:t xml:space="preserve"> and by release to SAFLII.  The date and time for hand-down is deemed to be </w:t>
      </w:r>
      <w:r w:rsidRPr="004D398C">
        <w:rPr>
          <w:rFonts w:ascii="Times New Roman" w:hAnsi="Times New Roman" w:cs="Times New Roman"/>
          <w:b/>
          <w:color w:val="000000"/>
          <w:szCs w:val="24"/>
          <w:lang w:val="en-GB"/>
        </w:rPr>
        <w:t>2</w:t>
      </w:r>
      <w:r w:rsidR="004507FB">
        <w:rPr>
          <w:rFonts w:ascii="Times New Roman" w:hAnsi="Times New Roman" w:cs="Times New Roman"/>
          <w:b/>
          <w:color w:val="000000"/>
          <w:szCs w:val="24"/>
          <w:lang w:val="en-GB"/>
        </w:rPr>
        <w:t>4</w:t>
      </w:r>
      <w:r w:rsidRPr="004D398C">
        <w:rPr>
          <w:rFonts w:ascii="Times New Roman" w:hAnsi="Times New Roman" w:cs="Times New Roman"/>
          <w:b/>
          <w:color w:val="000000"/>
          <w:szCs w:val="24"/>
          <w:lang w:val="en-GB"/>
        </w:rPr>
        <w:t xml:space="preserve"> March 2023</w:t>
      </w:r>
      <w:r w:rsidRPr="004D398C">
        <w:rPr>
          <w:rFonts w:ascii="Times New Roman" w:hAnsi="Times New Roman" w:cs="Times New Roman"/>
          <w:color w:val="000000"/>
          <w:szCs w:val="24"/>
          <w:lang w:val="en-GB"/>
        </w:rPr>
        <w:t>.</w:t>
      </w:r>
    </w:p>
    <w:p w14:paraId="20817E32" w14:textId="77777777" w:rsidR="007B1A95" w:rsidRDefault="007B1A95" w:rsidP="007B1A95">
      <w:pPr>
        <w:tabs>
          <w:tab w:val="left" w:pos="1701"/>
          <w:tab w:val="left" w:pos="2835"/>
          <w:tab w:val="left" w:pos="3969"/>
          <w:tab w:val="right" w:pos="8222"/>
        </w:tabs>
        <w:spacing w:line="276" w:lineRule="auto"/>
        <w:ind w:left="1701"/>
        <w:contextualSpacing/>
        <w:rPr>
          <w:rFonts w:cs="Arial"/>
          <w:b/>
          <w:lang w:val="en-GB"/>
        </w:rPr>
      </w:pPr>
    </w:p>
    <w:p w14:paraId="22D30461" w14:textId="77777777" w:rsidR="007B1A95" w:rsidRDefault="007B1A95" w:rsidP="007B1A95">
      <w:pPr>
        <w:tabs>
          <w:tab w:val="left" w:pos="1701"/>
          <w:tab w:val="left" w:pos="2835"/>
          <w:tab w:val="left" w:pos="3969"/>
          <w:tab w:val="right" w:pos="8222"/>
        </w:tabs>
        <w:spacing w:line="276" w:lineRule="auto"/>
        <w:ind w:left="1701"/>
        <w:contextualSpacing/>
        <w:rPr>
          <w:rFonts w:cs="Arial"/>
          <w:b/>
          <w:lang w:val="en-GB"/>
        </w:rPr>
      </w:pPr>
    </w:p>
    <w:p w14:paraId="145BCA44" w14:textId="77777777" w:rsidR="007B1A95" w:rsidRDefault="007B1A95" w:rsidP="007B1A95">
      <w:pPr>
        <w:tabs>
          <w:tab w:val="left" w:pos="1701"/>
          <w:tab w:val="left" w:pos="2835"/>
          <w:tab w:val="left" w:pos="3969"/>
          <w:tab w:val="right" w:pos="8222"/>
        </w:tabs>
        <w:spacing w:line="276" w:lineRule="auto"/>
        <w:ind w:left="1701"/>
        <w:contextualSpacing/>
        <w:rPr>
          <w:rFonts w:cs="Arial"/>
          <w:b/>
          <w:lang w:val="en-GB"/>
        </w:rPr>
      </w:pPr>
    </w:p>
    <w:p w14:paraId="206B620E" w14:textId="77777777" w:rsidR="007B1A95" w:rsidRPr="00D94A16" w:rsidRDefault="007B1A95" w:rsidP="007B1A95">
      <w:pPr>
        <w:rPr>
          <w:rFonts w:eastAsia="Calibri" w:cs="Times New Roman"/>
        </w:rPr>
      </w:pPr>
      <w:r w:rsidRPr="00D94A16">
        <w:rPr>
          <w:rFonts w:eastAsia="Calibri" w:cs="Times New Roman"/>
        </w:rPr>
        <w:t>Appearances:</w:t>
      </w:r>
    </w:p>
    <w:p w14:paraId="529D7446" w14:textId="2561CABE" w:rsidR="007B1A95" w:rsidRDefault="007B1A95" w:rsidP="007B1A95">
      <w:pPr>
        <w:spacing w:before="100" w:beforeAutospacing="1" w:after="100" w:afterAutospacing="1"/>
        <w:rPr>
          <w:rFonts w:eastAsia="Times New Roman" w:cs="Arial"/>
          <w:szCs w:val="24"/>
          <w:lang w:val="en-GB" w:eastAsia="en-ZA"/>
        </w:rPr>
      </w:pPr>
      <w:r>
        <w:rPr>
          <w:rFonts w:eastAsia="Times New Roman" w:cs="Arial"/>
          <w:szCs w:val="24"/>
          <w:lang w:val="en-GB" w:eastAsia="en-ZA"/>
        </w:rPr>
        <w:t>O</w:t>
      </w:r>
      <w:r w:rsidRPr="00D94A16">
        <w:rPr>
          <w:rFonts w:eastAsia="Times New Roman" w:cs="Arial"/>
          <w:szCs w:val="24"/>
          <w:lang w:val="en-GB" w:eastAsia="en-ZA"/>
        </w:rPr>
        <w:t xml:space="preserve">n behalf of the </w:t>
      </w:r>
      <w:r>
        <w:rPr>
          <w:rFonts w:eastAsia="Times New Roman" w:cs="Arial"/>
          <w:szCs w:val="24"/>
          <w:lang w:val="en-GB" w:eastAsia="en-ZA"/>
        </w:rPr>
        <w:t>applicant</w:t>
      </w:r>
      <w:r w:rsidRPr="00D94A16">
        <w:rPr>
          <w:rFonts w:eastAsia="Times New Roman" w:cs="Arial"/>
          <w:szCs w:val="24"/>
          <w:lang w:val="en-GB" w:eastAsia="en-ZA"/>
        </w:rPr>
        <w:t>:   </w:t>
      </w:r>
      <w:r>
        <w:rPr>
          <w:rFonts w:eastAsia="Times New Roman" w:cs="Arial"/>
          <w:szCs w:val="24"/>
          <w:lang w:val="en-GB" w:eastAsia="en-ZA"/>
        </w:rPr>
        <w:tab/>
        <w:t>Adv</w:t>
      </w:r>
      <w:r w:rsidRPr="00D94A16">
        <w:rPr>
          <w:rFonts w:eastAsia="Times New Roman" w:cs="Arial"/>
          <w:szCs w:val="24"/>
          <w:lang w:val="en-GB" w:eastAsia="en-ZA"/>
        </w:rPr>
        <w:t> </w:t>
      </w:r>
      <w:r>
        <w:rPr>
          <w:rFonts w:eastAsia="Times New Roman" w:cs="Arial"/>
          <w:szCs w:val="24"/>
          <w:lang w:val="en-GB" w:eastAsia="en-ZA"/>
        </w:rPr>
        <w:t>M Coetzee</w:t>
      </w:r>
    </w:p>
    <w:p w14:paraId="7D827C50" w14:textId="495A940A" w:rsidR="007B1A95" w:rsidRPr="00D94A16" w:rsidRDefault="007B1A95" w:rsidP="007B1A95">
      <w:pPr>
        <w:spacing w:before="100" w:beforeAutospacing="1" w:after="100" w:afterAutospacing="1"/>
        <w:rPr>
          <w:rFonts w:ascii="Times New Roman" w:eastAsia="Times New Roman" w:hAnsi="Times New Roman" w:cs="Times New Roman"/>
          <w:szCs w:val="24"/>
          <w:lang w:val="en-GB" w:eastAsia="en-ZA"/>
        </w:rPr>
      </w:pPr>
      <w:r w:rsidRPr="00D94A16">
        <w:rPr>
          <w:rFonts w:eastAsia="Times New Roman" w:cs="Arial"/>
          <w:szCs w:val="24"/>
          <w:lang w:val="en-GB" w:eastAsia="en-ZA"/>
        </w:rPr>
        <w:t>Instructed by:                                </w:t>
      </w:r>
      <w:r>
        <w:rPr>
          <w:rFonts w:eastAsia="Times New Roman" w:cs="Arial"/>
          <w:szCs w:val="24"/>
          <w:lang w:val="en-GB" w:eastAsia="en-ZA"/>
        </w:rPr>
        <w:t>Vercueil Attorneys</w:t>
      </w:r>
    </w:p>
    <w:p w14:paraId="7F462F4B" w14:textId="77777777" w:rsidR="00A41A49" w:rsidRDefault="00A41A49" w:rsidP="007B1A95">
      <w:pPr>
        <w:spacing w:before="100" w:beforeAutospacing="1" w:after="100" w:afterAutospacing="1"/>
        <w:rPr>
          <w:rFonts w:eastAsia="Times New Roman" w:cs="Arial"/>
          <w:szCs w:val="24"/>
          <w:lang w:val="en-GB" w:eastAsia="en-ZA"/>
        </w:rPr>
      </w:pPr>
    </w:p>
    <w:p w14:paraId="37903AC4" w14:textId="77777777" w:rsidR="004507FB" w:rsidRDefault="007B1A95" w:rsidP="007B1A95">
      <w:pPr>
        <w:spacing w:before="100" w:beforeAutospacing="1" w:after="100" w:afterAutospacing="1"/>
        <w:rPr>
          <w:rFonts w:eastAsia="Times New Roman" w:cs="Arial"/>
          <w:szCs w:val="24"/>
          <w:lang w:val="en-GB" w:eastAsia="en-ZA"/>
        </w:rPr>
      </w:pPr>
      <w:r>
        <w:rPr>
          <w:rFonts w:eastAsia="Times New Roman" w:cs="Arial"/>
          <w:szCs w:val="24"/>
          <w:lang w:val="en-GB" w:eastAsia="en-ZA"/>
        </w:rPr>
        <w:t>On</w:t>
      </w:r>
      <w:r w:rsidRPr="00D94A16">
        <w:rPr>
          <w:rFonts w:eastAsia="Times New Roman" w:cs="Arial"/>
          <w:szCs w:val="24"/>
          <w:lang w:val="en-GB" w:eastAsia="en-ZA"/>
        </w:rPr>
        <w:t xml:space="preserve"> behalf of the </w:t>
      </w:r>
      <w:r>
        <w:rPr>
          <w:rFonts w:eastAsia="Times New Roman" w:cs="Arial"/>
          <w:szCs w:val="24"/>
          <w:lang w:val="en-GB" w:eastAsia="en-ZA"/>
        </w:rPr>
        <w:t>respondent</w:t>
      </w:r>
      <w:r w:rsidRPr="00D94A16">
        <w:rPr>
          <w:rFonts w:eastAsia="Times New Roman" w:cs="Arial"/>
          <w:szCs w:val="24"/>
          <w:lang w:val="en-GB" w:eastAsia="en-ZA"/>
        </w:rPr>
        <w:t>:</w:t>
      </w:r>
      <w:r w:rsidR="00A41A49">
        <w:rPr>
          <w:rFonts w:eastAsia="Times New Roman" w:cs="Arial"/>
          <w:szCs w:val="24"/>
          <w:lang w:val="en-GB" w:eastAsia="en-ZA"/>
        </w:rPr>
        <w:tab/>
        <w:t xml:space="preserve">Mr CE Boden </w:t>
      </w:r>
      <w:r w:rsidR="004507FB">
        <w:rPr>
          <w:rFonts w:eastAsia="Times New Roman" w:cs="Arial"/>
          <w:szCs w:val="24"/>
          <w:lang w:val="en-GB" w:eastAsia="en-ZA"/>
        </w:rPr>
        <w:t>of</w:t>
      </w:r>
      <w:r w:rsidR="00A41A49">
        <w:rPr>
          <w:rFonts w:eastAsia="Times New Roman" w:cs="Arial"/>
          <w:szCs w:val="24"/>
          <w:lang w:val="en-GB" w:eastAsia="en-ZA"/>
        </w:rPr>
        <w:t xml:space="preserve"> </w:t>
      </w:r>
      <w:r>
        <w:rPr>
          <w:rFonts w:eastAsia="Times New Roman" w:cs="Arial"/>
          <w:szCs w:val="24"/>
          <w:lang w:val="en-GB" w:eastAsia="en-ZA"/>
        </w:rPr>
        <w:t>JJS Manton Attorneys</w:t>
      </w:r>
    </w:p>
    <w:p w14:paraId="5673B46C" w14:textId="77777777" w:rsidR="007B1A95" w:rsidRDefault="007B1A95"/>
    <w:sectPr w:rsidR="007B1A9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99D31" w14:textId="77777777" w:rsidR="00554B84" w:rsidRDefault="00554B84" w:rsidP="0055088B">
      <w:pPr>
        <w:spacing w:before="0" w:after="0"/>
      </w:pPr>
      <w:r>
        <w:separator/>
      </w:r>
    </w:p>
  </w:endnote>
  <w:endnote w:type="continuationSeparator" w:id="0">
    <w:p w14:paraId="53CC87DC" w14:textId="77777777" w:rsidR="00554B84" w:rsidRDefault="00554B84" w:rsidP="005508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FBB70" w14:textId="77777777" w:rsidR="00554B84" w:rsidRDefault="00554B84" w:rsidP="0055088B">
      <w:pPr>
        <w:spacing w:before="0" w:after="0"/>
      </w:pPr>
      <w:r>
        <w:separator/>
      </w:r>
    </w:p>
  </w:footnote>
  <w:footnote w:type="continuationSeparator" w:id="0">
    <w:p w14:paraId="7EFCD9E6" w14:textId="77777777" w:rsidR="00554B84" w:rsidRDefault="00554B84" w:rsidP="0055088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14:paraId="31E8D82E" w14:textId="1E3B12A7" w:rsidR="007B1A95" w:rsidRDefault="007B1A95" w:rsidP="007B1A95">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051A9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51A9F">
          <w:rPr>
            <w:b/>
            <w:bCs/>
            <w:noProof/>
          </w:rPr>
          <w:t>14</w:t>
        </w:r>
        <w:r>
          <w:rPr>
            <w:b/>
            <w:bCs/>
            <w:szCs w:val="24"/>
          </w:rPr>
          <w:fldChar w:fldCharType="end"/>
        </w:r>
      </w:p>
    </w:sdtContent>
  </w:sdt>
  <w:p w14:paraId="4CBA3700" w14:textId="77777777" w:rsidR="007B1A95" w:rsidRDefault="007B1A95" w:rsidP="007B1A95">
    <w:pPr>
      <w:pStyle w:val="Header"/>
    </w:pPr>
  </w:p>
  <w:p w14:paraId="1E4E8397" w14:textId="77777777" w:rsidR="007B1A95" w:rsidRDefault="007B1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3A813314"/>
    <w:multiLevelType w:val="multilevel"/>
    <w:tmpl w:val="A29226FA"/>
    <w:lvl w:ilvl="0">
      <w:start w:val="1"/>
      <w:numFmt w:val="decimal"/>
      <w:pStyle w:val="Std"/>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6085D5D"/>
    <w:multiLevelType w:val="hybridMultilevel"/>
    <w:tmpl w:val="C0E0C71A"/>
    <w:lvl w:ilvl="0" w:tplc="39CE0E1C">
      <w:start w:val="20"/>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E325E77"/>
    <w:multiLevelType w:val="hybridMultilevel"/>
    <w:tmpl w:val="80A2373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558217B"/>
    <w:multiLevelType w:val="hybridMultilevel"/>
    <w:tmpl w:val="03B0D842"/>
    <w:lvl w:ilvl="0" w:tplc="5F70A0AA">
      <w:start w:val="3"/>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8B"/>
    <w:rsid w:val="00006D6E"/>
    <w:rsid w:val="00030DC9"/>
    <w:rsid w:val="00051A9F"/>
    <w:rsid w:val="00052363"/>
    <w:rsid w:val="00093E42"/>
    <w:rsid w:val="000A7CE9"/>
    <w:rsid w:val="000F3CA2"/>
    <w:rsid w:val="00170FE1"/>
    <w:rsid w:val="00175428"/>
    <w:rsid w:val="001B252F"/>
    <w:rsid w:val="001B6F86"/>
    <w:rsid w:val="001D47C6"/>
    <w:rsid w:val="00201D2E"/>
    <w:rsid w:val="00214C6A"/>
    <w:rsid w:val="00222B07"/>
    <w:rsid w:val="002233C7"/>
    <w:rsid w:val="0023537F"/>
    <w:rsid w:val="002663BB"/>
    <w:rsid w:val="00267686"/>
    <w:rsid w:val="00294B78"/>
    <w:rsid w:val="002F6ABC"/>
    <w:rsid w:val="0030112E"/>
    <w:rsid w:val="00361424"/>
    <w:rsid w:val="003C09BF"/>
    <w:rsid w:val="003C48DE"/>
    <w:rsid w:val="003D0302"/>
    <w:rsid w:val="004507FB"/>
    <w:rsid w:val="00496BFC"/>
    <w:rsid w:val="004D398C"/>
    <w:rsid w:val="004E6FB6"/>
    <w:rsid w:val="0055088B"/>
    <w:rsid w:val="00554B84"/>
    <w:rsid w:val="00572A24"/>
    <w:rsid w:val="005A71A5"/>
    <w:rsid w:val="005D12A4"/>
    <w:rsid w:val="005F7FA9"/>
    <w:rsid w:val="00685946"/>
    <w:rsid w:val="007B01EB"/>
    <w:rsid w:val="007B1A95"/>
    <w:rsid w:val="008235E8"/>
    <w:rsid w:val="0085256F"/>
    <w:rsid w:val="00864334"/>
    <w:rsid w:val="008759FF"/>
    <w:rsid w:val="008D1D74"/>
    <w:rsid w:val="0091480D"/>
    <w:rsid w:val="009170E3"/>
    <w:rsid w:val="00960D98"/>
    <w:rsid w:val="009D2B59"/>
    <w:rsid w:val="00A12BB8"/>
    <w:rsid w:val="00A2455D"/>
    <w:rsid w:val="00A31538"/>
    <w:rsid w:val="00A41A49"/>
    <w:rsid w:val="00A907E5"/>
    <w:rsid w:val="00A926BD"/>
    <w:rsid w:val="00AA55D7"/>
    <w:rsid w:val="00AD26B0"/>
    <w:rsid w:val="00B035C4"/>
    <w:rsid w:val="00B6312F"/>
    <w:rsid w:val="00BC7399"/>
    <w:rsid w:val="00C0577C"/>
    <w:rsid w:val="00C3408C"/>
    <w:rsid w:val="00C346CE"/>
    <w:rsid w:val="00D03E89"/>
    <w:rsid w:val="00D65B2E"/>
    <w:rsid w:val="00D85994"/>
    <w:rsid w:val="00DE69F1"/>
    <w:rsid w:val="00E05CDE"/>
    <w:rsid w:val="00E361FB"/>
    <w:rsid w:val="00EE0B0C"/>
    <w:rsid w:val="00F67D46"/>
    <w:rsid w:val="00F76A03"/>
    <w:rsid w:val="00F8213F"/>
    <w:rsid w:val="00FB5C95"/>
    <w:rsid w:val="00FD76A2"/>
    <w:rsid w:val="00FE35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2317"/>
  <w15:chartTrackingRefBased/>
  <w15:docId w15:val="{5221B6A0-D553-40A0-81C6-16D8A222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8B"/>
    <w:pPr>
      <w:spacing w:before="120" w:after="120" w:line="240" w:lineRule="auto"/>
      <w:jc w:val="both"/>
    </w:pPr>
    <w:rPr>
      <w:rFonts w:ascii="Arial" w:hAnsi="Arial"/>
      <w:sz w:val="24"/>
    </w:rPr>
  </w:style>
  <w:style w:type="paragraph" w:styleId="Heading1">
    <w:name w:val="heading 1"/>
    <w:basedOn w:val="Normal"/>
    <w:next w:val="Normal"/>
    <w:link w:val="Heading1Char"/>
    <w:qFormat/>
    <w:rsid w:val="0055088B"/>
    <w:pPr>
      <w:keepNext/>
      <w:spacing w:before="480" w:after="360" w:line="480" w:lineRule="auto"/>
      <w:outlineLvl w:val="0"/>
    </w:pPr>
    <w:rPr>
      <w:rFonts w:eastAsia="Times New Roman" w:cs="Arial"/>
      <w:b/>
      <w:szCs w:val="24"/>
      <w:lang w:val="en-GB"/>
    </w:rPr>
  </w:style>
  <w:style w:type="paragraph" w:styleId="Heading2">
    <w:name w:val="heading 2"/>
    <w:basedOn w:val="Normal"/>
    <w:next w:val="Normal"/>
    <w:link w:val="Heading2Char"/>
    <w:uiPriority w:val="9"/>
    <w:unhideWhenUsed/>
    <w:qFormat/>
    <w:rsid w:val="0055088B"/>
    <w:pPr>
      <w:keepNext/>
      <w:keepLines/>
      <w:spacing w:before="240" w:line="480" w:lineRule="auto"/>
      <w:outlineLvl w:val="1"/>
    </w:pPr>
    <w:rPr>
      <w:rFonts w:eastAsiaTheme="majorEastAsia" w:cstheme="majorBidi"/>
      <w:i/>
      <w:szCs w:val="26"/>
    </w:rPr>
  </w:style>
  <w:style w:type="paragraph" w:styleId="Heading5">
    <w:name w:val="heading 5"/>
    <w:basedOn w:val="Normal"/>
    <w:next w:val="Normal"/>
    <w:link w:val="Heading5Char"/>
    <w:uiPriority w:val="9"/>
    <w:semiHidden/>
    <w:unhideWhenUsed/>
    <w:qFormat/>
    <w:rsid w:val="007B1A9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88B"/>
    <w:rPr>
      <w:rFonts w:ascii="Arial" w:eastAsia="Times New Roman" w:hAnsi="Arial" w:cs="Arial"/>
      <w:b/>
      <w:sz w:val="24"/>
      <w:szCs w:val="24"/>
      <w:lang w:val="en-GB"/>
    </w:rPr>
  </w:style>
  <w:style w:type="character" w:customStyle="1" w:styleId="Heading2Char">
    <w:name w:val="Heading 2 Char"/>
    <w:basedOn w:val="DefaultParagraphFont"/>
    <w:link w:val="Heading2"/>
    <w:uiPriority w:val="9"/>
    <w:rsid w:val="0055088B"/>
    <w:rPr>
      <w:rFonts w:ascii="Arial" w:eastAsiaTheme="majorEastAsia" w:hAnsi="Arial" w:cstheme="majorBidi"/>
      <w:i/>
      <w:sz w:val="24"/>
      <w:szCs w:val="26"/>
    </w:rPr>
  </w:style>
  <w:style w:type="character" w:styleId="Hyperlink">
    <w:name w:val="Hyperlink"/>
    <w:basedOn w:val="DefaultParagraphFont"/>
    <w:uiPriority w:val="99"/>
    <w:unhideWhenUsed/>
    <w:rsid w:val="0055088B"/>
    <w:rPr>
      <w:color w:val="0563C1" w:themeColor="hyperlink"/>
      <w:u w:val="single"/>
    </w:rPr>
  </w:style>
  <w:style w:type="paragraph" w:styleId="NormalWeb">
    <w:name w:val="Normal (Web)"/>
    <w:basedOn w:val="Normal"/>
    <w:uiPriority w:val="99"/>
    <w:semiHidden/>
    <w:unhideWhenUsed/>
    <w:rsid w:val="0055088B"/>
    <w:pPr>
      <w:spacing w:before="100" w:beforeAutospacing="1" w:after="100" w:afterAutospacing="1"/>
      <w:jc w:val="left"/>
    </w:pPr>
    <w:rPr>
      <w:rFonts w:ascii="Times New Roman" w:eastAsia="Times New Roman" w:hAnsi="Times New Roman" w:cs="Times New Roman"/>
      <w:szCs w:val="24"/>
      <w:lang w:eastAsia="en-ZA"/>
    </w:rPr>
  </w:style>
  <w:style w:type="paragraph" w:styleId="TOC1">
    <w:name w:val="toc 1"/>
    <w:basedOn w:val="Normal"/>
    <w:next w:val="Normal"/>
    <w:autoRedefine/>
    <w:uiPriority w:val="39"/>
    <w:unhideWhenUsed/>
    <w:rsid w:val="0055088B"/>
    <w:pPr>
      <w:spacing w:after="100"/>
    </w:pPr>
  </w:style>
  <w:style w:type="paragraph" w:styleId="TOC2">
    <w:name w:val="toc 2"/>
    <w:basedOn w:val="Normal"/>
    <w:next w:val="Normal"/>
    <w:autoRedefine/>
    <w:uiPriority w:val="39"/>
    <w:unhideWhenUsed/>
    <w:rsid w:val="0055088B"/>
    <w:pPr>
      <w:spacing w:after="100"/>
      <w:ind w:left="240"/>
    </w:pPr>
  </w:style>
  <w:style w:type="character" w:customStyle="1" w:styleId="FootnoteTextChar">
    <w:name w:val="Footnote Text Char"/>
    <w:aliases w:val="Footnote Text Char3 Char,Footnote Text Char Char2 Char,Footnote Text Char1 Char Char1 Char,Footnote Text Char Char1 Char Char1 Char,Fo Char,Footnote Text Char5 Char Char,Footnote Text Char1 Char2 Char Char,ALTS FOOTNOTE Char,Char Char"/>
    <w:basedOn w:val="DefaultParagraphFont"/>
    <w:link w:val="FootnoteText"/>
    <w:uiPriority w:val="99"/>
    <w:semiHidden/>
    <w:locked/>
    <w:rsid w:val="0055088B"/>
    <w:rPr>
      <w:rFonts w:ascii="Arial" w:hAnsi="Arial" w:cs="Arial"/>
      <w:sz w:val="20"/>
      <w:szCs w:val="20"/>
    </w:rPr>
  </w:style>
  <w:style w:type="paragraph" w:styleId="FootnoteText">
    <w:name w:val="footnote text"/>
    <w:aliases w:val="Footnote Text Char3,Footnote Text Char Char2,Footnote Text Char1 Char Char1,Footnote Text Char Char1 Char Char1,Fo,Footnote Text Char5 Char,Footnote Text Char1 Char2 Char,Footnote Text Char2 Char2 Char Char,ALTS FOOTNOTE,Char Char1,Char,fn"/>
    <w:basedOn w:val="Normal"/>
    <w:link w:val="FootnoteTextChar"/>
    <w:uiPriority w:val="99"/>
    <w:semiHidden/>
    <w:unhideWhenUsed/>
    <w:qFormat/>
    <w:rsid w:val="0055088B"/>
    <w:pPr>
      <w:spacing w:before="0" w:line="360" w:lineRule="auto"/>
    </w:pPr>
    <w:rPr>
      <w:rFonts w:cs="Arial"/>
      <w:sz w:val="20"/>
      <w:szCs w:val="20"/>
    </w:rPr>
  </w:style>
  <w:style w:type="character" w:customStyle="1" w:styleId="FootnoteTextChar1">
    <w:name w:val="Footnote Text Char1"/>
    <w:basedOn w:val="DefaultParagraphFont"/>
    <w:uiPriority w:val="99"/>
    <w:semiHidden/>
    <w:rsid w:val="0055088B"/>
    <w:rPr>
      <w:rFonts w:ascii="Arial" w:hAnsi="Arial"/>
      <w:sz w:val="20"/>
      <w:szCs w:val="20"/>
    </w:rPr>
  </w:style>
  <w:style w:type="paragraph" w:styleId="ListParagraph">
    <w:name w:val="List Paragraph"/>
    <w:basedOn w:val="Normal"/>
    <w:uiPriority w:val="34"/>
    <w:qFormat/>
    <w:rsid w:val="0055088B"/>
    <w:pPr>
      <w:ind w:left="720"/>
      <w:contextualSpacing/>
    </w:pPr>
  </w:style>
  <w:style w:type="paragraph" w:styleId="Quote">
    <w:name w:val="Quote"/>
    <w:basedOn w:val="Normal"/>
    <w:next w:val="Normal"/>
    <w:link w:val="QuoteChar"/>
    <w:uiPriority w:val="29"/>
    <w:qFormat/>
    <w:rsid w:val="0055088B"/>
    <w:pPr>
      <w:spacing w:before="240" w:after="160" w:line="360" w:lineRule="auto"/>
      <w:ind w:left="624" w:right="624"/>
    </w:pPr>
    <w:rPr>
      <w:i/>
      <w:iCs/>
    </w:rPr>
  </w:style>
  <w:style w:type="character" w:customStyle="1" w:styleId="QuoteChar">
    <w:name w:val="Quote Char"/>
    <w:basedOn w:val="DefaultParagraphFont"/>
    <w:link w:val="Quote"/>
    <w:uiPriority w:val="29"/>
    <w:rsid w:val="0055088B"/>
    <w:rPr>
      <w:rFonts w:ascii="Arial" w:hAnsi="Arial"/>
      <w:i/>
      <w:iCs/>
      <w:sz w:val="24"/>
    </w:rPr>
  </w:style>
  <w:style w:type="paragraph" w:styleId="TOCHeading">
    <w:name w:val="TOC Heading"/>
    <w:basedOn w:val="Heading1"/>
    <w:next w:val="Normal"/>
    <w:uiPriority w:val="39"/>
    <w:semiHidden/>
    <w:unhideWhenUsed/>
    <w:qFormat/>
    <w:rsid w:val="0055088B"/>
    <w:pPr>
      <w:keepLines/>
      <w:spacing w:before="240" w:after="0" w:line="256" w:lineRule="auto"/>
      <w:jc w:val="left"/>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StdChar">
    <w:name w:val="Std Char"/>
    <w:link w:val="Std"/>
    <w:locked/>
    <w:rsid w:val="0055088B"/>
    <w:rPr>
      <w:rFonts w:ascii="Arial" w:eastAsia="Times New Roman" w:hAnsi="Arial" w:cs="Arial"/>
      <w:sz w:val="24"/>
      <w:szCs w:val="24"/>
      <w:lang w:val="en-GB"/>
    </w:rPr>
  </w:style>
  <w:style w:type="paragraph" w:customStyle="1" w:styleId="Std">
    <w:name w:val="Std"/>
    <w:basedOn w:val="Normal"/>
    <w:link w:val="StdChar"/>
    <w:qFormat/>
    <w:rsid w:val="00006D6E"/>
    <w:pPr>
      <w:numPr>
        <w:numId w:val="1"/>
      </w:numPr>
      <w:spacing w:line="480" w:lineRule="auto"/>
    </w:pPr>
    <w:rPr>
      <w:rFonts w:eastAsia="Times New Roman" w:cs="Arial"/>
      <w:szCs w:val="24"/>
      <w:lang w:val="en-GB"/>
    </w:rPr>
  </w:style>
  <w:style w:type="paragraph" w:customStyle="1" w:styleId="pri">
    <w:name w:val="pri"/>
    <w:basedOn w:val="Normal"/>
    <w:uiPriority w:val="99"/>
    <w:semiHidden/>
    <w:rsid w:val="0055088B"/>
    <w:pPr>
      <w:spacing w:before="100" w:beforeAutospacing="1" w:after="100" w:afterAutospacing="1"/>
      <w:jc w:val="left"/>
    </w:pPr>
    <w:rPr>
      <w:rFonts w:ascii="Times New Roman" w:eastAsia="Times New Roman" w:hAnsi="Times New Roman" w:cs="Times New Roman"/>
      <w:szCs w:val="24"/>
      <w:lang w:eastAsia="en-ZA"/>
    </w:rPr>
  </w:style>
  <w:style w:type="paragraph" w:customStyle="1" w:styleId="footnote-x">
    <w:name w:val="footnote-x"/>
    <w:basedOn w:val="Normal"/>
    <w:uiPriority w:val="99"/>
    <w:semiHidden/>
    <w:rsid w:val="0055088B"/>
    <w:pPr>
      <w:spacing w:before="100" w:beforeAutospacing="1" w:after="100" w:afterAutospacing="1"/>
      <w:jc w:val="left"/>
    </w:pPr>
    <w:rPr>
      <w:rFonts w:ascii="Times New Roman" w:eastAsia="Times New Roman" w:hAnsi="Times New Roman" w:cs="Times New Roman"/>
      <w:szCs w:val="24"/>
      <w:lang w:eastAsia="en-ZA"/>
    </w:rPr>
  </w:style>
  <w:style w:type="character" w:styleId="FootnoteReference">
    <w:name w:val="footnote reference"/>
    <w:aliases w:val="Footnote symbol,Style 12,(NECG) Footnote Reference,Footnote,Ref,de nota al pie,註腳內容"/>
    <w:basedOn w:val="DefaultParagraphFont"/>
    <w:semiHidden/>
    <w:unhideWhenUsed/>
    <w:rsid w:val="0055088B"/>
    <w:rPr>
      <w:vertAlign w:val="superscript"/>
    </w:rPr>
  </w:style>
  <w:style w:type="paragraph" w:styleId="Header">
    <w:name w:val="header"/>
    <w:basedOn w:val="Normal"/>
    <w:link w:val="HeaderChar"/>
    <w:uiPriority w:val="99"/>
    <w:unhideWhenUsed/>
    <w:rsid w:val="00093E42"/>
    <w:pPr>
      <w:tabs>
        <w:tab w:val="center" w:pos="4513"/>
        <w:tab w:val="right" w:pos="9026"/>
      </w:tabs>
      <w:spacing w:before="0" w:after="0"/>
    </w:pPr>
  </w:style>
  <w:style w:type="character" w:customStyle="1" w:styleId="HeaderChar">
    <w:name w:val="Header Char"/>
    <w:basedOn w:val="DefaultParagraphFont"/>
    <w:link w:val="Header"/>
    <w:uiPriority w:val="99"/>
    <w:rsid w:val="00093E42"/>
    <w:rPr>
      <w:rFonts w:ascii="Arial" w:hAnsi="Arial"/>
      <w:sz w:val="24"/>
    </w:rPr>
  </w:style>
  <w:style w:type="paragraph" w:styleId="Footer">
    <w:name w:val="footer"/>
    <w:basedOn w:val="Normal"/>
    <w:link w:val="FooterChar"/>
    <w:uiPriority w:val="99"/>
    <w:unhideWhenUsed/>
    <w:rsid w:val="00093E42"/>
    <w:pPr>
      <w:tabs>
        <w:tab w:val="center" w:pos="4513"/>
        <w:tab w:val="right" w:pos="9026"/>
      </w:tabs>
      <w:spacing w:before="0" w:after="0"/>
    </w:pPr>
  </w:style>
  <w:style w:type="character" w:customStyle="1" w:styleId="FooterChar">
    <w:name w:val="Footer Char"/>
    <w:basedOn w:val="DefaultParagraphFont"/>
    <w:link w:val="Footer"/>
    <w:uiPriority w:val="99"/>
    <w:rsid w:val="00093E42"/>
    <w:rPr>
      <w:rFonts w:ascii="Arial" w:hAnsi="Arial"/>
      <w:sz w:val="24"/>
    </w:rPr>
  </w:style>
  <w:style w:type="character" w:customStyle="1" w:styleId="Heading5Char">
    <w:name w:val="Heading 5 Char"/>
    <w:basedOn w:val="DefaultParagraphFont"/>
    <w:link w:val="Heading5"/>
    <w:uiPriority w:val="9"/>
    <w:semiHidden/>
    <w:rsid w:val="007B1A95"/>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7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BE929-690D-4E62-A75A-F301125E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Wesley</dc:creator>
  <cp:keywords/>
  <dc:description/>
  <cp:lastModifiedBy>Mokone</cp:lastModifiedBy>
  <cp:revision>3</cp:revision>
  <cp:lastPrinted>2023-03-24T06:22:00Z</cp:lastPrinted>
  <dcterms:created xsi:type="dcterms:W3CDTF">2023-03-27T08:13:00Z</dcterms:created>
  <dcterms:modified xsi:type="dcterms:W3CDTF">2023-03-27T08:15:00Z</dcterms:modified>
</cp:coreProperties>
</file>