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FC" w:rsidRDefault="00AC60FC" w:rsidP="00AC60FC">
      <w:pPr>
        <w:jc w:val="center"/>
        <w:rPr>
          <w:rFonts w:asciiTheme="minorHAnsi" w:hAnsiTheme="minorHAnsi" w:cstheme="minorHAnsi"/>
          <w:b/>
          <w:sz w:val="26"/>
          <w:szCs w:val="26"/>
        </w:rPr>
      </w:pPr>
    </w:p>
    <w:p w:rsidR="00AC60FC" w:rsidRDefault="00AC60FC" w:rsidP="00AC60FC">
      <w:pPr>
        <w:jc w:val="center"/>
        <w:rPr>
          <w:rFonts w:asciiTheme="minorHAnsi" w:hAnsiTheme="minorHAnsi" w:cstheme="minorHAnsi"/>
          <w:b/>
          <w:sz w:val="26"/>
          <w:szCs w:val="26"/>
        </w:rPr>
      </w:pPr>
    </w:p>
    <w:p w:rsidR="00AC60FC" w:rsidRDefault="00AC60FC" w:rsidP="00AC60FC">
      <w:pPr>
        <w:jc w:val="center"/>
        <w:rPr>
          <w:rFonts w:asciiTheme="minorHAnsi" w:hAnsiTheme="minorHAnsi" w:cstheme="minorHAnsi"/>
          <w:b/>
          <w:sz w:val="26"/>
          <w:szCs w:val="26"/>
        </w:rPr>
      </w:pPr>
    </w:p>
    <w:p w:rsidR="00AC60FC" w:rsidRDefault="00AC60FC" w:rsidP="00AC60FC">
      <w:pPr>
        <w:jc w:val="center"/>
        <w:rPr>
          <w:rFonts w:asciiTheme="minorHAnsi" w:hAnsiTheme="minorHAnsi" w:cstheme="minorHAnsi"/>
          <w:b/>
          <w:sz w:val="26"/>
          <w:szCs w:val="26"/>
        </w:rPr>
      </w:pPr>
    </w:p>
    <w:p w:rsidR="00AC60FC" w:rsidRDefault="00AC60FC" w:rsidP="00AC60FC">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rsidR="00AC60FC" w:rsidRPr="00C201B8" w:rsidRDefault="00AC60FC" w:rsidP="00AC60FC">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AC60FC" w:rsidRPr="00C201B8" w:rsidRDefault="00AC60FC" w:rsidP="00AC60FC">
      <w:pPr>
        <w:pStyle w:val="Heading3"/>
      </w:pPr>
    </w:p>
    <w:p w:rsidR="00AC60FC" w:rsidRPr="00C201B8" w:rsidRDefault="00AC60FC" w:rsidP="00AC60FC">
      <w:pPr>
        <w:jc w:val="center"/>
        <w:rPr>
          <w:rFonts w:asciiTheme="minorHAnsi" w:hAnsiTheme="minorHAnsi" w:cstheme="minorHAnsi"/>
          <w:sz w:val="26"/>
          <w:szCs w:val="26"/>
        </w:rPr>
      </w:pPr>
      <w:r w:rsidRPr="00C201B8">
        <w:rPr>
          <w:rFonts w:asciiTheme="minorHAnsi" w:hAnsiTheme="minorHAnsi" w:cstheme="minorHAnsi"/>
          <w:b/>
          <w:noProof/>
          <w:sz w:val="26"/>
          <w:szCs w:val="26"/>
          <w:lang w:val="en-US" w:eastAsia="en-US"/>
        </w:rPr>
        <mc:AlternateContent>
          <mc:Choice Requires="wps">
            <w:drawing>
              <wp:anchor distT="0" distB="0" distL="114300" distR="114300" simplePos="0" relativeHeight="251659264" behindDoc="0" locked="0" layoutInCell="1" allowOverlap="1" wp14:anchorId="713B6276" wp14:editId="0E3D4660">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491195" w:rsidRPr="002655B3" w:rsidRDefault="002655B3" w:rsidP="002655B3">
                            <w:pPr>
                              <w:spacing w:after="200" w:line="276" w:lineRule="auto"/>
                              <w:ind w:left="720" w:hanging="360"/>
                              <w:suppressOverlap/>
                              <w:rPr>
                                <w:b/>
                                <w:sz w:val="16"/>
                                <w:szCs w:val="16"/>
                              </w:rPr>
                            </w:pPr>
                            <w:r w:rsidRPr="008B34AE">
                              <w:rPr>
                                <w:b/>
                                <w:sz w:val="16"/>
                                <w:szCs w:val="16"/>
                              </w:rPr>
                              <w:t>(1)</w:t>
                            </w:r>
                            <w:r w:rsidRPr="008B34AE">
                              <w:rPr>
                                <w:b/>
                                <w:sz w:val="16"/>
                                <w:szCs w:val="16"/>
                              </w:rPr>
                              <w:tab/>
                            </w:r>
                            <w:r w:rsidR="00491195" w:rsidRPr="002655B3">
                              <w:rPr>
                                <w:b/>
                                <w:sz w:val="16"/>
                                <w:szCs w:val="16"/>
                              </w:rPr>
                              <w:t>Reportable: No</w:t>
                            </w:r>
                          </w:p>
                          <w:p w:rsidR="00491195" w:rsidRPr="002655B3" w:rsidRDefault="002655B3" w:rsidP="002655B3">
                            <w:pPr>
                              <w:spacing w:after="200" w:line="276" w:lineRule="auto"/>
                              <w:ind w:left="720" w:hanging="360"/>
                              <w:suppressOverlap/>
                              <w:rPr>
                                <w:b/>
                                <w:sz w:val="16"/>
                                <w:szCs w:val="16"/>
                              </w:rPr>
                            </w:pPr>
                            <w:r w:rsidRPr="008B34AE">
                              <w:rPr>
                                <w:b/>
                                <w:sz w:val="16"/>
                                <w:szCs w:val="16"/>
                              </w:rPr>
                              <w:t>(2)</w:t>
                            </w:r>
                            <w:r w:rsidRPr="008B34AE">
                              <w:rPr>
                                <w:b/>
                                <w:sz w:val="16"/>
                                <w:szCs w:val="16"/>
                              </w:rPr>
                              <w:tab/>
                            </w:r>
                            <w:r w:rsidR="00491195" w:rsidRPr="002655B3">
                              <w:rPr>
                                <w:b/>
                                <w:sz w:val="16"/>
                                <w:szCs w:val="16"/>
                              </w:rPr>
                              <w:t>Of interest to other Judges: No</w:t>
                            </w:r>
                          </w:p>
                          <w:p w:rsidR="00491195" w:rsidRPr="002655B3" w:rsidRDefault="002655B3" w:rsidP="002655B3">
                            <w:pPr>
                              <w:spacing w:after="200" w:line="276" w:lineRule="auto"/>
                              <w:ind w:left="720" w:hanging="360"/>
                              <w:suppressOverlap/>
                              <w:rPr>
                                <w:b/>
                                <w:sz w:val="16"/>
                                <w:szCs w:val="16"/>
                              </w:rPr>
                            </w:pPr>
                            <w:r>
                              <w:rPr>
                                <w:b/>
                                <w:sz w:val="16"/>
                                <w:szCs w:val="16"/>
                              </w:rPr>
                              <w:t>(3)</w:t>
                            </w:r>
                            <w:r>
                              <w:rPr>
                                <w:b/>
                                <w:sz w:val="16"/>
                                <w:szCs w:val="16"/>
                              </w:rPr>
                              <w:tab/>
                            </w:r>
                            <w:r w:rsidR="00491195" w:rsidRPr="002655B3">
                              <w:rPr>
                                <w:b/>
                                <w:sz w:val="16"/>
                                <w:szCs w:val="16"/>
                              </w:rPr>
                              <w:t>Revised: No</w:t>
                            </w:r>
                          </w:p>
                          <w:p w:rsidR="00491195" w:rsidRPr="00AB7D21" w:rsidRDefault="00491195" w:rsidP="00AC60FC">
                            <w:pPr>
                              <w:spacing w:after="200" w:line="276" w:lineRule="auto"/>
                              <w:ind w:left="360"/>
                              <w:suppressOverlap/>
                              <w:rPr>
                                <w:b/>
                                <w:sz w:val="16"/>
                                <w:szCs w:val="16"/>
                              </w:rPr>
                            </w:pPr>
                            <w:r w:rsidRPr="00AB7D21">
                              <w:rPr>
                                <w:b/>
                                <w:sz w:val="16"/>
                                <w:szCs w:val="16"/>
                              </w:rPr>
                              <w:t>Date:</w:t>
                            </w:r>
                            <w:r>
                              <w:rPr>
                                <w:b/>
                                <w:sz w:val="16"/>
                                <w:szCs w:val="16"/>
                              </w:rPr>
                              <w:t xml:space="preserve"> </w:t>
                            </w:r>
                            <w:r w:rsidR="000973A6">
                              <w:rPr>
                                <w:b/>
                                <w:sz w:val="16"/>
                                <w:szCs w:val="16"/>
                              </w:rPr>
                              <w:t>05</w:t>
                            </w:r>
                            <w:r w:rsidRPr="00AB7D21">
                              <w:rPr>
                                <w:b/>
                                <w:sz w:val="16"/>
                                <w:szCs w:val="16"/>
                              </w:rPr>
                              <w:t>/</w:t>
                            </w:r>
                            <w:r>
                              <w:rPr>
                                <w:b/>
                                <w:sz w:val="16"/>
                                <w:szCs w:val="16"/>
                              </w:rPr>
                              <w:t>0</w:t>
                            </w:r>
                            <w:r w:rsidR="004B071A">
                              <w:rPr>
                                <w:b/>
                                <w:sz w:val="16"/>
                                <w:szCs w:val="16"/>
                              </w:rPr>
                              <w:t>4</w:t>
                            </w:r>
                            <w:r w:rsidRPr="00AB7D21">
                              <w:rPr>
                                <w:b/>
                                <w:sz w:val="16"/>
                                <w:szCs w:val="16"/>
                              </w:rPr>
                              <w:t>/20</w:t>
                            </w:r>
                            <w:r>
                              <w:rPr>
                                <w:b/>
                                <w:sz w:val="16"/>
                                <w:szCs w:val="16"/>
                              </w:rPr>
                              <w:t>23</w:t>
                            </w:r>
                          </w:p>
                          <w:p w:rsidR="00491195" w:rsidRDefault="00491195" w:rsidP="00AC60FC">
                            <w:pPr>
                              <w:suppressOverlap/>
                              <w:rPr>
                                <w:b/>
                                <w:sz w:val="16"/>
                                <w:szCs w:val="16"/>
                              </w:rPr>
                            </w:pPr>
                            <w:r>
                              <w:rPr>
                                <w:b/>
                                <w:sz w:val="16"/>
                                <w:szCs w:val="16"/>
                              </w:rPr>
                              <w:t xml:space="preserve"> _____________</w:t>
                            </w:r>
                          </w:p>
                          <w:p w:rsidR="00491195" w:rsidRDefault="00491195" w:rsidP="00AC60FC">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B6276"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">
                <v:textbox>
                  <w:txbxContent>
                    <w:p w:rsidR="00491195" w:rsidRPr="002655B3" w:rsidRDefault="002655B3" w:rsidP="002655B3">
                      <w:pPr>
                        <w:spacing w:after="200" w:line="276" w:lineRule="auto"/>
                        <w:ind w:left="720" w:hanging="360"/>
                        <w:suppressOverlap/>
                        <w:rPr>
                          <w:b/>
                          <w:sz w:val="16"/>
                          <w:szCs w:val="16"/>
                        </w:rPr>
                      </w:pPr>
                      <w:r w:rsidRPr="008B34AE">
                        <w:rPr>
                          <w:b/>
                          <w:sz w:val="16"/>
                          <w:szCs w:val="16"/>
                        </w:rPr>
                        <w:t>(1)</w:t>
                      </w:r>
                      <w:r w:rsidRPr="008B34AE">
                        <w:rPr>
                          <w:b/>
                          <w:sz w:val="16"/>
                          <w:szCs w:val="16"/>
                        </w:rPr>
                        <w:tab/>
                      </w:r>
                      <w:r w:rsidR="00491195" w:rsidRPr="002655B3">
                        <w:rPr>
                          <w:b/>
                          <w:sz w:val="16"/>
                          <w:szCs w:val="16"/>
                        </w:rPr>
                        <w:t>Reportable: No</w:t>
                      </w:r>
                    </w:p>
                    <w:p w:rsidR="00491195" w:rsidRPr="002655B3" w:rsidRDefault="002655B3" w:rsidP="002655B3">
                      <w:pPr>
                        <w:spacing w:after="200" w:line="276" w:lineRule="auto"/>
                        <w:ind w:left="720" w:hanging="360"/>
                        <w:suppressOverlap/>
                        <w:rPr>
                          <w:b/>
                          <w:sz w:val="16"/>
                          <w:szCs w:val="16"/>
                        </w:rPr>
                      </w:pPr>
                      <w:r w:rsidRPr="008B34AE">
                        <w:rPr>
                          <w:b/>
                          <w:sz w:val="16"/>
                          <w:szCs w:val="16"/>
                        </w:rPr>
                        <w:t>(2)</w:t>
                      </w:r>
                      <w:r w:rsidRPr="008B34AE">
                        <w:rPr>
                          <w:b/>
                          <w:sz w:val="16"/>
                          <w:szCs w:val="16"/>
                        </w:rPr>
                        <w:tab/>
                      </w:r>
                      <w:r w:rsidR="00491195" w:rsidRPr="002655B3">
                        <w:rPr>
                          <w:b/>
                          <w:sz w:val="16"/>
                          <w:szCs w:val="16"/>
                        </w:rPr>
                        <w:t>Of interest to other Judges: No</w:t>
                      </w:r>
                    </w:p>
                    <w:p w:rsidR="00491195" w:rsidRPr="002655B3" w:rsidRDefault="002655B3" w:rsidP="002655B3">
                      <w:pPr>
                        <w:spacing w:after="200" w:line="276" w:lineRule="auto"/>
                        <w:ind w:left="720" w:hanging="360"/>
                        <w:suppressOverlap/>
                        <w:rPr>
                          <w:b/>
                          <w:sz w:val="16"/>
                          <w:szCs w:val="16"/>
                        </w:rPr>
                      </w:pPr>
                      <w:r>
                        <w:rPr>
                          <w:b/>
                          <w:sz w:val="16"/>
                          <w:szCs w:val="16"/>
                        </w:rPr>
                        <w:t>(3)</w:t>
                      </w:r>
                      <w:r>
                        <w:rPr>
                          <w:b/>
                          <w:sz w:val="16"/>
                          <w:szCs w:val="16"/>
                        </w:rPr>
                        <w:tab/>
                      </w:r>
                      <w:r w:rsidR="00491195" w:rsidRPr="002655B3">
                        <w:rPr>
                          <w:b/>
                          <w:sz w:val="16"/>
                          <w:szCs w:val="16"/>
                        </w:rPr>
                        <w:t>Revised: No</w:t>
                      </w:r>
                    </w:p>
                    <w:p w:rsidR="00491195" w:rsidRPr="00AB7D21" w:rsidRDefault="00491195" w:rsidP="00AC60FC">
                      <w:pPr>
                        <w:spacing w:after="200" w:line="276" w:lineRule="auto"/>
                        <w:ind w:left="360"/>
                        <w:suppressOverlap/>
                        <w:rPr>
                          <w:b/>
                          <w:sz w:val="16"/>
                          <w:szCs w:val="16"/>
                        </w:rPr>
                      </w:pPr>
                      <w:r w:rsidRPr="00AB7D21">
                        <w:rPr>
                          <w:b/>
                          <w:sz w:val="16"/>
                          <w:szCs w:val="16"/>
                        </w:rPr>
                        <w:t>Date:</w:t>
                      </w:r>
                      <w:r>
                        <w:rPr>
                          <w:b/>
                          <w:sz w:val="16"/>
                          <w:szCs w:val="16"/>
                        </w:rPr>
                        <w:t xml:space="preserve"> </w:t>
                      </w:r>
                      <w:r w:rsidR="000973A6">
                        <w:rPr>
                          <w:b/>
                          <w:sz w:val="16"/>
                          <w:szCs w:val="16"/>
                        </w:rPr>
                        <w:t>05</w:t>
                      </w:r>
                      <w:r w:rsidRPr="00AB7D21">
                        <w:rPr>
                          <w:b/>
                          <w:sz w:val="16"/>
                          <w:szCs w:val="16"/>
                        </w:rPr>
                        <w:t>/</w:t>
                      </w:r>
                      <w:r>
                        <w:rPr>
                          <w:b/>
                          <w:sz w:val="16"/>
                          <w:szCs w:val="16"/>
                        </w:rPr>
                        <w:t>0</w:t>
                      </w:r>
                      <w:r w:rsidR="004B071A">
                        <w:rPr>
                          <w:b/>
                          <w:sz w:val="16"/>
                          <w:szCs w:val="16"/>
                        </w:rPr>
                        <w:t>4</w:t>
                      </w:r>
                      <w:r w:rsidRPr="00AB7D21">
                        <w:rPr>
                          <w:b/>
                          <w:sz w:val="16"/>
                          <w:szCs w:val="16"/>
                        </w:rPr>
                        <w:t>/20</w:t>
                      </w:r>
                      <w:r>
                        <w:rPr>
                          <w:b/>
                          <w:sz w:val="16"/>
                          <w:szCs w:val="16"/>
                        </w:rPr>
                        <w:t>23</w:t>
                      </w:r>
                    </w:p>
                    <w:p w:rsidR="00491195" w:rsidRDefault="00491195" w:rsidP="00AC60FC">
                      <w:pPr>
                        <w:suppressOverlap/>
                        <w:rPr>
                          <w:b/>
                          <w:sz w:val="16"/>
                          <w:szCs w:val="16"/>
                        </w:rPr>
                      </w:pPr>
                      <w:r>
                        <w:rPr>
                          <w:b/>
                          <w:sz w:val="16"/>
                          <w:szCs w:val="16"/>
                        </w:rPr>
                        <w:t xml:space="preserve"> _____________</w:t>
                      </w:r>
                    </w:p>
                    <w:p w:rsidR="00491195" w:rsidRDefault="00491195" w:rsidP="00AC60FC">
                      <w:pPr>
                        <w:suppressOverlap/>
                      </w:pPr>
                      <w:r>
                        <w:t>A Maier-Frawley</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US" w:eastAsia="en-US"/>
        </w:rPr>
        <w:drawing>
          <wp:inline distT="0" distB="0" distL="0" distR="0" wp14:anchorId="5FC18DF1" wp14:editId="1F6F31D1">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AC60FC" w:rsidRDefault="00AC60FC" w:rsidP="00AC60FC">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sidR="00C3163F">
        <w:rPr>
          <w:rFonts w:asciiTheme="minorHAnsi" w:hAnsiTheme="minorHAnsi" w:cstheme="minorHAnsi"/>
          <w:sz w:val="26"/>
          <w:szCs w:val="26"/>
        </w:rPr>
        <w:t>2022/9914</w:t>
      </w:r>
    </w:p>
    <w:p w:rsidR="00AC60FC" w:rsidRDefault="00AC60FC" w:rsidP="00AC60FC">
      <w:pPr>
        <w:spacing w:after="120"/>
        <w:jc w:val="right"/>
        <w:rPr>
          <w:rFonts w:asciiTheme="minorHAnsi" w:hAnsiTheme="minorHAnsi" w:cstheme="minorHAnsi"/>
          <w:sz w:val="26"/>
          <w:szCs w:val="26"/>
        </w:rPr>
      </w:pPr>
    </w:p>
    <w:p w:rsidR="00AC60FC" w:rsidRDefault="00AC60FC" w:rsidP="00AC60FC">
      <w:pPr>
        <w:jc w:val="both"/>
        <w:rPr>
          <w:rFonts w:asciiTheme="minorHAnsi" w:hAnsiTheme="minorHAnsi" w:cstheme="minorHAnsi"/>
          <w:sz w:val="26"/>
          <w:szCs w:val="26"/>
        </w:rPr>
      </w:pPr>
    </w:p>
    <w:p w:rsidR="00AC60FC" w:rsidRDefault="00AC60FC" w:rsidP="00AC60FC">
      <w:pPr>
        <w:jc w:val="both"/>
        <w:rPr>
          <w:rFonts w:asciiTheme="minorHAnsi" w:hAnsiTheme="minorHAnsi" w:cstheme="minorHAnsi"/>
          <w:sz w:val="26"/>
          <w:szCs w:val="26"/>
        </w:rPr>
      </w:pPr>
    </w:p>
    <w:p w:rsidR="00AC60FC" w:rsidRPr="00C201B8" w:rsidRDefault="00AC60FC" w:rsidP="00AC60FC">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AC60FC" w:rsidRDefault="00AC60FC" w:rsidP="00AC60FC">
      <w:pPr>
        <w:ind w:right="-46"/>
        <w:rPr>
          <w:rFonts w:asciiTheme="minorHAnsi" w:hAnsiTheme="minorHAnsi" w:cstheme="minorHAnsi"/>
          <w:b/>
          <w:sz w:val="26"/>
          <w:szCs w:val="26"/>
        </w:rPr>
      </w:pPr>
    </w:p>
    <w:p w:rsidR="00C3163F" w:rsidRDefault="00C3163F" w:rsidP="00AC60FC">
      <w:pPr>
        <w:ind w:right="-46"/>
        <w:rPr>
          <w:rFonts w:asciiTheme="minorHAnsi" w:hAnsiTheme="minorHAnsi" w:cstheme="minorHAnsi"/>
          <w:b/>
          <w:sz w:val="26"/>
          <w:szCs w:val="26"/>
        </w:rPr>
      </w:pPr>
      <w:r>
        <w:rPr>
          <w:rFonts w:asciiTheme="minorHAnsi" w:hAnsiTheme="minorHAnsi" w:cstheme="minorHAnsi"/>
          <w:b/>
          <w:sz w:val="26"/>
          <w:szCs w:val="26"/>
        </w:rPr>
        <w:t>NISSAN FINANCE, A PRODUCT OF WESBANK,</w:t>
      </w:r>
    </w:p>
    <w:p w:rsidR="00AC60FC" w:rsidRDefault="00C3163F" w:rsidP="00AC60FC">
      <w:pPr>
        <w:ind w:right="-46"/>
        <w:rPr>
          <w:rFonts w:asciiTheme="minorHAnsi" w:hAnsiTheme="minorHAnsi" w:cstheme="minorHAnsi"/>
          <w:sz w:val="26"/>
          <w:szCs w:val="26"/>
        </w:rPr>
      </w:pPr>
      <w:r>
        <w:rPr>
          <w:rFonts w:asciiTheme="minorHAnsi" w:hAnsiTheme="minorHAnsi" w:cstheme="minorHAnsi"/>
          <w:b/>
          <w:sz w:val="26"/>
          <w:szCs w:val="26"/>
        </w:rPr>
        <w:t>OF FIRSTRAND BANK LIMITED</w:t>
      </w:r>
      <w:r w:rsidR="00AC60FC">
        <w:rPr>
          <w:rFonts w:asciiTheme="minorHAnsi" w:hAnsiTheme="minorHAnsi" w:cstheme="minorHAnsi"/>
          <w:sz w:val="26"/>
          <w:szCs w:val="26"/>
        </w:rPr>
        <w:tab/>
      </w:r>
      <w:r w:rsidR="00AC60FC">
        <w:rPr>
          <w:rFonts w:asciiTheme="minorHAnsi" w:hAnsiTheme="minorHAnsi" w:cstheme="minorHAnsi"/>
          <w:sz w:val="26"/>
          <w:szCs w:val="26"/>
        </w:rPr>
        <w:tab/>
      </w:r>
      <w:r w:rsidR="00AC60FC">
        <w:rPr>
          <w:rFonts w:asciiTheme="minorHAnsi" w:hAnsiTheme="minorHAnsi" w:cstheme="minorHAnsi"/>
          <w:sz w:val="26"/>
          <w:szCs w:val="26"/>
        </w:rPr>
        <w:tab/>
      </w:r>
      <w:r w:rsidR="00AC60FC">
        <w:rPr>
          <w:rFonts w:asciiTheme="minorHAnsi" w:hAnsiTheme="minorHAnsi" w:cstheme="minorHAnsi"/>
          <w:sz w:val="26"/>
          <w:szCs w:val="26"/>
        </w:rPr>
        <w:tab/>
      </w:r>
      <w:r w:rsidR="00AC60FC">
        <w:rPr>
          <w:rFonts w:asciiTheme="minorHAnsi" w:hAnsiTheme="minorHAnsi" w:cstheme="minorHAnsi"/>
          <w:sz w:val="26"/>
          <w:szCs w:val="26"/>
        </w:rPr>
        <w:tab/>
      </w:r>
      <w:r w:rsidR="00AC60FC">
        <w:rPr>
          <w:rFonts w:asciiTheme="minorHAnsi" w:hAnsiTheme="minorHAnsi" w:cstheme="minorHAnsi"/>
          <w:sz w:val="26"/>
          <w:szCs w:val="26"/>
        </w:rPr>
        <w:tab/>
      </w:r>
      <w:r w:rsidR="00AC60FC">
        <w:rPr>
          <w:rFonts w:asciiTheme="minorHAnsi" w:hAnsiTheme="minorHAnsi" w:cstheme="minorHAnsi"/>
          <w:sz w:val="26"/>
          <w:szCs w:val="26"/>
        </w:rPr>
        <w:tab/>
        <w:t xml:space="preserve">   Plaintiff</w:t>
      </w:r>
    </w:p>
    <w:p w:rsidR="00AC60FC" w:rsidRPr="00B13FBA" w:rsidRDefault="00AC60FC" w:rsidP="00AC60FC">
      <w:pPr>
        <w:ind w:right="-46"/>
        <w:rPr>
          <w:rFonts w:asciiTheme="minorHAnsi" w:hAnsiTheme="minorHAnsi" w:cstheme="minorHAnsi"/>
          <w:sz w:val="26"/>
          <w:szCs w:val="26"/>
        </w:rPr>
      </w:pPr>
    </w:p>
    <w:p w:rsidR="00AC60FC" w:rsidRPr="006168BD" w:rsidRDefault="00AC60FC" w:rsidP="00AC60FC">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rsidR="00AC60FC" w:rsidRPr="00B13FBA" w:rsidRDefault="00AC60FC" w:rsidP="00AC60FC">
      <w:pPr>
        <w:ind w:right="-46"/>
        <w:rPr>
          <w:rFonts w:asciiTheme="minorHAnsi" w:hAnsiTheme="minorHAnsi" w:cstheme="minorHAnsi"/>
          <w:sz w:val="26"/>
          <w:szCs w:val="26"/>
        </w:rPr>
      </w:pPr>
    </w:p>
    <w:p w:rsidR="00AC60FC" w:rsidRDefault="00C3163F" w:rsidP="00AC60FC">
      <w:pPr>
        <w:ind w:right="-46"/>
        <w:rPr>
          <w:rFonts w:asciiTheme="minorHAnsi" w:hAnsiTheme="minorHAnsi" w:cstheme="minorHAnsi"/>
          <w:sz w:val="26"/>
          <w:szCs w:val="26"/>
        </w:rPr>
      </w:pPr>
      <w:r>
        <w:rPr>
          <w:rFonts w:asciiTheme="minorHAnsi" w:hAnsiTheme="minorHAnsi" w:cstheme="minorHAnsi"/>
          <w:b/>
          <w:sz w:val="26"/>
          <w:szCs w:val="26"/>
        </w:rPr>
        <w:t>GUSHA HOLDINGS AND ENTERPRISES (P</w:t>
      </w:r>
      <w:r w:rsidR="00900E70">
        <w:rPr>
          <w:rFonts w:asciiTheme="minorHAnsi" w:hAnsiTheme="minorHAnsi" w:cstheme="minorHAnsi"/>
          <w:b/>
          <w:sz w:val="26"/>
          <w:szCs w:val="26"/>
        </w:rPr>
        <w:t>TY</w:t>
      </w:r>
      <w:r>
        <w:rPr>
          <w:rFonts w:asciiTheme="minorHAnsi" w:hAnsiTheme="minorHAnsi" w:cstheme="minorHAnsi"/>
          <w:b/>
          <w:sz w:val="26"/>
          <w:szCs w:val="26"/>
        </w:rPr>
        <w:t>) L</w:t>
      </w:r>
      <w:r w:rsidR="00900E70">
        <w:rPr>
          <w:rFonts w:asciiTheme="minorHAnsi" w:hAnsiTheme="minorHAnsi" w:cstheme="minorHAnsi"/>
          <w:b/>
          <w:sz w:val="26"/>
          <w:szCs w:val="26"/>
        </w:rPr>
        <w:t>TD</w:t>
      </w:r>
      <w:r w:rsidR="00AC60FC">
        <w:rPr>
          <w:rFonts w:asciiTheme="minorHAnsi" w:hAnsiTheme="minorHAnsi" w:cstheme="minorHAnsi"/>
          <w:sz w:val="26"/>
          <w:szCs w:val="26"/>
        </w:rPr>
        <w:tab/>
      </w:r>
      <w:r w:rsidR="00AC60FC">
        <w:rPr>
          <w:rFonts w:asciiTheme="minorHAnsi" w:hAnsiTheme="minorHAnsi" w:cstheme="minorHAnsi"/>
          <w:sz w:val="26"/>
          <w:szCs w:val="26"/>
        </w:rPr>
        <w:tab/>
      </w:r>
      <w:r w:rsidR="00AC60FC">
        <w:rPr>
          <w:rFonts w:asciiTheme="minorHAnsi" w:hAnsiTheme="minorHAnsi" w:cstheme="minorHAnsi"/>
          <w:sz w:val="26"/>
          <w:szCs w:val="26"/>
        </w:rPr>
        <w:tab/>
        <w:t xml:space="preserve">  First Defendant</w:t>
      </w:r>
    </w:p>
    <w:p w:rsidR="00AC60FC" w:rsidRDefault="00AC60FC" w:rsidP="00AC60FC">
      <w:pPr>
        <w:ind w:right="-46"/>
        <w:rPr>
          <w:rFonts w:asciiTheme="minorHAnsi" w:hAnsiTheme="minorHAnsi" w:cstheme="minorHAnsi"/>
          <w:sz w:val="26"/>
          <w:szCs w:val="26"/>
        </w:rPr>
      </w:pPr>
    </w:p>
    <w:p w:rsidR="00AC60FC" w:rsidRPr="006168BD" w:rsidRDefault="00C3163F" w:rsidP="00AC60FC">
      <w:pPr>
        <w:ind w:right="-46"/>
        <w:rPr>
          <w:rFonts w:asciiTheme="minorHAnsi" w:hAnsiTheme="minorHAnsi" w:cstheme="minorHAnsi"/>
          <w:sz w:val="26"/>
          <w:szCs w:val="26"/>
        </w:rPr>
      </w:pPr>
      <w:r>
        <w:rPr>
          <w:rFonts w:asciiTheme="minorHAnsi" w:hAnsiTheme="minorHAnsi" w:cstheme="minorHAnsi"/>
          <w:b/>
          <w:sz w:val="26"/>
          <w:szCs w:val="26"/>
        </w:rPr>
        <w:t>MR TAGARA HOVE</w:t>
      </w:r>
      <w:r w:rsidR="00AC60FC">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AC60FC">
        <w:rPr>
          <w:rFonts w:asciiTheme="minorHAnsi" w:hAnsiTheme="minorHAnsi" w:cstheme="minorHAnsi"/>
          <w:sz w:val="26"/>
          <w:szCs w:val="26"/>
        </w:rPr>
        <w:tab/>
      </w:r>
      <w:r w:rsidR="00AC60FC">
        <w:rPr>
          <w:rFonts w:asciiTheme="minorHAnsi" w:hAnsiTheme="minorHAnsi" w:cstheme="minorHAnsi"/>
          <w:sz w:val="26"/>
          <w:szCs w:val="26"/>
        </w:rPr>
        <w:tab/>
      </w:r>
      <w:r w:rsidR="00AC60FC">
        <w:rPr>
          <w:rFonts w:asciiTheme="minorHAnsi" w:hAnsiTheme="minorHAnsi" w:cstheme="minorHAnsi"/>
          <w:sz w:val="26"/>
          <w:szCs w:val="26"/>
        </w:rPr>
        <w:tab/>
      </w:r>
      <w:r w:rsidR="00AC60FC">
        <w:rPr>
          <w:rFonts w:asciiTheme="minorHAnsi" w:hAnsiTheme="minorHAnsi" w:cstheme="minorHAnsi"/>
          <w:sz w:val="26"/>
          <w:szCs w:val="26"/>
        </w:rPr>
        <w:tab/>
        <w:t xml:space="preserve">         Second Defendant</w:t>
      </w:r>
    </w:p>
    <w:p w:rsidR="00AC60FC" w:rsidRPr="006C65AB" w:rsidRDefault="00AC60FC" w:rsidP="00AC60FC">
      <w:pPr>
        <w:ind w:right="-46"/>
        <w:rPr>
          <w:rFonts w:asciiTheme="minorHAnsi" w:hAnsiTheme="minorHAnsi" w:cstheme="minorHAnsi"/>
          <w:sz w:val="26"/>
          <w:szCs w:val="26"/>
        </w:rPr>
      </w:pPr>
    </w:p>
    <w:p w:rsidR="00AC60FC" w:rsidRPr="00C201B8" w:rsidRDefault="00AC60FC" w:rsidP="00AC60FC">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AC60FC" w:rsidRPr="00C201B8" w:rsidRDefault="00AC60FC" w:rsidP="00AC60FC">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AC60FC" w:rsidRPr="00C201B8" w:rsidRDefault="00AC60FC" w:rsidP="00AC60FC">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AC60FC" w:rsidRDefault="00AC60FC" w:rsidP="00AC60FC">
      <w:pPr>
        <w:rPr>
          <w:rFonts w:asciiTheme="minorHAnsi" w:hAnsiTheme="minorHAnsi" w:cstheme="minorHAnsi"/>
          <w:b/>
          <w:sz w:val="26"/>
          <w:szCs w:val="26"/>
        </w:rPr>
      </w:pPr>
    </w:p>
    <w:p w:rsidR="00AC60FC" w:rsidRPr="009706D5" w:rsidRDefault="00AC60FC" w:rsidP="00AC60FC">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rsidR="00AC60FC" w:rsidRDefault="00AC60FC" w:rsidP="00AC60FC">
      <w:pPr>
        <w:rPr>
          <w:rFonts w:asciiTheme="minorHAnsi" w:hAnsiTheme="minorHAnsi" w:cstheme="minorHAnsi"/>
          <w:sz w:val="26"/>
          <w:szCs w:val="26"/>
        </w:rPr>
      </w:pPr>
    </w:p>
    <w:p w:rsidR="00B57F6C" w:rsidRPr="002655B3" w:rsidRDefault="002655B3" w:rsidP="002655B3">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w:t>
      </w:r>
      <w:r>
        <w:rPr>
          <w:rFonts w:asciiTheme="minorHAnsi" w:hAnsiTheme="minorHAnsi"/>
          <w:sz w:val="24"/>
          <w:szCs w:val="24"/>
        </w:rPr>
        <w:tab/>
      </w:r>
      <w:bookmarkStart w:id="0" w:name="_GoBack"/>
      <w:bookmarkEnd w:id="0"/>
      <w:r w:rsidR="00202ADF" w:rsidRPr="002655B3">
        <w:rPr>
          <w:rFonts w:asciiTheme="minorHAnsi" w:hAnsiTheme="minorHAnsi" w:cstheme="minorHAnsi"/>
          <w:sz w:val="26"/>
          <w:szCs w:val="26"/>
        </w:rPr>
        <w:t>This is an opposed</w:t>
      </w:r>
      <w:r w:rsidR="00AC60FC" w:rsidRPr="002655B3">
        <w:rPr>
          <w:rFonts w:asciiTheme="minorHAnsi" w:hAnsiTheme="minorHAnsi" w:cstheme="minorHAnsi"/>
          <w:sz w:val="26"/>
          <w:szCs w:val="26"/>
        </w:rPr>
        <w:t xml:space="preserve"> summary judgment </w:t>
      </w:r>
      <w:r w:rsidR="00202ADF" w:rsidRPr="002655B3">
        <w:rPr>
          <w:rFonts w:asciiTheme="minorHAnsi" w:hAnsiTheme="minorHAnsi" w:cstheme="minorHAnsi"/>
          <w:sz w:val="26"/>
          <w:szCs w:val="26"/>
        </w:rPr>
        <w:t>application in which the plaintiff seeks the following relief:</w:t>
      </w:r>
    </w:p>
    <w:p w:rsidR="00B57F6C" w:rsidRPr="002655B3" w:rsidRDefault="002655B3" w:rsidP="002655B3">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1.1.</w:t>
      </w:r>
      <w:r>
        <w:rPr>
          <w:rFonts w:asciiTheme="minorHAnsi" w:hAnsiTheme="minorHAnsi"/>
          <w:sz w:val="24"/>
          <w:szCs w:val="24"/>
        </w:rPr>
        <w:tab/>
      </w:r>
      <w:r w:rsidR="00B57F6C" w:rsidRPr="002655B3">
        <w:rPr>
          <w:rFonts w:asciiTheme="minorHAnsi" w:hAnsiTheme="minorHAnsi" w:cstheme="minorHAnsi"/>
          <w:sz w:val="26"/>
          <w:szCs w:val="26"/>
        </w:rPr>
        <w:t>Cancellation of the agreement;</w:t>
      </w:r>
    </w:p>
    <w:p w:rsidR="00B57F6C" w:rsidRPr="002655B3" w:rsidRDefault="002655B3" w:rsidP="002655B3">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1.2.</w:t>
      </w:r>
      <w:r>
        <w:rPr>
          <w:rFonts w:asciiTheme="minorHAnsi" w:hAnsiTheme="minorHAnsi"/>
          <w:sz w:val="24"/>
          <w:szCs w:val="24"/>
        </w:rPr>
        <w:tab/>
      </w:r>
      <w:r w:rsidR="00B57F6C" w:rsidRPr="002655B3">
        <w:rPr>
          <w:rFonts w:asciiTheme="minorHAnsi" w:hAnsiTheme="minorHAnsi" w:cstheme="minorHAnsi"/>
          <w:sz w:val="26"/>
          <w:szCs w:val="26"/>
        </w:rPr>
        <w:t xml:space="preserve">Return of </w:t>
      </w:r>
      <w:r w:rsidR="00666A43" w:rsidRPr="002655B3">
        <w:rPr>
          <w:rFonts w:asciiTheme="minorHAnsi" w:hAnsiTheme="minorHAnsi" w:cstheme="minorHAnsi"/>
          <w:sz w:val="26"/>
          <w:szCs w:val="26"/>
        </w:rPr>
        <w:t>the</w:t>
      </w:r>
      <w:r w:rsidR="00B57F6C" w:rsidRPr="002655B3">
        <w:rPr>
          <w:rFonts w:asciiTheme="minorHAnsi" w:hAnsiTheme="minorHAnsi" w:cstheme="minorHAnsi"/>
          <w:sz w:val="26"/>
          <w:szCs w:val="26"/>
        </w:rPr>
        <w:t xml:space="preserve"> motor vehicle;</w:t>
      </w:r>
    </w:p>
    <w:p w:rsidR="00B57F6C" w:rsidRPr="002655B3" w:rsidRDefault="002655B3" w:rsidP="002655B3">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lastRenderedPageBreak/>
        <w:t>1.3.</w:t>
      </w:r>
      <w:r>
        <w:rPr>
          <w:rFonts w:asciiTheme="minorHAnsi" w:hAnsiTheme="minorHAnsi"/>
          <w:sz w:val="24"/>
          <w:szCs w:val="24"/>
        </w:rPr>
        <w:tab/>
      </w:r>
      <w:r w:rsidR="00B57F6C" w:rsidRPr="002655B3">
        <w:rPr>
          <w:rFonts w:asciiTheme="minorHAnsi" w:hAnsiTheme="minorHAnsi" w:cstheme="minorHAnsi"/>
          <w:sz w:val="26"/>
          <w:szCs w:val="26"/>
        </w:rPr>
        <w:t>Costs of suit;</w:t>
      </w:r>
    </w:p>
    <w:p w:rsidR="00B57F6C" w:rsidRPr="002655B3" w:rsidRDefault="002655B3" w:rsidP="002655B3">
      <w:pPr>
        <w:spacing w:after="200" w:line="360" w:lineRule="auto"/>
        <w:ind w:left="1702" w:hanging="851"/>
        <w:jc w:val="both"/>
        <w:rPr>
          <w:rFonts w:asciiTheme="minorHAnsi" w:hAnsiTheme="minorHAnsi" w:cstheme="minorHAnsi"/>
          <w:sz w:val="26"/>
          <w:szCs w:val="26"/>
        </w:rPr>
      </w:pPr>
      <w:r w:rsidRPr="00B57F6C">
        <w:rPr>
          <w:rFonts w:asciiTheme="minorHAnsi" w:hAnsiTheme="minorHAnsi"/>
          <w:sz w:val="24"/>
          <w:szCs w:val="24"/>
        </w:rPr>
        <w:t>1.4.</w:t>
      </w:r>
      <w:r w:rsidRPr="00B57F6C">
        <w:rPr>
          <w:rFonts w:asciiTheme="minorHAnsi" w:hAnsiTheme="minorHAnsi"/>
          <w:sz w:val="24"/>
          <w:szCs w:val="24"/>
        </w:rPr>
        <w:tab/>
      </w:r>
      <w:r w:rsidR="00B57F6C" w:rsidRPr="002655B3">
        <w:rPr>
          <w:rFonts w:asciiTheme="minorHAnsi" w:hAnsiTheme="minorHAnsi" w:cstheme="minorHAnsi"/>
          <w:sz w:val="26"/>
          <w:szCs w:val="26"/>
        </w:rPr>
        <w:t xml:space="preserve">Claim for damages to be postponed </w:t>
      </w:r>
      <w:r w:rsidR="00B57F6C" w:rsidRPr="002655B3">
        <w:rPr>
          <w:rFonts w:asciiTheme="minorHAnsi" w:hAnsiTheme="minorHAnsi" w:cstheme="minorHAnsi"/>
          <w:i/>
          <w:sz w:val="26"/>
          <w:szCs w:val="26"/>
        </w:rPr>
        <w:t>sine dies.</w:t>
      </w:r>
    </w:p>
    <w:p w:rsidR="00AC60FC" w:rsidRDefault="00AC60FC" w:rsidP="00AC60FC">
      <w:pPr>
        <w:pStyle w:val="ListParagraph"/>
        <w:rPr>
          <w:rFonts w:asciiTheme="minorHAnsi" w:hAnsiTheme="minorHAnsi" w:cstheme="minorHAnsi"/>
          <w:sz w:val="26"/>
          <w:szCs w:val="26"/>
        </w:rPr>
      </w:pPr>
    </w:p>
    <w:p w:rsidR="001C59C9" w:rsidRPr="002655B3" w:rsidRDefault="002655B3" w:rsidP="002655B3">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w:t>
      </w:r>
      <w:r>
        <w:rPr>
          <w:rFonts w:asciiTheme="minorHAnsi" w:hAnsiTheme="minorHAnsi"/>
          <w:sz w:val="24"/>
          <w:szCs w:val="24"/>
        </w:rPr>
        <w:tab/>
      </w:r>
      <w:r w:rsidR="00B57F6C" w:rsidRPr="002655B3">
        <w:rPr>
          <w:rFonts w:asciiTheme="minorHAnsi" w:hAnsiTheme="minorHAnsi" w:cstheme="minorHAnsi"/>
          <w:sz w:val="26"/>
          <w:szCs w:val="26"/>
        </w:rPr>
        <w:t xml:space="preserve">The plaintiff’s claim </w:t>
      </w:r>
      <w:r w:rsidR="004B071A" w:rsidRPr="002655B3">
        <w:rPr>
          <w:rFonts w:asciiTheme="minorHAnsi" w:hAnsiTheme="minorHAnsi" w:cstheme="minorHAnsi"/>
          <w:sz w:val="26"/>
          <w:szCs w:val="26"/>
        </w:rPr>
        <w:t>apropos</w:t>
      </w:r>
      <w:r w:rsidR="00B43239" w:rsidRPr="002655B3">
        <w:rPr>
          <w:rFonts w:asciiTheme="minorHAnsi" w:hAnsiTheme="minorHAnsi" w:cstheme="minorHAnsi"/>
          <w:sz w:val="26"/>
          <w:szCs w:val="26"/>
        </w:rPr>
        <w:t xml:space="preserve"> the first defendant </w:t>
      </w:r>
      <w:r w:rsidR="00B57F6C" w:rsidRPr="002655B3">
        <w:rPr>
          <w:rFonts w:asciiTheme="minorHAnsi" w:hAnsiTheme="minorHAnsi" w:cstheme="minorHAnsi"/>
          <w:sz w:val="26"/>
          <w:szCs w:val="26"/>
        </w:rPr>
        <w:t xml:space="preserve">is based upon an electronic instalment sale agreement </w:t>
      </w:r>
      <w:r w:rsidR="001A19A7" w:rsidRPr="002655B3">
        <w:rPr>
          <w:rFonts w:asciiTheme="minorHAnsi" w:hAnsiTheme="minorHAnsi" w:cstheme="minorHAnsi"/>
          <w:sz w:val="26"/>
          <w:szCs w:val="26"/>
        </w:rPr>
        <w:t xml:space="preserve">(the </w:t>
      </w:r>
      <w:r w:rsidR="00D13CFB" w:rsidRPr="002655B3">
        <w:rPr>
          <w:rFonts w:asciiTheme="minorHAnsi" w:hAnsiTheme="minorHAnsi" w:cstheme="minorHAnsi"/>
          <w:sz w:val="26"/>
          <w:szCs w:val="26"/>
        </w:rPr>
        <w:t>‘</w:t>
      </w:r>
      <w:r w:rsidR="001A19A7" w:rsidRPr="002655B3">
        <w:rPr>
          <w:rFonts w:asciiTheme="minorHAnsi" w:hAnsiTheme="minorHAnsi" w:cstheme="minorHAnsi"/>
          <w:sz w:val="26"/>
          <w:szCs w:val="26"/>
        </w:rPr>
        <w:t>agreement</w:t>
      </w:r>
      <w:r w:rsidR="00D13CFB" w:rsidRPr="002655B3">
        <w:rPr>
          <w:rFonts w:asciiTheme="minorHAnsi" w:hAnsiTheme="minorHAnsi" w:cstheme="minorHAnsi"/>
          <w:sz w:val="26"/>
          <w:szCs w:val="26"/>
        </w:rPr>
        <w:t>’ or ‘credit agreement’</w:t>
      </w:r>
      <w:r w:rsidR="001A19A7" w:rsidRPr="002655B3">
        <w:rPr>
          <w:rFonts w:asciiTheme="minorHAnsi" w:hAnsiTheme="minorHAnsi" w:cstheme="minorHAnsi"/>
          <w:sz w:val="26"/>
          <w:szCs w:val="26"/>
        </w:rPr>
        <w:t xml:space="preserve">) </w:t>
      </w:r>
      <w:r w:rsidR="00B57F6C" w:rsidRPr="002655B3">
        <w:rPr>
          <w:rFonts w:asciiTheme="minorHAnsi" w:hAnsiTheme="minorHAnsi" w:cstheme="minorHAnsi"/>
          <w:sz w:val="26"/>
          <w:szCs w:val="26"/>
        </w:rPr>
        <w:t xml:space="preserve">concluded between the plaintiff </w:t>
      </w:r>
      <w:r w:rsidR="00B43239" w:rsidRPr="002655B3">
        <w:rPr>
          <w:rFonts w:asciiTheme="minorHAnsi" w:hAnsiTheme="minorHAnsi" w:cstheme="minorHAnsi"/>
          <w:sz w:val="26"/>
          <w:szCs w:val="26"/>
        </w:rPr>
        <w:t xml:space="preserve">(represented by a duly authorised employee) </w:t>
      </w:r>
      <w:r w:rsidR="00B57F6C" w:rsidRPr="002655B3">
        <w:rPr>
          <w:rFonts w:asciiTheme="minorHAnsi" w:hAnsiTheme="minorHAnsi" w:cstheme="minorHAnsi"/>
          <w:sz w:val="26"/>
          <w:szCs w:val="26"/>
        </w:rPr>
        <w:t>and the first defendant</w:t>
      </w:r>
      <w:r w:rsidR="00B43239" w:rsidRPr="002655B3">
        <w:rPr>
          <w:rFonts w:asciiTheme="minorHAnsi" w:hAnsiTheme="minorHAnsi" w:cstheme="minorHAnsi"/>
          <w:sz w:val="26"/>
          <w:szCs w:val="26"/>
        </w:rPr>
        <w:t xml:space="preserve"> (represented by the second defendant)</w:t>
      </w:r>
      <w:r w:rsidR="00B57F6C" w:rsidRPr="002655B3">
        <w:rPr>
          <w:rFonts w:asciiTheme="minorHAnsi" w:hAnsiTheme="minorHAnsi" w:cstheme="minorHAnsi"/>
          <w:sz w:val="26"/>
          <w:szCs w:val="26"/>
        </w:rPr>
        <w:t xml:space="preserve"> relating to the first defendant’s purchase of a Nissan motor vehicle</w:t>
      </w:r>
      <w:r w:rsidR="001A19A7" w:rsidRPr="002655B3">
        <w:rPr>
          <w:rFonts w:asciiTheme="minorHAnsi" w:hAnsiTheme="minorHAnsi" w:cstheme="minorHAnsi"/>
          <w:sz w:val="26"/>
          <w:szCs w:val="26"/>
        </w:rPr>
        <w:t>.</w:t>
      </w:r>
      <w:r w:rsidR="001C59C9" w:rsidRPr="002655B3">
        <w:rPr>
          <w:rFonts w:asciiTheme="minorHAnsi" w:hAnsiTheme="minorHAnsi" w:cstheme="minorHAnsi"/>
          <w:sz w:val="26"/>
          <w:szCs w:val="26"/>
        </w:rPr>
        <w:t xml:space="preserve"> </w:t>
      </w:r>
    </w:p>
    <w:p w:rsidR="001C59C9" w:rsidRDefault="001C59C9" w:rsidP="001C59C9">
      <w:pPr>
        <w:pStyle w:val="ListParagraph"/>
        <w:rPr>
          <w:rFonts w:asciiTheme="minorHAnsi" w:hAnsiTheme="minorHAnsi" w:cstheme="minorHAnsi"/>
          <w:sz w:val="26"/>
          <w:szCs w:val="26"/>
        </w:rPr>
      </w:pPr>
    </w:p>
    <w:p w:rsidR="00714B78" w:rsidRPr="002655B3" w:rsidRDefault="002655B3" w:rsidP="002655B3">
      <w:pPr>
        <w:spacing w:after="200" w:line="360" w:lineRule="auto"/>
        <w:ind w:left="851" w:hanging="851"/>
        <w:jc w:val="both"/>
        <w:rPr>
          <w:rFonts w:asciiTheme="minorHAnsi" w:hAnsiTheme="minorHAnsi" w:cstheme="minorHAnsi"/>
          <w:sz w:val="26"/>
          <w:szCs w:val="26"/>
        </w:rPr>
      </w:pPr>
      <w:r w:rsidRPr="00714B78">
        <w:rPr>
          <w:rFonts w:asciiTheme="minorHAnsi" w:hAnsiTheme="minorHAnsi"/>
          <w:sz w:val="24"/>
          <w:szCs w:val="24"/>
        </w:rPr>
        <w:t>3.</w:t>
      </w:r>
      <w:r w:rsidRPr="00714B78">
        <w:rPr>
          <w:rFonts w:asciiTheme="minorHAnsi" w:hAnsiTheme="minorHAnsi"/>
          <w:sz w:val="24"/>
          <w:szCs w:val="24"/>
        </w:rPr>
        <w:tab/>
      </w:r>
      <w:r w:rsidR="00B43239" w:rsidRPr="002655B3">
        <w:rPr>
          <w:rFonts w:asciiTheme="minorHAnsi" w:hAnsiTheme="minorHAnsi" w:cstheme="minorHAnsi"/>
          <w:sz w:val="26"/>
          <w:szCs w:val="26"/>
        </w:rPr>
        <w:t xml:space="preserve">The claim </w:t>
      </w:r>
      <w:r w:rsidR="004B071A" w:rsidRPr="002655B3">
        <w:rPr>
          <w:rFonts w:asciiTheme="minorHAnsi" w:hAnsiTheme="minorHAnsi" w:cstheme="minorHAnsi"/>
          <w:sz w:val="26"/>
          <w:szCs w:val="26"/>
        </w:rPr>
        <w:t>apropos</w:t>
      </w:r>
      <w:r w:rsidR="00B43239" w:rsidRPr="002655B3">
        <w:rPr>
          <w:rFonts w:asciiTheme="minorHAnsi" w:hAnsiTheme="minorHAnsi" w:cstheme="minorHAnsi"/>
          <w:sz w:val="26"/>
          <w:szCs w:val="26"/>
        </w:rPr>
        <w:t xml:space="preserve"> the second defendant is based on a written suretyship agreement in terms of which the </w:t>
      </w:r>
      <w:r w:rsidR="005D5095" w:rsidRPr="002655B3">
        <w:rPr>
          <w:rFonts w:asciiTheme="minorHAnsi" w:hAnsiTheme="minorHAnsi" w:cstheme="minorHAnsi"/>
          <w:sz w:val="26"/>
          <w:szCs w:val="26"/>
        </w:rPr>
        <w:t xml:space="preserve">plaintiff avers </w:t>
      </w:r>
      <w:r w:rsidR="00212AD5" w:rsidRPr="002655B3">
        <w:rPr>
          <w:rFonts w:asciiTheme="minorHAnsi" w:hAnsiTheme="minorHAnsi" w:cstheme="minorHAnsi"/>
          <w:sz w:val="26"/>
          <w:szCs w:val="26"/>
        </w:rPr>
        <w:t xml:space="preserve">in the particulars of claim </w:t>
      </w:r>
      <w:r w:rsidR="005D5095" w:rsidRPr="002655B3">
        <w:rPr>
          <w:rFonts w:asciiTheme="minorHAnsi" w:hAnsiTheme="minorHAnsi" w:cstheme="minorHAnsi"/>
          <w:sz w:val="26"/>
          <w:szCs w:val="26"/>
        </w:rPr>
        <w:t xml:space="preserve">that the </w:t>
      </w:r>
      <w:r w:rsidR="00B43239" w:rsidRPr="002655B3">
        <w:rPr>
          <w:rFonts w:asciiTheme="minorHAnsi" w:hAnsiTheme="minorHAnsi" w:cstheme="minorHAnsi"/>
          <w:sz w:val="26"/>
          <w:szCs w:val="26"/>
        </w:rPr>
        <w:t xml:space="preserve">second defendant </w:t>
      </w:r>
      <w:r w:rsidR="001C59C9" w:rsidRPr="002655B3">
        <w:rPr>
          <w:rFonts w:asciiTheme="minorHAnsi" w:hAnsiTheme="minorHAnsi" w:cstheme="minorHAnsi"/>
          <w:sz w:val="26"/>
          <w:szCs w:val="26"/>
        </w:rPr>
        <w:t>‘</w:t>
      </w:r>
      <w:r w:rsidR="001C59C9" w:rsidRPr="002655B3">
        <w:rPr>
          <w:rFonts w:asciiTheme="minorHAnsi" w:hAnsiTheme="minorHAnsi" w:cstheme="minorHAnsi"/>
          <w:i/>
          <w:sz w:val="26"/>
          <w:szCs w:val="26"/>
        </w:rPr>
        <w:t xml:space="preserve">bound himself as </w:t>
      </w:r>
      <w:r w:rsidR="001C59C9" w:rsidRPr="002655B3">
        <w:rPr>
          <w:rFonts w:asciiTheme="minorHAnsi" w:hAnsiTheme="minorHAnsi" w:cstheme="minorHAnsi"/>
          <w:i/>
          <w:color w:val="000000"/>
          <w:sz w:val="26"/>
          <w:szCs w:val="26"/>
        </w:rPr>
        <w:t xml:space="preserve">surety </w:t>
      </w:r>
      <w:r w:rsidR="001C59C9" w:rsidRPr="002655B3">
        <w:rPr>
          <w:rStyle w:val="Emphasis"/>
          <w:rFonts w:asciiTheme="minorHAnsi" w:eastAsiaTheme="majorEastAsia" w:hAnsiTheme="minorHAnsi" w:cstheme="minorHAnsi"/>
          <w:color w:val="000000"/>
          <w:sz w:val="26"/>
          <w:szCs w:val="26"/>
        </w:rPr>
        <w:t>in solidum</w:t>
      </w:r>
      <w:r w:rsidR="001C59C9" w:rsidRPr="002655B3">
        <w:rPr>
          <w:rFonts w:asciiTheme="minorHAnsi" w:hAnsiTheme="minorHAnsi" w:cstheme="minorHAnsi"/>
          <w:i/>
          <w:color w:val="000000"/>
          <w:sz w:val="26"/>
          <w:szCs w:val="26"/>
        </w:rPr>
        <w:t xml:space="preserve"> for and co-principal debtor jointly and severally with the First Defendant, for the due payment by the First Defendant to the Plaintiff, of all monies which the First Defendant may now or from time to time hereafter owe to the Plaintiff, </w:t>
      </w:r>
      <w:r w:rsidR="001C59C9" w:rsidRPr="002655B3">
        <w:rPr>
          <w:rFonts w:asciiTheme="minorHAnsi" w:hAnsiTheme="minorHAnsi" w:cstheme="minorHAnsi"/>
          <w:i/>
          <w:color w:val="000000"/>
          <w:sz w:val="26"/>
          <w:szCs w:val="26"/>
          <w:u w:val="single"/>
        </w:rPr>
        <w:t>from whatsoever cause and howsoever arising and whether as principal debtor, guarantor or otherwise and whether trading alone or in partnership or under any name, as well as for the due and punctual performance and discharge of any contract or agreement entered into by the First Defendant to the Plaintiff</w:t>
      </w:r>
      <w:r w:rsidR="001C59C9" w:rsidRPr="002655B3">
        <w:rPr>
          <w:rFonts w:ascii="Segoe UI" w:hAnsi="Segoe UI" w:cs="Segoe UI"/>
          <w:color w:val="000000"/>
          <w:sz w:val="27"/>
          <w:szCs w:val="27"/>
        </w:rPr>
        <w:t>.’</w:t>
      </w:r>
      <w:r w:rsidR="00920F47">
        <w:rPr>
          <w:rStyle w:val="FootnoteReference"/>
          <w:rFonts w:ascii="Segoe UI" w:hAnsi="Segoe UI" w:cs="Segoe UI"/>
          <w:color w:val="000000"/>
          <w:sz w:val="27"/>
          <w:szCs w:val="27"/>
        </w:rPr>
        <w:footnoteReference w:id="1"/>
      </w:r>
      <w:r w:rsidR="00542E26" w:rsidRPr="002655B3">
        <w:rPr>
          <w:rFonts w:ascii="Segoe UI" w:hAnsi="Segoe UI" w:cs="Segoe UI"/>
          <w:color w:val="000000"/>
          <w:sz w:val="27"/>
          <w:szCs w:val="27"/>
        </w:rPr>
        <w:t xml:space="preserve"> </w:t>
      </w:r>
      <w:r w:rsidR="00714B78" w:rsidRPr="002655B3">
        <w:rPr>
          <w:rFonts w:asciiTheme="minorHAnsi" w:hAnsiTheme="minorHAnsi" w:cstheme="minorHAnsi"/>
          <w:color w:val="000000"/>
          <w:sz w:val="26"/>
          <w:szCs w:val="26"/>
        </w:rPr>
        <w:t>I mention at this juncture</w:t>
      </w:r>
      <w:r w:rsidR="00542E26" w:rsidRPr="002655B3">
        <w:rPr>
          <w:rFonts w:asciiTheme="minorHAnsi" w:hAnsiTheme="minorHAnsi" w:cstheme="minorHAnsi"/>
          <w:color w:val="000000"/>
          <w:sz w:val="26"/>
          <w:szCs w:val="26"/>
        </w:rPr>
        <w:t xml:space="preserve"> that the underlined portions </w:t>
      </w:r>
      <w:r w:rsidR="00212AD5" w:rsidRPr="002655B3">
        <w:rPr>
          <w:rFonts w:asciiTheme="minorHAnsi" w:hAnsiTheme="minorHAnsi" w:cstheme="minorHAnsi"/>
          <w:color w:val="000000"/>
          <w:sz w:val="26"/>
          <w:szCs w:val="26"/>
        </w:rPr>
        <w:t xml:space="preserve">in the above quote </w:t>
      </w:r>
      <w:r w:rsidR="00542E26" w:rsidRPr="002655B3">
        <w:rPr>
          <w:rFonts w:asciiTheme="minorHAnsi" w:hAnsiTheme="minorHAnsi" w:cstheme="minorHAnsi"/>
          <w:color w:val="000000"/>
          <w:sz w:val="26"/>
          <w:szCs w:val="26"/>
        </w:rPr>
        <w:t xml:space="preserve">either do not appear in or </w:t>
      </w:r>
      <w:r w:rsidR="00094972" w:rsidRPr="002655B3">
        <w:rPr>
          <w:rFonts w:asciiTheme="minorHAnsi" w:hAnsiTheme="minorHAnsi" w:cstheme="minorHAnsi"/>
          <w:color w:val="000000"/>
          <w:sz w:val="26"/>
          <w:szCs w:val="26"/>
        </w:rPr>
        <w:t xml:space="preserve">do not </w:t>
      </w:r>
      <w:r w:rsidR="000B7A2D" w:rsidRPr="002655B3">
        <w:rPr>
          <w:rFonts w:asciiTheme="minorHAnsi" w:hAnsiTheme="minorHAnsi" w:cstheme="minorHAnsi"/>
          <w:color w:val="000000"/>
          <w:sz w:val="26"/>
          <w:szCs w:val="26"/>
        </w:rPr>
        <w:t>accord</w:t>
      </w:r>
      <w:r w:rsidR="00542E26" w:rsidRPr="002655B3">
        <w:rPr>
          <w:rFonts w:asciiTheme="minorHAnsi" w:hAnsiTheme="minorHAnsi" w:cstheme="minorHAnsi"/>
          <w:color w:val="000000"/>
          <w:sz w:val="26"/>
          <w:szCs w:val="26"/>
        </w:rPr>
        <w:t xml:space="preserve"> with the contents of the written suretyship, annexure ‘G’ to the particulars of claim.</w:t>
      </w:r>
      <w:r w:rsidR="000B7A2D">
        <w:rPr>
          <w:rStyle w:val="FootnoteReference"/>
          <w:rFonts w:ascii="Segoe UI" w:hAnsi="Segoe UI" w:cs="Segoe UI"/>
          <w:color w:val="000000"/>
          <w:sz w:val="27"/>
          <w:szCs w:val="27"/>
        </w:rPr>
        <w:footnoteReference w:id="2"/>
      </w:r>
    </w:p>
    <w:p w:rsidR="00B43239" w:rsidRDefault="00B43239" w:rsidP="00B43239">
      <w:pPr>
        <w:pStyle w:val="ListParagraph"/>
        <w:rPr>
          <w:rFonts w:asciiTheme="minorHAnsi" w:hAnsiTheme="minorHAnsi" w:cstheme="minorHAnsi"/>
          <w:sz w:val="26"/>
          <w:szCs w:val="26"/>
        </w:rPr>
      </w:pPr>
    </w:p>
    <w:p w:rsidR="000B7A2D" w:rsidRPr="002655B3" w:rsidRDefault="002655B3" w:rsidP="002655B3">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w:t>
      </w:r>
      <w:r>
        <w:rPr>
          <w:rFonts w:asciiTheme="minorHAnsi" w:hAnsiTheme="minorHAnsi"/>
          <w:sz w:val="24"/>
          <w:szCs w:val="24"/>
        </w:rPr>
        <w:tab/>
      </w:r>
      <w:r w:rsidR="001C59C9" w:rsidRPr="002655B3">
        <w:rPr>
          <w:rFonts w:asciiTheme="minorHAnsi" w:hAnsiTheme="minorHAnsi" w:cstheme="minorHAnsi"/>
          <w:sz w:val="26"/>
          <w:szCs w:val="26"/>
        </w:rPr>
        <w:t xml:space="preserve">Consequent upon the first defendant defaulting on its payment obligations under the agreement and the failure of the </w:t>
      </w:r>
      <w:r w:rsidR="000B7A2D" w:rsidRPr="002655B3">
        <w:rPr>
          <w:rFonts w:asciiTheme="minorHAnsi" w:hAnsiTheme="minorHAnsi" w:cstheme="minorHAnsi"/>
          <w:sz w:val="26"/>
          <w:szCs w:val="26"/>
        </w:rPr>
        <w:t xml:space="preserve">first or second </w:t>
      </w:r>
      <w:r w:rsidR="001C59C9" w:rsidRPr="002655B3">
        <w:rPr>
          <w:rFonts w:asciiTheme="minorHAnsi" w:hAnsiTheme="minorHAnsi" w:cstheme="minorHAnsi"/>
          <w:sz w:val="26"/>
          <w:szCs w:val="26"/>
        </w:rPr>
        <w:t>defendant</w:t>
      </w:r>
      <w:r w:rsidR="000B7A2D" w:rsidRPr="002655B3">
        <w:rPr>
          <w:rFonts w:asciiTheme="minorHAnsi" w:hAnsiTheme="minorHAnsi" w:cstheme="minorHAnsi"/>
          <w:sz w:val="26"/>
          <w:szCs w:val="26"/>
        </w:rPr>
        <w:t>, despite demand,</w:t>
      </w:r>
      <w:r w:rsidR="001C59C9" w:rsidRPr="002655B3">
        <w:rPr>
          <w:rFonts w:asciiTheme="minorHAnsi" w:hAnsiTheme="minorHAnsi" w:cstheme="minorHAnsi"/>
          <w:sz w:val="26"/>
          <w:szCs w:val="26"/>
        </w:rPr>
        <w:t xml:space="preserve"> to </w:t>
      </w:r>
      <w:r w:rsidR="000B7A2D" w:rsidRPr="002655B3">
        <w:rPr>
          <w:rFonts w:asciiTheme="minorHAnsi" w:hAnsiTheme="minorHAnsi" w:cstheme="minorHAnsi"/>
          <w:sz w:val="26"/>
          <w:szCs w:val="26"/>
        </w:rPr>
        <w:t>bring the arrears up to date</w:t>
      </w:r>
      <w:r w:rsidR="001C59C9" w:rsidRPr="002655B3">
        <w:rPr>
          <w:rFonts w:asciiTheme="minorHAnsi" w:hAnsiTheme="minorHAnsi" w:cstheme="minorHAnsi"/>
          <w:sz w:val="26"/>
          <w:szCs w:val="26"/>
        </w:rPr>
        <w:t xml:space="preserve">, the plaintiff instituted action to </w:t>
      </w:r>
      <w:r w:rsidR="000B7A2D" w:rsidRPr="002655B3">
        <w:rPr>
          <w:rFonts w:asciiTheme="minorHAnsi" w:hAnsiTheme="minorHAnsi" w:cstheme="minorHAnsi"/>
          <w:sz w:val="26"/>
          <w:szCs w:val="26"/>
        </w:rPr>
        <w:t xml:space="preserve">secure the return of the vehicle and cancellation of the agreement. </w:t>
      </w:r>
    </w:p>
    <w:p w:rsidR="001C59C9" w:rsidRPr="001C59C9" w:rsidRDefault="001C59C9" w:rsidP="001C59C9">
      <w:pPr>
        <w:pStyle w:val="ListParagraph"/>
        <w:rPr>
          <w:rFonts w:asciiTheme="minorHAnsi" w:hAnsiTheme="minorHAnsi" w:cstheme="minorHAnsi"/>
          <w:sz w:val="26"/>
          <w:szCs w:val="26"/>
        </w:rPr>
      </w:pPr>
    </w:p>
    <w:p w:rsidR="00BA3AA6" w:rsidRPr="002655B3" w:rsidRDefault="002655B3" w:rsidP="002655B3">
      <w:pPr>
        <w:spacing w:after="200" w:line="360" w:lineRule="auto"/>
        <w:ind w:left="851" w:hanging="851"/>
        <w:jc w:val="both"/>
        <w:rPr>
          <w:rFonts w:asciiTheme="minorHAnsi" w:hAnsiTheme="minorHAnsi" w:cstheme="minorHAnsi"/>
          <w:sz w:val="26"/>
          <w:szCs w:val="26"/>
        </w:rPr>
      </w:pPr>
      <w:r w:rsidRPr="00BA3AA6">
        <w:rPr>
          <w:rFonts w:asciiTheme="minorHAnsi" w:hAnsiTheme="minorHAnsi"/>
          <w:sz w:val="24"/>
          <w:szCs w:val="24"/>
        </w:rPr>
        <w:t>5.</w:t>
      </w:r>
      <w:r w:rsidRPr="00BA3AA6">
        <w:rPr>
          <w:rFonts w:asciiTheme="minorHAnsi" w:hAnsiTheme="minorHAnsi"/>
          <w:sz w:val="24"/>
          <w:szCs w:val="24"/>
        </w:rPr>
        <w:tab/>
      </w:r>
      <w:r w:rsidR="00094972" w:rsidRPr="002655B3">
        <w:rPr>
          <w:rFonts w:asciiTheme="minorHAnsi" w:hAnsiTheme="minorHAnsi" w:cstheme="minorHAnsi"/>
          <w:sz w:val="26"/>
          <w:szCs w:val="26"/>
        </w:rPr>
        <w:t>It should be pointed out</w:t>
      </w:r>
      <w:r w:rsidR="001C59C9" w:rsidRPr="002655B3">
        <w:rPr>
          <w:rFonts w:asciiTheme="minorHAnsi" w:hAnsiTheme="minorHAnsi" w:cstheme="minorHAnsi"/>
          <w:sz w:val="26"/>
          <w:szCs w:val="26"/>
        </w:rPr>
        <w:t xml:space="preserve"> that the plaintiff’s particulars of claim </w:t>
      </w:r>
      <w:r w:rsidR="001309EE" w:rsidRPr="002655B3">
        <w:rPr>
          <w:rFonts w:asciiTheme="minorHAnsi" w:hAnsiTheme="minorHAnsi" w:cstheme="minorHAnsi"/>
          <w:sz w:val="26"/>
          <w:szCs w:val="26"/>
        </w:rPr>
        <w:t>are</w:t>
      </w:r>
      <w:r w:rsidR="001C59C9" w:rsidRPr="002655B3">
        <w:rPr>
          <w:rFonts w:asciiTheme="minorHAnsi" w:hAnsiTheme="minorHAnsi" w:cstheme="minorHAnsi"/>
          <w:sz w:val="26"/>
          <w:szCs w:val="26"/>
        </w:rPr>
        <w:t xml:space="preserve"> not a </w:t>
      </w:r>
      <w:r w:rsidR="008C45D8" w:rsidRPr="002655B3">
        <w:rPr>
          <w:rFonts w:asciiTheme="minorHAnsi" w:hAnsiTheme="minorHAnsi" w:cstheme="minorHAnsi"/>
          <w:sz w:val="26"/>
          <w:szCs w:val="26"/>
        </w:rPr>
        <w:t xml:space="preserve">model </w:t>
      </w:r>
      <w:r w:rsidR="001C59C9" w:rsidRPr="002655B3">
        <w:rPr>
          <w:rFonts w:asciiTheme="minorHAnsi" w:hAnsiTheme="minorHAnsi" w:cstheme="minorHAnsi"/>
          <w:sz w:val="26"/>
          <w:szCs w:val="26"/>
        </w:rPr>
        <w:t>of clarity</w:t>
      </w:r>
      <w:r w:rsidR="008C45D8" w:rsidRPr="002655B3">
        <w:rPr>
          <w:rFonts w:asciiTheme="minorHAnsi" w:hAnsiTheme="minorHAnsi" w:cstheme="minorHAnsi"/>
          <w:sz w:val="26"/>
          <w:szCs w:val="26"/>
        </w:rPr>
        <w:t xml:space="preserve"> or precision</w:t>
      </w:r>
      <w:r w:rsidR="001C59C9" w:rsidRPr="002655B3">
        <w:rPr>
          <w:rFonts w:asciiTheme="minorHAnsi" w:hAnsiTheme="minorHAnsi" w:cstheme="minorHAnsi"/>
          <w:sz w:val="26"/>
          <w:szCs w:val="26"/>
        </w:rPr>
        <w:t>.</w:t>
      </w:r>
      <w:r w:rsidR="00FA51B3" w:rsidRPr="002655B3">
        <w:rPr>
          <w:rFonts w:asciiTheme="minorHAnsi" w:hAnsiTheme="minorHAnsi" w:cstheme="minorHAnsi"/>
          <w:sz w:val="26"/>
          <w:szCs w:val="26"/>
        </w:rPr>
        <w:t xml:space="preserve"> </w:t>
      </w:r>
      <w:r w:rsidR="001363C8" w:rsidRPr="002655B3">
        <w:rPr>
          <w:rFonts w:asciiTheme="minorHAnsi" w:hAnsiTheme="minorHAnsi" w:cstheme="minorHAnsi"/>
          <w:sz w:val="26"/>
          <w:szCs w:val="26"/>
        </w:rPr>
        <w:t xml:space="preserve">The plaintiff pleaded in its particulars of claim that the first defendant </w:t>
      </w:r>
      <w:r w:rsidR="008C45D8" w:rsidRPr="002655B3">
        <w:rPr>
          <w:rFonts w:asciiTheme="minorHAnsi" w:hAnsiTheme="minorHAnsi" w:cstheme="minorHAnsi"/>
          <w:sz w:val="26"/>
          <w:szCs w:val="26"/>
        </w:rPr>
        <w:t xml:space="preserve">(contracting party) </w:t>
      </w:r>
      <w:r w:rsidR="001363C8" w:rsidRPr="002655B3">
        <w:rPr>
          <w:rFonts w:asciiTheme="minorHAnsi" w:hAnsiTheme="minorHAnsi" w:cstheme="minorHAnsi"/>
          <w:sz w:val="26"/>
          <w:szCs w:val="26"/>
        </w:rPr>
        <w:t xml:space="preserve">was obliged in terms of the agreement to pay </w:t>
      </w:r>
      <w:r w:rsidR="001F141D" w:rsidRPr="002655B3">
        <w:rPr>
          <w:rFonts w:asciiTheme="minorHAnsi" w:hAnsiTheme="minorHAnsi" w:cstheme="minorHAnsi"/>
          <w:sz w:val="26"/>
          <w:szCs w:val="26"/>
        </w:rPr>
        <w:t>certain</w:t>
      </w:r>
      <w:r w:rsidR="001363C8" w:rsidRPr="002655B3">
        <w:rPr>
          <w:rFonts w:asciiTheme="minorHAnsi" w:hAnsiTheme="minorHAnsi" w:cstheme="minorHAnsi"/>
          <w:sz w:val="26"/>
          <w:szCs w:val="26"/>
        </w:rPr>
        <w:t xml:space="preserve"> </w:t>
      </w:r>
      <w:r w:rsidR="009373F6" w:rsidRPr="002655B3">
        <w:rPr>
          <w:rFonts w:asciiTheme="minorHAnsi" w:hAnsiTheme="minorHAnsi" w:cstheme="minorHAnsi"/>
          <w:sz w:val="26"/>
          <w:szCs w:val="26"/>
        </w:rPr>
        <w:t xml:space="preserve">amounts stipulated in the agreement to the plaintiff on a monthly basis in discharge of its payment obligations. </w:t>
      </w:r>
      <w:r w:rsidR="00FE20DE" w:rsidRPr="002655B3">
        <w:rPr>
          <w:rFonts w:asciiTheme="minorHAnsi" w:hAnsiTheme="minorHAnsi" w:cstheme="minorHAnsi"/>
          <w:sz w:val="26"/>
          <w:szCs w:val="26"/>
        </w:rPr>
        <w:t>Regarding the plaintiff’s right to cancel the agreement, it pleaded that it was a term of the agreement that ‘</w:t>
      </w:r>
      <w:r w:rsidR="00FE20DE" w:rsidRPr="002655B3">
        <w:rPr>
          <w:rFonts w:asciiTheme="minorHAnsi" w:hAnsiTheme="minorHAnsi" w:cstheme="minorHAnsi"/>
          <w:i/>
          <w:color w:val="000000"/>
          <w:sz w:val="26"/>
          <w:szCs w:val="26"/>
        </w:rPr>
        <w:t>In the event of the First Defendant breaching any terms of the Agreement (all of which are agreed to be material), the Plaintiff shall be entitled to immediately obtain possession of the goods and recover from the First Defendant, as pre-estimated liquidated damages, the total amount payable, but not yet paid, less the value of the goods as at the date of de</w:t>
      </w:r>
      <w:r w:rsidR="00EC54F0" w:rsidRPr="002655B3">
        <w:rPr>
          <w:rFonts w:asciiTheme="minorHAnsi" w:hAnsiTheme="minorHAnsi" w:cstheme="minorHAnsi"/>
          <w:i/>
          <w:color w:val="000000"/>
          <w:sz w:val="26"/>
          <w:szCs w:val="26"/>
        </w:rPr>
        <w:t>livery thereof to the Plaintiff</w:t>
      </w:r>
      <w:r w:rsidR="00FE20DE" w:rsidRPr="002655B3">
        <w:rPr>
          <w:rFonts w:asciiTheme="minorHAnsi" w:hAnsiTheme="minorHAnsi" w:cstheme="minorHAnsi"/>
          <w:color w:val="000000"/>
          <w:sz w:val="26"/>
          <w:szCs w:val="26"/>
        </w:rPr>
        <w:t>’</w:t>
      </w:r>
      <w:r w:rsidR="00FE20DE">
        <w:rPr>
          <w:rStyle w:val="FootnoteReference"/>
          <w:rFonts w:asciiTheme="minorHAnsi" w:hAnsiTheme="minorHAnsi" w:cstheme="minorHAnsi"/>
          <w:color w:val="000000"/>
          <w:sz w:val="26"/>
          <w:szCs w:val="26"/>
        </w:rPr>
        <w:footnoteReference w:id="3"/>
      </w:r>
      <w:r w:rsidR="001363C8" w:rsidRPr="002655B3">
        <w:rPr>
          <w:rFonts w:asciiTheme="minorHAnsi" w:hAnsiTheme="minorHAnsi" w:cstheme="minorHAnsi"/>
          <w:sz w:val="26"/>
          <w:szCs w:val="26"/>
        </w:rPr>
        <w:t xml:space="preserve"> and </w:t>
      </w:r>
      <w:r w:rsidR="001363C8" w:rsidRPr="002655B3">
        <w:rPr>
          <w:rFonts w:asciiTheme="minorHAnsi" w:hAnsiTheme="minorHAnsi" w:cstheme="minorHAnsi"/>
          <w:sz w:val="26"/>
          <w:szCs w:val="26"/>
        </w:rPr>
        <w:lastRenderedPageBreak/>
        <w:t xml:space="preserve">that the </w:t>
      </w:r>
      <w:r w:rsidR="001363C8" w:rsidRPr="002655B3">
        <w:rPr>
          <w:rFonts w:asciiTheme="minorHAnsi" w:hAnsiTheme="minorHAnsi" w:cstheme="minorHAnsi"/>
          <w:i/>
          <w:sz w:val="26"/>
          <w:szCs w:val="26"/>
        </w:rPr>
        <w:t>‘</w:t>
      </w:r>
      <w:r w:rsidR="001363C8" w:rsidRPr="002655B3">
        <w:rPr>
          <w:rFonts w:asciiTheme="minorHAnsi" w:hAnsiTheme="minorHAnsi" w:cstheme="minorHAnsi"/>
          <w:i/>
          <w:sz w:val="26"/>
          <w:szCs w:val="26"/>
          <w:u w:val="single"/>
        </w:rPr>
        <w:t xml:space="preserve">first defendant </w:t>
      </w:r>
      <w:r w:rsidR="001363C8" w:rsidRPr="002655B3">
        <w:rPr>
          <w:rFonts w:asciiTheme="minorHAnsi" w:hAnsiTheme="minorHAnsi" w:cstheme="minorHAnsi"/>
          <w:i/>
          <w:color w:val="000000"/>
          <w:sz w:val="26"/>
          <w:szCs w:val="26"/>
          <w:u w:val="single"/>
        </w:rPr>
        <w:t>has breached</w:t>
      </w:r>
      <w:r w:rsidR="001363C8" w:rsidRPr="002655B3">
        <w:rPr>
          <w:rFonts w:asciiTheme="minorHAnsi" w:hAnsiTheme="minorHAnsi" w:cstheme="minorHAnsi"/>
          <w:i/>
          <w:color w:val="000000"/>
          <w:sz w:val="26"/>
          <w:szCs w:val="26"/>
        </w:rPr>
        <w:t xml:space="preserve"> in </w:t>
      </w:r>
      <w:r w:rsidR="001363C8" w:rsidRPr="002655B3">
        <w:rPr>
          <w:rFonts w:asciiTheme="minorHAnsi" w:hAnsiTheme="minorHAnsi" w:cstheme="minorHAnsi"/>
          <w:color w:val="000000"/>
          <w:sz w:val="26"/>
          <w:szCs w:val="26"/>
        </w:rPr>
        <w:t xml:space="preserve">(sic) </w:t>
      </w:r>
      <w:r w:rsidR="001363C8" w:rsidRPr="002655B3">
        <w:rPr>
          <w:rFonts w:asciiTheme="minorHAnsi" w:hAnsiTheme="minorHAnsi" w:cstheme="minorHAnsi"/>
          <w:i/>
          <w:color w:val="000000"/>
          <w:sz w:val="26"/>
          <w:szCs w:val="26"/>
        </w:rPr>
        <w:t xml:space="preserve">terms of the Agreement in that </w:t>
      </w:r>
      <w:r w:rsidR="001363C8" w:rsidRPr="002655B3">
        <w:rPr>
          <w:rFonts w:asciiTheme="minorHAnsi" w:hAnsiTheme="minorHAnsi" w:cstheme="minorHAnsi"/>
          <w:i/>
          <w:color w:val="000000"/>
          <w:sz w:val="26"/>
          <w:szCs w:val="26"/>
          <w:u w:val="single"/>
        </w:rPr>
        <w:t>they</w:t>
      </w:r>
      <w:r w:rsidR="001363C8" w:rsidRPr="002655B3">
        <w:rPr>
          <w:rFonts w:asciiTheme="minorHAnsi" w:hAnsiTheme="minorHAnsi" w:cstheme="minorHAnsi"/>
          <w:i/>
          <w:color w:val="000000"/>
          <w:sz w:val="26"/>
          <w:szCs w:val="26"/>
        </w:rPr>
        <w:t xml:space="preserve"> have failed to maintain regular instalments on </w:t>
      </w:r>
      <w:r w:rsidR="001363C8" w:rsidRPr="002655B3">
        <w:rPr>
          <w:rFonts w:asciiTheme="minorHAnsi" w:hAnsiTheme="minorHAnsi" w:cstheme="minorHAnsi"/>
          <w:i/>
          <w:color w:val="000000"/>
          <w:sz w:val="26"/>
          <w:szCs w:val="26"/>
          <w:u w:val="single"/>
        </w:rPr>
        <w:t>their</w:t>
      </w:r>
      <w:r w:rsidR="001363C8" w:rsidRPr="002655B3">
        <w:rPr>
          <w:rFonts w:asciiTheme="minorHAnsi" w:hAnsiTheme="minorHAnsi" w:cstheme="minorHAnsi"/>
          <w:i/>
          <w:color w:val="000000"/>
          <w:sz w:val="26"/>
          <w:szCs w:val="26"/>
        </w:rPr>
        <w:t xml:space="preserve"> account, the arrears being the sum of R36,14 l.79 and the full outstanding balance on the account amounts to R223,874.36</w:t>
      </w:r>
      <w:r w:rsidR="001363C8" w:rsidRPr="002655B3">
        <w:rPr>
          <w:rFonts w:asciiTheme="minorHAnsi" w:hAnsiTheme="minorHAnsi" w:cstheme="minorHAnsi"/>
          <w:color w:val="000000"/>
          <w:sz w:val="26"/>
          <w:szCs w:val="26"/>
        </w:rPr>
        <w:t>.’ (emphasis added)</w:t>
      </w:r>
      <w:r w:rsidR="00920F47" w:rsidRPr="002655B3">
        <w:rPr>
          <w:rFonts w:asciiTheme="minorHAnsi" w:hAnsiTheme="minorHAnsi" w:cstheme="minorHAnsi"/>
          <w:color w:val="000000"/>
          <w:sz w:val="26"/>
          <w:szCs w:val="26"/>
        </w:rPr>
        <w:t>.</w:t>
      </w:r>
      <w:r w:rsidR="008C45D8" w:rsidRPr="002655B3">
        <w:rPr>
          <w:rFonts w:asciiTheme="minorHAnsi" w:hAnsiTheme="minorHAnsi" w:cstheme="minorHAnsi"/>
          <w:color w:val="000000"/>
          <w:sz w:val="26"/>
          <w:szCs w:val="26"/>
        </w:rPr>
        <w:t xml:space="preserve"> </w:t>
      </w:r>
      <w:r w:rsidR="00BA3AA6" w:rsidRPr="002655B3">
        <w:rPr>
          <w:rFonts w:asciiTheme="minorHAnsi" w:hAnsiTheme="minorHAnsi" w:cstheme="minorHAnsi"/>
          <w:sz w:val="26"/>
          <w:szCs w:val="26"/>
        </w:rPr>
        <w:t xml:space="preserve">The plaintiff further </w:t>
      </w:r>
      <w:r w:rsidR="00891C81" w:rsidRPr="002655B3">
        <w:rPr>
          <w:rFonts w:asciiTheme="minorHAnsi" w:hAnsiTheme="minorHAnsi" w:cstheme="minorHAnsi"/>
          <w:i/>
          <w:sz w:val="26"/>
          <w:szCs w:val="26"/>
        </w:rPr>
        <w:t xml:space="preserve">inter alia </w:t>
      </w:r>
      <w:r w:rsidR="00BA3AA6" w:rsidRPr="002655B3">
        <w:rPr>
          <w:rFonts w:asciiTheme="minorHAnsi" w:hAnsiTheme="minorHAnsi" w:cstheme="minorHAnsi"/>
          <w:sz w:val="26"/>
          <w:szCs w:val="26"/>
        </w:rPr>
        <w:t xml:space="preserve">pleaded that it complied with all its obligations in terms of the NCA, including sections 129 and 130 of the NCA. Notices in terms of s 129(1)(a) of the National Credit Act 34 of 1975 (the NCA) were sent by registered mail to the defendants respectively. </w:t>
      </w:r>
      <w:r w:rsidR="00BA3AA6" w:rsidRPr="002655B3">
        <w:rPr>
          <w:rFonts w:asciiTheme="minorHAnsi" w:hAnsiTheme="minorHAnsi" w:cstheme="minorHAnsi"/>
          <w:color w:val="000000"/>
          <w:sz w:val="26"/>
          <w:szCs w:val="26"/>
        </w:rPr>
        <w:t xml:space="preserve">Both defendants failed to respond to the s129 notices. </w:t>
      </w:r>
      <w:r w:rsidR="00BA3AA6" w:rsidRPr="002655B3">
        <w:rPr>
          <w:rFonts w:asciiTheme="minorHAnsi" w:hAnsiTheme="minorHAnsi" w:cstheme="minorHAnsi"/>
          <w:sz w:val="26"/>
          <w:szCs w:val="26"/>
        </w:rPr>
        <w:t>Consequently, so the plaintiff pleaded, ‘S</w:t>
      </w:r>
      <w:r w:rsidR="00BA3AA6" w:rsidRPr="002655B3">
        <w:rPr>
          <w:rFonts w:asciiTheme="minorHAnsi" w:hAnsiTheme="minorHAnsi" w:cstheme="minorHAnsi"/>
          <w:i/>
          <w:sz w:val="26"/>
          <w:szCs w:val="26"/>
        </w:rPr>
        <w:t>hould the Defendan</w:t>
      </w:r>
      <w:r w:rsidR="00BA3AA6" w:rsidRPr="002655B3">
        <w:rPr>
          <w:rFonts w:asciiTheme="minorHAnsi" w:hAnsiTheme="minorHAnsi" w:cstheme="minorHAnsi"/>
          <w:i/>
          <w:sz w:val="26"/>
          <w:szCs w:val="26"/>
          <w:u w:val="single"/>
        </w:rPr>
        <w:t>t</w:t>
      </w:r>
      <w:r w:rsidR="00BA3AA6" w:rsidRPr="002655B3">
        <w:rPr>
          <w:rFonts w:asciiTheme="minorHAnsi" w:hAnsiTheme="minorHAnsi" w:cstheme="minorHAnsi"/>
          <w:i/>
          <w:sz w:val="26"/>
          <w:szCs w:val="26"/>
        </w:rPr>
        <w:t xml:space="preserve"> </w:t>
      </w:r>
      <w:r w:rsidR="00BA3AA6" w:rsidRPr="002655B3">
        <w:rPr>
          <w:rFonts w:asciiTheme="minorHAnsi" w:hAnsiTheme="minorHAnsi" w:cstheme="minorHAnsi"/>
          <w:sz w:val="26"/>
          <w:szCs w:val="26"/>
        </w:rPr>
        <w:t xml:space="preserve">[singular] </w:t>
      </w:r>
      <w:r w:rsidR="00BA3AA6" w:rsidRPr="002655B3">
        <w:rPr>
          <w:rFonts w:asciiTheme="minorHAnsi" w:hAnsiTheme="minorHAnsi" w:cstheme="minorHAnsi"/>
          <w:i/>
          <w:sz w:val="26"/>
          <w:szCs w:val="26"/>
        </w:rPr>
        <w:t>fail to pay the arrears plus the costs, the plaintiff will request the Honourable court to cancel the Agreement by way of judgment.’</w:t>
      </w:r>
      <w:r w:rsidR="00BA3AA6" w:rsidRPr="002655B3">
        <w:rPr>
          <w:rFonts w:asciiTheme="minorHAnsi" w:hAnsiTheme="minorHAnsi" w:cstheme="minorHAnsi"/>
          <w:sz w:val="26"/>
          <w:szCs w:val="26"/>
        </w:rPr>
        <w:t xml:space="preserve"> (emphasis added)</w:t>
      </w:r>
    </w:p>
    <w:p w:rsidR="00BA3AA6" w:rsidRPr="00BA3AA6" w:rsidRDefault="00BA3AA6" w:rsidP="00BA3AA6">
      <w:pPr>
        <w:pStyle w:val="ListParagraph"/>
        <w:rPr>
          <w:rFonts w:asciiTheme="minorHAnsi" w:hAnsiTheme="minorHAnsi" w:cstheme="minorHAnsi"/>
          <w:sz w:val="26"/>
          <w:szCs w:val="26"/>
        </w:rPr>
      </w:pPr>
    </w:p>
    <w:p w:rsidR="004F4223" w:rsidRPr="002655B3" w:rsidRDefault="002655B3" w:rsidP="002655B3">
      <w:pPr>
        <w:spacing w:after="200" w:line="360" w:lineRule="auto"/>
        <w:ind w:left="851" w:hanging="851"/>
        <w:jc w:val="both"/>
        <w:rPr>
          <w:rFonts w:asciiTheme="minorHAnsi" w:hAnsiTheme="minorHAnsi" w:cstheme="minorHAnsi"/>
          <w:sz w:val="26"/>
          <w:szCs w:val="26"/>
        </w:rPr>
      </w:pPr>
      <w:r w:rsidRPr="004F4223">
        <w:rPr>
          <w:rFonts w:asciiTheme="minorHAnsi" w:hAnsiTheme="minorHAnsi"/>
          <w:sz w:val="24"/>
          <w:szCs w:val="24"/>
        </w:rPr>
        <w:t>6.</w:t>
      </w:r>
      <w:r w:rsidRPr="004F4223">
        <w:rPr>
          <w:rFonts w:asciiTheme="minorHAnsi" w:hAnsiTheme="minorHAnsi"/>
          <w:sz w:val="24"/>
          <w:szCs w:val="24"/>
        </w:rPr>
        <w:tab/>
      </w:r>
      <w:r w:rsidR="00EC54F0" w:rsidRPr="002655B3">
        <w:rPr>
          <w:rFonts w:asciiTheme="minorHAnsi" w:hAnsiTheme="minorHAnsi" w:cstheme="minorHAnsi"/>
          <w:color w:val="000000"/>
          <w:sz w:val="26"/>
          <w:szCs w:val="26"/>
        </w:rPr>
        <w:t xml:space="preserve">The </w:t>
      </w:r>
      <w:r w:rsidR="00BA3AA6" w:rsidRPr="002655B3">
        <w:rPr>
          <w:rFonts w:asciiTheme="minorHAnsi" w:hAnsiTheme="minorHAnsi" w:cstheme="minorHAnsi"/>
          <w:color w:val="000000"/>
          <w:sz w:val="26"/>
          <w:szCs w:val="26"/>
        </w:rPr>
        <w:t xml:space="preserve">plaintiff’s </w:t>
      </w:r>
      <w:r w:rsidR="007C3187" w:rsidRPr="002655B3">
        <w:rPr>
          <w:rFonts w:asciiTheme="minorHAnsi" w:hAnsiTheme="minorHAnsi" w:cstheme="minorHAnsi"/>
          <w:color w:val="000000"/>
          <w:sz w:val="26"/>
          <w:szCs w:val="26"/>
        </w:rPr>
        <w:t xml:space="preserve">manner of </w:t>
      </w:r>
      <w:r w:rsidR="00EC54F0" w:rsidRPr="002655B3">
        <w:rPr>
          <w:rFonts w:asciiTheme="minorHAnsi" w:hAnsiTheme="minorHAnsi" w:cstheme="minorHAnsi"/>
          <w:color w:val="000000"/>
          <w:sz w:val="26"/>
          <w:szCs w:val="26"/>
        </w:rPr>
        <w:t>pleading obfuscates the surety’s liability under the suretyship agreement (</w:t>
      </w:r>
      <w:r w:rsidR="007C3187" w:rsidRPr="002655B3">
        <w:rPr>
          <w:rFonts w:asciiTheme="minorHAnsi" w:hAnsiTheme="minorHAnsi" w:cstheme="minorHAnsi"/>
          <w:color w:val="000000"/>
          <w:sz w:val="26"/>
          <w:szCs w:val="26"/>
        </w:rPr>
        <w:t xml:space="preserve">i.e., liability </w:t>
      </w:r>
      <w:r w:rsidR="00EC54F0" w:rsidRPr="002655B3">
        <w:rPr>
          <w:rFonts w:asciiTheme="minorHAnsi" w:hAnsiTheme="minorHAnsi" w:cstheme="minorHAnsi"/>
          <w:color w:val="000000"/>
          <w:sz w:val="26"/>
          <w:szCs w:val="26"/>
        </w:rPr>
        <w:t xml:space="preserve">to pay </w:t>
      </w:r>
      <w:r w:rsidR="007C3187" w:rsidRPr="002655B3">
        <w:rPr>
          <w:rFonts w:asciiTheme="minorHAnsi" w:hAnsiTheme="minorHAnsi" w:cstheme="minorHAnsi"/>
          <w:color w:val="000000"/>
          <w:sz w:val="26"/>
          <w:szCs w:val="26"/>
        </w:rPr>
        <w:t>any</w:t>
      </w:r>
      <w:r w:rsidR="00EC54F0" w:rsidRPr="002655B3">
        <w:rPr>
          <w:rFonts w:asciiTheme="minorHAnsi" w:hAnsiTheme="minorHAnsi" w:cstheme="minorHAnsi"/>
          <w:color w:val="000000"/>
          <w:sz w:val="26"/>
          <w:szCs w:val="26"/>
        </w:rPr>
        <w:t xml:space="preserve"> amounts </w:t>
      </w:r>
      <w:r w:rsidR="007C3187" w:rsidRPr="002655B3">
        <w:rPr>
          <w:rFonts w:asciiTheme="minorHAnsi" w:hAnsiTheme="minorHAnsi" w:cstheme="minorHAnsi"/>
          <w:color w:val="000000"/>
          <w:sz w:val="26"/>
          <w:szCs w:val="26"/>
        </w:rPr>
        <w:t xml:space="preserve">due and </w:t>
      </w:r>
      <w:r w:rsidR="00EC54F0" w:rsidRPr="002655B3">
        <w:rPr>
          <w:rFonts w:asciiTheme="minorHAnsi" w:hAnsiTheme="minorHAnsi" w:cstheme="minorHAnsi"/>
          <w:color w:val="000000"/>
          <w:sz w:val="26"/>
          <w:szCs w:val="26"/>
        </w:rPr>
        <w:t xml:space="preserve">owing by the first respondent </w:t>
      </w:r>
      <w:r w:rsidR="00BA3AA6" w:rsidRPr="002655B3">
        <w:rPr>
          <w:rFonts w:asciiTheme="minorHAnsi" w:hAnsiTheme="minorHAnsi" w:cstheme="minorHAnsi"/>
          <w:color w:val="000000"/>
          <w:sz w:val="26"/>
          <w:szCs w:val="26"/>
        </w:rPr>
        <w:t xml:space="preserve">on </w:t>
      </w:r>
      <w:r w:rsidR="001F7993" w:rsidRPr="002655B3">
        <w:rPr>
          <w:rFonts w:asciiTheme="minorHAnsi" w:hAnsiTheme="minorHAnsi" w:cstheme="minorHAnsi"/>
          <w:color w:val="000000"/>
          <w:sz w:val="26"/>
          <w:szCs w:val="26"/>
        </w:rPr>
        <w:t xml:space="preserve">the </w:t>
      </w:r>
      <w:r w:rsidR="001F7993" w:rsidRPr="002655B3">
        <w:rPr>
          <w:rFonts w:asciiTheme="minorHAnsi" w:hAnsiTheme="minorHAnsi" w:cstheme="minorHAnsi"/>
          <w:color w:val="000000"/>
          <w:sz w:val="26"/>
          <w:szCs w:val="26"/>
          <w:u w:val="single"/>
        </w:rPr>
        <w:t xml:space="preserve">first respondent’s </w:t>
      </w:r>
      <w:r w:rsidR="00BA3AA6" w:rsidRPr="002655B3">
        <w:rPr>
          <w:rFonts w:asciiTheme="minorHAnsi" w:hAnsiTheme="minorHAnsi" w:cstheme="minorHAnsi"/>
          <w:color w:val="000000"/>
          <w:sz w:val="26"/>
          <w:szCs w:val="26"/>
          <w:u w:val="single"/>
        </w:rPr>
        <w:t>account</w:t>
      </w:r>
      <w:r w:rsidR="00BA3AA6" w:rsidRPr="002655B3">
        <w:rPr>
          <w:rFonts w:asciiTheme="minorHAnsi" w:hAnsiTheme="minorHAnsi" w:cstheme="minorHAnsi"/>
          <w:color w:val="000000"/>
          <w:sz w:val="26"/>
          <w:szCs w:val="26"/>
        </w:rPr>
        <w:t xml:space="preserve"> </w:t>
      </w:r>
      <w:r w:rsidR="00EC54F0" w:rsidRPr="002655B3">
        <w:rPr>
          <w:rFonts w:asciiTheme="minorHAnsi" w:hAnsiTheme="minorHAnsi" w:cstheme="minorHAnsi"/>
          <w:color w:val="000000"/>
          <w:sz w:val="26"/>
          <w:szCs w:val="26"/>
        </w:rPr>
        <w:t xml:space="preserve">under the credit agreement </w:t>
      </w:r>
      <w:r w:rsidR="007C3187" w:rsidRPr="002655B3">
        <w:rPr>
          <w:rFonts w:asciiTheme="minorHAnsi" w:hAnsiTheme="minorHAnsi" w:cstheme="minorHAnsi"/>
          <w:color w:val="000000"/>
          <w:sz w:val="26"/>
          <w:szCs w:val="26"/>
        </w:rPr>
        <w:t xml:space="preserve">consequent upon </w:t>
      </w:r>
      <w:r w:rsidR="001F7993" w:rsidRPr="002655B3">
        <w:rPr>
          <w:rFonts w:asciiTheme="minorHAnsi" w:hAnsiTheme="minorHAnsi" w:cstheme="minorHAnsi"/>
          <w:color w:val="000000"/>
          <w:sz w:val="26"/>
          <w:szCs w:val="26"/>
        </w:rPr>
        <w:t>the first respondent’s</w:t>
      </w:r>
      <w:r w:rsidR="007C3187" w:rsidRPr="002655B3">
        <w:rPr>
          <w:rFonts w:asciiTheme="minorHAnsi" w:hAnsiTheme="minorHAnsi" w:cstheme="minorHAnsi"/>
          <w:color w:val="000000"/>
          <w:sz w:val="26"/>
          <w:szCs w:val="26"/>
        </w:rPr>
        <w:t xml:space="preserve"> </w:t>
      </w:r>
      <w:r w:rsidR="00EC54F0" w:rsidRPr="002655B3">
        <w:rPr>
          <w:rFonts w:asciiTheme="minorHAnsi" w:hAnsiTheme="minorHAnsi" w:cstheme="minorHAnsi"/>
          <w:color w:val="000000"/>
          <w:sz w:val="26"/>
          <w:szCs w:val="26"/>
        </w:rPr>
        <w:t>default</w:t>
      </w:r>
      <w:r w:rsidR="007C3187" w:rsidRPr="002655B3">
        <w:rPr>
          <w:rFonts w:asciiTheme="minorHAnsi" w:hAnsiTheme="minorHAnsi" w:cstheme="minorHAnsi"/>
          <w:color w:val="000000"/>
          <w:sz w:val="26"/>
          <w:szCs w:val="26"/>
        </w:rPr>
        <w:t xml:space="preserve">) with the first respondent’s liability under the credit agreement to effect payment of the monthly amounts on its account on due date. </w:t>
      </w:r>
      <w:r w:rsidR="008C45D8" w:rsidRPr="002655B3">
        <w:rPr>
          <w:rFonts w:asciiTheme="minorHAnsi" w:hAnsiTheme="minorHAnsi" w:cstheme="minorHAnsi"/>
          <w:color w:val="000000"/>
          <w:sz w:val="26"/>
          <w:szCs w:val="26"/>
        </w:rPr>
        <w:t xml:space="preserve">It is clear from a reading of the credit agreement attached to the particulars of claim that the second defendant was not </w:t>
      </w:r>
      <w:r w:rsidR="00920F47" w:rsidRPr="002655B3">
        <w:rPr>
          <w:rFonts w:asciiTheme="minorHAnsi" w:hAnsiTheme="minorHAnsi" w:cstheme="minorHAnsi"/>
          <w:color w:val="000000"/>
          <w:sz w:val="26"/>
          <w:szCs w:val="26"/>
        </w:rPr>
        <w:lastRenderedPageBreak/>
        <w:t xml:space="preserve">personally </w:t>
      </w:r>
      <w:r w:rsidR="008C45D8" w:rsidRPr="002655B3">
        <w:rPr>
          <w:rFonts w:asciiTheme="minorHAnsi" w:hAnsiTheme="minorHAnsi" w:cstheme="minorHAnsi"/>
          <w:color w:val="000000"/>
          <w:sz w:val="26"/>
          <w:szCs w:val="26"/>
        </w:rPr>
        <w:t xml:space="preserve">a contracting party to the credit agreement. </w:t>
      </w:r>
      <w:r w:rsidR="00277395" w:rsidRPr="002655B3">
        <w:rPr>
          <w:rFonts w:asciiTheme="minorHAnsi" w:hAnsiTheme="minorHAnsi" w:cstheme="minorHAnsi"/>
          <w:color w:val="000000"/>
          <w:sz w:val="26"/>
          <w:szCs w:val="26"/>
        </w:rPr>
        <w:t xml:space="preserve">His liability </w:t>
      </w:r>
      <w:r w:rsidR="006F0197" w:rsidRPr="002655B3">
        <w:rPr>
          <w:rFonts w:asciiTheme="minorHAnsi" w:hAnsiTheme="minorHAnsi" w:cstheme="minorHAnsi"/>
          <w:color w:val="000000"/>
          <w:sz w:val="26"/>
          <w:szCs w:val="26"/>
        </w:rPr>
        <w:t xml:space="preserve">for payment of all sums due by the first defendant under the credit agreement, limited to </w:t>
      </w:r>
      <w:r w:rsidR="001309EE" w:rsidRPr="002655B3">
        <w:rPr>
          <w:rFonts w:asciiTheme="minorHAnsi" w:hAnsiTheme="minorHAnsi" w:cstheme="minorHAnsi"/>
          <w:color w:val="000000"/>
          <w:sz w:val="26"/>
          <w:szCs w:val="26"/>
        </w:rPr>
        <w:t xml:space="preserve">an </w:t>
      </w:r>
      <w:r w:rsidR="006F0197" w:rsidRPr="002655B3">
        <w:rPr>
          <w:rFonts w:asciiTheme="minorHAnsi" w:hAnsiTheme="minorHAnsi" w:cstheme="minorHAnsi"/>
          <w:color w:val="000000"/>
          <w:sz w:val="26"/>
          <w:szCs w:val="26"/>
        </w:rPr>
        <w:t xml:space="preserve">amount of R177 082.50, arose from the suretyship agreement </w:t>
      </w:r>
      <w:r w:rsidR="001309EE" w:rsidRPr="002655B3">
        <w:rPr>
          <w:rFonts w:asciiTheme="minorHAnsi" w:hAnsiTheme="minorHAnsi" w:cstheme="minorHAnsi"/>
          <w:color w:val="000000"/>
          <w:sz w:val="26"/>
          <w:szCs w:val="26"/>
        </w:rPr>
        <w:t>as opposed to</w:t>
      </w:r>
      <w:r w:rsidR="006F0197" w:rsidRPr="002655B3">
        <w:rPr>
          <w:rFonts w:asciiTheme="minorHAnsi" w:hAnsiTheme="minorHAnsi" w:cstheme="minorHAnsi"/>
          <w:color w:val="000000"/>
          <w:sz w:val="26"/>
          <w:szCs w:val="26"/>
        </w:rPr>
        <w:t xml:space="preserve"> the credit agreement</w:t>
      </w:r>
      <w:r w:rsidR="001309EE" w:rsidRPr="002655B3">
        <w:rPr>
          <w:rFonts w:asciiTheme="minorHAnsi" w:hAnsiTheme="minorHAnsi" w:cstheme="minorHAnsi"/>
          <w:color w:val="000000"/>
          <w:sz w:val="26"/>
          <w:szCs w:val="26"/>
        </w:rPr>
        <w:t>.</w:t>
      </w:r>
      <w:r w:rsidR="006F0197" w:rsidRPr="002655B3">
        <w:rPr>
          <w:rFonts w:asciiTheme="minorHAnsi" w:hAnsiTheme="minorHAnsi" w:cstheme="minorHAnsi"/>
          <w:color w:val="000000"/>
          <w:sz w:val="26"/>
          <w:szCs w:val="26"/>
        </w:rPr>
        <w:t xml:space="preserve"> </w:t>
      </w:r>
      <w:r w:rsidR="008C45D8" w:rsidRPr="002655B3">
        <w:rPr>
          <w:rFonts w:asciiTheme="minorHAnsi" w:hAnsiTheme="minorHAnsi" w:cstheme="minorHAnsi"/>
          <w:color w:val="000000"/>
          <w:sz w:val="26"/>
          <w:szCs w:val="26"/>
        </w:rPr>
        <w:t xml:space="preserve">Despite this, </w:t>
      </w:r>
      <w:r w:rsidR="001F141D" w:rsidRPr="002655B3">
        <w:rPr>
          <w:rFonts w:asciiTheme="minorHAnsi" w:hAnsiTheme="minorHAnsi" w:cstheme="minorHAnsi"/>
          <w:color w:val="000000"/>
          <w:sz w:val="26"/>
          <w:szCs w:val="26"/>
        </w:rPr>
        <w:t xml:space="preserve">as alleged in the particulars of claim, </w:t>
      </w:r>
      <w:r w:rsidR="008C45D8" w:rsidRPr="002655B3">
        <w:rPr>
          <w:rFonts w:asciiTheme="minorHAnsi" w:hAnsiTheme="minorHAnsi" w:cstheme="minorHAnsi"/>
          <w:color w:val="000000"/>
          <w:sz w:val="26"/>
          <w:szCs w:val="26"/>
        </w:rPr>
        <w:t xml:space="preserve">the plaintiff delivered a notice in terms of s129 of the NCA to the second defendant. In this notice, attached as annexure ‘F1’ to the particulars of claim, the plaintiff’s attorneys </w:t>
      </w:r>
      <w:r w:rsidR="004F4223" w:rsidRPr="002655B3">
        <w:rPr>
          <w:rFonts w:asciiTheme="minorHAnsi" w:hAnsiTheme="minorHAnsi" w:cstheme="minorHAnsi"/>
          <w:color w:val="000000"/>
          <w:sz w:val="26"/>
          <w:szCs w:val="26"/>
        </w:rPr>
        <w:t>recorded, amongst others, the following:</w:t>
      </w:r>
    </w:p>
    <w:p w:rsidR="004F4223" w:rsidRPr="00277395" w:rsidRDefault="004F4223" w:rsidP="004F4223">
      <w:pPr>
        <w:pStyle w:val="NormalWeb"/>
        <w:spacing w:line="276" w:lineRule="auto"/>
        <w:ind w:left="851"/>
        <w:jc w:val="both"/>
        <w:rPr>
          <w:rFonts w:asciiTheme="minorHAnsi" w:hAnsiTheme="minorHAnsi" w:cstheme="minorHAnsi"/>
          <w:color w:val="000000"/>
          <w:sz w:val="22"/>
          <w:szCs w:val="22"/>
        </w:rPr>
      </w:pPr>
      <w:r w:rsidRPr="004F4223">
        <w:rPr>
          <w:rFonts w:asciiTheme="minorHAnsi" w:hAnsiTheme="minorHAnsi" w:cstheme="minorHAnsi"/>
          <w:color w:val="000000"/>
          <w:sz w:val="22"/>
          <w:szCs w:val="22"/>
        </w:rPr>
        <w:t>“</w:t>
      </w:r>
      <w:r w:rsidRPr="00277395">
        <w:rPr>
          <w:rFonts w:asciiTheme="minorHAnsi" w:hAnsiTheme="minorHAnsi" w:cstheme="minorHAnsi"/>
          <w:color w:val="000000"/>
          <w:sz w:val="22"/>
          <w:szCs w:val="22"/>
        </w:rPr>
        <w:t xml:space="preserve">2. In terms of a deed of suretyship which you signed on the 18 September 2019 you bound yourself as a surety and co-principal debtor with GUSHA HOLDINGS AND ENTERPRISES (PTY) LTD together with the co-principals </w:t>
      </w:r>
      <w:r w:rsidRPr="00BA3AA6">
        <w:rPr>
          <w:rFonts w:asciiTheme="minorHAnsi" w:hAnsiTheme="minorHAnsi" w:cstheme="minorHAnsi"/>
          <w:color w:val="000000"/>
          <w:sz w:val="22"/>
          <w:szCs w:val="22"/>
        </w:rPr>
        <w:t>for all obligations due to our client</w:t>
      </w:r>
      <w:r w:rsidRPr="00277395">
        <w:rPr>
          <w:rFonts w:asciiTheme="minorHAnsi" w:hAnsiTheme="minorHAnsi" w:cstheme="minorHAnsi"/>
          <w:color w:val="000000"/>
          <w:sz w:val="22"/>
          <w:szCs w:val="22"/>
        </w:rPr>
        <w:t xml:space="preserve"> </w:t>
      </w:r>
      <w:r w:rsidRPr="001309EE">
        <w:rPr>
          <w:rFonts w:asciiTheme="minorHAnsi" w:hAnsiTheme="minorHAnsi" w:cstheme="minorHAnsi"/>
          <w:color w:val="000000"/>
          <w:sz w:val="22"/>
          <w:szCs w:val="22"/>
          <w:u w:val="single"/>
        </w:rPr>
        <w:t>in respect of the abovementioned agreement</w:t>
      </w:r>
      <w:r w:rsidRPr="00277395">
        <w:rPr>
          <w:rFonts w:asciiTheme="minorHAnsi" w:hAnsiTheme="minorHAnsi" w:cstheme="minorHAnsi"/>
          <w:color w:val="000000"/>
          <w:sz w:val="22"/>
          <w:szCs w:val="22"/>
        </w:rPr>
        <w:t>.</w:t>
      </w:r>
      <w:r w:rsidR="00D2033B">
        <w:rPr>
          <w:rStyle w:val="FootnoteReference"/>
          <w:rFonts w:asciiTheme="minorHAnsi" w:hAnsiTheme="minorHAnsi" w:cstheme="minorHAnsi"/>
          <w:color w:val="000000"/>
          <w:sz w:val="22"/>
          <w:szCs w:val="22"/>
        </w:rPr>
        <w:footnoteReference w:id="4"/>
      </w:r>
      <w:r w:rsidRPr="00277395">
        <w:rPr>
          <w:rFonts w:asciiTheme="minorHAnsi" w:hAnsiTheme="minorHAnsi" w:cstheme="minorHAnsi"/>
          <w:color w:val="000000"/>
          <w:sz w:val="22"/>
          <w:szCs w:val="22"/>
        </w:rPr>
        <w:t xml:space="preserve"> </w:t>
      </w:r>
    </w:p>
    <w:p w:rsidR="004F4223" w:rsidRPr="00277395" w:rsidRDefault="00277395" w:rsidP="004F4223">
      <w:pPr>
        <w:spacing w:before="100" w:beforeAutospacing="1" w:after="100" w:afterAutospacing="1" w:line="276" w:lineRule="auto"/>
        <w:ind w:left="851"/>
        <w:jc w:val="both"/>
        <w:rPr>
          <w:rFonts w:asciiTheme="minorHAnsi" w:hAnsiTheme="minorHAnsi" w:cstheme="minorHAnsi"/>
          <w:color w:val="000000"/>
          <w:sz w:val="22"/>
          <w:szCs w:val="22"/>
          <w:lang w:val="en-ZA" w:eastAsia="en-ZA"/>
        </w:rPr>
      </w:pPr>
      <w:r w:rsidRPr="00277395">
        <w:rPr>
          <w:rFonts w:asciiTheme="minorHAnsi" w:hAnsiTheme="minorHAnsi" w:cstheme="minorHAnsi"/>
          <w:color w:val="000000"/>
          <w:sz w:val="22"/>
          <w:szCs w:val="22"/>
          <w:lang w:val="en-ZA" w:eastAsia="en-ZA"/>
        </w:rPr>
        <w:t>3.</w:t>
      </w:r>
      <w:r w:rsidR="004F4223" w:rsidRPr="00277395">
        <w:rPr>
          <w:rFonts w:asciiTheme="minorHAnsi" w:hAnsiTheme="minorHAnsi" w:cstheme="minorHAnsi"/>
          <w:color w:val="000000"/>
          <w:sz w:val="22"/>
          <w:szCs w:val="22"/>
          <w:lang w:val="en-ZA" w:eastAsia="en-ZA"/>
        </w:rPr>
        <w:t xml:space="preserve"> According to our client's records GUSHA HOLDINGS AND ENTERPRISES (PTY) LTD is in arrears with R31,552.53. The next instalment of R4,214.28 is payable on 7 March 2022. The total balance outstanding under the agreement, including arrears, amounts to R223,279.41.</w:t>
      </w:r>
    </w:p>
    <w:p w:rsidR="00587A1C" w:rsidRDefault="004F4223" w:rsidP="004F4223">
      <w:pPr>
        <w:spacing w:before="100" w:beforeAutospacing="1" w:after="100" w:afterAutospacing="1" w:line="276" w:lineRule="auto"/>
        <w:ind w:left="851"/>
        <w:jc w:val="both"/>
        <w:rPr>
          <w:rFonts w:asciiTheme="minorHAnsi" w:hAnsiTheme="minorHAnsi" w:cstheme="minorHAnsi"/>
          <w:color w:val="000000"/>
          <w:sz w:val="22"/>
          <w:szCs w:val="22"/>
          <w:lang w:val="en-ZA" w:eastAsia="en-ZA"/>
        </w:rPr>
      </w:pPr>
      <w:r w:rsidRPr="00277395">
        <w:rPr>
          <w:rFonts w:asciiTheme="minorHAnsi" w:hAnsiTheme="minorHAnsi" w:cstheme="minorHAnsi"/>
          <w:color w:val="000000"/>
          <w:sz w:val="22"/>
          <w:szCs w:val="22"/>
          <w:lang w:val="en-ZA" w:eastAsia="en-ZA"/>
        </w:rPr>
        <w:t xml:space="preserve">4. </w:t>
      </w:r>
      <w:r w:rsidRPr="00277395">
        <w:rPr>
          <w:rFonts w:asciiTheme="minorHAnsi" w:hAnsiTheme="minorHAnsi" w:cstheme="minorHAnsi"/>
          <w:color w:val="000000"/>
          <w:sz w:val="22"/>
          <w:szCs w:val="22"/>
          <w:u w:val="single"/>
          <w:lang w:val="en-ZA" w:eastAsia="en-ZA"/>
        </w:rPr>
        <w:t>You</w:t>
      </w:r>
      <w:r w:rsidRPr="00277395">
        <w:rPr>
          <w:rFonts w:asciiTheme="minorHAnsi" w:hAnsiTheme="minorHAnsi" w:cstheme="minorHAnsi"/>
          <w:color w:val="000000"/>
          <w:sz w:val="22"/>
          <w:szCs w:val="22"/>
          <w:lang w:val="en-ZA" w:eastAsia="en-ZA"/>
        </w:rPr>
        <w:t xml:space="preserve"> have failed to meet </w:t>
      </w:r>
      <w:r w:rsidRPr="00BA3AA6">
        <w:rPr>
          <w:rFonts w:asciiTheme="minorHAnsi" w:hAnsiTheme="minorHAnsi" w:cstheme="minorHAnsi"/>
          <w:color w:val="000000"/>
          <w:sz w:val="22"/>
          <w:szCs w:val="22"/>
          <w:u w:val="single"/>
          <w:lang w:val="en-ZA" w:eastAsia="en-ZA"/>
        </w:rPr>
        <w:t>your</w:t>
      </w:r>
      <w:r w:rsidRPr="00277395">
        <w:rPr>
          <w:rFonts w:asciiTheme="minorHAnsi" w:hAnsiTheme="minorHAnsi" w:cstheme="minorHAnsi"/>
          <w:color w:val="000000"/>
          <w:sz w:val="22"/>
          <w:szCs w:val="22"/>
          <w:lang w:val="en-ZA" w:eastAsia="en-ZA"/>
        </w:rPr>
        <w:t xml:space="preserve"> obligations </w:t>
      </w:r>
      <w:r w:rsidRPr="004B071A">
        <w:rPr>
          <w:rFonts w:asciiTheme="minorHAnsi" w:hAnsiTheme="minorHAnsi" w:cstheme="minorHAnsi"/>
          <w:color w:val="000000"/>
          <w:sz w:val="22"/>
          <w:szCs w:val="22"/>
          <w:u w:val="single"/>
          <w:lang w:val="en-ZA" w:eastAsia="en-ZA"/>
        </w:rPr>
        <w:t>in terms of</w:t>
      </w:r>
      <w:r w:rsidRPr="00277395">
        <w:rPr>
          <w:rFonts w:asciiTheme="minorHAnsi" w:hAnsiTheme="minorHAnsi" w:cstheme="minorHAnsi"/>
          <w:color w:val="000000"/>
          <w:sz w:val="22"/>
          <w:szCs w:val="22"/>
          <w:lang w:val="en-ZA" w:eastAsia="en-ZA"/>
        </w:rPr>
        <w:t xml:space="preserve"> </w:t>
      </w:r>
      <w:r w:rsidRPr="001309EE">
        <w:rPr>
          <w:rFonts w:asciiTheme="minorHAnsi" w:hAnsiTheme="minorHAnsi" w:cstheme="minorHAnsi"/>
          <w:color w:val="000000"/>
          <w:sz w:val="22"/>
          <w:szCs w:val="22"/>
          <w:u w:val="single"/>
          <w:lang w:val="en-ZA" w:eastAsia="en-ZA"/>
        </w:rPr>
        <w:t>the above agreement</w:t>
      </w:r>
      <w:r w:rsidR="00D2033B">
        <w:rPr>
          <w:rStyle w:val="FootnoteReference"/>
          <w:rFonts w:asciiTheme="minorHAnsi" w:hAnsiTheme="minorHAnsi" w:cstheme="minorHAnsi"/>
          <w:color w:val="000000"/>
          <w:sz w:val="22"/>
          <w:szCs w:val="22"/>
          <w:u w:val="single"/>
          <w:lang w:val="en-ZA" w:eastAsia="en-ZA"/>
        </w:rPr>
        <w:footnoteReference w:id="5"/>
      </w:r>
      <w:r w:rsidRPr="00277395">
        <w:rPr>
          <w:rFonts w:asciiTheme="minorHAnsi" w:hAnsiTheme="minorHAnsi" w:cstheme="minorHAnsi"/>
          <w:color w:val="000000"/>
          <w:sz w:val="22"/>
          <w:szCs w:val="22"/>
          <w:lang w:val="en-ZA" w:eastAsia="en-ZA"/>
        </w:rPr>
        <w:t xml:space="preserve"> and accordingly </w:t>
      </w:r>
      <w:r w:rsidRPr="00277395">
        <w:rPr>
          <w:rFonts w:asciiTheme="minorHAnsi" w:hAnsiTheme="minorHAnsi" w:cstheme="minorHAnsi"/>
          <w:color w:val="000000"/>
          <w:sz w:val="22"/>
          <w:szCs w:val="22"/>
          <w:u w:val="single"/>
          <w:lang w:val="en-ZA" w:eastAsia="en-ZA"/>
        </w:rPr>
        <w:t xml:space="preserve">your account is in arrears </w:t>
      </w:r>
      <w:r w:rsidRPr="00277395">
        <w:rPr>
          <w:rFonts w:asciiTheme="minorHAnsi" w:hAnsiTheme="minorHAnsi" w:cstheme="minorHAnsi"/>
          <w:color w:val="000000"/>
          <w:sz w:val="22"/>
          <w:szCs w:val="22"/>
          <w:lang w:val="en-ZA" w:eastAsia="en-ZA"/>
        </w:rPr>
        <w:t>for more than 20 (Twenty) business days in the amount set out above.</w:t>
      </w:r>
    </w:p>
    <w:p w:rsidR="005D5095" w:rsidRDefault="005D5095" w:rsidP="004F4223">
      <w:pPr>
        <w:spacing w:before="100" w:beforeAutospacing="1" w:after="100" w:afterAutospacing="1" w:line="276" w:lineRule="auto"/>
        <w:ind w:left="851"/>
        <w:jc w:val="both"/>
        <w:rPr>
          <w:rFonts w:asciiTheme="minorHAnsi" w:hAnsiTheme="minorHAnsi" w:cstheme="minorHAnsi"/>
          <w:color w:val="000000"/>
          <w:sz w:val="22"/>
          <w:szCs w:val="22"/>
          <w:lang w:val="en-ZA" w:eastAsia="en-ZA"/>
        </w:rPr>
      </w:pPr>
      <w:r w:rsidRPr="00FA55C6">
        <w:rPr>
          <w:rFonts w:asciiTheme="minorHAnsi" w:hAnsiTheme="minorHAnsi" w:cstheme="minorHAnsi"/>
          <w:color w:val="000000"/>
          <w:sz w:val="22"/>
          <w:szCs w:val="22"/>
        </w:rPr>
        <w:t>5. Please note that our client is desirous to implement a repayment plan with you in order to settle the outstanding arrears and balance in respect of the abovementioned agreement in order to avoid the incurrence of any further unnecessary costs.</w:t>
      </w:r>
    </w:p>
    <w:p w:rsidR="00587A1C" w:rsidRPr="00FA55C6" w:rsidRDefault="00587A1C" w:rsidP="00587A1C">
      <w:pPr>
        <w:spacing w:before="100" w:beforeAutospacing="1" w:after="100" w:afterAutospacing="1" w:line="276" w:lineRule="auto"/>
        <w:ind w:left="851"/>
        <w:jc w:val="both"/>
        <w:rPr>
          <w:rFonts w:asciiTheme="minorHAnsi" w:hAnsiTheme="minorHAnsi" w:cstheme="minorHAnsi"/>
          <w:color w:val="000000"/>
          <w:sz w:val="22"/>
          <w:szCs w:val="22"/>
        </w:rPr>
      </w:pPr>
      <w:r w:rsidRPr="00FA55C6">
        <w:rPr>
          <w:rFonts w:asciiTheme="minorHAnsi" w:hAnsiTheme="minorHAnsi" w:cstheme="minorHAnsi"/>
          <w:color w:val="000000"/>
          <w:sz w:val="22"/>
          <w:szCs w:val="22"/>
        </w:rPr>
        <w:t xml:space="preserve">7. Should we not receive a response to this notice within 10 (ten) business days from date of this letter, </w:t>
      </w:r>
      <w:r w:rsidRPr="004B071A">
        <w:rPr>
          <w:rFonts w:asciiTheme="minorHAnsi" w:hAnsiTheme="minorHAnsi" w:cstheme="minorHAnsi"/>
          <w:color w:val="000000"/>
          <w:sz w:val="22"/>
          <w:szCs w:val="22"/>
          <w:u w:val="single"/>
        </w:rPr>
        <w:t>then our client will exercise its right to</w:t>
      </w:r>
      <w:r>
        <w:rPr>
          <w:rFonts w:asciiTheme="minorHAnsi" w:hAnsiTheme="minorHAnsi" w:cstheme="minorHAnsi"/>
          <w:color w:val="000000"/>
          <w:sz w:val="22"/>
          <w:szCs w:val="22"/>
        </w:rPr>
        <w:t xml:space="preserve"> -</w:t>
      </w:r>
      <w:r w:rsidR="00D747A2">
        <w:rPr>
          <w:rStyle w:val="FootnoteReference"/>
          <w:rFonts w:asciiTheme="minorHAnsi" w:hAnsiTheme="minorHAnsi" w:cstheme="minorHAnsi"/>
          <w:color w:val="000000"/>
          <w:sz w:val="22"/>
          <w:szCs w:val="22"/>
        </w:rPr>
        <w:footnoteReference w:id="6"/>
      </w:r>
    </w:p>
    <w:p w:rsidR="00587A1C" w:rsidRPr="00FA55C6" w:rsidRDefault="00587A1C" w:rsidP="00587A1C">
      <w:pPr>
        <w:spacing w:before="100" w:beforeAutospacing="1" w:after="100" w:afterAutospacing="1" w:line="276" w:lineRule="auto"/>
        <w:ind w:left="851"/>
        <w:jc w:val="both"/>
        <w:rPr>
          <w:rFonts w:asciiTheme="minorHAnsi" w:hAnsiTheme="minorHAnsi" w:cstheme="minorHAnsi"/>
          <w:color w:val="000000"/>
          <w:sz w:val="22"/>
          <w:szCs w:val="22"/>
        </w:rPr>
      </w:pPr>
      <w:r w:rsidRPr="00FA55C6">
        <w:rPr>
          <w:rFonts w:asciiTheme="minorHAnsi" w:hAnsiTheme="minorHAnsi" w:cstheme="minorHAnsi"/>
          <w:color w:val="000000"/>
          <w:sz w:val="22"/>
          <w:szCs w:val="22"/>
        </w:rPr>
        <w:lastRenderedPageBreak/>
        <w:t xml:space="preserve">7.1 </w:t>
      </w:r>
      <w:r w:rsidRPr="004B071A">
        <w:rPr>
          <w:rFonts w:asciiTheme="minorHAnsi" w:hAnsiTheme="minorHAnsi" w:cstheme="minorHAnsi"/>
          <w:color w:val="000000"/>
          <w:sz w:val="22"/>
          <w:szCs w:val="22"/>
          <w:u w:val="single"/>
        </w:rPr>
        <w:t>Terminate the credit facility / credit agreement</w:t>
      </w:r>
      <w:r w:rsidRPr="00FA55C6">
        <w:rPr>
          <w:rFonts w:asciiTheme="minorHAnsi" w:hAnsiTheme="minorHAnsi" w:cstheme="minorHAnsi"/>
          <w:color w:val="000000"/>
          <w:sz w:val="22"/>
          <w:szCs w:val="22"/>
        </w:rPr>
        <w:t xml:space="preserve">; </w:t>
      </w:r>
    </w:p>
    <w:p w:rsidR="00587A1C" w:rsidRPr="00FA55C6" w:rsidRDefault="00587A1C" w:rsidP="00587A1C">
      <w:pPr>
        <w:spacing w:before="100" w:beforeAutospacing="1" w:after="100" w:afterAutospacing="1" w:line="276" w:lineRule="auto"/>
        <w:ind w:left="851"/>
        <w:jc w:val="both"/>
        <w:rPr>
          <w:rFonts w:asciiTheme="minorHAnsi" w:hAnsiTheme="minorHAnsi" w:cstheme="minorHAnsi"/>
          <w:color w:val="000000"/>
          <w:sz w:val="22"/>
          <w:szCs w:val="22"/>
        </w:rPr>
      </w:pPr>
      <w:r w:rsidRPr="00FA55C6">
        <w:rPr>
          <w:rFonts w:asciiTheme="minorHAnsi" w:hAnsiTheme="minorHAnsi" w:cstheme="minorHAnsi"/>
          <w:color w:val="000000"/>
          <w:sz w:val="22"/>
          <w:szCs w:val="22"/>
        </w:rPr>
        <w:t xml:space="preserve">7.2 Close the credit facility / credit agreement; </w:t>
      </w:r>
    </w:p>
    <w:p w:rsidR="00587A1C" w:rsidRPr="00FA55C6" w:rsidRDefault="00587A1C" w:rsidP="00587A1C">
      <w:pPr>
        <w:spacing w:before="100" w:beforeAutospacing="1" w:after="100" w:afterAutospacing="1" w:line="276" w:lineRule="auto"/>
        <w:ind w:left="851"/>
        <w:jc w:val="both"/>
        <w:rPr>
          <w:rFonts w:asciiTheme="minorHAnsi" w:hAnsiTheme="minorHAnsi" w:cstheme="minorHAnsi"/>
          <w:color w:val="000000"/>
          <w:sz w:val="22"/>
          <w:szCs w:val="22"/>
        </w:rPr>
      </w:pPr>
      <w:r w:rsidRPr="00FA55C6">
        <w:rPr>
          <w:rFonts w:asciiTheme="minorHAnsi" w:hAnsiTheme="minorHAnsi" w:cstheme="minorHAnsi"/>
          <w:color w:val="000000"/>
          <w:sz w:val="22"/>
          <w:szCs w:val="22"/>
        </w:rPr>
        <w:t>7.3 Approach the Court to enforce the agreement.</w:t>
      </w:r>
      <w:r w:rsidR="00DF6D94">
        <w:rPr>
          <w:rStyle w:val="FootnoteReference"/>
          <w:rFonts w:asciiTheme="minorHAnsi" w:hAnsiTheme="minorHAnsi" w:cstheme="minorHAnsi"/>
          <w:color w:val="000000"/>
          <w:sz w:val="22"/>
          <w:szCs w:val="22"/>
        </w:rPr>
        <w:footnoteReference w:id="7"/>
      </w:r>
    </w:p>
    <w:p w:rsidR="00277395" w:rsidRDefault="00587A1C" w:rsidP="00587A1C">
      <w:pPr>
        <w:spacing w:before="100" w:beforeAutospacing="1" w:after="100" w:afterAutospacing="1" w:line="276" w:lineRule="auto"/>
        <w:ind w:left="851"/>
        <w:jc w:val="both"/>
        <w:rPr>
          <w:rFonts w:asciiTheme="minorHAnsi" w:hAnsiTheme="minorHAnsi" w:cstheme="minorHAnsi"/>
          <w:color w:val="000000"/>
          <w:sz w:val="22"/>
          <w:szCs w:val="22"/>
          <w:lang w:val="en-ZA" w:eastAsia="en-ZA"/>
        </w:rPr>
      </w:pPr>
      <w:r w:rsidRPr="00FA55C6">
        <w:rPr>
          <w:rFonts w:asciiTheme="minorHAnsi" w:hAnsiTheme="minorHAnsi" w:cstheme="minorHAnsi"/>
          <w:color w:val="000000"/>
          <w:sz w:val="22"/>
          <w:szCs w:val="22"/>
        </w:rPr>
        <w:lastRenderedPageBreak/>
        <w:t xml:space="preserve">7. </w:t>
      </w:r>
      <w:r w:rsidRPr="00587A1C">
        <w:rPr>
          <w:rFonts w:asciiTheme="minorHAnsi" w:hAnsiTheme="minorHAnsi" w:cstheme="minorHAnsi"/>
          <w:color w:val="000000"/>
          <w:sz w:val="22"/>
          <w:szCs w:val="22"/>
          <w:u w:val="single"/>
        </w:rPr>
        <w:t xml:space="preserve">As per </w:t>
      </w:r>
      <w:r w:rsidRPr="00D13CFB">
        <w:rPr>
          <w:rFonts w:asciiTheme="minorHAnsi" w:hAnsiTheme="minorHAnsi" w:cstheme="minorHAnsi"/>
          <w:b/>
          <w:color w:val="000000"/>
          <w:sz w:val="22"/>
          <w:szCs w:val="22"/>
          <w:u w:val="single"/>
        </w:rPr>
        <w:t xml:space="preserve">your </w:t>
      </w:r>
      <w:r w:rsidRPr="00587A1C">
        <w:rPr>
          <w:rFonts w:asciiTheme="minorHAnsi" w:hAnsiTheme="minorHAnsi" w:cstheme="minorHAnsi"/>
          <w:color w:val="000000"/>
          <w:sz w:val="22"/>
          <w:szCs w:val="22"/>
          <w:u w:val="single"/>
        </w:rPr>
        <w:t>credit agreement</w:t>
      </w:r>
      <w:r w:rsidRPr="00FA55C6">
        <w:rPr>
          <w:rFonts w:asciiTheme="minorHAnsi" w:hAnsiTheme="minorHAnsi" w:cstheme="minorHAnsi"/>
          <w:color w:val="000000"/>
          <w:sz w:val="22"/>
          <w:szCs w:val="22"/>
        </w:rPr>
        <w:t xml:space="preserve">, you will be liable for any legal costs that our client incurs pursuing its outstanding balance because of </w:t>
      </w:r>
      <w:r w:rsidRPr="00587A1C">
        <w:rPr>
          <w:rFonts w:asciiTheme="minorHAnsi" w:hAnsiTheme="minorHAnsi" w:cstheme="minorHAnsi"/>
          <w:color w:val="000000"/>
          <w:sz w:val="22"/>
          <w:szCs w:val="22"/>
          <w:u w:val="single"/>
        </w:rPr>
        <w:t>your failure to settle your arrears</w:t>
      </w:r>
      <w:r w:rsidRPr="00FA55C6">
        <w:rPr>
          <w:rFonts w:asciiTheme="minorHAnsi" w:hAnsiTheme="minorHAnsi" w:cstheme="minorHAnsi"/>
          <w:color w:val="000000"/>
          <w:sz w:val="22"/>
          <w:szCs w:val="22"/>
        </w:rPr>
        <w:t>, which legal costs can be taxed on request...</w:t>
      </w:r>
      <w:r>
        <w:rPr>
          <w:rFonts w:asciiTheme="minorHAnsi" w:hAnsiTheme="minorHAnsi" w:cstheme="minorHAnsi"/>
          <w:color w:val="000000"/>
          <w:sz w:val="22"/>
          <w:szCs w:val="22"/>
        </w:rPr>
        <w:t xml:space="preserve">” </w:t>
      </w:r>
      <w:r w:rsidRPr="00587A1C">
        <w:rPr>
          <w:rFonts w:asciiTheme="minorHAnsi" w:hAnsiTheme="minorHAnsi" w:cstheme="minorHAnsi"/>
          <w:color w:val="000000"/>
          <w:sz w:val="26"/>
          <w:szCs w:val="26"/>
        </w:rPr>
        <w:t>(emphasis added)</w:t>
      </w:r>
    </w:p>
    <w:p w:rsidR="00AC60FC" w:rsidRDefault="00AC60FC" w:rsidP="00AC60FC">
      <w:pPr>
        <w:pStyle w:val="ListParagraph"/>
        <w:rPr>
          <w:rFonts w:asciiTheme="minorHAnsi" w:hAnsiTheme="minorHAnsi" w:cstheme="minorHAnsi"/>
          <w:sz w:val="26"/>
          <w:szCs w:val="26"/>
        </w:rPr>
      </w:pPr>
    </w:p>
    <w:p w:rsidR="006570B2" w:rsidRPr="002655B3" w:rsidRDefault="002655B3" w:rsidP="002655B3">
      <w:pPr>
        <w:spacing w:after="200" w:line="360" w:lineRule="auto"/>
        <w:ind w:left="851" w:hanging="851"/>
        <w:jc w:val="both"/>
        <w:rPr>
          <w:rFonts w:asciiTheme="minorHAnsi" w:hAnsiTheme="minorHAnsi" w:cstheme="minorHAnsi"/>
          <w:color w:val="242121"/>
          <w:sz w:val="26"/>
          <w:szCs w:val="26"/>
          <w:shd w:val="clear" w:color="auto" w:fill="FFFFFF"/>
        </w:rPr>
      </w:pPr>
      <w:r>
        <w:rPr>
          <w:rFonts w:asciiTheme="minorHAnsi" w:hAnsiTheme="minorHAnsi"/>
          <w:color w:val="242121"/>
          <w:sz w:val="24"/>
          <w:szCs w:val="24"/>
        </w:rPr>
        <w:t>7.</w:t>
      </w:r>
      <w:r>
        <w:rPr>
          <w:rFonts w:asciiTheme="minorHAnsi" w:hAnsiTheme="minorHAnsi"/>
          <w:color w:val="242121"/>
          <w:sz w:val="24"/>
          <w:szCs w:val="24"/>
        </w:rPr>
        <w:tab/>
      </w:r>
      <w:r w:rsidR="006570B2" w:rsidRPr="002655B3">
        <w:rPr>
          <w:rFonts w:asciiTheme="minorHAnsi" w:hAnsiTheme="minorHAnsi" w:cstheme="minorHAnsi"/>
          <w:color w:val="242121"/>
          <w:sz w:val="26"/>
          <w:szCs w:val="26"/>
          <w:shd w:val="clear" w:color="auto" w:fill="FFFFFF"/>
        </w:rPr>
        <w:t xml:space="preserve">The defendants relied on various technical defences in opposing the grant of summary judgment. </w:t>
      </w:r>
      <w:r w:rsidR="00EC54F0" w:rsidRPr="002655B3">
        <w:rPr>
          <w:rFonts w:asciiTheme="minorHAnsi" w:hAnsiTheme="minorHAnsi" w:cstheme="minorHAnsi"/>
          <w:color w:val="242121"/>
          <w:sz w:val="26"/>
          <w:szCs w:val="26"/>
          <w:shd w:val="clear" w:color="auto" w:fill="FFFFFF"/>
        </w:rPr>
        <w:t xml:space="preserve">Only those </w:t>
      </w:r>
      <w:r w:rsidR="00DF6D94" w:rsidRPr="002655B3">
        <w:rPr>
          <w:rFonts w:asciiTheme="minorHAnsi" w:hAnsiTheme="minorHAnsi" w:cstheme="minorHAnsi"/>
          <w:color w:val="242121"/>
          <w:sz w:val="26"/>
          <w:szCs w:val="26"/>
          <w:shd w:val="clear" w:color="auto" w:fill="FFFFFF"/>
        </w:rPr>
        <w:t xml:space="preserve">ultimately </w:t>
      </w:r>
      <w:r w:rsidR="00EC54F0" w:rsidRPr="002655B3">
        <w:rPr>
          <w:rFonts w:asciiTheme="minorHAnsi" w:hAnsiTheme="minorHAnsi" w:cstheme="minorHAnsi"/>
          <w:color w:val="242121"/>
          <w:sz w:val="26"/>
          <w:szCs w:val="26"/>
          <w:shd w:val="clear" w:color="auto" w:fill="FFFFFF"/>
        </w:rPr>
        <w:t>pursued at the hearing of the matter need be mentioned. These include:</w:t>
      </w:r>
    </w:p>
    <w:p w:rsidR="00AC60FC" w:rsidRPr="002655B3" w:rsidRDefault="002655B3" w:rsidP="002655B3">
      <w:pPr>
        <w:spacing w:after="200" w:line="360" w:lineRule="auto"/>
        <w:ind w:left="1702" w:hanging="851"/>
        <w:jc w:val="both"/>
        <w:rPr>
          <w:rFonts w:asciiTheme="minorHAnsi" w:hAnsiTheme="minorHAnsi" w:cstheme="minorHAnsi"/>
          <w:color w:val="242121"/>
          <w:sz w:val="26"/>
          <w:szCs w:val="26"/>
          <w:shd w:val="clear" w:color="auto" w:fill="FFFFFF"/>
        </w:rPr>
      </w:pPr>
      <w:r>
        <w:rPr>
          <w:rFonts w:asciiTheme="minorHAnsi" w:hAnsiTheme="minorHAnsi"/>
          <w:color w:val="242121"/>
          <w:sz w:val="24"/>
          <w:szCs w:val="24"/>
        </w:rPr>
        <w:t>7.1.</w:t>
      </w:r>
      <w:r>
        <w:rPr>
          <w:rFonts w:asciiTheme="minorHAnsi" w:hAnsiTheme="minorHAnsi"/>
          <w:color w:val="242121"/>
          <w:sz w:val="24"/>
          <w:szCs w:val="24"/>
        </w:rPr>
        <w:tab/>
      </w:r>
      <w:r w:rsidR="006570B2" w:rsidRPr="002655B3">
        <w:rPr>
          <w:rFonts w:asciiTheme="minorHAnsi" w:hAnsiTheme="minorHAnsi" w:cstheme="minorHAnsi"/>
          <w:color w:val="242121"/>
          <w:sz w:val="26"/>
          <w:szCs w:val="26"/>
          <w:shd w:val="clear" w:color="auto" w:fill="FFFFFF"/>
        </w:rPr>
        <w:t>that the affidavit filed by the plaintiff does not comply with the provisions of rule 32(2)(b) in that the deponent has failed to verify the cause of action or to identify the point of law relied on;</w:t>
      </w:r>
    </w:p>
    <w:p w:rsidR="006570B2" w:rsidRPr="002655B3" w:rsidRDefault="002655B3" w:rsidP="002655B3">
      <w:pPr>
        <w:spacing w:after="200" w:line="360" w:lineRule="auto"/>
        <w:ind w:left="1702" w:hanging="851"/>
        <w:jc w:val="both"/>
        <w:rPr>
          <w:rFonts w:asciiTheme="minorHAnsi" w:hAnsiTheme="minorHAnsi" w:cstheme="minorHAnsi"/>
          <w:color w:val="242121"/>
          <w:sz w:val="26"/>
          <w:szCs w:val="26"/>
          <w:shd w:val="clear" w:color="auto" w:fill="FFFFFF"/>
        </w:rPr>
      </w:pPr>
      <w:r>
        <w:rPr>
          <w:rFonts w:asciiTheme="minorHAnsi" w:hAnsiTheme="minorHAnsi"/>
          <w:color w:val="242121"/>
          <w:sz w:val="24"/>
          <w:szCs w:val="24"/>
        </w:rPr>
        <w:t>7.2.</w:t>
      </w:r>
      <w:r>
        <w:rPr>
          <w:rFonts w:asciiTheme="minorHAnsi" w:hAnsiTheme="minorHAnsi"/>
          <w:color w:val="242121"/>
          <w:sz w:val="24"/>
          <w:szCs w:val="24"/>
        </w:rPr>
        <w:tab/>
      </w:r>
      <w:r w:rsidR="006570B2" w:rsidRPr="002655B3">
        <w:rPr>
          <w:rFonts w:asciiTheme="minorHAnsi" w:hAnsiTheme="minorHAnsi" w:cstheme="minorHAnsi"/>
          <w:color w:val="242121"/>
          <w:sz w:val="26"/>
          <w:szCs w:val="26"/>
          <w:shd w:val="clear" w:color="auto" w:fill="FFFFFF"/>
        </w:rPr>
        <w:t xml:space="preserve">that the plaintiff failed to </w:t>
      </w:r>
      <w:r w:rsidR="00631141" w:rsidRPr="002655B3">
        <w:rPr>
          <w:rFonts w:asciiTheme="minorHAnsi" w:hAnsiTheme="minorHAnsi" w:cstheme="minorHAnsi"/>
          <w:color w:val="242121"/>
          <w:sz w:val="26"/>
          <w:szCs w:val="26"/>
          <w:shd w:val="clear" w:color="auto" w:fill="FFFFFF"/>
        </w:rPr>
        <w:t xml:space="preserve">provide </w:t>
      </w:r>
      <w:r w:rsidR="006570B2" w:rsidRPr="002655B3">
        <w:rPr>
          <w:rFonts w:asciiTheme="minorHAnsi" w:hAnsiTheme="minorHAnsi" w:cstheme="minorHAnsi"/>
          <w:color w:val="242121"/>
          <w:sz w:val="26"/>
          <w:szCs w:val="26"/>
          <w:shd w:val="clear" w:color="auto" w:fill="FFFFFF"/>
        </w:rPr>
        <w:t xml:space="preserve">a certificate </w:t>
      </w:r>
      <w:r w:rsidR="00891C81" w:rsidRPr="002655B3">
        <w:rPr>
          <w:rFonts w:asciiTheme="minorHAnsi" w:hAnsiTheme="minorHAnsi" w:cstheme="minorHAnsi"/>
          <w:color w:val="242121"/>
          <w:sz w:val="26"/>
          <w:szCs w:val="26"/>
          <w:shd w:val="clear" w:color="auto" w:fill="FFFFFF"/>
        </w:rPr>
        <w:t xml:space="preserve">that </w:t>
      </w:r>
      <w:r w:rsidR="00631141" w:rsidRPr="002655B3">
        <w:rPr>
          <w:rFonts w:asciiTheme="minorHAnsi" w:hAnsiTheme="minorHAnsi" w:cstheme="minorHAnsi"/>
          <w:color w:val="242121"/>
          <w:sz w:val="26"/>
          <w:szCs w:val="26"/>
          <w:shd w:val="clear" w:color="auto" w:fill="FFFFFF"/>
        </w:rPr>
        <w:t xml:space="preserve">evinces </w:t>
      </w:r>
      <w:r w:rsidR="006570B2" w:rsidRPr="002655B3">
        <w:rPr>
          <w:rFonts w:asciiTheme="minorHAnsi" w:hAnsiTheme="minorHAnsi" w:cstheme="minorHAnsi"/>
          <w:color w:val="242121"/>
          <w:sz w:val="26"/>
          <w:szCs w:val="26"/>
          <w:shd w:val="clear" w:color="auto" w:fill="FFFFFF"/>
        </w:rPr>
        <w:t>that it is registered as a credit provider in terms of s 40 of the NCA;</w:t>
      </w:r>
    </w:p>
    <w:p w:rsidR="006570B2" w:rsidRPr="002655B3" w:rsidRDefault="002655B3" w:rsidP="002655B3">
      <w:pPr>
        <w:spacing w:after="200" w:line="360" w:lineRule="auto"/>
        <w:ind w:left="1702" w:hanging="851"/>
        <w:jc w:val="both"/>
        <w:rPr>
          <w:rFonts w:asciiTheme="minorHAnsi" w:hAnsiTheme="minorHAnsi" w:cstheme="minorHAnsi"/>
          <w:color w:val="242121"/>
          <w:sz w:val="26"/>
          <w:szCs w:val="26"/>
          <w:shd w:val="clear" w:color="auto" w:fill="FFFFFF"/>
        </w:rPr>
      </w:pPr>
      <w:r>
        <w:rPr>
          <w:rFonts w:asciiTheme="minorHAnsi" w:hAnsiTheme="minorHAnsi"/>
          <w:color w:val="242121"/>
          <w:sz w:val="24"/>
          <w:szCs w:val="24"/>
        </w:rPr>
        <w:t>7.3.</w:t>
      </w:r>
      <w:r>
        <w:rPr>
          <w:rFonts w:asciiTheme="minorHAnsi" w:hAnsiTheme="minorHAnsi"/>
          <w:color w:val="242121"/>
          <w:sz w:val="24"/>
          <w:szCs w:val="24"/>
        </w:rPr>
        <w:tab/>
      </w:r>
      <w:r w:rsidR="006570B2" w:rsidRPr="002655B3">
        <w:rPr>
          <w:rFonts w:asciiTheme="minorHAnsi" w:hAnsiTheme="minorHAnsi" w:cstheme="minorHAnsi"/>
          <w:color w:val="242121"/>
          <w:sz w:val="26"/>
          <w:szCs w:val="26"/>
          <w:shd w:val="clear" w:color="auto" w:fill="FFFFFF"/>
        </w:rPr>
        <w:t>that the plaintiff applied for summary judgment at a time when a binding settlement</w:t>
      </w:r>
      <w:r w:rsidR="00916C8A" w:rsidRPr="002655B3">
        <w:rPr>
          <w:rFonts w:asciiTheme="minorHAnsi" w:hAnsiTheme="minorHAnsi" w:cstheme="minorHAnsi"/>
          <w:color w:val="242121"/>
          <w:sz w:val="26"/>
          <w:szCs w:val="26"/>
          <w:shd w:val="clear" w:color="auto" w:fill="FFFFFF"/>
        </w:rPr>
        <w:t xml:space="preserve"> or payment arrangement</w:t>
      </w:r>
      <w:r w:rsidR="006570B2" w:rsidRPr="002655B3">
        <w:rPr>
          <w:rFonts w:asciiTheme="minorHAnsi" w:hAnsiTheme="minorHAnsi" w:cstheme="minorHAnsi"/>
          <w:color w:val="242121"/>
          <w:sz w:val="26"/>
          <w:szCs w:val="26"/>
          <w:shd w:val="clear" w:color="auto" w:fill="FFFFFF"/>
        </w:rPr>
        <w:t xml:space="preserve"> was in force and being complied with by the defendants</w:t>
      </w:r>
      <w:r w:rsidR="00891C81" w:rsidRPr="002655B3">
        <w:rPr>
          <w:rFonts w:asciiTheme="minorHAnsi" w:hAnsiTheme="minorHAnsi" w:cstheme="minorHAnsi"/>
          <w:color w:val="242121"/>
          <w:sz w:val="26"/>
          <w:szCs w:val="26"/>
          <w:shd w:val="clear" w:color="auto" w:fill="FFFFFF"/>
        </w:rPr>
        <w:t xml:space="preserve"> and pursued its application notwithstanding first defendant’s payment of the arrears</w:t>
      </w:r>
      <w:r w:rsidR="006570B2" w:rsidRPr="002655B3">
        <w:rPr>
          <w:rFonts w:asciiTheme="minorHAnsi" w:hAnsiTheme="minorHAnsi" w:cstheme="minorHAnsi"/>
          <w:color w:val="242121"/>
          <w:sz w:val="26"/>
          <w:szCs w:val="26"/>
          <w:shd w:val="clear" w:color="auto" w:fill="FFFFFF"/>
        </w:rPr>
        <w:t>;</w:t>
      </w:r>
      <w:r w:rsidR="00EC54F0" w:rsidRPr="002655B3">
        <w:rPr>
          <w:rFonts w:asciiTheme="minorHAnsi" w:hAnsiTheme="minorHAnsi" w:cstheme="minorHAnsi"/>
          <w:color w:val="242121"/>
          <w:sz w:val="26"/>
          <w:szCs w:val="26"/>
          <w:shd w:val="clear" w:color="auto" w:fill="FFFFFF"/>
        </w:rPr>
        <w:t xml:space="preserve"> </w:t>
      </w:r>
    </w:p>
    <w:p w:rsidR="00EC54F0" w:rsidRPr="002655B3" w:rsidRDefault="002655B3" w:rsidP="002655B3">
      <w:pPr>
        <w:spacing w:after="200" w:line="360" w:lineRule="auto"/>
        <w:ind w:left="1702" w:hanging="851"/>
        <w:jc w:val="both"/>
        <w:rPr>
          <w:rFonts w:asciiTheme="minorHAnsi" w:hAnsiTheme="minorHAnsi" w:cstheme="minorHAnsi"/>
          <w:color w:val="242121"/>
          <w:sz w:val="26"/>
          <w:szCs w:val="26"/>
          <w:shd w:val="clear" w:color="auto" w:fill="FFFFFF"/>
        </w:rPr>
      </w:pPr>
      <w:r>
        <w:rPr>
          <w:rFonts w:asciiTheme="minorHAnsi" w:hAnsiTheme="minorHAnsi"/>
          <w:color w:val="242121"/>
          <w:sz w:val="24"/>
          <w:szCs w:val="24"/>
        </w:rPr>
        <w:t>7.4.</w:t>
      </w:r>
      <w:r>
        <w:rPr>
          <w:rFonts w:asciiTheme="minorHAnsi" w:hAnsiTheme="minorHAnsi"/>
          <w:color w:val="242121"/>
          <w:sz w:val="24"/>
          <w:szCs w:val="24"/>
        </w:rPr>
        <w:tab/>
      </w:r>
      <w:r w:rsidR="00EC54F0" w:rsidRPr="002655B3">
        <w:rPr>
          <w:rFonts w:asciiTheme="minorHAnsi" w:hAnsiTheme="minorHAnsi" w:cstheme="minorHAnsi"/>
          <w:color w:val="242121"/>
          <w:sz w:val="26"/>
          <w:szCs w:val="26"/>
          <w:shd w:val="clear" w:color="auto" w:fill="FFFFFF"/>
        </w:rPr>
        <w:t>that the plaintiff has failed to comply with the provisions of s 129 of the NCA</w:t>
      </w:r>
      <w:r w:rsidR="00BA6C7A" w:rsidRPr="002655B3">
        <w:rPr>
          <w:rFonts w:asciiTheme="minorHAnsi" w:hAnsiTheme="minorHAnsi" w:cstheme="minorHAnsi"/>
          <w:color w:val="242121"/>
          <w:sz w:val="26"/>
          <w:szCs w:val="26"/>
          <w:shd w:val="clear" w:color="auto" w:fill="FFFFFF"/>
        </w:rPr>
        <w:t>; and</w:t>
      </w:r>
    </w:p>
    <w:p w:rsidR="00BA6C7A" w:rsidRPr="002655B3" w:rsidRDefault="002655B3" w:rsidP="002655B3">
      <w:pPr>
        <w:spacing w:after="200" w:line="360" w:lineRule="auto"/>
        <w:ind w:left="1702" w:hanging="851"/>
        <w:jc w:val="both"/>
        <w:rPr>
          <w:rFonts w:asciiTheme="minorHAnsi" w:hAnsiTheme="minorHAnsi" w:cstheme="minorHAnsi"/>
          <w:color w:val="242121"/>
          <w:sz w:val="26"/>
          <w:szCs w:val="26"/>
          <w:shd w:val="clear" w:color="auto" w:fill="FFFFFF"/>
        </w:rPr>
      </w:pPr>
      <w:r w:rsidRPr="006570B2">
        <w:rPr>
          <w:rFonts w:asciiTheme="minorHAnsi" w:hAnsiTheme="minorHAnsi"/>
          <w:color w:val="242121"/>
          <w:sz w:val="24"/>
          <w:szCs w:val="24"/>
        </w:rPr>
        <w:t>7.5.</w:t>
      </w:r>
      <w:r w:rsidRPr="006570B2">
        <w:rPr>
          <w:rFonts w:asciiTheme="minorHAnsi" w:hAnsiTheme="minorHAnsi"/>
          <w:color w:val="242121"/>
          <w:sz w:val="24"/>
          <w:szCs w:val="24"/>
        </w:rPr>
        <w:tab/>
      </w:r>
      <w:r w:rsidR="00BA6C7A" w:rsidRPr="002655B3">
        <w:rPr>
          <w:rFonts w:asciiTheme="minorHAnsi" w:hAnsiTheme="minorHAnsi" w:cstheme="minorHAnsi"/>
          <w:color w:val="242121"/>
          <w:sz w:val="26"/>
          <w:szCs w:val="26"/>
          <w:shd w:val="clear" w:color="auto" w:fill="FFFFFF"/>
        </w:rPr>
        <w:t xml:space="preserve">that the deponent to the affidavit filed in support of the application for summary judgment was </w:t>
      </w:r>
      <w:r w:rsidR="00D13CFB" w:rsidRPr="002655B3">
        <w:rPr>
          <w:rFonts w:asciiTheme="minorHAnsi" w:hAnsiTheme="minorHAnsi" w:cstheme="minorHAnsi"/>
          <w:color w:val="242121"/>
          <w:sz w:val="26"/>
          <w:szCs w:val="26"/>
          <w:shd w:val="clear" w:color="auto" w:fill="FFFFFF"/>
        </w:rPr>
        <w:t xml:space="preserve">not </w:t>
      </w:r>
      <w:r w:rsidR="00BA6C7A" w:rsidRPr="002655B3">
        <w:rPr>
          <w:rFonts w:asciiTheme="minorHAnsi" w:hAnsiTheme="minorHAnsi" w:cstheme="minorHAnsi"/>
          <w:color w:val="242121"/>
          <w:sz w:val="26"/>
          <w:szCs w:val="26"/>
          <w:shd w:val="clear" w:color="auto" w:fill="FFFFFF"/>
        </w:rPr>
        <w:t>authorised to depose to the affidavit.</w:t>
      </w:r>
    </w:p>
    <w:p w:rsidR="00AC60FC" w:rsidRPr="00346533" w:rsidRDefault="00AC60FC" w:rsidP="00AC60FC">
      <w:pPr>
        <w:pStyle w:val="ListParagraph"/>
        <w:rPr>
          <w:rFonts w:asciiTheme="minorHAnsi" w:hAnsiTheme="minorHAnsi" w:cstheme="minorHAnsi"/>
          <w:sz w:val="26"/>
          <w:szCs w:val="26"/>
        </w:rPr>
      </w:pPr>
    </w:p>
    <w:p w:rsidR="00AC60FC" w:rsidRPr="002655B3" w:rsidRDefault="002655B3" w:rsidP="002655B3">
      <w:pPr>
        <w:spacing w:after="200" w:line="360" w:lineRule="auto"/>
        <w:ind w:left="851" w:hanging="851"/>
        <w:jc w:val="both"/>
        <w:rPr>
          <w:rFonts w:asciiTheme="minorHAnsi" w:hAnsiTheme="minorHAnsi" w:cstheme="minorHAnsi"/>
          <w:sz w:val="26"/>
          <w:szCs w:val="26"/>
        </w:rPr>
      </w:pPr>
      <w:r w:rsidRPr="00C336F0">
        <w:rPr>
          <w:rFonts w:asciiTheme="minorHAnsi" w:hAnsiTheme="minorHAnsi"/>
          <w:sz w:val="24"/>
          <w:szCs w:val="24"/>
        </w:rPr>
        <w:t>8.</w:t>
      </w:r>
      <w:r w:rsidRPr="00C336F0">
        <w:rPr>
          <w:rFonts w:asciiTheme="minorHAnsi" w:hAnsiTheme="minorHAnsi"/>
          <w:sz w:val="24"/>
          <w:szCs w:val="24"/>
        </w:rPr>
        <w:tab/>
      </w:r>
      <w:r w:rsidR="00EC54F0" w:rsidRPr="002655B3">
        <w:rPr>
          <w:rFonts w:asciiTheme="minorHAnsi" w:hAnsiTheme="minorHAnsi" w:cstheme="minorHAnsi"/>
          <w:sz w:val="26"/>
          <w:szCs w:val="26"/>
        </w:rPr>
        <w:t>As regards the merits of the plaintiff’s claim,</w:t>
      </w:r>
      <w:r w:rsidR="001F7993" w:rsidRPr="002655B3">
        <w:rPr>
          <w:rFonts w:asciiTheme="minorHAnsi" w:hAnsiTheme="minorHAnsi" w:cstheme="minorHAnsi"/>
          <w:sz w:val="26"/>
          <w:szCs w:val="26"/>
        </w:rPr>
        <w:t xml:space="preserve"> the plea filed by the defendant is, save in the respects identified below, tantamount to a bare denial of the averments made in the particulars of claim. The defendants </w:t>
      </w:r>
      <w:r w:rsidR="00BE66E0" w:rsidRPr="002655B3">
        <w:rPr>
          <w:rFonts w:asciiTheme="minorHAnsi" w:hAnsiTheme="minorHAnsi" w:cstheme="minorHAnsi"/>
          <w:sz w:val="26"/>
          <w:szCs w:val="26"/>
        </w:rPr>
        <w:t>plead that they ‘</w:t>
      </w:r>
      <w:r w:rsidR="001F7993" w:rsidRPr="002655B3">
        <w:rPr>
          <w:rFonts w:asciiTheme="minorHAnsi" w:hAnsiTheme="minorHAnsi" w:cstheme="minorHAnsi"/>
          <w:sz w:val="26"/>
          <w:szCs w:val="26"/>
        </w:rPr>
        <w:t>do not admit</w:t>
      </w:r>
      <w:r w:rsidR="00BE66E0" w:rsidRPr="002655B3">
        <w:rPr>
          <w:rFonts w:asciiTheme="minorHAnsi" w:hAnsiTheme="minorHAnsi" w:cstheme="minorHAnsi"/>
          <w:sz w:val="26"/>
          <w:szCs w:val="26"/>
        </w:rPr>
        <w:t>’</w:t>
      </w:r>
      <w:r w:rsidR="001F7993" w:rsidRPr="002655B3">
        <w:rPr>
          <w:rFonts w:asciiTheme="minorHAnsi" w:hAnsiTheme="minorHAnsi" w:cstheme="minorHAnsi"/>
          <w:sz w:val="26"/>
          <w:szCs w:val="26"/>
        </w:rPr>
        <w:t xml:space="preserve"> </w:t>
      </w:r>
      <w:r w:rsidR="00891C81" w:rsidRPr="002655B3">
        <w:rPr>
          <w:rFonts w:asciiTheme="minorHAnsi" w:hAnsiTheme="minorHAnsi" w:cstheme="minorHAnsi"/>
          <w:sz w:val="26"/>
          <w:szCs w:val="26"/>
        </w:rPr>
        <w:t xml:space="preserve">the citation of the plaintiff, which includes the allegation in paragraph 1.2 of the particulars of claim, namely, </w:t>
      </w:r>
      <w:r w:rsidR="001F7993" w:rsidRPr="002655B3">
        <w:rPr>
          <w:rFonts w:asciiTheme="minorHAnsi" w:hAnsiTheme="minorHAnsi" w:cstheme="minorHAnsi"/>
          <w:sz w:val="26"/>
          <w:szCs w:val="26"/>
        </w:rPr>
        <w:t>that the plaintiff is a registered credit provider</w:t>
      </w:r>
      <w:r w:rsidR="00891C81" w:rsidRPr="002655B3">
        <w:rPr>
          <w:rFonts w:asciiTheme="minorHAnsi" w:hAnsiTheme="minorHAnsi" w:cstheme="minorHAnsi"/>
          <w:sz w:val="26"/>
          <w:szCs w:val="26"/>
        </w:rPr>
        <w:t>.</w:t>
      </w:r>
      <w:r w:rsidR="004B071A" w:rsidRPr="002655B3">
        <w:rPr>
          <w:rFonts w:asciiTheme="minorHAnsi" w:hAnsiTheme="minorHAnsi" w:cstheme="minorHAnsi"/>
          <w:sz w:val="26"/>
          <w:szCs w:val="26"/>
        </w:rPr>
        <w:t xml:space="preserve"> </w:t>
      </w:r>
      <w:r w:rsidR="001F7993" w:rsidRPr="002655B3">
        <w:rPr>
          <w:rFonts w:asciiTheme="minorHAnsi" w:hAnsiTheme="minorHAnsi" w:cstheme="minorHAnsi"/>
          <w:sz w:val="26"/>
          <w:szCs w:val="26"/>
        </w:rPr>
        <w:t xml:space="preserve">As regards the conclusion of the credit agreement, the defendants do not deny that the first defendant represented by the </w:t>
      </w:r>
      <w:r w:rsidR="001F7993" w:rsidRPr="002655B3">
        <w:rPr>
          <w:rFonts w:asciiTheme="minorHAnsi" w:hAnsiTheme="minorHAnsi" w:cstheme="minorHAnsi"/>
          <w:sz w:val="26"/>
          <w:szCs w:val="26"/>
        </w:rPr>
        <w:lastRenderedPageBreak/>
        <w:t>second defendant concluded the credit agreement</w:t>
      </w:r>
      <w:r w:rsidR="00AF5FB3" w:rsidRPr="002655B3">
        <w:rPr>
          <w:rFonts w:asciiTheme="minorHAnsi" w:hAnsiTheme="minorHAnsi" w:cstheme="minorHAnsi"/>
          <w:sz w:val="26"/>
          <w:szCs w:val="26"/>
        </w:rPr>
        <w:t xml:space="preserve"> in question</w:t>
      </w:r>
      <w:r w:rsidR="000D508A" w:rsidRPr="002655B3">
        <w:rPr>
          <w:rFonts w:asciiTheme="minorHAnsi" w:hAnsiTheme="minorHAnsi" w:cstheme="minorHAnsi"/>
          <w:sz w:val="26"/>
          <w:szCs w:val="26"/>
        </w:rPr>
        <w:t>.</w:t>
      </w:r>
      <w:r w:rsidR="001F7993" w:rsidRPr="002655B3">
        <w:rPr>
          <w:rFonts w:asciiTheme="minorHAnsi" w:hAnsiTheme="minorHAnsi" w:cstheme="minorHAnsi"/>
          <w:sz w:val="26"/>
          <w:szCs w:val="26"/>
        </w:rPr>
        <w:t xml:space="preserve"> They deny only that the plaintiff was represented by a duly authorised employee </w:t>
      </w:r>
      <w:r w:rsidR="000D508A" w:rsidRPr="002655B3">
        <w:rPr>
          <w:rFonts w:asciiTheme="minorHAnsi" w:hAnsiTheme="minorHAnsi" w:cstheme="minorHAnsi"/>
          <w:sz w:val="26"/>
          <w:szCs w:val="26"/>
        </w:rPr>
        <w:t xml:space="preserve">in </w:t>
      </w:r>
      <w:r w:rsidR="00BE66E0" w:rsidRPr="002655B3">
        <w:rPr>
          <w:rFonts w:asciiTheme="minorHAnsi" w:hAnsiTheme="minorHAnsi" w:cstheme="minorHAnsi"/>
          <w:sz w:val="26"/>
          <w:szCs w:val="26"/>
        </w:rPr>
        <w:t>concluding the agreement</w:t>
      </w:r>
      <w:r w:rsidR="000D508A" w:rsidRPr="002655B3">
        <w:rPr>
          <w:rFonts w:asciiTheme="minorHAnsi" w:hAnsiTheme="minorHAnsi" w:cstheme="minorHAnsi"/>
          <w:sz w:val="26"/>
          <w:szCs w:val="26"/>
        </w:rPr>
        <w:t xml:space="preserve">. </w:t>
      </w:r>
      <w:r w:rsidR="00BE66E0" w:rsidRPr="002655B3">
        <w:rPr>
          <w:rFonts w:asciiTheme="minorHAnsi" w:hAnsiTheme="minorHAnsi" w:cstheme="minorHAnsi"/>
          <w:sz w:val="26"/>
          <w:szCs w:val="26"/>
        </w:rPr>
        <w:t>They also do not deny that the vehicle was delivered</w:t>
      </w:r>
      <w:r w:rsidR="00916C8A" w:rsidRPr="002655B3">
        <w:rPr>
          <w:rFonts w:asciiTheme="minorHAnsi" w:hAnsiTheme="minorHAnsi" w:cstheme="minorHAnsi"/>
          <w:sz w:val="26"/>
          <w:szCs w:val="26"/>
        </w:rPr>
        <w:t xml:space="preserve"> to the first defendant</w:t>
      </w:r>
      <w:r w:rsidR="00BE66E0" w:rsidRPr="002655B3">
        <w:rPr>
          <w:rFonts w:asciiTheme="minorHAnsi" w:hAnsiTheme="minorHAnsi" w:cstheme="minorHAnsi"/>
          <w:sz w:val="26"/>
          <w:szCs w:val="26"/>
        </w:rPr>
        <w:t xml:space="preserve">, only that </w:t>
      </w:r>
      <w:r w:rsidR="00DF6D94" w:rsidRPr="002655B3">
        <w:rPr>
          <w:rFonts w:asciiTheme="minorHAnsi" w:hAnsiTheme="minorHAnsi" w:cstheme="minorHAnsi"/>
          <w:sz w:val="26"/>
          <w:szCs w:val="26"/>
        </w:rPr>
        <w:t xml:space="preserve">it was </w:t>
      </w:r>
      <w:r w:rsidR="00BE66E0" w:rsidRPr="002655B3">
        <w:rPr>
          <w:rFonts w:asciiTheme="minorHAnsi" w:hAnsiTheme="minorHAnsi" w:cstheme="minorHAnsi"/>
          <w:sz w:val="26"/>
          <w:szCs w:val="26"/>
        </w:rPr>
        <w:t xml:space="preserve">the </w:t>
      </w:r>
      <w:r w:rsidR="00BE66E0" w:rsidRPr="002655B3">
        <w:rPr>
          <w:rFonts w:asciiTheme="minorHAnsi" w:hAnsiTheme="minorHAnsi" w:cstheme="minorHAnsi"/>
          <w:i/>
          <w:sz w:val="26"/>
          <w:szCs w:val="26"/>
        </w:rPr>
        <w:t>plaintiff</w:t>
      </w:r>
      <w:r w:rsidR="00BE66E0" w:rsidRPr="002655B3">
        <w:rPr>
          <w:rFonts w:asciiTheme="minorHAnsi" w:hAnsiTheme="minorHAnsi" w:cstheme="minorHAnsi"/>
          <w:sz w:val="26"/>
          <w:szCs w:val="26"/>
        </w:rPr>
        <w:t xml:space="preserve"> </w:t>
      </w:r>
      <w:r w:rsidR="00916C8A" w:rsidRPr="002655B3">
        <w:rPr>
          <w:rFonts w:asciiTheme="minorHAnsi" w:hAnsiTheme="minorHAnsi" w:cstheme="minorHAnsi"/>
          <w:sz w:val="26"/>
          <w:szCs w:val="26"/>
        </w:rPr>
        <w:t>(</w:t>
      </w:r>
      <w:r w:rsidR="00BE66E0" w:rsidRPr="002655B3">
        <w:rPr>
          <w:rFonts w:asciiTheme="minorHAnsi" w:hAnsiTheme="minorHAnsi" w:cstheme="minorHAnsi"/>
          <w:sz w:val="26"/>
          <w:szCs w:val="26"/>
        </w:rPr>
        <w:t>bank</w:t>
      </w:r>
      <w:r w:rsidR="00916C8A" w:rsidRPr="002655B3">
        <w:rPr>
          <w:rFonts w:asciiTheme="minorHAnsi" w:hAnsiTheme="minorHAnsi" w:cstheme="minorHAnsi"/>
          <w:sz w:val="26"/>
          <w:szCs w:val="26"/>
        </w:rPr>
        <w:t>)</w:t>
      </w:r>
      <w:r w:rsidR="00BE66E0" w:rsidRPr="002655B3">
        <w:rPr>
          <w:rFonts w:asciiTheme="minorHAnsi" w:hAnsiTheme="minorHAnsi" w:cstheme="minorHAnsi"/>
          <w:sz w:val="26"/>
          <w:szCs w:val="26"/>
        </w:rPr>
        <w:t xml:space="preserve"> </w:t>
      </w:r>
      <w:r w:rsidR="00DF6D94" w:rsidRPr="002655B3">
        <w:rPr>
          <w:rFonts w:asciiTheme="minorHAnsi" w:hAnsiTheme="minorHAnsi" w:cstheme="minorHAnsi"/>
          <w:sz w:val="26"/>
          <w:szCs w:val="26"/>
        </w:rPr>
        <w:t xml:space="preserve">that </w:t>
      </w:r>
      <w:r w:rsidR="00BE66E0" w:rsidRPr="002655B3">
        <w:rPr>
          <w:rFonts w:asciiTheme="minorHAnsi" w:hAnsiTheme="minorHAnsi" w:cstheme="minorHAnsi"/>
          <w:sz w:val="26"/>
          <w:szCs w:val="26"/>
        </w:rPr>
        <w:t>delivered it to the firs</w:t>
      </w:r>
      <w:r w:rsidR="00916C8A" w:rsidRPr="002655B3">
        <w:rPr>
          <w:rFonts w:asciiTheme="minorHAnsi" w:hAnsiTheme="minorHAnsi" w:cstheme="minorHAnsi"/>
          <w:sz w:val="26"/>
          <w:szCs w:val="26"/>
        </w:rPr>
        <w:t xml:space="preserve">t defendant. </w:t>
      </w:r>
      <w:r w:rsidR="000D508A" w:rsidRPr="002655B3">
        <w:rPr>
          <w:rFonts w:asciiTheme="minorHAnsi" w:hAnsiTheme="minorHAnsi" w:cstheme="minorHAnsi"/>
          <w:sz w:val="26"/>
          <w:szCs w:val="26"/>
        </w:rPr>
        <w:t>The defendants aver that the first defendant purchased the vehicle from a motor dealer</w:t>
      </w:r>
      <w:r w:rsidR="00D13CFB" w:rsidRPr="002655B3">
        <w:rPr>
          <w:rFonts w:asciiTheme="minorHAnsi" w:hAnsiTheme="minorHAnsi" w:cstheme="minorHAnsi"/>
          <w:sz w:val="26"/>
          <w:szCs w:val="26"/>
        </w:rPr>
        <w:t>,</w:t>
      </w:r>
      <w:r w:rsidR="000D508A" w:rsidRPr="002655B3">
        <w:rPr>
          <w:rFonts w:asciiTheme="minorHAnsi" w:hAnsiTheme="minorHAnsi" w:cstheme="minorHAnsi"/>
          <w:sz w:val="26"/>
          <w:szCs w:val="26"/>
        </w:rPr>
        <w:t xml:space="preserve"> and not the plaintiff</w:t>
      </w:r>
      <w:r w:rsidR="00AF5FB3" w:rsidRPr="002655B3">
        <w:rPr>
          <w:rFonts w:asciiTheme="minorHAnsi" w:hAnsiTheme="minorHAnsi" w:cstheme="minorHAnsi"/>
          <w:sz w:val="26"/>
          <w:szCs w:val="26"/>
        </w:rPr>
        <w:t>,</w:t>
      </w:r>
      <w:r w:rsidR="000D508A" w:rsidRPr="002655B3">
        <w:rPr>
          <w:rFonts w:asciiTheme="minorHAnsi" w:hAnsiTheme="minorHAnsi" w:cstheme="minorHAnsi"/>
          <w:sz w:val="26"/>
          <w:szCs w:val="26"/>
        </w:rPr>
        <w:t xml:space="preserve"> hence they plead that ‘</w:t>
      </w:r>
      <w:r w:rsidR="000D508A" w:rsidRPr="002655B3">
        <w:rPr>
          <w:rFonts w:asciiTheme="minorHAnsi" w:hAnsiTheme="minorHAnsi" w:cstheme="minorHAnsi"/>
          <w:i/>
          <w:sz w:val="26"/>
          <w:szCs w:val="26"/>
        </w:rPr>
        <w:t>the plaintiff is required to prove the terms of the agreement it allege</w:t>
      </w:r>
      <w:r w:rsidR="00AF5FB3" w:rsidRPr="002655B3">
        <w:rPr>
          <w:rFonts w:asciiTheme="minorHAnsi" w:hAnsiTheme="minorHAnsi" w:cstheme="minorHAnsi"/>
          <w:i/>
          <w:sz w:val="26"/>
          <w:szCs w:val="26"/>
        </w:rPr>
        <w:t>s</w:t>
      </w:r>
      <w:r w:rsidR="000D508A" w:rsidRPr="002655B3">
        <w:rPr>
          <w:rFonts w:asciiTheme="minorHAnsi" w:hAnsiTheme="minorHAnsi" w:cstheme="minorHAnsi"/>
          <w:i/>
          <w:sz w:val="26"/>
          <w:szCs w:val="26"/>
        </w:rPr>
        <w:t xml:space="preserve"> in regard to what the plaintiff states in paragraph 6’</w:t>
      </w:r>
      <w:r w:rsidR="000D508A" w:rsidRPr="002655B3">
        <w:rPr>
          <w:rFonts w:asciiTheme="minorHAnsi" w:hAnsiTheme="minorHAnsi" w:cstheme="minorHAnsi"/>
          <w:sz w:val="26"/>
          <w:szCs w:val="26"/>
        </w:rPr>
        <w:t xml:space="preserve"> of the particulars of claim</w:t>
      </w:r>
      <w:r w:rsidR="00CD57EF" w:rsidRPr="002655B3">
        <w:rPr>
          <w:rFonts w:asciiTheme="minorHAnsi" w:hAnsiTheme="minorHAnsi" w:cstheme="minorHAnsi"/>
          <w:sz w:val="26"/>
          <w:szCs w:val="26"/>
        </w:rPr>
        <w:t>.</w:t>
      </w:r>
      <w:r w:rsidR="00CD57EF">
        <w:rPr>
          <w:rStyle w:val="FootnoteReference"/>
          <w:rFonts w:asciiTheme="minorHAnsi" w:hAnsiTheme="minorHAnsi" w:cstheme="minorHAnsi"/>
          <w:sz w:val="26"/>
          <w:szCs w:val="26"/>
        </w:rPr>
        <w:footnoteReference w:id="8"/>
      </w:r>
      <w:r w:rsidR="00D13CFB" w:rsidRPr="002655B3">
        <w:rPr>
          <w:rFonts w:asciiTheme="minorHAnsi" w:hAnsiTheme="minorHAnsi" w:cstheme="minorHAnsi"/>
          <w:sz w:val="26"/>
          <w:szCs w:val="26"/>
        </w:rPr>
        <w:t xml:space="preserve"> In paragraph 6 of the Particulars of claim, the plaintiff avers that</w:t>
      </w:r>
      <w:r w:rsidR="00AF5FB3" w:rsidRPr="002655B3">
        <w:rPr>
          <w:rFonts w:asciiTheme="minorHAnsi" w:hAnsiTheme="minorHAnsi" w:cstheme="minorHAnsi"/>
          <w:sz w:val="26"/>
          <w:szCs w:val="26"/>
        </w:rPr>
        <w:t xml:space="preserve"> the first defendant purchased </w:t>
      </w:r>
      <w:r w:rsidR="00BE66E0" w:rsidRPr="002655B3">
        <w:rPr>
          <w:rFonts w:asciiTheme="minorHAnsi" w:hAnsiTheme="minorHAnsi" w:cstheme="minorHAnsi"/>
          <w:sz w:val="26"/>
          <w:szCs w:val="26"/>
        </w:rPr>
        <w:t>the</w:t>
      </w:r>
      <w:r w:rsidR="00AF5FB3" w:rsidRPr="002655B3">
        <w:rPr>
          <w:rFonts w:asciiTheme="minorHAnsi" w:hAnsiTheme="minorHAnsi" w:cstheme="minorHAnsi"/>
          <w:sz w:val="26"/>
          <w:szCs w:val="26"/>
        </w:rPr>
        <w:t xml:space="preserve"> vehicle from the plaintiff</w:t>
      </w:r>
      <w:r w:rsidR="00BE66E0" w:rsidRPr="002655B3">
        <w:rPr>
          <w:rFonts w:asciiTheme="minorHAnsi" w:hAnsiTheme="minorHAnsi" w:cstheme="minorHAnsi"/>
          <w:sz w:val="26"/>
          <w:szCs w:val="26"/>
        </w:rPr>
        <w:t xml:space="preserve"> </w:t>
      </w:r>
      <w:r w:rsidR="00D13CFB" w:rsidRPr="002655B3">
        <w:rPr>
          <w:rFonts w:asciiTheme="minorHAnsi" w:hAnsiTheme="minorHAnsi" w:cstheme="minorHAnsi"/>
          <w:sz w:val="26"/>
          <w:szCs w:val="26"/>
        </w:rPr>
        <w:t xml:space="preserve">in terms of the credit agreement. </w:t>
      </w:r>
      <w:r w:rsidR="00BE66E0" w:rsidRPr="002655B3">
        <w:rPr>
          <w:rFonts w:asciiTheme="minorHAnsi" w:hAnsiTheme="minorHAnsi" w:cstheme="minorHAnsi"/>
          <w:sz w:val="26"/>
          <w:szCs w:val="26"/>
        </w:rPr>
        <w:t xml:space="preserve">What remains denied in the plea is, </w:t>
      </w:r>
      <w:r w:rsidR="00BE66E0" w:rsidRPr="002655B3">
        <w:rPr>
          <w:rFonts w:asciiTheme="minorHAnsi" w:hAnsiTheme="minorHAnsi" w:cstheme="minorHAnsi"/>
          <w:i/>
          <w:sz w:val="26"/>
          <w:szCs w:val="26"/>
        </w:rPr>
        <w:t>inter alia</w:t>
      </w:r>
      <w:r w:rsidR="00CD57EF" w:rsidRPr="002655B3">
        <w:rPr>
          <w:rFonts w:asciiTheme="minorHAnsi" w:hAnsiTheme="minorHAnsi" w:cstheme="minorHAnsi"/>
          <w:sz w:val="26"/>
          <w:szCs w:val="26"/>
        </w:rPr>
        <w:t>:</w:t>
      </w:r>
      <w:r w:rsidR="00BE66E0" w:rsidRPr="002655B3">
        <w:rPr>
          <w:rFonts w:asciiTheme="minorHAnsi" w:hAnsiTheme="minorHAnsi" w:cstheme="minorHAnsi"/>
          <w:sz w:val="26"/>
          <w:szCs w:val="26"/>
        </w:rPr>
        <w:t xml:space="preserve"> (i) that the second defendant bound himself as surety and co-principal debtor</w:t>
      </w:r>
      <w:r w:rsidR="00612DA1" w:rsidRPr="002655B3">
        <w:rPr>
          <w:rFonts w:asciiTheme="minorHAnsi" w:hAnsiTheme="minorHAnsi" w:cstheme="minorHAnsi"/>
          <w:sz w:val="26"/>
          <w:szCs w:val="26"/>
        </w:rPr>
        <w:t>,</w:t>
      </w:r>
      <w:r w:rsidR="00BE66E0" w:rsidRPr="002655B3">
        <w:rPr>
          <w:rFonts w:asciiTheme="minorHAnsi" w:hAnsiTheme="minorHAnsi" w:cstheme="minorHAnsi"/>
          <w:sz w:val="26"/>
          <w:szCs w:val="26"/>
        </w:rPr>
        <w:t xml:space="preserve"> and hence </w:t>
      </w:r>
      <w:r w:rsidR="00D13CFB" w:rsidRPr="002655B3">
        <w:rPr>
          <w:rFonts w:asciiTheme="minorHAnsi" w:hAnsiTheme="minorHAnsi" w:cstheme="minorHAnsi"/>
          <w:sz w:val="26"/>
          <w:szCs w:val="26"/>
        </w:rPr>
        <w:t xml:space="preserve">he </w:t>
      </w:r>
      <w:r w:rsidR="00BE66E0" w:rsidRPr="002655B3">
        <w:rPr>
          <w:rFonts w:asciiTheme="minorHAnsi" w:hAnsiTheme="minorHAnsi" w:cstheme="minorHAnsi"/>
          <w:sz w:val="26"/>
          <w:szCs w:val="26"/>
        </w:rPr>
        <w:t xml:space="preserve">denies the </w:t>
      </w:r>
      <w:r w:rsidR="00D13CFB" w:rsidRPr="002655B3">
        <w:rPr>
          <w:rFonts w:asciiTheme="minorHAnsi" w:hAnsiTheme="minorHAnsi" w:cstheme="minorHAnsi"/>
          <w:sz w:val="26"/>
          <w:szCs w:val="26"/>
        </w:rPr>
        <w:t xml:space="preserve">pleaded </w:t>
      </w:r>
      <w:r w:rsidR="00BE66E0" w:rsidRPr="002655B3">
        <w:rPr>
          <w:rFonts w:asciiTheme="minorHAnsi" w:hAnsiTheme="minorHAnsi" w:cstheme="minorHAnsi"/>
          <w:sz w:val="26"/>
          <w:szCs w:val="26"/>
        </w:rPr>
        <w:t xml:space="preserve">terms </w:t>
      </w:r>
      <w:r w:rsidR="00916C8A" w:rsidRPr="002655B3">
        <w:rPr>
          <w:rFonts w:asciiTheme="minorHAnsi" w:hAnsiTheme="minorHAnsi" w:cstheme="minorHAnsi"/>
          <w:sz w:val="26"/>
          <w:szCs w:val="26"/>
        </w:rPr>
        <w:t>of the alleged suretyship</w:t>
      </w:r>
      <w:r w:rsidR="00BE66E0" w:rsidRPr="002655B3">
        <w:rPr>
          <w:rFonts w:asciiTheme="minorHAnsi" w:hAnsiTheme="minorHAnsi" w:cstheme="minorHAnsi"/>
          <w:sz w:val="26"/>
          <w:szCs w:val="26"/>
        </w:rPr>
        <w:t xml:space="preserve">; (ii) that </w:t>
      </w:r>
      <w:r w:rsidR="00D13CFB" w:rsidRPr="002655B3">
        <w:rPr>
          <w:rFonts w:asciiTheme="minorHAnsi" w:hAnsiTheme="minorHAnsi" w:cstheme="minorHAnsi"/>
          <w:sz w:val="26"/>
          <w:szCs w:val="26"/>
        </w:rPr>
        <w:t>either</w:t>
      </w:r>
      <w:r w:rsidR="00BE66E0" w:rsidRPr="002655B3">
        <w:rPr>
          <w:rFonts w:asciiTheme="minorHAnsi" w:hAnsiTheme="minorHAnsi" w:cstheme="minorHAnsi"/>
          <w:sz w:val="26"/>
          <w:szCs w:val="26"/>
        </w:rPr>
        <w:t xml:space="preserve"> defendant received the s 129 notices; (iii) that annexure ‘B’ (copy of the credit agreement) was attached to the particulars of claim;</w:t>
      </w:r>
      <w:r w:rsidR="00916C8A" w:rsidRPr="002655B3">
        <w:rPr>
          <w:rFonts w:asciiTheme="minorHAnsi" w:hAnsiTheme="minorHAnsi" w:cstheme="minorHAnsi"/>
          <w:sz w:val="26"/>
          <w:szCs w:val="26"/>
        </w:rPr>
        <w:t xml:space="preserve"> (iv) that the first defendant breached the terms of the credit agreement; and (v) that the plaintiff complied with the provisions of s 129 of the NCA.</w:t>
      </w:r>
    </w:p>
    <w:p w:rsidR="00AC60FC" w:rsidRPr="00E85CE9" w:rsidRDefault="00AC60FC" w:rsidP="00AC60FC">
      <w:pPr>
        <w:pStyle w:val="ListParagraph"/>
        <w:rPr>
          <w:rFonts w:asciiTheme="minorHAnsi" w:hAnsiTheme="minorHAnsi" w:cstheme="minorHAnsi"/>
          <w:sz w:val="26"/>
          <w:szCs w:val="26"/>
        </w:rPr>
      </w:pPr>
    </w:p>
    <w:p w:rsidR="00AC60FC" w:rsidRPr="002655B3" w:rsidRDefault="002655B3" w:rsidP="002655B3">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9.</w:t>
      </w:r>
      <w:r>
        <w:rPr>
          <w:rFonts w:asciiTheme="minorHAnsi" w:hAnsiTheme="minorHAnsi"/>
          <w:sz w:val="24"/>
          <w:szCs w:val="24"/>
        </w:rPr>
        <w:tab/>
      </w:r>
      <w:r w:rsidR="00916C8A" w:rsidRPr="002655B3">
        <w:rPr>
          <w:rFonts w:asciiTheme="minorHAnsi" w:hAnsiTheme="minorHAnsi" w:cstheme="minorHAnsi"/>
          <w:sz w:val="26"/>
          <w:szCs w:val="26"/>
        </w:rPr>
        <w:t>In the opposing affidavit</w:t>
      </w:r>
      <w:r w:rsidR="00354189" w:rsidRPr="002655B3">
        <w:rPr>
          <w:rFonts w:asciiTheme="minorHAnsi" w:hAnsiTheme="minorHAnsi" w:cstheme="minorHAnsi"/>
          <w:sz w:val="26"/>
          <w:szCs w:val="26"/>
        </w:rPr>
        <w:t xml:space="preserve"> deposed to by the manager of the first defendant (Mr Zita Ibizo Bgwaramba)</w:t>
      </w:r>
      <w:r w:rsidR="00916C8A" w:rsidRPr="002655B3">
        <w:rPr>
          <w:rFonts w:asciiTheme="minorHAnsi" w:hAnsiTheme="minorHAnsi" w:cstheme="minorHAnsi"/>
          <w:sz w:val="26"/>
          <w:szCs w:val="26"/>
        </w:rPr>
        <w:t xml:space="preserve"> </w:t>
      </w:r>
      <w:r w:rsidR="00354189" w:rsidRPr="002655B3">
        <w:rPr>
          <w:rFonts w:asciiTheme="minorHAnsi" w:hAnsiTheme="minorHAnsi" w:cstheme="minorHAnsi"/>
          <w:sz w:val="26"/>
          <w:szCs w:val="26"/>
        </w:rPr>
        <w:t xml:space="preserve">on behalf of the first defendant, </w:t>
      </w:r>
      <w:r w:rsidR="00916C8A" w:rsidRPr="002655B3">
        <w:rPr>
          <w:rFonts w:asciiTheme="minorHAnsi" w:hAnsiTheme="minorHAnsi" w:cstheme="minorHAnsi"/>
          <w:sz w:val="26"/>
          <w:szCs w:val="26"/>
        </w:rPr>
        <w:t xml:space="preserve">the </w:t>
      </w:r>
      <w:r w:rsidR="00354189" w:rsidRPr="002655B3">
        <w:rPr>
          <w:rFonts w:asciiTheme="minorHAnsi" w:hAnsiTheme="minorHAnsi" w:cstheme="minorHAnsi"/>
          <w:sz w:val="26"/>
          <w:szCs w:val="26"/>
        </w:rPr>
        <w:t xml:space="preserve">first </w:t>
      </w:r>
      <w:r w:rsidR="00916C8A" w:rsidRPr="002655B3">
        <w:rPr>
          <w:rFonts w:asciiTheme="minorHAnsi" w:hAnsiTheme="minorHAnsi" w:cstheme="minorHAnsi"/>
          <w:sz w:val="26"/>
          <w:szCs w:val="26"/>
        </w:rPr>
        <w:t>defendant raise</w:t>
      </w:r>
      <w:r w:rsidR="007364E0" w:rsidRPr="002655B3">
        <w:rPr>
          <w:rFonts w:asciiTheme="minorHAnsi" w:hAnsiTheme="minorHAnsi" w:cstheme="minorHAnsi"/>
          <w:sz w:val="26"/>
          <w:szCs w:val="26"/>
        </w:rPr>
        <w:t>d</w:t>
      </w:r>
      <w:r w:rsidR="00916C8A" w:rsidRPr="002655B3">
        <w:rPr>
          <w:rFonts w:asciiTheme="minorHAnsi" w:hAnsiTheme="minorHAnsi" w:cstheme="minorHAnsi"/>
          <w:sz w:val="26"/>
          <w:szCs w:val="26"/>
        </w:rPr>
        <w:t xml:space="preserve"> </w:t>
      </w:r>
      <w:r w:rsidR="00BA6C7A" w:rsidRPr="002655B3">
        <w:rPr>
          <w:rFonts w:asciiTheme="minorHAnsi" w:hAnsiTheme="minorHAnsi" w:cstheme="minorHAnsi"/>
          <w:sz w:val="26"/>
          <w:szCs w:val="26"/>
        </w:rPr>
        <w:t>only</w:t>
      </w:r>
      <w:r w:rsidR="00916C8A" w:rsidRPr="002655B3">
        <w:rPr>
          <w:rFonts w:asciiTheme="minorHAnsi" w:hAnsiTheme="minorHAnsi" w:cstheme="minorHAnsi"/>
          <w:sz w:val="26"/>
          <w:szCs w:val="26"/>
        </w:rPr>
        <w:t xml:space="preserve"> </w:t>
      </w:r>
      <w:r w:rsidR="004A0862" w:rsidRPr="002655B3">
        <w:rPr>
          <w:rFonts w:asciiTheme="minorHAnsi" w:hAnsiTheme="minorHAnsi" w:cstheme="minorHAnsi"/>
          <w:sz w:val="26"/>
          <w:szCs w:val="26"/>
        </w:rPr>
        <w:t xml:space="preserve">certain </w:t>
      </w:r>
      <w:r w:rsidR="00916C8A" w:rsidRPr="002655B3">
        <w:rPr>
          <w:rFonts w:asciiTheme="minorHAnsi" w:hAnsiTheme="minorHAnsi" w:cstheme="minorHAnsi"/>
          <w:sz w:val="26"/>
          <w:szCs w:val="26"/>
        </w:rPr>
        <w:t xml:space="preserve">points </w:t>
      </w:r>
      <w:r w:rsidR="00916C8A" w:rsidRPr="002655B3">
        <w:rPr>
          <w:rFonts w:asciiTheme="minorHAnsi" w:hAnsiTheme="minorHAnsi" w:cstheme="minorHAnsi"/>
          <w:i/>
          <w:sz w:val="26"/>
          <w:szCs w:val="26"/>
        </w:rPr>
        <w:t>in limine</w:t>
      </w:r>
      <w:r w:rsidR="00BA6C7A" w:rsidRPr="002655B3">
        <w:rPr>
          <w:rFonts w:asciiTheme="minorHAnsi" w:hAnsiTheme="minorHAnsi" w:cstheme="minorHAnsi"/>
          <w:sz w:val="26"/>
          <w:szCs w:val="26"/>
        </w:rPr>
        <w:t xml:space="preserve"> </w:t>
      </w:r>
      <w:r w:rsidR="00631141">
        <w:rPr>
          <w:rStyle w:val="FootnoteReference"/>
          <w:rFonts w:asciiTheme="minorHAnsi" w:hAnsiTheme="minorHAnsi" w:cstheme="minorHAnsi"/>
          <w:sz w:val="26"/>
          <w:szCs w:val="26"/>
        </w:rPr>
        <w:footnoteReference w:id="9"/>
      </w:r>
      <w:r w:rsidR="00BA6C7A" w:rsidRPr="002655B3">
        <w:rPr>
          <w:rFonts w:asciiTheme="minorHAnsi" w:hAnsiTheme="minorHAnsi" w:cstheme="minorHAnsi"/>
          <w:sz w:val="26"/>
          <w:szCs w:val="26"/>
        </w:rPr>
        <w:t xml:space="preserve">without </w:t>
      </w:r>
      <w:r w:rsidR="00354189" w:rsidRPr="002655B3">
        <w:rPr>
          <w:rFonts w:asciiTheme="minorHAnsi" w:hAnsiTheme="minorHAnsi" w:cstheme="minorHAnsi"/>
          <w:sz w:val="26"/>
          <w:szCs w:val="26"/>
        </w:rPr>
        <w:t>disclosing</w:t>
      </w:r>
      <w:r w:rsidR="00BA6C7A" w:rsidRPr="002655B3">
        <w:rPr>
          <w:rFonts w:asciiTheme="minorHAnsi" w:hAnsiTheme="minorHAnsi" w:cstheme="minorHAnsi"/>
          <w:sz w:val="26"/>
          <w:szCs w:val="26"/>
        </w:rPr>
        <w:t xml:space="preserve"> the </w:t>
      </w:r>
      <w:r w:rsidR="00354189" w:rsidRPr="002655B3">
        <w:rPr>
          <w:rFonts w:asciiTheme="minorHAnsi" w:hAnsiTheme="minorHAnsi" w:cstheme="minorHAnsi"/>
          <w:sz w:val="26"/>
          <w:szCs w:val="26"/>
        </w:rPr>
        <w:t xml:space="preserve">nature and grounds of its defence to the plaintiff’s claim or the </w:t>
      </w:r>
      <w:r w:rsidR="00BA6C7A" w:rsidRPr="002655B3">
        <w:rPr>
          <w:rFonts w:asciiTheme="minorHAnsi" w:hAnsiTheme="minorHAnsi" w:cstheme="minorHAnsi"/>
          <w:sz w:val="26"/>
          <w:szCs w:val="26"/>
        </w:rPr>
        <w:t xml:space="preserve">material facts </w:t>
      </w:r>
      <w:r w:rsidR="00354189" w:rsidRPr="002655B3">
        <w:rPr>
          <w:rFonts w:asciiTheme="minorHAnsi" w:hAnsiTheme="minorHAnsi" w:cstheme="minorHAnsi"/>
          <w:sz w:val="26"/>
          <w:szCs w:val="26"/>
        </w:rPr>
        <w:t>relied on therefor.</w:t>
      </w:r>
      <w:r w:rsidR="00354189">
        <w:rPr>
          <w:rStyle w:val="FootnoteReference"/>
          <w:rFonts w:asciiTheme="minorHAnsi" w:hAnsiTheme="minorHAnsi" w:cstheme="minorHAnsi"/>
          <w:sz w:val="26"/>
          <w:szCs w:val="26"/>
        </w:rPr>
        <w:footnoteReference w:id="10"/>
      </w:r>
      <w:r w:rsidR="00354189" w:rsidRPr="002655B3">
        <w:rPr>
          <w:rFonts w:asciiTheme="minorHAnsi" w:hAnsiTheme="minorHAnsi" w:cstheme="minorHAnsi"/>
          <w:sz w:val="26"/>
          <w:szCs w:val="26"/>
        </w:rPr>
        <w:t xml:space="preserve"> </w:t>
      </w:r>
      <w:r w:rsidR="007364E0" w:rsidRPr="002655B3">
        <w:rPr>
          <w:rFonts w:asciiTheme="minorHAnsi" w:hAnsiTheme="minorHAnsi" w:cstheme="minorHAnsi"/>
          <w:sz w:val="26"/>
          <w:szCs w:val="26"/>
        </w:rPr>
        <w:lastRenderedPageBreak/>
        <w:t xml:space="preserve">Furthermore, </w:t>
      </w:r>
      <w:r w:rsidR="00354189" w:rsidRPr="002655B3">
        <w:rPr>
          <w:rFonts w:asciiTheme="minorHAnsi" w:hAnsiTheme="minorHAnsi" w:cstheme="minorHAnsi"/>
          <w:sz w:val="26"/>
          <w:szCs w:val="26"/>
        </w:rPr>
        <w:t xml:space="preserve">Mr Bgwaramba </w:t>
      </w:r>
      <w:r w:rsidR="007364E0" w:rsidRPr="002655B3">
        <w:rPr>
          <w:rFonts w:asciiTheme="minorHAnsi" w:hAnsiTheme="minorHAnsi" w:cstheme="minorHAnsi"/>
          <w:sz w:val="26"/>
          <w:szCs w:val="26"/>
        </w:rPr>
        <w:t>did not say anything about whether or not he could</w:t>
      </w:r>
      <w:r w:rsidR="00354189" w:rsidRPr="002655B3">
        <w:rPr>
          <w:rFonts w:asciiTheme="minorHAnsi" w:hAnsiTheme="minorHAnsi" w:cstheme="minorHAnsi"/>
          <w:sz w:val="26"/>
          <w:szCs w:val="26"/>
        </w:rPr>
        <w:t xml:space="preserve"> swear positively the fact that the firs</w:t>
      </w:r>
      <w:r w:rsidR="007364E0" w:rsidRPr="002655B3">
        <w:rPr>
          <w:rFonts w:asciiTheme="minorHAnsi" w:hAnsiTheme="minorHAnsi" w:cstheme="minorHAnsi"/>
          <w:sz w:val="26"/>
          <w:szCs w:val="26"/>
        </w:rPr>
        <w:t xml:space="preserve">t defendant has a </w:t>
      </w:r>
      <w:r w:rsidR="00354189" w:rsidRPr="002655B3">
        <w:rPr>
          <w:rFonts w:asciiTheme="minorHAnsi" w:hAnsiTheme="minorHAnsi" w:cstheme="minorHAnsi"/>
          <w:i/>
          <w:sz w:val="26"/>
          <w:szCs w:val="26"/>
        </w:rPr>
        <w:t>bona fide</w:t>
      </w:r>
      <w:r w:rsidR="00354189" w:rsidRPr="002655B3">
        <w:rPr>
          <w:rFonts w:asciiTheme="minorHAnsi" w:hAnsiTheme="minorHAnsi" w:cstheme="minorHAnsi"/>
          <w:sz w:val="26"/>
          <w:szCs w:val="26"/>
        </w:rPr>
        <w:t xml:space="preserve"> defence to the action. In a separate affidavit headed ‘confirmatory affidavit’, the second defendant, Mr Hove</w:t>
      </w:r>
      <w:r w:rsidR="00AE3EC4" w:rsidRPr="002655B3">
        <w:rPr>
          <w:rFonts w:asciiTheme="minorHAnsi" w:hAnsiTheme="minorHAnsi" w:cstheme="minorHAnsi"/>
          <w:sz w:val="26"/>
          <w:szCs w:val="26"/>
        </w:rPr>
        <w:t>,</w:t>
      </w:r>
      <w:r w:rsidR="00354189" w:rsidRPr="002655B3">
        <w:rPr>
          <w:rFonts w:asciiTheme="minorHAnsi" w:hAnsiTheme="minorHAnsi" w:cstheme="minorHAnsi"/>
          <w:sz w:val="26"/>
          <w:szCs w:val="26"/>
        </w:rPr>
        <w:t xml:space="preserve"> d</w:t>
      </w:r>
      <w:r w:rsidR="007364E0" w:rsidRPr="002655B3">
        <w:rPr>
          <w:rFonts w:asciiTheme="minorHAnsi" w:hAnsiTheme="minorHAnsi" w:cstheme="minorHAnsi"/>
          <w:sz w:val="26"/>
          <w:szCs w:val="26"/>
        </w:rPr>
        <w:t>id</w:t>
      </w:r>
      <w:r w:rsidR="00354189" w:rsidRPr="002655B3">
        <w:rPr>
          <w:rFonts w:asciiTheme="minorHAnsi" w:hAnsiTheme="minorHAnsi" w:cstheme="minorHAnsi"/>
          <w:sz w:val="26"/>
          <w:szCs w:val="26"/>
        </w:rPr>
        <w:t xml:space="preserve"> no more than state that ‘</w:t>
      </w:r>
      <w:r w:rsidR="00354189" w:rsidRPr="002655B3">
        <w:rPr>
          <w:rFonts w:asciiTheme="minorHAnsi" w:hAnsiTheme="minorHAnsi" w:cstheme="minorHAnsi"/>
          <w:i/>
          <w:sz w:val="26"/>
          <w:szCs w:val="26"/>
        </w:rPr>
        <w:t>I have read the affidavit deposed to by Zita Ibizo Bgwarambo</w:t>
      </w:r>
      <w:r w:rsidR="007364E0" w:rsidRPr="002655B3">
        <w:rPr>
          <w:rFonts w:asciiTheme="minorHAnsi" w:hAnsiTheme="minorHAnsi" w:cstheme="minorHAnsi"/>
          <w:i/>
          <w:sz w:val="26"/>
          <w:szCs w:val="26"/>
        </w:rPr>
        <w:t xml:space="preserve"> and oppose the application for summary judgment on the same grounds.’</w:t>
      </w:r>
    </w:p>
    <w:p w:rsidR="00AC60FC" w:rsidRPr="00DA398F" w:rsidRDefault="00AC60FC" w:rsidP="00AC60FC">
      <w:pPr>
        <w:pStyle w:val="ListParagraph"/>
        <w:rPr>
          <w:rFonts w:asciiTheme="minorHAnsi" w:hAnsiTheme="minorHAnsi" w:cstheme="minorHAnsi"/>
          <w:sz w:val="26"/>
          <w:szCs w:val="26"/>
        </w:rPr>
      </w:pPr>
    </w:p>
    <w:p w:rsidR="00AE3EC4" w:rsidRPr="002655B3" w:rsidRDefault="002655B3" w:rsidP="002655B3">
      <w:pPr>
        <w:shd w:val="clear" w:color="auto" w:fill="FFFFFF"/>
        <w:spacing w:before="144" w:after="288" w:line="360" w:lineRule="auto"/>
        <w:ind w:left="851" w:hanging="851"/>
        <w:jc w:val="both"/>
        <w:rPr>
          <w:rFonts w:asciiTheme="minorHAnsi" w:hAnsiTheme="minorHAnsi" w:cstheme="minorHAnsi"/>
          <w:color w:val="242121"/>
          <w:sz w:val="26"/>
          <w:szCs w:val="26"/>
          <w:lang w:val="en-ZA" w:eastAsia="en-ZA"/>
        </w:rPr>
      </w:pPr>
      <w:r w:rsidRPr="00881B04">
        <w:rPr>
          <w:rFonts w:asciiTheme="minorHAnsi" w:hAnsiTheme="minorHAnsi"/>
          <w:color w:val="242121"/>
          <w:sz w:val="24"/>
          <w:szCs w:val="24"/>
          <w:lang w:val="en-ZA" w:eastAsia="en-ZA"/>
        </w:rPr>
        <w:t>10.</w:t>
      </w:r>
      <w:r w:rsidRPr="00881B04">
        <w:rPr>
          <w:rFonts w:asciiTheme="minorHAnsi" w:hAnsiTheme="minorHAnsi"/>
          <w:color w:val="242121"/>
          <w:sz w:val="24"/>
          <w:szCs w:val="24"/>
          <w:lang w:val="en-ZA" w:eastAsia="en-ZA"/>
        </w:rPr>
        <w:tab/>
      </w:r>
      <w:r w:rsidR="00AE3EC4" w:rsidRPr="002655B3">
        <w:rPr>
          <w:rFonts w:asciiTheme="minorHAnsi" w:hAnsiTheme="minorHAnsi" w:cstheme="minorHAnsi"/>
          <w:color w:val="242121"/>
          <w:sz w:val="26"/>
          <w:szCs w:val="26"/>
          <w:lang w:val="en-ZA" w:eastAsia="en-ZA"/>
        </w:rPr>
        <w:t>Nowhere in the defendants</w:t>
      </w:r>
      <w:r w:rsidR="00631141" w:rsidRPr="002655B3">
        <w:rPr>
          <w:rFonts w:asciiTheme="minorHAnsi" w:hAnsiTheme="minorHAnsi" w:cstheme="minorHAnsi"/>
          <w:color w:val="242121"/>
          <w:sz w:val="26"/>
          <w:szCs w:val="26"/>
          <w:lang w:val="en-ZA" w:eastAsia="en-ZA"/>
        </w:rPr>
        <w:t>’</w:t>
      </w:r>
      <w:r w:rsidR="00AE3EC4" w:rsidRPr="002655B3">
        <w:rPr>
          <w:rFonts w:asciiTheme="minorHAnsi" w:hAnsiTheme="minorHAnsi" w:cstheme="minorHAnsi"/>
          <w:color w:val="242121"/>
          <w:sz w:val="26"/>
          <w:szCs w:val="26"/>
          <w:lang w:val="en-ZA" w:eastAsia="en-ZA"/>
        </w:rPr>
        <w:t xml:space="preserve"> opposing affidavit</w:t>
      </w:r>
      <w:r w:rsidR="00631141" w:rsidRPr="002655B3">
        <w:rPr>
          <w:rFonts w:asciiTheme="minorHAnsi" w:hAnsiTheme="minorHAnsi" w:cstheme="minorHAnsi"/>
          <w:color w:val="242121"/>
          <w:sz w:val="26"/>
          <w:szCs w:val="26"/>
          <w:lang w:val="en-ZA" w:eastAsia="en-ZA"/>
        </w:rPr>
        <w:t>s</w:t>
      </w:r>
      <w:r w:rsidR="00AE3EC4" w:rsidRPr="002655B3">
        <w:rPr>
          <w:rFonts w:asciiTheme="minorHAnsi" w:hAnsiTheme="minorHAnsi" w:cstheme="minorHAnsi"/>
          <w:color w:val="242121"/>
          <w:sz w:val="26"/>
          <w:szCs w:val="26"/>
          <w:lang w:val="en-ZA" w:eastAsia="en-ZA"/>
        </w:rPr>
        <w:t xml:space="preserve"> has either of the defendants specifically stated that the first defendant was not in arrears with its monthly instalments. On the contrary, in </w:t>
      </w:r>
      <w:r w:rsidR="00612DA1" w:rsidRPr="002655B3">
        <w:rPr>
          <w:rFonts w:asciiTheme="minorHAnsi" w:hAnsiTheme="minorHAnsi" w:cstheme="minorHAnsi"/>
          <w:color w:val="242121"/>
          <w:sz w:val="26"/>
          <w:szCs w:val="26"/>
          <w:lang w:val="en-ZA" w:eastAsia="en-ZA"/>
        </w:rPr>
        <w:t xml:space="preserve">its opposing affidavit, the deponent states that a </w:t>
      </w:r>
      <w:r w:rsidR="00C86740" w:rsidRPr="002655B3">
        <w:rPr>
          <w:rFonts w:asciiTheme="minorHAnsi" w:hAnsiTheme="minorHAnsi" w:cstheme="minorHAnsi"/>
          <w:color w:val="242121"/>
          <w:sz w:val="26"/>
          <w:szCs w:val="26"/>
          <w:lang w:val="en-ZA" w:eastAsia="en-ZA"/>
        </w:rPr>
        <w:t xml:space="preserve">first </w:t>
      </w:r>
      <w:r w:rsidR="00612DA1" w:rsidRPr="002655B3">
        <w:rPr>
          <w:rFonts w:asciiTheme="minorHAnsi" w:hAnsiTheme="minorHAnsi" w:cstheme="minorHAnsi"/>
          <w:color w:val="242121"/>
          <w:sz w:val="26"/>
          <w:szCs w:val="26"/>
          <w:lang w:val="en-ZA" w:eastAsia="en-ZA"/>
        </w:rPr>
        <w:t xml:space="preserve">payment was made on behalf of the first defendant </w:t>
      </w:r>
      <w:r w:rsidR="00C86740" w:rsidRPr="002655B3">
        <w:rPr>
          <w:rFonts w:asciiTheme="minorHAnsi" w:hAnsiTheme="minorHAnsi" w:cstheme="minorHAnsi"/>
          <w:color w:val="242121"/>
          <w:sz w:val="26"/>
          <w:szCs w:val="26"/>
          <w:lang w:val="en-ZA" w:eastAsia="en-ZA"/>
        </w:rPr>
        <w:t>for purposes of liquidating</w:t>
      </w:r>
      <w:r w:rsidR="00612DA1" w:rsidRPr="002655B3">
        <w:rPr>
          <w:rFonts w:asciiTheme="minorHAnsi" w:hAnsiTheme="minorHAnsi" w:cstheme="minorHAnsi"/>
          <w:color w:val="242121"/>
          <w:sz w:val="26"/>
          <w:szCs w:val="26"/>
          <w:lang w:val="en-ZA" w:eastAsia="en-ZA"/>
        </w:rPr>
        <w:t xml:space="preserve"> the arrears </w:t>
      </w:r>
      <w:r w:rsidR="00C86740" w:rsidRPr="002655B3">
        <w:rPr>
          <w:rFonts w:asciiTheme="minorHAnsi" w:hAnsiTheme="minorHAnsi" w:cstheme="minorHAnsi"/>
          <w:color w:val="242121"/>
          <w:sz w:val="26"/>
          <w:szCs w:val="26"/>
          <w:lang w:val="en-ZA" w:eastAsia="en-ZA"/>
        </w:rPr>
        <w:t>by way of monthly instalments</w:t>
      </w:r>
      <w:r w:rsidR="00CD57EF" w:rsidRPr="002655B3">
        <w:rPr>
          <w:rFonts w:asciiTheme="minorHAnsi" w:hAnsiTheme="minorHAnsi" w:cstheme="minorHAnsi"/>
          <w:color w:val="242121"/>
          <w:sz w:val="26"/>
          <w:szCs w:val="26"/>
          <w:lang w:val="en-ZA" w:eastAsia="en-ZA"/>
        </w:rPr>
        <w:t>,</w:t>
      </w:r>
      <w:r w:rsidR="00C86740" w:rsidRPr="002655B3">
        <w:rPr>
          <w:rFonts w:asciiTheme="minorHAnsi" w:hAnsiTheme="minorHAnsi" w:cstheme="minorHAnsi"/>
          <w:color w:val="242121"/>
          <w:sz w:val="26"/>
          <w:szCs w:val="26"/>
          <w:lang w:val="en-ZA" w:eastAsia="en-ZA"/>
        </w:rPr>
        <w:t xml:space="preserve"> by agreement between the parties</w:t>
      </w:r>
      <w:r w:rsidR="00612DA1" w:rsidRPr="002655B3">
        <w:rPr>
          <w:rFonts w:asciiTheme="minorHAnsi" w:hAnsiTheme="minorHAnsi" w:cstheme="minorHAnsi"/>
          <w:color w:val="242121"/>
          <w:sz w:val="26"/>
          <w:szCs w:val="26"/>
          <w:lang w:val="en-ZA" w:eastAsia="en-ZA"/>
        </w:rPr>
        <w:t xml:space="preserve">. In </w:t>
      </w:r>
      <w:r w:rsidR="00AE3EC4" w:rsidRPr="002655B3">
        <w:rPr>
          <w:rFonts w:asciiTheme="minorHAnsi" w:hAnsiTheme="minorHAnsi" w:cstheme="minorHAnsi"/>
          <w:color w:val="242121"/>
          <w:sz w:val="26"/>
          <w:szCs w:val="26"/>
          <w:lang w:val="en-ZA" w:eastAsia="en-ZA"/>
        </w:rPr>
        <w:t xml:space="preserve">a </w:t>
      </w:r>
      <w:r w:rsidR="00C86740" w:rsidRPr="002655B3">
        <w:rPr>
          <w:rFonts w:asciiTheme="minorHAnsi" w:hAnsiTheme="minorHAnsi" w:cstheme="minorHAnsi"/>
          <w:color w:val="242121"/>
          <w:sz w:val="26"/>
          <w:szCs w:val="26"/>
          <w:lang w:val="en-ZA" w:eastAsia="en-ZA"/>
        </w:rPr>
        <w:t xml:space="preserve">later </w:t>
      </w:r>
      <w:r w:rsidR="00AE3EC4" w:rsidRPr="002655B3">
        <w:rPr>
          <w:rFonts w:asciiTheme="minorHAnsi" w:hAnsiTheme="minorHAnsi" w:cstheme="minorHAnsi"/>
          <w:color w:val="242121"/>
          <w:sz w:val="26"/>
          <w:szCs w:val="26"/>
          <w:lang w:val="en-ZA" w:eastAsia="en-ZA"/>
        </w:rPr>
        <w:t xml:space="preserve">supplementary opposing affidavit deposed to by Mr </w:t>
      </w:r>
      <w:r w:rsidR="00AE3EC4" w:rsidRPr="002655B3">
        <w:rPr>
          <w:rFonts w:asciiTheme="minorHAnsi" w:hAnsiTheme="minorHAnsi" w:cstheme="minorHAnsi"/>
          <w:sz w:val="26"/>
          <w:szCs w:val="26"/>
        </w:rPr>
        <w:t>Bgwaramba</w:t>
      </w:r>
      <w:r w:rsidR="00AE3EC4" w:rsidRPr="002655B3">
        <w:rPr>
          <w:rFonts w:asciiTheme="minorHAnsi" w:hAnsiTheme="minorHAnsi" w:cstheme="minorHAnsi"/>
          <w:color w:val="242121"/>
          <w:sz w:val="26"/>
          <w:szCs w:val="26"/>
          <w:lang w:val="en-ZA" w:eastAsia="en-ZA"/>
        </w:rPr>
        <w:t xml:space="preserve"> on behalf of the first defendant, he stated that he made certain payments to the plaintiff </w:t>
      </w:r>
      <w:r w:rsidR="00881B04" w:rsidRPr="002655B3">
        <w:rPr>
          <w:rFonts w:asciiTheme="minorHAnsi" w:hAnsiTheme="minorHAnsi" w:cstheme="minorHAnsi"/>
          <w:color w:val="242121"/>
          <w:sz w:val="26"/>
          <w:szCs w:val="26"/>
          <w:lang w:val="en-ZA" w:eastAsia="en-ZA"/>
        </w:rPr>
        <w:t>in respect of the arrears</w:t>
      </w:r>
      <w:r w:rsidR="00CD57EF" w:rsidRPr="002655B3">
        <w:rPr>
          <w:rFonts w:asciiTheme="minorHAnsi" w:hAnsiTheme="minorHAnsi" w:cstheme="minorHAnsi"/>
          <w:color w:val="242121"/>
          <w:sz w:val="26"/>
          <w:szCs w:val="26"/>
          <w:lang w:val="en-ZA" w:eastAsia="en-ZA"/>
        </w:rPr>
        <w:t xml:space="preserve"> that remained outstanding</w:t>
      </w:r>
      <w:r w:rsidR="00D503B1" w:rsidRPr="002655B3">
        <w:rPr>
          <w:rFonts w:asciiTheme="minorHAnsi" w:hAnsiTheme="minorHAnsi" w:cstheme="minorHAnsi"/>
          <w:color w:val="242121"/>
          <w:sz w:val="26"/>
          <w:szCs w:val="26"/>
          <w:lang w:val="en-ZA" w:eastAsia="en-ZA"/>
        </w:rPr>
        <w:t>. These payments occurred</w:t>
      </w:r>
      <w:r w:rsidR="00AE3EC4" w:rsidRPr="002655B3">
        <w:rPr>
          <w:rFonts w:asciiTheme="minorHAnsi" w:hAnsiTheme="minorHAnsi" w:cstheme="minorHAnsi"/>
          <w:color w:val="242121"/>
          <w:sz w:val="26"/>
          <w:szCs w:val="26"/>
          <w:lang w:val="en-ZA" w:eastAsia="en-ZA"/>
        </w:rPr>
        <w:t xml:space="preserve"> after </w:t>
      </w:r>
      <w:r w:rsidR="00621DD5" w:rsidRPr="002655B3">
        <w:rPr>
          <w:rFonts w:asciiTheme="minorHAnsi" w:hAnsiTheme="minorHAnsi" w:cstheme="minorHAnsi"/>
          <w:color w:val="242121"/>
          <w:sz w:val="26"/>
          <w:szCs w:val="26"/>
          <w:lang w:val="en-ZA" w:eastAsia="en-ZA"/>
        </w:rPr>
        <w:t>service of the</w:t>
      </w:r>
      <w:r w:rsidR="00AE3EC4" w:rsidRPr="002655B3">
        <w:rPr>
          <w:rFonts w:asciiTheme="minorHAnsi" w:hAnsiTheme="minorHAnsi" w:cstheme="minorHAnsi"/>
          <w:color w:val="242121"/>
          <w:sz w:val="26"/>
          <w:szCs w:val="26"/>
          <w:lang w:val="en-ZA" w:eastAsia="en-ZA"/>
        </w:rPr>
        <w:t xml:space="preserve"> summons</w:t>
      </w:r>
      <w:r w:rsidR="00621DD5" w:rsidRPr="002655B3">
        <w:rPr>
          <w:rFonts w:asciiTheme="minorHAnsi" w:hAnsiTheme="minorHAnsi" w:cstheme="minorHAnsi"/>
          <w:color w:val="242121"/>
          <w:sz w:val="26"/>
          <w:szCs w:val="26"/>
          <w:lang w:val="en-ZA" w:eastAsia="en-ZA"/>
        </w:rPr>
        <w:t>.</w:t>
      </w:r>
      <w:r w:rsidR="00AE3EC4" w:rsidRPr="002655B3">
        <w:rPr>
          <w:rFonts w:asciiTheme="minorHAnsi" w:hAnsiTheme="minorHAnsi" w:cstheme="minorHAnsi"/>
          <w:color w:val="242121"/>
          <w:sz w:val="26"/>
          <w:szCs w:val="26"/>
          <w:lang w:val="en-ZA" w:eastAsia="en-ZA"/>
        </w:rPr>
        <w:t xml:space="preserve"> This would seem to be a clear acknowledgment that </w:t>
      </w:r>
      <w:r w:rsidR="00881B04" w:rsidRPr="002655B3">
        <w:rPr>
          <w:rFonts w:asciiTheme="minorHAnsi" w:hAnsiTheme="minorHAnsi" w:cstheme="minorHAnsi"/>
          <w:color w:val="242121"/>
          <w:sz w:val="26"/>
          <w:szCs w:val="26"/>
          <w:lang w:val="en-ZA" w:eastAsia="en-ZA"/>
        </w:rPr>
        <w:t xml:space="preserve">the first defendant, contrary to what is averred by it in its plea, </w:t>
      </w:r>
      <w:r w:rsidR="00AE3EC4" w:rsidRPr="002655B3">
        <w:rPr>
          <w:rFonts w:asciiTheme="minorHAnsi" w:hAnsiTheme="minorHAnsi" w:cstheme="minorHAnsi"/>
          <w:color w:val="242121"/>
          <w:sz w:val="26"/>
          <w:szCs w:val="26"/>
          <w:lang w:val="en-ZA" w:eastAsia="en-ZA"/>
        </w:rPr>
        <w:t xml:space="preserve">was indeed in arrears with </w:t>
      </w:r>
      <w:r w:rsidR="00881B04" w:rsidRPr="002655B3">
        <w:rPr>
          <w:rFonts w:asciiTheme="minorHAnsi" w:hAnsiTheme="minorHAnsi" w:cstheme="minorHAnsi"/>
          <w:color w:val="242121"/>
          <w:sz w:val="26"/>
          <w:szCs w:val="26"/>
          <w:lang w:val="en-ZA" w:eastAsia="en-ZA"/>
        </w:rPr>
        <w:t>its</w:t>
      </w:r>
      <w:r w:rsidR="00AE3EC4" w:rsidRPr="002655B3">
        <w:rPr>
          <w:rFonts w:asciiTheme="minorHAnsi" w:hAnsiTheme="minorHAnsi" w:cstheme="minorHAnsi"/>
          <w:color w:val="242121"/>
          <w:sz w:val="26"/>
          <w:szCs w:val="26"/>
          <w:lang w:val="en-ZA" w:eastAsia="en-ZA"/>
        </w:rPr>
        <w:t xml:space="preserve"> </w:t>
      </w:r>
      <w:r w:rsidR="008934A4" w:rsidRPr="002655B3">
        <w:rPr>
          <w:rFonts w:asciiTheme="minorHAnsi" w:hAnsiTheme="minorHAnsi" w:cstheme="minorHAnsi"/>
          <w:color w:val="242121"/>
          <w:sz w:val="26"/>
          <w:szCs w:val="26"/>
          <w:lang w:val="en-ZA" w:eastAsia="en-ZA"/>
        </w:rPr>
        <w:t>payment obligations</w:t>
      </w:r>
      <w:r w:rsidR="004A0862" w:rsidRPr="002655B3">
        <w:rPr>
          <w:rFonts w:asciiTheme="minorHAnsi" w:hAnsiTheme="minorHAnsi" w:cstheme="minorHAnsi"/>
          <w:color w:val="242121"/>
          <w:sz w:val="26"/>
          <w:szCs w:val="26"/>
          <w:lang w:val="en-ZA" w:eastAsia="en-ZA"/>
        </w:rPr>
        <w:t xml:space="preserve"> </w:t>
      </w:r>
      <w:r w:rsidR="008934A4" w:rsidRPr="002655B3">
        <w:rPr>
          <w:rFonts w:asciiTheme="minorHAnsi" w:hAnsiTheme="minorHAnsi" w:cstheme="minorHAnsi"/>
          <w:color w:val="242121"/>
          <w:sz w:val="26"/>
          <w:szCs w:val="26"/>
          <w:lang w:val="en-ZA" w:eastAsia="en-ZA"/>
        </w:rPr>
        <w:t xml:space="preserve">in the amount averred in the particulars of claim </w:t>
      </w:r>
      <w:r w:rsidR="00621DD5" w:rsidRPr="002655B3">
        <w:rPr>
          <w:rFonts w:asciiTheme="minorHAnsi" w:hAnsiTheme="minorHAnsi" w:cstheme="minorHAnsi"/>
          <w:color w:val="242121"/>
          <w:sz w:val="26"/>
          <w:szCs w:val="26"/>
          <w:lang w:val="en-ZA" w:eastAsia="en-ZA"/>
        </w:rPr>
        <w:t xml:space="preserve">at the time </w:t>
      </w:r>
      <w:r w:rsidR="004A0862" w:rsidRPr="002655B3">
        <w:rPr>
          <w:rFonts w:asciiTheme="minorHAnsi" w:hAnsiTheme="minorHAnsi" w:cstheme="minorHAnsi"/>
          <w:color w:val="242121"/>
          <w:sz w:val="26"/>
          <w:szCs w:val="26"/>
          <w:lang w:val="en-ZA" w:eastAsia="en-ZA"/>
        </w:rPr>
        <w:t>the summons</w:t>
      </w:r>
      <w:r w:rsidR="00621DD5" w:rsidRPr="002655B3">
        <w:rPr>
          <w:rFonts w:asciiTheme="minorHAnsi" w:hAnsiTheme="minorHAnsi" w:cstheme="minorHAnsi"/>
          <w:color w:val="242121"/>
          <w:sz w:val="26"/>
          <w:szCs w:val="26"/>
          <w:lang w:val="en-ZA" w:eastAsia="en-ZA"/>
        </w:rPr>
        <w:t xml:space="preserve"> was served</w:t>
      </w:r>
      <w:r w:rsidR="00AE3EC4" w:rsidRPr="002655B3">
        <w:rPr>
          <w:rFonts w:asciiTheme="minorHAnsi" w:hAnsiTheme="minorHAnsi" w:cstheme="minorHAnsi"/>
          <w:color w:val="242121"/>
          <w:sz w:val="26"/>
          <w:szCs w:val="26"/>
          <w:lang w:val="en-ZA" w:eastAsia="en-ZA"/>
        </w:rPr>
        <w:t>.</w:t>
      </w:r>
      <w:r w:rsidR="00881B04" w:rsidRPr="002655B3">
        <w:rPr>
          <w:rFonts w:asciiTheme="minorHAnsi" w:hAnsiTheme="minorHAnsi" w:cstheme="minorHAnsi"/>
          <w:color w:val="242121"/>
          <w:sz w:val="26"/>
          <w:szCs w:val="26"/>
          <w:lang w:val="en-ZA" w:eastAsia="en-ZA"/>
        </w:rPr>
        <w:t xml:space="preserve"> </w:t>
      </w:r>
      <w:r w:rsidR="00AE3EC4" w:rsidRPr="002655B3">
        <w:rPr>
          <w:rFonts w:asciiTheme="minorHAnsi" w:hAnsiTheme="minorHAnsi" w:cstheme="minorHAnsi"/>
          <w:color w:val="242121"/>
          <w:sz w:val="26"/>
          <w:szCs w:val="26"/>
          <w:lang w:val="en-ZA" w:eastAsia="en-ZA"/>
        </w:rPr>
        <w:t>Of further significance</w:t>
      </w:r>
      <w:r w:rsidR="00CD57EF" w:rsidRPr="002655B3">
        <w:rPr>
          <w:rFonts w:asciiTheme="minorHAnsi" w:hAnsiTheme="minorHAnsi" w:cstheme="minorHAnsi"/>
          <w:color w:val="242121"/>
          <w:sz w:val="26"/>
          <w:szCs w:val="26"/>
          <w:lang w:val="en-ZA" w:eastAsia="en-ZA"/>
        </w:rPr>
        <w:t>,</w:t>
      </w:r>
      <w:r w:rsidR="00AE3EC4" w:rsidRPr="002655B3">
        <w:rPr>
          <w:rFonts w:asciiTheme="minorHAnsi" w:hAnsiTheme="minorHAnsi" w:cstheme="minorHAnsi"/>
          <w:color w:val="242121"/>
          <w:sz w:val="26"/>
          <w:szCs w:val="26"/>
          <w:lang w:val="en-ZA" w:eastAsia="en-ZA"/>
        </w:rPr>
        <w:t xml:space="preserve"> is the fact that the </w:t>
      </w:r>
      <w:r w:rsidR="00881B04" w:rsidRPr="002655B3">
        <w:rPr>
          <w:rFonts w:asciiTheme="minorHAnsi" w:hAnsiTheme="minorHAnsi" w:cstheme="minorHAnsi"/>
          <w:color w:val="242121"/>
          <w:sz w:val="26"/>
          <w:szCs w:val="26"/>
          <w:lang w:val="en-ZA" w:eastAsia="en-ZA"/>
        </w:rPr>
        <w:t xml:space="preserve">first </w:t>
      </w:r>
      <w:r w:rsidR="00AE3EC4" w:rsidRPr="002655B3">
        <w:rPr>
          <w:rFonts w:asciiTheme="minorHAnsi" w:hAnsiTheme="minorHAnsi" w:cstheme="minorHAnsi"/>
          <w:color w:val="242121"/>
          <w:sz w:val="26"/>
          <w:szCs w:val="26"/>
          <w:lang w:val="en-ZA" w:eastAsia="en-ZA"/>
        </w:rPr>
        <w:t xml:space="preserve">defendant has not, in the opposing affidavit, alleged payment </w:t>
      </w:r>
      <w:r w:rsidR="004A0862" w:rsidRPr="002655B3">
        <w:rPr>
          <w:rFonts w:asciiTheme="minorHAnsi" w:hAnsiTheme="minorHAnsi" w:cstheme="minorHAnsi"/>
          <w:color w:val="242121"/>
          <w:sz w:val="26"/>
          <w:szCs w:val="26"/>
          <w:lang w:val="en-ZA" w:eastAsia="en-ZA"/>
        </w:rPr>
        <w:t xml:space="preserve">by it </w:t>
      </w:r>
      <w:r w:rsidR="00AE3EC4" w:rsidRPr="002655B3">
        <w:rPr>
          <w:rFonts w:asciiTheme="minorHAnsi" w:hAnsiTheme="minorHAnsi" w:cstheme="minorHAnsi"/>
          <w:color w:val="242121"/>
          <w:sz w:val="26"/>
          <w:szCs w:val="26"/>
          <w:lang w:val="en-ZA" w:eastAsia="en-ZA"/>
        </w:rPr>
        <w:t xml:space="preserve">of any of the instalments </w:t>
      </w:r>
      <w:r w:rsidR="00D503B1" w:rsidRPr="002655B3">
        <w:rPr>
          <w:rFonts w:asciiTheme="minorHAnsi" w:hAnsiTheme="minorHAnsi" w:cstheme="minorHAnsi"/>
          <w:color w:val="242121"/>
          <w:sz w:val="26"/>
          <w:szCs w:val="26"/>
          <w:lang w:val="en-ZA" w:eastAsia="en-ZA"/>
        </w:rPr>
        <w:t xml:space="preserve">under the credit agreement </w:t>
      </w:r>
      <w:r w:rsidR="00AE3EC4" w:rsidRPr="002655B3">
        <w:rPr>
          <w:rFonts w:asciiTheme="minorHAnsi" w:hAnsiTheme="minorHAnsi" w:cstheme="minorHAnsi"/>
          <w:color w:val="242121"/>
          <w:sz w:val="26"/>
          <w:szCs w:val="26"/>
          <w:lang w:val="en-ZA" w:eastAsia="en-ZA"/>
        </w:rPr>
        <w:t>on due date</w:t>
      </w:r>
      <w:r w:rsidR="00621DD5" w:rsidRPr="002655B3">
        <w:rPr>
          <w:rFonts w:asciiTheme="minorHAnsi" w:hAnsiTheme="minorHAnsi" w:cstheme="minorHAnsi"/>
          <w:color w:val="242121"/>
          <w:sz w:val="26"/>
          <w:szCs w:val="26"/>
          <w:lang w:val="en-ZA" w:eastAsia="en-ZA"/>
        </w:rPr>
        <w:t>,</w:t>
      </w:r>
      <w:r w:rsidR="00AE3EC4" w:rsidRPr="002655B3">
        <w:rPr>
          <w:rFonts w:asciiTheme="minorHAnsi" w:hAnsiTheme="minorHAnsi" w:cstheme="minorHAnsi"/>
          <w:color w:val="242121"/>
          <w:sz w:val="26"/>
          <w:szCs w:val="26"/>
          <w:lang w:val="en-ZA" w:eastAsia="en-ZA"/>
        </w:rPr>
        <w:t xml:space="preserve"> which were said by the plaintiff to have not been paid. Generally speaking, one would have expected such a statement to have be</w:t>
      </w:r>
      <w:r w:rsidR="00881B04" w:rsidRPr="002655B3">
        <w:rPr>
          <w:rFonts w:asciiTheme="minorHAnsi" w:hAnsiTheme="minorHAnsi" w:cstheme="minorHAnsi"/>
          <w:color w:val="242121"/>
          <w:sz w:val="26"/>
          <w:szCs w:val="26"/>
          <w:lang w:val="en-ZA" w:eastAsia="en-ZA"/>
        </w:rPr>
        <w:t xml:space="preserve">en made in order to establish a </w:t>
      </w:r>
      <w:r w:rsidR="00AE3EC4" w:rsidRPr="002655B3">
        <w:rPr>
          <w:rFonts w:asciiTheme="minorHAnsi" w:hAnsiTheme="minorHAnsi" w:cstheme="minorHAnsi"/>
          <w:i/>
          <w:iCs/>
          <w:color w:val="242121"/>
          <w:sz w:val="26"/>
          <w:szCs w:val="26"/>
          <w:lang w:val="en-ZA" w:eastAsia="en-ZA"/>
        </w:rPr>
        <w:t>bona fide</w:t>
      </w:r>
      <w:r w:rsidR="00881B04" w:rsidRPr="002655B3">
        <w:rPr>
          <w:rFonts w:asciiTheme="minorHAnsi" w:hAnsiTheme="minorHAnsi" w:cstheme="minorHAnsi"/>
          <w:color w:val="242121"/>
          <w:sz w:val="26"/>
          <w:szCs w:val="26"/>
          <w:lang w:val="en-ZA" w:eastAsia="en-ZA"/>
        </w:rPr>
        <w:t xml:space="preserve"> </w:t>
      </w:r>
      <w:r w:rsidR="00AE3EC4" w:rsidRPr="002655B3">
        <w:rPr>
          <w:rFonts w:asciiTheme="minorHAnsi" w:hAnsiTheme="minorHAnsi" w:cstheme="minorHAnsi"/>
          <w:color w:val="242121"/>
          <w:sz w:val="26"/>
          <w:szCs w:val="26"/>
          <w:lang w:val="en-ZA" w:eastAsia="en-ZA"/>
        </w:rPr>
        <w:t xml:space="preserve">defence for the purposes of </w:t>
      </w:r>
      <w:r w:rsidR="00D503B1" w:rsidRPr="002655B3">
        <w:rPr>
          <w:rFonts w:asciiTheme="minorHAnsi" w:hAnsiTheme="minorHAnsi" w:cstheme="minorHAnsi"/>
          <w:color w:val="242121"/>
          <w:sz w:val="26"/>
          <w:szCs w:val="26"/>
          <w:lang w:val="en-ZA" w:eastAsia="en-ZA"/>
        </w:rPr>
        <w:t>resisting</w:t>
      </w:r>
      <w:r w:rsidR="00AE3EC4" w:rsidRPr="002655B3">
        <w:rPr>
          <w:rFonts w:asciiTheme="minorHAnsi" w:hAnsiTheme="minorHAnsi" w:cstheme="minorHAnsi"/>
          <w:color w:val="242121"/>
          <w:sz w:val="26"/>
          <w:szCs w:val="26"/>
          <w:lang w:val="en-ZA" w:eastAsia="en-ZA"/>
        </w:rPr>
        <w:t xml:space="preserve"> summary judgment.</w:t>
      </w:r>
      <w:r w:rsidR="001D497D" w:rsidRPr="002655B3">
        <w:rPr>
          <w:rFonts w:asciiTheme="minorHAnsi" w:hAnsiTheme="minorHAnsi" w:cstheme="minorHAnsi"/>
          <w:color w:val="242121"/>
          <w:sz w:val="26"/>
          <w:szCs w:val="26"/>
          <w:lang w:val="en-ZA" w:eastAsia="en-ZA"/>
        </w:rPr>
        <w:t xml:space="preserve"> As regards the allegation in the plea that the defendants did not receive the </w:t>
      </w:r>
      <w:r w:rsidR="00621DD5" w:rsidRPr="002655B3">
        <w:rPr>
          <w:rFonts w:asciiTheme="minorHAnsi" w:hAnsiTheme="minorHAnsi" w:cstheme="minorHAnsi"/>
          <w:color w:val="242121"/>
          <w:sz w:val="26"/>
          <w:szCs w:val="26"/>
          <w:lang w:val="en-ZA" w:eastAsia="en-ZA"/>
        </w:rPr>
        <w:t>s</w:t>
      </w:r>
      <w:r w:rsidR="001D497D" w:rsidRPr="002655B3">
        <w:rPr>
          <w:rFonts w:asciiTheme="minorHAnsi" w:hAnsiTheme="minorHAnsi" w:cstheme="minorHAnsi"/>
          <w:color w:val="242121"/>
          <w:sz w:val="26"/>
          <w:szCs w:val="26"/>
          <w:lang w:val="en-ZA" w:eastAsia="en-ZA"/>
        </w:rPr>
        <w:t xml:space="preserve">129 notices, neither </w:t>
      </w:r>
      <w:r w:rsidR="00CD57EF" w:rsidRPr="002655B3">
        <w:rPr>
          <w:rFonts w:asciiTheme="minorHAnsi" w:hAnsiTheme="minorHAnsi" w:cstheme="minorHAnsi"/>
          <w:color w:val="242121"/>
          <w:sz w:val="26"/>
          <w:szCs w:val="26"/>
          <w:lang w:val="en-ZA" w:eastAsia="en-ZA"/>
        </w:rPr>
        <w:t xml:space="preserve">of the </w:t>
      </w:r>
      <w:r w:rsidR="001D497D" w:rsidRPr="002655B3">
        <w:rPr>
          <w:rFonts w:asciiTheme="minorHAnsi" w:hAnsiTheme="minorHAnsi" w:cstheme="minorHAnsi"/>
          <w:color w:val="242121"/>
          <w:sz w:val="26"/>
          <w:szCs w:val="26"/>
          <w:lang w:val="en-ZA" w:eastAsia="en-ZA"/>
        </w:rPr>
        <w:t>defendant</w:t>
      </w:r>
      <w:r w:rsidR="00CD57EF" w:rsidRPr="002655B3">
        <w:rPr>
          <w:rFonts w:asciiTheme="minorHAnsi" w:hAnsiTheme="minorHAnsi" w:cstheme="minorHAnsi"/>
          <w:color w:val="242121"/>
          <w:sz w:val="26"/>
          <w:szCs w:val="26"/>
          <w:lang w:val="en-ZA" w:eastAsia="en-ZA"/>
        </w:rPr>
        <w:t>s</w:t>
      </w:r>
      <w:r w:rsidR="001D497D" w:rsidRPr="002655B3">
        <w:rPr>
          <w:rFonts w:asciiTheme="minorHAnsi" w:hAnsiTheme="minorHAnsi" w:cstheme="minorHAnsi"/>
          <w:color w:val="242121"/>
          <w:sz w:val="26"/>
          <w:szCs w:val="26"/>
          <w:lang w:val="en-ZA" w:eastAsia="en-ZA"/>
        </w:rPr>
        <w:t xml:space="preserve"> </w:t>
      </w:r>
      <w:r w:rsidR="004A0862" w:rsidRPr="002655B3">
        <w:rPr>
          <w:rFonts w:asciiTheme="minorHAnsi" w:hAnsiTheme="minorHAnsi" w:cstheme="minorHAnsi"/>
          <w:color w:val="242121"/>
          <w:sz w:val="26"/>
          <w:szCs w:val="26"/>
          <w:lang w:val="en-ZA" w:eastAsia="en-ZA"/>
        </w:rPr>
        <w:t>advance</w:t>
      </w:r>
      <w:r w:rsidR="00E5077C" w:rsidRPr="002655B3">
        <w:rPr>
          <w:rFonts w:asciiTheme="minorHAnsi" w:hAnsiTheme="minorHAnsi" w:cstheme="minorHAnsi"/>
          <w:color w:val="242121"/>
          <w:sz w:val="26"/>
          <w:szCs w:val="26"/>
          <w:lang w:val="en-ZA" w:eastAsia="en-ZA"/>
        </w:rPr>
        <w:t>d</w:t>
      </w:r>
      <w:r w:rsidR="004A0862" w:rsidRPr="002655B3">
        <w:rPr>
          <w:rFonts w:asciiTheme="minorHAnsi" w:hAnsiTheme="minorHAnsi" w:cstheme="minorHAnsi"/>
          <w:color w:val="242121"/>
          <w:sz w:val="26"/>
          <w:szCs w:val="26"/>
          <w:lang w:val="en-ZA" w:eastAsia="en-ZA"/>
        </w:rPr>
        <w:t xml:space="preserve"> any reason</w:t>
      </w:r>
      <w:r w:rsidR="001D497D" w:rsidRPr="002655B3">
        <w:rPr>
          <w:rFonts w:asciiTheme="minorHAnsi" w:hAnsiTheme="minorHAnsi" w:cstheme="minorHAnsi"/>
          <w:color w:val="242121"/>
          <w:sz w:val="26"/>
          <w:szCs w:val="26"/>
          <w:lang w:val="en-ZA" w:eastAsia="en-ZA"/>
        </w:rPr>
        <w:t xml:space="preserve"> </w:t>
      </w:r>
      <w:r w:rsidR="00AB5583" w:rsidRPr="002655B3">
        <w:rPr>
          <w:rFonts w:asciiTheme="minorHAnsi" w:hAnsiTheme="minorHAnsi" w:cstheme="minorHAnsi"/>
          <w:color w:val="242121"/>
          <w:sz w:val="26"/>
          <w:szCs w:val="26"/>
          <w:lang w:val="en-ZA" w:eastAsia="en-ZA"/>
        </w:rPr>
        <w:t xml:space="preserve">in their opposing affidavits </w:t>
      </w:r>
      <w:r w:rsidR="004A0862" w:rsidRPr="002655B3">
        <w:rPr>
          <w:rFonts w:asciiTheme="minorHAnsi" w:hAnsiTheme="minorHAnsi" w:cstheme="minorHAnsi"/>
          <w:color w:val="242121"/>
          <w:sz w:val="26"/>
          <w:szCs w:val="26"/>
          <w:lang w:val="en-ZA" w:eastAsia="en-ZA"/>
        </w:rPr>
        <w:t xml:space="preserve">as to </w:t>
      </w:r>
      <w:r w:rsidR="001D497D" w:rsidRPr="002655B3">
        <w:rPr>
          <w:rFonts w:asciiTheme="minorHAnsi" w:hAnsiTheme="minorHAnsi" w:cstheme="minorHAnsi"/>
          <w:color w:val="242121"/>
          <w:sz w:val="26"/>
          <w:szCs w:val="26"/>
          <w:lang w:val="en-ZA" w:eastAsia="en-ZA"/>
        </w:rPr>
        <w:t xml:space="preserve">why they </w:t>
      </w:r>
      <w:r w:rsidR="00AB5583" w:rsidRPr="002655B3">
        <w:rPr>
          <w:rFonts w:asciiTheme="minorHAnsi" w:hAnsiTheme="minorHAnsi" w:cstheme="minorHAnsi"/>
          <w:color w:val="242121"/>
          <w:sz w:val="26"/>
          <w:szCs w:val="26"/>
          <w:lang w:val="en-ZA" w:eastAsia="en-ZA"/>
        </w:rPr>
        <w:t>could</w:t>
      </w:r>
      <w:r w:rsidR="001D497D" w:rsidRPr="002655B3">
        <w:rPr>
          <w:rFonts w:asciiTheme="minorHAnsi" w:hAnsiTheme="minorHAnsi" w:cstheme="minorHAnsi"/>
          <w:color w:val="242121"/>
          <w:sz w:val="26"/>
          <w:szCs w:val="26"/>
          <w:lang w:val="en-ZA" w:eastAsia="en-ZA"/>
        </w:rPr>
        <w:t xml:space="preserve"> not </w:t>
      </w:r>
      <w:r w:rsidR="001D497D" w:rsidRPr="002655B3">
        <w:rPr>
          <w:rFonts w:asciiTheme="minorHAnsi" w:hAnsiTheme="minorHAnsi" w:cstheme="minorHAnsi"/>
          <w:color w:val="242121"/>
          <w:sz w:val="26"/>
          <w:szCs w:val="26"/>
          <w:lang w:val="en-ZA" w:eastAsia="en-ZA"/>
        </w:rPr>
        <w:lastRenderedPageBreak/>
        <w:t xml:space="preserve">collect the notices from the relevant post office after notification </w:t>
      </w:r>
      <w:r w:rsidR="00AB5583" w:rsidRPr="002655B3">
        <w:rPr>
          <w:rFonts w:asciiTheme="minorHAnsi" w:hAnsiTheme="minorHAnsi" w:cstheme="minorHAnsi"/>
          <w:color w:val="242121"/>
          <w:sz w:val="26"/>
          <w:szCs w:val="26"/>
          <w:lang w:val="en-ZA" w:eastAsia="en-ZA"/>
        </w:rPr>
        <w:t xml:space="preserve">to them </w:t>
      </w:r>
      <w:r w:rsidR="001D497D" w:rsidRPr="002655B3">
        <w:rPr>
          <w:rFonts w:asciiTheme="minorHAnsi" w:hAnsiTheme="minorHAnsi" w:cstheme="minorHAnsi"/>
          <w:color w:val="242121"/>
          <w:sz w:val="26"/>
          <w:szCs w:val="26"/>
          <w:lang w:val="en-ZA" w:eastAsia="en-ZA"/>
        </w:rPr>
        <w:t xml:space="preserve">by the post office </w:t>
      </w:r>
      <w:r w:rsidR="00AB5583" w:rsidRPr="002655B3">
        <w:rPr>
          <w:rFonts w:asciiTheme="minorHAnsi" w:hAnsiTheme="minorHAnsi" w:cstheme="minorHAnsi"/>
          <w:color w:val="242121"/>
          <w:sz w:val="26"/>
          <w:szCs w:val="26"/>
          <w:lang w:val="en-ZA" w:eastAsia="en-ZA"/>
        </w:rPr>
        <w:t>of a registered item awaiting collection</w:t>
      </w:r>
      <w:r w:rsidR="00D503B1" w:rsidRPr="002655B3">
        <w:rPr>
          <w:rFonts w:asciiTheme="minorHAnsi" w:hAnsiTheme="minorHAnsi" w:cstheme="minorHAnsi"/>
          <w:color w:val="242121"/>
          <w:sz w:val="26"/>
          <w:szCs w:val="26"/>
          <w:lang w:val="en-ZA" w:eastAsia="en-ZA"/>
        </w:rPr>
        <w:t>, as pleaded</w:t>
      </w:r>
      <w:r w:rsidR="00CD57EF" w:rsidRPr="002655B3">
        <w:rPr>
          <w:rFonts w:asciiTheme="minorHAnsi" w:hAnsiTheme="minorHAnsi" w:cstheme="minorHAnsi"/>
          <w:color w:val="242121"/>
          <w:sz w:val="26"/>
          <w:szCs w:val="26"/>
          <w:lang w:val="en-ZA" w:eastAsia="en-ZA"/>
        </w:rPr>
        <w:t xml:space="preserve"> and demonstrated by the plaintiff </w:t>
      </w:r>
      <w:r w:rsidR="00D503B1" w:rsidRPr="002655B3">
        <w:rPr>
          <w:rFonts w:asciiTheme="minorHAnsi" w:hAnsiTheme="minorHAnsi" w:cstheme="minorHAnsi"/>
          <w:color w:val="242121"/>
          <w:sz w:val="26"/>
          <w:szCs w:val="26"/>
          <w:lang w:val="en-ZA" w:eastAsia="en-ZA"/>
        </w:rPr>
        <w:t>in the summons</w:t>
      </w:r>
      <w:r w:rsidR="001D497D" w:rsidRPr="002655B3">
        <w:rPr>
          <w:rFonts w:asciiTheme="minorHAnsi" w:hAnsiTheme="minorHAnsi" w:cstheme="minorHAnsi"/>
          <w:color w:val="242121"/>
          <w:sz w:val="26"/>
          <w:szCs w:val="26"/>
          <w:lang w:val="en-ZA" w:eastAsia="en-ZA"/>
        </w:rPr>
        <w:t xml:space="preserve">. </w:t>
      </w:r>
    </w:p>
    <w:p w:rsidR="00AC60FC" w:rsidRPr="000F4445" w:rsidRDefault="00AC60FC" w:rsidP="00AC60FC">
      <w:pPr>
        <w:pStyle w:val="ListParagraph"/>
        <w:rPr>
          <w:rFonts w:asciiTheme="minorHAnsi" w:hAnsiTheme="minorHAnsi" w:cstheme="minorHAnsi"/>
          <w:sz w:val="26"/>
          <w:szCs w:val="26"/>
        </w:rPr>
      </w:pPr>
    </w:p>
    <w:p w:rsidR="00D503B1" w:rsidRPr="002655B3" w:rsidRDefault="002655B3" w:rsidP="002655B3">
      <w:pPr>
        <w:spacing w:after="200" w:line="360" w:lineRule="auto"/>
        <w:ind w:left="851" w:hanging="851"/>
        <w:jc w:val="both"/>
        <w:rPr>
          <w:rFonts w:asciiTheme="minorHAnsi" w:hAnsiTheme="minorHAnsi" w:cstheme="minorHAnsi"/>
          <w:sz w:val="26"/>
          <w:szCs w:val="26"/>
        </w:rPr>
      </w:pPr>
      <w:r w:rsidRPr="00D503B1">
        <w:rPr>
          <w:rFonts w:asciiTheme="minorHAnsi" w:hAnsiTheme="minorHAnsi"/>
          <w:sz w:val="24"/>
          <w:szCs w:val="24"/>
        </w:rPr>
        <w:t>11.</w:t>
      </w:r>
      <w:r w:rsidRPr="00D503B1">
        <w:rPr>
          <w:rFonts w:asciiTheme="minorHAnsi" w:hAnsiTheme="minorHAnsi"/>
          <w:sz w:val="24"/>
          <w:szCs w:val="24"/>
        </w:rPr>
        <w:tab/>
      </w:r>
      <w:r w:rsidR="00B74758" w:rsidRPr="002655B3">
        <w:rPr>
          <w:rFonts w:asciiTheme="minorHAnsi" w:hAnsiTheme="minorHAnsi" w:cstheme="minorHAnsi"/>
          <w:sz w:val="26"/>
          <w:szCs w:val="26"/>
        </w:rPr>
        <w:t>The question to be answered at the summary judgment stage is not whether a pleaded defence stands good prospects of success. It is whether the defence is genuinely advanced.</w:t>
      </w:r>
      <w:r w:rsidR="00B74758">
        <w:rPr>
          <w:rStyle w:val="FootnoteReference"/>
        </w:rPr>
        <w:footnoteReference w:id="11"/>
      </w:r>
      <w:r w:rsidR="00B74758">
        <w:t xml:space="preserve"> </w:t>
      </w:r>
    </w:p>
    <w:p w:rsidR="00D503B1" w:rsidRPr="00D503B1" w:rsidRDefault="00D503B1" w:rsidP="00D503B1">
      <w:pPr>
        <w:pStyle w:val="ListParagraph"/>
        <w:rPr>
          <w:rFonts w:asciiTheme="minorHAnsi" w:hAnsiTheme="minorHAnsi" w:cstheme="minorHAnsi"/>
          <w:sz w:val="26"/>
          <w:szCs w:val="26"/>
        </w:rPr>
      </w:pPr>
    </w:p>
    <w:p w:rsidR="00D503B1" w:rsidRPr="002655B3" w:rsidRDefault="002655B3" w:rsidP="002655B3">
      <w:pPr>
        <w:spacing w:after="200" w:line="360" w:lineRule="auto"/>
        <w:ind w:left="851" w:hanging="851"/>
        <w:jc w:val="both"/>
        <w:rPr>
          <w:rFonts w:asciiTheme="minorHAnsi" w:hAnsiTheme="minorHAnsi" w:cstheme="minorHAnsi"/>
          <w:sz w:val="26"/>
          <w:szCs w:val="26"/>
        </w:rPr>
      </w:pPr>
      <w:r w:rsidRPr="00436A8C">
        <w:rPr>
          <w:rFonts w:asciiTheme="minorHAnsi" w:hAnsiTheme="minorHAnsi"/>
          <w:sz w:val="24"/>
          <w:szCs w:val="24"/>
        </w:rPr>
        <w:t>12.</w:t>
      </w:r>
      <w:r w:rsidRPr="00436A8C">
        <w:rPr>
          <w:rFonts w:asciiTheme="minorHAnsi" w:hAnsiTheme="minorHAnsi"/>
          <w:sz w:val="24"/>
          <w:szCs w:val="24"/>
        </w:rPr>
        <w:tab/>
      </w:r>
      <w:r w:rsidR="00D503B1" w:rsidRPr="002655B3">
        <w:rPr>
          <w:rFonts w:asciiTheme="minorHAnsi" w:hAnsiTheme="minorHAnsi" w:cstheme="minorHAnsi"/>
          <w:color w:val="242121"/>
          <w:sz w:val="26"/>
          <w:szCs w:val="26"/>
          <w:shd w:val="clear" w:color="auto" w:fill="FFFFFF"/>
        </w:rPr>
        <w:t xml:space="preserve">In </w:t>
      </w:r>
      <w:r w:rsidR="00D503B1" w:rsidRPr="002655B3">
        <w:rPr>
          <w:rFonts w:asciiTheme="minorHAnsi" w:hAnsiTheme="minorHAnsi" w:cstheme="minorHAnsi"/>
          <w:i/>
          <w:color w:val="242121"/>
          <w:sz w:val="26"/>
          <w:szCs w:val="26"/>
          <w:shd w:val="clear" w:color="auto" w:fill="FFFFFF"/>
        </w:rPr>
        <w:t>Mpfuni</w:t>
      </w:r>
      <w:r w:rsidR="00D503B1">
        <w:rPr>
          <w:rStyle w:val="FootnoteReference"/>
          <w:rFonts w:asciiTheme="minorHAnsi" w:hAnsiTheme="minorHAnsi" w:cstheme="minorHAnsi"/>
          <w:i/>
          <w:color w:val="242121"/>
          <w:sz w:val="26"/>
          <w:szCs w:val="26"/>
          <w:shd w:val="clear" w:color="auto" w:fill="FFFFFF"/>
        </w:rPr>
        <w:footnoteReference w:id="12"/>
      </w:r>
      <w:r w:rsidR="00D503B1" w:rsidRPr="002655B3">
        <w:rPr>
          <w:rFonts w:asciiTheme="minorHAnsi" w:hAnsiTheme="minorHAnsi" w:cstheme="minorHAnsi"/>
          <w:color w:val="242121"/>
          <w:sz w:val="26"/>
          <w:szCs w:val="26"/>
          <w:shd w:val="clear" w:color="auto" w:fill="FFFFFF"/>
        </w:rPr>
        <w:t xml:space="preserve"> I pointed out that in terms of the recently amended Rule 32(2)(b),</w:t>
      </w:r>
      <w:r w:rsidR="00D503B1">
        <w:rPr>
          <w:rStyle w:val="FootnoteReference"/>
          <w:rFonts w:asciiTheme="minorHAnsi" w:hAnsiTheme="minorHAnsi" w:cstheme="minorHAnsi"/>
          <w:color w:val="242121"/>
          <w:sz w:val="26"/>
          <w:szCs w:val="26"/>
          <w:shd w:val="clear" w:color="auto" w:fill="FFFFFF"/>
        </w:rPr>
        <w:footnoteReference w:id="13"/>
      </w:r>
      <w:r w:rsidR="00D503B1" w:rsidRPr="002655B3">
        <w:rPr>
          <w:rFonts w:asciiTheme="minorHAnsi" w:hAnsiTheme="minorHAnsi" w:cstheme="minorHAnsi"/>
          <w:color w:val="242121"/>
          <w:sz w:val="26"/>
          <w:szCs w:val="26"/>
          <w:shd w:val="clear" w:color="auto" w:fill="FFFFFF"/>
        </w:rPr>
        <w:t xml:space="preserve"> a plaintiff is required to ‘verify the cause of action, and identify any point of law relied upon and the facts upon which the plaintiff’s claim is based, and explain briefly why the defence as pleaded does not raise any issue for trial’. Thus, in order to comply with sub-rule 2(b), the affidavit filed in support of the application must contain:</w:t>
      </w:r>
      <w:r w:rsidR="00D503B1">
        <w:rPr>
          <w:rStyle w:val="FootnoteReference"/>
          <w:rFonts w:asciiTheme="minorHAnsi" w:hAnsiTheme="minorHAnsi" w:cstheme="minorHAnsi"/>
          <w:color w:val="242121"/>
          <w:sz w:val="26"/>
          <w:szCs w:val="26"/>
          <w:shd w:val="clear" w:color="auto" w:fill="FFFFFF"/>
        </w:rPr>
        <w:footnoteReference w:id="14"/>
      </w:r>
      <w:r w:rsidR="00D503B1" w:rsidRPr="002655B3">
        <w:rPr>
          <w:rFonts w:asciiTheme="minorHAnsi" w:hAnsiTheme="minorHAnsi" w:cstheme="minorHAnsi"/>
          <w:color w:val="242121"/>
          <w:sz w:val="26"/>
          <w:szCs w:val="26"/>
          <w:shd w:val="clear" w:color="auto" w:fill="FFFFFF"/>
        </w:rPr>
        <w:t xml:space="preserve"> </w:t>
      </w:r>
    </w:p>
    <w:p w:rsidR="00D503B1" w:rsidRPr="002655B3" w:rsidRDefault="002655B3" w:rsidP="002655B3">
      <w:pPr>
        <w:spacing w:after="200" w:line="360" w:lineRule="auto"/>
        <w:ind w:left="1211" w:hanging="360"/>
        <w:jc w:val="both"/>
        <w:rPr>
          <w:rFonts w:asciiTheme="minorHAnsi" w:hAnsiTheme="minorHAnsi" w:cstheme="minorHAnsi"/>
          <w:sz w:val="26"/>
          <w:szCs w:val="26"/>
        </w:rPr>
      </w:pPr>
      <w:r>
        <w:rPr>
          <w:rFonts w:asciiTheme="minorHAnsi" w:hAnsiTheme="minorHAnsi" w:cstheme="minorHAnsi"/>
          <w:sz w:val="26"/>
          <w:szCs w:val="26"/>
        </w:rPr>
        <w:t>(1)</w:t>
      </w:r>
      <w:r>
        <w:rPr>
          <w:rFonts w:asciiTheme="minorHAnsi" w:hAnsiTheme="minorHAnsi" w:cstheme="minorHAnsi"/>
          <w:sz w:val="26"/>
          <w:szCs w:val="26"/>
        </w:rPr>
        <w:tab/>
      </w:r>
      <w:r w:rsidR="00D503B1" w:rsidRPr="002655B3">
        <w:rPr>
          <w:rFonts w:asciiTheme="minorHAnsi" w:hAnsiTheme="minorHAnsi" w:cstheme="minorHAnsi"/>
          <w:sz w:val="26"/>
          <w:szCs w:val="26"/>
        </w:rPr>
        <w:t>A verification of the cause of action and the amount, if any, claimed;</w:t>
      </w:r>
    </w:p>
    <w:p w:rsidR="00D503B1" w:rsidRPr="002655B3" w:rsidRDefault="002655B3" w:rsidP="002655B3">
      <w:pPr>
        <w:spacing w:after="200" w:line="360" w:lineRule="auto"/>
        <w:ind w:left="1211" w:hanging="360"/>
        <w:jc w:val="both"/>
        <w:rPr>
          <w:rFonts w:asciiTheme="minorHAnsi" w:hAnsiTheme="minorHAnsi" w:cstheme="minorHAnsi"/>
          <w:sz w:val="26"/>
          <w:szCs w:val="26"/>
        </w:rPr>
      </w:pPr>
      <w:r>
        <w:rPr>
          <w:rFonts w:asciiTheme="minorHAnsi" w:hAnsiTheme="minorHAnsi" w:cstheme="minorHAnsi"/>
          <w:sz w:val="26"/>
          <w:szCs w:val="26"/>
        </w:rPr>
        <w:t>(2)</w:t>
      </w:r>
      <w:r>
        <w:rPr>
          <w:rFonts w:asciiTheme="minorHAnsi" w:hAnsiTheme="minorHAnsi" w:cstheme="minorHAnsi"/>
          <w:sz w:val="26"/>
          <w:szCs w:val="26"/>
        </w:rPr>
        <w:tab/>
      </w:r>
      <w:r w:rsidR="00D503B1" w:rsidRPr="002655B3">
        <w:rPr>
          <w:rFonts w:asciiTheme="minorHAnsi" w:hAnsiTheme="minorHAnsi" w:cstheme="minorHAnsi"/>
          <w:sz w:val="26"/>
          <w:szCs w:val="26"/>
        </w:rPr>
        <w:t>An identification of any point of law relied upon;</w:t>
      </w:r>
    </w:p>
    <w:p w:rsidR="00D503B1" w:rsidRPr="002655B3" w:rsidRDefault="002655B3" w:rsidP="002655B3">
      <w:pPr>
        <w:spacing w:after="200" w:line="360" w:lineRule="auto"/>
        <w:ind w:left="1211" w:hanging="360"/>
        <w:jc w:val="both"/>
        <w:rPr>
          <w:rFonts w:asciiTheme="minorHAnsi" w:hAnsiTheme="minorHAnsi" w:cstheme="minorHAnsi"/>
          <w:sz w:val="26"/>
          <w:szCs w:val="26"/>
        </w:rPr>
      </w:pPr>
      <w:r>
        <w:rPr>
          <w:rFonts w:asciiTheme="minorHAnsi" w:hAnsiTheme="minorHAnsi" w:cstheme="minorHAnsi"/>
          <w:sz w:val="26"/>
          <w:szCs w:val="26"/>
        </w:rPr>
        <w:t>(3)</w:t>
      </w:r>
      <w:r>
        <w:rPr>
          <w:rFonts w:asciiTheme="minorHAnsi" w:hAnsiTheme="minorHAnsi" w:cstheme="minorHAnsi"/>
          <w:sz w:val="26"/>
          <w:szCs w:val="26"/>
        </w:rPr>
        <w:tab/>
      </w:r>
      <w:r w:rsidR="00D503B1" w:rsidRPr="002655B3">
        <w:rPr>
          <w:rFonts w:asciiTheme="minorHAnsi" w:hAnsiTheme="minorHAnsi" w:cstheme="minorHAnsi"/>
          <w:sz w:val="26"/>
          <w:szCs w:val="26"/>
        </w:rPr>
        <w:t xml:space="preserve">An identification of the facts upon which the plaintiff’s claim is based; and </w:t>
      </w:r>
    </w:p>
    <w:p w:rsidR="00D503B1" w:rsidRPr="002655B3" w:rsidRDefault="002655B3" w:rsidP="002655B3">
      <w:pPr>
        <w:spacing w:after="200" w:line="360" w:lineRule="auto"/>
        <w:ind w:left="1211" w:hanging="360"/>
        <w:jc w:val="both"/>
        <w:rPr>
          <w:rFonts w:asciiTheme="minorHAnsi" w:hAnsiTheme="minorHAnsi" w:cstheme="minorHAnsi"/>
          <w:sz w:val="26"/>
          <w:szCs w:val="26"/>
        </w:rPr>
      </w:pPr>
      <w:r>
        <w:rPr>
          <w:rFonts w:asciiTheme="minorHAnsi" w:hAnsiTheme="minorHAnsi" w:cstheme="minorHAnsi"/>
          <w:sz w:val="26"/>
          <w:szCs w:val="26"/>
        </w:rPr>
        <w:t>(4)</w:t>
      </w:r>
      <w:r>
        <w:rPr>
          <w:rFonts w:asciiTheme="minorHAnsi" w:hAnsiTheme="minorHAnsi" w:cstheme="minorHAnsi"/>
          <w:sz w:val="26"/>
          <w:szCs w:val="26"/>
        </w:rPr>
        <w:tab/>
      </w:r>
      <w:r w:rsidR="00D503B1" w:rsidRPr="002655B3">
        <w:rPr>
          <w:rFonts w:asciiTheme="minorHAnsi" w:hAnsiTheme="minorHAnsi" w:cstheme="minorHAnsi"/>
          <w:sz w:val="26"/>
          <w:szCs w:val="26"/>
        </w:rPr>
        <w:t>A brief explanation as to why the defence as pleaded does not raise any issue for trial.</w:t>
      </w:r>
    </w:p>
    <w:p w:rsidR="00D503B1" w:rsidRPr="00D503B1" w:rsidRDefault="00D503B1" w:rsidP="00D503B1">
      <w:pPr>
        <w:pStyle w:val="ListParagraph"/>
        <w:rPr>
          <w:rFonts w:asciiTheme="minorHAnsi" w:hAnsiTheme="minorHAnsi" w:cstheme="minorHAnsi"/>
          <w:sz w:val="26"/>
          <w:szCs w:val="26"/>
        </w:rPr>
      </w:pPr>
    </w:p>
    <w:p w:rsidR="00F12E65" w:rsidRPr="002655B3" w:rsidRDefault="002655B3" w:rsidP="002655B3">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13.</w:t>
      </w:r>
      <w:r>
        <w:rPr>
          <w:rFonts w:asciiTheme="minorHAnsi" w:hAnsiTheme="minorHAnsi"/>
          <w:sz w:val="24"/>
          <w:szCs w:val="24"/>
        </w:rPr>
        <w:tab/>
      </w:r>
      <w:r w:rsidR="006F6903" w:rsidRPr="002655B3">
        <w:rPr>
          <w:rFonts w:asciiTheme="minorHAnsi" w:hAnsiTheme="minorHAnsi" w:cstheme="minorHAnsi"/>
          <w:sz w:val="26"/>
          <w:szCs w:val="26"/>
        </w:rPr>
        <w:t xml:space="preserve">In </w:t>
      </w:r>
      <w:r w:rsidR="006F6903" w:rsidRPr="002655B3">
        <w:rPr>
          <w:rFonts w:asciiTheme="minorHAnsi" w:hAnsiTheme="minorHAnsi" w:cstheme="minorHAnsi"/>
          <w:i/>
          <w:sz w:val="26"/>
          <w:szCs w:val="26"/>
        </w:rPr>
        <w:t xml:space="preserve">Tumileng Trading CC v National Security and Fire (Pty) Ltd </w:t>
      </w:r>
      <w:r w:rsidR="006F6903" w:rsidRPr="002655B3">
        <w:rPr>
          <w:rFonts w:asciiTheme="minorHAnsi" w:hAnsiTheme="minorHAnsi" w:cstheme="minorHAnsi"/>
          <w:sz w:val="26"/>
          <w:szCs w:val="26"/>
        </w:rPr>
        <w:t>(‘</w:t>
      </w:r>
      <w:r w:rsidR="006F6903" w:rsidRPr="002655B3">
        <w:rPr>
          <w:rFonts w:asciiTheme="minorHAnsi" w:hAnsiTheme="minorHAnsi" w:cstheme="minorHAnsi"/>
          <w:i/>
          <w:sz w:val="26"/>
          <w:szCs w:val="26"/>
        </w:rPr>
        <w:t>Tumileng’)</w:t>
      </w:r>
      <w:r w:rsidR="006F6903" w:rsidRPr="002655B3">
        <w:rPr>
          <w:rFonts w:asciiTheme="minorHAnsi" w:hAnsiTheme="minorHAnsi" w:cstheme="minorHAnsi"/>
          <w:sz w:val="26"/>
          <w:szCs w:val="26"/>
        </w:rPr>
        <w:t>,</w:t>
      </w:r>
      <w:r w:rsidR="006F6903">
        <w:rPr>
          <w:rStyle w:val="FootnoteReference"/>
          <w:rFonts w:asciiTheme="minorHAnsi" w:hAnsiTheme="minorHAnsi" w:cstheme="minorHAnsi"/>
          <w:sz w:val="26"/>
          <w:szCs w:val="26"/>
        </w:rPr>
        <w:footnoteReference w:id="15"/>
      </w:r>
      <w:r w:rsidR="006F6903" w:rsidRPr="002655B3">
        <w:rPr>
          <w:rFonts w:asciiTheme="minorHAnsi" w:hAnsiTheme="minorHAnsi" w:cstheme="minorHAnsi"/>
          <w:sz w:val="26"/>
          <w:szCs w:val="26"/>
        </w:rPr>
        <w:t xml:space="preserve"> the court held as follows:</w:t>
      </w:r>
    </w:p>
    <w:p w:rsidR="006F6903" w:rsidRPr="006F6903" w:rsidRDefault="006F6903" w:rsidP="006F6903">
      <w:pPr>
        <w:pStyle w:val="ListParagraph"/>
        <w:spacing w:after="200" w:line="360" w:lineRule="auto"/>
        <w:ind w:left="851"/>
        <w:jc w:val="both"/>
        <w:rPr>
          <w:rFonts w:asciiTheme="minorHAnsi" w:hAnsiTheme="minorHAnsi" w:cstheme="minorHAnsi"/>
          <w:sz w:val="22"/>
          <w:szCs w:val="22"/>
        </w:rPr>
      </w:pPr>
      <w:r w:rsidRPr="006F6903">
        <w:rPr>
          <w:rFonts w:asciiTheme="minorHAnsi" w:hAnsiTheme="minorHAnsi" w:cstheme="minorHAnsi"/>
          <w:sz w:val="22"/>
          <w:szCs w:val="22"/>
        </w:rPr>
        <w:t xml:space="preserve">“[13] Rule 32(3), which regulates what is required from a defendant in its opposing affidavit, has been left substantively unamended in the overhauled procedure. That means that </w:t>
      </w:r>
      <w:r w:rsidRPr="00D503B1">
        <w:rPr>
          <w:rFonts w:asciiTheme="minorHAnsi" w:hAnsiTheme="minorHAnsi" w:cstheme="minorHAnsi"/>
          <w:sz w:val="22"/>
          <w:szCs w:val="22"/>
          <w:u w:val="single"/>
        </w:rPr>
        <w:t>the test remains what it always was: has the defendant disclosed a bona fide (i.e. an apparently genuinely advanced, as distinct from sham) defence</w:t>
      </w:r>
      <w:r w:rsidRPr="006F6903">
        <w:rPr>
          <w:rFonts w:asciiTheme="minorHAnsi" w:hAnsiTheme="minorHAnsi" w:cstheme="minorHAnsi"/>
          <w:sz w:val="22"/>
          <w:szCs w:val="22"/>
        </w:rPr>
        <w:t xml:space="preserve">? There is no indication in the amended rule that the method of determining that has changed. </w:t>
      </w:r>
      <w:r w:rsidRPr="00580198">
        <w:rPr>
          <w:rFonts w:asciiTheme="minorHAnsi" w:hAnsiTheme="minorHAnsi" w:cstheme="minorHAnsi"/>
          <w:sz w:val="22"/>
          <w:szCs w:val="22"/>
          <w:u w:val="single"/>
        </w:rPr>
        <w:t>The classical formulations in Maharaj and Breitenbach v Fiat SA as to what is expected of a defendant seeking to successfully oppose an application for summary judgment therefore remain of application</w:t>
      </w:r>
      <w:r w:rsidRPr="006F6903">
        <w:rPr>
          <w:rFonts w:asciiTheme="minorHAnsi" w:hAnsiTheme="minorHAnsi" w:cstheme="minorHAnsi"/>
          <w:sz w:val="22"/>
          <w:szCs w:val="22"/>
        </w:rPr>
        <w:t>. A defendant is not required to show that its defence is likely to prevail. If a defendant can show that it has a legally cognisable defence on the face of it, and that the defence is genuine or bona fide, summary judgment must be refused. The defendant’s prospects of success are irrelevant.</w:t>
      </w:r>
    </w:p>
    <w:p w:rsidR="006F6903" w:rsidRPr="006F6903" w:rsidRDefault="006F6903" w:rsidP="006F6903">
      <w:pPr>
        <w:pStyle w:val="ListParagraph"/>
        <w:spacing w:after="200" w:line="360" w:lineRule="auto"/>
        <w:ind w:left="851"/>
        <w:jc w:val="both"/>
        <w:rPr>
          <w:rFonts w:asciiTheme="minorHAnsi" w:hAnsiTheme="minorHAnsi" w:cstheme="minorHAnsi"/>
          <w:sz w:val="22"/>
          <w:szCs w:val="22"/>
        </w:rPr>
      </w:pPr>
    </w:p>
    <w:p w:rsidR="006F6903" w:rsidRPr="00F12E65" w:rsidRDefault="006F6903" w:rsidP="006F6903">
      <w:pPr>
        <w:pStyle w:val="ListParagraph"/>
        <w:spacing w:after="200" w:line="360" w:lineRule="auto"/>
        <w:ind w:left="851"/>
        <w:jc w:val="both"/>
        <w:rPr>
          <w:rFonts w:asciiTheme="minorHAnsi" w:hAnsiTheme="minorHAnsi" w:cstheme="minorHAnsi"/>
          <w:sz w:val="26"/>
          <w:szCs w:val="26"/>
        </w:rPr>
      </w:pPr>
      <w:r w:rsidRPr="006F6903">
        <w:rPr>
          <w:rFonts w:asciiTheme="minorHAnsi" w:hAnsiTheme="minorHAnsi" w:cstheme="minorHAnsi"/>
          <w:sz w:val="22"/>
          <w:szCs w:val="22"/>
        </w:rPr>
        <w:t>[15]... Under the new rule, a plaintiff would be justified in bringing an application for summary judgment only if it were able to show that the pleaded defence is not bona fide; in other words, by showing that the plea is a sham plea.”</w:t>
      </w:r>
      <w:r w:rsidR="00621DD5">
        <w:rPr>
          <w:rFonts w:asciiTheme="minorHAnsi" w:hAnsiTheme="minorHAnsi" w:cstheme="minorHAnsi"/>
          <w:sz w:val="22"/>
          <w:szCs w:val="22"/>
        </w:rPr>
        <w:t xml:space="preserve"> </w:t>
      </w:r>
      <w:r w:rsidR="00621DD5" w:rsidRPr="00621DD5">
        <w:rPr>
          <w:rFonts w:asciiTheme="minorHAnsi" w:hAnsiTheme="minorHAnsi" w:cstheme="minorHAnsi"/>
          <w:sz w:val="26"/>
          <w:szCs w:val="26"/>
        </w:rPr>
        <w:t>(footnotes omitted)</w:t>
      </w:r>
      <w:r w:rsidR="00D503B1">
        <w:rPr>
          <w:rFonts w:asciiTheme="minorHAnsi" w:hAnsiTheme="minorHAnsi" w:cstheme="minorHAnsi"/>
          <w:sz w:val="26"/>
          <w:szCs w:val="26"/>
        </w:rPr>
        <w:t xml:space="preserve"> (emphasis added)</w:t>
      </w:r>
    </w:p>
    <w:p w:rsidR="00F12E65" w:rsidRDefault="00F12E65" w:rsidP="00F12E65">
      <w:pPr>
        <w:pStyle w:val="ListParagraph"/>
        <w:rPr>
          <w:rFonts w:asciiTheme="minorHAnsi" w:hAnsiTheme="minorHAnsi" w:cstheme="minorHAnsi"/>
          <w:color w:val="242121"/>
          <w:sz w:val="26"/>
          <w:szCs w:val="26"/>
          <w:shd w:val="clear" w:color="auto" w:fill="FFFFFF"/>
        </w:rPr>
      </w:pPr>
    </w:p>
    <w:p w:rsidR="00F12E65" w:rsidRPr="002655B3" w:rsidRDefault="002655B3" w:rsidP="002655B3">
      <w:pPr>
        <w:spacing w:after="200" w:line="360" w:lineRule="auto"/>
        <w:ind w:left="851" w:hanging="851"/>
        <w:jc w:val="both"/>
        <w:rPr>
          <w:rFonts w:asciiTheme="minorHAnsi" w:hAnsiTheme="minorHAnsi" w:cstheme="minorHAnsi"/>
          <w:color w:val="242121"/>
          <w:sz w:val="26"/>
          <w:szCs w:val="26"/>
          <w:shd w:val="clear" w:color="auto" w:fill="FFFFFF"/>
        </w:rPr>
      </w:pPr>
      <w:r w:rsidRPr="00E46F0F">
        <w:rPr>
          <w:rFonts w:asciiTheme="minorHAnsi" w:hAnsiTheme="minorHAnsi"/>
          <w:color w:val="242121"/>
          <w:sz w:val="24"/>
          <w:szCs w:val="24"/>
        </w:rPr>
        <w:t>14.</w:t>
      </w:r>
      <w:r w:rsidRPr="00E46F0F">
        <w:rPr>
          <w:rFonts w:asciiTheme="minorHAnsi" w:hAnsiTheme="minorHAnsi"/>
          <w:color w:val="242121"/>
          <w:sz w:val="24"/>
          <w:szCs w:val="24"/>
        </w:rPr>
        <w:tab/>
      </w:r>
      <w:r w:rsidR="00F12E65" w:rsidRPr="002655B3">
        <w:rPr>
          <w:rFonts w:asciiTheme="minorHAnsi" w:hAnsiTheme="minorHAnsi" w:cstheme="minorHAnsi"/>
          <w:sz w:val="26"/>
          <w:szCs w:val="26"/>
        </w:rPr>
        <w:t>Uniform rule 32(3)(b) sets out what is required by a defendant resisting summary judgment. In Tumileng</w:t>
      </w:r>
      <w:r w:rsidR="00621DD5" w:rsidRPr="002655B3">
        <w:rPr>
          <w:rFonts w:asciiTheme="minorHAnsi" w:hAnsiTheme="minorHAnsi" w:cstheme="minorHAnsi"/>
          <w:i/>
          <w:sz w:val="26"/>
          <w:szCs w:val="26"/>
        </w:rPr>
        <w:t xml:space="preserve"> supra</w:t>
      </w:r>
      <w:r w:rsidR="006F6903" w:rsidRPr="002655B3">
        <w:rPr>
          <w:rFonts w:asciiTheme="minorHAnsi" w:hAnsiTheme="minorHAnsi" w:cstheme="minorHAnsi"/>
          <w:i/>
          <w:sz w:val="26"/>
          <w:szCs w:val="26"/>
        </w:rPr>
        <w:t>,</w:t>
      </w:r>
      <w:r w:rsidR="00F12E65" w:rsidRPr="002655B3">
        <w:rPr>
          <w:rFonts w:asciiTheme="minorHAnsi" w:hAnsiTheme="minorHAnsi" w:cstheme="minorHAnsi"/>
          <w:i/>
          <w:sz w:val="26"/>
          <w:szCs w:val="26"/>
        </w:rPr>
        <w:t xml:space="preserve"> </w:t>
      </w:r>
      <w:r w:rsidR="00F12E65" w:rsidRPr="002655B3">
        <w:rPr>
          <w:rFonts w:asciiTheme="minorHAnsi" w:hAnsiTheme="minorHAnsi" w:cstheme="minorHAnsi"/>
          <w:sz w:val="26"/>
          <w:szCs w:val="26"/>
        </w:rPr>
        <w:t xml:space="preserve">Binns-Ward J undertook a detailed analysis of the implications of the amendments to the rule, and </w:t>
      </w:r>
      <w:r w:rsidR="008108ED" w:rsidRPr="002655B3">
        <w:rPr>
          <w:rFonts w:asciiTheme="minorHAnsi" w:hAnsiTheme="minorHAnsi" w:cstheme="minorHAnsi"/>
          <w:sz w:val="26"/>
          <w:szCs w:val="26"/>
        </w:rPr>
        <w:t xml:space="preserve">at paragraphs 24 and 25 of the judgment, </w:t>
      </w:r>
      <w:r w:rsidR="00F12E65" w:rsidRPr="002655B3">
        <w:rPr>
          <w:rFonts w:asciiTheme="minorHAnsi" w:hAnsiTheme="minorHAnsi" w:cstheme="minorHAnsi"/>
          <w:sz w:val="26"/>
          <w:szCs w:val="26"/>
        </w:rPr>
        <w:t xml:space="preserve">had </w:t>
      </w:r>
      <w:r w:rsidR="008108ED" w:rsidRPr="002655B3">
        <w:rPr>
          <w:rFonts w:asciiTheme="minorHAnsi" w:hAnsiTheme="minorHAnsi" w:cstheme="minorHAnsi"/>
          <w:sz w:val="26"/>
          <w:szCs w:val="26"/>
        </w:rPr>
        <w:t>the following</w:t>
      </w:r>
      <w:r w:rsidR="00F12E65" w:rsidRPr="002655B3">
        <w:rPr>
          <w:rFonts w:asciiTheme="minorHAnsi" w:hAnsiTheme="minorHAnsi" w:cstheme="minorHAnsi"/>
          <w:sz w:val="26"/>
          <w:szCs w:val="26"/>
        </w:rPr>
        <w:t xml:space="preserve"> to say about this requirement:</w:t>
      </w:r>
    </w:p>
    <w:p w:rsidR="00F12E65" w:rsidRPr="00E46F0F" w:rsidRDefault="00F12E65" w:rsidP="00F12E65">
      <w:pPr>
        <w:pStyle w:val="ListParagraph"/>
        <w:rPr>
          <w:rFonts w:asciiTheme="minorHAnsi" w:hAnsiTheme="minorHAnsi" w:cstheme="minorHAnsi"/>
          <w:sz w:val="26"/>
          <w:szCs w:val="26"/>
        </w:rPr>
      </w:pPr>
    </w:p>
    <w:p w:rsidR="00F12E65" w:rsidRPr="00F12E65" w:rsidRDefault="00F12E65" w:rsidP="00F12E65">
      <w:pPr>
        <w:pStyle w:val="ListParagraph"/>
        <w:spacing w:after="200" w:line="360" w:lineRule="auto"/>
        <w:ind w:left="851"/>
        <w:jc w:val="both"/>
        <w:rPr>
          <w:rFonts w:asciiTheme="minorHAnsi" w:hAnsiTheme="minorHAnsi" w:cstheme="minorHAnsi"/>
          <w:sz w:val="22"/>
          <w:szCs w:val="22"/>
        </w:rPr>
      </w:pPr>
      <w:r w:rsidRPr="00F12E65">
        <w:rPr>
          <w:rFonts w:asciiTheme="minorHAnsi" w:hAnsiTheme="minorHAnsi" w:cstheme="minorHAnsi"/>
          <w:color w:val="242121"/>
          <w:sz w:val="22"/>
          <w:szCs w:val="22"/>
          <w:shd w:val="clear" w:color="auto" w:fill="FFFFFF"/>
        </w:rPr>
        <w:t>“</w:t>
      </w:r>
      <w:r w:rsidRPr="00F12E65">
        <w:rPr>
          <w:rFonts w:asciiTheme="minorHAnsi" w:hAnsiTheme="minorHAnsi" w:cstheme="minorHAnsi"/>
          <w:sz w:val="22"/>
          <w:szCs w:val="22"/>
        </w:rPr>
        <w:t>[24]... As has always been the position, the opposing affidavit must ‘disclose fully the nature and grounds of the defence and the material facts relied upon therefor’. The purpose of the opposing affidavit also remains, as historically the case, to demonstrate that the defendant ‘has a bona fide defence to the action’....</w:t>
      </w:r>
    </w:p>
    <w:p w:rsidR="00F12E65" w:rsidRDefault="00F12E65" w:rsidP="00F12E65">
      <w:pPr>
        <w:pStyle w:val="ListParagraph"/>
        <w:spacing w:after="200" w:line="360" w:lineRule="auto"/>
        <w:ind w:left="851"/>
        <w:jc w:val="both"/>
        <w:rPr>
          <w:rFonts w:asciiTheme="minorHAnsi" w:hAnsiTheme="minorHAnsi" w:cstheme="minorHAnsi"/>
          <w:sz w:val="22"/>
          <w:szCs w:val="22"/>
        </w:rPr>
      </w:pPr>
    </w:p>
    <w:p w:rsidR="00F12E65" w:rsidRPr="00F12E65" w:rsidRDefault="00F12E65" w:rsidP="00F12E65">
      <w:pPr>
        <w:pStyle w:val="ListParagraph"/>
        <w:spacing w:after="200" w:line="360" w:lineRule="auto"/>
        <w:ind w:left="851"/>
        <w:jc w:val="both"/>
        <w:rPr>
          <w:rFonts w:asciiTheme="minorHAnsi" w:hAnsiTheme="minorHAnsi" w:cstheme="minorHAnsi"/>
          <w:sz w:val="22"/>
          <w:szCs w:val="22"/>
        </w:rPr>
      </w:pPr>
      <w:r w:rsidRPr="00F12E65">
        <w:rPr>
          <w:rFonts w:asciiTheme="minorHAnsi" w:hAnsiTheme="minorHAnsi" w:cstheme="minorHAnsi"/>
          <w:sz w:val="22"/>
          <w:szCs w:val="22"/>
        </w:rPr>
        <w:lastRenderedPageBreak/>
        <w:t>[25] The assessment of whether a defence is bona fide is made with regard to the manner in which it has been substantiated in the opposing affidavit; viz. upon a consideration of the extent to which ‘the nature and grounds of the defence and the material facts relied upon therefor’ have been canvassed by the deponent. That was the method by which the court traditionally tested, insofar as it was possible on paper, whether the defence described by the defendant was ‘contrived’, in other words not bona fide. And the amended subrule 32(3)(b) implies that it should continue to be the indicated method.</w:t>
      </w:r>
      <w:r>
        <w:rPr>
          <w:rFonts w:asciiTheme="minorHAnsi" w:hAnsiTheme="minorHAnsi" w:cstheme="minorHAnsi"/>
          <w:sz w:val="22"/>
          <w:szCs w:val="22"/>
        </w:rPr>
        <w:t>”</w:t>
      </w:r>
    </w:p>
    <w:p w:rsidR="00F12E65" w:rsidRPr="00F12E65" w:rsidRDefault="00F12E65" w:rsidP="00F12E65">
      <w:pPr>
        <w:pStyle w:val="ListParagraph"/>
        <w:rPr>
          <w:rFonts w:asciiTheme="minorHAnsi" w:hAnsiTheme="minorHAnsi" w:cstheme="minorHAnsi"/>
          <w:color w:val="242121"/>
          <w:sz w:val="26"/>
          <w:szCs w:val="26"/>
          <w:shd w:val="clear" w:color="auto" w:fill="FFFFFF"/>
        </w:rPr>
      </w:pPr>
    </w:p>
    <w:p w:rsidR="00AC60FC" w:rsidRPr="002655B3" w:rsidRDefault="002655B3" w:rsidP="002655B3">
      <w:pPr>
        <w:spacing w:after="200" w:line="360" w:lineRule="auto"/>
        <w:ind w:left="851" w:hanging="851"/>
        <w:jc w:val="both"/>
        <w:rPr>
          <w:rFonts w:asciiTheme="minorHAnsi" w:hAnsiTheme="minorHAnsi" w:cstheme="minorHAnsi"/>
          <w:sz w:val="26"/>
          <w:szCs w:val="26"/>
        </w:rPr>
      </w:pPr>
      <w:r w:rsidRPr="00F12E65">
        <w:rPr>
          <w:rFonts w:asciiTheme="minorHAnsi" w:hAnsiTheme="minorHAnsi"/>
          <w:sz w:val="24"/>
          <w:szCs w:val="24"/>
        </w:rPr>
        <w:t>15.</w:t>
      </w:r>
      <w:r w:rsidRPr="00F12E65">
        <w:rPr>
          <w:rFonts w:asciiTheme="minorHAnsi" w:hAnsiTheme="minorHAnsi"/>
          <w:sz w:val="24"/>
          <w:szCs w:val="24"/>
        </w:rPr>
        <w:tab/>
      </w:r>
      <w:r w:rsidR="00F12E65" w:rsidRPr="002655B3">
        <w:rPr>
          <w:rFonts w:asciiTheme="minorHAnsi" w:hAnsiTheme="minorHAnsi" w:cstheme="minorHAnsi"/>
          <w:sz w:val="26"/>
          <w:szCs w:val="26"/>
        </w:rPr>
        <w:t>The defendants’ opposing affidavits dealt only with a limited number of technical issues, and by no means addressed the issues referred to by the plaintiff when it dealt with the defences raised in the defendant’s plea.</w:t>
      </w:r>
      <w:r w:rsidR="008108ED" w:rsidRPr="002655B3">
        <w:rPr>
          <w:rFonts w:asciiTheme="minorHAnsi" w:hAnsiTheme="minorHAnsi" w:cstheme="minorHAnsi"/>
          <w:sz w:val="26"/>
          <w:szCs w:val="26"/>
        </w:rPr>
        <w:t xml:space="preserve"> </w:t>
      </w:r>
      <w:r w:rsidR="00580198" w:rsidRPr="002655B3">
        <w:rPr>
          <w:rFonts w:asciiTheme="minorHAnsi" w:hAnsiTheme="minorHAnsi" w:cstheme="minorHAnsi"/>
          <w:sz w:val="26"/>
          <w:szCs w:val="26"/>
        </w:rPr>
        <w:t xml:space="preserve">They </w:t>
      </w:r>
      <w:r w:rsidR="008108ED" w:rsidRPr="002655B3">
        <w:rPr>
          <w:rFonts w:asciiTheme="minorHAnsi" w:hAnsiTheme="minorHAnsi" w:cstheme="minorHAnsi"/>
          <w:sz w:val="26"/>
          <w:szCs w:val="26"/>
        </w:rPr>
        <w:t xml:space="preserve">failed to satisfy the requirements of rule 32(3)(b) and dismally failed to back up </w:t>
      </w:r>
      <w:r w:rsidR="00580198" w:rsidRPr="002655B3">
        <w:rPr>
          <w:rFonts w:asciiTheme="minorHAnsi" w:hAnsiTheme="minorHAnsi" w:cstheme="minorHAnsi"/>
          <w:sz w:val="26"/>
          <w:szCs w:val="26"/>
        </w:rPr>
        <w:t>their</w:t>
      </w:r>
      <w:r w:rsidR="008108ED" w:rsidRPr="002655B3">
        <w:rPr>
          <w:rFonts w:asciiTheme="minorHAnsi" w:hAnsiTheme="minorHAnsi" w:cstheme="minorHAnsi"/>
          <w:sz w:val="26"/>
          <w:szCs w:val="26"/>
        </w:rPr>
        <w:t xml:space="preserve"> bald plea with substantiating particularity.</w:t>
      </w:r>
      <w:r w:rsidR="00F12E65" w:rsidRPr="002655B3">
        <w:rPr>
          <w:rFonts w:asciiTheme="minorHAnsi" w:hAnsiTheme="minorHAnsi" w:cstheme="minorHAnsi"/>
          <w:sz w:val="26"/>
          <w:szCs w:val="26"/>
        </w:rPr>
        <w:t xml:space="preserve"> </w:t>
      </w:r>
      <w:r w:rsidR="00B74758" w:rsidRPr="002655B3">
        <w:rPr>
          <w:rFonts w:asciiTheme="minorHAnsi" w:hAnsiTheme="minorHAnsi" w:cstheme="minorHAnsi"/>
          <w:sz w:val="26"/>
          <w:szCs w:val="26"/>
          <w:shd w:val="clear" w:color="auto" w:fill="FFFFFF"/>
        </w:rPr>
        <w:t>The defendants</w:t>
      </w:r>
      <w:r w:rsidR="00E5077C" w:rsidRPr="002655B3">
        <w:rPr>
          <w:rFonts w:asciiTheme="minorHAnsi" w:hAnsiTheme="minorHAnsi" w:cstheme="minorHAnsi"/>
          <w:sz w:val="26"/>
          <w:szCs w:val="26"/>
          <w:shd w:val="clear" w:color="auto" w:fill="FFFFFF"/>
        </w:rPr>
        <w:t>’</w:t>
      </w:r>
      <w:r w:rsidR="00B74758" w:rsidRPr="002655B3">
        <w:rPr>
          <w:rFonts w:asciiTheme="minorHAnsi" w:hAnsiTheme="minorHAnsi" w:cstheme="minorHAnsi"/>
          <w:sz w:val="26"/>
          <w:szCs w:val="26"/>
          <w:shd w:val="clear" w:color="auto" w:fill="FFFFFF"/>
        </w:rPr>
        <w:t xml:space="preserve"> opposing affidavit</w:t>
      </w:r>
      <w:r w:rsidR="00E5077C" w:rsidRPr="002655B3">
        <w:rPr>
          <w:rFonts w:asciiTheme="minorHAnsi" w:hAnsiTheme="minorHAnsi" w:cstheme="minorHAnsi"/>
          <w:sz w:val="26"/>
          <w:szCs w:val="26"/>
          <w:shd w:val="clear" w:color="auto" w:fill="FFFFFF"/>
        </w:rPr>
        <w:t>s</w:t>
      </w:r>
      <w:r w:rsidR="00B74758" w:rsidRPr="002655B3">
        <w:rPr>
          <w:rFonts w:asciiTheme="minorHAnsi" w:hAnsiTheme="minorHAnsi" w:cstheme="minorHAnsi"/>
          <w:sz w:val="26"/>
          <w:szCs w:val="26"/>
          <w:shd w:val="clear" w:color="auto" w:fill="FFFFFF"/>
        </w:rPr>
        <w:t xml:space="preserve">, seen in isolation and absent the </w:t>
      </w:r>
      <w:r w:rsidR="007E2749" w:rsidRPr="002655B3">
        <w:rPr>
          <w:rFonts w:asciiTheme="minorHAnsi" w:hAnsiTheme="minorHAnsi" w:cstheme="minorHAnsi"/>
          <w:sz w:val="26"/>
          <w:szCs w:val="26"/>
          <w:shd w:val="clear" w:color="auto" w:fill="FFFFFF"/>
        </w:rPr>
        <w:t>technical defences</w:t>
      </w:r>
      <w:r w:rsidR="00B74758" w:rsidRPr="002655B3">
        <w:rPr>
          <w:rFonts w:asciiTheme="minorHAnsi" w:hAnsiTheme="minorHAnsi" w:cstheme="minorHAnsi"/>
          <w:sz w:val="26"/>
          <w:szCs w:val="26"/>
          <w:shd w:val="clear" w:color="auto" w:fill="FFFFFF"/>
        </w:rPr>
        <w:t xml:space="preserve"> raised </w:t>
      </w:r>
      <w:r w:rsidR="00E5077C" w:rsidRPr="002655B3">
        <w:rPr>
          <w:rFonts w:asciiTheme="minorHAnsi" w:hAnsiTheme="minorHAnsi" w:cstheme="minorHAnsi"/>
          <w:sz w:val="26"/>
          <w:szCs w:val="26"/>
          <w:shd w:val="clear" w:color="auto" w:fill="FFFFFF"/>
        </w:rPr>
        <w:t>therein,</w:t>
      </w:r>
      <w:r w:rsidR="00B74758" w:rsidRPr="002655B3">
        <w:rPr>
          <w:rFonts w:asciiTheme="minorHAnsi" w:hAnsiTheme="minorHAnsi" w:cstheme="minorHAnsi"/>
          <w:sz w:val="26"/>
          <w:szCs w:val="26"/>
          <w:shd w:val="clear" w:color="auto" w:fill="FFFFFF"/>
        </w:rPr>
        <w:t xml:space="preserve"> </w:t>
      </w:r>
      <w:r w:rsidR="00E5077C" w:rsidRPr="002655B3">
        <w:rPr>
          <w:rFonts w:asciiTheme="minorHAnsi" w:hAnsiTheme="minorHAnsi" w:cstheme="minorHAnsi"/>
          <w:sz w:val="26"/>
          <w:szCs w:val="26"/>
          <w:shd w:val="clear" w:color="auto" w:fill="FFFFFF"/>
        </w:rPr>
        <w:t xml:space="preserve">do not </w:t>
      </w:r>
      <w:r w:rsidR="007E2749" w:rsidRPr="002655B3">
        <w:rPr>
          <w:rFonts w:asciiTheme="minorHAnsi" w:hAnsiTheme="minorHAnsi" w:cstheme="minorHAnsi"/>
          <w:sz w:val="26"/>
          <w:szCs w:val="26"/>
          <w:shd w:val="clear" w:color="auto" w:fill="FFFFFF"/>
        </w:rPr>
        <w:t xml:space="preserve">identify nor do they </w:t>
      </w:r>
      <w:r w:rsidR="00E5077C" w:rsidRPr="002655B3">
        <w:rPr>
          <w:rFonts w:asciiTheme="minorHAnsi" w:hAnsiTheme="minorHAnsi" w:cstheme="minorHAnsi"/>
          <w:sz w:val="26"/>
          <w:szCs w:val="26"/>
          <w:shd w:val="clear" w:color="auto" w:fill="FFFFFF"/>
        </w:rPr>
        <w:t xml:space="preserve">substantiate </w:t>
      </w:r>
      <w:r w:rsidR="007E2749" w:rsidRPr="002655B3">
        <w:rPr>
          <w:rFonts w:asciiTheme="minorHAnsi" w:hAnsiTheme="minorHAnsi" w:cstheme="minorHAnsi"/>
          <w:sz w:val="26"/>
          <w:szCs w:val="26"/>
          <w:shd w:val="clear" w:color="auto" w:fill="FFFFFF"/>
        </w:rPr>
        <w:t>a</w:t>
      </w:r>
      <w:r w:rsidR="007E2749" w:rsidRPr="002655B3">
        <w:rPr>
          <w:rFonts w:asciiTheme="minorHAnsi" w:hAnsiTheme="minorHAnsi" w:cstheme="minorHAnsi"/>
          <w:color w:val="242121"/>
          <w:sz w:val="26"/>
          <w:szCs w:val="26"/>
          <w:shd w:val="clear" w:color="auto" w:fill="FFFFFF"/>
        </w:rPr>
        <w:t xml:space="preserve"> </w:t>
      </w:r>
      <w:r w:rsidR="00D503B1" w:rsidRPr="002655B3">
        <w:rPr>
          <w:rFonts w:asciiTheme="minorHAnsi" w:hAnsiTheme="minorHAnsi" w:cstheme="minorHAnsi"/>
          <w:sz w:val="26"/>
          <w:szCs w:val="26"/>
        </w:rPr>
        <w:t>triable</w:t>
      </w:r>
      <w:r w:rsidR="007E2749" w:rsidRPr="002655B3">
        <w:rPr>
          <w:rFonts w:asciiTheme="minorHAnsi" w:hAnsiTheme="minorHAnsi" w:cstheme="minorHAnsi"/>
          <w:sz w:val="26"/>
          <w:szCs w:val="26"/>
        </w:rPr>
        <w:t xml:space="preserve"> defence</w:t>
      </w:r>
      <w:r w:rsidR="00E5077C" w:rsidRPr="002655B3">
        <w:rPr>
          <w:rFonts w:asciiTheme="minorHAnsi" w:hAnsiTheme="minorHAnsi" w:cstheme="minorHAnsi"/>
          <w:color w:val="242121"/>
          <w:sz w:val="26"/>
          <w:szCs w:val="26"/>
          <w:shd w:val="clear" w:color="auto" w:fill="FFFFFF"/>
        </w:rPr>
        <w:t xml:space="preserve"> </w:t>
      </w:r>
      <w:r w:rsidR="00D503B1" w:rsidRPr="002655B3">
        <w:rPr>
          <w:rFonts w:asciiTheme="minorHAnsi" w:hAnsiTheme="minorHAnsi" w:cstheme="minorHAnsi"/>
          <w:color w:val="242121"/>
          <w:sz w:val="26"/>
          <w:szCs w:val="26"/>
          <w:shd w:val="clear" w:color="auto" w:fill="FFFFFF"/>
        </w:rPr>
        <w:t>‘</w:t>
      </w:r>
      <w:r w:rsidR="007E2749" w:rsidRPr="002655B3">
        <w:rPr>
          <w:rFonts w:asciiTheme="minorHAnsi" w:hAnsiTheme="minorHAnsi" w:cstheme="minorHAnsi"/>
          <w:sz w:val="26"/>
          <w:szCs w:val="26"/>
          <w:shd w:val="clear" w:color="auto" w:fill="FFFFFF"/>
        </w:rPr>
        <w:t>on the face of it</w:t>
      </w:r>
      <w:r w:rsidR="00D503B1" w:rsidRPr="002655B3">
        <w:rPr>
          <w:rFonts w:asciiTheme="minorHAnsi" w:hAnsiTheme="minorHAnsi" w:cstheme="minorHAnsi"/>
          <w:sz w:val="26"/>
          <w:szCs w:val="26"/>
          <w:shd w:val="clear" w:color="auto" w:fill="FFFFFF"/>
        </w:rPr>
        <w:t>’</w:t>
      </w:r>
      <w:r w:rsidR="00740DAE" w:rsidRPr="002655B3">
        <w:rPr>
          <w:rFonts w:asciiTheme="minorHAnsi" w:hAnsiTheme="minorHAnsi" w:cstheme="minorHAnsi"/>
          <w:sz w:val="26"/>
          <w:szCs w:val="26"/>
          <w:shd w:val="clear" w:color="auto" w:fill="FFFFFF"/>
        </w:rPr>
        <w:t xml:space="preserve"> in the sense conveyed by Binns-Ward J in the </w:t>
      </w:r>
      <w:r w:rsidR="00740DAE" w:rsidRPr="002655B3">
        <w:rPr>
          <w:rFonts w:asciiTheme="minorHAnsi" w:hAnsiTheme="minorHAnsi" w:cstheme="minorHAnsi"/>
          <w:i/>
          <w:sz w:val="26"/>
          <w:szCs w:val="26"/>
          <w:shd w:val="clear" w:color="auto" w:fill="FFFFFF"/>
        </w:rPr>
        <w:t>Tumileng case</w:t>
      </w:r>
      <w:r w:rsidR="00740DAE" w:rsidRPr="002655B3">
        <w:rPr>
          <w:rFonts w:asciiTheme="minorHAnsi" w:hAnsiTheme="minorHAnsi" w:cstheme="minorHAnsi"/>
          <w:i/>
          <w:color w:val="242121"/>
          <w:sz w:val="26"/>
          <w:szCs w:val="26"/>
          <w:shd w:val="clear" w:color="auto" w:fill="FFFFFF"/>
        </w:rPr>
        <w:t>.</w:t>
      </w:r>
      <w:r w:rsidR="00B74758" w:rsidRPr="002655B3">
        <w:rPr>
          <w:rFonts w:asciiTheme="minorHAnsi" w:hAnsiTheme="minorHAnsi" w:cstheme="minorHAnsi"/>
          <w:color w:val="242121"/>
          <w:sz w:val="26"/>
          <w:szCs w:val="26"/>
          <w:shd w:val="clear" w:color="auto" w:fill="FFFFFF"/>
        </w:rPr>
        <w:t xml:space="preserve"> </w:t>
      </w:r>
      <w:r w:rsidR="00C81A74" w:rsidRPr="002655B3">
        <w:rPr>
          <w:rFonts w:asciiTheme="minorHAnsi" w:hAnsiTheme="minorHAnsi" w:cstheme="minorHAnsi"/>
          <w:sz w:val="26"/>
          <w:szCs w:val="26"/>
        </w:rPr>
        <w:t>Put differently, h</w:t>
      </w:r>
      <w:r w:rsidR="004A0862" w:rsidRPr="002655B3">
        <w:rPr>
          <w:rFonts w:asciiTheme="minorHAnsi" w:hAnsiTheme="minorHAnsi" w:cstheme="minorHAnsi"/>
          <w:sz w:val="26"/>
          <w:szCs w:val="26"/>
        </w:rPr>
        <w:t xml:space="preserve">aving regard to </w:t>
      </w:r>
      <w:r w:rsidR="00AB5583" w:rsidRPr="002655B3">
        <w:rPr>
          <w:rFonts w:asciiTheme="minorHAnsi" w:hAnsiTheme="minorHAnsi" w:cstheme="minorHAnsi"/>
          <w:sz w:val="26"/>
          <w:szCs w:val="26"/>
        </w:rPr>
        <w:t>the obvious deficiencies in the opposing affidavit</w:t>
      </w:r>
      <w:r w:rsidR="004A0862" w:rsidRPr="002655B3">
        <w:rPr>
          <w:rFonts w:asciiTheme="minorHAnsi" w:hAnsiTheme="minorHAnsi" w:cstheme="minorHAnsi"/>
          <w:sz w:val="26"/>
          <w:szCs w:val="26"/>
        </w:rPr>
        <w:t>s</w:t>
      </w:r>
      <w:r w:rsidR="00C81A74" w:rsidRPr="002655B3">
        <w:rPr>
          <w:rFonts w:asciiTheme="minorHAnsi" w:hAnsiTheme="minorHAnsi" w:cstheme="minorHAnsi"/>
          <w:sz w:val="26"/>
          <w:szCs w:val="26"/>
        </w:rPr>
        <w:t xml:space="preserve"> identified in the preceding paragraphs</w:t>
      </w:r>
      <w:r w:rsidR="00B74758" w:rsidRPr="002655B3">
        <w:rPr>
          <w:rFonts w:asciiTheme="minorHAnsi" w:hAnsiTheme="minorHAnsi" w:cstheme="minorHAnsi"/>
          <w:sz w:val="26"/>
          <w:szCs w:val="26"/>
        </w:rPr>
        <w:t>,</w:t>
      </w:r>
      <w:r w:rsidR="004A0862" w:rsidRPr="002655B3">
        <w:rPr>
          <w:rFonts w:asciiTheme="minorHAnsi" w:hAnsiTheme="minorHAnsi" w:cstheme="minorHAnsi"/>
          <w:sz w:val="26"/>
          <w:szCs w:val="26"/>
        </w:rPr>
        <w:t xml:space="preserve"> I </w:t>
      </w:r>
      <w:r w:rsidR="00713A1D" w:rsidRPr="002655B3">
        <w:rPr>
          <w:rFonts w:asciiTheme="minorHAnsi" w:hAnsiTheme="minorHAnsi" w:cstheme="minorHAnsi"/>
          <w:sz w:val="26"/>
          <w:szCs w:val="26"/>
        </w:rPr>
        <w:t>have</w:t>
      </w:r>
      <w:r w:rsidR="00E5077C" w:rsidRPr="002655B3">
        <w:rPr>
          <w:rFonts w:asciiTheme="minorHAnsi" w:hAnsiTheme="minorHAnsi" w:cstheme="minorHAnsi"/>
          <w:sz w:val="26"/>
          <w:szCs w:val="26"/>
        </w:rPr>
        <w:t xml:space="preserve"> </w:t>
      </w:r>
      <w:r w:rsidR="00A14BDC" w:rsidRPr="002655B3">
        <w:rPr>
          <w:rFonts w:asciiTheme="minorHAnsi" w:hAnsiTheme="minorHAnsi" w:cstheme="minorHAnsi"/>
          <w:sz w:val="26"/>
          <w:szCs w:val="26"/>
        </w:rPr>
        <w:t xml:space="preserve">grave </w:t>
      </w:r>
      <w:r w:rsidR="00E5077C" w:rsidRPr="002655B3">
        <w:rPr>
          <w:rFonts w:asciiTheme="minorHAnsi" w:hAnsiTheme="minorHAnsi" w:cstheme="minorHAnsi"/>
          <w:sz w:val="26"/>
          <w:szCs w:val="26"/>
        </w:rPr>
        <w:t xml:space="preserve">difficulty in </w:t>
      </w:r>
      <w:r w:rsidR="007E2749" w:rsidRPr="002655B3">
        <w:rPr>
          <w:rFonts w:asciiTheme="minorHAnsi" w:hAnsiTheme="minorHAnsi" w:cstheme="minorHAnsi"/>
          <w:sz w:val="26"/>
          <w:szCs w:val="26"/>
        </w:rPr>
        <w:t>finding</w:t>
      </w:r>
      <w:r w:rsidR="00E5077C" w:rsidRPr="002655B3">
        <w:rPr>
          <w:rFonts w:asciiTheme="minorHAnsi" w:hAnsiTheme="minorHAnsi" w:cstheme="minorHAnsi"/>
          <w:sz w:val="26"/>
          <w:szCs w:val="26"/>
        </w:rPr>
        <w:t xml:space="preserve"> that</w:t>
      </w:r>
      <w:r w:rsidR="004A0862" w:rsidRPr="002655B3">
        <w:rPr>
          <w:rFonts w:asciiTheme="minorHAnsi" w:hAnsiTheme="minorHAnsi" w:cstheme="minorHAnsi"/>
          <w:sz w:val="26"/>
          <w:szCs w:val="26"/>
        </w:rPr>
        <w:t xml:space="preserve"> the ostensible defences </w:t>
      </w:r>
      <w:r w:rsidR="00A14BDC" w:rsidRPr="002655B3">
        <w:rPr>
          <w:rFonts w:asciiTheme="minorHAnsi" w:hAnsiTheme="minorHAnsi" w:cstheme="minorHAnsi"/>
          <w:sz w:val="26"/>
          <w:szCs w:val="26"/>
        </w:rPr>
        <w:t xml:space="preserve">to be </w:t>
      </w:r>
      <w:r w:rsidR="00E5077C" w:rsidRPr="002655B3">
        <w:rPr>
          <w:rFonts w:asciiTheme="minorHAnsi" w:hAnsiTheme="minorHAnsi" w:cstheme="minorHAnsi"/>
          <w:sz w:val="26"/>
          <w:szCs w:val="26"/>
        </w:rPr>
        <w:t>deduced from</w:t>
      </w:r>
      <w:r w:rsidR="004A0862" w:rsidRPr="002655B3">
        <w:rPr>
          <w:rFonts w:asciiTheme="minorHAnsi" w:hAnsiTheme="minorHAnsi" w:cstheme="minorHAnsi"/>
          <w:sz w:val="26"/>
          <w:szCs w:val="26"/>
        </w:rPr>
        <w:t xml:space="preserve"> the plea </w:t>
      </w:r>
      <w:r w:rsidR="007E2749" w:rsidRPr="002655B3">
        <w:rPr>
          <w:rFonts w:asciiTheme="minorHAnsi" w:hAnsiTheme="minorHAnsi" w:cstheme="minorHAnsi"/>
          <w:sz w:val="26"/>
          <w:szCs w:val="26"/>
        </w:rPr>
        <w:t>arising from</w:t>
      </w:r>
      <w:r w:rsidR="00621DD5" w:rsidRPr="002655B3">
        <w:rPr>
          <w:rFonts w:asciiTheme="minorHAnsi" w:hAnsiTheme="minorHAnsi" w:cstheme="minorHAnsi"/>
          <w:sz w:val="26"/>
          <w:szCs w:val="26"/>
        </w:rPr>
        <w:t xml:space="preserve"> the</w:t>
      </w:r>
      <w:r w:rsidR="00E5077C" w:rsidRPr="002655B3">
        <w:rPr>
          <w:rFonts w:asciiTheme="minorHAnsi" w:hAnsiTheme="minorHAnsi" w:cstheme="minorHAnsi"/>
          <w:sz w:val="26"/>
          <w:szCs w:val="26"/>
        </w:rPr>
        <w:t xml:space="preserve"> </w:t>
      </w:r>
      <w:r w:rsidR="00740DAE" w:rsidRPr="002655B3">
        <w:rPr>
          <w:rFonts w:asciiTheme="minorHAnsi" w:hAnsiTheme="minorHAnsi" w:cstheme="minorHAnsi"/>
          <w:sz w:val="26"/>
          <w:szCs w:val="26"/>
        </w:rPr>
        <w:t>various</w:t>
      </w:r>
      <w:r w:rsidR="00C81A74" w:rsidRPr="002655B3">
        <w:rPr>
          <w:rFonts w:asciiTheme="minorHAnsi" w:hAnsiTheme="minorHAnsi" w:cstheme="minorHAnsi"/>
          <w:sz w:val="26"/>
          <w:szCs w:val="26"/>
        </w:rPr>
        <w:t xml:space="preserve"> denials</w:t>
      </w:r>
      <w:r w:rsidR="008108ED" w:rsidRPr="002655B3">
        <w:rPr>
          <w:rFonts w:asciiTheme="minorHAnsi" w:hAnsiTheme="minorHAnsi" w:cstheme="minorHAnsi"/>
          <w:sz w:val="26"/>
          <w:szCs w:val="26"/>
        </w:rPr>
        <w:t>,</w:t>
      </w:r>
      <w:r w:rsidR="00472D9E" w:rsidRPr="002655B3">
        <w:rPr>
          <w:rFonts w:asciiTheme="minorHAnsi" w:hAnsiTheme="minorHAnsi" w:cstheme="minorHAnsi"/>
          <w:sz w:val="26"/>
          <w:szCs w:val="26"/>
        </w:rPr>
        <w:t xml:space="preserve"> including </w:t>
      </w:r>
      <w:r w:rsidR="007E2749" w:rsidRPr="002655B3">
        <w:rPr>
          <w:rFonts w:asciiTheme="minorHAnsi" w:hAnsiTheme="minorHAnsi" w:cstheme="minorHAnsi"/>
          <w:sz w:val="26"/>
          <w:szCs w:val="26"/>
        </w:rPr>
        <w:t>a</w:t>
      </w:r>
      <w:r w:rsidR="00472D9E" w:rsidRPr="002655B3">
        <w:rPr>
          <w:rFonts w:asciiTheme="minorHAnsi" w:hAnsiTheme="minorHAnsi" w:cstheme="minorHAnsi"/>
          <w:sz w:val="26"/>
          <w:szCs w:val="26"/>
        </w:rPr>
        <w:t xml:space="preserve"> denial of any liability to the plaintiff,</w:t>
      </w:r>
      <w:r w:rsidR="00C81A74" w:rsidRPr="002655B3">
        <w:rPr>
          <w:rFonts w:asciiTheme="minorHAnsi" w:hAnsiTheme="minorHAnsi" w:cstheme="minorHAnsi"/>
          <w:sz w:val="26"/>
          <w:szCs w:val="26"/>
        </w:rPr>
        <w:t xml:space="preserve"> </w:t>
      </w:r>
      <w:r w:rsidR="004A0862" w:rsidRPr="002655B3">
        <w:rPr>
          <w:rFonts w:asciiTheme="minorHAnsi" w:hAnsiTheme="minorHAnsi" w:cstheme="minorHAnsi"/>
          <w:sz w:val="26"/>
          <w:szCs w:val="26"/>
        </w:rPr>
        <w:t xml:space="preserve">have been </w:t>
      </w:r>
      <w:r w:rsidR="007E2749" w:rsidRPr="002655B3">
        <w:rPr>
          <w:rFonts w:asciiTheme="minorHAnsi" w:hAnsiTheme="minorHAnsi" w:cstheme="minorHAnsi"/>
          <w:sz w:val="26"/>
          <w:szCs w:val="26"/>
        </w:rPr>
        <w:t xml:space="preserve">shown to </w:t>
      </w:r>
      <w:r w:rsidR="00580198" w:rsidRPr="002655B3">
        <w:rPr>
          <w:rFonts w:asciiTheme="minorHAnsi" w:hAnsiTheme="minorHAnsi" w:cstheme="minorHAnsi"/>
          <w:sz w:val="26"/>
          <w:szCs w:val="26"/>
        </w:rPr>
        <w:t xml:space="preserve">have </w:t>
      </w:r>
      <w:r w:rsidR="007E2749" w:rsidRPr="002655B3">
        <w:rPr>
          <w:rFonts w:asciiTheme="minorHAnsi" w:hAnsiTheme="minorHAnsi" w:cstheme="minorHAnsi"/>
          <w:sz w:val="26"/>
          <w:szCs w:val="26"/>
        </w:rPr>
        <w:t>be</w:t>
      </w:r>
      <w:r w:rsidR="00580198" w:rsidRPr="002655B3">
        <w:rPr>
          <w:rFonts w:asciiTheme="minorHAnsi" w:hAnsiTheme="minorHAnsi" w:cstheme="minorHAnsi"/>
          <w:sz w:val="26"/>
          <w:szCs w:val="26"/>
        </w:rPr>
        <w:t>en</w:t>
      </w:r>
      <w:r w:rsidR="007E2749" w:rsidRPr="002655B3">
        <w:rPr>
          <w:rFonts w:asciiTheme="minorHAnsi" w:hAnsiTheme="minorHAnsi" w:cstheme="minorHAnsi"/>
          <w:sz w:val="26"/>
          <w:szCs w:val="26"/>
        </w:rPr>
        <w:t xml:space="preserve"> </w:t>
      </w:r>
      <w:r w:rsidR="004A0862" w:rsidRPr="002655B3">
        <w:rPr>
          <w:rFonts w:asciiTheme="minorHAnsi" w:hAnsiTheme="minorHAnsi" w:cstheme="minorHAnsi"/>
          <w:sz w:val="26"/>
          <w:szCs w:val="26"/>
        </w:rPr>
        <w:t>genuinely advanced</w:t>
      </w:r>
      <w:r w:rsidR="00580198" w:rsidRPr="002655B3">
        <w:rPr>
          <w:rFonts w:asciiTheme="minorHAnsi" w:hAnsiTheme="minorHAnsi" w:cstheme="minorHAnsi"/>
          <w:sz w:val="26"/>
          <w:szCs w:val="26"/>
        </w:rPr>
        <w:t xml:space="preserve"> in these proceedings</w:t>
      </w:r>
      <w:r w:rsidR="004A0862" w:rsidRPr="002655B3">
        <w:rPr>
          <w:rFonts w:asciiTheme="minorHAnsi" w:hAnsiTheme="minorHAnsi" w:cstheme="minorHAnsi"/>
          <w:sz w:val="26"/>
          <w:szCs w:val="26"/>
        </w:rPr>
        <w:t>.</w:t>
      </w:r>
      <w:r w:rsidR="00713A1D">
        <w:rPr>
          <w:rStyle w:val="FootnoteReference"/>
          <w:rFonts w:asciiTheme="minorHAnsi" w:hAnsiTheme="minorHAnsi" w:cstheme="minorHAnsi"/>
          <w:sz w:val="26"/>
          <w:szCs w:val="26"/>
        </w:rPr>
        <w:footnoteReference w:id="16"/>
      </w:r>
      <w:r w:rsidR="004A0862" w:rsidRPr="002655B3">
        <w:rPr>
          <w:rFonts w:asciiTheme="minorHAnsi" w:hAnsiTheme="minorHAnsi" w:cstheme="minorHAnsi"/>
          <w:sz w:val="26"/>
          <w:szCs w:val="26"/>
        </w:rPr>
        <w:t xml:space="preserve"> </w:t>
      </w:r>
    </w:p>
    <w:p w:rsidR="00713A1D" w:rsidRDefault="00713A1D" w:rsidP="00AC60FC">
      <w:pPr>
        <w:pStyle w:val="ListParagraph"/>
        <w:rPr>
          <w:rFonts w:asciiTheme="minorHAnsi" w:hAnsiTheme="minorHAnsi" w:cstheme="minorHAnsi"/>
          <w:sz w:val="26"/>
          <w:szCs w:val="26"/>
        </w:rPr>
      </w:pPr>
    </w:p>
    <w:p w:rsidR="00A14BDC" w:rsidRPr="002655B3" w:rsidRDefault="002655B3" w:rsidP="002655B3">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16.</w:t>
      </w:r>
      <w:r>
        <w:rPr>
          <w:rFonts w:asciiTheme="minorHAnsi" w:hAnsiTheme="minorHAnsi"/>
          <w:sz w:val="24"/>
          <w:szCs w:val="24"/>
        </w:rPr>
        <w:tab/>
      </w:r>
      <w:r w:rsidR="00E463C5" w:rsidRPr="002655B3">
        <w:rPr>
          <w:rFonts w:asciiTheme="minorHAnsi" w:hAnsiTheme="minorHAnsi" w:cstheme="minorHAnsi"/>
          <w:sz w:val="26"/>
          <w:szCs w:val="26"/>
        </w:rPr>
        <w:t xml:space="preserve">I turn now to deal with </w:t>
      </w:r>
      <w:r w:rsidR="00580198" w:rsidRPr="002655B3">
        <w:rPr>
          <w:rFonts w:asciiTheme="minorHAnsi" w:hAnsiTheme="minorHAnsi" w:cstheme="minorHAnsi"/>
          <w:sz w:val="26"/>
          <w:szCs w:val="26"/>
        </w:rPr>
        <w:t xml:space="preserve">a </w:t>
      </w:r>
      <w:r w:rsidR="00E463C5" w:rsidRPr="002655B3">
        <w:rPr>
          <w:rFonts w:asciiTheme="minorHAnsi" w:hAnsiTheme="minorHAnsi" w:cstheme="minorHAnsi"/>
          <w:sz w:val="26"/>
          <w:szCs w:val="26"/>
        </w:rPr>
        <w:t xml:space="preserve">point </w:t>
      </w:r>
      <w:r w:rsidR="00E463C5" w:rsidRPr="002655B3">
        <w:rPr>
          <w:rFonts w:asciiTheme="minorHAnsi" w:hAnsiTheme="minorHAnsi" w:cstheme="minorHAnsi"/>
          <w:i/>
          <w:sz w:val="26"/>
          <w:szCs w:val="26"/>
        </w:rPr>
        <w:t>in limine</w:t>
      </w:r>
      <w:r w:rsidR="00E463C5" w:rsidRPr="002655B3">
        <w:rPr>
          <w:rFonts w:asciiTheme="minorHAnsi" w:hAnsiTheme="minorHAnsi" w:cstheme="minorHAnsi"/>
          <w:sz w:val="26"/>
          <w:szCs w:val="26"/>
        </w:rPr>
        <w:t xml:space="preserve"> </w:t>
      </w:r>
      <w:r w:rsidR="00580198" w:rsidRPr="002655B3">
        <w:rPr>
          <w:rFonts w:asciiTheme="minorHAnsi" w:hAnsiTheme="minorHAnsi" w:cstheme="minorHAnsi"/>
          <w:sz w:val="26"/>
          <w:szCs w:val="26"/>
        </w:rPr>
        <w:t>on which</w:t>
      </w:r>
      <w:r w:rsidR="00E463C5" w:rsidRPr="002655B3">
        <w:rPr>
          <w:rFonts w:asciiTheme="minorHAnsi" w:hAnsiTheme="minorHAnsi" w:cstheme="minorHAnsi"/>
          <w:sz w:val="26"/>
          <w:szCs w:val="26"/>
        </w:rPr>
        <w:t xml:space="preserve"> the defendants</w:t>
      </w:r>
      <w:r w:rsidR="00580198" w:rsidRPr="002655B3">
        <w:rPr>
          <w:rFonts w:asciiTheme="minorHAnsi" w:hAnsiTheme="minorHAnsi" w:cstheme="minorHAnsi"/>
          <w:sz w:val="26"/>
          <w:szCs w:val="26"/>
        </w:rPr>
        <w:t xml:space="preserve"> rely</w:t>
      </w:r>
      <w:r w:rsidR="00E463C5" w:rsidRPr="002655B3">
        <w:rPr>
          <w:rFonts w:asciiTheme="minorHAnsi" w:hAnsiTheme="minorHAnsi" w:cstheme="minorHAnsi"/>
          <w:sz w:val="26"/>
          <w:szCs w:val="26"/>
        </w:rPr>
        <w:t>.</w:t>
      </w:r>
    </w:p>
    <w:p w:rsidR="00A14BDC" w:rsidRDefault="00A14BDC" w:rsidP="00AC60FC">
      <w:pPr>
        <w:pStyle w:val="ListParagraph"/>
        <w:rPr>
          <w:rFonts w:asciiTheme="minorHAnsi" w:hAnsiTheme="minorHAnsi" w:cstheme="minorHAnsi"/>
          <w:sz w:val="26"/>
          <w:szCs w:val="26"/>
        </w:rPr>
      </w:pPr>
    </w:p>
    <w:p w:rsidR="00C81A74" w:rsidRPr="00FC3F61" w:rsidRDefault="00FC3F61" w:rsidP="00C81A74">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 xml:space="preserve">Plaintiff’s failure to verify the cause of action </w:t>
      </w:r>
    </w:p>
    <w:p w:rsidR="006F3260" w:rsidRPr="002655B3" w:rsidRDefault="002655B3" w:rsidP="002655B3">
      <w:pPr>
        <w:spacing w:after="200" w:line="360" w:lineRule="auto"/>
        <w:ind w:left="851" w:hanging="851"/>
        <w:jc w:val="both"/>
        <w:rPr>
          <w:rFonts w:asciiTheme="minorHAnsi" w:hAnsiTheme="minorHAnsi" w:cstheme="minorHAnsi"/>
          <w:bCs/>
          <w:sz w:val="26"/>
          <w:szCs w:val="26"/>
        </w:rPr>
      </w:pPr>
      <w:r w:rsidRPr="006F3260">
        <w:rPr>
          <w:rFonts w:asciiTheme="minorHAnsi" w:hAnsiTheme="minorHAnsi"/>
          <w:bCs/>
          <w:sz w:val="24"/>
          <w:szCs w:val="24"/>
        </w:rPr>
        <w:t>17.</w:t>
      </w:r>
      <w:r w:rsidRPr="006F3260">
        <w:rPr>
          <w:rFonts w:asciiTheme="minorHAnsi" w:hAnsiTheme="minorHAnsi"/>
          <w:bCs/>
          <w:sz w:val="24"/>
          <w:szCs w:val="24"/>
        </w:rPr>
        <w:tab/>
      </w:r>
      <w:r w:rsidR="006F3260" w:rsidRPr="002655B3">
        <w:rPr>
          <w:rFonts w:asciiTheme="minorHAnsi" w:hAnsiTheme="minorHAnsi" w:cstheme="minorHAnsi"/>
          <w:color w:val="242121"/>
          <w:sz w:val="26"/>
          <w:szCs w:val="26"/>
          <w:shd w:val="clear" w:color="auto" w:fill="FFFFFF"/>
        </w:rPr>
        <w:t xml:space="preserve">This requirement, which was a requirement in subrule (2) of Rule 32 in its original form, has been retained in subrule (2)(b) of Rule 32 in its amended form. In </w:t>
      </w:r>
      <w:r w:rsidR="006F3260" w:rsidRPr="002655B3">
        <w:rPr>
          <w:rFonts w:asciiTheme="minorHAnsi" w:hAnsiTheme="minorHAnsi" w:cstheme="minorHAnsi"/>
          <w:bCs/>
          <w:sz w:val="26"/>
          <w:szCs w:val="26"/>
        </w:rPr>
        <w:t xml:space="preserve">Mphahlele </w:t>
      </w:r>
      <w:r w:rsidR="006F3260" w:rsidRPr="002655B3">
        <w:rPr>
          <w:rFonts w:asciiTheme="minorHAnsi" w:hAnsiTheme="minorHAnsi" w:cstheme="minorHAnsi"/>
          <w:bCs/>
          <w:i/>
          <w:sz w:val="26"/>
          <w:szCs w:val="26"/>
        </w:rPr>
        <w:t>supra</w:t>
      </w:r>
      <w:r w:rsidR="006F3260" w:rsidRPr="002655B3">
        <w:rPr>
          <w:rFonts w:asciiTheme="minorHAnsi" w:hAnsiTheme="minorHAnsi" w:cstheme="minorHAnsi"/>
          <w:bCs/>
          <w:sz w:val="26"/>
          <w:szCs w:val="26"/>
        </w:rPr>
        <w:t>, at paragraph 17, the court summarised the position thus:</w:t>
      </w:r>
    </w:p>
    <w:p w:rsidR="00AC60FC" w:rsidRPr="006F3260" w:rsidRDefault="006F3260" w:rsidP="006F3260">
      <w:pPr>
        <w:pStyle w:val="ListParagraph"/>
        <w:spacing w:after="200" w:line="360" w:lineRule="auto"/>
        <w:ind w:left="851"/>
        <w:jc w:val="both"/>
        <w:rPr>
          <w:rFonts w:asciiTheme="minorHAnsi" w:hAnsiTheme="minorHAnsi" w:cstheme="minorHAnsi"/>
          <w:sz w:val="22"/>
          <w:szCs w:val="22"/>
        </w:rPr>
      </w:pPr>
      <w:r w:rsidRPr="006F3260">
        <w:rPr>
          <w:rFonts w:asciiTheme="minorHAnsi" w:hAnsiTheme="minorHAnsi" w:cstheme="minorHAnsi"/>
          <w:bCs/>
          <w:sz w:val="22"/>
          <w:szCs w:val="22"/>
        </w:rPr>
        <w:t>“...</w:t>
      </w:r>
      <w:r w:rsidRPr="006F3260">
        <w:rPr>
          <w:rFonts w:asciiTheme="minorHAnsi" w:hAnsiTheme="minorHAnsi" w:cstheme="minorHAnsi"/>
          <w:color w:val="242121"/>
          <w:sz w:val="22"/>
          <w:szCs w:val="22"/>
          <w:shd w:val="clear" w:color="auto" w:fill="FFFFFF"/>
        </w:rPr>
        <w:t>what must be verified are the facts as alleged in the summons.</w:t>
      </w:r>
      <w:r>
        <w:rPr>
          <w:rFonts w:asciiTheme="minorHAnsi" w:hAnsiTheme="minorHAnsi" w:cstheme="minorHAnsi"/>
          <w:color w:val="242121"/>
          <w:sz w:val="22"/>
          <w:szCs w:val="22"/>
          <w:shd w:val="clear" w:color="auto" w:fill="FFFFFF"/>
        </w:rPr>
        <w:t xml:space="preserve"> </w:t>
      </w:r>
      <w:r w:rsidRPr="006F3260">
        <w:rPr>
          <w:rFonts w:asciiTheme="minorHAnsi" w:hAnsiTheme="minorHAnsi" w:cstheme="minorHAnsi"/>
          <w:color w:val="242121"/>
          <w:sz w:val="22"/>
          <w:szCs w:val="22"/>
          <w:shd w:val="clear" w:color="auto" w:fill="FFFFFF"/>
        </w:rPr>
        <w:t>Further, the deponent to the affidavit in support of the application for summary judgment must verify what has been referred to as a complete or perfected cause of action. From the aforegoing, it is clear that this requirement of the subrule does not provide for a verification of evidence or the supplementing of a cause of action with evidence. It is confined solely to those facts which are already present and as pleaded in the plaintiff’s summons (it being trite that a plaintiff in summary judgment proceedings is prohibited from taking a further procedural step in the proceedings by, for example, amending the particulars of claim and then seeking to claim summary judgment)</w:t>
      </w:r>
      <w:r>
        <w:rPr>
          <w:rFonts w:asciiTheme="minorHAnsi" w:hAnsiTheme="minorHAnsi" w:cstheme="minorHAnsi"/>
          <w:color w:val="242121"/>
          <w:sz w:val="22"/>
          <w:szCs w:val="22"/>
          <w:shd w:val="clear" w:color="auto" w:fill="FFFFFF"/>
        </w:rPr>
        <w:t>.”</w:t>
      </w:r>
    </w:p>
    <w:p w:rsidR="00AC60FC" w:rsidRDefault="00AC60FC" w:rsidP="00AC60FC">
      <w:pPr>
        <w:pStyle w:val="ListParagraph"/>
        <w:rPr>
          <w:rFonts w:asciiTheme="minorHAnsi" w:hAnsiTheme="minorHAnsi" w:cstheme="minorHAnsi"/>
          <w:sz w:val="26"/>
          <w:szCs w:val="26"/>
        </w:rPr>
      </w:pPr>
    </w:p>
    <w:p w:rsidR="00E46F0F" w:rsidRPr="002655B3" w:rsidRDefault="002655B3" w:rsidP="002655B3">
      <w:pPr>
        <w:spacing w:after="200" w:line="360" w:lineRule="auto"/>
        <w:ind w:left="851" w:hanging="851"/>
        <w:jc w:val="both"/>
        <w:rPr>
          <w:rFonts w:ascii="Arial" w:hAnsi="Arial" w:cs="Arial"/>
        </w:rPr>
      </w:pPr>
      <w:r w:rsidRPr="00E46F0F">
        <w:rPr>
          <w:rFonts w:asciiTheme="minorHAnsi" w:hAnsiTheme="minorHAnsi"/>
          <w:sz w:val="24"/>
          <w:szCs w:val="24"/>
        </w:rPr>
        <w:t>18.</w:t>
      </w:r>
      <w:r w:rsidRPr="00E46F0F">
        <w:rPr>
          <w:rFonts w:asciiTheme="minorHAnsi" w:hAnsiTheme="minorHAnsi"/>
          <w:sz w:val="24"/>
          <w:szCs w:val="24"/>
        </w:rPr>
        <w:tab/>
      </w:r>
      <w:r w:rsidR="00BC0172" w:rsidRPr="002655B3">
        <w:rPr>
          <w:rFonts w:asciiTheme="minorHAnsi" w:hAnsiTheme="minorHAnsi" w:cstheme="minorHAnsi"/>
          <w:sz w:val="26"/>
          <w:szCs w:val="26"/>
        </w:rPr>
        <w:t>Rule 32(2)(</w:t>
      </w:r>
      <w:r w:rsidR="00D2271F" w:rsidRPr="002655B3">
        <w:rPr>
          <w:rFonts w:asciiTheme="minorHAnsi" w:hAnsiTheme="minorHAnsi" w:cstheme="minorHAnsi"/>
          <w:sz w:val="26"/>
          <w:szCs w:val="26"/>
        </w:rPr>
        <w:t>a</w:t>
      </w:r>
      <w:r w:rsidR="00BC0172" w:rsidRPr="002655B3">
        <w:rPr>
          <w:rFonts w:asciiTheme="minorHAnsi" w:hAnsiTheme="minorHAnsi" w:cstheme="minorHAnsi"/>
          <w:sz w:val="26"/>
          <w:szCs w:val="26"/>
        </w:rPr>
        <w:t xml:space="preserve">) </w:t>
      </w:r>
      <w:r w:rsidR="00D2271F" w:rsidRPr="002655B3">
        <w:rPr>
          <w:rFonts w:asciiTheme="minorHAnsi" w:hAnsiTheme="minorHAnsi" w:cstheme="minorHAnsi"/>
          <w:sz w:val="26"/>
          <w:szCs w:val="26"/>
        </w:rPr>
        <w:t>requires that the supporting affidavit be made by the plaintiff or by any other person who can swear positively to the facts</w:t>
      </w:r>
      <w:r w:rsidR="00E46F0F" w:rsidRPr="002655B3">
        <w:rPr>
          <w:rFonts w:asciiTheme="minorHAnsi" w:hAnsiTheme="minorHAnsi" w:cstheme="minorHAnsi"/>
          <w:sz w:val="26"/>
          <w:szCs w:val="26"/>
        </w:rPr>
        <w:t xml:space="preserve">. The defendants do not take issue with the fact that the deponent to the supporting affidavit has set out the circumstances that </w:t>
      </w:r>
      <w:r w:rsidR="00D503B1" w:rsidRPr="002655B3">
        <w:rPr>
          <w:rFonts w:asciiTheme="minorHAnsi" w:hAnsiTheme="minorHAnsi" w:cstheme="minorHAnsi"/>
          <w:sz w:val="26"/>
          <w:szCs w:val="26"/>
        </w:rPr>
        <w:t xml:space="preserve">support </w:t>
      </w:r>
      <w:r w:rsidR="00580198" w:rsidRPr="002655B3">
        <w:rPr>
          <w:rFonts w:asciiTheme="minorHAnsi" w:hAnsiTheme="minorHAnsi" w:cstheme="minorHAnsi"/>
          <w:sz w:val="26"/>
          <w:szCs w:val="26"/>
        </w:rPr>
        <w:t>a</w:t>
      </w:r>
      <w:r w:rsidR="00D503B1" w:rsidRPr="002655B3">
        <w:rPr>
          <w:rFonts w:asciiTheme="minorHAnsi" w:hAnsiTheme="minorHAnsi" w:cstheme="minorHAnsi"/>
          <w:sz w:val="26"/>
          <w:szCs w:val="26"/>
        </w:rPr>
        <w:t xml:space="preserve"> conclusion that she is</w:t>
      </w:r>
      <w:r w:rsidR="00E46F0F" w:rsidRPr="002655B3">
        <w:rPr>
          <w:rFonts w:asciiTheme="minorHAnsi" w:hAnsiTheme="minorHAnsi" w:cstheme="minorHAnsi"/>
          <w:sz w:val="26"/>
          <w:szCs w:val="26"/>
        </w:rPr>
        <w:t xml:space="preserve"> able to swear positively to the facts alleged in the summons.  </w:t>
      </w:r>
    </w:p>
    <w:p w:rsidR="00E46F0F" w:rsidRPr="00E46F0F" w:rsidRDefault="00E46F0F" w:rsidP="00E46F0F">
      <w:pPr>
        <w:pStyle w:val="ListParagraph"/>
        <w:rPr>
          <w:rFonts w:asciiTheme="minorHAnsi" w:hAnsiTheme="minorHAnsi" w:cstheme="minorHAnsi"/>
          <w:sz w:val="26"/>
          <w:szCs w:val="26"/>
        </w:rPr>
      </w:pPr>
    </w:p>
    <w:p w:rsidR="00AC60FC" w:rsidRPr="002655B3" w:rsidRDefault="002655B3" w:rsidP="002655B3">
      <w:pPr>
        <w:spacing w:after="200" w:line="360" w:lineRule="auto"/>
        <w:ind w:left="851" w:hanging="851"/>
        <w:jc w:val="both"/>
        <w:rPr>
          <w:rFonts w:asciiTheme="minorHAnsi" w:hAnsiTheme="minorHAnsi" w:cstheme="minorHAnsi"/>
          <w:sz w:val="26"/>
          <w:szCs w:val="26"/>
        </w:rPr>
      </w:pPr>
      <w:r w:rsidRPr="00E46F0F">
        <w:rPr>
          <w:rFonts w:asciiTheme="minorHAnsi" w:hAnsiTheme="minorHAnsi"/>
          <w:sz w:val="24"/>
          <w:szCs w:val="24"/>
        </w:rPr>
        <w:t>19.</w:t>
      </w:r>
      <w:r w:rsidRPr="00E46F0F">
        <w:rPr>
          <w:rFonts w:asciiTheme="minorHAnsi" w:hAnsiTheme="minorHAnsi"/>
          <w:sz w:val="24"/>
          <w:szCs w:val="24"/>
        </w:rPr>
        <w:tab/>
      </w:r>
      <w:r w:rsidR="00D2271F" w:rsidRPr="002655B3">
        <w:rPr>
          <w:rFonts w:asciiTheme="minorHAnsi" w:hAnsiTheme="minorHAnsi" w:cstheme="minorHAnsi"/>
          <w:sz w:val="26"/>
          <w:szCs w:val="26"/>
        </w:rPr>
        <w:t xml:space="preserve">Rule 32(2)(b) </w:t>
      </w:r>
      <w:r w:rsidR="005C1C8B" w:rsidRPr="002655B3">
        <w:rPr>
          <w:rFonts w:asciiTheme="minorHAnsi" w:hAnsiTheme="minorHAnsi" w:cstheme="minorHAnsi"/>
          <w:sz w:val="26"/>
          <w:szCs w:val="26"/>
        </w:rPr>
        <w:t xml:space="preserve">sets out what the affidavit must contain. The deponent to the answering affidavit is </w:t>
      </w:r>
      <w:r w:rsidR="00E46F0F" w:rsidRPr="002655B3">
        <w:rPr>
          <w:rFonts w:asciiTheme="minorHAnsi" w:hAnsiTheme="minorHAnsi" w:cstheme="minorHAnsi"/>
          <w:sz w:val="26"/>
          <w:szCs w:val="26"/>
        </w:rPr>
        <w:t xml:space="preserve">amongst others, </w:t>
      </w:r>
      <w:r w:rsidR="005C1C8B" w:rsidRPr="002655B3">
        <w:rPr>
          <w:rFonts w:asciiTheme="minorHAnsi" w:hAnsiTheme="minorHAnsi" w:cstheme="minorHAnsi"/>
          <w:sz w:val="26"/>
          <w:szCs w:val="26"/>
        </w:rPr>
        <w:t>required to verify the cause of action and the amount, if any, claimed</w:t>
      </w:r>
      <w:r w:rsidR="00E46F0F">
        <w:rPr>
          <w:rStyle w:val="FootnoteReference"/>
          <w:rFonts w:asciiTheme="minorHAnsi" w:hAnsiTheme="minorHAnsi" w:cstheme="minorHAnsi"/>
          <w:sz w:val="26"/>
          <w:szCs w:val="26"/>
        </w:rPr>
        <w:footnoteReference w:id="17"/>
      </w:r>
      <w:r w:rsidR="006827E5" w:rsidRPr="002655B3">
        <w:rPr>
          <w:rFonts w:asciiTheme="minorHAnsi" w:hAnsiTheme="minorHAnsi" w:cstheme="minorHAnsi"/>
          <w:sz w:val="26"/>
          <w:szCs w:val="26"/>
        </w:rPr>
        <w:t xml:space="preserve"> in the supporting affidavit</w:t>
      </w:r>
      <w:r w:rsidR="005C1C8B" w:rsidRPr="002655B3">
        <w:rPr>
          <w:rFonts w:asciiTheme="minorHAnsi" w:hAnsiTheme="minorHAnsi" w:cstheme="minorHAnsi"/>
          <w:sz w:val="26"/>
          <w:szCs w:val="26"/>
        </w:rPr>
        <w:t xml:space="preserve">. </w:t>
      </w:r>
      <w:r w:rsidR="00E46F0F" w:rsidRPr="002655B3">
        <w:rPr>
          <w:rFonts w:asciiTheme="minorHAnsi" w:hAnsiTheme="minorHAnsi" w:cstheme="minorHAnsi"/>
          <w:sz w:val="26"/>
          <w:szCs w:val="26"/>
        </w:rPr>
        <w:t xml:space="preserve">Our courts have consistently held that if </w:t>
      </w:r>
      <w:r w:rsidR="00E46F0F" w:rsidRPr="002655B3">
        <w:rPr>
          <w:rFonts w:asciiTheme="minorHAnsi" w:hAnsiTheme="minorHAnsi" w:cstheme="minorHAnsi"/>
          <w:i/>
          <w:sz w:val="26"/>
          <w:szCs w:val="26"/>
        </w:rPr>
        <w:t>ex facie</w:t>
      </w:r>
      <w:r w:rsidR="00E46F0F" w:rsidRPr="002655B3">
        <w:rPr>
          <w:rFonts w:asciiTheme="minorHAnsi" w:hAnsiTheme="minorHAnsi" w:cstheme="minorHAnsi"/>
          <w:sz w:val="26"/>
          <w:szCs w:val="26"/>
        </w:rPr>
        <w:t xml:space="preserve"> the supporting affidavit the requisite </w:t>
      </w:r>
      <w:r w:rsidR="00E46F0F" w:rsidRPr="002655B3">
        <w:rPr>
          <w:rFonts w:asciiTheme="minorHAnsi" w:hAnsiTheme="minorHAnsi" w:cstheme="minorHAnsi"/>
          <w:sz w:val="26"/>
          <w:szCs w:val="26"/>
        </w:rPr>
        <w:lastRenderedPageBreak/>
        <w:t>verification has not occurred, the court would have no jurisdiction to grant summary judgment</w:t>
      </w:r>
      <w:r w:rsidR="00E46F0F">
        <w:t>.</w:t>
      </w:r>
      <w:r w:rsidR="00E46F0F">
        <w:rPr>
          <w:rStyle w:val="FootnoteReference"/>
        </w:rPr>
        <w:footnoteReference w:id="18"/>
      </w:r>
      <w:r w:rsidR="00E46F0F">
        <w:t xml:space="preserve">  </w:t>
      </w:r>
      <w:r w:rsidR="00E46F0F" w:rsidRPr="002655B3">
        <w:rPr>
          <w:rFonts w:asciiTheme="minorHAnsi" w:hAnsiTheme="minorHAnsi" w:cstheme="minorHAnsi"/>
          <w:sz w:val="26"/>
          <w:szCs w:val="26"/>
        </w:rPr>
        <w:t>It is also trite that all the facts supporting the cause of action must be verified</w:t>
      </w:r>
      <w:r w:rsidR="00E46F0F" w:rsidRPr="00E46F0F">
        <w:t>.</w:t>
      </w:r>
      <w:r w:rsidR="00E46F0F">
        <w:rPr>
          <w:rStyle w:val="FootnoteReference"/>
        </w:rPr>
        <w:footnoteReference w:id="19"/>
      </w:r>
      <w:r w:rsidR="00E46F0F">
        <w:t xml:space="preserve"> </w:t>
      </w:r>
    </w:p>
    <w:p w:rsidR="00AC60FC" w:rsidRDefault="00AC60FC" w:rsidP="00AC60FC">
      <w:pPr>
        <w:pStyle w:val="ListParagraph"/>
        <w:rPr>
          <w:rFonts w:asciiTheme="minorHAnsi" w:hAnsiTheme="minorHAnsi" w:cstheme="minorHAnsi"/>
          <w:sz w:val="26"/>
          <w:szCs w:val="26"/>
        </w:rPr>
      </w:pPr>
    </w:p>
    <w:p w:rsidR="00AC60FC" w:rsidRPr="002655B3" w:rsidRDefault="002655B3" w:rsidP="002655B3">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20.</w:t>
      </w:r>
      <w:r>
        <w:rPr>
          <w:rFonts w:asciiTheme="minorHAnsi" w:hAnsiTheme="minorHAnsi"/>
          <w:sz w:val="24"/>
          <w:szCs w:val="24"/>
        </w:rPr>
        <w:tab/>
      </w:r>
      <w:r w:rsidR="005C1C8B" w:rsidRPr="002655B3">
        <w:rPr>
          <w:rFonts w:asciiTheme="minorHAnsi" w:hAnsiTheme="minorHAnsi" w:cstheme="minorHAnsi"/>
          <w:sz w:val="26"/>
          <w:szCs w:val="26"/>
        </w:rPr>
        <w:t>The defendant</w:t>
      </w:r>
      <w:r w:rsidR="00487615" w:rsidRPr="002655B3">
        <w:rPr>
          <w:rFonts w:asciiTheme="minorHAnsi" w:hAnsiTheme="minorHAnsi" w:cstheme="minorHAnsi"/>
          <w:sz w:val="26"/>
          <w:szCs w:val="26"/>
        </w:rPr>
        <w:t>s</w:t>
      </w:r>
      <w:r w:rsidR="005C1C8B" w:rsidRPr="002655B3">
        <w:rPr>
          <w:rFonts w:asciiTheme="minorHAnsi" w:hAnsiTheme="minorHAnsi" w:cstheme="minorHAnsi"/>
          <w:sz w:val="26"/>
          <w:szCs w:val="26"/>
        </w:rPr>
        <w:t xml:space="preserve"> submit that the supporting affidavit is devoid of any verification of the cause of action. </w:t>
      </w:r>
      <w:r w:rsidR="00487615" w:rsidRPr="002655B3">
        <w:rPr>
          <w:rFonts w:asciiTheme="minorHAnsi" w:hAnsiTheme="minorHAnsi" w:cstheme="minorHAnsi"/>
          <w:sz w:val="26"/>
          <w:szCs w:val="26"/>
        </w:rPr>
        <w:t xml:space="preserve">The plaintiff </w:t>
      </w:r>
      <w:r w:rsidR="00EA26C6" w:rsidRPr="002655B3">
        <w:rPr>
          <w:rFonts w:asciiTheme="minorHAnsi" w:hAnsiTheme="minorHAnsi" w:cstheme="minorHAnsi"/>
          <w:sz w:val="26"/>
          <w:szCs w:val="26"/>
        </w:rPr>
        <w:t xml:space="preserve">on the other hand </w:t>
      </w:r>
      <w:r w:rsidR="00487615" w:rsidRPr="002655B3">
        <w:rPr>
          <w:rFonts w:asciiTheme="minorHAnsi" w:hAnsiTheme="minorHAnsi" w:cstheme="minorHAnsi"/>
          <w:sz w:val="26"/>
          <w:szCs w:val="26"/>
        </w:rPr>
        <w:t xml:space="preserve">submits that paragraphs 5 and 7 of the supporting </w:t>
      </w:r>
      <w:r w:rsidR="00820803" w:rsidRPr="002655B3">
        <w:rPr>
          <w:rFonts w:asciiTheme="minorHAnsi" w:hAnsiTheme="minorHAnsi" w:cstheme="minorHAnsi"/>
          <w:sz w:val="26"/>
          <w:szCs w:val="26"/>
        </w:rPr>
        <w:t>affidavit,</w:t>
      </w:r>
      <w:r w:rsidR="00487615" w:rsidRPr="002655B3">
        <w:rPr>
          <w:rFonts w:asciiTheme="minorHAnsi" w:hAnsiTheme="minorHAnsi" w:cstheme="minorHAnsi"/>
          <w:sz w:val="26"/>
          <w:szCs w:val="26"/>
        </w:rPr>
        <w:t xml:space="preserve"> </w:t>
      </w:r>
      <w:r w:rsidR="00D2428B" w:rsidRPr="002655B3">
        <w:rPr>
          <w:rFonts w:asciiTheme="minorHAnsi" w:hAnsiTheme="minorHAnsi" w:cstheme="minorHAnsi"/>
          <w:sz w:val="26"/>
          <w:szCs w:val="26"/>
        </w:rPr>
        <w:t>in effect</w:t>
      </w:r>
      <w:r w:rsidR="00820803" w:rsidRPr="002655B3">
        <w:rPr>
          <w:rFonts w:asciiTheme="minorHAnsi" w:hAnsiTheme="minorHAnsi" w:cstheme="minorHAnsi"/>
          <w:sz w:val="26"/>
          <w:szCs w:val="26"/>
        </w:rPr>
        <w:t>,</w:t>
      </w:r>
      <w:r w:rsidR="00D2428B" w:rsidRPr="002655B3">
        <w:rPr>
          <w:rFonts w:asciiTheme="minorHAnsi" w:hAnsiTheme="minorHAnsi" w:cstheme="minorHAnsi"/>
          <w:sz w:val="26"/>
          <w:szCs w:val="26"/>
        </w:rPr>
        <w:t xml:space="preserve"> </w:t>
      </w:r>
      <w:r w:rsidR="004F3702" w:rsidRPr="002655B3">
        <w:rPr>
          <w:rFonts w:asciiTheme="minorHAnsi" w:hAnsiTheme="minorHAnsi" w:cstheme="minorHAnsi"/>
          <w:sz w:val="26"/>
          <w:szCs w:val="26"/>
        </w:rPr>
        <w:t>‘</w:t>
      </w:r>
      <w:r w:rsidR="004F3702" w:rsidRPr="002655B3">
        <w:rPr>
          <w:rFonts w:asciiTheme="minorHAnsi" w:hAnsiTheme="minorHAnsi" w:cstheme="minorHAnsi"/>
          <w:i/>
          <w:sz w:val="26"/>
          <w:szCs w:val="26"/>
        </w:rPr>
        <w:t>confirm and/or verify the cause of action as stated in the particulars of claim</w:t>
      </w:r>
      <w:r w:rsidR="00BB2A32" w:rsidRPr="002655B3">
        <w:rPr>
          <w:rFonts w:asciiTheme="minorHAnsi" w:hAnsiTheme="minorHAnsi" w:cstheme="minorHAnsi"/>
          <w:i/>
          <w:sz w:val="26"/>
          <w:szCs w:val="26"/>
        </w:rPr>
        <w:t xml:space="preserve">’, </w:t>
      </w:r>
      <w:r w:rsidR="00D2428B" w:rsidRPr="002655B3">
        <w:rPr>
          <w:rFonts w:asciiTheme="minorHAnsi" w:hAnsiTheme="minorHAnsi" w:cstheme="minorHAnsi"/>
          <w:sz w:val="26"/>
          <w:szCs w:val="26"/>
        </w:rPr>
        <w:t>when regard is had</w:t>
      </w:r>
      <w:r w:rsidR="00BB2A32" w:rsidRPr="002655B3">
        <w:rPr>
          <w:rFonts w:asciiTheme="minorHAnsi" w:hAnsiTheme="minorHAnsi" w:cstheme="minorHAnsi"/>
          <w:sz w:val="26"/>
          <w:szCs w:val="26"/>
        </w:rPr>
        <w:t xml:space="preserve"> to the underlined portions in the </w:t>
      </w:r>
      <w:r w:rsidR="00146B04" w:rsidRPr="002655B3">
        <w:rPr>
          <w:rFonts w:asciiTheme="minorHAnsi" w:hAnsiTheme="minorHAnsi" w:cstheme="minorHAnsi"/>
          <w:sz w:val="26"/>
          <w:szCs w:val="26"/>
        </w:rPr>
        <w:t xml:space="preserve">quoted </w:t>
      </w:r>
      <w:r w:rsidR="00BB2A32" w:rsidRPr="002655B3">
        <w:rPr>
          <w:rFonts w:asciiTheme="minorHAnsi" w:hAnsiTheme="minorHAnsi" w:cstheme="minorHAnsi"/>
          <w:sz w:val="26"/>
          <w:szCs w:val="26"/>
        </w:rPr>
        <w:t>passage below.</w:t>
      </w:r>
      <w:r w:rsidR="00BB2A32" w:rsidRPr="002655B3">
        <w:rPr>
          <w:rFonts w:asciiTheme="minorHAnsi" w:hAnsiTheme="minorHAnsi" w:cstheme="minorHAnsi"/>
          <w:i/>
          <w:sz w:val="26"/>
          <w:szCs w:val="26"/>
        </w:rPr>
        <w:t xml:space="preserve"> </w:t>
      </w:r>
      <w:r w:rsidR="004F3702" w:rsidRPr="002655B3">
        <w:rPr>
          <w:rFonts w:asciiTheme="minorHAnsi" w:hAnsiTheme="minorHAnsi" w:cstheme="minorHAnsi"/>
          <w:sz w:val="26"/>
          <w:szCs w:val="26"/>
        </w:rPr>
        <w:t>I disagree</w:t>
      </w:r>
      <w:r w:rsidR="00BB2A32" w:rsidRPr="002655B3">
        <w:rPr>
          <w:rFonts w:asciiTheme="minorHAnsi" w:hAnsiTheme="minorHAnsi" w:cstheme="minorHAnsi"/>
          <w:sz w:val="26"/>
          <w:szCs w:val="26"/>
        </w:rPr>
        <w:t xml:space="preserve"> for reasons that follow</w:t>
      </w:r>
      <w:r w:rsidR="004F3702" w:rsidRPr="002655B3">
        <w:rPr>
          <w:rFonts w:asciiTheme="minorHAnsi" w:hAnsiTheme="minorHAnsi" w:cstheme="minorHAnsi"/>
          <w:sz w:val="26"/>
          <w:szCs w:val="26"/>
        </w:rPr>
        <w:t>. In paragraphs 5 and 7 of the supporting affidavit, the following</w:t>
      </w:r>
      <w:r w:rsidR="00E463C5" w:rsidRPr="002655B3">
        <w:rPr>
          <w:rFonts w:asciiTheme="minorHAnsi" w:hAnsiTheme="minorHAnsi" w:cstheme="minorHAnsi"/>
          <w:sz w:val="26"/>
          <w:szCs w:val="26"/>
        </w:rPr>
        <w:t xml:space="preserve"> is said</w:t>
      </w:r>
      <w:r w:rsidR="004F3702" w:rsidRPr="002655B3">
        <w:rPr>
          <w:rFonts w:asciiTheme="minorHAnsi" w:hAnsiTheme="minorHAnsi" w:cstheme="minorHAnsi"/>
          <w:sz w:val="26"/>
          <w:szCs w:val="26"/>
        </w:rPr>
        <w:t>:</w:t>
      </w:r>
    </w:p>
    <w:p w:rsidR="004F3702" w:rsidRDefault="004F3702" w:rsidP="004F3702">
      <w:pPr>
        <w:pStyle w:val="ListParagraph"/>
        <w:spacing w:after="200" w:line="360" w:lineRule="auto"/>
        <w:ind w:left="851"/>
        <w:jc w:val="both"/>
        <w:rPr>
          <w:rFonts w:asciiTheme="minorHAnsi" w:hAnsiTheme="minorHAnsi" w:cstheme="minorHAnsi"/>
          <w:color w:val="000000"/>
          <w:sz w:val="22"/>
          <w:szCs w:val="22"/>
          <w:u w:val="single"/>
        </w:rPr>
      </w:pPr>
      <w:r>
        <w:rPr>
          <w:rFonts w:asciiTheme="minorHAnsi" w:hAnsiTheme="minorHAnsi" w:cstheme="minorHAnsi"/>
          <w:sz w:val="26"/>
          <w:szCs w:val="26"/>
        </w:rPr>
        <w:t>“</w:t>
      </w:r>
      <w:r>
        <w:rPr>
          <w:rFonts w:asciiTheme="minorHAnsi" w:hAnsiTheme="minorHAnsi" w:cstheme="minorHAnsi"/>
          <w:color w:val="000000"/>
          <w:sz w:val="22"/>
          <w:szCs w:val="22"/>
        </w:rPr>
        <w:t>5.</w:t>
      </w:r>
      <w:r w:rsidRPr="00E9188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In </w:t>
      </w:r>
      <w:r w:rsidRPr="00E91886">
        <w:rPr>
          <w:rFonts w:asciiTheme="minorHAnsi" w:hAnsiTheme="minorHAnsi" w:cstheme="minorHAnsi"/>
          <w:color w:val="000000"/>
          <w:sz w:val="22"/>
          <w:szCs w:val="22"/>
        </w:rPr>
        <w:t xml:space="preserve">the ordinary course of my duties as Recoveries Officer and having regard to the Plaintiff's records, accounts and other relevant documents in my possession and under my control, I have acquired personal knowledge of the First Defendant's financial standing with the Plaintiff </w:t>
      </w:r>
      <w:r w:rsidRPr="00E91886">
        <w:rPr>
          <w:rFonts w:asciiTheme="minorHAnsi" w:hAnsiTheme="minorHAnsi" w:cstheme="minorHAnsi"/>
          <w:color w:val="000000"/>
          <w:sz w:val="22"/>
          <w:szCs w:val="22"/>
          <w:u w:val="single"/>
        </w:rPr>
        <w:t>and I can swear positively to the facts alleged and the amounts claimed in the Plaintiff's particulars of claim</w:t>
      </w:r>
      <w:r>
        <w:rPr>
          <w:rFonts w:asciiTheme="minorHAnsi" w:hAnsiTheme="minorHAnsi" w:cstheme="minorHAnsi"/>
          <w:color w:val="000000"/>
          <w:sz w:val="22"/>
          <w:szCs w:val="22"/>
          <w:u w:val="single"/>
        </w:rPr>
        <w:t>.</w:t>
      </w:r>
    </w:p>
    <w:p w:rsidR="004F3702" w:rsidRPr="00E91886" w:rsidRDefault="004F3702" w:rsidP="004F3702">
      <w:pPr>
        <w:pStyle w:val="ListParagraph"/>
        <w:spacing w:after="200" w:line="360" w:lineRule="auto"/>
        <w:ind w:left="851"/>
        <w:jc w:val="both"/>
        <w:rPr>
          <w:rFonts w:asciiTheme="minorHAnsi" w:hAnsiTheme="minorHAnsi" w:cstheme="minorHAnsi"/>
          <w:color w:val="000000"/>
          <w:sz w:val="22"/>
          <w:szCs w:val="22"/>
        </w:rPr>
      </w:pPr>
    </w:p>
    <w:p w:rsidR="004F3702" w:rsidRDefault="004F3702" w:rsidP="004F3702">
      <w:pPr>
        <w:pStyle w:val="ListParagraph"/>
        <w:spacing w:after="200" w:line="360" w:lineRule="auto"/>
        <w:ind w:left="851"/>
        <w:jc w:val="both"/>
        <w:rPr>
          <w:rFonts w:asciiTheme="minorHAnsi" w:hAnsiTheme="minorHAnsi" w:cstheme="minorHAnsi"/>
          <w:sz w:val="26"/>
          <w:szCs w:val="26"/>
        </w:rPr>
      </w:pPr>
      <w:r w:rsidRPr="00E91886">
        <w:rPr>
          <w:rFonts w:asciiTheme="minorHAnsi" w:hAnsiTheme="minorHAnsi" w:cstheme="minorHAnsi"/>
          <w:color w:val="000000"/>
          <w:sz w:val="22"/>
          <w:szCs w:val="22"/>
        </w:rPr>
        <w:t>7.</w:t>
      </w:r>
      <w:r>
        <w:rPr>
          <w:rFonts w:asciiTheme="minorHAnsi" w:hAnsiTheme="minorHAnsi" w:cstheme="minorHAnsi"/>
          <w:color w:val="000000"/>
          <w:sz w:val="22"/>
          <w:szCs w:val="22"/>
        </w:rPr>
        <w:t xml:space="preserve"> I </w:t>
      </w:r>
      <w:r w:rsidRPr="00E91886">
        <w:rPr>
          <w:rFonts w:asciiTheme="minorHAnsi" w:hAnsiTheme="minorHAnsi" w:cstheme="minorHAnsi"/>
          <w:color w:val="000000"/>
          <w:sz w:val="22"/>
          <w:szCs w:val="22"/>
        </w:rPr>
        <w:t xml:space="preserve">have read the defendants plea and I verily believe and in my opinion, the defendants have no bona fide defence </w:t>
      </w:r>
      <w:r w:rsidRPr="00BB2A32">
        <w:rPr>
          <w:rFonts w:asciiTheme="minorHAnsi" w:hAnsiTheme="minorHAnsi" w:cstheme="minorHAnsi"/>
          <w:color w:val="000000"/>
          <w:sz w:val="22"/>
          <w:szCs w:val="22"/>
          <w:u w:val="single"/>
        </w:rPr>
        <w:t>to the plaintiff's claim as set out in the particulars of claim</w:t>
      </w:r>
      <w:r w:rsidRPr="00E91886">
        <w:rPr>
          <w:rFonts w:asciiTheme="minorHAnsi" w:hAnsiTheme="minorHAnsi" w:cstheme="minorHAnsi"/>
          <w:color w:val="000000"/>
          <w:sz w:val="22"/>
          <w:szCs w:val="22"/>
        </w:rPr>
        <w:t xml:space="preserve"> and that notice of intention to defend and the plea have been delivered solely for the purpose of delay.</w:t>
      </w:r>
      <w:r>
        <w:rPr>
          <w:rFonts w:asciiTheme="minorHAnsi" w:hAnsiTheme="minorHAnsi" w:cstheme="minorHAnsi"/>
          <w:color w:val="000000"/>
          <w:sz w:val="22"/>
          <w:szCs w:val="22"/>
        </w:rPr>
        <w:t>”</w:t>
      </w:r>
      <w:r w:rsidR="00BB2A32">
        <w:rPr>
          <w:rFonts w:asciiTheme="minorHAnsi" w:hAnsiTheme="minorHAnsi" w:cstheme="minorHAnsi"/>
          <w:color w:val="000000"/>
          <w:sz w:val="22"/>
          <w:szCs w:val="22"/>
        </w:rPr>
        <w:t xml:space="preserve"> (emphasis added)</w:t>
      </w:r>
    </w:p>
    <w:p w:rsidR="00AC60FC" w:rsidRDefault="00AC60FC" w:rsidP="00AC60FC">
      <w:pPr>
        <w:pStyle w:val="ListParagraph"/>
        <w:rPr>
          <w:rFonts w:asciiTheme="minorHAnsi" w:hAnsiTheme="minorHAnsi" w:cstheme="minorHAnsi"/>
          <w:sz w:val="26"/>
          <w:szCs w:val="26"/>
        </w:rPr>
      </w:pPr>
    </w:p>
    <w:p w:rsidR="006827E5" w:rsidRPr="002655B3" w:rsidRDefault="002655B3" w:rsidP="002655B3">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21.</w:t>
      </w:r>
      <w:r>
        <w:rPr>
          <w:rFonts w:asciiTheme="minorHAnsi" w:hAnsiTheme="minorHAnsi"/>
          <w:sz w:val="24"/>
          <w:szCs w:val="24"/>
        </w:rPr>
        <w:tab/>
      </w:r>
      <w:r w:rsidR="001B0FEB" w:rsidRPr="002655B3">
        <w:rPr>
          <w:rFonts w:asciiTheme="minorHAnsi" w:hAnsiTheme="minorHAnsi" w:cstheme="minorHAnsi"/>
          <w:sz w:val="26"/>
          <w:szCs w:val="26"/>
        </w:rPr>
        <w:t xml:space="preserve">Whilst certain amounts comprising the arrears and outstanding balance on the first defendant’s account are alleged in the particulars of claim, as </w:t>
      </w:r>
      <w:r w:rsidR="006827E5" w:rsidRPr="002655B3">
        <w:rPr>
          <w:rFonts w:asciiTheme="minorHAnsi" w:hAnsiTheme="minorHAnsi" w:cstheme="minorHAnsi"/>
          <w:sz w:val="26"/>
          <w:szCs w:val="26"/>
        </w:rPr>
        <w:t>I have already pointed out</w:t>
      </w:r>
      <w:r w:rsidR="001B0FEB" w:rsidRPr="002655B3">
        <w:rPr>
          <w:rFonts w:asciiTheme="minorHAnsi" w:hAnsiTheme="minorHAnsi" w:cstheme="minorHAnsi"/>
          <w:sz w:val="26"/>
          <w:szCs w:val="26"/>
        </w:rPr>
        <w:t>,</w:t>
      </w:r>
      <w:r w:rsidR="006827E5" w:rsidRPr="002655B3">
        <w:rPr>
          <w:rFonts w:asciiTheme="minorHAnsi" w:hAnsiTheme="minorHAnsi" w:cstheme="minorHAnsi"/>
          <w:sz w:val="26"/>
          <w:szCs w:val="26"/>
        </w:rPr>
        <w:t xml:space="preserve"> no </w:t>
      </w:r>
      <w:r w:rsidR="007B4E62" w:rsidRPr="002655B3">
        <w:rPr>
          <w:rFonts w:asciiTheme="minorHAnsi" w:hAnsiTheme="minorHAnsi" w:cstheme="minorHAnsi"/>
          <w:sz w:val="26"/>
          <w:szCs w:val="26"/>
        </w:rPr>
        <w:t xml:space="preserve">monetary </w:t>
      </w:r>
      <w:r w:rsidR="006827E5" w:rsidRPr="002655B3">
        <w:rPr>
          <w:rFonts w:asciiTheme="minorHAnsi" w:hAnsiTheme="minorHAnsi" w:cstheme="minorHAnsi"/>
          <w:sz w:val="26"/>
          <w:szCs w:val="26"/>
        </w:rPr>
        <w:t xml:space="preserve">amount </w:t>
      </w:r>
      <w:r w:rsidR="001B0FEB" w:rsidRPr="002655B3">
        <w:rPr>
          <w:rFonts w:asciiTheme="minorHAnsi" w:hAnsiTheme="minorHAnsi" w:cstheme="minorHAnsi"/>
          <w:sz w:val="26"/>
          <w:szCs w:val="26"/>
        </w:rPr>
        <w:t xml:space="preserve">as such </w:t>
      </w:r>
      <w:r w:rsidR="006827E5" w:rsidRPr="002655B3">
        <w:rPr>
          <w:rFonts w:asciiTheme="minorHAnsi" w:hAnsiTheme="minorHAnsi" w:cstheme="minorHAnsi"/>
          <w:sz w:val="26"/>
          <w:szCs w:val="26"/>
        </w:rPr>
        <w:t xml:space="preserve">is claimed in the particulars of claim. </w:t>
      </w:r>
      <w:r w:rsidR="00BB2A32" w:rsidRPr="002655B3">
        <w:rPr>
          <w:rFonts w:asciiTheme="minorHAnsi" w:hAnsiTheme="minorHAnsi" w:cstheme="minorHAnsi"/>
          <w:sz w:val="26"/>
          <w:szCs w:val="26"/>
        </w:rPr>
        <w:t xml:space="preserve">The claim on which summary judgment is sought is for cancellation of the agreement and return of the vehicle on account of a material breach of </w:t>
      </w:r>
      <w:r w:rsidR="00BB2A32" w:rsidRPr="002655B3">
        <w:rPr>
          <w:rFonts w:asciiTheme="minorHAnsi" w:hAnsiTheme="minorHAnsi" w:cstheme="minorHAnsi"/>
          <w:sz w:val="26"/>
          <w:szCs w:val="26"/>
        </w:rPr>
        <w:lastRenderedPageBreak/>
        <w:t>the agreement by the first defendant, which despite demand, was not remedied by it within the period stated in the demand, this, despite forewarning in the demand that the plaintiff would</w:t>
      </w:r>
      <w:r w:rsidR="00E46F0F" w:rsidRPr="002655B3">
        <w:rPr>
          <w:rFonts w:asciiTheme="minorHAnsi" w:hAnsiTheme="minorHAnsi" w:cstheme="minorHAnsi"/>
          <w:sz w:val="26"/>
          <w:szCs w:val="26"/>
        </w:rPr>
        <w:t>,</w:t>
      </w:r>
      <w:r w:rsidR="00BB2A32" w:rsidRPr="002655B3">
        <w:rPr>
          <w:rFonts w:asciiTheme="minorHAnsi" w:hAnsiTheme="minorHAnsi" w:cstheme="minorHAnsi"/>
          <w:sz w:val="26"/>
          <w:szCs w:val="26"/>
        </w:rPr>
        <w:t xml:space="preserve"> </w:t>
      </w:r>
      <w:r w:rsidR="00146B04" w:rsidRPr="002655B3">
        <w:rPr>
          <w:rFonts w:asciiTheme="minorHAnsi" w:hAnsiTheme="minorHAnsi" w:cstheme="minorHAnsi"/>
          <w:sz w:val="26"/>
          <w:szCs w:val="26"/>
        </w:rPr>
        <w:t>in such event, exercise its right to terminate the agreement</w:t>
      </w:r>
      <w:r w:rsidR="00BB2A32" w:rsidRPr="002655B3">
        <w:rPr>
          <w:rFonts w:asciiTheme="minorHAnsi" w:hAnsiTheme="minorHAnsi" w:cstheme="minorHAnsi"/>
          <w:sz w:val="26"/>
          <w:szCs w:val="26"/>
        </w:rPr>
        <w:t xml:space="preserve">. </w:t>
      </w:r>
      <w:r w:rsidR="006827E5" w:rsidRPr="002655B3">
        <w:rPr>
          <w:rFonts w:asciiTheme="minorHAnsi" w:hAnsiTheme="minorHAnsi" w:cstheme="minorHAnsi"/>
          <w:sz w:val="26"/>
          <w:szCs w:val="26"/>
        </w:rPr>
        <w:t xml:space="preserve">This notwithstanding, the deponent to the supporting affidavit </w:t>
      </w:r>
      <w:r w:rsidR="001B0FEB" w:rsidRPr="002655B3">
        <w:rPr>
          <w:rFonts w:asciiTheme="minorHAnsi" w:hAnsiTheme="minorHAnsi" w:cstheme="minorHAnsi"/>
          <w:sz w:val="26"/>
          <w:szCs w:val="26"/>
        </w:rPr>
        <w:t>purported to swear positively not only to the facts alleged but to ‘the amounts claimed’ in the particulars of claim.</w:t>
      </w:r>
    </w:p>
    <w:p w:rsidR="001B0FEB" w:rsidRDefault="001B0FEB" w:rsidP="001B0FEB">
      <w:pPr>
        <w:pStyle w:val="ListParagraph"/>
        <w:rPr>
          <w:rFonts w:asciiTheme="minorHAnsi" w:hAnsiTheme="minorHAnsi" w:cstheme="minorHAnsi"/>
          <w:sz w:val="26"/>
          <w:szCs w:val="26"/>
        </w:rPr>
      </w:pPr>
    </w:p>
    <w:p w:rsidR="00BB2A32" w:rsidRPr="002655B3" w:rsidRDefault="002655B3" w:rsidP="002655B3">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22.</w:t>
      </w:r>
      <w:r>
        <w:rPr>
          <w:rFonts w:asciiTheme="minorHAnsi" w:hAnsiTheme="minorHAnsi"/>
          <w:sz w:val="24"/>
          <w:szCs w:val="24"/>
        </w:rPr>
        <w:tab/>
      </w:r>
      <w:r w:rsidR="004F3702" w:rsidRPr="002655B3">
        <w:rPr>
          <w:rFonts w:asciiTheme="minorHAnsi" w:hAnsiTheme="minorHAnsi" w:cstheme="minorHAnsi"/>
          <w:sz w:val="26"/>
          <w:szCs w:val="26"/>
        </w:rPr>
        <w:t>It is trite that a person who deposes to an affidavit in support of summary judgment must set out the circumstances from which the Court would be justified in coming to the conclusion that the facts are within his or her knowledge, or it must appear from the nature of his or her evidence that the facts are within his or her knowledge in order for a court to be satisfied that the deponent is a person who fulfils the requirement that he or she is one who can swear positively to the facts.</w:t>
      </w:r>
      <w:r w:rsidR="004F3702">
        <w:rPr>
          <w:rStyle w:val="FootnoteReference"/>
          <w:rFonts w:asciiTheme="minorHAnsi" w:hAnsiTheme="minorHAnsi" w:cstheme="minorHAnsi"/>
          <w:sz w:val="26"/>
          <w:szCs w:val="26"/>
        </w:rPr>
        <w:footnoteReference w:id="20"/>
      </w:r>
      <w:r w:rsidR="004F3702" w:rsidRPr="002655B3">
        <w:rPr>
          <w:rFonts w:asciiTheme="minorHAnsi" w:hAnsiTheme="minorHAnsi" w:cstheme="minorHAnsi"/>
          <w:sz w:val="26"/>
          <w:szCs w:val="26"/>
        </w:rPr>
        <w:t xml:space="preserve"> </w:t>
      </w:r>
      <w:r w:rsidR="00DF0276" w:rsidRPr="002655B3">
        <w:rPr>
          <w:rFonts w:asciiTheme="minorHAnsi" w:hAnsiTheme="minorHAnsi" w:cstheme="minorHAnsi"/>
          <w:sz w:val="26"/>
          <w:szCs w:val="26"/>
        </w:rPr>
        <w:t xml:space="preserve"> This is what the deponent did in paragraphs 4 and 5 of the supporting affidavit</w:t>
      </w:r>
      <w:r w:rsidR="00E80E27" w:rsidRPr="002655B3">
        <w:rPr>
          <w:rFonts w:asciiTheme="minorHAnsi" w:hAnsiTheme="minorHAnsi" w:cstheme="minorHAnsi"/>
          <w:sz w:val="26"/>
          <w:szCs w:val="26"/>
        </w:rPr>
        <w:t>,</w:t>
      </w:r>
      <w:r w:rsidR="00DF0276" w:rsidRPr="002655B3">
        <w:rPr>
          <w:rFonts w:asciiTheme="minorHAnsi" w:hAnsiTheme="minorHAnsi" w:cstheme="minorHAnsi"/>
          <w:sz w:val="26"/>
          <w:szCs w:val="26"/>
        </w:rPr>
        <w:t xml:space="preserve"> and no more. </w:t>
      </w:r>
      <w:r w:rsidR="00146B04" w:rsidRPr="002655B3">
        <w:rPr>
          <w:rFonts w:asciiTheme="minorHAnsi" w:hAnsiTheme="minorHAnsi" w:cstheme="minorHAnsi"/>
          <w:sz w:val="26"/>
          <w:szCs w:val="26"/>
        </w:rPr>
        <w:t xml:space="preserve">If the ability to swear positively to the facts in the summons is to be regarded as tantamount </w:t>
      </w:r>
      <w:r w:rsidR="001E1447" w:rsidRPr="002655B3">
        <w:rPr>
          <w:rFonts w:asciiTheme="minorHAnsi" w:hAnsiTheme="minorHAnsi" w:cstheme="minorHAnsi"/>
          <w:sz w:val="26"/>
          <w:szCs w:val="26"/>
        </w:rPr>
        <w:t xml:space="preserve">to </w:t>
      </w:r>
      <w:r w:rsidR="007B4E62" w:rsidRPr="002655B3">
        <w:rPr>
          <w:rFonts w:asciiTheme="minorHAnsi" w:hAnsiTheme="minorHAnsi" w:cstheme="minorHAnsi"/>
          <w:sz w:val="26"/>
          <w:szCs w:val="26"/>
        </w:rPr>
        <w:t>the</w:t>
      </w:r>
      <w:r w:rsidR="00146B04" w:rsidRPr="002655B3">
        <w:rPr>
          <w:rFonts w:asciiTheme="minorHAnsi" w:hAnsiTheme="minorHAnsi" w:cstheme="minorHAnsi"/>
          <w:sz w:val="26"/>
          <w:szCs w:val="26"/>
        </w:rPr>
        <w:t xml:space="preserve"> actual verification of the facts, </w:t>
      </w:r>
      <w:r w:rsidR="001E1447" w:rsidRPr="002655B3">
        <w:rPr>
          <w:rFonts w:asciiTheme="minorHAnsi" w:hAnsiTheme="minorHAnsi" w:cstheme="minorHAnsi"/>
          <w:sz w:val="26"/>
          <w:szCs w:val="26"/>
        </w:rPr>
        <w:t xml:space="preserve">there would have been no need to differentiate between the separate requirements in sub-rules (a) and (b) of rule 32(2). </w:t>
      </w:r>
      <w:r w:rsidR="001E1447" w:rsidRPr="002655B3">
        <w:rPr>
          <w:rFonts w:asciiTheme="minorHAnsi" w:hAnsiTheme="minorHAnsi" w:cstheme="minorHAnsi"/>
          <w:color w:val="000000"/>
          <w:sz w:val="26"/>
          <w:szCs w:val="26"/>
        </w:rPr>
        <w:t>A deponent’s knowledge of the facts enabling him or her to swear positively thereto is what qualifies or entitles the deponent to make the affidavit. It does not serve to fulfil the separate requirement of verification of the facts supporting the cause of action in the summons.</w:t>
      </w:r>
    </w:p>
    <w:p w:rsidR="00BB2A32" w:rsidRPr="00BB2A32" w:rsidRDefault="00BB2A32" w:rsidP="00BB2A32">
      <w:pPr>
        <w:pStyle w:val="ListParagraph"/>
        <w:rPr>
          <w:rFonts w:asciiTheme="minorHAnsi" w:hAnsiTheme="minorHAnsi" w:cstheme="minorHAnsi"/>
          <w:sz w:val="26"/>
          <w:szCs w:val="26"/>
        </w:rPr>
      </w:pPr>
    </w:p>
    <w:p w:rsidR="00AC60FC" w:rsidRPr="002655B3" w:rsidRDefault="002655B3" w:rsidP="002655B3">
      <w:pPr>
        <w:spacing w:after="200" w:line="360" w:lineRule="auto"/>
        <w:ind w:left="851" w:hanging="851"/>
        <w:jc w:val="both"/>
        <w:rPr>
          <w:rFonts w:asciiTheme="minorHAnsi" w:hAnsiTheme="minorHAnsi" w:cstheme="minorHAnsi"/>
          <w:sz w:val="26"/>
          <w:szCs w:val="26"/>
        </w:rPr>
      </w:pPr>
      <w:r w:rsidRPr="001E1447">
        <w:rPr>
          <w:rFonts w:asciiTheme="minorHAnsi" w:hAnsiTheme="minorHAnsi"/>
          <w:sz w:val="24"/>
          <w:szCs w:val="24"/>
        </w:rPr>
        <w:t>23.</w:t>
      </w:r>
      <w:r w:rsidRPr="001E1447">
        <w:rPr>
          <w:rFonts w:asciiTheme="minorHAnsi" w:hAnsiTheme="minorHAnsi"/>
          <w:sz w:val="24"/>
          <w:szCs w:val="24"/>
        </w:rPr>
        <w:tab/>
      </w:r>
      <w:r w:rsidR="00DF0276" w:rsidRPr="002655B3">
        <w:rPr>
          <w:rFonts w:asciiTheme="minorHAnsi" w:hAnsiTheme="minorHAnsi" w:cstheme="minorHAnsi"/>
          <w:sz w:val="26"/>
          <w:szCs w:val="26"/>
        </w:rPr>
        <w:t xml:space="preserve">The fact that the deponent states in paragraph 7 that she is of the opinion that </w:t>
      </w:r>
      <w:r w:rsidR="008D6849" w:rsidRPr="002655B3">
        <w:rPr>
          <w:rFonts w:asciiTheme="minorHAnsi" w:hAnsiTheme="minorHAnsi" w:cstheme="minorHAnsi"/>
          <w:color w:val="000000"/>
          <w:sz w:val="26"/>
          <w:szCs w:val="26"/>
        </w:rPr>
        <w:t xml:space="preserve">the defendants have no </w:t>
      </w:r>
      <w:r w:rsidR="008D6849" w:rsidRPr="002655B3">
        <w:rPr>
          <w:rFonts w:asciiTheme="minorHAnsi" w:hAnsiTheme="minorHAnsi" w:cstheme="minorHAnsi"/>
          <w:i/>
          <w:color w:val="000000"/>
          <w:sz w:val="26"/>
          <w:szCs w:val="26"/>
        </w:rPr>
        <w:t>bona fide</w:t>
      </w:r>
      <w:r w:rsidR="008D6849" w:rsidRPr="002655B3">
        <w:rPr>
          <w:rFonts w:asciiTheme="minorHAnsi" w:hAnsiTheme="minorHAnsi" w:cstheme="minorHAnsi"/>
          <w:color w:val="000000"/>
          <w:sz w:val="26"/>
          <w:szCs w:val="26"/>
        </w:rPr>
        <w:t xml:space="preserve"> defence to the plaintiff's claim as set out in the particulars of claim</w:t>
      </w:r>
      <w:r w:rsidR="00820803" w:rsidRPr="002655B3">
        <w:rPr>
          <w:rFonts w:asciiTheme="minorHAnsi" w:hAnsiTheme="minorHAnsi" w:cstheme="minorHAnsi"/>
          <w:color w:val="000000"/>
          <w:sz w:val="26"/>
          <w:szCs w:val="26"/>
        </w:rPr>
        <w:t>,</w:t>
      </w:r>
      <w:r w:rsidR="008D6849" w:rsidRPr="002655B3">
        <w:rPr>
          <w:rFonts w:asciiTheme="minorHAnsi" w:hAnsiTheme="minorHAnsi" w:cstheme="minorHAnsi"/>
          <w:color w:val="000000"/>
          <w:sz w:val="26"/>
          <w:szCs w:val="26"/>
        </w:rPr>
        <w:t xml:space="preserve"> likewise does not assist the plaintiff. It does not amount to a verification of the cause of action.</w:t>
      </w:r>
      <w:r w:rsidR="00EA26C6" w:rsidRPr="002655B3">
        <w:rPr>
          <w:rFonts w:asciiTheme="minorHAnsi" w:hAnsiTheme="minorHAnsi" w:cstheme="minorHAnsi"/>
          <w:color w:val="000000"/>
          <w:sz w:val="26"/>
          <w:szCs w:val="26"/>
        </w:rPr>
        <w:t xml:space="preserve"> </w:t>
      </w:r>
      <w:r w:rsidR="006F6903" w:rsidRPr="002655B3">
        <w:rPr>
          <w:rFonts w:asciiTheme="minorHAnsi" w:hAnsiTheme="minorHAnsi" w:cstheme="minorHAnsi"/>
          <w:color w:val="000000"/>
          <w:sz w:val="26"/>
          <w:szCs w:val="26"/>
        </w:rPr>
        <w:t xml:space="preserve">In paragraph 7, the deponent </w:t>
      </w:r>
      <w:r w:rsidR="006F6903" w:rsidRPr="002655B3">
        <w:rPr>
          <w:rFonts w:asciiTheme="minorHAnsi" w:hAnsiTheme="minorHAnsi" w:cstheme="minorHAnsi"/>
          <w:color w:val="000000"/>
          <w:sz w:val="26"/>
          <w:szCs w:val="26"/>
        </w:rPr>
        <w:lastRenderedPageBreak/>
        <w:t xml:space="preserve">does no more than </w:t>
      </w:r>
      <w:r w:rsidR="00D2428B" w:rsidRPr="002655B3">
        <w:rPr>
          <w:rFonts w:asciiTheme="minorHAnsi" w:hAnsiTheme="minorHAnsi" w:cstheme="minorHAnsi"/>
          <w:color w:val="000000"/>
          <w:sz w:val="26"/>
          <w:szCs w:val="26"/>
        </w:rPr>
        <w:t>provide</w:t>
      </w:r>
      <w:r w:rsidR="006F6903" w:rsidRPr="002655B3">
        <w:rPr>
          <w:rFonts w:asciiTheme="minorHAnsi" w:hAnsiTheme="minorHAnsi" w:cstheme="minorHAnsi"/>
          <w:color w:val="000000"/>
          <w:sz w:val="26"/>
          <w:szCs w:val="26"/>
        </w:rPr>
        <w:t xml:space="preserve"> </w:t>
      </w:r>
      <w:r w:rsidR="00E80E27" w:rsidRPr="002655B3">
        <w:rPr>
          <w:rFonts w:asciiTheme="minorHAnsi" w:hAnsiTheme="minorHAnsi" w:cstheme="minorHAnsi"/>
          <w:color w:val="000000"/>
          <w:sz w:val="26"/>
          <w:szCs w:val="26"/>
        </w:rPr>
        <w:t>the</w:t>
      </w:r>
      <w:r w:rsidR="006F6903" w:rsidRPr="002655B3">
        <w:rPr>
          <w:rFonts w:asciiTheme="minorHAnsi" w:hAnsiTheme="minorHAnsi" w:cstheme="minorHAnsi"/>
          <w:color w:val="000000"/>
          <w:sz w:val="26"/>
          <w:szCs w:val="26"/>
        </w:rPr>
        <w:t xml:space="preserve"> justification for </w:t>
      </w:r>
      <w:r w:rsidR="00820803" w:rsidRPr="002655B3">
        <w:rPr>
          <w:rFonts w:asciiTheme="minorHAnsi" w:hAnsiTheme="minorHAnsi" w:cstheme="minorHAnsi"/>
          <w:color w:val="000000"/>
          <w:sz w:val="26"/>
          <w:szCs w:val="26"/>
        </w:rPr>
        <w:t>being able to engage with the content of the plea</w:t>
      </w:r>
      <w:r w:rsidR="006F6903" w:rsidRPr="002655B3">
        <w:rPr>
          <w:rFonts w:asciiTheme="minorHAnsi" w:hAnsiTheme="minorHAnsi" w:cstheme="minorHAnsi"/>
          <w:color w:val="000000"/>
          <w:sz w:val="26"/>
          <w:szCs w:val="26"/>
        </w:rPr>
        <w:t>.</w:t>
      </w:r>
    </w:p>
    <w:p w:rsidR="00AC60FC" w:rsidRDefault="00AC60FC" w:rsidP="00AC60FC">
      <w:pPr>
        <w:pStyle w:val="ListParagraph"/>
        <w:rPr>
          <w:rFonts w:asciiTheme="minorHAnsi" w:hAnsiTheme="minorHAnsi" w:cstheme="minorHAnsi"/>
          <w:sz w:val="26"/>
          <w:szCs w:val="26"/>
        </w:rPr>
      </w:pPr>
    </w:p>
    <w:p w:rsidR="00AC60FC" w:rsidRPr="002655B3" w:rsidRDefault="002655B3" w:rsidP="002655B3">
      <w:pPr>
        <w:spacing w:after="200" w:line="360" w:lineRule="auto"/>
        <w:ind w:left="851" w:hanging="851"/>
        <w:jc w:val="both"/>
        <w:rPr>
          <w:rFonts w:asciiTheme="minorHAnsi" w:hAnsiTheme="minorHAnsi" w:cstheme="minorHAnsi"/>
          <w:sz w:val="26"/>
          <w:szCs w:val="26"/>
        </w:rPr>
      </w:pPr>
      <w:r w:rsidRPr="00FC1A2E">
        <w:rPr>
          <w:rFonts w:asciiTheme="minorHAnsi" w:hAnsiTheme="minorHAnsi"/>
          <w:sz w:val="24"/>
          <w:szCs w:val="24"/>
        </w:rPr>
        <w:t>24.</w:t>
      </w:r>
      <w:r w:rsidRPr="00FC1A2E">
        <w:rPr>
          <w:rFonts w:asciiTheme="minorHAnsi" w:hAnsiTheme="minorHAnsi"/>
          <w:sz w:val="24"/>
          <w:szCs w:val="24"/>
        </w:rPr>
        <w:tab/>
      </w:r>
      <w:r w:rsidR="008D6849" w:rsidRPr="002655B3">
        <w:rPr>
          <w:rFonts w:asciiTheme="minorHAnsi" w:hAnsiTheme="minorHAnsi" w:cstheme="minorHAnsi"/>
          <w:i/>
          <w:sz w:val="26"/>
          <w:szCs w:val="26"/>
        </w:rPr>
        <w:t>In Maharaj v Barclays National Bank Ltd</w:t>
      </w:r>
      <w:r w:rsidR="008D6849" w:rsidRPr="002655B3">
        <w:rPr>
          <w:rFonts w:asciiTheme="minorHAnsi" w:hAnsiTheme="minorHAnsi" w:cstheme="minorHAnsi"/>
          <w:sz w:val="26"/>
          <w:szCs w:val="26"/>
        </w:rPr>
        <w:t xml:space="preserve"> 1976 (1) SA 418 (AD) at422E-H. Corbett JA, writing for a unanimous court, explained as follows:</w:t>
      </w:r>
    </w:p>
    <w:p w:rsidR="008D6849" w:rsidRPr="00FC1A2E" w:rsidRDefault="008D6849" w:rsidP="008D6849">
      <w:pPr>
        <w:pStyle w:val="ListParagraph"/>
        <w:spacing w:after="200" w:line="360" w:lineRule="auto"/>
        <w:ind w:left="851"/>
        <w:jc w:val="both"/>
        <w:rPr>
          <w:rFonts w:asciiTheme="minorHAnsi" w:hAnsiTheme="minorHAnsi" w:cstheme="minorHAnsi"/>
          <w:sz w:val="22"/>
          <w:szCs w:val="22"/>
        </w:rPr>
      </w:pPr>
      <w:r w:rsidRPr="00FC1A2E">
        <w:rPr>
          <w:rFonts w:asciiTheme="minorHAnsi" w:hAnsiTheme="minorHAnsi" w:cstheme="minorHAnsi"/>
          <w:sz w:val="22"/>
          <w:szCs w:val="22"/>
        </w:rPr>
        <w:t xml:space="preserve">“Moreover, the word 'verifying' cannot be taken to qualify the word 'facts' and to be part of the definition of the 'any other person' who may make the affidavit,… since this would run counter to the meaning of the word 'verifying' and the grammatical construction of the sentence in which these words occur. The relevant meanings of 'verify' in the Short Oxford English Dictionary are: 'to testify or </w:t>
      </w:r>
      <w:r w:rsidRPr="00820803">
        <w:rPr>
          <w:rFonts w:asciiTheme="minorHAnsi" w:hAnsiTheme="minorHAnsi" w:cstheme="minorHAnsi"/>
          <w:sz w:val="22"/>
          <w:szCs w:val="22"/>
          <w:u w:val="single"/>
        </w:rPr>
        <w:t>affirm formally</w:t>
      </w:r>
      <w:r w:rsidRPr="00FC1A2E">
        <w:rPr>
          <w:rFonts w:asciiTheme="minorHAnsi" w:hAnsiTheme="minorHAnsi" w:cstheme="minorHAnsi"/>
          <w:sz w:val="22"/>
          <w:szCs w:val="22"/>
        </w:rPr>
        <w:t xml:space="preserve"> or upon oath;... to testify to</w:t>
      </w:r>
      <w:r w:rsidRPr="00380310">
        <w:rPr>
          <w:rFonts w:asciiTheme="minorHAnsi" w:hAnsiTheme="minorHAnsi" w:cstheme="minorHAnsi"/>
          <w:sz w:val="22"/>
          <w:szCs w:val="22"/>
          <w:u w:val="single"/>
        </w:rPr>
        <w:t>, to assert as true or certain</w:t>
      </w:r>
      <w:r w:rsidRPr="00FC1A2E">
        <w:rPr>
          <w:rFonts w:asciiTheme="minorHAnsi" w:hAnsiTheme="minorHAnsi" w:cstheme="minorHAnsi"/>
          <w:sz w:val="22"/>
          <w:szCs w:val="22"/>
        </w:rPr>
        <w:t>'. Clearly facts do not verify; a person verifies an alleged state of facts. And where the verification takes the form of a sworn affidavit it may be said, figuratively, that the affidavit verifies the facts...</w:t>
      </w:r>
      <w:r w:rsidR="00FC1A2E" w:rsidRPr="00FC1A2E">
        <w:rPr>
          <w:rFonts w:asciiTheme="minorHAnsi" w:hAnsiTheme="minorHAnsi" w:cstheme="minorHAnsi"/>
          <w:sz w:val="22"/>
          <w:szCs w:val="22"/>
        </w:rPr>
        <w:t>”</w:t>
      </w:r>
      <w:r w:rsidR="00380310">
        <w:rPr>
          <w:rFonts w:asciiTheme="minorHAnsi" w:hAnsiTheme="minorHAnsi" w:cstheme="minorHAnsi"/>
          <w:sz w:val="22"/>
          <w:szCs w:val="22"/>
        </w:rPr>
        <w:t xml:space="preserve"> </w:t>
      </w:r>
      <w:r w:rsidR="00380310" w:rsidRPr="00380310">
        <w:rPr>
          <w:rFonts w:asciiTheme="minorHAnsi" w:hAnsiTheme="minorHAnsi" w:cstheme="minorHAnsi"/>
          <w:sz w:val="26"/>
          <w:szCs w:val="26"/>
        </w:rPr>
        <w:t>(emphasis added)</w:t>
      </w:r>
    </w:p>
    <w:p w:rsidR="00FC1A2E" w:rsidRDefault="00FC1A2E" w:rsidP="008D6849">
      <w:pPr>
        <w:pStyle w:val="ListParagraph"/>
        <w:spacing w:after="200" w:line="360" w:lineRule="auto"/>
        <w:ind w:left="851"/>
        <w:jc w:val="both"/>
      </w:pPr>
    </w:p>
    <w:p w:rsidR="00FC1A2E" w:rsidRDefault="00FC1A2E" w:rsidP="008D6849">
      <w:pPr>
        <w:pStyle w:val="ListParagraph"/>
        <w:spacing w:after="200" w:line="360" w:lineRule="auto"/>
        <w:ind w:left="851"/>
        <w:jc w:val="both"/>
        <w:rPr>
          <w:rFonts w:asciiTheme="minorHAnsi" w:hAnsiTheme="minorHAnsi" w:cstheme="minorHAnsi"/>
          <w:sz w:val="26"/>
          <w:szCs w:val="26"/>
        </w:rPr>
      </w:pPr>
      <w:r w:rsidRPr="00FC1A2E">
        <w:rPr>
          <w:rFonts w:asciiTheme="minorHAnsi" w:hAnsiTheme="minorHAnsi" w:cstheme="minorHAnsi"/>
          <w:sz w:val="26"/>
          <w:szCs w:val="26"/>
        </w:rPr>
        <w:t>The learned judge concluded that the words 'verifying the cause of action and</w:t>
      </w:r>
      <w:r w:rsidR="00820803">
        <w:rPr>
          <w:rFonts w:asciiTheme="minorHAnsi" w:hAnsiTheme="minorHAnsi" w:cstheme="minorHAnsi"/>
          <w:sz w:val="26"/>
          <w:szCs w:val="26"/>
        </w:rPr>
        <w:t xml:space="preserve"> the amount, if any, claimed’ </w:t>
      </w:r>
      <w:r w:rsidRPr="00FC1A2E">
        <w:rPr>
          <w:rFonts w:asciiTheme="minorHAnsi" w:hAnsiTheme="minorHAnsi" w:cstheme="minorHAnsi"/>
          <w:sz w:val="26"/>
          <w:szCs w:val="26"/>
        </w:rPr>
        <w:t>refer to the content of the affidavit</w:t>
      </w:r>
      <w:r>
        <w:rPr>
          <w:rFonts w:asciiTheme="minorHAnsi" w:hAnsiTheme="minorHAnsi" w:cstheme="minorHAnsi"/>
          <w:sz w:val="26"/>
          <w:szCs w:val="26"/>
        </w:rPr>
        <w:t xml:space="preserve"> – what must be set out in the affidavit -</w:t>
      </w:r>
      <w:r w:rsidRPr="00FC1A2E">
        <w:rPr>
          <w:rFonts w:asciiTheme="minorHAnsi" w:hAnsiTheme="minorHAnsi" w:cstheme="minorHAnsi"/>
          <w:sz w:val="26"/>
          <w:szCs w:val="26"/>
        </w:rPr>
        <w:t xml:space="preserve"> as opposed to the requirement relating to who may make the affidavit. </w:t>
      </w:r>
      <w:r>
        <w:rPr>
          <w:rFonts w:asciiTheme="minorHAnsi" w:hAnsiTheme="minorHAnsi" w:cstheme="minorHAnsi"/>
          <w:sz w:val="26"/>
          <w:szCs w:val="26"/>
        </w:rPr>
        <w:t xml:space="preserve">Although </w:t>
      </w:r>
      <w:r>
        <w:rPr>
          <w:rFonts w:asciiTheme="minorHAnsi" w:hAnsiTheme="minorHAnsi" w:cstheme="minorHAnsi"/>
          <w:i/>
          <w:sz w:val="26"/>
          <w:szCs w:val="26"/>
        </w:rPr>
        <w:t xml:space="preserve">Maharaj </w:t>
      </w:r>
      <w:r>
        <w:rPr>
          <w:rFonts w:asciiTheme="minorHAnsi" w:hAnsiTheme="minorHAnsi" w:cstheme="minorHAnsi"/>
          <w:sz w:val="26"/>
          <w:szCs w:val="26"/>
        </w:rPr>
        <w:t xml:space="preserve">was decided before the advent of the 2019 amendment in the rule, as I have already indicated, the requirement in relation to verification was retained in the amended rule and thus judicial interpretation </w:t>
      </w:r>
      <w:r w:rsidR="00E80E27">
        <w:rPr>
          <w:rFonts w:asciiTheme="minorHAnsi" w:hAnsiTheme="minorHAnsi" w:cstheme="minorHAnsi"/>
          <w:sz w:val="26"/>
          <w:szCs w:val="26"/>
        </w:rPr>
        <w:t>in relation to th</w:t>
      </w:r>
      <w:r w:rsidR="007B4E62">
        <w:rPr>
          <w:rFonts w:asciiTheme="minorHAnsi" w:hAnsiTheme="minorHAnsi" w:cstheme="minorHAnsi"/>
          <w:sz w:val="26"/>
          <w:szCs w:val="26"/>
        </w:rPr>
        <w:t>e requirement of verification in</w:t>
      </w:r>
      <w:r w:rsidR="00E80E27">
        <w:rPr>
          <w:rFonts w:asciiTheme="minorHAnsi" w:hAnsiTheme="minorHAnsi" w:cstheme="minorHAnsi"/>
          <w:sz w:val="26"/>
          <w:szCs w:val="26"/>
        </w:rPr>
        <w:t xml:space="preserve"> the pre-amended rule s</w:t>
      </w:r>
      <w:r>
        <w:rPr>
          <w:rFonts w:asciiTheme="minorHAnsi" w:hAnsiTheme="minorHAnsi" w:cstheme="minorHAnsi"/>
          <w:sz w:val="26"/>
          <w:szCs w:val="26"/>
        </w:rPr>
        <w:t>till holds good.</w:t>
      </w:r>
    </w:p>
    <w:p w:rsidR="00AC60FC" w:rsidRDefault="00AC60FC" w:rsidP="00AC60FC">
      <w:pPr>
        <w:pStyle w:val="ListParagraph"/>
        <w:rPr>
          <w:rFonts w:asciiTheme="minorHAnsi" w:hAnsiTheme="minorHAnsi" w:cstheme="minorHAnsi"/>
          <w:sz w:val="26"/>
          <w:szCs w:val="26"/>
        </w:rPr>
      </w:pPr>
    </w:p>
    <w:p w:rsidR="00AC60FC" w:rsidRPr="002655B3" w:rsidRDefault="002655B3" w:rsidP="002655B3">
      <w:pPr>
        <w:spacing w:after="200" w:line="360" w:lineRule="auto"/>
        <w:ind w:left="851" w:hanging="851"/>
        <w:jc w:val="both"/>
        <w:rPr>
          <w:rFonts w:asciiTheme="minorHAnsi" w:hAnsiTheme="minorHAnsi" w:cstheme="minorHAnsi"/>
          <w:sz w:val="26"/>
          <w:szCs w:val="26"/>
        </w:rPr>
      </w:pPr>
      <w:r w:rsidRPr="00C31BB4">
        <w:rPr>
          <w:rFonts w:asciiTheme="minorHAnsi" w:hAnsiTheme="minorHAnsi"/>
          <w:sz w:val="24"/>
          <w:szCs w:val="24"/>
        </w:rPr>
        <w:t>25.</w:t>
      </w:r>
      <w:r w:rsidRPr="00C31BB4">
        <w:rPr>
          <w:rFonts w:asciiTheme="minorHAnsi" w:hAnsiTheme="minorHAnsi"/>
          <w:sz w:val="24"/>
          <w:szCs w:val="24"/>
        </w:rPr>
        <w:tab/>
      </w:r>
      <w:r w:rsidR="00C960F2" w:rsidRPr="002655B3">
        <w:rPr>
          <w:rFonts w:asciiTheme="minorHAnsi" w:hAnsiTheme="minorHAnsi" w:cstheme="minorHAnsi"/>
          <w:sz w:val="26"/>
          <w:szCs w:val="26"/>
        </w:rPr>
        <w:t xml:space="preserve">Courts determining summary judgment applications have, both </w:t>
      </w:r>
      <w:r w:rsidR="00C31BB4" w:rsidRPr="002655B3">
        <w:rPr>
          <w:rFonts w:asciiTheme="minorHAnsi" w:hAnsiTheme="minorHAnsi" w:cstheme="minorHAnsi"/>
          <w:sz w:val="26"/>
          <w:szCs w:val="26"/>
        </w:rPr>
        <w:t>prior to the recent amendments to</w:t>
      </w:r>
      <w:r w:rsidR="00C960F2" w:rsidRPr="002655B3">
        <w:rPr>
          <w:rFonts w:asciiTheme="minorHAnsi" w:hAnsiTheme="minorHAnsi" w:cstheme="minorHAnsi"/>
          <w:sz w:val="26"/>
          <w:szCs w:val="26"/>
        </w:rPr>
        <w:t xml:space="preserve"> rule 32 and </w:t>
      </w:r>
      <w:r w:rsidR="00F270D1" w:rsidRPr="002655B3">
        <w:rPr>
          <w:rFonts w:asciiTheme="minorHAnsi" w:hAnsiTheme="minorHAnsi" w:cstheme="minorHAnsi"/>
          <w:sz w:val="26"/>
          <w:szCs w:val="26"/>
        </w:rPr>
        <w:t>subsequent thereto</w:t>
      </w:r>
      <w:r w:rsidR="00C960F2" w:rsidRPr="002655B3">
        <w:rPr>
          <w:rFonts w:asciiTheme="minorHAnsi" w:hAnsiTheme="minorHAnsi" w:cstheme="minorHAnsi"/>
          <w:sz w:val="26"/>
          <w:szCs w:val="26"/>
        </w:rPr>
        <w:t>, consistently endorsed the approach that an applicant in summary judgment proceedings must comply strictly with the requirements of the Rules of Court.</w:t>
      </w:r>
      <w:r w:rsidR="00C960F2">
        <w:rPr>
          <w:rStyle w:val="FootnoteReference"/>
          <w:rFonts w:asciiTheme="minorHAnsi" w:hAnsiTheme="minorHAnsi" w:cstheme="minorHAnsi"/>
          <w:sz w:val="26"/>
          <w:szCs w:val="26"/>
        </w:rPr>
        <w:footnoteReference w:id="21"/>
      </w:r>
      <w:r w:rsidR="00C960F2" w:rsidRPr="002655B3">
        <w:rPr>
          <w:rFonts w:asciiTheme="minorHAnsi" w:hAnsiTheme="minorHAnsi" w:cstheme="minorHAnsi"/>
          <w:sz w:val="26"/>
          <w:szCs w:val="26"/>
        </w:rPr>
        <w:t xml:space="preserve"> </w:t>
      </w:r>
      <w:r w:rsidR="00C31BB4" w:rsidRPr="002655B3">
        <w:rPr>
          <w:rFonts w:asciiTheme="minorHAnsi" w:hAnsiTheme="minorHAnsi" w:cstheme="minorHAnsi"/>
          <w:sz w:val="26"/>
          <w:szCs w:val="26"/>
        </w:rPr>
        <w:t>For example, in</w:t>
      </w:r>
      <w:r w:rsidR="00C960F2" w:rsidRPr="002655B3">
        <w:rPr>
          <w:rFonts w:asciiTheme="minorHAnsi" w:hAnsiTheme="minorHAnsi" w:cstheme="minorHAnsi"/>
          <w:sz w:val="26"/>
          <w:szCs w:val="26"/>
        </w:rPr>
        <w:t xml:space="preserve"> </w:t>
      </w:r>
      <w:r w:rsidR="00C960F2" w:rsidRPr="002655B3">
        <w:rPr>
          <w:rFonts w:asciiTheme="minorHAnsi" w:hAnsiTheme="minorHAnsi" w:cstheme="minorHAnsi"/>
          <w:i/>
          <w:sz w:val="26"/>
          <w:szCs w:val="26"/>
        </w:rPr>
        <w:t>Fischereigesellschaft,</w:t>
      </w:r>
      <w:r w:rsidR="00C960F2" w:rsidRPr="00C31BB4">
        <w:rPr>
          <w:rStyle w:val="FootnoteReference"/>
          <w:rFonts w:asciiTheme="minorHAnsi" w:hAnsiTheme="minorHAnsi" w:cstheme="minorHAnsi"/>
          <w:i/>
          <w:sz w:val="26"/>
          <w:szCs w:val="26"/>
        </w:rPr>
        <w:footnoteReference w:id="22"/>
      </w:r>
      <w:r w:rsidR="00C960F2" w:rsidRPr="002655B3">
        <w:rPr>
          <w:rFonts w:asciiTheme="minorHAnsi" w:hAnsiTheme="minorHAnsi" w:cstheme="minorHAnsi"/>
          <w:i/>
          <w:sz w:val="26"/>
          <w:szCs w:val="26"/>
        </w:rPr>
        <w:t xml:space="preserve"> </w:t>
      </w:r>
      <w:r w:rsidR="00C31BB4" w:rsidRPr="002655B3">
        <w:rPr>
          <w:rFonts w:asciiTheme="minorHAnsi" w:hAnsiTheme="minorHAnsi" w:cstheme="minorHAnsi"/>
          <w:sz w:val="26"/>
          <w:szCs w:val="26"/>
        </w:rPr>
        <w:t>the court put it thus:</w:t>
      </w:r>
    </w:p>
    <w:p w:rsidR="00C31BB4" w:rsidRDefault="00C31BB4" w:rsidP="00C31BB4">
      <w:pPr>
        <w:pStyle w:val="ListParagraph"/>
        <w:spacing w:line="276" w:lineRule="auto"/>
        <w:ind w:left="851"/>
        <w:jc w:val="both"/>
        <w:rPr>
          <w:rFonts w:asciiTheme="minorHAnsi" w:hAnsiTheme="minorHAnsi" w:cstheme="minorHAnsi"/>
          <w:sz w:val="22"/>
          <w:szCs w:val="22"/>
        </w:rPr>
      </w:pPr>
    </w:p>
    <w:p w:rsidR="00C31BB4" w:rsidRPr="00C31BB4" w:rsidRDefault="00C31BB4" w:rsidP="00C31BB4">
      <w:pPr>
        <w:pStyle w:val="ListParagraph"/>
        <w:spacing w:line="276" w:lineRule="auto"/>
        <w:ind w:left="851"/>
        <w:jc w:val="both"/>
        <w:rPr>
          <w:rFonts w:asciiTheme="minorHAnsi" w:hAnsiTheme="minorHAnsi" w:cstheme="minorHAnsi"/>
          <w:sz w:val="22"/>
          <w:szCs w:val="22"/>
        </w:rPr>
      </w:pPr>
      <w:r w:rsidRPr="00C31BB4">
        <w:rPr>
          <w:rFonts w:asciiTheme="minorHAnsi" w:hAnsiTheme="minorHAnsi" w:cstheme="minorHAnsi"/>
          <w:sz w:val="22"/>
          <w:szCs w:val="22"/>
        </w:rPr>
        <w:t xml:space="preserve">“As was pointed out in </w:t>
      </w:r>
      <w:r w:rsidRPr="00C31BB4">
        <w:rPr>
          <w:rFonts w:asciiTheme="minorHAnsi" w:hAnsiTheme="minorHAnsi" w:cstheme="minorHAnsi"/>
          <w:i/>
          <w:sz w:val="22"/>
          <w:szCs w:val="22"/>
        </w:rPr>
        <w:t>Misid Investments (Pty.) Ltd v Leslie</w:t>
      </w:r>
      <w:r w:rsidRPr="00C31BB4">
        <w:rPr>
          <w:rFonts w:asciiTheme="minorHAnsi" w:hAnsiTheme="minorHAnsi" w:cstheme="minorHAnsi"/>
          <w:sz w:val="22"/>
          <w:szCs w:val="22"/>
        </w:rPr>
        <w:t xml:space="preserve"> 1960 (4) SA 473 (W),  at p. 474, the applicant in summary judgment proceedings must </w:t>
      </w:r>
      <w:r w:rsidRPr="00C31BB4">
        <w:rPr>
          <w:rFonts w:asciiTheme="minorHAnsi" w:hAnsiTheme="minorHAnsi" w:cstheme="minorHAnsi"/>
          <w:sz w:val="22"/>
          <w:szCs w:val="22"/>
          <w:u w:val="single"/>
        </w:rPr>
        <w:t>comply strictly with the requirements of the Rules of Court.</w:t>
      </w:r>
      <w:r w:rsidRPr="00C31BB4">
        <w:rPr>
          <w:rFonts w:asciiTheme="minorHAnsi" w:hAnsiTheme="minorHAnsi" w:cstheme="minorHAnsi"/>
          <w:sz w:val="22"/>
          <w:szCs w:val="22"/>
        </w:rPr>
        <w:t xml:space="preserve"> In his judgment in this case MUNNIK, A.J. (as he then was), indicated that to his mind the approach of the Court when objections were raised on technical grounds to an application for summary judgment had been correctly set out by MARAIS, J., </w:t>
      </w:r>
      <w:r w:rsidRPr="00C31BB4">
        <w:rPr>
          <w:rFonts w:asciiTheme="minorHAnsi" w:hAnsiTheme="minorHAnsi" w:cstheme="minorHAnsi"/>
          <w:i/>
          <w:sz w:val="22"/>
          <w:szCs w:val="22"/>
        </w:rPr>
        <w:t>in Mowschenson and Mowschenson v Mercantile Acceptance Corporation of SA Ltd.</w:t>
      </w:r>
      <w:r w:rsidRPr="00C31BB4">
        <w:rPr>
          <w:rFonts w:asciiTheme="minorHAnsi" w:hAnsiTheme="minorHAnsi" w:cstheme="minorHAnsi"/>
          <w:sz w:val="22"/>
          <w:szCs w:val="22"/>
        </w:rPr>
        <w:t>, 1959 (3) SA 362 (W) at p. 366, where he stated: 'The proper approach appears to me to be the one which keeps the important fact in view that the remedy for summary judgment is an extraordinary remedy, and a very stringent one, in that it permits a judgment to be given without trial.' I am in respectful agreement.”</w:t>
      </w:r>
      <w:r>
        <w:rPr>
          <w:rStyle w:val="FootnoteReference"/>
          <w:rFonts w:asciiTheme="minorHAnsi" w:hAnsiTheme="minorHAnsi" w:cstheme="minorHAnsi"/>
          <w:sz w:val="22"/>
          <w:szCs w:val="22"/>
        </w:rPr>
        <w:footnoteReference w:id="23"/>
      </w:r>
      <w:r w:rsidR="00F270D1">
        <w:rPr>
          <w:rFonts w:asciiTheme="minorHAnsi" w:hAnsiTheme="minorHAnsi" w:cstheme="minorHAnsi"/>
          <w:sz w:val="22"/>
          <w:szCs w:val="22"/>
        </w:rPr>
        <w:t xml:space="preserve"> </w:t>
      </w:r>
      <w:r w:rsidR="00F270D1" w:rsidRPr="00F270D1">
        <w:rPr>
          <w:rFonts w:asciiTheme="minorHAnsi" w:hAnsiTheme="minorHAnsi" w:cstheme="minorHAnsi"/>
          <w:sz w:val="26"/>
          <w:szCs w:val="26"/>
        </w:rPr>
        <w:t>(emphasis added)</w:t>
      </w:r>
    </w:p>
    <w:p w:rsidR="00AC60FC" w:rsidRDefault="00AC60FC" w:rsidP="00AC60FC">
      <w:pPr>
        <w:pStyle w:val="ListParagraph"/>
        <w:rPr>
          <w:rFonts w:asciiTheme="minorHAnsi" w:hAnsiTheme="minorHAnsi" w:cstheme="minorHAnsi"/>
          <w:sz w:val="26"/>
          <w:szCs w:val="26"/>
        </w:rPr>
      </w:pPr>
    </w:p>
    <w:p w:rsidR="007B4E62" w:rsidRPr="002655B3" w:rsidRDefault="002655B3" w:rsidP="002655B3">
      <w:pPr>
        <w:spacing w:after="200" w:line="360" w:lineRule="auto"/>
        <w:ind w:left="851" w:hanging="851"/>
        <w:jc w:val="both"/>
        <w:rPr>
          <w:rFonts w:asciiTheme="minorHAnsi" w:hAnsiTheme="minorHAnsi" w:cstheme="minorHAnsi"/>
          <w:sz w:val="26"/>
          <w:szCs w:val="26"/>
        </w:rPr>
      </w:pPr>
      <w:r w:rsidRPr="00FF6FCD">
        <w:rPr>
          <w:rFonts w:asciiTheme="minorHAnsi" w:hAnsiTheme="minorHAnsi"/>
          <w:sz w:val="24"/>
          <w:szCs w:val="24"/>
        </w:rPr>
        <w:t>26.</w:t>
      </w:r>
      <w:r w:rsidRPr="00FF6FCD">
        <w:rPr>
          <w:rFonts w:asciiTheme="minorHAnsi" w:hAnsiTheme="minorHAnsi"/>
          <w:sz w:val="24"/>
          <w:szCs w:val="24"/>
        </w:rPr>
        <w:tab/>
      </w:r>
      <w:r w:rsidR="007B4E62" w:rsidRPr="002655B3">
        <w:rPr>
          <w:rFonts w:asciiTheme="minorHAnsi" w:hAnsiTheme="minorHAnsi" w:cstheme="minorHAnsi"/>
          <w:sz w:val="26"/>
          <w:szCs w:val="26"/>
        </w:rPr>
        <w:t xml:space="preserve">As stated in </w:t>
      </w:r>
      <w:r w:rsidR="007B4E62" w:rsidRPr="002655B3">
        <w:rPr>
          <w:rFonts w:asciiTheme="minorHAnsi" w:hAnsiTheme="minorHAnsi" w:cstheme="minorHAnsi"/>
          <w:i/>
          <w:sz w:val="26"/>
          <w:szCs w:val="26"/>
        </w:rPr>
        <w:t>Pillay,</w:t>
      </w:r>
      <w:r w:rsidR="007B4E62">
        <w:rPr>
          <w:rStyle w:val="FootnoteReference"/>
          <w:rFonts w:asciiTheme="minorHAnsi" w:hAnsiTheme="minorHAnsi" w:cstheme="minorHAnsi"/>
          <w:i/>
          <w:sz w:val="26"/>
          <w:szCs w:val="26"/>
        </w:rPr>
        <w:footnoteReference w:id="24"/>
      </w:r>
      <w:r w:rsidR="007B4E62" w:rsidRPr="002655B3">
        <w:rPr>
          <w:rFonts w:asciiTheme="minorHAnsi" w:hAnsiTheme="minorHAnsi" w:cstheme="minorHAnsi"/>
          <w:i/>
          <w:sz w:val="26"/>
          <w:szCs w:val="26"/>
        </w:rPr>
        <w:t xml:space="preserve"> </w:t>
      </w:r>
      <w:r w:rsidR="007B4E62" w:rsidRPr="002655B3">
        <w:rPr>
          <w:rFonts w:asciiTheme="minorHAnsi" w:hAnsiTheme="minorHAnsi" w:cstheme="minorHAnsi"/>
          <w:sz w:val="26"/>
          <w:szCs w:val="26"/>
        </w:rPr>
        <w:t xml:space="preserve">summary judgment cannot be granted in respect of a cause of action not so verified. The absence of a </w:t>
      </w:r>
      <w:r w:rsidR="007B4E62" w:rsidRPr="002655B3">
        <w:rPr>
          <w:rFonts w:asciiTheme="minorHAnsi" w:hAnsiTheme="minorHAnsi" w:cstheme="minorHAnsi"/>
          <w:i/>
          <w:sz w:val="26"/>
          <w:szCs w:val="26"/>
        </w:rPr>
        <w:t>bona fide</w:t>
      </w:r>
      <w:r w:rsidR="007B4E62" w:rsidRPr="002655B3">
        <w:rPr>
          <w:rFonts w:asciiTheme="minorHAnsi" w:hAnsiTheme="minorHAnsi" w:cstheme="minorHAnsi"/>
          <w:sz w:val="26"/>
          <w:szCs w:val="26"/>
        </w:rPr>
        <w:t xml:space="preserve"> defence does not cure the defects in the summary judgment application read with the summons.</w:t>
      </w:r>
      <w:r w:rsidR="007B4E62">
        <w:rPr>
          <w:rStyle w:val="FootnoteReference"/>
          <w:rFonts w:asciiTheme="minorHAnsi" w:hAnsiTheme="minorHAnsi" w:cstheme="minorHAnsi"/>
          <w:sz w:val="26"/>
          <w:szCs w:val="26"/>
        </w:rPr>
        <w:footnoteReference w:id="25"/>
      </w:r>
    </w:p>
    <w:p w:rsidR="007B4E62" w:rsidRDefault="007B4E62" w:rsidP="00AC60FC">
      <w:pPr>
        <w:pStyle w:val="ListParagraph"/>
        <w:rPr>
          <w:rFonts w:asciiTheme="minorHAnsi" w:hAnsiTheme="minorHAnsi" w:cstheme="minorHAnsi"/>
          <w:sz w:val="26"/>
          <w:szCs w:val="26"/>
        </w:rPr>
      </w:pPr>
    </w:p>
    <w:p w:rsidR="00F270D1" w:rsidRPr="002655B3" w:rsidRDefault="002655B3" w:rsidP="002655B3">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27.</w:t>
      </w:r>
      <w:r>
        <w:rPr>
          <w:rFonts w:asciiTheme="minorHAnsi" w:hAnsiTheme="minorHAnsi"/>
          <w:sz w:val="24"/>
          <w:szCs w:val="24"/>
        </w:rPr>
        <w:tab/>
      </w:r>
      <w:r w:rsidR="00AC60FC" w:rsidRPr="002655B3">
        <w:rPr>
          <w:rFonts w:asciiTheme="minorHAnsi" w:hAnsiTheme="minorHAnsi" w:cstheme="minorHAnsi"/>
          <w:sz w:val="26"/>
          <w:szCs w:val="26"/>
        </w:rPr>
        <w:t xml:space="preserve">For </w:t>
      </w:r>
      <w:r w:rsidR="00F270D1" w:rsidRPr="002655B3">
        <w:rPr>
          <w:rFonts w:asciiTheme="minorHAnsi" w:hAnsiTheme="minorHAnsi" w:cstheme="minorHAnsi"/>
          <w:sz w:val="26"/>
          <w:szCs w:val="26"/>
        </w:rPr>
        <w:t>the</w:t>
      </w:r>
      <w:r w:rsidR="00AC60FC" w:rsidRPr="002655B3">
        <w:rPr>
          <w:rFonts w:asciiTheme="minorHAnsi" w:hAnsiTheme="minorHAnsi" w:cstheme="minorHAnsi"/>
          <w:sz w:val="26"/>
          <w:szCs w:val="26"/>
        </w:rPr>
        <w:t xml:space="preserve"> reasons</w:t>
      </w:r>
      <w:r w:rsidR="00F270D1" w:rsidRPr="002655B3">
        <w:rPr>
          <w:rFonts w:asciiTheme="minorHAnsi" w:hAnsiTheme="minorHAnsi" w:cstheme="minorHAnsi"/>
          <w:sz w:val="26"/>
          <w:szCs w:val="26"/>
        </w:rPr>
        <w:t xml:space="preserve"> given</w:t>
      </w:r>
      <w:r w:rsidR="00AC60FC" w:rsidRPr="002655B3">
        <w:rPr>
          <w:rFonts w:asciiTheme="minorHAnsi" w:hAnsiTheme="minorHAnsi" w:cstheme="minorHAnsi"/>
          <w:sz w:val="26"/>
          <w:szCs w:val="26"/>
        </w:rPr>
        <w:t xml:space="preserve">, </w:t>
      </w:r>
      <w:r w:rsidR="00C31BB4" w:rsidRPr="002655B3">
        <w:rPr>
          <w:rFonts w:asciiTheme="minorHAnsi" w:hAnsiTheme="minorHAnsi" w:cstheme="minorHAnsi"/>
          <w:sz w:val="26"/>
          <w:szCs w:val="26"/>
        </w:rPr>
        <w:t xml:space="preserve">the </w:t>
      </w:r>
      <w:r w:rsidR="00F270D1" w:rsidRPr="002655B3">
        <w:rPr>
          <w:rFonts w:asciiTheme="minorHAnsi" w:hAnsiTheme="minorHAnsi" w:cstheme="minorHAnsi"/>
          <w:sz w:val="26"/>
          <w:szCs w:val="26"/>
        </w:rPr>
        <w:t xml:space="preserve">point </w:t>
      </w:r>
      <w:r w:rsidR="00F270D1" w:rsidRPr="002655B3">
        <w:rPr>
          <w:rFonts w:asciiTheme="minorHAnsi" w:hAnsiTheme="minorHAnsi" w:cstheme="minorHAnsi"/>
          <w:i/>
          <w:sz w:val="26"/>
          <w:szCs w:val="26"/>
        </w:rPr>
        <w:t>in limine</w:t>
      </w:r>
      <w:r w:rsidR="00F270D1" w:rsidRPr="002655B3">
        <w:rPr>
          <w:rFonts w:asciiTheme="minorHAnsi" w:hAnsiTheme="minorHAnsi" w:cstheme="minorHAnsi"/>
          <w:sz w:val="26"/>
          <w:szCs w:val="26"/>
        </w:rPr>
        <w:t xml:space="preserve"> holds good and </w:t>
      </w:r>
      <w:r w:rsidR="00C31BB4" w:rsidRPr="002655B3">
        <w:rPr>
          <w:rFonts w:asciiTheme="minorHAnsi" w:hAnsiTheme="minorHAnsi" w:cstheme="minorHAnsi"/>
          <w:sz w:val="26"/>
          <w:szCs w:val="26"/>
        </w:rPr>
        <w:t>plaintiff is</w:t>
      </w:r>
      <w:r w:rsidR="00AC60FC" w:rsidRPr="002655B3">
        <w:rPr>
          <w:rFonts w:asciiTheme="minorHAnsi" w:hAnsiTheme="minorHAnsi" w:cstheme="minorHAnsi"/>
          <w:sz w:val="26"/>
          <w:szCs w:val="26"/>
        </w:rPr>
        <w:t xml:space="preserve"> not entitled to summary judgment</w:t>
      </w:r>
      <w:r w:rsidR="00F270D1" w:rsidRPr="002655B3">
        <w:rPr>
          <w:rFonts w:asciiTheme="minorHAnsi" w:hAnsiTheme="minorHAnsi" w:cstheme="minorHAnsi"/>
          <w:sz w:val="26"/>
          <w:szCs w:val="26"/>
        </w:rPr>
        <w:t>. As the point raised is dispositive of the application, it is not necessary for me to determine the remaining points</w:t>
      </w:r>
      <w:r w:rsidR="00F270D1" w:rsidRPr="002655B3">
        <w:rPr>
          <w:rFonts w:asciiTheme="minorHAnsi" w:hAnsiTheme="minorHAnsi" w:cstheme="minorHAnsi"/>
          <w:i/>
          <w:sz w:val="26"/>
          <w:szCs w:val="26"/>
        </w:rPr>
        <w:t xml:space="preserve"> </w:t>
      </w:r>
      <w:r w:rsidR="00F270D1" w:rsidRPr="002655B3">
        <w:rPr>
          <w:rFonts w:asciiTheme="minorHAnsi" w:hAnsiTheme="minorHAnsi" w:cstheme="minorHAnsi"/>
          <w:sz w:val="26"/>
          <w:szCs w:val="26"/>
        </w:rPr>
        <w:t>relied on by the defendants</w:t>
      </w:r>
      <w:r w:rsidR="00C75082" w:rsidRPr="002655B3">
        <w:rPr>
          <w:rFonts w:asciiTheme="minorHAnsi" w:hAnsiTheme="minorHAnsi" w:cstheme="minorHAnsi"/>
          <w:sz w:val="26"/>
          <w:szCs w:val="26"/>
        </w:rPr>
        <w:t>.</w:t>
      </w:r>
      <w:r w:rsidR="00F270D1" w:rsidRPr="002655B3">
        <w:rPr>
          <w:rFonts w:asciiTheme="minorHAnsi" w:hAnsiTheme="minorHAnsi" w:cstheme="minorHAnsi"/>
          <w:sz w:val="26"/>
          <w:szCs w:val="26"/>
        </w:rPr>
        <w:t xml:space="preserve"> </w:t>
      </w:r>
    </w:p>
    <w:p w:rsidR="00F270D1" w:rsidRDefault="00F270D1" w:rsidP="00F270D1">
      <w:pPr>
        <w:pStyle w:val="ListParagraph"/>
        <w:rPr>
          <w:rFonts w:asciiTheme="minorHAnsi" w:hAnsiTheme="minorHAnsi" w:cstheme="minorHAnsi"/>
          <w:sz w:val="26"/>
          <w:szCs w:val="26"/>
        </w:rPr>
      </w:pPr>
    </w:p>
    <w:p w:rsidR="00AC60FC" w:rsidRPr="002655B3" w:rsidRDefault="002655B3" w:rsidP="002655B3">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28.</w:t>
      </w:r>
      <w:r>
        <w:rPr>
          <w:rFonts w:asciiTheme="minorHAnsi" w:hAnsiTheme="minorHAnsi"/>
          <w:sz w:val="24"/>
          <w:szCs w:val="24"/>
        </w:rPr>
        <w:tab/>
      </w:r>
      <w:r w:rsidR="00F270D1" w:rsidRPr="002655B3">
        <w:rPr>
          <w:rFonts w:asciiTheme="minorHAnsi" w:hAnsiTheme="minorHAnsi" w:cstheme="minorHAnsi"/>
          <w:sz w:val="26"/>
          <w:szCs w:val="26"/>
        </w:rPr>
        <w:t xml:space="preserve">One further </w:t>
      </w:r>
      <w:r w:rsidR="00D2428B" w:rsidRPr="002655B3">
        <w:rPr>
          <w:rFonts w:asciiTheme="minorHAnsi" w:hAnsiTheme="minorHAnsi" w:cstheme="minorHAnsi"/>
          <w:sz w:val="26"/>
          <w:szCs w:val="26"/>
        </w:rPr>
        <w:t>issue</w:t>
      </w:r>
      <w:r w:rsidR="00F270D1" w:rsidRPr="002655B3">
        <w:rPr>
          <w:rFonts w:asciiTheme="minorHAnsi" w:hAnsiTheme="minorHAnsi" w:cstheme="minorHAnsi"/>
          <w:sz w:val="26"/>
          <w:szCs w:val="26"/>
        </w:rPr>
        <w:t xml:space="preserve"> that arose subsequent to the hearing of the application requires mention. During the course of oral argument tendered at the hearing of the application, both counsel </w:t>
      </w:r>
      <w:r w:rsidR="00491195" w:rsidRPr="002655B3">
        <w:rPr>
          <w:rFonts w:asciiTheme="minorHAnsi" w:hAnsiTheme="minorHAnsi" w:cstheme="minorHAnsi"/>
          <w:sz w:val="26"/>
          <w:szCs w:val="26"/>
        </w:rPr>
        <w:t xml:space="preserve">who appeared </w:t>
      </w:r>
      <w:r w:rsidR="00F270D1" w:rsidRPr="002655B3">
        <w:rPr>
          <w:rFonts w:asciiTheme="minorHAnsi" w:hAnsiTheme="minorHAnsi" w:cstheme="minorHAnsi"/>
          <w:sz w:val="26"/>
          <w:szCs w:val="26"/>
        </w:rPr>
        <w:t xml:space="preserve">for the parties raised the fact that the arrears </w:t>
      </w:r>
      <w:r w:rsidR="00511F36" w:rsidRPr="002655B3">
        <w:rPr>
          <w:rFonts w:asciiTheme="minorHAnsi" w:hAnsiTheme="minorHAnsi" w:cstheme="minorHAnsi"/>
          <w:sz w:val="26"/>
          <w:szCs w:val="26"/>
        </w:rPr>
        <w:t xml:space="preserve">alleged in paragraph 11 of the particulars of claim to be owing </w:t>
      </w:r>
      <w:r w:rsidR="00511F36" w:rsidRPr="002655B3">
        <w:rPr>
          <w:rFonts w:asciiTheme="minorHAnsi" w:hAnsiTheme="minorHAnsi" w:cstheme="minorHAnsi"/>
          <w:sz w:val="26"/>
          <w:szCs w:val="26"/>
        </w:rPr>
        <w:lastRenderedPageBreak/>
        <w:t xml:space="preserve">by the first defendant in </w:t>
      </w:r>
      <w:r w:rsidR="00F270D1" w:rsidRPr="002655B3">
        <w:rPr>
          <w:rFonts w:asciiTheme="minorHAnsi" w:hAnsiTheme="minorHAnsi" w:cstheme="minorHAnsi"/>
          <w:sz w:val="26"/>
          <w:szCs w:val="26"/>
        </w:rPr>
        <w:t>the amount of R</w:t>
      </w:r>
      <w:r w:rsidR="00511F36" w:rsidRPr="002655B3">
        <w:rPr>
          <w:rFonts w:asciiTheme="minorHAnsi" w:hAnsiTheme="minorHAnsi" w:cstheme="minorHAnsi"/>
          <w:sz w:val="26"/>
          <w:szCs w:val="26"/>
        </w:rPr>
        <w:t>36 141,79</w:t>
      </w:r>
      <w:r w:rsidR="00491195" w:rsidRPr="002655B3">
        <w:rPr>
          <w:rFonts w:asciiTheme="minorHAnsi" w:hAnsiTheme="minorHAnsi" w:cstheme="minorHAnsi"/>
          <w:sz w:val="26"/>
          <w:szCs w:val="26"/>
        </w:rPr>
        <w:t>,</w:t>
      </w:r>
      <w:r w:rsidR="00F270D1" w:rsidRPr="002655B3">
        <w:rPr>
          <w:rFonts w:asciiTheme="minorHAnsi" w:hAnsiTheme="minorHAnsi" w:cstheme="minorHAnsi"/>
          <w:sz w:val="26"/>
          <w:szCs w:val="26"/>
        </w:rPr>
        <w:t xml:space="preserve"> had </w:t>
      </w:r>
      <w:r w:rsidR="00511F36" w:rsidRPr="002655B3">
        <w:rPr>
          <w:rFonts w:asciiTheme="minorHAnsi" w:hAnsiTheme="minorHAnsi" w:cstheme="minorHAnsi"/>
          <w:sz w:val="26"/>
          <w:szCs w:val="26"/>
        </w:rPr>
        <w:t xml:space="preserve">since </w:t>
      </w:r>
      <w:r w:rsidR="00F270D1" w:rsidRPr="002655B3">
        <w:rPr>
          <w:rFonts w:asciiTheme="minorHAnsi" w:hAnsiTheme="minorHAnsi" w:cstheme="minorHAnsi"/>
          <w:sz w:val="26"/>
          <w:szCs w:val="26"/>
        </w:rPr>
        <w:t xml:space="preserve">been </w:t>
      </w:r>
      <w:r w:rsidR="00511F36" w:rsidRPr="002655B3">
        <w:rPr>
          <w:rFonts w:asciiTheme="minorHAnsi" w:hAnsiTheme="minorHAnsi" w:cstheme="minorHAnsi"/>
          <w:sz w:val="26"/>
          <w:szCs w:val="26"/>
        </w:rPr>
        <w:t>paid on behalf of the first defendant. After judgment was reserved in the matter but before judgment was delivered, the first defendant filed a supplementary affidavit (</w:t>
      </w:r>
      <w:r w:rsidR="00491195" w:rsidRPr="002655B3">
        <w:rPr>
          <w:rFonts w:asciiTheme="minorHAnsi" w:hAnsiTheme="minorHAnsi" w:cstheme="minorHAnsi"/>
          <w:sz w:val="26"/>
          <w:szCs w:val="26"/>
        </w:rPr>
        <w:t xml:space="preserve">albeit </w:t>
      </w:r>
      <w:r w:rsidR="00511F36" w:rsidRPr="002655B3">
        <w:rPr>
          <w:rFonts w:asciiTheme="minorHAnsi" w:hAnsiTheme="minorHAnsi" w:cstheme="minorHAnsi"/>
          <w:sz w:val="26"/>
          <w:szCs w:val="26"/>
        </w:rPr>
        <w:t xml:space="preserve">without leave of court first having been obtained) in which the deponent thereto, </w:t>
      </w:r>
      <w:r w:rsidR="00511F36" w:rsidRPr="002655B3">
        <w:rPr>
          <w:rFonts w:asciiTheme="minorHAnsi" w:hAnsiTheme="minorHAnsi" w:cstheme="minorHAnsi"/>
          <w:i/>
          <w:sz w:val="26"/>
          <w:szCs w:val="26"/>
        </w:rPr>
        <w:t xml:space="preserve">inter alia, </w:t>
      </w:r>
      <w:r w:rsidR="00511F36" w:rsidRPr="002655B3">
        <w:rPr>
          <w:rFonts w:asciiTheme="minorHAnsi" w:hAnsiTheme="minorHAnsi" w:cstheme="minorHAnsi"/>
          <w:sz w:val="26"/>
          <w:szCs w:val="26"/>
        </w:rPr>
        <w:t>stated that</w:t>
      </w:r>
      <w:r w:rsidR="00F270D1" w:rsidRPr="002655B3">
        <w:rPr>
          <w:rFonts w:asciiTheme="minorHAnsi" w:hAnsiTheme="minorHAnsi" w:cstheme="minorHAnsi"/>
          <w:sz w:val="26"/>
          <w:szCs w:val="26"/>
        </w:rPr>
        <w:t xml:space="preserve"> </w:t>
      </w:r>
      <w:r w:rsidR="00511F36" w:rsidRPr="002655B3">
        <w:rPr>
          <w:rFonts w:asciiTheme="minorHAnsi" w:hAnsiTheme="minorHAnsi" w:cstheme="minorHAnsi"/>
          <w:sz w:val="26"/>
          <w:szCs w:val="26"/>
        </w:rPr>
        <w:t xml:space="preserve">he had paid </w:t>
      </w:r>
      <w:r w:rsidR="00491195" w:rsidRPr="002655B3">
        <w:rPr>
          <w:rFonts w:asciiTheme="minorHAnsi" w:hAnsiTheme="minorHAnsi" w:cstheme="minorHAnsi"/>
          <w:sz w:val="26"/>
          <w:szCs w:val="26"/>
        </w:rPr>
        <w:t xml:space="preserve">the </w:t>
      </w:r>
      <w:r w:rsidR="00511F36" w:rsidRPr="002655B3">
        <w:rPr>
          <w:rFonts w:asciiTheme="minorHAnsi" w:hAnsiTheme="minorHAnsi" w:cstheme="minorHAnsi"/>
          <w:sz w:val="26"/>
          <w:szCs w:val="26"/>
        </w:rPr>
        <w:t xml:space="preserve">amount </w:t>
      </w:r>
      <w:r w:rsidR="00491195" w:rsidRPr="002655B3">
        <w:rPr>
          <w:rFonts w:asciiTheme="minorHAnsi" w:hAnsiTheme="minorHAnsi" w:cstheme="minorHAnsi"/>
          <w:sz w:val="26"/>
          <w:szCs w:val="26"/>
        </w:rPr>
        <w:t xml:space="preserve">of R36 141,79 </w:t>
      </w:r>
      <w:r w:rsidR="00511F36" w:rsidRPr="002655B3">
        <w:rPr>
          <w:rFonts w:asciiTheme="minorHAnsi" w:hAnsiTheme="minorHAnsi" w:cstheme="minorHAnsi"/>
          <w:sz w:val="26"/>
          <w:szCs w:val="26"/>
        </w:rPr>
        <w:t>to the plaintiff on 10 February 2023</w:t>
      </w:r>
      <w:r w:rsidR="00491195" w:rsidRPr="002655B3">
        <w:rPr>
          <w:rFonts w:asciiTheme="minorHAnsi" w:hAnsiTheme="minorHAnsi" w:cstheme="minorHAnsi"/>
          <w:sz w:val="26"/>
          <w:szCs w:val="26"/>
        </w:rPr>
        <w:t>. This payment was presumably made</w:t>
      </w:r>
      <w:r w:rsidR="00D2428B" w:rsidRPr="002655B3">
        <w:rPr>
          <w:rFonts w:asciiTheme="minorHAnsi" w:hAnsiTheme="minorHAnsi" w:cstheme="minorHAnsi"/>
          <w:sz w:val="26"/>
          <w:szCs w:val="26"/>
        </w:rPr>
        <w:t xml:space="preserve"> in an attempt </w:t>
      </w:r>
      <w:r w:rsidR="00491195" w:rsidRPr="002655B3">
        <w:rPr>
          <w:rFonts w:asciiTheme="minorHAnsi" w:hAnsiTheme="minorHAnsi" w:cstheme="minorHAnsi"/>
          <w:sz w:val="26"/>
          <w:szCs w:val="26"/>
        </w:rPr>
        <w:t>to avoid the grant of summary judgment</w:t>
      </w:r>
      <w:r w:rsidR="00D368A9" w:rsidRPr="002655B3">
        <w:rPr>
          <w:rFonts w:asciiTheme="minorHAnsi" w:hAnsiTheme="minorHAnsi" w:cstheme="minorHAnsi"/>
          <w:sz w:val="26"/>
          <w:szCs w:val="26"/>
        </w:rPr>
        <w:t xml:space="preserve"> on the basis of the plaintiff’s own pleading,</w:t>
      </w:r>
      <w:r w:rsidR="00491195" w:rsidRPr="002655B3">
        <w:rPr>
          <w:rFonts w:asciiTheme="minorHAnsi" w:hAnsiTheme="minorHAnsi" w:cstheme="minorHAnsi"/>
          <w:sz w:val="26"/>
          <w:szCs w:val="26"/>
        </w:rPr>
        <w:t xml:space="preserve"> </w:t>
      </w:r>
      <w:r w:rsidR="00D368A9" w:rsidRPr="002655B3">
        <w:rPr>
          <w:rFonts w:asciiTheme="minorHAnsi" w:hAnsiTheme="minorHAnsi" w:cstheme="minorHAnsi"/>
          <w:sz w:val="26"/>
          <w:szCs w:val="26"/>
        </w:rPr>
        <w:t xml:space="preserve">where it will be recalled that the plaintiff averred (in </w:t>
      </w:r>
      <w:r w:rsidR="00491195" w:rsidRPr="002655B3">
        <w:rPr>
          <w:rFonts w:asciiTheme="minorHAnsi" w:hAnsiTheme="minorHAnsi" w:cstheme="minorHAnsi"/>
          <w:sz w:val="26"/>
          <w:szCs w:val="26"/>
        </w:rPr>
        <w:t>paragraph 28 of the particulars of claim</w:t>
      </w:r>
      <w:r w:rsidR="00D368A9" w:rsidRPr="002655B3">
        <w:rPr>
          <w:rFonts w:asciiTheme="minorHAnsi" w:hAnsiTheme="minorHAnsi" w:cstheme="minorHAnsi"/>
          <w:sz w:val="26"/>
          <w:szCs w:val="26"/>
        </w:rPr>
        <w:t>)</w:t>
      </w:r>
      <w:r w:rsidR="00491195" w:rsidRPr="002655B3">
        <w:rPr>
          <w:rFonts w:asciiTheme="minorHAnsi" w:hAnsiTheme="minorHAnsi" w:cstheme="minorHAnsi"/>
          <w:sz w:val="26"/>
          <w:szCs w:val="26"/>
        </w:rPr>
        <w:t xml:space="preserve"> that ‘</w:t>
      </w:r>
      <w:r w:rsidR="00491195" w:rsidRPr="002655B3">
        <w:rPr>
          <w:rFonts w:asciiTheme="minorHAnsi" w:hAnsiTheme="minorHAnsi" w:cstheme="minorHAnsi"/>
          <w:i/>
          <w:sz w:val="26"/>
          <w:szCs w:val="26"/>
        </w:rPr>
        <w:t xml:space="preserve">Should the defendant fail to pay the arrears plus costs, the Plaintiff will request the above Honourable Court to cancel the agreement by way of judgment.’  </w:t>
      </w:r>
      <w:r w:rsidR="00D368A9" w:rsidRPr="002655B3">
        <w:rPr>
          <w:rFonts w:asciiTheme="minorHAnsi" w:hAnsiTheme="minorHAnsi" w:cstheme="minorHAnsi"/>
          <w:sz w:val="26"/>
          <w:szCs w:val="26"/>
        </w:rPr>
        <w:t xml:space="preserve"> The fact of the payment, which occurred after </w:t>
      </w:r>
      <w:r w:rsidR="007B4E62" w:rsidRPr="002655B3">
        <w:rPr>
          <w:rFonts w:asciiTheme="minorHAnsi" w:hAnsiTheme="minorHAnsi" w:cstheme="minorHAnsi"/>
          <w:sz w:val="26"/>
          <w:szCs w:val="26"/>
        </w:rPr>
        <w:t xml:space="preserve">service of summons, and after </w:t>
      </w:r>
      <w:r w:rsidR="00D368A9" w:rsidRPr="002655B3">
        <w:rPr>
          <w:rFonts w:asciiTheme="minorHAnsi" w:hAnsiTheme="minorHAnsi" w:cstheme="minorHAnsi"/>
          <w:sz w:val="26"/>
          <w:szCs w:val="26"/>
        </w:rPr>
        <w:t xml:space="preserve">the institution of the </w:t>
      </w:r>
      <w:r w:rsidR="007B4E62" w:rsidRPr="002655B3">
        <w:rPr>
          <w:rFonts w:asciiTheme="minorHAnsi" w:hAnsiTheme="minorHAnsi" w:cstheme="minorHAnsi"/>
          <w:sz w:val="26"/>
          <w:szCs w:val="26"/>
        </w:rPr>
        <w:t xml:space="preserve">summary judgment, </w:t>
      </w:r>
      <w:r w:rsidR="00D368A9" w:rsidRPr="002655B3">
        <w:rPr>
          <w:rFonts w:asciiTheme="minorHAnsi" w:hAnsiTheme="minorHAnsi" w:cstheme="minorHAnsi"/>
          <w:sz w:val="26"/>
          <w:szCs w:val="26"/>
        </w:rPr>
        <w:t xml:space="preserve">and after the opposing affidavits were filed, shone a light on the question of whether or not a defendant can file a supplementary opposing affidavit in summary judgment proceedings. </w:t>
      </w:r>
    </w:p>
    <w:p w:rsidR="00AC60FC" w:rsidRDefault="00AC60FC" w:rsidP="00AC60FC">
      <w:pPr>
        <w:pStyle w:val="ListParagraph"/>
        <w:rPr>
          <w:rFonts w:asciiTheme="minorHAnsi" w:hAnsiTheme="minorHAnsi" w:cstheme="minorHAnsi"/>
          <w:sz w:val="26"/>
          <w:szCs w:val="26"/>
        </w:rPr>
      </w:pPr>
    </w:p>
    <w:p w:rsidR="006C54CB" w:rsidRPr="002655B3" w:rsidRDefault="002655B3" w:rsidP="002655B3">
      <w:pPr>
        <w:spacing w:after="200" w:line="360" w:lineRule="auto"/>
        <w:ind w:left="851" w:hanging="851"/>
        <w:jc w:val="both"/>
        <w:rPr>
          <w:rFonts w:asciiTheme="minorHAnsi" w:hAnsiTheme="minorHAnsi" w:cstheme="minorHAnsi"/>
          <w:sz w:val="26"/>
          <w:szCs w:val="26"/>
        </w:rPr>
      </w:pPr>
      <w:r w:rsidRPr="006C54CB">
        <w:rPr>
          <w:rFonts w:asciiTheme="minorHAnsi" w:hAnsiTheme="minorHAnsi"/>
          <w:sz w:val="24"/>
          <w:szCs w:val="24"/>
        </w:rPr>
        <w:t>29.</w:t>
      </w:r>
      <w:r w:rsidRPr="006C54CB">
        <w:rPr>
          <w:rFonts w:asciiTheme="minorHAnsi" w:hAnsiTheme="minorHAnsi"/>
          <w:sz w:val="24"/>
          <w:szCs w:val="24"/>
        </w:rPr>
        <w:tab/>
      </w:r>
      <w:r w:rsidR="00D368A9" w:rsidRPr="002655B3">
        <w:rPr>
          <w:rFonts w:asciiTheme="minorHAnsi" w:hAnsiTheme="minorHAnsi" w:cstheme="minorHAnsi"/>
          <w:sz w:val="26"/>
          <w:szCs w:val="26"/>
        </w:rPr>
        <w:t>R</w:t>
      </w:r>
      <w:r w:rsidR="006F6599" w:rsidRPr="002655B3">
        <w:rPr>
          <w:rFonts w:asciiTheme="minorHAnsi" w:hAnsiTheme="minorHAnsi" w:cstheme="minorHAnsi"/>
          <w:sz w:val="26"/>
          <w:szCs w:val="26"/>
        </w:rPr>
        <w:t>ule 32</w:t>
      </w:r>
      <w:r w:rsidR="00D368A9" w:rsidRPr="002655B3">
        <w:rPr>
          <w:rFonts w:asciiTheme="minorHAnsi" w:hAnsiTheme="minorHAnsi" w:cstheme="minorHAnsi"/>
          <w:sz w:val="26"/>
          <w:szCs w:val="26"/>
        </w:rPr>
        <w:t xml:space="preserve">(4) expressly precludes the applicant in summary judgment proceedings from adducing any evidence otherwise than by the affidavit referred to in subrule 2. </w:t>
      </w:r>
      <w:r w:rsidR="006C54CB" w:rsidRPr="002655B3">
        <w:rPr>
          <w:rFonts w:asciiTheme="minorHAnsi" w:hAnsiTheme="minorHAnsi" w:cstheme="minorHAnsi"/>
          <w:sz w:val="26"/>
          <w:szCs w:val="26"/>
        </w:rPr>
        <w:t>No annexures to a plaintiff’s verifying affidavit are allowed except if the claim is founded on a liquid document, in which instance a copy of the document must be annexed to the affidavit, although the inclusion of evidence in the affidavit, or the annexing of documentary evidence, will not invalidate the application</w:t>
      </w:r>
      <w:r w:rsidR="00820803" w:rsidRPr="002655B3">
        <w:rPr>
          <w:rFonts w:asciiTheme="minorHAnsi" w:hAnsiTheme="minorHAnsi" w:cstheme="minorHAnsi"/>
          <w:sz w:val="26"/>
          <w:szCs w:val="26"/>
        </w:rPr>
        <w:t>,</w:t>
      </w:r>
      <w:r w:rsidR="006C54CB" w:rsidRPr="002655B3">
        <w:rPr>
          <w:rFonts w:asciiTheme="minorHAnsi" w:hAnsiTheme="minorHAnsi" w:cstheme="minorHAnsi"/>
          <w:sz w:val="26"/>
          <w:szCs w:val="26"/>
        </w:rPr>
        <w:t xml:space="preserve"> but will simply be ignored by the court.</w:t>
      </w:r>
      <w:r w:rsidR="006C54CB" w:rsidRPr="006C54CB">
        <w:rPr>
          <w:rStyle w:val="FootnoteReference"/>
          <w:rFonts w:asciiTheme="minorHAnsi" w:hAnsiTheme="minorHAnsi" w:cstheme="minorHAnsi"/>
          <w:sz w:val="26"/>
          <w:szCs w:val="26"/>
        </w:rPr>
        <w:footnoteReference w:id="26"/>
      </w:r>
      <w:r w:rsidR="006C54CB" w:rsidRPr="002655B3">
        <w:rPr>
          <w:sz w:val="26"/>
          <w:szCs w:val="26"/>
        </w:rPr>
        <w:t xml:space="preserve"> </w:t>
      </w:r>
      <w:r w:rsidR="006C54CB" w:rsidRPr="002655B3">
        <w:rPr>
          <w:rFonts w:asciiTheme="minorHAnsi" w:hAnsiTheme="minorHAnsi" w:cstheme="minorHAnsi"/>
          <w:sz w:val="26"/>
          <w:szCs w:val="26"/>
        </w:rPr>
        <w:t xml:space="preserve">In dealing with the provisions of Sections 129(1) and 130 of the </w:t>
      </w:r>
      <w:r w:rsidR="006C54CB" w:rsidRPr="002655B3">
        <w:rPr>
          <w:rFonts w:asciiTheme="minorHAnsi" w:hAnsiTheme="minorHAnsi" w:cstheme="minorHAnsi"/>
          <w:sz w:val="26"/>
          <w:szCs w:val="26"/>
        </w:rPr>
        <w:lastRenderedPageBreak/>
        <w:t>National Credit Act, No. 34 of 2005 in the context of a summary judgment application, the Supreme Court of Appeal has held that Rule 32(4) limits a plaintiff’s evidence in summary judgment proceedings to the affidavit supporting the notice of application and that reliance on a document not annexed to the summons but handed up at the hearing without complaint, was simply inadmissible.</w:t>
      </w:r>
      <w:r w:rsidR="006C54CB" w:rsidRPr="006C54CB">
        <w:rPr>
          <w:rStyle w:val="FootnoteReference"/>
          <w:rFonts w:asciiTheme="minorHAnsi" w:hAnsiTheme="minorHAnsi" w:cstheme="minorHAnsi"/>
          <w:sz w:val="26"/>
          <w:szCs w:val="26"/>
        </w:rPr>
        <w:footnoteReference w:id="27"/>
      </w:r>
    </w:p>
    <w:p w:rsidR="006C54CB" w:rsidRPr="006C54CB" w:rsidRDefault="006C54CB" w:rsidP="006C54CB">
      <w:pPr>
        <w:pStyle w:val="ListParagraph"/>
        <w:rPr>
          <w:rFonts w:asciiTheme="minorHAnsi" w:hAnsiTheme="minorHAnsi" w:cstheme="minorHAnsi"/>
          <w:sz w:val="26"/>
          <w:szCs w:val="26"/>
        </w:rPr>
      </w:pPr>
    </w:p>
    <w:p w:rsidR="006F6599" w:rsidRPr="002655B3" w:rsidRDefault="002655B3" w:rsidP="002655B3">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30.</w:t>
      </w:r>
      <w:r>
        <w:rPr>
          <w:rFonts w:asciiTheme="minorHAnsi" w:hAnsiTheme="minorHAnsi"/>
          <w:sz w:val="24"/>
          <w:szCs w:val="24"/>
        </w:rPr>
        <w:tab/>
      </w:r>
      <w:r w:rsidR="00D368A9" w:rsidRPr="002655B3">
        <w:rPr>
          <w:rFonts w:asciiTheme="minorHAnsi" w:hAnsiTheme="minorHAnsi" w:cstheme="minorHAnsi"/>
          <w:sz w:val="26"/>
          <w:szCs w:val="26"/>
        </w:rPr>
        <w:t xml:space="preserve">The rule is however silent on what a defendant who opposes the application </w:t>
      </w:r>
      <w:r w:rsidR="006F6599" w:rsidRPr="002655B3">
        <w:rPr>
          <w:rFonts w:asciiTheme="minorHAnsi" w:hAnsiTheme="minorHAnsi" w:cstheme="minorHAnsi"/>
          <w:sz w:val="26"/>
          <w:szCs w:val="26"/>
        </w:rPr>
        <w:t xml:space="preserve">for summary judgment </w:t>
      </w:r>
      <w:r w:rsidR="00D368A9" w:rsidRPr="002655B3">
        <w:rPr>
          <w:rFonts w:asciiTheme="minorHAnsi" w:hAnsiTheme="minorHAnsi" w:cstheme="minorHAnsi"/>
          <w:sz w:val="26"/>
          <w:szCs w:val="26"/>
        </w:rPr>
        <w:t xml:space="preserve">may </w:t>
      </w:r>
      <w:r w:rsidR="006F6599" w:rsidRPr="002655B3">
        <w:rPr>
          <w:rFonts w:asciiTheme="minorHAnsi" w:hAnsiTheme="minorHAnsi" w:cstheme="minorHAnsi"/>
          <w:sz w:val="26"/>
          <w:szCs w:val="26"/>
        </w:rPr>
        <w:t xml:space="preserve">or may not </w:t>
      </w:r>
      <w:r w:rsidR="00D368A9" w:rsidRPr="002655B3">
        <w:rPr>
          <w:rFonts w:asciiTheme="minorHAnsi" w:hAnsiTheme="minorHAnsi" w:cstheme="minorHAnsi"/>
          <w:sz w:val="26"/>
          <w:szCs w:val="26"/>
        </w:rPr>
        <w:t>do</w:t>
      </w:r>
      <w:r w:rsidR="006F6599" w:rsidRPr="002655B3">
        <w:rPr>
          <w:rFonts w:asciiTheme="minorHAnsi" w:hAnsiTheme="minorHAnsi" w:cstheme="minorHAnsi"/>
          <w:sz w:val="26"/>
          <w:szCs w:val="26"/>
        </w:rPr>
        <w:t xml:space="preserve"> </w:t>
      </w:r>
      <w:r w:rsidR="00820803" w:rsidRPr="002655B3">
        <w:rPr>
          <w:rFonts w:asciiTheme="minorHAnsi" w:hAnsiTheme="minorHAnsi" w:cstheme="minorHAnsi"/>
          <w:sz w:val="26"/>
          <w:szCs w:val="26"/>
        </w:rPr>
        <w:t xml:space="preserve">regarding </w:t>
      </w:r>
      <w:r w:rsidR="00460516" w:rsidRPr="002655B3">
        <w:rPr>
          <w:rFonts w:asciiTheme="minorHAnsi" w:hAnsiTheme="minorHAnsi" w:cstheme="minorHAnsi"/>
          <w:sz w:val="26"/>
          <w:szCs w:val="26"/>
        </w:rPr>
        <w:t>adducing</w:t>
      </w:r>
      <w:r w:rsidR="006F6599" w:rsidRPr="002655B3">
        <w:rPr>
          <w:rFonts w:asciiTheme="minorHAnsi" w:hAnsiTheme="minorHAnsi" w:cstheme="minorHAnsi"/>
          <w:sz w:val="26"/>
          <w:szCs w:val="26"/>
        </w:rPr>
        <w:t xml:space="preserve"> </w:t>
      </w:r>
      <w:r w:rsidR="00460516" w:rsidRPr="002655B3">
        <w:rPr>
          <w:rFonts w:asciiTheme="minorHAnsi" w:hAnsiTheme="minorHAnsi" w:cstheme="minorHAnsi"/>
          <w:sz w:val="26"/>
          <w:szCs w:val="26"/>
        </w:rPr>
        <w:t>f</w:t>
      </w:r>
      <w:r w:rsidR="0072744B" w:rsidRPr="002655B3">
        <w:rPr>
          <w:rFonts w:asciiTheme="minorHAnsi" w:hAnsiTheme="minorHAnsi" w:cstheme="minorHAnsi"/>
          <w:sz w:val="26"/>
          <w:szCs w:val="26"/>
        </w:rPr>
        <w:t>urther</w:t>
      </w:r>
      <w:r w:rsidR="006F6599" w:rsidRPr="002655B3">
        <w:rPr>
          <w:rFonts w:asciiTheme="minorHAnsi" w:hAnsiTheme="minorHAnsi" w:cstheme="minorHAnsi"/>
          <w:sz w:val="26"/>
          <w:szCs w:val="26"/>
        </w:rPr>
        <w:t xml:space="preserve"> evidence.</w:t>
      </w:r>
      <w:r w:rsidR="00A132BE" w:rsidRPr="002655B3">
        <w:rPr>
          <w:rFonts w:asciiTheme="minorHAnsi" w:hAnsiTheme="minorHAnsi" w:cstheme="minorHAnsi"/>
          <w:sz w:val="26"/>
          <w:szCs w:val="26"/>
        </w:rPr>
        <w:t xml:space="preserve"> </w:t>
      </w:r>
      <w:r w:rsidR="006F6599" w:rsidRPr="002655B3">
        <w:rPr>
          <w:rFonts w:asciiTheme="minorHAnsi" w:hAnsiTheme="minorHAnsi" w:cstheme="minorHAnsi"/>
          <w:sz w:val="26"/>
          <w:szCs w:val="26"/>
        </w:rPr>
        <w:t xml:space="preserve">In the present matter, the first defendant simply filed a supplementary affidavit </w:t>
      </w:r>
      <w:r w:rsidR="00460516" w:rsidRPr="002655B3">
        <w:rPr>
          <w:rFonts w:asciiTheme="minorHAnsi" w:hAnsiTheme="minorHAnsi" w:cstheme="minorHAnsi"/>
          <w:sz w:val="26"/>
          <w:szCs w:val="26"/>
        </w:rPr>
        <w:t>after the hearing</w:t>
      </w:r>
      <w:r w:rsidR="006F6599" w:rsidRPr="002655B3">
        <w:rPr>
          <w:rFonts w:asciiTheme="minorHAnsi" w:hAnsiTheme="minorHAnsi" w:cstheme="minorHAnsi"/>
          <w:sz w:val="26"/>
          <w:szCs w:val="26"/>
        </w:rPr>
        <w:t xml:space="preserve">. In this affidavit, it provided documentary </w:t>
      </w:r>
      <w:r w:rsidR="00460516" w:rsidRPr="002655B3">
        <w:rPr>
          <w:rFonts w:asciiTheme="minorHAnsi" w:hAnsiTheme="minorHAnsi" w:cstheme="minorHAnsi"/>
          <w:sz w:val="26"/>
          <w:szCs w:val="26"/>
        </w:rPr>
        <w:t xml:space="preserve">proof </w:t>
      </w:r>
      <w:r w:rsidR="0072744B" w:rsidRPr="002655B3">
        <w:rPr>
          <w:rFonts w:asciiTheme="minorHAnsi" w:hAnsiTheme="minorHAnsi" w:cstheme="minorHAnsi"/>
          <w:sz w:val="26"/>
          <w:szCs w:val="26"/>
        </w:rPr>
        <w:t xml:space="preserve">of </w:t>
      </w:r>
      <w:r w:rsidR="006F6599" w:rsidRPr="002655B3">
        <w:rPr>
          <w:rFonts w:asciiTheme="minorHAnsi" w:hAnsiTheme="minorHAnsi" w:cstheme="minorHAnsi"/>
          <w:sz w:val="26"/>
          <w:szCs w:val="26"/>
        </w:rPr>
        <w:t xml:space="preserve">its payment on 10 </w:t>
      </w:r>
      <w:r w:rsidR="00D2428B" w:rsidRPr="002655B3">
        <w:rPr>
          <w:rFonts w:asciiTheme="minorHAnsi" w:hAnsiTheme="minorHAnsi" w:cstheme="minorHAnsi"/>
          <w:sz w:val="26"/>
          <w:szCs w:val="26"/>
        </w:rPr>
        <w:t>F</w:t>
      </w:r>
      <w:r w:rsidR="006F6599" w:rsidRPr="002655B3">
        <w:rPr>
          <w:rFonts w:asciiTheme="minorHAnsi" w:hAnsiTheme="minorHAnsi" w:cstheme="minorHAnsi"/>
          <w:sz w:val="26"/>
          <w:szCs w:val="26"/>
        </w:rPr>
        <w:t>ebruary 2023 (i.e., three days prior to the hearing of the matter)</w:t>
      </w:r>
      <w:r w:rsidR="00D2428B" w:rsidRPr="002655B3">
        <w:rPr>
          <w:rFonts w:asciiTheme="minorHAnsi" w:hAnsiTheme="minorHAnsi" w:cstheme="minorHAnsi"/>
          <w:sz w:val="26"/>
          <w:szCs w:val="26"/>
        </w:rPr>
        <w:t>.</w:t>
      </w:r>
      <w:r w:rsidR="006F6599" w:rsidRPr="002655B3">
        <w:rPr>
          <w:rFonts w:asciiTheme="minorHAnsi" w:hAnsiTheme="minorHAnsi" w:cstheme="minorHAnsi"/>
          <w:sz w:val="26"/>
          <w:szCs w:val="26"/>
        </w:rPr>
        <w:t xml:space="preserve"> </w:t>
      </w:r>
      <w:r w:rsidR="00460516" w:rsidRPr="002655B3">
        <w:rPr>
          <w:rFonts w:asciiTheme="minorHAnsi" w:hAnsiTheme="minorHAnsi" w:cstheme="minorHAnsi"/>
          <w:sz w:val="26"/>
          <w:szCs w:val="26"/>
        </w:rPr>
        <w:t>The affidavit</w:t>
      </w:r>
      <w:r w:rsidR="0072744B" w:rsidRPr="002655B3">
        <w:rPr>
          <w:rFonts w:asciiTheme="minorHAnsi" w:hAnsiTheme="minorHAnsi" w:cstheme="minorHAnsi"/>
          <w:sz w:val="26"/>
          <w:szCs w:val="26"/>
        </w:rPr>
        <w:t xml:space="preserve"> did no more than </w:t>
      </w:r>
      <w:r w:rsidR="00FC7C4A" w:rsidRPr="002655B3">
        <w:rPr>
          <w:rFonts w:asciiTheme="minorHAnsi" w:hAnsiTheme="minorHAnsi" w:cstheme="minorHAnsi"/>
          <w:sz w:val="26"/>
          <w:szCs w:val="26"/>
        </w:rPr>
        <w:t xml:space="preserve">provide evidence </w:t>
      </w:r>
      <w:r w:rsidR="00460516" w:rsidRPr="002655B3">
        <w:rPr>
          <w:rFonts w:asciiTheme="minorHAnsi" w:hAnsiTheme="minorHAnsi" w:cstheme="minorHAnsi"/>
          <w:sz w:val="26"/>
          <w:szCs w:val="26"/>
        </w:rPr>
        <w:t xml:space="preserve">under oath </w:t>
      </w:r>
      <w:r w:rsidR="00820803" w:rsidRPr="002655B3">
        <w:rPr>
          <w:rFonts w:asciiTheme="minorHAnsi" w:hAnsiTheme="minorHAnsi" w:cstheme="minorHAnsi"/>
          <w:sz w:val="26"/>
          <w:szCs w:val="26"/>
        </w:rPr>
        <w:t xml:space="preserve">in support </w:t>
      </w:r>
      <w:r w:rsidR="00FC7C4A" w:rsidRPr="002655B3">
        <w:rPr>
          <w:rFonts w:asciiTheme="minorHAnsi" w:hAnsiTheme="minorHAnsi" w:cstheme="minorHAnsi"/>
          <w:sz w:val="26"/>
          <w:szCs w:val="26"/>
        </w:rPr>
        <w:t xml:space="preserve">of information that had already been placed </w:t>
      </w:r>
      <w:r w:rsidR="00460516" w:rsidRPr="002655B3">
        <w:rPr>
          <w:rFonts w:asciiTheme="minorHAnsi" w:hAnsiTheme="minorHAnsi" w:cstheme="minorHAnsi"/>
          <w:sz w:val="26"/>
          <w:szCs w:val="26"/>
        </w:rPr>
        <w:t>on record</w:t>
      </w:r>
      <w:r w:rsidR="00FC7C4A" w:rsidRPr="002655B3">
        <w:rPr>
          <w:rFonts w:asciiTheme="minorHAnsi" w:hAnsiTheme="minorHAnsi" w:cstheme="minorHAnsi"/>
          <w:sz w:val="26"/>
          <w:szCs w:val="26"/>
        </w:rPr>
        <w:t xml:space="preserve"> from the bar by counsel representing the parties</w:t>
      </w:r>
      <w:r w:rsidR="00460516" w:rsidRPr="002655B3">
        <w:rPr>
          <w:rFonts w:asciiTheme="minorHAnsi" w:hAnsiTheme="minorHAnsi" w:cstheme="minorHAnsi"/>
          <w:sz w:val="26"/>
          <w:szCs w:val="26"/>
        </w:rPr>
        <w:t>.</w:t>
      </w:r>
      <w:r w:rsidR="0072744B" w:rsidRPr="002655B3">
        <w:rPr>
          <w:rFonts w:asciiTheme="minorHAnsi" w:hAnsiTheme="minorHAnsi" w:cstheme="minorHAnsi"/>
          <w:sz w:val="26"/>
          <w:szCs w:val="26"/>
        </w:rPr>
        <w:t xml:space="preserve"> </w:t>
      </w:r>
      <w:r w:rsidR="00D2428B" w:rsidRPr="002655B3">
        <w:rPr>
          <w:rFonts w:asciiTheme="minorHAnsi" w:hAnsiTheme="minorHAnsi" w:cstheme="minorHAnsi"/>
          <w:sz w:val="26"/>
          <w:szCs w:val="26"/>
        </w:rPr>
        <w:t xml:space="preserve">As earlier indicated, during the course of their oral </w:t>
      </w:r>
      <w:r w:rsidR="00820803" w:rsidRPr="002655B3">
        <w:rPr>
          <w:rFonts w:asciiTheme="minorHAnsi" w:hAnsiTheme="minorHAnsi" w:cstheme="minorHAnsi"/>
          <w:sz w:val="26"/>
          <w:szCs w:val="26"/>
        </w:rPr>
        <w:t>submissions</w:t>
      </w:r>
      <w:r w:rsidR="00D2428B" w:rsidRPr="002655B3">
        <w:rPr>
          <w:rFonts w:asciiTheme="minorHAnsi" w:hAnsiTheme="minorHAnsi" w:cstheme="minorHAnsi"/>
          <w:sz w:val="26"/>
          <w:szCs w:val="26"/>
        </w:rPr>
        <w:t>, b</w:t>
      </w:r>
      <w:r w:rsidR="00460516" w:rsidRPr="002655B3">
        <w:rPr>
          <w:rFonts w:asciiTheme="minorHAnsi" w:hAnsiTheme="minorHAnsi" w:cstheme="minorHAnsi"/>
          <w:sz w:val="26"/>
          <w:szCs w:val="26"/>
        </w:rPr>
        <w:t>oth parties</w:t>
      </w:r>
      <w:r w:rsidR="00D2428B" w:rsidRPr="002655B3">
        <w:rPr>
          <w:rFonts w:asciiTheme="minorHAnsi" w:hAnsiTheme="minorHAnsi" w:cstheme="minorHAnsi"/>
          <w:sz w:val="26"/>
          <w:szCs w:val="26"/>
        </w:rPr>
        <w:t>’</w:t>
      </w:r>
      <w:r w:rsidR="00460516" w:rsidRPr="002655B3">
        <w:rPr>
          <w:rFonts w:asciiTheme="minorHAnsi" w:hAnsiTheme="minorHAnsi" w:cstheme="minorHAnsi"/>
          <w:sz w:val="26"/>
          <w:szCs w:val="26"/>
        </w:rPr>
        <w:t xml:space="preserve"> counsel alluded to the</w:t>
      </w:r>
      <w:r w:rsidR="0072744B" w:rsidRPr="002655B3">
        <w:rPr>
          <w:rFonts w:asciiTheme="minorHAnsi" w:hAnsiTheme="minorHAnsi" w:cstheme="minorHAnsi"/>
          <w:sz w:val="26"/>
          <w:szCs w:val="26"/>
        </w:rPr>
        <w:t xml:space="preserve"> fact that </w:t>
      </w:r>
      <w:r w:rsidR="00460516" w:rsidRPr="002655B3">
        <w:rPr>
          <w:rFonts w:asciiTheme="minorHAnsi" w:hAnsiTheme="minorHAnsi" w:cstheme="minorHAnsi"/>
          <w:sz w:val="26"/>
          <w:szCs w:val="26"/>
        </w:rPr>
        <w:t>the p</w:t>
      </w:r>
      <w:r w:rsidR="0072744B" w:rsidRPr="002655B3">
        <w:rPr>
          <w:rFonts w:asciiTheme="minorHAnsi" w:hAnsiTheme="minorHAnsi" w:cstheme="minorHAnsi"/>
          <w:sz w:val="26"/>
          <w:szCs w:val="26"/>
        </w:rPr>
        <w:t xml:space="preserve">ayment had been </w:t>
      </w:r>
      <w:r w:rsidR="00460516" w:rsidRPr="002655B3">
        <w:rPr>
          <w:rFonts w:asciiTheme="minorHAnsi" w:hAnsiTheme="minorHAnsi" w:cstheme="minorHAnsi"/>
          <w:sz w:val="26"/>
          <w:szCs w:val="26"/>
        </w:rPr>
        <w:t>effected</w:t>
      </w:r>
      <w:r w:rsidR="0072744B" w:rsidRPr="002655B3">
        <w:rPr>
          <w:rFonts w:asciiTheme="minorHAnsi" w:hAnsiTheme="minorHAnsi" w:cstheme="minorHAnsi"/>
          <w:sz w:val="26"/>
          <w:szCs w:val="26"/>
        </w:rPr>
        <w:t xml:space="preserve"> </w:t>
      </w:r>
      <w:r w:rsidR="00460516" w:rsidRPr="002655B3">
        <w:rPr>
          <w:rFonts w:asciiTheme="minorHAnsi" w:hAnsiTheme="minorHAnsi" w:cstheme="minorHAnsi"/>
          <w:sz w:val="26"/>
          <w:szCs w:val="26"/>
        </w:rPr>
        <w:t xml:space="preserve">and both made submissions in regard thereto. The supplementary affidavit served to evidence </w:t>
      </w:r>
      <w:r w:rsidR="00EA298D" w:rsidRPr="002655B3">
        <w:rPr>
          <w:rFonts w:asciiTheme="minorHAnsi" w:hAnsiTheme="minorHAnsi" w:cstheme="minorHAnsi"/>
          <w:sz w:val="26"/>
          <w:szCs w:val="26"/>
        </w:rPr>
        <w:t xml:space="preserve">what was </w:t>
      </w:r>
      <w:r w:rsidR="00D2428B" w:rsidRPr="002655B3">
        <w:rPr>
          <w:rFonts w:asciiTheme="minorHAnsi" w:hAnsiTheme="minorHAnsi" w:cstheme="minorHAnsi"/>
          <w:sz w:val="26"/>
          <w:szCs w:val="26"/>
        </w:rPr>
        <w:t xml:space="preserve">essentially </w:t>
      </w:r>
      <w:r w:rsidR="00EA298D" w:rsidRPr="002655B3">
        <w:rPr>
          <w:rFonts w:asciiTheme="minorHAnsi" w:hAnsiTheme="minorHAnsi" w:cstheme="minorHAnsi"/>
          <w:sz w:val="26"/>
          <w:szCs w:val="26"/>
        </w:rPr>
        <w:t xml:space="preserve">a </w:t>
      </w:r>
      <w:r w:rsidR="00460516" w:rsidRPr="002655B3">
        <w:rPr>
          <w:rFonts w:asciiTheme="minorHAnsi" w:hAnsiTheme="minorHAnsi" w:cstheme="minorHAnsi"/>
          <w:sz w:val="26"/>
          <w:szCs w:val="26"/>
        </w:rPr>
        <w:t xml:space="preserve">common cause fact, which was </w:t>
      </w:r>
      <w:r w:rsidR="00EA298D" w:rsidRPr="002655B3">
        <w:rPr>
          <w:rFonts w:asciiTheme="minorHAnsi" w:hAnsiTheme="minorHAnsi" w:cstheme="minorHAnsi"/>
          <w:sz w:val="26"/>
          <w:szCs w:val="26"/>
        </w:rPr>
        <w:t>certainly</w:t>
      </w:r>
      <w:r w:rsidR="00460516" w:rsidRPr="002655B3">
        <w:rPr>
          <w:rFonts w:asciiTheme="minorHAnsi" w:hAnsiTheme="minorHAnsi" w:cstheme="minorHAnsi"/>
          <w:sz w:val="26"/>
          <w:szCs w:val="26"/>
        </w:rPr>
        <w:t xml:space="preserve"> not prejudicial to the applicant.</w:t>
      </w:r>
    </w:p>
    <w:p w:rsidR="006F6599" w:rsidRPr="006F6599" w:rsidRDefault="006F6599" w:rsidP="006F6599">
      <w:pPr>
        <w:pStyle w:val="ListParagraph"/>
        <w:rPr>
          <w:rFonts w:asciiTheme="minorHAnsi" w:hAnsiTheme="minorHAnsi" w:cstheme="minorHAnsi"/>
          <w:sz w:val="26"/>
          <w:szCs w:val="26"/>
        </w:rPr>
      </w:pPr>
    </w:p>
    <w:p w:rsidR="00C31BB4" w:rsidRPr="002655B3" w:rsidRDefault="002655B3" w:rsidP="002655B3">
      <w:pPr>
        <w:spacing w:after="200" w:line="360" w:lineRule="auto"/>
        <w:ind w:left="851" w:hanging="851"/>
        <w:jc w:val="both"/>
        <w:rPr>
          <w:rFonts w:asciiTheme="minorHAnsi" w:hAnsiTheme="minorHAnsi" w:cstheme="minorHAnsi"/>
          <w:sz w:val="26"/>
          <w:szCs w:val="26"/>
        </w:rPr>
      </w:pPr>
      <w:r w:rsidRPr="00A132BE">
        <w:rPr>
          <w:rFonts w:asciiTheme="minorHAnsi" w:hAnsiTheme="minorHAnsi"/>
          <w:sz w:val="24"/>
          <w:szCs w:val="24"/>
        </w:rPr>
        <w:t>31.</w:t>
      </w:r>
      <w:r w:rsidRPr="00A132BE">
        <w:rPr>
          <w:rFonts w:asciiTheme="minorHAnsi" w:hAnsiTheme="minorHAnsi"/>
          <w:sz w:val="24"/>
          <w:szCs w:val="24"/>
        </w:rPr>
        <w:tab/>
      </w:r>
      <w:r w:rsidR="00460516" w:rsidRPr="002655B3">
        <w:rPr>
          <w:rFonts w:asciiTheme="minorHAnsi" w:hAnsiTheme="minorHAnsi" w:cstheme="minorHAnsi"/>
          <w:sz w:val="26"/>
          <w:szCs w:val="26"/>
        </w:rPr>
        <w:t xml:space="preserve">As I see it, </w:t>
      </w:r>
      <w:r w:rsidR="00EA298D" w:rsidRPr="002655B3">
        <w:rPr>
          <w:rFonts w:asciiTheme="minorHAnsi" w:hAnsiTheme="minorHAnsi" w:cstheme="minorHAnsi"/>
          <w:sz w:val="26"/>
          <w:szCs w:val="26"/>
        </w:rPr>
        <w:t>I have a discretion to permit the supplementary affidavit.</w:t>
      </w:r>
      <w:r w:rsidR="00EA298D">
        <w:rPr>
          <w:rStyle w:val="FootnoteReference"/>
          <w:rFonts w:asciiTheme="minorHAnsi" w:hAnsiTheme="minorHAnsi" w:cstheme="minorHAnsi"/>
          <w:sz w:val="26"/>
          <w:szCs w:val="26"/>
        </w:rPr>
        <w:footnoteReference w:id="28"/>
      </w:r>
      <w:r w:rsidR="00EA298D" w:rsidRPr="002655B3">
        <w:rPr>
          <w:rFonts w:asciiTheme="minorHAnsi" w:hAnsiTheme="minorHAnsi" w:cstheme="minorHAnsi"/>
          <w:sz w:val="26"/>
          <w:szCs w:val="26"/>
        </w:rPr>
        <w:t xml:space="preserve"> This </w:t>
      </w:r>
      <w:r w:rsidR="00A132BE" w:rsidRPr="002655B3">
        <w:rPr>
          <w:rFonts w:asciiTheme="minorHAnsi" w:hAnsiTheme="minorHAnsi" w:cstheme="minorHAnsi"/>
          <w:sz w:val="26"/>
          <w:szCs w:val="26"/>
        </w:rPr>
        <w:t xml:space="preserve">court </w:t>
      </w:r>
      <w:r w:rsidR="00EA298D" w:rsidRPr="002655B3">
        <w:rPr>
          <w:rFonts w:asciiTheme="minorHAnsi" w:hAnsiTheme="minorHAnsi" w:cstheme="minorHAnsi"/>
          <w:sz w:val="26"/>
          <w:szCs w:val="26"/>
        </w:rPr>
        <w:t xml:space="preserve">in any event </w:t>
      </w:r>
      <w:r w:rsidR="00A132BE" w:rsidRPr="002655B3">
        <w:rPr>
          <w:rFonts w:asciiTheme="minorHAnsi" w:hAnsiTheme="minorHAnsi" w:cstheme="minorHAnsi"/>
          <w:sz w:val="26"/>
          <w:szCs w:val="26"/>
        </w:rPr>
        <w:t xml:space="preserve">has inherent power to regulate procedure in terms of Section 173 of the Constitution, which may include the power to grant procedural relief where the rules of court make no provision for it. </w:t>
      </w:r>
      <w:r w:rsidR="005E53BD" w:rsidRPr="002655B3">
        <w:rPr>
          <w:rFonts w:asciiTheme="minorHAnsi" w:hAnsiTheme="minorHAnsi" w:cstheme="minorHAnsi"/>
          <w:sz w:val="26"/>
          <w:szCs w:val="26"/>
        </w:rPr>
        <w:t>This was recognised in the pre-constitutional dispensation</w:t>
      </w:r>
      <w:r w:rsidR="00A132BE" w:rsidRPr="002655B3">
        <w:rPr>
          <w:rFonts w:asciiTheme="minorHAnsi" w:hAnsiTheme="minorHAnsi" w:cstheme="minorHAnsi"/>
          <w:sz w:val="26"/>
          <w:szCs w:val="26"/>
        </w:rPr>
        <w:t xml:space="preserve">, as stated by Gardiner JP </w:t>
      </w:r>
      <w:r w:rsidR="00A132BE" w:rsidRPr="002655B3">
        <w:rPr>
          <w:rFonts w:asciiTheme="minorHAnsi" w:hAnsiTheme="minorHAnsi" w:cstheme="minorHAnsi"/>
          <w:i/>
          <w:sz w:val="26"/>
          <w:szCs w:val="26"/>
        </w:rPr>
        <w:t>in Cohen &amp; Tyfield v Hull Chemical Works</w:t>
      </w:r>
      <w:r w:rsidR="00A132BE" w:rsidRPr="002655B3">
        <w:rPr>
          <w:rFonts w:asciiTheme="minorHAnsi" w:hAnsiTheme="minorHAnsi" w:cstheme="minorHAnsi"/>
          <w:sz w:val="26"/>
          <w:szCs w:val="26"/>
        </w:rPr>
        <w:t xml:space="preserve"> 1929 CPD 9 at 11</w:t>
      </w:r>
      <w:r w:rsidR="005E53BD" w:rsidRPr="002655B3">
        <w:rPr>
          <w:rFonts w:asciiTheme="minorHAnsi" w:hAnsiTheme="minorHAnsi" w:cstheme="minorHAnsi"/>
          <w:sz w:val="26"/>
          <w:szCs w:val="26"/>
        </w:rPr>
        <w:t>:</w:t>
      </w:r>
      <w:r w:rsidR="00A132BE" w:rsidRPr="002655B3">
        <w:rPr>
          <w:rFonts w:asciiTheme="minorHAnsi" w:hAnsiTheme="minorHAnsi" w:cstheme="minorHAnsi"/>
          <w:sz w:val="26"/>
          <w:szCs w:val="26"/>
        </w:rPr>
        <w:t xml:space="preserve"> ‘(j)ust as the Court has the power to make a Rule, so it has an inherent power, when just cause is </w:t>
      </w:r>
      <w:r w:rsidR="00A132BE" w:rsidRPr="002655B3">
        <w:rPr>
          <w:rFonts w:asciiTheme="minorHAnsi" w:hAnsiTheme="minorHAnsi" w:cstheme="minorHAnsi"/>
          <w:sz w:val="26"/>
          <w:szCs w:val="26"/>
        </w:rPr>
        <w:lastRenderedPageBreak/>
        <w:t xml:space="preserve">shown, to do something which is not provided for by the Rule’. </w:t>
      </w:r>
      <w:r w:rsidR="00460516" w:rsidRPr="002655B3">
        <w:rPr>
          <w:rFonts w:asciiTheme="minorHAnsi" w:hAnsiTheme="minorHAnsi" w:cstheme="minorHAnsi"/>
          <w:sz w:val="26"/>
          <w:szCs w:val="26"/>
        </w:rPr>
        <w:t>Within</w:t>
      </w:r>
      <w:r w:rsidR="00A132BE" w:rsidRPr="002655B3">
        <w:rPr>
          <w:rFonts w:asciiTheme="minorHAnsi" w:hAnsiTheme="minorHAnsi" w:cstheme="minorHAnsi"/>
          <w:sz w:val="26"/>
          <w:szCs w:val="26"/>
        </w:rPr>
        <w:t xml:space="preserve"> the constitutional dispensation, </w:t>
      </w:r>
      <w:r w:rsidR="00460516" w:rsidRPr="002655B3">
        <w:rPr>
          <w:rFonts w:asciiTheme="minorHAnsi" w:hAnsiTheme="minorHAnsi" w:cstheme="minorHAnsi"/>
          <w:sz w:val="26"/>
          <w:szCs w:val="26"/>
        </w:rPr>
        <w:t>the power extends</w:t>
      </w:r>
      <w:r w:rsidR="00A132BE" w:rsidRPr="002655B3">
        <w:rPr>
          <w:rFonts w:asciiTheme="minorHAnsi" w:hAnsiTheme="minorHAnsi" w:cstheme="minorHAnsi"/>
          <w:sz w:val="26"/>
          <w:szCs w:val="26"/>
        </w:rPr>
        <w:t xml:space="preserve"> to overlook</w:t>
      </w:r>
      <w:r w:rsidR="00460516" w:rsidRPr="002655B3">
        <w:rPr>
          <w:rFonts w:asciiTheme="minorHAnsi" w:hAnsiTheme="minorHAnsi" w:cstheme="minorHAnsi"/>
          <w:sz w:val="26"/>
          <w:szCs w:val="26"/>
        </w:rPr>
        <w:t>ing</w:t>
      </w:r>
      <w:r w:rsidR="00A132BE" w:rsidRPr="002655B3">
        <w:rPr>
          <w:rFonts w:asciiTheme="minorHAnsi" w:hAnsiTheme="minorHAnsi" w:cstheme="minorHAnsi"/>
          <w:sz w:val="26"/>
          <w:szCs w:val="26"/>
        </w:rPr>
        <w:t xml:space="preserve"> procedural irregularit</w:t>
      </w:r>
      <w:r w:rsidR="00460516" w:rsidRPr="002655B3">
        <w:rPr>
          <w:rFonts w:asciiTheme="minorHAnsi" w:hAnsiTheme="minorHAnsi" w:cstheme="minorHAnsi"/>
          <w:sz w:val="26"/>
          <w:szCs w:val="26"/>
        </w:rPr>
        <w:t>ies</w:t>
      </w:r>
      <w:r w:rsidR="00EA298D" w:rsidRPr="002655B3">
        <w:rPr>
          <w:rFonts w:asciiTheme="minorHAnsi" w:hAnsiTheme="minorHAnsi" w:cstheme="minorHAnsi"/>
          <w:sz w:val="26"/>
          <w:szCs w:val="26"/>
        </w:rPr>
        <w:t xml:space="preserve"> or</w:t>
      </w:r>
      <w:r w:rsidR="00460516" w:rsidRPr="002655B3">
        <w:rPr>
          <w:rFonts w:asciiTheme="minorHAnsi" w:hAnsiTheme="minorHAnsi" w:cstheme="minorHAnsi"/>
          <w:sz w:val="26"/>
          <w:szCs w:val="26"/>
        </w:rPr>
        <w:t xml:space="preserve"> eschewing</w:t>
      </w:r>
      <w:r w:rsidR="00A132BE" w:rsidRPr="002655B3">
        <w:rPr>
          <w:rFonts w:asciiTheme="minorHAnsi" w:hAnsiTheme="minorHAnsi" w:cstheme="minorHAnsi"/>
          <w:sz w:val="26"/>
          <w:szCs w:val="26"/>
        </w:rPr>
        <w:t xml:space="preserve"> formalism in the application of the rules</w:t>
      </w:r>
      <w:r w:rsidR="00EA298D" w:rsidRPr="002655B3">
        <w:rPr>
          <w:rFonts w:asciiTheme="minorHAnsi" w:hAnsiTheme="minorHAnsi" w:cstheme="minorHAnsi"/>
          <w:sz w:val="26"/>
          <w:szCs w:val="26"/>
        </w:rPr>
        <w:t xml:space="preserve"> </w:t>
      </w:r>
      <w:r w:rsidR="00D2428B" w:rsidRPr="002655B3">
        <w:rPr>
          <w:rFonts w:asciiTheme="minorHAnsi" w:hAnsiTheme="minorHAnsi" w:cstheme="minorHAnsi"/>
          <w:sz w:val="26"/>
          <w:szCs w:val="26"/>
        </w:rPr>
        <w:t xml:space="preserve">to </w:t>
      </w:r>
      <w:r w:rsidR="00820803" w:rsidRPr="002655B3">
        <w:rPr>
          <w:rFonts w:asciiTheme="minorHAnsi" w:hAnsiTheme="minorHAnsi" w:cstheme="minorHAnsi"/>
          <w:sz w:val="26"/>
          <w:szCs w:val="26"/>
        </w:rPr>
        <w:t>a</w:t>
      </w:r>
      <w:r w:rsidR="005E53BD" w:rsidRPr="002655B3">
        <w:rPr>
          <w:rFonts w:asciiTheme="minorHAnsi" w:hAnsiTheme="minorHAnsi" w:cstheme="minorHAnsi"/>
          <w:sz w:val="26"/>
          <w:szCs w:val="26"/>
        </w:rPr>
        <w:t xml:space="preserve">llow a </w:t>
      </w:r>
      <w:r w:rsidR="00820803" w:rsidRPr="002655B3">
        <w:rPr>
          <w:rFonts w:asciiTheme="minorHAnsi" w:hAnsiTheme="minorHAnsi" w:cstheme="minorHAnsi"/>
          <w:sz w:val="26"/>
          <w:szCs w:val="26"/>
        </w:rPr>
        <w:t xml:space="preserve">court </w:t>
      </w:r>
      <w:r w:rsidR="005E53BD" w:rsidRPr="002655B3">
        <w:rPr>
          <w:rFonts w:asciiTheme="minorHAnsi" w:hAnsiTheme="minorHAnsi" w:cstheme="minorHAnsi"/>
          <w:sz w:val="26"/>
          <w:szCs w:val="26"/>
        </w:rPr>
        <w:t>to take</w:t>
      </w:r>
      <w:r w:rsidR="00EA298D" w:rsidRPr="002655B3">
        <w:rPr>
          <w:rFonts w:asciiTheme="minorHAnsi" w:hAnsiTheme="minorHAnsi" w:cstheme="minorHAnsi"/>
          <w:sz w:val="26"/>
          <w:szCs w:val="26"/>
        </w:rPr>
        <w:t xml:space="preserve"> account of relevant evidence</w:t>
      </w:r>
      <w:r w:rsidR="00A132BE" w:rsidRPr="002655B3">
        <w:rPr>
          <w:rFonts w:asciiTheme="minorHAnsi" w:hAnsiTheme="minorHAnsi" w:cstheme="minorHAnsi"/>
          <w:sz w:val="26"/>
          <w:szCs w:val="26"/>
        </w:rPr>
        <w:t xml:space="preserve"> </w:t>
      </w:r>
      <w:r w:rsidR="005E53BD" w:rsidRPr="002655B3">
        <w:rPr>
          <w:rFonts w:asciiTheme="minorHAnsi" w:hAnsiTheme="minorHAnsi" w:cstheme="minorHAnsi"/>
          <w:sz w:val="26"/>
          <w:szCs w:val="26"/>
        </w:rPr>
        <w:t>in</w:t>
      </w:r>
      <w:r w:rsidR="00A132BE" w:rsidRPr="002655B3">
        <w:rPr>
          <w:rFonts w:asciiTheme="minorHAnsi" w:hAnsiTheme="minorHAnsi" w:cstheme="minorHAnsi"/>
          <w:sz w:val="26"/>
          <w:szCs w:val="26"/>
        </w:rPr>
        <w:t xml:space="preserve"> the interests of justice, particularly in the absence of prejudice </w:t>
      </w:r>
      <w:r w:rsidR="005E53BD" w:rsidRPr="002655B3">
        <w:rPr>
          <w:rFonts w:asciiTheme="minorHAnsi" w:hAnsiTheme="minorHAnsi" w:cstheme="minorHAnsi"/>
          <w:sz w:val="26"/>
          <w:szCs w:val="26"/>
        </w:rPr>
        <w:t xml:space="preserve">being occasioned </w:t>
      </w:r>
      <w:r w:rsidR="00A132BE" w:rsidRPr="002655B3">
        <w:rPr>
          <w:rFonts w:asciiTheme="minorHAnsi" w:hAnsiTheme="minorHAnsi" w:cstheme="minorHAnsi"/>
          <w:sz w:val="26"/>
          <w:szCs w:val="26"/>
        </w:rPr>
        <w:t xml:space="preserve">to the </w:t>
      </w:r>
      <w:r w:rsidR="005E53BD" w:rsidRPr="002655B3">
        <w:rPr>
          <w:rFonts w:asciiTheme="minorHAnsi" w:hAnsiTheme="minorHAnsi" w:cstheme="minorHAnsi"/>
          <w:sz w:val="26"/>
          <w:szCs w:val="26"/>
        </w:rPr>
        <w:t>opposite</w:t>
      </w:r>
      <w:r w:rsidR="00A132BE" w:rsidRPr="002655B3">
        <w:rPr>
          <w:rFonts w:asciiTheme="minorHAnsi" w:hAnsiTheme="minorHAnsi" w:cstheme="minorHAnsi"/>
          <w:sz w:val="26"/>
          <w:szCs w:val="26"/>
        </w:rPr>
        <w:t xml:space="preserve"> party.</w:t>
      </w:r>
      <w:r w:rsidR="00EA298D">
        <w:rPr>
          <w:rStyle w:val="FootnoteReference"/>
          <w:rFonts w:asciiTheme="minorHAnsi" w:hAnsiTheme="minorHAnsi" w:cstheme="minorHAnsi"/>
          <w:sz w:val="26"/>
          <w:szCs w:val="26"/>
        </w:rPr>
        <w:footnoteReference w:id="29"/>
      </w:r>
      <w:r w:rsidR="000966D8" w:rsidRPr="002655B3">
        <w:rPr>
          <w:rFonts w:asciiTheme="minorHAnsi" w:hAnsiTheme="minorHAnsi" w:cstheme="minorHAnsi"/>
          <w:sz w:val="26"/>
          <w:szCs w:val="26"/>
        </w:rPr>
        <w:t xml:space="preserve"> </w:t>
      </w:r>
      <w:r w:rsidR="00EA298D" w:rsidRPr="002655B3">
        <w:rPr>
          <w:rFonts w:asciiTheme="minorHAnsi" w:hAnsiTheme="minorHAnsi" w:cstheme="minorHAnsi"/>
          <w:sz w:val="26"/>
          <w:szCs w:val="26"/>
        </w:rPr>
        <w:t xml:space="preserve">In my view, the evidence tendered in the supplementary affidavit is relevant to the extent set out in paragraph </w:t>
      </w:r>
      <w:r w:rsidR="00C75082" w:rsidRPr="002655B3">
        <w:rPr>
          <w:rFonts w:asciiTheme="minorHAnsi" w:hAnsiTheme="minorHAnsi" w:cstheme="minorHAnsi"/>
          <w:sz w:val="26"/>
          <w:szCs w:val="26"/>
        </w:rPr>
        <w:t>1</w:t>
      </w:r>
      <w:r w:rsidR="00820803" w:rsidRPr="002655B3">
        <w:rPr>
          <w:rFonts w:asciiTheme="minorHAnsi" w:hAnsiTheme="minorHAnsi" w:cstheme="minorHAnsi"/>
          <w:sz w:val="26"/>
          <w:szCs w:val="26"/>
        </w:rPr>
        <w:t>0</w:t>
      </w:r>
      <w:r w:rsidR="00EA298D" w:rsidRPr="002655B3">
        <w:rPr>
          <w:rFonts w:asciiTheme="minorHAnsi" w:hAnsiTheme="minorHAnsi" w:cstheme="minorHAnsi"/>
          <w:sz w:val="26"/>
          <w:szCs w:val="26"/>
        </w:rPr>
        <w:t xml:space="preserve"> above and is received for that purpose.</w:t>
      </w:r>
      <w:r w:rsidR="000966D8" w:rsidRPr="002655B3">
        <w:rPr>
          <w:rFonts w:asciiTheme="minorHAnsi" w:hAnsiTheme="minorHAnsi" w:cstheme="minorHAnsi"/>
          <w:sz w:val="26"/>
          <w:szCs w:val="26"/>
        </w:rPr>
        <w:t xml:space="preserve"> </w:t>
      </w:r>
    </w:p>
    <w:p w:rsidR="00C31BB4" w:rsidRDefault="00C31BB4" w:rsidP="00AC60FC">
      <w:pPr>
        <w:pStyle w:val="ListParagraph"/>
        <w:rPr>
          <w:rFonts w:asciiTheme="minorHAnsi" w:hAnsiTheme="minorHAnsi" w:cstheme="minorHAnsi"/>
          <w:sz w:val="26"/>
          <w:szCs w:val="26"/>
        </w:rPr>
      </w:pPr>
    </w:p>
    <w:p w:rsidR="00C31BB4" w:rsidRPr="002655B3" w:rsidRDefault="002655B3" w:rsidP="002655B3">
      <w:pPr>
        <w:spacing w:after="200" w:line="360" w:lineRule="auto"/>
        <w:ind w:left="851" w:hanging="851"/>
        <w:jc w:val="both"/>
        <w:rPr>
          <w:rFonts w:asciiTheme="minorHAnsi" w:hAnsiTheme="minorHAnsi" w:cstheme="minorHAnsi"/>
          <w:sz w:val="26"/>
          <w:szCs w:val="26"/>
        </w:rPr>
      </w:pPr>
      <w:r w:rsidRPr="00061760">
        <w:rPr>
          <w:rFonts w:asciiTheme="minorHAnsi" w:hAnsiTheme="minorHAnsi"/>
          <w:sz w:val="24"/>
          <w:szCs w:val="24"/>
        </w:rPr>
        <w:t>32.</w:t>
      </w:r>
      <w:r w:rsidRPr="00061760">
        <w:rPr>
          <w:rFonts w:asciiTheme="minorHAnsi" w:hAnsiTheme="minorHAnsi"/>
          <w:sz w:val="24"/>
          <w:szCs w:val="24"/>
        </w:rPr>
        <w:tab/>
      </w:r>
      <w:r w:rsidR="00C75082" w:rsidRPr="002655B3">
        <w:rPr>
          <w:rFonts w:asciiTheme="minorHAnsi" w:hAnsiTheme="minorHAnsi" w:cstheme="minorHAnsi"/>
          <w:sz w:val="26"/>
          <w:szCs w:val="26"/>
        </w:rPr>
        <w:t xml:space="preserve">The defendants succeeded in warding off summary judgment on a technical </w:t>
      </w:r>
      <w:r w:rsidR="00061760" w:rsidRPr="002655B3">
        <w:rPr>
          <w:rFonts w:asciiTheme="minorHAnsi" w:hAnsiTheme="minorHAnsi" w:cstheme="minorHAnsi"/>
          <w:sz w:val="26"/>
          <w:szCs w:val="26"/>
        </w:rPr>
        <w:t xml:space="preserve">basis </w:t>
      </w:r>
      <w:r w:rsidR="00996F18" w:rsidRPr="002655B3">
        <w:rPr>
          <w:rFonts w:asciiTheme="minorHAnsi" w:hAnsiTheme="minorHAnsi" w:cstheme="minorHAnsi"/>
          <w:sz w:val="26"/>
          <w:szCs w:val="26"/>
        </w:rPr>
        <w:t xml:space="preserve">in circumstances where any triable defences were not shown to be </w:t>
      </w:r>
      <w:r w:rsidR="00996F18" w:rsidRPr="002655B3">
        <w:rPr>
          <w:rFonts w:asciiTheme="minorHAnsi" w:hAnsiTheme="minorHAnsi" w:cstheme="minorHAnsi"/>
          <w:i/>
          <w:sz w:val="26"/>
          <w:szCs w:val="26"/>
        </w:rPr>
        <w:t>bona fide</w:t>
      </w:r>
      <w:r w:rsidR="00996F18" w:rsidRPr="002655B3">
        <w:rPr>
          <w:rFonts w:asciiTheme="minorHAnsi" w:hAnsiTheme="minorHAnsi" w:cstheme="minorHAnsi"/>
          <w:sz w:val="26"/>
          <w:szCs w:val="26"/>
        </w:rPr>
        <w:t xml:space="preserve">. The </w:t>
      </w:r>
      <w:r w:rsidR="005E53BD" w:rsidRPr="002655B3">
        <w:rPr>
          <w:rFonts w:asciiTheme="minorHAnsi" w:hAnsiTheme="minorHAnsi" w:cstheme="minorHAnsi"/>
          <w:sz w:val="26"/>
          <w:szCs w:val="26"/>
        </w:rPr>
        <w:t xml:space="preserve">costs </w:t>
      </w:r>
      <w:r w:rsidR="00996F18" w:rsidRPr="002655B3">
        <w:rPr>
          <w:rFonts w:asciiTheme="minorHAnsi" w:hAnsiTheme="minorHAnsi" w:cstheme="minorHAnsi"/>
          <w:sz w:val="26"/>
          <w:szCs w:val="26"/>
        </w:rPr>
        <w:t>order below accounts for such circumstances.</w:t>
      </w:r>
      <w:r w:rsidR="00061760" w:rsidRPr="002655B3">
        <w:rPr>
          <w:rFonts w:asciiTheme="minorHAnsi" w:hAnsiTheme="minorHAnsi" w:cstheme="minorHAnsi"/>
          <w:sz w:val="26"/>
          <w:szCs w:val="26"/>
        </w:rPr>
        <w:t xml:space="preserve"> </w:t>
      </w:r>
    </w:p>
    <w:p w:rsidR="00AC60FC" w:rsidRDefault="00AC60FC" w:rsidP="00AC60FC">
      <w:pPr>
        <w:pStyle w:val="ListParagraph"/>
        <w:rPr>
          <w:rFonts w:asciiTheme="minorHAnsi" w:hAnsiTheme="minorHAnsi" w:cstheme="minorHAnsi"/>
          <w:sz w:val="26"/>
          <w:szCs w:val="26"/>
        </w:rPr>
      </w:pPr>
    </w:p>
    <w:p w:rsidR="00AC60FC" w:rsidRPr="002655B3" w:rsidRDefault="002655B3" w:rsidP="002655B3">
      <w:pPr>
        <w:spacing w:after="200" w:line="360" w:lineRule="auto"/>
        <w:ind w:left="851" w:hanging="851"/>
        <w:jc w:val="both"/>
        <w:rPr>
          <w:rFonts w:asciiTheme="minorHAnsi" w:hAnsiTheme="minorHAnsi" w:cstheme="minorHAnsi"/>
          <w:sz w:val="26"/>
          <w:szCs w:val="26"/>
        </w:rPr>
      </w:pPr>
      <w:r w:rsidRPr="00554AEB">
        <w:rPr>
          <w:rFonts w:asciiTheme="minorHAnsi" w:hAnsiTheme="minorHAnsi"/>
          <w:sz w:val="24"/>
          <w:szCs w:val="24"/>
        </w:rPr>
        <w:t>33.</w:t>
      </w:r>
      <w:r w:rsidRPr="00554AEB">
        <w:rPr>
          <w:rFonts w:asciiTheme="minorHAnsi" w:hAnsiTheme="minorHAnsi"/>
          <w:sz w:val="24"/>
          <w:szCs w:val="24"/>
        </w:rPr>
        <w:tab/>
      </w:r>
      <w:r w:rsidR="00AC60FC" w:rsidRPr="002655B3">
        <w:rPr>
          <w:rFonts w:asciiTheme="minorHAnsi" w:hAnsiTheme="minorHAnsi" w:cstheme="minorHAnsi"/>
          <w:sz w:val="26"/>
          <w:szCs w:val="26"/>
        </w:rPr>
        <w:t>In the circumstances, the following order is granted:</w:t>
      </w:r>
    </w:p>
    <w:p w:rsidR="00AC60FC" w:rsidRDefault="00AC60FC" w:rsidP="00AC60FC">
      <w:pPr>
        <w:pStyle w:val="ListParagraph"/>
        <w:spacing w:after="200" w:line="360" w:lineRule="auto"/>
        <w:ind w:left="851"/>
        <w:jc w:val="both"/>
        <w:rPr>
          <w:rFonts w:asciiTheme="minorHAnsi" w:hAnsiTheme="minorHAnsi" w:cstheme="minorHAnsi"/>
          <w:b/>
          <w:sz w:val="26"/>
          <w:szCs w:val="26"/>
        </w:rPr>
      </w:pPr>
    </w:p>
    <w:p w:rsidR="00AC60FC" w:rsidRPr="0098343D" w:rsidRDefault="00AC60FC" w:rsidP="00AC60FC">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ORDER:</w:t>
      </w:r>
    </w:p>
    <w:p w:rsidR="00996F18" w:rsidRPr="002655B3" w:rsidRDefault="002655B3" w:rsidP="002655B3">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33.1.</w:t>
      </w:r>
      <w:r>
        <w:rPr>
          <w:rFonts w:asciiTheme="minorHAnsi" w:hAnsiTheme="minorHAnsi"/>
          <w:sz w:val="24"/>
          <w:szCs w:val="24"/>
        </w:rPr>
        <w:tab/>
      </w:r>
      <w:r w:rsidR="00996F18" w:rsidRPr="002655B3">
        <w:rPr>
          <w:rFonts w:asciiTheme="minorHAnsi" w:hAnsiTheme="minorHAnsi" w:cstheme="minorHAnsi"/>
          <w:sz w:val="26"/>
          <w:szCs w:val="26"/>
        </w:rPr>
        <w:t>Summary judgment is refused.</w:t>
      </w:r>
    </w:p>
    <w:p w:rsidR="00996F18" w:rsidRPr="002655B3" w:rsidRDefault="002655B3" w:rsidP="002655B3">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33.2.</w:t>
      </w:r>
      <w:r>
        <w:rPr>
          <w:rFonts w:asciiTheme="minorHAnsi" w:hAnsiTheme="minorHAnsi"/>
          <w:sz w:val="24"/>
          <w:szCs w:val="24"/>
        </w:rPr>
        <w:tab/>
      </w:r>
      <w:r w:rsidR="00996F18" w:rsidRPr="002655B3">
        <w:rPr>
          <w:rFonts w:asciiTheme="minorHAnsi" w:hAnsiTheme="minorHAnsi" w:cstheme="minorHAnsi"/>
          <w:sz w:val="26"/>
          <w:szCs w:val="26"/>
        </w:rPr>
        <w:t>The defendants are granted leave to defend the action.</w:t>
      </w:r>
    </w:p>
    <w:p w:rsidR="00AC60FC" w:rsidRPr="002655B3" w:rsidRDefault="002655B3" w:rsidP="002655B3">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33.3.</w:t>
      </w:r>
      <w:r>
        <w:rPr>
          <w:rFonts w:asciiTheme="minorHAnsi" w:hAnsiTheme="minorHAnsi"/>
          <w:sz w:val="24"/>
          <w:szCs w:val="24"/>
        </w:rPr>
        <w:tab/>
      </w:r>
      <w:r w:rsidR="00996F18" w:rsidRPr="002655B3">
        <w:rPr>
          <w:rFonts w:asciiTheme="minorHAnsi" w:hAnsiTheme="minorHAnsi" w:cstheme="minorHAnsi"/>
          <w:sz w:val="26"/>
          <w:szCs w:val="26"/>
        </w:rPr>
        <w:t>The costs of this application shall be costs in the trial</w:t>
      </w:r>
      <w:r w:rsidR="00AC60FC" w:rsidRPr="002655B3">
        <w:rPr>
          <w:rFonts w:asciiTheme="minorHAnsi" w:hAnsiTheme="minorHAnsi" w:cstheme="minorHAnsi"/>
          <w:sz w:val="26"/>
          <w:szCs w:val="26"/>
        </w:rPr>
        <w:t xml:space="preserve">. </w:t>
      </w:r>
    </w:p>
    <w:p w:rsidR="00AC60FC" w:rsidRDefault="00AC60FC" w:rsidP="00AC60FC">
      <w:pPr>
        <w:pStyle w:val="ListParagraph"/>
        <w:rPr>
          <w:rFonts w:asciiTheme="minorHAnsi" w:hAnsiTheme="minorHAnsi" w:cstheme="minorHAnsi"/>
          <w:sz w:val="26"/>
          <w:szCs w:val="26"/>
        </w:rPr>
      </w:pPr>
    </w:p>
    <w:p w:rsidR="00AC60FC" w:rsidRDefault="00AC60FC" w:rsidP="00AC60FC">
      <w:pPr>
        <w:pStyle w:val="ListParagraph"/>
        <w:rPr>
          <w:rFonts w:asciiTheme="minorHAnsi" w:hAnsiTheme="minorHAnsi" w:cstheme="minorHAnsi"/>
          <w:sz w:val="26"/>
          <w:szCs w:val="26"/>
        </w:rPr>
      </w:pPr>
    </w:p>
    <w:p w:rsidR="00AC60FC" w:rsidRPr="00175B5A" w:rsidRDefault="00AC60FC" w:rsidP="00AC60FC">
      <w:pPr>
        <w:pStyle w:val="ListParagraph"/>
        <w:rPr>
          <w:rFonts w:asciiTheme="minorHAnsi" w:hAnsiTheme="minorHAnsi" w:cstheme="minorHAnsi"/>
          <w:sz w:val="26"/>
          <w:szCs w:val="26"/>
        </w:rPr>
      </w:pPr>
    </w:p>
    <w:p w:rsidR="00AC60FC" w:rsidRPr="00C5002D" w:rsidRDefault="00AC60FC" w:rsidP="00AC60FC">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AC60FC" w:rsidRPr="00877F1E" w:rsidRDefault="00AC60FC" w:rsidP="00AC60FC">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rsidR="00AC60FC" w:rsidRPr="00877F1E" w:rsidRDefault="00AC60FC" w:rsidP="00AC60FC">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rsidR="00AC60FC" w:rsidRPr="00877F1E" w:rsidRDefault="00AC60FC" w:rsidP="00AC60FC">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rsidR="00AC60FC" w:rsidRDefault="00AC60FC" w:rsidP="00AC60FC">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AC60FC" w:rsidRDefault="00AC60FC" w:rsidP="00AC60FC">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AC60FC" w:rsidRPr="008E28FB" w:rsidRDefault="00AC60FC" w:rsidP="00AC60FC">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996F18">
        <w:rPr>
          <w:rFonts w:asciiTheme="minorHAnsi" w:hAnsiTheme="minorHAnsi" w:cstheme="minorHAnsi"/>
          <w:sz w:val="24"/>
          <w:szCs w:val="24"/>
        </w:rPr>
        <w:t>13 February 2023</w:t>
      </w:r>
    </w:p>
    <w:p w:rsidR="00AC60FC" w:rsidRPr="008E28FB" w:rsidRDefault="00AC60FC" w:rsidP="00AC60FC">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0973A6">
        <w:rPr>
          <w:rFonts w:asciiTheme="minorHAnsi" w:hAnsiTheme="minorHAnsi" w:cstheme="minorHAnsi"/>
          <w:sz w:val="24"/>
          <w:szCs w:val="24"/>
        </w:rPr>
        <w:t xml:space="preserve">5 </w:t>
      </w:r>
      <w:r w:rsidR="00996F18">
        <w:rPr>
          <w:rFonts w:asciiTheme="minorHAnsi" w:hAnsiTheme="minorHAnsi" w:cstheme="minorHAnsi"/>
          <w:sz w:val="24"/>
          <w:szCs w:val="24"/>
        </w:rPr>
        <w:t>April 2023</w:t>
      </w:r>
    </w:p>
    <w:p w:rsidR="00AC60FC" w:rsidRDefault="00AC60FC" w:rsidP="00AC60FC">
      <w:pPr>
        <w:pStyle w:val="ListParagraph"/>
        <w:ind w:left="0"/>
        <w:rPr>
          <w:rFonts w:asciiTheme="minorHAnsi" w:hAnsiTheme="minorHAnsi" w:cstheme="minorHAnsi"/>
          <w:sz w:val="24"/>
          <w:szCs w:val="24"/>
        </w:rPr>
      </w:pPr>
    </w:p>
    <w:p w:rsidR="00AC60FC" w:rsidRDefault="00AC60FC" w:rsidP="00AC60FC">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Caselines and release to SAFLII. The date and time for hand-down is deemed to be have been at 10h00 on </w:t>
      </w:r>
      <w:r w:rsidR="000973A6">
        <w:rPr>
          <w:i/>
        </w:rPr>
        <w:t>5</w:t>
      </w:r>
      <w:r w:rsidRPr="00D626A3">
        <w:rPr>
          <w:i/>
        </w:rPr>
        <w:t xml:space="preserve"> </w:t>
      </w:r>
      <w:r w:rsidR="00996F18">
        <w:rPr>
          <w:i/>
        </w:rPr>
        <w:t>April 2023</w:t>
      </w:r>
      <w:r w:rsidRPr="00D626A3">
        <w:rPr>
          <w:i/>
        </w:rPr>
        <w:t>.</w:t>
      </w:r>
    </w:p>
    <w:p w:rsidR="00AC60FC" w:rsidRDefault="00AC60FC" w:rsidP="00AC60FC">
      <w:pPr>
        <w:pStyle w:val="ListParagraph"/>
        <w:ind w:left="0"/>
        <w:rPr>
          <w:rFonts w:asciiTheme="minorHAnsi" w:hAnsiTheme="minorHAnsi" w:cstheme="minorHAnsi"/>
          <w:sz w:val="24"/>
          <w:szCs w:val="24"/>
        </w:rPr>
      </w:pPr>
    </w:p>
    <w:p w:rsidR="00AC60FC" w:rsidRPr="008E28FB" w:rsidRDefault="00AC60FC" w:rsidP="00AC60FC">
      <w:pPr>
        <w:pStyle w:val="ListParagraph"/>
        <w:ind w:left="0"/>
        <w:rPr>
          <w:rFonts w:asciiTheme="minorHAnsi" w:hAnsiTheme="minorHAnsi" w:cstheme="minorHAnsi"/>
          <w:sz w:val="24"/>
          <w:szCs w:val="24"/>
        </w:rPr>
      </w:pPr>
    </w:p>
    <w:p w:rsidR="00AC60FC" w:rsidRPr="008E28FB" w:rsidRDefault="00AC60FC" w:rsidP="00AC60FC">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AC60FC" w:rsidRPr="008E28FB" w:rsidRDefault="00AC60FC" w:rsidP="00AC60FC">
      <w:pPr>
        <w:pStyle w:val="ListParagraph"/>
        <w:ind w:left="0"/>
        <w:rPr>
          <w:rFonts w:asciiTheme="minorHAnsi" w:hAnsiTheme="minorHAnsi" w:cstheme="minorHAnsi"/>
          <w:sz w:val="24"/>
          <w:szCs w:val="24"/>
        </w:rPr>
      </w:pPr>
    </w:p>
    <w:p w:rsidR="00AC60FC" w:rsidRPr="008E28FB" w:rsidRDefault="00AC60FC" w:rsidP="00AC60FC">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Plaintiff:</w:t>
      </w:r>
      <w:r>
        <w:rPr>
          <w:rFonts w:asciiTheme="minorHAnsi" w:hAnsiTheme="minorHAnsi" w:cstheme="minorHAnsi"/>
          <w:sz w:val="24"/>
          <w:szCs w:val="24"/>
        </w:rPr>
        <w:tab/>
      </w:r>
      <w:r>
        <w:rPr>
          <w:rFonts w:asciiTheme="minorHAnsi" w:hAnsiTheme="minorHAnsi" w:cstheme="minorHAnsi"/>
          <w:sz w:val="24"/>
          <w:szCs w:val="24"/>
        </w:rPr>
        <w:tab/>
      </w:r>
      <w:r w:rsidR="00996F18">
        <w:rPr>
          <w:rFonts w:asciiTheme="minorHAnsi" w:hAnsiTheme="minorHAnsi" w:cstheme="minorHAnsi"/>
          <w:sz w:val="24"/>
          <w:szCs w:val="24"/>
        </w:rPr>
        <w:t>Adv A. Salani</w:t>
      </w:r>
    </w:p>
    <w:p w:rsidR="00AC60FC" w:rsidRDefault="00996F18" w:rsidP="00AC60FC">
      <w:pPr>
        <w:pStyle w:val="ListParagraph"/>
        <w:ind w:left="0"/>
        <w:rPr>
          <w:rFonts w:asciiTheme="minorHAnsi" w:hAnsiTheme="minorHAnsi" w:cstheme="minorHAnsi"/>
          <w:sz w:val="24"/>
          <w:szCs w:val="24"/>
        </w:rPr>
      </w:pPr>
      <w:r>
        <w:rPr>
          <w:rFonts w:asciiTheme="minorHAnsi" w:hAnsiTheme="minorHAnsi" w:cstheme="minorHAnsi"/>
          <w:sz w:val="24"/>
          <w:szCs w:val="24"/>
        </w:rPr>
        <w:t>Instructed by</w:t>
      </w:r>
      <w:r w:rsidR="00AC60FC" w:rsidRPr="008E28FB">
        <w:rPr>
          <w:rFonts w:asciiTheme="minorHAnsi" w:hAnsiTheme="minorHAnsi" w:cstheme="minorHAnsi"/>
          <w:sz w:val="24"/>
          <w:szCs w:val="24"/>
        </w:rPr>
        <w:t>:</w:t>
      </w:r>
      <w:r w:rsidR="00AC60FC" w:rsidRPr="008E28FB">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AC60FC" w:rsidRPr="008E28FB">
        <w:rPr>
          <w:rFonts w:asciiTheme="minorHAnsi" w:hAnsiTheme="minorHAnsi" w:cstheme="minorHAnsi"/>
          <w:sz w:val="24"/>
          <w:szCs w:val="24"/>
        </w:rPr>
        <w:tab/>
      </w:r>
      <w:r>
        <w:rPr>
          <w:rFonts w:asciiTheme="minorHAnsi" w:hAnsiTheme="minorHAnsi" w:cstheme="minorHAnsi"/>
          <w:sz w:val="24"/>
          <w:szCs w:val="24"/>
        </w:rPr>
        <w:t>Rossouws Leslie Inc</w:t>
      </w:r>
    </w:p>
    <w:p w:rsidR="00AC60FC" w:rsidRPr="008E28FB" w:rsidRDefault="00AC60FC" w:rsidP="00AC60FC">
      <w:pPr>
        <w:ind w:left="4320" w:hanging="4320"/>
        <w:jc w:val="both"/>
        <w:rPr>
          <w:rFonts w:asciiTheme="minorHAnsi" w:hAnsiTheme="minorHAnsi" w:cstheme="minorHAnsi"/>
          <w:sz w:val="24"/>
          <w:szCs w:val="24"/>
        </w:rPr>
      </w:pPr>
    </w:p>
    <w:p w:rsidR="00AC60FC" w:rsidRDefault="00AC60FC" w:rsidP="00AC60FC">
      <w:r>
        <w:t>Counsel for Defendant</w:t>
      </w:r>
      <w:r w:rsidR="00996F18">
        <w:t>s</w:t>
      </w:r>
      <w:r>
        <w:t>:</w:t>
      </w:r>
      <w:r>
        <w:tab/>
      </w:r>
      <w:r>
        <w:tab/>
      </w:r>
      <w:r w:rsidR="00996F18">
        <w:t>Adv L. Mokwena</w:t>
      </w:r>
    </w:p>
    <w:p w:rsidR="00AC60FC" w:rsidRDefault="00996F18" w:rsidP="00AC60FC">
      <w:r>
        <w:t>Instructed by</w:t>
      </w:r>
      <w:r w:rsidR="00AC60FC">
        <w:t>:</w:t>
      </w:r>
      <w:r w:rsidR="00AC60FC">
        <w:tab/>
      </w:r>
      <w:r w:rsidR="00AC60FC">
        <w:tab/>
      </w:r>
      <w:r>
        <w:tab/>
      </w:r>
      <w:r>
        <w:tab/>
        <w:t>Thomson Wilks Inc</w:t>
      </w:r>
    </w:p>
    <w:p w:rsidR="00AC60FC" w:rsidRDefault="00AC60FC" w:rsidP="00AC60FC"/>
    <w:sectPr w:rsidR="00AC60FC" w:rsidSect="004F4223">
      <w:head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DA" w:rsidRDefault="00F645DA" w:rsidP="00AC60FC">
      <w:r>
        <w:separator/>
      </w:r>
    </w:p>
  </w:endnote>
  <w:endnote w:type="continuationSeparator" w:id="0">
    <w:p w:rsidR="00F645DA" w:rsidRDefault="00F645DA" w:rsidP="00AC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660720"/>
      <w:docPartObj>
        <w:docPartGallery w:val="Page Numbers (Bottom of Page)"/>
        <w:docPartUnique/>
      </w:docPartObj>
    </w:sdtPr>
    <w:sdtEndPr>
      <w:rPr>
        <w:noProof/>
      </w:rPr>
    </w:sdtEndPr>
    <w:sdtContent>
      <w:p w:rsidR="00491195" w:rsidRDefault="00491195">
        <w:pPr>
          <w:pStyle w:val="Footer"/>
          <w:jc w:val="right"/>
        </w:pPr>
        <w:r>
          <w:fldChar w:fldCharType="begin"/>
        </w:r>
        <w:r>
          <w:instrText xml:space="preserve"> PAGE   \* MERGEFORMAT </w:instrText>
        </w:r>
        <w:r>
          <w:fldChar w:fldCharType="separate"/>
        </w:r>
        <w:r w:rsidR="002655B3">
          <w:rPr>
            <w:noProof/>
          </w:rPr>
          <w:t>1</w:t>
        </w:r>
        <w:r>
          <w:rPr>
            <w:noProof/>
          </w:rPr>
          <w:fldChar w:fldCharType="end"/>
        </w:r>
      </w:p>
    </w:sdtContent>
  </w:sdt>
  <w:p w:rsidR="00491195" w:rsidRDefault="00491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DA" w:rsidRDefault="00F645DA" w:rsidP="00AC60FC">
      <w:r>
        <w:separator/>
      </w:r>
    </w:p>
  </w:footnote>
  <w:footnote w:type="continuationSeparator" w:id="0">
    <w:p w:rsidR="00F645DA" w:rsidRDefault="00F645DA" w:rsidP="00AC60FC">
      <w:r>
        <w:continuationSeparator/>
      </w:r>
    </w:p>
  </w:footnote>
  <w:footnote w:id="1">
    <w:p w:rsidR="00491195" w:rsidRPr="00920F47" w:rsidRDefault="00491195">
      <w:pPr>
        <w:pStyle w:val="FootnoteText"/>
        <w:rPr>
          <w:lang w:val="en-US"/>
        </w:rPr>
      </w:pPr>
      <w:r>
        <w:rPr>
          <w:rStyle w:val="FootnoteReference"/>
        </w:rPr>
        <w:footnoteRef/>
      </w:r>
      <w:r>
        <w:t xml:space="preserve"> </w:t>
      </w:r>
      <w:r>
        <w:rPr>
          <w:lang w:val="en-US"/>
        </w:rPr>
        <w:t>Par 25 of the particulars of claim.</w:t>
      </w:r>
    </w:p>
  </w:footnote>
  <w:footnote w:id="2">
    <w:p w:rsidR="00491195" w:rsidRDefault="00491195" w:rsidP="000B7A2D">
      <w:pPr>
        <w:pStyle w:val="FootnoteText"/>
        <w:rPr>
          <w:lang w:val="en-US"/>
        </w:rPr>
      </w:pPr>
      <w:r>
        <w:rPr>
          <w:rStyle w:val="FootnoteReference"/>
        </w:rPr>
        <w:footnoteRef/>
      </w:r>
      <w:r>
        <w:t xml:space="preserve"> </w:t>
      </w:r>
      <w:r>
        <w:rPr>
          <w:lang w:val="en-US"/>
        </w:rPr>
        <w:t>Relevant clauses in the suretyship, are the following;</w:t>
      </w:r>
    </w:p>
    <w:p w:rsidR="00491195" w:rsidRPr="005D5095" w:rsidRDefault="00491195" w:rsidP="009373F6">
      <w:pPr>
        <w:pStyle w:val="NormalWeb"/>
        <w:ind w:left="142"/>
        <w:jc w:val="both"/>
        <w:rPr>
          <w:rFonts w:ascii="Arial" w:hAnsi="Arial" w:cs="Arial"/>
          <w:color w:val="000000"/>
          <w:sz w:val="20"/>
          <w:szCs w:val="20"/>
        </w:rPr>
      </w:pPr>
      <w:r w:rsidRPr="005D5095">
        <w:rPr>
          <w:rFonts w:ascii="Arial" w:hAnsi="Arial" w:cs="Arial"/>
          <w:sz w:val="20"/>
          <w:szCs w:val="20"/>
          <w:lang w:val="en-US"/>
        </w:rPr>
        <w:t>“</w:t>
      </w:r>
      <w:r w:rsidRPr="005D5095">
        <w:rPr>
          <w:rFonts w:ascii="Arial" w:hAnsi="Arial" w:cs="Arial"/>
          <w:color w:val="000000"/>
          <w:sz w:val="20"/>
          <w:szCs w:val="20"/>
        </w:rPr>
        <w:t xml:space="preserve">1... I/We, the undersigned, hereby declare that I/We bind myself/ourselves jointly and severally, as surety and as co-principal debtor for the punctual payment of all sums due or to become due to FirstRand Bank Limited (the Bank) by GUSHA HOLDINGS AND ENTERPRISES </w:t>
      </w:r>
      <w:r w:rsidRPr="000B7A2D">
        <w:rPr>
          <w:rFonts w:ascii="Arial" w:hAnsi="Arial" w:cs="Arial"/>
          <w:color w:val="000000"/>
          <w:sz w:val="20"/>
          <w:szCs w:val="20"/>
          <w:u w:val="single"/>
        </w:rPr>
        <w:t>in terms of or arising out of or incidental to the Agreement</w:t>
      </w:r>
      <w:r w:rsidRPr="005D5095">
        <w:rPr>
          <w:rFonts w:ascii="Arial" w:hAnsi="Arial" w:cs="Arial"/>
          <w:color w:val="000000"/>
          <w:sz w:val="20"/>
          <w:szCs w:val="20"/>
        </w:rPr>
        <w:t xml:space="preserve"> stated above up to a value of the R177,082.50.</w:t>
      </w:r>
    </w:p>
    <w:p w:rsidR="00491195" w:rsidRPr="005D5095" w:rsidRDefault="00491195" w:rsidP="000B7A2D">
      <w:pPr>
        <w:pStyle w:val="NormalWeb"/>
        <w:ind w:left="142"/>
        <w:jc w:val="both"/>
        <w:rPr>
          <w:rFonts w:ascii="Arial" w:hAnsi="Arial" w:cs="Arial"/>
          <w:color w:val="000000"/>
          <w:sz w:val="20"/>
          <w:szCs w:val="20"/>
        </w:rPr>
      </w:pPr>
      <w:r w:rsidRPr="005D5095">
        <w:rPr>
          <w:rFonts w:ascii="Arial" w:hAnsi="Arial" w:cs="Arial"/>
          <w:color w:val="000000"/>
          <w:sz w:val="20"/>
          <w:szCs w:val="20"/>
        </w:rPr>
        <w:t>5...The Bank is under no obligation to enforce or pursue any of its rights against the Debtor before enforcing them against the surety/ies and co-principal debtor/s.</w:t>
      </w:r>
    </w:p>
    <w:p w:rsidR="00491195" w:rsidRDefault="00491195" w:rsidP="000B7A2D">
      <w:pPr>
        <w:pStyle w:val="NormalWeb"/>
        <w:ind w:left="142"/>
        <w:jc w:val="both"/>
        <w:rPr>
          <w:rFonts w:ascii="Arial" w:hAnsi="Arial" w:cs="Arial"/>
          <w:color w:val="000000"/>
          <w:sz w:val="20"/>
          <w:szCs w:val="20"/>
        </w:rPr>
      </w:pPr>
      <w:r w:rsidRPr="005D5095">
        <w:rPr>
          <w:rFonts w:ascii="Arial" w:hAnsi="Arial" w:cs="Arial"/>
          <w:color w:val="000000"/>
          <w:sz w:val="20"/>
          <w:szCs w:val="20"/>
        </w:rPr>
        <w:t xml:space="preserve">6. The suretyship is ... </w:t>
      </w:r>
      <w:r w:rsidRPr="000B7A2D">
        <w:rPr>
          <w:rFonts w:ascii="Arial" w:hAnsi="Arial" w:cs="Arial"/>
          <w:color w:val="000000"/>
          <w:sz w:val="20"/>
          <w:szCs w:val="20"/>
          <w:u w:val="single"/>
        </w:rPr>
        <w:t>continuing security for the whole amount now or in future owing to the Bank</w:t>
      </w:r>
      <w:r w:rsidRPr="005D5095">
        <w:rPr>
          <w:rFonts w:ascii="Arial" w:hAnsi="Arial" w:cs="Arial"/>
          <w:color w:val="000000"/>
          <w:sz w:val="20"/>
          <w:szCs w:val="20"/>
        </w:rPr>
        <w:t>.</w:t>
      </w:r>
    </w:p>
    <w:p w:rsidR="00491195" w:rsidRPr="005D5095" w:rsidRDefault="00491195" w:rsidP="000B7A2D">
      <w:pPr>
        <w:pStyle w:val="NormalWeb"/>
        <w:ind w:left="142"/>
        <w:jc w:val="both"/>
        <w:rPr>
          <w:rFonts w:ascii="Arial" w:hAnsi="Arial" w:cs="Arial"/>
          <w:color w:val="000000"/>
          <w:sz w:val="20"/>
          <w:szCs w:val="20"/>
        </w:rPr>
      </w:pPr>
      <w:r w:rsidRPr="00B432A0">
        <w:rPr>
          <w:rFonts w:ascii="Arial" w:hAnsi="Arial" w:cs="Arial"/>
          <w:color w:val="000000"/>
          <w:sz w:val="20"/>
          <w:szCs w:val="20"/>
        </w:rPr>
        <w:t>17. The surety/ies or co-principal debtor/s shall be liable for all legal costs, on an attorney own client scale</w:t>
      </w:r>
    </w:p>
    <w:p w:rsidR="00491195" w:rsidRDefault="00491195" w:rsidP="009373F6">
      <w:pPr>
        <w:pStyle w:val="FootnoteText"/>
        <w:ind w:left="142"/>
        <w:jc w:val="both"/>
        <w:rPr>
          <w:color w:val="000000"/>
        </w:rPr>
      </w:pPr>
      <w:r w:rsidRPr="005D5095">
        <w:rPr>
          <w:color w:val="000000"/>
        </w:rPr>
        <w:t>21. The surety renounces the benefits of excu[s]sion, division and cession of action, revision of accounts and no value received.</w:t>
      </w:r>
      <w:r>
        <w:rPr>
          <w:color w:val="000000"/>
        </w:rPr>
        <w:t>” (emphasis added)</w:t>
      </w:r>
    </w:p>
    <w:p w:rsidR="00491195" w:rsidRDefault="00491195" w:rsidP="009373F6">
      <w:pPr>
        <w:pStyle w:val="FootnoteText"/>
        <w:ind w:left="142"/>
        <w:jc w:val="both"/>
        <w:rPr>
          <w:color w:val="242121"/>
          <w:shd w:val="clear" w:color="auto" w:fill="FFFFFF"/>
        </w:rPr>
      </w:pPr>
    </w:p>
    <w:p w:rsidR="00491195" w:rsidRDefault="004B071A" w:rsidP="009373F6">
      <w:pPr>
        <w:pStyle w:val="FootnoteText"/>
        <w:ind w:left="142"/>
        <w:jc w:val="both"/>
        <w:rPr>
          <w:color w:val="000000"/>
        </w:rPr>
      </w:pPr>
      <w:r>
        <w:rPr>
          <w:color w:val="242121"/>
          <w:shd w:val="clear" w:color="auto" w:fill="FFFFFF"/>
        </w:rPr>
        <w:t>As can be seen, t</w:t>
      </w:r>
      <w:r w:rsidR="00491195" w:rsidRPr="00C3045D">
        <w:rPr>
          <w:color w:val="242121"/>
          <w:shd w:val="clear" w:color="auto" w:fill="FFFFFF"/>
        </w:rPr>
        <w:t xml:space="preserve">he liability of the </w:t>
      </w:r>
      <w:r w:rsidR="00491195">
        <w:rPr>
          <w:color w:val="242121"/>
          <w:shd w:val="clear" w:color="auto" w:fill="FFFFFF"/>
        </w:rPr>
        <w:t>surety</w:t>
      </w:r>
      <w:r w:rsidR="00491195" w:rsidRPr="00C3045D">
        <w:rPr>
          <w:color w:val="242121"/>
          <w:shd w:val="clear" w:color="auto" w:fill="FFFFFF"/>
        </w:rPr>
        <w:t xml:space="preserve"> was restricted to the principal debtor’s indebtedness arising from </w:t>
      </w:r>
      <w:r w:rsidR="00491195">
        <w:rPr>
          <w:color w:val="242121"/>
          <w:shd w:val="clear" w:color="auto" w:fill="FFFFFF"/>
        </w:rPr>
        <w:t>or incidental to the credit</w:t>
      </w:r>
      <w:r w:rsidR="00491195" w:rsidRPr="00C3045D">
        <w:rPr>
          <w:color w:val="242121"/>
          <w:shd w:val="clear" w:color="auto" w:fill="FFFFFF"/>
        </w:rPr>
        <w:t xml:space="preserve"> agreement</w:t>
      </w:r>
      <w:r w:rsidR="00491195">
        <w:rPr>
          <w:color w:val="242121"/>
          <w:shd w:val="clear" w:color="auto" w:fill="FFFFFF"/>
        </w:rPr>
        <w:t xml:space="preserve">, limited to an amount of </w:t>
      </w:r>
      <w:r w:rsidR="00491195" w:rsidRPr="005D5095">
        <w:rPr>
          <w:color w:val="000000"/>
        </w:rPr>
        <w:t>R177,082.50</w:t>
      </w:r>
      <w:r w:rsidR="00491195">
        <w:rPr>
          <w:color w:val="000000"/>
        </w:rPr>
        <w:t>,</w:t>
      </w:r>
      <w:r w:rsidR="00491195">
        <w:rPr>
          <w:color w:val="242121"/>
          <w:shd w:val="clear" w:color="auto" w:fill="FFFFFF"/>
        </w:rPr>
        <w:t xml:space="preserve"> and did not expressly include</w:t>
      </w:r>
      <w:r w:rsidR="00491195" w:rsidRPr="00C3045D">
        <w:rPr>
          <w:color w:val="242121"/>
          <w:shd w:val="clear" w:color="auto" w:fill="FFFFFF"/>
        </w:rPr>
        <w:t xml:space="preserve"> expansive liability for any indebtedness </w:t>
      </w:r>
      <w:r w:rsidR="00491195" w:rsidRPr="00C3045D">
        <w:rPr>
          <w:i/>
          <w:iCs/>
          <w:color w:val="000000"/>
          <w:shd w:val="clear" w:color="auto" w:fill="FFFFFF"/>
        </w:rPr>
        <w:t>of any nature from whatsoever cause </w:t>
      </w:r>
      <w:r w:rsidR="00491195" w:rsidRPr="00C3045D">
        <w:rPr>
          <w:color w:val="000000"/>
          <w:shd w:val="clear" w:color="auto" w:fill="FFFFFF"/>
        </w:rPr>
        <w:t xml:space="preserve">in respect of monies </w:t>
      </w:r>
      <w:r w:rsidR="00491195">
        <w:rPr>
          <w:color w:val="000000"/>
          <w:shd w:val="clear" w:color="auto" w:fill="FFFFFF"/>
        </w:rPr>
        <w:t xml:space="preserve">due and owing by </w:t>
      </w:r>
      <w:r w:rsidR="00491195" w:rsidRPr="00C3045D">
        <w:rPr>
          <w:color w:val="000000"/>
          <w:shd w:val="clear" w:color="auto" w:fill="FFFFFF"/>
        </w:rPr>
        <w:t>the principal debtor</w:t>
      </w:r>
      <w:r w:rsidR="00491195">
        <w:rPr>
          <w:color w:val="000000"/>
          <w:shd w:val="clear" w:color="auto" w:fill="FFFFFF"/>
        </w:rPr>
        <w:t xml:space="preserve"> under the credit agreement</w:t>
      </w:r>
      <w:r w:rsidR="00491195" w:rsidRPr="00C3045D">
        <w:rPr>
          <w:color w:val="000000"/>
          <w:shd w:val="clear" w:color="auto" w:fill="FFFFFF"/>
        </w:rPr>
        <w:t>.</w:t>
      </w:r>
      <w:r w:rsidR="00491195">
        <w:rPr>
          <w:color w:val="000000"/>
          <w:shd w:val="clear" w:color="auto" w:fill="FFFFFF"/>
        </w:rPr>
        <w:t xml:space="preserve"> Nor did the surety expressly guarantee the </w:t>
      </w:r>
      <w:r w:rsidR="00491195" w:rsidRPr="000536AE">
        <w:rPr>
          <w:color w:val="000000"/>
          <w:u w:val="single"/>
          <w:shd w:val="clear" w:color="auto" w:fill="FFFFFF"/>
        </w:rPr>
        <w:t>‘</w:t>
      </w:r>
      <w:r w:rsidR="00491195" w:rsidRPr="000536AE">
        <w:rPr>
          <w:i/>
          <w:color w:val="000000"/>
        </w:rPr>
        <w:t xml:space="preserve">due and punctual performance and discharge of </w:t>
      </w:r>
      <w:r w:rsidR="00491195" w:rsidRPr="000536AE">
        <w:rPr>
          <w:b/>
          <w:i/>
          <w:color w:val="000000"/>
        </w:rPr>
        <w:t>any</w:t>
      </w:r>
      <w:r w:rsidR="00491195" w:rsidRPr="000536AE">
        <w:rPr>
          <w:i/>
          <w:color w:val="000000"/>
        </w:rPr>
        <w:t xml:space="preserve"> contract or agreement entered into by the First Defendant to the Plaintiff</w:t>
      </w:r>
      <w:r w:rsidR="00491195">
        <w:rPr>
          <w:i/>
          <w:color w:val="000000"/>
        </w:rPr>
        <w:t>.’</w:t>
      </w:r>
    </w:p>
    <w:p w:rsidR="00491195" w:rsidRPr="005D5095" w:rsidRDefault="00491195" w:rsidP="009373F6">
      <w:pPr>
        <w:pStyle w:val="FootnoteText"/>
        <w:ind w:left="142"/>
        <w:jc w:val="both"/>
        <w:rPr>
          <w:lang w:val="en-US"/>
        </w:rPr>
      </w:pPr>
    </w:p>
  </w:footnote>
  <w:footnote w:id="3">
    <w:p w:rsidR="00491195" w:rsidRPr="001309EE" w:rsidRDefault="00491195" w:rsidP="009373F6">
      <w:pPr>
        <w:spacing w:after="200"/>
        <w:jc w:val="both"/>
        <w:rPr>
          <w:rFonts w:asciiTheme="minorHAnsi" w:hAnsiTheme="minorHAnsi" w:cstheme="minorHAnsi"/>
          <w:sz w:val="26"/>
          <w:szCs w:val="26"/>
        </w:rPr>
      </w:pPr>
      <w:r>
        <w:rPr>
          <w:rStyle w:val="FootnoteReference"/>
        </w:rPr>
        <w:footnoteRef/>
      </w:r>
      <w:r>
        <w:t xml:space="preserve"> </w:t>
      </w:r>
      <w:r w:rsidRPr="001309EE">
        <w:rPr>
          <w:rFonts w:ascii="Arial" w:hAnsi="Arial" w:cs="Arial"/>
          <w:color w:val="000000"/>
        </w:rPr>
        <w:t>This appears to be based on the breach clause (clause 13) contained in the terms and conditions of the agreement and annexed to the particulars of claim</w:t>
      </w:r>
      <w:r w:rsidRPr="001309EE">
        <w:rPr>
          <w:rFonts w:asciiTheme="minorHAnsi" w:hAnsiTheme="minorHAnsi" w:cstheme="minorHAnsi"/>
          <w:color w:val="000000"/>
          <w:sz w:val="26"/>
          <w:szCs w:val="26"/>
        </w:rPr>
        <w:t xml:space="preserve">, </w:t>
      </w:r>
      <w:r w:rsidRPr="001309EE">
        <w:rPr>
          <w:rFonts w:ascii="Arial" w:hAnsi="Arial" w:cs="Arial"/>
          <w:color w:val="000000"/>
        </w:rPr>
        <w:t>which provides, in relevant part, as follows:</w:t>
      </w:r>
    </w:p>
    <w:p w:rsidR="00491195" w:rsidRPr="00021C08" w:rsidRDefault="00491195" w:rsidP="00FE20DE">
      <w:pPr>
        <w:pStyle w:val="ListParagraph"/>
        <w:spacing w:after="200" w:line="276" w:lineRule="auto"/>
        <w:ind w:left="851" w:hanging="709"/>
        <w:jc w:val="both"/>
        <w:rPr>
          <w:rFonts w:asciiTheme="minorHAnsi" w:hAnsiTheme="minorHAnsi" w:cstheme="minorHAnsi"/>
          <w:b/>
        </w:rPr>
      </w:pPr>
      <w:r w:rsidRPr="00021C08">
        <w:rPr>
          <w:rFonts w:asciiTheme="minorHAnsi" w:hAnsiTheme="minorHAnsi" w:cstheme="minorHAnsi"/>
        </w:rPr>
        <w:t xml:space="preserve">13. </w:t>
      </w:r>
      <w:r w:rsidRPr="00021C08">
        <w:rPr>
          <w:rFonts w:asciiTheme="minorHAnsi" w:hAnsiTheme="minorHAnsi" w:cstheme="minorHAnsi"/>
          <w:b/>
        </w:rPr>
        <w:t>Breach</w:t>
      </w:r>
    </w:p>
    <w:p w:rsidR="00491195" w:rsidRPr="00021C08" w:rsidRDefault="00491195" w:rsidP="00FE20DE">
      <w:pPr>
        <w:pStyle w:val="ListParagraph"/>
        <w:spacing w:after="200" w:line="276" w:lineRule="auto"/>
        <w:ind w:left="851" w:hanging="709"/>
        <w:jc w:val="both"/>
        <w:rPr>
          <w:rFonts w:asciiTheme="minorHAnsi" w:hAnsiTheme="minorHAnsi" w:cstheme="minorHAnsi"/>
        </w:rPr>
      </w:pPr>
      <w:r w:rsidRPr="00021C08">
        <w:rPr>
          <w:rFonts w:asciiTheme="minorHAnsi" w:hAnsiTheme="minorHAnsi" w:cstheme="minorHAnsi"/>
        </w:rPr>
        <w:t>13.1 If:</w:t>
      </w:r>
    </w:p>
    <w:p w:rsidR="00491195" w:rsidRPr="00021C08" w:rsidRDefault="00491195" w:rsidP="00FE20DE">
      <w:pPr>
        <w:pStyle w:val="ListParagraph"/>
        <w:spacing w:after="200" w:line="276" w:lineRule="auto"/>
        <w:ind w:left="1701" w:hanging="709"/>
        <w:jc w:val="both"/>
        <w:rPr>
          <w:rFonts w:asciiTheme="minorHAnsi" w:hAnsiTheme="minorHAnsi" w:cstheme="minorHAnsi"/>
        </w:rPr>
      </w:pPr>
      <w:r w:rsidRPr="00021C08">
        <w:rPr>
          <w:rFonts w:asciiTheme="minorHAnsi" w:hAnsiTheme="minorHAnsi" w:cstheme="minorHAnsi"/>
        </w:rPr>
        <w:t>13.1.1 you do not comply with any of the terms and conditions of the Agreement (all of which you agree are material) or</w:t>
      </w:r>
    </w:p>
    <w:p w:rsidR="00491195" w:rsidRPr="00021C08" w:rsidRDefault="00491195" w:rsidP="00FE20DE">
      <w:pPr>
        <w:pStyle w:val="ListParagraph"/>
        <w:spacing w:after="200" w:line="276" w:lineRule="auto"/>
        <w:ind w:left="1701" w:hanging="709"/>
        <w:jc w:val="both"/>
        <w:rPr>
          <w:rFonts w:asciiTheme="minorHAnsi" w:hAnsiTheme="minorHAnsi" w:cstheme="minorHAnsi"/>
        </w:rPr>
      </w:pPr>
      <w:r w:rsidRPr="00021C08">
        <w:rPr>
          <w:rFonts w:asciiTheme="minorHAnsi" w:hAnsiTheme="minorHAnsi" w:cstheme="minorHAnsi"/>
        </w:rPr>
        <w:t>13.1.2 you fail to pay any amounts due in terms of this Agreement; or</w:t>
      </w:r>
    </w:p>
    <w:p w:rsidR="00491195" w:rsidRDefault="00491195" w:rsidP="00FE20DE">
      <w:pPr>
        <w:pStyle w:val="ListParagraph"/>
        <w:spacing w:after="200" w:line="276" w:lineRule="auto"/>
        <w:ind w:left="1701" w:hanging="709"/>
        <w:jc w:val="both"/>
        <w:rPr>
          <w:rFonts w:asciiTheme="minorHAnsi" w:hAnsiTheme="minorHAnsi" w:cstheme="minorHAnsi"/>
        </w:rPr>
      </w:pPr>
      <w:r w:rsidRPr="00021C08">
        <w:rPr>
          <w:rFonts w:asciiTheme="minorHAnsi" w:hAnsiTheme="minorHAnsi" w:cstheme="minorHAnsi"/>
        </w:rPr>
        <w:t>…</w:t>
      </w:r>
    </w:p>
    <w:p w:rsidR="00666A43" w:rsidRPr="00021C08" w:rsidRDefault="00666A43" w:rsidP="00FE20DE">
      <w:pPr>
        <w:pStyle w:val="ListParagraph"/>
        <w:spacing w:after="200" w:line="276" w:lineRule="auto"/>
        <w:ind w:left="1701" w:hanging="709"/>
        <w:jc w:val="both"/>
        <w:rPr>
          <w:rFonts w:asciiTheme="minorHAnsi" w:hAnsiTheme="minorHAnsi" w:cstheme="minorHAnsi"/>
        </w:rPr>
      </w:pPr>
      <w:r>
        <w:rPr>
          <w:rFonts w:asciiTheme="minorHAnsi" w:hAnsiTheme="minorHAnsi" w:cstheme="minorHAnsi"/>
        </w:rPr>
        <w:t>...</w:t>
      </w:r>
    </w:p>
    <w:p w:rsidR="00491195" w:rsidRDefault="00491195" w:rsidP="00FE20DE">
      <w:pPr>
        <w:pStyle w:val="ListParagraph"/>
        <w:spacing w:after="200" w:line="276" w:lineRule="auto"/>
        <w:ind w:left="1701" w:hanging="709"/>
        <w:jc w:val="both"/>
        <w:rPr>
          <w:rFonts w:asciiTheme="minorHAnsi" w:hAnsiTheme="minorHAnsi" w:cstheme="minorHAnsi"/>
        </w:rPr>
      </w:pPr>
      <w:r w:rsidRPr="00021C08">
        <w:rPr>
          <w:rFonts w:asciiTheme="minorHAnsi" w:hAnsiTheme="minorHAnsi" w:cstheme="minorHAnsi"/>
        </w:rPr>
        <w:t>13.2 Upon the occurrence of any of the abovementioned events, we shall be entitled,</w:t>
      </w:r>
      <w:r>
        <w:rPr>
          <w:rFonts w:asciiTheme="minorHAnsi" w:hAnsiTheme="minorHAnsi" w:cstheme="minorHAnsi"/>
        </w:rPr>
        <w:t xml:space="preserve"> </w:t>
      </w:r>
      <w:r w:rsidRPr="00021C08">
        <w:rPr>
          <w:rFonts w:asciiTheme="minorHAnsi" w:hAnsiTheme="minorHAnsi" w:cstheme="minorHAnsi"/>
        </w:rPr>
        <w:t>at our election and without prejudice, to:</w:t>
      </w:r>
    </w:p>
    <w:p w:rsidR="00491195" w:rsidRDefault="00491195" w:rsidP="00FE20DE">
      <w:pPr>
        <w:pStyle w:val="ListParagraph"/>
        <w:spacing w:after="200" w:line="276" w:lineRule="auto"/>
        <w:ind w:left="1701" w:hanging="709"/>
        <w:jc w:val="both"/>
        <w:rPr>
          <w:rFonts w:asciiTheme="minorHAnsi" w:hAnsiTheme="minorHAnsi" w:cstheme="minorHAnsi"/>
        </w:rPr>
      </w:pPr>
      <w:r>
        <w:rPr>
          <w:rFonts w:asciiTheme="minorHAnsi" w:hAnsiTheme="minorHAnsi" w:cstheme="minorHAnsi"/>
        </w:rPr>
        <w:t xml:space="preserve">13.2.1 claim immediate payment of the outstanding balance together with interest and all amounts owing or claimable by us, irrespective of whether or not such amounts are due at such stage; </w:t>
      </w:r>
      <w:r w:rsidRPr="002A7DF0">
        <w:rPr>
          <w:rFonts w:asciiTheme="minorHAnsi" w:hAnsiTheme="minorHAnsi" w:cstheme="minorHAnsi"/>
          <w:b/>
          <w:u w:val="single"/>
        </w:rPr>
        <w:t>or</w:t>
      </w:r>
    </w:p>
    <w:p w:rsidR="00491195" w:rsidRPr="001309EE" w:rsidRDefault="00491195" w:rsidP="00FE20DE">
      <w:pPr>
        <w:pStyle w:val="ListParagraph"/>
        <w:spacing w:after="200" w:line="276" w:lineRule="auto"/>
        <w:ind w:left="1701" w:hanging="709"/>
        <w:jc w:val="both"/>
        <w:rPr>
          <w:lang w:val="en-US"/>
        </w:rPr>
      </w:pPr>
      <w:r>
        <w:rPr>
          <w:rFonts w:asciiTheme="minorHAnsi" w:hAnsiTheme="minorHAnsi" w:cstheme="minorHAnsi"/>
        </w:rPr>
        <w:t>13.2.2 take possession of the Goods in terms of an attachment order, retain all payments already made in terms hereof by yourself and to claim as liquidated damages, payment of the difference between the balance outstanding and the market value of the Goods determined in accordance with clause 11.5.2.3, which amount shall be immediately due and payable.” (own emphasis)</w:t>
      </w:r>
    </w:p>
  </w:footnote>
  <w:footnote w:id="4">
    <w:p w:rsidR="00491195" w:rsidRDefault="00491195" w:rsidP="00D2033B">
      <w:pPr>
        <w:pStyle w:val="FootnoteText"/>
        <w:jc w:val="both"/>
        <w:rPr>
          <w:color w:val="000000"/>
        </w:rPr>
      </w:pPr>
      <w:r>
        <w:rPr>
          <w:rStyle w:val="FootnoteReference"/>
        </w:rPr>
        <w:footnoteRef/>
      </w:r>
      <w:r>
        <w:t xml:space="preserve"> </w:t>
      </w:r>
      <w:r w:rsidRPr="00D2033B">
        <w:rPr>
          <w:color w:val="000000"/>
          <w:lang w:val="en-ZA" w:eastAsia="en-ZA"/>
        </w:rPr>
        <w:t xml:space="preserve">I point out that the reference to the </w:t>
      </w:r>
      <w:r w:rsidRPr="00D2033B">
        <w:rPr>
          <w:color w:val="000000"/>
        </w:rPr>
        <w:t>‘abovementioned agreement’ in paragraph 2 of the notice was clearly a reference to the credit agreement concluded between the plaintiff and the first defendant.</w:t>
      </w:r>
    </w:p>
    <w:p w:rsidR="00491195" w:rsidRPr="00D2033B" w:rsidRDefault="00491195" w:rsidP="00D2033B">
      <w:pPr>
        <w:pStyle w:val="FootnoteText"/>
        <w:jc w:val="both"/>
        <w:rPr>
          <w:lang w:val="en-US"/>
        </w:rPr>
      </w:pPr>
    </w:p>
  </w:footnote>
  <w:footnote w:id="5">
    <w:p w:rsidR="00491195" w:rsidRDefault="00491195" w:rsidP="00D2033B">
      <w:pPr>
        <w:pStyle w:val="FootnoteText"/>
        <w:jc w:val="both"/>
        <w:rPr>
          <w:color w:val="000000"/>
          <w:lang w:val="en-ZA" w:eastAsia="en-ZA"/>
        </w:rPr>
      </w:pPr>
      <w:r>
        <w:rPr>
          <w:rStyle w:val="FootnoteReference"/>
        </w:rPr>
        <w:footnoteRef/>
      </w:r>
      <w:r>
        <w:t xml:space="preserve"> </w:t>
      </w:r>
      <w:r w:rsidRPr="00D2033B">
        <w:rPr>
          <w:color w:val="000000"/>
          <w:lang w:val="en-ZA" w:eastAsia="en-ZA"/>
        </w:rPr>
        <w:t>As the surety</w:t>
      </w:r>
      <w:r>
        <w:rPr>
          <w:color w:val="000000"/>
          <w:lang w:val="en-ZA" w:eastAsia="en-ZA"/>
        </w:rPr>
        <w:t xml:space="preserve"> personally </w:t>
      </w:r>
      <w:r w:rsidRPr="00D2033B">
        <w:rPr>
          <w:color w:val="000000"/>
          <w:lang w:val="en-ZA" w:eastAsia="en-ZA"/>
        </w:rPr>
        <w:t>did not operate any account in terms of the suretyship and as the preamble to the notice unequivocally referred only to the first defendant’s default under the described credit agreement, the reference in paragraph 4 to ‘the above agreement’ was clearly a reference to the credit agreement itself.</w:t>
      </w:r>
    </w:p>
    <w:p w:rsidR="004B071A" w:rsidRPr="00D2033B" w:rsidRDefault="004B071A" w:rsidP="00D2033B">
      <w:pPr>
        <w:pStyle w:val="FootnoteText"/>
        <w:jc w:val="both"/>
        <w:rPr>
          <w:lang w:val="en-US"/>
        </w:rPr>
      </w:pPr>
    </w:p>
  </w:footnote>
  <w:footnote w:id="6">
    <w:p w:rsidR="00491195" w:rsidRDefault="00491195" w:rsidP="00D747A2">
      <w:pPr>
        <w:pStyle w:val="FootnoteText"/>
        <w:jc w:val="both"/>
      </w:pPr>
      <w:r>
        <w:rPr>
          <w:rStyle w:val="FootnoteReference"/>
        </w:rPr>
        <w:footnoteRef/>
      </w:r>
      <w:r>
        <w:t xml:space="preserve"> </w:t>
      </w:r>
      <w:r w:rsidRPr="00D2033B">
        <w:t>Clause 13.3 of the Agreement provides for the delivery of a notice as envisaged in s 129 of the NCA following upon a breach by the first defendant of the terms of the agreement</w:t>
      </w:r>
      <w:r>
        <w:t xml:space="preserve"> </w:t>
      </w:r>
      <w:r w:rsidRPr="00D2033B">
        <w:t>in two distinct circumstances: the first being in the event that the plaintiff elects to enforce the agreement (clause 13.3) and the second being in the event that the plaintiff elects to terminate the agreement in terms of s123 of the NCA (clause 13.5)</w:t>
      </w:r>
      <w:r>
        <w:t>. In either event, the following procedure was to apply:</w:t>
      </w:r>
    </w:p>
    <w:p w:rsidR="00491195" w:rsidRPr="008630C2" w:rsidRDefault="00491195" w:rsidP="00D747A2">
      <w:pPr>
        <w:pStyle w:val="NormalWeb"/>
        <w:jc w:val="both"/>
        <w:rPr>
          <w:rFonts w:ascii="Arial" w:hAnsi="Arial" w:cs="Arial"/>
          <w:sz w:val="20"/>
          <w:szCs w:val="20"/>
        </w:rPr>
      </w:pPr>
      <w:r>
        <w:t>“</w:t>
      </w:r>
      <w:r w:rsidRPr="008630C2">
        <w:rPr>
          <w:rFonts w:ascii="Arial" w:hAnsi="Arial" w:cs="Arial"/>
          <w:sz w:val="20"/>
          <w:szCs w:val="20"/>
        </w:rPr>
        <w:t xml:space="preserve">13.3. </w:t>
      </w:r>
      <w:r w:rsidRPr="008630C2">
        <w:rPr>
          <w:rFonts w:ascii="Arial" w:hAnsi="Arial" w:cs="Arial"/>
          <w:sz w:val="20"/>
          <w:szCs w:val="20"/>
          <w:u w:val="single"/>
        </w:rPr>
        <w:t>If we elect to enforce the Agreement, a notice will be sent to you, which will set out</w:t>
      </w:r>
      <w:r w:rsidRPr="008630C2">
        <w:rPr>
          <w:rFonts w:ascii="Arial" w:hAnsi="Arial" w:cs="Arial"/>
          <w:sz w:val="20"/>
          <w:szCs w:val="20"/>
        </w:rPr>
        <w:t>:</w:t>
      </w:r>
    </w:p>
    <w:p w:rsidR="00491195" w:rsidRPr="008630C2" w:rsidRDefault="00491195" w:rsidP="00D747A2">
      <w:pPr>
        <w:pStyle w:val="NormalWeb"/>
        <w:jc w:val="both"/>
        <w:rPr>
          <w:rFonts w:ascii="Arial" w:hAnsi="Arial" w:cs="Arial"/>
          <w:sz w:val="20"/>
          <w:szCs w:val="20"/>
        </w:rPr>
      </w:pPr>
      <w:r w:rsidRPr="008630C2">
        <w:rPr>
          <w:rFonts w:ascii="Arial" w:hAnsi="Arial" w:cs="Arial"/>
          <w:sz w:val="20"/>
          <w:szCs w:val="20"/>
        </w:rPr>
        <w:t>13.3.1 the details of your default;</w:t>
      </w:r>
    </w:p>
    <w:p w:rsidR="00491195" w:rsidRPr="008630C2" w:rsidRDefault="00491195" w:rsidP="00D747A2">
      <w:pPr>
        <w:pStyle w:val="NormalWeb"/>
        <w:jc w:val="both"/>
        <w:rPr>
          <w:rFonts w:ascii="Arial" w:hAnsi="Arial" w:cs="Arial"/>
          <w:sz w:val="20"/>
          <w:szCs w:val="20"/>
        </w:rPr>
      </w:pPr>
      <w:r w:rsidRPr="008630C2">
        <w:rPr>
          <w:rFonts w:ascii="Arial" w:hAnsi="Arial" w:cs="Arial"/>
          <w:sz w:val="20"/>
          <w:szCs w:val="20"/>
        </w:rPr>
        <w:t>13.3.2</w:t>
      </w:r>
      <w:r>
        <w:rPr>
          <w:rFonts w:ascii="Arial" w:hAnsi="Arial" w:cs="Arial"/>
          <w:sz w:val="20"/>
          <w:szCs w:val="20"/>
        </w:rPr>
        <w:t xml:space="preserve"> </w:t>
      </w:r>
      <w:r w:rsidRPr="008630C2">
        <w:rPr>
          <w:rFonts w:ascii="Arial" w:hAnsi="Arial" w:cs="Arial"/>
          <w:sz w:val="20"/>
          <w:szCs w:val="20"/>
        </w:rPr>
        <w:t>the period in which we require you to rectify the default;</w:t>
      </w:r>
    </w:p>
    <w:p w:rsidR="00491195" w:rsidRPr="008630C2" w:rsidRDefault="00491195" w:rsidP="00D747A2">
      <w:pPr>
        <w:pStyle w:val="NormalWeb"/>
        <w:jc w:val="both"/>
        <w:rPr>
          <w:rFonts w:ascii="Arial" w:hAnsi="Arial" w:cs="Arial"/>
          <w:sz w:val="20"/>
          <w:szCs w:val="20"/>
        </w:rPr>
      </w:pPr>
      <w:r w:rsidRPr="008630C2">
        <w:rPr>
          <w:rFonts w:ascii="Arial" w:hAnsi="Arial" w:cs="Arial"/>
          <w:sz w:val="20"/>
          <w:szCs w:val="20"/>
        </w:rPr>
        <w:t>13.3.3 your rights to refer this Agreement to a debt counsellor, alternative dispute resolution agent, Consumer Court or ombudsman with jurisdiction, with the intention of resolving any disputes or developing and agreeing on a plan to bring your payments under this Agreement up to date.</w:t>
      </w:r>
    </w:p>
    <w:p w:rsidR="00491195" w:rsidRPr="008630C2" w:rsidRDefault="00491195" w:rsidP="00D747A2">
      <w:pPr>
        <w:pStyle w:val="NormalWeb"/>
        <w:jc w:val="both"/>
        <w:rPr>
          <w:rFonts w:ascii="Arial" w:hAnsi="Arial" w:cs="Arial"/>
          <w:sz w:val="20"/>
          <w:szCs w:val="20"/>
        </w:rPr>
      </w:pPr>
      <w:r w:rsidRPr="008630C2">
        <w:rPr>
          <w:rFonts w:ascii="Arial" w:hAnsi="Arial" w:cs="Arial"/>
          <w:sz w:val="20"/>
          <w:szCs w:val="20"/>
        </w:rPr>
        <w:t>13.4 Any legal proceedings will not be commenced against you unless:</w:t>
      </w:r>
    </w:p>
    <w:p w:rsidR="00491195" w:rsidRPr="008630C2" w:rsidRDefault="00491195" w:rsidP="00D747A2">
      <w:pPr>
        <w:pStyle w:val="NormalWeb"/>
        <w:jc w:val="both"/>
        <w:rPr>
          <w:rFonts w:ascii="Arial" w:hAnsi="Arial" w:cs="Arial"/>
          <w:sz w:val="20"/>
          <w:szCs w:val="20"/>
        </w:rPr>
      </w:pPr>
      <w:r w:rsidRPr="008630C2">
        <w:rPr>
          <w:rFonts w:ascii="Arial" w:hAnsi="Arial" w:cs="Arial"/>
          <w:sz w:val="20"/>
          <w:szCs w:val="20"/>
        </w:rPr>
        <w:t>13.4.1 You have been in default for at least 20 (twenty) business days;</w:t>
      </w:r>
    </w:p>
    <w:p w:rsidR="00491195" w:rsidRPr="008630C2" w:rsidRDefault="00491195" w:rsidP="00D747A2">
      <w:pPr>
        <w:pStyle w:val="NormalWeb"/>
        <w:jc w:val="both"/>
        <w:rPr>
          <w:rFonts w:ascii="Arial" w:hAnsi="Arial" w:cs="Arial"/>
          <w:sz w:val="20"/>
          <w:szCs w:val="20"/>
        </w:rPr>
      </w:pPr>
      <w:r w:rsidRPr="008630C2">
        <w:rPr>
          <w:rFonts w:ascii="Arial" w:hAnsi="Arial" w:cs="Arial"/>
          <w:sz w:val="20"/>
          <w:szCs w:val="20"/>
        </w:rPr>
        <w:t>13.4.2 At least 10 (ten) business days have elapsed since the default letter or notice referred to above has been delivered...</w:t>
      </w:r>
    </w:p>
    <w:p w:rsidR="00491195" w:rsidRPr="008630C2" w:rsidRDefault="00491195" w:rsidP="00D747A2">
      <w:pPr>
        <w:pStyle w:val="NormalWeb"/>
        <w:jc w:val="both"/>
        <w:rPr>
          <w:rFonts w:ascii="Arial" w:hAnsi="Arial" w:cs="Arial"/>
          <w:sz w:val="20"/>
          <w:szCs w:val="20"/>
        </w:rPr>
      </w:pPr>
      <w:r w:rsidRPr="008630C2">
        <w:rPr>
          <w:rFonts w:ascii="Arial" w:hAnsi="Arial" w:cs="Arial"/>
          <w:sz w:val="20"/>
          <w:szCs w:val="20"/>
        </w:rPr>
        <w:t>13.4.3 You have failed to respond to the default letter or you have responded by rejecting our proposal</w:t>
      </w:r>
      <w:r w:rsidR="004B071A">
        <w:rPr>
          <w:rFonts w:ascii="Arial" w:hAnsi="Arial" w:cs="Arial"/>
          <w:sz w:val="20"/>
          <w:szCs w:val="20"/>
        </w:rPr>
        <w:t>;</w:t>
      </w:r>
    </w:p>
    <w:p w:rsidR="00491195" w:rsidRPr="008630C2" w:rsidRDefault="00491195" w:rsidP="00D747A2">
      <w:pPr>
        <w:pStyle w:val="NormalWeb"/>
        <w:jc w:val="both"/>
        <w:rPr>
          <w:rFonts w:ascii="Arial" w:hAnsi="Arial" w:cs="Arial"/>
          <w:sz w:val="20"/>
          <w:szCs w:val="20"/>
        </w:rPr>
      </w:pPr>
      <w:r w:rsidRPr="008630C2">
        <w:rPr>
          <w:rFonts w:ascii="Arial" w:hAnsi="Arial" w:cs="Arial"/>
          <w:sz w:val="20"/>
          <w:szCs w:val="20"/>
        </w:rPr>
        <w:t>13.4.4 You have not surrendered the Goods to us in terms of Section 127 of the Act;</w:t>
      </w:r>
    </w:p>
    <w:p w:rsidR="00491195" w:rsidRPr="008630C2" w:rsidRDefault="00491195" w:rsidP="00D747A2">
      <w:pPr>
        <w:pStyle w:val="NormalWeb"/>
        <w:jc w:val="both"/>
        <w:rPr>
          <w:rFonts w:ascii="Arial" w:hAnsi="Arial" w:cs="Arial"/>
          <w:sz w:val="20"/>
          <w:szCs w:val="20"/>
        </w:rPr>
      </w:pPr>
      <w:r w:rsidRPr="008630C2">
        <w:rPr>
          <w:rFonts w:ascii="Arial" w:hAnsi="Arial" w:cs="Arial"/>
          <w:sz w:val="20"/>
          <w:szCs w:val="20"/>
        </w:rPr>
        <w:t xml:space="preserve">13.5 </w:t>
      </w:r>
      <w:r w:rsidRPr="008630C2">
        <w:rPr>
          <w:rFonts w:ascii="Arial" w:hAnsi="Arial" w:cs="Arial"/>
          <w:sz w:val="20"/>
          <w:szCs w:val="20"/>
          <w:u w:val="single"/>
        </w:rPr>
        <w:t>Should we elect to terminate this Agreement in terms of Section 123 of the Act, the same procedure set out in 13.3 above, will be followed prior thereto</w:t>
      </w:r>
      <w:r w:rsidRPr="008630C2">
        <w:rPr>
          <w:rFonts w:ascii="Arial" w:hAnsi="Arial" w:cs="Arial"/>
          <w:sz w:val="20"/>
          <w:szCs w:val="20"/>
        </w:rPr>
        <w:t>.</w:t>
      </w:r>
    </w:p>
    <w:p w:rsidR="00491195" w:rsidRDefault="00491195" w:rsidP="00D747A2">
      <w:pPr>
        <w:pStyle w:val="FootnoteText"/>
        <w:jc w:val="both"/>
      </w:pPr>
      <w:r w:rsidRPr="008630C2">
        <w:t xml:space="preserve">13.6 </w:t>
      </w:r>
      <w:r w:rsidRPr="008630C2">
        <w:rPr>
          <w:u w:val="single"/>
        </w:rPr>
        <w:t>Before termination of the Agreement you are entitled to reinstate the Agreement in respect of which you are in default, by paying all overdue amou</w:t>
      </w:r>
      <w:r>
        <w:rPr>
          <w:u w:val="single"/>
        </w:rPr>
        <w:t>n</w:t>
      </w:r>
      <w:r w:rsidRPr="008630C2">
        <w:rPr>
          <w:u w:val="single"/>
        </w:rPr>
        <w:t>ts, as well as out permitted default charges and reasonable costs up to the time of reinstatement</w:t>
      </w:r>
      <w:r w:rsidRPr="008630C2">
        <w:t>.</w:t>
      </w:r>
      <w:r>
        <w:t>”</w:t>
      </w:r>
    </w:p>
    <w:p w:rsidR="00491195" w:rsidRDefault="00491195" w:rsidP="00D747A2">
      <w:pPr>
        <w:pStyle w:val="FootnoteText"/>
        <w:rPr>
          <w:lang w:val="en-US"/>
        </w:rPr>
      </w:pPr>
    </w:p>
    <w:p w:rsidR="00491195" w:rsidRDefault="00491195" w:rsidP="00D747A2">
      <w:pPr>
        <w:pStyle w:val="FootnoteText"/>
        <w:rPr>
          <w:lang w:val="en-US"/>
        </w:rPr>
      </w:pPr>
      <w:r>
        <w:rPr>
          <w:lang w:val="en-US"/>
        </w:rPr>
        <w:t>Section 123 of the NCA provides, in relevant part, as follows:</w:t>
      </w:r>
    </w:p>
    <w:p w:rsidR="00491195" w:rsidRPr="00EE5E1B" w:rsidRDefault="00491195" w:rsidP="00D747A2">
      <w:pPr>
        <w:jc w:val="both"/>
        <w:rPr>
          <w:rFonts w:ascii="Arial" w:hAnsi="Arial" w:cs="Arial"/>
        </w:rPr>
      </w:pPr>
      <w:r>
        <w:rPr>
          <w:lang w:val="en-US"/>
        </w:rPr>
        <w:t>“</w:t>
      </w:r>
      <w:r w:rsidRPr="00EE5E1B">
        <w:rPr>
          <w:rFonts w:ascii="Arial" w:hAnsi="Arial" w:cs="Arial"/>
        </w:rPr>
        <w:t>123</w:t>
      </w:r>
      <w:r w:rsidRPr="00EE5E1B">
        <w:rPr>
          <w:rFonts w:ascii="Arial" w:hAnsi="Arial" w:cs="Arial"/>
          <w:b/>
        </w:rPr>
        <w:t>. Termination of agreement by credit provider</w:t>
      </w:r>
      <w:r w:rsidRPr="00EE5E1B">
        <w:rPr>
          <w:rFonts w:ascii="Arial" w:hAnsi="Arial" w:cs="Arial"/>
        </w:rPr>
        <w:t>.—(1) A credit provider may terminate a credit agreement before the time provided in that agreement only in accordance with this section.</w:t>
      </w:r>
    </w:p>
    <w:p w:rsidR="00491195" w:rsidRDefault="00491195" w:rsidP="00D747A2">
      <w:pPr>
        <w:pStyle w:val="FootnoteText"/>
        <w:jc w:val="both"/>
      </w:pPr>
      <w:r w:rsidRPr="00EE5E1B">
        <w:t>(2) If a consumer is in default under a credit agreement, the credit provider may take the steps set out in Part C of Chapter 6 to enforce and terminate that agreement.</w:t>
      </w:r>
      <w:r>
        <w:t>”</w:t>
      </w:r>
    </w:p>
    <w:p w:rsidR="00491195" w:rsidRDefault="00491195" w:rsidP="00D747A2">
      <w:pPr>
        <w:pStyle w:val="FootnoteText"/>
        <w:jc w:val="both"/>
      </w:pPr>
    </w:p>
    <w:p w:rsidR="00491195" w:rsidRDefault="00491195" w:rsidP="00D747A2">
      <w:pPr>
        <w:pStyle w:val="FootnoteText"/>
        <w:jc w:val="both"/>
      </w:pPr>
      <w:r>
        <w:t>Part C of Chapter 6 includes, amongst others, sections 129 and 130 of the NCA, which provide for procedures that are required to be followed for debt enforcement and prior to the institution of legal action.</w:t>
      </w:r>
    </w:p>
    <w:p w:rsidR="00491195" w:rsidRDefault="00491195" w:rsidP="00D747A2">
      <w:pPr>
        <w:pStyle w:val="FootnoteText"/>
        <w:jc w:val="both"/>
      </w:pPr>
    </w:p>
    <w:p w:rsidR="00491195" w:rsidRDefault="00491195" w:rsidP="00D747A2">
      <w:pPr>
        <w:pStyle w:val="FootnoteText"/>
        <w:jc w:val="both"/>
      </w:pPr>
      <w:r>
        <w:t>Of relevance to the present matter, are sub-sections 3 and 4 of s129 of the NCA, which provide, in relevant part, as follows:</w:t>
      </w:r>
    </w:p>
    <w:p w:rsidR="00491195" w:rsidRPr="001531A4" w:rsidRDefault="00491195" w:rsidP="00D747A2">
      <w:pPr>
        <w:jc w:val="both"/>
        <w:rPr>
          <w:rFonts w:ascii="Arial" w:hAnsi="Arial" w:cs="Arial"/>
        </w:rPr>
      </w:pPr>
      <w:r w:rsidRPr="001531A4">
        <w:rPr>
          <w:rFonts w:ascii="Arial" w:hAnsi="Arial" w:cs="Arial"/>
        </w:rPr>
        <w:t>“(3) Subject to subsection (4), a consumer may at any time before the credit provider has cancelled the agreement, remedy a default in such credit agreement by paying to the credit provider all amounts that are overdue, together with the credit provider’s prescribed default administration charges and reasonable costs of enforcing the agreement up to the time the default was remedied.</w:t>
      </w:r>
    </w:p>
    <w:p w:rsidR="00491195" w:rsidRPr="001531A4" w:rsidRDefault="00491195" w:rsidP="00D747A2">
      <w:pPr>
        <w:jc w:val="both"/>
        <w:rPr>
          <w:rFonts w:ascii="Arial" w:hAnsi="Arial" w:cs="Arial"/>
        </w:rPr>
      </w:pPr>
      <w:r w:rsidRPr="001531A4">
        <w:rPr>
          <w:rFonts w:ascii="Arial" w:hAnsi="Arial" w:cs="Arial"/>
        </w:rPr>
        <w:t>(4) A credit provider may not re</w:t>
      </w:r>
      <w:r>
        <w:rPr>
          <w:rFonts w:ascii="Arial" w:hAnsi="Arial" w:cs="Arial"/>
        </w:rPr>
        <w:t>-</w:t>
      </w:r>
      <w:r w:rsidRPr="001531A4">
        <w:rPr>
          <w:rFonts w:ascii="Arial" w:hAnsi="Arial" w:cs="Arial"/>
        </w:rPr>
        <w:t>instate or revive a credit agreement after—</w:t>
      </w:r>
    </w:p>
    <w:p w:rsidR="00491195" w:rsidRPr="001531A4" w:rsidRDefault="00491195" w:rsidP="00D747A2">
      <w:pPr>
        <w:jc w:val="both"/>
        <w:rPr>
          <w:rFonts w:ascii="Arial" w:hAnsi="Arial" w:cs="Arial"/>
        </w:rPr>
      </w:pPr>
      <w:r w:rsidRPr="001531A4">
        <w:rPr>
          <w:rFonts w:ascii="Arial" w:hAnsi="Arial" w:cs="Arial"/>
        </w:rPr>
        <w:t>(a)...</w:t>
      </w:r>
    </w:p>
    <w:p w:rsidR="00491195" w:rsidRPr="001531A4" w:rsidRDefault="00491195" w:rsidP="00D747A2">
      <w:pPr>
        <w:jc w:val="both"/>
        <w:rPr>
          <w:rFonts w:ascii="Arial" w:hAnsi="Arial" w:cs="Arial"/>
        </w:rPr>
      </w:pPr>
      <w:r w:rsidRPr="001531A4">
        <w:rPr>
          <w:rFonts w:ascii="Arial" w:hAnsi="Arial" w:cs="Arial"/>
        </w:rPr>
        <w:t>(b)...</w:t>
      </w:r>
    </w:p>
    <w:p w:rsidR="00491195" w:rsidRDefault="00491195" w:rsidP="00D747A2">
      <w:pPr>
        <w:pStyle w:val="FootnoteText"/>
        <w:jc w:val="both"/>
      </w:pPr>
      <w:r w:rsidRPr="001531A4">
        <w:t>(c) the termination thereof in accordance with section 123.”</w:t>
      </w:r>
    </w:p>
    <w:p w:rsidR="004B071A" w:rsidRPr="00D2033B" w:rsidRDefault="004B071A" w:rsidP="00D747A2">
      <w:pPr>
        <w:pStyle w:val="FootnoteText"/>
        <w:jc w:val="both"/>
        <w:rPr>
          <w:lang w:val="en-US"/>
        </w:rPr>
      </w:pPr>
    </w:p>
  </w:footnote>
  <w:footnote w:id="7">
    <w:p w:rsidR="00491195" w:rsidRPr="00DF6D94" w:rsidRDefault="00491195">
      <w:pPr>
        <w:pStyle w:val="FootnoteText"/>
        <w:rPr>
          <w:lang w:val="en-US"/>
        </w:rPr>
      </w:pPr>
      <w:r>
        <w:rPr>
          <w:rStyle w:val="FootnoteReference"/>
        </w:rPr>
        <w:footnoteRef/>
      </w:r>
      <w:r>
        <w:t xml:space="preserve"> </w:t>
      </w:r>
      <w:r>
        <w:rPr>
          <w:lang w:val="en-US"/>
        </w:rPr>
        <w:t>This is presumably a reference to s 130(2) of the NCA</w:t>
      </w:r>
    </w:p>
  </w:footnote>
  <w:footnote w:id="8">
    <w:p w:rsidR="00CD57EF" w:rsidRDefault="00CD57EF" w:rsidP="00CD57EF">
      <w:pPr>
        <w:pStyle w:val="FootnoteText"/>
        <w:jc w:val="both"/>
        <w:rPr>
          <w:i/>
          <w:lang w:val="en-US"/>
        </w:rPr>
      </w:pPr>
      <w:r>
        <w:rPr>
          <w:rStyle w:val="FootnoteReference"/>
        </w:rPr>
        <w:footnoteRef/>
      </w:r>
      <w:r>
        <w:t xml:space="preserve"> </w:t>
      </w:r>
      <w:r>
        <w:rPr>
          <w:lang w:val="en-US"/>
        </w:rPr>
        <w:t>Despite this, in the affidavit filed in support of the summary judgment application, the deponent, ostensibly in misreading the plea, states that ‘</w:t>
      </w:r>
      <w:r w:rsidRPr="00CD57EF">
        <w:rPr>
          <w:i/>
          <w:lang w:val="en-US"/>
        </w:rPr>
        <w:t xml:space="preserve">The </w:t>
      </w:r>
      <w:r>
        <w:rPr>
          <w:i/>
          <w:lang w:val="en-US"/>
        </w:rPr>
        <w:t>First and Second defendant deny entering into an agreement with the plaintiff, accepting delivery of the vehicle and being bound to the terms and conditions thereof.’</w:t>
      </w:r>
    </w:p>
    <w:p w:rsidR="00CD57EF" w:rsidRPr="00CD57EF" w:rsidRDefault="00CD57EF" w:rsidP="00CD57EF">
      <w:pPr>
        <w:pStyle w:val="FootnoteText"/>
        <w:jc w:val="both"/>
        <w:rPr>
          <w:i/>
          <w:lang w:val="en-US"/>
        </w:rPr>
      </w:pPr>
    </w:p>
  </w:footnote>
  <w:footnote w:id="9">
    <w:p w:rsidR="00491195" w:rsidRDefault="00491195">
      <w:pPr>
        <w:pStyle w:val="FootnoteText"/>
        <w:rPr>
          <w:lang w:val="en-US"/>
        </w:rPr>
      </w:pPr>
      <w:r>
        <w:rPr>
          <w:rStyle w:val="FootnoteReference"/>
        </w:rPr>
        <w:footnoteRef/>
      </w:r>
      <w:r>
        <w:t xml:space="preserve"> </w:t>
      </w:r>
      <w:r>
        <w:rPr>
          <w:lang w:val="en-US"/>
        </w:rPr>
        <w:t>Being those points referred to in paras 8.3 to 8.5 above in the judgment, including the point that the credit agreement appears not to have been cancelled by the plaintiff and remains extant.</w:t>
      </w:r>
    </w:p>
    <w:p w:rsidR="00CD57EF" w:rsidRPr="00631141" w:rsidRDefault="00CD57EF">
      <w:pPr>
        <w:pStyle w:val="FootnoteText"/>
        <w:rPr>
          <w:lang w:val="en-US"/>
        </w:rPr>
      </w:pPr>
    </w:p>
  </w:footnote>
  <w:footnote w:id="10">
    <w:p w:rsidR="00491195" w:rsidRDefault="00491195" w:rsidP="00354189">
      <w:pPr>
        <w:pStyle w:val="FootnoteText"/>
        <w:jc w:val="both"/>
      </w:pPr>
      <w:r>
        <w:rPr>
          <w:rStyle w:val="FootnoteReference"/>
        </w:rPr>
        <w:footnoteRef/>
      </w:r>
      <w:r>
        <w:t xml:space="preserve"> </w:t>
      </w:r>
      <w:r w:rsidRPr="000E0DCF">
        <w:t xml:space="preserve">In terms of rule 32(3)(b), </w:t>
      </w:r>
      <w:r w:rsidRPr="00631141">
        <w:rPr>
          <w:u w:val="single"/>
        </w:rPr>
        <w:t>the defendant may satisfy the court by affidavit</w:t>
      </w:r>
      <w:r w:rsidRPr="000E0DCF">
        <w:t xml:space="preserve"> or with the leave of the court by oral evidence </w:t>
      </w:r>
      <w:r w:rsidRPr="00631141">
        <w:rPr>
          <w:u w:val="single"/>
        </w:rPr>
        <w:t>of such defendant or of any other person who can swear positively to the fact that the defendant has a bona fide defence to the action</w:t>
      </w:r>
      <w:r w:rsidRPr="000E0DCF">
        <w:t xml:space="preserve">; </w:t>
      </w:r>
      <w:r w:rsidRPr="000E0DCF">
        <w:rPr>
          <w:u w:val="single"/>
        </w:rPr>
        <w:t>such affidavit or evidence shall disclose fully the nature and grounds of the defence and the material facts relied upon therefor</w:t>
      </w:r>
      <w:r w:rsidRPr="000E0DCF">
        <w:t>.”</w:t>
      </w:r>
      <w:r>
        <w:t xml:space="preserve"> (emphasis added)</w:t>
      </w:r>
    </w:p>
    <w:p w:rsidR="00491195" w:rsidRDefault="00491195" w:rsidP="00354189">
      <w:pPr>
        <w:pStyle w:val="FootnoteText"/>
        <w:jc w:val="both"/>
      </w:pPr>
    </w:p>
    <w:p w:rsidR="00491195" w:rsidRPr="00354189" w:rsidRDefault="00491195" w:rsidP="00354189">
      <w:pPr>
        <w:pStyle w:val="FootnoteText"/>
        <w:jc w:val="both"/>
        <w:rPr>
          <w:lang w:val="en-US"/>
        </w:rPr>
      </w:pPr>
      <w:r>
        <w:t>In terms of rule 32(5), if the defendant does not satisfy the court as provided in paragraph (b) of subrule (3), the court may enter summary judgment for the plaintiff.</w:t>
      </w:r>
    </w:p>
  </w:footnote>
  <w:footnote w:id="11">
    <w:p w:rsidR="00491195" w:rsidRPr="00BB39A5" w:rsidRDefault="00491195" w:rsidP="00B74758">
      <w:pPr>
        <w:pStyle w:val="FootnoteText"/>
        <w:jc w:val="both"/>
        <w:rPr>
          <w:lang w:val="en-US"/>
        </w:rPr>
      </w:pPr>
      <w:r>
        <w:rPr>
          <w:rStyle w:val="FootnoteReference"/>
        </w:rPr>
        <w:footnoteRef/>
      </w:r>
      <w:r>
        <w:t xml:space="preserve"> </w:t>
      </w:r>
      <w:r>
        <w:rPr>
          <w:rFonts w:eastAsia="Times New Roman"/>
          <w:i/>
          <w:lang w:eastAsia="en-ZA"/>
        </w:rPr>
        <w:t xml:space="preserve">See: </w:t>
      </w:r>
      <w:r w:rsidRPr="00B502EB">
        <w:rPr>
          <w:rFonts w:eastAsia="Times New Roman"/>
          <w:i/>
          <w:lang w:eastAsia="en-ZA"/>
        </w:rPr>
        <w:t>Guardrisk v Life Limited FML Life (Pty) Ltd and Another</w:t>
      </w:r>
      <w:r w:rsidRPr="00B502EB">
        <w:rPr>
          <w:rFonts w:eastAsia="Times New Roman"/>
          <w:lang w:eastAsia="en-ZA"/>
        </w:rPr>
        <w:t xml:space="preserve"> (9859/2020) [2023] ZAGPJHC 137 (15 February 2023)</w:t>
      </w:r>
      <w:r>
        <w:rPr>
          <w:rFonts w:eastAsia="Times New Roman"/>
          <w:lang w:eastAsia="en-ZA"/>
        </w:rPr>
        <w:t xml:space="preserve"> at para 12, where the court endorsed and applied what was earlier stated in </w:t>
      </w:r>
      <w:r w:rsidRPr="00B502EB">
        <w:rPr>
          <w:rFonts w:eastAsia="Times New Roman"/>
          <w:i/>
          <w:lang w:eastAsia="en-ZA"/>
        </w:rPr>
        <w:t>T</w:t>
      </w:r>
      <w:r w:rsidRPr="00B502EB">
        <w:rPr>
          <w:i/>
          <w:iCs/>
          <w:color w:val="242121"/>
          <w:shd w:val="clear" w:color="auto" w:fill="FFFFFF"/>
        </w:rPr>
        <w:t xml:space="preserve">umileng Trading CC v National Security and Fire (Pty) Ltd </w:t>
      </w:r>
      <w:hyperlink r:id="rId1" w:tooltip="View LawCiteRecord" w:history="1">
        <w:r w:rsidRPr="00BB39A5">
          <w:rPr>
            <w:rStyle w:val="Hyperlink"/>
            <w:bCs/>
            <w:shd w:val="clear" w:color="auto" w:fill="FFFFFF"/>
          </w:rPr>
          <w:t>2020 (6) SA 624</w:t>
        </w:r>
      </w:hyperlink>
      <w:r w:rsidRPr="00B502EB">
        <w:t xml:space="preserve"> </w:t>
      </w:r>
      <w:r w:rsidRPr="00B502EB">
        <w:rPr>
          <w:color w:val="242121"/>
          <w:shd w:val="clear" w:color="auto" w:fill="FFFFFF"/>
        </w:rPr>
        <w:t>(WCC) at paragraph 23</w:t>
      </w:r>
      <w:r>
        <w:rPr>
          <w:color w:val="242121"/>
          <w:shd w:val="clear" w:color="auto" w:fill="FFFFFF"/>
        </w:rPr>
        <w:t xml:space="preserve">. </w:t>
      </w:r>
      <w:r>
        <w:rPr>
          <w:rFonts w:eastAsia="Times New Roman"/>
          <w:lang w:eastAsia="en-ZA"/>
        </w:rPr>
        <w:t xml:space="preserve">The court in </w:t>
      </w:r>
      <w:r w:rsidRPr="00CE2B25">
        <w:rPr>
          <w:rFonts w:eastAsia="Times New Roman"/>
          <w:i/>
          <w:lang w:eastAsia="en-ZA"/>
        </w:rPr>
        <w:t>Bravura Solutions (Pty) Ltd v A1 Capital (Pty) Ltd</w:t>
      </w:r>
      <w:r w:rsidRPr="00CE2B25">
        <w:rPr>
          <w:rFonts w:eastAsia="Times New Roman"/>
          <w:lang w:eastAsia="en-ZA"/>
        </w:rPr>
        <w:t xml:space="preserve"> (12632/2020) [2021] ZAGPJHC 121 (13 May 2021)</w:t>
      </w:r>
      <w:r>
        <w:rPr>
          <w:rFonts w:eastAsia="Times New Roman"/>
          <w:lang w:eastAsia="en-ZA"/>
        </w:rPr>
        <w:t xml:space="preserve"> at paras 36-37, </w:t>
      </w:r>
      <w:r w:rsidRPr="00CE2B25">
        <w:rPr>
          <w:color w:val="000000"/>
        </w:rPr>
        <w:t xml:space="preserve">in echoing the decision of </w:t>
      </w:r>
      <w:r w:rsidRPr="00ED0D1C">
        <w:rPr>
          <w:i/>
          <w:color w:val="000000"/>
        </w:rPr>
        <w:t>Tumileng</w:t>
      </w:r>
      <w:r w:rsidRPr="00CE2B25">
        <w:rPr>
          <w:i/>
          <w:color w:val="000000"/>
        </w:rPr>
        <w:t>,</w:t>
      </w:r>
      <w:r w:rsidRPr="00CE2B25">
        <w:rPr>
          <w:color w:val="000000"/>
        </w:rPr>
        <w:t xml:space="preserve"> said that what the court is to consider is whether the defence raised by the respondent in its plea and affidavit resisting summary judgement, is a genuine defence or one that genuinely raises any triable issue or whether it is contrived, with the intention to delay the inevitable and undisputed debt. This presupposes a balancing act against the contentions by the applicant, weighed against those by the respondent.</w:t>
      </w:r>
    </w:p>
  </w:footnote>
  <w:footnote w:id="12">
    <w:p w:rsidR="00D503B1" w:rsidRPr="006570B2" w:rsidRDefault="00D503B1" w:rsidP="00D503B1">
      <w:pPr>
        <w:pStyle w:val="FootnoteText"/>
        <w:rPr>
          <w:lang w:val="en-US"/>
        </w:rPr>
      </w:pPr>
      <w:r>
        <w:rPr>
          <w:rStyle w:val="FootnoteReference"/>
        </w:rPr>
        <w:footnoteRef/>
      </w:r>
      <w:r>
        <w:t xml:space="preserve"> </w:t>
      </w:r>
      <w:r>
        <w:rPr>
          <w:i/>
          <w:lang w:val="en-US"/>
        </w:rPr>
        <w:t xml:space="preserve">Mpfuni v Segwapa Inc </w:t>
      </w:r>
      <w:r>
        <w:rPr>
          <w:lang w:val="en-US"/>
        </w:rPr>
        <w:t xml:space="preserve"> 2022 JDR 0673 (GJ) at par</w:t>
      </w:r>
    </w:p>
  </w:footnote>
  <w:footnote w:id="13">
    <w:p w:rsidR="00D503B1" w:rsidRPr="006570B2" w:rsidRDefault="00D503B1" w:rsidP="00D503B1">
      <w:pPr>
        <w:pStyle w:val="FootnoteText"/>
        <w:rPr>
          <w:lang w:val="en-US"/>
        </w:rPr>
      </w:pPr>
      <w:r>
        <w:rPr>
          <w:rStyle w:val="FootnoteReference"/>
        </w:rPr>
        <w:footnoteRef/>
      </w:r>
      <w:r>
        <w:t xml:space="preserve"> </w:t>
      </w:r>
      <w:r>
        <w:rPr>
          <w:lang w:val="en-US"/>
        </w:rPr>
        <w:t>The amendements came into operation on 1 July 2019.</w:t>
      </w:r>
    </w:p>
  </w:footnote>
  <w:footnote w:id="14">
    <w:p w:rsidR="00D503B1" w:rsidRPr="00436A8C" w:rsidRDefault="00D503B1" w:rsidP="00D503B1">
      <w:pPr>
        <w:pStyle w:val="FootnoteText"/>
        <w:rPr>
          <w:lang w:val="en-US"/>
        </w:rPr>
      </w:pPr>
      <w:r>
        <w:rPr>
          <w:rStyle w:val="FootnoteReference"/>
        </w:rPr>
        <w:footnoteRef/>
      </w:r>
      <w:r>
        <w:t xml:space="preserve"> </w:t>
      </w:r>
      <w:r>
        <w:rPr>
          <w:lang w:val="en-US"/>
        </w:rPr>
        <w:t>See: Erasmus, ‘Superior Court Practice’ (2</w:t>
      </w:r>
      <w:r w:rsidRPr="00D65E2A">
        <w:rPr>
          <w:vertAlign w:val="superscript"/>
          <w:lang w:val="en-US"/>
        </w:rPr>
        <w:t>nd</w:t>
      </w:r>
      <w:r>
        <w:rPr>
          <w:lang w:val="en-US"/>
        </w:rPr>
        <w:t xml:space="preserve"> edition) at D1-401</w:t>
      </w:r>
    </w:p>
  </w:footnote>
  <w:footnote w:id="15">
    <w:p w:rsidR="00491195" w:rsidRPr="006F6903" w:rsidRDefault="00491195">
      <w:pPr>
        <w:pStyle w:val="FootnoteText"/>
        <w:rPr>
          <w:lang w:val="en-US"/>
        </w:rPr>
      </w:pPr>
      <w:r>
        <w:rPr>
          <w:rStyle w:val="FootnoteReference"/>
        </w:rPr>
        <w:footnoteRef/>
      </w:r>
      <w:r>
        <w:t xml:space="preserve"> </w:t>
      </w:r>
      <w:r w:rsidRPr="00F12E65">
        <w:rPr>
          <w:i/>
        </w:rPr>
        <w:t>Tumileng Trading CC v National Security and Fire (Pty) Ltd</w:t>
      </w:r>
      <w:r>
        <w:t xml:space="preserve"> 2020 (6) SA 624 (WCC) at paras 13 &amp; 15.</w:t>
      </w:r>
    </w:p>
  </w:footnote>
  <w:footnote w:id="16">
    <w:p w:rsidR="00491195" w:rsidRDefault="00491195" w:rsidP="00A14BDC">
      <w:pPr>
        <w:pStyle w:val="FootnoteText"/>
        <w:jc w:val="both"/>
        <w:rPr>
          <w:lang w:val="en-US"/>
        </w:rPr>
      </w:pPr>
      <w:r>
        <w:rPr>
          <w:rStyle w:val="FootnoteReference"/>
        </w:rPr>
        <w:footnoteRef/>
      </w:r>
      <w:r>
        <w:t xml:space="preserve"> The remarks of Binns-Ward J in</w:t>
      </w:r>
      <w:r>
        <w:rPr>
          <w:lang w:val="en-US"/>
        </w:rPr>
        <w:t xml:space="preserve"> </w:t>
      </w:r>
      <w:r>
        <w:rPr>
          <w:i/>
          <w:lang w:val="en-US"/>
        </w:rPr>
        <w:t>Tumileng at par 45,(</w:t>
      </w:r>
      <w:r w:rsidRPr="008108ED">
        <w:rPr>
          <w:lang w:val="en-US"/>
        </w:rPr>
        <w:t>cited in fn</w:t>
      </w:r>
      <w:r>
        <w:rPr>
          <w:lang w:val="en-US"/>
        </w:rPr>
        <w:t xml:space="preserve"> </w:t>
      </w:r>
      <w:r w:rsidRPr="008108ED">
        <w:rPr>
          <w:lang w:val="en-US"/>
        </w:rPr>
        <w:t>14 above</w:t>
      </w:r>
      <w:r>
        <w:rPr>
          <w:lang w:val="en-US"/>
        </w:rPr>
        <w:t xml:space="preserve">) with whose reasoning I agree,are entirely apposite in the context of this matter. There, the following was said: </w:t>
      </w:r>
    </w:p>
    <w:p w:rsidR="00491195" w:rsidRDefault="00491195" w:rsidP="00A14BDC">
      <w:pPr>
        <w:pStyle w:val="FootnoteText"/>
        <w:jc w:val="both"/>
        <w:rPr>
          <w:lang w:val="en-US"/>
        </w:rPr>
      </w:pPr>
    </w:p>
    <w:p w:rsidR="00491195" w:rsidRPr="008108ED" w:rsidRDefault="00491195" w:rsidP="00A14BDC">
      <w:pPr>
        <w:pStyle w:val="FootnoteText"/>
        <w:jc w:val="both"/>
        <w:rPr>
          <w:lang w:val="en-US"/>
        </w:rPr>
      </w:pPr>
      <w:r>
        <w:rPr>
          <w:lang w:val="en-US"/>
        </w:rPr>
        <w:t>“</w:t>
      </w:r>
      <w:r w:rsidRPr="00A14BDC">
        <w:rPr>
          <w:i/>
        </w:rPr>
        <w:t xml:space="preserve">To borrow from Navsa JA’s characterisation of the defendant’s position in Joob Joob Investments, ‘such defences as were proffered [were] cast in the most dubious terms’. </w:t>
      </w:r>
      <w:r w:rsidRPr="00A14BDC">
        <w:rPr>
          <w:i/>
          <w:u w:val="single"/>
        </w:rPr>
        <w:t>The most probable inference in the circumstances is that no particularity has been furnished because the defences and supposed counterclaim are not genuinely advanced. This is especially so because the defendant not only failed, quite dismally, to satisfy the requirements of rule 32(3)(b), it also failed to</w:t>
      </w:r>
      <w:r w:rsidRPr="00A14BDC">
        <w:rPr>
          <w:i/>
        </w:rPr>
        <w:t xml:space="preserve"> respond to the challenge to it in the plaintiff’s supporting affidavit to </w:t>
      </w:r>
      <w:r w:rsidRPr="00A14BDC">
        <w:rPr>
          <w:i/>
          <w:u w:val="single"/>
        </w:rPr>
        <w:t>back up its bald plea with substantiating particularity. If a defendant fails to put up the facts that it obviously should have been able to do were it advancing a genuine defence, it cannot complain if the court is left in a position in which it is unable to find a reasonable basis to doubt that it does not have a bona fide defence.</w:t>
      </w:r>
      <w:r w:rsidRPr="00A14BDC">
        <w:rPr>
          <w:i/>
        </w:rPr>
        <w:t xml:space="preserve"> There is, moreover, nothing in the papers to justify the court exercising its overriding discretion in favour of the defendant</w:t>
      </w:r>
      <w:r>
        <w:t>.”</w:t>
      </w:r>
      <w:r>
        <w:rPr>
          <w:lang w:val="en-US"/>
        </w:rPr>
        <w:t xml:space="preserve"> (emphasis added)</w:t>
      </w:r>
    </w:p>
  </w:footnote>
  <w:footnote w:id="17">
    <w:p w:rsidR="00491195" w:rsidRPr="00E46F0F" w:rsidRDefault="00491195" w:rsidP="00E46F0F">
      <w:pPr>
        <w:pStyle w:val="FootnoteText"/>
        <w:jc w:val="both"/>
        <w:rPr>
          <w:lang w:val="en-US"/>
        </w:rPr>
      </w:pPr>
      <w:r>
        <w:rPr>
          <w:rStyle w:val="FootnoteReference"/>
        </w:rPr>
        <w:footnoteRef/>
      </w:r>
      <w:r>
        <w:t xml:space="preserve"> </w:t>
      </w:r>
      <w:r w:rsidRPr="00E46F0F">
        <w:t xml:space="preserve">It should be noted that in the present matter, no amount </w:t>
      </w:r>
      <w:r w:rsidR="00D503B1">
        <w:t>was</w:t>
      </w:r>
      <w:r w:rsidRPr="00E46F0F">
        <w:t xml:space="preserve"> claimed, rather, the plaintiff’s (unliquidated) claim for damages, the calculation of which is only determinable at a future date, is sought to be postponed sine dies</w:t>
      </w:r>
      <w:r w:rsidR="00D503B1">
        <w:t xml:space="preserve"> in the particulars of claim</w:t>
      </w:r>
      <w:r w:rsidRPr="00E46F0F">
        <w:t xml:space="preserve">. </w:t>
      </w:r>
      <w:r w:rsidR="00820803">
        <w:t>As such</w:t>
      </w:r>
      <w:r w:rsidRPr="00E46F0F">
        <w:t xml:space="preserve"> damages claim falls outside the ambit of rule 32(1)</w:t>
      </w:r>
      <w:r w:rsidR="00820803">
        <w:t>, such claim was likewise sought to be postponed in the summary judgment application.</w:t>
      </w:r>
      <w:r w:rsidRPr="00E46F0F">
        <w:t>.</w:t>
      </w:r>
    </w:p>
  </w:footnote>
  <w:footnote w:id="18">
    <w:p w:rsidR="00491195" w:rsidRPr="00755E54" w:rsidRDefault="00491195" w:rsidP="00E46F0F">
      <w:pPr>
        <w:pStyle w:val="FootnoteText"/>
        <w:jc w:val="both"/>
        <w:rPr>
          <w:lang w:val="en-US"/>
        </w:rPr>
      </w:pPr>
      <w:r>
        <w:rPr>
          <w:rStyle w:val="FootnoteReference"/>
        </w:rPr>
        <w:footnoteRef/>
      </w:r>
      <w:r>
        <w:t xml:space="preserve"> </w:t>
      </w:r>
      <w:r w:rsidRPr="00755E54">
        <w:rPr>
          <w:i/>
        </w:rPr>
        <w:t>Absa Bank Ltd v Coventry</w:t>
      </w:r>
      <w:r w:rsidRPr="00755E54">
        <w:t xml:space="preserve"> 1998 (4) SA 351 (N) at 353D-E; </w:t>
      </w:r>
      <w:r w:rsidRPr="00755E54">
        <w:rPr>
          <w:i/>
        </w:rPr>
        <w:t>Mowschenson and Mowchenson v Mercantile Acceptance Corporation of SA Ltd</w:t>
      </w:r>
      <w:r w:rsidRPr="00755E54">
        <w:t xml:space="preserve"> 1959 (3) SA 362 (W) at 366C-D; </w:t>
      </w:r>
      <w:r w:rsidRPr="00755E54">
        <w:rPr>
          <w:i/>
        </w:rPr>
        <w:t>Shackleton Credit Management (Pty) Ltd v Microzone Trading 88 CC</w:t>
      </w:r>
      <w:r w:rsidRPr="00755E54">
        <w:t xml:space="preserve"> 2010 (5) SA 112 KZP at 122F-I</w:t>
      </w:r>
    </w:p>
  </w:footnote>
  <w:footnote w:id="19">
    <w:p w:rsidR="00491195" w:rsidRPr="00755E54" w:rsidRDefault="00491195" w:rsidP="00E46F0F">
      <w:pPr>
        <w:pStyle w:val="FootnoteText"/>
        <w:jc w:val="both"/>
        <w:rPr>
          <w:lang w:val="en-US"/>
        </w:rPr>
      </w:pPr>
      <w:r>
        <w:rPr>
          <w:rStyle w:val="FootnoteReference"/>
        </w:rPr>
        <w:footnoteRef/>
      </w:r>
      <w:r>
        <w:t xml:space="preserve"> </w:t>
      </w:r>
      <w:r w:rsidRPr="00755E54">
        <w:rPr>
          <w:i/>
        </w:rPr>
        <w:t>All Purpose Space Heating Co of SA (Pty) Ltd v Schweltzer</w:t>
      </w:r>
      <w:r w:rsidRPr="00755E54">
        <w:t xml:space="preserve"> 1970 (3) SA 560 (D) at 563</w:t>
      </w:r>
      <w:r w:rsidRPr="00755E54">
        <w:rPr>
          <w:i/>
        </w:rPr>
        <w:t>; Northern Cape Scrap &amp; Metals Edms Bpk v Upington Radiators and Motor Graveyard (Edms) Bpk</w:t>
      </w:r>
      <w:r w:rsidRPr="00755E54">
        <w:t xml:space="preserve"> 1974 (3) SA 788 (NC); </w:t>
      </w:r>
      <w:r w:rsidRPr="00755E54">
        <w:rPr>
          <w:i/>
        </w:rPr>
        <w:t xml:space="preserve">Dowson &amp; Dobson Industrial Ltd v Van der Werf </w:t>
      </w:r>
      <w:r w:rsidRPr="00755E54">
        <w:t>1981 (4) SA 417 (C) at 426-8.</w:t>
      </w:r>
    </w:p>
  </w:footnote>
  <w:footnote w:id="20">
    <w:p w:rsidR="00491195" w:rsidRPr="004F3702" w:rsidRDefault="00491195">
      <w:pPr>
        <w:pStyle w:val="FootnoteText"/>
        <w:rPr>
          <w:lang w:val="en-US"/>
        </w:rPr>
      </w:pPr>
      <w:r>
        <w:rPr>
          <w:rStyle w:val="FootnoteReference"/>
        </w:rPr>
        <w:footnoteRef/>
      </w:r>
      <w:r>
        <w:t xml:space="preserve"> </w:t>
      </w:r>
      <w:r w:rsidRPr="004F3702">
        <w:t xml:space="preserve">See </w:t>
      </w:r>
      <w:r w:rsidRPr="004F3702">
        <w:rPr>
          <w:i/>
        </w:rPr>
        <w:t>Raphael &amp; Co v Standard Produce Co. (Pty.) Ltd</w:t>
      </w:r>
      <w:r w:rsidRPr="004F3702">
        <w:t xml:space="preserve"> 1951 (4) SA 244 (C)</w:t>
      </w:r>
    </w:p>
  </w:footnote>
  <w:footnote w:id="21">
    <w:p w:rsidR="00491195" w:rsidRPr="00C960F2" w:rsidRDefault="00491195">
      <w:pPr>
        <w:pStyle w:val="FootnoteText"/>
        <w:rPr>
          <w:lang w:val="en-US"/>
        </w:rPr>
      </w:pPr>
      <w:r>
        <w:rPr>
          <w:rStyle w:val="FootnoteReference"/>
        </w:rPr>
        <w:footnoteRef/>
      </w:r>
      <w:r>
        <w:t xml:space="preserve"> Decisions post amendment include </w:t>
      </w:r>
      <w:r w:rsidRPr="0048567C">
        <w:rPr>
          <w:rFonts w:eastAsia="Times New Roman"/>
          <w:i/>
          <w:lang w:eastAsia="en-ZA"/>
        </w:rPr>
        <w:t>Mphahlele</w:t>
      </w:r>
      <w:r>
        <w:rPr>
          <w:lang w:val="en-US"/>
        </w:rPr>
        <w:t xml:space="preserve"> supra; </w:t>
      </w:r>
      <w:r>
        <w:rPr>
          <w:i/>
          <w:lang w:val="en-US"/>
        </w:rPr>
        <w:t xml:space="preserve">Tumileng </w:t>
      </w:r>
      <w:r>
        <w:rPr>
          <w:lang w:val="en-US"/>
        </w:rPr>
        <w:t xml:space="preserve">supra; and </w:t>
      </w:r>
      <w:r w:rsidRPr="00C31BB4">
        <w:rPr>
          <w:i/>
          <w:lang w:val="en-US"/>
        </w:rPr>
        <w:t xml:space="preserve">Mpfuni </w:t>
      </w:r>
      <w:r>
        <w:rPr>
          <w:lang w:val="en-US"/>
        </w:rPr>
        <w:t>supra.</w:t>
      </w:r>
    </w:p>
  </w:footnote>
  <w:footnote w:id="22">
    <w:p w:rsidR="00491195" w:rsidRPr="00C960F2" w:rsidRDefault="00491195">
      <w:pPr>
        <w:pStyle w:val="FootnoteText"/>
        <w:rPr>
          <w:lang w:val="en-US"/>
        </w:rPr>
      </w:pPr>
      <w:r>
        <w:rPr>
          <w:rStyle w:val="FootnoteReference"/>
        </w:rPr>
        <w:footnoteRef/>
      </w:r>
      <w:r>
        <w:t xml:space="preserve"> </w:t>
      </w:r>
      <w:r w:rsidRPr="00C960F2">
        <w:rPr>
          <w:i/>
        </w:rPr>
        <w:t>Fischereigesellschaft F Busse &amp; Co Kommanditgesellschaft v African Frozen Products</w:t>
      </w:r>
      <w:r>
        <w:t xml:space="preserve"> (Pty) Ltd 1967 (4) SA 105 (C) at 111A-B.</w:t>
      </w:r>
    </w:p>
  </w:footnote>
  <w:footnote w:id="23">
    <w:p w:rsidR="00491195" w:rsidRPr="00C31BB4" w:rsidRDefault="00491195">
      <w:pPr>
        <w:pStyle w:val="FootnoteText"/>
        <w:rPr>
          <w:lang w:val="en-US"/>
        </w:rPr>
      </w:pPr>
      <w:r>
        <w:rPr>
          <w:rStyle w:val="FootnoteReference"/>
        </w:rPr>
        <w:footnoteRef/>
      </w:r>
      <w:r>
        <w:t xml:space="preserve"> </w:t>
      </w:r>
      <w:r w:rsidRPr="00C31BB4">
        <w:rPr>
          <w:i/>
        </w:rPr>
        <w:t>Mowschenson and Mowschenson v Mercantile Acceptance Corporation of SA Ltd</w:t>
      </w:r>
      <w:r w:rsidRPr="00C31BB4">
        <w:t xml:space="preserve"> 1959 (3) SA 362 (W) is authority for saying that if ex facie the founding affidavit the requisite verification of the cause of action has not occurred, the court would not have jurisdiction to grant summary judgment.</w:t>
      </w:r>
    </w:p>
  </w:footnote>
  <w:footnote w:id="24">
    <w:p w:rsidR="007B4E62" w:rsidRPr="00FF6FCD" w:rsidRDefault="007B4E62" w:rsidP="007B4E62">
      <w:pPr>
        <w:pStyle w:val="FootnoteText"/>
        <w:spacing w:line="276" w:lineRule="auto"/>
        <w:jc w:val="both"/>
        <w:rPr>
          <w:lang w:val="en-US"/>
        </w:rPr>
      </w:pPr>
      <w:r>
        <w:rPr>
          <w:rStyle w:val="FootnoteReference"/>
        </w:rPr>
        <w:footnoteRef/>
      </w:r>
      <w:r>
        <w:t xml:space="preserve"> Pillay v Andermain (Pty) Ltd 1970 (1) SA 531 (TPD) at 536C-E. See too: </w:t>
      </w:r>
      <w:r w:rsidRPr="00F36616">
        <w:rPr>
          <w:i/>
        </w:rPr>
        <w:t>Buttertum Property Letting (Pty) Ltd v Dihlabeng Local Municipality</w:t>
      </w:r>
      <w:r w:rsidRPr="00F36616">
        <w:t xml:space="preserve"> 2016 JDR 2035 (FB)</w:t>
      </w:r>
      <w:r>
        <w:t xml:space="preserve"> (“</w:t>
      </w:r>
      <w:r>
        <w:rPr>
          <w:i/>
        </w:rPr>
        <w:t>Buttertum”)</w:t>
      </w:r>
      <w:r w:rsidRPr="00F36616">
        <w:t>,a Full Bench decision by Moloi and Daffue JJ of the Free State Division, Bloemfontein, para 46,</w:t>
      </w:r>
      <w:r>
        <w:t xml:space="preserve"> (albeit decided in the context of the same requirement appearing in Rule 14 of the Magistrates’ court rules)</w:t>
      </w:r>
      <w:r w:rsidRPr="00F36616">
        <w:t xml:space="preserve"> where the following was said: </w:t>
      </w:r>
      <w:r w:rsidRPr="00F36616">
        <w:rPr>
          <w:i/>
        </w:rPr>
        <w:t xml:space="preserve">“… </w:t>
      </w:r>
      <w:r w:rsidRPr="00F36616">
        <w:rPr>
          <w:i/>
          <w:u w:val="single"/>
        </w:rPr>
        <w:t>the absence of a defence did not cure the defects in the summary judgment application</w:t>
      </w:r>
      <w:r w:rsidRPr="00F36616">
        <w:rPr>
          <w:i/>
        </w:rPr>
        <w:t xml:space="preserve"> read with the summons…Wallis, J (as he then was) mentioned in Schackleton Credit Management supra </w:t>
      </w:r>
      <w:r w:rsidRPr="00F36616">
        <w:rPr>
          <w:rStyle w:val="FootnoteReference"/>
          <w:i/>
        </w:rPr>
        <w:footnoteRef/>
      </w:r>
      <w:r w:rsidRPr="00F36616">
        <w:rPr>
          <w:i/>
        </w:rPr>
        <w:t xml:space="preserve">that </w:t>
      </w:r>
      <w:r w:rsidRPr="00F36616">
        <w:rPr>
          <w:i/>
          <w:u w:val="single"/>
        </w:rPr>
        <w:t>the starting point in adjudication of a summary judgment application is the application and if that is defective, then cadit quaestio</w:t>
      </w:r>
      <w:r w:rsidRPr="00F36616">
        <w:t>.” (emphasis added)</w:t>
      </w:r>
    </w:p>
  </w:footnote>
  <w:footnote w:id="25">
    <w:p w:rsidR="007B4E62" w:rsidRPr="00FF6FCD" w:rsidRDefault="007B4E62" w:rsidP="007B4E62">
      <w:pPr>
        <w:pStyle w:val="FootnoteText"/>
        <w:rPr>
          <w:lang w:val="en-US"/>
        </w:rPr>
      </w:pPr>
      <w:r>
        <w:rPr>
          <w:rStyle w:val="FootnoteReference"/>
        </w:rPr>
        <w:footnoteRef/>
      </w:r>
      <w:r>
        <w:t xml:space="preserve"> </w:t>
      </w:r>
      <w:r>
        <w:rPr>
          <w:lang w:val="en-US"/>
        </w:rPr>
        <w:t xml:space="preserve">Ibid </w:t>
      </w:r>
      <w:r>
        <w:rPr>
          <w:i/>
          <w:lang w:val="en-US"/>
        </w:rPr>
        <w:t>Buttertum</w:t>
      </w:r>
      <w:r>
        <w:rPr>
          <w:lang w:val="en-US"/>
        </w:rPr>
        <w:t>, at par 46.</w:t>
      </w:r>
    </w:p>
  </w:footnote>
  <w:footnote w:id="26">
    <w:p w:rsidR="006C54CB" w:rsidRPr="0048567C" w:rsidRDefault="006C54CB" w:rsidP="006C54CB">
      <w:pPr>
        <w:pStyle w:val="FootnoteText"/>
        <w:jc w:val="both"/>
        <w:rPr>
          <w:lang w:val="en-US"/>
        </w:rPr>
      </w:pPr>
      <w:r>
        <w:rPr>
          <w:rStyle w:val="FootnoteReference"/>
        </w:rPr>
        <w:footnoteRef/>
      </w:r>
      <w:r>
        <w:t xml:space="preserve"> </w:t>
      </w:r>
      <w:r w:rsidRPr="00755E54">
        <w:rPr>
          <w:i/>
        </w:rPr>
        <w:t>Wright v McGuinness</w:t>
      </w:r>
      <w:r w:rsidRPr="00755E54">
        <w:t xml:space="preserve"> 1956 (3) SA 184 (C); </w:t>
      </w:r>
      <w:r w:rsidRPr="00755E54">
        <w:rPr>
          <w:i/>
        </w:rPr>
        <w:t>Kosak &amp; Co. (Pty) Ltd v Keller</w:t>
      </w:r>
      <w:r w:rsidRPr="00755E54">
        <w:t xml:space="preserve"> 1962 (1) SA 441 (W); </w:t>
      </w:r>
      <w:r w:rsidRPr="00755E54">
        <w:rPr>
          <w:i/>
        </w:rPr>
        <w:t>Triple Jay Equipment (SWA) (Pty) Ltd v Muller</w:t>
      </w:r>
      <w:r w:rsidRPr="00755E54">
        <w:t xml:space="preserve"> 1962 (3) SA 115 (SWA); </w:t>
      </w:r>
      <w:r w:rsidRPr="00755E54">
        <w:rPr>
          <w:i/>
        </w:rPr>
        <w:t xml:space="preserve">South African Trade Union Assurance Society Ltd v Dermot Properties (Pty) Ltd </w:t>
      </w:r>
      <w:r w:rsidRPr="00755E54">
        <w:t xml:space="preserve">1962 (3) SA 601 (W); </w:t>
      </w:r>
      <w:r w:rsidRPr="00755E54">
        <w:rPr>
          <w:i/>
        </w:rPr>
        <w:t>Trust Bank of Africa Ltd v Hansa (supra); Venter v Kruger</w:t>
      </w:r>
      <w:r w:rsidRPr="00755E54">
        <w:t xml:space="preserve"> 1971 (3) SA 848 (N) at 851; </w:t>
      </w:r>
      <w:r w:rsidRPr="00755E54">
        <w:rPr>
          <w:i/>
        </w:rPr>
        <w:t>AE Motors (Pty) Ltd v Levitt</w:t>
      </w:r>
      <w:r w:rsidRPr="00755E54">
        <w:t xml:space="preserve"> 1972 (3) SA 658 (T)</w:t>
      </w:r>
      <w:r>
        <w:t xml:space="preserve">. Whilst these cases were decided before extensive amendments were made to Rule 32, </w:t>
      </w:r>
      <w:r w:rsidRPr="0048567C">
        <w:t xml:space="preserve">in </w:t>
      </w:r>
      <w:r w:rsidRPr="0048567C">
        <w:rPr>
          <w:rFonts w:eastAsia="Times New Roman"/>
          <w:i/>
          <w:lang w:eastAsia="en-ZA"/>
        </w:rPr>
        <w:t>Absa Bank Limited v Mphahlele N.O and Others</w:t>
      </w:r>
      <w:r w:rsidRPr="0048567C">
        <w:rPr>
          <w:rFonts w:eastAsia="Times New Roman"/>
          <w:lang w:eastAsia="en-ZA"/>
        </w:rPr>
        <w:t xml:space="preserve"> (45323/2019, 42121/2019) [2020] ZAGPPHC 257 (26 March 2020), par 14</w:t>
      </w:r>
      <w:r>
        <w:rPr>
          <w:rFonts w:eastAsia="Times New Roman"/>
          <w:lang w:eastAsia="en-ZA"/>
        </w:rPr>
        <w:t>,</w:t>
      </w:r>
      <w:r w:rsidRPr="0048567C">
        <w:rPr>
          <w:rFonts w:eastAsia="Times New Roman"/>
          <w:lang w:eastAsia="en-ZA"/>
        </w:rPr>
        <w:t xml:space="preserve"> (‘</w:t>
      </w:r>
      <w:r w:rsidRPr="0048567C">
        <w:rPr>
          <w:rFonts w:eastAsia="Times New Roman"/>
          <w:i/>
          <w:lang w:eastAsia="en-ZA"/>
        </w:rPr>
        <w:t>Mphahlele</w:t>
      </w:r>
      <w:r w:rsidRPr="0048567C">
        <w:rPr>
          <w:rFonts w:eastAsia="Times New Roman"/>
          <w:lang w:eastAsia="en-ZA"/>
        </w:rPr>
        <w:t>’), a case decided after the amended rule came into operation, the court reached the same conc</w:t>
      </w:r>
      <w:r>
        <w:rPr>
          <w:rFonts w:eastAsia="Times New Roman"/>
          <w:lang w:eastAsia="en-ZA"/>
        </w:rPr>
        <w:t>l</w:t>
      </w:r>
      <w:r w:rsidRPr="0048567C">
        <w:rPr>
          <w:rFonts w:eastAsia="Times New Roman"/>
          <w:lang w:eastAsia="en-ZA"/>
        </w:rPr>
        <w:t>usion.</w:t>
      </w:r>
    </w:p>
  </w:footnote>
  <w:footnote w:id="27">
    <w:p w:rsidR="006C54CB" w:rsidRPr="0048567C" w:rsidRDefault="006C54CB" w:rsidP="006C54CB">
      <w:pPr>
        <w:pStyle w:val="FootnoteText"/>
        <w:rPr>
          <w:lang w:val="en-US"/>
        </w:rPr>
      </w:pPr>
      <w:r>
        <w:rPr>
          <w:rStyle w:val="FootnoteReference"/>
        </w:rPr>
        <w:footnoteRef/>
      </w:r>
      <w:r>
        <w:t xml:space="preserve"> </w:t>
      </w:r>
      <w:r w:rsidRPr="0048567C">
        <w:rPr>
          <w:i/>
        </w:rPr>
        <w:t>Rossouw and Another v First Rand Bank Ltd</w:t>
      </w:r>
      <w:r w:rsidRPr="0048567C">
        <w:t xml:space="preserve"> 2010 (6) SA 439 (SCA) at paras [35] and [46]</w:t>
      </w:r>
    </w:p>
  </w:footnote>
  <w:footnote w:id="28">
    <w:p w:rsidR="00EA298D" w:rsidRPr="00EA298D" w:rsidRDefault="00EA298D">
      <w:pPr>
        <w:pStyle w:val="FootnoteText"/>
        <w:rPr>
          <w:lang w:val="en-US"/>
        </w:rPr>
      </w:pPr>
      <w:r>
        <w:rPr>
          <w:rStyle w:val="FootnoteReference"/>
        </w:rPr>
        <w:footnoteRef/>
      </w:r>
      <w:r>
        <w:t xml:space="preserve"> </w:t>
      </w:r>
      <w:r>
        <w:rPr>
          <w:lang w:val="en-US"/>
        </w:rPr>
        <w:t xml:space="preserve">See </w:t>
      </w:r>
      <w:r w:rsidRPr="00EA298D">
        <w:rPr>
          <w:i/>
        </w:rPr>
        <w:t xml:space="preserve">Anglo Operations Ltd v Sandhurst Estates (Pty) Ltd </w:t>
      </w:r>
      <w:r w:rsidRPr="00EA298D">
        <w:t>2007 (2) SA 363 (SCA) at para [32]</w:t>
      </w:r>
    </w:p>
  </w:footnote>
  <w:footnote w:id="29">
    <w:p w:rsidR="00EA298D" w:rsidRDefault="00EA298D" w:rsidP="00EA298D">
      <w:pPr>
        <w:pStyle w:val="FootnoteText"/>
        <w:spacing w:line="276" w:lineRule="auto"/>
        <w:jc w:val="both"/>
        <w:rPr>
          <w:rFonts w:eastAsia="Times New Roman"/>
          <w:lang w:eastAsia="en-ZA"/>
        </w:rPr>
      </w:pPr>
      <w:r>
        <w:rPr>
          <w:rStyle w:val="FootnoteReference"/>
        </w:rPr>
        <w:footnoteRef/>
      </w:r>
      <w:r>
        <w:t xml:space="preserve"> An approach that eschews formalism where the interests of justice so dictate has been endorsed by the Constitutional Court in </w:t>
      </w:r>
      <w:r w:rsidRPr="006D23C7">
        <w:rPr>
          <w:rFonts w:eastAsia="Times New Roman"/>
          <w:i/>
          <w:lang w:eastAsia="en-ZA"/>
        </w:rPr>
        <w:t>Mukaddam v Pioneer Foods (Pty) Ltd and Others</w:t>
      </w:r>
      <w:r w:rsidRPr="006D23C7">
        <w:rPr>
          <w:rFonts w:eastAsia="Times New Roman"/>
          <w:lang w:eastAsia="en-ZA"/>
        </w:rPr>
        <w:t xml:space="preserve"> 2013 (5) SA 89 (CC) at par 39</w:t>
      </w:r>
      <w:r>
        <w:rPr>
          <w:rFonts w:eastAsia="Times New Roman"/>
          <w:lang w:eastAsia="en-ZA"/>
        </w:rPr>
        <w:t xml:space="preserve">, where the following was said: </w:t>
      </w:r>
    </w:p>
    <w:p w:rsidR="00EA298D" w:rsidRDefault="00EA298D" w:rsidP="00EA298D">
      <w:pPr>
        <w:pStyle w:val="FootnoteText"/>
        <w:spacing w:line="276" w:lineRule="auto"/>
        <w:jc w:val="both"/>
      </w:pPr>
    </w:p>
    <w:p w:rsidR="00EA298D" w:rsidRPr="006D23C7" w:rsidRDefault="00EA298D" w:rsidP="00EA298D">
      <w:pPr>
        <w:pStyle w:val="FootnoteText"/>
        <w:spacing w:line="276" w:lineRule="auto"/>
        <w:jc w:val="both"/>
        <w:rPr>
          <w:color w:val="242121"/>
        </w:rPr>
      </w:pPr>
      <w:r>
        <w:t>“</w:t>
      </w:r>
      <w:r w:rsidRPr="006D23C7">
        <w:rPr>
          <w:color w:val="242121"/>
          <w:lang w:val="en-US"/>
        </w:rPr>
        <w:t>Flexibility in applying requirements of procedure is common in our courts. Even where enacted rules of courts are involved, our courts reserve for themselves the power to condone non-compliance if the interests of justice require them to do so. Rigidity has no place in the operation of court procedures. Recently in</w:t>
      </w:r>
      <w:r>
        <w:rPr>
          <w:color w:val="242121"/>
          <w:lang w:val="en-US"/>
        </w:rPr>
        <w:t xml:space="preserve"> </w:t>
      </w:r>
      <w:r w:rsidRPr="006D23C7">
        <w:rPr>
          <w:i/>
          <w:iCs/>
          <w:color w:val="242121"/>
          <w:lang w:val="en-US"/>
        </w:rPr>
        <w:t>PFE International and Others v Industrial Department Corporation of South Africa Ltd</w:t>
      </w:r>
      <w:r w:rsidRPr="006D23C7">
        <w:rPr>
          <w:color w:val="242121"/>
          <w:lang w:val="en-US"/>
        </w:rPr>
        <w:t>,</w:t>
      </w:r>
      <w:r>
        <w:rPr>
          <w:color w:val="242121"/>
          <w:lang w:val="en-US"/>
        </w:rPr>
        <w:t xml:space="preserve"> </w:t>
      </w:r>
      <w:r w:rsidRPr="006D23C7">
        <w:rPr>
          <w:color w:val="242121"/>
          <w:lang w:val="en-US"/>
        </w:rPr>
        <w:t>this Court reaffirmed the principle that rules of procedure must be applied flexibly. There this Court said:</w:t>
      </w:r>
    </w:p>
    <w:p w:rsidR="00EA298D" w:rsidRDefault="00EA298D" w:rsidP="00EA298D">
      <w:pPr>
        <w:pStyle w:val="western"/>
        <w:shd w:val="clear" w:color="auto" w:fill="FFFFFF"/>
        <w:spacing w:before="144" w:beforeAutospacing="0" w:after="0" w:afterAutospacing="0" w:line="276" w:lineRule="auto"/>
        <w:ind w:left="720"/>
        <w:jc w:val="both"/>
        <w:rPr>
          <w:rFonts w:ascii="Arial" w:hAnsi="Arial" w:cs="Arial"/>
          <w:i/>
          <w:color w:val="242121"/>
          <w:sz w:val="20"/>
          <w:szCs w:val="20"/>
        </w:rPr>
      </w:pPr>
      <w:r>
        <w:rPr>
          <w:rFonts w:ascii="Arial" w:hAnsi="Arial" w:cs="Arial"/>
          <w:i/>
          <w:color w:val="242121"/>
          <w:sz w:val="20"/>
          <w:szCs w:val="20"/>
        </w:rPr>
        <w:t>‘</w:t>
      </w:r>
      <w:r w:rsidRPr="006D23C7">
        <w:rPr>
          <w:rFonts w:ascii="Arial" w:hAnsi="Arial" w:cs="Arial"/>
          <w:i/>
          <w:color w:val="242121"/>
          <w:sz w:val="20"/>
          <w:szCs w:val="20"/>
        </w:rPr>
        <w:t>Since the rules are made for courts to facilitate the adjudication of cases, the superior courts enjoy the power to regulate their processes, taking into account the interests of justice. It is this power that makes every superior court the master of its own process. It enables a superior court to lay down a process to be followed in particular cases, even if that process deviates from what its rules prescribe. Consistent with that power, this Court may in the interests of jus</w:t>
      </w:r>
      <w:r>
        <w:rPr>
          <w:rFonts w:ascii="Arial" w:hAnsi="Arial" w:cs="Arial"/>
          <w:i/>
          <w:color w:val="242121"/>
          <w:sz w:val="20"/>
          <w:szCs w:val="20"/>
        </w:rPr>
        <w:t>tice depart from its own rules.’ ”</w:t>
      </w:r>
    </w:p>
    <w:p w:rsidR="00EA298D" w:rsidRDefault="00EA298D" w:rsidP="00EA298D">
      <w:pPr>
        <w:pStyle w:val="FootnoteText"/>
        <w:jc w:val="both"/>
        <w:rPr>
          <w:i/>
          <w:color w:val="242121"/>
        </w:rPr>
      </w:pPr>
    </w:p>
    <w:p w:rsidR="00EA298D" w:rsidRDefault="00EA298D" w:rsidP="00EA298D">
      <w:pPr>
        <w:pStyle w:val="FootnoteText"/>
        <w:jc w:val="both"/>
        <w:rPr>
          <w:rFonts w:eastAsia="Times New Roman"/>
          <w:lang w:eastAsia="en-ZA"/>
        </w:rPr>
      </w:pPr>
      <w:r>
        <w:rPr>
          <w:i/>
          <w:color w:val="242121"/>
        </w:rPr>
        <w:t xml:space="preserve">See too: </w:t>
      </w:r>
      <w:r w:rsidRPr="005168BD">
        <w:rPr>
          <w:rFonts w:eastAsia="Times New Roman"/>
          <w:i/>
          <w:lang w:eastAsia="en-ZA"/>
        </w:rPr>
        <w:t xml:space="preserve">Eke v Parsons </w:t>
      </w:r>
      <w:r w:rsidRPr="005168BD">
        <w:rPr>
          <w:rFonts w:eastAsia="Times New Roman"/>
          <w:lang w:eastAsia="en-ZA"/>
        </w:rPr>
        <w:t>2016 (3) SA 37 (CC) at par 39</w:t>
      </w:r>
      <w:r>
        <w:rPr>
          <w:rFonts w:eastAsia="Times New Roman"/>
          <w:lang w:eastAsia="en-ZA"/>
        </w:rPr>
        <w:t xml:space="preserve">, where the following was said: </w:t>
      </w:r>
    </w:p>
    <w:p w:rsidR="00EA298D" w:rsidRPr="009530D6" w:rsidRDefault="00EA298D" w:rsidP="00EA298D">
      <w:pPr>
        <w:pStyle w:val="FootnoteText"/>
        <w:spacing w:line="276" w:lineRule="auto"/>
        <w:jc w:val="both"/>
        <w:rPr>
          <w:lang w:val="en-US"/>
        </w:rPr>
      </w:pPr>
      <w:r>
        <w:rPr>
          <w:rFonts w:eastAsia="Times New Roman"/>
          <w:lang w:eastAsia="en-ZA"/>
        </w:rPr>
        <w:t>“…</w:t>
      </w:r>
      <w:r w:rsidRPr="005168BD">
        <w:rPr>
          <w:color w:val="242121"/>
          <w:shd w:val="clear" w:color="auto" w:fill="FFFFFF"/>
        </w:rPr>
        <w:t>Without doubt, rules governing the court process cannot be disregarded. They serve a</w:t>
      </w:r>
      <w:r>
        <w:rPr>
          <w:color w:val="242121"/>
          <w:shd w:val="clear" w:color="auto" w:fill="FFFFFF"/>
        </w:rPr>
        <w:t>n undeniably important purpose.</w:t>
      </w:r>
      <w:r w:rsidRPr="005168BD">
        <w:rPr>
          <w:color w:val="242121"/>
          <w:shd w:val="clear" w:color="auto" w:fill="FFFFFF"/>
        </w:rPr>
        <w:t xml:space="preserve"> That, however, does not mean that courts should be detained by the rules to a point where they are hamstrung in the performance of the core f</w:t>
      </w:r>
      <w:r>
        <w:rPr>
          <w:color w:val="242121"/>
          <w:shd w:val="clear" w:color="auto" w:fill="FFFFFF"/>
        </w:rPr>
        <w:t xml:space="preserve">unction of dispensing justice. </w:t>
      </w:r>
      <w:r w:rsidRPr="005168BD">
        <w:rPr>
          <w:color w:val="242121"/>
          <w:shd w:val="clear" w:color="auto" w:fill="FFFFFF"/>
        </w:rPr>
        <w:t xml:space="preserve">Put differently, rules should not </w:t>
      </w:r>
      <w:r>
        <w:rPr>
          <w:color w:val="242121"/>
          <w:shd w:val="clear" w:color="auto" w:fill="FFFFFF"/>
        </w:rPr>
        <w:t>be observed for their own sake.</w:t>
      </w:r>
      <w:r w:rsidRPr="005168BD">
        <w:rPr>
          <w:color w:val="242121"/>
          <w:shd w:val="clear" w:color="auto" w:fill="FFFFFF"/>
        </w:rPr>
        <w:t xml:space="preserve"> Where the interests of justice so dictate, courts may depart from a strict observance of the rules. That, even where one of the litigants is insistent that there be adherence to the rules. Not surprisingly, courts have often said “[i]t is trite that the rules exist for the courts, and not the courts for the rules”.</w:t>
      </w:r>
      <w:r>
        <w:rPr>
          <w:color w:val="242121"/>
          <w:shd w:val="clear" w:color="auto" w:fill="FFFFFF"/>
        </w:rPr>
        <w:t xml:space="preserve"> (footnotes omitted)</w:t>
      </w:r>
      <w:r w:rsidR="00820803">
        <w:rPr>
          <w:color w:val="242121"/>
          <w:shd w:val="clear" w:color="auto" w:fill="FFFFFF"/>
        </w:rPr>
        <w:t>.</w:t>
      </w:r>
    </w:p>
    <w:p w:rsidR="00EA298D" w:rsidRPr="00EA298D" w:rsidRDefault="00EA298D">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2887"/>
      <w:docPartObj>
        <w:docPartGallery w:val="Page Numbers (Top of Page)"/>
        <w:docPartUnique/>
      </w:docPartObj>
    </w:sdtPr>
    <w:sdtEndPr>
      <w:rPr>
        <w:noProof/>
      </w:rPr>
    </w:sdtEndPr>
    <w:sdtContent>
      <w:p w:rsidR="00491195" w:rsidRDefault="00491195">
        <w:pPr>
          <w:pStyle w:val="Header"/>
          <w:jc w:val="right"/>
        </w:pPr>
        <w:r>
          <w:fldChar w:fldCharType="begin"/>
        </w:r>
        <w:r>
          <w:instrText xml:space="preserve"> PAGE   \* MERGEFORMAT </w:instrText>
        </w:r>
        <w:r>
          <w:fldChar w:fldCharType="separate"/>
        </w:r>
        <w:r w:rsidR="002655B3">
          <w:rPr>
            <w:noProof/>
          </w:rPr>
          <w:t>2</w:t>
        </w:r>
        <w:r>
          <w:rPr>
            <w:noProof/>
          </w:rPr>
          <w:fldChar w:fldCharType="end"/>
        </w:r>
      </w:p>
    </w:sdtContent>
  </w:sdt>
  <w:p w:rsidR="00491195" w:rsidRDefault="00491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95" w:rsidRDefault="00491195">
    <w:pPr>
      <w:pStyle w:val="Header"/>
      <w:jc w:val="center"/>
    </w:pPr>
  </w:p>
  <w:p w:rsidR="00491195" w:rsidRDefault="00491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671F3"/>
    <w:multiLevelType w:val="hybridMultilevel"/>
    <w:tmpl w:val="0C8E05D4"/>
    <w:lvl w:ilvl="0" w:tplc="A462C01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2">
    <w:nsid w:val="4FB1076A"/>
    <w:multiLevelType w:val="hybridMultilevel"/>
    <w:tmpl w:val="F5F0A576"/>
    <w:lvl w:ilvl="0" w:tplc="DBB4203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50F7650A"/>
    <w:multiLevelType w:val="multilevel"/>
    <w:tmpl w:val="FBFA6894"/>
    <w:numStyleLink w:val="Style3"/>
  </w:abstractNum>
  <w:abstractNum w:abstractNumId="4">
    <w:nsid w:val="55710C6F"/>
    <w:multiLevelType w:val="hybridMultilevel"/>
    <w:tmpl w:val="ACEA1D3E"/>
    <w:lvl w:ilvl="0" w:tplc="91563C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FC"/>
    <w:rsid w:val="00006A0D"/>
    <w:rsid w:val="00021C08"/>
    <w:rsid w:val="000466BD"/>
    <w:rsid w:val="000536AE"/>
    <w:rsid w:val="00061760"/>
    <w:rsid w:val="000821FE"/>
    <w:rsid w:val="00094972"/>
    <w:rsid w:val="000966D8"/>
    <w:rsid w:val="000973A6"/>
    <w:rsid w:val="00097778"/>
    <w:rsid w:val="000B7A2D"/>
    <w:rsid w:val="000D508A"/>
    <w:rsid w:val="001309EE"/>
    <w:rsid w:val="001363C8"/>
    <w:rsid w:val="00146B04"/>
    <w:rsid w:val="001705AF"/>
    <w:rsid w:val="001A19A7"/>
    <w:rsid w:val="001A7F51"/>
    <w:rsid w:val="001B0FEB"/>
    <w:rsid w:val="001C59C9"/>
    <w:rsid w:val="001D497D"/>
    <w:rsid w:val="001E1447"/>
    <w:rsid w:val="001F141D"/>
    <w:rsid w:val="001F7993"/>
    <w:rsid w:val="00202ADF"/>
    <w:rsid w:val="00212AD5"/>
    <w:rsid w:val="00222A43"/>
    <w:rsid w:val="002655B3"/>
    <w:rsid w:val="00272DF3"/>
    <w:rsid w:val="00277395"/>
    <w:rsid w:val="002A7DF0"/>
    <w:rsid w:val="00344D0D"/>
    <w:rsid w:val="00354189"/>
    <w:rsid w:val="00380310"/>
    <w:rsid w:val="003E074F"/>
    <w:rsid w:val="003E3D71"/>
    <w:rsid w:val="004003C7"/>
    <w:rsid w:val="00460516"/>
    <w:rsid w:val="00472D9E"/>
    <w:rsid w:val="00487615"/>
    <w:rsid w:val="00491195"/>
    <w:rsid w:val="004A0862"/>
    <w:rsid w:val="004B071A"/>
    <w:rsid w:val="004F3702"/>
    <w:rsid w:val="004F4223"/>
    <w:rsid w:val="00511F36"/>
    <w:rsid w:val="00542E26"/>
    <w:rsid w:val="00580198"/>
    <w:rsid w:val="00587A1C"/>
    <w:rsid w:val="005C1C8B"/>
    <w:rsid w:val="005D1E09"/>
    <w:rsid w:val="005D5095"/>
    <w:rsid w:val="005E53BD"/>
    <w:rsid w:val="00612DA1"/>
    <w:rsid w:val="006203CA"/>
    <w:rsid w:val="00621DD5"/>
    <w:rsid w:val="00631141"/>
    <w:rsid w:val="006570B2"/>
    <w:rsid w:val="00666A43"/>
    <w:rsid w:val="006827E5"/>
    <w:rsid w:val="006C1C9D"/>
    <w:rsid w:val="006C54CB"/>
    <w:rsid w:val="006F0197"/>
    <w:rsid w:val="006F3260"/>
    <w:rsid w:val="006F6599"/>
    <w:rsid w:val="006F6903"/>
    <w:rsid w:val="00713A1D"/>
    <w:rsid w:val="00714B78"/>
    <w:rsid w:val="0072744B"/>
    <w:rsid w:val="007364E0"/>
    <w:rsid w:val="00740DAE"/>
    <w:rsid w:val="007B3FB4"/>
    <w:rsid w:val="007B4E62"/>
    <w:rsid w:val="007C3187"/>
    <w:rsid w:val="007E2749"/>
    <w:rsid w:val="008108ED"/>
    <w:rsid w:val="00820803"/>
    <w:rsid w:val="00871F06"/>
    <w:rsid w:val="00881B04"/>
    <w:rsid w:val="008909E9"/>
    <w:rsid w:val="00891C81"/>
    <w:rsid w:val="008934A4"/>
    <w:rsid w:val="008C45D8"/>
    <w:rsid w:val="008D1DEE"/>
    <w:rsid w:val="008D6849"/>
    <w:rsid w:val="00900E70"/>
    <w:rsid w:val="009049B1"/>
    <w:rsid w:val="00907F2D"/>
    <w:rsid w:val="00916C8A"/>
    <w:rsid w:val="00920F47"/>
    <w:rsid w:val="009373F6"/>
    <w:rsid w:val="00972A27"/>
    <w:rsid w:val="00980CDC"/>
    <w:rsid w:val="00996F18"/>
    <w:rsid w:val="00A132BE"/>
    <w:rsid w:val="00A14BDC"/>
    <w:rsid w:val="00A2718D"/>
    <w:rsid w:val="00A55C7D"/>
    <w:rsid w:val="00AB5583"/>
    <w:rsid w:val="00AC60FC"/>
    <w:rsid w:val="00AE3EC4"/>
    <w:rsid w:val="00AF5FB3"/>
    <w:rsid w:val="00B43239"/>
    <w:rsid w:val="00B5573F"/>
    <w:rsid w:val="00B57F6C"/>
    <w:rsid w:val="00B74758"/>
    <w:rsid w:val="00BA3AA6"/>
    <w:rsid w:val="00BA6C7A"/>
    <w:rsid w:val="00BB2A32"/>
    <w:rsid w:val="00BC0172"/>
    <w:rsid w:val="00BE66E0"/>
    <w:rsid w:val="00C3163F"/>
    <w:rsid w:val="00C31BB4"/>
    <w:rsid w:val="00C52F7E"/>
    <w:rsid w:val="00C75082"/>
    <w:rsid w:val="00C81A74"/>
    <w:rsid w:val="00C86740"/>
    <w:rsid w:val="00C960F2"/>
    <w:rsid w:val="00CA0BB2"/>
    <w:rsid w:val="00CD57EF"/>
    <w:rsid w:val="00D13CFB"/>
    <w:rsid w:val="00D2033B"/>
    <w:rsid w:val="00D2271F"/>
    <w:rsid w:val="00D2428B"/>
    <w:rsid w:val="00D368A9"/>
    <w:rsid w:val="00D503B1"/>
    <w:rsid w:val="00D747A2"/>
    <w:rsid w:val="00DF0276"/>
    <w:rsid w:val="00DF65C3"/>
    <w:rsid w:val="00DF6AA2"/>
    <w:rsid w:val="00DF6D94"/>
    <w:rsid w:val="00E463C5"/>
    <w:rsid w:val="00E46F0F"/>
    <w:rsid w:val="00E5077C"/>
    <w:rsid w:val="00E717D7"/>
    <w:rsid w:val="00E77A47"/>
    <w:rsid w:val="00E80E27"/>
    <w:rsid w:val="00EA26C6"/>
    <w:rsid w:val="00EA298D"/>
    <w:rsid w:val="00EA6505"/>
    <w:rsid w:val="00EA7CC3"/>
    <w:rsid w:val="00EC54F0"/>
    <w:rsid w:val="00ED0D1C"/>
    <w:rsid w:val="00F12E65"/>
    <w:rsid w:val="00F270D1"/>
    <w:rsid w:val="00F343C0"/>
    <w:rsid w:val="00F441B7"/>
    <w:rsid w:val="00F645DA"/>
    <w:rsid w:val="00FA51B3"/>
    <w:rsid w:val="00FC1A2E"/>
    <w:rsid w:val="00FC3F61"/>
    <w:rsid w:val="00FC7C4A"/>
    <w:rsid w:val="00FE20DE"/>
    <w:rsid w:val="00FF6F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C35D1-C808-453A-8509-292CC88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FC"/>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AC60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60FC"/>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AC60FC"/>
    <w:pPr>
      <w:ind w:left="720"/>
      <w:contextualSpacing/>
    </w:pPr>
  </w:style>
  <w:style w:type="paragraph" w:styleId="FootnoteText">
    <w:name w:val="footnote text"/>
    <w:basedOn w:val="Normal"/>
    <w:link w:val="FootnoteTextChar"/>
    <w:uiPriority w:val="99"/>
    <w:unhideWhenUsed/>
    <w:rsid w:val="00AC60FC"/>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AC60FC"/>
    <w:rPr>
      <w:rFonts w:ascii="Arial" w:hAnsi="Arial" w:cs="Arial"/>
      <w:sz w:val="20"/>
      <w:szCs w:val="20"/>
      <w:lang w:val="en-GB"/>
    </w:rPr>
  </w:style>
  <w:style w:type="character" w:styleId="FootnoteReference">
    <w:name w:val="footnote reference"/>
    <w:basedOn w:val="DefaultParagraphFont"/>
    <w:uiPriority w:val="99"/>
    <w:semiHidden/>
    <w:unhideWhenUsed/>
    <w:rsid w:val="00AC60FC"/>
    <w:rPr>
      <w:vertAlign w:val="superscript"/>
    </w:rPr>
  </w:style>
  <w:style w:type="numbering" w:customStyle="1" w:styleId="Style3">
    <w:name w:val="Style3"/>
    <w:rsid w:val="00AC60FC"/>
    <w:pPr>
      <w:numPr>
        <w:numId w:val="2"/>
      </w:numPr>
    </w:pPr>
  </w:style>
  <w:style w:type="paragraph" w:styleId="NormalWeb">
    <w:name w:val="Normal (Web)"/>
    <w:basedOn w:val="Normal"/>
    <w:uiPriority w:val="99"/>
    <w:unhideWhenUsed/>
    <w:rsid w:val="00AC60FC"/>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AC60FC"/>
    <w:pPr>
      <w:tabs>
        <w:tab w:val="center" w:pos="4513"/>
        <w:tab w:val="right" w:pos="9026"/>
      </w:tabs>
    </w:pPr>
  </w:style>
  <w:style w:type="character" w:customStyle="1" w:styleId="HeaderChar">
    <w:name w:val="Header Char"/>
    <w:basedOn w:val="DefaultParagraphFont"/>
    <w:link w:val="Header"/>
    <w:uiPriority w:val="99"/>
    <w:rsid w:val="00AC60FC"/>
    <w:rPr>
      <w:rFonts w:ascii="Verdana" w:eastAsia="Times New Roman" w:hAnsi="Verdana" w:cs="Times New Roman"/>
      <w:sz w:val="20"/>
      <w:szCs w:val="20"/>
      <w:lang w:val="en-GB" w:eastAsia="en-GB"/>
    </w:rPr>
  </w:style>
  <w:style w:type="paragraph" w:styleId="BalloonText">
    <w:name w:val="Balloon Text"/>
    <w:basedOn w:val="Normal"/>
    <w:link w:val="BalloonTextChar"/>
    <w:uiPriority w:val="99"/>
    <w:semiHidden/>
    <w:unhideWhenUsed/>
    <w:rsid w:val="00AC60FC"/>
    <w:rPr>
      <w:rFonts w:ascii="Tahoma" w:hAnsi="Tahoma" w:cs="Tahoma"/>
      <w:sz w:val="16"/>
      <w:szCs w:val="16"/>
    </w:rPr>
  </w:style>
  <w:style w:type="character" w:customStyle="1" w:styleId="BalloonTextChar">
    <w:name w:val="Balloon Text Char"/>
    <w:basedOn w:val="DefaultParagraphFont"/>
    <w:link w:val="BalloonText"/>
    <w:uiPriority w:val="99"/>
    <w:semiHidden/>
    <w:rsid w:val="00AC60FC"/>
    <w:rPr>
      <w:rFonts w:ascii="Tahoma" w:eastAsia="Times New Roman" w:hAnsi="Tahoma" w:cs="Tahoma"/>
      <w:sz w:val="16"/>
      <w:szCs w:val="16"/>
      <w:lang w:val="en-GB" w:eastAsia="en-GB"/>
    </w:rPr>
  </w:style>
  <w:style w:type="character" w:styleId="Emphasis">
    <w:name w:val="Emphasis"/>
    <w:basedOn w:val="DefaultParagraphFont"/>
    <w:uiPriority w:val="20"/>
    <w:qFormat/>
    <w:rsid w:val="001C59C9"/>
    <w:rPr>
      <w:i/>
      <w:iCs/>
    </w:rPr>
  </w:style>
  <w:style w:type="paragraph" w:styleId="Footer">
    <w:name w:val="footer"/>
    <w:basedOn w:val="Normal"/>
    <w:link w:val="FooterChar"/>
    <w:uiPriority w:val="99"/>
    <w:unhideWhenUsed/>
    <w:rsid w:val="00D2033B"/>
    <w:pPr>
      <w:tabs>
        <w:tab w:val="center" w:pos="4513"/>
        <w:tab w:val="right" w:pos="9026"/>
      </w:tabs>
    </w:pPr>
  </w:style>
  <w:style w:type="character" w:customStyle="1" w:styleId="FooterChar">
    <w:name w:val="Footer Char"/>
    <w:basedOn w:val="DefaultParagraphFont"/>
    <w:link w:val="Footer"/>
    <w:uiPriority w:val="99"/>
    <w:rsid w:val="00D2033B"/>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B74758"/>
    <w:rPr>
      <w:color w:val="0000FF"/>
      <w:u w:val="single"/>
    </w:rPr>
  </w:style>
  <w:style w:type="paragraph" w:customStyle="1" w:styleId="western">
    <w:name w:val="western"/>
    <w:basedOn w:val="Normal"/>
    <w:rsid w:val="00EA298D"/>
    <w:pPr>
      <w:spacing w:before="100" w:beforeAutospacing="1" w:after="100" w:afterAutospacing="1"/>
    </w:pPr>
    <w:rPr>
      <w:rFonts w:ascii="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471096">
      <w:bodyDiv w:val="1"/>
      <w:marLeft w:val="0"/>
      <w:marRight w:val="0"/>
      <w:marTop w:val="0"/>
      <w:marBottom w:val="0"/>
      <w:divBdr>
        <w:top w:val="none" w:sz="0" w:space="0" w:color="auto"/>
        <w:left w:val="none" w:sz="0" w:space="0" w:color="auto"/>
        <w:bottom w:val="none" w:sz="0" w:space="0" w:color="auto"/>
        <w:right w:val="none" w:sz="0" w:space="0" w:color="auto"/>
      </w:divBdr>
    </w:div>
    <w:div w:id="15372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20%20%286%29%20SA%20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F10B-2404-4E31-BCA1-B0EE23FA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4558</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Mokone</cp:lastModifiedBy>
  <cp:revision>3</cp:revision>
  <cp:lastPrinted>2023-04-04T10:59:00Z</cp:lastPrinted>
  <dcterms:created xsi:type="dcterms:W3CDTF">2023-04-05T14:16:00Z</dcterms:created>
  <dcterms:modified xsi:type="dcterms:W3CDTF">2023-04-05T14:22:00Z</dcterms:modified>
</cp:coreProperties>
</file>