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BE" w:rsidRPr="00DB2A06" w:rsidRDefault="00DC7FBE" w:rsidP="00DC7FBE">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DC7FBE" w:rsidRDefault="00DC7FBE" w:rsidP="000D6D36">
      <w:pPr>
        <w:pStyle w:val="LegalTitle"/>
        <w:spacing w:after="120" w:line="360" w:lineRule="auto"/>
        <w:rPr>
          <w:u w:val="single"/>
        </w:rPr>
      </w:pPr>
    </w:p>
    <w:p w:rsidR="000D6D36" w:rsidRDefault="000D6D36" w:rsidP="000D6D36">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US" w:eastAsia="en-US"/>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p>
    <w:p w:rsidR="00520591" w:rsidRPr="00520591" w:rsidRDefault="000C3AF7" w:rsidP="00520591">
      <w:pPr>
        <w:pStyle w:val="LegalTitle"/>
        <w:rPr>
          <w:u w:val="single"/>
        </w:rPr>
      </w:pPr>
      <w:r w:rsidRPr="00C51D56">
        <w:rPr>
          <w:rFonts w:eastAsiaTheme="minorEastAsia"/>
          <w:noProof/>
          <w:lang w:val="en-US" w:eastAsia="en-US"/>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E41B8C" w:rsidRPr="0038792A" w:rsidRDefault="005A4BE6" w:rsidP="005A4BE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E41B8C">
                              <w:rPr>
                                <w:rFonts w:ascii="Century Gothic" w:hAnsi="Century Gothic"/>
                                <w:sz w:val="20"/>
                                <w:szCs w:val="20"/>
                              </w:rPr>
                              <w:t xml:space="preserve">REPORTABLE: </w:t>
                            </w:r>
                            <w:r w:rsidR="00E41B8C" w:rsidRPr="008C535C">
                              <w:rPr>
                                <w:rFonts w:ascii="Century Gothic" w:hAnsi="Century Gothic"/>
                                <w:b/>
                                <w:i/>
                                <w:sz w:val="20"/>
                                <w:szCs w:val="20"/>
                              </w:rPr>
                              <w:t>NO</w:t>
                            </w:r>
                          </w:p>
                          <w:p w:rsidR="00E41B8C" w:rsidRPr="0038792A" w:rsidRDefault="005A4BE6" w:rsidP="005A4BE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E41B8C" w:rsidRPr="0038792A">
                              <w:rPr>
                                <w:rFonts w:ascii="Century Gothic" w:hAnsi="Century Gothic"/>
                                <w:sz w:val="20"/>
                                <w:szCs w:val="20"/>
                              </w:rPr>
                              <w:t xml:space="preserve">OF </w:t>
                            </w:r>
                            <w:r w:rsidR="00E41B8C">
                              <w:rPr>
                                <w:rFonts w:ascii="Century Gothic" w:hAnsi="Century Gothic"/>
                                <w:sz w:val="20"/>
                                <w:szCs w:val="20"/>
                              </w:rPr>
                              <w:t xml:space="preserve">INTEREST TO OTHER JUDGES: </w:t>
                            </w:r>
                            <w:r w:rsidR="00E41B8C" w:rsidRPr="008C535C">
                              <w:rPr>
                                <w:rFonts w:ascii="Century Gothic" w:hAnsi="Century Gothic"/>
                                <w:b/>
                                <w:i/>
                                <w:sz w:val="20"/>
                                <w:szCs w:val="20"/>
                              </w:rPr>
                              <w:t>NO</w:t>
                            </w:r>
                          </w:p>
                          <w:p w:rsidR="00E41B8C" w:rsidRPr="0038792A" w:rsidRDefault="005A4BE6" w:rsidP="005A4BE6">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E41B8C" w:rsidRPr="0038792A">
                              <w:rPr>
                                <w:rFonts w:ascii="Century Gothic" w:hAnsi="Century Gothic"/>
                                <w:sz w:val="20"/>
                                <w:szCs w:val="20"/>
                              </w:rPr>
                              <w:t xml:space="preserve">REVISED: </w:t>
                            </w:r>
                          </w:p>
                          <w:p w:rsidR="00E41B8C" w:rsidRPr="00B93709" w:rsidRDefault="00E41B8C"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17</w:t>
                            </w:r>
                            <w:r w:rsidRPr="006C0493">
                              <w:rPr>
                                <w:rFonts w:ascii="Century Gothic" w:hAnsi="Century Gothic"/>
                                <w:b/>
                                <w:i/>
                                <w:sz w:val="22"/>
                                <w:szCs w:val="22"/>
                                <w:u w:val="single"/>
                                <w:vertAlign w:val="superscript"/>
                              </w:rPr>
                              <w:t>th</w:t>
                            </w:r>
                            <w:r>
                              <w:rPr>
                                <w:rFonts w:ascii="Century Gothic" w:hAnsi="Century Gothic"/>
                                <w:b/>
                                <w:i/>
                                <w:sz w:val="22"/>
                                <w:szCs w:val="22"/>
                                <w:u w:val="single"/>
                              </w:rPr>
                              <w:t xml:space="preserve"> January 2023</w:t>
                            </w:r>
                            <w:r>
                              <w:rPr>
                                <w:rFonts w:ascii="Century Gothic" w:hAnsi="Century Gothic"/>
                                <w:sz w:val="22"/>
                                <w:szCs w:val="22"/>
                              </w:rPr>
                              <w:t xml:space="preserve"> Signature: </w:t>
                            </w:r>
                            <w:r>
                              <w:rPr>
                                <w:rFonts w:ascii="Century Gothic" w:hAnsi="Century Gothic"/>
                                <w:b/>
                                <w:i/>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E41B8C" w:rsidRPr="0038792A" w:rsidRDefault="005A4BE6" w:rsidP="005A4BE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E41B8C">
                        <w:rPr>
                          <w:rFonts w:ascii="Century Gothic" w:hAnsi="Century Gothic"/>
                          <w:sz w:val="20"/>
                          <w:szCs w:val="20"/>
                        </w:rPr>
                        <w:t xml:space="preserve">REPORTABLE: </w:t>
                      </w:r>
                      <w:r w:rsidR="00E41B8C" w:rsidRPr="008C535C">
                        <w:rPr>
                          <w:rFonts w:ascii="Century Gothic" w:hAnsi="Century Gothic"/>
                          <w:b/>
                          <w:i/>
                          <w:sz w:val="20"/>
                          <w:szCs w:val="20"/>
                        </w:rPr>
                        <w:t>NO</w:t>
                      </w:r>
                    </w:p>
                    <w:p w:rsidR="00E41B8C" w:rsidRPr="0038792A" w:rsidRDefault="005A4BE6" w:rsidP="005A4BE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E41B8C" w:rsidRPr="0038792A">
                        <w:rPr>
                          <w:rFonts w:ascii="Century Gothic" w:hAnsi="Century Gothic"/>
                          <w:sz w:val="20"/>
                          <w:szCs w:val="20"/>
                        </w:rPr>
                        <w:t xml:space="preserve">OF </w:t>
                      </w:r>
                      <w:r w:rsidR="00E41B8C">
                        <w:rPr>
                          <w:rFonts w:ascii="Century Gothic" w:hAnsi="Century Gothic"/>
                          <w:sz w:val="20"/>
                          <w:szCs w:val="20"/>
                        </w:rPr>
                        <w:t xml:space="preserve">INTEREST TO OTHER JUDGES: </w:t>
                      </w:r>
                      <w:r w:rsidR="00E41B8C" w:rsidRPr="008C535C">
                        <w:rPr>
                          <w:rFonts w:ascii="Century Gothic" w:hAnsi="Century Gothic"/>
                          <w:b/>
                          <w:i/>
                          <w:sz w:val="20"/>
                          <w:szCs w:val="20"/>
                        </w:rPr>
                        <w:t>NO</w:t>
                      </w:r>
                    </w:p>
                    <w:p w:rsidR="00E41B8C" w:rsidRPr="0038792A" w:rsidRDefault="005A4BE6" w:rsidP="005A4BE6">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E41B8C" w:rsidRPr="0038792A">
                        <w:rPr>
                          <w:rFonts w:ascii="Century Gothic" w:hAnsi="Century Gothic"/>
                          <w:sz w:val="20"/>
                          <w:szCs w:val="20"/>
                        </w:rPr>
                        <w:t xml:space="preserve">REVISED: </w:t>
                      </w:r>
                    </w:p>
                    <w:p w:rsidR="00E41B8C" w:rsidRPr="00B93709" w:rsidRDefault="00E41B8C" w:rsidP="000C3AF7">
                      <w:pPr>
                        <w:rPr>
                          <w:rFonts w:ascii="Century Gothic" w:hAnsi="Century Gothic"/>
                          <w:sz w:val="18"/>
                          <w:szCs w:val="18"/>
                        </w:rPr>
                      </w:pPr>
                      <w:r>
                        <w:rPr>
                          <w:rFonts w:ascii="Century Gothic" w:hAnsi="Century Gothic"/>
                          <w:sz w:val="22"/>
                          <w:szCs w:val="22"/>
                        </w:rPr>
                        <w:t xml:space="preserve">Date: </w:t>
                      </w:r>
                      <w:r>
                        <w:rPr>
                          <w:rFonts w:ascii="Century Gothic" w:hAnsi="Century Gothic"/>
                          <w:b/>
                          <w:i/>
                          <w:sz w:val="22"/>
                          <w:szCs w:val="22"/>
                          <w:u w:val="single"/>
                        </w:rPr>
                        <w:t>17</w:t>
                      </w:r>
                      <w:r w:rsidRPr="006C0493">
                        <w:rPr>
                          <w:rFonts w:ascii="Century Gothic" w:hAnsi="Century Gothic"/>
                          <w:b/>
                          <w:i/>
                          <w:sz w:val="22"/>
                          <w:szCs w:val="22"/>
                          <w:u w:val="single"/>
                          <w:vertAlign w:val="superscript"/>
                        </w:rPr>
                        <w:t>th</w:t>
                      </w:r>
                      <w:r>
                        <w:rPr>
                          <w:rFonts w:ascii="Century Gothic" w:hAnsi="Century Gothic"/>
                          <w:b/>
                          <w:i/>
                          <w:sz w:val="22"/>
                          <w:szCs w:val="22"/>
                          <w:u w:val="single"/>
                        </w:rPr>
                        <w:t xml:space="preserve"> January 2023</w:t>
                      </w:r>
                      <w:r>
                        <w:rPr>
                          <w:rFonts w:ascii="Century Gothic" w:hAnsi="Century Gothic"/>
                          <w:sz w:val="22"/>
                          <w:szCs w:val="22"/>
                        </w:rPr>
                        <w:t xml:space="preserve"> Signature: </w:t>
                      </w:r>
                      <w:r>
                        <w:rPr>
                          <w:rFonts w:ascii="Century Gothic" w:hAnsi="Century Gothic"/>
                          <w:b/>
                          <w:i/>
                          <w:sz w:val="22"/>
                          <w:szCs w:val="22"/>
                          <w:u w:val="single"/>
                        </w:rPr>
                        <w:t>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6C0493">
        <w:rPr>
          <w:b w:val="0"/>
        </w:rPr>
        <w:t>37432</w:t>
      </w:r>
      <w:r w:rsidR="00F86558" w:rsidRPr="004E00FA">
        <w:rPr>
          <w:b w:val="0"/>
        </w:rPr>
        <w:t>/</w:t>
      </w:r>
      <w:r w:rsidR="00B81B2F">
        <w:rPr>
          <w:b w:val="0"/>
        </w:rPr>
        <w:t>20</w:t>
      </w:r>
      <w:r w:rsidR="00F85B5E">
        <w:rPr>
          <w:b w:val="0"/>
        </w:rPr>
        <w:t>1</w:t>
      </w:r>
      <w:r w:rsidR="006C0493">
        <w:rPr>
          <w:b w:val="0"/>
        </w:rPr>
        <w:t>3</w:t>
      </w:r>
    </w:p>
    <w:p w:rsidR="004E00FA" w:rsidRDefault="004E00FA" w:rsidP="004E00FA">
      <w:pPr>
        <w:pStyle w:val="LegalAnnexure"/>
        <w:spacing w:after="0" w:line="360" w:lineRule="auto"/>
      </w:pPr>
      <w:r>
        <w:rPr>
          <w:u w:val="single"/>
        </w:rPr>
        <w:t>DATE</w:t>
      </w:r>
      <w:r w:rsidRPr="0080126D">
        <w:t>:</w:t>
      </w:r>
      <w:r>
        <w:t xml:space="preserve"> </w:t>
      </w:r>
      <w:r w:rsidR="006C0493">
        <w:rPr>
          <w:b w:val="0"/>
        </w:rPr>
        <w:t>17</w:t>
      </w:r>
      <w:r w:rsidR="006C0493">
        <w:rPr>
          <w:b w:val="0"/>
          <w:vertAlign w:val="superscript"/>
        </w:rPr>
        <w:t xml:space="preserve">th </w:t>
      </w:r>
      <w:r w:rsidR="006C0493">
        <w:rPr>
          <w:b w:val="0"/>
        </w:rPr>
        <w:t>January</w:t>
      </w:r>
      <w:r w:rsidR="00592459">
        <w:rPr>
          <w:b w:val="0"/>
        </w:rPr>
        <w:t xml:space="preserve"> </w:t>
      </w:r>
      <w:r w:rsidR="0062393B">
        <w:rPr>
          <w:b w:val="0"/>
        </w:rPr>
        <w:t>20</w:t>
      </w:r>
      <w:r w:rsidR="00BE3209">
        <w:rPr>
          <w:b w:val="0"/>
        </w:rPr>
        <w:t>2</w:t>
      </w:r>
      <w:r w:rsidR="006C0493">
        <w:rPr>
          <w:b w:val="0"/>
        </w:rPr>
        <w:t>3</w:t>
      </w:r>
    </w:p>
    <w:p w:rsidR="009314F3" w:rsidRPr="00A84826" w:rsidRDefault="009314F3" w:rsidP="00B81B2F">
      <w:pPr>
        <w:pStyle w:val="LegalNormal"/>
        <w:spacing w:after="120" w:line="360" w:lineRule="auto"/>
      </w:pPr>
      <w:r w:rsidRPr="00A84826">
        <w:t>In the matter between:</w:t>
      </w:r>
    </w:p>
    <w:p w:rsidR="007E22E8" w:rsidRDefault="00DC7FBE" w:rsidP="007E22E8">
      <w:pPr>
        <w:pStyle w:val="LegalPlainDef"/>
        <w:spacing w:after="0" w:line="240" w:lineRule="auto"/>
      </w:pPr>
      <w:r>
        <w:rPr>
          <w:b/>
          <w:u w:val="single"/>
        </w:rPr>
        <w:t>E</w:t>
      </w:r>
      <w:r w:rsidR="00B81B2F">
        <w:rPr>
          <w:b/>
        </w:rPr>
        <w:t xml:space="preserve">: </w:t>
      </w:r>
      <w:r>
        <w:rPr>
          <w:b/>
        </w:rPr>
        <w:t>P</w:t>
      </w:r>
      <w:r w:rsidR="00B81B2F">
        <w:rPr>
          <w:b/>
        </w:rPr>
        <w:t xml:space="preserve"> </w:t>
      </w:r>
      <w:r>
        <w:rPr>
          <w:b/>
        </w:rPr>
        <w:t>N</w:t>
      </w:r>
      <w:r w:rsidR="007E22E8">
        <w:rPr>
          <w:b/>
        </w:rPr>
        <w:t xml:space="preserve"> </w:t>
      </w:r>
      <w:r w:rsidR="00B81B2F">
        <w:rPr>
          <w:b/>
        </w:rPr>
        <w:t xml:space="preserve">NO, </w:t>
      </w:r>
      <w:r w:rsidR="00B81B2F">
        <w:t>for and on behalf of:</w:t>
      </w:r>
      <w:r w:rsidR="002319B8">
        <w:t xml:space="preserve"> </w:t>
      </w:r>
    </w:p>
    <w:p w:rsidR="00B81B2F" w:rsidRDefault="00DC7FBE" w:rsidP="002319B8">
      <w:pPr>
        <w:pStyle w:val="LegalPlainDef"/>
        <w:spacing w:after="120" w:line="360" w:lineRule="auto"/>
      </w:pPr>
      <w:r>
        <w:rPr>
          <w:b/>
          <w:u w:val="single"/>
        </w:rPr>
        <w:t>E</w:t>
      </w:r>
      <w:r w:rsidR="00B81B2F">
        <w:rPr>
          <w:b/>
        </w:rPr>
        <w:t xml:space="preserve">: </w:t>
      </w:r>
      <w:r>
        <w:rPr>
          <w:b/>
        </w:rPr>
        <w:t>L</w:t>
      </w:r>
      <w:r w:rsidR="00B81B2F">
        <w:rPr>
          <w:b/>
        </w:rPr>
        <w:tab/>
      </w:r>
      <w:r w:rsidR="00B81B2F">
        <w:t>Plaintiff</w:t>
      </w:r>
    </w:p>
    <w:p w:rsidR="00B81B2F" w:rsidRDefault="00B81B2F" w:rsidP="00B81B2F">
      <w:pPr>
        <w:pStyle w:val="LegalNormal"/>
        <w:spacing w:after="120" w:line="360" w:lineRule="auto"/>
      </w:pPr>
      <w:proofErr w:type="gramStart"/>
      <w:r>
        <w:t>and</w:t>
      </w:r>
      <w:proofErr w:type="gramEnd"/>
    </w:p>
    <w:p w:rsidR="002319B8" w:rsidRDefault="002319B8" w:rsidP="002319B8">
      <w:pPr>
        <w:pStyle w:val="LegalPlainDef"/>
        <w:spacing w:after="0" w:line="240" w:lineRule="auto"/>
        <w:rPr>
          <w:b/>
        </w:rPr>
      </w:pPr>
      <w:r>
        <w:rPr>
          <w:b/>
        </w:rPr>
        <w:t xml:space="preserve">THE MEMBER OF THE EXECUTIVE COUNCIL </w:t>
      </w:r>
    </w:p>
    <w:p w:rsidR="00B81B2F" w:rsidRDefault="002319B8" w:rsidP="002319B8">
      <w:pPr>
        <w:pStyle w:val="LegalPlainDef"/>
        <w:spacing w:after="240" w:line="360" w:lineRule="auto"/>
      </w:pPr>
      <w:r>
        <w:rPr>
          <w:b/>
        </w:rPr>
        <w:t>FOR HEALTH OF THE GAUTENG PROVINCE</w:t>
      </w:r>
      <w:r w:rsidR="00B81B2F">
        <w:rPr>
          <w:b/>
        </w:rPr>
        <w:tab/>
      </w:r>
      <w:r w:rsidR="00B81B2F">
        <w:t>Defendant</w:t>
      </w:r>
    </w:p>
    <w:p w:rsidR="00DA3FFC" w:rsidRPr="00DA3FFC" w:rsidRDefault="00DA3FFC" w:rsidP="00DC1C2D">
      <w:pPr>
        <w:suppressAutoHyphens w:val="0"/>
        <w:spacing w:line="360" w:lineRule="auto"/>
        <w:ind w:left="851" w:hanging="851"/>
        <w:jc w:val="both"/>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DC1C2D">
      <w:pPr>
        <w:suppressAutoHyphens w:val="0"/>
        <w:spacing w:line="360" w:lineRule="auto"/>
        <w:ind w:left="1440" w:hanging="1440"/>
        <w:jc w:val="both"/>
        <w:rPr>
          <w:rFonts w:cs="Arial"/>
          <w:b/>
          <w:lang w:val="en-ZA" w:eastAsia="en-US"/>
        </w:rPr>
      </w:pPr>
      <w:r w:rsidRPr="00DA3FFC">
        <w:rPr>
          <w:rFonts w:cs="Arial"/>
          <w:b/>
          <w:bCs/>
          <w:lang w:val="en-ZA" w:eastAsia="en-US"/>
        </w:rPr>
        <w:t>Heard</w:t>
      </w:r>
      <w:r w:rsidR="00570FE8">
        <w:rPr>
          <w:rFonts w:cs="Arial"/>
          <w:lang w:val="en-ZA" w:eastAsia="en-US"/>
        </w:rPr>
        <w:t>:</w:t>
      </w:r>
      <w:r w:rsidR="00570FE8">
        <w:rPr>
          <w:rFonts w:cs="Arial"/>
          <w:lang w:val="en-ZA" w:eastAsia="en-US"/>
        </w:rPr>
        <w:tab/>
      </w:r>
      <w:r w:rsidR="00E27C65">
        <w:rPr>
          <w:rFonts w:cs="Arial"/>
          <w:lang w:val="en-ZA" w:eastAsia="en-US"/>
        </w:rPr>
        <w:t>7</w:t>
      </w:r>
      <w:r w:rsidR="00D444B8">
        <w:rPr>
          <w:rFonts w:cs="Arial"/>
          <w:lang w:val="en-ZA" w:eastAsia="en-US"/>
        </w:rPr>
        <w:t xml:space="preserve">, 8, </w:t>
      </w:r>
      <w:r w:rsidR="00F749E1">
        <w:rPr>
          <w:rFonts w:cs="Arial"/>
          <w:lang w:val="en-ZA" w:eastAsia="en-US"/>
        </w:rPr>
        <w:t xml:space="preserve">10, 13, 14, </w:t>
      </w:r>
      <w:r w:rsidR="00A63D9B">
        <w:rPr>
          <w:rFonts w:cs="Arial"/>
          <w:lang w:val="en-ZA" w:eastAsia="en-US"/>
        </w:rPr>
        <w:t xml:space="preserve">15 and 17 </w:t>
      </w:r>
      <w:r w:rsidR="00E27C65">
        <w:rPr>
          <w:rFonts w:cs="Arial"/>
          <w:lang w:val="en-ZA" w:eastAsia="en-US"/>
        </w:rPr>
        <w:t>August 2018</w:t>
      </w:r>
      <w:r w:rsidR="00AB0430">
        <w:rPr>
          <w:rFonts w:cs="Arial"/>
          <w:lang w:val="en-ZA" w:eastAsia="en-US"/>
        </w:rPr>
        <w:t>,</w:t>
      </w:r>
      <w:r w:rsidR="00A63D9B">
        <w:rPr>
          <w:rFonts w:cs="Arial"/>
          <w:lang w:val="en-ZA" w:eastAsia="en-US"/>
        </w:rPr>
        <w:t xml:space="preserve"> 17, 18, </w:t>
      </w:r>
      <w:r w:rsidR="00EF527D">
        <w:rPr>
          <w:rFonts w:cs="Arial"/>
          <w:lang w:val="en-ZA" w:eastAsia="en-US"/>
        </w:rPr>
        <w:t>19 and</w:t>
      </w:r>
      <w:r w:rsidR="00A63D9B">
        <w:rPr>
          <w:rFonts w:cs="Arial"/>
          <w:lang w:val="en-ZA" w:eastAsia="en-US"/>
        </w:rPr>
        <w:t xml:space="preserve"> 20 September 2018, </w:t>
      </w:r>
      <w:r w:rsidR="00EF527D">
        <w:rPr>
          <w:rFonts w:cs="Arial"/>
          <w:lang w:val="en-ZA" w:eastAsia="en-US"/>
        </w:rPr>
        <w:t>23 January 2019,</w:t>
      </w:r>
      <w:r w:rsidR="00F15DE6">
        <w:rPr>
          <w:rFonts w:cs="Arial"/>
          <w:lang w:val="en-ZA" w:eastAsia="en-US"/>
        </w:rPr>
        <w:t xml:space="preserve"> 6, 7 and 8 July 2021, 28, 29 and 30 March 2022, and</w:t>
      </w:r>
      <w:r w:rsidR="00644522">
        <w:rPr>
          <w:rFonts w:cs="Arial"/>
          <w:lang w:val="en-ZA" w:eastAsia="en-US"/>
        </w:rPr>
        <w:t xml:space="preserve"> </w:t>
      </w:r>
      <w:r w:rsidR="00C85A80">
        <w:rPr>
          <w:rFonts w:cs="Arial"/>
          <w:lang w:val="en-ZA" w:eastAsia="en-US"/>
        </w:rPr>
        <w:t>15</w:t>
      </w:r>
      <w:r w:rsidR="00644522">
        <w:rPr>
          <w:rFonts w:cs="Arial"/>
          <w:lang w:val="en-ZA" w:eastAsia="en-US"/>
        </w:rPr>
        <w:t xml:space="preserve"> September 2022.</w:t>
      </w:r>
      <w:r w:rsidR="00F15DE6">
        <w:rPr>
          <w:rFonts w:cs="Arial"/>
          <w:lang w:val="en-ZA" w:eastAsia="en-US"/>
        </w:rPr>
        <w:t xml:space="preserve"> </w:t>
      </w:r>
      <w:r w:rsidR="00EF527D">
        <w:rPr>
          <w:rFonts w:cs="Arial"/>
          <w:lang w:val="en-ZA" w:eastAsia="en-US"/>
        </w:rPr>
        <w:t xml:space="preserve"> </w:t>
      </w:r>
    </w:p>
    <w:p w:rsidR="00DA3FFC" w:rsidRPr="00DA3FFC" w:rsidRDefault="00DA3FFC" w:rsidP="00DC1C2D">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6C0493">
        <w:rPr>
          <w:rFonts w:cs="Arial"/>
          <w:lang w:val="en-ZA" w:eastAsia="en-US"/>
        </w:rPr>
        <w:t>17</w:t>
      </w:r>
      <w:r w:rsidR="00D1192E">
        <w:rPr>
          <w:rFonts w:cs="Arial"/>
          <w:lang w:val="en-ZA" w:eastAsia="en-US"/>
        </w:rPr>
        <w:t xml:space="preserve"> </w:t>
      </w:r>
      <w:r w:rsidR="006C0493">
        <w:rPr>
          <w:rFonts w:cs="Arial"/>
          <w:lang w:val="en-ZA" w:eastAsia="en-US"/>
        </w:rPr>
        <w:t>January 2023</w:t>
      </w:r>
      <w:r w:rsidR="00EE4F38">
        <w:rPr>
          <w:rFonts w:cs="Arial"/>
          <w:lang w:val="en-ZA" w:eastAsia="en-US"/>
        </w:rPr>
        <w:t xml:space="preserve"> – This judgment was handed down electronically by circulation to the parties' representatives by email, by being </w:t>
      </w:r>
      <w:r w:rsidR="00EE4F38">
        <w:rPr>
          <w:rFonts w:cs="Arial"/>
          <w:lang w:val="en-ZA" w:eastAsia="en-US"/>
        </w:rPr>
        <w:lastRenderedPageBreak/>
        <w:t xml:space="preserve">uploaded to </w:t>
      </w:r>
      <w:proofErr w:type="spellStart"/>
      <w:r w:rsidR="00EE4F38" w:rsidRPr="002149EC">
        <w:rPr>
          <w:rFonts w:cs="Arial"/>
          <w:i/>
          <w:lang w:val="en-ZA" w:eastAsia="en-US"/>
        </w:rPr>
        <w:t>CaseLines</w:t>
      </w:r>
      <w:proofErr w:type="spellEnd"/>
      <w:r w:rsidR="00EE4F38">
        <w:rPr>
          <w:rFonts w:cs="Arial"/>
          <w:lang w:val="en-ZA" w:eastAsia="en-US"/>
        </w:rPr>
        <w:t xml:space="preserve"> and by release to SAFLII. The date and time </w:t>
      </w:r>
      <w:r w:rsidR="00C57DE0">
        <w:rPr>
          <w:rFonts w:cs="Arial"/>
          <w:lang w:val="en-ZA" w:eastAsia="en-US"/>
        </w:rPr>
        <w:t>for hand-down is deemed to be 10:0</w:t>
      </w:r>
      <w:r w:rsidR="00EE4F38">
        <w:rPr>
          <w:rFonts w:cs="Arial"/>
          <w:lang w:val="en-ZA" w:eastAsia="en-US"/>
        </w:rPr>
        <w:t xml:space="preserve">0 on </w:t>
      </w:r>
      <w:r w:rsidR="006C0493">
        <w:rPr>
          <w:rFonts w:cs="Arial"/>
          <w:lang w:val="en-ZA" w:eastAsia="en-US"/>
        </w:rPr>
        <w:t>17</w:t>
      </w:r>
      <w:r w:rsidR="00EE4F38">
        <w:rPr>
          <w:rFonts w:cs="Arial"/>
          <w:lang w:val="en-ZA" w:eastAsia="en-US"/>
        </w:rPr>
        <w:t xml:space="preserve"> </w:t>
      </w:r>
      <w:r w:rsidR="006C0493">
        <w:rPr>
          <w:rFonts w:cs="Arial"/>
          <w:lang w:val="en-ZA" w:eastAsia="en-US"/>
        </w:rPr>
        <w:t>January 2023</w:t>
      </w:r>
      <w:r w:rsidR="00EE4F38">
        <w:rPr>
          <w:rFonts w:cs="Arial"/>
          <w:lang w:val="en-ZA" w:eastAsia="en-US"/>
        </w:rPr>
        <w:t>.</w:t>
      </w:r>
    </w:p>
    <w:p w:rsidR="00FE27ED" w:rsidRDefault="00DA3FFC" w:rsidP="006A3572">
      <w:pPr>
        <w:spacing w:after="240" w:line="360" w:lineRule="auto"/>
        <w:jc w:val="both"/>
        <w:rPr>
          <w:rFonts w:cs="Arial"/>
          <w:lang w:val="en-ZA"/>
        </w:rPr>
      </w:pPr>
      <w:r w:rsidRPr="00DA3FFC">
        <w:rPr>
          <w:rFonts w:cs="Arial"/>
          <w:b/>
          <w:bCs/>
          <w:lang w:val="en-ZA" w:eastAsia="en-US"/>
        </w:rPr>
        <w:t>Summary:</w:t>
      </w:r>
      <w:r w:rsidRPr="00DA3FFC">
        <w:rPr>
          <w:rFonts w:cs="Arial"/>
          <w:b/>
          <w:bCs/>
          <w:lang w:val="en-ZA" w:eastAsia="en-US"/>
        </w:rPr>
        <w:tab/>
      </w:r>
      <w:r w:rsidR="003D3001" w:rsidRPr="003D3001">
        <w:rPr>
          <w:rFonts w:cs="Arial"/>
          <w:lang w:val="en-ZA"/>
        </w:rPr>
        <w:t xml:space="preserve">Trial – </w:t>
      </w:r>
      <w:proofErr w:type="spellStart"/>
      <w:r w:rsidR="006A3572" w:rsidRPr="006A3572">
        <w:rPr>
          <w:rFonts w:cs="Arial"/>
          <w:lang w:val="en-ZA"/>
        </w:rPr>
        <w:t>Delict</w:t>
      </w:r>
      <w:proofErr w:type="spellEnd"/>
      <w:r w:rsidR="006A3572" w:rsidRPr="006A3572">
        <w:rPr>
          <w:rFonts w:cs="Arial"/>
          <w:lang w:val="en-ZA"/>
        </w:rPr>
        <w:t xml:space="preserve"> – medical negligence – damages – liability in respect of a minor born with brain damage who now suffers from cerebral palsy – whether hospital staff negligent – if so, whether such negligence caused the damage – </w:t>
      </w:r>
      <w:proofErr w:type="gramStart"/>
      <w:r w:rsidR="006A3572" w:rsidRPr="006A3572">
        <w:rPr>
          <w:rFonts w:cs="Arial"/>
          <w:lang w:val="en-ZA"/>
        </w:rPr>
        <w:t>negligence</w:t>
      </w:r>
      <w:proofErr w:type="gramEnd"/>
      <w:r w:rsidR="006A3572" w:rsidRPr="006A3572">
        <w:rPr>
          <w:rFonts w:cs="Arial"/>
          <w:lang w:val="en-ZA"/>
        </w:rPr>
        <w:t xml:space="preserve"> and causation established – MEC liable</w:t>
      </w:r>
      <w:r w:rsidR="006A3572">
        <w:rPr>
          <w:rFonts w:cs="Arial"/>
          <w:lang w:val="en-ZA"/>
        </w:rPr>
        <w:t>.</w:t>
      </w:r>
      <w:r w:rsidR="00FE27ED">
        <w:rPr>
          <w:rFonts w:cs="Arial"/>
          <w:lang w:val="en-ZA"/>
        </w:rPr>
        <w:t xml:space="preserve"> </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185144" w:rsidRDefault="005A4BE6" w:rsidP="005A4BE6">
      <w:pPr>
        <w:pStyle w:val="LegalList1"/>
        <w:numPr>
          <w:ilvl w:val="0"/>
          <w:numId w:val="0"/>
        </w:numPr>
        <w:spacing w:after="120" w:line="360" w:lineRule="auto"/>
        <w:ind w:left="567" w:hanging="567"/>
      </w:pPr>
      <w:r>
        <w:t>(1)</w:t>
      </w:r>
      <w:r>
        <w:tab/>
      </w:r>
      <w:r w:rsidR="00185144">
        <w:t>The defendant’s special plea of prescription is dismissed with costs, including the costs consequent upon the employment of two Counsel (where so employed).</w:t>
      </w:r>
    </w:p>
    <w:p w:rsidR="00185144" w:rsidRDefault="005A4BE6" w:rsidP="005A4BE6">
      <w:pPr>
        <w:pStyle w:val="LegalList1"/>
        <w:numPr>
          <w:ilvl w:val="0"/>
          <w:numId w:val="0"/>
        </w:numPr>
        <w:spacing w:after="120" w:line="360" w:lineRule="auto"/>
        <w:ind w:left="567" w:hanging="567"/>
      </w:pPr>
      <w:r>
        <w:t>(2)</w:t>
      </w:r>
      <w:r>
        <w:tab/>
      </w:r>
      <w:r w:rsidR="00185144">
        <w:t>It is declared that the defendant is liable for 100% of the damages that are proven or agreed to be due to the plaintiff in her capacity as parent and natural guardian of her minor child arising from her brain injury.</w:t>
      </w:r>
    </w:p>
    <w:p w:rsidR="00185144" w:rsidRDefault="005A4BE6" w:rsidP="005A4BE6">
      <w:pPr>
        <w:pStyle w:val="LegalList1"/>
        <w:numPr>
          <w:ilvl w:val="0"/>
          <w:numId w:val="0"/>
        </w:numPr>
        <w:spacing w:after="240" w:line="360" w:lineRule="auto"/>
        <w:ind w:left="567" w:hanging="567"/>
      </w:pPr>
      <w:r>
        <w:t>(3)</w:t>
      </w:r>
      <w:r>
        <w:tab/>
      </w:r>
      <w:r w:rsidR="00185144">
        <w:t>The defendant shall pay the plaintiff’s costs of the determination of this issue relating to his liability, including the costs consequent upon the employment of two Counsel (where so employed).</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B26683" w:rsidRDefault="005A4BE6" w:rsidP="005A4BE6">
      <w:pPr>
        <w:spacing w:after="120" w:line="360" w:lineRule="auto"/>
        <w:jc w:val="both"/>
        <w:outlineLvl w:val="0"/>
        <w:rPr>
          <w:color w:val="000000"/>
        </w:rPr>
      </w:pPr>
      <w:r>
        <w:rPr>
          <w:color w:val="000000"/>
        </w:rPr>
        <w:t>[1].</w:t>
      </w:r>
      <w:r>
        <w:rPr>
          <w:color w:val="000000"/>
        </w:rPr>
        <w:tab/>
      </w:r>
      <w:r w:rsidR="00E05EFB" w:rsidRPr="00E05EFB">
        <w:rPr>
          <w:color w:val="000000"/>
        </w:rPr>
        <w:t xml:space="preserve">The central issue in this </w:t>
      </w:r>
      <w:r w:rsidR="00366534">
        <w:rPr>
          <w:color w:val="000000"/>
        </w:rPr>
        <w:t xml:space="preserve">defended action </w:t>
      </w:r>
      <w:r w:rsidR="00E05EFB" w:rsidRPr="00E05EFB">
        <w:rPr>
          <w:color w:val="000000"/>
        </w:rPr>
        <w:t xml:space="preserve">is whether the </w:t>
      </w:r>
      <w:r w:rsidR="00366534">
        <w:rPr>
          <w:color w:val="000000"/>
        </w:rPr>
        <w:t>defendant (‘the MEC’) is</w:t>
      </w:r>
      <w:r w:rsidR="00E05EFB" w:rsidRPr="00E05EFB">
        <w:rPr>
          <w:color w:val="000000"/>
        </w:rPr>
        <w:t xml:space="preserve"> liable</w:t>
      </w:r>
      <w:r w:rsidR="00366534">
        <w:rPr>
          <w:color w:val="000000"/>
        </w:rPr>
        <w:t>, in his official capacity as the person responsible for the actions of employees of Gauteng Provincial hospitals,</w:t>
      </w:r>
      <w:r w:rsidR="00E05EFB" w:rsidRPr="00E05EFB">
        <w:rPr>
          <w:color w:val="000000"/>
        </w:rPr>
        <w:t xml:space="preserve"> for the brain injury sustained by </w:t>
      </w:r>
      <w:r w:rsidR="00366534">
        <w:rPr>
          <w:color w:val="000000"/>
        </w:rPr>
        <w:t xml:space="preserve">the plaintiff’s minor child (‘the minor child’) before or during her birth at the Charlotte </w:t>
      </w:r>
      <w:proofErr w:type="spellStart"/>
      <w:r w:rsidR="00366534">
        <w:rPr>
          <w:color w:val="000000"/>
        </w:rPr>
        <w:t>Maxeke</w:t>
      </w:r>
      <w:proofErr w:type="spellEnd"/>
      <w:r w:rsidR="00366534">
        <w:rPr>
          <w:color w:val="000000"/>
        </w:rPr>
        <w:t xml:space="preserve"> Academic Hospital (‘CMAH’</w:t>
      </w:r>
      <w:r w:rsidR="00DC7FBE">
        <w:rPr>
          <w:color w:val="000000"/>
        </w:rPr>
        <w:t xml:space="preserve"> or simply ‘the hospital’) on […] March […]</w:t>
      </w:r>
      <w:r w:rsidR="00366534">
        <w:rPr>
          <w:color w:val="000000"/>
        </w:rPr>
        <w:t>.</w:t>
      </w:r>
      <w:r w:rsidR="003E22B3">
        <w:rPr>
          <w:color w:val="000000"/>
        </w:rPr>
        <w:t xml:space="preserve"> The minor child, who is at present just short</w:t>
      </w:r>
      <w:r w:rsidR="00B26683">
        <w:rPr>
          <w:color w:val="000000"/>
        </w:rPr>
        <w:t xml:space="preserve"> of eighteen years old, suffers from </w:t>
      </w:r>
      <w:r w:rsidR="00B26683" w:rsidRPr="00B26683">
        <w:rPr>
          <w:color w:val="000000"/>
        </w:rPr>
        <w:t xml:space="preserve">spastic quadriplegic cerebral palsy (SQCP) or </w:t>
      </w:r>
      <w:proofErr w:type="spellStart"/>
      <w:r w:rsidR="00B26683" w:rsidRPr="00B26683">
        <w:rPr>
          <w:color w:val="000000"/>
        </w:rPr>
        <w:t>dyskinetic</w:t>
      </w:r>
      <w:proofErr w:type="spellEnd"/>
      <w:r w:rsidR="00B26683" w:rsidRPr="00B26683">
        <w:rPr>
          <w:color w:val="000000"/>
        </w:rPr>
        <w:t xml:space="preserve"> cerebral palsy</w:t>
      </w:r>
      <w:r w:rsidR="00B26683">
        <w:rPr>
          <w:color w:val="000000"/>
        </w:rPr>
        <w:t xml:space="preserve">. The questions to be answered in this matter is whether that condition resulted from </w:t>
      </w:r>
      <w:r w:rsidR="00B26683">
        <w:rPr>
          <w:color w:val="000000"/>
        </w:rPr>
        <w:lastRenderedPageBreak/>
        <w:t xml:space="preserve">negligence on the part of </w:t>
      </w:r>
      <w:r w:rsidR="00D965C0">
        <w:rPr>
          <w:color w:val="000000"/>
        </w:rPr>
        <w:t xml:space="preserve">the </w:t>
      </w:r>
      <w:r w:rsidR="00B26683">
        <w:rPr>
          <w:color w:val="000000"/>
        </w:rPr>
        <w:t xml:space="preserve">hospital and </w:t>
      </w:r>
      <w:r w:rsidR="00D965C0">
        <w:rPr>
          <w:color w:val="000000"/>
        </w:rPr>
        <w:t xml:space="preserve">the </w:t>
      </w:r>
      <w:r w:rsidR="00B26683">
        <w:rPr>
          <w:color w:val="000000"/>
        </w:rPr>
        <w:t>nursing staff at the CMAH and whether such negligence can be causally connect</w:t>
      </w:r>
      <w:r w:rsidR="00F3493F">
        <w:rPr>
          <w:color w:val="000000"/>
        </w:rPr>
        <w:t xml:space="preserve">ed to the aforesaid developmental </w:t>
      </w:r>
      <w:r w:rsidR="00B26683">
        <w:rPr>
          <w:color w:val="000000"/>
        </w:rPr>
        <w:t>outcome in relation to the minor child.</w:t>
      </w:r>
    </w:p>
    <w:p w:rsidR="00B26683" w:rsidRPr="00B26683" w:rsidRDefault="005A4BE6" w:rsidP="005A4BE6">
      <w:pPr>
        <w:spacing w:after="120" w:line="360" w:lineRule="auto"/>
        <w:jc w:val="both"/>
        <w:outlineLvl w:val="0"/>
        <w:rPr>
          <w:color w:val="000000"/>
        </w:rPr>
      </w:pPr>
      <w:r w:rsidRPr="00B26683">
        <w:rPr>
          <w:color w:val="000000"/>
        </w:rPr>
        <w:t>[2].</w:t>
      </w:r>
      <w:r w:rsidRPr="00B26683">
        <w:rPr>
          <w:color w:val="000000"/>
        </w:rPr>
        <w:tab/>
      </w:r>
      <w:proofErr w:type="gramStart"/>
      <w:r w:rsidR="00B26683">
        <w:rPr>
          <w:color w:val="000000"/>
        </w:rPr>
        <w:t>Those</w:t>
      </w:r>
      <w:proofErr w:type="gramEnd"/>
      <w:r w:rsidR="00B26683">
        <w:rPr>
          <w:color w:val="000000"/>
        </w:rPr>
        <w:t xml:space="preserve"> questions are to be decided against the factual backdrop of the matter as set out in the paragraphs which follow. The common cause facts are gleaned from the objective documentary evidence presented during the trial, which endured for </w:t>
      </w:r>
      <w:r w:rsidR="00F929EA">
        <w:rPr>
          <w:color w:val="000000"/>
        </w:rPr>
        <w:t>approximately</w:t>
      </w:r>
      <w:r w:rsidR="00B26683">
        <w:rPr>
          <w:color w:val="000000"/>
        </w:rPr>
        <w:t xml:space="preserve"> </w:t>
      </w:r>
      <w:r w:rsidR="00F929EA">
        <w:rPr>
          <w:color w:val="000000"/>
        </w:rPr>
        <w:t>nineteen</w:t>
      </w:r>
      <w:r w:rsidR="00B26683">
        <w:rPr>
          <w:color w:val="000000"/>
        </w:rPr>
        <w:t xml:space="preserve"> days over an extended period of about four years</w:t>
      </w:r>
      <w:r w:rsidR="007F16A8">
        <w:rPr>
          <w:color w:val="000000"/>
        </w:rPr>
        <w:t xml:space="preserve">, as well as from the </w:t>
      </w:r>
      <w:r w:rsidR="007F16A8" w:rsidRPr="0014559C">
        <w:rPr>
          <w:i/>
          <w:color w:val="000000"/>
        </w:rPr>
        <w:t>viva voce</w:t>
      </w:r>
      <w:r w:rsidR="007F16A8">
        <w:rPr>
          <w:color w:val="000000"/>
        </w:rPr>
        <w:t xml:space="preserve"> evidence led during the trial on behalf of the parties. In that regard, the </w:t>
      </w:r>
      <w:r w:rsidR="00A954CA">
        <w:rPr>
          <w:color w:val="000000"/>
        </w:rPr>
        <w:t xml:space="preserve">plaintiff </w:t>
      </w:r>
      <w:r w:rsidR="007F16A8">
        <w:rPr>
          <w:color w:val="000000"/>
        </w:rPr>
        <w:t xml:space="preserve">led the expert testimony of the following experts: </w:t>
      </w:r>
      <w:r w:rsidR="00E27C65">
        <w:rPr>
          <w:color w:val="000000"/>
        </w:rPr>
        <w:t xml:space="preserve">Dr </w:t>
      </w:r>
      <w:proofErr w:type="spellStart"/>
      <w:r w:rsidR="00E27C65">
        <w:rPr>
          <w:color w:val="000000"/>
        </w:rPr>
        <w:t>Langenegger</w:t>
      </w:r>
      <w:proofErr w:type="spellEnd"/>
      <w:r w:rsidR="00E27C65">
        <w:rPr>
          <w:color w:val="000000"/>
        </w:rPr>
        <w:t xml:space="preserve"> (Obstetrician &amp; Gynaecologist); </w:t>
      </w:r>
      <w:r w:rsidR="00B80E5C">
        <w:rPr>
          <w:color w:val="000000"/>
        </w:rPr>
        <w:t xml:space="preserve">Professor Van </w:t>
      </w:r>
      <w:proofErr w:type="spellStart"/>
      <w:r w:rsidR="00B80E5C">
        <w:rPr>
          <w:color w:val="000000"/>
        </w:rPr>
        <w:t>Toorn</w:t>
      </w:r>
      <w:proofErr w:type="spellEnd"/>
      <w:r w:rsidR="00B80E5C">
        <w:rPr>
          <w:color w:val="000000"/>
        </w:rPr>
        <w:t xml:space="preserve"> (Paediatric Neurologist); Professor Smith (Paediatrician and Neonatologist); Professor Nolte (Nursing Specialist) and Dr </w:t>
      </w:r>
      <w:proofErr w:type="spellStart"/>
      <w:r w:rsidR="00B80E5C">
        <w:rPr>
          <w:color w:val="000000"/>
        </w:rPr>
        <w:t>Alheit</w:t>
      </w:r>
      <w:proofErr w:type="spellEnd"/>
      <w:r w:rsidR="00B80E5C">
        <w:rPr>
          <w:color w:val="000000"/>
        </w:rPr>
        <w:t xml:space="preserve"> (Radiologist). </w:t>
      </w:r>
      <w:r w:rsidR="007F16A8">
        <w:rPr>
          <w:color w:val="000000"/>
        </w:rPr>
        <w:t>The defendant led the ev</w:t>
      </w:r>
      <w:r w:rsidR="0057579A">
        <w:rPr>
          <w:color w:val="000000"/>
        </w:rPr>
        <w:t xml:space="preserve">idence of the following experts: Dr </w:t>
      </w:r>
      <w:proofErr w:type="spellStart"/>
      <w:r w:rsidR="0057579A">
        <w:rPr>
          <w:color w:val="000000"/>
        </w:rPr>
        <w:t>Malebane</w:t>
      </w:r>
      <w:proofErr w:type="spellEnd"/>
      <w:r w:rsidR="0057579A">
        <w:rPr>
          <w:color w:val="000000"/>
        </w:rPr>
        <w:t xml:space="preserve"> (Obstetrician &amp; Gynaecologist); </w:t>
      </w:r>
      <w:r w:rsidR="00472AE8">
        <w:rPr>
          <w:color w:val="000000"/>
        </w:rPr>
        <w:t xml:space="preserve">Dr </w:t>
      </w:r>
      <w:proofErr w:type="spellStart"/>
      <w:r w:rsidR="00472AE8">
        <w:rPr>
          <w:color w:val="000000"/>
        </w:rPr>
        <w:t>Mogashoa</w:t>
      </w:r>
      <w:proofErr w:type="spellEnd"/>
      <w:r w:rsidR="00472AE8">
        <w:rPr>
          <w:color w:val="000000"/>
        </w:rPr>
        <w:t xml:space="preserve"> (Paediatric Neurologist); </w:t>
      </w:r>
      <w:r w:rsidR="006A781B">
        <w:rPr>
          <w:color w:val="000000"/>
        </w:rPr>
        <w:t xml:space="preserve">Professor Bolton </w:t>
      </w:r>
      <w:r w:rsidR="00472AE8">
        <w:rPr>
          <w:color w:val="000000"/>
        </w:rPr>
        <w:t xml:space="preserve">(Paediatrician) and Dr Weinstein (Radiologist). </w:t>
      </w:r>
      <w:r w:rsidR="007F16A8">
        <w:rPr>
          <w:color w:val="000000"/>
        </w:rPr>
        <w:t xml:space="preserve">All of the expert witnesses had regard to the hospital records and the clinical notes on which their opinions were based. As always, the hospital records and the clinical notes played an </w:t>
      </w:r>
      <w:r w:rsidR="00F3493F">
        <w:rPr>
          <w:color w:val="000000"/>
        </w:rPr>
        <w:t>integral</w:t>
      </w:r>
      <w:r w:rsidR="007F16A8">
        <w:rPr>
          <w:color w:val="000000"/>
        </w:rPr>
        <w:t xml:space="preserve"> part in establishing the common cause facts in the matter and those documents are referenced by me during the discussion of the common cause facts. </w:t>
      </w:r>
    </w:p>
    <w:p w:rsidR="00CD2D21" w:rsidRPr="00CD2D21" w:rsidRDefault="005A4BE6" w:rsidP="005A4BE6">
      <w:pPr>
        <w:spacing w:after="120" w:line="360" w:lineRule="auto"/>
        <w:jc w:val="both"/>
        <w:outlineLvl w:val="0"/>
        <w:rPr>
          <w:color w:val="000000"/>
        </w:rPr>
      </w:pPr>
      <w:r w:rsidRPr="00CD2D21">
        <w:rPr>
          <w:color w:val="000000"/>
        </w:rPr>
        <w:t>[3].</w:t>
      </w:r>
      <w:r w:rsidRPr="00CD2D21">
        <w:rPr>
          <w:color w:val="000000"/>
        </w:rPr>
        <w:tab/>
      </w:r>
      <w:proofErr w:type="gramStart"/>
      <w:r w:rsidR="007F16A8">
        <w:rPr>
          <w:color w:val="000000"/>
        </w:rPr>
        <w:t>As</w:t>
      </w:r>
      <w:proofErr w:type="gramEnd"/>
      <w:r w:rsidR="007F16A8">
        <w:rPr>
          <w:color w:val="000000"/>
        </w:rPr>
        <w:t xml:space="preserve"> already indicated, o</w:t>
      </w:r>
      <w:r w:rsidR="006F2CE6" w:rsidRPr="006F2CE6">
        <w:rPr>
          <w:color w:val="000000"/>
        </w:rPr>
        <w:t xml:space="preserve">n </w:t>
      </w:r>
      <w:r w:rsidR="00DC7FBE">
        <w:rPr>
          <w:color w:val="000000"/>
        </w:rPr>
        <w:t>[…]</w:t>
      </w:r>
      <w:r w:rsidR="006F2CE6" w:rsidRPr="006F2CE6">
        <w:rPr>
          <w:color w:val="000000"/>
        </w:rPr>
        <w:t xml:space="preserve"> </w:t>
      </w:r>
      <w:r w:rsidR="00C82270">
        <w:rPr>
          <w:color w:val="000000"/>
        </w:rPr>
        <w:t>March</w:t>
      </w:r>
      <w:r w:rsidR="006F2CE6" w:rsidRPr="006F2CE6">
        <w:rPr>
          <w:color w:val="000000"/>
        </w:rPr>
        <w:t xml:space="preserve"> </w:t>
      </w:r>
      <w:r w:rsidR="00DC7FBE">
        <w:rPr>
          <w:color w:val="000000"/>
        </w:rPr>
        <w:t>[…]</w:t>
      </w:r>
      <w:r w:rsidR="006F2CE6" w:rsidRPr="006F2CE6">
        <w:rPr>
          <w:color w:val="000000"/>
        </w:rPr>
        <w:t>,</w:t>
      </w:r>
      <w:r w:rsidR="00CD2D21">
        <w:rPr>
          <w:color w:val="000000"/>
        </w:rPr>
        <w:t xml:space="preserve"> at about 05</w:t>
      </w:r>
      <w:r w:rsidR="007D31B0">
        <w:rPr>
          <w:color w:val="000000"/>
        </w:rPr>
        <w:t>:30,</w:t>
      </w:r>
      <w:r w:rsidR="006F2CE6" w:rsidRPr="006F2CE6">
        <w:rPr>
          <w:color w:val="000000"/>
        </w:rPr>
        <w:t xml:space="preserve"> a baby </w:t>
      </w:r>
      <w:r w:rsidR="00C82270">
        <w:rPr>
          <w:color w:val="000000"/>
        </w:rPr>
        <w:t>girl</w:t>
      </w:r>
      <w:r w:rsidR="00450ED6">
        <w:rPr>
          <w:color w:val="000000"/>
        </w:rPr>
        <w:t xml:space="preserve">, weighing </w:t>
      </w:r>
      <w:r w:rsidR="007F16A8">
        <w:rPr>
          <w:color w:val="000000"/>
        </w:rPr>
        <w:t>2704</w:t>
      </w:r>
      <w:r w:rsidR="00450ED6">
        <w:rPr>
          <w:color w:val="000000"/>
        </w:rPr>
        <w:t xml:space="preserve"> grams,</w:t>
      </w:r>
      <w:r w:rsidR="006F2CE6" w:rsidRPr="006F2CE6">
        <w:rPr>
          <w:color w:val="000000"/>
        </w:rPr>
        <w:t xml:space="preserve"> </w:t>
      </w:r>
      <w:r w:rsidR="007D31B0">
        <w:rPr>
          <w:color w:val="000000"/>
        </w:rPr>
        <w:t>w</w:t>
      </w:r>
      <w:r w:rsidR="006F2CE6" w:rsidRPr="006F2CE6">
        <w:rPr>
          <w:color w:val="000000"/>
        </w:rPr>
        <w:t xml:space="preserve">as born </w:t>
      </w:r>
      <w:r w:rsidR="007D31B0">
        <w:rPr>
          <w:color w:val="000000"/>
        </w:rPr>
        <w:t xml:space="preserve">by </w:t>
      </w:r>
      <w:r w:rsidR="007F16A8">
        <w:rPr>
          <w:color w:val="000000"/>
        </w:rPr>
        <w:t xml:space="preserve">normal vaginal delivery </w:t>
      </w:r>
      <w:r w:rsidR="007D31B0">
        <w:rPr>
          <w:color w:val="000000"/>
        </w:rPr>
        <w:t xml:space="preserve">to the plaintiff at the </w:t>
      </w:r>
      <w:r w:rsidR="007F16A8">
        <w:rPr>
          <w:color w:val="000000"/>
        </w:rPr>
        <w:t>CMAH</w:t>
      </w:r>
      <w:r w:rsidR="007D31B0">
        <w:rPr>
          <w:color w:val="000000"/>
        </w:rPr>
        <w:t xml:space="preserve">. </w:t>
      </w:r>
      <w:r w:rsidR="006F2CE6" w:rsidRPr="006F2CE6">
        <w:rPr>
          <w:color w:val="000000"/>
        </w:rPr>
        <w:t xml:space="preserve">This had been her </w:t>
      </w:r>
      <w:r w:rsidR="007D31B0">
        <w:rPr>
          <w:color w:val="000000"/>
        </w:rPr>
        <w:t>second</w:t>
      </w:r>
      <w:r w:rsidR="006F2CE6" w:rsidRPr="006F2CE6">
        <w:rPr>
          <w:color w:val="000000"/>
        </w:rPr>
        <w:t xml:space="preserve"> pregnancy</w:t>
      </w:r>
      <w:r w:rsidR="007D31B0">
        <w:rPr>
          <w:color w:val="000000"/>
        </w:rPr>
        <w:t xml:space="preserve"> and prior to giving birth she had </w:t>
      </w:r>
      <w:r w:rsidR="00C51153">
        <w:rPr>
          <w:color w:val="000000"/>
        </w:rPr>
        <w:t xml:space="preserve">presented </w:t>
      </w:r>
      <w:r w:rsidR="00AF3A09">
        <w:rPr>
          <w:color w:val="000000"/>
        </w:rPr>
        <w:t xml:space="preserve">herself </w:t>
      </w:r>
      <w:r w:rsidR="006248B6">
        <w:rPr>
          <w:color w:val="000000"/>
        </w:rPr>
        <w:t>at the CM</w:t>
      </w:r>
      <w:r w:rsidR="00C51153">
        <w:rPr>
          <w:color w:val="000000"/>
        </w:rPr>
        <w:t xml:space="preserve">AH antenatal clinic </w:t>
      </w:r>
      <w:r w:rsidR="006248B6">
        <w:rPr>
          <w:color w:val="000000"/>
        </w:rPr>
        <w:t>for the first time on</w:t>
      </w:r>
      <w:r w:rsidR="00C51153">
        <w:rPr>
          <w:color w:val="000000"/>
        </w:rPr>
        <w:t xml:space="preserve"> </w:t>
      </w:r>
      <w:r w:rsidR="006248B6">
        <w:rPr>
          <w:color w:val="000000"/>
        </w:rPr>
        <w:t>10</w:t>
      </w:r>
      <w:r w:rsidR="00C51153">
        <w:rPr>
          <w:color w:val="000000"/>
        </w:rPr>
        <w:t xml:space="preserve"> </w:t>
      </w:r>
      <w:r w:rsidR="006248B6">
        <w:rPr>
          <w:color w:val="000000"/>
        </w:rPr>
        <w:t>February</w:t>
      </w:r>
      <w:r w:rsidR="00C51153">
        <w:rPr>
          <w:color w:val="000000"/>
        </w:rPr>
        <w:t xml:space="preserve"> 2005 and </w:t>
      </w:r>
      <w:r w:rsidR="00AF3A09">
        <w:rPr>
          <w:color w:val="000000"/>
        </w:rPr>
        <w:t xml:space="preserve">thereafter </w:t>
      </w:r>
      <w:r w:rsidR="006248B6">
        <w:rPr>
          <w:color w:val="000000"/>
        </w:rPr>
        <w:t xml:space="preserve">again on 17 February 2005, on which date she was seemingly examined for the first time during her pregnancy. At that date, the gestational age was estimated at eight months and one </w:t>
      </w:r>
      <w:r w:rsidR="006248B6" w:rsidRPr="006248B6">
        <w:rPr>
          <w:color w:val="000000"/>
        </w:rPr>
        <w:t>week</w:t>
      </w:r>
      <w:r w:rsidR="006248B6">
        <w:rPr>
          <w:color w:val="000000"/>
        </w:rPr>
        <w:t>.</w:t>
      </w:r>
      <w:r w:rsidR="00A9224C">
        <w:rPr>
          <w:color w:val="000000"/>
        </w:rPr>
        <w:t xml:space="preserve"> On 3 March 2005 – the day before the birth of the child – there was another visit by the plaintiff to the antenatal clinic, which, according to the records, appears to have been uneventful. At 00:</w:t>
      </w:r>
      <w:r w:rsidR="00CD2D21">
        <w:rPr>
          <w:color w:val="000000"/>
        </w:rPr>
        <w:t>05</w:t>
      </w:r>
      <w:r w:rsidR="00DC7FBE">
        <w:rPr>
          <w:color w:val="000000"/>
        </w:rPr>
        <w:t xml:space="preserve"> on […]</w:t>
      </w:r>
      <w:r w:rsidR="00A9224C">
        <w:rPr>
          <w:color w:val="000000"/>
        </w:rPr>
        <w:t xml:space="preserve"> </w:t>
      </w:r>
      <w:r w:rsidR="00A808C5">
        <w:rPr>
          <w:color w:val="000000"/>
        </w:rPr>
        <w:t>March</w:t>
      </w:r>
      <w:r w:rsidR="00DC7FBE">
        <w:rPr>
          <w:color w:val="000000"/>
        </w:rPr>
        <w:t xml:space="preserve"> […]</w:t>
      </w:r>
      <w:r w:rsidR="00A9224C">
        <w:rPr>
          <w:color w:val="000000"/>
        </w:rPr>
        <w:t xml:space="preserve">, the plaintiff presented herself at the maternity ward of the hospital and complained of lower abdominal pains. At 05:30 </w:t>
      </w:r>
      <w:r w:rsidR="00CD2D21">
        <w:rPr>
          <w:color w:val="000000"/>
        </w:rPr>
        <w:t xml:space="preserve">– about five and a half hours after admission to the labour ward – </w:t>
      </w:r>
      <w:r w:rsidR="00A9224C">
        <w:rPr>
          <w:color w:val="000000"/>
        </w:rPr>
        <w:t>her</w:t>
      </w:r>
      <w:r w:rsidR="00CD2D21">
        <w:rPr>
          <w:color w:val="000000"/>
        </w:rPr>
        <w:t xml:space="preserve"> </w:t>
      </w:r>
      <w:r w:rsidR="00A9224C">
        <w:rPr>
          <w:color w:val="000000"/>
        </w:rPr>
        <w:t xml:space="preserve">child was born by normal vaginal delivery </w:t>
      </w:r>
      <w:r w:rsidR="00CD2D21">
        <w:rPr>
          <w:color w:val="000000"/>
        </w:rPr>
        <w:t>assisted by</w:t>
      </w:r>
      <w:r w:rsidR="009A274F">
        <w:rPr>
          <w:color w:val="000000"/>
        </w:rPr>
        <w:t xml:space="preserve"> </w:t>
      </w:r>
      <w:r w:rsidR="00D965C0">
        <w:rPr>
          <w:color w:val="000000"/>
        </w:rPr>
        <w:t xml:space="preserve">a </w:t>
      </w:r>
      <w:r w:rsidR="009A274F">
        <w:rPr>
          <w:color w:val="000000"/>
        </w:rPr>
        <w:t>vacuum extraction.</w:t>
      </w:r>
      <w:r w:rsidR="00CD2D21">
        <w:rPr>
          <w:color w:val="000000"/>
        </w:rPr>
        <w:t xml:space="preserve"> </w:t>
      </w:r>
      <w:r w:rsidR="00CD2D21" w:rsidRPr="00CD2D21">
        <w:rPr>
          <w:color w:val="000000"/>
        </w:rPr>
        <w:t>The post-</w:t>
      </w:r>
      <w:r w:rsidR="00CD2D21" w:rsidRPr="00CD2D21">
        <w:rPr>
          <w:color w:val="000000"/>
        </w:rPr>
        <w:lastRenderedPageBreak/>
        <w:t xml:space="preserve">delivery clinical notes recorded </w:t>
      </w:r>
      <w:r w:rsidR="00CD2D21" w:rsidRPr="00CD2D21">
        <w:rPr>
          <w:i/>
          <w:color w:val="000000"/>
        </w:rPr>
        <w:t>inter alia</w:t>
      </w:r>
      <w:r w:rsidR="00CD2D21" w:rsidRPr="00CD2D21">
        <w:rPr>
          <w:color w:val="000000"/>
        </w:rPr>
        <w:t xml:space="preserve"> that the baby had suffered birth asphyxia</w:t>
      </w:r>
      <w:r w:rsidR="00D965C0">
        <w:rPr>
          <w:color w:val="000000"/>
        </w:rPr>
        <w:t>.</w:t>
      </w:r>
    </w:p>
    <w:p w:rsidR="006F2CE6" w:rsidRDefault="005A4BE6" w:rsidP="005A4BE6">
      <w:pPr>
        <w:spacing w:after="120" w:line="360" w:lineRule="auto"/>
        <w:jc w:val="both"/>
        <w:outlineLvl w:val="0"/>
        <w:rPr>
          <w:color w:val="000000"/>
        </w:rPr>
      </w:pPr>
      <w:r>
        <w:rPr>
          <w:color w:val="000000"/>
        </w:rPr>
        <w:t>[4].</w:t>
      </w:r>
      <w:r>
        <w:rPr>
          <w:color w:val="000000"/>
        </w:rPr>
        <w:tab/>
      </w:r>
      <w:r w:rsidR="003701CF">
        <w:rPr>
          <w:color w:val="000000"/>
        </w:rPr>
        <w:t>In this action, the plaintiff –</w:t>
      </w:r>
      <w:r w:rsidR="003701CF" w:rsidRPr="006F2CE6">
        <w:rPr>
          <w:color w:val="000000"/>
        </w:rPr>
        <w:t xml:space="preserve"> </w:t>
      </w:r>
      <w:r w:rsidR="00E256E3">
        <w:rPr>
          <w:color w:val="000000"/>
        </w:rPr>
        <w:t>in</w:t>
      </w:r>
      <w:r w:rsidR="00606167">
        <w:rPr>
          <w:color w:val="000000"/>
        </w:rPr>
        <w:t xml:space="preserve"> </w:t>
      </w:r>
      <w:r w:rsidR="00E256E3">
        <w:rPr>
          <w:color w:val="000000"/>
        </w:rPr>
        <w:t xml:space="preserve">her capacity </w:t>
      </w:r>
      <w:r w:rsidR="003701CF" w:rsidRPr="006F2CE6">
        <w:rPr>
          <w:color w:val="000000"/>
        </w:rPr>
        <w:t xml:space="preserve">as the mother and </w:t>
      </w:r>
      <w:r w:rsidR="003701CF">
        <w:rPr>
          <w:color w:val="000000"/>
        </w:rPr>
        <w:t xml:space="preserve">natural </w:t>
      </w:r>
      <w:r w:rsidR="003701CF" w:rsidRPr="006F2CE6">
        <w:rPr>
          <w:color w:val="000000"/>
        </w:rPr>
        <w:t xml:space="preserve">guardian of </w:t>
      </w:r>
      <w:r w:rsidR="003701CF">
        <w:rPr>
          <w:color w:val="000000"/>
        </w:rPr>
        <w:t xml:space="preserve">her minor </w:t>
      </w:r>
      <w:r w:rsidR="0098348B">
        <w:rPr>
          <w:color w:val="000000"/>
        </w:rPr>
        <w:t>daughter</w:t>
      </w:r>
      <w:r w:rsidR="003701CF">
        <w:rPr>
          <w:color w:val="000000"/>
        </w:rPr>
        <w:t xml:space="preserve">, who is presently seventeen years old – sues the </w:t>
      </w:r>
      <w:r w:rsidR="00F3493F">
        <w:rPr>
          <w:color w:val="000000"/>
        </w:rPr>
        <w:t>MEC</w:t>
      </w:r>
      <w:r w:rsidR="00877F12">
        <w:rPr>
          <w:color w:val="000000"/>
        </w:rPr>
        <w:t xml:space="preserve"> for damages</w:t>
      </w:r>
      <w:r w:rsidR="006F2CE6" w:rsidRPr="006F2CE6">
        <w:rPr>
          <w:color w:val="000000"/>
        </w:rPr>
        <w:t xml:space="preserve">. The </w:t>
      </w:r>
      <w:r w:rsidR="0098348B">
        <w:rPr>
          <w:color w:val="000000"/>
        </w:rPr>
        <w:t>CMAH</w:t>
      </w:r>
      <w:r w:rsidR="006F2CE6" w:rsidRPr="006F2CE6">
        <w:rPr>
          <w:color w:val="000000"/>
        </w:rPr>
        <w:t xml:space="preserve"> falls under the </w:t>
      </w:r>
      <w:r w:rsidR="003701CF">
        <w:rPr>
          <w:color w:val="000000"/>
        </w:rPr>
        <w:t>auspices of the defendant</w:t>
      </w:r>
      <w:r w:rsidR="00F3493F">
        <w:rPr>
          <w:color w:val="000000"/>
        </w:rPr>
        <w:t xml:space="preserve"> MEC</w:t>
      </w:r>
      <w:r w:rsidR="003701CF">
        <w:rPr>
          <w:color w:val="000000"/>
        </w:rPr>
        <w:t>,</w:t>
      </w:r>
      <w:r w:rsidR="006F2CE6" w:rsidRPr="006F2CE6">
        <w:rPr>
          <w:color w:val="000000"/>
        </w:rPr>
        <w:t xml:space="preserve"> who is responsible in law for any injury caused by the negligence of staff employed there. </w:t>
      </w:r>
      <w:r w:rsidR="00F3493F">
        <w:rPr>
          <w:color w:val="000000"/>
        </w:rPr>
        <w:t xml:space="preserve">That much is common cause between the parties. </w:t>
      </w:r>
      <w:r w:rsidR="003701CF">
        <w:rPr>
          <w:color w:val="000000"/>
        </w:rPr>
        <w:t>The plaintiff alleges</w:t>
      </w:r>
      <w:r w:rsidR="006F2CE6" w:rsidRPr="006F2CE6">
        <w:rPr>
          <w:color w:val="000000"/>
        </w:rPr>
        <w:t xml:space="preserve"> that the hospital staff had been negligent during the birth of </w:t>
      </w:r>
      <w:r w:rsidR="003701CF">
        <w:rPr>
          <w:color w:val="000000"/>
        </w:rPr>
        <w:t>her child</w:t>
      </w:r>
      <w:r w:rsidR="006F2CE6" w:rsidRPr="006F2CE6">
        <w:rPr>
          <w:color w:val="000000"/>
        </w:rPr>
        <w:t xml:space="preserve"> and that this negligence caused the hypoxic ischemic injury </w:t>
      </w:r>
      <w:r w:rsidR="003701CF">
        <w:rPr>
          <w:color w:val="000000"/>
        </w:rPr>
        <w:t xml:space="preserve">(‘HIE’) </w:t>
      </w:r>
      <w:r w:rsidR="006F2CE6" w:rsidRPr="006F2CE6">
        <w:rPr>
          <w:color w:val="000000"/>
        </w:rPr>
        <w:t xml:space="preserve">and its </w:t>
      </w:r>
      <w:proofErr w:type="spellStart"/>
      <w:r w:rsidR="006F2CE6" w:rsidRPr="006F2CE6">
        <w:rPr>
          <w:color w:val="000000"/>
        </w:rPr>
        <w:t>se</w:t>
      </w:r>
      <w:r w:rsidR="003701CF">
        <w:rPr>
          <w:color w:val="000000"/>
        </w:rPr>
        <w:t>quelae</w:t>
      </w:r>
      <w:proofErr w:type="spellEnd"/>
      <w:r w:rsidR="003701CF">
        <w:rPr>
          <w:color w:val="000000"/>
        </w:rPr>
        <w:t>. As a result, she claims</w:t>
      </w:r>
      <w:r w:rsidR="006F2CE6" w:rsidRPr="006F2CE6">
        <w:rPr>
          <w:color w:val="000000"/>
        </w:rPr>
        <w:t xml:space="preserve"> damages on behalf of </w:t>
      </w:r>
      <w:r w:rsidR="003701CF">
        <w:rPr>
          <w:color w:val="000000"/>
        </w:rPr>
        <w:t xml:space="preserve">her </w:t>
      </w:r>
      <w:r w:rsidR="00606167">
        <w:rPr>
          <w:color w:val="000000"/>
        </w:rPr>
        <w:t xml:space="preserve">minor </w:t>
      </w:r>
      <w:r w:rsidR="00D965C0">
        <w:rPr>
          <w:color w:val="000000"/>
        </w:rPr>
        <w:t>daughter</w:t>
      </w:r>
      <w:r w:rsidR="006F2CE6" w:rsidRPr="006F2CE6">
        <w:rPr>
          <w:color w:val="000000"/>
        </w:rPr>
        <w:t>.</w:t>
      </w:r>
    </w:p>
    <w:p w:rsidR="0014559C" w:rsidRPr="00470470" w:rsidRDefault="005A4BE6" w:rsidP="005A4BE6">
      <w:pPr>
        <w:spacing w:after="120" w:line="360" w:lineRule="auto"/>
        <w:jc w:val="both"/>
        <w:outlineLvl w:val="0"/>
        <w:rPr>
          <w:color w:val="000000"/>
        </w:rPr>
      </w:pPr>
      <w:r w:rsidRPr="00470470">
        <w:rPr>
          <w:color w:val="000000"/>
        </w:rPr>
        <w:t>[5].</w:t>
      </w:r>
      <w:r w:rsidRPr="00470470">
        <w:rPr>
          <w:color w:val="000000"/>
        </w:rPr>
        <w:tab/>
      </w:r>
      <w:r w:rsidR="00F245E3">
        <w:rPr>
          <w:color w:val="000000"/>
        </w:rPr>
        <w:t xml:space="preserve">It is the case of the plaintiff that the nursing and medical staff at the hospital were negligent in that they </w:t>
      </w:r>
      <w:r w:rsidR="00470470">
        <w:rPr>
          <w:color w:val="000000"/>
        </w:rPr>
        <w:t xml:space="preserve">allowed her to </w:t>
      </w:r>
      <w:r w:rsidR="00E256E3">
        <w:rPr>
          <w:color w:val="000000"/>
        </w:rPr>
        <w:t>endure</w:t>
      </w:r>
      <w:r w:rsidR="0014559C" w:rsidRPr="00470470">
        <w:rPr>
          <w:color w:val="000000"/>
        </w:rPr>
        <w:t xml:space="preserve"> several hours of labour in circumstances when a</w:t>
      </w:r>
      <w:r w:rsidR="00470470">
        <w:rPr>
          <w:color w:val="000000"/>
        </w:rPr>
        <w:t xml:space="preserve"> </w:t>
      </w:r>
      <w:r w:rsidR="0014559C" w:rsidRPr="00470470">
        <w:rPr>
          <w:color w:val="000000"/>
        </w:rPr>
        <w:t>Caesarean Section was indicated</w:t>
      </w:r>
      <w:r w:rsidR="00E256E3">
        <w:rPr>
          <w:color w:val="000000"/>
        </w:rPr>
        <w:t xml:space="preserve"> and reasonably required</w:t>
      </w:r>
      <w:r w:rsidR="00470470">
        <w:rPr>
          <w:color w:val="000000"/>
        </w:rPr>
        <w:t xml:space="preserve"> as a safer alternative to natural vaginal delivery. She also alleges in </w:t>
      </w:r>
      <w:r w:rsidR="00E256E3">
        <w:rPr>
          <w:color w:val="000000"/>
        </w:rPr>
        <w:t>her</w:t>
      </w:r>
      <w:r w:rsidR="00470470">
        <w:rPr>
          <w:color w:val="000000"/>
        </w:rPr>
        <w:t xml:space="preserve"> particulars of claim that she </w:t>
      </w:r>
      <w:r w:rsidR="0014559C" w:rsidRPr="00470470">
        <w:rPr>
          <w:color w:val="000000"/>
        </w:rPr>
        <w:t>was</w:t>
      </w:r>
      <w:r w:rsidR="00470470">
        <w:rPr>
          <w:color w:val="000000"/>
        </w:rPr>
        <w:t xml:space="preserve"> negligently</w:t>
      </w:r>
      <w:r w:rsidR="0014559C" w:rsidRPr="00470470">
        <w:rPr>
          <w:color w:val="000000"/>
        </w:rPr>
        <w:t xml:space="preserve"> left unmonitored and unattended for lengthy periods</w:t>
      </w:r>
      <w:r w:rsidR="00470470">
        <w:rPr>
          <w:color w:val="000000"/>
        </w:rPr>
        <w:t xml:space="preserve"> of time</w:t>
      </w:r>
      <w:r w:rsidR="0014559C" w:rsidRPr="00470470">
        <w:rPr>
          <w:color w:val="000000"/>
        </w:rPr>
        <w:t>.</w:t>
      </w:r>
      <w:r w:rsidR="00470470">
        <w:rPr>
          <w:color w:val="000000"/>
        </w:rPr>
        <w:t xml:space="preserve"> </w:t>
      </w:r>
      <w:r w:rsidR="0014559C" w:rsidRPr="00470470">
        <w:rPr>
          <w:color w:val="000000"/>
        </w:rPr>
        <w:t xml:space="preserve">As a result of </w:t>
      </w:r>
      <w:r w:rsidR="00470470">
        <w:rPr>
          <w:color w:val="000000"/>
        </w:rPr>
        <w:t>the</w:t>
      </w:r>
      <w:r w:rsidR="0014559C" w:rsidRPr="00470470">
        <w:rPr>
          <w:color w:val="000000"/>
        </w:rPr>
        <w:t xml:space="preserve"> prolonged labour and the </w:t>
      </w:r>
      <w:r w:rsidR="00470470">
        <w:rPr>
          <w:color w:val="000000"/>
        </w:rPr>
        <w:t xml:space="preserve">hospital staff’s </w:t>
      </w:r>
      <w:r w:rsidR="0014559C" w:rsidRPr="00470470">
        <w:rPr>
          <w:color w:val="000000"/>
        </w:rPr>
        <w:t>failure to perform a</w:t>
      </w:r>
      <w:r w:rsidR="00470470" w:rsidRPr="00470470">
        <w:rPr>
          <w:color w:val="000000"/>
        </w:rPr>
        <w:t xml:space="preserve"> </w:t>
      </w:r>
      <w:r w:rsidR="0014559C" w:rsidRPr="00470470">
        <w:rPr>
          <w:color w:val="000000"/>
        </w:rPr>
        <w:t xml:space="preserve">Caesarean Section to deliver </w:t>
      </w:r>
      <w:r w:rsidR="00470470">
        <w:rPr>
          <w:color w:val="000000"/>
        </w:rPr>
        <w:t>her child, so the plaintiff avers, the child</w:t>
      </w:r>
      <w:r w:rsidR="0014559C" w:rsidRPr="00470470">
        <w:rPr>
          <w:color w:val="000000"/>
        </w:rPr>
        <w:t xml:space="preserve"> suff</w:t>
      </w:r>
      <w:r w:rsidR="00470470">
        <w:rPr>
          <w:color w:val="000000"/>
        </w:rPr>
        <w:t>ered a hypoxic ischaem</w:t>
      </w:r>
      <w:r w:rsidR="0014559C" w:rsidRPr="00470470">
        <w:rPr>
          <w:color w:val="000000"/>
        </w:rPr>
        <w:t>ic incident</w:t>
      </w:r>
      <w:r w:rsidR="00470470">
        <w:rPr>
          <w:color w:val="000000"/>
        </w:rPr>
        <w:t xml:space="preserve"> </w:t>
      </w:r>
      <w:r w:rsidR="0014559C" w:rsidRPr="00470470">
        <w:rPr>
          <w:color w:val="000000"/>
        </w:rPr>
        <w:t>/ birth asphyxia due to perinatal asphyxia</w:t>
      </w:r>
      <w:r w:rsidR="00470470">
        <w:rPr>
          <w:color w:val="000000"/>
        </w:rPr>
        <w:t>. This</w:t>
      </w:r>
      <w:r w:rsidR="0014559C" w:rsidRPr="00470470">
        <w:rPr>
          <w:color w:val="000000"/>
        </w:rPr>
        <w:t>,</w:t>
      </w:r>
      <w:r w:rsidR="00470470">
        <w:rPr>
          <w:color w:val="000000"/>
        </w:rPr>
        <w:t xml:space="preserve"> in turn, caused</w:t>
      </w:r>
      <w:r w:rsidR="0014559C" w:rsidRPr="00470470">
        <w:rPr>
          <w:color w:val="000000"/>
        </w:rPr>
        <w:t xml:space="preserve"> </w:t>
      </w:r>
      <w:r w:rsidR="00470470">
        <w:rPr>
          <w:color w:val="000000"/>
        </w:rPr>
        <w:t>the child</w:t>
      </w:r>
      <w:r w:rsidR="0014559C" w:rsidRPr="00470470">
        <w:rPr>
          <w:color w:val="000000"/>
        </w:rPr>
        <w:t xml:space="preserve"> to sustain severe brain damage, as a result of which she suffers from cerebral palsy, mental retardation and epilepsy.</w:t>
      </w:r>
    </w:p>
    <w:p w:rsidR="0014559C" w:rsidRPr="00011445" w:rsidRDefault="005A4BE6" w:rsidP="005A4BE6">
      <w:pPr>
        <w:spacing w:after="120" w:line="360" w:lineRule="auto"/>
        <w:jc w:val="both"/>
        <w:outlineLvl w:val="0"/>
        <w:rPr>
          <w:color w:val="000000"/>
        </w:rPr>
      </w:pPr>
      <w:r w:rsidRPr="00011445">
        <w:rPr>
          <w:color w:val="000000"/>
        </w:rPr>
        <w:t>[6].</w:t>
      </w:r>
      <w:r w:rsidRPr="00011445">
        <w:rPr>
          <w:color w:val="000000"/>
        </w:rPr>
        <w:tab/>
      </w:r>
      <w:r w:rsidR="00292A01">
        <w:rPr>
          <w:color w:val="000000"/>
        </w:rPr>
        <w:t xml:space="preserve">The material grounds of negligence relied upon by the plaintiff is that the hospital staff and the doctors at the hospital </w:t>
      </w:r>
      <w:r w:rsidR="0014559C" w:rsidRPr="0014559C">
        <w:rPr>
          <w:color w:val="000000"/>
        </w:rPr>
        <w:t>failed to properly, sufficiently or adequately assess the</w:t>
      </w:r>
      <w:r w:rsidR="00292A01">
        <w:rPr>
          <w:color w:val="000000"/>
        </w:rPr>
        <w:t xml:space="preserve"> </w:t>
      </w:r>
      <w:r w:rsidR="0014559C" w:rsidRPr="00292A01">
        <w:rPr>
          <w:color w:val="000000"/>
        </w:rPr>
        <w:t>plaintiff</w:t>
      </w:r>
      <w:r w:rsidR="00292A01">
        <w:rPr>
          <w:color w:val="000000"/>
        </w:rPr>
        <w:t>’</w:t>
      </w:r>
      <w:r w:rsidR="0014559C" w:rsidRPr="00292A01">
        <w:rPr>
          <w:color w:val="000000"/>
        </w:rPr>
        <w:t xml:space="preserve">s stage of labour when </w:t>
      </w:r>
      <w:r w:rsidR="00292A01">
        <w:rPr>
          <w:color w:val="000000"/>
        </w:rPr>
        <w:t>she</w:t>
      </w:r>
      <w:r w:rsidR="0014559C" w:rsidRPr="00292A01">
        <w:rPr>
          <w:color w:val="000000"/>
        </w:rPr>
        <w:t xml:space="preserve"> was admitted to the </w:t>
      </w:r>
      <w:r w:rsidR="00292A01">
        <w:rPr>
          <w:color w:val="000000"/>
        </w:rPr>
        <w:t xml:space="preserve">hospital and that they failed </w:t>
      </w:r>
      <w:r w:rsidR="0014559C" w:rsidRPr="00292A01">
        <w:rPr>
          <w:color w:val="000000"/>
        </w:rPr>
        <w:t xml:space="preserve">to monitor </w:t>
      </w:r>
      <w:r w:rsidR="00292A01">
        <w:rPr>
          <w:color w:val="000000"/>
        </w:rPr>
        <w:t xml:space="preserve">the </w:t>
      </w:r>
      <w:r w:rsidR="0014559C" w:rsidRPr="00292A01">
        <w:rPr>
          <w:color w:val="000000"/>
        </w:rPr>
        <w:t>plaintiff</w:t>
      </w:r>
      <w:r w:rsidR="00E256E3">
        <w:rPr>
          <w:color w:val="000000"/>
        </w:rPr>
        <w:t>’</w:t>
      </w:r>
      <w:r w:rsidR="0014559C" w:rsidRPr="00292A01">
        <w:rPr>
          <w:color w:val="000000"/>
        </w:rPr>
        <w:t>s labour and foetal well-being</w:t>
      </w:r>
      <w:r w:rsidR="00292A01">
        <w:rPr>
          <w:color w:val="000000"/>
        </w:rPr>
        <w:t xml:space="preserve"> </w:t>
      </w:r>
      <w:r w:rsidR="0014559C" w:rsidRPr="00292A01">
        <w:rPr>
          <w:color w:val="000000"/>
        </w:rPr>
        <w:t>appropriately</w:t>
      </w:r>
      <w:r w:rsidR="00292A01">
        <w:rPr>
          <w:color w:val="000000"/>
        </w:rPr>
        <w:t xml:space="preserve"> or </w:t>
      </w:r>
      <w:r w:rsidR="0014559C" w:rsidRPr="00292A01">
        <w:rPr>
          <w:color w:val="000000"/>
        </w:rPr>
        <w:t>with sufficient regularity</w:t>
      </w:r>
      <w:r w:rsidR="00292A01">
        <w:rPr>
          <w:color w:val="000000"/>
        </w:rPr>
        <w:t xml:space="preserve">. Importantly, the plaintiff claims that the attending doctors and nurses negligently </w:t>
      </w:r>
      <w:r w:rsidR="0014559C" w:rsidRPr="00292A01">
        <w:rPr>
          <w:color w:val="000000"/>
        </w:rPr>
        <w:t>failed to appreciate</w:t>
      </w:r>
      <w:r w:rsidR="00292A01">
        <w:rPr>
          <w:color w:val="000000"/>
        </w:rPr>
        <w:t xml:space="preserve"> </w:t>
      </w:r>
      <w:r w:rsidR="0014559C" w:rsidRPr="00292A01">
        <w:rPr>
          <w:color w:val="000000"/>
        </w:rPr>
        <w:t>that plaintiff's labour was not progressing appropriately or as required in the circumstances</w:t>
      </w:r>
      <w:r w:rsidR="00292A01">
        <w:rPr>
          <w:color w:val="000000"/>
        </w:rPr>
        <w:t>.</w:t>
      </w:r>
      <w:r w:rsidR="00D743DD">
        <w:rPr>
          <w:color w:val="000000"/>
        </w:rPr>
        <w:t xml:space="preserve"> In that regard, the allegation by the plaintiff is that the staff and the doctors did not properly </w:t>
      </w:r>
      <w:r w:rsidR="0014559C" w:rsidRPr="00D743DD">
        <w:rPr>
          <w:color w:val="000000"/>
        </w:rPr>
        <w:t xml:space="preserve">monitor the </w:t>
      </w:r>
      <w:r w:rsidR="00D743DD" w:rsidRPr="00D743DD">
        <w:rPr>
          <w:color w:val="000000"/>
        </w:rPr>
        <w:t>foetal</w:t>
      </w:r>
      <w:r w:rsidR="002D30FD">
        <w:rPr>
          <w:color w:val="000000"/>
        </w:rPr>
        <w:t xml:space="preserve"> heart rate</w:t>
      </w:r>
      <w:r w:rsidR="00D743DD">
        <w:rPr>
          <w:color w:val="000000"/>
        </w:rPr>
        <w:t xml:space="preserve">, which resulted in them failing to detect that the foetus was in distress. There was a failure by the staff, so the plaintiff avers, to monitor the foetus by the use and the running of accurate </w:t>
      </w:r>
      <w:proofErr w:type="spellStart"/>
      <w:r w:rsidR="00D743DD">
        <w:rPr>
          <w:color w:val="000000"/>
        </w:rPr>
        <w:t>Cardiotocography</w:t>
      </w:r>
      <w:proofErr w:type="spellEnd"/>
      <w:r w:rsidR="00D743DD">
        <w:rPr>
          <w:color w:val="000000"/>
        </w:rPr>
        <w:t xml:space="preserve"> </w:t>
      </w:r>
      <w:r w:rsidR="00D743DD">
        <w:rPr>
          <w:color w:val="000000"/>
        </w:rPr>
        <w:lastRenderedPageBreak/>
        <w:t>(‘CT</w:t>
      </w:r>
      <w:r w:rsidR="0014559C" w:rsidRPr="00D743DD">
        <w:rPr>
          <w:color w:val="000000"/>
        </w:rPr>
        <w:t>G') tracings</w:t>
      </w:r>
      <w:r w:rsidR="00D743DD">
        <w:rPr>
          <w:color w:val="000000"/>
        </w:rPr>
        <w:t xml:space="preserve">. A CTG is a continuous recording of the foetal heart rate obtained via an ultrasound </w:t>
      </w:r>
      <w:r w:rsidR="00011445">
        <w:rPr>
          <w:color w:val="000000"/>
        </w:rPr>
        <w:t xml:space="preserve">transducer placed on a pregnant mother’s abdomen, which, if it had been used properly, so the plaintiff submits, would have indicated to the nursing staff and the doctors </w:t>
      </w:r>
      <w:r w:rsidR="00F3493F">
        <w:rPr>
          <w:color w:val="000000"/>
        </w:rPr>
        <w:t xml:space="preserve">a </w:t>
      </w:r>
      <w:r w:rsidR="00011445">
        <w:rPr>
          <w:color w:val="000000"/>
        </w:rPr>
        <w:t>foetal</w:t>
      </w:r>
      <w:r w:rsidR="0014559C" w:rsidRPr="00D743DD">
        <w:rPr>
          <w:color w:val="000000"/>
        </w:rPr>
        <w:t xml:space="preserve"> heart </w:t>
      </w:r>
      <w:r w:rsidR="00011445">
        <w:rPr>
          <w:color w:val="000000"/>
        </w:rPr>
        <w:t xml:space="preserve">rate </w:t>
      </w:r>
      <w:r w:rsidR="0014559C" w:rsidRPr="00D743DD">
        <w:rPr>
          <w:color w:val="000000"/>
        </w:rPr>
        <w:t xml:space="preserve">pattern </w:t>
      </w:r>
      <w:r w:rsidR="002D30FD">
        <w:rPr>
          <w:color w:val="000000"/>
        </w:rPr>
        <w:t xml:space="preserve">which </w:t>
      </w:r>
      <w:r w:rsidR="0014559C" w:rsidRPr="00D743DD">
        <w:rPr>
          <w:color w:val="000000"/>
        </w:rPr>
        <w:t>was completely unsatisfactory</w:t>
      </w:r>
      <w:r w:rsidR="00011445">
        <w:rPr>
          <w:color w:val="000000"/>
        </w:rPr>
        <w:t xml:space="preserve">. Lastly, the allegation is made by the plaintiff that the hospital staff failed </w:t>
      </w:r>
      <w:r w:rsidR="0014559C" w:rsidRPr="00011445">
        <w:rPr>
          <w:color w:val="000000"/>
        </w:rPr>
        <w:t>to perform a Caesarean Section on the plaintiff in</w:t>
      </w:r>
      <w:r w:rsidR="00011445" w:rsidRPr="00011445">
        <w:rPr>
          <w:color w:val="000000"/>
        </w:rPr>
        <w:t xml:space="preserve"> </w:t>
      </w:r>
      <w:r w:rsidR="0014559C" w:rsidRPr="00011445">
        <w:rPr>
          <w:color w:val="000000"/>
        </w:rPr>
        <w:t xml:space="preserve">circumstances where it was </w:t>
      </w:r>
      <w:r w:rsidR="00011445" w:rsidRPr="00011445">
        <w:rPr>
          <w:color w:val="000000"/>
        </w:rPr>
        <w:t>necessary</w:t>
      </w:r>
      <w:r w:rsidR="00011445">
        <w:rPr>
          <w:color w:val="000000"/>
        </w:rPr>
        <w:t xml:space="preserve"> to do so.</w:t>
      </w:r>
    </w:p>
    <w:p w:rsidR="0014559C" w:rsidRPr="00686F2C" w:rsidRDefault="005A4BE6" w:rsidP="005A4BE6">
      <w:pPr>
        <w:spacing w:after="120" w:line="360" w:lineRule="auto"/>
        <w:jc w:val="both"/>
        <w:outlineLvl w:val="0"/>
        <w:rPr>
          <w:color w:val="000000"/>
        </w:rPr>
      </w:pPr>
      <w:r w:rsidRPr="00686F2C">
        <w:rPr>
          <w:color w:val="000000"/>
        </w:rPr>
        <w:t>[7].</w:t>
      </w:r>
      <w:r w:rsidRPr="00686F2C">
        <w:rPr>
          <w:color w:val="000000"/>
        </w:rPr>
        <w:tab/>
      </w:r>
      <w:r w:rsidR="00011445">
        <w:rPr>
          <w:color w:val="000000"/>
        </w:rPr>
        <w:t>In sum, the case of the plaintiff is that</w:t>
      </w:r>
      <w:r w:rsidR="00686F2C">
        <w:rPr>
          <w:color w:val="000000"/>
        </w:rPr>
        <w:t>,</w:t>
      </w:r>
      <w:r w:rsidR="00011445">
        <w:rPr>
          <w:color w:val="000000"/>
        </w:rPr>
        <w:t xml:space="preserve"> during the birth </w:t>
      </w:r>
      <w:r w:rsidR="00686F2C">
        <w:rPr>
          <w:color w:val="000000"/>
        </w:rPr>
        <w:t xml:space="preserve">process, </w:t>
      </w:r>
      <w:r w:rsidR="00011445">
        <w:rPr>
          <w:color w:val="000000"/>
        </w:rPr>
        <w:t xml:space="preserve">the foetus was deprived of oxygen </w:t>
      </w:r>
      <w:r w:rsidR="00686F2C">
        <w:rPr>
          <w:color w:val="000000"/>
        </w:rPr>
        <w:t xml:space="preserve">for prolonged periods of time as a result of negligence on the part of the hospital staff, which resulted in the new-born baby suffering a hypoxic ischaemic incident / birth asphyxia, causing severe brain damage, </w:t>
      </w:r>
      <w:r w:rsidR="0014559C" w:rsidRPr="00686F2C">
        <w:rPr>
          <w:color w:val="000000"/>
        </w:rPr>
        <w:t>cerebral palsy, mental retardation and epilepsy</w:t>
      </w:r>
      <w:r w:rsidR="00686F2C">
        <w:rPr>
          <w:color w:val="000000"/>
        </w:rPr>
        <w:t xml:space="preserve">. But for the </w:t>
      </w:r>
      <w:proofErr w:type="spellStart"/>
      <w:r w:rsidR="00686F2C">
        <w:rPr>
          <w:color w:val="000000"/>
        </w:rPr>
        <w:t>aforegoing</w:t>
      </w:r>
      <w:proofErr w:type="spellEnd"/>
      <w:r w:rsidR="00686F2C">
        <w:rPr>
          <w:color w:val="000000"/>
        </w:rPr>
        <w:t xml:space="preserve"> negligence, so the case of the plaintiff goes, </w:t>
      </w:r>
      <w:r w:rsidR="0014559C" w:rsidRPr="00686F2C">
        <w:rPr>
          <w:color w:val="000000"/>
        </w:rPr>
        <w:t xml:space="preserve">the foetal distress and consequent birth asphyxia suffered by </w:t>
      </w:r>
      <w:r w:rsidR="00686F2C">
        <w:rPr>
          <w:color w:val="000000"/>
        </w:rPr>
        <w:t>the foetus</w:t>
      </w:r>
      <w:r w:rsidR="00686F2C" w:rsidRPr="00686F2C">
        <w:rPr>
          <w:color w:val="000000"/>
        </w:rPr>
        <w:t xml:space="preserve"> </w:t>
      </w:r>
      <w:r w:rsidR="0014559C" w:rsidRPr="00686F2C">
        <w:rPr>
          <w:color w:val="000000"/>
        </w:rPr>
        <w:t>woul</w:t>
      </w:r>
      <w:r w:rsidR="00686F2C">
        <w:rPr>
          <w:color w:val="000000"/>
        </w:rPr>
        <w:t xml:space="preserve">d have been timeously diagnosed and </w:t>
      </w:r>
      <w:r w:rsidR="0014559C" w:rsidRPr="00686F2C">
        <w:rPr>
          <w:color w:val="000000"/>
        </w:rPr>
        <w:t>immediate, appropriate and proper therapeutic measu</w:t>
      </w:r>
      <w:r w:rsidR="00686F2C">
        <w:rPr>
          <w:color w:val="000000"/>
        </w:rPr>
        <w:t xml:space="preserve">res would have been implemented and the </w:t>
      </w:r>
      <w:r w:rsidR="0014559C" w:rsidRPr="00686F2C">
        <w:rPr>
          <w:color w:val="000000"/>
        </w:rPr>
        <w:t>complications of foetal distress and birth asphyxia</w:t>
      </w:r>
      <w:r w:rsidR="00686F2C">
        <w:rPr>
          <w:color w:val="000000"/>
        </w:rPr>
        <w:t>,</w:t>
      </w:r>
      <w:r w:rsidR="0014559C" w:rsidRPr="00686F2C">
        <w:rPr>
          <w:color w:val="000000"/>
        </w:rPr>
        <w:t xml:space="preserve"> such as </w:t>
      </w:r>
      <w:r w:rsidR="00E23BA2">
        <w:rPr>
          <w:color w:val="000000"/>
        </w:rPr>
        <w:t xml:space="preserve">damage to the brain and </w:t>
      </w:r>
      <w:r w:rsidR="0014559C" w:rsidRPr="00686F2C">
        <w:rPr>
          <w:color w:val="000000"/>
        </w:rPr>
        <w:t>cerebral</w:t>
      </w:r>
      <w:r w:rsidR="00686F2C" w:rsidRPr="00686F2C">
        <w:rPr>
          <w:color w:val="000000"/>
        </w:rPr>
        <w:t xml:space="preserve"> </w:t>
      </w:r>
      <w:r w:rsidR="00E23BA2">
        <w:rPr>
          <w:color w:val="000000"/>
        </w:rPr>
        <w:t>palsy</w:t>
      </w:r>
      <w:r w:rsidR="00686F2C">
        <w:rPr>
          <w:color w:val="000000"/>
        </w:rPr>
        <w:t>,</w:t>
      </w:r>
      <w:r w:rsidR="0014559C" w:rsidRPr="00686F2C">
        <w:rPr>
          <w:color w:val="000000"/>
        </w:rPr>
        <w:t xml:space="preserve"> woul</w:t>
      </w:r>
      <w:r w:rsidR="00E256E3">
        <w:rPr>
          <w:color w:val="000000"/>
        </w:rPr>
        <w:t>d have been prevented.</w:t>
      </w:r>
    </w:p>
    <w:p w:rsidR="00000D27" w:rsidRDefault="005A4BE6" w:rsidP="005A4BE6">
      <w:pPr>
        <w:spacing w:after="120" w:line="360" w:lineRule="auto"/>
        <w:jc w:val="both"/>
        <w:outlineLvl w:val="0"/>
      </w:pPr>
      <w:r>
        <w:t>[8].</w:t>
      </w:r>
      <w:r>
        <w:tab/>
      </w:r>
      <w:r w:rsidR="0098348B" w:rsidRPr="00F3493F">
        <w:t xml:space="preserve">The </w:t>
      </w:r>
      <w:r w:rsidR="00C50D8B">
        <w:t>MEC</w:t>
      </w:r>
      <w:r w:rsidR="0098348B" w:rsidRPr="00F3493F">
        <w:t xml:space="preserve"> denies liability. The medical and nursing staff of the hospital, so the </w:t>
      </w:r>
      <w:r w:rsidR="00C50D8B">
        <w:t>MEC</w:t>
      </w:r>
      <w:r w:rsidR="0098348B" w:rsidRPr="00F3493F">
        <w:t xml:space="preserve"> a</w:t>
      </w:r>
      <w:r w:rsidR="00C50D8B">
        <w:t xml:space="preserve">lleges, did not act negligently, and even if they were negligent, such negligence was not a cause of the adverse developmental outcome of the neonate. </w:t>
      </w:r>
      <w:r w:rsidR="0098348B" w:rsidRPr="00F3493F">
        <w:t xml:space="preserve">It is the case of the </w:t>
      </w:r>
      <w:r w:rsidR="00C50D8B">
        <w:t>MEC</w:t>
      </w:r>
      <w:r w:rsidR="0098348B" w:rsidRPr="00F3493F">
        <w:t xml:space="preserve"> </w:t>
      </w:r>
      <w:r w:rsidR="00C50D8B" w:rsidRPr="00C50D8B">
        <w:rPr>
          <w:i/>
        </w:rPr>
        <w:t>inter alia</w:t>
      </w:r>
      <w:r w:rsidR="00C50D8B">
        <w:t xml:space="preserve"> </w:t>
      </w:r>
      <w:r w:rsidR="0098348B" w:rsidRPr="00F3493F">
        <w:t>that the child</w:t>
      </w:r>
      <w:r w:rsidR="00C50D8B">
        <w:t xml:space="preserve">’s condition possibly resulted and probably did result from the </w:t>
      </w:r>
      <w:r w:rsidR="008E5556">
        <w:t>relatively short umbilical cord (40 cm)</w:t>
      </w:r>
      <w:r w:rsidR="00C50D8B">
        <w:t xml:space="preserve">, which probably would have </w:t>
      </w:r>
      <w:r w:rsidR="008E5556">
        <w:t>play</w:t>
      </w:r>
      <w:r w:rsidR="00C50D8B">
        <w:t>ed an important role</w:t>
      </w:r>
      <w:r w:rsidR="008E5556">
        <w:t xml:space="preserve"> in the causal pathway leading to cerebral palsy</w:t>
      </w:r>
      <w:r w:rsidR="00C50D8B">
        <w:t xml:space="preserve">. According to the literature, so the case on behalf of the MEC goes, the normal mean length for a 36 to 37 </w:t>
      </w:r>
      <w:r w:rsidR="00000D27">
        <w:t>weeks’</w:t>
      </w:r>
      <w:r w:rsidR="00C50D8B">
        <w:t xml:space="preserve"> gestation</w:t>
      </w:r>
      <w:r w:rsidR="00606167">
        <w:t xml:space="preserve"> is</w:t>
      </w:r>
      <w:r w:rsidR="00E23BA2">
        <w:t xml:space="preserve"> about 42 cm to </w:t>
      </w:r>
      <w:r w:rsidR="00000D27">
        <w:t>55</w:t>
      </w:r>
      <w:r w:rsidR="00E23BA2">
        <w:t> </w:t>
      </w:r>
      <w:r w:rsidR="00000D27">
        <w:t xml:space="preserve">cm. So, for example, Prof Bolton (the MEC’s Paediatrician and Neonatologist) </w:t>
      </w:r>
      <w:r w:rsidR="008E5556">
        <w:t xml:space="preserve">referred to </w:t>
      </w:r>
      <w:r w:rsidR="00000D27">
        <w:t>a 2017 article</w:t>
      </w:r>
      <w:r w:rsidR="00312B2F">
        <w:t xml:space="preserve"> by</w:t>
      </w:r>
      <w:r w:rsidR="00000D27">
        <w:t xml:space="preserve"> </w:t>
      </w:r>
      <w:r w:rsidR="008E5556" w:rsidRPr="00000D27">
        <w:rPr>
          <w:i/>
        </w:rPr>
        <w:t>Yamamoto et al</w:t>
      </w:r>
      <w:r w:rsidR="00000D27">
        <w:t xml:space="preserve">, </w:t>
      </w:r>
      <w:r w:rsidR="008E5556">
        <w:t>who concluded</w:t>
      </w:r>
      <w:r w:rsidR="00000D27">
        <w:t xml:space="preserve"> that a short umbilical cord (approximately shorter than </w:t>
      </w:r>
      <w:r w:rsidR="008E5556">
        <w:t>45 cm</w:t>
      </w:r>
      <w:r w:rsidR="00000D27">
        <w:t>)</w:t>
      </w:r>
      <w:r w:rsidR="008E5556">
        <w:t xml:space="preserve"> was a clinically useful indicator of adverse pregnancy outcomes</w:t>
      </w:r>
      <w:r w:rsidR="00312B2F">
        <w:t xml:space="preserve"> and that</w:t>
      </w:r>
      <w:r w:rsidR="00000D27" w:rsidRPr="00000D27">
        <w:t xml:space="preserve"> a shorter cord is associated with higher risk</w:t>
      </w:r>
      <w:r w:rsidR="00312B2F">
        <w:t xml:space="preserve"> of adverse pregnancy outcomes.</w:t>
      </w:r>
    </w:p>
    <w:p w:rsidR="00606167" w:rsidRDefault="005A4BE6" w:rsidP="005A4BE6">
      <w:pPr>
        <w:spacing w:after="120" w:line="360" w:lineRule="auto"/>
        <w:jc w:val="both"/>
        <w:outlineLvl w:val="0"/>
      </w:pPr>
      <w:r>
        <w:lastRenderedPageBreak/>
        <w:t>[9].</w:t>
      </w:r>
      <w:r>
        <w:tab/>
      </w:r>
      <w:r w:rsidR="00606167">
        <w:t xml:space="preserve">It was also the evidence on behalf of the </w:t>
      </w:r>
      <w:r w:rsidR="000669BE">
        <w:t>MEC’s</w:t>
      </w:r>
      <w:r w:rsidR="00606167">
        <w:t xml:space="preserve"> </w:t>
      </w:r>
      <w:r w:rsidR="00E23BA2">
        <w:t>Paediatric Neurologist</w:t>
      </w:r>
      <w:r w:rsidR="00981DDE">
        <w:t xml:space="preserve"> (Dr</w:t>
      </w:r>
      <w:r w:rsidR="00E23BA2">
        <w:t> </w:t>
      </w:r>
      <w:proofErr w:type="spellStart"/>
      <w:r w:rsidR="00981DDE">
        <w:t>Mogashoa</w:t>
      </w:r>
      <w:proofErr w:type="spellEnd"/>
      <w:r w:rsidR="00981DDE">
        <w:t xml:space="preserve">) that the plaintiff’s daughter’s </w:t>
      </w:r>
      <w:r w:rsidR="00606167">
        <w:t>neurological impairments</w:t>
      </w:r>
      <w:r w:rsidR="00981DDE">
        <w:t xml:space="preserve"> were </w:t>
      </w:r>
      <w:r w:rsidR="00606167">
        <w:t xml:space="preserve">caused by </w:t>
      </w:r>
      <w:r w:rsidR="00981DDE">
        <w:t>‘</w:t>
      </w:r>
      <w:proofErr w:type="spellStart"/>
      <w:r w:rsidR="000669BE">
        <w:t>peripartum</w:t>
      </w:r>
      <w:proofErr w:type="spellEnd"/>
      <w:r w:rsidR="000669BE">
        <w:t xml:space="preserve"> hypoxic</w:t>
      </w:r>
      <w:r w:rsidR="00606167">
        <w:t xml:space="preserve"> distal risk factors</w:t>
      </w:r>
      <w:r w:rsidR="00981DDE">
        <w:t>’</w:t>
      </w:r>
      <w:r w:rsidR="00606167">
        <w:t xml:space="preserve"> </w:t>
      </w:r>
      <w:r w:rsidR="00981DDE">
        <w:t xml:space="preserve">such as the </w:t>
      </w:r>
      <w:r w:rsidR="00606167">
        <w:t xml:space="preserve">late </w:t>
      </w:r>
      <w:r w:rsidR="00981DDE">
        <w:t>antenatal</w:t>
      </w:r>
      <w:r w:rsidR="00606167">
        <w:t xml:space="preserve"> </w:t>
      </w:r>
      <w:r w:rsidR="00981DDE">
        <w:t xml:space="preserve">clinic </w:t>
      </w:r>
      <w:r w:rsidR="00606167">
        <w:t>booking</w:t>
      </w:r>
      <w:r w:rsidR="00981DDE">
        <w:t xml:space="preserve"> and the </w:t>
      </w:r>
      <w:r w:rsidR="000669BE">
        <w:t xml:space="preserve">last minute </w:t>
      </w:r>
      <w:r w:rsidR="00981DDE">
        <w:t>visit to the clinic, and ‘</w:t>
      </w:r>
      <w:r w:rsidR="00606167">
        <w:t>proximal risk factor</w:t>
      </w:r>
      <w:r w:rsidR="00981DDE">
        <w:t xml:space="preserve">s’, namely </w:t>
      </w:r>
      <w:r w:rsidR="00606167">
        <w:t>a short umbilical cord, opioid analgesia and poor maternal effort</w:t>
      </w:r>
      <w:r w:rsidR="00981DDE">
        <w:t xml:space="preserve"> during labour and birth</w:t>
      </w:r>
      <w:r w:rsidR="00606167">
        <w:t>.</w:t>
      </w:r>
      <w:r w:rsidR="00981DDE">
        <w:t xml:space="preserve"> Dr </w:t>
      </w:r>
      <w:proofErr w:type="spellStart"/>
      <w:r w:rsidR="00981DDE">
        <w:t>Mogashoa</w:t>
      </w:r>
      <w:proofErr w:type="spellEnd"/>
      <w:r w:rsidR="00981DDE">
        <w:t xml:space="preserve"> therefore concluded that the child’s condition was </w:t>
      </w:r>
      <w:r w:rsidR="00606167">
        <w:t xml:space="preserve">caused by </w:t>
      </w:r>
      <w:proofErr w:type="spellStart"/>
      <w:r w:rsidR="00606167">
        <w:t>peripartum</w:t>
      </w:r>
      <w:proofErr w:type="spellEnd"/>
      <w:r w:rsidR="00606167">
        <w:t xml:space="preserve"> hypoxia of an acute profound nature, </w:t>
      </w:r>
      <w:r w:rsidR="00981DDE">
        <w:t>which</w:t>
      </w:r>
      <w:r w:rsidR="00606167">
        <w:t xml:space="preserve"> conclusion</w:t>
      </w:r>
      <w:r w:rsidR="00981DDE">
        <w:t>, so the MEC contends,</w:t>
      </w:r>
      <w:r w:rsidR="00606167">
        <w:t xml:space="preserve"> is supported by the predominance of dyskinesia and the radiological findings.</w:t>
      </w:r>
    </w:p>
    <w:p w:rsidR="0098348B" w:rsidRDefault="005A4BE6" w:rsidP="005A4BE6">
      <w:pPr>
        <w:spacing w:after="120" w:line="360" w:lineRule="auto"/>
        <w:jc w:val="both"/>
        <w:outlineLvl w:val="0"/>
        <w:rPr>
          <w:color w:val="000000"/>
        </w:rPr>
      </w:pPr>
      <w:r>
        <w:rPr>
          <w:color w:val="000000"/>
        </w:rPr>
        <w:t>[10].</w:t>
      </w:r>
      <w:r>
        <w:rPr>
          <w:color w:val="000000"/>
        </w:rPr>
        <w:tab/>
      </w:r>
      <w:r w:rsidR="0098348B">
        <w:rPr>
          <w:color w:val="000000"/>
        </w:rPr>
        <w:t>I interpose here to mention that</w:t>
      </w:r>
      <w:r w:rsidR="00915ECF">
        <w:rPr>
          <w:color w:val="000000"/>
        </w:rPr>
        <w:t>,</w:t>
      </w:r>
      <w:r w:rsidR="0098348B">
        <w:rPr>
          <w:color w:val="000000"/>
        </w:rPr>
        <w:t xml:space="preserve"> </w:t>
      </w:r>
      <w:r w:rsidR="00CB142A">
        <w:rPr>
          <w:color w:val="000000"/>
        </w:rPr>
        <w:t>during the course</w:t>
      </w:r>
      <w:r w:rsidR="00915ECF">
        <w:rPr>
          <w:color w:val="000000"/>
        </w:rPr>
        <w:t xml:space="preserve"> of the hearing of the matter (</w:t>
      </w:r>
      <w:r w:rsidR="00CB142A">
        <w:rPr>
          <w:color w:val="000000"/>
        </w:rPr>
        <w:t>on 15 August 2018</w:t>
      </w:r>
      <w:r w:rsidR="00915ECF">
        <w:rPr>
          <w:color w:val="000000"/>
        </w:rPr>
        <w:t>)</w:t>
      </w:r>
      <w:r w:rsidR="0098348B">
        <w:rPr>
          <w:color w:val="000000"/>
        </w:rPr>
        <w:t xml:space="preserve">, the parties agreed that it would be convenient to separate the issues of liability from that of the quantum of the plaintiff’s claim. An order to that </w:t>
      </w:r>
      <w:r w:rsidR="00E23BA2">
        <w:rPr>
          <w:color w:val="000000"/>
        </w:rPr>
        <w:t>effect was granted in terms of Uniform Rule of C</w:t>
      </w:r>
      <w:r w:rsidR="0098348B">
        <w:rPr>
          <w:color w:val="000000"/>
        </w:rPr>
        <w:t xml:space="preserve">ourt 33(4) and the matter proceeded to trial only on the issues of negligence and liability. The quantum of the plaintiff’s claim was postponed </w:t>
      </w:r>
      <w:r w:rsidR="0098348B" w:rsidRPr="00B706CF">
        <w:rPr>
          <w:i/>
          <w:color w:val="000000"/>
        </w:rPr>
        <w:t>sine die</w:t>
      </w:r>
      <w:r w:rsidR="0098348B">
        <w:rPr>
          <w:color w:val="000000"/>
        </w:rPr>
        <w:t>.</w:t>
      </w:r>
    </w:p>
    <w:p w:rsidR="00B61410" w:rsidRPr="00B3271B" w:rsidRDefault="005A4BE6" w:rsidP="005A4BE6">
      <w:pPr>
        <w:spacing w:after="120" w:line="360" w:lineRule="auto"/>
        <w:jc w:val="both"/>
        <w:outlineLvl w:val="0"/>
        <w:rPr>
          <w:color w:val="000000"/>
        </w:rPr>
      </w:pPr>
      <w:r w:rsidRPr="00B3271B">
        <w:rPr>
          <w:color w:val="000000"/>
        </w:rPr>
        <w:t>[11].</w:t>
      </w:r>
      <w:r w:rsidRPr="00B3271B">
        <w:rPr>
          <w:color w:val="000000"/>
        </w:rPr>
        <w:tab/>
      </w:r>
      <w:proofErr w:type="gramStart"/>
      <w:r w:rsidR="00B3271B">
        <w:rPr>
          <w:color w:val="000000"/>
        </w:rPr>
        <w:t>The</w:t>
      </w:r>
      <w:proofErr w:type="gramEnd"/>
      <w:r w:rsidR="00B3271B">
        <w:rPr>
          <w:color w:val="000000"/>
        </w:rPr>
        <w:t xml:space="preserve"> available documentation, which assist in the factual findings</w:t>
      </w:r>
      <w:r w:rsidR="002D30FD">
        <w:rPr>
          <w:color w:val="000000"/>
        </w:rPr>
        <w:t>, are the following</w:t>
      </w:r>
      <w:r w:rsidR="00915ECF">
        <w:rPr>
          <w:color w:val="000000"/>
        </w:rPr>
        <w:t>: Plaintiff’s Antenatal C</w:t>
      </w:r>
      <w:r w:rsidR="00B3271B">
        <w:rPr>
          <w:color w:val="000000"/>
        </w:rPr>
        <w:t xml:space="preserve">ard; </w:t>
      </w:r>
      <w:r w:rsidR="00B61410" w:rsidRPr="00B3271B">
        <w:rPr>
          <w:color w:val="000000"/>
        </w:rPr>
        <w:t>Obstetr</w:t>
      </w:r>
      <w:r w:rsidR="00B3271B">
        <w:rPr>
          <w:color w:val="000000"/>
        </w:rPr>
        <w:t>ical clinical</w:t>
      </w:r>
      <w:r w:rsidR="002D30FD">
        <w:rPr>
          <w:color w:val="000000"/>
        </w:rPr>
        <w:t xml:space="preserve"> </w:t>
      </w:r>
      <w:r w:rsidR="00B3271B">
        <w:rPr>
          <w:color w:val="000000"/>
        </w:rPr>
        <w:t>/</w:t>
      </w:r>
      <w:r w:rsidR="002D30FD">
        <w:rPr>
          <w:color w:val="000000"/>
        </w:rPr>
        <w:t xml:space="preserve"> </w:t>
      </w:r>
      <w:r w:rsidR="00B3271B">
        <w:rPr>
          <w:color w:val="000000"/>
        </w:rPr>
        <w:t xml:space="preserve">maternity records; </w:t>
      </w:r>
      <w:r w:rsidR="00B61410" w:rsidRPr="00B3271B">
        <w:rPr>
          <w:color w:val="000000"/>
        </w:rPr>
        <w:t>Neonatal records</w:t>
      </w:r>
      <w:r w:rsidR="00915ECF">
        <w:rPr>
          <w:color w:val="000000"/>
        </w:rPr>
        <w:t>,</w:t>
      </w:r>
      <w:r w:rsidR="00B61410" w:rsidRPr="00B3271B">
        <w:rPr>
          <w:color w:val="000000"/>
        </w:rPr>
        <w:t xml:space="preserve"> including </w:t>
      </w:r>
      <w:r w:rsidR="00915ECF">
        <w:rPr>
          <w:color w:val="000000"/>
        </w:rPr>
        <w:t xml:space="preserve">the </w:t>
      </w:r>
      <w:r w:rsidR="00B61410" w:rsidRPr="00915ECF">
        <w:rPr>
          <w:i/>
          <w:color w:val="000000"/>
        </w:rPr>
        <w:t xml:space="preserve">Road </w:t>
      </w:r>
      <w:r w:rsidR="00B3271B" w:rsidRPr="00915ECF">
        <w:rPr>
          <w:i/>
          <w:color w:val="000000"/>
        </w:rPr>
        <w:t>to</w:t>
      </w:r>
      <w:r w:rsidR="00B61410" w:rsidRPr="00915ECF">
        <w:rPr>
          <w:i/>
          <w:color w:val="000000"/>
        </w:rPr>
        <w:t xml:space="preserve"> Health Chart</w:t>
      </w:r>
      <w:r w:rsidR="00B61410" w:rsidRPr="00B3271B">
        <w:rPr>
          <w:color w:val="000000"/>
        </w:rPr>
        <w:t xml:space="preserve"> for </w:t>
      </w:r>
      <w:r w:rsidR="002D30FD">
        <w:rPr>
          <w:color w:val="000000"/>
        </w:rPr>
        <w:t>the child</w:t>
      </w:r>
      <w:r w:rsidR="00B61410" w:rsidRPr="00B3271B">
        <w:rPr>
          <w:color w:val="000000"/>
        </w:rPr>
        <w:t>.</w:t>
      </w:r>
    </w:p>
    <w:p w:rsidR="00B61410" w:rsidRPr="00B3271B" w:rsidRDefault="005A4BE6" w:rsidP="005A4BE6">
      <w:pPr>
        <w:spacing w:after="120" w:line="360" w:lineRule="auto"/>
        <w:jc w:val="both"/>
        <w:outlineLvl w:val="0"/>
        <w:rPr>
          <w:color w:val="000000"/>
        </w:rPr>
      </w:pPr>
      <w:r w:rsidRPr="00B3271B">
        <w:rPr>
          <w:color w:val="000000"/>
        </w:rPr>
        <w:t>[12].</w:t>
      </w:r>
      <w:r w:rsidRPr="00B3271B">
        <w:rPr>
          <w:color w:val="000000"/>
        </w:rPr>
        <w:tab/>
      </w:r>
      <w:r w:rsidR="00CB142A">
        <w:rPr>
          <w:color w:val="000000"/>
        </w:rPr>
        <w:t>From the Antenatal C</w:t>
      </w:r>
      <w:r w:rsidR="00B3271B">
        <w:rPr>
          <w:color w:val="000000"/>
        </w:rPr>
        <w:t>ard, it could be established that the plaintiff had her first antenatal check</w:t>
      </w:r>
      <w:r w:rsidR="00B3271B" w:rsidRPr="00B3271B">
        <w:rPr>
          <w:color w:val="000000"/>
        </w:rPr>
        <w:t>-up</w:t>
      </w:r>
      <w:r w:rsidR="00B61410" w:rsidRPr="00B3271B">
        <w:rPr>
          <w:color w:val="000000"/>
        </w:rPr>
        <w:t xml:space="preserve"> on 17 February 2005.</w:t>
      </w:r>
      <w:r w:rsidR="00B3271B">
        <w:rPr>
          <w:color w:val="000000"/>
        </w:rPr>
        <w:t xml:space="preserve"> </w:t>
      </w:r>
      <w:r w:rsidR="00B61410" w:rsidRPr="00B3271B">
        <w:rPr>
          <w:color w:val="000000"/>
        </w:rPr>
        <w:t>It appears from the records that she had</w:t>
      </w:r>
      <w:r w:rsidR="00CB142A">
        <w:rPr>
          <w:color w:val="000000"/>
        </w:rPr>
        <w:t>, for the first time,</w:t>
      </w:r>
      <w:r w:rsidR="00B61410" w:rsidRPr="00B3271B">
        <w:rPr>
          <w:color w:val="000000"/>
        </w:rPr>
        <w:t xml:space="preserve"> visited the antenatal clinic a</w:t>
      </w:r>
      <w:r w:rsidR="00B3271B">
        <w:rPr>
          <w:color w:val="000000"/>
        </w:rPr>
        <w:t xml:space="preserve"> </w:t>
      </w:r>
      <w:r w:rsidR="00B61410" w:rsidRPr="00B3271B">
        <w:rPr>
          <w:color w:val="000000"/>
        </w:rPr>
        <w:t>week earlier,</w:t>
      </w:r>
      <w:r w:rsidR="00B3271B">
        <w:rPr>
          <w:color w:val="000000"/>
        </w:rPr>
        <w:t xml:space="preserve"> </w:t>
      </w:r>
      <w:r w:rsidR="00B61410" w:rsidRPr="00B3271B">
        <w:rPr>
          <w:color w:val="000000"/>
        </w:rPr>
        <w:t>on 10 February 2005.</w:t>
      </w:r>
      <w:r w:rsidR="00B3271B">
        <w:rPr>
          <w:color w:val="000000"/>
        </w:rPr>
        <w:t xml:space="preserve"> </w:t>
      </w:r>
      <w:r w:rsidR="00B61410" w:rsidRPr="00B3271B">
        <w:rPr>
          <w:color w:val="000000"/>
        </w:rPr>
        <w:t>There are no records indicating that she was examined on that date</w:t>
      </w:r>
      <w:r w:rsidR="00414110">
        <w:rPr>
          <w:color w:val="000000"/>
        </w:rPr>
        <w:t xml:space="preserve">, although it appears from the Antenatal Card that </w:t>
      </w:r>
      <w:r w:rsidR="00B61410" w:rsidRPr="00B3271B">
        <w:rPr>
          <w:color w:val="000000"/>
        </w:rPr>
        <w:t xml:space="preserve">the routine blood tests were done on </w:t>
      </w:r>
      <w:r w:rsidR="00414110">
        <w:rPr>
          <w:color w:val="000000"/>
        </w:rPr>
        <w:t>that day</w:t>
      </w:r>
      <w:r w:rsidR="001F14DE">
        <w:rPr>
          <w:color w:val="000000"/>
        </w:rPr>
        <w:t>.</w:t>
      </w:r>
    </w:p>
    <w:p w:rsidR="00B61410" w:rsidRPr="001F14DE" w:rsidRDefault="005A4BE6" w:rsidP="005A4BE6">
      <w:pPr>
        <w:spacing w:after="120" w:line="360" w:lineRule="auto"/>
        <w:jc w:val="both"/>
        <w:outlineLvl w:val="0"/>
        <w:rPr>
          <w:color w:val="000000"/>
        </w:rPr>
      </w:pPr>
      <w:r w:rsidRPr="001F14DE">
        <w:rPr>
          <w:color w:val="000000"/>
        </w:rPr>
        <w:t>[13].</w:t>
      </w:r>
      <w:r w:rsidRPr="001F14DE">
        <w:rPr>
          <w:color w:val="000000"/>
        </w:rPr>
        <w:tab/>
      </w:r>
      <w:r w:rsidR="001F14DE">
        <w:rPr>
          <w:color w:val="000000"/>
        </w:rPr>
        <w:t xml:space="preserve">It was recorded that the plaintiff, at the time of her first visit to the Antenatal Clinic, </w:t>
      </w:r>
      <w:r w:rsidR="00B61410" w:rsidRPr="00B61410">
        <w:rPr>
          <w:color w:val="000000"/>
        </w:rPr>
        <w:t>was 23 years old and in her second pregnancy.</w:t>
      </w:r>
      <w:r w:rsidR="001F14DE">
        <w:rPr>
          <w:color w:val="000000"/>
        </w:rPr>
        <w:t xml:space="preserve"> </w:t>
      </w:r>
      <w:r w:rsidR="00B61410" w:rsidRPr="001F14DE">
        <w:rPr>
          <w:color w:val="000000"/>
        </w:rPr>
        <w:t>Her previous delivery was in 2003 by caesarean section.</w:t>
      </w:r>
      <w:r w:rsidR="001F14DE">
        <w:rPr>
          <w:color w:val="000000"/>
        </w:rPr>
        <w:t xml:space="preserve"> </w:t>
      </w:r>
      <w:r w:rsidR="00B61410" w:rsidRPr="001F14DE">
        <w:rPr>
          <w:color w:val="000000"/>
        </w:rPr>
        <w:t>The indication (medical reason) for the caesarean section was not</w:t>
      </w:r>
      <w:r w:rsidR="001F14DE">
        <w:rPr>
          <w:color w:val="000000"/>
        </w:rPr>
        <w:t xml:space="preserve"> </w:t>
      </w:r>
      <w:r w:rsidR="00B61410" w:rsidRPr="001F14DE">
        <w:rPr>
          <w:color w:val="000000"/>
        </w:rPr>
        <w:t>recorded.</w:t>
      </w:r>
      <w:r w:rsidR="001F14DE">
        <w:rPr>
          <w:color w:val="000000"/>
        </w:rPr>
        <w:t xml:space="preserve"> Her </w:t>
      </w:r>
      <w:r w:rsidR="00B61410" w:rsidRPr="001F14DE">
        <w:rPr>
          <w:color w:val="000000"/>
        </w:rPr>
        <w:t>normal menstrual period</w:t>
      </w:r>
      <w:r w:rsidR="001F14DE">
        <w:rPr>
          <w:color w:val="000000"/>
        </w:rPr>
        <w:t xml:space="preserve"> (‘LNMP’</w:t>
      </w:r>
      <w:r w:rsidR="00B61410" w:rsidRPr="001F14DE">
        <w:rPr>
          <w:color w:val="000000"/>
        </w:rPr>
        <w:t>), preceding the pregnancy was</w:t>
      </w:r>
      <w:r w:rsidR="001F14DE">
        <w:rPr>
          <w:color w:val="000000"/>
        </w:rPr>
        <w:t xml:space="preserve"> 21 June 2004, which meant that her </w:t>
      </w:r>
      <w:r w:rsidR="00B61410" w:rsidRPr="001F14DE">
        <w:rPr>
          <w:color w:val="000000"/>
        </w:rPr>
        <w:t>estimated date of delivery</w:t>
      </w:r>
      <w:r w:rsidR="001F14DE">
        <w:rPr>
          <w:color w:val="000000"/>
        </w:rPr>
        <w:t xml:space="preserve"> (‘EDD’</w:t>
      </w:r>
      <w:r w:rsidR="00B61410" w:rsidRPr="001F14DE">
        <w:rPr>
          <w:color w:val="000000"/>
        </w:rPr>
        <w:t>) was 30</w:t>
      </w:r>
      <w:r w:rsidR="001F14DE">
        <w:rPr>
          <w:color w:val="000000"/>
        </w:rPr>
        <w:t xml:space="preserve"> </w:t>
      </w:r>
      <w:r w:rsidR="00B61410" w:rsidRPr="001F14DE">
        <w:rPr>
          <w:color w:val="000000"/>
        </w:rPr>
        <w:t>March 2005.</w:t>
      </w:r>
      <w:r w:rsidR="001F14DE">
        <w:rPr>
          <w:color w:val="000000"/>
        </w:rPr>
        <w:t xml:space="preserve"> </w:t>
      </w:r>
      <w:r w:rsidR="00B61410" w:rsidRPr="001F14DE">
        <w:rPr>
          <w:color w:val="000000"/>
        </w:rPr>
        <w:t>The only past medical history of</w:t>
      </w:r>
      <w:r w:rsidR="00E23BA2">
        <w:rPr>
          <w:color w:val="000000"/>
        </w:rPr>
        <w:t xml:space="preserve"> note was the caesarean section and h</w:t>
      </w:r>
      <w:r w:rsidR="00B61410" w:rsidRPr="001F14DE">
        <w:rPr>
          <w:color w:val="000000"/>
        </w:rPr>
        <w:t xml:space="preserve">er family and social history was </w:t>
      </w:r>
      <w:r w:rsidR="001F14DE" w:rsidRPr="001F14DE">
        <w:rPr>
          <w:color w:val="000000"/>
        </w:rPr>
        <w:t>non-contributory</w:t>
      </w:r>
      <w:r w:rsidR="00B61410" w:rsidRPr="001F14DE">
        <w:rPr>
          <w:color w:val="000000"/>
        </w:rPr>
        <w:t>.</w:t>
      </w:r>
    </w:p>
    <w:p w:rsidR="00B61410" w:rsidRPr="00011E04" w:rsidRDefault="005A4BE6" w:rsidP="005A4BE6">
      <w:pPr>
        <w:spacing w:after="120" w:line="360" w:lineRule="auto"/>
        <w:jc w:val="both"/>
        <w:outlineLvl w:val="0"/>
        <w:rPr>
          <w:color w:val="000000"/>
        </w:rPr>
      </w:pPr>
      <w:r w:rsidRPr="00011E04">
        <w:rPr>
          <w:color w:val="000000"/>
        </w:rPr>
        <w:lastRenderedPageBreak/>
        <w:t>[14].</w:t>
      </w:r>
      <w:r w:rsidRPr="00011E04">
        <w:rPr>
          <w:color w:val="000000"/>
        </w:rPr>
        <w:tab/>
      </w:r>
      <w:r w:rsidR="00B61410" w:rsidRPr="00B61410">
        <w:rPr>
          <w:color w:val="000000"/>
        </w:rPr>
        <w:t>On examination</w:t>
      </w:r>
      <w:r w:rsidR="00CB142A">
        <w:rPr>
          <w:color w:val="000000"/>
        </w:rPr>
        <w:t xml:space="preserve"> </w:t>
      </w:r>
      <w:r w:rsidR="00E23BA2">
        <w:rPr>
          <w:color w:val="000000"/>
        </w:rPr>
        <w:t xml:space="preserve">at the Antenatal Clinic </w:t>
      </w:r>
      <w:r w:rsidR="00CB142A">
        <w:rPr>
          <w:color w:val="000000"/>
        </w:rPr>
        <w:t>on 17 February 2005</w:t>
      </w:r>
      <w:r w:rsidR="00B61410" w:rsidRPr="00B61410">
        <w:rPr>
          <w:color w:val="000000"/>
        </w:rPr>
        <w:t>, her height,</w:t>
      </w:r>
      <w:r w:rsidR="001F14DE">
        <w:rPr>
          <w:color w:val="000000"/>
        </w:rPr>
        <w:t xml:space="preserve"> weight and blood pressure were</w:t>
      </w:r>
      <w:r w:rsidR="00B61410" w:rsidRPr="00B61410">
        <w:rPr>
          <w:color w:val="000000"/>
        </w:rPr>
        <w:t xml:space="preserve"> 153 cm,</w:t>
      </w:r>
      <w:r w:rsidR="001F14DE">
        <w:rPr>
          <w:color w:val="000000"/>
        </w:rPr>
        <w:t xml:space="preserve"> </w:t>
      </w:r>
      <w:r w:rsidR="00B61410" w:rsidRPr="001F14DE">
        <w:rPr>
          <w:color w:val="000000"/>
        </w:rPr>
        <w:t>60.7</w:t>
      </w:r>
      <w:r w:rsidR="001F14DE">
        <w:rPr>
          <w:color w:val="000000"/>
        </w:rPr>
        <w:t> </w:t>
      </w:r>
      <w:r w:rsidR="00B61410" w:rsidRPr="001F14DE">
        <w:rPr>
          <w:color w:val="000000"/>
        </w:rPr>
        <w:t>kg and 120/70 respectively.</w:t>
      </w:r>
      <w:r w:rsidR="001F14DE">
        <w:rPr>
          <w:color w:val="000000"/>
        </w:rPr>
        <w:t xml:space="preserve"> </w:t>
      </w:r>
      <w:r w:rsidR="00B61410" w:rsidRPr="001F14DE">
        <w:rPr>
          <w:color w:val="000000"/>
        </w:rPr>
        <w:t>Examination of the heart, lungs, neck and breasts revealed no</w:t>
      </w:r>
      <w:r w:rsidR="001F14DE">
        <w:rPr>
          <w:color w:val="000000"/>
        </w:rPr>
        <w:t xml:space="preserve"> </w:t>
      </w:r>
      <w:r w:rsidR="00B61410" w:rsidRPr="001F14DE">
        <w:rPr>
          <w:color w:val="000000"/>
        </w:rPr>
        <w:t>abnormalities.</w:t>
      </w:r>
      <w:r w:rsidR="001F14DE">
        <w:rPr>
          <w:color w:val="000000"/>
        </w:rPr>
        <w:t xml:space="preserve"> </w:t>
      </w:r>
      <w:r w:rsidR="00B61410" w:rsidRPr="001F14DE">
        <w:rPr>
          <w:color w:val="000000"/>
        </w:rPr>
        <w:t xml:space="preserve">The size of the pregnancy (fundal height) was 33 cm (equivalent to 8 months and </w:t>
      </w:r>
      <w:r w:rsidR="00011E04" w:rsidRPr="001F14DE">
        <w:rPr>
          <w:color w:val="000000"/>
        </w:rPr>
        <w:t>1-week</w:t>
      </w:r>
      <w:r w:rsidR="00B61410" w:rsidRPr="001F14DE">
        <w:rPr>
          <w:color w:val="000000"/>
        </w:rPr>
        <w:t xml:space="preserve"> gestational age).</w:t>
      </w:r>
      <w:r w:rsidR="00011E04">
        <w:rPr>
          <w:color w:val="000000"/>
        </w:rPr>
        <w:t xml:space="preserve"> Results of the blood tests </w:t>
      </w:r>
      <w:proofErr w:type="spellStart"/>
      <w:r w:rsidR="00011E04">
        <w:rPr>
          <w:color w:val="000000"/>
        </w:rPr>
        <w:t>P</w:t>
      </w:r>
      <w:r w:rsidR="00B61410" w:rsidRPr="00011E04">
        <w:rPr>
          <w:color w:val="000000"/>
        </w:rPr>
        <w:t>h</w:t>
      </w:r>
      <w:proofErr w:type="spellEnd"/>
      <w:r w:rsidR="00B61410" w:rsidRPr="00011E04">
        <w:rPr>
          <w:color w:val="000000"/>
        </w:rPr>
        <w:t>, Positive (blood group) and RPR negative (test for Syphilis) were normal.</w:t>
      </w:r>
      <w:r w:rsidR="00011E04">
        <w:rPr>
          <w:color w:val="000000"/>
        </w:rPr>
        <w:t xml:space="preserve"> </w:t>
      </w:r>
      <w:r w:rsidR="00CB142A">
        <w:rPr>
          <w:color w:val="000000"/>
        </w:rPr>
        <w:t>Her blood level, HB </w:t>
      </w:r>
      <w:r w:rsidR="00B61410" w:rsidRPr="00011E04">
        <w:rPr>
          <w:color w:val="000000"/>
        </w:rPr>
        <w:t>10</w:t>
      </w:r>
      <w:r w:rsidR="00CB142A">
        <w:rPr>
          <w:color w:val="000000"/>
        </w:rPr>
        <w:t>,</w:t>
      </w:r>
      <w:r w:rsidR="00B61410" w:rsidRPr="00011E04">
        <w:rPr>
          <w:color w:val="000000"/>
        </w:rPr>
        <w:t xml:space="preserve"> is considered low (less than 11) during pregnancy.</w:t>
      </w:r>
      <w:r w:rsidR="00011E04">
        <w:rPr>
          <w:color w:val="000000"/>
        </w:rPr>
        <w:t xml:space="preserve"> </w:t>
      </w:r>
      <w:r w:rsidR="00B61410" w:rsidRPr="00011E04">
        <w:rPr>
          <w:color w:val="000000"/>
        </w:rPr>
        <w:t>According to an entry on page</w:t>
      </w:r>
      <w:r w:rsidR="00FE6478">
        <w:rPr>
          <w:color w:val="000000"/>
        </w:rPr>
        <w:t> </w:t>
      </w:r>
      <w:r w:rsidR="00B61410" w:rsidRPr="00011E04">
        <w:rPr>
          <w:color w:val="000000"/>
        </w:rPr>
        <w:t xml:space="preserve">2 of the maternity book, </w:t>
      </w:r>
      <w:r w:rsidR="00CB142A">
        <w:rPr>
          <w:color w:val="000000"/>
        </w:rPr>
        <w:t>the plaintiff</w:t>
      </w:r>
      <w:r w:rsidR="00B61410" w:rsidRPr="00011E04">
        <w:rPr>
          <w:color w:val="000000"/>
        </w:rPr>
        <w:t xml:space="preserve"> refused to be tested for HIV</w:t>
      </w:r>
      <w:r w:rsidR="00011E04">
        <w:rPr>
          <w:color w:val="000000"/>
        </w:rPr>
        <w:t xml:space="preserve">. </w:t>
      </w:r>
      <w:r w:rsidR="00B61410" w:rsidRPr="00011E04">
        <w:rPr>
          <w:color w:val="000000"/>
        </w:rPr>
        <w:t>The problem</w:t>
      </w:r>
      <w:r w:rsidR="00011E04">
        <w:rPr>
          <w:color w:val="000000"/>
        </w:rPr>
        <w:t>s</w:t>
      </w:r>
      <w:r w:rsidR="00B61410" w:rsidRPr="00011E04">
        <w:rPr>
          <w:color w:val="000000"/>
        </w:rPr>
        <w:t xml:space="preserve"> list</w:t>
      </w:r>
      <w:r w:rsidR="00011E04">
        <w:rPr>
          <w:color w:val="000000"/>
        </w:rPr>
        <w:t>ed</w:t>
      </w:r>
      <w:r w:rsidR="00B61410" w:rsidRPr="00011E04">
        <w:rPr>
          <w:color w:val="000000"/>
        </w:rPr>
        <w:t xml:space="preserve"> </w:t>
      </w:r>
      <w:r w:rsidR="00011E04">
        <w:rPr>
          <w:color w:val="000000"/>
        </w:rPr>
        <w:t>were</w:t>
      </w:r>
      <w:r w:rsidR="00B61410" w:rsidRPr="00011E04">
        <w:rPr>
          <w:color w:val="000000"/>
        </w:rPr>
        <w:t xml:space="preserve"> previous caesarean section (c/s </w:t>
      </w:r>
      <w:proofErr w:type="gramStart"/>
      <w:r w:rsidR="00B61410" w:rsidRPr="00011E04">
        <w:rPr>
          <w:color w:val="000000"/>
        </w:rPr>
        <w:t>Xl</w:t>
      </w:r>
      <w:proofErr w:type="gramEnd"/>
      <w:r w:rsidR="00B61410" w:rsidRPr="00011E04">
        <w:rPr>
          <w:color w:val="000000"/>
        </w:rPr>
        <w:t>) and late booker (presented for antenatal care in advanced pregnancy).</w:t>
      </w:r>
      <w:r w:rsidR="00011E04">
        <w:rPr>
          <w:color w:val="000000"/>
        </w:rPr>
        <w:t xml:space="preserve"> </w:t>
      </w:r>
      <w:r w:rsidR="00B61410" w:rsidRPr="00011E04">
        <w:rPr>
          <w:color w:val="000000"/>
        </w:rPr>
        <w:t>She had two uneventful antenatal visits (17 February and 3 March 2005).</w:t>
      </w:r>
    </w:p>
    <w:p w:rsidR="00B61410" w:rsidRPr="00011E04" w:rsidRDefault="005A4BE6" w:rsidP="005A4BE6">
      <w:pPr>
        <w:spacing w:after="120" w:line="360" w:lineRule="auto"/>
        <w:jc w:val="both"/>
        <w:outlineLvl w:val="0"/>
        <w:rPr>
          <w:color w:val="000000"/>
        </w:rPr>
      </w:pPr>
      <w:r w:rsidRPr="00011E04">
        <w:rPr>
          <w:color w:val="000000"/>
        </w:rPr>
        <w:t>[15].</w:t>
      </w:r>
      <w:r w:rsidRPr="00011E04">
        <w:rPr>
          <w:color w:val="000000"/>
        </w:rPr>
        <w:tab/>
      </w:r>
      <w:proofErr w:type="gramStart"/>
      <w:r w:rsidR="00B61410" w:rsidRPr="00B61410">
        <w:rPr>
          <w:color w:val="000000"/>
        </w:rPr>
        <w:t>On</w:t>
      </w:r>
      <w:proofErr w:type="gramEnd"/>
      <w:r w:rsidR="00B61410" w:rsidRPr="00B61410">
        <w:rPr>
          <w:color w:val="000000"/>
        </w:rPr>
        <w:t xml:space="preserve"> 3 March</w:t>
      </w:r>
      <w:r w:rsidR="00E23BA2">
        <w:rPr>
          <w:color w:val="000000"/>
        </w:rPr>
        <w:t xml:space="preserve"> 2005</w:t>
      </w:r>
      <w:r w:rsidR="00FE6478">
        <w:rPr>
          <w:color w:val="000000"/>
        </w:rPr>
        <w:t>,</w:t>
      </w:r>
      <w:r w:rsidR="00B61410" w:rsidRPr="00B61410">
        <w:rPr>
          <w:color w:val="000000"/>
        </w:rPr>
        <w:t xml:space="preserve"> she was reported to have complained of occasional lower abdominal pains (LAP) but with good foetal movements felt (FMF).</w:t>
      </w:r>
      <w:r w:rsidR="00011E04">
        <w:rPr>
          <w:color w:val="000000"/>
        </w:rPr>
        <w:t xml:space="preserve"> </w:t>
      </w:r>
      <w:r w:rsidR="00B61410" w:rsidRPr="00011E04">
        <w:rPr>
          <w:color w:val="000000"/>
        </w:rPr>
        <w:t>It was recorded that she wanted to attempt VBAC (vaginal birth after caesarean section)</w:t>
      </w:r>
      <w:r w:rsidR="00E23BA2">
        <w:rPr>
          <w:color w:val="000000"/>
        </w:rPr>
        <w:t xml:space="preserve">, meaning that her wish was </w:t>
      </w:r>
      <w:r w:rsidR="00B61410" w:rsidRPr="00011E04">
        <w:rPr>
          <w:color w:val="000000"/>
        </w:rPr>
        <w:t>to attempt a vaginal delivery even though her last delivery was by caesarean section.</w:t>
      </w:r>
      <w:r w:rsidR="00011E04">
        <w:rPr>
          <w:color w:val="000000"/>
        </w:rPr>
        <w:t xml:space="preserve"> </w:t>
      </w:r>
      <w:r w:rsidR="00B61410" w:rsidRPr="00011E04">
        <w:rPr>
          <w:color w:val="000000"/>
        </w:rPr>
        <w:t>Her subsequent consultation was scheduled for 17 March 2005.</w:t>
      </w:r>
    </w:p>
    <w:p w:rsidR="00B61410" w:rsidRDefault="005A4BE6" w:rsidP="005A4BE6">
      <w:pPr>
        <w:spacing w:after="120" w:line="360" w:lineRule="auto"/>
        <w:jc w:val="both"/>
        <w:outlineLvl w:val="0"/>
        <w:rPr>
          <w:color w:val="000000"/>
        </w:rPr>
      </w:pPr>
      <w:r>
        <w:rPr>
          <w:color w:val="000000"/>
        </w:rPr>
        <w:t>[16].</w:t>
      </w:r>
      <w:r>
        <w:rPr>
          <w:color w:val="000000"/>
        </w:rPr>
        <w:tab/>
      </w:r>
      <w:r w:rsidR="002437C2" w:rsidRPr="002437C2">
        <w:rPr>
          <w:color w:val="000000"/>
        </w:rPr>
        <w:t xml:space="preserve">According to the </w:t>
      </w:r>
      <w:r w:rsidR="00B61410" w:rsidRPr="002437C2">
        <w:rPr>
          <w:color w:val="000000"/>
        </w:rPr>
        <w:t>maternity book</w:t>
      </w:r>
      <w:r w:rsidR="002437C2" w:rsidRPr="002437C2">
        <w:rPr>
          <w:color w:val="000000"/>
        </w:rPr>
        <w:t xml:space="preserve">, under the heading </w:t>
      </w:r>
      <w:r w:rsidR="002437C2">
        <w:rPr>
          <w:color w:val="000000"/>
        </w:rPr>
        <w:t>‘</w:t>
      </w:r>
      <w:r w:rsidR="00B61410" w:rsidRPr="002437C2">
        <w:rPr>
          <w:color w:val="000000"/>
        </w:rPr>
        <w:t xml:space="preserve">Antenatal Admissions only (Doctor's and </w:t>
      </w:r>
      <w:r w:rsidR="002437C2">
        <w:rPr>
          <w:color w:val="000000"/>
        </w:rPr>
        <w:t>M</w:t>
      </w:r>
      <w:r w:rsidR="002437C2" w:rsidRPr="002437C2">
        <w:rPr>
          <w:color w:val="000000"/>
        </w:rPr>
        <w:t>idwife’s</w:t>
      </w:r>
      <w:r w:rsidR="00B61410" w:rsidRPr="002437C2">
        <w:rPr>
          <w:color w:val="000000"/>
        </w:rPr>
        <w:t xml:space="preserve"> notes)</w:t>
      </w:r>
      <w:r w:rsidR="002437C2">
        <w:rPr>
          <w:color w:val="000000"/>
        </w:rPr>
        <w:t>’, t</w:t>
      </w:r>
      <w:r w:rsidR="00B61410" w:rsidRPr="002437C2">
        <w:rPr>
          <w:color w:val="000000"/>
        </w:rPr>
        <w:t>he da</w:t>
      </w:r>
      <w:r w:rsidR="00DC7FBE">
        <w:rPr>
          <w:color w:val="000000"/>
        </w:rPr>
        <w:t>te and time of assessment were […]</w:t>
      </w:r>
      <w:r w:rsidR="002437C2">
        <w:rPr>
          <w:color w:val="000000"/>
        </w:rPr>
        <w:t> </w:t>
      </w:r>
      <w:r w:rsidR="00DC7FBE">
        <w:rPr>
          <w:color w:val="000000"/>
        </w:rPr>
        <w:t>March […]</w:t>
      </w:r>
      <w:r w:rsidR="00B61410" w:rsidRPr="002437C2">
        <w:rPr>
          <w:color w:val="000000"/>
        </w:rPr>
        <w:t xml:space="preserve"> at 0</w:t>
      </w:r>
      <w:r w:rsidR="002437C2">
        <w:rPr>
          <w:color w:val="000000"/>
        </w:rPr>
        <w:t>0h05 and the plaintiff was assessed as a P1, G2 (P, Parity =</w:t>
      </w:r>
      <w:r w:rsidR="00B61410" w:rsidRPr="002437C2">
        <w:rPr>
          <w:color w:val="000000"/>
        </w:rPr>
        <w:t xml:space="preserve"> number of deliveries and G, Gravidity </w:t>
      </w:r>
      <w:r w:rsidR="002437C2">
        <w:rPr>
          <w:color w:val="000000"/>
        </w:rPr>
        <w:t xml:space="preserve">= </w:t>
      </w:r>
      <w:r w:rsidR="00B61410" w:rsidRPr="002437C2">
        <w:rPr>
          <w:color w:val="000000"/>
        </w:rPr>
        <w:t>number of pregnancies).</w:t>
      </w:r>
      <w:r w:rsidR="002437C2">
        <w:rPr>
          <w:color w:val="000000"/>
        </w:rPr>
        <w:t xml:space="preserve"> </w:t>
      </w:r>
      <w:r w:rsidR="00B61410" w:rsidRPr="002437C2">
        <w:rPr>
          <w:color w:val="000000"/>
        </w:rPr>
        <w:t xml:space="preserve">This therefore </w:t>
      </w:r>
      <w:r w:rsidR="006D0D4B">
        <w:rPr>
          <w:color w:val="000000"/>
        </w:rPr>
        <w:t>indicated</w:t>
      </w:r>
      <w:r w:rsidR="00B61410" w:rsidRPr="002437C2">
        <w:rPr>
          <w:color w:val="000000"/>
        </w:rPr>
        <w:t xml:space="preserve"> that she had </w:t>
      </w:r>
      <w:r w:rsidR="00CB142A">
        <w:rPr>
          <w:color w:val="000000"/>
        </w:rPr>
        <w:t xml:space="preserve">previously </w:t>
      </w:r>
      <w:r w:rsidR="00B61410" w:rsidRPr="002437C2">
        <w:rPr>
          <w:color w:val="000000"/>
        </w:rPr>
        <w:t>delivered one child and was in her second pregnancy (P1, G2 respectively).</w:t>
      </w:r>
      <w:r w:rsidR="002437C2">
        <w:rPr>
          <w:color w:val="000000"/>
        </w:rPr>
        <w:t xml:space="preserve"> </w:t>
      </w:r>
      <w:r w:rsidR="00B61410" w:rsidRPr="002437C2">
        <w:rPr>
          <w:color w:val="000000"/>
        </w:rPr>
        <w:t>The pregnancy was</w:t>
      </w:r>
      <w:r w:rsidR="008A0881">
        <w:rPr>
          <w:color w:val="000000"/>
        </w:rPr>
        <w:t xml:space="preserve"> estimated to have been 36/40 (9 months) by dates. </w:t>
      </w:r>
      <w:r w:rsidR="00B61410" w:rsidRPr="002437C2">
        <w:rPr>
          <w:color w:val="000000"/>
        </w:rPr>
        <w:t>LNMP and EDD were recorded to have been on 21</w:t>
      </w:r>
      <w:r w:rsidR="006D0D4B">
        <w:rPr>
          <w:color w:val="000000"/>
        </w:rPr>
        <w:t> </w:t>
      </w:r>
      <w:r w:rsidR="00B61410" w:rsidRPr="002437C2">
        <w:rPr>
          <w:color w:val="000000"/>
        </w:rPr>
        <w:t>June 2004 and 25 March 2005 respectively.</w:t>
      </w:r>
      <w:r w:rsidR="008A0881">
        <w:rPr>
          <w:color w:val="000000"/>
        </w:rPr>
        <w:t xml:space="preserve"> </w:t>
      </w:r>
      <w:r w:rsidR="00B61410" w:rsidRPr="008A0881">
        <w:rPr>
          <w:color w:val="000000"/>
        </w:rPr>
        <w:t>Her medical and surgical history was unremarkable (</w:t>
      </w:r>
      <w:r w:rsidR="006D0D4B">
        <w:rPr>
          <w:color w:val="000000"/>
        </w:rPr>
        <w:t>‘</w:t>
      </w:r>
      <w:r w:rsidR="00B61410" w:rsidRPr="008A0881">
        <w:rPr>
          <w:color w:val="000000"/>
        </w:rPr>
        <w:t>nil of note</w:t>
      </w:r>
      <w:r w:rsidR="006D0D4B">
        <w:rPr>
          <w:color w:val="000000"/>
        </w:rPr>
        <w:t>’</w:t>
      </w:r>
      <w:r w:rsidR="00B61410" w:rsidRPr="008A0881">
        <w:rPr>
          <w:color w:val="000000"/>
        </w:rPr>
        <w:t>).</w:t>
      </w:r>
    </w:p>
    <w:p w:rsidR="003D5480" w:rsidRDefault="005A4BE6" w:rsidP="005A4BE6">
      <w:pPr>
        <w:spacing w:after="120" w:line="360" w:lineRule="auto"/>
        <w:jc w:val="both"/>
        <w:outlineLvl w:val="0"/>
        <w:rPr>
          <w:color w:val="000000"/>
        </w:rPr>
      </w:pPr>
      <w:r>
        <w:rPr>
          <w:color w:val="000000"/>
        </w:rPr>
        <w:t>[17].</w:t>
      </w:r>
      <w:r>
        <w:rPr>
          <w:color w:val="000000"/>
        </w:rPr>
        <w:tab/>
      </w:r>
      <w:r w:rsidR="00EE6DA8">
        <w:rPr>
          <w:color w:val="000000"/>
        </w:rPr>
        <w:t>It requires emphasising that, according to the hospital records</w:t>
      </w:r>
      <w:r w:rsidR="006D0D4B">
        <w:rPr>
          <w:color w:val="000000"/>
        </w:rPr>
        <w:t xml:space="preserve"> and the clinical notes</w:t>
      </w:r>
      <w:r w:rsidR="00EE6DA8">
        <w:rPr>
          <w:color w:val="000000"/>
        </w:rPr>
        <w:t xml:space="preserve">, </w:t>
      </w:r>
      <w:r w:rsidR="00EE6DA8" w:rsidRPr="00EE6DA8">
        <w:rPr>
          <w:color w:val="000000"/>
        </w:rPr>
        <w:t xml:space="preserve">when the </w:t>
      </w:r>
      <w:r w:rsidR="00EE6DA8">
        <w:rPr>
          <w:color w:val="000000"/>
        </w:rPr>
        <w:t>plaintiff</w:t>
      </w:r>
      <w:r w:rsidR="00EE6DA8" w:rsidRPr="00EE6DA8">
        <w:rPr>
          <w:color w:val="000000"/>
        </w:rPr>
        <w:t xml:space="preserve"> and </w:t>
      </w:r>
      <w:r w:rsidR="00EE6DA8">
        <w:rPr>
          <w:color w:val="000000"/>
        </w:rPr>
        <w:t>her unborn baby</w:t>
      </w:r>
      <w:r w:rsidR="00EE6DA8" w:rsidRPr="00EE6DA8">
        <w:rPr>
          <w:color w:val="000000"/>
        </w:rPr>
        <w:t xml:space="preserve"> were admitted </w:t>
      </w:r>
      <w:r w:rsidR="00EE6DA8">
        <w:rPr>
          <w:color w:val="000000"/>
        </w:rPr>
        <w:t>to</w:t>
      </w:r>
      <w:r w:rsidR="00EE6DA8" w:rsidRPr="00EE6DA8">
        <w:rPr>
          <w:color w:val="000000"/>
        </w:rPr>
        <w:t xml:space="preserve"> </w:t>
      </w:r>
      <w:r w:rsidR="00EE6DA8">
        <w:rPr>
          <w:color w:val="000000"/>
        </w:rPr>
        <w:t xml:space="preserve">the CMAH, </w:t>
      </w:r>
      <w:r w:rsidR="00EE6DA8" w:rsidRPr="00EE6DA8">
        <w:rPr>
          <w:color w:val="000000"/>
        </w:rPr>
        <w:t>both their conditions were within normal limits.</w:t>
      </w:r>
      <w:r w:rsidR="00EE6DA8">
        <w:rPr>
          <w:color w:val="000000"/>
        </w:rPr>
        <w:t xml:space="preserve"> That much is apparent from the plaintiff’s blood pressure reading and other vital </w:t>
      </w:r>
      <w:r w:rsidR="006D0D4B">
        <w:rPr>
          <w:color w:val="000000"/>
        </w:rPr>
        <w:t>signs readings</w:t>
      </w:r>
      <w:r w:rsidR="00EE6DA8">
        <w:rPr>
          <w:color w:val="000000"/>
        </w:rPr>
        <w:t>, as well as the subsequent NST tracings relating to the foetus. T</w:t>
      </w:r>
      <w:r w:rsidR="00EE6DA8" w:rsidRPr="00EE6DA8">
        <w:rPr>
          <w:color w:val="000000"/>
        </w:rPr>
        <w:t xml:space="preserve">here </w:t>
      </w:r>
      <w:r w:rsidR="00EE6DA8">
        <w:rPr>
          <w:color w:val="000000"/>
        </w:rPr>
        <w:t>was no</w:t>
      </w:r>
      <w:r w:rsidR="00EE6DA8" w:rsidRPr="00EE6DA8">
        <w:rPr>
          <w:color w:val="000000"/>
        </w:rPr>
        <w:t xml:space="preserve"> indication </w:t>
      </w:r>
      <w:r w:rsidR="00EE6DA8" w:rsidRPr="00EE6DA8">
        <w:rPr>
          <w:color w:val="000000"/>
        </w:rPr>
        <w:lastRenderedPageBreak/>
        <w:t>whatsoever that there were a</w:t>
      </w:r>
      <w:r w:rsidR="00EE6DA8">
        <w:rPr>
          <w:color w:val="000000"/>
        </w:rPr>
        <w:t>ny</w:t>
      </w:r>
      <w:r w:rsidR="00EE6DA8" w:rsidRPr="00EE6DA8">
        <w:rPr>
          <w:color w:val="000000"/>
        </w:rPr>
        <w:t xml:space="preserve"> problem</w:t>
      </w:r>
      <w:r w:rsidR="00EE6DA8">
        <w:rPr>
          <w:color w:val="000000"/>
        </w:rPr>
        <w:t>s</w:t>
      </w:r>
      <w:r w:rsidR="00EE6DA8" w:rsidRPr="00EE6DA8">
        <w:rPr>
          <w:color w:val="000000"/>
        </w:rPr>
        <w:t xml:space="preserve"> with either the </w:t>
      </w:r>
      <w:r w:rsidR="00EE6DA8">
        <w:rPr>
          <w:color w:val="000000"/>
        </w:rPr>
        <w:t>plaintiff</w:t>
      </w:r>
      <w:r w:rsidR="00EE6DA8" w:rsidRPr="00EE6DA8">
        <w:rPr>
          <w:color w:val="000000"/>
        </w:rPr>
        <w:t xml:space="preserve"> or </w:t>
      </w:r>
      <w:r w:rsidR="00EE6DA8">
        <w:rPr>
          <w:color w:val="000000"/>
        </w:rPr>
        <w:t>her</w:t>
      </w:r>
      <w:r w:rsidR="00EE6DA8" w:rsidRPr="00EE6DA8">
        <w:rPr>
          <w:color w:val="000000"/>
        </w:rPr>
        <w:t xml:space="preserve"> foetus.</w:t>
      </w:r>
      <w:r w:rsidR="003D5480">
        <w:rPr>
          <w:color w:val="000000"/>
        </w:rPr>
        <w:t xml:space="preserve"> There was, for example, no indication of any </w:t>
      </w:r>
      <w:r w:rsidR="00EE6DA8" w:rsidRPr="003D5480">
        <w:rPr>
          <w:color w:val="000000"/>
        </w:rPr>
        <w:t>maternal infection</w:t>
      </w:r>
      <w:r w:rsidR="003D5480">
        <w:rPr>
          <w:color w:val="000000"/>
        </w:rPr>
        <w:t xml:space="preserve">. What is more is that </w:t>
      </w:r>
      <w:r w:rsidR="00EE6DA8" w:rsidRPr="003D5480">
        <w:rPr>
          <w:color w:val="000000"/>
        </w:rPr>
        <w:t>until about 02:40 that morning</w:t>
      </w:r>
      <w:r w:rsidR="003D5480">
        <w:rPr>
          <w:color w:val="000000"/>
        </w:rPr>
        <w:t>,</w:t>
      </w:r>
      <w:r w:rsidR="00EE6DA8" w:rsidRPr="003D5480">
        <w:rPr>
          <w:color w:val="000000"/>
        </w:rPr>
        <w:t xml:space="preserve"> no problems </w:t>
      </w:r>
      <w:r w:rsidR="003D5480">
        <w:rPr>
          <w:color w:val="000000"/>
        </w:rPr>
        <w:t xml:space="preserve">were </w:t>
      </w:r>
      <w:r w:rsidR="00EE6DA8" w:rsidRPr="003D5480">
        <w:rPr>
          <w:color w:val="000000"/>
        </w:rPr>
        <w:t xml:space="preserve">experienced </w:t>
      </w:r>
      <w:r w:rsidR="003D5480">
        <w:rPr>
          <w:color w:val="000000"/>
        </w:rPr>
        <w:t xml:space="preserve">by the foetus and no difficulties were </w:t>
      </w:r>
      <w:r w:rsidR="00EE6DA8" w:rsidRPr="003D5480">
        <w:rPr>
          <w:color w:val="000000"/>
        </w:rPr>
        <w:t xml:space="preserve">noted on the record as far as the </w:t>
      </w:r>
      <w:r w:rsidR="003D5480" w:rsidRPr="003D5480">
        <w:rPr>
          <w:color w:val="000000"/>
        </w:rPr>
        <w:t>foetus</w:t>
      </w:r>
      <w:r w:rsidR="00EE6DA8" w:rsidRPr="003D5480">
        <w:rPr>
          <w:color w:val="000000"/>
        </w:rPr>
        <w:t xml:space="preserve"> is concerned</w:t>
      </w:r>
      <w:r w:rsidR="003D5480">
        <w:rPr>
          <w:color w:val="000000"/>
        </w:rPr>
        <w:t>.</w:t>
      </w:r>
    </w:p>
    <w:p w:rsidR="00B61410" w:rsidRPr="008A0881" w:rsidRDefault="005A4BE6" w:rsidP="005A4BE6">
      <w:pPr>
        <w:spacing w:after="120" w:line="360" w:lineRule="auto"/>
        <w:jc w:val="both"/>
        <w:outlineLvl w:val="0"/>
        <w:rPr>
          <w:color w:val="000000"/>
        </w:rPr>
      </w:pPr>
      <w:r w:rsidRPr="008A0881">
        <w:rPr>
          <w:color w:val="000000"/>
        </w:rPr>
        <w:t>[18].</w:t>
      </w:r>
      <w:r w:rsidRPr="008A0881">
        <w:rPr>
          <w:color w:val="000000"/>
        </w:rPr>
        <w:tab/>
      </w:r>
      <w:proofErr w:type="gramStart"/>
      <w:r w:rsidR="003D5480">
        <w:rPr>
          <w:color w:val="000000"/>
        </w:rPr>
        <w:t>On</w:t>
      </w:r>
      <w:proofErr w:type="gramEnd"/>
      <w:r w:rsidR="003D5480">
        <w:rPr>
          <w:color w:val="000000"/>
        </w:rPr>
        <w:t xml:space="preserve"> admission, the plaintiff </w:t>
      </w:r>
      <w:r w:rsidR="00B61410" w:rsidRPr="00B61410">
        <w:rPr>
          <w:color w:val="000000"/>
        </w:rPr>
        <w:t>was reported t</w:t>
      </w:r>
      <w:r w:rsidR="008A0881">
        <w:rPr>
          <w:color w:val="000000"/>
        </w:rPr>
        <w:t xml:space="preserve">o have complained of </w:t>
      </w:r>
      <w:r w:rsidR="00B61410" w:rsidRPr="00B61410">
        <w:rPr>
          <w:color w:val="000000"/>
        </w:rPr>
        <w:t>lower abdominal pains</w:t>
      </w:r>
      <w:r w:rsidR="003D5480">
        <w:rPr>
          <w:color w:val="000000"/>
        </w:rPr>
        <w:t xml:space="preserve"> (</w:t>
      </w:r>
      <w:r w:rsidR="006D0D4B">
        <w:rPr>
          <w:color w:val="000000"/>
        </w:rPr>
        <w:t>‘</w:t>
      </w:r>
      <w:r w:rsidR="003D5480">
        <w:rPr>
          <w:color w:val="000000"/>
        </w:rPr>
        <w:t>c/o LAP</w:t>
      </w:r>
      <w:r w:rsidR="006D0D4B">
        <w:rPr>
          <w:color w:val="000000"/>
        </w:rPr>
        <w:t>’</w:t>
      </w:r>
      <w:r w:rsidR="003D5480">
        <w:rPr>
          <w:color w:val="000000"/>
        </w:rPr>
        <w:t>)</w:t>
      </w:r>
      <w:r w:rsidR="008A0881">
        <w:rPr>
          <w:color w:val="000000"/>
        </w:rPr>
        <w:t>,</w:t>
      </w:r>
      <w:r w:rsidR="00B61410" w:rsidRPr="00B61410">
        <w:rPr>
          <w:color w:val="000000"/>
        </w:rPr>
        <w:t xml:space="preserve"> with no history of </w:t>
      </w:r>
      <w:r w:rsidR="003D5480">
        <w:rPr>
          <w:color w:val="000000"/>
        </w:rPr>
        <w:t>‘SHOW’</w:t>
      </w:r>
      <w:r w:rsidR="00B61410" w:rsidRPr="00B61410">
        <w:rPr>
          <w:color w:val="000000"/>
        </w:rPr>
        <w:t xml:space="preserve"> (blood stained </w:t>
      </w:r>
      <w:proofErr w:type="spellStart"/>
      <w:r w:rsidR="00B61410" w:rsidRPr="00B61410">
        <w:rPr>
          <w:color w:val="000000"/>
        </w:rPr>
        <w:t>mucoid</w:t>
      </w:r>
      <w:proofErr w:type="spellEnd"/>
      <w:r w:rsidR="00B61410" w:rsidRPr="00B61410">
        <w:rPr>
          <w:color w:val="000000"/>
        </w:rPr>
        <w:t xml:space="preserve"> discharge expelled vaginally at the onset of labour) or SROM (spontaneous rupture of membranes).</w:t>
      </w:r>
      <w:r w:rsidR="008A0881">
        <w:rPr>
          <w:color w:val="000000"/>
        </w:rPr>
        <w:t xml:space="preserve"> On clinical examination</w:t>
      </w:r>
      <w:r w:rsidR="00B61410" w:rsidRPr="008A0881">
        <w:rPr>
          <w:color w:val="000000"/>
        </w:rPr>
        <w:t xml:space="preserve">, her blood pressure </w:t>
      </w:r>
      <w:r w:rsidR="008A0881">
        <w:rPr>
          <w:color w:val="000000"/>
        </w:rPr>
        <w:t xml:space="preserve">was 150/68 </w:t>
      </w:r>
      <w:r w:rsidR="00B61410" w:rsidRPr="008A0881">
        <w:rPr>
          <w:color w:val="000000"/>
        </w:rPr>
        <w:t xml:space="preserve">and pulse </w:t>
      </w:r>
      <w:r w:rsidR="008A0881">
        <w:rPr>
          <w:color w:val="000000"/>
        </w:rPr>
        <w:t>was</w:t>
      </w:r>
      <w:r w:rsidR="00B61410" w:rsidRPr="008A0881">
        <w:rPr>
          <w:color w:val="000000"/>
        </w:rPr>
        <w:t xml:space="preserve"> 86</w:t>
      </w:r>
      <w:r w:rsidR="008A0881">
        <w:rPr>
          <w:color w:val="000000"/>
        </w:rPr>
        <w:t xml:space="preserve"> bpm</w:t>
      </w:r>
      <w:r w:rsidR="00B61410" w:rsidRPr="008A0881">
        <w:rPr>
          <w:color w:val="000000"/>
        </w:rPr>
        <w:t>.</w:t>
      </w:r>
      <w:r w:rsidR="008A0881">
        <w:rPr>
          <w:color w:val="000000"/>
        </w:rPr>
        <w:t xml:space="preserve"> </w:t>
      </w:r>
      <w:r w:rsidR="00B61410" w:rsidRPr="008A0881">
        <w:rPr>
          <w:color w:val="000000"/>
        </w:rPr>
        <w:t>The clinical size of the pregnancy (</w:t>
      </w:r>
      <w:r w:rsidR="008A0881">
        <w:rPr>
          <w:color w:val="000000"/>
        </w:rPr>
        <w:t>‘</w:t>
      </w:r>
      <w:r w:rsidR="00B61410" w:rsidRPr="008A0881">
        <w:rPr>
          <w:color w:val="000000"/>
        </w:rPr>
        <w:t>HOF</w:t>
      </w:r>
      <w:r w:rsidR="008A0881">
        <w:rPr>
          <w:color w:val="000000"/>
        </w:rPr>
        <w:t>’ or</w:t>
      </w:r>
      <w:r w:rsidR="00B61410" w:rsidRPr="008A0881">
        <w:rPr>
          <w:color w:val="000000"/>
        </w:rPr>
        <w:t xml:space="preserve"> </w:t>
      </w:r>
      <w:r w:rsidR="008A0881">
        <w:rPr>
          <w:color w:val="000000"/>
        </w:rPr>
        <w:t>‘</w:t>
      </w:r>
      <w:r w:rsidR="00B61410" w:rsidRPr="008A0881">
        <w:rPr>
          <w:color w:val="000000"/>
        </w:rPr>
        <w:t xml:space="preserve">height of </w:t>
      </w:r>
      <w:proofErr w:type="gramStart"/>
      <w:r w:rsidR="00B61410" w:rsidRPr="008A0881">
        <w:rPr>
          <w:color w:val="000000"/>
        </w:rPr>
        <w:t>fundus</w:t>
      </w:r>
      <w:r w:rsidR="008A0881">
        <w:rPr>
          <w:color w:val="000000"/>
        </w:rPr>
        <w:t>’</w:t>
      </w:r>
      <w:proofErr w:type="gramEnd"/>
      <w:r w:rsidR="00B61410" w:rsidRPr="008A0881">
        <w:rPr>
          <w:color w:val="000000"/>
        </w:rPr>
        <w:t>) was 37 weeks (9</w:t>
      </w:r>
      <w:r w:rsidR="008A0881">
        <w:rPr>
          <w:color w:val="000000"/>
        </w:rPr>
        <w:t> </w:t>
      </w:r>
      <w:r w:rsidR="00B61410" w:rsidRPr="008A0881">
        <w:rPr>
          <w:color w:val="000000"/>
        </w:rPr>
        <w:t>months and 1 week).</w:t>
      </w:r>
      <w:r w:rsidR="008A0881">
        <w:rPr>
          <w:color w:val="000000"/>
        </w:rPr>
        <w:t xml:space="preserve"> </w:t>
      </w:r>
      <w:r w:rsidR="00B61410" w:rsidRPr="008A0881">
        <w:rPr>
          <w:color w:val="000000"/>
        </w:rPr>
        <w:t xml:space="preserve">The foetal position was </w:t>
      </w:r>
      <w:r w:rsidR="008A0881">
        <w:rPr>
          <w:color w:val="000000"/>
        </w:rPr>
        <w:t xml:space="preserve">reported as being </w:t>
      </w:r>
      <w:r w:rsidR="00B61410" w:rsidRPr="008A0881">
        <w:rPr>
          <w:color w:val="000000"/>
        </w:rPr>
        <w:t>within normal limits.</w:t>
      </w:r>
      <w:r w:rsidR="008A0881">
        <w:rPr>
          <w:color w:val="000000"/>
        </w:rPr>
        <w:t xml:space="preserve"> </w:t>
      </w:r>
      <w:r w:rsidR="00B61410" w:rsidRPr="008A0881">
        <w:rPr>
          <w:color w:val="000000"/>
        </w:rPr>
        <w:t xml:space="preserve">The foetal heart rate was </w:t>
      </w:r>
      <w:r w:rsidR="008A0881">
        <w:rPr>
          <w:color w:val="000000"/>
        </w:rPr>
        <w:t>recorded as 142 beats per minute (bp</w:t>
      </w:r>
      <w:r w:rsidR="00B61410" w:rsidRPr="008A0881">
        <w:rPr>
          <w:color w:val="000000"/>
        </w:rPr>
        <w:t>m)</w:t>
      </w:r>
      <w:r w:rsidR="008A0881">
        <w:rPr>
          <w:color w:val="000000"/>
        </w:rPr>
        <w:t xml:space="preserve"> </w:t>
      </w:r>
      <w:r w:rsidR="00B61410" w:rsidRPr="008A0881">
        <w:rPr>
          <w:color w:val="000000"/>
        </w:rPr>
        <w:t>and foetal movements were reported to have been felt by the mother.</w:t>
      </w:r>
      <w:r w:rsidR="008A0881">
        <w:rPr>
          <w:color w:val="000000"/>
        </w:rPr>
        <w:t xml:space="preserve"> The Non Stress T</w:t>
      </w:r>
      <w:r w:rsidR="00B61410" w:rsidRPr="008A0881">
        <w:rPr>
          <w:color w:val="000000"/>
        </w:rPr>
        <w:t>est (</w:t>
      </w:r>
      <w:r w:rsidR="008A0881">
        <w:rPr>
          <w:color w:val="000000"/>
        </w:rPr>
        <w:t xml:space="preserve">‘NST’) </w:t>
      </w:r>
      <w:r w:rsidR="00B61410" w:rsidRPr="008A0881">
        <w:rPr>
          <w:color w:val="000000"/>
        </w:rPr>
        <w:t xml:space="preserve">machine </w:t>
      </w:r>
      <w:r w:rsidR="008A0881">
        <w:rPr>
          <w:color w:val="000000"/>
        </w:rPr>
        <w:t xml:space="preserve">– </w:t>
      </w:r>
      <w:r w:rsidR="00B61410" w:rsidRPr="008A0881">
        <w:rPr>
          <w:color w:val="000000"/>
        </w:rPr>
        <w:t>used</w:t>
      </w:r>
      <w:r w:rsidR="008A0881">
        <w:rPr>
          <w:color w:val="000000"/>
        </w:rPr>
        <w:t xml:space="preserve"> </w:t>
      </w:r>
      <w:r w:rsidR="00B61410" w:rsidRPr="008A0881">
        <w:rPr>
          <w:color w:val="000000"/>
        </w:rPr>
        <w:t>for electronic measurement of the foetal heart rate</w:t>
      </w:r>
      <w:r w:rsidR="008A0881">
        <w:rPr>
          <w:color w:val="000000"/>
        </w:rPr>
        <w:t xml:space="preserve"> –</w:t>
      </w:r>
      <w:r w:rsidR="00B61410" w:rsidRPr="008A0881">
        <w:rPr>
          <w:color w:val="000000"/>
        </w:rPr>
        <w:t xml:space="preserve"> was reported to have been in progress (</w:t>
      </w:r>
      <w:r w:rsidR="008A0881">
        <w:rPr>
          <w:color w:val="000000"/>
        </w:rPr>
        <w:t>‘</w:t>
      </w:r>
      <w:r w:rsidR="00B61410" w:rsidRPr="008A0881">
        <w:rPr>
          <w:color w:val="000000"/>
        </w:rPr>
        <w:t>recording</w:t>
      </w:r>
      <w:r w:rsidR="008A0881">
        <w:rPr>
          <w:color w:val="000000"/>
        </w:rPr>
        <w:t>’</w:t>
      </w:r>
      <w:r w:rsidR="00B61410" w:rsidRPr="008A0881">
        <w:rPr>
          <w:color w:val="000000"/>
        </w:rPr>
        <w:t>).</w:t>
      </w:r>
    </w:p>
    <w:p w:rsidR="00B61410" w:rsidRDefault="005A4BE6" w:rsidP="005A4BE6">
      <w:pPr>
        <w:spacing w:after="120" w:line="360" w:lineRule="auto"/>
        <w:jc w:val="both"/>
        <w:outlineLvl w:val="0"/>
        <w:rPr>
          <w:color w:val="000000"/>
        </w:rPr>
      </w:pPr>
      <w:r>
        <w:rPr>
          <w:color w:val="000000"/>
        </w:rPr>
        <w:t>[19].</w:t>
      </w:r>
      <w:r>
        <w:rPr>
          <w:color w:val="000000"/>
        </w:rPr>
        <w:tab/>
      </w:r>
      <w:proofErr w:type="gramStart"/>
      <w:r w:rsidR="008A0881">
        <w:rPr>
          <w:color w:val="000000"/>
        </w:rPr>
        <w:t>The</w:t>
      </w:r>
      <w:proofErr w:type="gramEnd"/>
      <w:r w:rsidR="008A0881">
        <w:rPr>
          <w:color w:val="000000"/>
        </w:rPr>
        <w:t xml:space="preserve"> maternity book recorded ‘the Plan’ as ‘</w:t>
      </w:r>
      <w:r w:rsidR="00B61410" w:rsidRPr="00B61410">
        <w:rPr>
          <w:color w:val="000000"/>
        </w:rPr>
        <w:t>the patient to be assessed by the doctor</w:t>
      </w:r>
      <w:r w:rsidR="006B662F">
        <w:rPr>
          <w:color w:val="000000"/>
        </w:rPr>
        <w:t>’</w:t>
      </w:r>
      <w:r w:rsidR="00B61410" w:rsidRPr="00B61410">
        <w:rPr>
          <w:color w:val="000000"/>
        </w:rPr>
        <w:t>.</w:t>
      </w:r>
      <w:r w:rsidR="006B662F">
        <w:rPr>
          <w:color w:val="000000"/>
        </w:rPr>
        <w:t xml:space="preserve"> </w:t>
      </w:r>
      <w:r w:rsidR="00B61410" w:rsidRPr="006B662F">
        <w:rPr>
          <w:color w:val="000000"/>
        </w:rPr>
        <w:t>Another entry was made that the doctor had called and indicated that they would come to review the patient.</w:t>
      </w:r>
      <w:r w:rsidR="006B662F">
        <w:rPr>
          <w:color w:val="000000"/>
        </w:rPr>
        <w:t xml:space="preserve"> </w:t>
      </w:r>
      <w:r w:rsidR="00B61410" w:rsidRPr="006B662F">
        <w:rPr>
          <w:color w:val="000000"/>
        </w:rPr>
        <w:t xml:space="preserve">It was further noted that the </w:t>
      </w:r>
      <w:r w:rsidR="006B662F">
        <w:rPr>
          <w:color w:val="000000"/>
        </w:rPr>
        <w:t>plaintiff</w:t>
      </w:r>
      <w:r w:rsidR="00B61410" w:rsidRPr="006B662F">
        <w:rPr>
          <w:color w:val="000000"/>
        </w:rPr>
        <w:t xml:space="preserve"> had been seen by a doctor at</w:t>
      </w:r>
      <w:r w:rsidR="006B662F">
        <w:rPr>
          <w:color w:val="000000"/>
        </w:rPr>
        <w:t xml:space="preserve"> 01:</w:t>
      </w:r>
      <w:r w:rsidR="00B61410" w:rsidRPr="006B662F">
        <w:rPr>
          <w:color w:val="000000"/>
        </w:rPr>
        <w:t>20</w:t>
      </w:r>
      <w:r w:rsidR="006B662F">
        <w:rPr>
          <w:color w:val="000000"/>
        </w:rPr>
        <w:t xml:space="preserve"> and was </w:t>
      </w:r>
      <w:r w:rsidR="00B61410" w:rsidRPr="006B662F">
        <w:rPr>
          <w:color w:val="000000"/>
        </w:rPr>
        <w:t xml:space="preserve">assessed to have been </w:t>
      </w:r>
      <w:r w:rsidR="006B662F">
        <w:rPr>
          <w:color w:val="000000"/>
        </w:rPr>
        <w:t xml:space="preserve">in active phase of labour (APL), </w:t>
      </w:r>
      <w:proofErr w:type="spellStart"/>
      <w:r w:rsidR="006B662F">
        <w:rPr>
          <w:color w:val="000000"/>
        </w:rPr>
        <w:t>whereafter</w:t>
      </w:r>
      <w:proofErr w:type="spellEnd"/>
      <w:r w:rsidR="006B662F">
        <w:rPr>
          <w:color w:val="000000"/>
        </w:rPr>
        <w:t xml:space="preserve"> she </w:t>
      </w:r>
      <w:r w:rsidR="00B61410" w:rsidRPr="006B662F">
        <w:rPr>
          <w:color w:val="000000"/>
        </w:rPr>
        <w:t>was transferred to labour ward for further management.</w:t>
      </w:r>
    </w:p>
    <w:p w:rsidR="00B61410" w:rsidRPr="00EA7F78" w:rsidRDefault="005A4BE6" w:rsidP="005A4BE6">
      <w:pPr>
        <w:spacing w:after="120" w:line="360" w:lineRule="auto"/>
        <w:jc w:val="both"/>
        <w:outlineLvl w:val="0"/>
        <w:rPr>
          <w:color w:val="000000"/>
        </w:rPr>
      </w:pPr>
      <w:r w:rsidRPr="00EA7F78">
        <w:rPr>
          <w:color w:val="000000"/>
        </w:rPr>
        <w:t>[20].</w:t>
      </w:r>
      <w:r w:rsidRPr="00EA7F78">
        <w:rPr>
          <w:color w:val="000000"/>
        </w:rPr>
        <w:tab/>
      </w:r>
      <w:r w:rsidR="006B662F" w:rsidRPr="006B662F">
        <w:rPr>
          <w:color w:val="000000"/>
        </w:rPr>
        <w:t xml:space="preserve">Spontaneous rupture of membranes was recorded to have occurred at </w:t>
      </w:r>
      <w:r w:rsidR="00A60908">
        <w:rPr>
          <w:color w:val="000000"/>
        </w:rPr>
        <w:t>01:</w:t>
      </w:r>
      <w:r w:rsidR="006B662F" w:rsidRPr="006B662F">
        <w:rPr>
          <w:color w:val="000000"/>
        </w:rPr>
        <w:t>30.</w:t>
      </w:r>
      <w:r w:rsidR="006B662F">
        <w:rPr>
          <w:color w:val="000000"/>
        </w:rPr>
        <w:t xml:space="preserve"> </w:t>
      </w:r>
      <w:r w:rsidR="006B662F" w:rsidRPr="006B662F">
        <w:rPr>
          <w:color w:val="000000"/>
        </w:rPr>
        <w:t>At 01:</w:t>
      </w:r>
      <w:r w:rsidR="00B61410" w:rsidRPr="006B662F">
        <w:rPr>
          <w:color w:val="000000"/>
        </w:rPr>
        <w:t xml:space="preserve">45, </w:t>
      </w:r>
      <w:r w:rsidR="006B662F" w:rsidRPr="006B662F">
        <w:rPr>
          <w:color w:val="000000"/>
        </w:rPr>
        <w:t>the plaintiff, who was assessed as a 22-year-old</w:t>
      </w:r>
      <w:r w:rsidR="00B61410" w:rsidRPr="006B662F">
        <w:rPr>
          <w:color w:val="000000"/>
        </w:rPr>
        <w:t xml:space="preserve"> P1</w:t>
      </w:r>
      <w:r w:rsidR="006B662F" w:rsidRPr="006B662F">
        <w:rPr>
          <w:color w:val="000000"/>
        </w:rPr>
        <w:t>,</w:t>
      </w:r>
      <w:r w:rsidR="00B61410" w:rsidRPr="006B662F">
        <w:rPr>
          <w:color w:val="000000"/>
        </w:rPr>
        <w:t xml:space="preserve"> G2 at 37</w:t>
      </w:r>
      <w:r w:rsidR="006B662F" w:rsidRPr="006B662F">
        <w:rPr>
          <w:color w:val="000000"/>
        </w:rPr>
        <w:t xml:space="preserve"> weeks</w:t>
      </w:r>
      <w:r w:rsidR="00B61410" w:rsidRPr="006B662F">
        <w:rPr>
          <w:color w:val="000000"/>
        </w:rPr>
        <w:t xml:space="preserve"> (9 months and 1 week)</w:t>
      </w:r>
      <w:r w:rsidR="006B662F" w:rsidRPr="006B662F">
        <w:rPr>
          <w:color w:val="000000"/>
        </w:rPr>
        <w:t>, with t</w:t>
      </w:r>
      <w:r w:rsidR="00B61410" w:rsidRPr="006B662F">
        <w:rPr>
          <w:color w:val="000000"/>
        </w:rPr>
        <w:t xml:space="preserve">he cervix </w:t>
      </w:r>
      <w:r w:rsidR="006B662F" w:rsidRPr="006B662F">
        <w:rPr>
          <w:color w:val="000000"/>
        </w:rPr>
        <w:t>dilated at</w:t>
      </w:r>
      <w:r w:rsidR="00B61410" w:rsidRPr="006B662F">
        <w:rPr>
          <w:color w:val="000000"/>
        </w:rPr>
        <w:t xml:space="preserve"> 3 cm </w:t>
      </w:r>
      <w:r w:rsidR="006B662F" w:rsidRPr="006B662F">
        <w:rPr>
          <w:color w:val="000000"/>
        </w:rPr>
        <w:t xml:space="preserve">and </w:t>
      </w:r>
      <w:r w:rsidR="00B61410" w:rsidRPr="006B662F">
        <w:rPr>
          <w:color w:val="000000"/>
        </w:rPr>
        <w:t xml:space="preserve">the foetal heart rate </w:t>
      </w:r>
      <w:r w:rsidR="006B662F" w:rsidRPr="006B662F">
        <w:rPr>
          <w:color w:val="000000"/>
        </w:rPr>
        <w:t>of</w:t>
      </w:r>
      <w:r w:rsidR="00B61410" w:rsidRPr="006B662F">
        <w:rPr>
          <w:color w:val="000000"/>
        </w:rPr>
        <w:t xml:space="preserve"> 132 beats per minute</w:t>
      </w:r>
      <w:r w:rsidR="006B662F" w:rsidRPr="006B662F">
        <w:rPr>
          <w:color w:val="000000"/>
        </w:rPr>
        <w:t xml:space="preserve">, </w:t>
      </w:r>
      <w:r w:rsidR="00B61410" w:rsidRPr="006B662F">
        <w:rPr>
          <w:color w:val="000000"/>
        </w:rPr>
        <w:t>was described as being distressed</w:t>
      </w:r>
      <w:r w:rsidR="006B662F" w:rsidRPr="006B662F">
        <w:rPr>
          <w:color w:val="000000"/>
        </w:rPr>
        <w:t>. A</w:t>
      </w:r>
      <w:r w:rsidR="00B61410" w:rsidRPr="006B662F">
        <w:rPr>
          <w:color w:val="000000"/>
        </w:rPr>
        <w:t xml:space="preserve"> note was </w:t>
      </w:r>
      <w:r w:rsidR="006B662F" w:rsidRPr="006B662F">
        <w:rPr>
          <w:color w:val="000000"/>
        </w:rPr>
        <w:t xml:space="preserve">also </w:t>
      </w:r>
      <w:r w:rsidR="00B61410" w:rsidRPr="006B662F">
        <w:rPr>
          <w:color w:val="000000"/>
        </w:rPr>
        <w:t>made that she had just been started on the NST</w:t>
      </w:r>
      <w:r w:rsidR="006B662F" w:rsidRPr="006B662F">
        <w:rPr>
          <w:color w:val="000000"/>
        </w:rPr>
        <w:t xml:space="preserve"> (Non Stress Test)</w:t>
      </w:r>
      <w:r w:rsidR="00B61410" w:rsidRPr="006B662F">
        <w:rPr>
          <w:color w:val="000000"/>
        </w:rPr>
        <w:t>.</w:t>
      </w:r>
      <w:r w:rsidR="006B662F" w:rsidRPr="006B662F">
        <w:rPr>
          <w:color w:val="000000"/>
        </w:rPr>
        <w:t xml:space="preserve"> </w:t>
      </w:r>
      <w:r w:rsidR="00B61410" w:rsidRPr="006B662F">
        <w:rPr>
          <w:color w:val="000000"/>
        </w:rPr>
        <w:t>The plan was for her to receive sedative medication, if the NST was reactive (optimum foetal condition).</w:t>
      </w:r>
      <w:r w:rsidR="006B662F">
        <w:rPr>
          <w:color w:val="000000"/>
        </w:rPr>
        <w:t xml:space="preserve"> At 01:</w:t>
      </w:r>
      <w:r w:rsidR="00B61410" w:rsidRPr="006B662F">
        <w:rPr>
          <w:color w:val="000000"/>
        </w:rPr>
        <w:t>50, she was given sedative medication (</w:t>
      </w:r>
      <w:proofErr w:type="spellStart"/>
      <w:r w:rsidR="00B61410" w:rsidRPr="006B662F">
        <w:rPr>
          <w:i/>
          <w:color w:val="000000"/>
        </w:rPr>
        <w:t>Pethidine</w:t>
      </w:r>
      <w:proofErr w:type="spellEnd"/>
      <w:r w:rsidR="00B61410" w:rsidRPr="006B662F">
        <w:rPr>
          <w:color w:val="000000"/>
        </w:rPr>
        <w:t xml:space="preserve"> and </w:t>
      </w:r>
      <w:proofErr w:type="spellStart"/>
      <w:r w:rsidR="00B61410" w:rsidRPr="006B662F">
        <w:rPr>
          <w:i/>
          <w:color w:val="000000"/>
        </w:rPr>
        <w:t>Aterax</w:t>
      </w:r>
      <w:proofErr w:type="spellEnd"/>
      <w:r w:rsidR="00B61410" w:rsidRPr="006B662F">
        <w:rPr>
          <w:color w:val="000000"/>
        </w:rPr>
        <w:t>) for pain relief.</w:t>
      </w:r>
      <w:r w:rsidR="006B662F">
        <w:rPr>
          <w:color w:val="000000"/>
        </w:rPr>
        <w:t xml:space="preserve"> At 02:40, ‘early decelerations on CTG’ were noted</w:t>
      </w:r>
      <w:r w:rsidR="00B61410" w:rsidRPr="006B662F">
        <w:rPr>
          <w:color w:val="000000"/>
        </w:rPr>
        <w:t>.</w:t>
      </w:r>
      <w:r w:rsidR="00EA7F78">
        <w:rPr>
          <w:color w:val="000000"/>
        </w:rPr>
        <w:t xml:space="preserve"> A </w:t>
      </w:r>
      <w:r w:rsidR="00B61410" w:rsidRPr="00EA7F78">
        <w:rPr>
          <w:color w:val="000000"/>
        </w:rPr>
        <w:t>CTG refers to monitoring of maternal contractions and foetal heart rate in a patient who is in labour.</w:t>
      </w:r>
      <w:r w:rsidR="00EA7F78">
        <w:rPr>
          <w:color w:val="000000"/>
        </w:rPr>
        <w:t xml:space="preserve"> </w:t>
      </w:r>
      <w:r w:rsidR="00B61410" w:rsidRPr="00EA7F78">
        <w:rPr>
          <w:color w:val="000000"/>
        </w:rPr>
        <w:t xml:space="preserve">On the other </w:t>
      </w:r>
      <w:r w:rsidR="00EA7F78" w:rsidRPr="00EA7F78">
        <w:rPr>
          <w:color w:val="000000"/>
        </w:rPr>
        <w:t>hand,</w:t>
      </w:r>
      <w:r w:rsidR="00B61410" w:rsidRPr="00EA7F78">
        <w:rPr>
          <w:color w:val="000000"/>
        </w:rPr>
        <w:t xml:space="preserve"> it is referred to as an NST when the pat</w:t>
      </w:r>
      <w:r w:rsidR="003D5480">
        <w:rPr>
          <w:color w:val="000000"/>
        </w:rPr>
        <w:t>i</w:t>
      </w:r>
      <w:r w:rsidR="00B61410" w:rsidRPr="00EA7F78">
        <w:rPr>
          <w:color w:val="000000"/>
        </w:rPr>
        <w:t xml:space="preserve">ent is not in labour (without sustained uterine contractions), wherein only the foetal heart rate </w:t>
      </w:r>
      <w:r w:rsidR="00B61410" w:rsidRPr="00EA7F78">
        <w:rPr>
          <w:color w:val="000000"/>
        </w:rPr>
        <w:lastRenderedPageBreak/>
        <w:t>is being monitored.</w:t>
      </w:r>
      <w:r w:rsidR="00EA7F78">
        <w:rPr>
          <w:color w:val="000000"/>
        </w:rPr>
        <w:t xml:space="preserve"> </w:t>
      </w:r>
      <w:r w:rsidR="00B61410" w:rsidRPr="00EA7F78">
        <w:rPr>
          <w:color w:val="000000"/>
        </w:rPr>
        <w:t>Decelerations are sustained drops in the baseline foetal heart rate in relation to the occurrence of the uterine contractions.</w:t>
      </w:r>
      <w:r w:rsidR="00EA7F78">
        <w:rPr>
          <w:color w:val="000000"/>
        </w:rPr>
        <w:t xml:space="preserve"> </w:t>
      </w:r>
      <w:r w:rsidR="00B61410" w:rsidRPr="00EA7F78">
        <w:rPr>
          <w:color w:val="000000"/>
        </w:rPr>
        <w:t xml:space="preserve">They are termed </w:t>
      </w:r>
      <w:r w:rsidR="00EA7F78">
        <w:rPr>
          <w:color w:val="000000"/>
        </w:rPr>
        <w:t>‘</w:t>
      </w:r>
      <w:r w:rsidR="00B61410" w:rsidRPr="00EA7F78">
        <w:rPr>
          <w:color w:val="000000"/>
        </w:rPr>
        <w:t>early</w:t>
      </w:r>
      <w:r w:rsidR="00EA7F78">
        <w:rPr>
          <w:color w:val="000000"/>
        </w:rPr>
        <w:t>’</w:t>
      </w:r>
      <w:r w:rsidR="00B61410" w:rsidRPr="00EA7F78">
        <w:rPr>
          <w:color w:val="000000"/>
        </w:rPr>
        <w:t xml:space="preserve"> if the decrease and recovery of the foetal heart rate corresponds to that of the uterine contraction.</w:t>
      </w:r>
      <w:r w:rsidR="00EA7F78">
        <w:rPr>
          <w:color w:val="000000"/>
        </w:rPr>
        <w:t xml:space="preserve"> </w:t>
      </w:r>
      <w:r w:rsidR="00B61410" w:rsidRPr="00EA7F78">
        <w:rPr>
          <w:color w:val="000000"/>
        </w:rPr>
        <w:t>Late decelerations are characterised by delayed recovery of the foetal heart rate after the resolution of the uterine contraction.</w:t>
      </w:r>
    </w:p>
    <w:p w:rsidR="00B61410" w:rsidRDefault="005A4BE6" w:rsidP="005A4BE6">
      <w:pPr>
        <w:spacing w:after="120" w:line="360" w:lineRule="auto"/>
        <w:jc w:val="both"/>
        <w:outlineLvl w:val="0"/>
        <w:rPr>
          <w:color w:val="000000"/>
        </w:rPr>
      </w:pPr>
      <w:r>
        <w:rPr>
          <w:color w:val="000000"/>
        </w:rPr>
        <w:t>[21].</w:t>
      </w:r>
      <w:r>
        <w:rPr>
          <w:color w:val="000000"/>
        </w:rPr>
        <w:tab/>
      </w:r>
      <w:r w:rsidR="00B61410" w:rsidRPr="00B61410">
        <w:rPr>
          <w:color w:val="000000"/>
        </w:rPr>
        <w:t>With the observation of early decelerations</w:t>
      </w:r>
      <w:r w:rsidR="00EA7F78">
        <w:rPr>
          <w:color w:val="000000"/>
        </w:rPr>
        <w:t>,</w:t>
      </w:r>
      <w:r w:rsidR="00B61410" w:rsidRPr="00B61410">
        <w:rPr>
          <w:color w:val="000000"/>
        </w:rPr>
        <w:t xml:space="preserve"> the patient was given oxygen (3 litres per face mask), turned on </w:t>
      </w:r>
      <w:r w:rsidR="006D0D4B">
        <w:rPr>
          <w:color w:val="000000"/>
        </w:rPr>
        <w:t xml:space="preserve">her </w:t>
      </w:r>
      <w:r w:rsidR="00B61410" w:rsidRPr="00B61410">
        <w:rPr>
          <w:color w:val="000000"/>
        </w:rPr>
        <w:t>left lateral side and given intravenous fluids (1/2 DS, Dextrose Saline infusion).</w:t>
      </w:r>
    </w:p>
    <w:p w:rsidR="00065EFE" w:rsidRDefault="005A4BE6" w:rsidP="005A4BE6">
      <w:pPr>
        <w:spacing w:after="120" w:line="360" w:lineRule="auto"/>
        <w:jc w:val="both"/>
        <w:outlineLvl w:val="0"/>
        <w:rPr>
          <w:color w:val="000000"/>
        </w:rPr>
      </w:pPr>
      <w:r>
        <w:rPr>
          <w:color w:val="000000"/>
        </w:rPr>
        <w:t>[22].</w:t>
      </w:r>
      <w:r>
        <w:rPr>
          <w:color w:val="000000"/>
        </w:rPr>
        <w:tab/>
      </w:r>
      <w:r w:rsidR="00D25CE5">
        <w:rPr>
          <w:color w:val="000000"/>
        </w:rPr>
        <w:t xml:space="preserve">Again, it bears emphasising that at </w:t>
      </w:r>
      <w:r w:rsidR="00D25CE5" w:rsidRPr="00D25CE5">
        <w:rPr>
          <w:color w:val="000000"/>
        </w:rPr>
        <w:t xml:space="preserve">02:40 there was a reference to </w:t>
      </w:r>
      <w:r w:rsidR="00065EFE">
        <w:rPr>
          <w:color w:val="000000"/>
        </w:rPr>
        <w:t>‘</w:t>
      </w:r>
      <w:r w:rsidR="00D25CE5" w:rsidRPr="00D25CE5">
        <w:rPr>
          <w:color w:val="000000"/>
        </w:rPr>
        <w:t>early decelerations</w:t>
      </w:r>
      <w:r w:rsidR="00065EFE">
        <w:rPr>
          <w:color w:val="000000"/>
        </w:rPr>
        <w:t>’</w:t>
      </w:r>
      <w:r w:rsidR="00D25CE5" w:rsidRPr="00D25CE5">
        <w:rPr>
          <w:color w:val="000000"/>
        </w:rPr>
        <w:t xml:space="preserve"> on the </w:t>
      </w:r>
      <w:r w:rsidR="00065EFE" w:rsidRPr="00D25CE5">
        <w:rPr>
          <w:color w:val="000000"/>
        </w:rPr>
        <w:t>foetal</w:t>
      </w:r>
      <w:r w:rsidR="00065EFE">
        <w:rPr>
          <w:color w:val="000000"/>
        </w:rPr>
        <w:t xml:space="preserve"> heart rate monitor and that the hospital staff, at that time, was of the view that the foetus was </w:t>
      </w:r>
      <w:r w:rsidR="00FE6478">
        <w:rPr>
          <w:color w:val="000000"/>
        </w:rPr>
        <w:t xml:space="preserve">in </w:t>
      </w:r>
      <w:r w:rsidR="00065EFE">
        <w:rPr>
          <w:color w:val="000000"/>
        </w:rPr>
        <w:t>distress. I</w:t>
      </w:r>
      <w:r w:rsidR="00D25CE5" w:rsidRPr="00065EFE">
        <w:rPr>
          <w:color w:val="000000"/>
        </w:rPr>
        <w:t xml:space="preserve">ntra-uterine resuscitation was </w:t>
      </w:r>
      <w:r w:rsidR="00065EFE">
        <w:rPr>
          <w:color w:val="000000"/>
        </w:rPr>
        <w:t>accordingly</w:t>
      </w:r>
      <w:r w:rsidR="00D25CE5" w:rsidRPr="00065EFE">
        <w:rPr>
          <w:color w:val="000000"/>
        </w:rPr>
        <w:t xml:space="preserve"> done at that</w:t>
      </w:r>
      <w:r w:rsidR="00065EFE">
        <w:rPr>
          <w:color w:val="000000"/>
        </w:rPr>
        <w:t xml:space="preserve"> stage by the medical personnel by supplying </w:t>
      </w:r>
      <w:r w:rsidR="00D25CE5" w:rsidRPr="00065EFE">
        <w:rPr>
          <w:color w:val="000000"/>
        </w:rPr>
        <w:t xml:space="preserve">oxygen to the </w:t>
      </w:r>
      <w:r w:rsidR="00065EFE">
        <w:rPr>
          <w:color w:val="000000"/>
        </w:rPr>
        <w:t>plaintiff</w:t>
      </w:r>
      <w:r w:rsidR="00D25CE5" w:rsidRPr="00065EFE">
        <w:rPr>
          <w:color w:val="000000"/>
        </w:rPr>
        <w:t>.</w:t>
      </w:r>
      <w:r w:rsidR="00065EFE">
        <w:rPr>
          <w:color w:val="000000"/>
        </w:rPr>
        <w:t xml:space="preserve"> It can therefore safely be inferred that </w:t>
      </w:r>
      <w:r w:rsidR="00D25CE5" w:rsidRPr="00065EFE">
        <w:rPr>
          <w:color w:val="000000"/>
        </w:rPr>
        <w:t xml:space="preserve">the </w:t>
      </w:r>
      <w:r w:rsidR="00065EFE">
        <w:rPr>
          <w:color w:val="000000"/>
        </w:rPr>
        <w:t xml:space="preserve">hospital </w:t>
      </w:r>
      <w:r w:rsidR="00D25CE5" w:rsidRPr="00065EFE">
        <w:rPr>
          <w:color w:val="000000"/>
        </w:rPr>
        <w:t>personnel</w:t>
      </w:r>
      <w:r w:rsidR="00065EFE">
        <w:rPr>
          <w:color w:val="000000"/>
        </w:rPr>
        <w:t>,</w:t>
      </w:r>
      <w:r w:rsidR="00D25CE5" w:rsidRPr="00065EFE">
        <w:rPr>
          <w:color w:val="000000"/>
        </w:rPr>
        <w:t xml:space="preserve"> at </w:t>
      </w:r>
      <w:r w:rsidR="00065EFE">
        <w:rPr>
          <w:color w:val="000000"/>
        </w:rPr>
        <w:t>that</w:t>
      </w:r>
      <w:r w:rsidR="00D25CE5" w:rsidRPr="00065EFE">
        <w:rPr>
          <w:color w:val="000000"/>
        </w:rPr>
        <w:t xml:space="preserve"> time</w:t>
      </w:r>
      <w:r w:rsidR="00065EFE">
        <w:rPr>
          <w:color w:val="000000"/>
        </w:rPr>
        <w:t>,</w:t>
      </w:r>
      <w:r w:rsidR="00D25CE5" w:rsidRPr="00065EFE">
        <w:rPr>
          <w:color w:val="000000"/>
        </w:rPr>
        <w:t xml:space="preserve"> thought that it was necessary to give the</w:t>
      </w:r>
      <w:r w:rsidR="00065EFE" w:rsidRPr="00065EFE">
        <w:rPr>
          <w:color w:val="000000"/>
        </w:rPr>
        <w:t xml:space="preserve"> </w:t>
      </w:r>
      <w:r w:rsidR="00D25CE5" w:rsidRPr="00065EFE">
        <w:rPr>
          <w:color w:val="000000"/>
        </w:rPr>
        <w:t xml:space="preserve">mother oxygen in order </w:t>
      </w:r>
      <w:r w:rsidR="00065EFE">
        <w:rPr>
          <w:color w:val="000000"/>
        </w:rPr>
        <w:t xml:space="preserve">to address </w:t>
      </w:r>
      <w:r w:rsidR="00D25CE5" w:rsidRPr="00065EFE">
        <w:rPr>
          <w:color w:val="000000"/>
        </w:rPr>
        <w:t xml:space="preserve">the </w:t>
      </w:r>
      <w:r w:rsidR="00065EFE" w:rsidRPr="00065EFE">
        <w:rPr>
          <w:color w:val="000000"/>
        </w:rPr>
        <w:t>foetal</w:t>
      </w:r>
      <w:r w:rsidR="00065EFE">
        <w:rPr>
          <w:color w:val="000000"/>
        </w:rPr>
        <w:t xml:space="preserve"> </w:t>
      </w:r>
      <w:proofErr w:type="gramStart"/>
      <w:r w:rsidR="00065EFE">
        <w:rPr>
          <w:color w:val="000000"/>
        </w:rPr>
        <w:t>distress, that</w:t>
      </w:r>
      <w:proofErr w:type="gramEnd"/>
      <w:r w:rsidR="00065EFE">
        <w:rPr>
          <w:color w:val="000000"/>
        </w:rPr>
        <w:t xml:space="preserve"> they thought </w:t>
      </w:r>
      <w:r w:rsidR="00D25CE5" w:rsidRPr="00065EFE">
        <w:rPr>
          <w:color w:val="000000"/>
        </w:rPr>
        <w:t>was present</w:t>
      </w:r>
      <w:r w:rsidR="00065EFE">
        <w:rPr>
          <w:color w:val="000000"/>
        </w:rPr>
        <w:t xml:space="preserve"> at the time.</w:t>
      </w:r>
    </w:p>
    <w:p w:rsidR="00B61410" w:rsidRPr="00EA7F78" w:rsidRDefault="005A4BE6" w:rsidP="005A4BE6">
      <w:pPr>
        <w:spacing w:after="120" w:line="360" w:lineRule="auto"/>
        <w:jc w:val="both"/>
        <w:outlineLvl w:val="0"/>
        <w:rPr>
          <w:color w:val="000000"/>
        </w:rPr>
      </w:pPr>
      <w:r w:rsidRPr="00EA7F78">
        <w:rPr>
          <w:color w:val="000000"/>
        </w:rPr>
        <w:t>[23].</w:t>
      </w:r>
      <w:r w:rsidRPr="00EA7F78">
        <w:rPr>
          <w:color w:val="000000"/>
        </w:rPr>
        <w:tab/>
      </w:r>
      <w:proofErr w:type="gramStart"/>
      <w:r w:rsidR="005251F4">
        <w:rPr>
          <w:color w:val="000000"/>
        </w:rPr>
        <w:t>In</w:t>
      </w:r>
      <w:proofErr w:type="gramEnd"/>
      <w:r w:rsidR="005251F4">
        <w:rPr>
          <w:color w:val="000000"/>
        </w:rPr>
        <w:t xml:space="preserve"> the records, t</w:t>
      </w:r>
      <w:r w:rsidR="00B61410" w:rsidRPr="00B61410">
        <w:rPr>
          <w:color w:val="000000"/>
        </w:rPr>
        <w:t xml:space="preserve">here is </w:t>
      </w:r>
      <w:r w:rsidR="005251F4">
        <w:rPr>
          <w:color w:val="000000"/>
        </w:rPr>
        <w:t xml:space="preserve">also </w:t>
      </w:r>
      <w:r w:rsidR="00B61410" w:rsidRPr="00B61410">
        <w:rPr>
          <w:color w:val="000000"/>
        </w:rPr>
        <w:t>an unnumbered page with incomplete records of assessment</w:t>
      </w:r>
      <w:r w:rsidR="00EA7F78">
        <w:rPr>
          <w:color w:val="000000"/>
        </w:rPr>
        <w:t xml:space="preserve"> </w:t>
      </w:r>
      <w:r w:rsidR="00B61410" w:rsidRPr="00EA7F78">
        <w:rPr>
          <w:color w:val="000000"/>
        </w:rPr>
        <w:t>by the doctor.</w:t>
      </w:r>
      <w:r w:rsidR="00EA7F78">
        <w:rPr>
          <w:color w:val="000000"/>
        </w:rPr>
        <w:t xml:space="preserve"> </w:t>
      </w:r>
      <w:r w:rsidR="00B61410" w:rsidRPr="00EA7F78">
        <w:rPr>
          <w:color w:val="000000"/>
        </w:rPr>
        <w:t>Her blood pressure was 150/68.</w:t>
      </w:r>
      <w:r w:rsidR="00EA7F78">
        <w:rPr>
          <w:color w:val="000000"/>
        </w:rPr>
        <w:t xml:space="preserve"> </w:t>
      </w:r>
      <w:r w:rsidR="00B61410" w:rsidRPr="00EA7F78">
        <w:rPr>
          <w:color w:val="000000"/>
        </w:rPr>
        <w:t>The gestational age was 37 weeks and foetal position was within</w:t>
      </w:r>
      <w:r w:rsidR="00EA7F78">
        <w:rPr>
          <w:color w:val="000000"/>
        </w:rPr>
        <w:t xml:space="preserve"> </w:t>
      </w:r>
      <w:r w:rsidR="00B61410" w:rsidRPr="00EA7F78">
        <w:rPr>
          <w:color w:val="000000"/>
        </w:rPr>
        <w:t>normal limits.</w:t>
      </w:r>
      <w:r w:rsidR="00EA7F78">
        <w:rPr>
          <w:color w:val="000000"/>
        </w:rPr>
        <w:t xml:space="preserve"> </w:t>
      </w:r>
      <w:r w:rsidR="00B61410" w:rsidRPr="00EA7F78">
        <w:rPr>
          <w:color w:val="000000"/>
        </w:rPr>
        <w:t>The cervix was 3</w:t>
      </w:r>
      <w:r w:rsidR="00B32CDB">
        <w:rPr>
          <w:color w:val="000000"/>
        </w:rPr>
        <w:t> </w:t>
      </w:r>
      <w:r w:rsidR="00B61410" w:rsidRPr="00EA7F78">
        <w:rPr>
          <w:color w:val="000000"/>
        </w:rPr>
        <w:t>cm dilated.</w:t>
      </w:r>
      <w:r w:rsidR="00EA7F78">
        <w:rPr>
          <w:color w:val="000000"/>
        </w:rPr>
        <w:t xml:space="preserve"> </w:t>
      </w:r>
      <w:r w:rsidR="00B61410" w:rsidRPr="00EA7F78">
        <w:rPr>
          <w:color w:val="000000"/>
        </w:rPr>
        <w:t>The baseline foetal heart rate was 140 beats per minute.</w:t>
      </w:r>
      <w:r w:rsidR="00EA7F78">
        <w:rPr>
          <w:color w:val="000000"/>
        </w:rPr>
        <w:t xml:space="preserve"> </w:t>
      </w:r>
      <w:r w:rsidR="00B61410" w:rsidRPr="00EA7F78">
        <w:rPr>
          <w:color w:val="000000"/>
        </w:rPr>
        <w:t>An additional note was made in relation to the foetal heart rate</w:t>
      </w:r>
      <w:r w:rsidR="00EA7F78">
        <w:rPr>
          <w:color w:val="000000"/>
        </w:rPr>
        <w:t xml:space="preserve"> </w:t>
      </w:r>
      <w:r w:rsidR="00B61410" w:rsidRPr="00EA7F78">
        <w:rPr>
          <w:color w:val="000000"/>
        </w:rPr>
        <w:t>monitoring</w:t>
      </w:r>
      <w:r w:rsidR="00EA7F78">
        <w:rPr>
          <w:color w:val="000000"/>
        </w:rPr>
        <w:t xml:space="preserve"> as follows: ‘</w:t>
      </w:r>
      <w:r w:rsidR="00B61410" w:rsidRPr="00EA7F78">
        <w:rPr>
          <w:color w:val="000000"/>
        </w:rPr>
        <w:t>Loss of contact du</w:t>
      </w:r>
      <w:r w:rsidR="00EA7F78">
        <w:rPr>
          <w:color w:val="000000"/>
        </w:rPr>
        <w:t>e to patient bearing down in [</w:t>
      </w:r>
      <w:r w:rsidR="00B61410" w:rsidRPr="00EA7F78">
        <w:rPr>
          <w:color w:val="000000"/>
        </w:rPr>
        <w:t>last word</w:t>
      </w:r>
      <w:r w:rsidR="00EA7F78">
        <w:rPr>
          <w:color w:val="000000"/>
        </w:rPr>
        <w:t xml:space="preserve"> illegible]’</w:t>
      </w:r>
      <w:r w:rsidR="00B61410" w:rsidRPr="00EA7F78">
        <w:rPr>
          <w:color w:val="000000"/>
        </w:rPr>
        <w:t>.</w:t>
      </w:r>
      <w:r w:rsidR="00EA7F78">
        <w:rPr>
          <w:color w:val="000000"/>
        </w:rPr>
        <w:t xml:space="preserve"> </w:t>
      </w:r>
      <w:r w:rsidR="00B61410" w:rsidRPr="00EA7F78">
        <w:rPr>
          <w:color w:val="000000"/>
        </w:rPr>
        <w:t xml:space="preserve">This means that there were </w:t>
      </w:r>
      <w:r w:rsidR="00EA7F78">
        <w:rPr>
          <w:color w:val="000000"/>
        </w:rPr>
        <w:t>periods</w:t>
      </w:r>
      <w:r w:rsidR="00B61410" w:rsidRPr="00EA7F78">
        <w:rPr>
          <w:color w:val="000000"/>
        </w:rPr>
        <w:t xml:space="preserve"> of discontinuity (loss of contact) in</w:t>
      </w:r>
      <w:r w:rsidR="00EA7F78">
        <w:rPr>
          <w:color w:val="000000"/>
        </w:rPr>
        <w:t xml:space="preserve"> </w:t>
      </w:r>
      <w:r w:rsidR="00B61410" w:rsidRPr="00EA7F78">
        <w:rPr>
          <w:color w:val="000000"/>
        </w:rPr>
        <w:t>the CTG tracing due to the fact that the patient had been bearing down</w:t>
      </w:r>
      <w:r w:rsidR="00EA7F78">
        <w:rPr>
          <w:color w:val="000000"/>
        </w:rPr>
        <w:t xml:space="preserve"> </w:t>
      </w:r>
      <w:r w:rsidR="00B61410" w:rsidRPr="00EA7F78">
        <w:rPr>
          <w:color w:val="000000"/>
        </w:rPr>
        <w:t>(contraction of abdominal muscles in an effort to effect vaginal delivery).</w:t>
      </w:r>
    </w:p>
    <w:p w:rsidR="00B61410" w:rsidRPr="00EA7F78" w:rsidRDefault="005A4BE6" w:rsidP="005A4BE6">
      <w:pPr>
        <w:spacing w:after="120" w:line="360" w:lineRule="auto"/>
        <w:jc w:val="both"/>
        <w:outlineLvl w:val="0"/>
        <w:rPr>
          <w:color w:val="000000"/>
        </w:rPr>
      </w:pPr>
      <w:r w:rsidRPr="00EA7F78">
        <w:rPr>
          <w:color w:val="000000"/>
        </w:rPr>
        <w:t>[24].</w:t>
      </w:r>
      <w:r w:rsidRPr="00EA7F78">
        <w:rPr>
          <w:color w:val="000000"/>
        </w:rPr>
        <w:tab/>
      </w:r>
      <w:proofErr w:type="gramStart"/>
      <w:r w:rsidR="00B61410" w:rsidRPr="00B61410">
        <w:rPr>
          <w:color w:val="000000"/>
        </w:rPr>
        <w:t>The</w:t>
      </w:r>
      <w:proofErr w:type="gramEnd"/>
      <w:r w:rsidR="00B61410" w:rsidRPr="00B61410">
        <w:rPr>
          <w:color w:val="000000"/>
        </w:rPr>
        <w:t xml:space="preserve"> problem list included the fact that the patient was in the active</w:t>
      </w:r>
      <w:r w:rsidR="00EA7F78">
        <w:rPr>
          <w:color w:val="000000"/>
        </w:rPr>
        <w:t xml:space="preserve"> </w:t>
      </w:r>
      <w:r w:rsidR="00B61410" w:rsidRPr="00EA7F78">
        <w:rPr>
          <w:color w:val="000000"/>
        </w:rPr>
        <w:t>phase of labour and that she had had a previous caesarean section.</w:t>
      </w:r>
      <w:r w:rsidR="00EA7F78">
        <w:rPr>
          <w:color w:val="000000"/>
        </w:rPr>
        <w:t xml:space="preserve"> </w:t>
      </w:r>
      <w:r w:rsidR="00B61410" w:rsidRPr="00EA7F78">
        <w:rPr>
          <w:color w:val="000000"/>
        </w:rPr>
        <w:t>The plan was for her to be transferred to labour ward.</w:t>
      </w:r>
    </w:p>
    <w:p w:rsidR="00B61410" w:rsidRPr="00E41B8C" w:rsidRDefault="005A4BE6" w:rsidP="005A4BE6">
      <w:pPr>
        <w:spacing w:after="120" w:line="360" w:lineRule="auto"/>
        <w:jc w:val="both"/>
        <w:outlineLvl w:val="0"/>
        <w:rPr>
          <w:color w:val="000000"/>
        </w:rPr>
      </w:pPr>
      <w:r w:rsidRPr="00E41B8C">
        <w:rPr>
          <w:color w:val="000000"/>
        </w:rPr>
        <w:t>[25].</w:t>
      </w:r>
      <w:r w:rsidRPr="00E41B8C">
        <w:rPr>
          <w:color w:val="000000"/>
        </w:rPr>
        <w:tab/>
      </w:r>
      <w:proofErr w:type="gramStart"/>
      <w:r w:rsidR="00B61410" w:rsidRPr="00B61410">
        <w:rPr>
          <w:color w:val="000000"/>
        </w:rPr>
        <w:t>The</w:t>
      </w:r>
      <w:proofErr w:type="gramEnd"/>
      <w:r w:rsidR="00B61410" w:rsidRPr="00B61410">
        <w:rPr>
          <w:color w:val="000000"/>
        </w:rPr>
        <w:t xml:space="preserve"> ne</w:t>
      </w:r>
      <w:r w:rsidR="00EA7F78">
        <w:rPr>
          <w:color w:val="000000"/>
        </w:rPr>
        <w:t>xt review was by a doctor at 03:30</w:t>
      </w:r>
      <w:r w:rsidR="00B61410" w:rsidRPr="00B61410">
        <w:rPr>
          <w:color w:val="000000"/>
        </w:rPr>
        <w:t>.</w:t>
      </w:r>
      <w:r w:rsidR="00EA7F78">
        <w:rPr>
          <w:color w:val="000000"/>
        </w:rPr>
        <w:t xml:space="preserve"> Again, the clinical note records that the plaintiff w</w:t>
      </w:r>
      <w:r w:rsidR="00B61410" w:rsidRPr="00EA7F78">
        <w:rPr>
          <w:color w:val="000000"/>
        </w:rPr>
        <w:t>as assessed as a 22 years old G2</w:t>
      </w:r>
      <w:r w:rsidR="00EA7F78">
        <w:rPr>
          <w:color w:val="000000"/>
        </w:rPr>
        <w:t xml:space="preserve">, </w:t>
      </w:r>
      <w:r w:rsidR="00B61410" w:rsidRPr="00EA7F78">
        <w:rPr>
          <w:color w:val="000000"/>
        </w:rPr>
        <w:t>P1 with a previous caesarean</w:t>
      </w:r>
      <w:r w:rsidR="00EA7F78" w:rsidRPr="00EA7F78">
        <w:rPr>
          <w:color w:val="000000"/>
        </w:rPr>
        <w:t xml:space="preserve"> </w:t>
      </w:r>
      <w:r w:rsidR="00B61410" w:rsidRPr="00EA7F78">
        <w:rPr>
          <w:color w:val="000000"/>
        </w:rPr>
        <w:t>section at 36 weeks in active phase of labour.</w:t>
      </w:r>
      <w:r w:rsidR="00EA7F78">
        <w:rPr>
          <w:color w:val="000000"/>
        </w:rPr>
        <w:t xml:space="preserve"> </w:t>
      </w:r>
      <w:r w:rsidR="00B61410" w:rsidRPr="00EA7F78">
        <w:rPr>
          <w:color w:val="000000"/>
        </w:rPr>
        <w:t>She was reported to have been distressed.</w:t>
      </w:r>
      <w:r w:rsidR="00EA7F78">
        <w:rPr>
          <w:color w:val="000000"/>
        </w:rPr>
        <w:t xml:space="preserve"> </w:t>
      </w:r>
      <w:r w:rsidR="00B61410" w:rsidRPr="00EA7F78">
        <w:rPr>
          <w:color w:val="000000"/>
        </w:rPr>
        <w:t>On the CTG the baseline foetal heart rate was abou</w:t>
      </w:r>
      <w:r w:rsidR="005251F4">
        <w:rPr>
          <w:color w:val="000000"/>
        </w:rPr>
        <w:t xml:space="preserve">t 130 </w:t>
      </w:r>
      <w:r w:rsidR="00B61410" w:rsidRPr="00EA7F78">
        <w:rPr>
          <w:color w:val="000000"/>
        </w:rPr>
        <w:lastRenderedPageBreak/>
        <w:t>beats</w:t>
      </w:r>
      <w:r w:rsidR="00EA7F78">
        <w:rPr>
          <w:color w:val="000000"/>
        </w:rPr>
        <w:t xml:space="preserve"> </w:t>
      </w:r>
      <w:r w:rsidR="00B61410" w:rsidRPr="00EA7F78">
        <w:rPr>
          <w:color w:val="000000"/>
        </w:rPr>
        <w:t>per minute with early decelerations, small accelerations (indicator of foetal</w:t>
      </w:r>
      <w:r w:rsidR="00EA7F78">
        <w:rPr>
          <w:color w:val="000000"/>
        </w:rPr>
        <w:t xml:space="preserve"> </w:t>
      </w:r>
      <w:r w:rsidR="00B61410" w:rsidRPr="00EA7F78">
        <w:rPr>
          <w:color w:val="000000"/>
        </w:rPr>
        <w:t>wellbeing).</w:t>
      </w:r>
      <w:r w:rsidR="00EA7F78">
        <w:rPr>
          <w:color w:val="000000"/>
        </w:rPr>
        <w:t xml:space="preserve"> </w:t>
      </w:r>
      <w:r w:rsidR="00B61410" w:rsidRPr="00EA7F78">
        <w:rPr>
          <w:color w:val="000000"/>
        </w:rPr>
        <w:t>The variability (gradual decreases and increases in the amplitude of</w:t>
      </w:r>
      <w:r w:rsidR="00EA7F78">
        <w:rPr>
          <w:color w:val="000000"/>
        </w:rPr>
        <w:t xml:space="preserve"> </w:t>
      </w:r>
      <w:r w:rsidR="00B61410" w:rsidRPr="00EA7F78">
        <w:rPr>
          <w:color w:val="000000"/>
        </w:rPr>
        <w:t>the successive heart beats, from the baseline foetal heart rate) was reported</w:t>
      </w:r>
      <w:r w:rsidR="00EA7F78">
        <w:rPr>
          <w:color w:val="000000"/>
        </w:rPr>
        <w:t xml:space="preserve"> </w:t>
      </w:r>
      <w:r w:rsidR="00B61410" w:rsidRPr="00EA7F78">
        <w:rPr>
          <w:color w:val="000000"/>
        </w:rPr>
        <w:t>to have been fair.</w:t>
      </w:r>
      <w:r w:rsidR="00EA7F78">
        <w:rPr>
          <w:color w:val="000000"/>
        </w:rPr>
        <w:t xml:space="preserve"> </w:t>
      </w:r>
      <w:r w:rsidR="00B61410" w:rsidRPr="00EA7F78">
        <w:rPr>
          <w:color w:val="000000"/>
        </w:rPr>
        <w:t>The estimated foetal weight was 2</w:t>
      </w:r>
      <w:proofErr w:type="gramStart"/>
      <w:r w:rsidR="00B61410" w:rsidRPr="00EA7F78">
        <w:rPr>
          <w:color w:val="000000"/>
        </w:rPr>
        <w:t>,8</w:t>
      </w:r>
      <w:proofErr w:type="gramEnd"/>
      <w:r w:rsidR="00B61410" w:rsidRPr="00EA7F78">
        <w:rPr>
          <w:color w:val="000000"/>
        </w:rPr>
        <w:t xml:space="preserve"> kg.</w:t>
      </w:r>
      <w:r w:rsidR="00EA7F78">
        <w:rPr>
          <w:color w:val="000000"/>
        </w:rPr>
        <w:t xml:space="preserve"> </w:t>
      </w:r>
      <w:r w:rsidR="00B61410" w:rsidRPr="00EA7F78">
        <w:rPr>
          <w:color w:val="000000"/>
        </w:rPr>
        <w:t>The cervix was 8 cm dilated.</w:t>
      </w:r>
      <w:r w:rsidR="00EA7F78">
        <w:rPr>
          <w:color w:val="000000"/>
        </w:rPr>
        <w:t xml:space="preserve"> </w:t>
      </w:r>
      <w:r w:rsidR="00B61410" w:rsidRPr="00EA7F78">
        <w:rPr>
          <w:color w:val="000000"/>
        </w:rPr>
        <w:t>There was evidence of mild (1+) caput (swelling of the foetal scalp) and</w:t>
      </w:r>
      <w:r w:rsidR="00EA7F78">
        <w:rPr>
          <w:color w:val="000000"/>
        </w:rPr>
        <w:t xml:space="preserve"> </w:t>
      </w:r>
      <w:r w:rsidR="00B61410" w:rsidRPr="00EA7F78">
        <w:rPr>
          <w:color w:val="000000"/>
        </w:rPr>
        <w:t>no evidence of moulding (overlapping of the foetal skull bones).</w:t>
      </w:r>
      <w:r w:rsidR="00E41B8C">
        <w:rPr>
          <w:color w:val="000000"/>
        </w:rPr>
        <w:t xml:space="preserve"> </w:t>
      </w:r>
      <w:r w:rsidR="00B61410" w:rsidRPr="00E41B8C">
        <w:rPr>
          <w:color w:val="000000"/>
        </w:rPr>
        <w:t>Liquor was described to have been clear.</w:t>
      </w:r>
      <w:r w:rsidR="00E41B8C">
        <w:rPr>
          <w:color w:val="000000"/>
        </w:rPr>
        <w:t xml:space="preserve"> And ‘t</w:t>
      </w:r>
      <w:r w:rsidR="00B61410" w:rsidRPr="00E41B8C">
        <w:rPr>
          <w:color w:val="000000"/>
        </w:rPr>
        <w:t>he plan</w:t>
      </w:r>
      <w:r w:rsidR="00E41B8C">
        <w:rPr>
          <w:color w:val="000000"/>
        </w:rPr>
        <w:t>’</w:t>
      </w:r>
      <w:r w:rsidR="00B61410" w:rsidRPr="00E41B8C">
        <w:rPr>
          <w:color w:val="000000"/>
        </w:rPr>
        <w:t xml:space="preserve"> was for the patient to be reviewed after 2 hours.</w:t>
      </w:r>
    </w:p>
    <w:p w:rsidR="00B61410" w:rsidRPr="00E41B8C" w:rsidRDefault="005A4BE6" w:rsidP="005A4BE6">
      <w:pPr>
        <w:spacing w:after="120" w:line="360" w:lineRule="auto"/>
        <w:jc w:val="both"/>
        <w:outlineLvl w:val="0"/>
        <w:rPr>
          <w:color w:val="000000"/>
        </w:rPr>
      </w:pPr>
      <w:r w:rsidRPr="00E41B8C">
        <w:rPr>
          <w:color w:val="000000"/>
        </w:rPr>
        <w:t>[26].</w:t>
      </w:r>
      <w:r w:rsidRPr="00E41B8C">
        <w:rPr>
          <w:color w:val="000000"/>
        </w:rPr>
        <w:tab/>
      </w:r>
      <w:proofErr w:type="gramStart"/>
      <w:r w:rsidR="00E41B8C">
        <w:rPr>
          <w:color w:val="000000"/>
        </w:rPr>
        <w:t>Another</w:t>
      </w:r>
      <w:proofErr w:type="gramEnd"/>
      <w:r w:rsidR="00E41B8C">
        <w:rPr>
          <w:color w:val="000000"/>
        </w:rPr>
        <w:t xml:space="preserve"> entry at 03:3</w:t>
      </w:r>
      <w:r w:rsidR="00B61410" w:rsidRPr="00B61410">
        <w:rPr>
          <w:color w:val="000000"/>
        </w:rPr>
        <w:t xml:space="preserve">0 </w:t>
      </w:r>
      <w:r w:rsidR="00E41B8C">
        <w:rPr>
          <w:color w:val="000000"/>
        </w:rPr>
        <w:t xml:space="preserve">was made by the midwife, who </w:t>
      </w:r>
      <w:r w:rsidR="00B61410" w:rsidRPr="00E41B8C">
        <w:rPr>
          <w:color w:val="000000"/>
        </w:rPr>
        <w:t>described the findin</w:t>
      </w:r>
      <w:r w:rsidR="00E41B8C">
        <w:rPr>
          <w:color w:val="000000"/>
        </w:rPr>
        <w:t>gs made by the doctor at the 03:</w:t>
      </w:r>
      <w:r w:rsidR="00B61410" w:rsidRPr="00E41B8C">
        <w:rPr>
          <w:color w:val="000000"/>
        </w:rPr>
        <w:t>30 review.</w:t>
      </w:r>
      <w:r w:rsidR="00E41B8C">
        <w:rPr>
          <w:color w:val="000000"/>
        </w:rPr>
        <w:t xml:space="preserve"> At 04:</w:t>
      </w:r>
      <w:r w:rsidR="00B61410" w:rsidRPr="00E41B8C">
        <w:rPr>
          <w:color w:val="000000"/>
        </w:rPr>
        <w:t>30, the patient was reviewed by the midwife again.</w:t>
      </w:r>
      <w:r w:rsidR="00E41B8C">
        <w:rPr>
          <w:color w:val="000000"/>
        </w:rPr>
        <w:t xml:space="preserve"> </w:t>
      </w:r>
      <w:r w:rsidR="00B61410" w:rsidRPr="00E41B8C">
        <w:rPr>
          <w:color w:val="000000"/>
        </w:rPr>
        <w:t>She was assessed to have been distressed significantly (++).</w:t>
      </w:r>
      <w:r w:rsidR="00E41B8C">
        <w:rPr>
          <w:color w:val="000000"/>
        </w:rPr>
        <w:t xml:space="preserve"> </w:t>
      </w:r>
      <w:r w:rsidR="00B61410" w:rsidRPr="00E41B8C">
        <w:rPr>
          <w:color w:val="000000"/>
        </w:rPr>
        <w:t>The cervix was fully dilated and the foetal head had descended into the</w:t>
      </w:r>
      <w:r w:rsidR="00E41B8C">
        <w:rPr>
          <w:color w:val="000000"/>
        </w:rPr>
        <w:t xml:space="preserve"> </w:t>
      </w:r>
      <w:r w:rsidR="00B61410" w:rsidRPr="00E41B8C">
        <w:rPr>
          <w:color w:val="000000"/>
        </w:rPr>
        <w:t>pelvis.</w:t>
      </w:r>
      <w:r w:rsidR="00E41B8C">
        <w:rPr>
          <w:color w:val="000000"/>
        </w:rPr>
        <w:t xml:space="preserve"> </w:t>
      </w:r>
      <w:r w:rsidR="00B61410" w:rsidRPr="00E41B8C">
        <w:rPr>
          <w:color w:val="000000"/>
        </w:rPr>
        <w:t>There was 2 degrees of caput and 1 of moulding.</w:t>
      </w:r>
      <w:r w:rsidR="00E41B8C">
        <w:rPr>
          <w:color w:val="000000"/>
        </w:rPr>
        <w:t xml:space="preserve"> </w:t>
      </w:r>
      <w:r w:rsidR="00B61410" w:rsidRPr="00E41B8C">
        <w:rPr>
          <w:color w:val="000000"/>
        </w:rPr>
        <w:t xml:space="preserve">The </w:t>
      </w:r>
      <w:r w:rsidR="00E41B8C">
        <w:rPr>
          <w:color w:val="000000"/>
        </w:rPr>
        <w:t>plaintiff</w:t>
      </w:r>
      <w:r w:rsidR="00B61410" w:rsidRPr="00E41B8C">
        <w:rPr>
          <w:color w:val="000000"/>
        </w:rPr>
        <w:t xml:space="preserve"> was taken to</w:t>
      </w:r>
      <w:r w:rsidR="00E41B8C">
        <w:rPr>
          <w:color w:val="000000"/>
        </w:rPr>
        <w:t xml:space="preserve"> the ‘</w:t>
      </w:r>
      <w:r w:rsidR="00B61410" w:rsidRPr="00E41B8C">
        <w:rPr>
          <w:color w:val="000000"/>
        </w:rPr>
        <w:t>second stage</w:t>
      </w:r>
      <w:r w:rsidR="00E41B8C">
        <w:rPr>
          <w:color w:val="000000"/>
        </w:rPr>
        <w:t xml:space="preserve">’ room </w:t>
      </w:r>
      <w:r w:rsidR="00B61410" w:rsidRPr="00E41B8C">
        <w:rPr>
          <w:color w:val="000000"/>
        </w:rPr>
        <w:t>for delivery.</w:t>
      </w:r>
      <w:r w:rsidR="00E41B8C">
        <w:rPr>
          <w:color w:val="000000"/>
        </w:rPr>
        <w:t xml:space="preserve"> The s</w:t>
      </w:r>
      <w:r w:rsidR="00B61410" w:rsidRPr="00E41B8C">
        <w:rPr>
          <w:color w:val="000000"/>
        </w:rPr>
        <w:t>econd stage of labour is from the time that the cervix is fully dilated and vaginal delivery is imminent.</w:t>
      </w:r>
    </w:p>
    <w:p w:rsidR="00B61410" w:rsidRPr="005C04B2" w:rsidRDefault="005A4BE6" w:rsidP="005A4BE6">
      <w:pPr>
        <w:spacing w:after="120" w:line="360" w:lineRule="auto"/>
        <w:jc w:val="both"/>
        <w:outlineLvl w:val="0"/>
        <w:rPr>
          <w:color w:val="000000"/>
        </w:rPr>
      </w:pPr>
      <w:r w:rsidRPr="005C04B2">
        <w:rPr>
          <w:color w:val="000000"/>
        </w:rPr>
        <w:t>[27].</w:t>
      </w:r>
      <w:r w:rsidRPr="005C04B2">
        <w:rPr>
          <w:color w:val="000000"/>
        </w:rPr>
        <w:tab/>
      </w:r>
      <w:proofErr w:type="gramStart"/>
      <w:r w:rsidR="00E41B8C">
        <w:rPr>
          <w:color w:val="000000"/>
        </w:rPr>
        <w:t>The</w:t>
      </w:r>
      <w:proofErr w:type="gramEnd"/>
      <w:r w:rsidR="00E41B8C">
        <w:rPr>
          <w:color w:val="000000"/>
        </w:rPr>
        <w:t xml:space="preserve"> next review was at 05:</w:t>
      </w:r>
      <w:r w:rsidR="00B61410" w:rsidRPr="00B61410">
        <w:rPr>
          <w:color w:val="000000"/>
        </w:rPr>
        <w:t>20 by the doctor</w:t>
      </w:r>
      <w:r w:rsidR="00E41B8C">
        <w:rPr>
          <w:color w:val="000000"/>
        </w:rPr>
        <w:t>, who indicated that they had been ‘</w:t>
      </w:r>
      <w:r w:rsidR="00B61410" w:rsidRPr="00E41B8C">
        <w:rPr>
          <w:color w:val="000000"/>
        </w:rPr>
        <w:t>called to see a patient, apparently fully dilated (the cerv</w:t>
      </w:r>
      <w:r w:rsidR="00E41B8C">
        <w:rPr>
          <w:color w:val="000000"/>
        </w:rPr>
        <w:t>ix) and bearing down for 1 hour’</w:t>
      </w:r>
      <w:r w:rsidR="00B61410" w:rsidRPr="00E41B8C">
        <w:rPr>
          <w:color w:val="000000"/>
        </w:rPr>
        <w:t>.</w:t>
      </w:r>
      <w:r w:rsidR="00E41B8C">
        <w:rPr>
          <w:color w:val="000000"/>
        </w:rPr>
        <w:t xml:space="preserve"> </w:t>
      </w:r>
      <w:r w:rsidR="00B61410" w:rsidRPr="00E41B8C">
        <w:rPr>
          <w:color w:val="000000"/>
        </w:rPr>
        <w:t xml:space="preserve">The </w:t>
      </w:r>
      <w:r w:rsidR="00E41B8C">
        <w:rPr>
          <w:color w:val="000000"/>
        </w:rPr>
        <w:t>plaintiff was reported to have been ‘very uncooperative’</w:t>
      </w:r>
      <w:r w:rsidR="00B61410" w:rsidRPr="00E41B8C">
        <w:rPr>
          <w:color w:val="000000"/>
        </w:rPr>
        <w:t>.</w:t>
      </w:r>
      <w:r w:rsidR="00B32CDB">
        <w:rPr>
          <w:color w:val="000000"/>
        </w:rPr>
        <w:t xml:space="preserve"> A note</w:t>
      </w:r>
      <w:r w:rsidR="00E41B8C">
        <w:rPr>
          <w:color w:val="000000"/>
        </w:rPr>
        <w:t xml:space="preserve"> about the NST, </w:t>
      </w:r>
      <w:r w:rsidR="00B61410" w:rsidRPr="00E41B8C">
        <w:rPr>
          <w:color w:val="000000"/>
        </w:rPr>
        <w:t>comment</w:t>
      </w:r>
      <w:r w:rsidR="00E41B8C">
        <w:rPr>
          <w:color w:val="000000"/>
        </w:rPr>
        <w:t xml:space="preserve">ed </w:t>
      </w:r>
      <w:r w:rsidR="00B61410" w:rsidRPr="00E41B8C">
        <w:rPr>
          <w:color w:val="000000"/>
        </w:rPr>
        <w:t>that</w:t>
      </w:r>
      <w:r w:rsidR="00E41B8C">
        <w:rPr>
          <w:color w:val="000000"/>
        </w:rPr>
        <w:t xml:space="preserve"> the ‘NST not running (no tracing</w:t>
      </w:r>
      <w:r w:rsidR="00B61410" w:rsidRPr="00E41B8C">
        <w:rPr>
          <w:color w:val="000000"/>
        </w:rPr>
        <w:t>)</w:t>
      </w:r>
      <w:r w:rsidR="00E41B8C">
        <w:rPr>
          <w:color w:val="000000"/>
        </w:rPr>
        <w:t xml:space="preserve"> </w:t>
      </w:r>
      <w:r w:rsidR="00B61410" w:rsidRPr="00E41B8C">
        <w:rPr>
          <w:color w:val="000000"/>
        </w:rPr>
        <w:t>at the moment, last tracing +</w:t>
      </w:r>
      <w:r w:rsidR="00E41B8C">
        <w:rPr>
          <w:color w:val="000000"/>
        </w:rPr>
        <w:t>/- 04:</w:t>
      </w:r>
      <w:r w:rsidR="00B61410" w:rsidRPr="00E41B8C">
        <w:rPr>
          <w:color w:val="000000"/>
        </w:rPr>
        <w:t>00, loss of c</w:t>
      </w:r>
      <w:r w:rsidR="00E41B8C">
        <w:rPr>
          <w:color w:val="000000"/>
        </w:rPr>
        <w:t xml:space="preserve">ontact but looked acceptable’. </w:t>
      </w:r>
      <w:r w:rsidR="00B61410" w:rsidRPr="00E41B8C">
        <w:rPr>
          <w:color w:val="000000"/>
        </w:rPr>
        <w:t>On abdominal examination the foetal head was assessed to have significantly descended into the maternal pelvis.</w:t>
      </w:r>
      <w:r w:rsidR="00E41B8C">
        <w:rPr>
          <w:color w:val="000000"/>
        </w:rPr>
        <w:t xml:space="preserve"> </w:t>
      </w:r>
      <w:r w:rsidR="00B61410" w:rsidRPr="00E41B8C">
        <w:rPr>
          <w:color w:val="000000"/>
        </w:rPr>
        <w:t>According to the assessment</w:t>
      </w:r>
      <w:r w:rsidR="00E41B8C">
        <w:rPr>
          <w:color w:val="000000"/>
        </w:rPr>
        <w:t>,</w:t>
      </w:r>
      <w:r w:rsidR="00B61410" w:rsidRPr="00E41B8C">
        <w:rPr>
          <w:color w:val="000000"/>
        </w:rPr>
        <w:t xml:space="preserve"> the foetal head was not felt above the pelvis (0/5 above the pelvis).</w:t>
      </w:r>
      <w:r w:rsidR="00E41B8C">
        <w:rPr>
          <w:color w:val="000000"/>
        </w:rPr>
        <w:t xml:space="preserve"> </w:t>
      </w:r>
      <w:r w:rsidR="00B61410" w:rsidRPr="00E41B8C">
        <w:rPr>
          <w:color w:val="000000"/>
        </w:rPr>
        <w:t>The estimated foetal weight (</w:t>
      </w:r>
      <w:r w:rsidR="00E41B8C">
        <w:rPr>
          <w:color w:val="000000"/>
        </w:rPr>
        <w:t>‘</w:t>
      </w:r>
      <w:r w:rsidR="00B61410" w:rsidRPr="00E41B8C">
        <w:rPr>
          <w:color w:val="000000"/>
        </w:rPr>
        <w:t>EFW</w:t>
      </w:r>
      <w:r w:rsidR="00E41B8C">
        <w:rPr>
          <w:color w:val="000000"/>
        </w:rPr>
        <w:t>’</w:t>
      </w:r>
      <w:r w:rsidR="00B61410" w:rsidRPr="00E41B8C">
        <w:rPr>
          <w:color w:val="000000"/>
        </w:rPr>
        <w:t>) was</w:t>
      </w:r>
      <w:r w:rsidR="00E41B8C">
        <w:rPr>
          <w:color w:val="000000"/>
        </w:rPr>
        <w:t xml:space="preserve"> recorded as </w:t>
      </w:r>
      <w:r w:rsidR="00B61410" w:rsidRPr="00E41B8C">
        <w:rPr>
          <w:color w:val="000000"/>
        </w:rPr>
        <w:t>3 kg.</w:t>
      </w:r>
      <w:r w:rsidR="00E41B8C">
        <w:rPr>
          <w:color w:val="000000"/>
        </w:rPr>
        <w:t xml:space="preserve"> </w:t>
      </w:r>
      <w:r w:rsidR="00B61410" w:rsidRPr="00E41B8C">
        <w:rPr>
          <w:color w:val="000000"/>
        </w:rPr>
        <w:t>The cervix was fully dilated and the foetal head had descended into the pelvis as assessed during the vaginal examination.</w:t>
      </w:r>
      <w:r w:rsidR="005C04B2">
        <w:rPr>
          <w:color w:val="000000"/>
        </w:rPr>
        <w:t xml:space="preserve"> </w:t>
      </w:r>
      <w:r w:rsidR="00B61410" w:rsidRPr="005C04B2">
        <w:rPr>
          <w:color w:val="000000"/>
        </w:rPr>
        <w:t>The degrees of caput and mou</w:t>
      </w:r>
      <w:r w:rsidR="005C04B2">
        <w:rPr>
          <w:color w:val="000000"/>
        </w:rPr>
        <w:t xml:space="preserve">lding were 2 and 1 respectively, and, according to a further clinical </w:t>
      </w:r>
      <w:r w:rsidR="00B61410" w:rsidRPr="005C04B2">
        <w:rPr>
          <w:color w:val="000000"/>
        </w:rPr>
        <w:t>note</w:t>
      </w:r>
      <w:r w:rsidR="005C04B2">
        <w:rPr>
          <w:color w:val="000000"/>
        </w:rPr>
        <w:t xml:space="preserve">, there was ‘very poor maternal effort’. </w:t>
      </w:r>
      <w:r w:rsidR="00B61410" w:rsidRPr="005C04B2">
        <w:rPr>
          <w:color w:val="000000"/>
        </w:rPr>
        <w:t xml:space="preserve">This </w:t>
      </w:r>
      <w:r w:rsidR="005C04B2">
        <w:rPr>
          <w:color w:val="000000"/>
        </w:rPr>
        <w:t xml:space="preserve">is to be interpreted as </w:t>
      </w:r>
      <w:r w:rsidR="00B61410" w:rsidRPr="005C04B2">
        <w:rPr>
          <w:color w:val="000000"/>
        </w:rPr>
        <w:t xml:space="preserve">an observation that the </w:t>
      </w:r>
      <w:r w:rsidR="005C04B2">
        <w:rPr>
          <w:color w:val="000000"/>
        </w:rPr>
        <w:t>plaintiff, during this period, was not making sufficient</w:t>
      </w:r>
      <w:r w:rsidR="00B61410" w:rsidRPr="005C04B2">
        <w:rPr>
          <w:color w:val="000000"/>
        </w:rPr>
        <w:t xml:space="preserve"> attempts in bearing down (pushi</w:t>
      </w:r>
      <w:r w:rsidR="005C04B2">
        <w:rPr>
          <w:color w:val="000000"/>
        </w:rPr>
        <w:t xml:space="preserve">ng to effect vaginal delivery). Thereafter, it was recorded that an episiotomy was made, which </w:t>
      </w:r>
      <w:r w:rsidR="00B61410" w:rsidRPr="005C04B2">
        <w:rPr>
          <w:color w:val="000000"/>
        </w:rPr>
        <w:t xml:space="preserve">is an artificial incision on the perineum made in an attempt to release the tension of the </w:t>
      </w:r>
      <w:proofErr w:type="spellStart"/>
      <w:r w:rsidR="00B61410" w:rsidRPr="005C04B2">
        <w:rPr>
          <w:color w:val="000000"/>
        </w:rPr>
        <w:t>perineal</w:t>
      </w:r>
      <w:proofErr w:type="spellEnd"/>
      <w:r w:rsidR="00B61410" w:rsidRPr="005C04B2">
        <w:rPr>
          <w:color w:val="000000"/>
        </w:rPr>
        <w:t xml:space="preserve"> muscles in order to expedite the delivery of the foetal head (and consequently of the foetus).</w:t>
      </w:r>
    </w:p>
    <w:p w:rsidR="00B61410" w:rsidRPr="005C04B2" w:rsidRDefault="005A4BE6" w:rsidP="005A4BE6">
      <w:pPr>
        <w:spacing w:after="120" w:line="360" w:lineRule="auto"/>
        <w:jc w:val="both"/>
        <w:outlineLvl w:val="0"/>
        <w:rPr>
          <w:color w:val="000000"/>
        </w:rPr>
      </w:pPr>
      <w:r w:rsidRPr="005C04B2">
        <w:rPr>
          <w:color w:val="000000"/>
        </w:rPr>
        <w:lastRenderedPageBreak/>
        <w:t>[28].</w:t>
      </w:r>
      <w:r w:rsidRPr="005C04B2">
        <w:rPr>
          <w:color w:val="000000"/>
        </w:rPr>
        <w:tab/>
      </w:r>
      <w:r w:rsidR="00B61410" w:rsidRPr="00B61410">
        <w:rPr>
          <w:color w:val="000000"/>
        </w:rPr>
        <w:t>It was</w:t>
      </w:r>
      <w:r w:rsidR="005C04B2">
        <w:rPr>
          <w:color w:val="000000"/>
        </w:rPr>
        <w:t xml:space="preserve"> further</w:t>
      </w:r>
      <w:r w:rsidR="00B61410" w:rsidRPr="00B61410">
        <w:rPr>
          <w:color w:val="000000"/>
        </w:rPr>
        <w:t xml:space="preserve"> recorded that </w:t>
      </w:r>
      <w:r w:rsidR="005C04B2">
        <w:rPr>
          <w:color w:val="000000"/>
        </w:rPr>
        <w:t xml:space="preserve">a </w:t>
      </w:r>
      <w:r w:rsidR="00B61410" w:rsidRPr="00B61410">
        <w:rPr>
          <w:color w:val="000000"/>
        </w:rPr>
        <w:t>Vacuum had been applied and that the foetus was deliver</w:t>
      </w:r>
      <w:r w:rsidR="005C04B2">
        <w:rPr>
          <w:color w:val="000000"/>
        </w:rPr>
        <w:t>ed with the first attempt at 05:</w:t>
      </w:r>
      <w:r w:rsidR="00B61410" w:rsidRPr="00B61410">
        <w:rPr>
          <w:color w:val="000000"/>
        </w:rPr>
        <w:t>30.</w:t>
      </w:r>
      <w:r w:rsidR="005C04B2">
        <w:rPr>
          <w:color w:val="000000"/>
        </w:rPr>
        <w:t xml:space="preserve"> </w:t>
      </w:r>
      <w:r w:rsidR="00B61410" w:rsidRPr="005C04B2">
        <w:rPr>
          <w:color w:val="000000"/>
        </w:rPr>
        <w:t>A vacuum is a suction based instrument applied on the foetal scalp to expedite vaginal delivery.</w:t>
      </w:r>
    </w:p>
    <w:p w:rsidR="00B61410" w:rsidRPr="00A1129F" w:rsidRDefault="005A4BE6" w:rsidP="005A4BE6">
      <w:pPr>
        <w:spacing w:after="120" w:line="360" w:lineRule="auto"/>
        <w:jc w:val="both"/>
        <w:outlineLvl w:val="0"/>
        <w:rPr>
          <w:color w:val="000000"/>
        </w:rPr>
      </w:pPr>
      <w:r w:rsidRPr="00A1129F">
        <w:rPr>
          <w:color w:val="000000"/>
        </w:rPr>
        <w:t>[29].</w:t>
      </w:r>
      <w:r w:rsidRPr="00A1129F">
        <w:rPr>
          <w:color w:val="000000"/>
        </w:rPr>
        <w:tab/>
      </w:r>
      <w:r w:rsidR="005C04B2">
        <w:rPr>
          <w:color w:val="000000"/>
        </w:rPr>
        <w:t xml:space="preserve">The post-delivery note records a ‘Poor Apgar [score]’ of </w:t>
      </w:r>
      <w:r w:rsidR="00B61410" w:rsidRPr="00B61410">
        <w:rPr>
          <w:color w:val="000000"/>
        </w:rPr>
        <w:t>+/- 3/10,</w:t>
      </w:r>
      <w:r w:rsidR="005C04B2">
        <w:rPr>
          <w:color w:val="000000"/>
        </w:rPr>
        <w:t xml:space="preserve"> and that a </w:t>
      </w:r>
      <w:r w:rsidR="00A1129F">
        <w:rPr>
          <w:color w:val="000000"/>
        </w:rPr>
        <w:t>Paediatrician</w:t>
      </w:r>
      <w:r w:rsidR="00B61410" w:rsidRPr="00B61410">
        <w:rPr>
          <w:color w:val="000000"/>
        </w:rPr>
        <w:t xml:space="preserve"> </w:t>
      </w:r>
      <w:r w:rsidR="005C04B2">
        <w:rPr>
          <w:color w:val="000000"/>
        </w:rPr>
        <w:t>was summoned</w:t>
      </w:r>
      <w:r w:rsidR="00A1129F">
        <w:rPr>
          <w:color w:val="000000"/>
        </w:rPr>
        <w:t xml:space="preserve"> </w:t>
      </w:r>
      <w:r w:rsidR="00A1129F" w:rsidRPr="00A1129F">
        <w:rPr>
          <w:color w:val="000000"/>
        </w:rPr>
        <w:t>to assist with the management of the unwell neonate, with a poor Apgar score</w:t>
      </w:r>
      <w:r w:rsidR="00A1129F">
        <w:rPr>
          <w:color w:val="000000"/>
        </w:rPr>
        <w:t xml:space="preserve">, </w:t>
      </w:r>
      <w:proofErr w:type="spellStart"/>
      <w:r w:rsidR="005C04B2" w:rsidRPr="00A1129F">
        <w:rPr>
          <w:color w:val="000000"/>
        </w:rPr>
        <w:t>whereafter</w:t>
      </w:r>
      <w:proofErr w:type="spellEnd"/>
      <w:r w:rsidR="005C04B2" w:rsidRPr="00A1129F">
        <w:rPr>
          <w:color w:val="000000"/>
        </w:rPr>
        <w:t xml:space="preserve"> the new-born baby was </w:t>
      </w:r>
      <w:r w:rsidR="00B61410" w:rsidRPr="00A1129F">
        <w:rPr>
          <w:color w:val="000000"/>
        </w:rPr>
        <w:t>intubate</w:t>
      </w:r>
      <w:r w:rsidR="005C04B2" w:rsidRPr="00A1129F">
        <w:rPr>
          <w:color w:val="000000"/>
        </w:rPr>
        <w:t xml:space="preserve">d and </w:t>
      </w:r>
      <w:r w:rsidR="00B61410" w:rsidRPr="00A1129F">
        <w:rPr>
          <w:color w:val="000000"/>
        </w:rPr>
        <w:t>bagged</w:t>
      </w:r>
      <w:r w:rsidR="005C04B2" w:rsidRPr="00A1129F">
        <w:rPr>
          <w:color w:val="000000"/>
        </w:rPr>
        <w:t>.</w:t>
      </w:r>
      <w:r w:rsidR="00A1129F">
        <w:rPr>
          <w:color w:val="000000"/>
        </w:rPr>
        <w:t xml:space="preserve"> </w:t>
      </w:r>
      <w:r w:rsidR="00A1129F" w:rsidRPr="00A1129F">
        <w:rPr>
          <w:color w:val="000000"/>
        </w:rPr>
        <w:t>The ‘Apgar S</w:t>
      </w:r>
      <w:r w:rsidR="00B61410" w:rsidRPr="00A1129F">
        <w:rPr>
          <w:color w:val="000000"/>
        </w:rPr>
        <w:t>core</w:t>
      </w:r>
      <w:r w:rsidR="00A1129F" w:rsidRPr="00A1129F">
        <w:rPr>
          <w:color w:val="000000"/>
        </w:rPr>
        <w:t>’</w:t>
      </w:r>
      <w:r w:rsidR="00B61410" w:rsidRPr="00A1129F">
        <w:rPr>
          <w:color w:val="000000"/>
        </w:rPr>
        <w:t xml:space="preserve"> is a general and qualitative determination of the general wellbeing of the </w:t>
      </w:r>
      <w:r w:rsidR="00A1129F" w:rsidRPr="00A1129F">
        <w:rPr>
          <w:color w:val="000000"/>
        </w:rPr>
        <w:t>new-born</w:t>
      </w:r>
      <w:r w:rsidR="00B61410" w:rsidRPr="00A1129F">
        <w:rPr>
          <w:color w:val="000000"/>
        </w:rPr>
        <w:t xml:space="preserve"> within the first </w:t>
      </w:r>
      <w:r w:rsidR="00A1129F" w:rsidRPr="00A1129F">
        <w:rPr>
          <w:color w:val="000000"/>
        </w:rPr>
        <w:t>five</w:t>
      </w:r>
      <w:r w:rsidR="00B61410" w:rsidRPr="00A1129F">
        <w:rPr>
          <w:color w:val="000000"/>
        </w:rPr>
        <w:t xml:space="preserve"> to </w:t>
      </w:r>
      <w:r w:rsidR="00A1129F" w:rsidRPr="00A1129F">
        <w:rPr>
          <w:color w:val="000000"/>
        </w:rPr>
        <w:t>ten</w:t>
      </w:r>
      <w:r w:rsidR="00B61410" w:rsidRPr="00A1129F">
        <w:rPr>
          <w:color w:val="000000"/>
        </w:rPr>
        <w:t xml:space="preserve"> minutes of life. Its primary use is to assess the need for and response to resuscitation of the </w:t>
      </w:r>
      <w:r w:rsidR="00A1129F" w:rsidRPr="00A1129F">
        <w:rPr>
          <w:color w:val="000000"/>
        </w:rPr>
        <w:t>new-born</w:t>
      </w:r>
      <w:r w:rsidR="00B61410" w:rsidRPr="00A1129F">
        <w:rPr>
          <w:color w:val="000000"/>
        </w:rPr>
        <w:t>.</w:t>
      </w:r>
      <w:r w:rsidR="00A1129F" w:rsidRPr="00A1129F">
        <w:rPr>
          <w:color w:val="000000"/>
        </w:rPr>
        <w:t xml:space="preserve"> </w:t>
      </w:r>
      <w:r w:rsidR="00B61410" w:rsidRPr="00A1129F">
        <w:rPr>
          <w:color w:val="000000"/>
        </w:rPr>
        <w:t>The score is usually determined at 1 and 5 minutes after delivery. Another assessment may be done at 10 minutes, particularly when resuscitation was instituted.</w:t>
      </w:r>
    </w:p>
    <w:p w:rsidR="00B61410" w:rsidRPr="005251F4" w:rsidRDefault="005A4BE6" w:rsidP="005A4BE6">
      <w:pPr>
        <w:spacing w:after="120" w:line="360" w:lineRule="auto"/>
        <w:jc w:val="both"/>
        <w:outlineLvl w:val="0"/>
        <w:rPr>
          <w:color w:val="000000"/>
        </w:rPr>
      </w:pPr>
      <w:r w:rsidRPr="005251F4">
        <w:rPr>
          <w:color w:val="000000"/>
        </w:rPr>
        <w:t>[30].</w:t>
      </w:r>
      <w:r w:rsidRPr="005251F4">
        <w:rPr>
          <w:color w:val="000000"/>
        </w:rPr>
        <w:tab/>
      </w:r>
      <w:proofErr w:type="gramStart"/>
      <w:r w:rsidR="00B61410" w:rsidRPr="00B61410">
        <w:rPr>
          <w:color w:val="000000"/>
        </w:rPr>
        <w:t>The</w:t>
      </w:r>
      <w:proofErr w:type="gramEnd"/>
      <w:r w:rsidR="00B61410" w:rsidRPr="00B61410">
        <w:rPr>
          <w:color w:val="000000"/>
        </w:rPr>
        <w:t xml:space="preserve"> delivery of the placenta and the repair of the episiotomy were done by the midwife.</w:t>
      </w:r>
      <w:r w:rsidR="005251F4">
        <w:rPr>
          <w:color w:val="000000"/>
        </w:rPr>
        <w:t xml:space="preserve"> </w:t>
      </w:r>
      <w:r w:rsidR="00A1129F" w:rsidRPr="005251F4">
        <w:rPr>
          <w:color w:val="000000"/>
        </w:rPr>
        <w:t>An entry by the midwife at 06:55 reported that the plaintiff had</w:t>
      </w:r>
      <w:r w:rsidR="00B61410" w:rsidRPr="005251F4">
        <w:rPr>
          <w:color w:val="000000"/>
        </w:rPr>
        <w:t xml:space="preserve"> been very uncooper</w:t>
      </w:r>
      <w:r w:rsidR="00A1129F" w:rsidRPr="005251F4">
        <w:rPr>
          <w:color w:val="000000"/>
        </w:rPr>
        <w:t xml:space="preserve">ative. </w:t>
      </w:r>
      <w:r w:rsidR="00B61410" w:rsidRPr="005251F4">
        <w:rPr>
          <w:color w:val="000000"/>
        </w:rPr>
        <w:t>She reported</w:t>
      </w:r>
      <w:r w:rsidR="00A1129F" w:rsidRPr="005251F4">
        <w:rPr>
          <w:color w:val="000000"/>
        </w:rPr>
        <w:t>ly</w:t>
      </w:r>
      <w:r w:rsidR="00B61410" w:rsidRPr="005251F4">
        <w:rPr>
          <w:color w:val="000000"/>
        </w:rPr>
        <w:t xml:space="preserve"> </w:t>
      </w:r>
      <w:r w:rsidR="00A1129F" w:rsidRPr="005251F4">
        <w:rPr>
          <w:color w:val="000000"/>
        </w:rPr>
        <w:t>did not follow</w:t>
      </w:r>
      <w:r w:rsidR="00B61410" w:rsidRPr="005251F4">
        <w:rPr>
          <w:color w:val="000000"/>
        </w:rPr>
        <w:t xml:space="preserve"> instructions and that a (nursing) sister was asked to convince her to c</w:t>
      </w:r>
      <w:r w:rsidR="00A1129F" w:rsidRPr="005251F4">
        <w:rPr>
          <w:color w:val="000000"/>
        </w:rPr>
        <w:t xml:space="preserve">ooperate but had failed. </w:t>
      </w:r>
      <w:r w:rsidR="00B61410" w:rsidRPr="005251F4">
        <w:rPr>
          <w:color w:val="000000"/>
        </w:rPr>
        <w:t>She was reported to h</w:t>
      </w:r>
      <w:r w:rsidR="00A1129F" w:rsidRPr="005251F4">
        <w:rPr>
          <w:color w:val="000000"/>
        </w:rPr>
        <w:t>ave had prolonged second stage of labour</w:t>
      </w:r>
      <w:r w:rsidR="00B61410" w:rsidRPr="005251F4">
        <w:rPr>
          <w:color w:val="000000"/>
        </w:rPr>
        <w:t xml:space="preserve"> for </w:t>
      </w:r>
      <w:r w:rsidR="00A1129F" w:rsidRPr="005251F4">
        <w:rPr>
          <w:color w:val="000000"/>
        </w:rPr>
        <w:t>one</w:t>
      </w:r>
      <w:r w:rsidR="00B61410" w:rsidRPr="005251F4">
        <w:rPr>
          <w:color w:val="000000"/>
        </w:rPr>
        <w:t xml:space="preserve"> hour.</w:t>
      </w:r>
      <w:r w:rsidR="00A1129F" w:rsidRPr="005251F4">
        <w:rPr>
          <w:color w:val="000000"/>
        </w:rPr>
        <w:t xml:space="preserve"> </w:t>
      </w:r>
      <w:r w:rsidR="00B61410" w:rsidRPr="005251F4">
        <w:rPr>
          <w:color w:val="000000"/>
        </w:rPr>
        <w:t xml:space="preserve">It was further noted that the delivery had been by vacuum extraction and that an alive female infant with </w:t>
      </w:r>
      <w:r w:rsidR="00A1129F" w:rsidRPr="005251F4">
        <w:rPr>
          <w:color w:val="000000"/>
        </w:rPr>
        <w:t>the following Apgar S</w:t>
      </w:r>
      <w:r w:rsidR="00B61410" w:rsidRPr="005251F4">
        <w:rPr>
          <w:color w:val="000000"/>
        </w:rPr>
        <w:t>cores</w:t>
      </w:r>
      <w:r w:rsidR="00B32CDB">
        <w:rPr>
          <w:color w:val="000000"/>
        </w:rPr>
        <w:t>: 2/10</w:t>
      </w:r>
      <w:r w:rsidR="00A1129F" w:rsidRPr="005251F4">
        <w:rPr>
          <w:color w:val="000000"/>
        </w:rPr>
        <w:t xml:space="preserve"> at one minute; </w:t>
      </w:r>
      <w:r w:rsidR="00B32CDB">
        <w:rPr>
          <w:color w:val="000000"/>
        </w:rPr>
        <w:t>4/10 at five minutes and 5/10</w:t>
      </w:r>
      <w:r w:rsidR="00A1129F" w:rsidRPr="005251F4">
        <w:rPr>
          <w:color w:val="000000"/>
        </w:rPr>
        <w:t xml:space="preserve"> at ten minutes. </w:t>
      </w:r>
      <w:r w:rsidR="00B61410" w:rsidRPr="005251F4">
        <w:rPr>
          <w:color w:val="000000"/>
        </w:rPr>
        <w:t xml:space="preserve">The </w:t>
      </w:r>
      <w:proofErr w:type="spellStart"/>
      <w:r w:rsidR="00B61410" w:rsidRPr="005251F4">
        <w:rPr>
          <w:color w:val="000000"/>
        </w:rPr>
        <w:t>birthweight</w:t>
      </w:r>
      <w:proofErr w:type="spellEnd"/>
      <w:r w:rsidR="00B61410" w:rsidRPr="005251F4">
        <w:rPr>
          <w:color w:val="000000"/>
        </w:rPr>
        <w:t xml:space="preserve"> was</w:t>
      </w:r>
      <w:r w:rsidR="00A1129F" w:rsidRPr="005251F4">
        <w:rPr>
          <w:color w:val="000000"/>
        </w:rPr>
        <w:t xml:space="preserve"> recorded as 2704 grams and t</w:t>
      </w:r>
      <w:r w:rsidR="00B61410" w:rsidRPr="005251F4">
        <w:rPr>
          <w:color w:val="000000"/>
        </w:rPr>
        <w:t xml:space="preserve">he baby </w:t>
      </w:r>
      <w:r w:rsidR="00A1129F" w:rsidRPr="005251F4">
        <w:rPr>
          <w:color w:val="000000"/>
        </w:rPr>
        <w:t>was observed to have been ‘</w:t>
      </w:r>
      <w:r w:rsidR="00B61410" w:rsidRPr="005251F4">
        <w:rPr>
          <w:color w:val="000000"/>
        </w:rPr>
        <w:t>born flat +++ and</w:t>
      </w:r>
      <w:r w:rsidR="00A1129F" w:rsidRPr="005251F4">
        <w:rPr>
          <w:color w:val="000000"/>
        </w:rPr>
        <w:t xml:space="preserve"> floppy’</w:t>
      </w:r>
      <w:r w:rsidR="00F124E3" w:rsidRPr="005251F4">
        <w:rPr>
          <w:color w:val="000000"/>
        </w:rPr>
        <w:t xml:space="preserve">, </w:t>
      </w:r>
      <w:r w:rsidR="00A1129F" w:rsidRPr="005251F4">
        <w:rPr>
          <w:color w:val="000000"/>
        </w:rPr>
        <w:t xml:space="preserve">with </w:t>
      </w:r>
      <w:r w:rsidR="00B61410" w:rsidRPr="005251F4">
        <w:rPr>
          <w:color w:val="000000"/>
        </w:rPr>
        <w:t>severely dec</w:t>
      </w:r>
      <w:r w:rsidR="00F124E3" w:rsidRPr="005251F4">
        <w:rPr>
          <w:color w:val="000000"/>
        </w:rPr>
        <w:t xml:space="preserve">reased muscle tone. The interventions included ‘bagging’, which is a term denoting </w:t>
      </w:r>
      <w:r w:rsidR="00B61410" w:rsidRPr="005251F4">
        <w:rPr>
          <w:color w:val="000000"/>
        </w:rPr>
        <w:t xml:space="preserve">artificial ventilation </w:t>
      </w:r>
      <w:r w:rsidR="00F124E3" w:rsidRPr="005251F4">
        <w:rPr>
          <w:color w:val="000000"/>
        </w:rPr>
        <w:t xml:space="preserve">by </w:t>
      </w:r>
      <w:r w:rsidR="00B61410" w:rsidRPr="005251F4">
        <w:rPr>
          <w:color w:val="000000"/>
        </w:rPr>
        <w:t>the administration of oxygen via compression and dec</w:t>
      </w:r>
      <w:r w:rsidR="00F124E3" w:rsidRPr="005251F4">
        <w:rPr>
          <w:color w:val="000000"/>
        </w:rPr>
        <w:t>ompression of a specialised bag</w:t>
      </w:r>
      <w:r w:rsidR="00B61410" w:rsidRPr="005251F4">
        <w:rPr>
          <w:color w:val="000000"/>
        </w:rPr>
        <w:t>.</w:t>
      </w:r>
      <w:r w:rsidR="00F124E3" w:rsidRPr="005251F4">
        <w:rPr>
          <w:color w:val="000000"/>
        </w:rPr>
        <w:t xml:space="preserve"> </w:t>
      </w:r>
      <w:r w:rsidR="00B61410" w:rsidRPr="005251F4">
        <w:rPr>
          <w:color w:val="000000"/>
        </w:rPr>
        <w:t xml:space="preserve">Oxygen was also </w:t>
      </w:r>
      <w:r w:rsidR="00F124E3" w:rsidRPr="005251F4">
        <w:rPr>
          <w:color w:val="000000"/>
        </w:rPr>
        <w:t xml:space="preserve">supplied to the neonate through a face mask. </w:t>
      </w:r>
      <w:r w:rsidR="00B61410" w:rsidRPr="005251F4">
        <w:rPr>
          <w:color w:val="000000"/>
        </w:rPr>
        <w:t xml:space="preserve">It was also indicated that the Paediatrician </w:t>
      </w:r>
      <w:r w:rsidR="00F124E3" w:rsidRPr="005251F4">
        <w:rPr>
          <w:color w:val="000000"/>
        </w:rPr>
        <w:t>had</w:t>
      </w:r>
      <w:r w:rsidR="00B61410" w:rsidRPr="005251F4">
        <w:rPr>
          <w:color w:val="000000"/>
        </w:rPr>
        <w:t xml:space="preserve"> taken over </w:t>
      </w:r>
      <w:r w:rsidR="00F124E3" w:rsidRPr="005251F4">
        <w:rPr>
          <w:color w:val="000000"/>
        </w:rPr>
        <w:t xml:space="preserve">the </w:t>
      </w:r>
      <w:r w:rsidR="00B61410" w:rsidRPr="005251F4">
        <w:rPr>
          <w:color w:val="000000"/>
        </w:rPr>
        <w:t xml:space="preserve">management of the </w:t>
      </w:r>
      <w:r w:rsidR="00F124E3" w:rsidRPr="005251F4">
        <w:rPr>
          <w:color w:val="000000"/>
        </w:rPr>
        <w:t>new-born</w:t>
      </w:r>
      <w:r w:rsidR="00B61410" w:rsidRPr="005251F4">
        <w:rPr>
          <w:color w:val="000000"/>
        </w:rPr>
        <w:t xml:space="preserve"> and that </w:t>
      </w:r>
      <w:r w:rsidR="00F124E3" w:rsidRPr="005251F4">
        <w:rPr>
          <w:color w:val="000000"/>
        </w:rPr>
        <w:t xml:space="preserve">she </w:t>
      </w:r>
      <w:r w:rsidR="00B61410" w:rsidRPr="005251F4">
        <w:rPr>
          <w:color w:val="000000"/>
        </w:rPr>
        <w:t>was taken to Transitional Unit (intensive care unit).</w:t>
      </w:r>
    </w:p>
    <w:p w:rsidR="00B61410" w:rsidRPr="00F124E3" w:rsidRDefault="005A4BE6" w:rsidP="005A4BE6">
      <w:pPr>
        <w:spacing w:after="120" w:line="360" w:lineRule="auto"/>
        <w:jc w:val="both"/>
        <w:outlineLvl w:val="0"/>
        <w:rPr>
          <w:color w:val="000000"/>
        </w:rPr>
      </w:pPr>
      <w:r w:rsidRPr="00F124E3">
        <w:rPr>
          <w:color w:val="000000"/>
        </w:rPr>
        <w:t>[31].</w:t>
      </w:r>
      <w:r w:rsidRPr="00F124E3">
        <w:rPr>
          <w:color w:val="000000"/>
        </w:rPr>
        <w:tab/>
      </w:r>
      <w:r w:rsidR="00F124E3">
        <w:rPr>
          <w:color w:val="000000"/>
        </w:rPr>
        <w:t xml:space="preserve">According to the </w:t>
      </w:r>
      <w:proofErr w:type="spellStart"/>
      <w:r w:rsidR="00F124E3">
        <w:rPr>
          <w:color w:val="000000"/>
        </w:rPr>
        <w:t>Partogram</w:t>
      </w:r>
      <w:proofErr w:type="spellEnd"/>
      <w:r w:rsidR="00F124E3">
        <w:rPr>
          <w:color w:val="000000"/>
        </w:rPr>
        <w:t>, which is a schematic representation on which the observations during labour, relating to the mother and her foetus, are recorded, t</w:t>
      </w:r>
      <w:r w:rsidR="00F124E3" w:rsidRPr="00F124E3">
        <w:rPr>
          <w:color w:val="000000"/>
        </w:rPr>
        <w:t>he cerv</w:t>
      </w:r>
      <w:r w:rsidR="00F124E3">
        <w:rPr>
          <w:color w:val="000000"/>
        </w:rPr>
        <w:t xml:space="preserve">ix was 6 and 8 cm dilated at 00:30 and 02:30 respectively. </w:t>
      </w:r>
      <w:r w:rsidR="00F124E3" w:rsidRPr="00F124E3">
        <w:rPr>
          <w:color w:val="000000"/>
        </w:rPr>
        <w:t>The foetal heart rate</w:t>
      </w:r>
      <w:r w:rsidR="00F124E3">
        <w:rPr>
          <w:color w:val="000000"/>
        </w:rPr>
        <w:t xml:space="preserve"> at 00:30 was recorded as </w:t>
      </w:r>
      <w:r w:rsidR="00F124E3" w:rsidRPr="00F124E3">
        <w:rPr>
          <w:color w:val="000000"/>
        </w:rPr>
        <w:t>140 and</w:t>
      </w:r>
      <w:r w:rsidR="00F124E3">
        <w:rPr>
          <w:color w:val="000000"/>
        </w:rPr>
        <w:t xml:space="preserve"> as</w:t>
      </w:r>
      <w:r w:rsidR="00F124E3" w:rsidRPr="00F124E3">
        <w:rPr>
          <w:color w:val="000000"/>
        </w:rPr>
        <w:t xml:space="preserve"> 133 </w:t>
      </w:r>
      <w:r w:rsidR="00F124E3">
        <w:rPr>
          <w:color w:val="000000"/>
        </w:rPr>
        <w:t>at 02:</w:t>
      </w:r>
      <w:r w:rsidR="00F124E3" w:rsidRPr="00F124E3">
        <w:rPr>
          <w:color w:val="000000"/>
        </w:rPr>
        <w:t>30.</w:t>
      </w:r>
      <w:r w:rsidR="00F124E3">
        <w:rPr>
          <w:color w:val="000000"/>
        </w:rPr>
        <w:t xml:space="preserve"> The </w:t>
      </w:r>
      <w:r w:rsidR="00B61410" w:rsidRPr="00F124E3">
        <w:rPr>
          <w:color w:val="000000"/>
        </w:rPr>
        <w:t xml:space="preserve">main </w:t>
      </w:r>
      <w:r w:rsidR="00B61410" w:rsidRPr="00F124E3">
        <w:rPr>
          <w:color w:val="000000"/>
        </w:rPr>
        <w:lastRenderedPageBreak/>
        <w:t>use</w:t>
      </w:r>
      <w:r w:rsidR="00F124E3">
        <w:rPr>
          <w:color w:val="000000"/>
        </w:rPr>
        <w:t xml:space="preserve"> of a </w:t>
      </w:r>
      <w:proofErr w:type="spellStart"/>
      <w:r w:rsidR="00F124E3">
        <w:rPr>
          <w:color w:val="000000"/>
        </w:rPr>
        <w:t>Partogram</w:t>
      </w:r>
      <w:proofErr w:type="spellEnd"/>
      <w:r w:rsidR="00F124E3">
        <w:rPr>
          <w:color w:val="000000"/>
        </w:rPr>
        <w:t xml:space="preserve"> is to </w:t>
      </w:r>
      <w:r w:rsidR="00B61410" w:rsidRPr="00F124E3">
        <w:rPr>
          <w:color w:val="000000"/>
        </w:rPr>
        <w:t>document</w:t>
      </w:r>
      <w:r w:rsidR="00F124E3">
        <w:rPr>
          <w:color w:val="000000"/>
        </w:rPr>
        <w:t xml:space="preserve"> </w:t>
      </w:r>
      <w:r w:rsidR="00B61410" w:rsidRPr="00F124E3">
        <w:rPr>
          <w:color w:val="000000"/>
        </w:rPr>
        <w:t>the monitoring of the progress of labour.</w:t>
      </w:r>
      <w:r w:rsidR="00F124E3">
        <w:rPr>
          <w:color w:val="000000"/>
        </w:rPr>
        <w:t xml:space="preserve"> </w:t>
      </w:r>
      <w:r w:rsidR="00B61410" w:rsidRPr="00F124E3">
        <w:rPr>
          <w:color w:val="000000"/>
        </w:rPr>
        <w:t xml:space="preserve">The uterine contractions were recorded to have been strong, the </w:t>
      </w:r>
      <w:r w:rsidR="00B13409">
        <w:rPr>
          <w:color w:val="000000"/>
        </w:rPr>
        <w:t>plaintiff’s</w:t>
      </w:r>
      <w:r w:rsidR="00B61410" w:rsidRPr="00F124E3">
        <w:rPr>
          <w:color w:val="000000"/>
        </w:rPr>
        <w:t xml:space="preserve"> blood pressure and pulse were observed</w:t>
      </w:r>
      <w:r w:rsidR="00B13409">
        <w:rPr>
          <w:color w:val="000000"/>
        </w:rPr>
        <w:t xml:space="preserve"> to have been normal between 03:30 and 05:</w:t>
      </w:r>
      <w:r w:rsidR="00B61410" w:rsidRPr="00F124E3">
        <w:rPr>
          <w:color w:val="000000"/>
        </w:rPr>
        <w:t>00.</w:t>
      </w:r>
    </w:p>
    <w:p w:rsidR="00B61410" w:rsidRPr="00B13409" w:rsidRDefault="005A4BE6" w:rsidP="005A4BE6">
      <w:pPr>
        <w:spacing w:after="120" w:line="360" w:lineRule="auto"/>
        <w:jc w:val="both"/>
        <w:outlineLvl w:val="0"/>
        <w:rPr>
          <w:color w:val="000000"/>
        </w:rPr>
      </w:pPr>
      <w:r w:rsidRPr="00B13409">
        <w:rPr>
          <w:color w:val="000000"/>
        </w:rPr>
        <w:t>[32].</w:t>
      </w:r>
      <w:r w:rsidRPr="00B13409">
        <w:rPr>
          <w:color w:val="000000"/>
        </w:rPr>
        <w:tab/>
      </w:r>
      <w:r w:rsidR="00B13409">
        <w:rPr>
          <w:color w:val="000000"/>
        </w:rPr>
        <w:t>According to the ‘Summary of L</w:t>
      </w:r>
      <w:r w:rsidR="00B61410" w:rsidRPr="00B61410">
        <w:rPr>
          <w:color w:val="000000"/>
        </w:rPr>
        <w:t>abour</w:t>
      </w:r>
      <w:r w:rsidR="00B13409">
        <w:rPr>
          <w:color w:val="000000"/>
        </w:rPr>
        <w:t>’</w:t>
      </w:r>
      <w:r w:rsidR="00B61410" w:rsidRPr="00B61410">
        <w:rPr>
          <w:color w:val="000000"/>
        </w:rPr>
        <w:t xml:space="preserve"> document</w:t>
      </w:r>
      <w:r w:rsidR="00B13409">
        <w:rPr>
          <w:color w:val="000000"/>
        </w:rPr>
        <w:t xml:space="preserve">, which </w:t>
      </w:r>
      <w:r w:rsidR="00B61410" w:rsidRPr="00B13409">
        <w:rPr>
          <w:color w:val="000000"/>
        </w:rPr>
        <w:t xml:space="preserve">is a record of the date, times and duration of </w:t>
      </w:r>
      <w:r w:rsidR="00B13409">
        <w:rPr>
          <w:color w:val="000000"/>
        </w:rPr>
        <w:t xml:space="preserve">the various stages of labour, </w:t>
      </w:r>
      <w:r w:rsidR="00B61410" w:rsidRPr="00B13409">
        <w:rPr>
          <w:color w:val="000000"/>
        </w:rPr>
        <w:t xml:space="preserve">the first and second stages of labour </w:t>
      </w:r>
      <w:r w:rsidR="00B13409">
        <w:rPr>
          <w:color w:val="000000"/>
        </w:rPr>
        <w:t xml:space="preserve">endured </w:t>
      </w:r>
      <w:r w:rsidR="00B32CDB">
        <w:rPr>
          <w:color w:val="000000"/>
        </w:rPr>
        <w:t xml:space="preserve">for </w:t>
      </w:r>
      <w:r w:rsidR="00B13409">
        <w:rPr>
          <w:color w:val="000000"/>
        </w:rPr>
        <w:t>four</w:t>
      </w:r>
      <w:r w:rsidR="00B61410" w:rsidRPr="00B13409">
        <w:rPr>
          <w:color w:val="000000"/>
        </w:rPr>
        <w:t xml:space="preserve"> hours</w:t>
      </w:r>
      <w:r w:rsidR="00B13409">
        <w:rPr>
          <w:color w:val="000000"/>
        </w:rPr>
        <w:t>,</w:t>
      </w:r>
      <w:r w:rsidR="00B61410" w:rsidRPr="00B13409">
        <w:rPr>
          <w:color w:val="000000"/>
        </w:rPr>
        <w:t xml:space="preserve"> </w:t>
      </w:r>
      <w:r w:rsidR="00B13409">
        <w:rPr>
          <w:color w:val="000000"/>
        </w:rPr>
        <w:t>thirty</w:t>
      </w:r>
      <w:r w:rsidR="00B61410" w:rsidRPr="00B13409">
        <w:rPr>
          <w:color w:val="000000"/>
        </w:rPr>
        <w:t xml:space="preserve"> minutes and</w:t>
      </w:r>
      <w:r w:rsidR="00B32CDB">
        <w:rPr>
          <w:color w:val="000000"/>
        </w:rPr>
        <w:t xml:space="preserve"> for</w:t>
      </w:r>
      <w:r w:rsidR="00B61410" w:rsidRPr="00B13409">
        <w:rPr>
          <w:color w:val="000000"/>
        </w:rPr>
        <w:t xml:space="preserve"> </w:t>
      </w:r>
      <w:r w:rsidR="00B13409">
        <w:rPr>
          <w:color w:val="000000"/>
        </w:rPr>
        <w:t>one</w:t>
      </w:r>
      <w:r w:rsidR="00B61410" w:rsidRPr="00B13409">
        <w:rPr>
          <w:color w:val="000000"/>
        </w:rPr>
        <w:t xml:space="preserve"> hour respectively.</w:t>
      </w:r>
      <w:r w:rsidR="00B13409">
        <w:rPr>
          <w:color w:val="000000"/>
        </w:rPr>
        <w:t xml:space="preserve"> </w:t>
      </w:r>
      <w:r w:rsidR="00B61410" w:rsidRPr="00B13409">
        <w:rPr>
          <w:color w:val="000000"/>
        </w:rPr>
        <w:t xml:space="preserve">The total duration of labour was </w:t>
      </w:r>
      <w:r w:rsidR="00B13409">
        <w:rPr>
          <w:color w:val="000000"/>
        </w:rPr>
        <w:t xml:space="preserve">five hours and forty </w:t>
      </w:r>
      <w:r w:rsidR="00B61410" w:rsidRPr="00B13409">
        <w:rPr>
          <w:color w:val="000000"/>
        </w:rPr>
        <w:t>minutes.</w:t>
      </w:r>
    </w:p>
    <w:p w:rsidR="009359F0" w:rsidRDefault="005A4BE6" w:rsidP="005A4BE6">
      <w:pPr>
        <w:spacing w:after="120" w:line="360" w:lineRule="auto"/>
        <w:jc w:val="both"/>
        <w:outlineLvl w:val="0"/>
        <w:rPr>
          <w:color w:val="000000"/>
        </w:rPr>
      </w:pPr>
      <w:r>
        <w:rPr>
          <w:color w:val="000000"/>
        </w:rPr>
        <w:t>[33].</w:t>
      </w:r>
      <w:r>
        <w:rPr>
          <w:color w:val="000000"/>
        </w:rPr>
        <w:tab/>
      </w:r>
      <w:r w:rsidR="00B13409">
        <w:rPr>
          <w:color w:val="000000"/>
        </w:rPr>
        <w:t>The ‘</w:t>
      </w:r>
      <w:r w:rsidR="00B61410" w:rsidRPr="00B61410">
        <w:rPr>
          <w:color w:val="000000"/>
        </w:rPr>
        <w:t>Summary of Delivery</w:t>
      </w:r>
      <w:r w:rsidR="00B13409">
        <w:rPr>
          <w:color w:val="000000"/>
        </w:rPr>
        <w:t xml:space="preserve">’, which was completed by the Midwife, recorded the date and time of delivery as 4 March 2005 at 05:30 by vacuum extraction. </w:t>
      </w:r>
      <w:r w:rsidR="00B61410" w:rsidRPr="00B13409">
        <w:rPr>
          <w:color w:val="000000"/>
        </w:rPr>
        <w:t xml:space="preserve">The </w:t>
      </w:r>
      <w:proofErr w:type="spellStart"/>
      <w:r w:rsidR="00B61410" w:rsidRPr="00B13409">
        <w:rPr>
          <w:color w:val="000000"/>
        </w:rPr>
        <w:t>birthweight</w:t>
      </w:r>
      <w:proofErr w:type="spellEnd"/>
      <w:r w:rsidR="00B61410" w:rsidRPr="00B13409">
        <w:rPr>
          <w:color w:val="000000"/>
        </w:rPr>
        <w:t xml:space="preserve"> </w:t>
      </w:r>
      <w:r w:rsidR="00B13409">
        <w:rPr>
          <w:color w:val="000000"/>
        </w:rPr>
        <w:t>was noted as 2</w:t>
      </w:r>
      <w:r w:rsidR="00B61410" w:rsidRPr="00B13409">
        <w:rPr>
          <w:color w:val="000000"/>
        </w:rPr>
        <w:t>704 grams</w:t>
      </w:r>
      <w:r w:rsidR="00B13409">
        <w:rPr>
          <w:color w:val="000000"/>
        </w:rPr>
        <w:t xml:space="preserve"> </w:t>
      </w:r>
      <w:r w:rsidR="00B61410" w:rsidRPr="00B13409">
        <w:rPr>
          <w:color w:val="000000"/>
        </w:rPr>
        <w:t>and gender</w:t>
      </w:r>
      <w:r w:rsidR="00B13409">
        <w:rPr>
          <w:color w:val="000000"/>
        </w:rPr>
        <w:t xml:space="preserve"> of the neonate as </w:t>
      </w:r>
      <w:r w:rsidR="00B61410" w:rsidRPr="00B13409">
        <w:rPr>
          <w:color w:val="000000"/>
        </w:rPr>
        <w:t>female</w:t>
      </w:r>
      <w:r w:rsidR="00B13409">
        <w:rPr>
          <w:color w:val="000000"/>
        </w:rPr>
        <w:t>. T</w:t>
      </w:r>
      <w:r w:rsidR="00B61410" w:rsidRPr="00B13409">
        <w:rPr>
          <w:color w:val="000000"/>
        </w:rPr>
        <w:t xml:space="preserve">he weight of the placenta and </w:t>
      </w:r>
      <w:r w:rsidR="00B13409">
        <w:rPr>
          <w:color w:val="000000"/>
        </w:rPr>
        <w:t xml:space="preserve">the </w:t>
      </w:r>
      <w:r w:rsidR="00B61410" w:rsidRPr="00B13409">
        <w:rPr>
          <w:color w:val="000000"/>
        </w:rPr>
        <w:t>length of the umbilical cord were recorded to have been 550 grams and 40 cm respectively.</w:t>
      </w:r>
      <w:r w:rsidR="00B13409">
        <w:rPr>
          <w:color w:val="000000"/>
        </w:rPr>
        <w:t xml:space="preserve"> </w:t>
      </w:r>
      <w:r w:rsidR="00B61410" w:rsidRPr="00B13409">
        <w:rPr>
          <w:color w:val="000000"/>
        </w:rPr>
        <w:t>The placental membranes were noted to have been complete and there were no knots on the umbilical cord.</w:t>
      </w:r>
      <w:r w:rsidR="00B13409">
        <w:rPr>
          <w:color w:val="000000"/>
        </w:rPr>
        <w:t xml:space="preserve"> </w:t>
      </w:r>
      <w:r w:rsidR="00B61410" w:rsidRPr="00B13409">
        <w:rPr>
          <w:color w:val="000000"/>
        </w:rPr>
        <w:t>The date and time of discharge from the hospital was</w:t>
      </w:r>
      <w:r w:rsidR="009359F0">
        <w:rPr>
          <w:color w:val="000000"/>
        </w:rPr>
        <w:t xml:space="preserve"> recorded as </w:t>
      </w:r>
      <w:r w:rsidR="00DC7FBE">
        <w:rPr>
          <w:color w:val="000000"/>
        </w:rPr>
        <w:t>[…]</w:t>
      </w:r>
      <w:r w:rsidR="00B61410" w:rsidRPr="00B13409">
        <w:rPr>
          <w:color w:val="000000"/>
        </w:rPr>
        <w:t xml:space="preserve"> March</w:t>
      </w:r>
      <w:r w:rsidR="00DC7FBE">
        <w:rPr>
          <w:color w:val="000000"/>
        </w:rPr>
        <w:t xml:space="preserve"> […]</w:t>
      </w:r>
      <w:r w:rsidR="009359F0">
        <w:rPr>
          <w:color w:val="000000"/>
        </w:rPr>
        <w:t xml:space="preserve"> at 16:</w:t>
      </w:r>
      <w:r w:rsidR="00B61410" w:rsidRPr="00B13409">
        <w:rPr>
          <w:color w:val="000000"/>
        </w:rPr>
        <w:t>00</w:t>
      </w:r>
      <w:r w:rsidR="009359F0">
        <w:rPr>
          <w:color w:val="000000"/>
        </w:rPr>
        <w:t>.</w:t>
      </w:r>
    </w:p>
    <w:p w:rsidR="00422D5E" w:rsidRDefault="005A4BE6" w:rsidP="005A4BE6">
      <w:pPr>
        <w:spacing w:after="120" w:line="360" w:lineRule="auto"/>
        <w:jc w:val="both"/>
        <w:outlineLvl w:val="0"/>
        <w:rPr>
          <w:color w:val="000000"/>
        </w:rPr>
      </w:pPr>
      <w:r>
        <w:rPr>
          <w:color w:val="000000"/>
        </w:rPr>
        <w:t>[34].</w:t>
      </w:r>
      <w:r>
        <w:rPr>
          <w:color w:val="000000"/>
        </w:rPr>
        <w:tab/>
      </w:r>
      <w:r w:rsidR="00422D5E">
        <w:rPr>
          <w:color w:val="000000"/>
        </w:rPr>
        <w:t>The ‘Road t</w:t>
      </w:r>
      <w:r w:rsidR="00B61410" w:rsidRPr="00B61410">
        <w:rPr>
          <w:color w:val="000000"/>
        </w:rPr>
        <w:t>o Health Chart</w:t>
      </w:r>
      <w:r w:rsidR="00422D5E">
        <w:rPr>
          <w:color w:val="000000"/>
        </w:rPr>
        <w:t xml:space="preserve">’ is a document which documents and records the progress made by the new-born baby from date of birth and contains particulars </w:t>
      </w:r>
      <w:r w:rsidR="00B61410" w:rsidRPr="00422D5E">
        <w:rPr>
          <w:color w:val="000000"/>
        </w:rPr>
        <w:t>relating to the date</w:t>
      </w:r>
      <w:r w:rsidR="00422D5E">
        <w:rPr>
          <w:color w:val="000000"/>
        </w:rPr>
        <w:t xml:space="preserve"> of delivery</w:t>
      </w:r>
      <w:r w:rsidR="00B61410" w:rsidRPr="00422D5E">
        <w:rPr>
          <w:color w:val="000000"/>
        </w:rPr>
        <w:t>, place of b</w:t>
      </w:r>
      <w:r w:rsidR="00422D5E">
        <w:rPr>
          <w:color w:val="000000"/>
        </w:rPr>
        <w:t>irth, weight, height and Apgar S</w:t>
      </w:r>
      <w:r w:rsidR="00B61410" w:rsidRPr="00422D5E">
        <w:rPr>
          <w:color w:val="000000"/>
        </w:rPr>
        <w:t>cores</w:t>
      </w:r>
      <w:r w:rsidR="00422D5E">
        <w:rPr>
          <w:color w:val="000000"/>
        </w:rPr>
        <w:t xml:space="preserve"> of the child. </w:t>
      </w:r>
      <w:r w:rsidR="00B61410" w:rsidRPr="00422D5E">
        <w:rPr>
          <w:color w:val="000000"/>
        </w:rPr>
        <w:t>Under the subsection</w:t>
      </w:r>
      <w:r w:rsidR="00422D5E">
        <w:rPr>
          <w:color w:val="000000"/>
        </w:rPr>
        <w:t xml:space="preserve"> with the heading</w:t>
      </w:r>
      <w:r w:rsidR="00B61410" w:rsidRPr="00422D5E">
        <w:rPr>
          <w:color w:val="000000"/>
        </w:rPr>
        <w:t xml:space="preserve"> </w:t>
      </w:r>
      <w:r w:rsidR="00422D5E">
        <w:rPr>
          <w:color w:val="000000"/>
        </w:rPr>
        <w:t>‘</w:t>
      </w:r>
      <w:r w:rsidR="00B61410" w:rsidRPr="00422D5E">
        <w:rPr>
          <w:color w:val="000000"/>
        </w:rPr>
        <w:t>Problems during pregnancy</w:t>
      </w:r>
      <w:r w:rsidR="00422D5E">
        <w:rPr>
          <w:color w:val="000000"/>
        </w:rPr>
        <w:t xml:space="preserve"> </w:t>
      </w:r>
      <w:r w:rsidR="00B61410" w:rsidRPr="00422D5E">
        <w:rPr>
          <w:color w:val="000000"/>
        </w:rPr>
        <w:t>/</w:t>
      </w:r>
      <w:r w:rsidR="00422D5E">
        <w:rPr>
          <w:color w:val="000000"/>
        </w:rPr>
        <w:t xml:space="preserve"> </w:t>
      </w:r>
      <w:r w:rsidR="00B61410" w:rsidRPr="00422D5E">
        <w:rPr>
          <w:color w:val="000000"/>
        </w:rPr>
        <w:t>birth</w:t>
      </w:r>
      <w:r w:rsidR="00422D5E">
        <w:rPr>
          <w:color w:val="000000"/>
        </w:rPr>
        <w:t xml:space="preserve"> </w:t>
      </w:r>
      <w:r w:rsidR="00B61410" w:rsidRPr="00422D5E">
        <w:rPr>
          <w:color w:val="000000"/>
        </w:rPr>
        <w:t>/</w:t>
      </w:r>
      <w:r w:rsidR="00422D5E">
        <w:rPr>
          <w:color w:val="000000"/>
        </w:rPr>
        <w:t xml:space="preserve"> </w:t>
      </w:r>
      <w:proofErr w:type="spellStart"/>
      <w:r w:rsidR="00B61410" w:rsidRPr="00422D5E">
        <w:rPr>
          <w:color w:val="000000"/>
        </w:rPr>
        <w:t>neonatally</w:t>
      </w:r>
      <w:proofErr w:type="spellEnd"/>
      <w:r w:rsidR="00422D5E">
        <w:rPr>
          <w:color w:val="000000"/>
        </w:rPr>
        <w:t>’</w:t>
      </w:r>
      <w:r w:rsidR="00B61410" w:rsidRPr="00422D5E">
        <w:rPr>
          <w:color w:val="000000"/>
        </w:rPr>
        <w:t>,</w:t>
      </w:r>
      <w:r w:rsidR="00422D5E">
        <w:rPr>
          <w:color w:val="000000"/>
        </w:rPr>
        <w:t xml:space="preserve"> the following is noted: ‘</w:t>
      </w:r>
      <w:r w:rsidR="00B61410" w:rsidRPr="00422D5E">
        <w:rPr>
          <w:color w:val="000000"/>
        </w:rPr>
        <w:t>Birth Asphyxia and TAGA (</w:t>
      </w:r>
      <w:r w:rsidR="00422D5E">
        <w:rPr>
          <w:color w:val="000000"/>
        </w:rPr>
        <w:t>‘Term Appropriate for Gestational A</w:t>
      </w:r>
      <w:r w:rsidR="00B61410" w:rsidRPr="00422D5E">
        <w:rPr>
          <w:color w:val="000000"/>
        </w:rPr>
        <w:t>ge</w:t>
      </w:r>
      <w:r w:rsidR="00422D5E">
        <w:rPr>
          <w:color w:val="000000"/>
        </w:rPr>
        <w:t>’</w:t>
      </w:r>
      <w:r w:rsidR="00B61410" w:rsidRPr="00422D5E">
        <w:rPr>
          <w:color w:val="000000"/>
        </w:rPr>
        <w:t>)</w:t>
      </w:r>
      <w:r w:rsidR="00422D5E">
        <w:rPr>
          <w:color w:val="000000"/>
        </w:rPr>
        <w:t>.</w:t>
      </w:r>
    </w:p>
    <w:p w:rsidR="00B61410" w:rsidRPr="0086440C" w:rsidRDefault="005A4BE6" w:rsidP="005A4BE6">
      <w:pPr>
        <w:spacing w:after="120" w:line="360" w:lineRule="auto"/>
        <w:jc w:val="both"/>
        <w:outlineLvl w:val="0"/>
        <w:rPr>
          <w:color w:val="000000"/>
        </w:rPr>
      </w:pPr>
      <w:r w:rsidRPr="0086440C">
        <w:rPr>
          <w:color w:val="000000"/>
        </w:rPr>
        <w:t>[35].</w:t>
      </w:r>
      <w:r w:rsidRPr="0086440C">
        <w:rPr>
          <w:color w:val="000000"/>
        </w:rPr>
        <w:tab/>
      </w:r>
      <w:r w:rsidR="0086440C">
        <w:rPr>
          <w:color w:val="000000"/>
        </w:rPr>
        <w:t xml:space="preserve">An MRI report </w:t>
      </w:r>
      <w:r w:rsidR="00B61410" w:rsidRPr="0086440C">
        <w:rPr>
          <w:color w:val="000000"/>
        </w:rPr>
        <w:t>was compiled by Dr AB Weinstein</w:t>
      </w:r>
      <w:r w:rsidR="0086440C">
        <w:rPr>
          <w:color w:val="000000"/>
        </w:rPr>
        <w:t>,</w:t>
      </w:r>
      <w:r w:rsidR="00B61410" w:rsidRPr="0086440C">
        <w:rPr>
          <w:color w:val="000000"/>
        </w:rPr>
        <w:t xml:space="preserve"> an expert Radiolog</w:t>
      </w:r>
      <w:r w:rsidR="0086440C">
        <w:rPr>
          <w:color w:val="000000"/>
        </w:rPr>
        <w:t xml:space="preserve">ist instructed by the defendant, in relation to </w:t>
      </w:r>
      <w:r w:rsidR="00B61410" w:rsidRPr="0086440C">
        <w:rPr>
          <w:color w:val="000000"/>
        </w:rPr>
        <w:t xml:space="preserve">MRI distribution of changes when </w:t>
      </w:r>
      <w:r w:rsidR="0086440C">
        <w:rPr>
          <w:color w:val="000000"/>
        </w:rPr>
        <w:t>the plaintiff’s child</w:t>
      </w:r>
      <w:r w:rsidR="00B61410" w:rsidRPr="0086440C">
        <w:rPr>
          <w:color w:val="000000"/>
        </w:rPr>
        <w:t xml:space="preserve"> was </w:t>
      </w:r>
      <w:r w:rsidR="0086440C">
        <w:rPr>
          <w:color w:val="000000"/>
        </w:rPr>
        <w:t>nine</w:t>
      </w:r>
      <w:r w:rsidR="00B61410" w:rsidRPr="0086440C">
        <w:rPr>
          <w:color w:val="000000"/>
        </w:rPr>
        <w:t xml:space="preserve"> years and </w:t>
      </w:r>
      <w:r w:rsidR="0086440C">
        <w:rPr>
          <w:color w:val="000000"/>
        </w:rPr>
        <w:t>eight</w:t>
      </w:r>
      <w:r w:rsidR="00B61410" w:rsidRPr="0086440C">
        <w:rPr>
          <w:color w:val="000000"/>
        </w:rPr>
        <w:t xml:space="preserve"> months old</w:t>
      </w:r>
      <w:r w:rsidR="0086440C">
        <w:rPr>
          <w:color w:val="000000"/>
        </w:rPr>
        <w:t>. Those changes were recorded as Bilateral Putamen and Thalamic Hyper I</w:t>
      </w:r>
      <w:r w:rsidR="00B61410" w:rsidRPr="0086440C">
        <w:rPr>
          <w:color w:val="000000"/>
        </w:rPr>
        <w:t>ntensity</w:t>
      </w:r>
      <w:r w:rsidR="0086440C">
        <w:rPr>
          <w:color w:val="000000"/>
        </w:rPr>
        <w:t xml:space="preserve">, which Dr Weinstein viewed as </w:t>
      </w:r>
      <w:r w:rsidR="00B61410" w:rsidRPr="0086440C">
        <w:rPr>
          <w:color w:val="000000"/>
        </w:rPr>
        <w:t>features</w:t>
      </w:r>
      <w:r w:rsidR="0086440C">
        <w:rPr>
          <w:color w:val="000000"/>
        </w:rPr>
        <w:t xml:space="preserve"> which are</w:t>
      </w:r>
      <w:r w:rsidR="00B61410" w:rsidRPr="0086440C">
        <w:rPr>
          <w:color w:val="000000"/>
        </w:rPr>
        <w:t xml:space="preserve"> in keeping with a hypoxic-ischemic event/s predominantly of an acute profound type.</w:t>
      </w:r>
    </w:p>
    <w:p w:rsidR="00B61410" w:rsidRPr="006871F6" w:rsidRDefault="005A4BE6" w:rsidP="005A4BE6">
      <w:pPr>
        <w:spacing w:after="120" w:line="360" w:lineRule="auto"/>
        <w:jc w:val="both"/>
        <w:outlineLvl w:val="0"/>
        <w:rPr>
          <w:color w:val="000000"/>
        </w:rPr>
      </w:pPr>
      <w:r w:rsidRPr="006871F6">
        <w:rPr>
          <w:color w:val="000000"/>
        </w:rPr>
        <w:t>[36].</w:t>
      </w:r>
      <w:r w:rsidRPr="006871F6">
        <w:rPr>
          <w:color w:val="000000"/>
        </w:rPr>
        <w:tab/>
      </w:r>
      <w:proofErr w:type="gramStart"/>
      <w:r w:rsidR="00B61410" w:rsidRPr="00B61410">
        <w:rPr>
          <w:color w:val="000000"/>
        </w:rPr>
        <w:t>From</w:t>
      </w:r>
      <w:proofErr w:type="gramEnd"/>
      <w:r w:rsidR="00B61410" w:rsidRPr="00B61410">
        <w:rPr>
          <w:color w:val="000000"/>
        </w:rPr>
        <w:t xml:space="preserve"> the review of the antenatal records </w:t>
      </w:r>
      <w:r w:rsidR="0089028A">
        <w:rPr>
          <w:color w:val="000000"/>
        </w:rPr>
        <w:t>the plaintiff</w:t>
      </w:r>
      <w:r w:rsidR="00B61410" w:rsidRPr="00B61410">
        <w:rPr>
          <w:color w:val="000000"/>
        </w:rPr>
        <w:t xml:space="preserve"> was a high risk patient, due to the fact that her previous delivery was by caesar</w:t>
      </w:r>
      <w:r w:rsidR="0089028A">
        <w:rPr>
          <w:color w:val="000000"/>
        </w:rPr>
        <w:t>ean section. The other concerns and possible</w:t>
      </w:r>
      <w:r w:rsidR="00B61410" w:rsidRPr="00B61410">
        <w:rPr>
          <w:color w:val="000000"/>
        </w:rPr>
        <w:t xml:space="preserve"> risk indicators were that she started her antenatal </w:t>
      </w:r>
      <w:r w:rsidR="00B61410" w:rsidRPr="00B61410">
        <w:rPr>
          <w:color w:val="000000"/>
        </w:rPr>
        <w:lastRenderedPageBreak/>
        <w:t>care in the</w:t>
      </w:r>
      <w:r w:rsidR="0089028A">
        <w:rPr>
          <w:color w:val="000000"/>
        </w:rPr>
        <w:t xml:space="preserve"> third trimester of pregnancy (three</w:t>
      </w:r>
      <w:r w:rsidR="00B61410" w:rsidRPr="00B61410">
        <w:rPr>
          <w:color w:val="000000"/>
        </w:rPr>
        <w:t xml:space="preserve"> weeks before she delivered), she was not tested for HIV.</w:t>
      </w:r>
      <w:r w:rsidR="0089028A">
        <w:rPr>
          <w:color w:val="000000"/>
        </w:rPr>
        <w:t xml:space="preserve"> </w:t>
      </w:r>
      <w:r w:rsidR="00B61410" w:rsidRPr="0089028A">
        <w:rPr>
          <w:color w:val="000000"/>
        </w:rPr>
        <w:t>As a consequence of the above, there was limited opportunity for the healthcare providers to screen her and the foetus for others conditions such as HIV for the mother and genetic and chromosomal abnormalities for the foetus amongst others.</w:t>
      </w:r>
      <w:r w:rsidR="006871F6">
        <w:rPr>
          <w:color w:val="000000"/>
        </w:rPr>
        <w:t xml:space="preserve"> </w:t>
      </w:r>
      <w:r w:rsidR="00D62B6E">
        <w:rPr>
          <w:color w:val="000000"/>
        </w:rPr>
        <w:t>In all other res</w:t>
      </w:r>
      <w:r w:rsidR="00B61410" w:rsidRPr="006871F6">
        <w:rPr>
          <w:color w:val="000000"/>
        </w:rPr>
        <w:t>pects (medical, family and social history) she had no other indicators of a high risk pregnancy.</w:t>
      </w:r>
    </w:p>
    <w:p w:rsidR="00B61410" w:rsidRPr="006871F6" w:rsidRDefault="005A4BE6" w:rsidP="005A4BE6">
      <w:pPr>
        <w:spacing w:after="120" w:line="360" w:lineRule="auto"/>
        <w:jc w:val="both"/>
        <w:outlineLvl w:val="0"/>
        <w:rPr>
          <w:color w:val="000000"/>
        </w:rPr>
      </w:pPr>
      <w:r w:rsidRPr="006871F6">
        <w:rPr>
          <w:color w:val="000000"/>
        </w:rPr>
        <w:t>[37].</w:t>
      </w:r>
      <w:r w:rsidRPr="006871F6">
        <w:rPr>
          <w:color w:val="000000"/>
        </w:rPr>
        <w:tab/>
      </w:r>
      <w:r w:rsidR="006871F6">
        <w:rPr>
          <w:color w:val="000000"/>
        </w:rPr>
        <w:t>Importantly, t</w:t>
      </w:r>
      <w:r w:rsidR="00B61410" w:rsidRPr="00B61410">
        <w:rPr>
          <w:color w:val="000000"/>
        </w:rPr>
        <w:t>here are no records of the foetal h</w:t>
      </w:r>
      <w:r w:rsidR="006871F6">
        <w:rPr>
          <w:color w:val="000000"/>
        </w:rPr>
        <w:t>e</w:t>
      </w:r>
      <w:r w:rsidR="00D62B6E">
        <w:rPr>
          <w:color w:val="000000"/>
        </w:rPr>
        <w:t>art rate monitoring between 04:0</w:t>
      </w:r>
      <w:r w:rsidR="006871F6">
        <w:rPr>
          <w:color w:val="000000"/>
        </w:rPr>
        <w:t xml:space="preserve">0 and 05:30 and the only </w:t>
      </w:r>
      <w:r w:rsidR="00B61410" w:rsidRPr="006871F6">
        <w:rPr>
          <w:color w:val="000000"/>
        </w:rPr>
        <w:t xml:space="preserve">reference </w:t>
      </w:r>
      <w:r w:rsidR="006871F6">
        <w:rPr>
          <w:color w:val="000000"/>
        </w:rPr>
        <w:t xml:space="preserve">(at 05:20) </w:t>
      </w:r>
      <w:r w:rsidR="00B61410" w:rsidRPr="006871F6">
        <w:rPr>
          <w:color w:val="000000"/>
        </w:rPr>
        <w:t>to the foetal condition was a reference to a CTG done</w:t>
      </w:r>
      <w:r w:rsidR="006871F6">
        <w:rPr>
          <w:color w:val="000000"/>
        </w:rPr>
        <w:t xml:space="preserve"> around 04:</w:t>
      </w:r>
      <w:r w:rsidR="00B61410" w:rsidRPr="006871F6">
        <w:rPr>
          <w:color w:val="000000"/>
        </w:rPr>
        <w:t>00 by the doctor.</w:t>
      </w:r>
      <w:r w:rsidR="006871F6">
        <w:rPr>
          <w:color w:val="000000"/>
        </w:rPr>
        <w:t xml:space="preserve"> The only reasonable inference to be drawn is that there was no monitoring of the foetal heart rate from 04:00 to when the child was delivered at 05:30.</w:t>
      </w:r>
    </w:p>
    <w:p w:rsidR="00B61410" w:rsidRDefault="005A4BE6" w:rsidP="005A4BE6">
      <w:pPr>
        <w:spacing w:after="240" w:line="360" w:lineRule="auto"/>
        <w:jc w:val="both"/>
        <w:outlineLvl w:val="0"/>
        <w:rPr>
          <w:color w:val="000000"/>
        </w:rPr>
      </w:pPr>
      <w:r>
        <w:rPr>
          <w:color w:val="000000"/>
        </w:rPr>
        <w:t>[38].</w:t>
      </w:r>
      <w:r>
        <w:rPr>
          <w:color w:val="000000"/>
        </w:rPr>
        <w:tab/>
      </w:r>
      <w:r w:rsidR="005058CD">
        <w:rPr>
          <w:color w:val="000000"/>
        </w:rPr>
        <w:t xml:space="preserve">By all accounts, the new-born baby was diagnosed with neonatal encephalopathy and that the requirements for such diagnosis were met.  </w:t>
      </w:r>
      <w:r w:rsidR="00B61410" w:rsidRPr="005058CD">
        <w:rPr>
          <w:color w:val="000000"/>
        </w:rPr>
        <w:t>Neonatal ence</w:t>
      </w:r>
      <w:r w:rsidR="005058CD">
        <w:rPr>
          <w:color w:val="000000"/>
        </w:rPr>
        <w:t>phalopathy is considered to be ‘</w:t>
      </w:r>
      <w:r w:rsidR="00B61410" w:rsidRPr="005058CD">
        <w:rPr>
          <w:color w:val="000000"/>
        </w:rPr>
        <w:t>a clinically defined syndrome of</w:t>
      </w:r>
      <w:r w:rsidR="005058CD">
        <w:rPr>
          <w:color w:val="000000"/>
        </w:rPr>
        <w:t xml:space="preserve"> </w:t>
      </w:r>
      <w:r w:rsidR="00B61410" w:rsidRPr="005058CD">
        <w:rPr>
          <w:color w:val="000000"/>
        </w:rPr>
        <w:t>disturbed neurologic</w:t>
      </w:r>
      <w:r w:rsidR="005058CD">
        <w:rPr>
          <w:color w:val="000000"/>
        </w:rPr>
        <w:t xml:space="preserve"> </w:t>
      </w:r>
      <w:r w:rsidR="00B61410" w:rsidRPr="005058CD">
        <w:rPr>
          <w:color w:val="000000"/>
        </w:rPr>
        <w:t>function in the earliest days of life in an infant born at or beyond 35 weeks of</w:t>
      </w:r>
      <w:r w:rsidR="005058CD">
        <w:rPr>
          <w:color w:val="000000"/>
        </w:rPr>
        <w:t xml:space="preserve"> </w:t>
      </w:r>
      <w:r w:rsidR="00B61410" w:rsidRPr="005058CD">
        <w:rPr>
          <w:color w:val="000000"/>
        </w:rPr>
        <w:t>gestation, manifested by a subnormal level of</w:t>
      </w:r>
      <w:r w:rsidR="005058CD">
        <w:rPr>
          <w:color w:val="000000"/>
        </w:rPr>
        <w:t xml:space="preserve"> </w:t>
      </w:r>
      <w:r w:rsidR="00B61410" w:rsidRPr="005058CD">
        <w:rPr>
          <w:color w:val="000000"/>
        </w:rPr>
        <w:t>consciousness or seizures, and often accompanied by difficulty with initiating and maintaining respiration and depression of</w:t>
      </w:r>
      <w:r w:rsidR="005058CD">
        <w:rPr>
          <w:color w:val="000000"/>
        </w:rPr>
        <w:t xml:space="preserve"> </w:t>
      </w:r>
      <w:r w:rsidR="00B61410" w:rsidRPr="005058CD">
        <w:rPr>
          <w:color w:val="000000"/>
        </w:rPr>
        <w:t xml:space="preserve">tone </w:t>
      </w:r>
      <w:r w:rsidR="005058CD">
        <w:rPr>
          <w:color w:val="000000"/>
        </w:rPr>
        <w:t>and reflexes’</w:t>
      </w:r>
      <w:r w:rsidR="00B61410" w:rsidRPr="005058CD">
        <w:rPr>
          <w:color w:val="000000"/>
        </w:rPr>
        <w:t>.</w:t>
      </w:r>
      <w:r w:rsidR="005058CD">
        <w:rPr>
          <w:color w:val="000000"/>
        </w:rPr>
        <w:t xml:space="preserve"> The aforesaid diagnosis was based </w:t>
      </w:r>
      <w:r w:rsidR="00B61410" w:rsidRPr="005058CD">
        <w:rPr>
          <w:color w:val="000000"/>
        </w:rPr>
        <w:t>on the des</w:t>
      </w:r>
      <w:r w:rsidR="005058CD">
        <w:rPr>
          <w:color w:val="000000"/>
        </w:rPr>
        <w:t>cription of the child at birth. T</w:t>
      </w:r>
      <w:r w:rsidR="00B61410" w:rsidRPr="005058CD">
        <w:rPr>
          <w:color w:val="000000"/>
        </w:rPr>
        <w:t>he Apgar scores were low, the baby was described as hypotonic (flat and floppy) with delayed onset of spontaneous respiration as indicated in Prof Bolton's report (the defendant's specialist Paediatrician) which are some of the criteria in th</w:t>
      </w:r>
      <w:r w:rsidR="005058CD">
        <w:rPr>
          <w:color w:val="000000"/>
        </w:rPr>
        <w:t>e case definition</w:t>
      </w:r>
      <w:r w:rsidR="00B61410" w:rsidRPr="005058CD">
        <w:rPr>
          <w:color w:val="000000"/>
        </w:rPr>
        <w:t>.</w:t>
      </w:r>
    </w:p>
    <w:p w:rsidR="00824B13" w:rsidRPr="00824B13" w:rsidRDefault="00824B13" w:rsidP="00824B13">
      <w:pPr>
        <w:spacing w:after="120" w:line="360" w:lineRule="auto"/>
        <w:jc w:val="both"/>
        <w:outlineLvl w:val="0"/>
        <w:rPr>
          <w:b/>
          <w:color w:val="000000"/>
        </w:rPr>
      </w:pPr>
      <w:r w:rsidRPr="00824B13">
        <w:rPr>
          <w:b/>
          <w:color w:val="000000"/>
        </w:rPr>
        <w:t>Discussion and Analysis</w:t>
      </w:r>
    </w:p>
    <w:p w:rsidR="00824B13" w:rsidRDefault="005A4BE6" w:rsidP="005A4BE6">
      <w:pPr>
        <w:spacing w:after="120" w:line="360" w:lineRule="auto"/>
        <w:jc w:val="both"/>
        <w:outlineLvl w:val="0"/>
        <w:rPr>
          <w:color w:val="000000"/>
        </w:rPr>
      </w:pPr>
      <w:r>
        <w:rPr>
          <w:color w:val="000000"/>
        </w:rPr>
        <w:t>[39].</w:t>
      </w:r>
      <w:r>
        <w:rPr>
          <w:color w:val="000000"/>
        </w:rPr>
        <w:tab/>
      </w:r>
      <w:r w:rsidR="00824B13">
        <w:rPr>
          <w:color w:val="000000"/>
        </w:rPr>
        <w:t xml:space="preserve">The starting point of the discussion should, in my view, be the fact that, </w:t>
      </w:r>
      <w:r w:rsidR="00B61410" w:rsidRPr="00824B13">
        <w:rPr>
          <w:color w:val="000000"/>
        </w:rPr>
        <w:t>based on the foetal heart rate on admission and the subsequent reviews, the foetal condition was optimum</w:t>
      </w:r>
      <w:r w:rsidR="00824B13">
        <w:rPr>
          <w:color w:val="000000"/>
        </w:rPr>
        <w:t xml:space="preserve"> at the time when the plaintiff was admitted to the C</w:t>
      </w:r>
      <w:r w:rsidR="00DC7FBE">
        <w:rPr>
          <w:color w:val="000000"/>
        </w:rPr>
        <w:t>MAH shortly after midnight on […] March […]</w:t>
      </w:r>
      <w:r w:rsidR="00824B13">
        <w:rPr>
          <w:color w:val="000000"/>
        </w:rPr>
        <w:t>. I</w:t>
      </w:r>
      <w:r w:rsidR="00B61410" w:rsidRPr="00824B13">
        <w:rPr>
          <w:color w:val="000000"/>
        </w:rPr>
        <w:t xml:space="preserve">t is therefore possible that the poor foetal </w:t>
      </w:r>
      <w:r w:rsidR="004A4B05" w:rsidRPr="00824B13">
        <w:rPr>
          <w:color w:val="000000"/>
        </w:rPr>
        <w:t xml:space="preserve">condition </w:t>
      </w:r>
      <w:r w:rsidR="00B61410" w:rsidRPr="00824B13">
        <w:rPr>
          <w:color w:val="000000"/>
        </w:rPr>
        <w:t xml:space="preserve">at birth may be a reflection of </w:t>
      </w:r>
      <w:r w:rsidR="00824B13">
        <w:rPr>
          <w:color w:val="000000"/>
        </w:rPr>
        <w:t xml:space="preserve">the </w:t>
      </w:r>
      <w:r w:rsidR="00B61410" w:rsidRPr="00824B13">
        <w:rPr>
          <w:color w:val="000000"/>
        </w:rPr>
        <w:t>deterioration in the foetal condition (foetal distress</w:t>
      </w:r>
      <w:r w:rsidR="004A4B05" w:rsidRPr="00824B13">
        <w:rPr>
          <w:color w:val="000000"/>
        </w:rPr>
        <w:t xml:space="preserve"> / hypoxia) between 04:00 and 05:</w:t>
      </w:r>
      <w:r w:rsidR="005A36DD" w:rsidRPr="00824B13">
        <w:rPr>
          <w:color w:val="000000"/>
        </w:rPr>
        <w:t>30</w:t>
      </w:r>
      <w:r w:rsidR="00824B13">
        <w:rPr>
          <w:color w:val="000000"/>
        </w:rPr>
        <w:t xml:space="preserve">, during which period there was no monitoring of the foetal </w:t>
      </w:r>
      <w:proofErr w:type="spellStart"/>
      <w:r w:rsidR="00824B13">
        <w:rPr>
          <w:color w:val="000000"/>
        </w:rPr>
        <w:t>hear</w:t>
      </w:r>
      <w:proofErr w:type="spellEnd"/>
      <w:r w:rsidR="00824B13">
        <w:rPr>
          <w:color w:val="000000"/>
        </w:rPr>
        <w:t xml:space="preserve"> rate, despite the fact that there were signs of foetal distress at about 02:40</w:t>
      </w:r>
      <w:r w:rsidR="005A36DD" w:rsidRPr="00824B13">
        <w:rPr>
          <w:color w:val="000000"/>
        </w:rPr>
        <w:t>.</w:t>
      </w:r>
      <w:r w:rsidR="00824B13">
        <w:rPr>
          <w:color w:val="000000"/>
        </w:rPr>
        <w:t xml:space="preserve"> By 03:30 the condition of the foetus </w:t>
      </w:r>
      <w:r w:rsidR="00824B13">
        <w:rPr>
          <w:color w:val="000000"/>
        </w:rPr>
        <w:lastRenderedPageBreak/>
        <w:t xml:space="preserve">had evidently not improved despite the </w:t>
      </w:r>
      <w:r w:rsidR="006836B2">
        <w:rPr>
          <w:color w:val="000000"/>
        </w:rPr>
        <w:t xml:space="preserve">interventions, such as the supply of oxygen to the plaintiff, by the hospital personnel before then. </w:t>
      </w:r>
    </w:p>
    <w:p w:rsidR="006836B2" w:rsidRDefault="005A4BE6" w:rsidP="005A4BE6">
      <w:pPr>
        <w:spacing w:after="120" w:line="360" w:lineRule="auto"/>
        <w:jc w:val="both"/>
        <w:outlineLvl w:val="0"/>
        <w:rPr>
          <w:color w:val="000000"/>
        </w:rPr>
      </w:pPr>
      <w:r>
        <w:rPr>
          <w:color w:val="000000"/>
        </w:rPr>
        <w:t>[40].</w:t>
      </w:r>
      <w:r>
        <w:rPr>
          <w:color w:val="000000"/>
        </w:rPr>
        <w:tab/>
      </w:r>
      <w:r w:rsidR="006836B2">
        <w:rPr>
          <w:color w:val="000000"/>
        </w:rPr>
        <w:t xml:space="preserve">This then means that, because </w:t>
      </w:r>
      <w:r w:rsidR="00B61410" w:rsidRPr="006836B2">
        <w:rPr>
          <w:color w:val="000000"/>
        </w:rPr>
        <w:t>there were times when the foetal heart rate was abnormal (repeated early decelerations)</w:t>
      </w:r>
      <w:r w:rsidR="006836B2">
        <w:rPr>
          <w:color w:val="000000"/>
        </w:rPr>
        <w:t xml:space="preserve">, it is possible that </w:t>
      </w:r>
      <w:r w:rsidR="00B61410" w:rsidRPr="006836B2">
        <w:rPr>
          <w:color w:val="000000"/>
        </w:rPr>
        <w:t xml:space="preserve">hypoxia (as marked by deterioration in the foetal heart rate) may have </w:t>
      </w:r>
      <w:r w:rsidR="005A36DD" w:rsidRPr="006836B2">
        <w:rPr>
          <w:color w:val="000000"/>
        </w:rPr>
        <w:t>occurred</w:t>
      </w:r>
      <w:r w:rsidR="00B61410" w:rsidRPr="006836B2">
        <w:rPr>
          <w:color w:val="000000"/>
        </w:rPr>
        <w:t xml:space="preserve"> during labour</w:t>
      </w:r>
      <w:r w:rsidR="005A36DD" w:rsidRPr="006836B2">
        <w:rPr>
          <w:color w:val="000000"/>
        </w:rPr>
        <w:t xml:space="preserve"> </w:t>
      </w:r>
      <w:r w:rsidR="006836B2">
        <w:rPr>
          <w:color w:val="000000"/>
        </w:rPr>
        <w:t>or during the d</w:t>
      </w:r>
      <w:r w:rsidR="00B61410" w:rsidRPr="006836B2">
        <w:rPr>
          <w:color w:val="000000"/>
        </w:rPr>
        <w:t>elivery.</w:t>
      </w:r>
      <w:r w:rsidR="005A36DD" w:rsidRPr="006836B2">
        <w:rPr>
          <w:color w:val="000000"/>
        </w:rPr>
        <w:t xml:space="preserve"> </w:t>
      </w:r>
    </w:p>
    <w:p w:rsidR="00824B13" w:rsidRPr="00E46BDB" w:rsidRDefault="005A4BE6" w:rsidP="005A4BE6">
      <w:pPr>
        <w:spacing w:after="120" w:line="360" w:lineRule="auto"/>
        <w:jc w:val="both"/>
        <w:outlineLvl w:val="0"/>
        <w:rPr>
          <w:color w:val="000000"/>
        </w:rPr>
      </w:pPr>
      <w:r w:rsidRPr="00E46BDB">
        <w:rPr>
          <w:color w:val="000000"/>
        </w:rPr>
        <w:t>[41].</w:t>
      </w:r>
      <w:r w:rsidRPr="00E46BDB">
        <w:rPr>
          <w:color w:val="000000"/>
        </w:rPr>
        <w:tab/>
      </w:r>
      <w:r w:rsidR="005C0F43">
        <w:rPr>
          <w:color w:val="000000"/>
        </w:rPr>
        <w:t>Professor</w:t>
      </w:r>
      <w:r w:rsidR="00824B13" w:rsidRPr="00824B13">
        <w:rPr>
          <w:color w:val="000000"/>
        </w:rPr>
        <w:t xml:space="preserve"> Smith, the neonatologist</w:t>
      </w:r>
      <w:r w:rsidR="005C0F43">
        <w:rPr>
          <w:color w:val="000000"/>
        </w:rPr>
        <w:t xml:space="preserve"> retained by the plaintiff, in explaining the </w:t>
      </w:r>
      <w:proofErr w:type="spellStart"/>
      <w:r w:rsidR="005C0F43">
        <w:rPr>
          <w:color w:val="000000"/>
        </w:rPr>
        <w:t>aforegoing</w:t>
      </w:r>
      <w:proofErr w:type="spellEnd"/>
      <w:r w:rsidR="005C0F43">
        <w:rPr>
          <w:color w:val="000000"/>
        </w:rPr>
        <w:t xml:space="preserve"> reasoning and conclusions, </w:t>
      </w:r>
      <w:r w:rsidR="00824B13" w:rsidRPr="005C0F43">
        <w:rPr>
          <w:color w:val="000000"/>
        </w:rPr>
        <w:t>emphasized the presence of the warning</w:t>
      </w:r>
      <w:r w:rsidR="005C0F43">
        <w:rPr>
          <w:color w:val="000000"/>
        </w:rPr>
        <w:t xml:space="preserve"> </w:t>
      </w:r>
      <w:r w:rsidR="00824B13" w:rsidRPr="005C0F43">
        <w:rPr>
          <w:color w:val="000000"/>
        </w:rPr>
        <w:t>s</w:t>
      </w:r>
      <w:r w:rsidR="005C0F43">
        <w:rPr>
          <w:color w:val="000000"/>
        </w:rPr>
        <w:t>igns</w:t>
      </w:r>
      <w:r w:rsidR="00824B13" w:rsidRPr="005C0F43">
        <w:rPr>
          <w:color w:val="000000"/>
        </w:rPr>
        <w:t xml:space="preserve"> that should have raised </w:t>
      </w:r>
      <w:r w:rsidR="005C0F43">
        <w:rPr>
          <w:color w:val="000000"/>
        </w:rPr>
        <w:t>the alarm</w:t>
      </w:r>
      <w:r w:rsidR="00824B13" w:rsidRPr="005C0F43">
        <w:rPr>
          <w:color w:val="000000"/>
        </w:rPr>
        <w:t xml:space="preserve"> with the </w:t>
      </w:r>
      <w:r w:rsidR="005C0F43">
        <w:rPr>
          <w:color w:val="000000"/>
        </w:rPr>
        <w:t>hospital and</w:t>
      </w:r>
      <w:r w:rsidR="00824B13" w:rsidRPr="005C0F43">
        <w:rPr>
          <w:color w:val="000000"/>
        </w:rPr>
        <w:t xml:space="preserve"> medical staff </w:t>
      </w:r>
      <w:r w:rsidR="005C0F43">
        <w:rPr>
          <w:color w:val="000000"/>
        </w:rPr>
        <w:t xml:space="preserve">in relation to the plaintiff’s labour and the delivery of the child. Those include </w:t>
      </w:r>
      <w:r w:rsidR="00824B13" w:rsidRPr="005C0F43">
        <w:rPr>
          <w:color w:val="000000"/>
        </w:rPr>
        <w:t>the non-reassuring CTG</w:t>
      </w:r>
      <w:r w:rsidR="005C0F43">
        <w:rPr>
          <w:color w:val="000000"/>
        </w:rPr>
        <w:t xml:space="preserve"> tracings at about 02:40</w:t>
      </w:r>
      <w:r w:rsidR="00824B13" w:rsidRPr="005C0F43">
        <w:rPr>
          <w:color w:val="000000"/>
        </w:rPr>
        <w:t>,</w:t>
      </w:r>
      <w:r w:rsidR="005C0F43">
        <w:rPr>
          <w:color w:val="000000"/>
        </w:rPr>
        <w:t xml:space="preserve"> which compelled the nursing staff to place the plaintiff </w:t>
      </w:r>
      <w:r w:rsidR="00824B13" w:rsidRPr="005C0F43">
        <w:rPr>
          <w:color w:val="000000"/>
        </w:rPr>
        <w:t>into the foetal resuscitation position.</w:t>
      </w:r>
      <w:r w:rsidR="005C0F43">
        <w:rPr>
          <w:color w:val="000000"/>
        </w:rPr>
        <w:t xml:space="preserve"> This, so Professor Smith testified</w:t>
      </w:r>
      <w:r w:rsidR="00D62B6E">
        <w:rPr>
          <w:color w:val="000000"/>
        </w:rPr>
        <w:t>,</w:t>
      </w:r>
      <w:r w:rsidR="005C0F43">
        <w:rPr>
          <w:color w:val="000000"/>
        </w:rPr>
        <w:t xml:space="preserve"> is a clear indication that the foetus was in distress and required to be monitored constantly until the delivery. </w:t>
      </w:r>
      <w:r w:rsidR="00824B13" w:rsidRPr="005C0F43">
        <w:rPr>
          <w:color w:val="000000"/>
        </w:rPr>
        <w:t xml:space="preserve">He </w:t>
      </w:r>
      <w:r w:rsidR="005C0F43">
        <w:rPr>
          <w:color w:val="000000"/>
        </w:rPr>
        <w:t>rejected</w:t>
      </w:r>
      <w:r w:rsidR="00824B13" w:rsidRPr="005C0F43">
        <w:rPr>
          <w:color w:val="000000"/>
        </w:rPr>
        <w:t xml:space="preserve"> the </w:t>
      </w:r>
      <w:r w:rsidR="005C0F43">
        <w:rPr>
          <w:color w:val="000000"/>
        </w:rPr>
        <w:t>MEC’s</w:t>
      </w:r>
      <w:r w:rsidR="00824B13" w:rsidRPr="005C0F43">
        <w:rPr>
          <w:color w:val="000000"/>
        </w:rPr>
        <w:t xml:space="preserve"> reliance on a short cord as a possible causative mechanism for the cerebral palsy</w:t>
      </w:r>
      <w:r w:rsidR="00D62B6E">
        <w:rPr>
          <w:color w:val="000000"/>
        </w:rPr>
        <w:t>, which, s</w:t>
      </w:r>
      <w:r w:rsidR="005C0F43">
        <w:rPr>
          <w:color w:val="000000"/>
        </w:rPr>
        <w:t xml:space="preserve">o his evidence went, would have manifested problems sooner than the </w:t>
      </w:r>
      <w:proofErr w:type="spellStart"/>
      <w:r w:rsidR="005C0F43">
        <w:rPr>
          <w:color w:val="000000"/>
        </w:rPr>
        <w:t>intrapartum</w:t>
      </w:r>
      <w:proofErr w:type="spellEnd"/>
      <w:r w:rsidR="005C0F43">
        <w:rPr>
          <w:color w:val="000000"/>
        </w:rPr>
        <w:t xml:space="preserve"> stage of the </w:t>
      </w:r>
      <w:r w:rsidR="00E46BDB">
        <w:rPr>
          <w:color w:val="000000"/>
        </w:rPr>
        <w:t>birth</w:t>
      </w:r>
      <w:r w:rsidR="00824B13" w:rsidRPr="005C0F43">
        <w:rPr>
          <w:color w:val="000000"/>
        </w:rPr>
        <w:t>. He emphasis</w:t>
      </w:r>
      <w:r w:rsidR="00E46BDB">
        <w:rPr>
          <w:color w:val="000000"/>
        </w:rPr>
        <w:t>ed, rightly so, in my view, the</w:t>
      </w:r>
      <w:r w:rsidR="00824B13" w:rsidRPr="005C0F43">
        <w:rPr>
          <w:color w:val="000000"/>
        </w:rPr>
        <w:t xml:space="preserve"> clear lack of monitoring after </w:t>
      </w:r>
      <w:r w:rsidR="00E46BDB">
        <w:rPr>
          <w:color w:val="000000"/>
        </w:rPr>
        <w:t>04:00,</w:t>
      </w:r>
      <w:r w:rsidR="00824B13" w:rsidRPr="005C0F43">
        <w:rPr>
          <w:color w:val="000000"/>
        </w:rPr>
        <w:t xml:space="preserve"> especially in circumstances where the plaintiff should have received continuous monitoring.</w:t>
      </w:r>
      <w:r w:rsidR="00E46BDB">
        <w:rPr>
          <w:color w:val="000000"/>
        </w:rPr>
        <w:t xml:space="preserve"> </w:t>
      </w:r>
      <w:r w:rsidR="00824B13" w:rsidRPr="00E46BDB">
        <w:rPr>
          <w:color w:val="000000"/>
        </w:rPr>
        <w:t>He comprehensively explained the causal pathway of hypoxic ischaemic encephalopathy and identified the presentation of such encephalopathy in the child. He explained that during the birth the child was exposed to recurrent hypoxic events and found himself in a recurring hypoxic pattern resulting in eventual hypoxic and ischaemic collapse.</w:t>
      </w:r>
    </w:p>
    <w:p w:rsidR="00E46BDB" w:rsidRDefault="005A4BE6" w:rsidP="005A4BE6">
      <w:pPr>
        <w:spacing w:after="120" w:line="360" w:lineRule="auto"/>
        <w:jc w:val="both"/>
        <w:outlineLvl w:val="0"/>
        <w:rPr>
          <w:color w:val="000000"/>
        </w:rPr>
      </w:pPr>
      <w:r>
        <w:rPr>
          <w:color w:val="000000"/>
        </w:rPr>
        <w:t>[42].</w:t>
      </w:r>
      <w:r>
        <w:rPr>
          <w:color w:val="000000"/>
        </w:rPr>
        <w:tab/>
      </w:r>
      <w:r w:rsidR="00824B13" w:rsidRPr="00824B13">
        <w:rPr>
          <w:color w:val="000000"/>
        </w:rPr>
        <w:t xml:space="preserve">Professor van </w:t>
      </w:r>
      <w:proofErr w:type="spellStart"/>
      <w:r w:rsidR="00E46BDB">
        <w:rPr>
          <w:color w:val="000000"/>
        </w:rPr>
        <w:t>Toorn</w:t>
      </w:r>
      <w:proofErr w:type="spellEnd"/>
      <w:r w:rsidR="00824B13" w:rsidRPr="00824B13">
        <w:rPr>
          <w:color w:val="000000"/>
        </w:rPr>
        <w:t xml:space="preserve">, </w:t>
      </w:r>
      <w:r w:rsidR="00E46BDB">
        <w:rPr>
          <w:color w:val="000000"/>
        </w:rPr>
        <w:t>the Paediatric N</w:t>
      </w:r>
      <w:r w:rsidR="00824B13" w:rsidRPr="00824B13">
        <w:rPr>
          <w:color w:val="000000"/>
        </w:rPr>
        <w:t xml:space="preserve">eurologist </w:t>
      </w:r>
      <w:r w:rsidR="00E46BDB">
        <w:rPr>
          <w:color w:val="000000"/>
        </w:rPr>
        <w:t>retained by the plaintiff, supported the conclusions relating to the caus</w:t>
      </w:r>
      <w:r w:rsidR="00824B13" w:rsidRPr="00824B13">
        <w:rPr>
          <w:color w:val="000000"/>
        </w:rPr>
        <w:t>a</w:t>
      </w:r>
      <w:r w:rsidR="00E46BDB">
        <w:rPr>
          <w:color w:val="000000"/>
        </w:rPr>
        <w:t xml:space="preserve">l pathway to neonatal encephalopathy. </w:t>
      </w:r>
      <w:r w:rsidR="00824B13" w:rsidRPr="00E46BDB">
        <w:rPr>
          <w:color w:val="000000"/>
        </w:rPr>
        <w:t xml:space="preserve">He accepted that </w:t>
      </w:r>
      <w:r w:rsidR="00E46BDB">
        <w:rPr>
          <w:color w:val="000000"/>
        </w:rPr>
        <w:t xml:space="preserve">it is difficult to assess with certainty </w:t>
      </w:r>
      <w:r w:rsidR="00824B13" w:rsidRPr="00E46BDB">
        <w:rPr>
          <w:color w:val="000000"/>
        </w:rPr>
        <w:t>the timing of the insult</w:t>
      </w:r>
      <w:r w:rsidR="00E46BDB">
        <w:rPr>
          <w:color w:val="000000"/>
        </w:rPr>
        <w:t xml:space="preserve"> to the brain of the unborn child, </w:t>
      </w:r>
      <w:r w:rsidR="00824B13" w:rsidRPr="00E46BDB">
        <w:rPr>
          <w:color w:val="000000"/>
        </w:rPr>
        <w:t xml:space="preserve">but indicated that when the </w:t>
      </w:r>
      <w:proofErr w:type="spellStart"/>
      <w:r w:rsidR="00824B13" w:rsidRPr="00E46BDB">
        <w:rPr>
          <w:color w:val="000000"/>
        </w:rPr>
        <w:t>intrapartum</w:t>
      </w:r>
      <w:proofErr w:type="spellEnd"/>
      <w:r w:rsidR="00824B13" w:rsidRPr="00E46BDB">
        <w:rPr>
          <w:color w:val="000000"/>
        </w:rPr>
        <w:t xml:space="preserve"> resuscitation started, the insults had</w:t>
      </w:r>
      <w:r w:rsidR="00E46BDB">
        <w:rPr>
          <w:color w:val="000000"/>
        </w:rPr>
        <w:t xml:space="preserve"> probably</w:t>
      </w:r>
      <w:r w:rsidR="00824B13" w:rsidRPr="00E46BDB">
        <w:rPr>
          <w:color w:val="000000"/>
        </w:rPr>
        <w:t xml:space="preserve"> already </w:t>
      </w:r>
      <w:r w:rsidR="00E46BDB">
        <w:rPr>
          <w:color w:val="000000"/>
        </w:rPr>
        <w:t>begun.</w:t>
      </w:r>
    </w:p>
    <w:p w:rsidR="00903B0F" w:rsidRPr="00903B0F" w:rsidRDefault="005A4BE6" w:rsidP="005A4BE6">
      <w:pPr>
        <w:spacing w:after="120" w:line="360" w:lineRule="auto"/>
        <w:jc w:val="both"/>
        <w:outlineLvl w:val="0"/>
        <w:rPr>
          <w:color w:val="000000"/>
        </w:rPr>
      </w:pPr>
      <w:r w:rsidRPr="00903B0F">
        <w:rPr>
          <w:color w:val="000000"/>
        </w:rPr>
        <w:t>[43].</w:t>
      </w:r>
      <w:r w:rsidRPr="00903B0F">
        <w:rPr>
          <w:color w:val="000000"/>
        </w:rPr>
        <w:tab/>
      </w:r>
      <w:r w:rsidR="00903B0F">
        <w:rPr>
          <w:color w:val="000000"/>
        </w:rPr>
        <w:t xml:space="preserve">It is also instructive that Professor van </w:t>
      </w:r>
      <w:proofErr w:type="spellStart"/>
      <w:r w:rsidR="00903B0F">
        <w:rPr>
          <w:color w:val="000000"/>
        </w:rPr>
        <w:t>Toorn</w:t>
      </w:r>
      <w:proofErr w:type="spellEnd"/>
      <w:r w:rsidR="00903B0F">
        <w:rPr>
          <w:color w:val="000000"/>
        </w:rPr>
        <w:t xml:space="preserve"> agreed with his counterpart, Dr </w:t>
      </w:r>
      <w:proofErr w:type="spellStart"/>
      <w:r w:rsidR="00903B0F">
        <w:rPr>
          <w:color w:val="000000"/>
        </w:rPr>
        <w:t>Mogashoa</w:t>
      </w:r>
      <w:proofErr w:type="spellEnd"/>
      <w:r w:rsidR="00903B0F">
        <w:rPr>
          <w:color w:val="000000"/>
        </w:rPr>
        <w:t>, the Paediatric Neurologist retained by the MEC, that the plaintiff’s child has</w:t>
      </w:r>
      <w:r w:rsidR="00903B0F" w:rsidRPr="00903B0F">
        <w:rPr>
          <w:color w:val="000000"/>
        </w:rPr>
        <w:t xml:space="preserve"> a mixed (predominantly dystonic) type of cerebral palsy</w:t>
      </w:r>
      <w:r w:rsidR="00903B0F">
        <w:rPr>
          <w:color w:val="000000"/>
        </w:rPr>
        <w:t>,</w:t>
      </w:r>
      <w:r w:rsidR="00903B0F" w:rsidRPr="00903B0F">
        <w:rPr>
          <w:color w:val="000000"/>
        </w:rPr>
        <w:t xml:space="preserve"> with se</w:t>
      </w:r>
      <w:r w:rsidR="00903B0F">
        <w:rPr>
          <w:color w:val="000000"/>
        </w:rPr>
        <w:t xml:space="preserve">vere </w:t>
      </w:r>
      <w:r w:rsidR="00903B0F">
        <w:rPr>
          <w:color w:val="000000"/>
        </w:rPr>
        <w:lastRenderedPageBreak/>
        <w:t xml:space="preserve">global developmental delay, which paints a </w:t>
      </w:r>
      <w:r w:rsidR="00903B0F" w:rsidRPr="00903B0F">
        <w:rPr>
          <w:color w:val="000000"/>
        </w:rPr>
        <w:t xml:space="preserve">clinical picture </w:t>
      </w:r>
      <w:r w:rsidR="00903B0F">
        <w:rPr>
          <w:color w:val="000000"/>
        </w:rPr>
        <w:t>of a</w:t>
      </w:r>
      <w:r w:rsidR="00903B0F" w:rsidRPr="00903B0F">
        <w:rPr>
          <w:color w:val="000000"/>
        </w:rPr>
        <w:t xml:space="preserve"> predominantly basal ganglia affectation, the signs of which are dystonia, chorea and </w:t>
      </w:r>
      <w:proofErr w:type="spellStart"/>
      <w:r w:rsidR="00903B0F" w:rsidRPr="00903B0F">
        <w:rPr>
          <w:color w:val="000000"/>
        </w:rPr>
        <w:t>athetosis</w:t>
      </w:r>
      <w:proofErr w:type="spellEnd"/>
      <w:r w:rsidR="00903B0F">
        <w:rPr>
          <w:color w:val="000000"/>
        </w:rPr>
        <w:t xml:space="preserve">. These </w:t>
      </w:r>
      <w:r w:rsidR="00903B0F" w:rsidRPr="00903B0F">
        <w:rPr>
          <w:color w:val="000000"/>
        </w:rPr>
        <w:t>features</w:t>
      </w:r>
      <w:r w:rsidR="00903B0F">
        <w:rPr>
          <w:color w:val="000000"/>
        </w:rPr>
        <w:t>, so these experts agreed,</w:t>
      </w:r>
      <w:r w:rsidR="00903B0F" w:rsidRPr="00903B0F">
        <w:rPr>
          <w:color w:val="000000"/>
        </w:rPr>
        <w:t xml:space="preserve"> can look different at different times and are affected by the mood of the patient, pain, level of excitement, level of arousal </w:t>
      </w:r>
      <w:proofErr w:type="spellStart"/>
      <w:r w:rsidR="00903B0F" w:rsidRPr="00903B0F">
        <w:rPr>
          <w:color w:val="000000"/>
        </w:rPr>
        <w:t>etc</w:t>
      </w:r>
      <w:proofErr w:type="spellEnd"/>
      <w:r w:rsidR="00903B0F" w:rsidRPr="00903B0F">
        <w:rPr>
          <w:color w:val="000000"/>
        </w:rPr>
        <w:t xml:space="preserve">, dystonia and dyskinesia is the same spectrum of movement disorder. </w:t>
      </w:r>
      <w:r w:rsidR="00903B0F">
        <w:rPr>
          <w:color w:val="000000"/>
        </w:rPr>
        <w:t>T</w:t>
      </w:r>
      <w:r w:rsidR="00903B0F" w:rsidRPr="00903B0F">
        <w:rPr>
          <w:color w:val="000000"/>
        </w:rPr>
        <w:t>he clinical pict</w:t>
      </w:r>
      <w:r w:rsidR="00903B0F">
        <w:rPr>
          <w:color w:val="000000"/>
        </w:rPr>
        <w:t xml:space="preserve">ure of predominance of dystonia / </w:t>
      </w:r>
      <w:r w:rsidR="00903B0F" w:rsidRPr="00903B0F">
        <w:rPr>
          <w:color w:val="000000"/>
        </w:rPr>
        <w:t xml:space="preserve">dyskinesia is in keeping with an acute profound insult, </w:t>
      </w:r>
      <w:r w:rsidR="00903B0F">
        <w:rPr>
          <w:color w:val="000000"/>
        </w:rPr>
        <w:t xml:space="preserve">which is also confirmed by the MRI </w:t>
      </w:r>
      <w:r w:rsidR="00903B0F" w:rsidRPr="00903B0F">
        <w:rPr>
          <w:color w:val="000000"/>
        </w:rPr>
        <w:t>findings</w:t>
      </w:r>
      <w:r w:rsidR="00903B0F">
        <w:rPr>
          <w:color w:val="000000"/>
        </w:rPr>
        <w:t xml:space="preserve">, which indicate that the child’s MRI changes </w:t>
      </w:r>
      <w:r w:rsidR="00903B0F" w:rsidRPr="00903B0F">
        <w:rPr>
          <w:color w:val="000000"/>
        </w:rPr>
        <w:t>are consistent with an acute profound hypoxic ischemic event</w:t>
      </w:r>
      <w:r w:rsidR="00903B0F">
        <w:rPr>
          <w:color w:val="000000"/>
        </w:rPr>
        <w:t xml:space="preserve"> (‘HIE’)</w:t>
      </w:r>
      <w:r w:rsidR="00903B0F" w:rsidRPr="00903B0F">
        <w:rPr>
          <w:color w:val="000000"/>
        </w:rPr>
        <w:t>.</w:t>
      </w:r>
      <w:r w:rsidR="00903B0F">
        <w:rPr>
          <w:color w:val="000000"/>
        </w:rPr>
        <w:t xml:space="preserve"> The Paediatric Neurologists also agreed that the</w:t>
      </w:r>
      <w:r w:rsidR="00903B0F" w:rsidRPr="00903B0F">
        <w:rPr>
          <w:color w:val="000000"/>
        </w:rPr>
        <w:t xml:space="preserve"> MRI features are not in keeping with meningitis, structural brain malformations or stroke.</w:t>
      </w:r>
    </w:p>
    <w:p w:rsidR="008974DE" w:rsidRDefault="005A4BE6" w:rsidP="005A4BE6">
      <w:pPr>
        <w:spacing w:after="120" w:line="360" w:lineRule="auto"/>
        <w:jc w:val="both"/>
        <w:outlineLvl w:val="0"/>
        <w:rPr>
          <w:color w:val="000000"/>
        </w:rPr>
      </w:pPr>
      <w:r>
        <w:rPr>
          <w:color w:val="000000"/>
        </w:rPr>
        <w:t>[44].</w:t>
      </w:r>
      <w:r>
        <w:rPr>
          <w:color w:val="000000"/>
        </w:rPr>
        <w:tab/>
      </w:r>
      <w:r w:rsidR="00824B13" w:rsidRPr="00824B13">
        <w:rPr>
          <w:color w:val="000000"/>
        </w:rPr>
        <w:t>Prof</w:t>
      </w:r>
      <w:r w:rsidR="00911CDA">
        <w:rPr>
          <w:color w:val="000000"/>
        </w:rPr>
        <w:t>essor</w:t>
      </w:r>
      <w:r w:rsidR="00824B13" w:rsidRPr="00824B13">
        <w:rPr>
          <w:color w:val="000000"/>
        </w:rPr>
        <w:t xml:space="preserve"> Bolton</w:t>
      </w:r>
      <w:r w:rsidR="00911CDA">
        <w:rPr>
          <w:color w:val="000000"/>
        </w:rPr>
        <w:t xml:space="preserve">, the Paediatrician retained by the MEC, </w:t>
      </w:r>
      <w:r w:rsidR="00824B13" w:rsidRPr="00824B13">
        <w:rPr>
          <w:color w:val="000000"/>
        </w:rPr>
        <w:t xml:space="preserve">gave evidence </w:t>
      </w:r>
      <w:r w:rsidR="00911CDA">
        <w:rPr>
          <w:color w:val="000000"/>
        </w:rPr>
        <w:t xml:space="preserve">to the effect that </w:t>
      </w:r>
      <w:r w:rsidR="00824B13" w:rsidRPr="00824B13">
        <w:rPr>
          <w:color w:val="000000"/>
        </w:rPr>
        <w:t xml:space="preserve">the alleged </w:t>
      </w:r>
      <w:r w:rsidR="00911CDA">
        <w:rPr>
          <w:color w:val="000000"/>
        </w:rPr>
        <w:t>short</w:t>
      </w:r>
      <w:r w:rsidR="00824B13" w:rsidRPr="00824B13">
        <w:rPr>
          <w:color w:val="000000"/>
        </w:rPr>
        <w:t xml:space="preserve"> umbilical cord </w:t>
      </w:r>
      <w:r w:rsidR="00911CDA">
        <w:rPr>
          <w:color w:val="000000"/>
        </w:rPr>
        <w:t>should be considered as distal cause of the brain damage. However, o</w:t>
      </w:r>
      <w:r w:rsidR="00824B13" w:rsidRPr="00824B13">
        <w:rPr>
          <w:color w:val="000000"/>
        </w:rPr>
        <w:t>n his own versio</w:t>
      </w:r>
      <w:r w:rsidR="00911CDA">
        <w:rPr>
          <w:color w:val="000000"/>
        </w:rPr>
        <w:t>n under examination-</w:t>
      </w:r>
      <w:r w:rsidR="00824B13" w:rsidRPr="00824B13">
        <w:rPr>
          <w:color w:val="000000"/>
        </w:rPr>
        <w:t>in</w:t>
      </w:r>
      <w:r w:rsidR="00911CDA">
        <w:rPr>
          <w:color w:val="000000"/>
        </w:rPr>
        <w:t>-</w:t>
      </w:r>
      <w:r w:rsidR="00824B13" w:rsidRPr="00824B13">
        <w:rPr>
          <w:color w:val="000000"/>
        </w:rPr>
        <w:t xml:space="preserve">chief, </w:t>
      </w:r>
      <w:r w:rsidR="00911CDA">
        <w:rPr>
          <w:color w:val="000000"/>
        </w:rPr>
        <w:t xml:space="preserve">he conceded </w:t>
      </w:r>
      <w:r w:rsidR="00824B13" w:rsidRPr="00824B13">
        <w:rPr>
          <w:color w:val="000000"/>
        </w:rPr>
        <w:t xml:space="preserve">that there is no consensus on what would constitute a </w:t>
      </w:r>
      <w:r w:rsidR="00911CDA">
        <w:rPr>
          <w:color w:val="000000"/>
        </w:rPr>
        <w:t>short umbilicus and the science on this issue is at best unclear.</w:t>
      </w:r>
      <w:r w:rsidR="008974DE">
        <w:rPr>
          <w:color w:val="000000"/>
        </w:rPr>
        <w:t xml:space="preserve"> </w:t>
      </w:r>
      <w:r w:rsidR="00824B13" w:rsidRPr="008974DE">
        <w:rPr>
          <w:color w:val="000000"/>
        </w:rPr>
        <w:t xml:space="preserve">He </w:t>
      </w:r>
      <w:r w:rsidR="008974DE">
        <w:rPr>
          <w:color w:val="000000"/>
        </w:rPr>
        <w:t xml:space="preserve">further </w:t>
      </w:r>
      <w:r w:rsidR="00824B13" w:rsidRPr="008974DE">
        <w:rPr>
          <w:color w:val="000000"/>
        </w:rPr>
        <w:t>conceded that</w:t>
      </w:r>
      <w:r w:rsidR="008974DE">
        <w:rPr>
          <w:color w:val="000000"/>
        </w:rPr>
        <w:t>,</w:t>
      </w:r>
      <w:r w:rsidR="00824B13" w:rsidRPr="008974DE">
        <w:rPr>
          <w:color w:val="000000"/>
        </w:rPr>
        <w:t xml:space="preserve"> in the absence of a short cord, infection and genetic factors which he conceded were absent, an </w:t>
      </w:r>
      <w:proofErr w:type="spellStart"/>
      <w:r w:rsidR="00824B13" w:rsidRPr="008974DE">
        <w:rPr>
          <w:color w:val="000000"/>
        </w:rPr>
        <w:t>intrapartum</w:t>
      </w:r>
      <w:proofErr w:type="spellEnd"/>
      <w:r w:rsidR="00824B13" w:rsidRPr="008974DE">
        <w:rPr>
          <w:color w:val="000000"/>
        </w:rPr>
        <w:t xml:space="preserve"> hypoxic ischemic event was the most probable cause of the child's cerebral palsy.</w:t>
      </w:r>
      <w:r w:rsidR="008974DE">
        <w:rPr>
          <w:color w:val="000000"/>
        </w:rPr>
        <w:t xml:space="preserve"> Professor Bolton was also constrained to </w:t>
      </w:r>
      <w:r w:rsidR="00824B13" w:rsidRPr="008974DE">
        <w:rPr>
          <w:color w:val="000000"/>
        </w:rPr>
        <w:t xml:space="preserve">concede that </w:t>
      </w:r>
      <w:r w:rsidR="008974DE">
        <w:rPr>
          <w:color w:val="000000"/>
        </w:rPr>
        <w:t>the mere fact that the foetus was in distress and that there was a lack of monitoring, justify</w:t>
      </w:r>
      <w:r w:rsidR="00824B13" w:rsidRPr="008974DE">
        <w:rPr>
          <w:color w:val="000000"/>
        </w:rPr>
        <w:t xml:space="preserve"> </w:t>
      </w:r>
      <w:r w:rsidR="008974DE">
        <w:rPr>
          <w:color w:val="000000"/>
        </w:rPr>
        <w:t>a</w:t>
      </w:r>
      <w:r w:rsidR="00824B13" w:rsidRPr="008974DE">
        <w:rPr>
          <w:color w:val="000000"/>
        </w:rPr>
        <w:t xml:space="preserve"> finding of negligence </w:t>
      </w:r>
      <w:r w:rsidR="008974DE">
        <w:rPr>
          <w:color w:val="000000"/>
        </w:rPr>
        <w:t>on the part of the medical and nursing staff at the CMAH.</w:t>
      </w:r>
    </w:p>
    <w:p w:rsidR="001905F8" w:rsidRDefault="005A4BE6" w:rsidP="005A4BE6">
      <w:pPr>
        <w:spacing w:after="120" w:line="360" w:lineRule="auto"/>
        <w:jc w:val="both"/>
        <w:outlineLvl w:val="0"/>
        <w:rPr>
          <w:color w:val="000000"/>
        </w:rPr>
      </w:pPr>
      <w:r>
        <w:rPr>
          <w:color w:val="000000"/>
        </w:rPr>
        <w:t>[45].</w:t>
      </w:r>
      <w:r>
        <w:rPr>
          <w:color w:val="000000"/>
        </w:rPr>
        <w:tab/>
      </w:r>
      <w:r w:rsidR="001905F8" w:rsidRPr="001905F8">
        <w:rPr>
          <w:color w:val="000000"/>
        </w:rPr>
        <w:t xml:space="preserve">I now turn to consider whether, on the facts before </w:t>
      </w:r>
      <w:r w:rsidR="001905F8">
        <w:rPr>
          <w:color w:val="000000"/>
        </w:rPr>
        <w:t>me</w:t>
      </w:r>
      <w:r w:rsidR="001905F8" w:rsidRPr="001905F8">
        <w:rPr>
          <w:color w:val="000000"/>
        </w:rPr>
        <w:t xml:space="preserve">, </w:t>
      </w:r>
      <w:r w:rsidR="001905F8">
        <w:rPr>
          <w:color w:val="000000"/>
        </w:rPr>
        <w:t xml:space="preserve">the plaintiff’s </w:t>
      </w:r>
      <w:r w:rsidR="001905F8" w:rsidRPr="001905F8">
        <w:rPr>
          <w:color w:val="000000"/>
        </w:rPr>
        <w:t xml:space="preserve">claim </w:t>
      </w:r>
      <w:r w:rsidR="001905F8">
        <w:rPr>
          <w:color w:val="000000"/>
        </w:rPr>
        <w:t>has</w:t>
      </w:r>
      <w:r w:rsidR="001905F8" w:rsidRPr="001905F8">
        <w:rPr>
          <w:color w:val="000000"/>
        </w:rPr>
        <w:t xml:space="preserve"> been established</w:t>
      </w:r>
      <w:r w:rsidR="001905F8">
        <w:rPr>
          <w:color w:val="000000"/>
        </w:rPr>
        <w:t xml:space="preserve">, the </w:t>
      </w:r>
      <w:r w:rsidR="001905F8" w:rsidRPr="001905F8">
        <w:rPr>
          <w:color w:val="000000"/>
        </w:rPr>
        <w:t xml:space="preserve">central issues in that inquiry </w:t>
      </w:r>
      <w:r w:rsidR="001905F8">
        <w:rPr>
          <w:color w:val="000000"/>
        </w:rPr>
        <w:t>being</w:t>
      </w:r>
      <w:r w:rsidR="001905F8" w:rsidRPr="001905F8">
        <w:rPr>
          <w:color w:val="000000"/>
        </w:rPr>
        <w:t xml:space="preserve"> those of negligence and causation. </w:t>
      </w:r>
    </w:p>
    <w:p w:rsidR="001905F8" w:rsidRPr="001905F8" w:rsidRDefault="005A4BE6" w:rsidP="005A4BE6">
      <w:pPr>
        <w:spacing w:line="360" w:lineRule="auto"/>
        <w:jc w:val="both"/>
        <w:outlineLvl w:val="0"/>
        <w:rPr>
          <w:color w:val="000000"/>
        </w:rPr>
      </w:pPr>
      <w:r w:rsidRPr="001905F8">
        <w:rPr>
          <w:color w:val="000000"/>
        </w:rPr>
        <w:t>[46].</w:t>
      </w:r>
      <w:r w:rsidRPr="001905F8">
        <w:rPr>
          <w:color w:val="000000"/>
        </w:rPr>
        <w:tab/>
      </w:r>
      <w:r w:rsidR="001905F8">
        <w:rPr>
          <w:color w:val="000000"/>
        </w:rPr>
        <w:t>In</w:t>
      </w:r>
      <w:r w:rsidR="001905F8" w:rsidRPr="001905F8">
        <w:rPr>
          <w:color w:val="000000"/>
        </w:rPr>
        <w:t xml:space="preserve"> </w:t>
      </w:r>
      <w:r w:rsidR="001905F8" w:rsidRPr="001905F8">
        <w:rPr>
          <w:i/>
          <w:color w:val="000000"/>
        </w:rPr>
        <w:t xml:space="preserve">Minister of Safety and Security v Van </w:t>
      </w:r>
      <w:proofErr w:type="spellStart"/>
      <w:r w:rsidR="001905F8" w:rsidRPr="001905F8">
        <w:rPr>
          <w:i/>
          <w:color w:val="000000"/>
        </w:rPr>
        <w:t>Duivenboden</w:t>
      </w:r>
      <w:proofErr w:type="spellEnd"/>
      <w:r w:rsidR="001905F8">
        <w:rPr>
          <w:rStyle w:val="FootnoteReference"/>
          <w:i/>
          <w:color w:val="000000"/>
        </w:rPr>
        <w:footnoteReference w:id="1"/>
      </w:r>
      <w:r w:rsidR="001905F8">
        <w:rPr>
          <w:color w:val="000000"/>
        </w:rPr>
        <w:t xml:space="preserve">, </w:t>
      </w:r>
      <w:r w:rsidR="001905F8" w:rsidRPr="001905F8">
        <w:rPr>
          <w:color w:val="000000"/>
        </w:rPr>
        <w:t>the SCA held as follows at para 25:</w:t>
      </w:r>
    </w:p>
    <w:p w:rsidR="001905F8" w:rsidRPr="000766B4" w:rsidRDefault="001905F8" w:rsidP="001905F8">
      <w:pPr>
        <w:spacing w:after="120" w:line="360" w:lineRule="auto"/>
        <w:jc w:val="both"/>
        <w:outlineLvl w:val="0"/>
        <w:rPr>
          <w:color w:val="000000"/>
          <w:sz w:val="20"/>
          <w:szCs w:val="20"/>
        </w:rPr>
      </w:pPr>
      <w:r w:rsidRPr="000766B4">
        <w:rPr>
          <w:color w:val="000000"/>
          <w:sz w:val="20"/>
          <w:szCs w:val="20"/>
        </w:rPr>
        <w:t xml:space="preserve">‘A plaintiff is not required to establish the causal link with certainty but only to establish that the wrongful conduct was probably a cause of the loss, which calls for a sensible retrospective </w:t>
      </w:r>
      <w:r w:rsidRPr="000766B4">
        <w:rPr>
          <w:color w:val="000000"/>
          <w:sz w:val="20"/>
          <w:szCs w:val="20"/>
        </w:rPr>
        <w:lastRenderedPageBreak/>
        <w:t>analysis of what would probably have occurred, based upon the evidence and what can be expected to occur in the ordinary course of human affairs rather than an exercise in metaphysics.’</w:t>
      </w:r>
    </w:p>
    <w:p w:rsidR="001905F8" w:rsidRDefault="005A4BE6" w:rsidP="005A4BE6">
      <w:pPr>
        <w:spacing w:line="360" w:lineRule="auto"/>
        <w:jc w:val="both"/>
        <w:outlineLvl w:val="0"/>
        <w:rPr>
          <w:color w:val="000000"/>
        </w:rPr>
      </w:pPr>
      <w:r>
        <w:rPr>
          <w:color w:val="000000"/>
        </w:rPr>
        <w:t>[47].</w:t>
      </w:r>
      <w:r>
        <w:rPr>
          <w:color w:val="000000"/>
        </w:rPr>
        <w:tab/>
      </w:r>
      <w:r w:rsidR="001905F8">
        <w:rPr>
          <w:color w:val="000000"/>
        </w:rPr>
        <w:t>Furthermore, i</w:t>
      </w:r>
      <w:r w:rsidR="001905F8" w:rsidRPr="00A9488C">
        <w:rPr>
          <w:color w:val="000000"/>
        </w:rPr>
        <w:t xml:space="preserve">n </w:t>
      </w:r>
      <w:r w:rsidR="001905F8" w:rsidRPr="000E4A2E">
        <w:rPr>
          <w:i/>
          <w:color w:val="000000"/>
        </w:rPr>
        <w:t>Minister of Finance and Others v Gore NO</w:t>
      </w:r>
      <w:r w:rsidR="001905F8">
        <w:rPr>
          <w:rStyle w:val="FootnoteReference"/>
          <w:i/>
          <w:color w:val="000000"/>
        </w:rPr>
        <w:footnoteReference w:id="2"/>
      </w:r>
      <w:r w:rsidR="001905F8">
        <w:rPr>
          <w:color w:val="000000"/>
        </w:rPr>
        <w:t xml:space="preserve">, the SCA commented as follows </w:t>
      </w:r>
      <w:r w:rsidR="001905F8" w:rsidRPr="00A9488C">
        <w:rPr>
          <w:color w:val="000000"/>
        </w:rPr>
        <w:t>at</w:t>
      </w:r>
      <w:r w:rsidR="001905F8">
        <w:rPr>
          <w:color w:val="000000"/>
        </w:rPr>
        <w:t xml:space="preserve"> para </w:t>
      </w:r>
      <w:r w:rsidR="001905F8" w:rsidRPr="00A9488C">
        <w:rPr>
          <w:color w:val="000000"/>
        </w:rPr>
        <w:t>33</w:t>
      </w:r>
      <w:r w:rsidR="001905F8">
        <w:rPr>
          <w:color w:val="000000"/>
        </w:rPr>
        <w:t>:</w:t>
      </w:r>
    </w:p>
    <w:p w:rsidR="001905F8" w:rsidRPr="000766B4" w:rsidRDefault="001905F8" w:rsidP="001905F8">
      <w:pPr>
        <w:spacing w:after="120" w:line="360" w:lineRule="auto"/>
        <w:jc w:val="both"/>
        <w:outlineLvl w:val="0"/>
        <w:rPr>
          <w:color w:val="000000"/>
          <w:sz w:val="20"/>
          <w:szCs w:val="20"/>
        </w:rPr>
      </w:pPr>
      <w:r w:rsidRPr="000766B4">
        <w:rPr>
          <w:color w:val="000000"/>
          <w:sz w:val="20"/>
          <w:szCs w:val="20"/>
        </w:rPr>
        <w:t>‘Application of the “but for” test is not based on mathematics, pure science or philosophy. It is a matter of common sense, based on the practical way in which the ordinary person’s mind works against the background of everyday life experiences.’</w:t>
      </w:r>
    </w:p>
    <w:p w:rsidR="001905F8" w:rsidRPr="00A14170" w:rsidRDefault="005A4BE6" w:rsidP="005A4BE6">
      <w:pPr>
        <w:spacing w:line="360" w:lineRule="auto"/>
        <w:jc w:val="both"/>
        <w:outlineLvl w:val="0"/>
        <w:rPr>
          <w:color w:val="000000"/>
        </w:rPr>
      </w:pPr>
      <w:r w:rsidRPr="00A14170">
        <w:rPr>
          <w:color w:val="000000"/>
        </w:rPr>
        <w:t>[48].</w:t>
      </w:r>
      <w:r w:rsidRPr="00A14170">
        <w:rPr>
          <w:color w:val="000000"/>
        </w:rPr>
        <w:tab/>
      </w:r>
      <w:proofErr w:type="gramStart"/>
      <w:r w:rsidR="001905F8">
        <w:rPr>
          <w:color w:val="000000"/>
        </w:rPr>
        <w:t>As</w:t>
      </w:r>
      <w:proofErr w:type="gramEnd"/>
      <w:r w:rsidR="001905F8">
        <w:rPr>
          <w:color w:val="000000"/>
        </w:rPr>
        <w:t xml:space="preserve"> regards the issue of negligence, </w:t>
      </w:r>
      <w:proofErr w:type="spellStart"/>
      <w:r w:rsidR="001905F8" w:rsidRPr="007F0CBE">
        <w:rPr>
          <w:i/>
          <w:color w:val="000000"/>
        </w:rPr>
        <w:t>Vallaro</w:t>
      </w:r>
      <w:proofErr w:type="spellEnd"/>
      <w:r w:rsidR="001905F8" w:rsidRPr="007F0CBE">
        <w:rPr>
          <w:i/>
          <w:color w:val="000000"/>
        </w:rPr>
        <w:t xml:space="preserve"> obo Barnard v MEC</w:t>
      </w:r>
      <w:r w:rsidR="001905F8">
        <w:rPr>
          <w:rStyle w:val="FootnoteReference"/>
          <w:i/>
          <w:color w:val="000000"/>
        </w:rPr>
        <w:footnoteReference w:id="3"/>
      </w:r>
      <w:r w:rsidR="000766B4">
        <w:rPr>
          <w:color w:val="000000"/>
        </w:rPr>
        <w:t xml:space="preserve">, in my view, finds application. In that matter </w:t>
      </w:r>
      <w:r w:rsidR="001905F8">
        <w:rPr>
          <w:color w:val="000000"/>
        </w:rPr>
        <w:t xml:space="preserve">it was </w:t>
      </w:r>
      <w:r w:rsidR="001905F8" w:rsidRPr="00A14170">
        <w:rPr>
          <w:color w:val="000000"/>
        </w:rPr>
        <w:t xml:space="preserve">held, with </w:t>
      </w:r>
      <w:r w:rsidR="001905F8">
        <w:rPr>
          <w:color w:val="000000"/>
        </w:rPr>
        <w:t xml:space="preserve">reference to </w:t>
      </w:r>
      <w:r w:rsidR="001905F8" w:rsidRPr="007F0CBE">
        <w:rPr>
          <w:i/>
          <w:color w:val="000000"/>
        </w:rPr>
        <w:t>McIntosh v Premier, Kwazulu-Natal and Another</w:t>
      </w:r>
      <w:r w:rsidR="001905F8">
        <w:rPr>
          <w:rStyle w:val="FootnoteReference"/>
          <w:i/>
          <w:color w:val="000000"/>
        </w:rPr>
        <w:footnoteReference w:id="4"/>
      </w:r>
      <w:r w:rsidR="001905F8" w:rsidRPr="00A14170">
        <w:rPr>
          <w:color w:val="000000"/>
        </w:rPr>
        <w:t>, that:</w:t>
      </w:r>
    </w:p>
    <w:p w:rsidR="001905F8" w:rsidRPr="000766B4" w:rsidRDefault="001905F8" w:rsidP="001905F8">
      <w:pPr>
        <w:spacing w:line="360" w:lineRule="auto"/>
        <w:jc w:val="both"/>
        <w:outlineLvl w:val="0"/>
        <w:rPr>
          <w:color w:val="000000"/>
          <w:sz w:val="20"/>
          <w:szCs w:val="20"/>
        </w:rPr>
      </w:pPr>
      <w:r w:rsidRPr="000766B4">
        <w:rPr>
          <w:color w:val="000000"/>
          <w:sz w:val="20"/>
          <w:szCs w:val="20"/>
        </w:rPr>
        <w:t xml:space="preserve">‘The second inquiry is whether there was fault, in this case negligence. As is apparent from the much-quoted dictum of Holmes JA in </w:t>
      </w:r>
      <w:r w:rsidRPr="000766B4">
        <w:rPr>
          <w:i/>
          <w:color w:val="000000"/>
          <w:sz w:val="20"/>
          <w:szCs w:val="20"/>
        </w:rPr>
        <w:t>Kruger v Coetzee</w:t>
      </w:r>
      <w:r w:rsidRPr="000766B4">
        <w:rPr>
          <w:color w:val="000000"/>
          <w:sz w:val="20"/>
          <w:szCs w:val="20"/>
        </w:rPr>
        <w:t xml:space="preserve"> 1966 (2) SA 428 (A) at 430E-F, the issue of negligence itself involves a twofold inquiry. The first is: was the harm reasonably foreseeable? The second is: would the </w:t>
      </w:r>
      <w:proofErr w:type="spellStart"/>
      <w:r w:rsidRPr="000766B4">
        <w:rPr>
          <w:i/>
          <w:color w:val="000000"/>
          <w:sz w:val="20"/>
          <w:szCs w:val="20"/>
        </w:rPr>
        <w:t>diligens</w:t>
      </w:r>
      <w:proofErr w:type="spellEnd"/>
      <w:r w:rsidRPr="000766B4">
        <w:rPr>
          <w:i/>
          <w:color w:val="000000"/>
          <w:sz w:val="20"/>
          <w:szCs w:val="20"/>
        </w:rPr>
        <w:t xml:space="preserve"> paterfamilias</w:t>
      </w:r>
      <w:r w:rsidRPr="000766B4">
        <w:rPr>
          <w:color w:val="000000"/>
          <w:sz w:val="20"/>
          <w:szCs w:val="20"/>
        </w:rPr>
        <w:t xml:space="preserve"> take reasonable steps to guard against such occurrence and did the defendant fail to take those steps? The answer to the second inquiry is frequently expressed in terms of a duty. The foreseeability requirement is more often than not assumed, and the inquiry is said to be simply whether the defendant had a duty to take one or other step, such as drive in a particular way or perform some or other positive act, and, if so, whether the failure on the part of the defendant to do so amounted to a breach of that duty. But the word “duty”, and sometimes even the expression “legal duty”, in this context, must not be confused with the concept of “legal duty” in the context of wrongfulness which, as has been indicated, is distinct from the issue of negligence.</w:t>
      </w:r>
    </w:p>
    <w:p w:rsidR="001905F8" w:rsidRPr="000766B4" w:rsidRDefault="001905F8" w:rsidP="001905F8">
      <w:pPr>
        <w:spacing w:after="120" w:line="360" w:lineRule="auto"/>
        <w:jc w:val="both"/>
        <w:outlineLvl w:val="0"/>
        <w:rPr>
          <w:color w:val="000000"/>
          <w:sz w:val="20"/>
          <w:szCs w:val="20"/>
        </w:rPr>
      </w:pPr>
      <w:r w:rsidRPr="000766B4">
        <w:rPr>
          <w:color w:val="000000"/>
          <w:sz w:val="20"/>
          <w:szCs w:val="20"/>
        </w:rPr>
        <w:t>The crucial question, therefore, is the reasonableness or otherwise of the respondents’ conduct. This is the second leg of the negligence inquiry. Generally speaking, the answer to the inquiry depends on a consideration of all the relevant circumstances and involves a value judgment which is to be made by balancing various competing considerations including such factors as the degree or extent of the risk created by the actor’s conduct, the gravity of the possible consequences and the burden of eliminating the risk of harm. ...’</w:t>
      </w:r>
    </w:p>
    <w:p w:rsidR="001905F8" w:rsidRPr="001905F8" w:rsidRDefault="005A4BE6" w:rsidP="005A4BE6">
      <w:pPr>
        <w:spacing w:after="120" w:line="360" w:lineRule="auto"/>
        <w:jc w:val="both"/>
        <w:outlineLvl w:val="0"/>
        <w:rPr>
          <w:color w:val="000000"/>
        </w:rPr>
      </w:pPr>
      <w:r w:rsidRPr="001905F8">
        <w:rPr>
          <w:color w:val="000000"/>
        </w:rPr>
        <w:t>[49].</w:t>
      </w:r>
      <w:r w:rsidRPr="001905F8">
        <w:rPr>
          <w:color w:val="000000"/>
        </w:rPr>
        <w:tab/>
      </w:r>
      <w:r w:rsidR="000766B4">
        <w:rPr>
          <w:color w:val="000000"/>
        </w:rPr>
        <w:t>Plaintiff’s</w:t>
      </w:r>
      <w:r w:rsidR="001905F8" w:rsidRPr="001905F8">
        <w:rPr>
          <w:color w:val="000000"/>
        </w:rPr>
        <w:t xml:space="preserve"> labour was high-risk from the outset.</w:t>
      </w:r>
      <w:r w:rsidR="000766B4">
        <w:rPr>
          <w:color w:val="000000"/>
        </w:rPr>
        <w:t xml:space="preserve"> She was </w:t>
      </w:r>
      <w:r w:rsidR="000766B4" w:rsidRPr="00231568">
        <w:rPr>
          <w:i/>
          <w:color w:val="000000"/>
        </w:rPr>
        <w:t>gravidity 2</w:t>
      </w:r>
      <w:r w:rsidR="000766B4">
        <w:rPr>
          <w:color w:val="000000"/>
        </w:rPr>
        <w:t xml:space="preserve">, having previously (in 2003) given birth by caesarean section and having opted for a </w:t>
      </w:r>
      <w:r w:rsidR="00231568">
        <w:rPr>
          <w:color w:val="000000"/>
        </w:rPr>
        <w:t>BVAC.</w:t>
      </w:r>
      <w:r w:rsidR="001905F8" w:rsidRPr="001905F8">
        <w:rPr>
          <w:color w:val="000000"/>
        </w:rPr>
        <w:t xml:space="preserve"> </w:t>
      </w:r>
      <w:r w:rsidR="00231568">
        <w:rPr>
          <w:color w:val="000000"/>
        </w:rPr>
        <w:t xml:space="preserve">Shortly after she went into labour, </w:t>
      </w:r>
      <w:r w:rsidR="001905F8" w:rsidRPr="001905F8">
        <w:rPr>
          <w:color w:val="000000"/>
        </w:rPr>
        <w:t>CTG</w:t>
      </w:r>
      <w:r w:rsidR="00231568">
        <w:rPr>
          <w:color w:val="000000"/>
        </w:rPr>
        <w:t xml:space="preserve"> readings</w:t>
      </w:r>
      <w:r w:rsidR="001905F8" w:rsidRPr="001905F8">
        <w:rPr>
          <w:color w:val="000000"/>
        </w:rPr>
        <w:t xml:space="preserve"> showed </w:t>
      </w:r>
      <w:r w:rsidR="00231568">
        <w:rPr>
          <w:color w:val="000000"/>
        </w:rPr>
        <w:t xml:space="preserve">early </w:t>
      </w:r>
      <w:r w:rsidR="001905F8" w:rsidRPr="001905F8">
        <w:rPr>
          <w:color w:val="000000"/>
        </w:rPr>
        <w:t xml:space="preserve">decelerations in the foetal heart rate, and </w:t>
      </w:r>
      <w:r w:rsidR="00231568">
        <w:rPr>
          <w:color w:val="000000"/>
        </w:rPr>
        <w:t xml:space="preserve">intra-uterine resuscitation </w:t>
      </w:r>
      <w:r w:rsidR="001905F8" w:rsidRPr="001905F8">
        <w:rPr>
          <w:color w:val="000000"/>
        </w:rPr>
        <w:t xml:space="preserve">was </w:t>
      </w:r>
      <w:r w:rsidR="00231568">
        <w:rPr>
          <w:color w:val="000000"/>
        </w:rPr>
        <w:t>done</w:t>
      </w:r>
      <w:r w:rsidR="001905F8" w:rsidRPr="001905F8">
        <w:rPr>
          <w:color w:val="000000"/>
        </w:rPr>
        <w:t xml:space="preserve"> to </w:t>
      </w:r>
      <w:r w:rsidR="001905F8" w:rsidRPr="001905F8">
        <w:rPr>
          <w:color w:val="000000"/>
        </w:rPr>
        <w:lastRenderedPageBreak/>
        <w:t xml:space="preserve">address </w:t>
      </w:r>
      <w:r w:rsidR="00231568">
        <w:rPr>
          <w:color w:val="000000"/>
        </w:rPr>
        <w:t>the distress the foetus was experiencing</w:t>
      </w:r>
      <w:r w:rsidR="001905F8" w:rsidRPr="001905F8">
        <w:rPr>
          <w:color w:val="000000"/>
        </w:rPr>
        <w:t xml:space="preserve">. </w:t>
      </w:r>
      <w:r w:rsidR="00231568">
        <w:rPr>
          <w:color w:val="000000"/>
        </w:rPr>
        <w:t xml:space="preserve">An hour later, and despite the remedial action taken by the nursing and other hospital staff to alleviate the foetal distress, the foetus was still not stable. </w:t>
      </w:r>
      <w:r w:rsidR="001905F8" w:rsidRPr="001905F8">
        <w:rPr>
          <w:color w:val="000000"/>
        </w:rPr>
        <w:t xml:space="preserve">The experts agreed that </w:t>
      </w:r>
      <w:r w:rsidR="00231568">
        <w:rPr>
          <w:color w:val="000000"/>
        </w:rPr>
        <w:t xml:space="preserve">the plaintiff’s </w:t>
      </w:r>
      <w:r w:rsidR="001905F8" w:rsidRPr="001905F8">
        <w:rPr>
          <w:color w:val="000000"/>
        </w:rPr>
        <w:t xml:space="preserve">condition required continuous monitoring, at the very least by further CTGs </w:t>
      </w:r>
      <w:r w:rsidR="00231568">
        <w:rPr>
          <w:color w:val="000000"/>
        </w:rPr>
        <w:t>on a continuous basis.</w:t>
      </w:r>
      <w:r w:rsidR="001905F8" w:rsidRPr="001905F8">
        <w:rPr>
          <w:color w:val="000000"/>
        </w:rPr>
        <w:t xml:space="preserve"> A reasonable medical practitioner would accordingly have been alert to the possibility of harm to the foetus caused by an abnormal or distressed foetal heart rate. The questions in this case are really what steps would reasonably have been taken to prevent that harm, when those steps would reasonably have been taken, and whether those steps were in fact taken. </w:t>
      </w:r>
    </w:p>
    <w:p w:rsidR="00472E3D" w:rsidRDefault="005A4BE6" w:rsidP="005A4BE6">
      <w:pPr>
        <w:spacing w:after="120" w:line="360" w:lineRule="auto"/>
        <w:jc w:val="both"/>
        <w:outlineLvl w:val="0"/>
        <w:rPr>
          <w:color w:val="000000"/>
        </w:rPr>
      </w:pPr>
      <w:r>
        <w:rPr>
          <w:color w:val="000000"/>
        </w:rPr>
        <w:t>[50].</w:t>
      </w:r>
      <w:r>
        <w:rPr>
          <w:color w:val="000000"/>
        </w:rPr>
        <w:tab/>
      </w:r>
      <w:proofErr w:type="gramStart"/>
      <w:r w:rsidR="00231568">
        <w:rPr>
          <w:color w:val="000000"/>
        </w:rPr>
        <w:t>The</w:t>
      </w:r>
      <w:proofErr w:type="gramEnd"/>
      <w:r w:rsidR="00231568">
        <w:rPr>
          <w:color w:val="000000"/>
        </w:rPr>
        <w:t xml:space="preserve"> answers to these questions are fairly obvious</w:t>
      </w:r>
      <w:r w:rsidR="00472E3D">
        <w:rPr>
          <w:color w:val="000000"/>
        </w:rPr>
        <w:t xml:space="preserve">. </w:t>
      </w:r>
      <w:r w:rsidR="001905F8" w:rsidRPr="001905F8">
        <w:rPr>
          <w:color w:val="000000"/>
        </w:rPr>
        <w:t xml:space="preserve">The foetal </w:t>
      </w:r>
      <w:proofErr w:type="spellStart"/>
      <w:r w:rsidR="001905F8" w:rsidRPr="001905F8">
        <w:rPr>
          <w:color w:val="000000"/>
        </w:rPr>
        <w:t>heartrate</w:t>
      </w:r>
      <w:proofErr w:type="spellEnd"/>
      <w:r w:rsidR="001905F8" w:rsidRPr="001905F8">
        <w:rPr>
          <w:color w:val="000000"/>
        </w:rPr>
        <w:t xml:space="preserve"> should have been monitored </w:t>
      </w:r>
      <w:r w:rsidR="00472E3D">
        <w:rPr>
          <w:color w:val="000000"/>
        </w:rPr>
        <w:t xml:space="preserve">continuously until the baby was delivered. This was not done. On the contrary, the records clearly indicate that from about 04:00 to 05:30, when the baby was delivered, the CTG had been disconnected for whatever reason and no tracings were done. Therefore, in my view, the standard of </w:t>
      </w:r>
      <w:r w:rsidR="001905F8" w:rsidRPr="00472E3D">
        <w:rPr>
          <w:color w:val="000000"/>
        </w:rPr>
        <w:t xml:space="preserve">care </w:t>
      </w:r>
      <w:r w:rsidR="00472E3D">
        <w:rPr>
          <w:color w:val="000000"/>
        </w:rPr>
        <w:t xml:space="preserve">given to the plaintiff </w:t>
      </w:r>
      <w:r w:rsidR="001905F8" w:rsidRPr="00472E3D">
        <w:rPr>
          <w:color w:val="000000"/>
        </w:rPr>
        <w:t xml:space="preserve">fell below the </w:t>
      </w:r>
      <w:r w:rsidR="00472E3D">
        <w:rPr>
          <w:color w:val="000000"/>
        </w:rPr>
        <w:t>standard</w:t>
      </w:r>
      <w:r w:rsidR="001905F8" w:rsidRPr="00472E3D">
        <w:rPr>
          <w:color w:val="000000"/>
        </w:rPr>
        <w:t xml:space="preserve"> required</w:t>
      </w:r>
      <w:r w:rsidR="00472E3D">
        <w:rPr>
          <w:color w:val="000000"/>
        </w:rPr>
        <w:t xml:space="preserve"> of a medical practitioner</w:t>
      </w:r>
      <w:r w:rsidR="001905F8" w:rsidRPr="00472E3D">
        <w:rPr>
          <w:color w:val="000000"/>
        </w:rPr>
        <w:t>. Given that the CTG</w:t>
      </w:r>
      <w:r w:rsidR="00472E3D">
        <w:rPr>
          <w:color w:val="000000"/>
        </w:rPr>
        <w:t xml:space="preserve"> readings at 02:40 and again at 03:30</w:t>
      </w:r>
      <w:r w:rsidR="001905F8" w:rsidRPr="00472E3D">
        <w:rPr>
          <w:color w:val="000000"/>
        </w:rPr>
        <w:t xml:space="preserve"> gave cause for concern, </w:t>
      </w:r>
      <w:r w:rsidR="00472E3D">
        <w:rPr>
          <w:color w:val="000000"/>
        </w:rPr>
        <w:t>the plaintiff</w:t>
      </w:r>
      <w:r w:rsidR="001905F8" w:rsidRPr="00472E3D">
        <w:rPr>
          <w:color w:val="000000"/>
        </w:rPr>
        <w:t xml:space="preserve"> ought arguably to have been given even closer attention </w:t>
      </w:r>
      <w:r w:rsidR="00472E3D">
        <w:rPr>
          <w:color w:val="000000"/>
        </w:rPr>
        <w:t>and monitored continuously.</w:t>
      </w:r>
    </w:p>
    <w:p w:rsidR="001905F8" w:rsidRPr="001905F8" w:rsidRDefault="005A4BE6" w:rsidP="005A4BE6">
      <w:pPr>
        <w:spacing w:after="120" w:line="360" w:lineRule="auto"/>
        <w:jc w:val="both"/>
        <w:outlineLvl w:val="0"/>
        <w:rPr>
          <w:color w:val="000000"/>
        </w:rPr>
      </w:pPr>
      <w:r w:rsidRPr="001905F8">
        <w:rPr>
          <w:color w:val="000000"/>
        </w:rPr>
        <w:t>[51].</w:t>
      </w:r>
      <w:r w:rsidRPr="001905F8">
        <w:rPr>
          <w:color w:val="000000"/>
        </w:rPr>
        <w:tab/>
      </w:r>
      <w:proofErr w:type="gramStart"/>
      <w:r w:rsidR="001905F8" w:rsidRPr="001905F8">
        <w:rPr>
          <w:color w:val="000000"/>
        </w:rPr>
        <w:t>Unfortunately</w:t>
      </w:r>
      <w:proofErr w:type="gramEnd"/>
      <w:r w:rsidR="001905F8" w:rsidRPr="001905F8">
        <w:rPr>
          <w:color w:val="000000"/>
        </w:rPr>
        <w:t xml:space="preserve">, that did not happen. </w:t>
      </w:r>
      <w:r w:rsidR="00472E3D">
        <w:rPr>
          <w:color w:val="000000"/>
        </w:rPr>
        <w:t xml:space="preserve">If it did, the medical staff would probably have realised that the foetus remained distressed and </w:t>
      </w:r>
      <w:r w:rsidR="001905F8" w:rsidRPr="001905F8">
        <w:rPr>
          <w:color w:val="000000"/>
        </w:rPr>
        <w:t xml:space="preserve">would immediately have taken steps to protect </w:t>
      </w:r>
      <w:r w:rsidR="00472E3D">
        <w:rPr>
          <w:color w:val="000000"/>
        </w:rPr>
        <w:t>it. T</w:t>
      </w:r>
      <w:r w:rsidR="0000663B">
        <w:rPr>
          <w:color w:val="000000"/>
        </w:rPr>
        <w:t>his could have been done by taki</w:t>
      </w:r>
      <w:r w:rsidR="00472E3D">
        <w:rPr>
          <w:color w:val="000000"/>
        </w:rPr>
        <w:t>n</w:t>
      </w:r>
      <w:r w:rsidR="0000663B">
        <w:rPr>
          <w:color w:val="000000"/>
        </w:rPr>
        <w:t>g</w:t>
      </w:r>
      <w:r w:rsidR="00472E3D">
        <w:rPr>
          <w:color w:val="000000"/>
        </w:rPr>
        <w:t xml:space="preserve"> further remedial action </w:t>
      </w:r>
      <w:r w:rsidR="005A3B16">
        <w:rPr>
          <w:color w:val="000000"/>
        </w:rPr>
        <w:t xml:space="preserve">by, for example, </w:t>
      </w:r>
      <w:r w:rsidR="001905F8" w:rsidRPr="001905F8">
        <w:rPr>
          <w:color w:val="000000"/>
        </w:rPr>
        <w:t>administering</w:t>
      </w:r>
      <w:r w:rsidR="005A3B16">
        <w:rPr>
          <w:color w:val="000000"/>
        </w:rPr>
        <w:t xml:space="preserve"> more</w:t>
      </w:r>
      <w:r w:rsidR="001905F8" w:rsidRPr="001905F8">
        <w:rPr>
          <w:color w:val="000000"/>
        </w:rPr>
        <w:t xml:space="preserve"> oxygen and, to the extent necessary, by ordering an emergency Caesarean section. </w:t>
      </w:r>
    </w:p>
    <w:p w:rsidR="001905F8" w:rsidRPr="001905F8" w:rsidRDefault="005A4BE6" w:rsidP="005A4BE6">
      <w:pPr>
        <w:spacing w:after="120" w:line="360" w:lineRule="auto"/>
        <w:jc w:val="both"/>
        <w:outlineLvl w:val="0"/>
        <w:rPr>
          <w:color w:val="000000"/>
        </w:rPr>
      </w:pPr>
      <w:r w:rsidRPr="001905F8">
        <w:rPr>
          <w:color w:val="000000"/>
        </w:rPr>
        <w:t>[52].</w:t>
      </w:r>
      <w:r w:rsidRPr="001905F8">
        <w:rPr>
          <w:color w:val="000000"/>
        </w:rPr>
        <w:tab/>
      </w:r>
      <w:proofErr w:type="gramStart"/>
      <w:r w:rsidR="001905F8" w:rsidRPr="001905F8">
        <w:rPr>
          <w:color w:val="000000"/>
        </w:rPr>
        <w:t>In</w:t>
      </w:r>
      <w:proofErr w:type="gramEnd"/>
      <w:r w:rsidR="001905F8" w:rsidRPr="001905F8">
        <w:rPr>
          <w:color w:val="000000"/>
        </w:rPr>
        <w:t xml:space="preserve"> my view, the probabilities are fairly clear. </w:t>
      </w:r>
      <w:r w:rsidR="005A3B16">
        <w:rPr>
          <w:color w:val="000000"/>
        </w:rPr>
        <w:t>The plaintiff’s</w:t>
      </w:r>
      <w:r w:rsidR="001905F8" w:rsidRPr="001905F8">
        <w:rPr>
          <w:color w:val="000000"/>
        </w:rPr>
        <w:t xml:space="preserve"> labour required more careful monitoring than was performed. </w:t>
      </w:r>
      <w:r w:rsidR="005A3B16">
        <w:rPr>
          <w:color w:val="000000"/>
        </w:rPr>
        <w:t xml:space="preserve">It is difficult to understand why, at 04:00, the </w:t>
      </w:r>
      <w:r w:rsidR="001905F8" w:rsidRPr="001905F8">
        <w:rPr>
          <w:color w:val="000000"/>
        </w:rPr>
        <w:t>CTG monitoring</w:t>
      </w:r>
      <w:r w:rsidR="005A3B16">
        <w:rPr>
          <w:color w:val="000000"/>
        </w:rPr>
        <w:t xml:space="preserve"> was stopped</w:t>
      </w:r>
      <w:r w:rsidR="001905F8" w:rsidRPr="001905F8">
        <w:rPr>
          <w:color w:val="000000"/>
        </w:rPr>
        <w:t xml:space="preserve">. Maternal and foetal heart rate monitoring are critically important. They indicate the condition of the foetus. If they are not reassuring, they prompt intervention to deliver the baby. Once the </w:t>
      </w:r>
      <w:r w:rsidR="005A3B16">
        <w:rPr>
          <w:color w:val="000000"/>
        </w:rPr>
        <w:t>second</w:t>
      </w:r>
      <w:r w:rsidR="001905F8" w:rsidRPr="001905F8">
        <w:rPr>
          <w:color w:val="000000"/>
        </w:rPr>
        <w:t xml:space="preserve"> CTG indicated the recurrence of a problem with the foetal heart rate that was first noted at </w:t>
      </w:r>
      <w:r w:rsidR="005A3B16">
        <w:rPr>
          <w:color w:val="000000"/>
        </w:rPr>
        <w:t>02:40</w:t>
      </w:r>
      <w:r w:rsidR="001905F8" w:rsidRPr="001905F8">
        <w:rPr>
          <w:color w:val="000000"/>
        </w:rPr>
        <w:t xml:space="preserve">, </w:t>
      </w:r>
      <w:r w:rsidR="005A3B16">
        <w:rPr>
          <w:color w:val="000000"/>
        </w:rPr>
        <w:t xml:space="preserve">continuous monitoring should have continued and if the problems persisted, </w:t>
      </w:r>
      <w:r w:rsidR="001905F8" w:rsidRPr="001905F8">
        <w:rPr>
          <w:color w:val="000000"/>
        </w:rPr>
        <w:t>action c</w:t>
      </w:r>
      <w:r w:rsidR="005A3B16">
        <w:rPr>
          <w:color w:val="000000"/>
        </w:rPr>
        <w:t>ould and should have been taken</w:t>
      </w:r>
      <w:r w:rsidR="001905F8" w:rsidRPr="001905F8">
        <w:rPr>
          <w:color w:val="000000"/>
        </w:rPr>
        <w:t xml:space="preserve">. But it was not. </w:t>
      </w:r>
    </w:p>
    <w:p w:rsidR="001905F8" w:rsidRPr="001905F8" w:rsidRDefault="005A4BE6" w:rsidP="005A4BE6">
      <w:pPr>
        <w:spacing w:after="120" w:line="360" w:lineRule="auto"/>
        <w:jc w:val="both"/>
        <w:outlineLvl w:val="0"/>
        <w:rPr>
          <w:color w:val="000000"/>
        </w:rPr>
      </w:pPr>
      <w:r w:rsidRPr="001905F8">
        <w:rPr>
          <w:color w:val="000000"/>
        </w:rPr>
        <w:lastRenderedPageBreak/>
        <w:t>[53].</w:t>
      </w:r>
      <w:r w:rsidRPr="001905F8">
        <w:rPr>
          <w:color w:val="000000"/>
        </w:rPr>
        <w:tab/>
      </w:r>
      <w:proofErr w:type="gramStart"/>
      <w:r w:rsidR="001905F8" w:rsidRPr="001905F8">
        <w:rPr>
          <w:color w:val="000000"/>
        </w:rPr>
        <w:t>On</w:t>
      </w:r>
      <w:proofErr w:type="gramEnd"/>
      <w:r w:rsidR="001905F8" w:rsidRPr="001905F8">
        <w:rPr>
          <w:color w:val="000000"/>
        </w:rPr>
        <w:t xml:space="preserve"> the probabilities, the management of </w:t>
      </w:r>
      <w:r w:rsidR="00EB670D">
        <w:rPr>
          <w:color w:val="000000"/>
        </w:rPr>
        <w:t xml:space="preserve">the plaintiff’s </w:t>
      </w:r>
      <w:r w:rsidR="001905F8" w:rsidRPr="001905F8">
        <w:rPr>
          <w:color w:val="000000"/>
        </w:rPr>
        <w:t xml:space="preserve">labour was negligent in that inadequate monitoring was carried out, and no action was taken </w:t>
      </w:r>
      <w:r w:rsidR="00EB670D">
        <w:rPr>
          <w:color w:val="000000"/>
        </w:rPr>
        <w:t xml:space="preserve">because there was no way of establishing that that there was foetal distress. </w:t>
      </w:r>
      <w:r w:rsidR="001905F8" w:rsidRPr="001905F8">
        <w:rPr>
          <w:color w:val="000000"/>
        </w:rPr>
        <w:t xml:space="preserve">The bare minimum that should have been done – </w:t>
      </w:r>
      <w:r w:rsidR="00EB670D">
        <w:rPr>
          <w:color w:val="000000"/>
        </w:rPr>
        <w:t xml:space="preserve">continuous and uninterrupted CTG monitoring of the foetus after the non-assuring tracing between 02:40 and 03:30 – was not done. The reason for the stopping of the CTG at 04:00 is unexplained. </w:t>
      </w:r>
      <w:r w:rsidR="001905F8" w:rsidRPr="001905F8">
        <w:rPr>
          <w:color w:val="000000"/>
        </w:rPr>
        <w:t xml:space="preserve"> </w:t>
      </w:r>
    </w:p>
    <w:p w:rsidR="00504EE2" w:rsidRDefault="005A4BE6" w:rsidP="005A4BE6">
      <w:pPr>
        <w:spacing w:after="120" w:line="360" w:lineRule="auto"/>
        <w:jc w:val="both"/>
        <w:outlineLvl w:val="0"/>
        <w:rPr>
          <w:color w:val="000000"/>
        </w:rPr>
      </w:pPr>
      <w:r>
        <w:rPr>
          <w:color w:val="000000"/>
        </w:rPr>
        <w:t>[54].</w:t>
      </w:r>
      <w:r>
        <w:rPr>
          <w:color w:val="000000"/>
        </w:rPr>
        <w:tab/>
      </w:r>
      <w:proofErr w:type="gramStart"/>
      <w:r w:rsidR="001905F8" w:rsidRPr="001905F8">
        <w:rPr>
          <w:color w:val="000000"/>
        </w:rPr>
        <w:t>The</w:t>
      </w:r>
      <w:proofErr w:type="gramEnd"/>
      <w:r w:rsidR="001905F8" w:rsidRPr="001905F8">
        <w:rPr>
          <w:color w:val="000000"/>
        </w:rPr>
        <w:t xml:space="preserve"> </w:t>
      </w:r>
      <w:r w:rsidR="00EB670D">
        <w:rPr>
          <w:color w:val="000000"/>
        </w:rPr>
        <w:t>next</w:t>
      </w:r>
      <w:r w:rsidR="001905F8" w:rsidRPr="001905F8">
        <w:rPr>
          <w:color w:val="000000"/>
        </w:rPr>
        <w:t xml:space="preserve"> question is whether, on the probabilities, </w:t>
      </w:r>
      <w:r w:rsidR="00EB670D">
        <w:rPr>
          <w:color w:val="000000"/>
        </w:rPr>
        <w:t>the child</w:t>
      </w:r>
      <w:r w:rsidR="001905F8" w:rsidRPr="001905F8">
        <w:rPr>
          <w:color w:val="000000"/>
        </w:rPr>
        <w:t xml:space="preserve"> would not have been afflicted with </w:t>
      </w:r>
      <w:r w:rsidR="0000663B">
        <w:rPr>
          <w:color w:val="000000"/>
        </w:rPr>
        <w:t>her</w:t>
      </w:r>
      <w:r w:rsidR="001905F8" w:rsidRPr="001905F8">
        <w:rPr>
          <w:color w:val="000000"/>
        </w:rPr>
        <w:t xml:space="preserve"> injury, but for the negligence attributable to the MEC’s staff. There was no dispute that, at the point of </w:t>
      </w:r>
      <w:r w:rsidR="00504EE2">
        <w:rPr>
          <w:color w:val="000000"/>
        </w:rPr>
        <w:t>plaintiff’s</w:t>
      </w:r>
      <w:r w:rsidR="001905F8" w:rsidRPr="001905F8">
        <w:rPr>
          <w:color w:val="000000"/>
        </w:rPr>
        <w:t xml:space="preserve"> admission, the foetal condition </w:t>
      </w:r>
      <w:r w:rsidR="00504EE2">
        <w:rPr>
          <w:color w:val="000000"/>
        </w:rPr>
        <w:t>was optimum</w:t>
      </w:r>
      <w:r w:rsidR="001905F8" w:rsidRPr="001905F8">
        <w:rPr>
          <w:color w:val="000000"/>
        </w:rPr>
        <w:t xml:space="preserve">. </w:t>
      </w:r>
      <w:r w:rsidR="00504EE2">
        <w:rPr>
          <w:color w:val="000000"/>
        </w:rPr>
        <w:t>However, at about 02:40 there were</w:t>
      </w:r>
      <w:r w:rsidR="001905F8" w:rsidRPr="001905F8">
        <w:rPr>
          <w:color w:val="000000"/>
        </w:rPr>
        <w:t xml:space="preserve"> indications of foetal distress</w:t>
      </w:r>
      <w:r w:rsidR="00504EE2">
        <w:rPr>
          <w:color w:val="000000"/>
        </w:rPr>
        <w:t xml:space="preserve">, whereupon intra-uterine resuscitation was done by the supply of oxygen to the mother and by having her lay on her left hand side. By 03:30 foetal distress was still indicated, but that notwithstanding, there was no monitoring of the foetal heart rate after 04:00. At 05:30 the child was born and assessed as neonatal </w:t>
      </w:r>
      <w:proofErr w:type="spellStart"/>
      <w:r w:rsidR="00504EE2">
        <w:rPr>
          <w:color w:val="000000"/>
        </w:rPr>
        <w:t>encephalopathic</w:t>
      </w:r>
      <w:proofErr w:type="spellEnd"/>
      <w:r w:rsidR="00504EE2">
        <w:rPr>
          <w:color w:val="000000"/>
        </w:rPr>
        <w:t>.</w:t>
      </w:r>
    </w:p>
    <w:p w:rsidR="004F5269" w:rsidRDefault="005A4BE6" w:rsidP="005A4BE6">
      <w:pPr>
        <w:spacing w:after="120" w:line="360" w:lineRule="auto"/>
        <w:jc w:val="both"/>
        <w:outlineLvl w:val="0"/>
        <w:rPr>
          <w:color w:val="000000"/>
        </w:rPr>
      </w:pPr>
      <w:r>
        <w:rPr>
          <w:color w:val="000000"/>
        </w:rPr>
        <w:t>[55].</w:t>
      </w:r>
      <w:r>
        <w:rPr>
          <w:color w:val="000000"/>
        </w:rPr>
        <w:tab/>
      </w:r>
      <w:r w:rsidR="00056468">
        <w:rPr>
          <w:color w:val="000000"/>
        </w:rPr>
        <w:t>The Neonatologists briefed by the parties agreed that t</w:t>
      </w:r>
      <w:r w:rsidR="00056468" w:rsidRPr="00056468">
        <w:rPr>
          <w:color w:val="000000"/>
        </w:rPr>
        <w:t>he case under review reasonably fulfils several of the criteria of AGOG 2014 to determine the likelihood that an acute hypoxic-ischemic event that occurred within close temporal proximity to labour and delivery</w:t>
      </w:r>
      <w:r w:rsidR="00056468">
        <w:rPr>
          <w:color w:val="000000"/>
        </w:rPr>
        <w:t>,</w:t>
      </w:r>
      <w:r w:rsidR="00056468" w:rsidRPr="00056468">
        <w:rPr>
          <w:color w:val="000000"/>
        </w:rPr>
        <w:t xml:space="preserve"> contributed to </w:t>
      </w:r>
      <w:r w:rsidR="00056468">
        <w:rPr>
          <w:color w:val="000000"/>
        </w:rPr>
        <w:t xml:space="preserve">the neonatal encephalopathy. </w:t>
      </w:r>
      <w:r w:rsidR="004F5269">
        <w:rPr>
          <w:color w:val="000000"/>
        </w:rPr>
        <w:t>These expert witnesses also agreed</w:t>
      </w:r>
      <w:r w:rsidR="00056468">
        <w:rPr>
          <w:color w:val="000000"/>
        </w:rPr>
        <w:t xml:space="preserve"> that, </w:t>
      </w:r>
      <w:r w:rsidR="00056468" w:rsidRPr="00056468">
        <w:rPr>
          <w:color w:val="000000"/>
        </w:rPr>
        <w:t xml:space="preserve">where information is known with regard to the present </w:t>
      </w:r>
      <w:r w:rsidR="00056468">
        <w:rPr>
          <w:color w:val="000000"/>
        </w:rPr>
        <w:t>case</w:t>
      </w:r>
      <w:r w:rsidR="00056468" w:rsidRPr="00056468">
        <w:rPr>
          <w:color w:val="000000"/>
        </w:rPr>
        <w:t>,</w:t>
      </w:r>
      <w:r w:rsidR="00056468">
        <w:rPr>
          <w:color w:val="000000"/>
        </w:rPr>
        <w:t xml:space="preserve"> t</w:t>
      </w:r>
      <w:r w:rsidR="00056468" w:rsidRPr="00056468">
        <w:rPr>
          <w:color w:val="000000"/>
        </w:rPr>
        <w:t xml:space="preserve">he ACOG criteria </w:t>
      </w:r>
      <w:r w:rsidR="00056468">
        <w:rPr>
          <w:color w:val="000000"/>
        </w:rPr>
        <w:t>were fulfilled. So, for example, t</w:t>
      </w:r>
      <w:r w:rsidR="00056468" w:rsidRPr="00056468">
        <w:rPr>
          <w:color w:val="000000"/>
        </w:rPr>
        <w:t>he Case Definition</w:t>
      </w:r>
      <w:r w:rsidR="00056468">
        <w:rPr>
          <w:color w:val="000000"/>
        </w:rPr>
        <w:t xml:space="preserve">, being </w:t>
      </w:r>
      <w:r w:rsidR="00056468" w:rsidRPr="00056468">
        <w:rPr>
          <w:color w:val="000000"/>
        </w:rPr>
        <w:t>neonatal encephalopathy</w:t>
      </w:r>
      <w:r w:rsidR="00056468">
        <w:rPr>
          <w:color w:val="000000"/>
        </w:rPr>
        <w:t>,</w:t>
      </w:r>
      <w:r w:rsidR="00056468" w:rsidRPr="00056468">
        <w:rPr>
          <w:color w:val="000000"/>
        </w:rPr>
        <w:t xml:space="preserve"> was</w:t>
      </w:r>
      <w:r w:rsidR="00056468">
        <w:rPr>
          <w:color w:val="000000"/>
        </w:rPr>
        <w:t xml:space="preserve"> </w:t>
      </w:r>
      <w:r w:rsidR="00056468" w:rsidRPr="00056468">
        <w:rPr>
          <w:color w:val="000000"/>
        </w:rPr>
        <w:t>present</w:t>
      </w:r>
      <w:r w:rsidR="004F5269">
        <w:rPr>
          <w:color w:val="000000"/>
        </w:rPr>
        <w:t>, as were n</w:t>
      </w:r>
      <w:r w:rsidR="00056468" w:rsidRPr="004F5269">
        <w:rPr>
          <w:color w:val="000000"/>
        </w:rPr>
        <w:t>eonatal signs consi</w:t>
      </w:r>
      <w:r w:rsidR="004F5269">
        <w:rPr>
          <w:color w:val="000000"/>
        </w:rPr>
        <w:t xml:space="preserve">stent with an acute </w:t>
      </w:r>
      <w:proofErr w:type="spellStart"/>
      <w:r w:rsidR="004F5269">
        <w:rPr>
          <w:color w:val="000000"/>
        </w:rPr>
        <w:t>peripartum</w:t>
      </w:r>
      <w:proofErr w:type="spellEnd"/>
      <w:r w:rsidR="00056468" w:rsidRPr="004F5269">
        <w:rPr>
          <w:color w:val="000000"/>
        </w:rPr>
        <w:t xml:space="preserve"> or</w:t>
      </w:r>
      <w:r w:rsidR="004F5269">
        <w:rPr>
          <w:color w:val="000000"/>
        </w:rPr>
        <w:t xml:space="preserve"> </w:t>
      </w:r>
      <w:proofErr w:type="spellStart"/>
      <w:r w:rsidR="00056468" w:rsidRPr="004F5269">
        <w:rPr>
          <w:color w:val="000000"/>
        </w:rPr>
        <w:t>intrapartum</w:t>
      </w:r>
      <w:proofErr w:type="spellEnd"/>
      <w:r w:rsidR="00056468" w:rsidRPr="004F5269">
        <w:rPr>
          <w:color w:val="000000"/>
        </w:rPr>
        <w:t xml:space="preserve"> event</w:t>
      </w:r>
      <w:r w:rsidR="004F5269">
        <w:rPr>
          <w:color w:val="000000"/>
        </w:rPr>
        <w:t xml:space="preserve">. Also, the criteria of Apgar scores below 5 at 5 and 10 minutes, was fulfilled. </w:t>
      </w:r>
    </w:p>
    <w:p w:rsidR="004F5269" w:rsidRPr="004F5269" w:rsidRDefault="005A4BE6" w:rsidP="005A4BE6">
      <w:pPr>
        <w:spacing w:after="120" w:line="360" w:lineRule="auto"/>
        <w:jc w:val="both"/>
        <w:outlineLvl w:val="0"/>
        <w:rPr>
          <w:color w:val="000000"/>
        </w:rPr>
      </w:pPr>
      <w:r w:rsidRPr="004F5269">
        <w:rPr>
          <w:color w:val="000000"/>
        </w:rPr>
        <w:t>[56].</w:t>
      </w:r>
      <w:r w:rsidRPr="004F5269">
        <w:rPr>
          <w:color w:val="000000"/>
        </w:rPr>
        <w:tab/>
      </w:r>
      <w:r w:rsidR="004F5269">
        <w:rPr>
          <w:color w:val="000000"/>
        </w:rPr>
        <w:t>Importantly, these experts agree in sum that</w:t>
      </w:r>
      <w:r w:rsidR="004F5269" w:rsidRPr="004F5269">
        <w:rPr>
          <w:color w:val="000000"/>
        </w:rPr>
        <w:t xml:space="preserve"> the following criteria, linking an </w:t>
      </w:r>
      <w:proofErr w:type="spellStart"/>
      <w:r w:rsidR="004F5269" w:rsidRPr="004F5269">
        <w:rPr>
          <w:color w:val="000000"/>
        </w:rPr>
        <w:t>intrapartum</w:t>
      </w:r>
      <w:proofErr w:type="spellEnd"/>
      <w:r w:rsidR="004F5269" w:rsidRPr="004F5269">
        <w:rPr>
          <w:color w:val="000000"/>
        </w:rPr>
        <w:t xml:space="preserve"> event to the development of cerebral palsy, were recorded: </w:t>
      </w:r>
      <w:proofErr w:type="spellStart"/>
      <w:r w:rsidR="004F5269" w:rsidRPr="004F5269">
        <w:rPr>
          <w:color w:val="000000"/>
        </w:rPr>
        <w:t>intrapartum</w:t>
      </w:r>
      <w:proofErr w:type="spellEnd"/>
      <w:r w:rsidR="004F5269" w:rsidRPr="004F5269">
        <w:rPr>
          <w:color w:val="000000"/>
        </w:rPr>
        <w:t xml:space="preserve"> abnormal CT</w:t>
      </w:r>
      <w:r w:rsidR="004F5269">
        <w:rPr>
          <w:color w:val="000000"/>
        </w:rPr>
        <w:t>G traces, in keeping with a non-</w:t>
      </w:r>
      <w:r w:rsidR="004F5269" w:rsidRPr="004F5269">
        <w:rPr>
          <w:color w:val="000000"/>
        </w:rPr>
        <w:t>reassuring foetal condition</w:t>
      </w:r>
      <w:r w:rsidR="004F5269">
        <w:rPr>
          <w:color w:val="000000"/>
        </w:rPr>
        <w:t>; b</w:t>
      </w:r>
      <w:r w:rsidR="004F5269" w:rsidRPr="004F5269">
        <w:rPr>
          <w:color w:val="000000"/>
        </w:rPr>
        <w:t>irth of a compromised baby with very low Apgar scores</w:t>
      </w:r>
      <w:r w:rsidR="004F5269">
        <w:rPr>
          <w:color w:val="000000"/>
        </w:rPr>
        <w:t>; t</w:t>
      </w:r>
      <w:r w:rsidR="004F5269" w:rsidRPr="004F5269">
        <w:rPr>
          <w:color w:val="000000"/>
        </w:rPr>
        <w:t>he development of a neonatal encephalopathy of at least a</w:t>
      </w:r>
      <w:r w:rsidR="004F5269">
        <w:rPr>
          <w:color w:val="000000"/>
        </w:rPr>
        <w:t xml:space="preserve"> </w:t>
      </w:r>
      <w:r w:rsidR="004F5269" w:rsidRPr="004F5269">
        <w:rPr>
          <w:color w:val="000000"/>
        </w:rPr>
        <w:t>moderate or moderate-severe degree</w:t>
      </w:r>
      <w:r w:rsidR="004F5269">
        <w:rPr>
          <w:color w:val="000000"/>
        </w:rPr>
        <w:t>; t</w:t>
      </w:r>
      <w:r w:rsidR="004F5269" w:rsidRPr="004F5269">
        <w:rPr>
          <w:color w:val="000000"/>
        </w:rPr>
        <w:t xml:space="preserve">he MRI </w:t>
      </w:r>
      <w:r w:rsidR="004F5269">
        <w:rPr>
          <w:color w:val="000000"/>
        </w:rPr>
        <w:t xml:space="preserve">(done years later) </w:t>
      </w:r>
      <w:r w:rsidR="004F5269" w:rsidRPr="004F5269">
        <w:rPr>
          <w:color w:val="000000"/>
        </w:rPr>
        <w:t>which revealed an acute profound hypoxic ischaemic</w:t>
      </w:r>
      <w:r w:rsidR="004F5269">
        <w:rPr>
          <w:color w:val="000000"/>
        </w:rPr>
        <w:t xml:space="preserve"> </w:t>
      </w:r>
      <w:r w:rsidR="004F5269" w:rsidRPr="004F5269">
        <w:rPr>
          <w:color w:val="000000"/>
        </w:rPr>
        <w:t>brain injury</w:t>
      </w:r>
      <w:r w:rsidR="004F5269">
        <w:rPr>
          <w:color w:val="000000"/>
        </w:rPr>
        <w:t>; t</w:t>
      </w:r>
      <w:r w:rsidR="004F5269" w:rsidRPr="004F5269">
        <w:rPr>
          <w:color w:val="000000"/>
        </w:rPr>
        <w:t>he outcome of spastic quadriplegic cerebral palsy</w:t>
      </w:r>
    </w:p>
    <w:p w:rsidR="001905F8" w:rsidRPr="00350BA6" w:rsidRDefault="005A4BE6" w:rsidP="005A4BE6">
      <w:pPr>
        <w:spacing w:after="120" w:line="360" w:lineRule="auto"/>
        <w:jc w:val="both"/>
        <w:outlineLvl w:val="0"/>
        <w:rPr>
          <w:color w:val="000000"/>
        </w:rPr>
      </w:pPr>
      <w:r w:rsidRPr="00350BA6">
        <w:rPr>
          <w:color w:val="000000"/>
        </w:rPr>
        <w:lastRenderedPageBreak/>
        <w:t>[57].</w:t>
      </w:r>
      <w:r w:rsidRPr="00350BA6">
        <w:rPr>
          <w:color w:val="000000"/>
        </w:rPr>
        <w:tab/>
      </w:r>
      <w:proofErr w:type="gramStart"/>
      <w:r w:rsidR="00350BA6">
        <w:rPr>
          <w:color w:val="000000"/>
        </w:rPr>
        <w:t>On</w:t>
      </w:r>
      <w:proofErr w:type="gramEnd"/>
      <w:r w:rsidR="00350BA6">
        <w:rPr>
          <w:color w:val="000000"/>
        </w:rPr>
        <w:t xml:space="preserve"> the probabilities, h</w:t>
      </w:r>
      <w:r w:rsidR="001905F8" w:rsidRPr="001905F8">
        <w:rPr>
          <w:color w:val="000000"/>
        </w:rPr>
        <w:t>ad the foetal conditio</w:t>
      </w:r>
      <w:r w:rsidR="00350BA6">
        <w:rPr>
          <w:color w:val="000000"/>
        </w:rPr>
        <w:t>n been adequately monitored, a ‘</w:t>
      </w:r>
      <w:proofErr w:type="spellStart"/>
      <w:r w:rsidR="00350BA6">
        <w:rPr>
          <w:color w:val="000000"/>
        </w:rPr>
        <w:t>intrapartum</w:t>
      </w:r>
      <w:proofErr w:type="spellEnd"/>
      <w:r w:rsidR="001905F8" w:rsidRPr="001905F8">
        <w:rPr>
          <w:color w:val="000000"/>
        </w:rPr>
        <w:t xml:space="preserve"> hypoxic </w:t>
      </w:r>
      <w:r w:rsidR="00350BA6">
        <w:rPr>
          <w:color w:val="000000"/>
        </w:rPr>
        <w:t>insult’</w:t>
      </w:r>
      <w:r w:rsidR="001905F8" w:rsidRPr="001905F8">
        <w:rPr>
          <w:color w:val="000000"/>
        </w:rPr>
        <w:t xml:space="preserve"> would </w:t>
      </w:r>
      <w:r w:rsidR="00350BA6">
        <w:rPr>
          <w:color w:val="000000"/>
        </w:rPr>
        <w:t xml:space="preserve">have been detected. </w:t>
      </w:r>
      <w:r w:rsidR="001905F8" w:rsidRPr="00350BA6">
        <w:rPr>
          <w:color w:val="000000"/>
        </w:rPr>
        <w:t xml:space="preserve">The failure to monitor the foetal </w:t>
      </w:r>
      <w:proofErr w:type="spellStart"/>
      <w:r w:rsidR="001905F8" w:rsidRPr="00350BA6">
        <w:rPr>
          <w:color w:val="000000"/>
        </w:rPr>
        <w:t>heartrate</w:t>
      </w:r>
      <w:proofErr w:type="spellEnd"/>
      <w:r w:rsidR="001905F8" w:rsidRPr="00350BA6">
        <w:rPr>
          <w:color w:val="000000"/>
        </w:rPr>
        <w:t xml:space="preserve"> continuously as </w:t>
      </w:r>
      <w:r w:rsidR="00350BA6">
        <w:rPr>
          <w:color w:val="000000"/>
        </w:rPr>
        <w:t xml:space="preserve">reasonably </w:t>
      </w:r>
      <w:r w:rsidR="001905F8" w:rsidRPr="00350BA6">
        <w:rPr>
          <w:color w:val="000000"/>
        </w:rPr>
        <w:t xml:space="preserve">required cannot be disputed. </w:t>
      </w:r>
    </w:p>
    <w:p w:rsidR="00350BA6" w:rsidRDefault="005A4BE6" w:rsidP="005A4BE6">
      <w:pPr>
        <w:spacing w:after="120" w:line="360" w:lineRule="auto"/>
        <w:jc w:val="both"/>
        <w:outlineLvl w:val="0"/>
        <w:rPr>
          <w:color w:val="000000"/>
        </w:rPr>
      </w:pPr>
      <w:r>
        <w:rPr>
          <w:color w:val="000000"/>
        </w:rPr>
        <w:t>[58].</w:t>
      </w:r>
      <w:r>
        <w:rPr>
          <w:color w:val="000000"/>
        </w:rPr>
        <w:tab/>
      </w:r>
      <w:r w:rsidR="00350BA6">
        <w:rPr>
          <w:color w:val="000000"/>
        </w:rPr>
        <w:t xml:space="preserve">All of the </w:t>
      </w:r>
      <w:r w:rsidR="001905F8" w:rsidRPr="001905F8">
        <w:rPr>
          <w:color w:val="000000"/>
        </w:rPr>
        <w:t>expert</w:t>
      </w:r>
      <w:r w:rsidR="00350BA6">
        <w:rPr>
          <w:color w:val="000000"/>
        </w:rPr>
        <w:t xml:space="preserve">s, including the Neonatologists, </w:t>
      </w:r>
      <w:r w:rsidR="001905F8" w:rsidRPr="001905F8">
        <w:rPr>
          <w:color w:val="000000"/>
        </w:rPr>
        <w:t xml:space="preserve">excluded </w:t>
      </w:r>
      <w:r w:rsidR="0000663B">
        <w:rPr>
          <w:color w:val="000000"/>
        </w:rPr>
        <w:t>a</w:t>
      </w:r>
      <w:r w:rsidR="001905F8" w:rsidRPr="001905F8">
        <w:rPr>
          <w:color w:val="000000"/>
        </w:rPr>
        <w:t xml:space="preserve"> range of other causes for </w:t>
      </w:r>
      <w:r w:rsidR="00350BA6">
        <w:rPr>
          <w:color w:val="000000"/>
        </w:rPr>
        <w:t>the child’s</w:t>
      </w:r>
      <w:r w:rsidR="001905F8" w:rsidRPr="001905F8">
        <w:rPr>
          <w:color w:val="000000"/>
        </w:rPr>
        <w:t xml:space="preserve"> brain injury, such as infection, congenital abnormality, a metabolic disorder, an inflammatory disorder or a haemorrhage. </w:t>
      </w:r>
      <w:r w:rsidR="00350BA6">
        <w:rPr>
          <w:color w:val="000000"/>
        </w:rPr>
        <w:t xml:space="preserve">As regards the alleged short umbilical cord as a possible cause, </w:t>
      </w:r>
      <w:r w:rsidR="0000663B">
        <w:rPr>
          <w:color w:val="000000"/>
        </w:rPr>
        <w:t>this has</w:t>
      </w:r>
      <w:r w:rsidR="00350BA6">
        <w:rPr>
          <w:color w:val="000000"/>
        </w:rPr>
        <w:t xml:space="preserve"> already been discussed </w:t>
      </w:r>
      <w:r w:rsidR="00350BA6" w:rsidRPr="0000663B">
        <w:rPr>
          <w:i/>
          <w:color w:val="000000"/>
        </w:rPr>
        <w:t>supra</w:t>
      </w:r>
      <w:r w:rsidR="00350BA6">
        <w:rPr>
          <w:color w:val="000000"/>
        </w:rPr>
        <w:t xml:space="preserve"> and should, in my view, be ruled out as a possible cause of the child’s brain damage. </w:t>
      </w:r>
    </w:p>
    <w:p w:rsidR="001905F8" w:rsidRDefault="005A4BE6" w:rsidP="005A4BE6">
      <w:pPr>
        <w:spacing w:after="240" w:line="360" w:lineRule="auto"/>
        <w:jc w:val="both"/>
        <w:outlineLvl w:val="0"/>
        <w:rPr>
          <w:color w:val="000000"/>
        </w:rPr>
      </w:pPr>
      <w:r>
        <w:rPr>
          <w:color w:val="000000"/>
        </w:rPr>
        <w:t>[59].</w:t>
      </w:r>
      <w:r>
        <w:rPr>
          <w:color w:val="000000"/>
        </w:rPr>
        <w:tab/>
      </w:r>
      <w:r w:rsidR="001905F8" w:rsidRPr="001905F8">
        <w:rPr>
          <w:color w:val="000000"/>
        </w:rPr>
        <w:t xml:space="preserve">It is accordingly at least probable, in my view, that, had the </w:t>
      </w:r>
      <w:r w:rsidR="007501C7">
        <w:rPr>
          <w:color w:val="000000"/>
        </w:rPr>
        <w:t xml:space="preserve">foetal heart rate been monitored properly, foetal distress would have been detected and remedial and preventative measures could have been implemented. Such </w:t>
      </w:r>
      <w:r w:rsidR="001905F8" w:rsidRPr="007501C7">
        <w:rPr>
          <w:color w:val="000000"/>
        </w:rPr>
        <w:t xml:space="preserve">further indications of foetal distress could have been dealt with timeously. This would probably have ensured that </w:t>
      </w:r>
      <w:r w:rsidR="007501C7">
        <w:rPr>
          <w:color w:val="000000"/>
        </w:rPr>
        <w:t xml:space="preserve">the </w:t>
      </w:r>
      <w:r w:rsidR="001905F8" w:rsidRPr="007501C7">
        <w:rPr>
          <w:color w:val="000000"/>
        </w:rPr>
        <w:t xml:space="preserve">stable condition of the foetus was maintained, either </w:t>
      </w:r>
      <w:r w:rsidR="007501C7">
        <w:rPr>
          <w:color w:val="000000"/>
        </w:rPr>
        <w:t xml:space="preserve">for as long as it took for the child </w:t>
      </w:r>
      <w:r w:rsidR="001905F8" w:rsidRPr="007501C7">
        <w:rPr>
          <w:color w:val="000000"/>
        </w:rPr>
        <w:t xml:space="preserve">to be born naturally, or for a Caesarean section to be performed. I am </w:t>
      </w:r>
      <w:r w:rsidR="007501C7">
        <w:rPr>
          <w:color w:val="000000"/>
        </w:rPr>
        <w:t xml:space="preserve">therefore </w:t>
      </w:r>
      <w:r w:rsidR="001905F8" w:rsidRPr="007501C7">
        <w:rPr>
          <w:color w:val="000000"/>
        </w:rPr>
        <w:t xml:space="preserve">satisfied that, on a balance of probabilities, the failure </w:t>
      </w:r>
      <w:r w:rsidR="007501C7">
        <w:rPr>
          <w:color w:val="000000"/>
        </w:rPr>
        <w:t xml:space="preserve">to properly and continuously monitor the foetal </w:t>
      </w:r>
      <w:proofErr w:type="spellStart"/>
      <w:r w:rsidR="007501C7">
        <w:rPr>
          <w:color w:val="000000"/>
        </w:rPr>
        <w:t>heartrate</w:t>
      </w:r>
      <w:proofErr w:type="spellEnd"/>
      <w:r w:rsidR="007501C7">
        <w:rPr>
          <w:color w:val="000000"/>
        </w:rPr>
        <w:t xml:space="preserve">, which in turn resulted in a failure </w:t>
      </w:r>
      <w:r w:rsidR="001905F8" w:rsidRPr="007501C7">
        <w:rPr>
          <w:color w:val="000000"/>
        </w:rPr>
        <w:t xml:space="preserve">to take the steps necessary to maintain a healthy foetal condition </w:t>
      </w:r>
      <w:r w:rsidR="007501C7">
        <w:rPr>
          <w:color w:val="000000"/>
        </w:rPr>
        <w:t xml:space="preserve">after 04:00 </w:t>
      </w:r>
      <w:r w:rsidR="001905F8" w:rsidRPr="007501C7">
        <w:rPr>
          <w:color w:val="000000"/>
        </w:rPr>
        <w:t xml:space="preserve">caused the hypoxic brain injury that was later identified. </w:t>
      </w:r>
    </w:p>
    <w:p w:rsidR="00361513" w:rsidRPr="00361513" w:rsidRDefault="00361513" w:rsidP="00361513">
      <w:pPr>
        <w:spacing w:after="120" w:line="360" w:lineRule="auto"/>
        <w:jc w:val="both"/>
        <w:outlineLvl w:val="0"/>
        <w:rPr>
          <w:b/>
          <w:color w:val="000000"/>
        </w:rPr>
      </w:pPr>
      <w:r w:rsidRPr="00361513">
        <w:rPr>
          <w:b/>
          <w:color w:val="000000"/>
        </w:rPr>
        <w:t>Defendant’s Special Plea of Prescription</w:t>
      </w:r>
    </w:p>
    <w:p w:rsidR="00361513" w:rsidRDefault="005A4BE6" w:rsidP="005A4BE6">
      <w:pPr>
        <w:spacing w:after="120" w:line="360" w:lineRule="auto"/>
        <w:jc w:val="both"/>
        <w:outlineLvl w:val="0"/>
        <w:rPr>
          <w:color w:val="000000"/>
        </w:rPr>
      </w:pPr>
      <w:r>
        <w:rPr>
          <w:color w:val="000000"/>
        </w:rPr>
        <w:t>[60].</w:t>
      </w:r>
      <w:r>
        <w:rPr>
          <w:color w:val="000000"/>
        </w:rPr>
        <w:tab/>
      </w:r>
      <w:r w:rsidR="00361513">
        <w:rPr>
          <w:color w:val="000000"/>
        </w:rPr>
        <w:t>There is one more issue which I need to deal with, which relates to a special plea raised by the defendant in his amended plea to the effect that the claim</w:t>
      </w:r>
      <w:r w:rsidR="00E23023">
        <w:rPr>
          <w:color w:val="000000"/>
        </w:rPr>
        <w:t>s</w:t>
      </w:r>
      <w:r w:rsidR="00361513">
        <w:rPr>
          <w:color w:val="000000"/>
        </w:rPr>
        <w:t xml:space="preserve"> by the plaintiff under any and/or all of the different heads of </w:t>
      </w:r>
      <w:r w:rsidR="0000663B">
        <w:rPr>
          <w:color w:val="000000"/>
        </w:rPr>
        <w:t>damages</w:t>
      </w:r>
      <w:r w:rsidR="00361513">
        <w:rPr>
          <w:color w:val="000000"/>
        </w:rPr>
        <w:t>, excepting only general damages for pain and suffering and loss of amenities of life, are in truth and in fact claims by the plaintiff in her personal capacity</w:t>
      </w:r>
      <w:r w:rsidR="00E23023">
        <w:rPr>
          <w:color w:val="000000"/>
        </w:rPr>
        <w:t xml:space="preserve"> and not those of her minor child</w:t>
      </w:r>
      <w:r w:rsidR="00361513">
        <w:rPr>
          <w:color w:val="000000"/>
        </w:rPr>
        <w:t xml:space="preserve">. The MEC therefore asks for a declaratory order to that effect. This also means, so the MEC contends, that those claims have become prescribed and should therefore be dismissed with costs, which is the further order prayed for by the MEC in his </w:t>
      </w:r>
      <w:r w:rsidR="00E23023">
        <w:rPr>
          <w:color w:val="000000"/>
        </w:rPr>
        <w:t>special plea. I now turn my attention to deal briefly with this issue.</w:t>
      </w:r>
    </w:p>
    <w:p w:rsidR="00DC218E" w:rsidRDefault="005A4BE6" w:rsidP="005A4BE6">
      <w:pPr>
        <w:spacing w:after="120" w:line="360" w:lineRule="auto"/>
        <w:jc w:val="both"/>
        <w:outlineLvl w:val="0"/>
        <w:rPr>
          <w:color w:val="000000"/>
        </w:rPr>
      </w:pPr>
      <w:r>
        <w:rPr>
          <w:color w:val="000000"/>
        </w:rPr>
        <w:lastRenderedPageBreak/>
        <w:t>[61].</w:t>
      </w:r>
      <w:r>
        <w:rPr>
          <w:color w:val="000000"/>
        </w:rPr>
        <w:tab/>
      </w:r>
      <w:proofErr w:type="gramStart"/>
      <w:r w:rsidR="00E23023">
        <w:rPr>
          <w:color w:val="000000"/>
        </w:rPr>
        <w:t>In</w:t>
      </w:r>
      <w:proofErr w:type="gramEnd"/>
      <w:r w:rsidR="00E23023">
        <w:rPr>
          <w:color w:val="000000"/>
        </w:rPr>
        <w:t xml:space="preserve"> this action the plaintiff claims on behalf of her minor child </w:t>
      </w:r>
      <w:r w:rsidR="00361513" w:rsidRPr="00E23023">
        <w:rPr>
          <w:i/>
          <w:color w:val="000000"/>
        </w:rPr>
        <w:t>inter alia</w:t>
      </w:r>
      <w:r w:rsidR="00E23023">
        <w:rPr>
          <w:color w:val="000000"/>
        </w:rPr>
        <w:t>: (1) future hospital, medical and related expenses; (2) future loss of earning / loss of income earning capacity / loss of employability</w:t>
      </w:r>
      <w:r w:rsidR="00DC218E">
        <w:rPr>
          <w:color w:val="000000"/>
        </w:rPr>
        <w:t xml:space="preserve">. In his special plea, the MEC contends </w:t>
      </w:r>
      <w:r w:rsidR="00361513" w:rsidRPr="00DC218E">
        <w:rPr>
          <w:color w:val="000000"/>
        </w:rPr>
        <w:t>that</w:t>
      </w:r>
      <w:r w:rsidR="00DC218E">
        <w:rPr>
          <w:color w:val="000000"/>
        </w:rPr>
        <w:t xml:space="preserve">, now that the plaintiff’s minor child is so severely incapacitated, she owes the minor child </w:t>
      </w:r>
      <w:r w:rsidR="00361513" w:rsidRPr="00DC218E">
        <w:rPr>
          <w:color w:val="000000"/>
        </w:rPr>
        <w:t xml:space="preserve">a duty of support, which would include the duty to pay in his personal capacity all medical and hospital expenses reasonably incurred in respect of her, </w:t>
      </w:r>
      <w:r w:rsidR="00DC218E">
        <w:rPr>
          <w:color w:val="000000"/>
        </w:rPr>
        <w:t xml:space="preserve">as well as ensure that the child is supported and maintained for the remainder of her life. This then means, so the MEC contends, that the plaintiff </w:t>
      </w:r>
      <w:r w:rsidR="00361513" w:rsidRPr="00DC218E">
        <w:rPr>
          <w:color w:val="000000"/>
        </w:rPr>
        <w:t xml:space="preserve">in </w:t>
      </w:r>
      <w:r w:rsidR="00DC218E">
        <w:rPr>
          <w:color w:val="000000"/>
        </w:rPr>
        <w:t>her</w:t>
      </w:r>
      <w:r w:rsidR="00361513" w:rsidRPr="00DC218E">
        <w:rPr>
          <w:color w:val="000000"/>
        </w:rPr>
        <w:t xml:space="preserve"> capacity as </w:t>
      </w:r>
      <w:r w:rsidR="00DC218E">
        <w:rPr>
          <w:color w:val="000000"/>
        </w:rPr>
        <w:t>mother</w:t>
      </w:r>
      <w:r w:rsidR="00361513" w:rsidRPr="00DC218E">
        <w:rPr>
          <w:color w:val="000000"/>
        </w:rPr>
        <w:t xml:space="preserve"> and natural guardian </w:t>
      </w:r>
      <w:r w:rsidR="00DC218E">
        <w:rPr>
          <w:color w:val="000000"/>
        </w:rPr>
        <w:t>has</w:t>
      </w:r>
      <w:r w:rsidR="00361513" w:rsidRPr="00DC218E">
        <w:rPr>
          <w:color w:val="000000"/>
        </w:rPr>
        <w:t xml:space="preserve"> suffered no damages in respect of such expenses: </w:t>
      </w:r>
      <w:r w:rsidR="00DC218E">
        <w:rPr>
          <w:color w:val="000000"/>
        </w:rPr>
        <w:t>s</w:t>
      </w:r>
      <w:r w:rsidR="00361513" w:rsidRPr="00DC218E">
        <w:rPr>
          <w:color w:val="000000"/>
        </w:rPr>
        <w:t xml:space="preserve">he should accordingly have sued in </w:t>
      </w:r>
      <w:r w:rsidR="00DC218E">
        <w:rPr>
          <w:color w:val="000000"/>
        </w:rPr>
        <w:t>her</w:t>
      </w:r>
      <w:r w:rsidR="00361513" w:rsidRPr="00DC218E">
        <w:rPr>
          <w:color w:val="000000"/>
        </w:rPr>
        <w:t xml:space="preserve"> personal and not in </w:t>
      </w:r>
      <w:r w:rsidR="0000663B">
        <w:rPr>
          <w:color w:val="000000"/>
        </w:rPr>
        <w:t>her</w:t>
      </w:r>
      <w:r w:rsidR="00361513" w:rsidRPr="00DC218E">
        <w:rPr>
          <w:color w:val="000000"/>
        </w:rPr>
        <w:t xml:space="preserve"> representative capacity. The issue raised </w:t>
      </w:r>
      <w:r w:rsidR="00DC218E">
        <w:rPr>
          <w:color w:val="000000"/>
        </w:rPr>
        <w:t xml:space="preserve">in the MEC’s special plea </w:t>
      </w:r>
      <w:r w:rsidR="00361513" w:rsidRPr="00DC218E">
        <w:rPr>
          <w:color w:val="000000"/>
        </w:rPr>
        <w:t xml:space="preserve">was thus whether or not </w:t>
      </w:r>
      <w:r w:rsidR="00DC218E">
        <w:rPr>
          <w:color w:val="000000"/>
        </w:rPr>
        <w:t xml:space="preserve">the </w:t>
      </w:r>
      <w:r w:rsidR="00361513" w:rsidRPr="00DC218E">
        <w:rPr>
          <w:color w:val="000000"/>
        </w:rPr>
        <w:t>minor was in law entitled to claim compensation for future medical and hospital expenses</w:t>
      </w:r>
      <w:r w:rsidR="00DC218E">
        <w:rPr>
          <w:color w:val="000000"/>
        </w:rPr>
        <w:t xml:space="preserve"> and future loss of earnings,</w:t>
      </w:r>
      <w:r w:rsidR="00361513" w:rsidRPr="00DC218E">
        <w:rPr>
          <w:color w:val="000000"/>
        </w:rPr>
        <w:t xml:space="preserve"> as prospective patrimonial loss in respect of her bodily injuries. </w:t>
      </w:r>
    </w:p>
    <w:p w:rsidR="00945C67" w:rsidRDefault="005A4BE6" w:rsidP="005A4BE6">
      <w:pPr>
        <w:spacing w:after="120" w:line="360" w:lineRule="auto"/>
        <w:jc w:val="both"/>
        <w:outlineLvl w:val="0"/>
        <w:rPr>
          <w:color w:val="000000"/>
        </w:rPr>
      </w:pPr>
      <w:r>
        <w:rPr>
          <w:color w:val="000000"/>
        </w:rPr>
        <w:t>[62].</w:t>
      </w:r>
      <w:r>
        <w:rPr>
          <w:color w:val="000000"/>
        </w:rPr>
        <w:tab/>
      </w:r>
      <w:r w:rsidR="00DC218E">
        <w:rPr>
          <w:color w:val="000000"/>
        </w:rPr>
        <w:t xml:space="preserve">This issue and the principles relating thereto have been dealt with extensively by the Supreme Court of Appeal in </w:t>
      </w:r>
      <w:r w:rsidR="00DC218E" w:rsidRPr="00945C67">
        <w:rPr>
          <w:i/>
          <w:color w:val="000000"/>
        </w:rPr>
        <w:t>Guardian Nationa</w:t>
      </w:r>
      <w:r w:rsidR="00945C67" w:rsidRPr="00945C67">
        <w:rPr>
          <w:i/>
          <w:color w:val="000000"/>
        </w:rPr>
        <w:t xml:space="preserve">l Insurance Co Ltd v Van </w:t>
      </w:r>
      <w:proofErr w:type="spellStart"/>
      <w:r w:rsidR="00945C67" w:rsidRPr="00945C67">
        <w:rPr>
          <w:i/>
          <w:color w:val="000000"/>
        </w:rPr>
        <w:t>Gool</w:t>
      </w:r>
      <w:proofErr w:type="spellEnd"/>
      <w:r w:rsidR="00945C67" w:rsidRPr="00945C67">
        <w:rPr>
          <w:i/>
          <w:color w:val="000000"/>
        </w:rPr>
        <w:t xml:space="preserve"> NO</w:t>
      </w:r>
      <w:r w:rsidR="00945C67">
        <w:rPr>
          <w:rStyle w:val="FootnoteReference"/>
          <w:i/>
          <w:color w:val="000000"/>
        </w:rPr>
        <w:footnoteReference w:id="5"/>
      </w:r>
      <w:r w:rsidR="00945C67">
        <w:rPr>
          <w:color w:val="000000"/>
        </w:rPr>
        <w:t xml:space="preserve">. The SCA rejected the self-same contentions raised by the MEC </w:t>
      </w:r>
      <w:r w:rsidR="00945C67" w:rsidRPr="00945C67">
        <w:rPr>
          <w:i/>
          <w:color w:val="000000"/>
        </w:rPr>
        <w:t xml:space="preserve">in </w:t>
      </w:r>
      <w:proofErr w:type="spellStart"/>
      <w:r w:rsidR="00945C67" w:rsidRPr="00945C67">
        <w:rPr>
          <w:i/>
          <w:color w:val="000000"/>
        </w:rPr>
        <w:t>casu</w:t>
      </w:r>
      <w:proofErr w:type="spellEnd"/>
      <w:r w:rsidR="00945C67">
        <w:rPr>
          <w:color w:val="000000"/>
        </w:rPr>
        <w:t xml:space="preserve"> mainly on the basis that a minor child, in addition to having available to him or her  </w:t>
      </w:r>
      <w:r w:rsidR="00361513" w:rsidRPr="00945C67">
        <w:rPr>
          <w:color w:val="000000"/>
        </w:rPr>
        <w:t xml:space="preserve">a right to claim from </w:t>
      </w:r>
      <w:r w:rsidR="00945C67">
        <w:rPr>
          <w:color w:val="000000"/>
        </w:rPr>
        <w:t xml:space="preserve">his or her </w:t>
      </w:r>
      <w:r w:rsidR="00361513" w:rsidRPr="00945C67">
        <w:rPr>
          <w:color w:val="000000"/>
        </w:rPr>
        <w:t>parents to pay, according to their means, her prospective medical and hospital expenses</w:t>
      </w:r>
      <w:r w:rsidR="00945C67">
        <w:rPr>
          <w:color w:val="000000"/>
        </w:rPr>
        <w:t xml:space="preserve">, also had the right, </w:t>
      </w:r>
      <w:r w:rsidR="00361513" w:rsidRPr="00945C67">
        <w:rPr>
          <w:color w:val="000000"/>
        </w:rPr>
        <w:t xml:space="preserve">as the victim of a </w:t>
      </w:r>
      <w:proofErr w:type="spellStart"/>
      <w:r w:rsidR="00361513" w:rsidRPr="00945C67">
        <w:rPr>
          <w:color w:val="000000"/>
        </w:rPr>
        <w:t>delict</w:t>
      </w:r>
      <w:proofErr w:type="spellEnd"/>
      <w:r w:rsidR="00361513" w:rsidRPr="00945C67">
        <w:rPr>
          <w:color w:val="000000"/>
        </w:rPr>
        <w:t xml:space="preserve"> perpetrated against </w:t>
      </w:r>
      <w:r w:rsidR="00945C67">
        <w:rPr>
          <w:color w:val="000000"/>
        </w:rPr>
        <w:t xml:space="preserve">him or </w:t>
      </w:r>
      <w:r w:rsidR="00361513" w:rsidRPr="00945C67">
        <w:rPr>
          <w:color w:val="000000"/>
        </w:rPr>
        <w:t>her</w:t>
      </w:r>
      <w:r w:rsidR="00945C67">
        <w:rPr>
          <w:color w:val="000000"/>
        </w:rPr>
        <w:t>,</w:t>
      </w:r>
      <w:r w:rsidR="00361513" w:rsidRPr="00945C67">
        <w:rPr>
          <w:color w:val="000000"/>
        </w:rPr>
        <w:t xml:space="preserve"> to claim compensation from the wrongdoer for general damages relating to non-patrimonial loss (such as pain and suffering, loss of amenities, disfigurement and loss of expectation of life) as well as prospective patrimonial loss such as future medical and hospital expenses. These two rights </w:t>
      </w:r>
      <w:r w:rsidR="00945C67">
        <w:rPr>
          <w:color w:val="000000"/>
        </w:rPr>
        <w:t>are</w:t>
      </w:r>
      <w:r w:rsidR="00361513" w:rsidRPr="00945C67">
        <w:rPr>
          <w:color w:val="000000"/>
        </w:rPr>
        <w:t xml:space="preserve"> co-existent: </w:t>
      </w:r>
      <w:r w:rsidR="00945C67">
        <w:rPr>
          <w:color w:val="000000"/>
        </w:rPr>
        <w:t>the minor child’s</w:t>
      </w:r>
      <w:r w:rsidR="00361513" w:rsidRPr="00945C67">
        <w:rPr>
          <w:color w:val="000000"/>
        </w:rPr>
        <w:t xml:space="preserve"> right to personal support did not deprive her of her</w:t>
      </w:r>
      <w:r w:rsidR="00945C67">
        <w:rPr>
          <w:color w:val="000000"/>
        </w:rPr>
        <w:t xml:space="preserve"> </w:t>
      </w:r>
      <w:proofErr w:type="spellStart"/>
      <w:r w:rsidR="00945C67">
        <w:rPr>
          <w:color w:val="000000"/>
        </w:rPr>
        <w:t>delictual</w:t>
      </w:r>
      <w:proofErr w:type="spellEnd"/>
      <w:r w:rsidR="00945C67">
        <w:rPr>
          <w:color w:val="000000"/>
        </w:rPr>
        <w:t xml:space="preserve"> right against the </w:t>
      </w:r>
      <w:r w:rsidR="00361513" w:rsidRPr="00945C67">
        <w:rPr>
          <w:color w:val="000000"/>
        </w:rPr>
        <w:t xml:space="preserve">wrongdoer. </w:t>
      </w:r>
    </w:p>
    <w:p w:rsidR="00843BA7" w:rsidRDefault="005A4BE6" w:rsidP="005A4BE6">
      <w:pPr>
        <w:spacing w:line="360" w:lineRule="auto"/>
        <w:jc w:val="both"/>
        <w:outlineLvl w:val="0"/>
        <w:rPr>
          <w:color w:val="000000"/>
        </w:rPr>
      </w:pPr>
      <w:r>
        <w:rPr>
          <w:color w:val="000000"/>
        </w:rPr>
        <w:t>[63].</w:t>
      </w:r>
      <w:r>
        <w:rPr>
          <w:color w:val="000000"/>
        </w:rPr>
        <w:tab/>
      </w:r>
      <w:proofErr w:type="gramStart"/>
      <w:r w:rsidR="00945C67">
        <w:rPr>
          <w:color w:val="000000"/>
        </w:rPr>
        <w:t>That</w:t>
      </w:r>
      <w:proofErr w:type="gramEnd"/>
      <w:r w:rsidR="00945C67">
        <w:rPr>
          <w:color w:val="000000"/>
        </w:rPr>
        <w:t xml:space="preserve">, in my view, </w:t>
      </w:r>
      <w:r w:rsidR="000A1078">
        <w:rPr>
          <w:color w:val="000000"/>
        </w:rPr>
        <w:t xml:space="preserve">spells the end of defendant’s special plea. </w:t>
      </w:r>
      <w:r w:rsidR="00B40BE1">
        <w:rPr>
          <w:color w:val="000000"/>
        </w:rPr>
        <w:t xml:space="preserve">Moreover, as correctly pointed out by Mr Du Plessis SC, who appeared on behalf of the plaintiff with Mr </w:t>
      </w:r>
      <w:proofErr w:type="spellStart"/>
      <w:r w:rsidR="00B40BE1">
        <w:rPr>
          <w:color w:val="000000"/>
        </w:rPr>
        <w:t>Cremen</w:t>
      </w:r>
      <w:proofErr w:type="spellEnd"/>
      <w:r w:rsidR="00B40BE1">
        <w:rPr>
          <w:color w:val="000000"/>
        </w:rPr>
        <w:t>, when the special plea was argued on 17 August 2018, t</w:t>
      </w:r>
      <w:r w:rsidR="00843BA7">
        <w:rPr>
          <w:color w:val="000000"/>
        </w:rPr>
        <w:t xml:space="preserve">he judgment in </w:t>
      </w:r>
      <w:r w:rsidR="00843BA7" w:rsidRPr="00843BA7">
        <w:rPr>
          <w:i/>
          <w:color w:val="000000"/>
        </w:rPr>
        <w:t xml:space="preserve">Van </w:t>
      </w:r>
      <w:proofErr w:type="spellStart"/>
      <w:r w:rsidR="00843BA7" w:rsidRPr="00843BA7">
        <w:rPr>
          <w:i/>
          <w:color w:val="000000"/>
        </w:rPr>
        <w:t>Gool</w:t>
      </w:r>
      <w:proofErr w:type="spellEnd"/>
      <w:r w:rsidR="00843BA7">
        <w:rPr>
          <w:color w:val="000000"/>
        </w:rPr>
        <w:t xml:space="preserve"> and </w:t>
      </w:r>
      <w:r w:rsidR="00B40BE1">
        <w:rPr>
          <w:color w:val="000000"/>
        </w:rPr>
        <w:t>its</w:t>
      </w:r>
      <w:r w:rsidR="00843BA7">
        <w:rPr>
          <w:color w:val="000000"/>
        </w:rPr>
        <w:t xml:space="preserve"> </w:t>
      </w:r>
      <w:r w:rsidR="00843BA7" w:rsidRPr="00843BA7">
        <w:rPr>
          <w:i/>
          <w:color w:val="000000"/>
        </w:rPr>
        <w:t xml:space="preserve">ratio </w:t>
      </w:r>
      <w:proofErr w:type="spellStart"/>
      <w:r w:rsidR="00843BA7" w:rsidRPr="00843BA7">
        <w:rPr>
          <w:i/>
          <w:color w:val="000000"/>
        </w:rPr>
        <w:t>decidendi</w:t>
      </w:r>
      <w:proofErr w:type="spellEnd"/>
      <w:r w:rsidR="00843BA7">
        <w:rPr>
          <w:color w:val="000000"/>
        </w:rPr>
        <w:t xml:space="preserve"> were endorsed by this Court </w:t>
      </w:r>
      <w:r w:rsidR="00843BA7">
        <w:rPr>
          <w:color w:val="000000"/>
        </w:rPr>
        <w:lastRenderedPageBreak/>
        <w:t>(per</w:t>
      </w:r>
      <w:r w:rsidR="00B40BE1">
        <w:rPr>
          <w:color w:val="000000"/>
        </w:rPr>
        <w:t> </w:t>
      </w:r>
      <w:r w:rsidR="00843BA7">
        <w:rPr>
          <w:color w:val="000000"/>
        </w:rPr>
        <w:t xml:space="preserve">Van der </w:t>
      </w:r>
      <w:proofErr w:type="spellStart"/>
      <w:r w:rsidR="00843BA7">
        <w:rPr>
          <w:color w:val="000000"/>
        </w:rPr>
        <w:t>Linde</w:t>
      </w:r>
      <w:proofErr w:type="spellEnd"/>
      <w:r w:rsidR="00843BA7">
        <w:rPr>
          <w:color w:val="000000"/>
        </w:rPr>
        <w:t xml:space="preserve"> J) in </w:t>
      </w:r>
      <w:proofErr w:type="spellStart"/>
      <w:r w:rsidR="00843BA7" w:rsidRPr="00843BA7">
        <w:rPr>
          <w:i/>
          <w:color w:val="000000"/>
        </w:rPr>
        <w:t>Zondo</w:t>
      </w:r>
      <w:proofErr w:type="spellEnd"/>
      <w:r w:rsidR="00843BA7" w:rsidRPr="00843BA7">
        <w:rPr>
          <w:i/>
          <w:color w:val="000000"/>
        </w:rPr>
        <w:t xml:space="preserve"> v MEC for Health of the Gauteng Provincial Government</w:t>
      </w:r>
      <w:r w:rsidR="00843BA7">
        <w:rPr>
          <w:rStyle w:val="FootnoteReference"/>
          <w:i/>
          <w:color w:val="000000"/>
        </w:rPr>
        <w:footnoteReference w:id="6"/>
      </w:r>
      <w:r w:rsidR="00843BA7">
        <w:rPr>
          <w:color w:val="000000"/>
        </w:rPr>
        <w:t>, in which it was held as follows: -</w:t>
      </w:r>
    </w:p>
    <w:p w:rsidR="00843BA7" w:rsidRPr="00843BA7" w:rsidRDefault="00843BA7" w:rsidP="00843BA7">
      <w:pPr>
        <w:spacing w:after="120" w:line="360" w:lineRule="auto"/>
        <w:jc w:val="both"/>
        <w:outlineLvl w:val="0"/>
        <w:rPr>
          <w:color w:val="000000"/>
          <w:sz w:val="20"/>
          <w:szCs w:val="20"/>
        </w:rPr>
      </w:pPr>
      <w:r w:rsidRPr="00843BA7">
        <w:rPr>
          <w:color w:val="000000"/>
          <w:sz w:val="20"/>
          <w:szCs w:val="20"/>
        </w:rPr>
        <w:t>‘[14</w:t>
      </w:r>
      <w:r>
        <w:rPr>
          <w:color w:val="000000"/>
          <w:sz w:val="20"/>
          <w:szCs w:val="20"/>
        </w:rPr>
        <w:t>]</w:t>
      </w:r>
      <w:r>
        <w:rPr>
          <w:color w:val="000000"/>
          <w:sz w:val="20"/>
          <w:szCs w:val="20"/>
        </w:rPr>
        <w:tab/>
      </w:r>
      <w:r w:rsidRPr="00843BA7">
        <w:rPr>
          <w:color w:val="000000"/>
          <w:sz w:val="20"/>
          <w:szCs w:val="20"/>
        </w:rPr>
        <w:t xml:space="preserve">So </w:t>
      </w:r>
      <w:r w:rsidRPr="00843BA7">
        <w:rPr>
          <w:i/>
          <w:color w:val="000000"/>
          <w:sz w:val="20"/>
          <w:szCs w:val="20"/>
        </w:rPr>
        <w:t xml:space="preserve">Van </w:t>
      </w:r>
      <w:proofErr w:type="spellStart"/>
      <w:r w:rsidRPr="00843BA7">
        <w:rPr>
          <w:i/>
          <w:color w:val="000000"/>
          <w:sz w:val="20"/>
          <w:szCs w:val="20"/>
        </w:rPr>
        <w:t>Gool</w:t>
      </w:r>
      <w:proofErr w:type="spellEnd"/>
      <w:r w:rsidRPr="00843BA7">
        <w:rPr>
          <w:color w:val="000000"/>
          <w:sz w:val="20"/>
          <w:szCs w:val="20"/>
        </w:rPr>
        <w:t xml:space="preserve"> made it plain that a minor has a claim for prospective patrimonial loss such as future medical and hospital expenses and future loss of earnings. </w:t>
      </w:r>
      <w:r w:rsidRPr="00843BA7">
        <w:rPr>
          <w:i/>
          <w:color w:val="000000"/>
          <w:sz w:val="20"/>
          <w:szCs w:val="20"/>
        </w:rPr>
        <w:t xml:space="preserve">Van </w:t>
      </w:r>
      <w:proofErr w:type="spellStart"/>
      <w:r w:rsidRPr="00843BA7">
        <w:rPr>
          <w:i/>
          <w:color w:val="000000"/>
          <w:sz w:val="20"/>
          <w:szCs w:val="20"/>
        </w:rPr>
        <w:t>Gool</w:t>
      </w:r>
      <w:proofErr w:type="spellEnd"/>
      <w:r w:rsidRPr="00843BA7">
        <w:rPr>
          <w:color w:val="000000"/>
          <w:sz w:val="20"/>
          <w:szCs w:val="20"/>
        </w:rPr>
        <w:t xml:space="preserve"> has not been overruled by the Constitutional Court, nor departed from by the Supreme Court of Appeal. It is thus binding on this court. In my view the present case is indistinguishable, and the contentious claims preferred here are, as in </w:t>
      </w:r>
      <w:r w:rsidRPr="00843BA7">
        <w:rPr>
          <w:i/>
          <w:color w:val="000000"/>
          <w:sz w:val="20"/>
          <w:szCs w:val="20"/>
        </w:rPr>
        <w:t xml:space="preserve">Van </w:t>
      </w:r>
      <w:proofErr w:type="spellStart"/>
      <w:r w:rsidRPr="00843BA7">
        <w:rPr>
          <w:i/>
          <w:color w:val="000000"/>
          <w:sz w:val="20"/>
          <w:szCs w:val="20"/>
        </w:rPr>
        <w:t>Gool</w:t>
      </w:r>
      <w:proofErr w:type="spellEnd"/>
      <w:r w:rsidRPr="00843BA7">
        <w:rPr>
          <w:color w:val="000000"/>
          <w:sz w:val="20"/>
          <w:szCs w:val="20"/>
        </w:rPr>
        <w:t>, at least also claims of the minor.’</w:t>
      </w:r>
    </w:p>
    <w:p w:rsidR="00B40BE1" w:rsidRPr="00B40BE1" w:rsidRDefault="005A4BE6" w:rsidP="005A4BE6">
      <w:pPr>
        <w:spacing w:after="240" w:line="360" w:lineRule="auto"/>
        <w:jc w:val="both"/>
        <w:outlineLvl w:val="0"/>
        <w:rPr>
          <w:color w:val="000000"/>
        </w:rPr>
      </w:pPr>
      <w:r w:rsidRPr="00B40BE1">
        <w:rPr>
          <w:color w:val="000000"/>
        </w:rPr>
        <w:t>[64].</w:t>
      </w:r>
      <w:r w:rsidRPr="00B40BE1">
        <w:rPr>
          <w:color w:val="000000"/>
        </w:rPr>
        <w:tab/>
      </w:r>
      <w:r w:rsidR="00BB453D" w:rsidRPr="00BB453D">
        <w:rPr>
          <w:i/>
          <w:color w:val="000000"/>
        </w:rPr>
        <w:t xml:space="preserve">Van </w:t>
      </w:r>
      <w:proofErr w:type="spellStart"/>
      <w:r w:rsidR="00BB453D" w:rsidRPr="00BB453D">
        <w:rPr>
          <w:i/>
          <w:color w:val="000000"/>
        </w:rPr>
        <w:t>Gool</w:t>
      </w:r>
      <w:proofErr w:type="spellEnd"/>
      <w:r w:rsidR="00BB453D">
        <w:rPr>
          <w:color w:val="000000"/>
        </w:rPr>
        <w:t xml:space="preserve"> is therefore the law in relation to the legal point raised by the MEC. That much appears to be accepted by Ms </w:t>
      </w:r>
      <w:proofErr w:type="spellStart"/>
      <w:r w:rsidR="00BB453D">
        <w:rPr>
          <w:color w:val="000000"/>
        </w:rPr>
        <w:t>Mansingh</w:t>
      </w:r>
      <w:proofErr w:type="spellEnd"/>
      <w:r w:rsidR="00BB453D">
        <w:rPr>
          <w:color w:val="000000"/>
        </w:rPr>
        <w:t xml:space="preserve">, who appeared on behalf of the MEC. However, she also submitted that the common law on that point should be developed as provided for in the Constitution. I am not persuaded. </w:t>
      </w:r>
      <w:r w:rsidR="00B40BE1" w:rsidRPr="00B40BE1">
        <w:rPr>
          <w:color w:val="000000"/>
        </w:rPr>
        <w:t xml:space="preserve">It follows that the </w:t>
      </w:r>
      <w:r w:rsidR="00B40BE1">
        <w:rPr>
          <w:color w:val="000000"/>
        </w:rPr>
        <w:t>defendant’s special plea falls to be dismissed and the c</w:t>
      </w:r>
      <w:r w:rsidR="00B40BE1" w:rsidRPr="00B40BE1">
        <w:rPr>
          <w:color w:val="000000"/>
        </w:rPr>
        <w:t xml:space="preserve">osts of the </w:t>
      </w:r>
      <w:r w:rsidR="00B40BE1">
        <w:rPr>
          <w:color w:val="000000"/>
        </w:rPr>
        <w:t>special plea</w:t>
      </w:r>
      <w:r w:rsidR="00B40BE1" w:rsidRPr="00B40BE1">
        <w:rPr>
          <w:color w:val="000000"/>
        </w:rPr>
        <w:t xml:space="preserve"> must follow the result. </w:t>
      </w:r>
    </w:p>
    <w:p w:rsidR="00712D57" w:rsidRPr="00712D57" w:rsidRDefault="007501C7" w:rsidP="00712D57">
      <w:pPr>
        <w:keepNext/>
        <w:spacing w:after="120" w:line="360" w:lineRule="auto"/>
        <w:jc w:val="both"/>
        <w:outlineLvl w:val="0"/>
        <w:rPr>
          <w:b/>
          <w:color w:val="000000"/>
        </w:rPr>
      </w:pPr>
      <w:r>
        <w:rPr>
          <w:b/>
          <w:color w:val="000000"/>
        </w:rPr>
        <w:t>Conclusion and Costs</w:t>
      </w:r>
    </w:p>
    <w:p w:rsidR="00DD6673" w:rsidRPr="00DD6673" w:rsidRDefault="005A4BE6" w:rsidP="005A4BE6">
      <w:pPr>
        <w:suppressAutoHyphens w:val="0"/>
        <w:autoSpaceDE w:val="0"/>
        <w:autoSpaceDN w:val="0"/>
        <w:adjustRightInd w:val="0"/>
        <w:spacing w:after="120" w:line="360" w:lineRule="auto"/>
        <w:jc w:val="both"/>
        <w:rPr>
          <w:rFonts w:cs="Arial"/>
          <w:lang w:eastAsia="en-ZA"/>
        </w:rPr>
      </w:pPr>
      <w:r w:rsidRPr="00DD6673">
        <w:rPr>
          <w:rFonts w:cs="Arial"/>
          <w:lang w:eastAsia="en-ZA"/>
        </w:rPr>
        <w:t>[65].</w:t>
      </w:r>
      <w:r w:rsidRPr="00DD6673">
        <w:rPr>
          <w:rFonts w:cs="Arial"/>
          <w:lang w:eastAsia="en-ZA"/>
        </w:rPr>
        <w:tab/>
      </w:r>
      <w:r w:rsidR="00DD6673" w:rsidRPr="00DD6673">
        <w:rPr>
          <w:rFonts w:cs="Arial"/>
          <w:lang w:eastAsia="en-ZA"/>
        </w:rPr>
        <w:t xml:space="preserve">For all these reasons, it is my </w:t>
      </w:r>
      <w:r w:rsidR="00DD6673">
        <w:rPr>
          <w:rFonts w:cs="Arial"/>
          <w:lang w:eastAsia="en-ZA"/>
        </w:rPr>
        <w:t xml:space="preserve">view that, on </w:t>
      </w:r>
      <w:r w:rsidR="00DD6673" w:rsidRPr="00DD6673">
        <w:rPr>
          <w:rFonts w:cs="Arial"/>
          <w:lang w:eastAsia="en-ZA"/>
        </w:rPr>
        <w:t>an evaluation of the evidence</w:t>
      </w:r>
      <w:r w:rsidR="00DD6673">
        <w:rPr>
          <w:rFonts w:cs="Arial"/>
          <w:lang w:eastAsia="en-ZA"/>
        </w:rPr>
        <w:t xml:space="preserve"> in its totality</w:t>
      </w:r>
      <w:r w:rsidR="00DD6673" w:rsidRPr="00DD6673">
        <w:rPr>
          <w:rFonts w:cs="Arial"/>
          <w:lang w:eastAsia="en-ZA"/>
        </w:rPr>
        <w:t xml:space="preserve">, it was established, on a balance of probabilities, that </w:t>
      </w:r>
      <w:r w:rsidR="00DD6673">
        <w:rPr>
          <w:rFonts w:cs="Arial"/>
          <w:lang w:eastAsia="en-ZA"/>
        </w:rPr>
        <w:t xml:space="preserve">the </w:t>
      </w:r>
      <w:r w:rsidR="00B40BE1">
        <w:rPr>
          <w:rFonts w:cs="Arial"/>
          <w:lang w:eastAsia="en-ZA"/>
        </w:rPr>
        <w:t xml:space="preserve">cerebral palsy of the </w:t>
      </w:r>
      <w:r w:rsidR="00DD6673">
        <w:rPr>
          <w:rFonts w:cs="Arial"/>
          <w:lang w:eastAsia="en-ZA"/>
        </w:rPr>
        <w:t>plaintiff’s child</w:t>
      </w:r>
      <w:r w:rsidR="00DD6673" w:rsidRPr="00DD6673">
        <w:rPr>
          <w:rFonts w:cs="Arial"/>
          <w:lang w:eastAsia="en-ZA"/>
        </w:rPr>
        <w:t xml:space="preserve"> was caused by the negligent and wrongful failure of the MEC’s staff charged with the management of </w:t>
      </w:r>
      <w:r w:rsidR="00DD6673">
        <w:rPr>
          <w:rFonts w:cs="Arial"/>
          <w:lang w:eastAsia="en-ZA"/>
        </w:rPr>
        <w:t xml:space="preserve">the plaintiff’s </w:t>
      </w:r>
      <w:r w:rsidR="00DD6673" w:rsidRPr="00DD6673">
        <w:rPr>
          <w:rFonts w:cs="Arial"/>
          <w:lang w:eastAsia="en-ZA"/>
        </w:rPr>
        <w:t>labour</w:t>
      </w:r>
      <w:r w:rsidR="00BB453D">
        <w:rPr>
          <w:rFonts w:cs="Arial"/>
          <w:lang w:eastAsia="en-ZA"/>
        </w:rPr>
        <w:t>,</w:t>
      </w:r>
      <w:r w:rsidR="00DD6673" w:rsidRPr="00DD6673">
        <w:rPr>
          <w:rFonts w:cs="Arial"/>
          <w:lang w:eastAsia="en-ZA"/>
        </w:rPr>
        <w:t xml:space="preserve"> to take steps that would have prevented </w:t>
      </w:r>
      <w:r w:rsidR="00DD6673">
        <w:rPr>
          <w:rFonts w:cs="Arial"/>
          <w:lang w:eastAsia="en-ZA"/>
        </w:rPr>
        <w:t>the</w:t>
      </w:r>
      <w:r w:rsidR="00DD6673" w:rsidRPr="00DD6673">
        <w:rPr>
          <w:rFonts w:cs="Arial"/>
          <w:lang w:eastAsia="en-ZA"/>
        </w:rPr>
        <w:t xml:space="preserve"> hypoxic brain injury. </w:t>
      </w:r>
    </w:p>
    <w:p w:rsidR="00DD6673" w:rsidRDefault="005A4BE6" w:rsidP="005A4BE6">
      <w:pPr>
        <w:suppressAutoHyphens w:val="0"/>
        <w:autoSpaceDE w:val="0"/>
        <w:autoSpaceDN w:val="0"/>
        <w:adjustRightInd w:val="0"/>
        <w:spacing w:after="120" w:line="360" w:lineRule="auto"/>
        <w:jc w:val="both"/>
        <w:rPr>
          <w:rFonts w:cs="Arial"/>
          <w:lang w:eastAsia="en-ZA"/>
        </w:rPr>
      </w:pPr>
      <w:r>
        <w:rPr>
          <w:rFonts w:cs="Arial"/>
          <w:lang w:eastAsia="en-ZA"/>
        </w:rPr>
        <w:t>[</w:t>
      </w:r>
      <w:bookmarkStart w:id="0" w:name="_GoBack"/>
      <w:bookmarkEnd w:id="0"/>
      <w:r>
        <w:rPr>
          <w:rFonts w:cs="Arial"/>
          <w:lang w:eastAsia="en-ZA"/>
        </w:rPr>
        <w:t>66].</w:t>
      </w:r>
      <w:r>
        <w:rPr>
          <w:rFonts w:cs="Arial"/>
          <w:lang w:eastAsia="en-ZA"/>
        </w:rPr>
        <w:tab/>
      </w:r>
      <w:r w:rsidR="00DD6673">
        <w:rPr>
          <w:rFonts w:cs="Arial"/>
          <w:lang w:eastAsia="en-ZA"/>
        </w:rPr>
        <w:t xml:space="preserve">In these circumstances, I intend issuing an </w:t>
      </w:r>
      <w:r w:rsidR="00DD6673" w:rsidRPr="00DD6673">
        <w:rPr>
          <w:rFonts w:cs="Arial"/>
          <w:lang w:eastAsia="en-ZA"/>
        </w:rPr>
        <w:t xml:space="preserve">order declaring that the MEC is liable for 100% of </w:t>
      </w:r>
      <w:r w:rsidR="00DD6673">
        <w:rPr>
          <w:rFonts w:cs="Arial"/>
          <w:lang w:eastAsia="en-ZA"/>
        </w:rPr>
        <w:t>the child’s</w:t>
      </w:r>
      <w:r w:rsidR="00DD6673" w:rsidRPr="00DD6673">
        <w:rPr>
          <w:rFonts w:cs="Arial"/>
          <w:lang w:eastAsia="en-ZA"/>
        </w:rPr>
        <w:t xml:space="preserve"> proven or agreed damages arising from </w:t>
      </w:r>
      <w:r w:rsidR="00DD6673">
        <w:rPr>
          <w:rFonts w:cs="Arial"/>
          <w:lang w:eastAsia="en-ZA"/>
        </w:rPr>
        <w:t>her</w:t>
      </w:r>
      <w:r w:rsidR="00DD6673" w:rsidRPr="00DD6673">
        <w:rPr>
          <w:rFonts w:cs="Arial"/>
          <w:lang w:eastAsia="en-ZA"/>
        </w:rPr>
        <w:t xml:space="preserve"> brain injury</w:t>
      </w:r>
      <w:r w:rsidR="00DD6673">
        <w:rPr>
          <w:rFonts w:cs="Arial"/>
          <w:lang w:eastAsia="en-ZA"/>
        </w:rPr>
        <w:t>.</w:t>
      </w:r>
    </w:p>
    <w:p w:rsidR="007D27AD" w:rsidRPr="00DD6673" w:rsidRDefault="005A4BE6" w:rsidP="005A4BE6">
      <w:pPr>
        <w:suppressAutoHyphens w:val="0"/>
        <w:autoSpaceDE w:val="0"/>
        <w:autoSpaceDN w:val="0"/>
        <w:adjustRightInd w:val="0"/>
        <w:spacing w:after="120" w:line="360" w:lineRule="auto"/>
        <w:jc w:val="both"/>
        <w:rPr>
          <w:rFonts w:cs="Arial"/>
          <w:lang w:eastAsia="en-ZA"/>
        </w:rPr>
      </w:pPr>
      <w:r w:rsidRPr="00DD6673">
        <w:rPr>
          <w:rFonts w:cs="Arial"/>
          <w:lang w:eastAsia="en-ZA"/>
        </w:rPr>
        <w:t>[67].</w:t>
      </w:r>
      <w:r w:rsidRPr="00DD6673">
        <w:rPr>
          <w:rFonts w:cs="Arial"/>
          <w:lang w:eastAsia="en-ZA"/>
        </w:rPr>
        <w:tab/>
      </w:r>
      <w:r w:rsidR="00DD6673">
        <w:rPr>
          <w:rFonts w:cs="Arial"/>
        </w:rPr>
        <w:t>As regards costs, t</w:t>
      </w:r>
      <w:r w:rsidR="007D27AD" w:rsidRPr="007D27AD">
        <w:rPr>
          <w:rFonts w:cs="Arial"/>
        </w:rPr>
        <w:t>he general rule is that the successful party should be given his costs, and this rule should not be departed from except where there are good grounds for doing so, such as misconduct on the part of the successful party or other exceptional circumstances.</w:t>
      </w:r>
      <w:r w:rsidR="00DD6673">
        <w:rPr>
          <w:rFonts w:cs="Arial"/>
          <w:lang w:eastAsia="en-ZA"/>
        </w:rPr>
        <w:t xml:space="preserve"> </w:t>
      </w:r>
      <w:r w:rsidR="007D27AD" w:rsidRPr="00DD6673">
        <w:rPr>
          <w:rFonts w:cs="Arial"/>
        </w:rPr>
        <w:t xml:space="preserve">I can think of no reason why I should </w:t>
      </w:r>
      <w:r w:rsidR="00DD6673">
        <w:rPr>
          <w:rFonts w:cs="Arial"/>
        </w:rPr>
        <w:t xml:space="preserve">deviate from this general rule and costs </w:t>
      </w:r>
      <w:r w:rsidR="00DD6673">
        <w:t xml:space="preserve">should therefore be awarded </w:t>
      </w:r>
      <w:r w:rsidR="007D27AD" w:rsidRPr="007D27AD">
        <w:t>against</w:t>
      </w:r>
      <w:r w:rsidR="00046717">
        <w:t xml:space="preserve"> the </w:t>
      </w:r>
      <w:r w:rsidR="008A17B9">
        <w:t xml:space="preserve">defendant </w:t>
      </w:r>
      <w:r w:rsidR="00046717">
        <w:t xml:space="preserve">in favour of the </w:t>
      </w:r>
      <w:r w:rsidR="008A17B9">
        <w:t>plaintiff</w:t>
      </w:r>
      <w:r w:rsidR="00046717">
        <w:t xml:space="preserve">. </w:t>
      </w:r>
    </w:p>
    <w:p w:rsidR="007D27AD" w:rsidRPr="007320C6" w:rsidRDefault="007D27AD" w:rsidP="00DD6673">
      <w:pPr>
        <w:keepNext/>
        <w:suppressAutoHyphens w:val="0"/>
        <w:autoSpaceDE w:val="0"/>
        <w:autoSpaceDN w:val="0"/>
        <w:adjustRightInd w:val="0"/>
        <w:spacing w:after="120" w:line="360" w:lineRule="auto"/>
        <w:jc w:val="both"/>
        <w:rPr>
          <w:rFonts w:cs="Arial"/>
          <w:lang w:eastAsia="en-ZA"/>
        </w:rPr>
      </w:pPr>
      <w:r w:rsidRPr="007320C6">
        <w:rPr>
          <w:b/>
          <w:lang w:val="en-ZA" w:eastAsia="en-ZA"/>
        </w:rPr>
        <w:lastRenderedPageBreak/>
        <w:t>Order</w:t>
      </w:r>
    </w:p>
    <w:p w:rsidR="007D27AD" w:rsidRPr="007320C6" w:rsidRDefault="005A4BE6" w:rsidP="005A4BE6">
      <w:pPr>
        <w:suppressAutoHyphens w:val="0"/>
        <w:autoSpaceDE w:val="0"/>
        <w:autoSpaceDN w:val="0"/>
        <w:adjustRightInd w:val="0"/>
        <w:spacing w:after="120" w:line="360" w:lineRule="auto"/>
        <w:jc w:val="both"/>
        <w:rPr>
          <w:rFonts w:cs="Arial"/>
          <w:lang w:eastAsia="en-ZA"/>
        </w:rPr>
      </w:pPr>
      <w:r w:rsidRPr="007320C6">
        <w:rPr>
          <w:rFonts w:cs="Arial"/>
          <w:lang w:eastAsia="en-ZA"/>
        </w:rPr>
        <w:t>[68].</w:t>
      </w:r>
      <w:r w:rsidRPr="007320C6">
        <w:rPr>
          <w:rFonts w:cs="Arial"/>
          <w:lang w:eastAsia="en-ZA"/>
        </w:rPr>
        <w:tab/>
      </w:r>
      <w:r w:rsidR="007D27AD" w:rsidRPr="007D27AD">
        <w:t xml:space="preserve">Accordingly, I make the following </w:t>
      </w:r>
      <w:r w:rsidR="00593B64" w:rsidRPr="007D27AD">
        <w:t>order: -</w:t>
      </w:r>
    </w:p>
    <w:p w:rsidR="00B40BE1" w:rsidRDefault="005A4BE6" w:rsidP="005A4BE6">
      <w:pPr>
        <w:pStyle w:val="LegalList1"/>
        <w:numPr>
          <w:ilvl w:val="0"/>
          <w:numId w:val="0"/>
        </w:numPr>
        <w:spacing w:after="120" w:line="360" w:lineRule="auto"/>
        <w:ind w:left="567" w:hanging="567"/>
      </w:pPr>
      <w:r>
        <w:t>(1)</w:t>
      </w:r>
      <w:r>
        <w:tab/>
      </w:r>
      <w:r w:rsidR="00B40BE1">
        <w:t>The defendant’s special plea of prescription is dismissed with costs, including the costs consequent upon the employment of two Counsel (where so employed).</w:t>
      </w:r>
    </w:p>
    <w:p w:rsidR="00602A86" w:rsidRDefault="005A4BE6" w:rsidP="005A4BE6">
      <w:pPr>
        <w:pStyle w:val="LegalList1"/>
        <w:numPr>
          <w:ilvl w:val="0"/>
          <w:numId w:val="0"/>
        </w:numPr>
        <w:spacing w:after="120" w:line="360" w:lineRule="auto"/>
        <w:ind w:left="567" w:hanging="567"/>
      </w:pPr>
      <w:r>
        <w:t>(2)</w:t>
      </w:r>
      <w:r>
        <w:tab/>
      </w:r>
      <w:r w:rsidR="00602A86">
        <w:t xml:space="preserve">It is declared that the defendant is liable for 100% of the damages that are proven or agreed to be due to the plaintiff in her capacity as parent and natural guardian of her minor child arising from </w:t>
      </w:r>
      <w:r w:rsidR="00185144">
        <w:t>her</w:t>
      </w:r>
      <w:r w:rsidR="00602A86">
        <w:t xml:space="preserve"> brain injury.</w:t>
      </w:r>
    </w:p>
    <w:p w:rsidR="00602A86" w:rsidRDefault="005A4BE6" w:rsidP="005A4BE6">
      <w:pPr>
        <w:pStyle w:val="LegalList1"/>
        <w:numPr>
          <w:ilvl w:val="0"/>
          <w:numId w:val="0"/>
        </w:numPr>
        <w:spacing w:after="240" w:line="360" w:lineRule="auto"/>
        <w:ind w:left="567" w:hanging="567"/>
      </w:pPr>
      <w:r>
        <w:t>(3)</w:t>
      </w:r>
      <w:r>
        <w:tab/>
      </w:r>
      <w:r w:rsidR="00602A86">
        <w:t xml:space="preserve">The defendant shall pay the plaintiff’s costs of the determination of this </w:t>
      </w:r>
      <w:r w:rsidR="00B40BE1">
        <w:t>issue relating to his liability, including the costs consequent upon the employment of two Counsel (where so employed).</w:t>
      </w:r>
    </w:p>
    <w:p w:rsidR="009C20CE" w:rsidRDefault="009C20CE" w:rsidP="00602A86">
      <w:pPr>
        <w:keepNext/>
        <w:keepLines/>
        <w:tabs>
          <w:tab w:val="left" w:pos="0"/>
        </w:tabs>
        <w:spacing w:before="1200" w:line="360" w:lineRule="auto"/>
        <w:jc w:val="right"/>
        <w:rPr>
          <w:b/>
          <w:u w:val="single"/>
        </w:rPr>
      </w:pPr>
      <w:r>
        <w:rPr>
          <w:b/>
          <w:u w:val="single"/>
        </w:rPr>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lastRenderedPageBreak/>
              <w:t>HEARD ON: </w:t>
            </w:r>
          </w:p>
        </w:tc>
        <w:tc>
          <w:tcPr>
            <w:tcW w:w="0" w:type="auto"/>
            <w:tcMar>
              <w:top w:w="32" w:type="dxa"/>
              <w:left w:w="108" w:type="dxa"/>
              <w:bottom w:w="32" w:type="dxa"/>
              <w:right w:w="108" w:type="dxa"/>
            </w:tcMar>
            <w:vAlign w:val="center"/>
            <w:hideMark/>
          </w:tcPr>
          <w:p w:rsidR="007D27AD" w:rsidRPr="007D27AD" w:rsidRDefault="00644522" w:rsidP="00DC1C2D">
            <w:pPr>
              <w:keepNext/>
              <w:spacing w:before="120" w:after="120"/>
              <w:ind w:left="-108"/>
              <w:jc w:val="both"/>
              <w:rPr>
                <w:sz w:val="22"/>
                <w:szCs w:val="22"/>
                <w:lang w:eastAsia="en-US"/>
              </w:rPr>
            </w:pPr>
            <w:r>
              <w:rPr>
                <w:rFonts w:cs="Arial"/>
                <w:lang w:val="en-ZA" w:eastAsia="en-US"/>
              </w:rPr>
              <w:t xml:space="preserve">7, 8, 10, 13, 14, 15 and 17 August 2018, 17, 18, 19 and 20 September 2018, 23 January 2019, 6, 7 and 8 July 2021, 28, 29 and 30 March 2022, and 2 September 2022.  </w:t>
            </w:r>
          </w:p>
        </w:tc>
      </w:tr>
      <w:tr w:rsidR="00644522" w:rsidRPr="007D27AD" w:rsidTr="007D27AD">
        <w:tc>
          <w:tcPr>
            <w:tcW w:w="3794" w:type="dxa"/>
            <w:tcMar>
              <w:top w:w="32" w:type="dxa"/>
              <w:left w:w="108" w:type="dxa"/>
              <w:bottom w:w="32" w:type="dxa"/>
              <w:right w:w="108" w:type="dxa"/>
            </w:tcMar>
            <w:vAlign w:val="center"/>
          </w:tcPr>
          <w:p w:rsidR="00644522" w:rsidRPr="007D27AD" w:rsidRDefault="00644522" w:rsidP="00602A86">
            <w:pPr>
              <w:keepNext/>
              <w:spacing w:before="120" w:after="120"/>
            </w:pPr>
            <w:r>
              <w:t>CLOSING ARGUMENT ON:</w:t>
            </w:r>
          </w:p>
        </w:tc>
        <w:tc>
          <w:tcPr>
            <w:tcW w:w="0" w:type="auto"/>
            <w:tcMar>
              <w:top w:w="32" w:type="dxa"/>
              <w:left w:w="108" w:type="dxa"/>
              <w:bottom w:w="32" w:type="dxa"/>
              <w:right w:w="108" w:type="dxa"/>
            </w:tcMar>
            <w:vAlign w:val="center"/>
          </w:tcPr>
          <w:p w:rsidR="00644522" w:rsidRDefault="00C85A80" w:rsidP="006C0493">
            <w:pPr>
              <w:keepNext/>
              <w:spacing w:before="120" w:after="120"/>
              <w:ind w:left="-108"/>
            </w:pPr>
            <w:r>
              <w:t>15</w:t>
            </w:r>
            <w:r w:rsidR="00644522">
              <w:t xml:space="preserve"> September 2022</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6C0493" w:rsidP="006C0493">
            <w:pPr>
              <w:keepNext/>
              <w:spacing w:before="120" w:after="120"/>
              <w:ind w:left="-108"/>
            </w:pPr>
            <w:r>
              <w:t>17</w:t>
            </w:r>
            <w:r w:rsidRPr="006C0493">
              <w:rPr>
                <w:vertAlign w:val="superscript"/>
              </w:rPr>
              <w:t>th</w:t>
            </w:r>
            <w:r>
              <w:t xml:space="preserve"> January</w:t>
            </w:r>
            <w:r w:rsidR="007D27AD" w:rsidRPr="007D27AD">
              <w:t xml:space="preserve"> 20</w:t>
            </w:r>
            <w:r w:rsidR="004E644B">
              <w:t>2</w:t>
            </w:r>
            <w:r>
              <w:t>3</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 xml:space="preserve">FOR </w:t>
            </w:r>
            <w:r w:rsidR="009C20CE">
              <w:t xml:space="preserve">THE </w:t>
            </w:r>
            <w:r w:rsidR="00D22D25">
              <w:t>PLAINTIFF</w:t>
            </w:r>
            <w:r w:rsidRPr="007D27AD">
              <w:t>: </w:t>
            </w:r>
          </w:p>
        </w:tc>
        <w:tc>
          <w:tcPr>
            <w:tcW w:w="0" w:type="auto"/>
            <w:tcMar>
              <w:top w:w="32" w:type="dxa"/>
              <w:left w:w="108" w:type="dxa"/>
              <w:bottom w:w="32" w:type="dxa"/>
              <w:right w:w="108" w:type="dxa"/>
            </w:tcMar>
            <w:vAlign w:val="center"/>
            <w:hideMark/>
          </w:tcPr>
          <w:p w:rsidR="007D27AD" w:rsidRPr="007D27AD" w:rsidRDefault="007D27AD" w:rsidP="00602A86">
            <w:pPr>
              <w:keepNext/>
              <w:spacing w:before="120" w:after="120"/>
              <w:ind w:left="-108"/>
              <w:rPr>
                <w:sz w:val="22"/>
                <w:szCs w:val="22"/>
                <w:lang w:eastAsia="en-US"/>
              </w:rPr>
            </w:pPr>
            <w:r w:rsidRPr="007D27AD">
              <w:t xml:space="preserve">Advocate </w:t>
            </w:r>
            <w:r w:rsidR="00D22D25">
              <w:t>Desmond Brown</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9E7B76" w:rsidP="00602A86">
            <w:pPr>
              <w:keepNext/>
              <w:spacing w:before="120" w:after="120"/>
              <w:ind w:left="-108"/>
              <w:rPr>
                <w:sz w:val="22"/>
                <w:szCs w:val="22"/>
                <w:lang w:eastAsia="en-US"/>
              </w:rPr>
            </w:pPr>
            <w:r>
              <w:t>Du Plessis Attorneys, Johannesburg</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602A86">
            <w:pPr>
              <w:keepNext/>
              <w:spacing w:before="120" w:after="120"/>
            </w:pPr>
            <w:r w:rsidRPr="007D27AD">
              <w:t xml:space="preserve">FOR THE </w:t>
            </w:r>
            <w:r w:rsidR="00D22D25">
              <w:t>DEFENDANT</w:t>
            </w:r>
            <w:r w:rsidRPr="007D27AD">
              <w:t>: </w:t>
            </w:r>
          </w:p>
        </w:tc>
        <w:tc>
          <w:tcPr>
            <w:tcW w:w="0" w:type="auto"/>
            <w:tcMar>
              <w:top w:w="32" w:type="dxa"/>
              <w:left w:w="108" w:type="dxa"/>
              <w:bottom w:w="32" w:type="dxa"/>
              <w:right w:w="108" w:type="dxa"/>
            </w:tcMar>
            <w:vAlign w:val="center"/>
            <w:hideMark/>
          </w:tcPr>
          <w:p w:rsidR="00102484" w:rsidRPr="007D27AD" w:rsidRDefault="00102484" w:rsidP="00602A86">
            <w:pPr>
              <w:keepNext/>
              <w:spacing w:before="120" w:after="120"/>
              <w:ind w:left="-108"/>
            </w:pPr>
            <w:proofErr w:type="spellStart"/>
            <w:r>
              <w:t>Adv</w:t>
            </w:r>
            <w:proofErr w:type="spellEnd"/>
            <w:r>
              <w:t xml:space="preserve"> </w:t>
            </w:r>
            <w:proofErr w:type="spellStart"/>
            <w:r w:rsidR="00D22D25">
              <w:t>Roshnee</w:t>
            </w:r>
            <w:proofErr w:type="spellEnd"/>
            <w:r w:rsidR="00D22D25">
              <w:t xml:space="preserve"> </w:t>
            </w:r>
            <w:proofErr w:type="spellStart"/>
            <w:r w:rsidR="00D22D25">
              <w:t>Mansingh</w:t>
            </w:r>
            <w:proofErr w:type="spellEnd"/>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602A86">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D22D25" w:rsidP="00602A86">
            <w:pPr>
              <w:keepNext/>
              <w:spacing w:before="120" w:after="120"/>
              <w:ind w:left="-108"/>
            </w:pPr>
            <w:r>
              <w:t>The State Attorney, Johannesburg</w:t>
            </w:r>
            <w:r w:rsidR="00102484">
              <w:t xml:space="preserve"> </w:t>
            </w:r>
            <w:r w:rsidR="00102484" w:rsidRPr="007D27AD">
              <w:t xml:space="preserve"> </w:t>
            </w:r>
          </w:p>
        </w:tc>
      </w:tr>
    </w:tbl>
    <w:p w:rsidR="002F15F5" w:rsidRPr="00D63801" w:rsidRDefault="002F15F5" w:rsidP="00102484">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12F" w:rsidRDefault="00FB112F">
      <w:pPr>
        <w:spacing w:line="20" w:lineRule="exact"/>
      </w:pPr>
    </w:p>
  </w:endnote>
  <w:endnote w:type="continuationSeparator" w:id="0">
    <w:p w:rsidR="00FB112F" w:rsidRDefault="00FB112F">
      <w:r>
        <w:t xml:space="preserve"> </w:t>
      </w:r>
    </w:p>
  </w:endnote>
  <w:endnote w:type="continuationNotice" w:id="1">
    <w:p w:rsidR="00FB112F" w:rsidRDefault="00FB11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12F" w:rsidRDefault="00FB112F">
      <w:r>
        <w:separator/>
      </w:r>
    </w:p>
  </w:footnote>
  <w:footnote w:type="continuationSeparator" w:id="0">
    <w:p w:rsidR="00FB112F" w:rsidRDefault="00FB112F">
      <w:r>
        <w:continuationSeparator/>
      </w:r>
    </w:p>
  </w:footnote>
  <w:footnote w:id="1">
    <w:p w:rsidR="001905F8" w:rsidRDefault="001905F8" w:rsidP="001905F8">
      <w:pPr>
        <w:pStyle w:val="FootnoteText"/>
      </w:pPr>
      <w:r>
        <w:rPr>
          <w:rStyle w:val="FootnoteReference"/>
        </w:rPr>
        <w:footnoteRef/>
      </w:r>
      <w:r>
        <w:t xml:space="preserve"> </w:t>
      </w:r>
      <w:r w:rsidRPr="00712D57">
        <w:rPr>
          <w:i/>
          <w:color w:val="000000"/>
        </w:rPr>
        <w:t xml:space="preserve">Minister of Safety and Security v Van </w:t>
      </w:r>
      <w:proofErr w:type="spellStart"/>
      <w:r w:rsidRPr="00712D57">
        <w:rPr>
          <w:i/>
          <w:color w:val="000000"/>
        </w:rPr>
        <w:t>Duivenboden</w:t>
      </w:r>
      <w:proofErr w:type="spellEnd"/>
      <w:r w:rsidRPr="00A9488C">
        <w:rPr>
          <w:color w:val="000000"/>
        </w:rPr>
        <w:t xml:space="preserve"> 2002 (6) SA 431 (SCA)</w:t>
      </w:r>
      <w:r>
        <w:rPr>
          <w:color w:val="000000"/>
        </w:rPr>
        <w:t xml:space="preserve">, </w:t>
      </w:r>
      <w:r w:rsidRPr="00A9488C">
        <w:rPr>
          <w:color w:val="000000"/>
        </w:rPr>
        <w:t>[2002] ZASCA 79</w:t>
      </w:r>
      <w:r>
        <w:rPr>
          <w:color w:val="000000"/>
        </w:rPr>
        <w:t>;</w:t>
      </w:r>
    </w:p>
  </w:footnote>
  <w:footnote w:id="2">
    <w:p w:rsidR="001905F8" w:rsidRDefault="001905F8" w:rsidP="001905F8">
      <w:pPr>
        <w:pStyle w:val="FootnoteText"/>
      </w:pPr>
      <w:r>
        <w:rPr>
          <w:rStyle w:val="FootnoteReference"/>
        </w:rPr>
        <w:footnoteRef/>
      </w:r>
      <w:r>
        <w:t xml:space="preserve"> </w:t>
      </w:r>
      <w:r w:rsidRPr="000E4A2E">
        <w:rPr>
          <w:i/>
          <w:color w:val="000000"/>
        </w:rPr>
        <w:t>Minister of Finance and Others v Gore NO</w:t>
      </w:r>
      <w:r w:rsidRPr="00A9488C">
        <w:rPr>
          <w:color w:val="000000"/>
        </w:rPr>
        <w:t xml:space="preserve"> 2007 (1) SA 111 (SCA)</w:t>
      </w:r>
      <w:r>
        <w:rPr>
          <w:color w:val="000000"/>
        </w:rPr>
        <w:t>,</w:t>
      </w:r>
      <w:r w:rsidRPr="00A9488C">
        <w:rPr>
          <w:color w:val="000000"/>
        </w:rPr>
        <w:t xml:space="preserve"> [2006] ZASCA 98</w:t>
      </w:r>
      <w:r>
        <w:rPr>
          <w:color w:val="000000"/>
        </w:rPr>
        <w:t>;</w:t>
      </w:r>
    </w:p>
  </w:footnote>
  <w:footnote w:id="3">
    <w:p w:rsidR="001905F8" w:rsidRDefault="001905F8" w:rsidP="001905F8">
      <w:pPr>
        <w:pStyle w:val="FootnoteText"/>
      </w:pPr>
      <w:r>
        <w:rPr>
          <w:rStyle w:val="FootnoteReference"/>
        </w:rPr>
        <w:footnoteRef/>
      </w:r>
      <w:r>
        <w:t xml:space="preserve"> </w:t>
      </w:r>
      <w:proofErr w:type="spellStart"/>
      <w:r w:rsidRPr="007F0CBE">
        <w:rPr>
          <w:i/>
          <w:color w:val="000000"/>
        </w:rPr>
        <w:t>Vallaro</w:t>
      </w:r>
      <w:proofErr w:type="spellEnd"/>
      <w:r w:rsidRPr="007F0CBE">
        <w:rPr>
          <w:i/>
          <w:color w:val="000000"/>
        </w:rPr>
        <w:t xml:space="preserve"> obo Barnard v MEC</w:t>
      </w:r>
      <w:r w:rsidRPr="00A9488C">
        <w:rPr>
          <w:color w:val="000000"/>
        </w:rPr>
        <w:t xml:space="preserve"> Appeal Case No A 5009/16, Gauteng</w:t>
      </w:r>
      <w:r>
        <w:rPr>
          <w:color w:val="000000"/>
        </w:rPr>
        <w:t xml:space="preserve"> </w:t>
      </w:r>
      <w:r w:rsidRPr="00A14170">
        <w:rPr>
          <w:color w:val="000000"/>
        </w:rPr>
        <w:t>Local Division</w:t>
      </w:r>
      <w:r>
        <w:rPr>
          <w:color w:val="000000"/>
        </w:rPr>
        <w:t xml:space="preserve"> (Full Court);</w:t>
      </w:r>
    </w:p>
  </w:footnote>
  <w:footnote w:id="4">
    <w:p w:rsidR="001905F8" w:rsidRDefault="001905F8" w:rsidP="001905F8">
      <w:pPr>
        <w:pStyle w:val="FootnoteText"/>
      </w:pPr>
      <w:r>
        <w:rPr>
          <w:rStyle w:val="FootnoteReference"/>
        </w:rPr>
        <w:footnoteRef/>
      </w:r>
      <w:r>
        <w:t xml:space="preserve"> </w:t>
      </w:r>
      <w:r w:rsidRPr="007F0CBE">
        <w:rPr>
          <w:i/>
          <w:color w:val="000000"/>
        </w:rPr>
        <w:t>McIntosh v Premier, Kwazulu-Natal and Another</w:t>
      </w:r>
      <w:r w:rsidRPr="00A14170">
        <w:rPr>
          <w:color w:val="000000"/>
        </w:rPr>
        <w:t xml:space="preserve"> 2006 (6) SA 1 (SCA)</w:t>
      </w:r>
      <w:r>
        <w:rPr>
          <w:color w:val="000000"/>
        </w:rPr>
        <w:t>;</w:t>
      </w:r>
    </w:p>
  </w:footnote>
  <w:footnote w:id="5">
    <w:p w:rsidR="00945C67" w:rsidRDefault="00945C67">
      <w:pPr>
        <w:pStyle w:val="FootnoteText"/>
      </w:pPr>
      <w:r>
        <w:rPr>
          <w:rStyle w:val="FootnoteReference"/>
        </w:rPr>
        <w:footnoteRef/>
      </w:r>
      <w:r>
        <w:t xml:space="preserve"> </w:t>
      </w:r>
      <w:r w:rsidRPr="00945C67">
        <w:rPr>
          <w:i/>
          <w:color w:val="000000"/>
        </w:rPr>
        <w:t xml:space="preserve">Guardian National Insurance Co Ltd v Van </w:t>
      </w:r>
      <w:proofErr w:type="spellStart"/>
      <w:r w:rsidRPr="00945C67">
        <w:rPr>
          <w:i/>
          <w:color w:val="000000"/>
        </w:rPr>
        <w:t>Gool</w:t>
      </w:r>
      <w:proofErr w:type="spellEnd"/>
      <w:r w:rsidRPr="00945C67">
        <w:rPr>
          <w:i/>
          <w:color w:val="000000"/>
        </w:rPr>
        <w:t xml:space="preserve"> NO</w:t>
      </w:r>
      <w:r w:rsidRPr="00945C67">
        <w:rPr>
          <w:color w:val="000000"/>
        </w:rPr>
        <w:t xml:space="preserve"> </w:t>
      </w:r>
      <w:r>
        <w:rPr>
          <w:color w:val="000000"/>
        </w:rPr>
        <w:t xml:space="preserve">1992 (4) SA 61 (A); </w:t>
      </w:r>
    </w:p>
  </w:footnote>
  <w:footnote w:id="6">
    <w:p w:rsidR="00843BA7" w:rsidRDefault="00843BA7">
      <w:pPr>
        <w:pStyle w:val="FootnoteText"/>
      </w:pPr>
      <w:r>
        <w:rPr>
          <w:rStyle w:val="FootnoteReference"/>
        </w:rPr>
        <w:footnoteRef/>
      </w:r>
      <w:r>
        <w:t xml:space="preserve"> </w:t>
      </w:r>
      <w:proofErr w:type="spellStart"/>
      <w:r w:rsidRPr="00843BA7">
        <w:rPr>
          <w:i/>
          <w:color w:val="000000"/>
        </w:rPr>
        <w:t>Zondo</w:t>
      </w:r>
      <w:proofErr w:type="spellEnd"/>
      <w:r w:rsidRPr="00843BA7">
        <w:rPr>
          <w:i/>
          <w:color w:val="000000"/>
        </w:rPr>
        <w:t xml:space="preserve"> v MEC for Health of the Gauteng Provincial Government</w:t>
      </w:r>
      <w:r w:rsidRPr="00843BA7">
        <w:rPr>
          <w:color w:val="000000"/>
        </w:rPr>
        <w:t xml:space="preserve"> (25644/2014) [2016] ZAGPJHC 243 (2 September 2016)</w:t>
      </w:r>
      <w:r>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C" w:rsidRDefault="00E41B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B8C" w:rsidRDefault="00E4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84767"/>
      <w:docPartObj>
        <w:docPartGallery w:val="Page Numbers (Top of Page)"/>
        <w:docPartUnique/>
      </w:docPartObj>
    </w:sdtPr>
    <w:sdtEndPr>
      <w:rPr>
        <w:noProof/>
      </w:rPr>
    </w:sdtEndPr>
    <w:sdtContent>
      <w:p w:rsidR="00E41B8C" w:rsidRPr="00B45F72" w:rsidRDefault="00E41B8C" w:rsidP="00766386">
        <w:pPr>
          <w:pStyle w:val="Header"/>
          <w:jc w:val="right"/>
        </w:pPr>
        <w:r>
          <w:fldChar w:fldCharType="begin"/>
        </w:r>
        <w:r>
          <w:instrText xml:space="preserve"> PAGE   \* MERGEFORMAT </w:instrText>
        </w:r>
        <w:r>
          <w:fldChar w:fldCharType="separate"/>
        </w:r>
        <w:r w:rsidR="00731D09">
          <w:rPr>
            <w:noProof/>
          </w:rPr>
          <w:t>21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8C" w:rsidRDefault="00E41B8C">
    <w:pPr>
      <w:pStyle w:val="Header"/>
      <w:jc w:val="right"/>
    </w:pPr>
  </w:p>
  <w:p w:rsidR="00E41B8C" w:rsidRDefault="00E4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EE1567"/>
    <w:multiLevelType w:val="multilevel"/>
    <w:tmpl w:val="E21005EA"/>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8">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nsid w:val="34B42AC7"/>
    <w:multiLevelType w:val="multilevel"/>
    <w:tmpl w:val="F7DC3DA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13">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FE33ED"/>
    <w:multiLevelType w:val="hybridMultilevel"/>
    <w:tmpl w:val="D910EF98"/>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9">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8"/>
  </w:num>
  <w:num w:numId="2">
    <w:abstractNumId w:val="16"/>
  </w:num>
  <w:num w:numId="3">
    <w:abstractNumId w:val="25"/>
  </w:num>
  <w:num w:numId="4">
    <w:abstractNumId w:val="3"/>
    <w:lvlOverride w:ilvl="0">
      <w:startOverride w:val="1"/>
    </w:lvlOverride>
  </w:num>
  <w:num w:numId="5">
    <w:abstractNumId w:val="2"/>
  </w:num>
  <w:num w:numId="6">
    <w:abstractNumId w:val="17"/>
  </w:num>
  <w:num w:numId="7">
    <w:abstractNumId w:val="11"/>
  </w:num>
  <w:num w:numId="8">
    <w:abstractNumId w:val="22"/>
  </w:num>
  <w:num w:numId="9">
    <w:abstractNumId w:val="16"/>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2"/>
  </w:num>
  <w:num w:numId="14">
    <w:abstractNumId w:val="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9"/>
  </w:num>
  <w:num w:numId="19">
    <w:abstractNumId w:val="24"/>
  </w:num>
  <w:num w:numId="20">
    <w:abstractNumId w:val="21"/>
  </w:num>
  <w:num w:numId="21">
    <w:abstractNumId w:val="30"/>
  </w:num>
  <w:num w:numId="22">
    <w:abstractNumId w:val="9"/>
  </w:num>
  <w:num w:numId="23">
    <w:abstractNumId w:val="27"/>
  </w:num>
  <w:num w:numId="24">
    <w:abstractNumId w:val="0"/>
  </w:num>
  <w:num w:numId="25">
    <w:abstractNumId w:val="15"/>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10"/>
  </w:num>
  <w:num w:numId="31">
    <w:abstractNumId w:val="28"/>
  </w:num>
  <w:num w:numId="32">
    <w:abstractNumId w:val="23"/>
  </w:num>
  <w:num w:numId="33">
    <w:abstractNumId w:val="7"/>
  </w:num>
  <w:num w:numId="34">
    <w:abstractNumId w:val="6"/>
  </w:num>
  <w:num w:numId="35">
    <w:abstractNumId w:val="4"/>
  </w:num>
  <w:num w:numId="36">
    <w:abstractNumId w:val="12"/>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D27"/>
    <w:rsid w:val="000024F0"/>
    <w:rsid w:val="00002B00"/>
    <w:rsid w:val="000044DD"/>
    <w:rsid w:val="0000663B"/>
    <w:rsid w:val="00006C41"/>
    <w:rsid w:val="00010637"/>
    <w:rsid w:val="00011445"/>
    <w:rsid w:val="00011E04"/>
    <w:rsid w:val="000201EB"/>
    <w:rsid w:val="00022583"/>
    <w:rsid w:val="00022C07"/>
    <w:rsid w:val="00022F88"/>
    <w:rsid w:val="00025EA8"/>
    <w:rsid w:val="0002792E"/>
    <w:rsid w:val="00027B5A"/>
    <w:rsid w:val="0003241F"/>
    <w:rsid w:val="0003349A"/>
    <w:rsid w:val="00034856"/>
    <w:rsid w:val="000402A4"/>
    <w:rsid w:val="00042885"/>
    <w:rsid w:val="00042E0C"/>
    <w:rsid w:val="000445C8"/>
    <w:rsid w:val="000462E1"/>
    <w:rsid w:val="0004668A"/>
    <w:rsid w:val="00046699"/>
    <w:rsid w:val="00046717"/>
    <w:rsid w:val="0004728A"/>
    <w:rsid w:val="00053277"/>
    <w:rsid w:val="00053CA7"/>
    <w:rsid w:val="000542A1"/>
    <w:rsid w:val="00056468"/>
    <w:rsid w:val="0005727B"/>
    <w:rsid w:val="0006315B"/>
    <w:rsid w:val="000632FF"/>
    <w:rsid w:val="00065EFE"/>
    <w:rsid w:val="00066884"/>
    <w:rsid w:val="000669BE"/>
    <w:rsid w:val="00070D07"/>
    <w:rsid w:val="00071294"/>
    <w:rsid w:val="00071615"/>
    <w:rsid w:val="000766B4"/>
    <w:rsid w:val="000773BC"/>
    <w:rsid w:val="00081021"/>
    <w:rsid w:val="000814F0"/>
    <w:rsid w:val="00081D5F"/>
    <w:rsid w:val="0008219B"/>
    <w:rsid w:val="00086BE3"/>
    <w:rsid w:val="00090F50"/>
    <w:rsid w:val="00095F0E"/>
    <w:rsid w:val="00096904"/>
    <w:rsid w:val="000A1078"/>
    <w:rsid w:val="000A12C2"/>
    <w:rsid w:val="000A12C9"/>
    <w:rsid w:val="000A1606"/>
    <w:rsid w:val="000A3741"/>
    <w:rsid w:val="000A779C"/>
    <w:rsid w:val="000B4910"/>
    <w:rsid w:val="000B53AD"/>
    <w:rsid w:val="000B64EF"/>
    <w:rsid w:val="000C017F"/>
    <w:rsid w:val="000C2C18"/>
    <w:rsid w:val="000C3AF7"/>
    <w:rsid w:val="000C3F2A"/>
    <w:rsid w:val="000C4354"/>
    <w:rsid w:val="000C4A10"/>
    <w:rsid w:val="000C564F"/>
    <w:rsid w:val="000C6C30"/>
    <w:rsid w:val="000C7321"/>
    <w:rsid w:val="000D0AF6"/>
    <w:rsid w:val="000D3D74"/>
    <w:rsid w:val="000D5E2F"/>
    <w:rsid w:val="000D6D36"/>
    <w:rsid w:val="000E01DD"/>
    <w:rsid w:val="000E091F"/>
    <w:rsid w:val="000E1836"/>
    <w:rsid w:val="000E1955"/>
    <w:rsid w:val="000E1E64"/>
    <w:rsid w:val="000E1EAC"/>
    <w:rsid w:val="000E3A95"/>
    <w:rsid w:val="000E3AAB"/>
    <w:rsid w:val="000E4A2E"/>
    <w:rsid w:val="000F0DCE"/>
    <w:rsid w:val="000F1289"/>
    <w:rsid w:val="000F3B88"/>
    <w:rsid w:val="000F441B"/>
    <w:rsid w:val="000F557C"/>
    <w:rsid w:val="00102484"/>
    <w:rsid w:val="00102771"/>
    <w:rsid w:val="00102D9D"/>
    <w:rsid w:val="0010314E"/>
    <w:rsid w:val="00105056"/>
    <w:rsid w:val="00105EFC"/>
    <w:rsid w:val="00106C97"/>
    <w:rsid w:val="00107E81"/>
    <w:rsid w:val="00110BD4"/>
    <w:rsid w:val="00112C5F"/>
    <w:rsid w:val="0011334A"/>
    <w:rsid w:val="00113375"/>
    <w:rsid w:val="0011424F"/>
    <w:rsid w:val="00114D0F"/>
    <w:rsid w:val="0011574C"/>
    <w:rsid w:val="00115783"/>
    <w:rsid w:val="00116675"/>
    <w:rsid w:val="00116EF2"/>
    <w:rsid w:val="001173F9"/>
    <w:rsid w:val="00117E41"/>
    <w:rsid w:val="00120DE5"/>
    <w:rsid w:val="001218BA"/>
    <w:rsid w:val="001230FB"/>
    <w:rsid w:val="00123FBA"/>
    <w:rsid w:val="00124B7A"/>
    <w:rsid w:val="00124F00"/>
    <w:rsid w:val="00126288"/>
    <w:rsid w:val="00126BC2"/>
    <w:rsid w:val="00130E55"/>
    <w:rsid w:val="0013390C"/>
    <w:rsid w:val="001348F0"/>
    <w:rsid w:val="00140558"/>
    <w:rsid w:val="0014119D"/>
    <w:rsid w:val="0014239A"/>
    <w:rsid w:val="00142D2D"/>
    <w:rsid w:val="00144A31"/>
    <w:rsid w:val="0014559C"/>
    <w:rsid w:val="00147F04"/>
    <w:rsid w:val="00155F1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44"/>
    <w:rsid w:val="00185197"/>
    <w:rsid w:val="00185298"/>
    <w:rsid w:val="001905F8"/>
    <w:rsid w:val="00193988"/>
    <w:rsid w:val="00196793"/>
    <w:rsid w:val="0019694E"/>
    <w:rsid w:val="00196C48"/>
    <w:rsid w:val="00197892"/>
    <w:rsid w:val="001A6747"/>
    <w:rsid w:val="001A7168"/>
    <w:rsid w:val="001A719F"/>
    <w:rsid w:val="001B04D1"/>
    <w:rsid w:val="001B182A"/>
    <w:rsid w:val="001B49F3"/>
    <w:rsid w:val="001B54E1"/>
    <w:rsid w:val="001C0A0D"/>
    <w:rsid w:val="001C1E85"/>
    <w:rsid w:val="001C2344"/>
    <w:rsid w:val="001C2642"/>
    <w:rsid w:val="001C2BAA"/>
    <w:rsid w:val="001D4B5B"/>
    <w:rsid w:val="001D4CB9"/>
    <w:rsid w:val="001D5D9C"/>
    <w:rsid w:val="001D5F2F"/>
    <w:rsid w:val="001D6ACD"/>
    <w:rsid w:val="001E2508"/>
    <w:rsid w:val="001E54EE"/>
    <w:rsid w:val="001E66C9"/>
    <w:rsid w:val="001E6B14"/>
    <w:rsid w:val="001F14DE"/>
    <w:rsid w:val="001F3099"/>
    <w:rsid w:val="001F316B"/>
    <w:rsid w:val="001F3D26"/>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1568"/>
    <w:rsid w:val="002319B8"/>
    <w:rsid w:val="00233A6E"/>
    <w:rsid w:val="00234007"/>
    <w:rsid w:val="00234507"/>
    <w:rsid w:val="00235AC0"/>
    <w:rsid w:val="00235EBC"/>
    <w:rsid w:val="00236346"/>
    <w:rsid w:val="002437C2"/>
    <w:rsid w:val="00247370"/>
    <w:rsid w:val="00247A06"/>
    <w:rsid w:val="00252153"/>
    <w:rsid w:val="00253951"/>
    <w:rsid w:val="00257D52"/>
    <w:rsid w:val="00257DCC"/>
    <w:rsid w:val="002601DD"/>
    <w:rsid w:val="00261222"/>
    <w:rsid w:val="00261C84"/>
    <w:rsid w:val="00262F54"/>
    <w:rsid w:val="00270461"/>
    <w:rsid w:val="0027069E"/>
    <w:rsid w:val="002707D9"/>
    <w:rsid w:val="00271071"/>
    <w:rsid w:val="00272260"/>
    <w:rsid w:val="00273196"/>
    <w:rsid w:val="00273A58"/>
    <w:rsid w:val="00275F90"/>
    <w:rsid w:val="0028129B"/>
    <w:rsid w:val="002821C0"/>
    <w:rsid w:val="00284D9A"/>
    <w:rsid w:val="002854B8"/>
    <w:rsid w:val="00286241"/>
    <w:rsid w:val="00286F1D"/>
    <w:rsid w:val="00286F5F"/>
    <w:rsid w:val="002910FD"/>
    <w:rsid w:val="002920DC"/>
    <w:rsid w:val="002924A9"/>
    <w:rsid w:val="002924E6"/>
    <w:rsid w:val="00292636"/>
    <w:rsid w:val="00292A01"/>
    <w:rsid w:val="00293059"/>
    <w:rsid w:val="0029407B"/>
    <w:rsid w:val="00296B4D"/>
    <w:rsid w:val="002A0339"/>
    <w:rsid w:val="002A183B"/>
    <w:rsid w:val="002A2443"/>
    <w:rsid w:val="002A24CE"/>
    <w:rsid w:val="002A3FA8"/>
    <w:rsid w:val="002A4952"/>
    <w:rsid w:val="002A7B19"/>
    <w:rsid w:val="002B0F1B"/>
    <w:rsid w:val="002B1051"/>
    <w:rsid w:val="002B1ABA"/>
    <w:rsid w:val="002B5A8F"/>
    <w:rsid w:val="002B6B65"/>
    <w:rsid w:val="002B6C0E"/>
    <w:rsid w:val="002B6C30"/>
    <w:rsid w:val="002B773F"/>
    <w:rsid w:val="002C04E8"/>
    <w:rsid w:val="002C0FDD"/>
    <w:rsid w:val="002C15A4"/>
    <w:rsid w:val="002C2238"/>
    <w:rsid w:val="002C339D"/>
    <w:rsid w:val="002C4309"/>
    <w:rsid w:val="002C4603"/>
    <w:rsid w:val="002C4AC3"/>
    <w:rsid w:val="002C6BC7"/>
    <w:rsid w:val="002C7929"/>
    <w:rsid w:val="002D197D"/>
    <w:rsid w:val="002D30FD"/>
    <w:rsid w:val="002D3126"/>
    <w:rsid w:val="002D3996"/>
    <w:rsid w:val="002D5A72"/>
    <w:rsid w:val="002D693C"/>
    <w:rsid w:val="002D6D3B"/>
    <w:rsid w:val="002D6E26"/>
    <w:rsid w:val="002E0905"/>
    <w:rsid w:val="002E2102"/>
    <w:rsid w:val="002E26DB"/>
    <w:rsid w:val="002E2EA8"/>
    <w:rsid w:val="002E47C9"/>
    <w:rsid w:val="002E49A9"/>
    <w:rsid w:val="002E5934"/>
    <w:rsid w:val="002E5CDA"/>
    <w:rsid w:val="002E654A"/>
    <w:rsid w:val="002F0534"/>
    <w:rsid w:val="002F15F5"/>
    <w:rsid w:val="002F3784"/>
    <w:rsid w:val="002F3A96"/>
    <w:rsid w:val="00300053"/>
    <w:rsid w:val="0030029A"/>
    <w:rsid w:val="003047A4"/>
    <w:rsid w:val="00305A24"/>
    <w:rsid w:val="0031174A"/>
    <w:rsid w:val="00311A1A"/>
    <w:rsid w:val="00311CD1"/>
    <w:rsid w:val="00312B2F"/>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30C8B"/>
    <w:rsid w:val="003321FE"/>
    <w:rsid w:val="003339AE"/>
    <w:rsid w:val="00340130"/>
    <w:rsid w:val="00340EBC"/>
    <w:rsid w:val="00341050"/>
    <w:rsid w:val="00342132"/>
    <w:rsid w:val="00342409"/>
    <w:rsid w:val="0034377D"/>
    <w:rsid w:val="00343A76"/>
    <w:rsid w:val="00345903"/>
    <w:rsid w:val="00350BA6"/>
    <w:rsid w:val="00352BA9"/>
    <w:rsid w:val="00353027"/>
    <w:rsid w:val="00353CE9"/>
    <w:rsid w:val="00353FA4"/>
    <w:rsid w:val="003564AA"/>
    <w:rsid w:val="00360565"/>
    <w:rsid w:val="00361513"/>
    <w:rsid w:val="00363701"/>
    <w:rsid w:val="00364E87"/>
    <w:rsid w:val="00364F91"/>
    <w:rsid w:val="003664C5"/>
    <w:rsid w:val="00366534"/>
    <w:rsid w:val="0036670F"/>
    <w:rsid w:val="003701CF"/>
    <w:rsid w:val="003704DC"/>
    <w:rsid w:val="0037249E"/>
    <w:rsid w:val="00374176"/>
    <w:rsid w:val="00374BEE"/>
    <w:rsid w:val="0037738F"/>
    <w:rsid w:val="00381B82"/>
    <w:rsid w:val="003829F1"/>
    <w:rsid w:val="00384277"/>
    <w:rsid w:val="00385FAB"/>
    <w:rsid w:val="0038796A"/>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30DF"/>
    <w:rsid w:val="003C5E65"/>
    <w:rsid w:val="003C6237"/>
    <w:rsid w:val="003C6C62"/>
    <w:rsid w:val="003C6EE5"/>
    <w:rsid w:val="003D1632"/>
    <w:rsid w:val="003D2866"/>
    <w:rsid w:val="003D3001"/>
    <w:rsid w:val="003D5480"/>
    <w:rsid w:val="003D67EE"/>
    <w:rsid w:val="003E1497"/>
    <w:rsid w:val="003E22B3"/>
    <w:rsid w:val="003E23C2"/>
    <w:rsid w:val="003E33C4"/>
    <w:rsid w:val="003E51D2"/>
    <w:rsid w:val="003E7988"/>
    <w:rsid w:val="003E7CE5"/>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110"/>
    <w:rsid w:val="00414CFD"/>
    <w:rsid w:val="00414D64"/>
    <w:rsid w:val="00415DB9"/>
    <w:rsid w:val="00417F88"/>
    <w:rsid w:val="004217B6"/>
    <w:rsid w:val="00421CEF"/>
    <w:rsid w:val="00422270"/>
    <w:rsid w:val="00422D5E"/>
    <w:rsid w:val="00422DE9"/>
    <w:rsid w:val="00422E2C"/>
    <w:rsid w:val="00423B6D"/>
    <w:rsid w:val="004247C9"/>
    <w:rsid w:val="0042486A"/>
    <w:rsid w:val="00424A84"/>
    <w:rsid w:val="00425E0A"/>
    <w:rsid w:val="00426587"/>
    <w:rsid w:val="00426DFD"/>
    <w:rsid w:val="004271FA"/>
    <w:rsid w:val="00427D7F"/>
    <w:rsid w:val="0043064F"/>
    <w:rsid w:val="0043118E"/>
    <w:rsid w:val="00431BFE"/>
    <w:rsid w:val="0043381C"/>
    <w:rsid w:val="004341CB"/>
    <w:rsid w:val="00441F8C"/>
    <w:rsid w:val="00442BAE"/>
    <w:rsid w:val="0044319C"/>
    <w:rsid w:val="004459C6"/>
    <w:rsid w:val="004460B7"/>
    <w:rsid w:val="00447FD7"/>
    <w:rsid w:val="00450ED6"/>
    <w:rsid w:val="00451F69"/>
    <w:rsid w:val="00453830"/>
    <w:rsid w:val="00454458"/>
    <w:rsid w:val="00454D4A"/>
    <w:rsid w:val="00456058"/>
    <w:rsid w:val="00460609"/>
    <w:rsid w:val="0046277F"/>
    <w:rsid w:val="00462F0B"/>
    <w:rsid w:val="00464253"/>
    <w:rsid w:val="004643B3"/>
    <w:rsid w:val="004650A0"/>
    <w:rsid w:val="00470470"/>
    <w:rsid w:val="00470F99"/>
    <w:rsid w:val="004713C0"/>
    <w:rsid w:val="00472AE8"/>
    <w:rsid w:val="00472E3D"/>
    <w:rsid w:val="004737A6"/>
    <w:rsid w:val="004738F7"/>
    <w:rsid w:val="00474852"/>
    <w:rsid w:val="00475066"/>
    <w:rsid w:val="004754F7"/>
    <w:rsid w:val="00476EF9"/>
    <w:rsid w:val="00477000"/>
    <w:rsid w:val="0047728D"/>
    <w:rsid w:val="00477EBD"/>
    <w:rsid w:val="00483010"/>
    <w:rsid w:val="004836A8"/>
    <w:rsid w:val="00486944"/>
    <w:rsid w:val="0048792B"/>
    <w:rsid w:val="00487D66"/>
    <w:rsid w:val="00490E8F"/>
    <w:rsid w:val="004938E2"/>
    <w:rsid w:val="00494D5B"/>
    <w:rsid w:val="00495DFD"/>
    <w:rsid w:val="004A0022"/>
    <w:rsid w:val="004A4B05"/>
    <w:rsid w:val="004A64E2"/>
    <w:rsid w:val="004A69D3"/>
    <w:rsid w:val="004A7E10"/>
    <w:rsid w:val="004B20DB"/>
    <w:rsid w:val="004B4386"/>
    <w:rsid w:val="004B6987"/>
    <w:rsid w:val="004B6BF6"/>
    <w:rsid w:val="004B7E32"/>
    <w:rsid w:val="004C0C23"/>
    <w:rsid w:val="004C672F"/>
    <w:rsid w:val="004D124F"/>
    <w:rsid w:val="004D2006"/>
    <w:rsid w:val="004D2106"/>
    <w:rsid w:val="004D4CB5"/>
    <w:rsid w:val="004D5D47"/>
    <w:rsid w:val="004D77DB"/>
    <w:rsid w:val="004D7D69"/>
    <w:rsid w:val="004E00FA"/>
    <w:rsid w:val="004E4CEF"/>
    <w:rsid w:val="004E4F3C"/>
    <w:rsid w:val="004E5DF9"/>
    <w:rsid w:val="004E644B"/>
    <w:rsid w:val="004F017E"/>
    <w:rsid w:val="004F06FE"/>
    <w:rsid w:val="004F1C61"/>
    <w:rsid w:val="004F2B4D"/>
    <w:rsid w:val="004F33A2"/>
    <w:rsid w:val="004F441A"/>
    <w:rsid w:val="004F5269"/>
    <w:rsid w:val="004F7771"/>
    <w:rsid w:val="00503A07"/>
    <w:rsid w:val="00503CE9"/>
    <w:rsid w:val="00504AFC"/>
    <w:rsid w:val="00504EE2"/>
    <w:rsid w:val="00505572"/>
    <w:rsid w:val="005058CD"/>
    <w:rsid w:val="00506B92"/>
    <w:rsid w:val="005118A6"/>
    <w:rsid w:val="00511A0B"/>
    <w:rsid w:val="00511BBC"/>
    <w:rsid w:val="00512916"/>
    <w:rsid w:val="00513653"/>
    <w:rsid w:val="00513719"/>
    <w:rsid w:val="00514B23"/>
    <w:rsid w:val="0052022D"/>
    <w:rsid w:val="00520591"/>
    <w:rsid w:val="00521094"/>
    <w:rsid w:val="005220DE"/>
    <w:rsid w:val="00523855"/>
    <w:rsid w:val="00523F39"/>
    <w:rsid w:val="005251F4"/>
    <w:rsid w:val="00525DA6"/>
    <w:rsid w:val="005261D9"/>
    <w:rsid w:val="005264E8"/>
    <w:rsid w:val="005330A7"/>
    <w:rsid w:val="00533C08"/>
    <w:rsid w:val="0053404C"/>
    <w:rsid w:val="0053743B"/>
    <w:rsid w:val="00540D08"/>
    <w:rsid w:val="00540D76"/>
    <w:rsid w:val="00540EF4"/>
    <w:rsid w:val="00542274"/>
    <w:rsid w:val="005425A5"/>
    <w:rsid w:val="00542869"/>
    <w:rsid w:val="00545D61"/>
    <w:rsid w:val="00546620"/>
    <w:rsid w:val="0055313D"/>
    <w:rsid w:val="0055482B"/>
    <w:rsid w:val="005557AD"/>
    <w:rsid w:val="00555901"/>
    <w:rsid w:val="00557477"/>
    <w:rsid w:val="00561B3A"/>
    <w:rsid w:val="005642BB"/>
    <w:rsid w:val="0056589D"/>
    <w:rsid w:val="00565A95"/>
    <w:rsid w:val="005665D4"/>
    <w:rsid w:val="00566CDC"/>
    <w:rsid w:val="005675F3"/>
    <w:rsid w:val="00570FE8"/>
    <w:rsid w:val="005717F2"/>
    <w:rsid w:val="00572554"/>
    <w:rsid w:val="00572EFF"/>
    <w:rsid w:val="0057429E"/>
    <w:rsid w:val="0057579A"/>
    <w:rsid w:val="00580142"/>
    <w:rsid w:val="0058260D"/>
    <w:rsid w:val="00582E13"/>
    <w:rsid w:val="005830FE"/>
    <w:rsid w:val="00583EF7"/>
    <w:rsid w:val="00585945"/>
    <w:rsid w:val="00586028"/>
    <w:rsid w:val="00587EBB"/>
    <w:rsid w:val="005914A4"/>
    <w:rsid w:val="00591596"/>
    <w:rsid w:val="00591A4E"/>
    <w:rsid w:val="00592459"/>
    <w:rsid w:val="00593B64"/>
    <w:rsid w:val="005958D4"/>
    <w:rsid w:val="00597786"/>
    <w:rsid w:val="005A0C73"/>
    <w:rsid w:val="005A216A"/>
    <w:rsid w:val="005A22DF"/>
    <w:rsid w:val="005A36DD"/>
    <w:rsid w:val="005A3B16"/>
    <w:rsid w:val="005A43A6"/>
    <w:rsid w:val="005A4BE6"/>
    <w:rsid w:val="005B0A20"/>
    <w:rsid w:val="005B17FC"/>
    <w:rsid w:val="005B618E"/>
    <w:rsid w:val="005C0303"/>
    <w:rsid w:val="005C04B2"/>
    <w:rsid w:val="005C0F43"/>
    <w:rsid w:val="005C1410"/>
    <w:rsid w:val="005C3536"/>
    <w:rsid w:val="005C3882"/>
    <w:rsid w:val="005C5220"/>
    <w:rsid w:val="005C5505"/>
    <w:rsid w:val="005C6FB7"/>
    <w:rsid w:val="005C763B"/>
    <w:rsid w:val="005C7C82"/>
    <w:rsid w:val="005D08DC"/>
    <w:rsid w:val="005D0C11"/>
    <w:rsid w:val="005D411C"/>
    <w:rsid w:val="005D7057"/>
    <w:rsid w:val="005E03EB"/>
    <w:rsid w:val="005E0584"/>
    <w:rsid w:val="005E0981"/>
    <w:rsid w:val="005E1975"/>
    <w:rsid w:val="005E26DA"/>
    <w:rsid w:val="005E2831"/>
    <w:rsid w:val="005E3FD6"/>
    <w:rsid w:val="005E6CE5"/>
    <w:rsid w:val="005F0553"/>
    <w:rsid w:val="005F2312"/>
    <w:rsid w:val="005F49F5"/>
    <w:rsid w:val="005F68FD"/>
    <w:rsid w:val="005F72E9"/>
    <w:rsid w:val="00600E49"/>
    <w:rsid w:val="00600F23"/>
    <w:rsid w:val="00602A86"/>
    <w:rsid w:val="00606167"/>
    <w:rsid w:val="006063D8"/>
    <w:rsid w:val="00614A21"/>
    <w:rsid w:val="0061534E"/>
    <w:rsid w:val="0062393B"/>
    <w:rsid w:val="00623FF2"/>
    <w:rsid w:val="006248B6"/>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522"/>
    <w:rsid w:val="00644813"/>
    <w:rsid w:val="00645334"/>
    <w:rsid w:val="00646160"/>
    <w:rsid w:val="00652E4B"/>
    <w:rsid w:val="00653587"/>
    <w:rsid w:val="0065360E"/>
    <w:rsid w:val="006544BC"/>
    <w:rsid w:val="00657245"/>
    <w:rsid w:val="0066114F"/>
    <w:rsid w:val="006625F0"/>
    <w:rsid w:val="006631E9"/>
    <w:rsid w:val="00665443"/>
    <w:rsid w:val="00665BBD"/>
    <w:rsid w:val="00665BE8"/>
    <w:rsid w:val="006677B0"/>
    <w:rsid w:val="00670AF7"/>
    <w:rsid w:val="00670BE0"/>
    <w:rsid w:val="00676D30"/>
    <w:rsid w:val="006801FD"/>
    <w:rsid w:val="006815B3"/>
    <w:rsid w:val="006836B2"/>
    <w:rsid w:val="00685D83"/>
    <w:rsid w:val="00686F2C"/>
    <w:rsid w:val="006871F6"/>
    <w:rsid w:val="00690F32"/>
    <w:rsid w:val="00696C18"/>
    <w:rsid w:val="00696E2A"/>
    <w:rsid w:val="006A0AA9"/>
    <w:rsid w:val="006A0B57"/>
    <w:rsid w:val="006A0FCA"/>
    <w:rsid w:val="006A1562"/>
    <w:rsid w:val="006A3572"/>
    <w:rsid w:val="006A5AB7"/>
    <w:rsid w:val="006A781B"/>
    <w:rsid w:val="006A7A6C"/>
    <w:rsid w:val="006B1945"/>
    <w:rsid w:val="006B34E1"/>
    <w:rsid w:val="006B3518"/>
    <w:rsid w:val="006B38F4"/>
    <w:rsid w:val="006B45E7"/>
    <w:rsid w:val="006B5760"/>
    <w:rsid w:val="006B5C4C"/>
    <w:rsid w:val="006B662F"/>
    <w:rsid w:val="006B6D3A"/>
    <w:rsid w:val="006B7C50"/>
    <w:rsid w:val="006B7CDD"/>
    <w:rsid w:val="006C0493"/>
    <w:rsid w:val="006C06CB"/>
    <w:rsid w:val="006C10F7"/>
    <w:rsid w:val="006C75AB"/>
    <w:rsid w:val="006C7A8B"/>
    <w:rsid w:val="006D0461"/>
    <w:rsid w:val="006D063A"/>
    <w:rsid w:val="006D0A57"/>
    <w:rsid w:val="006D0D4B"/>
    <w:rsid w:val="006D32CA"/>
    <w:rsid w:val="006D43C4"/>
    <w:rsid w:val="006D4572"/>
    <w:rsid w:val="006D4C72"/>
    <w:rsid w:val="006D67A1"/>
    <w:rsid w:val="006D722B"/>
    <w:rsid w:val="006D7938"/>
    <w:rsid w:val="006E0E17"/>
    <w:rsid w:val="006E2C4F"/>
    <w:rsid w:val="006E3394"/>
    <w:rsid w:val="006E5E65"/>
    <w:rsid w:val="006F16B8"/>
    <w:rsid w:val="006F2CE6"/>
    <w:rsid w:val="006F3208"/>
    <w:rsid w:val="006F3DB5"/>
    <w:rsid w:val="006F5DC2"/>
    <w:rsid w:val="006F6AF8"/>
    <w:rsid w:val="00700254"/>
    <w:rsid w:val="0070328E"/>
    <w:rsid w:val="00705082"/>
    <w:rsid w:val="00705418"/>
    <w:rsid w:val="00705E2F"/>
    <w:rsid w:val="00706D4B"/>
    <w:rsid w:val="00707AC9"/>
    <w:rsid w:val="00710722"/>
    <w:rsid w:val="00712BFD"/>
    <w:rsid w:val="00712D57"/>
    <w:rsid w:val="00713A61"/>
    <w:rsid w:val="00713F36"/>
    <w:rsid w:val="007154DA"/>
    <w:rsid w:val="00720193"/>
    <w:rsid w:val="007204C5"/>
    <w:rsid w:val="00720DCC"/>
    <w:rsid w:val="007221E2"/>
    <w:rsid w:val="00722981"/>
    <w:rsid w:val="00726A81"/>
    <w:rsid w:val="00726C25"/>
    <w:rsid w:val="00727B75"/>
    <w:rsid w:val="00727C4C"/>
    <w:rsid w:val="00731D09"/>
    <w:rsid w:val="007320C6"/>
    <w:rsid w:val="00732BA3"/>
    <w:rsid w:val="00733068"/>
    <w:rsid w:val="007338D1"/>
    <w:rsid w:val="00733A7E"/>
    <w:rsid w:val="00733E81"/>
    <w:rsid w:val="00734CAE"/>
    <w:rsid w:val="00736099"/>
    <w:rsid w:val="007406FF"/>
    <w:rsid w:val="007458A7"/>
    <w:rsid w:val="00745C2A"/>
    <w:rsid w:val="007468D8"/>
    <w:rsid w:val="007501C7"/>
    <w:rsid w:val="00755318"/>
    <w:rsid w:val="007569B6"/>
    <w:rsid w:val="007571C2"/>
    <w:rsid w:val="00757CF5"/>
    <w:rsid w:val="007610BA"/>
    <w:rsid w:val="00761D9E"/>
    <w:rsid w:val="00761FA7"/>
    <w:rsid w:val="00763355"/>
    <w:rsid w:val="00763D7C"/>
    <w:rsid w:val="0076525B"/>
    <w:rsid w:val="00766386"/>
    <w:rsid w:val="00766BC0"/>
    <w:rsid w:val="00766C91"/>
    <w:rsid w:val="00766CF8"/>
    <w:rsid w:val="007708CC"/>
    <w:rsid w:val="00772430"/>
    <w:rsid w:val="0077388E"/>
    <w:rsid w:val="00773AAE"/>
    <w:rsid w:val="00775826"/>
    <w:rsid w:val="00777262"/>
    <w:rsid w:val="007776FF"/>
    <w:rsid w:val="0077775C"/>
    <w:rsid w:val="00781994"/>
    <w:rsid w:val="00783E42"/>
    <w:rsid w:val="00786F20"/>
    <w:rsid w:val="00787121"/>
    <w:rsid w:val="007873D1"/>
    <w:rsid w:val="00787A4F"/>
    <w:rsid w:val="0079381A"/>
    <w:rsid w:val="007949F0"/>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1DF2"/>
    <w:rsid w:val="007C5738"/>
    <w:rsid w:val="007C7EA3"/>
    <w:rsid w:val="007D12AF"/>
    <w:rsid w:val="007D165A"/>
    <w:rsid w:val="007D1A12"/>
    <w:rsid w:val="007D247F"/>
    <w:rsid w:val="007D27AD"/>
    <w:rsid w:val="007D2A9D"/>
    <w:rsid w:val="007D31B0"/>
    <w:rsid w:val="007D3873"/>
    <w:rsid w:val="007D3E94"/>
    <w:rsid w:val="007D4738"/>
    <w:rsid w:val="007D600C"/>
    <w:rsid w:val="007D677C"/>
    <w:rsid w:val="007D746C"/>
    <w:rsid w:val="007D7B75"/>
    <w:rsid w:val="007D7CB0"/>
    <w:rsid w:val="007E00AC"/>
    <w:rsid w:val="007E012D"/>
    <w:rsid w:val="007E22E8"/>
    <w:rsid w:val="007E2C1A"/>
    <w:rsid w:val="007E2C20"/>
    <w:rsid w:val="007E34B6"/>
    <w:rsid w:val="007E35AF"/>
    <w:rsid w:val="007E3F4C"/>
    <w:rsid w:val="007E5976"/>
    <w:rsid w:val="007E66CE"/>
    <w:rsid w:val="007E6E8B"/>
    <w:rsid w:val="007E7C12"/>
    <w:rsid w:val="007E7DBC"/>
    <w:rsid w:val="007F049E"/>
    <w:rsid w:val="007F0CBE"/>
    <w:rsid w:val="007F16A8"/>
    <w:rsid w:val="007F1DDC"/>
    <w:rsid w:val="007F2625"/>
    <w:rsid w:val="007F3814"/>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785F"/>
    <w:rsid w:val="0082139E"/>
    <w:rsid w:val="00821DF4"/>
    <w:rsid w:val="008233A8"/>
    <w:rsid w:val="008246AB"/>
    <w:rsid w:val="00824B13"/>
    <w:rsid w:val="008256EC"/>
    <w:rsid w:val="008274A6"/>
    <w:rsid w:val="00827885"/>
    <w:rsid w:val="00831AB2"/>
    <w:rsid w:val="00834122"/>
    <w:rsid w:val="00834B98"/>
    <w:rsid w:val="00836245"/>
    <w:rsid w:val="008366A2"/>
    <w:rsid w:val="00836C74"/>
    <w:rsid w:val="008378A3"/>
    <w:rsid w:val="00841BB6"/>
    <w:rsid w:val="0084371A"/>
    <w:rsid w:val="00843BA7"/>
    <w:rsid w:val="0084669D"/>
    <w:rsid w:val="00846F26"/>
    <w:rsid w:val="0084771B"/>
    <w:rsid w:val="0085095D"/>
    <w:rsid w:val="00851A68"/>
    <w:rsid w:val="008526BD"/>
    <w:rsid w:val="00854763"/>
    <w:rsid w:val="0085560F"/>
    <w:rsid w:val="00856B35"/>
    <w:rsid w:val="008574FB"/>
    <w:rsid w:val="0086121B"/>
    <w:rsid w:val="008628C4"/>
    <w:rsid w:val="0086440C"/>
    <w:rsid w:val="00865470"/>
    <w:rsid w:val="00867EAC"/>
    <w:rsid w:val="00870047"/>
    <w:rsid w:val="00872693"/>
    <w:rsid w:val="00875F92"/>
    <w:rsid w:val="00876890"/>
    <w:rsid w:val="00876B1D"/>
    <w:rsid w:val="00877F12"/>
    <w:rsid w:val="00880E23"/>
    <w:rsid w:val="008827A5"/>
    <w:rsid w:val="00882997"/>
    <w:rsid w:val="00883096"/>
    <w:rsid w:val="0088405B"/>
    <w:rsid w:val="0089028A"/>
    <w:rsid w:val="00890603"/>
    <w:rsid w:val="00890D68"/>
    <w:rsid w:val="008934DC"/>
    <w:rsid w:val="008948FF"/>
    <w:rsid w:val="0089565B"/>
    <w:rsid w:val="008958F2"/>
    <w:rsid w:val="008974DE"/>
    <w:rsid w:val="008A05E4"/>
    <w:rsid w:val="008A0776"/>
    <w:rsid w:val="008A0881"/>
    <w:rsid w:val="008A0E0A"/>
    <w:rsid w:val="008A124E"/>
    <w:rsid w:val="008A17B9"/>
    <w:rsid w:val="008A472E"/>
    <w:rsid w:val="008A4A98"/>
    <w:rsid w:val="008A509C"/>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300E"/>
    <w:rsid w:val="008E3A95"/>
    <w:rsid w:val="008E4025"/>
    <w:rsid w:val="008E4A54"/>
    <w:rsid w:val="008E4DD4"/>
    <w:rsid w:val="008E5556"/>
    <w:rsid w:val="008E6058"/>
    <w:rsid w:val="008E6A17"/>
    <w:rsid w:val="008F2574"/>
    <w:rsid w:val="008F37BE"/>
    <w:rsid w:val="008F4562"/>
    <w:rsid w:val="008F6ADE"/>
    <w:rsid w:val="00900F90"/>
    <w:rsid w:val="0090139D"/>
    <w:rsid w:val="009020BE"/>
    <w:rsid w:val="0090343D"/>
    <w:rsid w:val="00903B0F"/>
    <w:rsid w:val="00903BE2"/>
    <w:rsid w:val="00904BA1"/>
    <w:rsid w:val="009059FD"/>
    <w:rsid w:val="00906022"/>
    <w:rsid w:val="00910CE2"/>
    <w:rsid w:val="0091102F"/>
    <w:rsid w:val="009115DE"/>
    <w:rsid w:val="00911CDA"/>
    <w:rsid w:val="00913EDB"/>
    <w:rsid w:val="00915507"/>
    <w:rsid w:val="00915ECF"/>
    <w:rsid w:val="009169B6"/>
    <w:rsid w:val="0091748B"/>
    <w:rsid w:val="00920109"/>
    <w:rsid w:val="00920875"/>
    <w:rsid w:val="00922659"/>
    <w:rsid w:val="009234DE"/>
    <w:rsid w:val="00923A6B"/>
    <w:rsid w:val="009240A7"/>
    <w:rsid w:val="00927C0C"/>
    <w:rsid w:val="009304A4"/>
    <w:rsid w:val="009314F3"/>
    <w:rsid w:val="00931B02"/>
    <w:rsid w:val="00935089"/>
    <w:rsid w:val="00935966"/>
    <w:rsid w:val="009359F0"/>
    <w:rsid w:val="00940584"/>
    <w:rsid w:val="00944F8F"/>
    <w:rsid w:val="00945C67"/>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C31"/>
    <w:rsid w:val="00967D07"/>
    <w:rsid w:val="009704CC"/>
    <w:rsid w:val="00971499"/>
    <w:rsid w:val="009716CC"/>
    <w:rsid w:val="00973A1E"/>
    <w:rsid w:val="00973C02"/>
    <w:rsid w:val="009757AD"/>
    <w:rsid w:val="00980229"/>
    <w:rsid w:val="00981DAF"/>
    <w:rsid w:val="00981DDE"/>
    <w:rsid w:val="0098348B"/>
    <w:rsid w:val="00984E7A"/>
    <w:rsid w:val="00985B0B"/>
    <w:rsid w:val="009911D1"/>
    <w:rsid w:val="00991BE6"/>
    <w:rsid w:val="0099237C"/>
    <w:rsid w:val="0099352B"/>
    <w:rsid w:val="00995500"/>
    <w:rsid w:val="0099681B"/>
    <w:rsid w:val="009A143F"/>
    <w:rsid w:val="009A274F"/>
    <w:rsid w:val="009A3E79"/>
    <w:rsid w:val="009A5024"/>
    <w:rsid w:val="009A7790"/>
    <w:rsid w:val="009A7E98"/>
    <w:rsid w:val="009B1265"/>
    <w:rsid w:val="009B15BA"/>
    <w:rsid w:val="009B1FF9"/>
    <w:rsid w:val="009B2E80"/>
    <w:rsid w:val="009B43DE"/>
    <w:rsid w:val="009B4BB4"/>
    <w:rsid w:val="009B56E5"/>
    <w:rsid w:val="009B6537"/>
    <w:rsid w:val="009C19EB"/>
    <w:rsid w:val="009C20CE"/>
    <w:rsid w:val="009C2505"/>
    <w:rsid w:val="009C5162"/>
    <w:rsid w:val="009D15B1"/>
    <w:rsid w:val="009D1B99"/>
    <w:rsid w:val="009D57A8"/>
    <w:rsid w:val="009D5AC0"/>
    <w:rsid w:val="009D5EA2"/>
    <w:rsid w:val="009D70B4"/>
    <w:rsid w:val="009D7A09"/>
    <w:rsid w:val="009E07F6"/>
    <w:rsid w:val="009E31C2"/>
    <w:rsid w:val="009E4764"/>
    <w:rsid w:val="009E5CB7"/>
    <w:rsid w:val="009E66E8"/>
    <w:rsid w:val="009E7B20"/>
    <w:rsid w:val="009E7B76"/>
    <w:rsid w:val="009F2D0C"/>
    <w:rsid w:val="009F45A5"/>
    <w:rsid w:val="009F5172"/>
    <w:rsid w:val="009F5D6E"/>
    <w:rsid w:val="009F6C26"/>
    <w:rsid w:val="00A00A33"/>
    <w:rsid w:val="00A01019"/>
    <w:rsid w:val="00A03AB5"/>
    <w:rsid w:val="00A042B8"/>
    <w:rsid w:val="00A07C57"/>
    <w:rsid w:val="00A1129F"/>
    <w:rsid w:val="00A11793"/>
    <w:rsid w:val="00A13D95"/>
    <w:rsid w:val="00A14170"/>
    <w:rsid w:val="00A16AE6"/>
    <w:rsid w:val="00A1750E"/>
    <w:rsid w:val="00A2126A"/>
    <w:rsid w:val="00A2171C"/>
    <w:rsid w:val="00A2271E"/>
    <w:rsid w:val="00A2434F"/>
    <w:rsid w:val="00A24C05"/>
    <w:rsid w:val="00A24FDD"/>
    <w:rsid w:val="00A258BD"/>
    <w:rsid w:val="00A25CBA"/>
    <w:rsid w:val="00A26A2F"/>
    <w:rsid w:val="00A30FB1"/>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67AD"/>
    <w:rsid w:val="00A55736"/>
    <w:rsid w:val="00A5695A"/>
    <w:rsid w:val="00A57C8A"/>
    <w:rsid w:val="00A60908"/>
    <w:rsid w:val="00A61396"/>
    <w:rsid w:val="00A6157A"/>
    <w:rsid w:val="00A62088"/>
    <w:rsid w:val="00A62B2F"/>
    <w:rsid w:val="00A63D9B"/>
    <w:rsid w:val="00A63DEF"/>
    <w:rsid w:val="00A64E6B"/>
    <w:rsid w:val="00A67802"/>
    <w:rsid w:val="00A67E64"/>
    <w:rsid w:val="00A70430"/>
    <w:rsid w:val="00A70CDF"/>
    <w:rsid w:val="00A71EFE"/>
    <w:rsid w:val="00A73B4D"/>
    <w:rsid w:val="00A7536E"/>
    <w:rsid w:val="00A75FCD"/>
    <w:rsid w:val="00A774F3"/>
    <w:rsid w:val="00A77B2F"/>
    <w:rsid w:val="00A808C5"/>
    <w:rsid w:val="00A80D38"/>
    <w:rsid w:val="00A811F0"/>
    <w:rsid w:val="00A814AF"/>
    <w:rsid w:val="00A81EFD"/>
    <w:rsid w:val="00A82835"/>
    <w:rsid w:val="00A8315E"/>
    <w:rsid w:val="00A8327C"/>
    <w:rsid w:val="00A84826"/>
    <w:rsid w:val="00A850CE"/>
    <w:rsid w:val="00A8540F"/>
    <w:rsid w:val="00A87399"/>
    <w:rsid w:val="00A87C30"/>
    <w:rsid w:val="00A903A4"/>
    <w:rsid w:val="00A90B05"/>
    <w:rsid w:val="00A9224C"/>
    <w:rsid w:val="00A93CA5"/>
    <w:rsid w:val="00A946DB"/>
    <w:rsid w:val="00A9488C"/>
    <w:rsid w:val="00A954CA"/>
    <w:rsid w:val="00AA092F"/>
    <w:rsid w:val="00AA5F6D"/>
    <w:rsid w:val="00AB0430"/>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C7AA9"/>
    <w:rsid w:val="00AD06C4"/>
    <w:rsid w:val="00AD32FF"/>
    <w:rsid w:val="00AD3E8F"/>
    <w:rsid w:val="00AD41F8"/>
    <w:rsid w:val="00AD4E45"/>
    <w:rsid w:val="00AD7511"/>
    <w:rsid w:val="00AD7CD9"/>
    <w:rsid w:val="00AE4747"/>
    <w:rsid w:val="00AE506E"/>
    <w:rsid w:val="00AE654D"/>
    <w:rsid w:val="00AE69DC"/>
    <w:rsid w:val="00AF2F35"/>
    <w:rsid w:val="00AF3A09"/>
    <w:rsid w:val="00AF4BC8"/>
    <w:rsid w:val="00AF601F"/>
    <w:rsid w:val="00B0058A"/>
    <w:rsid w:val="00B01C16"/>
    <w:rsid w:val="00B02383"/>
    <w:rsid w:val="00B03E45"/>
    <w:rsid w:val="00B04AD3"/>
    <w:rsid w:val="00B05E39"/>
    <w:rsid w:val="00B07D3A"/>
    <w:rsid w:val="00B07D41"/>
    <w:rsid w:val="00B11188"/>
    <w:rsid w:val="00B11363"/>
    <w:rsid w:val="00B13409"/>
    <w:rsid w:val="00B14866"/>
    <w:rsid w:val="00B162AD"/>
    <w:rsid w:val="00B1686D"/>
    <w:rsid w:val="00B17416"/>
    <w:rsid w:val="00B20F4C"/>
    <w:rsid w:val="00B229CB"/>
    <w:rsid w:val="00B2528C"/>
    <w:rsid w:val="00B26683"/>
    <w:rsid w:val="00B27E50"/>
    <w:rsid w:val="00B30389"/>
    <w:rsid w:val="00B318EF"/>
    <w:rsid w:val="00B32378"/>
    <w:rsid w:val="00B324BE"/>
    <w:rsid w:val="00B3271B"/>
    <w:rsid w:val="00B32CDB"/>
    <w:rsid w:val="00B33307"/>
    <w:rsid w:val="00B34B54"/>
    <w:rsid w:val="00B36B5A"/>
    <w:rsid w:val="00B37973"/>
    <w:rsid w:val="00B37A94"/>
    <w:rsid w:val="00B40BE1"/>
    <w:rsid w:val="00B410AD"/>
    <w:rsid w:val="00B427FF"/>
    <w:rsid w:val="00B429B6"/>
    <w:rsid w:val="00B449DC"/>
    <w:rsid w:val="00B45957"/>
    <w:rsid w:val="00B45F72"/>
    <w:rsid w:val="00B52DB8"/>
    <w:rsid w:val="00B53C4C"/>
    <w:rsid w:val="00B5477F"/>
    <w:rsid w:val="00B55F2E"/>
    <w:rsid w:val="00B61410"/>
    <w:rsid w:val="00B63E74"/>
    <w:rsid w:val="00B64DDB"/>
    <w:rsid w:val="00B706CF"/>
    <w:rsid w:val="00B713E8"/>
    <w:rsid w:val="00B71A61"/>
    <w:rsid w:val="00B71DC2"/>
    <w:rsid w:val="00B73CA9"/>
    <w:rsid w:val="00B7493D"/>
    <w:rsid w:val="00B749D5"/>
    <w:rsid w:val="00B74B43"/>
    <w:rsid w:val="00B74D6C"/>
    <w:rsid w:val="00B80E5C"/>
    <w:rsid w:val="00B81B2F"/>
    <w:rsid w:val="00B84047"/>
    <w:rsid w:val="00B847F3"/>
    <w:rsid w:val="00B85096"/>
    <w:rsid w:val="00B8552F"/>
    <w:rsid w:val="00B86246"/>
    <w:rsid w:val="00B86D7B"/>
    <w:rsid w:val="00B8734B"/>
    <w:rsid w:val="00B9020E"/>
    <w:rsid w:val="00B92B7B"/>
    <w:rsid w:val="00B93A86"/>
    <w:rsid w:val="00B95F71"/>
    <w:rsid w:val="00B965F6"/>
    <w:rsid w:val="00B9693A"/>
    <w:rsid w:val="00B96E6F"/>
    <w:rsid w:val="00BA0D25"/>
    <w:rsid w:val="00BA3B7F"/>
    <w:rsid w:val="00BA40C7"/>
    <w:rsid w:val="00BA611C"/>
    <w:rsid w:val="00BA63F7"/>
    <w:rsid w:val="00BB05A0"/>
    <w:rsid w:val="00BB26AE"/>
    <w:rsid w:val="00BB35CF"/>
    <w:rsid w:val="00BB3686"/>
    <w:rsid w:val="00BB3A2E"/>
    <w:rsid w:val="00BB453D"/>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35C6"/>
    <w:rsid w:val="00BD6F9F"/>
    <w:rsid w:val="00BD7C19"/>
    <w:rsid w:val="00BE0323"/>
    <w:rsid w:val="00BE0DEF"/>
    <w:rsid w:val="00BE253F"/>
    <w:rsid w:val="00BE3209"/>
    <w:rsid w:val="00BE34C3"/>
    <w:rsid w:val="00BE3FF2"/>
    <w:rsid w:val="00BE4BE4"/>
    <w:rsid w:val="00BE5508"/>
    <w:rsid w:val="00BE5C18"/>
    <w:rsid w:val="00BE5DB8"/>
    <w:rsid w:val="00BE6294"/>
    <w:rsid w:val="00BE74E7"/>
    <w:rsid w:val="00BE7BC4"/>
    <w:rsid w:val="00BF07D9"/>
    <w:rsid w:val="00BF1509"/>
    <w:rsid w:val="00BF3770"/>
    <w:rsid w:val="00BF3809"/>
    <w:rsid w:val="00BF38D9"/>
    <w:rsid w:val="00BF415E"/>
    <w:rsid w:val="00BF4192"/>
    <w:rsid w:val="00BF6DC1"/>
    <w:rsid w:val="00BF7761"/>
    <w:rsid w:val="00C019EF"/>
    <w:rsid w:val="00C02379"/>
    <w:rsid w:val="00C03EB3"/>
    <w:rsid w:val="00C04027"/>
    <w:rsid w:val="00C0645B"/>
    <w:rsid w:val="00C07048"/>
    <w:rsid w:val="00C0716C"/>
    <w:rsid w:val="00C0771D"/>
    <w:rsid w:val="00C0791B"/>
    <w:rsid w:val="00C12BFC"/>
    <w:rsid w:val="00C1307E"/>
    <w:rsid w:val="00C13A01"/>
    <w:rsid w:val="00C1441D"/>
    <w:rsid w:val="00C175D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043"/>
    <w:rsid w:val="00C422E3"/>
    <w:rsid w:val="00C4250C"/>
    <w:rsid w:val="00C42639"/>
    <w:rsid w:val="00C437FB"/>
    <w:rsid w:val="00C460B6"/>
    <w:rsid w:val="00C46184"/>
    <w:rsid w:val="00C474E5"/>
    <w:rsid w:val="00C50D8B"/>
    <w:rsid w:val="00C51153"/>
    <w:rsid w:val="00C561B1"/>
    <w:rsid w:val="00C56E50"/>
    <w:rsid w:val="00C5766D"/>
    <w:rsid w:val="00C57975"/>
    <w:rsid w:val="00C57C9A"/>
    <w:rsid w:val="00C57DE0"/>
    <w:rsid w:val="00C57E35"/>
    <w:rsid w:val="00C60C3E"/>
    <w:rsid w:val="00C61684"/>
    <w:rsid w:val="00C61E65"/>
    <w:rsid w:val="00C62247"/>
    <w:rsid w:val="00C624EB"/>
    <w:rsid w:val="00C636A9"/>
    <w:rsid w:val="00C642CA"/>
    <w:rsid w:val="00C651D2"/>
    <w:rsid w:val="00C6578F"/>
    <w:rsid w:val="00C66738"/>
    <w:rsid w:val="00C66C79"/>
    <w:rsid w:val="00C70A93"/>
    <w:rsid w:val="00C714B5"/>
    <w:rsid w:val="00C71C93"/>
    <w:rsid w:val="00C747C7"/>
    <w:rsid w:val="00C75847"/>
    <w:rsid w:val="00C75943"/>
    <w:rsid w:val="00C75CC3"/>
    <w:rsid w:val="00C77A9F"/>
    <w:rsid w:val="00C8037F"/>
    <w:rsid w:val="00C80A65"/>
    <w:rsid w:val="00C80BAB"/>
    <w:rsid w:val="00C80D5E"/>
    <w:rsid w:val="00C80DDA"/>
    <w:rsid w:val="00C815D7"/>
    <w:rsid w:val="00C81995"/>
    <w:rsid w:val="00C82270"/>
    <w:rsid w:val="00C82A9F"/>
    <w:rsid w:val="00C82B5B"/>
    <w:rsid w:val="00C82C88"/>
    <w:rsid w:val="00C82ECE"/>
    <w:rsid w:val="00C8419E"/>
    <w:rsid w:val="00C85A80"/>
    <w:rsid w:val="00C86D50"/>
    <w:rsid w:val="00C870DC"/>
    <w:rsid w:val="00C87933"/>
    <w:rsid w:val="00C91F36"/>
    <w:rsid w:val="00C93639"/>
    <w:rsid w:val="00C941AE"/>
    <w:rsid w:val="00C9445F"/>
    <w:rsid w:val="00C95C34"/>
    <w:rsid w:val="00C960AC"/>
    <w:rsid w:val="00C963F2"/>
    <w:rsid w:val="00C96903"/>
    <w:rsid w:val="00CA137A"/>
    <w:rsid w:val="00CA17AB"/>
    <w:rsid w:val="00CA2132"/>
    <w:rsid w:val="00CA2F29"/>
    <w:rsid w:val="00CA44D3"/>
    <w:rsid w:val="00CA4B4D"/>
    <w:rsid w:val="00CB142A"/>
    <w:rsid w:val="00CB20C0"/>
    <w:rsid w:val="00CB41BB"/>
    <w:rsid w:val="00CB465C"/>
    <w:rsid w:val="00CB5734"/>
    <w:rsid w:val="00CB629C"/>
    <w:rsid w:val="00CC1622"/>
    <w:rsid w:val="00CC2854"/>
    <w:rsid w:val="00CC37B5"/>
    <w:rsid w:val="00CC40E7"/>
    <w:rsid w:val="00CC6058"/>
    <w:rsid w:val="00CC66F1"/>
    <w:rsid w:val="00CC7B5B"/>
    <w:rsid w:val="00CD06C7"/>
    <w:rsid w:val="00CD2D21"/>
    <w:rsid w:val="00CE02E1"/>
    <w:rsid w:val="00CE0657"/>
    <w:rsid w:val="00CE134C"/>
    <w:rsid w:val="00CE3785"/>
    <w:rsid w:val="00CE3B3E"/>
    <w:rsid w:val="00CE3EDF"/>
    <w:rsid w:val="00CE5F0E"/>
    <w:rsid w:val="00CF01CD"/>
    <w:rsid w:val="00CF05ED"/>
    <w:rsid w:val="00CF72F5"/>
    <w:rsid w:val="00D01545"/>
    <w:rsid w:val="00D02B71"/>
    <w:rsid w:val="00D1192E"/>
    <w:rsid w:val="00D153D4"/>
    <w:rsid w:val="00D16098"/>
    <w:rsid w:val="00D17BCE"/>
    <w:rsid w:val="00D20C7E"/>
    <w:rsid w:val="00D2244C"/>
    <w:rsid w:val="00D22D25"/>
    <w:rsid w:val="00D23C19"/>
    <w:rsid w:val="00D25AB2"/>
    <w:rsid w:val="00D25CE5"/>
    <w:rsid w:val="00D27833"/>
    <w:rsid w:val="00D30A84"/>
    <w:rsid w:val="00D30E9F"/>
    <w:rsid w:val="00D3139A"/>
    <w:rsid w:val="00D31D26"/>
    <w:rsid w:val="00D33E0D"/>
    <w:rsid w:val="00D346AB"/>
    <w:rsid w:val="00D3618B"/>
    <w:rsid w:val="00D3646B"/>
    <w:rsid w:val="00D36C6D"/>
    <w:rsid w:val="00D36DD4"/>
    <w:rsid w:val="00D3701B"/>
    <w:rsid w:val="00D37C97"/>
    <w:rsid w:val="00D37D12"/>
    <w:rsid w:val="00D42513"/>
    <w:rsid w:val="00D444B8"/>
    <w:rsid w:val="00D44DF6"/>
    <w:rsid w:val="00D460FE"/>
    <w:rsid w:val="00D47D0F"/>
    <w:rsid w:val="00D509E5"/>
    <w:rsid w:val="00D537B2"/>
    <w:rsid w:val="00D54C34"/>
    <w:rsid w:val="00D56B92"/>
    <w:rsid w:val="00D62B6E"/>
    <w:rsid w:val="00D6327C"/>
    <w:rsid w:val="00D63801"/>
    <w:rsid w:val="00D656DA"/>
    <w:rsid w:val="00D66175"/>
    <w:rsid w:val="00D743DD"/>
    <w:rsid w:val="00D760BA"/>
    <w:rsid w:val="00D812F1"/>
    <w:rsid w:val="00D814DE"/>
    <w:rsid w:val="00D84E91"/>
    <w:rsid w:val="00D850AB"/>
    <w:rsid w:val="00D93348"/>
    <w:rsid w:val="00D934FC"/>
    <w:rsid w:val="00D93D01"/>
    <w:rsid w:val="00D94C12"/>
    <w:rsid w:val="00D95635"/>
    <w:rsid w:val="00D95C4D"/>
    <w:rsid w:val="00D965C0"/>
    <w:rsid w:val="00D96D5A"/>
    <w:rsid w:val="00DA02E1"/>
    <w:rsid w:val="00DA3815"/>
    <w:rsid w:val="00DA3FFC"/>
    <w:rsid w:val="00DA434B"/>
    <w:rsid w:val="00DA43FF"/>
    <w:rsid w:val="00DA4DDD"/>
    <w:rsid w:val="00DA6625"/>
    <w:rsid w:val="00DA6EDC"/>
    <w:rsid w:val="00DB1A1D"/>
    <w:rsid w:val="00DB24DB"/>
    <w:rsid w:val="00DB4C5C"/>
    <w:rsid w:val="00DB6966"/>
    <w:rsid w:val="00DC1C2D"/>
    <w:rsid w:val="00DC218E"/>
    <w:rsid w:val="00DC3DF6"/>
    <w:rsid w:val="00DC3E47"/>
    <w:rsid w:val="00DC4C5F"/>
    <w:rsid w:val="00DC658B"/>
    <w:rsid w:val="00DC766D"/>
    <w:rsid w:val="00DC7FBE"/>
    <w:rsid w:val="00DD04BB"/>
    <w:rsid w:val="00DD0BC5"/>
    <w:rsid w:val="00DD2128"/>
    <w:rsid w:val="00DD26CC"/>
    <w:rsid w:val="00DD29D5"/>
    <w:rsid w:val="00DD43A0"/>
    <w:rsid w:val="00DD5D1E"/>
    <w:rsid w:val="00DD649A"/>
    <w:rsid w:val="00DD6673"/>
    <w:rsid w:val="00DE25F1"/>
    <w:rsid w:val="00DE3DC3"/>
    <w:rsid w:val="00DE50B4"/>
    <w:rsid w:val="00DE5FBD"/>
    <w:rsid w:val="00DE6787"/>
    <w:rsid w:val="00DF188A"/>
    <w:rsid w:val="00DF19EE"/>
    <w:rsid w:val="00DF5ECB"/>
    <w:rsid w:val="00DF6C04"/>
    <w:rsid w:val="00DF7585"/>
    <w:rsid w:val="00E005B2"/>
    <w:rsid w:val="00E02FB2"/>
    <w:rsid w:val="00E05383"/>
    <w:rsid w:val="00E05EFB"/>
    <w:rsid w:val="00E0678B"/>
    <w:rsid w:val="00E06BC1"/>
    <w:rsid w:val="00E06CD4"/>
    <w:rsid w:val="00E0711D"/>
    <w:rsid w:val="00E11CBB"/>
    <w:rsid w:val="00E12691"/>
    <w:rsid w:val="00E149D0"/>
    <w:rsid w:val="00E1634B"/>
    <w:rsid w:val="00E17886"/>
    <w:rsid w:val="00E206ED"/>
    <w:rsid w:val="00E20811"/>
    <w:rsid w:val="00E23023"/>
    <w:rsid w:val="00E237DC"/>
    <w:rsid w:val="00E23BA2"/>
    <w:rsid w:val="00E256E3"/>
    <w:rsid w:val="00E257C6"/>
    <w:rsid w:val="00E2629A"/>
    <w:rsid w:val="00E26F14"/>
    <w:rsid w:val="00E27020"/>
    <w:rsid w:val="00E27C65"/>
    <w:rsid w:val="00E30837"/>
    <w:rsid w:val="00E311B7"/>
    <w:rsid w:val="00E33321"/>
    <w:rsid w:val="00E33755"/>
    <w:rsid w:val="00E3517A"/>
    <w:rsid w:val="00E35C5E"/>
    <w:rsid w:val="00E36644"/>
    <w:rsid w:val="00E3760A"/>
    <w:rsid w:val="00E378FA"/>
    <w:rsid w:val="00E37B19"/>
    <w:rsid w:val="00E40C72"/>
    <w:rsid w:val="00E41B8C"/>
    <w:rsid w:val="00E4537D"/>
    <w:rsid w:val="00E454B4"/>
    <w:rsid w:val="00E4575C"/>
    <w:rsid w:val="00E459E5"/>
    <w:rsid w:val="00E46319"/>
    <w:rsid w:val="00E46665"/>
    <w:rsid w:val="00E46BDB"/>
    <w:rsid w:val="00E46FC6"/>
    <w:rsid w:val="00E50F25"/>
    <w:rsid w:val="00E51848"/>
    <w:rsid w:val="00E524A5"/>
    <w:rsid w:val="00E54DF1"/>
    <w:rsid w:val="00E553C5"/>
    <w:rsid w:val="00E5577D"/>
    <w:rsid w:val="00E55AE4"/>
    <w:rsid w:val="00E55E7E"/>
    <w:rsid w:val="00E563D8"/>
    <w:rsid w:val="00E56B73"/>
    <w:rsid w:val="00E62017"/>
    <w:rsid w:val="00E623A5"/>
    <w:rsid w:val="00E63A64"/>
    <w:rsid w:val="00E64075"/>
    <w:rsid w:val="00E64577"/>
    <w:rsid w:val="00E64B30"/>
    <w:rsid w:val="00E673E6"/>
    <w:rsid w:val="00E7139D"/>
    <w:rsid w:val="00E72524"/>
    <w:rsid w:val="00E72FD1"/>
    <w:rsid w:val="00E741C6"/>
    <w:rsid w:val="00E750D6"/>
    <w:rsid w:val="00E761D9"/>
    <w:rsid w:val="00E84642"/>
    <w:rsid w:val="00E87AC5"/>
    <w:rsid w:val="00E90789"/>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A05"/>
    <w:rsid w:val="00EA3C73"/>
    <w:rsid w:val="00EA4185"/>
    <w:rsid w:val="00EA689F"/>
    <w:rsid w:val="00EA6A8C"/>
    <w:rsid w:val="00EA72A9"/>
    <w:rsid w:val="00EA7F78"/>
    <w:rsid w:val="00EB0615"/>
    <w:rsid w:val="00EB0FD8"/>
    <w:rsid w:val="00EB1D98"/>
    <w:rsid w:val="00EB272E"/>
    <w:rsid w:val="00EB2D4C"/>
    <w:rsid w:val="00EB3A65"/>
    <w:rsid w:val="00EB640C"/>
    <w:rsid w:val="00EB6693"/>
    <w:rsid w:val="00EB670D"/>
    <w:rsid w:val="00EC000C"/>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E072E"/>
    <w:rsid w:val="00EE0985"/>
    <w:rsid w:val="00EE15A1"/>
    <w:rsid w:val="00EE3473"/>
    <w:rsid w:val="00EE3D84"/>
    <w:rsid w:val="00EE4F38"/>
    <w:rsid w:val="00EE6DA8"/>
    <w:rsid w:val="00EF187A"/>
    <w:rsid w:val="00EF2AEB"/>
    <w:rsid w:val="00EF2CBE"/>
    <w:rsid w:val="00EF4735"/>
    <w:rsid w:val="00EF527D"/>
    <w:rsid w:val="00EF5A2C"/>
    <w:rsid w:val="00EF6F21"/>
    <w:rsid w:val="00EF7871"/>
    <w:rsid w:val="00F00002"/>
    <w:rsid w:val="00F02530"/>
    <w:rsid w:val="00F02BCE"/>
    <w:rsid w:val="00F0314B"/>
    <w:rsid w:val="00F05559"/>
    <w:rsid w:val="00F06C6E"/>
    <w:rsid w:val="00F06F65"/>
    <w:rsid w:val="00F07AE1"/>
    <w:rsid w:val="00F1065C"/>
    <w:rsid w:val="00F10692"/>
    <w:rsid w:val="00F124E3"/>
    <w:rsid w:val="00F14DC5"/>
    <w:rsid w:val="00F15DE6"/>
    <w:rsid w:val="00F20513"/>
    <w:rsid w:val="00F219AF"/>
    <w:rsid w:val="00F229F7"/>
    <w:rsid w:val="00F22B4C"/>
    <w:rsid w:val="00F23591"/>
    <w:rsid w:val="00F245E3"/>
    <w:rsid w:val="00F24830"/>
    <w:rsid w:val="00F24F96"/>
    <w:rsid w:val="00F31CF2"/>
    <w:rsid w:val="00F3226A"/>
    <w:rsid w:val="00F32E0B"/>
    <w:rsid w:val="00F33C62"/>
    <w:rsid w:val="00F3493F"/>
    <w:rsid w:val="00F34E17"/>
    <w:rsid w:val="00F35462"/>
    <w:rsid w:val="00F35F53"/>
    <w:rsid w:val="00F36C53"/>
    <w:rsid w:val="00F36F65"/>
    <w:rsid w:val="00F40E6F"/>
    <w:rsid w:val="00F41882"/>
    <w:rsid w:val="00F46447"/>
    <w:rsid w:val="00F529C3"/>
    <w:rsid w:val="00F573B4"/>
    <w:rsid w:val="00F578D2"/>
    <w:rsid w:val="00F6005B"/>
    <w:rsid w:val="00F6060C"/>
    <w:rsid w:val="00F64AB8"/>
    <w:rsid w:val="00F6511D"/>
    <w:rsid w:val="00F673B7"/>
    <w:rsid w:val="00F70CEE"/>
    <w:rsid w:val="00F70CF8"/>
    <w:rsid w:val="00F72556"/>
    <w:rsid w:val="00F72A03"/>
    <w:rsid w:val="00F749E1"/>
    <w:rsid w:val="00F76392"/>
    <w:rsid w:val="00F77FCD"/>
    <w:rsid w:val="00F81585"/>
    <w:rsid w:val="00F81DFE"/>
    <w:rsid w:val="00F85578"/>
    <w:rsid w:val="00F85A4F"/>
    <w:rsid w:val="00F85B5E"/>
    <w:rsid w:val="00F86558"/>
    <w:rsid w:val="00F865F1"/>
    <w:rsid w:val="00F86670"/>
    <w:rsid w:val="00F90C1D"/>
    <w:rsid w:val="00F91F56"/>
    <w:rsid w:val="00F92017"/>
    <w:rsid w:val="00F92406"/>
    <w:rsid w:val="00F92876"/>
    <w:rsid w:val="00F929EA"/>
    <w:rsid w:val="00F941F3"/>
    <w:rsid w:val="00F94A41"/>
    <w:rsid w:val="00F95715"/>
    <w:rsid w:val="00F9747E"/>
    <w:rsid w:val="00FA0273"/>
    <w:rsid w:val="00FA0DC7"/>
    <w:rsid w:val="00FA0DEC"/>
    <w:rsid w:val="00FA11D9"/>
    <w:rsid w:val="00FA21E7"/>
    <w:rsid w:val="00FA59E0"/>
    <w:rsid w:val="00FA5FEE"/>
    <w:rsid w:val="00FB008A"/>
    <w:rsid w:val="00FB0530"/>
    <w:rsid w:val="00FB0FD6"/>
    <w:rsid w:val="00FB112F"/>
    <w:rsid w:val="00FB45CA"/>
    <w:rsid w:val="00FB5D57"/>
    <w:rsid w:val="00FB60F1"/>
    <w:rsid w:val="00FC02FD"/>
    <w:rsid w:val="00FC0BCD"/>
    <w:rsid w:val="00FC14DF"/>
    <w:rsid w:val="00FC20FD"/>
    <w:rsid w:val="00FC3428"/>
    <w:rsid w:val="00FC35F4"/>
    <w:rsid w:val="00FC7F35"/>
    <w:rsid w:val="00FD0496"/>
    <w:rsid w:val="00FD0EC9"/>
    <w:rsid w:val="00FD41A0"/>
    <w:rsid w:val="00FD422A"/>
    <w:rsid w:val="00FD52FE"/>
    <w:rsid w:val="00FD56E5"/>
    <w:rsid w:val="00FD6FCF"/>
    <w:rsid w:val="00FD7282"/>
    <w:rsid w:val="00FE0C0A"/>
    <w:rsid w:val="00FE2697"/>
    <w:rsid w:val="00FE26AA"/>
    <w:rsid w:val="00FE27ED"/>
    <w:rsid w:val="00FE3403"/>
    <w:rsid w:val="00FE44B6"/>
    <w:rsid w:val="00FE57B0"/>
    <w:rsid w:val="00FE6478"/>
    <w:rsid w:val="00FE681F"/>
    <w:rsid w:val="00FE7075"/>
    <w:rsid w:val="00FF1A23"/>
    <w:rsid w:val="00FF2A30"/>
    <w:rsid w:val="00FF38B6"/>
    <w:rsid w:val="00FF4949"/>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731347651">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71209-AA8F-40E7-85FF-9AB48856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0</TotalTime>
  <Pages>23</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Judgment - Limbada &amp; 6 Others v Jazz Spirit</vt:lpstr>
    </vt:vector>
  </TitlesOfParts>
  <Company>.</Company>
  <LinksUpToDate>false</LinksUpToDate>
  <CharactersWithSpaces>47852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Mokone</cp:lastModifiedBy>
  <cp:revision>2</cp:revision>
  <cp:lastPrinted>2022-08-16T05:41:00Z</cp:lastPrinted>
  <dcterms:created xsi:type="dcterms:W3CDTF">2023-01-19T07:14:00Z</dcterms:created>
  <dcterms:modified xsi:type="dcterms:W3CDTF">2023-01-19T07:14:00Z</dcterms:modified>
</cp:coreProperties>
</file>