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0586D267" w:rsidR="006C43D7" w:rsidRPr="0009745A" w:rsidRDefault="006C43D7" w:rsidP="006C43D7">
      <w:pPr>
        <w:spacing w:line="360" w:lineRule="auto"/>
        <w:jc w:val="right"/>
        <w:rPr>
          <w:rFonts w:cs="Arial"/>
          <w:b/>
          <w:szCs w:val="22"/>
        </w:rPr>
      </w:pPr>
      <w:r w:rsidRPr="0009745A">
        <w:rPr>
          <w:rFonts w:cs="Arial"/>
          <w:b/>
          <w:szCs w:val="22"/>
        </w:rPr>
        <w:t xml:space="preserve">CASE NO: </w:t>
      </w:r>
      <w:r w:rsidR="00CE0612">
        <w:rPr>
          <w:b/>
          <w:bCs/>
        </w:rPr>
        <w:t>2023</w:t>
      </w:r>
      <w:r w:rsidR="0003269E">
        <w:rPr>
          <w:b/>
          <w:bCs/>
        </w:rPr>
        <w:t>-031845</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53B123D7" w:rsidR="009165D0" w:rsidRDefault="00A65ACD" w:rsidP="00A65AC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1C99CF44" w:rsidR="009165D0" w:rsidRPr="001D3CC2" w:rsidRDefault="00A65ACD" w:rsidP="00A65ACD">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53B123D7" w:rsidR="009165D0" w:rsidRDefault="00A65ACD" w:rsidP="00A65AC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1C99CF44" w:rsidR="009165D0" w:rsidRPr="001D3CC2" w:rsidRDefault="00A65ACD" w:rsidP="00A65ACD">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77777777" w:rsidR="001D3CC2" w:rsidRPr="0009745A"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77777777" w:rsidR="00CC48E3" w:rsidRPr="0009745A" w:rsidRDefault="00CC48E3" w:rsidP="00CC48E3">
      <w:pPr>
        <w:rPr>
          <w:rFonts w:cs="Arial"/>
          <w:szCs w:val="22"/>
        </w:rPr>
      </w:pPr>
      <w:r w:rsidRPr="0009745A">
        <w:rPr>
          <w:rFonts w:cs="Arial"/>
          <w:szCs w:val="22"/>
        </w:rPr>
        <w:t>In the matter between –</w:t>
      </w:r>
    </w:p>
    <w:p w14:paraId="17480F7B" w14:textId="05A3E5F7" w:rsidR="00CC48E3" w:rsidRPr="0009745A" w:rsidRDefault="00CC48E3"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13"/>
      </w:tblGrid>
      <w:tr w:rsidR="00C35C76" w:rsidRPr="00D220D9" w14:paraId="3F391BAE" w14:textId="77777777" w:rsidTr="00CE0612">
        <w:tc>
          <w:tcPr>
            <w:tcW w:w="6804" w:type="dxa"/>
          </w:tcPr>
          <w:tbl>
            <w:tblPr>
              <w:tblStyle w:val="TableGrid"/>
              <w:tblW w:w="8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240"/>
            </w:tblGrid>
            <w:tr w:rsidR="00342973" w:rsidRPr="00CC537C" w14:paraId="7632FBED" w14:textId="77777777" w:rsidTr="00342973">
              <w:tc>
                <w:tcPr>
                  <w:tcW w:w="4157" w:type="dxa"/>
                </w:tcPr>
                <w:p w14:paraId="621939DC" w14:textId="01C1EEB6" w:rsidR="00342973" w:rsidRPr="00CC537C" w:rsidRDefault="00842AD8" w:rsidP="00342973">
                  <w:pPr>
                    <w:spacing w:line="480" w:lineRule="auto"/>
                    <w:jc w:val="both"/>
                    <w:rPr>
                      <w:rFonts w:ascii="Century Gothic" w:hAnsi="Century Gothic"/>
                      <w:b/>
                      <w:bCs/>
                      <w:lang w:val="en-US"/>
                    </w:rPr>
                  </w:pPr>
                  <w:r w:rsidRPr="00CC537C">
                    <w:rPr>
                      <w:rFonts w:ascii="Century Gothic" w:hAnsi="Century Gothic"/>
                      <w:b/>
                      <w:bCs/>
                      <w:lang w:val="en-US"/>
                    </w:rPr>
                    <w:t>GLEN</w:t>
                  </w:r>
                  <w:r>
                    <w:rPr>
                      <w:rFonts w:ascii="Century Gothic" w:hAnsi="Century Gothic"/>
                      <w:b/>
                      <w:bCs/>
                      <w:lang w:val="en-US"/>
                    </w:rPr>
                    <w:t>,</w:t>
                  </w:r>
                  <w:r w:rsidRPr="00CC537C">
                    <w:rPr>
                      <w:rFonts w:ascii="Century Gothic" w:hAnsi="Century Gothic"/>
                      <w:b/>
                      <w:bCs/>
                      <w:lang w:val="en-US"/>
                    </w:rPr>
                    <w:t xml:space="preserve"> LAWRENCE </w:t>
                  </w:r>
                  <w:r w:rsidR="00342973" w:rsidRPr="00CC537C">
                    <w:rPr>
                      <w:rFonts w:ascii="Century Gothic" w:hAnsi="Century Gothic"/>
                      <w:b/>
                      <w:bCs/>
                      <w:lang w:val="en-US"/>
                    </w:rPr>
                    <w:t>KLEIN</w:t>
                  </w:r>
                </w:p>
              </w:tc>
              <w:tc>
                <w:tcPr>
                  <w:tcW w:w="4240" w:type="dxa"/>
                </w:tcPr>
                <w:p w14:paraId="7CCD9751" w14:textId="77777777" w:rsidR="00342973" w:rsidRPr="00CC537C" w:rsidRDefault="00342973" w:rsidP="00342973">
                  <w:pPr>
                    <w:spacing w:line="480" w:lineRule="auto"/>
                    <w:jc w:val="right"/>
                    <w:rPr>
                      <w:rFonts w:ascii="Century Gothic" w:hAnsi="Century Gothic"/>
                      <w:lang w:val="en-US"/>
                    </w:rPr>
                  </w:pPr>
                  <w:r w:rsidRPr="00CC537C">
                    <w:rPr>
                      <w:rFonts w:ascii="Century Gothic" w:hAnsi="Century Gothic"/>
                      <w:lang w:val="en-US"/>
                    </w:rPr>
                    <w:t>Applicant</w:t>
                  </w:r>
                </w:p>
              </w:tc>
            </w:tr>
            <w:tr w:rsidR="00342973" w:rsidRPr="00CC537C" w14:paraId="5E5AFF34" w14:textId="77777777" w:rsidTr="00342973">
              <w:tc>
                <w:tcPr>
                  <w:tcW w:w="4157" w:type="dxa"/>
                </w:tcPr>
                <w:p w14:paraId="1CF7BCE5" w14:textId="77777777" w:rsidR="00342973" w:rsidRPr="00CC537C" w:rsidRDefault="00342973" w:rsidP="00342973">
                  <w:pPr>
                    <w:spacing w:line="480" w:lineRule="auto"/>
                    <w:jc w:val="both"/>
                    <w:rPr>
                      <w:rFonts w:ascii="Century Gothic" w:hAnsi="Century Gothic"/>
                      <w:lang w:val="en-US"/>
                    </w:rPr>
                  </w:pPr>
                  <w:r w:rsidRPr="00CC537C">
                    <w:rPr>
                      <w:rFonts w:ascii="Century Gothic" w:hAnsi="Century Gothic"/>
                      <w:lang w:val="en-US"/>
                    </w:rPr>
                    <w:t>AND</w:t>
                  </w:r>
                </w:p>
              </w:tc>
              <w:tc>
                <w:tcPr>
                  <w:tcW w:w="4240" w:type="dxa"/>
                </w:tcPr>
                <w:p w14:paraId="6716522A" w14:textId="77777777" w:rsidR="00342973" w:rsidRPr="00CC537C" w:rsidRDefault="00342973" w:rsidP="00342973">
                  <w:pPr>
                    <w:spacing w:line="480" w:lineRule="auto"/>
                    <w:jc w:val="right"/>
                    <w:rPr>
                      <w:rFonts w:ascii="Century Gothic" w:hAnsi="Century Gothic"/>
                      <w:lang w:val="en-US"/>
                    </w:rPr>
                  </w:pPr>
                </w:p>
              </w:tc>
            </w:tr>
            <w:tr w:rsidR="00342973" w:rsidRPr="00CC537C" w14:paraId="3B71CAAF" w14:textId="77777777" w:rsidTr="00342973">
              <w:tc>
                <w:tcPr>
                  <w:tcW w:w="4157" w:type="dxa"/>
                </w:tcPr>
                <w:p w14:paraId="63FD67F2" w14:textId="77777777" w:rsidR="00342973" w:rsidRPr="00CC537C" w:rsidRDefault="00342973" w:rsidP="00342973">
                  <w:pPr>
                    <w:spacing w:line="480" w:lineRule="auto"/>
                    <w:jc w:val="both"/>
                    <w:rPr>
                      <w:rFonts w:ascii="Century Gothic" w:hAnsi="Century Gothic"/>
                      <w:b/>
                      <w:bCs/>
                      <w:lang w:val="en-US"/>
                    </w:rPr>
                  </w:pPr>
                  <w:r w:rsidRPr="00CC537C">
                    <w:rPr>
                      <w:rFonts w:ascii="Century Gothic" w:hAnsi="Century Gothic"/>
                      <w:b/>
                      <w:bCs/>
                      <w:lang w:val="en-US"/>
                    </w:rPr>
                    <w:t>THE VILLA MEDICI BODY CORPORATE</w:t>
                  </w:r>
                </w:p>
              </w:tc>
              <w:tc>
                <w:tcPr>
                  <w:tcW w:w="4240" w:type="dxa"/>
                </w:tcPr>
                <w:p w14:paraId="0B89AB00" w14:textId="77777777" w:rsidR="00342973" w:rsidRPr="00CC537C" w:rsidRDefault="00342973" w:rsidP="00342973">
                  <w:pPr>
                    <w:spacing w:line="480" w:lineRule="auto"/>
                    <w:jc w:val="right"/>
                    <w:rPr>
                      <w:rFonts w:ascii="Century Gothic" w:hAnsi="Century Gothic"/>
                      <w:lang w:val="en-US"/>
                    </w:rPr>
                  </w:pPr>
                  <w:r w:rsidRPr="00CC537C">
                    <w:rPr>
                      <w:rFonts w:ascii="Century Gothic" w:hAnsi="Century Gothic"/>
                      <w:lang w:val="en-US"/>
                    </w:rPr>
                    <w:t>Respondent</w:t>
                  </w:r>
                </w:p>
              </w:tc>
            </w:tr>
          </w:tbl>
          <w:p w14:paraId="14A5291F" w14:textId="6ED7596E" w:rsidR="00C35C76" w:rsidRPr="00CE0612" w:rsidRDefault="00C35C76" w:rsidP="00CE0612">
            <w:pPr>
              <w:pStyle w:val="Heading1"/>
              <w:outlineLvl w:val="0"/>
              <w:rPr>
                <w:b w:val="0"/>
                <w:bCs w:val="0"/>
              </w:rPr>
            </w:pPr>
          </w:p>
        </w:tc>
        <w:tc>
          <w:tcPr>
            <w:tcW w:w="2212" w:type="dxa"/>
          </w:tcPr>
          <w:p w14:paraId="1F273C18" w14:textId="7D2E2892" w:rsidR="00C35C76" w:rsidRPr="00D220D9" w:rsidRDefault="00C35C76" w:rsidP="00D220D9">
            <w:pPr>
              <w:spacing w:before="120" w:after="120"/>
              <w:rPr>
                <w:rFonts w:cs="Arial"/>
                <w:b/>
                <w:bCs/>
                <w:szCs w:val="22"/>
              </w:rPr>
            </w:pPr>
          </w:p>
        </w:tc>
      </w:tr>
    </w:tbl>
    <w:p w14:paraId="1F877BDF" w14:textId="77777777" w:rsidR="009A54C5" w:rsidRPr="0009745A" w:rsidRDefault="009A54C5" w:rsidP="00D220D9">
      <w:pPr>
        <w:pBdr>
          <w:bottom w:val="single" w:sz="4" w:space="1" w:color="auto"/>
        </w:pBdr>
        <w:spacing w:line="360" w:lineRule="auto"/>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4D94AFA1" w14:textId="3A8CEBC4" w:rsidR="00EB3541" w:rsidRDefault="00EB3541" w:rsidP="00250A46">
      <w:pPr>
        <w:widowControl w:val="0"/>
        <w:spacing w:after="480" w:line="480" w:lineRule="auto"/>
        <w:jc w:val="both"/>
        <w:rPr>
          <w:rFonts w:cs="Arial"/>
          <w:bCs/>
          <w:i/>
          <w:iCs/>
          <w:szCs w:val="22"/>
          <w:u w:val="single"/>
        </w:rPr>
      </w:pPr>
      <w:r>
        <w:rPr>
          <w:rFonts w:cs="Arial"/>
          <w:bCs/>
          <w:i/>
          <w:iCs/>
          <w:szCs w:val="22"/>
          <w:u w:val="single"/>
        </w:rPr>
        <w:t>Summary</w:t>
      </w:r>
    </w:p>
    <w:p w14:paraId="4B3D84DC" w14:textId="174E15B1" w:rsidR="00EB3541" w:rsidRDefault="00EB3541" w:rsidP="00250A46">
      <w:pPr>
        <w:widowControl w:val="0"/>
        <w:spacing w:after="480" w:line="480" w:lineRule="auto"/>
        <w:jc w:val="both"/>
        <w:rPr>
          <w:rFonts w:cs="Arial"/>
          <w:i/>
          <w:iCs/>
          <w:color w:val="000000" w:themeColor="text1"/>
        </w:rPr>
      </w:pPr>
      <w:r>
        <w:rPr>
          <w:rFonts w:cs="Arial"/>
          <w:bCs/>
          <w:i/>
          <w:iCs/>
          <w:szCs w:val="22"/>
        </w:rPr>
        <w:t xml:space="preserve">Spoliation – requirements - </w:t>
      </w:r>
      <w:r w:rsidRPr="00030AAB">
        <w:rPr>
          <w:rFonts w:cs="Arial"/>
          <w:i/>
          <w:iCs/>
          <w:color w:val="000000" w:themeColor="text1"/>
        </w:rPr>
        <w:t>peaceful and undisturbed possession of a thing</w:t>
      </w:r>
      <w:r>
        <w:rPr>
          <w:rFonts w:cs="Arial"/>
          <w:i/>
          <w:iCs/>
          <w:color w:val="000000" w:themeColor="text1"/>
        </w:rPr>
        <w:t xml:space="preserve">, </w:t>
      </w:r>
      <w:r w:rsidRPr="00030AAB">
        <w:rPr>
          <w:rFonts w:cs="Arial"/>
          <w:i/>
          <w:iCs/>
          <w:color w:val="000000" w:themeColor="text1"/>
        </w:rPr>
        <w:t>and unlawful deprivation of such possession</w:t>
      </w:r>
    </w:p>
    <w:p w14:paraId="32DA3C2C" w14:textId="052DEAC8" w:rsidR="003A6F23" w:rsidRPr="0009745A" w:rsidRDefault="003A6F23" w:rsidP="009469A8">
      <w:pPr>
        <w:keepNext/>
        <w:widowControl w:val="0"/>
        <w:spacing w:after="480" w:line="480" w:lineRule="auto"/>
        <w:jc w:val="both"/>
        <w:rPr>
          <w:rFonts w:cs="Arial"/>
          <w:bCs/>
          <w:szCs w:val="22"/>
          <w:u w:val="single"/>
        </w:rPr>
      </w:pPr>
      <w:r w:rsidRPr="0009745A">
        <w:rPr>
          <w:rFonts w:cs="Arial"/>
          <w:bCs/>
          <w:szCs w:val="22"/>
          <w:u w:val="single"/>
        </w:rPr>
        <w:lastRenderedPageBreak/>
        <w:t>Order</w:t>
      </w:r>
    </w:p>
    <w:p w14:paraId="794327A4" w14:textId="133CBFE1" w:rsidR="003A6F23" w:rsidRPr="00342973" w:rsidRDefault="00A65ACD" w:rsidP="00A65ACD">
      <w:pPr>
        <w:keepNext/>
        <w:widowControl w:val="0"/>
        <w:tabs>
          <w:tab w:val="left" w:pos="567"/>
        </w:tabs>
        <w:spacing w:after="480" w:line="480" w:lineRule="auto"/>
        <w:jc w:val="both"/>
        <w:rPr>
          <w:rFonts w:cs="Arial"/>
          <w:bCs/>
          <w:i/>
          <w:iCs/>
          <w:szCs w:val="22"/>
        </w:rPr>
      </w:pPr>
      <w:r w:rsidRPr="00342973">
        <w:rPr>
          <w:rFonts w:cs="Arial"/>
          <w:bCs/>
          <w:iCs/>
          <w:szCs w:val="22"/>
        </w:rPr>
        <w:t>[</w:t>
      </w:r>
      <w:bookmarkStart w:id="0" w:name="_GoBack"/>
      <w:bookmarkEnd w:id="0"/>
      <w:r w:rsidRPr="00342973">
        <w:rPr>
          <w:rFonts w:cs="Arial"/>
          <w:bCs/>
          <w:iCs/>
          <w:szCs w:val="22"/>
        </w:rPr>
        <w:t>1]</w:t>
      </w:r>
      <w:r w:rsidRPr="00342973">
        <w:rPr>
          <w:rFonts w:cs="Arial"/>
          <w:bCs/>
          <w:iCs/>
          <w:szCs w:val="22"/>
        </w:rPr>
        <w:tab/>
      </w:r>
      <w:r w:rsidR="00B87B26" w:rsidRPr="0009745A">
        <w:rPr>
          <w:rFonts w:cs="Arial"/>
          <w:bCs/>
          <w:szCs w:val="22"/>
        </w:rPr>
        <w:t>I ma</w:t>
      </w:r>
      <w:r w:rsidR="00342973">
        <w:rPr>
          <w:rFonts w:cs="Arial"/>
          <w:bCs/>
          <w:szCs w:val="22"/>
        </w:rPr>
        <w:t>d</w:t>
      </w:r>
      <w:r w:rsidR="00B87B26" w:rsidRPr="0009745A">
        <w:rPr>
          <w:rFonts w:cs="Arial"/>
          <w:bCs/>
          <w:szCs w:val="22"/>
        </w:rPr>
        <w:t>e the following order</w:t>
      </w:r>
      <w:r w:rsidR="00A17A88">
        <w:rPr>
          <w:rFonts w:cs="Arial"/>
          <w:bCs/>
          <w:szCs w:val="22"/>
        </w:rPr>
        <w:t xml:space="preserve"> on 11 April 2023</w:t>
      </w:r>
      <w:r w:rsidR="005A27EF" w:rsidRPr="0009745A">
        <w:rPr>
          <w:rFonts w:cs="Arial"/>
          <w:bCs/>
          <w:szCs w:val="22"/>
        </w:rPr>
        <w:t>:</w:t>
      </w:r>
    </w:p>
    <w:p w14:paraId="1B13E63C" w14:textId="5D7CAE6F" w:rsidR="00342973" w:rsidRPr="00342973" w:rsidRDefault="00A65ACD" w:rsidP="00A65ACD">
      <w:pPr>
        <w:pStyle w:val="Default"/>
        <w:spacing w:after="328"/>
        <w:ind w:left="720" w:hanging="360"/>
        <w:jc w:val="both"/>
        <w:rPr>
          <w:rFonts w:ascii="Arial" w:hAnsi="Arial" w:cs="Arial"/>
          <w:i/>
          <w:iCs/>
          <w:sz w:val="22"/>
          <w:szCs w:val="22"/>
        </w:rPr>
      </w:pPr>
      <w:r w:rsidRPr="00342973">
        <w:rPr>
          <w:rFonts w:ascii="Arial" w:hAnsi="Arial" w:cs="Arial"/>
          <w:i/>
          <w:iCs/>
          <w:sz w:val="22"/>
          <w:szCs w:val="22"/>
        </w:rPr>
        <w:t>1.</w:t>
      </w:r>
      <w:r w:rsidRPr="00342973">
        <w:rPr>
          <w:rFonts w:ascii="Arial" w:hAnsi="Arial" w:cs="Arial"/>
          <w:i/>
          <w:iCs/>
          <w:sz w:val="22"/>
          <w:szCs w:val="22"/>
        </w:rPr>
        <w:tab/>
      </w:r>
      <w:r w:rsidR="00342973" w:rsidRPr="00342973">
        <w:rPr>
          <w:rFonts w:ascii="Arial" w:hAnsi="Arial" w:cs="Arial"/>
          <w:i/>
          <w:iCs/>
          <w:sz w:val="22"/>
          <w:szCs w:val="22"/>
        </w:rPr>
        <w:t xml:space="preserve">The Respondent is directed to do all things necessary in order to restore access and possession to the Exclusive Use Area described as Staff Quarters SQ1 measuring 38 square meters, being as such part of the common property comprising the land and the scheme known as Villa Medici in respect of the land and building or buildings situate at Bryanston Township, City of Johannesburg Metropolitan Municipality, as shown and more fully described on Sectional Plan No. SS1188/2007, to the Applicant forthwith; </w:t>
      </w:r>
    </w:p>
    <w:p w14:paraId="65745B5E" w14:textId="5CFC7E0D" w:rsidR="00342973" w:rsidRPr="00342973" w:rsidRDefault="00A65ACD" w:rsidP="00A65ACD">
      <w:pPr>
        <w:pStyle w:val="Default"/>
        <w:ind w:left="720" w:hanging="360"/>
        <w:jc w:val="both"/>
        <w:rPr>
          <w:rFonts w:ascii="Arial" w:hAnsi="Arial" w:cs="Arial"/>
          <w:i/>
          <w:iCs/>
          <w:sz w:val="22"/>
          <w:szCs w:val="22"/>
        </w:rPr>
      </w:pPr>
      <w:r w:rsidRPr="00342973">
        <w:rPr>
          <w:rFonts w:ascii="Arial" w:hAnsi="Arial" w:cs="Arial"/>
          <w:i/>
          <w:iCs/>
          <w:sz w:val="22"/>
          <w:szCs w:val="22"/>
        </w:rPr>
        <w:t>2.</w:t>
      </w:r>
      <w:r w:rsidRPr="00342973">
        <w:rPr>
          <w:rFonts w:ascii="Arial" w:hAnsi="Arial" w:cs="Arial"/>
          <w:i/>
          <w:iCs/>
          <w:sz w:val="22"/>
          <w:szCs w:val="22"/>
        </w:rPr>
        <w:tab/>
      </w:r>
      <w:r w:rsidR="00342973" w:rsidRPr="00342973">
        <w:rPr>
          <w:rFonts w:ascii="Arial" w:hAnsi="Arial" w:cs="Arial"/>
          <w:i/>
          <w:iCs/>
          <w:sz w:val="22"/>
          <w:szCs w:val="22"/>
        </w:rPr>
        <w:t xml:space="preserve">The Respondent is directed to remove all locks which it caused to be installed on the property alternatively, the Respondent is directed to forthwith deliver copies of the keys to such locks to the Applicant; </w:t>
      </w:r>
    </w:p>
    <w:p w14:paraId="3BE2219B" w14:textId="77777777" w:rsidR="00342973" w:rsidRPr="00342973" w:rsidRDefault="00342973" w:rsidP="00342973">
      <w:pPr>
        <w:pStyle w:val="Default"/>
        <w:jc w:val="both"/>
        <w:rPr>
          <w:rFonts w:ascii="Arial" w:hAnsi="Arial" w:cs="Arial"/>
          <w:i/>
          <w:iCs/>
          <w:sz w:val="22"/>
          <w:szCs w:val="22"/>
        </w:rPr>
      </w:pPr>
    </w:p>
    <w:p w14:paraId="5C429697" w14:textId="625E76B2" w:rsidR="00342973" w:rsidRPr="00342973" w:rsidRDefault="00A65ACD" w:rsidP="00A65ACD">
      <w:pPr>
        <w:pStyle w:val="Default"/>
        <w:ind w:left="720" w:hanging="360"/>
        <w:jc w:val="both"/>
        <w:rPr>
          <w:rFonts w:ascii="Arial" w:hAnsi="Arial" w:cs="Arial"/>
          <w:i/>
          <w:iCs/>
          <w:color w:val="auto"/>
          <w:sz w:val="22"/>
          <w:szCs w:val="22"/>
        </w:rPr>
      </w:pPr>
      <w:r w:rsidRPr="00342973">
        <w:rPr>
          <w:rFonts w:ascii="Arial" w:hAnsi="Arial" w:cs="Arial"/>
          <w:i/>
          <w:iCs/>
          <w:color w:val="auto"/>
          <w:sz w:val="22"/>
          <w:szCs w:val="22"/>
        </w:rPr>
        <w:t>3.</w:t>
      </w:r>
      <w:r w:rsidRPr="00342973">
        <w:rPr>
          <w:rFonts w:ascii="Arial" w:hAnsi="Arial" w:cs="Arial"/>
          <w:i/>
          <w:iCs/>
          <w:color w:val="auto"/>
          <w:sz w:val="22"/>
          <w:szCs w:val="22"/>
        </w:rPr>
        <w:tab/>
      </w:r>
      <w:r w:rsidR="00342973" w:rsidRPr="00342973">
        <w:rPr>
          <w:rFonts w:ascii="Arial" w:hAnsi="Arial" w:cs="Arial"/>
          <w:i/>
          <w:iCs/>
          <w:color w:val="auto"/>
          <w:sz w:val="22"/>
          <w:szCs w:val="22"/>
        </w:rPr>
        <w:t xml:space="preserve">The Respondent is ordered to pay the costs of the application on the party and party scale. </w:t>
      </w:r>
    </w:p>
    <w:p w14:paraId="1DC72C63" w14:textId="77777777" w:rsidR="00342973" w:rsidRDefault="00342973" w:rsidP="00342973">
      <w:pPr>
        <w:pStyle w:val="Default"/>
        <w:ind w:left="360"/>
        <w:jc w:val="both"/>
        <w:rPr>
          <w:rFonts w:cs="Times New Roman"/>
          <w:color w:val="auto"/>
          <w:sz w:val="23"/>
          <w:szCs w:val="23"/>
        </w:rPr>
      </w:pPr>
    </w:p>
    <w:p w14:paraId="19E04392" w14:textId="62B8B0AB" w:rsidR="00A72651" w:rsidRPr="0009745A" w:rsidRDefault="00A65ACD" w:rsidP="00A65ACD">
      <w:pPr>
        <w:widowControl w:val="0"/>
        <w:tabs>
          <w:tab w:val="left" w:pos="567"/>
        </w:tabs>
        <w:spacing w:before="480" w:after="480" w:line="48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62DD115D" w14:textId="77777777" w:rsidR="009469A8" w:rsidRDefault="009469A8" w:rsidP="009469A8">
      <w:pPr>
        <w:keepNext/>
        <w:widowControl w:val="0"/>
        <w:spacing w:before="480" w:after="480" w:line="480" w:lineRule="auto"/>
        <w:jc w:val="both"/>
        <w:rPr>
          <w:rFonts w:cs="Arial"/>
          <w:color w:val="000000" w:themeColor="text1"/>
          <w:u w:val="single"/>
        </w:rPr>
      </w:pPr>
    </w:p>
    <w:p w14:paraId="68C785C0" w14:textId="19B2290A" w:rsidR="009469A8" w:rsidRPr="009469A8" w:rsidRDefault="009469A8" w:rsidP="009469A8">
      <w:pPr>
        <w:keepNext/>
        <w:widowControl w:val="0"/>
        <w:spacing w:before="480" w:after="480" w:line="480" w:lineRule="auto"/>
        <w:jc w:val="both"/>
        <w:rPr>
          <w:rFonts w:cs="Arial"/>
          <w:color w:val="000000" w:themeColor="text1"/>
          <w:u w:val="single"/>
        </w:rPr>
      </w:pPr>
      <w:r w:rsidRPr="009469A8">
        <w:rPr>
          <w:rFonts w:cs="Arial"/>
          <w:color w:val="000000" w:themeColor="text1"/>
          <w:u w:val="single"/>
        </w:rPr>
        <w:t>The application</w:t>
      </w:r>
    </w:p>
    <w:p w14:paraId="667A3A91" w14:textId="4EF33157" w:rsidR="00342973" w:rsidRPr="007C6E3E" w:rsidRDefault="00A65ACD" w:rsidP="00A65ACD">
      <w:pPr>
        <w:keepNext/>
        <w:widowControl w:val="0"/>
        <w:tabs>
          <w:tab w:val="left" w:pos="567"/>
        </w:tabs>
        <w:spacing w:before="480" w:after="480" w:line="480" w:lineRule="auto"/>
        <w:jc w:val="both"/>
        <w:rPr>
          <w:rFonts w:cs="Arial"/>
          <w:color w:val="000000" w:themeColor="text1"/>
        </w:rPr>
      </w:pPr>
      <w:r w:rsidRPr="007C6E3E">
        <w:rPr>
          <w:rFonts w:cs="Arial"/>
        </w:rPr>
        <w:t>[3]</w:t>
      </w:r>
      <w:r w:rsidRPr="007C6E3E">
        <w:rPr>
          <w:rFonts w:cs="Arial"/>
        </w:rPr>
        <w:tab/>
      </w:r>
      <w:r w:rsidR="00342973">
        <w:rPr>
          <w:rFonts w:cs="Arial"/>
          <w:bCs/>
          <w:szCs w:val="22"/>
        </w:rPr>
        <w:t>This is a spoliation application. In</w:t>
      </w:r>
      <w:r w:rsidR="00342973" w:rsidRPr="007C6E3E">
        <w:rPr>
          <w:rFonts w:cs="Arial"/>
          <w:color w:val="000000" w:themeColor="text1"/>
        </w:rPr>
        <w:t xml:space="preserve"> </w:t>
      </w:r>
      <w:r w:rsidR="00342973" w:rsidRPr="00030AAB">
        <w:rPr>
          <w:rFonts w:cs="Arial"/>
          <w:i/>
          <w:iCs/>
          <w:color w:val="000000" w:themeColor="text1"/>
        </w:rPr>
        <w:t>Bisschoff and Others v Welbeplan Boerdery (Pty) Ltd</w:t>
      </w:r>
      <w:r w:rsidR="00342973">
        <w:rPr>
          <w:rStyle w:val="FootnoteReference"/>
          <w:rFonts w:cs="Arial"/>
          <w:color w:val="000000" w:themeColor="text1"/>
        </w:rPr>
        <w:footnoteReference w:id="1"/>
      </w:r>
      <w:r w:rsidR="00342973" w:rsidRPr="007C6E3E">
        <w:rPr>
          <w:rFonts w:cs="Arial"/>
          <w:color w:val="000000" w:themeColor="text1"/>
        </w:rPr>
        <w:t xml:space="preserve">  Dlodlo JA </w:t>
      </w:r>
      <w:r w:rsidR="00342973">
        <w:rPr>
          <w:rFonts w:cs="Arial"/>
          <w:color w:val="000000" w:themeColor="text1"/>
        </w:rPr>
        <w:t>described the</w:t>
      </w:r>
      <w:r w:rsidR="009469A8">
        <w:rPr>
          <w:rFonts w:cs="Arial"/>
          <w:color w:val="000000" w:themeColor="text1"/>
        </w:rPr>
        <w:t xml:space="preserve"> requirements of the</w:t>
      </w:r>
      <w:r w:rsidR="00342973">
        <w:rPr>
          <w:rFonts w:cs="Arial"/>
          <w:color w:val="000000" w:themeColor="text1"/>
        </w:rPr>
        <w:t xml:space="preserve"> remedy known as the </w:t>
      </w:r>
      <w:r w:rsidR="00342973" w:rsidRPr="00342973">
        <w:rPr>
          <w:rFonts w:cs="Arial"/>
          <w:i/>
          <w:iCs/>
          <w:color w:val="000000" w:themeColor="text1"/>
        </w:rPr>
        <w:t>mandament van spolie</w:t>
      </w:r>
      <w:r w:rsidR="00342973">
        <w:rPr>
          <w:rFonts w:cs="Arial"/>
          <w:color w:val="000000" w:themeColor="text1"/>
        </w:rPr>
        <w:t xml:space="preserve"> as follows</w:t>
      </w:r>
      <w:r w:rsidR="00342973" w:rsidRPr="007C6E3E">
        <w:rPr>
          <w:rFonts w:cs="Arial"/>
          <w:color w:val="000000" w:themeColor="text1"/>
        </w:rPr>
        <w:t>:</w:t>
      </w:r>
    </w:p>
    <w:p w14:paraId="7A25B50C" w14:textId="77777777" w:rsidR="00342973" w:rsidRDefault="00342973" w:rsidP="00342973">
      <w:pPr>
        <w:keepNext/>
        <w:widowControl w:val="0"/>
        <w:spacing w:before="480" w:after="480" w:line="480" w:lineRule="auto"/>
        <w:ind w:left="1440"/>
        <w:jc w:val="both"/>
        <w:rPr>
          <w:rFonts w:cs="Arial"/>
          <w:bCs/>
          <w:szCs w:val="22"/>
        </w:rPr>
      </w:pPr>
      <w:r w:rsidRPr="00030AAB">
        <w:rPr>
          <w:rFonts w:cs="Arial"/>
          <w:i/>
          <w:iCs/>
          <w:color w:val="000000" w:themeColor="text1"/>
        </w:rPr>
        <w:t xml:space="preserve">“[5] …. The requirements for the mandament van spolie are trite: (a) peaceful and undisturbed possession of a thing; and (b) unlawful deprivation of such </w:t>
      </w:r>
      <w:r w:rsidRPr="00030AAB">
        <w:rPr>
          <w:rFonts w:cs="Arial"/>
          <w:i/>
          <w:iCs/>
          <w:color w:val="000000" w:themeColor="text1"/>
        </w:rPr>
        <w:lastRenderedPageBreak/>
        <w:t>possession.</w:t>
      </w:r>
      <w:r w:rsidRPr="00030AAB">
        <w:rPr>
          <w:rFonts w:cs="Arial"/>
          <w:i/>
          <w:iCs/>
          <w:color w:val="000000" w:themeColor="text1"/>
          <w:sz w:val="16"/>
          <w:szCs w:val="16"/>
        </w:rPr>
        <w:t> </w:t>
      </w:r>
      <w:hyperlink r:id="rId9" w:anchor="ftn3" w:history="1">
        <w:r w:rsidRPr="00030AAB">
          <w:rPr>
            <w:rStyle w:val="Hyperlink"/>
            <w:rFonts w:cs="Arial"/>
            <w:i/>
            <w:iCs/>
            <w:color w:val="000000" w:themeColor="text1"/>
            <w:sz w:val="16"/>
            <w:szCs w:val="16"/>
            <w:u w:val="none"/>
          </w:rPr>
          <w:t>[3]</w:t>
        </w:r>
      </w:hyperlink>
      <w:r>
        <w:rPr>
          <w:rStyle w:val="FootnoteReference"/>
          <w:rFonts w:cs="Arial"/>
          <w:i/>
          <w:iCs/>
          <w:color w:val="000000" w:themeColor="text1"/>
          <w:sz w:val="16"/>
          <w:szCs w:val="16"/>
        </w:rPr>
        <w:footnoteReference w:id="2"/>
      </w:r>
      <w:r w:rsidRPr="00030AAB">
        <w:rPr>
          <w:rFonts w:cs="Arial"/>
          <w:i/>
          <w:iCs/>
          <w:color w:val="000000" w:themeColor="text1"/>
        </w:rPr>
        <w:t> The mandament van spolie is rooted in the rule of law and its main purpose is to preserve public order by preventing persons from taking the law into their own hands. </w:t>
      </w:r>
      <w:hyperlink r:id="rId10" w:anchor="ftn4" w:history="1">
        <w:r w:rsidRPr="00030AAB">
          <w:rPr>
            <w:rStyle w:val="Hyperlink"/>
            <w:rFonts w:cs="Arial"/>
            <w:i/>
            <w:iCs/>
            <w:color w:val="000000" w:themeColor="text1"/>
            <w:sz w:val="16"/>
            <w:szCs w:val="16"/>
            <w:u w:val="none"/>
          </w:rPr>
          <w:t>[4]</w:t>
        </w:r>
      </w:hyperlink>
      <w:r>
        <w:rPr>
          <w:rStyle w:val="FootnoteReference"/>
          <w:rFonts w:cs="Arial"/>
          <w:i/>
          <w:iCs/>
          <w:color w:val="000000" w:themeColor="text1"/>
          <w:sz w:val="16"/>
          <w:szCs w:val="16"/>
        </w:rPr>
        <w:footnoteReference w:id="3"/>
      </w:r>
      <w:r w:rsidRPr="00030AAB">
        <w:rPr>
          <w:rFonts w:cs="Arial"/>
          <w:i/>
          <w:iCs/>
          <w:color w:val="000000" w:themeColor="text1"/>
        </w:rPr>
        <w:t>”</w:t>
      </w:r>
      <w:r>
        <w:rPr>
          <w:rFonts w:cs="Arial"/>
          <w:bCs/>
          <w:szCs w:val="22"/>
        </w:rPr>
        <w:t>.</w:t>
      </w:r>
    </w:p>
    <w:p w14:paraId="5E3233FC" w14:textId="4ED4A60D" w:rsidR="008D5BB4" w:rsidRDefault="00A65ACD" w:rsidP="00A65ACD">
      <w:pPr>
        <w:keepNext/>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8D5BB4">
        <w:rPr>
          <w:rFonts w:cs="Arial"/>
          <w:bCs/>
          <w:szCs w:val="22"/>
        </w:rPr>
        <w:t>The respondent is the body corporate of the Villa Medici sectional title complex. The applicant claims that he was i</w:t>
      </w:r>
      <w:r w:rsidR="008D5BB4" w:rsidRPr="008D5BB4">
        <w:rPr>
          <w:rFonts w:cs="Arial"/>
          <w:bCs/>
          <w:szCs w:val="22"/>
        </w:rPr>
        <w:t xml:space="preserve">n peaceful and undisturbed possession of the </w:t>
      </w:r>
      <w:r w:rsidR="008D5BB4" w:rsidRPr="008D5BB4">
        <w:rPr>
          <w:rFonts w:cs="Arial"/>
          <w:szCs w:val="22"/>
        </w:rPr>
        <w:t>Exclusive Use Area</w:t>
      </w:r>
      <w:r w:rsidR="009469A8">
        <w:rPr>
          <w:rFonts w:cs="Arial"/>
          <w:szCs w:val="22"/>
        </w:rPr>
        <w:t xml:space="preserve"> (“the Area”)</w:t>
      </w:r>
      <w:r w:rsidR="008D5BB4" w:rsidRPr="008D5BB4">
        <w:rPr>
          <w:rFonts w:cs="Arial"/>
          <w:szCs w:val="22"/>
        </w:rPr>
        <w:t xml:space="preserve"> described as Staff Quarters SQ1 on the common property comprising the land and the </w:t>
      </w:r>
      <w:r w:rsidR="008D5BB4">
        <w:rPr>
          <w:rFonts w:cs="Arial"/>
          <w:szCs w:val="22"/>
        </w:rPr>
        <w:t xml:space="preserve">sectional title </w:t>
      </w:r>
      <w:r w:rsidR="008D5BB4" w:rsidRPr="008D5BB4">
        <w:rPr>
          <w:rFonts w:cs="Arial"/>
          <w:szCs w:val="22"/>
        </w:rPr>
        <w:t>scheme known as Villa Medici.</w:t>
      </w:r>
    </w:p>
    <w:p w14:paraId="598068CA" w14:textId="41A0BF38"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342973">
        <w:rPr>
          <w:rFonts w:cs="Arial"/>
          <w:bCs/>
          <w:szCs w:val="22"/>
        </w:rPr>
        <w:t>The application was served by email on the attorneys acting for the respondent in the present dispute</w:t>
      </w:r>
      <w:r w:rsidR="00A17A88">
        <w:rPr>
          <w:rStyle w:val="FootnoteReference"/>
          <w:rFonts w:cs="Arial"/>
          <w:bCs/>
          <w:szCs w:val="22"/>
        </w:rPr>
        <w:footnoteReference w:id="4"/>
      </w:r>
      <w:r w:rsidR="00342973">
        <w:rPr>
          <w:rFonts w:cs="Arial"/>
          <w:bCs/>
          <w:szCs w:val="22"/>
        </w:rPr>
        <w:t xml:space="preserve"> on 4 April 2023. An attempt at service by the Sheriff on the same day failed because the Sheriff could not gain access to the premises but a copy was left at the complex</w:t>
      </w:r>
      <w:r w:rsidR="00A17A88">
        <w:rPr>
          <w:rFonts w:cs="Arial"/>
          <w:bCs/>
          <w:szCs w:val="22"/>
        </w:rPr>
        <w:t xml:space="preserve"> on the 5</w:t>
      </w:r>
      <w:r w:rsidR="00A17A88" w:rsidRPr="00A17A88">
        <w:rPr>
          <w:rFonts w:cs="Arial"/>
          <w:bCs/>
          <w:szCs w:val="22"/>
          <w:vertAlign w:val="superscript"/>
        </w:rPr>
        <w:t>th</w:t>
      </w:r>
      <w:r w:rsidR="008D5BB4">
        <w:rPr>
          <w:rFonts w:cs="Arial"/>
          <w:bCs/>
          <w:szCs w:val="22"/>
        </w:rPr>
        <w:t>. A copy was also served at the offices of the managing agents of the complex.</w:t>
      </w:r>
      <w:r w:rsidR="008D5BB4">
        <w:rPr>
          <w:rStyle w:val="FootnoteReference"/>
          <w:rFonts w:cs="Arial"/>
          <w:bCs/>
          <w:szCs w:val="22"/>
        </w:rPr>
        <w:footnoteReference w:id="5"/>
      </w:r>
      <w:r w:rsidR="008D5BB4">
        <w:rPr>
          <w:rFonts w:cs="Arial"/>
          <w:bCs/>
          <w:szCs w:val="22"/>
        </w:rPr>
        <w:t xml:space="preserve"> I am satisfied that the application was properly served and must have come to the knowledge of the respondent.</w:t>
      </w:r>
    </w:p>
    <w:p w14:paraId="60E2B23A" w14:textId="0C520544"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454293">
        <w:rPr>
          <w:rFonts w:cs="Arial"/>
          <w:bCs/>
          <w:szCs w:val="22"/>
        </w:rPr>
        <w:t xml:space="preserve">The applicant alleges that he was in peaceful and undisturbed possession of the Exclusive Use area until March 2023 when the respondent denied him access to the </w:t>
      </w:r>
      <w:r w:rsidR="009469A8">
        <w:rPr>
          <w:rFonts w:cs="Arial"/>
          <w:bCs/>
          <w:szCs w:val="22"/>
        </w:rPr>
        <w:t xml:space="preserve">Area </w:t>
      </w:r>
      <w:r w:rsidR="00454293">
        <w:rPr>
          <w:rFonts w:cs="Arial"/>
          <w:bCs/>
          <w:szCs w:val="22"/>
        </w:rPr>
        <w:t>and resorted to self-help by taking control and possession.</w:t>
      </w:r>
    </w:p>
    <w:p w14:paraId="666D0C32" w14:textId="2C6A7D34"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454293">
        <w:rPr>
          <w:rFonts w:cs="Arial"/>
          <w:bCs/>
          <w:szCs w:val="22"/>
        </w:rPr>
        <w:t>The respondent initiated correspondence in February 2023,</w:t>
      </w:r>
      <w:r w:rsidR="0093461B">
        <w:rPr>
          <w:rStyle w:val="FootnoteReference"/>
          <w:rFonts w:cs="Arial"/>
          <w:bCs/>
          <w:szCs w:val="22"/>
        </w:rPr>
        <w:footnoteReference w:id="6"/>
      </w:r>
      <w:r w:rsidR="00454293">
        <w:rPr>
          <w:rFonts w:cs="Arial"/>
          <w:bCs/>
          <w:szCs w:val="22"/>
        </w:rPr>
        <w:t xml:space="preserve"> stating that by virtue of section 27(4) of the Sectional Titles Act, 95 of 1986, the Area vested in the respondent as the Area had not been sold when the applicant sold his </w:t>
      </w:r>
      <w:r w:rsidR="00B334F8">
        <w:rPr>
          <w:rFonts w:cs="Arial"/>
          <w:bCs/>
          <w:szCs w:val="22"/>
        </w:rPr>
        <w:t>Section</w:t>
      </w:r>
      <w:r w:rsidR="00454293">
        <w:rPr>
          <w:rFonts w:cs="Arial"/>
          <w:bCs/>
          <w:szCs w:val="22"/>
        </w:rPr>
        <w:t xml:space="preserve"> in the complex.</w:t>
      </w:r>
      <w:r w:rsidR="00B334F8">
        <w:rPr>
          <w:rFonts w:cs="Arial"/>
          <w:bCs/>
          <w:szCs w:val="22"/>
        </w:rPr>
        <w:t xml:space="preserve"> The right to use </w:t>
      </w:r>
      <w:r w:rsidR="00B334F8">
        <w:rPr>
          <w:rFonts w:cs="Arial"/>
          <w:bCs/>
          <w:szCs w:val="22"/>
        </w:rPr>
        <w:lastRenderedPageBreak/>
        <w:t xml:space="preserve">an exclusive use area is terminated when the owner of the </w:t>
      </w:r>
      <w:r w:rsidR="003E1D55">
        <w:rPr>
          <w:rFonts w:cs="Arial"/>
          <w:bCs/>
          <w:szCs w:val="22"/>
        </w:rPr>
        <w:t xml:space="preserve">Section </w:t>
      </w:r>
      <w:r w:rsidR="00B334F8">
        <w:rPr>
          <w:rFonts w:cs="Arial"/>
          <w:bCs/>
          <w:szCs w:val="22"/>
        </w:rPr>
        <w:t xml:space="preserve">with which </w:t>
      </w:r>
      <w:r w:rsidR="003E1D55">
        <w:rPr>
          <w:rFonts w:cs="Arial"/>
          <w:bCs/>
          <w:szCs w:val="22"/>
        </w:rPr>
        <w:t>it</w:t>
      </w:r>
      <w:r w:rsidR="00B334F8">
        <w:rPr>
          <w:rFonts w:cs="Arial"/>
          <w:bCs/>
          <w:szCs w:val="22"/>
        </w:rPr>
        <w:t xml:space="preserve"> is associated, ceases to be an owner of a Section and thus a member of the body corporate. However, these issues </w:t>
      </w:r>
      <w:r w:rsidR="00454293">
        <w:rPr>
          <w:rFonts w:cs="Arial"/>
          <w:bCs/>
          <w:szCs w:val="22"/>
        </w:rPr>
        <w:t>need not be decided in this</w:t>
      </w:r>
      <w:r w:rsidR="009469A8">
        <w:rPr>
          <w:rFonts w:cs="Arial"/>
          <w:bCs/>
          <w:szCs w:val="22"/>
        </w:rPr>
        <w:t xml:space="preserve"> spoliation</w:t>
      </w:r>
      <w:r w:rsidR="00454293">
        <w:rPr>
          <w:rFonts w:cs="Arial"/>
          <w:bCs/>
          <w:szCs w:val="22"/>
        </w:rPr>
        <w:t xml:space="preserve"> application.</w:t>
      </w:r>
      <w:r w:rsidR="00B334F8">
        <w:rPr>
          <w:rStyle w:val="FootnoteReference"/>
          <w:rFonts w:cs="Arial"/>
          <w:bCs/>
          <w:szCs w:val="22"/>
        </w:rPr>
        <w:footnoteReference w:id="7"/>
      </w:r>
    </w:p>
    <w:p w14:paraId="5C006DBC" w14:textId="23B9DD46"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454293">
        <w:rPr>
          <w:rFonts w:cs="Arial"/>
          <w:bCs/>
          <w:szCs w:val="22"/>
        </w:rPr>
        <w:t xml:space="preserve">Further correspondence followed and on 13 March 2023 the applicant was advised that he had to remove his belongings from </w:t>
      </w:r>
      <w:r w:rsidR="0093461B">
        <w:rPr>
          <w:rFonts w:cs="Arial"/>
          <w:bCs/>
          <w:szCs w:val="22"/>
        </w:rPr>
        <w:t xml:space="preserve">a garage in the complex where the belongings had been moved by the respondent. The </w:t>
      </w:r>
      <w:r w:rsidR="009469A8">
        <w:rPr>
          <w:rFonts w:cs="Arial"/>
          <w:bCs/>
          <w:szCs w:val="22"/>
        </w:rPr>
        <w:t>correspondence</w:t>
      </w:r>
      <w:r w:rsidR="0093461B">
        <w:rPr>
          <w:rFonts w:cs="Arial"/>
          <w:bCs/>
          <w:szCs w:val="22"/>
        </w:rPr>
        <w:t xml:space="preserve"> on behalf of the respondent implies that the respondent had resorted to self-help and had spoliated the applicant.</w:t>
      </w:r>
    </w:p>
    <w:p w14:paraId="72B9BBAC" w14:textId="5B493D19"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93461B">
        <w:rPr>
          <w:rFonts w:cs="Arial"/>
          <w:bCs/>
          <w:szCs w:val="22"/>
        </w:rPr>
        <w:t>The respondent also changed the locks and thus denied the applicant access to the Area. Further correspondence followed in March and early April 2023.</w:t>
      </w:r>
    </w:p>
    <w:p w14:paraId="6EFD2FDB" w14:textId="5A2512A5" w:rsidR="00342973" w:rsidRDefault="00A65ACD" w:rsidP="00A65ACD">
      <w:pPr>
        <w:keepNext/>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93461B">
        <w:rPr>
          <w:rFonts w:cs="Arial"/>
          <w:bCs/>
          <w:szCs w:val="22"/>
        </w:rPr>
        <w:t>I am satisfied that –</w:t>
      </w:r>
    </w:p>
    <w:p w14:paraId="682ACCA0" w14:textId="659D2F1B" w:rsidR="009469A8" w:rsidRPr="00496AD4" w:rsidRDefault="00A65ACD" w:rsidP="00A65ACD">
      <w:pPr>
        <w:keepNext/>
        <w:widowControl w:val="0"/>
        <w:tabs>
          <w:tab w:val="left" w:pos="1418"/>
        </w:tabs>
        <w:spacing w:before="480" w:after="480" w:line="480" w:lineRule="auto"/>
        <w:ind w:left="1418" w:hanging="851"/>
        <w:jc w:val="both"/>
        <w:rPr>
          <w:rFonts w:cs="Arial"/>
          <w:bCs/>
          <w:szCs w:val="22"/>
        </w:rPr>
      </w:pPr>
      <w:r w:rsidRPr="00496AD4">
        <w:rPr>
          <w:rFonts w:cs="Arial"/>
          <w:bCs/>
          <w:szCs w:val="22"/>
        </w:rPr>
        <w:t>10.1</w:t>
      </w:r>
      <w:r w:rsidRPr="00496AD4">
        <w:rPr>
          <w:rFonts w:cs="Arial"/>
          <w:bCs/>
          <w:szCs w:val="22"/>
        </w:rPr>
        <w:tab/>
      </w:r>
      <w:r w:rsidR="0093461B" w:rsidRPr="00496AD4">
        <w:rPr>
          <w:rFonts w:cs="Arial"/>
          <w:bCs/>
          <w:szCs w:val="22"/>
        </w:rPr>
        <w:t>The requirements for a spoliation order have been met</w:t>
      </w:r>
      <w:r w:rsidR="00C73CFA" w:rsidRPr="00496AD4">
        <w:rPr>
          <w:rFonts w:cs="Arial"/>
          <w:bCs/>
          <w:szCs w:val="22"/>
        </w:rPr>
        <w:t xml:space="preserve"> in that the applicant was in peaceful and undisturbed possession of the Area and was unlawfully deprived of such possession by the respondent</w:t>
      </w:r>
      <w:r w:rsidR="00496AD4" w:rsidRPr="00496AD4">
        <w:rPr>
          <w:rFonts w:cs="Arial"/>
          <w:bCs/>
          <w:szCs w:val="22"/>
        </w:rPr>
        <w:t xml:space="preserve"> when the </w:t>
      </w:r>
      <w:r w:rsidR="009469A8" w:rsidRPr="00496AD4">
        <w:rPr>
          <w:rFonts w:cs="Arial"/>
          <w:bCs/>
          <w:szCs w:val="22"/>
        </w:rPr>
        <w:t>respondent resorted to self-help;</w:t>
      </w:r>
    </w:p>
    <w:p w14:paraId="561E1EA9" w14:textId="153677C3" w:rsidR="0093461B" w:rsidRDefault="00A65ACD" w:rsidP="00A65ACD">
      <w:pPr>
        <w:keepNext/>
        <w:widowControl w:val="0"/>
        <w:tabs>
          <w:tab w:val="left" w:pos="1418"/>
        </w:tabs>
        <w:spacing w:before="480" w:after="480" w:line="480" w:lineRule="auto"/>
        <w:ind w:left="1418" w:hanging="851"/>
        <w:jc w:val="both"/>
        <w:rPr>
          <w:rFonts w:cs="Arial"/>
          <w:bCs/>
          <w:szCs w:val="22"/>
        </w:rPr>
      </w:pPr>
      <w:r>
        <w:rPr>
          <w:rFonts w:cs="Arial"/>
          <w:bCs/>
          <w:szCs w:val="22"/>
        </w:rPr>
        <w:t>10.2</w:t>
      </w:r>
      <w:r>
        <w:rPr>
          <w:rFonts w:cs="Arial"/>
          <w:bCs/>
          <w:szCs w:val="22"/>
        </w:rPr>
        <w:tab/>
      </w:r>
      <w:r w:rsidR="0093461B">
        <w:rPr>
          <w:rFonts w:cs="Arial"/>
          <w:bCs/>
          <w:szCs w:val="22"/>
        </w:rPr>
        <w:t>The applicant took reasonable steps to avoid having to bring an application and did not delay bringing the application;</w:t>
      </w:r>
    </w:p>
    <w:p w14:paraId="58B1C1B8" w14:textId="726E86CE" w:rsidR="0093461B" w:rsidRDefault="00A65ACD" w:rsidP="00A65ACD">
      <w:pPr>
        <w:keepNext/>
        <w:widowControl w:val="0"/>
        <w:tabs>
          <w:tab w:val="left" w:pos="1418"/>
        </w:tabs>
        <w:spacing w:before="480" w:after="480" w:line="480" w:lineRule="auto"/>
        <w:ind w:left="1418" w:hanging="851"/>
        <w:jc w:val="both"/>
        <w:rPr>
          <w:rFonts w:cs="Arial"/>
          <w:bCs/>
          <w:szCs w:val="22"/>
        </w:rPr>
      </w:pPr>
      <w:r>
        <w:rPr>
          <w:rFonts w:cs="Arial"/>
          <w:bCs/>
          <w:szCs w:val="22"/>
        </w:rPr>
        <w:t>10.3</w:t>
      </w:r>
      <w:r>
        <w:rPr>
          <w:rFonts w:cs="Arial"/>
          <w:bCs/>
          <w:szCs w:val="22"/>
        </w:rPr>
        <w:tab/>
      </w:r>
      <w:r w:rsidR="00C73CFA">
        <w:rPr>
          <w:rFonts w:cs="Arial"/>
          <w:bCs/>
          <w:szCs w:val="22"/>
        </w:rPr>
        <w:t xml:space="preserve">The respondent did not dispute the spoliation in the correspondence and stated </w:t>
      </w:r>
      <w:r w:rsidR="00C73CFA">
        <w:rPr>
          <w:rFonts w:cs="Arial"/>
          <w:bCs/>
          <w:szCs w:val="22"/>
        </w:rPr>
        <w:lastRenderedPageBreak/>
        <w:t>that as a matter of law, the applicant’s rights to the Area were terminated when he was no longer an owner of a Unit</w:t>
      </w:r>
      <w:r w:rsidR="00A17A88">
        <w:rPr>
          <w:rFonts w:cs="Arial"/>
          <w:bCs/>
          <w:szCs w:val="22"/>
        </w:rPr>
        <w:t>;</w:t>
      </w:r>
      <w:r w:rsidR="00C73CFA">
        <w:rPr>
          <w:rStyle w:val="FootnoteReference"/>
          <w:rFonts w:cs="Arial"/>
          <w:bCs/>
          <w:szCs w:val="22"/>
        </w:rPr>
        <w:footnoteReference w:id="8"/>
      </w:r>
    </w:p>
    <w:p w14:paraId="2ACC0F10" w14:textId="1ED8F4D5" w:rsidR="00A17A88" w:rsidRDefault="00A65ACD" w:rsidP="00A65ACD">
      <w:pPr>
        <w:keepNext/>
        <w:widowControl w:val="0"/>
        <w:tabs>
          <w:tab w:val="left" w:pos="1418"/>
        </w:tabs>
        <w:spacing w:before="480" w:after="480" w:line="480" w:lineRule="auto"/>
        <w:ind w:left="1418" w:hanging="851"/>
        <w:jc w:val="both"/>
        <w:rPr>
          <w:rFonts w:cs="Arial"/>
          <w:bCs/>
          <w:szCs w:val="22"/>
        </w:rPr>
      </w:pPr>
      <w:r>
        <w:rPr>
          <w:rFonts w:cs="Arial"/>
          <w:bCs/>
          <w:szCs w:val="22"/>
        </w:rPr>
        <w:t>10.4</w:t>
      </w:r>
      <w:r>
        <w:rPr>
          <w:rFonts w:cs="Arial"/>
          <w:bCs/>
          <w:szCs w:val="22"/>
        </w:rPr>
        <w:tab/>
      </w:r>
      <w:r w:rsidR="00A17A88">
        <w:rPr>
          <w:rFonts w:cs="Arial"/>
          <w:bCs/>
          <w:szCs w:val="22"/>
        </w:rPr>
        <w:t>The applicant is entitled to a cost order but not to punitive costs as sought.</w:t>
      </w:r>
    </w:p>
    <w:p w14:paraId="3AC02D41" w14:textId="32771E7A" w:rsidR="00D70528" w:rsidRDefault="00A65ACD" w:rsidP="00A65ACD">
      <w:pPr>
        <w:keepNext/>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D70528">
        <w:rPr>
          <w:rFonts w:cs="Arial"/>
          <w:bCs/>
          <w:szCs w:val="22"/>
        </w:rPr>
        <w:t>I therefore make the order in paragraph 1 above.</w:t>
      </w: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51C686CA" w14:textId="0B4EFEAA"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A17A88" w:rsidRPr="00A17A88">
        <w:rPr>
          <w:rFonts w:eastAsia="Arial Unicode MS" w:cs="Arial"/>
          <w:b/>
          <w:szCs w:val="22"/>
        </w:rPr>
        <w:t>12</w:t>
      </w:r>
      <w:r w:rsidR="002014D0" w:rsidRPr="00A17A88">
        <w:rPr>
          <w:rFonts w:eastAsia="Arial Unicode MS" w:cs="Arial"/>
          <w:b/>
          <w:szCs w:val="22"/>
        </w:rPr>
        <w:t xml:space="preserve"> </w:t>
      </w:r>
      <w:r w:rsidR="009469A8">
        <w:rPr>
          <w:rFonts w:eastAsia="Arial Unicode MS" w:cs="Arial"/>
          <w:b/>
          <w:bCs/>
          <w:szCs w:val="22"/>
        </w:rPr>
        <w:t>APRIL</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
        <w:gridCol w:w="4508"/>
      </w:tblGrid>
      <w:tr w:rsidR="009B62F7" w:rsidRPr="0009745A" w14:paraId="6CDD4926" w14:textId="77777777" w:rsidTr="0098739F">
        <w:tc>
          <w:tcPr>
            <w:tcW w:w="4508" w:type="dxa"/>
            <w:gridSpan w:val="2"/>
          </w:tcPr>
          <w:p w14:paraId="0F4C5124" w14:textId="2909BC19"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THE APPLICANT:</w:t>
            </w:r>
          </w:p>
        </w:tc>
        <w:tc>
          <w:tcPr>
            <w:tcW w:w="4508" w:type="dxa"/>
          </w:tcPr>
          <w:p w14:paraId="7DD198BB" w14:textId="353F2F19" w:rsidR="009B62F7" w:rsidRPr="00CF28CA" w:rsidRDefault="00A17A88" w:rsidP="0098739F">
            <w:pPr>
              <w:widowControl w:val="0"/>
              <w:spacing w:before="120" w:after="120"/>
              <w:jc w:val="right"/>
              <w:rPr>
                <w:rFonts w:eastAsia="Arial Unicode MS" w:cs="Arial"/>
                <w:szCs w:val="22"/>
              </w:rPr>
            </w:pPr>
            <w:r>
              <w:rPr>
                <w:rFonts w:eastAsia="Arial Unicode MS" w:cs="Arial"/>
                <w:szCs w:val="22"/>
              </w:rPr>
              <w:t>K A SLABBERT</w:t>
            </w:r>
          </w:p>
        </w:tc>
      </w:tr>
      <w:tr w:rsidR="009B62F7" w:rsidRPr="0009745A" w14:paraId="6B458BBE" w14:textId="77777777" w:rsidTr="0098739F">
        <w:tc>
          <w:tcPr>
            <w:tcW w:w="4508" w:type="dxa"/>
            <w:gridSpan w:val="2"/>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4543F8CB" w:rsidR="009B62F7" w:rsidRPr="00CE0612" w:rsidRDefault="00A17A88" w:rsidP="0098739F">
            <w:pPr>
              <w:widowControl w:val="0"/>
              <w:spacing w:before="120" w:after="120"/>
              <w:jc w:val="right"/>
              <w:rPr>
                <w:rFonts w:eastAsia="Arial Unicode MS" w:cs="Arial"/>
                <w:szCs w:val="22"/>
              </w:rPr>
            </w:pPr>
            <w:r>
              <w:rPr>
                <w:rFonts w:ascii="Arial-BoldMT" w:hAnsi="Arial-BoldMT" w:cs="Arial-BoldMT"/>
                <w:sz w:val="24"/>
                <w:lang w:eastAsia="en-ZA"/>
              </w:rPr>
              <w:t>DMO</w:t>
            </w:r>
            <w:r w:rsidR="00CE0612" w:rsidRPr="00CE0612">
              <w:rPr>
                <w:rFonts w:ascii="Arial-BoldMT" w:hAnsi="Arial-BoldMT" w:cs="Arial-BoldMT"/>
                <w:sz w:val="24"/>
                <w:lang w:eastAsia="en-ZA"/>
              </w:rPr>
              <w:t xml:space="preserve"> ATTORNEYS</w:t>
            </w:r>
          </w:p>
        </w:tc>
      </w:tr>
      <w:tr w:rsidR="009B62F7" w:rsidRPr="0009745A" w14:paraId="2094B6A6" w14:textId="77777777" w:rsidTr="0098739F">
        <w:tc>
          <w:tcPr>
            <w:tcW w:w="4508" w:type="dxa"/>
            <w:gridSpan w:val="2"/>
          </w:tcPr>
          <w:p w14:paraId="660EE22E" w14:textId="00DF3A87"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RESPONDENT:</w:t>
            </w:r>
          </w:p>
        </w:tc>
        <w:tc>
          <w:tcPr>
            <w:tcW w:w="4508" w:type="dxa"/>
          </w:tcPr>
          <w:p w14:paraId="6407F6D2" w14:textId="69CD7995" w:rsidR="009B62F7" w:rsidRPr="0009745A" w:rsidRDefault="00A17A88" w:rsidP="0098739F">
            <w:pPr>
              <w:autoSpaceDE w:val="0"/>
              <w:autoSpaceDN w:val="0"/>
              <w:adjustRightInd w:val="0"/>
              <w:spacing w:before="120" w:after="120"/>
              <w:jc w:val="right"/>
              <w:rPr>
                <w:rFonts w:eastAsia="Arial Unicode MS" w:cs="Arial"/>
                <w:szCs w:val="22"/>
              </w:rPr>
            </w:pPr>
            <w:r>
              <w:rPr>
                <w:rFonts w:eastAsia="Arial Unicode MS" w:cs="Arial"/>
                <w:szCs w:val="22"/>
              </w:rPr>
              <w:t>NO APPEARANCE</w:t>
            </w:r>
          </w:p>
        </w:tc>
      </w:tr>
      <w:tr w:rsidR="009B62F7" w:rsidRPr="0009745A" w14:paraId="78D0B5E2" w14:textId="77777777" w:rsidTr="004E3AFC">
        <w:tc>
          <w:tcPr>
            <w:tcW w:w="4253" w:type="dxa"/>
          </w:tcPr>
          <w:p w14:paraId="042FC86A" w14:textId="06E34E50" w:rsidR="009B62F7" w:rsidRPr="00897C3B" w:rsidRDefault="009B62F7" w:rsidP="0098739F">
            <w:pPr>
              <w:widowControl w:val="0"/>
              <w:spacing w:before="120" w:after="120"/>
              <w:jc w:val="both"/>
              <w:rPr>
                <w:rFonts w:eastAsia="Arial Unicode MS" w:cs="Arial"/>
                <w:szCs w:val="22"/>
              </w:rPr>
            </w:pPr>
            <w:r w:rsidRPr="00897C3B">
              <w:rPr>
                <w:rFonts w:cs="Arial"/>
                <w:szCs w:val="22"/>
              </w:rPr>
              <w:t>INSTRUCTED BY:</w:t>
            </w:r>
          </w:p>
        </w:tc>
        <w:tc>
          <w:tcPr>
            <w:tcW w:w="4763" w:type="dxa"/>
            <w:gridSpan w:val="2"/>
          </w:tcPr>
          <w:p w14:paraId="38283046" w14:textId="3E7DDCA1" w:rsidR="009B62F7" w:rsidRPr="0068623E" w:rsidRDefault="00A17A88" w:rsidP="0098739F">
            <w:pPr>
              <w:widowControl w:val="0"/>
              <w:spacing w:before="120" w:after="120"/>
              <w:jc w:val="right"/>
              <w:rPr>
                <w:rFonts w:eastAsia="Arial Unicode MS" w:cs="Arial"/>
                <w:szCs w:val="22"/>
              </w:rPr>
            </w:pPr>
            <w:r>
              <w:rPr>
                <w:rFonts w:eastAsia="Arial Unicode MS" w:cs="Arial"/>
                <w:szCs w:val="22"/>
              </w:rPr>
              <w:t>-</w:t>
            </w:r>
          </w:p>
        </w:tc>
      </w:tr>
      <w:tr w:rsidR="009B62F7" w:rsidRPr="0009745A" w14:paraId="4AAB18B9" w14:textId="77777777" w:rsidTr="0098739F">
        <w:tc>
          <w:tcPr>
            <w:tcW w:w="4508" w:type="dxa"/>
            <w:gridSpan w:val="2"/>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786CD9CF" w:rsidR="009B62F7" w:rsidRPr="0009745A" w:rsidRDefault="00A17A88" w:rsidP="0098739F">
            <w:pPr>
              <w:widowControl w:val="0"/>
              <w:spacing w:before="120" w:after="120"/>
              <w:jc w:val="right"/>
              <w:rPr>
                <w:rFonts w:eastAsia="Arial Unicode MS" w:cs="Arial"/>
                <w:b/>
                <w:bCs/>
                <w:szCs w:val="22"/>
              </w:rPr>
            </w:pPr>
            <w:r>
              <w:rPr>
                <w:rFonts w:cs="Arial"/>
                <w:szCs w:val="22"/>
              </w:rPr>
              <w:t>11 APRIL 2023</w:t>
            </w:r>
          </w:p>
        </w:tc>
      </w:tr>
      <w:tr w:rsidR="0098739F" w:rsidRPr="0009745A" w14:paraId="32221BF2" w14:textId="77777777" w:rsidTr="0098739F">
        <w:tc>
          <w:tcPr>
            <w:tcW w:w="4508" w:type="dxa"/>
            <w:gridSpan w:val="2"/>
          </w:tcPr>
          <w:p w14:paraId="0EFD4A3E" w14:textId="3D264C95" w:rsidR="0098739F" w:rsidRPr="0009745A" w:rsidRDefault="0098739F" w:rsidP="0098739F">
            <w:pPr>
              <w:widowControl w:val="0"/>
              <w:spacing w:before="120" w:after="120"/>
              <w:jc w:val="both"/>
              <w:rPr>
                <w:rFonts w:cs="Arial"/>
                <w:szCs w:val="22"/>
              </w:rPr>
            </w:pPr>
            <w:r w:rsidRPr="0009745A">
              <w:rPr>
                <w:rFonts w:cs="Arial"/>
                <w:szCs w:val="22"/>
              </w:rPr>
              <w:t xml:space="preserve">DATE OF </w:t>
            </w:r>
            <w:r w:rsidR="00A17A88">
              <w:rPr>
                <w:rFonts w:cs="Arial"/>
                <w:szCs w:val="22"/>
              </w:rPr>
              <w:t>ORDER</w:t>
            </w:r>
            <w:r w:rsidRPr="0009745A">
              <w:rPr>
                <w:rFonts w:cs="Arial"/>
                <w:szCs w:val="22"/>
              </w:rPr>
              <w:t>:</w:t>
            </w:r>
          </w:p>
        </w:tc>
        <w:tc>
          <w:tcPr>
            <w:tcW w:w="4508" w:type="dxa"/>
          </w:tcPr>
          <w:p w14:paraId="2615EC97" w14:textId="5512BADC" w:rsidR="0098739F" w:rsidRPr="0009745A" w:rsidRDefault="00A17A88" w:rsidP="0098739F">
            <w:pPr>
              <w:widowControl w:val="0"/>
              <w:spacing w:before="120" w:after="120"/>
              <w:jc w:val="right"/>
              <w:rPr>
                <w:rFonts w:cs="Arial"/>
                <w:szCs w:val="22"/>
              </w:rPr>
            </w:pPr>
            <w:r>
              <w:rPr>
                <w:rFonts w:cs="Arial"/>
                <w:szCs w:val="22"/>
              </w:rPr>
              <w:t xml:space="preserve">11 APRIL 2023 </w:t>
            </w:r>
          </w:p>
        </w:tc>
      </w:tr>
      <w:tr w:rsidR="00A17A88" w:rsidRPr="0009745A" w14:paraId="2B9D034B" w14:textId="77777777" w:rsidTr="0098739F">
        <w:tc>
          <w:tcPr>
            <w:tcW w:w="4508" w:type="dxa"/>
            <w:gridSpan w:val="2"/>
          </w:tcPr>
          <w:p w14:paraId="6873306D" w14:textId="33A99946" w:rsidR="00A17A88" w:rsidRPr="0009745A" w:rsidRDefault="00A17A88" w:rsidP="0098739F">
            <w:pPr>
              <w:widowControl w:val="0"/>
              <w:spacing w:before="120" w:after="120"/>
              <w:jc w:val="both"/>
              <w:rPr>
                <w:rFonts w:cs="Arial"/>
                <w:szCs w:val="22"/>
              </w:rPr>
            </w:pPr>
            <w:r>
              <w:rPr>
                <w:rFonts w:cs="Arial"/>
                <w:szCs w:val="22"/>
              </w:rPr>
              <w:t>DATE OF JUDGMENT:</w:t>
            </w:r>
          </w:p>
        </w:tc>
        <w:tc>
          <w:tcPr>
            <w:tcW w:w="4508" w:type="dxa"/>
          </w:tcPr>
          <w:p w14:paraId="2615C115" w14:textId="74877241" w:rsidR="00A17A88" w:rsidRDefault="00A17A88" w:rsidP="0098739F">
            <w:pPr>
              <w:widowControl w:val="0"/>
              <w:spacing w:before="120" w:after="120"/>
              <w:jc w:val="right"/>
              <w:rPr>
                <w:rFonts w:cs="Arial"/>
                <w:szCs w:val="22"/>
              </w:rPr>
            </w:pPr>
            <w:r>
              <w:rPr>
                <w:rFonts w:cs="Arial"/>
                <w:szCs w:val="22"/>
              </w:rPr>
              <w:t>12 APRIL 2023</w:t>
            </w:r>
          </w:p>
        </w:tc>
      </w:tr>
    </w:tbl>
    <w:p w14:paraId="6D7F3969" w14:textId="76A86C9F" w:rsidR="00A675FB" w:rsidRPr="0009745A" w:rsidRDefault="00A675FB" w:rsidP="00496AD4">
      <w:pPr>
        <w:widowControl w:val="0"/>
        <w:spacing w:after="200" w:line="360" w:lineRule="auto"/>
        <w:contextualSpacing/>
        <w:jc w:val="both"/>
        <w:rPr>
          <w:rFonts w:cs="Arial"/>
          <w:szCs w:val="22"/>
        </w:rPr>
      </w:pPr>
    </w:p>
    <w:sectPr w:rsidR="00A675FB" w:rsidRPr="0009745A" w:rsidSect="00A675FB">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A5C4" w14:textId="77777777" w:rsidR="001A2E8C" w:rsidRDefault="001A2E8C">
      <w:r>
        <w:separator/>
      </w:r>
    </w:p>
  </w:endnote>
  <w:endnote w:type="continuationSeparator" w:id="0">
    <w:p w14:paraId="45CFBCFA" w14:textId="77777777" w:rsidR="001A2E8C" w:rsidRDefault="001A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6E2F" w14:textId="77777777" w:rsidR="001A2E8C" w:rsidRDefault="001A2E8C">
      <w:r>
        <w:separator/>
      </w:r>
    </w:p>
  </w:footnote>
  <w:footnote w:type="continuationSeparator" w:id="0">
    <w:p w14:paraId="7CEDF27A" w14:textId="77777777" w:rsidR="001A2E8C" w:rsidRDefault="001A2E8C">
      <w:r>
        <w:continuationSeparator/>
      </w:r>
    </w:p>
  </w:footnote>
  <w:footnote w:id="1">
    <w:p w14:paraId="6B2BFD4D" w14:textId="77777777" w:rsidR="00342973" w:rsidRDefault="00342973" w:rsidP="00342973">
      <w:pPr>
        <w:pStyle w:val="FootnoteText"/>
      </w:pPr>
      <w:r>
        <w:rPr>
          <w:rStyle w:val="FootnoteReference"/>
        </w:rPr>
        <w:footnoteRef/>
      </w:r>
      <w:r>
        <w:t xml:space="preserve"> </w:t>
      </w:r>
      <w:r>
        <w:tab/>
      </w:r>
      <w:r w:rsidRPr="007C6E3E">
        <w:rPr>
          <w:rFonts w:cs="Arial"/>
          <w:i/>
          <w:iCs/>
          <w:color w:val="000000" w:themeColor="text1"/>
        </w:rPr>
        <w:t>Bisschoff and Others v Welbeplan Boerdery (Pty) Ltd</w:t>
      </w:r>
      <w:r w:rsidRPr="007C6E3E">
        <w:rPr>
          <w:rFonts w:cs="Arial"/>
          <w:color w:val="000000" w:themeColor="text1"/>
        </w:rPr>
        <w:t xml:space="preserve"> 2021 (5) SA 54 (SCA)</w:t>
      </w:r>
      <w:r>
        <w:rPr>
          <w:rFonts w:cs="Arial"/>
          <w:color w:val="000000" w:themeColor="text1"/>
        </w:rPr>
        <w:t xml:space="preserve">. See also </w:t>
      </w:r>
      <w:r w:rsidRPr="00A70A6D">
        <w:t xml:space="preserve">Van Loggerenberg DE and Bertelsmann E </w:t>
      </w:r>
      <w:r w:rsidRPr="00A70A6D">
        <w:rPr>
          <w:i/>
          <w:iCs/>
        </w:rPr>
        <w:t>Erasmus: Superior Court Practice</w:t>
      </w:r>
      <w:r>
        <w:rPr>
          <w:i/>
          <w:iCs/>
        </w:rPr>
        <w:t xml:space="preserve"> </w:t>
      </w:r>
      <w:r>
        <w:t>RS20, 2022, D7-1. (Mandamenten van Spolie)</w:t>
      </w:r>
    </w:p>
  </w:footnote>
  <w:footnote w:id="2">
    <w:p w14:paraId="11A16385" w14:textId="77777777" w:rsidR="00342973" w:rsidRDefault="00342973" w:rsidP="00342973">
      <w:pPr>
        <w:pStyle w:val="FootnoteText"/>
      </w:pPr>
      <w:r>
        <w:rPr>
          <w:rStyle w:val="FootnoteReference"/>
        </w:rPr>
        <w:footnoteRef/>
      </w:r>
      <w:r>
        <w:t xml:space="preserve"> </w:t>
      </w:r>
      <w:r>
        <w:tab/>
        <w:t>“</w:t>
      </w:r>
      <w:r w:rsidRPr="00030AAB">
        <w:rPr>
          <w:rFonts w:cs="Arial"/>
          <w:i/>
          <w:iCs/>
          <w:color w:val="000000" w:themeColor="text1"/>
        </w:rPr>
        <w:t>Yeko v Qana</w:t>
      </w:r>
      <w:r w:rsidRPr="00BF3B21">
        <w:rPr>
          <w:rFonts w:cs="Arial"/>
          <w:color w:val="000000" w:themeColor="text1"/>
        </w:rPr>
        <w:t> </w:t>
      </w:r>
      <w:hyperlink r:id="rId1" w:history="1">
        <w:r w:rsidRPr="00BF3B21">
          <w:rPr>
            <w:rStyle w:val="Hyperlink"/>
            <w:rFonts w:cs="Arial"/>
            <w:color w:val="000000" w:themeColor="text1"/>
            <w:u w:val="none"/>
          </w:rPr>
          <w:t>1973 (4) SA 735 (A)</w:t>
        </w:r>
      </w:hyperlink>
      <w:r w:rsidRPr="00BF3B21">
        <w:rPr>
          <w:rFonts w:cs="Arial"/>
          <w:color w:val="000000" w:themeColor="text1"/>
        </w:rPr>
        <w:t> at 739E – F. See also Lawsa 2 ed (2014) at 113 para 108.</w:t>
      </w:r>
      <w:r>
        <w:t>”</w:t>
      </w:r>
    </w:p>
  </w:footnote>
  <w:footnote w:id="3">
    <w:p w14:paraId="77739232" w14:textId="7AEDDF46" w:rsidR="00342973" w:rsidRDefault="00342973" w:rsidP="00342973">
      <w:pPr>
        <w:pStyle w:val="FootnoteText"/>
      </w:pPr>
      <w:r>
        <w:rPr>
          <w:rStyle w:val="FootnoteReference"/>
        </w:rPr>
        <w:footnoteRef/>
      </w:r>
      <w:r>
        <w:t xml:space="preserve"> </w:t>
      </w:r>
      <w:r>
        <w:tab/>
        <w:t>“</w:t>
      </w:r>
      <w:r w:rsidRPr="00030AAB">
        <w:rPr>
          <w:rFonts w:cs="Arial"/>
          <w:i/>
          <w:iCs/>
          <w:color w:val="000000" w:themeColor="text1"/>
        </w:rPr>
        <w:t>Tswelopele Non-Profit Organisation and Others v City of Tshwane Metropolitan Municipality and Others</w:t>
      </w:r>
      <w:r w:rsidRPr="00BF3B21">
        <w:rPr>
          <w:rFonts w:cs="Arial"/>
          <w:color w:val="000000" w:themeColor="text1"/>
        </w:rPr>
        <w:t> </w:t>
      </w:r>
      <w:hyperlink r:id="rId2" w:history="1">
        <w:r w:rsidRPr="00BF3B21">
          <w:rPr>
            <w:rStyle w:val="Hyperlink"/>
            <w:rFonts w:cs="Arial"/>
            <w:color w:val="000000" w:themeColor="text1"/>
            <w:u w:val="none"/>
          </w:rPr>
          <w:t>2007 (6) SA 511 (SCA)</w:t>
        </w:r>
      </w:hyperlink>
      <w:r w:rsidRPr="00BF3B21">
        <w:rPr>
          <w:rFonts w:cs="Arial"/>
          <w:color w:val="000000" w:themeColor="text1"/>
        </w:rPr>
        <w:t> ([2007] ZASCA 70) para 22; </w:t>
      </w:r>
      <w:r w:rsidRPr="00030AAB">
        <w:rPr>
          <w:rFonts w:cs="Arial"/>
          <w:i/>
          <w:iCs/>
          <w:color w:val="000000" w:themeColor="text1"/>
        </w:rPr>
        <w:t>Ngqukumba v Minister of Safety and Security and Others</w:t>
      </w:r>
      <w:r w:rsidRPr="00BF3B21">
        <w:rPr>
          <w:rFonts w:cs="Arial"/>
          <w:color w:val="000000" w:themeColor="text1"/>
        </w:rPr>
        <w:t> </w:t>
      </w:r>
      <w:hyperlink r:id="rId3" w:history="1">
        <w:r w:rsidRPr="00BF3B21">
          <w:rPr>
            <w:rStyle w:val="Hyperlink"/>
            <w:rFonts w:cs="Arial"/>
            <w:color w:val="000000" w:themeColor="text1"/>
            <w:u w:val="none"/>
          </w:rPr>
          <w:t>2014 (5) SA 112 (CC)</w:t>
        </w:r>
      </w:hyperlink>
      <w:r w:rsidRPr="00BF3B21">
        <w:rPr>
          <w:rFonts w:cs="Arial"/>
          <w:color w:val="000000" w:themeColor="text1"/>
        </w:rPr>
        <w:t> (2014 (2) SACR 325; 2014 (7) BCLR 788; [2014] ZACC 14) paras 10 – 12.</w:t>
      </w:r>
      <w:r w:rsidR="008D5BB4">
        <w:rPr>
          <w:rFonts w:cs="Arial"/>
          <w:color w:val="000000" w:themeColor="text1"/>
        </w:rPr>
        <w:t>”</w:t>
      </w:r>
    </w:p>
  </w:footnote>
  <w:footnote w:id="4">
    <w:p w14:paraId="2BECC01A" w14:textId="07B1E03C" w:rsidR="00A17A88" w:rsidRDefault="00A17A88">
      <w:pPr>
        <w:pStyle w:val="FootnoteText"/>
      </w:pPr>
      <w:r>
        <w:rPr>
          <w:rStyle w:val="FootnoteReference"/>
        </w:rPr>
        <w:footnoteRef/>
      </w:r>
      <w:r>
        <w:t xml:space="preserve"> </w:t>
      </w:r>
      <w:r>
        <w:tab/>
        <w:t>The attorneys are not on record in this application.</w:t>
      </w:r>
    </w:p>
  </w:footnote>
  <w:footnote w:id="5">
    <w:p w14:paraId="5E52A816" w14:textId="13DFAD7F" w:rsidR="008D5BB4" w:rsidRDefault="008D5BB4">
      <w:pPr>
        <w:pStyle w:val="FootnoteText"/>
      </w:pPr>
      <w:r>
        <w:rPr>
          <w:rStyle w:val="FootnoteReference"/>
        </w:rPr>
        <w:footnoteRef/>
      </w:r>
      <w:r>
        <w:t xml:space="preserve"> </w:t>
      </w:r>
      <w:r>
        <w:tab/>
        <w:t>See service affidavit, CaseLines 03-2.</w:t>
      </w:r>
    </w:p>
  </w:footnote>
  <w:footnote w:id="6">
    <w:p w14:paraId="5F80156F" w14:textId="060B9E23" w:rsidR="0093461B" w:rsidRDefault="0093461B">
      <w:pPr>
        <w:pStyle w:val="FootnoteText"/>
      </w:pPr>
      <w:r>
        <w:rPr>
          <w:rStyle w:val="FootnoteReference"/>
        </w:rPr>
        <w:footnoteRef/>
      </w:r>
      <w:r>
        <w:t xml:space="preserve"> </w:t>
      </w:r>
      <w:r>
        <w:tab/>
        <w:t>CaseLines 02-75 and following pages.</w:t>
      </w:r>
    </w:p>
  </w:footnote>
  <w:footnote w:id="7">
    <w:p w14:paraId="66FD39D4" w14:textId="384C5E4C" w:rsidR="00B334F8" w:rsidRPr="00B334F8" w:rsidRDefault="00B334F8" w:rsidP="00B334F8">
      <w:pPr>
        <w:shd w:val="clear" w:color="auto" w:fill="FFFFFF"/>
        <w:ind w:firstLine="284"/>
        <w:rPr>
          <w:rFonts w:cs="Arial"/>
          <w:i/>
          <w:iCs/>
          <w:color w:val="000000" w:themeColor="text1"/>
          <w:szCs w:val="22"/>
          <w:lang w:eastAsia="en-ZA"/>
        </w:rPr>
      </w:pPr>
      <w:r>
        <w:rPr>
          <w:rStyle w:val="FootnoteReference"/>
        </w:rPr>
        <w:footnoteRef/>
      </w:r>
      <w:r>
        <w:t xml:space="preserve"> </w:t>
      </w:r>
      <w:r>
        <w:tab/>
        <w:t xml:space="preserve">Section 27(4) reads as follows: </w:t>
      </w:r>
      <w:r w:rsidRPr="00B334F8">
        <w:rPr>
          <w:rFonts w:cs="Arial"/>
          <w:i/>
          <w:iCs/>
          <w:color w:val="000000" w:themeColor="text1"/>
          <w:szCs w:val="22"/>
        </w:rPr>
        <w:t>“</w:t>
      </w:r>
      <w:r>
        <w:rPr>
          <w:rFonts w:cs="Arial"/>
          <w:i/>
          <w:iCs/>
          <w:color w:val="000000" w:themeColor="text1"/>
          <w:szCs w:val="22"/>
        </w:rPr>
        <w:t xml:space="preserve">27 </w:t>
      </w:r>
      <w:r w:rsidRPr="00B334F8">
        <w:rPr>
          <w:rFonts w:cs="Arial"/>
          <w:i/>
          <w:iCs/>
          <w:color w:val="000000" w:themeColor="text1"/>
          <w:szCs w:val="22"/>
          <w:lang w:eastAsia="en-ZA"/>
        </w:rPr>
        <w:t>(4) (a) An owner of a section in whose favour the right to the exclusive use of a part of the common property delineated on the sectional plan is registered, may transfer his or her interest in such right to the owner of another section in the scheme by the registration by the registrar of a notarial deed of cession entered into by the parties.</w:t>
      </w:r>
    </w:p>
    <w:p w14:paraId="11E0C0E3" w14:textId="5EA7EE5A" w:rsidR="00B334F8" w:rsidRPr="00B334F8" w:rsidRDefault="00B334F8" w:rsidP="00B334F8">
      <w:pPr>
        <w:shd w:val="clear" w:color="auto" w:fill="FFFFFF"/>
        <w:ind w:firstLine="567"/>
        <w:rPr>
          <w:i/>
          <w:iCs/>
        </w:rPr>
      </w:pPr>
      <w:r w:rsidRPr="00B334F8">
        <w:rPr>
          <w:rFonts w:cs="Arial"/>
          <w:i/>
          <w:iCs/>
          <w:color w:val="000000" w:themeColor="text1"/>
          <w:szCs w:val="22"/>
          <w:lang w:eastAsia="en-ZA"/>
        </w:rPr>
        <w:t>(b) If an owner ceases to be a member of the body corporate in terms of section 2 (3) of the Sectional Titles Schemes Management Act, any right to an exclusive use area still registered in his or her name vests in the body corporate free from any mortgage bond.</w:t>
      </w:r>
      <w:r w:rsidRPr="00B334F8">
        <w:rPr>
          <w:rFonts w:cs="Arial"/>
          <w:i/>
          <w:iCs/>
          <w:color w:val="000000" w:themeColor="text1"/>
          <w:szCs w:val="22"/>
        </w:rPr>
        <w:t>”</w:t>
      </w:r>
    </w:p>
  </w:footnote>
  <w:footnote w:id="8">
    <w:p w14:paraId="4E87308D" w14:textId="6620E988" w:rsidR="00C73CFA" w:rsidRDefault="00C73CFA">
      <w:pPr>
        <w:pStyle w:val="FootnoteText"/>
      </w:pPr>
      <w:r>
        <w:rPr>
          <w:rStyle w:val="FootnoteReference"/>
        </w:rPr>
        <w:footnoteRef/>
      </w:r>
      <w:r>
        <w:t xml:space="preserve"> </w:t>
      </w:r>
      <w:r>
        <w:tab/>
        <w:t xml:space="preserve">A Unit is defined in section 1 as a </w:t>
      </w:r>
      <w:r w:rsidRPr="00C73CFA">
        <w:rPr>
          <w:i/>
          <w:iCs/>
        </w:rPr>
        <w:t>“section together with its undivided share in common property apportioned to that section in accordance with the quota of the section.”</w:t>
      </w:r>
      <w:r>
        <w:rPr>
          <w:i/>
          <w:iCs/>
        </w:rPr>
        <w:t xml:space="preserve">  </w:t>
      </w:r>
      <w:r w:rsidRPr="00C73CFA">
        <w:t>An exclusive use area</w:t>
      </w:r>
      <w:r>
        <w:t> is a part or parts of the common property</w:t>
      </w:r>
      <w:r w:rsidR="00A17A88">
        <w:t xml:space="preserve"> allocated</w:t>
      </w:r>
      <w:r>
        <w:t xml:space="preserve"> for the exclusive use by the owner or owners of one or more sections or by the occupant or occupants thereof recognised by law, as contemplated in th</w:t>
      </w:r>
      <w:r w:rsidR="00842AD8">
        <w:t>e</w:t>
      </w:r>
      <w:r>
        <w:t xml:space="preserv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5DEB5054"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A65ACD">
      <w:rPr>
        <w:rFonts w:cs="Arial"/>
        <w:noProof/>
        <w:sz w:val="20"/>
        <w:szCs w:val="20"/>
        <w:lang w:val="en-GB"/>
      </w:rPr>
      <w:t>2</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EC66232"/>
    <w:multiLevelType w:val="multilevel"/>
    <w:tmpl w:val="1C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3">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F2D0F29"/>
    <w:multiLevelType w:val="multilevel"/>
    <w:tmpl w:val="A92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390535B3"/>
    <w:multiLevelType w:val="hybridMultilevel"/>
    <w:tmpl w:val="BFDCEE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6663F"/>
    <w:multiLevelType w:val="hybridMultilevel"/>
    <w:tmpl w:val="9F6A45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7AFC58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5"/>
  </w:num>
  <w:num w:numId="4">
    <w:abstractNumId w:val="7"/>
  </w:num>
  <w:num w:numId="5">
    <w:abstractNumId w:val="14"/>
  </w:num>
  <w:num w:numId="6">
    <w:abstractNumId w:val="11"/>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2"/>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0"/>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864"/>
    <w:rsid w:val="00007CC6"/>
    <w:rsid w:val="0001111B"/>
    <w:rsid w:val="0001140A"/>
    <w:rsid w:val="00011EAE"/>
    <w:rsid w:val="00013B7F"/>
    <w:rsid w:val="000153E9"/>
    <w:rsid w:val="00016C5A"/>
    <w:rsid w:val="000207F6"/>
    <w:rsid w:val="000228A7"/>
    <w:rsid w:val="000248F1"/>
    <w:rsid w:val="00024A29"/>
    <w:rsid w:val="00030AAB"/>
    <w:rsid w:val="0003269E"/>
    <w:rsid w:val="00034AE8"/>
    <w:rsid w:val="00047055"/>
    <w:rsid w:val="00047AA2"/>
    <w:rsid w:val="00050086"/>
    <w:rsid w:val="0005034C"/>
    <w:rsid w:val="000504F1"/>
    <w:rsid w:val="00051207"/>
    <w:rsid w:val="0005445F"/>
    <w:rsid w:val="0005465E"/>
    <w:rsid w:val="00054804"/>
    <w:rsid w:val="00063F7B"/>
    <w:rsid w:val="000737E1"/>
    <w:rsid w:val="00073D6B"/>
    <w:rsid w:val="00073E30"/>
    <w:rsid w:val="00075AA1"/>
    <w:rsid w:val="0008042E"/>
    <w:rsid w:val="00080688"/>
    <w:rsid w:val="00083242"/>
    <w:rsid w:val="000833BB"/>
    <w:rsid w:val="00085A94"/>
    <w:rsid w:val="00087D87"/>
    <w:rsid w:val="00091FAD"/>
    <w:rsid w:val="0009488C"/>
    <w:rsid w:val="0009745A"/>
    <w:rsid w:val="0009787A"/>
    <w:rsid w:val="00097968"/>
    <w:rsid w:val="000979E8"/>
    <w:rsid w:val="00097AD1"/>
    <w:rsid w:val="000A1793"/>
    <w:rsid w:val="000A1CEC"/>
    <w:rsid w:val="000A292E"/>
    <w:rsid w:val="000A2D03"/>
    <w:rsid w:val="000A6AD8"/>
    <w:rsid w:val="000A7D8C"/>
    <w:rsid w:val="000B03EB"/>
    <w:rsid w:val="000B580F"/>
    <w:rsid w:val="000C044A"/>
    <w:rsid w:val="000C1421"/>
    <w:rsid w:val="000D10C0"/>
    <w:rsid w:val="000D439C"/>
    <w:rsid w:val="000D45F0"/>
    <w:rsid w:val="000D7D6A"/>
    <w:rsid w:val="000E1813"/>
    <w:rsid w:val="000E254E"/>
    <w:rsid w:val="000E6A2C"/>
    <w:rsid w:val="000F0BBE"/>
    <w:rsid w:val="000F23B3"/>
    <w:rsid w:val="000F39F6"/>
    <w:rsid w:val="000F59F8"/>
    <w:rsid w:val="000F6007"/>
    <w:rsid w:val="000F71C2"/>
    <w:rsid w:val="0010063D"/>
    <w:rsid w:val="001024D7"/>
    <w:rsid w:val="0010288A"/>
    <w:rsid w:val="00104142"/>
    <w:rsid w:val="00111EFC"/>
    <w:rsid w:val="00114E52"/>
    <w:rsid w:val="0011505A"/>
    <w:rsid w:val="00120FB1"/>
    <w:rsid w:val="0012741F"/>
    <w:rsid w:val="00131957"/>
    <w:rsid w:val="001330D2"/>
    <w:rsid w:val="00136C6A"/>
    <w:rsid w:val="001410DC"/>
    <w:rsid w:val="00141727"/>
    <w:rsid w:val="00141A0B"/>
    <w:rsid w:val="00146DDA"/>
    <w:rsid w:val="00147BD7"/>
    <w:rsid w:val="00147FF5"/>
    <w:rsid w:val="00152620"/>
    <w:rsid w:val="0015383A"/>
    <w:rsid w:val="0015788C"/>
    <w:rsid w:val="00162F4F"/>
    <w:rsid w:val="00170A22"/>
    <w:rsid w:val="00177D8F"/>
    <w:rsid w:val="0018376A"/>
    <w:rsid w:val="00185ACF"/>
    <w:rsid w:val="00190579"/>
    <w:rsid w:val="00191F5A"/>
    <w:rsid w:val="00196E14"/>
    <w:rsid w:val="001A1819"/>
    <w:rsid w:val="001A2E8C"/>
    <w:rsid w:val="001A464D"/>
    <w:rsid w:val="001A522A"/>
    <w:rsid w:val="001B1D39"/>
    <w:rsid w:val="001B4217"/>
    <w:rsid w:val="001B5D3E"/>
    <w:rsid w:val="001B606B"/>
    <w:rsid w:val="001B62D3"/>
    <w:rsid w:val="001B6FFC"/>
    <w:rsid w:val="001C01DF"/>
    <w:rsid w:val="001C3E06"/>
    <w:rsid w:val="001D12D9"/>
    <w:rsid w:val="001D3CC2"/>
    <w:rsid w:val="001D6138"/>
    <w:rsid w:val="001D68D9"/>
    <w:rsid w:val="001E2EED"/>
    <w:rsid w:val="001F0A29"/>
    <w:rsid w:val="001F11EA"/>
    <w:rsid w:val="001F2072"/>
    <w:rsid w:val="001F2C31"/>
    <w:rsid w:val="001F3DBD"/>
    <w:rsid w:val="001F45CB"/>
    <w:rsid w:val="001F648A"/>
    <w:rsid w:val="001F6E8E"/>
    <w:rsid w:val="002014D0"/>
    <w:rsid w:val="00201620"/>
    <w:rsid w:val="0020571A"/>
    <w:rsid w:val="002076F6"/>
    <w:rsid w:val="00210971"/>
    <w:rsid w:val="0021319A"/>
    <w:rsid w:val="002133DC"/>
    <w:rsid w:val="00214044"/>
    <w:rsid w:val="00215824"/>
    <w:rsid w:val="00216BC8"/>
    <w:rsid w:val="0022218D"/>
    <w:rsid w:val="002231EF"/>
    <w:rsid w:val="00224EF0"/>
    <w:rsid w:val="00226926"/>
    <w:rsid w:val="00232528"/>
    <w:rsid w:val="00237209"/>
    <w:rsid w:val="00237FF9"/>
    <w:rsid w:val="00250A46"/>
    <w:rsid w:val="002569A3"/>
    <w:rsid w:val="00262819"/>
    <w:rsid w:val="0027146F"/>
    <w:rsid w:val="00281213"/>
    <w:rsid w:val="00285040"/>
    <w:rsid w:val="00285062"/>
    <w:rsid w:val="00285DE9"/>
    <w:rsid w:val="00290B89"/>
    <w:rsid w:val="00294B84"/>
    <w:rsid w:val="00294ED8"/>
    <w:rsid w:val="0029606F"/>
    <w:rsid w:val="0029746D"/>
    <w:rsid w:val="002A0160"/>
    <w:rsid w:val="002A2AE7"/>
    <w:rsid w:val="002A5EEA"/>
    <w:rsid w:val="002A7485"/>
    <w:rsid w:val="002B3810"/>
    <w:rsid w:val="002B7824"/>
    <w:rsid w:val="002C05F2"/>
    <w:rsid w:val="002C115B"/>
    <w:rsid w:val="002C15AC"/>
    <w:rsid w:val="002C25BE"/>
    <w:rsid w:val="002C3500"/>
    <w:rsid w:val="002C364B"/>
    <w:rsid w:val="002C4638"/>
    <w:rsid w:val="002C4687"/>
    <w:rsid w:val="002C481E"/>
    <w:rsid w:val="002D10E4"/>
    <w:rsid w:val="002D5C85"/>
    <w:rsid w:val="002D77CC"/>
    <w:rsid w:val="002E1342"/>
    <w:rsid w:val="002E4B98"/>
    <w:rsid w:val="002E5B57"/>
    <w:rsid w:val="002E6CD7"/>
    <w:rsid w:val="002E77C4"/>
    <w:rsid w:val="002F17E6"/>
    <w:rsid w:val="002F27D2"/>
    <w:rsid w:val="002F3010"/>
    <w:rsid w:val="002F465B"/>
    <w:rsid w:val="002F6D39"/>
    <w:rsid w:val="003005DF"/>
    <w:rsid w:val="003016BE"/>
    <w:rsid w:val="00302290"/>
    <w:rsid w:val="00302C31"/>
    <w:rsid w:val="00303A63"/>
    <w:rsid w:val="00304724"/>
    <w:rsid w:val="0030618E"/>
    <w:rsid w:val="0030653F"/>
    <w:rsid w:val="00307471"/>
    <w:rsid w:val="0031024B"/>
    <w:rsid w:val="00310A3B"/>
    <w:rsid w:val="0031117B"/>
    <w:rsid w:val="0031170D"/>
    <w:rsid w:val="00311B1E"/>
    <w:rsid w:val="00311C7A"/>
    <w:rsid w:val="00312EBC"/>
    <w:rsid w:val="00313056"/>
    <w:rsid w:val="00320DD8"/>
    <w:rsid w:val="00321F7F"/>
    <w:rsid w:val="00323DD7"/>
    <w:rsid w:val="00331713"/>
    <w:rsid w:val="00332107"/>
    <w:rsid w:val="0033376C"/>
    <w:rsid w:val="003359DA"/>
    <w:rsid w:val="00336D7B"/>
    <w:rsid w:val="00337135"/>
    <w:rsid w:val="00341086"/>
    <w:rsid w:val="0034147B"/>
    <w:rsid w:val="00342973"/>
    <w:rsid w:val="003463D6"/>
    <w:rsid w:val="003469B6"/>
    <w:rsid w:val="00346D31"/>
    <w:rsid w:val="00346DE6"/>
    <w:rsid w:val="003518A3"/>
    <w:rsid w:val="00351ABE"/>
    <w:rsid w:val="003543C5"/>
    <w:rsid w:val="00354EF2"/>
    <w:rsid w:val="00357081"/>
    <w:rsid w:val="00357856"/>
    <w:rsid w:val="00357D35"/>
    <w:rsid w:val="00357F9E"/>
    <w:rsid w:val="003605A3"/>
    <w:rsid w:val="00360D1A"/>
    <w:rsid w:val="00362DBD"/>
    <w:rsid w:val="00363FCD"/>
    <w:rsid w:val="00364C43"/>
    <w:rsid w:val="00367720"/>
    <w:rsid w:val="0037029D"/>
    <w:rsid w:val="00376B7D"/>
    <w:rsid w:val="00381213"/>
    <w:rsid w:val="003840EC"/>
    <w:rsid w:val="00385FAB"/>
    <w:rsid w:val="00390C3F"/>
    <w:rsid w:val="00397E4A"/>
    <w:rsid w:val="003A6F23"/>
    <w:rsid w:val="003A7864"/>
    <w:rsid w:val="003B080A"/>
    <w:rsid w:val="003B142D"/>
    <w:rsid w:val="003B323E"/>
    <w:rsid w:val="003B4100"/>
    <w:rsid w:val="003C0B91"/>
    <w:rsid w:val="003C1A16"/>
    <w:rsid w:val="003C1E91"/>
    <w:rsid w:val="003C3AC6"/>
    <w:rsid w:val="003D5739"/>
    <w:rsid w:val="003E1423"/>
    <w:rsid w:val="003E1436"/>
    <w:rsid w:val="003E1D55"/>
    <w:rsid w:val="003E3B27"/>
    <w:rsid w:val="003F4B3A"/>
    <w:rsid w:val="003F5560"/>
    <w:rsid w:val="00400852"/>
    <w:rsid w:val="004026CF"/>
    <w:rsid w:val="0040535A"/>
    <w:rsid w:val="0040795A"/>
    <w:rsid w:val="00407F28"/>
    <w:rsid w:val="004131C5"/>
    <w:rsid w:val="00422DDD"/>
    <w:rsid w:val="004234C1"/>
    <w:rsid w:val="004239DA"/>
    <w:rsid w:val="0042423E"/>
    <w:rsid w:val="00427FD1"/>
    <w:rsid w:val="00431DD4"/>
    <w:rsid w:val="0043256C"/>
    <w:rsid w:val="004339E6"/>
    <w:rsid w:val="00435513"/>
    <w:rsid w:val="0043683A"/>
    <w:rsid w:val="0044085B"/>
    <w:rsid w:val="00441422"/>
    <w:rsid w:val="004450BD"/>
    <w:rsid w:val="00445DCB"/>
    <w:rsid w:val="004460B9"/>
    <w:rsid w:val="00454293"/>
    <w:rsid w:val="00456542"/>
    <w:rsid w:val="004630B6"/>
    <w:rsid w:val="00467D30"/>
    <w:rsid w:val="004726E4"/>
    <w:rsid w:val="00474607"/>
    <w:rsid w:val="00474910"/>
    <w:rsid w:val="004749AF"/>
    <w:rsid w:val="004766B3"/>
    <w:rsid w:val="004778C8"/>
    <w:rsid w:val="00484116"/>
    <w:rsid w:val="0048424E"/>
    <w:rsid w:val="004846F7"/>
    <w:rsid w:val="0048507B"/>
    <w:rsid w:val="00486F42"/>
    <w:rsid w:val="00487D14"/>
    <w:rsid w:val="00487FAD"/>
    <w:rsid w:val="00496AC1"/>
    <w:rsid w:val="00496AD4"/>
    <w:rsid w:val="00497938"/>
    <w:rsid w:val="00497FF4"/>
    <w:rsid w:val="004A2C7E"/>
    <w:rsid w:val="004A33EC"/>
    <w:rsid w:val="004A54F5"/>
    <w:rsid w:val="004A7155"/>
    <w:rsid w:val="004A7DFE"/>
    <w:rsid w:val="004B21D9"/>
    <w:rsid w:val="004B4621"/>
    <w:rsid w:val="004B771D"/>
    <w:rsid w:val="004C368B"/>
    <w:rsid w:val="004C6492"/>
    <w:rsid w:val="004D262A"/>
    <w:rsid w:val="004D2C6F"/>
    <w:rsid w:val="004D2E01"/>
    <w:rsid w:val="004D3D2B"/>
    <w:rsid w:val="004D7AE9"/>
    <w:rsid w:val="004E173B"/>
    <w:rsid w:val="004E3AFC"/>
    <w:rsid w:val="004E568C"/>
    <w:rsid w:val="004E5AD8"/>
    <w:rsid w:val="004F12D8"/>
    <w:rsid w:val="004F22A6"/>
    <w:rsid w:val="004F5E43"/>
    <w:rsid w:val="00504B53"/>
    <w:rsid w:val="00506B31"/>
    <w:rsid w:val="00507D49"/>
    <w:rsid w:val="0051015D"/>
    <w:rsid w:val="0051292D"/>
    <w:rsid w:val="00513A4F"/>
    <w:rsid w:val="0051622D"/>
    <w:rsid w:val="00523B52"/>
    <w:rsid w:val="005262C2"/>
    <w:rsid w:val="005266FB"/>
    <w:rsid w:val="0052705A"/>
    <w:rsid w:val="005363ED"/>
    <w:rsid w:val="00537A72"/>
    <w:rsid w:val="00545A74"/>
    <w:rsid w:val="00545B01"/>
    <w:rsid w:val="00546A0D"/>
    <w:rsid w:val="005503CC"/>
    <w:rsid w:val="00551687"/>
    <w:rsid w:val="00553AC4"/>
    <w:rsid w:val="0055729D"/>
    <w:rsid w:val="0057674C"/>
    <w:rsid w:val="0057700A"/>
    <w:rsid w:val="00581C59"/>
    <w:rsid w:val="0059024D"/>
    <w:rsid w:val="00596509"/>
    <w:rsid w:val="00597E64"/>
    <w:rsid w:val="005A27EF"/>
    <w:rsid w:val="005A313A"/>
    <w:rsid w:val="005A637B"/>
    <w:rsid w:val="005A680F"/>
    <w:rsid w:val="005A75D7"/>
    <w:rsid w:val="005B53B0"/>
    <w:rsid w:val="005B62A6"/>
    <w:rsid w:val="005B6D81"/>
    <w:rsid w:val="005B7DD3"/>
    <w:rsid w:val="005C0D08"/>
    <w:rsid w:val="005C657D"/>
    <w:rsid w:val="005C7FC2"/>
    <w:rsid w:val="005D2408"/>
    <w:rsid w:val="005D6122"/>
    <w:rsid w:val="005D6E80"/>
    <w:rsid w:val="005E004E"/>
    <w:rsid w:val="005E035E"/>
    <w:rsid w:val="005E09BA"/>
    <w:rsid w:val="005E2F7B"/>
    <w:rsid w:val="005E5C01"/>
    <w:rsid w:val="005E7118"/>
    <w:rsid w:val="005F03F7"/>
    <w:rsid w:val="005F2C91"/>
    <w:rsid w:val="005F37A4"/>
    <w:rsid w:val="005F62CB"/>
    <w:rsid w:val="0060139C"/>
    <w:rsid w:val="00603CD1"/>
    <w:rsid w:val="006041A4"/>
    <w:rsid w:val="006070E5"/>
    <w:rsid w:val="0061089B"/>
    <w:rsid w:val="00613721"/>
    <w:rsid w:val="006145CE"/>
    <w:rsid w:val="00617F98"/>
    <w:rsid w:val="00623C9B"/>
    <w:rsid w:val="006241D3"/>
    <w:rsid w:val="00626B53"/>
    <w:rsid w:val="00626F12"/>
    <w:rsid w:val="0062754A"/>
    <w:rsid w:val="00630DD5"/>
    <w:rsid w:val="00647DDD"/>
    <w:rsid w:val="00653BA4"/>
    <w:rsid w:val="00654654"/>
    <w:rsid w:val="00654D4B"/>
    <w:rsid w:val="00657EDA"/>
    <w:rsid w:val="00660C84"/>
    <w:rsid w:val="0066194B"/>
    <w:rsid w:val="00662270"/>
    <w:rsid w:val="00666D4D"/>
    <w:rsid w:val="00666F96"/>
    <w:rsid w:val="006706A5"/>
    <w:rsid w:val="00671C76"/>
    <w:rsid w:val="00681EAF"/>
    <w:rsid w:val="00685188"/>
    <w:rsid w:val="00685619"/>
    <w:rsid w:val="006858DA"/>
    <w:rsid w:val="0068621A"/>
    <w:rsid w:val="0068623E"/>
    <w:rsid w:val="006902F1"/>
    <w:rsid w:val="006918E9"/>
    <w:rsid w:val="00694C71"/>
    <w:rsid w:val="006951CE"/>
    <w:rsid w:val="006A0C2E"/>
    <w:rsid w:val="006A1756"/>
    <w:rsid w:val="006B625C"/>
    <w:rsid w:val="006C3A24"/>
    <w:rsid w:val="006C4213"/>
    <w:rsid w:val="006C43D7"/>
    <w:rsid w:val="006C5694"/>
    <w:rsid w:val="006D797F"/>
    <w:rsid w:val="006D7CD4"/>
    <w:rsid w:val="006E2346"/>
    <w:rsid w:val="006E323B"/>
    <w:rsid w:val="006E32B4"/>
    <w:rsid w:val="006E38D7"/>
    <w:rsid w:val="006E4540"/>
    <w:rsid w:val="006E68E6"/>
    <w:rsid w:val="006F0BB6"/>
    <w:rsid w:val="006F25E5"/>
    <w:rsid w:val="006F2FCE"/>
    <w:rsid w:val="006F415C"/>
    <w:rsid w:val="006F72F0"/>
    <w:rsid w:val="00701BBE"/>
    <w:rsid w:val="007046F8"/>
    <w:rsid w:val="00706D06"/>
    <w:rsid w:val="00710D76"/>
    <w:rsid w:val="0071137C"/>
    <w:rsid w:val="007148A5"/>
    <w:rsid w:val="00720436"/>
    <w:rsid w:val="00722091"/>
    <w:rsid w:val="007241D4"/>
    <w:rsid w:val="0073191E"/>
    <w:rsid w:val="00732A6F"/>
    <w:rsid w:val="007349CA"/>
    <w:rsid w:val="007407CE"/>
    <w:rsid w:val="00742764"/>
    <w:rsid w:val="0075156A"/>
    <w:rsid w:val="00751F90"/>
    <w:rsid w:val="00752759"/>
    <w:rsid w:val="0075455B"/>
    <w:rsid w:val="00756E65"/>
    <w:rsid w:val="00761C35"/>
    <w:rsid w:val="00762FCF"/>
    <w:rsid w:val="007659FB"/>
    <w:rsid w:val="00766026"/>
    <w:rsid w:val="00772B54"/>
    <w:rsid w:val="00781AA0"/>
    <w:rsid w:val="00783072"/>
    <w:rsid w:val="00785746"/>
    <w:rsid w:val="007863DD"/>
    <w:rsid w:val="00792386"/>
    <w:rsid w:val="007975CB"/>
    <w:rsid w:val="007B0648"/>
    <w:rsid w:val="007B13BB"/>
    <w:rsid w:val="007B165A"/>
    <w:rsid w:val="007B3410"/>
    <w:rsid w:val="007B6964"/>
    <w:rsid w:val="007B78C2"/>
    <w:rsid w:val="007C35FE"/>
    <w:rsid w:val="007C5008"/>
    <w:rsid w:val="007C5673"/>
    <w:rsid w:val="007C6555"/>
    <w:rsid w:val="007C6DF0"/>
    <w:rsid w:val="007C6E3E"/>
    <w:rsid w:val="007D1E79"/>
    <w:rsid w:val="007D27CF"/>
    <w:rsid w:val="007D31A3"/>
    <w:rsid w:val="007D710C"/>
    <w:rsid w:val="007D7528"/>
    <w:rsid w:val="007E3AB4"/>
    <w:rsid w:val="007E468A"/>
    <w:rsid w:val="007E58FC"/>
    <w:rsid w:val="007E6D02"/>
    <w:rsid w:val="007F0C19"/>
    <w:rsid w:val="007F1211"/>
    <w:rsid w:val="007F207F"/>
    <w:rsid w:val="00802357"/>
    <w:rsid w:val="00803CEC"/>
    <w:rsid w:val="00807ECB"/>
    <w:rsid w:val="008135EC"/>
    <w:rsid w:val="0081475E"/>
    <w:rsid w:val="00815C5A"/>
    <w:rsid w:val="00822050"/>
    <w:rsid w:val="008246E5"/>
    <w:rsid w:val="00825F6C"/>
    <w:rsid w:val="00830952"/>
    <w:rsid w:val="00831234"/>
    <w:rsid w:val="00837B03"/>
    <w:rsid w:val="00842AD8"/>
    <w:rsid w:val="0084438C"/>
    <w:rsid w:val="008443A9"/>
    <w:rsid w:val="00844C14"/>
    <w:rsid w:val="00845AEA"/>
    <w:rsid w:val="00846EF4"/>
    <w:rsid w:val="0085548F"/>
    <w:rsid w:val="00856289"/>
    <w:rsid w:val="0085754D"/>
    <w:rsid w:val="00860576"/>
    <w:rsid w:val="00861FA9"/>
    <w:rsid w:val="00862564"/>
    <w:rsid w:val="0086345E"/>
    <w:rsid w:val="008674AA"/>
    <w:rsid w:val="00867E6F"/>
    <w:rsid w:val="008761FC"/>
    <w:rsid w:val="0088094C"/>
    <w:rsid w:val="00881004"/>
    <w:rsid w:val="00882C40"/>
    <w:rsid w:val="00891D4B"/>
    <w:rsid w:val="0089779E"/>
    <w:rsid w:val="00897C3B"/>
    <w:rsid w:val="008A082A"/>
    <w:rsid w:val="008A4DF4"/>
    <w:rsid w:val="008A6783"/>
    <w:rsid w:val="008B0DB3"/>
    <w:rsid w:val="008B1BB7"/>
    <w:rsid w:val="008B1DA9"/>
    <w:rsid w:val="008B526B"/>
    <w:rsid w:val="008B7FFC"/>
    <w:rsid w:val="008C0D42"/>
    <w:rsid w:val="008C21A8"/>
    <w:rsid w:val="008D1E99"/>
    <w:rsid w:val="008D33A3"/>
    <w:rsid w:val="008D4715"/>
    <w:rsid w:val="008D5BB4"/>
    <w:rsid w:val="008E03F7"/>
    <w:rsid w:val="008E0638"/>
    <w:rsid w:val="008F189C"/>
    <w:rsid w:val="008F1BBC"/>
    <w:rsid w:val="008F1FE1"/>
    <w:rsid w:val="008F2742"/>
    <w:rsid w:val="008F4486"/>
    <w:rsid w:val="008F4FC6"/>
    <w:rsid w:val="008F5A82"/>
    <w:rsid w:val="00900368"/>
    <w:rsid w:val="00901143"/>
    <w:rsid w:val="00903F5D"/>
    <w:rsid w:val="0090659A"/>
    <w:rsid w:val="009108D0"/>
    <w:rsid w:val="0091544C"/>
    <w:rsid w:val="009165D0"/>
    <w:rsid w:val="00920D43"/>
    <w:rsid w:val="00927FD9"/>
    <w:rsid w:val="00930D69"/>
    <w:rsid w:val="009310B4"/>
    <w:rsid w:val="00932208"/>
    <w:rsid w:val="00933065"/>
    <w:rsid w:val="00933569"/>
    <w:rsid w:val="0093461B"/>
    <w:rsid w:val="0093799C"/>
    <w:rsid w:val="00940ECC"/>
    <w:rsid w:val="00942835"/>
    <w:rsid w:val="00944003"/>
    <w:rsid w:val="00944804"/>
    <w:rsid w:val="009469A8"/>
    <w:rsid w:val="009473D8"/>
    <w:rsid w:val="00953D6B"/>
    <w:rsid w:val="0095427F"/>
    <w:rsid w:val="00960ADF"/>
    <w:rsid w:val="00962B21"/>
    <w:rsid w:val="00963A0C"/>
    <w:rsid w:val="00963F16"/>
    <w:rsid w:val="00964367"/>
    <w:rsid w:val="00964A4A"/>
    <w:rsid w:val="009653C0"/>
    <w:rsid w:val="00973C55"/>
    <w:rsid w:val="00974A92"/>
    <w:rsid w:val="00974AB5"/>
    <w:rsid w:val="00976BB2"/>
    <w:rsid w:val="0097721C"/>
    <w:rsid w:val="009773E8"/>
    <w:rsid w:val="00980CE6"/>
    <w:rsid w:val="009835E3"/>
    <w:rsid w:val="00986050"/>
    <w:rsid w:val="00986455"/>
    <w:rsid w:val="0098739F"/>
    <w:rsid w:val="00987CDB"/>
    <w:rsid w:val="00991B1A"/>
    <w:rsid w:val="00994C5C"/>
    <w:rsid w:val="00994D8A"/>
    <w:rsid w:val="0099709D"/>
    <w:rsid w:val="009A1034"/>
    <w:rsid w:val="009A30E0"/>
    <w:rsid w:val="009A3619"/>
    <w:rsid w:val="009A524B"/>
    <w:rsid w:val="009A54C5"/>
    <w:rsid w:val="009A6493"/>
    <w:rsid w:val="009B08AF"/>
    <w:rsid w:val="009B1529"/>
    <w:rsid w:val="009B2FB6"/>
    <w:rsid w:val="009B3DFC"/>
    <w:rsid w:val="009B62F7"/>
    <w:rsid w:val="009B7A7B"/>
    <w:rsid w:val="009C28AC"/>
    <w:rsid w:val="009C37B9"/>
    <w:rsid w:val="009C38E7"/>
    <w:rsid w:val="009C5BEF"/>
    <w:rsid w:val="009D31F3"/>
    <w:rsid w:val="009D32BD"/>
    <w:rsid w:val="009D4486"/>
    <w:rsid w:val="009D5DAE"/>
    <w:rsid w:val="009E140F"/>
    <w:rsid w:val="009F211E"/>
    <w:rsid w:val="009F294E"/>
    <w:rsid w:val="009F30F1"/>
    <w:rsid w:val="009F37C7"/>
    <w:rsid w:val="009F50AB"/>
    <w:rsid w:val="009F5FBB"/>
    <w:rsid w:val="009F7500"/>
    <w:rsid w:val="00A000A9"/>
    <w:rsid w:val="00A005F6"/>
    <w:rsid w:val="00A0424F"/>
    <w:rsid w:val="00A048C6"/>
    <w:rsid w:val="00A06D09"/>
    <w:rsid w:val="00A11958"/>
    <w:rsid w:val="00A130D6"/>
    <w:rsid w:val="00A1488A"/>
    <w:rsid w:val="00A17A3E"/>
    <w:rsid w:val="00A17A88"/>
    <w:rsid w:val="00A2110C"/>
    <w:rsid w:val="00A2193F"/>
    <w:rsid w:val="00A225EE"/>
    <w:rsid w:val="00A23A84"/>
    <w:rsid w:val="00A31913"/>
    <w:rsid w:val="00A37BA4"/>
    <w:rsid w:val="00A411DB"/>
    <w:rsid w:val="00A43739"/>
    <w:rsid w:val="00A533E3"/>
    <w:rsid w:val="00A539CB"/>
    <w:rsid w:val="00A53BC7"/>
    <w:rsid w:val="00A63078"/>
    <w:rsid w:val="00A649AA"/>
    <w:rsid w:val="00A65124"/>
    <w:rsid w:val="00A65ACD"/>
    <w:rsid w:val="00A660AF"/>
    <w:rsid w:val="00A675FB"/>
    <w:rsid w:val="00A70A95"/>
    <w:rsid w:val="00A72651"/>
    <w:rsid w:val="00A73821"/>
    <w:rsid w:val="00A77EE7"/>
    <w:rsid w:val="00A809F0"/>
    <w:rsid w:val="00A869FC"/>
    <w:rsid w:val="00A93351"/>
    <w:rsid w:val="00A93A39"/>
    <w:rsid w:val="00A9650C"/>
    <w:rsid w:val="00A97CE6"/>
    <w:rsid w:val="00AA302C"/>
    <w:rsid w:val="00AA36D1"/>
    <w:rsid w:val="00AA6E8C"/>
    <w:rsid w:val="00AA6F19"/>
    <w:rsid w:val="00AA7A76"/>
    <w:rsid w:val="00AB03EF"/>
    <w:rsid w:val="00AB24C4"/>
    <w:rsid w:val="00AB3B72"/>
    <w:rsid w:val="00AB50EE"/>
    <w:rsid w:val="00AB6625"/>
    <w:rsid w:val="00AD0D62"/>
    <w:rsid w:val="00AD147C"/>
    <w:rsid w:val="00AD2631"/>
    <w:rsid w:val="00AD5024"/>
    <w:rsid w:val="00AD58C5"/>
    <w:rsid w:val="00AD5DC1"/>
    <w:rsid w:val="00AE2574"/>
    <w:rsid w:val="00AE3320"/>
    <w:rsid w:val="00AE63BD"/>
    <w:rsid w:val="00AE70A9"/>
    <w:rsid w:val="00AE7682"/>
    <w:rsid w:val="00AF0711"/>
    <w:rsid w:val="00AF0B2B"/>
    <w:rsid w:val="00AF0FA7"/>
    <w:rsid w:val="00AF2914"/>
    <w:rsid w:val="00AF3136"/>
    <w:rsid w:val="00AF363F"/>
    <w:rsid w:val="00AF3A71"/>
    <w:rsid w:val="00AF3E4F"/>
    <w:rsid w:val="00B0654E"/>
    <w:rsid w:val="00B071FF"/>
    <w:rsid w:val="00B11505"/>
    <w:rsid w:val="00B11DC2"/>
    <w:rsid w:val="00B121D2"/>
    <w:rsid w:val="00B15CAA"/>
    <w:rsid w:val="00B1673B"/>
    <w:rsid w:val="00B17897"/>
    <w:rsid w:val="00B20ABA"/>
    <w:rsid w:val="00B20C42"/>
    <w:rsid w:val="00B22CE8"/>
    <w:rsid w:val="00B24A59"/>
    <w:rsid w:val="00B27C5D"/>
    <w:rsid w:val="00B334F8"/>
    <w:rsid w:val="00B3585E"/>
    <w:rsid w:val="00B37BB0"/>
    <w:rsid w:val="00B403C2"/>
    <w:rsid w:val="00B40CD3"/>
    <w:rsid w:val="00B42807"/>
    <w:rsid w:val="00B428A6"/>
    <w:rsid w:val="00B53913"/>
    <w:rsid w:val="00B567F9"/>
    <w:rsid w:val="00B56906"/>
    <w:rsid w:val="00B57FCC"/>
    <w:rsid w:val="00B61782"/>
    <w:rsid w:val="00B63D44"/>
    <w:rsid w:val="00B65AF6"/>
    <w:rsid w:val="00B7031E"/>
    <w:rsid w:val="00B72922"/>
    <w:rsid w:val="00B72A13"/>
    <w:rsid w:val="00B75196"/>
    <w:rsid w:val="00B80687"/>
    <w:rsid w:val="00B8351D"/>
    <w:rsid w:val="00B84DD5"/>
    <w:rsid w:val="00B87538"/>
    <w:rsid w:val="00B87B26"/>
    <w:rsid w:val="00B91EA6"/>
    <w:rsid w:val="00B94CAA"/>
    <w:rsid w:val="00B954F3"/>
    <w:rsid w:val="00B95910"/>
    <w:rsid w:val="00B97F7D"/>
    <w:rsid w:val="00BA0E8D"/>
    <w:rsid w:val="00BA24FC"/>
    <w:rsid w:val="00BA394B"/>
    <w:rsid w:val="00BA3A4C"/>
    <w:rsid w:val="00BB0F20"/>
    <w:rsid w:val="00BC1990"/>
    <w:rsid w:val="00BC2A62"/>
    <w:rsid w:val="00BC3B5C"/>
    <w:rsid w:val="00BC7175"/>
    <w:rsid w:val="00BC746E"/>
    <w:rsid w:val="00BD2CDE"/>
    <w:rsid w:val="00BD41CF"/>
    <w:rsid w:val="00BD7CC1"/>
    <w:rsid w:val="00BE0164"/>
    <w:rsid w:val="00BE0251"/>
    <w:rsid w:val="00BE12BD"/>
    <w:rsid w:val="00BE2ED7"/>
    <w:rsid w:val="00BE464D"/>
    <w:rsid w:val="00BE6AB8"/>
    <w:rsid w:val="00BF086D"/>
    <w:rsid w:val="00BF2167"/>
    <w:rsid w:val="00BF2774"/>
    <w:rsid w:val="00BF4013"/>
    <w:rsid w:val="00C02D96"/>
    <w:rsid w:val="00C0551D"/>
    <w:rsid w:val="00C12767"/>
    <w:rsid w:val="00C12883"/>
    <w:rsid w:val="00C20A22"/>
    <w:rsid w:val="00C21632"/>
    <w:rsid w:val="00C25581"/>
    <w:rsid w:val="00C264E3"/>
    <w:rsid w:val="00C26BFC"/>
    <w:rsid w:val="00C2788D"/>
    <w:rsid w:val="00C32EFD"/>
    <w:rsid w:val="00C35C76"/>
    <w:rsid w:val="00C361F6"/>
    <w:rsid w:val="00C3669A"/>
    <w:rsid w:val="00C423E3"/>
    <w:rsid w:val="00C44428"/>
    <w:rsid w:val="00C458AF"/>
    <w:rsid w:val="00C50A80"/>
    <w:rsid w:val="00C52D48"/>
    <w:rsid w:val="00C530D6"/>
    <w:rsid w:val="00C54642"/>
    <w:rsid w:val="00C676F3"/>
    <w:rsid w:val="00C72A4C"/>
    <w:rsid w:val="00C72C0C"/>
    <w:rsid w:val="00C731BF"/>
    <w:rsid w:val="00C73CFA"/>
    <w:rsid w:val="00C77EFD"/>
    <w:rsid w:val="00C8009F"/>
    <w:rsid w:val="00C82759"/>
    <w:rsid w:val="00C829DF"/>
    <w:rsid w:val="00C83906"/>
    <w:rsid w:val="00C84021"/>
    <w:rsid w:val="00C84EB7"/>
    <w:rsid w:val="00C875AE"/>
    <w:rsid w:val="00C91188"/>
    <w:rsid w:val="00C9136F"/>
    <w:rsid w:val="00C9208E"/>
    <w:rsid w:val="00C92700"/>
    <w:rsid w:val="00C92A2F"/>
    <w:rsid w:val="00C9634D"/>
    <w:rsid w:val="00CA28E0"/>
    <w:rsid w:val="00CA6970"/>
    <w:rsid w:val="00CB0DF9"/>
    <w:rsid w:val="00CB1B8E"/>
    <w:rsid w:val="00CB4F4C"/>
    <w:rsid w:val="00CB5DEF"/>
    <w:rsid w:val="00CB5E49"/>
    <w:rsid w:val="00CC0C54"/>
    <w:rsid w:val="00CC1016"/>
    <w:rsid w:val="00CC48E3"/>
    <w:rsid w:val="00CC67A5"/>
    <w:rsid w:val="00CD093A"/>
    <w:rsid w:val="00CD4424"/>
    <w:rsid w:val="00CE0612"/>
    <w:rsid w:val="00CE08F9"/>
    <w:rsid w:val="00CE1698"/>
    <w:rsid w:val="00CE1966"/>
    <w:rsid w:val="00CE2983"/>
    <w:rsid w:val="00CF2008"/>
    <w:rsid w:val="00CF28CA"/>
    <w:rsid w:val="00CF4188"/>
    <w:rsid w:val="00CF42BA"/>
    <w:rsid w:val="00D06213"/>
    <w:rsid w:val="00D07D6A"/>
    <w:rsid w:val="00D220D9"/>
    <w:rsid w:val="00D24425"/>
    <w:rsid w:val="00D277A3"/>
    <w:rsid w:val="00D277C2"/>
    <w:rsid w:val="00D31882"/>
    <w:rsid w:val="00D31BAB"/>
    <w:rsid w:val="00D327FF"/>
    <w:rsid w:val="00D34F24"/>
    <w:rsid w:val="00D35A03"/>
    <w:rsid w:val="00D369AC"/>
    <w:rsid w:val="00D37377"/>
    <w:rsid w:val="00D42AB0"/>
    <w:rsid w:val="00D457F9"/>
    <w:rsid w:val="00D45B09"/>
    <w:rsid w:val="00D45B8C"/>
    <w:rsid w:val="00D51538"/>
    <w:rsid w:val="00D52F92"/>
    <w:rsid w:val="00D532F2"/>
    <w:rsid w:val="00D5375D"/>
    <w:rsid w:val="00D567E0"/>
    <w:rsid w:val="00D578D9"/>
    <w:rsid w:val="00D630DE"/>
    <w:rsid w:val="00D64527"/>
    <w:rsid w:val="00D664AD"/>
    <w:rsid w:val="00D70528"/>
    <w:rsid w:val="00D71B57"/>
    <w:rsid w:val="00D72C82"/>
    <w:rsid w:val="00D7327A"/>
    <w:rsid w:val="00D73E65"/>
    <w:rsid w:val="00D75BB5"/>
    <w:rsid w:val="00D86ADD"/>
    <w:rsid w:val="00D87625"/>
    <w:rsid w:val="00D92504"/>
    <w:rsid w:val="00D94745"/>
    <w:rsid w:val="00DA41B2"/>
    <w:rsid w:val="00DA4EE5"/>
    <w:rsid w:val="00DA5D06"/>
    <w:rsid w:val="00DA7B20"/>
    <w:rsid w:val="00DB0D4D"/>
    <w:rsid w:val="00DB2CE4"/>
    <w:rsid w:val="00DB2E02"/>
    <w:rsid w:val="00DB37CF"/>
    <w:rsid w:val="00DB407F"/>
    <w:rsid w:val="00DB722D"/>
    <w:rsid w:val="00DC6A98"/>
    <w:rsid w:val="00DC7016"/>
    <w:rsid w:val="00DC7245"/>
    <w:rsid w:val="00DC730A"/>
    <w:rsid w:val="00DD12FC"/>
    <w:rsid w:val="00DD296E"/>
    <w:rsid w:val="00DE130A"/>
    <w:rsid w:val="00DE38B2"/>
    <w:rsid w:val="00DE4148"/>
    <w:rsid w:val="00DE44F5"/>
    <w:rsid w:val="00DF7FD3"/>
    <w:rsid w:val="00E00F46"/>
    <w:rsid w:val="00E0285E"/>
    <w:rsid w:val="00E03AAE"/>
    <w:rsid w:val="00E12D6B"/>
    <w:rsid w:val="00E1303E"/>
    <w:rsid w:val="00E145ED"/>
    <w:rsid w:val="00E15596"/>
    <w:rsid w:val="00E166FD"/>
    <w:rsid w:val="00E17247"/>
    <w:rsid w:val="00E24560"/>
    <w:rsid w:val="00E25325"/>
    <w:rsid w:val="00E2615E"/>
    <w:rsid w:val="00E264BB"/>
    <w:rsid w:val="00E26628"/>
    <w:rsid w:val="00E26CE0"/>
    <w:rsid w:val="00E26D1B"/>
    <w:rsid w:val="00E276DF"/>
    <w:rsid w:val="00E30EA9"/>
    <w:rsid w:val="00E337EE"/>
    <w:rsid w:val="00E339BE"/>
    <w:rsid w:val="00E34482"/>
    <w:rsid w:val="00E37870"/>
    <w:rsid w:val="00E4050D"/>
    <w:rsid w:val="00E43AB6"/>
    <w:rsid w:val="00E45E6A"/>
    <w:rsid w:val="00E50A42"/>
    <w:rsid w:val="00E537FA"/>
    <w:rsid w:val="00E549A2"/>
    <w:rsid w:val="00E55311"/>
    <w:rsid w:val="00E5663F"/>
    <w:rsid w:val="00E56D64"/>
    <w:rsid w:val="00E611CC"/>
    <w:rsid w:val="00E66A30"/>
    <w:rsid w:val="00E67806"/>
    <w:rsid w:val="00E712B1"/>
    <w:rsid w:val="00E74886"/>
    <w:rsid w:val="00E75DDF"/>
    <w:rsid w:val="00E76641"/>
    <w:rsid w:val="00E81B17"/>
    <w:rsid w:val="00E82722"/>
    <w:rsid w:val="00E85BF7"/>
    <w:rsid w:val="00E85C81"/>
    <w:rsid w:val="00E87A28"/>
    <w:rsid w:val="00E941E6"/>
    <w:rsid w:val="00E95AB3"/>
    <w:rsid w:val="00EA1995"/>
    <w:rsid w:val="00EA2187"/>
    <w:rsid w:val="00EA5E85"/>
    <w:rsid w:val="00EA7F05"/>
    <w:rsid w:val="00EB3541"/>
    <w:rsid w:val="00EB5058"/>
    <w:rsid w:val="00EB7EB6"/>
    <w:rsid w:val="00EC07E1"/>
    <w:rsid w:val="00EC099E"/>
    <w:rsid w:val="00EC194E"/>
    <w:rsid w:val="00EC212D"/>
    <w:rsid w:val="00EC2591"/>
    <w:rsid w:val="00EC496C"/>
    <w:rsid w:val="00EC5057"/>
    <w:rsid w:val="00EC70BC"/>
    <w:rsid w:val="00ED018E"/>
    <w:rsid w:val="00ED1A67"/>
    <w:rsid w:val="00ED311D"/>
    <w:rsid w:val="00ED3283"/>
    <w:rsid w:val="00ED457F"/>
    <w:rsid w:val="00EE55F9"/>
    <w:rsid w:val="00EE62A5"/>
    <w:rsid w:val="00EF0734"/>
    <w:rsid w:val="00EF32C4"/>
    <w:rsid w:val="00EF39AD"/>
    <w:rsid w:val="00EF4EC8"/>
    <w:rsid w:val="00F042D3"/>
    <w:rsid w:val="00F05C27"/>
    <w:rsid w:val="00F11454"/>
    <w:rsid w:val="00F125DA"/>
    <w:rsid w:val="00F15575"/>
    <w:rsid w:val="00F1782F"/>
    <w:rsid w:val="00F221FC"/>
    <w:rsid w:val="00F33859"/>
    <w:rsid w:val="00F339F7"/>
    <w:rsid w:val="00F40820"/>
    <w:rsid w:val="00F41B84"/>
    <w:rsid w:val="00F43BDB"/>
    <w:rsid w:val="00F53254"/>
    <w:rsid w:val="00F6200F"/>
    <w:rsid w:val="00F627E4"/>
    <w:rsid w:val="00F6377B"/>
    <w:rsid w:val="00F65D8E"/>
    <w:rsid w:val="00F665A8"/>
    <w:rsid w:val="00F669B9"/>
    <w:rsid w:val="00F72573"/>
    <w:rsid w:val="00F77DB0"/>
    <w:rsid w:val="00F81B3F"/>
    <w:rsid w:val="00F86BC7"/>
    <w:rsid w:val="00F94E31"/>
    <w:rsid w:val="00F95D89"/>
    <w:rsid w:val="00FA0D89"/>
    <w:rsid w:val="00FA2987"/>
    <w:rsid w:val="00FA302F"/>
    <w:rsid w:val="00FA584E"/>
    <w:rsid w:val="00FA6D24"/>
    <w:rsid w:val="00FA7918"/>
    <w:rsid w:val="00FB3ABD"/>
    <w:rsid w:val="00FB59A0"/>
    <w:rsid w:val="00FB6596"/>
    <w:rsid w:val="00FC42BD"/>
    <w:rsid w:val="00FC62D7"/>
    <w:rsid w:val="00FD2E9B"/>
    <w:rsid w:val="00FD3552"/>
    <w:rsid w:val="00FD3D6E"/>
    <w:rsid w:val="00FE008D"/>
    <w:rsid w:val="00FE065B"/>
    <w:rsid w:val="00FE0E9D"/>
    <w:rsid w:val="00FE2BBF"/>
    <w:rsid w:val="00FE703A"/>
    <w:rsid w:val="00FE7A4D"/>
    <w:rsid w:val="00FF1F53"/>
    <w:rsid w:val="00FF615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customStyle="1" w:styleId="Default">
    <w:name w:val="Default"/>
    <w:rsid w:val="0034297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52378755">
      <w:bodyDiv w:val="1"/>
      <w:marLeft w:val="0"/>
      <w:marRight w:val="0"/>
      <w:marTop w:val="0"/>
      <w:marBottom w:val="0"/>
      <w:divBdr>
        <w:top w:val="none" w:sz="0" w:space="0" w:color="auto"/>
        <w:left w:val="none" w:sz="0" w:space="0" w:color="auto"/>
        <w:bottom w:val="none" w:sz="0" w:space="0" w:color="auto"/>
        <w:right w:val="none" w:sz="0" w:space="0" w:color="auto"/>
      </w:divBdr>
      <w:divsChild>
        <w:div w:id="1333532223">
          <w:marLeft w:val="0"/>
          <w:marRight w:val="0"/>
          <w:marTop w:val="120"/>
          <w:marBottom w:val="0"/>
          <w:divBdr>
            <w:top w:val="none" w:sz="0" w:space="0" w:color="auto"/>
            <w:left w:val="none" w:sz="0" w:space="0" w:color="auto"/>
            <w:bottom w:val="none" w:sz="0" w:space="0" w:color="auto"/>
            <w:right w:val="none" w:sz="0" w:space="0" w:color="auto"/>
          </w:divBdr>
        </w:div>
        <w:div w:id="1794518323">
          <w:marLeft w:val="0"/>
          <w:marRight w:val="0"/>
          <w:marTop w:val="60"/>
          <w:marBottom w:val="0"/>
          <w:divBdr>
            <w:top w:val="none" w:sz="0" w:space="0" w:color="auto"/>
            <w:left w:val="none" w:sz="0" w:space="0" w:color="auto"/>
            <w:bottom w:val="none" w:sz="0" w:space="0" w:color="auto"/>
            <w:right w:val="none" w:sz="0" w:space="0" w:color="auto"/>
          </w:divBdr>
        </w:div>
      </w:divsChild>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 TargetMode="External"/><Relationship Id="rId4" Type="http://schemas.openxmlformats.org/officeDocument/2006/relationships/settings" Target="settings.xml"/><Relationship Id="rId9" Type="http://schemas.openxmlformats.org/officeDocument/2006/relationships/hyperlink" Target="https://app.jutastatevolve.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4v5SApg112" TargetMode="External"/><Relationship Id="rId2" Type="http://schemas.openxmlformats.org/officeDocument/2006/relationships/hyperlink" Target="https://app.jutastatevolve.co.za/y2007v6SApg511" TargetMode="External"/><Relationship Id="rId1" Type="http://schemas.openxmlformats.org/officeDocument/2006/relationships/hyperlink" Target="https://app.jutastatevolve.co.za/y1973v4SApg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E0A6-F5E8-482A-AE65-69B22F8E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3</cp:revision>
  <cp:lastPrinted>2023-04-11T14:49:00Z</cp:lastPrinted>
  <dcterms:created xsi:type="dcterms:W3CDTF">2023-04-13T07:47:00Z</dcterms:created>
  <dcterms:modified xsi:type="dcterms:W3CDTF">2023-04-13T07:48:00Z</dcterms:modified>
</cp:coreProperties>
</file>