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608819DB" wp14:editId="6054D09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7B7F59" w:rsidRPr="007B7F59" w:rsidRDefault="007B7F59" w:rsidP="007B7F59">
      <w:pPr>
        <w:spacing w:after="0" w:line="240" w:lineRule="auto"/>
        <w:ind w:left="0"/>
        <w:jc w:val="center"/>
        <w:outlineLvl w:val="0"/>
        <w:rPr>
          <w:rFonts w:eastAsia="Times New Roman" w:cs="Arial"/>
          <w:b/>
          <w:szCs w:val="24"/>
          <w:lang w:val="en-ZA"/>
        </w:rPr>
      </w:pP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rsidR="007B7F59" w:rsidRPr="007B7F59" w:rsidRDefault="007B7F59" w:rsidP="007B7F59">
      <w:pPr>
        <w:spacing w:after="0" w:line="240" w:lineRule="auto"/>
        <w:ind w:left="0"/>
        <w:rPr>
          <w:rFonts w:eastAsia="Times New Roman" w:cs="Arial"/>
          <w:szCs w:val="24"/>
          <w:lang w:val="en-ZA"/>
        </w:rPr>
      </w:pPr>
    </w:p>
    <w:p w:rsidR="007B7F59" w:rsidRPr="007B7F59" w:rsidRDefault="007B7F59" w:rsidP="007B7F59">
      <w:pPr>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220E2E">
        <w:rPr>
          <w:rFonts w:eastAsia="Times New Roman" w:cs="Arial"/>
          <w:bCs/>
          <w:szCs w:val="24"/>
          <w:lang w:val="en-ZA"/>
        </w:rPr>
        <w:t>42818</w:t>
      </w:r>
      <w:r w:rsidRPr="00220E2E">
        <w:rPr>
          <w:rFonts w:eastAsia="Times New Roman" w:cs="Arial"/>
          <w:bCs/>
          <w:szCs w:val="24"/>
          <w:lang w:val="en-ZA"/>
        </w:rPr>
        <w:t>/</w:t>
      </w:r>
      <w:r w:rsidR="00220E2E">
        <w:rPr>
          <w:rFonts w:eastAsia="Times New Roman" w:cs="Arial"/>
          <w:bCs/>
          <w:szCs w:val="24"/>
          <w:lang w:val="en-ZA"/>
        </w:rPr>
        <w:t>2012</w:t>
      </w:r>
    </w:p>
    <w:p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30D2BECB" wp14:editId="1FEE435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2D7F54" w:rsidRPr="003B746C" w:rsidRDefault="002D7F54"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220E2E">
                              <w:rPr>
                                <w:rFonts w:cs="Arial"/>
                                <w:sz w:val="18"/>
                                <w:szCs w:val="20"/>
                              </w:rPr>
                              <w:t xml:space="preserve"> NO</w:t>
                            </w:r>
                          </w:p>
                          <w:p w:rsidR="002D7F54" w:rsidRPr="003B746C" w:rsidRDefault="002D7F54"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220E2E">
                              <w:rPr>
                                <w:rFonts w:cs="Arial"/>
                                <w:sz w:val="18"/>
                                <w:szCs w:val="20"/>
                              </w:rPr>
                              <w:t>NO</w:t>
                            </w:r>
                          </w:p>
                          <w:p w:rsidR="002D7F54" w:rsidRPr="003B746C" w:rsidRDefault="008F6851" w:rsidP="00034AC6">
                            <w:pPr>
                              <w:spacing w:before="240" w:after="0"/>
                              <w:ind w:left="0" w:firstLine="180"/>
                              <w:rPr>
                                <w:rFonts w:cs="Arial"/>
                                <w:b/>
                                <w:sz w:val="18"/>
                                <w:szCs w:val="20"/>
                              </w:rPr>
                            </w:pPr>
                            <w:r>
                              <w:rPr>
                                <w:rFonts w:cs="Arial"/>
                                <w:b/>
                                <w:sz w:val="18"/>
                                <w:szCs w:val="20"/>
                              </w:rPr>
                              <w:t>12</w:t>
                            </w:r>
                            <w:r w:rsidR="002B3F22">
                              <w:rPr>
                                <w:rFonts w:cs="Arial"/>
                                <w:b/>
                                <w:sz w:val="18"/>
                                <w:szCs w:val="20"/>
                              </w:rPr>
                              <w:t xml:space="preserve"> </w:t>
                            </w:r>
                            <w:r w:rsidR="00034AC6">
                              <w:rPr>
                                <w:rFonts w:cs="Arial"/>
                                <w:b/>
                                <w:sz w:val="18"/>
                                <w:szCs w:val="20"/>
                              </w:rPr>
                              <w:t>APRIL 2023</w:t>
                            </w:r>
                            <w:r w:rsidR="00034AC6">
                              <w:rPr>
                                <w:rFonts w:cs="Arial"/>
                                <w:b/>
                                <w:sz w:val="18"/>
                                <w:szCs w:val="20"/>
                              </w:rPr>
                              <w:tab/>
                            </w:r>
                            <w:r w:rsidR="002D7F54" w:rsidRPr="003B746C">
                              <w:rPr>
                                <w:rFonts w:cs="Arial"/>
                                <w:b/>
                                <w:sz w:val="18"/>
                                <w:szCs w:val="20"/>
                              </w:rPr>
                              <w:tab/>
                              <w:t>_________________________</w:t>
                            </w:r>
                          </w:p>
                          <w:p w:rsidR="002D7F54" w:rsidRPr="003B746C" w:rsidRDefault="002D7F54"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w:t>
                            </w:r>
                            <w:r w:rsidR="00034AC6">
                              <w:rPr>
                                <w:rFonts w:cs="Arial"/>
                                <w:sz w:val="18"/>
                                <w:szCs w:val="20"/>
                              </w:rPr>
                              <w:tab/>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D2BEC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rsidR="002D7F54" w:rsidRPr="003B746C" w:rsidRDefault="002D7F54"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220E2E">
                        <w:rPr>
                          <w:rFonts w:cs="Arial"/>
                          <w:sz w:val="18"/>
                          <w:szCs w:val="20"/>
                        </w:rPr>
                        <w:t xml:space="preserve"> NO</w:t>
                      </w:r>
                    </w:p>
                    <w:p w:rsidR="002D7F54" w:rsidRPr="003B746C" w:rsidRDefault="002D7F54"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220E2E">
                        <w:rPr>
                          <w:rFonts w:cs="Arial"/>
                          <w:sz w:val="18"/>
                          <w:szCs w:val="20"/>
                        </w:rPr>
                        <w:t>NO</w:t>
                      </w:r>
                    </w:p>
                    <w:p w:rsidR="002D7F54" w:rsidRPr="003B746C" w:rsidRDefault="008F6851" w:rsidP="00034AC6">
                      <w:pPr>
                        <w:spacing w:before="240" w:after="0"/>
                        <w:ind w:left="0" w:firstLine="180"/>
                        <w:rPr>
                          <w:rFonts w:cs="Arial"/>
                          <w:b/>
                          <w:sz w:val="18"/>
                          <w:szCs w:val="20"/>
                        </w:rPr>
                      </w:pPr>
                      <w:r>
                        <w:rPr>
                          <w:rFonts w:cs="Arial"/>
                          <w:b/>
                          <w:sz w:val="18"/>
                          <w:szCs w:val="20"/>
                        </w:rPr>
                        <w:t>12</w:t>
                      </w:r>
                      <w:r w:rsidR="002B3F22">
                        <w:rPr>
                          <w:rFonts w:cs="Arial"/>
                          <w:b/>
                          <w:sz w:val="18"/>
                          <w:szCs w:val="20"/>
                        </w:rPr>
                        <w:t xml:space="preserve"> </w:t>
                      </w:r>
                      <w:r w:rsidR="00034AC6">
                        <w:rPr>
                          <w:rFonts w:cs="Arial"/>
                          <w:b/>
                          <w:sz w:val="18"/>
                          <w:szCs w:val="20"/>
                        </w:rPr>
                        <w:t>APRIL 2023</w:t>
                      </w:r>
                      <w:r w:rsidR="00034AC6">
                        <w:rPr>
                          <w:rFonts w:cs="Arial"/>
                          <w:b/>
                          <w:sz w:val="18"/>
                          <w:szCs w:val="20"/>
                        </w:rPr>
                        <w:tab/>
                      </w:r>
                      <w:r w:rsidR="002D7F54" w:rsidRPr="003B746C">
                        <w:rPr>
                          <w:rFonts w:cs="Arial"/>
                          <w:b/>
                          <w:sz w:val="18"/>
                          <w:szCs w:val="20"/>
                        </w:rPr>
                        <w:tab/>
                        <w:t>_________________________</w:t>
                      </w:r>
                    </w:p>
                    <w:p w:rsidR="002D7F54" w:rsidRPr="003B746C" w:rsidRDefault="002D7F54"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w:t>
                      </w:r>
                      <w:r w:rsidR="00034AC6">
                        <w:rPr>
                          <w:rFonts w:cs="Arial"/>
                          <w:sz w:val="18"/>
                          <w:szCs w:val="20"/>
                        </w:rPr>
                        <w:tab/>
                      </w:r>
                      <w:r w:rsidRPr="003B746C">
                        <w:rPr>
                          <w:rFonts w:cs="Arial"/>
                          <w:sz w:val="18"/>
                          <w:szCs w:val="20"/>
                        </w:rPr>
                        <w:t>SIGNATURE</w:t>
                      </w:r>
                    </w:p>
                  </w:txbxContent>
                </v:textbox>
                <w10:wrap anchorx="margin"/>
              </v:shape>
            </w:pict>
          </mc:Fallback>
        </mc:AlternateContent>
      </w: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 xml:space="preserve">In the </w:t>
      </w:r>
      <w:r w:rsidR="005964E0">
        <w:rPr>
          <w:rFonts w:eastAsia="Times New Roman" w:cs="Arial"/>
          <w:szCs w:val="24"/>
          <w:lang w:val="en-ZA"/>
        </w:rPr>
        <w:t xml:space="preserve">intervention application </w:t>
      </w:r>
      <w:r w:rsidRPr="007B7F59">
        <w:rPr>
          <w:rFonts w:eastAsia="Times New Roman" w:cs="Arial"/>
          <w:szCs w:val="24"/>
          <w:lang w:val="en-ZA"/>
        </w:rPr>
        <w:t>between:</w:t>
      </w: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5964E0" w:rsidRDefault="005964E0" w:rsidP="007B7F59">
      <w:pPr>
        <w:tabs>
          <w:tab w:val="right" w:pos="9029"/>
        </w:tabs>
        <w:spacing w:after="0" w:line="240" w:lineRule="auto"/>
        <w:ind w:left="0"/>
        <w:contextualSpacing/>
        <w:rPr>
          <w:rFonts w:eastAsia="Times New Roman" w:cs="Times New Roman"/>
          <w:b/>
          <w:kern w:val="28"/>
          <w:szCs w:val="24"/>
          <w:lang w:eastAsia="en-GB"/>
        </w:rPr>
      </w:pPr>
      <w:r>
        <w:rPr>
          <w:rFonts w:eastAsia="Times New Roman" w:cs="Times New Roman"/>
          <w:b/>
          <w:kern w:val="28"/>
          <w:szCs w:val="24"/>
          <w:lang w:eastAsia="en-GB"/>
        </w:rPr>
        <w:tab/>
      </w:r>
    </w:p>
    <w:p w:rsidR="007B7F59" w:rsidRPr="007B7F59" w:rsidRDefault="00F915BA"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JOHANNES JACOBUS HENDRIK STEYN</w:t>
      </w:r>
      <w:r w:rsidR="007B7F59" w:rsidRPr="007B7F59">
        <w:rPr>
          <w:rFonts w:eastAsia="Times New Roman" w:cs="Arial"/>
          <w:b/>
          <w:szCs w:val="24"/>
          <w:lang w:val="en-ZA"/>
        </w:rPr>
        <w:tab/>
      </w:r>
      <w:r w:rsidR="007B7F59" w:rsidRPr="007B7F59">
        <w:rPr>
          <w:rFonts w:eastAsia="Times New Roman" w:cs="Arial"/>
          <w:szCs w:val="24"/>
          <w:lang w:val="en-ZA"/>
        </w:rPr>
        <w:t>First Applicant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F915BA" w:rsidP="007B7F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GUNTER DONALD FREYER</w:t>
      </w:r>
      <w:r w:rsidR="007B7F59" w:rsidRPr="007B7F59">
        <w:rPr>
          <w:rFonts w:eastAsia="Times New Roman" w:cs="Arial"/>
          <w:b/>
          <w:szCs w:val="24"/>
          <w:lang w:val="en-ZA"/>
        </w:rPr>
        <w:tab/>
      </w:r>
      <w:r w:rsidR="007B7F59" w:rsidRPr="007B7F59">
        <w:rPr>
          <w:rFonts w:eastAsia="Times New Roman" w:cs="Arial"/>
          <w:szCs w:val="24"/>
          <w:lang w:val="en-ZA"/>
        </w:rPr>
        <w:t>Second Applicant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F915BA" w:rsidP="007B7F59">
      <w:pPr>
        <w:tabs>
          <w:tab w:val="right" w:pos="9029"/>
        </w:tabs>
        <w:spacing w:after="0" w:line="240" w:lineRule="auto"/>
        <w:ind w:left="0"/>
        <w:contextualSpacing/>
        <w:rPr>
          <w:rFonts w:eastAsia="Times New Roman" w:cs="Arial"/>
          <w:szCs w:val="24"/>
          <w:lang w:val="en-ZA"/>
        </w:rPr>
      </w:pPr>
      <w:r w:rsidRPr="00F915BA">
        <w:rPr>
          <w:rFonts w:eastAsia="Times New Roman" w:cs="Arial"/>
          <w:i/>
          <w:szCs w:val="24"/>
          <w:lang w:val="en-ZA"/>
        </w:rPr>
        <w:t>In</w:t>
      </w:r>
      <w:r>
        <w:rPr>
          <w:rFonts w:eastAsia="Times New Roman" w:cs="Arial"/>
          <w:szCs w:val="24"/>
          <w:lang w:val="en-ZA"/>
        </w:rPr>
        <w:t xml:space="preserve"> </w:t>
      </w:r>
      <w:r>
        <w:rPr>
          <w:rFonts w:eastAsia="Times New Roman" w:cs="Arial"/>
          <w:i/>
          <w:szCs w:val="24"/>
          <w:lang w:val="en-ZA"/>
        </w:rPr>
        <w:t>r</w:t>
      </w:r>
      <w:r w:rsidRPr="00F915BA">
        <w:rPr>
          <w:rFonts w:eastAsia="Times New Roman" w:cs="Arial"/>
          <w:i/>
          <w:szCs w:val="24"/>
          <w:lang w:val="en-ZA"/>
        </w:rPr>
        <w:t>e</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F915BA" w:rsidRDefault="00F915BA" w:rsidP="007B7F59">
      <w:pPr>
        <w:tabs>
          <w:tab w:val="right" w:pos="9029"/>
        </w:tabs>
        <w:spacing w:after="0" w:line="240" w:lineRule="auto"/>
        <w:ind w:left="0"/>
        <w:contextualSpacing/>
        <w:rPr>
          <w:rFonts w:eastAsia="Times New Roman" w:cs="Times New Roman"/>
          <w:b/>
          <w:kern w:val="28"/>
          <w:szCs w:val="24"/>
          <w:lang w:eastAsia="en-GB"/>
        </w:rPr>
      </w:pPr>
      <w:r w:rsidRPr="005964E0">
        <w:rPr>
          <w:rFonts w:eastAsia="Times New Roman" w:cs="Times New Roman"/>
          <w:b/>
          <w:kern w:val="28"/>
          <w:szCs w:val="24"/>
          <w:lang w:eastAsia="en-GB"/>
        </w:rPr>
        <w:t xml:space="preserve">SINGLE DESTINATION </w:t>
      </w:r>
    </w:p>
    <w:p w:rsidR="007B7F59" w:rsidRPr="007B7F59" w:rsidRDefault="00F915BA" w:rsidP="007B7F59">
      <w:pPr>
        <w:tabs>
          <w:tab w:val="right" w:pos="9029"/>
        </w:tabs>
        <w:spacing w:after="0" w:line="240" w:lineRule="auto"/>
        <w:ind w:left="0"/>
        <w:contextualSpacing/>
        <w:rPr>
          <w:rFonts w:eastAsia="Times New Roman" w:cs="Arial"/>
          <w:szCs w:val="24"/>
          <w:lang w:val="en-ZA"/>
        </w:rPr>
      </w:pPr>
      <w:r w:rsidRPr="005964E0">
        <w:rPr>
          <w:rFonts w:eastAsia="Times New Roman" w:cs="Times New Roman"/>
          <w:b/>
          <w:kern w:val="28"/>
          <w:szCs w:val="24"/>
          <w:lang w:eastAsia="en-GB"/>
        </w:rPr>
        <w:t xml:space="preserve">ENGINEERING </w:t>
      </w:r>
      <w:r>
        <w:rPr>
          <w:rFonts w:eastAsia="Times New Roman" w:cs="Times New Roman"/>
          <w:b/>
          <w:kern w:val="28"/>
          <w:szCs w:val="24"/>
          <w:lang w:eastAsia="en-GB"/>
        </w:rPr>
        <w:t>(PTY) LTD</w:t>
      </w:r>
      <w:r w:rsidR="007B7F59" w:rsidRPr="007B7F59">
        <w:rPr>
          <w:rFonts w:cs="Arial"/>
          <w:b/>
          <w:szCs w:val="24"/>
          <w:lang w:val="en-ZA"/>
        </w:rPr>
        <w:tab/>
      </w:r>
      <w:r>
        <w:rPr>
          <w:rFonts w:cs="Arial"/>
          <w:b/>
          <w:szCs w:val="24"/>
          <w:lang w:val="en-ZA"/>
        </w:rPr>
        <w:t xml:space="preserve">  </w:t>
      </w:r>
      <w:r w:rsidRPr="00F915BA">
        <w:rPr>
          <w:rFonts w:cs="Arial"/>
          <w:szCs w:val="24"/>
          <w:lang w:val="en-ZA"/>
        </w:rPr>
        <w:t>F</w:t>
      </w:r>
      <w:r>
        <w:rPr>
          <w:rFonts w:cs="Arial"/>
          <w:szCs w:val="24"/>
          <w:lang w:val="en-ZA"/>
        </w:rPr>
        <w:t>irst Respondent</w:t>
      </w:r>
      <w:r>
        <w:rPr>
          <w:rFonts w:eastAsia="Times New Roman" w:cs="Arial"/>
          <w:szCs w:val="24"/>
          <w:lang w:val="en-ZA"/>
        </w:rPr>
        <w:t>/</w:t>
      </w:r>
      <w:r w:rsidR="007B7F59" w:rsidRPr="007B7F59">
        <w:rPr>
          <w:rFonts w:eastAsia="Times New Roman" w:cs="Arial"/>
          <w:szCs w:val="24"/>
          <w:lang w:val="en-ZA"/>
        </w:rPr>
        <w:t xml:space="preserve">First </w:t>
      </w:r>
      <w:r>
        <w:rPr>
          <w:rFonts w:eastAsia="Times New Roman" w:cs="Arial"/>
          <w:szCs w:val="24"/>
          <w:lang w:val="en-ZA"/>
        </w:rPr>
        <w:t xml:space="preserve">Applicant </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Default="00F915BA" w:rsidP="007B7F59">
      <w:pPr>
        <w:tabs>
          <w:tab w:val="right" w:pos="9029"/>
        </w:tabs>
        <w:spacing w:after="0" w:line="240" w:lineRule="auto"/>
        <w:ind w:left="0"/>
        <w:contextualSpacing/>
        <w:rPr>
          <w:rFonts w:eastAsia="Times New Roman" w:cs="Arial"/>
          <w:szCs w:val="24"/>
          <w:lang w:val="en-ZA"/>
        </w:rPr>
      </w:pPr>
      <w:r w:rsidRPr="005964E0">
        <w:rPr>
          <w:rFonts w:eastAsia="Times New Roman" w:cs="Arial"/>
          <w:b/>
          <w:szCs w:val="24"/>
          <w:lang w:val="en-ZA"/>
        </w:rPr>
        <w:t>GUARDIAN INTEGRATED SYSTEMS CC</w:t>
      </w:r>
      <w:r w:rsidRPr="00BE2EC9">
        <w:rPr>
          <w:rFonts w:eastAsia="Times New Roman" w:cs="Arial"/>
          <w:b/>
          <w:szCs w:val="24"/>
          <w:lang w:val="en-ZA"/>
        </w:rPr>
        <w:t xml:space="preserve"> </w:t>
      </w:r>
      <w:r w:rsidR="00BE2EC9">
        <w:rPr>
          <w:rFonts w:eastAsia="Times New Roman" w:cs="Arial"/>
          <w:szCs w:val="24"/>
          <w:lang w:val="en-ZA"/>
        </w:rPr>
        <w:tab/>
        <w:t>Second Respondent/Second Applicant</w:t>
      </w:r>
    </w:p>
    <w:p w:rsidR="00BE2EC9" w:rsidRDefault="00BE2EC9" w:rsidP="00BE2EC9">
      <w:pPr>
        <w:pStyle w:val="JudgmentNumbered"/>
        <w:numPr>
          <w:ilvl w:val="0"/>
          <w:numId w:val="0"/>
        </w:numPr>
        <w:ind w:left="567" w:hanging="567"/>
        <w:rPr>
          <w:lang w:val="en-ZA"/>
        </w:rPr>
      </w:pPr>
    </w:p>
    <w:p w:rsidR="00BE2EC9" w:rsidRPr="00BE2EC9" w:rsidRDefault="00BE2EC9" w:rsidP="00BE2EC9">
      <w:pPr>
        <w:pStyle w:val="JudgmentNumbered"/>
        <w:numPr>
          <w:ilvl w:val="0"/>
          <w:numId w:val="0"/>
        </w:numPr>
        <w:ind w:left="567" w:hanging="567"/>
        <w:rPr>
          <w:lang w:val="en-ZA"/>
        </w:rPr>
      </w:pPr>
      <w:r>
        <w:rPr>
          <w:lang w:val="en-ZA"/>
        </w:rPr>
        <w:t xml:space="preserve">And </w:t>
      </w:r>
    </w:p>
    <w:p w:rsidR="00BE2EC9" w:rsidRDefault="00BE2EC9" w:rsidP="00BE2EC9">
      <w:pPr>
        <w:tabs>
          <w:tab w:val="right" w:pos="9029"/>
        </w:tabs>
        <w:spacing w:after="0" w:line="240" w:lineRule="auto"/>
        <w:ind w:left="0"/>
        <w:contextualSpacing/>
      </w:pPr>
      <w:r w:rsidRPr="00BE2EC9">
        <w:rPr>
          <w:b/>
        </w:rPr>
        <w:t xml:space="preserve">THEO VAN DEN HEEVER N.O. </w:t>
      </w:r>
      <w:r>
        <w:rPr>
          <w:b/>
        </w:rPr>
        <w:tab/>
      </w:r>
      <w:r w:rsidR="00D879B5">
        <w:t>Third Respondent /</w:t>
      </w:r>
      <w:r>
        <w:t xml:space="preserve"> First Respondent </w:t>
      </w:r>
    </w:p>
    <w:p w:rsidR="00BE2EC9" w:rsidRDefault="00BE2EC9" w:rsidP="00876DB7">
      <w:pPr>
        <w:tabs>
          <w:tab w:val="right" w:pos="9029"/>
        </w:tabs>
        <w:spacing w:after="0" w:line="240" w:lineRule="auto"/>
        <w:ind w:left="0"/>
        <w:contextualSpacing/>
        <w:rPr>
          <w:b/>
        </w:rPr>
      </w:pPr>
      <w:r w:rsidRPr="00BE2EC9">
        <w:rPr>
          <w:b/>
        </w:rPr>
        <w:t xml:space="preserve">NURJEHAN ABDOOL GAFAAR OMAR N.O. </w:t>
      </w:r>
      <w:r w:rsidR="00D879B5">
        <w:t>Fourth Respondent /</w:t>
      </w:r>
      <w:r>
        <w:t>Second Respondent</w:t>
      </w:r>
    </w:p>
    <w:p w:rsidR="00BE2EC9" w:rsidRPr="00BE2EC9" w:rsidRDefault="00BE2EC9" w:rsidP="00BE2EC9">
      <w:pPr>
        <w:tabs>
          <w:tab w:val="right" w:pos="9029"/>
        </w:tabs>
        <w:spacing w:after="0" w:line="240" w:lineRule="auto"/>
        <w:ind w:left="0"/>
        <w:contextualSpacing/>
        <w:rPr>
          <w:b/>
        </w:rPr>
      </w:pPr>
      <w:r w:rsidRPr="00BE2EC9">
        <w:rPr>
          <w:b/>
        </w:rPr>
        <w:t xml:space="preserve">THEA CHRISTINA LOURENS N.O. </w:t>
      </w:r>
      <w:r w:rsidR="00D879B5">
        <w:rPr>
          <w:b/>
        </w:rPr>
        <w:tab/>
      </w:r>
      <w:r w:rsidR="00D879B5">
        <w:t>Fifth Respondent /</w:t>
      </w:r>
      <w:r>
        <w:t>Third Respondent</w:t>
      </w:r>
    </w:p>
    <w:p w:rsidR="00D879B5" w:rsidRDefault="00BE2EC9" w:rsidP="007B7F59">
      <w:pPr>
        <w:tabs>
          <w:tab w:val="right" w:pos="9029"/>
        </w:tabs>
        <w:spacing w:after="0" w:line="240" w:lineRule="auto"/>
        <w:ind w:left="0"/>
        <w:contextualSpacing/>
      </w:pPr>
      <w:r>
        <w:t xml:space="preserve">in their capacity as the joint liquidators </w:t>
      </w:r>
    </w:p>
    <w:p w:rsidR="007B7F59" w:rsidRPr="007B7F59" w:rsidRDefault="00BE2EC9" w:rsidP="007B7F59">
      <w:pPr>
        <w:tabs>
          <w:tab w:val="right" w:pos="9029"/>
        </w:tabs>
        <w:spacing w:after="0" w:line="240" w:lineRule="auto"/>
        <w:ind w:left="0"/>
        <w:contextualSpacing/>
        <w:rPr>
          <w:rFonts w:cs="Arial"/>
          <w:b/>
          <w:szCs w:val="24"/>
        </w:rPr>
      </w:pPr>
      <w:r>
        <w:t>of Skincon Calibrate (Pty) (Ltd) (in liquidation)</w:t>
      </w:r>
    </w:p>
    <w:p w:rsidR="007B7F59" w:rsidRDefault="007B7F59" w:rsidP="007B7F59">
      <w:pPr>
        <w:pBdr>
          <w:bottom w:val="single" w:sz="12" w:space="1" w:color="auto"/>
        </w:pBdr>
        <w:spacing w:after="0" w:line="240" w:lineRule="auto"/>
        <w:ind w:left="0"/>
        <w:jc w:val="left"/>
        <w:rPr>
          <w:rFonts w:cs="Arial"/>
          <w:b/>
          <w:szCs w:val="24"/>
          <w:lang w:val="en-ZA"/>
        </w:rPr>
      </w:pPr>
    </w:p>
    <w:p w:rsidR="008F6851" w:rsidRPr="008F6851" w:rsidRDefault="008F6851" w:rsidP="008F6851">
      <w:pPr>
        <w:pStyle w:val="JudgmentNumbered"/>
        <w:numPr>
          <w:ilvl w:val="0"/>
          <w:numId w:val="0"/>
        </w:numPr>
        <w:ind w:left="567"/>
        <w:rPr>
          <w:lang w:val="en-ZA"/>
        </w:rPr>
      </w:pPr>
    </w:p>
    <w:p w:rsidR="008F6851" w:rsidRPr="008F6851" w:rsidRDefault="008F6851" w:rsidP="008F6851">
      <w:pPr>
        <w:pStyle w:val="JudgmentNumbered"/>
        <w:numPr>
          <w:ilvl w:val="0"/>
          <w:numId w:val="0"/>
        </w:numPr>
        <w:ind w:left="567"/>
        <w:rPr>
          <w:lang w:val="en-ZA"/>
        </w:rPr>
      </w:pPr>
    </w:p>
    <w:p w:rsidR="007B7F59" w:rsidRPr="007B7F59" w:rsidRDefault="007B7F59" w:rsidP="007B7F59">
      <w:pPr>
        <w:spacing w:after="0" w:line="240" w:lineRule="auto"/>
        <w:ind w:left="1440" w:hanging="1440"/>
        <w:jc w:val="left"/>
        <w:rPr>
          <w:rFonts w:cs="Arial"/>
          <w:b/>
          <w:szCs w:val="24"/>
        </w:rPr>
      </w:pPr>
    </w:p>
    <w:p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rsidR="007B7F59" w:rsidRPr="007B7F59" w:rsidRDefault="00BF05FC" w:rsidP="007B7F59">
      <w:pPr>
        <w:spacing w:after="0" w:line="240" w:lineRule="auto"/>
        <w:ind w:left="0"/>
        <w:jc w:val="left"/>
        <w:rPr>
          <w:rFonts w:cs="Arial"/>
          <w:szCs w:val="24"/>
        </w:rPr>
      </w:pPr>
      <w:r>
        <w:rPr>
          <w:rFonts w:cs="Arial"/>
          <w:szCs w:val="24"/>
        </w:rPr>
        <w:t>MIA</w:t>
      </w:r>
      <w:r w:rsidR="007B7F59" w:rsidRPr="00BF05FC">
        <w:rPr>
          <w:rFonts w:cs="Arial"/>
          <w:szCs w:val="24"/>
        </w:rPr>
        <w:t>, J</w:t>
      </w:r>
    </w:p>
    <w:p w:rsidR="007B7F59" w:rsidRPr="007B7F59" w:rsidRDefault="007B7F59" w:rsidP="007B7F59">
      <w:pPr>
        <w:spacing w:after="0" w:line="240" w:lineRule="auto"/>
        <w:ind w:left="0"/>
        <w:jc w:val="left"/>
        <w:rPr>
          <w:rFonts w:cs="Arial"/>
          <w:szCs w:val="24"/>
        </w:rPr>
      </w:pPr>
    </w:p>
    <w:p w:rsidR="007B7F59" w:rsidRPr="007B7F59" w:rsidRDefault="007B7F59" w:rsidP="007B7F59">
      <w:pPr>
        <w:spacing w:after="0" w:line="240" w:lineRule="auto"/>
        <w:ind w:left="0"/>
        <w:jc w:val="left"/>
        <w:rPr>
          <w:rFonts w:cs="Arial"/>
          <w:szCs w:val="24"/>
        </w:rPr>
      </w:pPr>
    </w:p>
    <w:p w:rsidR="00794DCB" w:rsidRDefault="00BF05FC" w:rsidP="003B4C3B">
      <w:pPr>
        <w:pStyle w:val="JudgmentHeading"/>
        <w:ind w:firstLine="567"/>
      </w:pPr>
      <w:r>
        <w:t>Introduction</w:t>
      </w:r>
    </w:p>
    <w:p w:rsidR="00BB1A0B" w:rsidRDefault="009E42D6" w:rsidP="009E42D6">
      <w:pPr>
        <w:pStyle w:val="JudgmentNumbered"/>
        <w:numPr>
          <w:ilvl w:val="0"/>
          <w:numId w:val="0"/>
        </w:numPr>
        <w:ind w:left="567" w:hanging="567"/>
      </w:pPr>
      <w:r>
        <w:t>[1]</w:t>
      </w:r>
      <w:r>
        <w:tab/>
      </w:r>
      <w:r w:rsidR="00BB1A0B">
        <w:t>The</w:t>
      </w:r>
      <w:r w:rsidR="00220E2E">
        <w:t xml:space="preserve"> application is for security for costs. I have had insight </w:t>
      </w:r>
      <w:r w:rsidR="00DF1CDC">
        <w:t>into</w:t>
      </w:r>
      <w:r w:rsidR="00220E2E">
        <w:t xml:space="preserve"> the two related </w:t>
      </w:r>
      <w:r w:rsidR="00644BF1">
        <w:t>applications</w:t>
      </w:r>
      <w:r w:rsidR="002B3F22">
        <w:t xml:space="preserve"> namely an application for</w:t>
      </w:r>
      <w:r w:rsidR="00DF1CDC">
        <w:t xml:space="preserve"> inspect</w:t>
      </w:r>
      <w:r w:rsidR="002B3F22">
        <w:t>ion</w:t>
      </w:r>
      <w:r w:rsidR="00DF1CDC">
        <w:t xml:space="preserve"> and an application to intervene,</w:t>
      </w:r>
      <w:r w:rsidR="00644BF1">
        <w:t xml:space="preserve"> </w:t>
      </w:r>
      <w:r w:rsidR="00220E2E">
        <w:t>to determine</w:t>
      </w:r>
      <w:r w:rsidR="00B50244">
        <w:t xml:space="preserve"> the </w:t>
      </w:r>
      <w:r w:rsidR="001779D9">
        <w:t>application for security for costs</w:t>
      </w:r>
      <w:r w:rsidR="00BF05FC">
        <w:t xml:space="preserve">. </w:t>
      </w:r>
      <w:r w:rsidR="00DF1CDC">
        <w:t>The application is opposed.</w:t>
      </w:r>
    </w:p>
    <w:p w:rsidR="00633D81" w:rsidRDefault="009E42D6" w:rsidP="009E42D6">
      <w:pPr>
        <w:pStyle w:val="JudgmentNumbered"/>
        <w:numPr>
          <w:ilvl w:val="0"/>
          <w:numId w:val="0"/>
        </w:numPr>
        <w:ind w:left="567" w:hanging="567"/>
      </w:pPr>
      <w:r>
        <w:t>[2]</w:t>
      </w:r>
      <w:r>
        <w:tab/>
      </w:r>
      <w:r w:rsidR="00644BF1">
        <w:t xml:space="preserve">The </w:t>
      </w:r>
      <w:r w:rsidR="00F45170">
        <w:t>first applicant</w:t>
      </w:r>
      <w:r w:rsidR="00A8760E">
        <w:t xml:space="preserve"> is Single Destination Engineering (Pty) Ltd</w:t>
      </w:r>
      <w:r w:rsidR="00F734A6">
        <w:t xml:space="preserve"> (SDE)</w:t>
      </w:r>
      <w:r w:rsidR="007C3943">
        <w:t>,</w:t>
      </w:r>
      <w:r w:rsidR="00A8760E">
        <w:t xml:space="preserve"> a company with limited liability incorporated in terms of the Companies Act, 71 of 2008, with its registered office at 29 Galaxy Avenue, Linbro Business Park, Sandton, Johannesburg Gauteng. The second applicant is Guardian Integrated Systems CC</w:t>
      </w:r>
      <w:r w:rsidR="00F734A6">
        <w:t xml:space="preserve"> (G</w:t>
      </w:r>
      <w:r w:rsidR="00514267">
        <w:t>IS</w:t>
      </w:r>
      <w:r w:rsidR="00F734A6">
        <w:t>)</w:t>
      </w:r>
      <w:r w:rsidR="00A8760E">
        <w:t>, a company with limited liability, incorporated in terms of the Close Corporation Act, 69 of 1984, with its registered office at 62 Turaco Street, Norscot, Fourways, Gauteng. The first respondent</w:t>
      </w:r>
      <w:r w:rsidR="007C3943">
        <w:t xml:space="preserve">, </w:t>
      </w:r>
      <w:r w:rsidR="00A8760E">
        <w:t xml:space="preserve">also the first applicant in the intervention application, is Johannes Hendrik Jacobus Steyn, an adult male, the former director of Skincon Calibrated (Pty) Ltd., </w:t>
      </w:r>
      <w:r w:rsidR="00633D81">
        <w:t>(</w:t>
      </w:r>
      <w:r w:rsidR="00A8760E">
        <w:t>in liquidation)</w:t>
      </w:r>
      <w:r w:rsidR="00DF1CDC">
        <w:t xml:space="preserve"> (Skincon)</w:t>
      </w:r>
      <w:r w:rsidR="00A8760E">
        <w:t>, currently residing in Australia</w:t>
      </w:r>
      <w:r w:rsidR="00633D81">
        <w:t>. The second respondent is also the second applicant in the intervention application, Gunter Donald Freyer, an adult male and former director of Skincon Calibrated (Pty) Ltd., (in liquidation), currently residing in Australia.</w:t>
      </w:r>
      <w:r w:rsidR="00A066D5">
        <w:t xml:space="preserve"> The third</w:t>
      </w:r>
      <w:r w:rsidR="007C3943">
        <w:t>,</w:t>
      </w:r>
      <w:r w:rsidR="00A066D5">
        <w:t xml:space="preserve"> fourth and fifth respondents </w:t>
      </w:r>
      <w:r w:rsidR="005964E0">
        <w:t>(</w:t>
      </w:r>
      <w:r w:rsidR="00F734A6">
        <w:t>the liquidators)</w:t>
      </w:r>
      <w:r w:rsidR="005964E0">
        <w:t xml:space="preserve"> </w:t>
      </w:r>
      <w:r w:rsidR="00A066D5">
        <w:t>are the joint liquidators in the a</w:t>
      </w:r>
      <w:r w:rsidR="00DF1CDC">
        <w:t>pplication to liquidate Skincon</w:t>
      </w:r>
      <w:r w:rsidR="00A066D5">
        <w:t>.</w:t>
      </w:r>
      <w:r w:rsidR="004147C5">
        <w:t xml:space="preserve"> They are not represented and are not opposing the application.</w:t>
      </w:r>
    </w:p>
    <w:p w:rsidR="00633D81" w:rsidRDefault="00633D81" w:rsidP="00633D81">
      <w:pPr>
        <w:pStyle w:val="JudgmentNumbered"/>
        <w:numPr>
          <w:ilvl w:val="0"/>
          <w:numId w:val="0"/>
        </w:numPr>
        <w:ind w:left="1134" w:hanging="567"/>
      </w:pPr>
      <w:r>
        <w:rPr>
          <w:i/>
        </w:rPr>
        <w:t>Background</w:t>
      </w:r>
      <w:r>
        <w:t xml:space="preserve"> </w:t>
      </w:r>
    </w:p>
    <w:p w:rsidR="003B4C3B" w:rsidRDefault="009E42D6" w:rsidP="009E42D6">
      <w:pPr>
        <w:pStyle w:val="JudgmentNumbered"/>
        <w:numPr>
          <w:ilvl w:val="0"/>
          <w:numId w:val="0"/>
        </w:numPr>
        <w:ind w:left="567" w:hanging="567"/>
      </w:pPr>
      <w:r>
        <w:t>[3]</w:t>
      </w:r>
      <w:r>
        <w:tab/>
      </w:r>
      <w:r w:rsidR="00DF1CDC">
        <w:t xml:space="preserve">A </w:t>
      </w:r>
      <w:r w:rsidR="00A066D5">
        <w:t>background to the present application</w:t>
      </w:r>
      <w:r w:rsidR="008F6851">
        <w:t xml:space="preserve"> is necessary</w:t>
      </w:r>
      <w:r w:rsidR="00A066D5">
        <w:t xml:space="preserve">. </w:t>
      </w:r>
      <w:r w:rsidR="00F734A6">
        <w:t>SDE</w:t>
      </w:r>
      <w:r w:rsidR="007C3943">
        <w:t>,</w:t>
      </w:r>
      <w:r w:rsidR="00F734A6">
        <w:t xml:space="preserve"> </w:t>
      </w:r>
      <w:r w:rsidR="007C3943">
        <w:t xml:space="preserve">GIS </w:t>
      </w:r>
      <w:r w:rsidR="00F734A6">
        <w:t xml:space="preserve">and Skincon entered into a consortium agreement and undertook a construction project </w:t>
      </w:r>
      <w:r w:rsidR="008F6851">
        <w:t xml:space="preserve">for FNB. </w:t>
      </w:r>
      <w:r w:rsidR="00F734A6">
        <w:t xml:space="preserve">Skincon was the principal contractor and responsible for managing the </w:t>
      </w:r>
      <w:r w:rsidR="00466F85">
        <w:t>financing and implementation of the project</w:t>
      </w:r>
      <w:r w:rsidR="008F6851">
        <w:t>.</w:t>
      </w:r>
      <w:r w:rsidR="00466F85">
        <w:t xml:space="preserve"> SDE was the engineer. Skincon received payments into its own bank account</w:t>
      </w:r>
      <w:r w:rsidR="008F6851">
        <w:t>.</w:t>
      </w:r>
      <w:r w:rsidR="00466F85">
        <w:t xml:space="preserve"> Skincon paid SDE and other </w:t>
      </w:r>
      <w:r w:rsidR="008F6851">
        <w:lastRenderedPageBreak/>
        <w:t>subcontractors. Skincon</w:t>
      </w:r>
      <w:r w:rsidR="00466F85">
        <w:t xml:space="preserve"> ret</w:t>
      </w:r>
      <w:r w:rsidR="008F6851">
        <w:t xml:space="preserve">ained </w:t>
      </w:r>
      <w:r w:rsidR="00466F85">
        <w:t xml:space="preserve">payments until contracts were complete. </w:t>
      </w:r>
      <w:r w:rsidR="00D879B5">
        <w:t xml:space="preserve">The funds </w:t>
      </w:r>
      <w:r w:rsidR="006A0551">
        <w:t xml:space="preserve">were intended </w:t>
      </w:r>
      <w:r w:rsidR="00D879B5">
        <w:t>to be held in trust by Skincon. The funds were</w:t>
      </w:r>
      <w:r w:rsidR="006A0551">
        <w:t xml:space="preserve"> alleged</w:t>
      </w:r>
      <w:r w:rsidR="00D0074C">
        <w:t>ly</w:t>
      </w:r>
      <w:r w:rsidR="006A0551">
        <w:t xml:space="preserve"> </w:t>
      </w:r>
      <w:r w:rsidR="00D879B5">
        <w:t>utilised by Skincon</w:t>
      </w:r>
      <w:r w:rsidR="00D0074C">
        <w:t xml:space="preserve"> and not paid to subcontractors</w:t>
      </w:r>
      <w:r w:rsidR="00D879B5">
        <w:t>. The subcontractors sued Skinco</w:t>
      </w:r>
      <w:r w:rsidR="006A0551">
        <w:t>n and obtained judgments for</w:t>
      </w:r>
      <w:r w:rsidR="00D879B5">
        <w:t xml:space="preserve"> amount</w:t>
      </w:r>
      <w:r w:rsidR="006A0551">
        <w:t>s</w:t>
      </w:r>
      <w:r w:rsidR="00D879B5">
        <w:t xml:space="preserve"> in excess of R20 million. </w:t>
      </w:r>
      <w:r w:rsidR="006A0551">
        <w:t xml:space="preserve">Before the orders </w:t>
      </w:r>
      <w:r w:rsidR="00D0074C">
        <w:t xml:space="preserve">were executed </w:t>
      </w:r>
      <w:r w:rsidR="00D879B5">
        <w:t xml:space="preserve">Skincon </w:t>
      </w:r>
      <w:r w:rsidR="004C3B0E">
        <w:t>placed</w:t>
      </w:r>
      <w:r w:rsidR="006A0551">
        <w:t xml:space="preserve"> the company </w:t>
      </w:r>
      <w:r w:rsidR="004C3B0E">
        <w:t>in liquidati</w:t>
      </w:r>
      <w:r w:rsidR="004E0F3A">
        <w:t>on. The directors of Skincon</w:t>
      </w:r>
      <w:r w:rsidR="004C3B0E">
        <w:t xml:space="preserve"> </w:t>
      </w:r>
      <w:r w:rsidR="00D0074C">
        <w:t xml:space="preserve">lived in </w:t>
      </w:r>
      <w:r w:rsidR="004C3B0E">
        <w:t>Australia</w:t>
      </w:r>
      <w:r w:rsidR="00D0074C">
        <w:t xml:space="preserve">. When </w:t>
      </w:r>
      <w:r w:rsidR="004E0F3A">
        <w:t xml:space="preserve">Skincon was liquidated </w:t>
      </w:r>
      <w:r w:rsidR="00D0074C">
        <w:t xml:space="preserve">an </w:t>
      </w:r>
      <w:r w:rsidR="00B74CC4">
        <w:t>application to</w:t>
      </w:r>
      <w:r w:rsidR="004C3B0E" w:rsidRPr="00B74CC4">
        <w:rPr>
          <w:color w:val="FF0000"/>
        </w:rPr>
        <w:t xml:space="preserve"> </w:t>
      </w:r>
      <w:r w:rsidR="004C3B0E">
        <w:t>inspect Skincon’s records</w:t>
      </w:r>
      <w:r w:rsidR="00CF4B92">
        <w:t xml:space="preserve"> followed</w:t>
      </w:r>
      <w:r w:rsidR="004E0F3A">
        <w:t>. The directors</w:t>
      </w:r>
      <w:r w:rsidR="004C3B0E">
        <w:t xml:space="preserve"> applied to intervene in the application to inspect the records</w:t>
      </w:r>
      <w:r w:rsidR="00D0074C">
        <w:t xml:space="preserve"> as they </w:t>
      </w:r>
      <w:r w:rsidR="00CF4B92">
        <w:t xml:space="preserve">did not approve the inspection of </w:t>
      </w:r>
      <w:r w:rsidR="004E0F3A">
        <w:t xml:space="preserve">its </w:t>
      </w:r>
      <w:r w:rsidR="00CF4B92">
        <w:t>books by anyone who was not a creditor</w:t>
      </w:r>
      <w:r w:rsidR="00D0074C">
        <w:t xml:space="preserve">. They </w:t>
      </w:r>
      <w:r w:rsidR="00CF4B92">
        <w:t>alleged SDE was not a creditor.</w:t>
      </w:r>
      <w:r w:rsidR="00514267">
        <w:t xml:space="preserve">  SDE and GIS now seek security from </w:t>
      </w:r>
      <w:r w:rsidR="004E0F3A">
        <w:t xml:space="preserve">the respondents who are </w:t>
      </w:r>
      <w:r w:rsidR="00514267">
        <w:t xml:space="preserve">the directors of Skincon </w:t>
      </w:r>
      <w:r w:rsidR="004E0F3A">
        <w:t xml:space="preserve">as they do </w:t>
      </w:r>
      <w:r w:rsidR="00514267">
        <w:t>not resid</w:t>
      </w:r>
      <w:r w:rsidR="004E0F3A">
        <w:t>e</w:t>
      </w:r>
      <w:r w:rsidR="00514267">
        <w:t xml:space="preserve"> in South Africa. </w:t>
      </w:r>
      <w:r w:rsidR="004C3B0E">
        <w:t xml:space="preserve"> </w:t>
      </w:r>
    </w:p>
    <w:p w:rsidR="00466F85" w:rsidRDefault="003B4C3B" w:rsidP="003B4C3B">
      <w:pPr>
        <w:pStyle w:val="JudgmentNumbered"/>
        <w:numPr>
          <w:ilvl w:val="0"/>
          <w:numId w:val="0"/>
        </w:numPr>
        <w:ind w:left="1134" w:hanging="567"/>
      </w:pPr>
      <w:r>
        <w:rPr>
          <w:i/>
        </w:rPr>
        <w:t>Issues for Determination</w:t>
      </w:r>
      <w:r w:rsidR="00D879B5">
        <w:t xml:space="preserve">  </w:t>
      </w:r>
    </w:p>
    <w:p w:rsidR="004147C5" w:rsidRDefault="009E42D6" w:rsidP="009E42D6">
      <w:pPr>
        <w:pStyle w:val="JudgmentNumbered"/>
        <w:numPr>
          <w:ilvl w:val="0"/>
          <w:numId w:val="0"/>
        </w:numPr>
        <w:ind w:left="567" w:hanging="567"/>
      </w:pPr>
      <w:r>
        <w:t>[4]</w:t>
      </w:r>
      <w:r>
        <w:tab/>
      </w:r>
      <w:r w:rsidR="004147C5">
        <w:t xml:space="preserve">The </w:t>
      </w:r>
      <w:r w:rsidR="00CF4B92">
        <w:t xml:space="preserve">parties agreed the </w:t>
      </w:r>
      <w:r w:rsidR="004147C5">
        <w:t>issue</w:t>
      </w:r>
      <w:r w:rsidR="00CF4B92">
        <w:t>s</w:t>
      </w:r>
      <w:r w:rsidR="004147C5">
        <w:t xml:space="preserve"> for determination are whether:</w:t>
      </w:r>
    </w:p>
    <w:p w:rsidR="004147C5" w:rsidRDefault="004147C5" w:rsidP="004147C5">
      <w:pPr>
        <w:pStyle w:val="JudgmentNumbered"/>
        <w:numPr>
          <w:ilvl w:val="1"/>
          <w:numId w:val="4"/>
        </w:numPr>
      </w:pPr>
      <w:r>
        <w:t>The defences proposed by the intervening applicants are vexatious;</w:t>
      </w:r>
    </w:p>
    <w:p w:rsidR="004147C5" w:rsidRDefault="004147C5" w:rsidP="004147C5">
      <w:pPr>
        <w:pStyle w:val="JudgmentNumbered"/>
        <w:numPr>
          <w:ilvl w:val="1"/>
          <w:numId w:val="4"/>
        </w:numPr>
      </w:pPr>
      <w:r>
        <w:t>There is a reasonable prospect that the applicant</w:t>
      </w:r>
      <w:r w:rsidR="005C6E8A">
        <w:t>s</w:t>
      </w:r>
      <w:r>
        <w:t xml:space="preserve"> may not be able to recoup</w:t>
      </w:r>
      <w:r w:rsidR="00CF4B92">
        <w:t xml:space="preserve"> from the </w:t>
      </w:r>
      <w:r>
        <w:t>intervening applicants;</w:t>
      </w:r>
    </w:p>
    <w:p w:rsidR="004147C5" w:rsidRDefault="00043359" w:rsidP="004147C5">
      <w:pPr>
        <w:pStyle w:val="JudgmentNumbered"/>
        <w:numPr>
          <w:ilvl w:val="1"/>
          <w:numId w:val="4"/>
        </w:numPr>
      </w:pPr>
      <w:r>
        <w:t>C</w:t>
      </w:r>
      <w:r w:rsidR="004147C5">
        <w:t xml:space="preserve">onsidering the totality of the circumstances in the matter, the intervening applicant should be required to put up security for costs.     </w:t>
      </w:r>
    </w:p>
    <w:p w:rsidR="002E232D" w:rsidRDefault="009E42D6" w:rsidP="009E42D6">
      <w:pPr>
        <w:pStyle w:val="JudgmentNumbered"/>
        <w:numPr>
          <w:ilvl w:val="0"/>
          <w:numId w:val="0"/>
        </w:numPr>
        <w:ind w:left="567" w:hanging="567"/>
      </w:pPr>
      <w:r>
        <w:t>[5]</w:t>
      </w:r>
      <w:r>
        <w:tab/>
      </w:r>
      <w:r w:rsidR="00633D81">
        <w:t>The applicants</w:t>
      </w:r>
      <w:r w:rsidR="00514267">
        <w:t xml:space="preserve">, SDE and GIS, </w:t>
      </w:r>
      <w:r w:rsidR="00633D81">
        <w:t>bring the application in terms of Rule 47(3) of the Uniform Rules of the High Court. The</w:t>
      </w:r>
      <w:r w:rsidR="00A066D5">
        <w:t>y</w:t>
      </w:r>
      <w:r w:rsidR="00633D81">
        <w:t xml:space="preserve"> seek an order that </w:t>
      </w:r>
      <w:r w:rsidR="00043359">
        <w:t xml:space="preserve">Mr. </w:t>
      </w:r>
      <w:r w:rsidR="00844E86">
        <w:t xml:space="preserve">Steyn and </w:t>
      </w:r>
      <w:r w:rsidR="00043359">
        <w:t xml:space="preserve">Mr. </w:t>
      </w:r>
      <w:r w:rsidR="00844E86">
        <w:t>Freyer</w:t>
      </w:r>
      <w:r w:rsidR="00514267">
        <w:t>,</w:t>
      </w:r>
      <w:r w:rsidR="00043359">
        <w:t xml:space="preserve">(the respondents) </w:t>
      </w:r>
      <w:r w:rsidR="00A066D5">
        <w:t xml:space="preserve"> </w:t>
      </w:r>
      <w:r w:rsidR="00633D81">
        <w:t xml:space="preserve">be ordered to provide security for the costs of </w:t>
      </w:r>
      <w:r w:rsidR="00A066D5">
        <w:t xml:space="preserve">the application to </w:t>
      </w:r>
      <w:r w:rsidR="00633D81">
        <w:t>interven</w:t>
      </w:r>
      <w:r w:rsidR="00A066D5">
        <w:t>e</w:t>
      </w:r>
      <w:r w:rsidR="006125B5">
        <w:t>.</w:t>
      </w:r>
      <w:r w:rsidR="00A066D5">
        <w:t xml:space="preserve"> </w:t>
      </w:r>
      <w:r w:rsidR="00BB1A0B">
        <w:t>There are two grounds proposed for this. The</w:t>
      </w:r>
      <w:r w:rsidR="00844E86">
        <w:t xml:space="preserve"> first </w:t>
      </w:r>
      <w:r w:rsidR="006125B5">
        <w:t xml:space="preserve">ground indicated is that </w:t>
      </w:r>
      <w:r w:rsidR="00844E86">
        <w:t>they</w:t>
      </w:r>
      <w:r w:rsidR="00BB1A0B">
        <w:t xml:space="preserve"> are </w:t>
      </w:r>
      <w:r w:rsidR="00844E86" w:rsidRPr="00844E86">
        <w:rPr>
          <w:i/>
        </w:rPr>
        <w:t>peregrini</w:t>
      </w:r>
      <w:r w:rsidR="00844E86">
        <w:t xml:space="preserve"> before this </w:t>
      </w:r>
      <w:r w:rsidR="00BB1A0B">
        <w:t xml:space="preserve">court and they do not have assets in the country which can serve as security. </w:t>
      </w:r>
      <w:r w:rsidR="00844E86">
        <w:t xml:space="preserve">The second ground is that their intervention application and </w:t>
      </w:r>
      <w:r w:rsidR="00BB1A0B">
        <w:t xml:space="preserve">opposition </w:t>
      </w:r>
      <w:r w:rsidR="006125B5">
        <w:t>to</w:t>
      </w:r>
      <w:r w:rsidR="00844E86">
        <w:t xml:space="preserve"> the inspection application </w:t>
      </w:r>
      <w:r w:rsidR="00BB1A0B">
        <w:t>is vexatious</w:t>
      </w:r>
      <w:r w:rsidR="00844E86">
        <w:t xml:space="preserve"> and amounts to </w:t>
      </w:r>
      <w:r w:rsidR="006125B5">
        <w:t xml:space="preserve">an </w:t>
      </w:r>
      <w:r w:rsidR="00844E86">
        <w:t xml:space="preserve">abuse of the </w:t>
      </w:r>
      <w:r w:rsidR="006125B5">
        <w:t>court’s</w:t>
      </w:r>
      <w:r w:rsidR="00844E86">
        <w:t xml:space="preserve"> process and</w:t>
      </w:r>
      <w:r w:rsidR="002E232D">
        <w:t xml:space="preserve"> has little prospect of success</w:t>
      </w:r>
      <w:r w:rsidR="00BB1A0B">
        <w:t>.</w:t>
      </w:r>
    </w:p>
    <w:p w:rsidR="00124F63" w:rsidRDefault="009E42D6" w:rsidP="009E42D6">
      <w:pPr>
        <w:pStyle w:val="JudgmentNumbered"/>
        <w:numPr>
          <w:ilvl w:val="0"/>
          <w:numId w:val="0"/>
        </w:numPr>
        <w:ind w:left="567" w:hanging="567"/>
      </w:pPr>
      <w:r>
        <w:t>[6]</w:t>
      </w:r>
      <w:r>
        <w:tab/>
      </w:r>
      <w:r w:rsidR="005B3AFC">
        <w:t>Rule 47(3) provides</w:t>
      </w:r>
      <w:r w:rsidR="006125B5">
        <w:t>:</w:t>
      </w:r>
      <w:r w:rsidR="005B3AFC">
        <w:t xml:space="preserve"> “</w:t>
      </w:r>
      <w:r w:rsidR="005B3AFC" w:rsidRPr="005B3AFC">
        <w:rPr>
          <w:i/>
          <w:szCs w:val="24"/>
        </w:rPr>
        <w:t>I</w:t>
      </w:r>
      <w:r w:rsidR="005B3AFC" w:rsidRPr="005B3AFC">
        <w:rPr>
          <w:i/>
          <w:color w:val="000000"/>
          <w:szCs w:val="24"/>
          <w:shd w:val="clear" w:color="auto" w:fill="FFFFFF"/>
        </w:rPr>
        <w:t xml:space="preserve">f the party from whom security is demanded contests his liability to give security or if he fails or refuses to furnish security in the amount </w:t>
      </w:r>
      <w:r w:rsidR="005B3AFC" w:rsidRPr="005B3AFC">
        <w:rPr>
          <w:i/>
          <w:color w:val="000000"/>
          <w:szCs w:val="24"/>
          <w:shd w:val="clear" w:color="auto" w:fill="FFFFFF"/>
        </w:rPr>
        <w:lastRenderedPageBreak/>
        <w:t>demanded or the amount fixed by the registrar within ten days of the demand or the registrar’s decision, the other party may apply to court on notice for an order that such security be given and that the proceedings be stayed until such order is complied with</w:t>
      </w:r>
      <w:r w:rsidR="005B3AFC">
        <w:t xml:space="preserve">”. The respondents </w:t>
      </w:r>
      <w:r w:rsidR="001C2C86">
        <w:t xml:space="preserve">refused to furnish security and </w:t>
      </w:r>
      <w:r w:rsidR="00BC03F9">
        <w:t xml:space="preserve">opposed the application. </w:t>
      </w:r>
    </w:p>
    <w:p w:rsidR="006A311D" w:rsidRDefault="009E42D6" w:rsidP="009E42D6">
      <w:pPr>
        <w:pStyle w:val="JudgmentNumbered"/>
        <w:numPr>
          <w:ilvl w:val="0"/>
          <w:numId w:val="0"/>
        </w:numPr>
        <w:ind w:left="567" w:hanging="567"/>
      </w:pPr>
      <w:r>
        <w:t>[7]</w:t>
      </w:r>
      <w:r>
        <w:tab/>
      </w:r>
      <w:r w:rsidR="00124F63">
        <w:t>Rule 47.14</w:t>
      </w:r>
      <w:r w:rsidR="00F41D6F">
        <w:rPr>
          <w:rStyle w:val="FootnoteReference"/>
        </w:rPr>
        <w:footnoteReference w:id="1"/>
      </w:r>
      <w:r w:rsidR="00124F63">
        <w:t xml:space="preserve"> provides</w:t>
      </w:r>
      <w:r w:rsidR="00503619">
        <w:t xml:space="preserve"> that peregrine plaintiffs or applicants are obliged to provide security </w:t>
      </w:r>
      <w:r w:rsidR="001C2C86">
        <w:t xml:space="preserve">for </w:t>
      </w:r>
      <w:r w:rsidR="00503619">
        <w:t>costs for litigation</w:t>
      </w:r>
      <w:r w:rsidR="008F6BB6">
        <w:t xml:space="preserve"> they are pursuing. </w:t>
      </w:r>
      <w:r w:rsidR="00503619">
        <w:t>Incolae do not have this obligation</w:t>
      </w:r>
      <w:r w:rsidR="008F6BB6">
        <w:t xml:space="preserve"> </w:t>
      </w:r>
      <w:r w:rsidR="00A6383E">
        <w:t>although</w:t>
      </w:r>
      <w:r w:rsidR="008F6BB6">
        <w:t xml:space="preserve"> this is not always the position. The rule is ultimately aimed at protecting incola </w:t>
      </w:r>
      <w:r w:rsidR="00043359">
        <w:t>litigants.</w:t>
      </w:r>
      <w:r w:rsidR="00604A39">
        <w:t xml:space="preserve"> </w:t>
      </w:r>
      <w:r w:rsidR="008F6BB6">
        <w:t>The court determines whether security should</w:t>
      </w:r>
      <w:r w:rsidR="004922BF">
        <w:t xml:space="preserve"> </w:t>
      </w:r>
      <w:r w:rsidR="006125B5">
        <w:t xml:space="preserve">be </w:t>
      </w:r>
      <w:r w:rsidR="008F6BB6">
        <w:t>incur</w:t>
      </w:r>
      <w:r w:rsidR="006125B5">
        <w:t>red</w:t>
      </w:r>
      <w:r w:rsidR="008F6BB6">
        <w:t xml:space="preserve"> in a case or not. The</w:t>
      </w:r>
      <w:r w:rsidR="00043359">
        <w:t xml:space="preserve"> court making the </w:t>
      </w:r>
      <w:r w:rsidR="008F6BB6">
        <w:t xml:space="preserve">determination </w:t>
      </w:r>
      <w:r w:rsidR="00043359">
        <w:t xml:space="preserve">has </w:t>
      </w:r>
      <w:r w:rsidR="008F6BB6">
        <w:t xml:space="preserve">regard to the residential </w:t>
      </w:r>
      <w:r w:rsidR="00043359">
        <w:t>circumstances</w:t>
      </w:r>
      <w:r w:rsidR="008F6BB6">
        <w:t xml:space="preserve"> or domicile of the foreigner</w:t>
      </w:r>
      <w:r w:rsidR="00043359">
        <w:t xml:space="preserve"> and</w:t>
      </w:r>
      <w:r w:rsidR="008F6BB6">
        <w:t xml:space="preserve"> </w:t>
      </w:r>
      <w:r w:rsidR="00F17C09">
        <w:t>whether</w:t>
      </w:r>
      <w:r w:rsidR="008F6BB6">
        <w:t xml:space="preserve"> there is </w:t>
      </w:r>
      <w:r w:rsidR="004922BF">
        <w:t xml:space="preserve">a </w:t>
      </w:r>
      <w:r w:rsidR="008F6BB6">
        <w:t>fixed address</w:t>
      </w:r>
      <w:r w:rsidR="004922BF">
        <w:t xml:space="preserve">. A </w:t>
      </w:r>
      <w:r w:rsidR="00043359">
        <w:t xml:space="preserve"> foreign litigant </w:t>
      </w:r>
      <w:r w:rsidR="004922BF">
        <w:t>without a fixed address and country of domicile poses more of a risk and an order for security becomes more appropriate</w:t>
      </w:r>
      <w:r w:rsidR="00043359">
        <w:t xml:space="preserve"> under those circumstances</w:t>
      </w:r>
      <w:r w:rsidR="004922BF">
        <w:t>.</w:t>
      </w:r>
      <w:r w:rsidR="004407FC">
        <w:rPr>
          <w:rStyle w:val="FootnoteReference"/>
        </w:rPr>
        <w:footnoteReference w:id="2"/>
      </w:r>
      <w:r w:rsidR="00E45283">
        <w:t xml:space="preserve"> </w:t>
      </w:r>
    </w:p>
    <w:p w:rsidR="001E23D9" w:rsidRDefault="009E42D6" w:rsidP="009E42D6">
      <w:pPr>
        <w:pStyle w:val="JudgmentNumbered"/>
        <w:numPr>
          <w:ilvl w:val="0"/>
          <w:numId w:val="0"/>
        </w:numPr>
        <w:ind w:left="567" w:hanging="567"/>
      </w:pPr>
      <w:r>
        <w:t>[8]</w:t>
      </w:r>
      <w:r>
        <w:tab/>
      </w:r>
      <w:r w:rsidR="004922BF">
        <w:t xml:space="preserve">Counsel for the applicant </w:t>
      </w:r>
      <w:r w:rsidR="004407FC">
        <w:t xml:space="preserve">submitted </w:t>
      </w:r>
      <w:r w:rsidR="004922BF">
        <w:t xml:space="preserve">that the court should consider </w:t>
      </w:r>
      <w:r w:rsidR="004407FC">
        <w:t>the respondent</w:t>
      </w:r>
      <w:r w:rsidR="00DF42A0">
        <w:t xml:space="preserve">’s </w:t>
      </w:r>
      <w:r w:rsidR="004407FC">
        <w:t xml:space="preserve">indication </w:t>
      </w:r>
      <w:r w:rsidR="00DF42A0">
        <w:t xml:space="preserve">that they have the means </w:t>
      </w:r>
      <w:r w:rsidR="008C49A2">
        <w:t xml:space="preserve">to pay </w:t>
      </w:r>
      <w:r w:rsidR="00123414">
        <w:t>for a</w:t>
      </w:r>
      <w:r w:rsidR="00DF42A0">
        <w:t xml:space="preserve"> costs order if they are unsuccessful in the intervention application</w:t>
      </w:r>
      <w:r w:rsidR="004922BF">
        <w:t xml:space="preserve">. </w:t>
      </w:r>
      <w:r w:rsidR="004407FC">
        <w:t>He continued that t</w:t>
      </w:r>
      <w:r w:rsidR="004922BF">
        <w:t>h</w:t>
      </w:r>
      <w:r w:rsidR="00BE1682">
        <w:t xml:space="preserve">ey are at this point applicants in the intervention application and not yet respondents in the liquidation. It is thus crucial to ensure </w:t>
      </w:r>
      <w:r w:rsidR="004407FC">
        <w:t xml:space="preserve">their </w:t>
      </w:r>
      <w:r w:rsidR="00BE1682">
        <w:t>accountability</w:t>
      </w:r>
      <w:r w:rsidR="00435374">
        <w:t xml:space="preserve"> </w:t>
      </w:r>
      <w:r w:rsidR="00D0074C">
        <w:t xml:space="preserve">as </w:t>
      </w:r>
      <w:r w:rsidR="00BE1682" w:rsidRPr="000D7F4B">
        <w:rPr>
          <w:i/>
        </w:rPr>
        <w:t>peregrine</w:t>
      </w:r>
      <w:r w:rsidR="00BE1682">
        <w:t xml:space="preserve"> litigants</w:t>
      </w:r>
      <w:r w:rsidR="00BA0F98">
        <w:t>,</w:t>
      </w:r>
      <w:r w:rsidR="00D0074C">
        <w:t xml:space="preserve"> especially as they</w:t>
      </w:r>
      <w:r w:rsidR="00BE1682">
        <w:t xml:space="preserve"> of their own admission indicate they can afford the costs if it is ordered</w:t>
      </w:r>
      <w:r w:rsidR="001C2C86">
        <w:t xml:space="preserve"> to do so</w:t>
      </w:r>
      <w:r w:rsidR="001E23D9">
        <w:t xml:space="preserve">. Thus counsel submitted it would not be an inconvenience </w:t>
      </w:r>
      <w:r w:rsidR="00BA0F98">
        <w:t xml:space="preserve">for them to be ordered to put up security </w:t>
      </w:r>
      <w:r w:rsidR="001E23D9">
        <w:t>and they would not be non-suited if they were ordered to pay security</w:t>
      </w:r>
      <w:r w:rsidR="00345D71">
        <w:t xml:space="preserve"> for costs</w:t>
      </w:r>
      <w:r w:rsidR="001E23D9">
        <w:t xml:space="preserve">. </w:t>
      </w:r>
      <w:r w:rsidR="00345D71">
        <w:t>I</w:t>
      </w:r>
      <w:r w:rsidR="006A311D">
        <w:t>t will place them in no worse a position if they are ordered to pay security for costs, however, if there was no</w:t>
      </w:r>
      <w:r w:rsidR="00457525">
        <w:t xml:space="preserve"> order</w:t>
      </w:r>
      <w:r w:rsidR="006A311D">
        <w:t xml:space="preserve"> that they pay security for costs, SDE and GIS will have great difficulty in recovering </w:t>
      </w:r>
      <w:r w:rsidR="00BA0F98">
        <w:t xml:space="preserve">costs if a costs order were made against </w:t>
      </w:r>
      <w:r w:rsidR="001C2C86">
        <w:t xml:space="preserve">the respondents </w:t>
      </w:r>
      <w:r w:rsidR="00BA0F98">
        <w:t xml:space="preserve">and they had </w:t>
      </w:r>
      <w:r w:rsidR="006A311D">
        <w:t>to pursue the</w:t>
      </w:r>
      <w:r w:rsidR="00BA0F98">
        <w:t xml:space="preserve"> respondents </w:t>
      </w:r>
      <w:r w:rsidR="006A311D">
        <w:t>abroad. This is especially as they are in a precarious position financially having no</w:t>
      </w:r>
      <w:r w:rsidR="00457525">
        <w:t xml:space="preserve">t received payment from Skincon, </w:t>
      </w:r>
      <w:r w:rsidR="00BA0F98">
        <w:t xml:space="preserve">and </w:t>
      </w:r>
      <w:r w:rsidR="001C2C86">
        <w:t xml:space="preserve">one of them </w:t>
      </w:r>
      <w:r w:rsidR="00BA0F98">
        <w:t xml:space="preserve">are in business rescue at present. </w:t>
      </w:r>
    </w:p>
    <w:p w:rsidR="00B11636" w:rsidRPr="005E70ED" w:rsidRDefault="009E42D6" w:rsidP="009E42D6">
      <w:pPr>
        <w:pStyle w:val="JudgmentNumbered"/>
        <w:numPr>
          <w:ilvl w:val="0"/>
          <w:numId w:val="0"/>
        </w:numPr>
        <w:shd w:val="clear" w:color="auto" w:fill="FFFFFF"/>
        <w:spacing w:before="180" w:after="0"/>
        <w:ind w:left="567" w:hanging="567"/>
        <w:rPr>
          <w:color w:val="000000"/>
          <w:sz w:val="22"/>
        </w:rPr>
      </w:pPr>
      <w:r>
        <w:lastRenderedPageBreak/>
        <w:t>[9]</w:t>
      </w:r>
      <w:r>
        <w:tab/>
      </w:r>
      <w:r w:rsidR="001E23D9">
        <w:t>Moreover,</w:t>
      </w:r>
      <w:r w:rsidR="00345D71">
        <w:t xml:space="preserve"> counsel</w:t>
      </w:r>
      <w:r w:rsidR="00BE21E8">
        <w:t xml:space="preserve"> for the applicant,</w:t>
      </w:r>
      <w:r w:rsidR="001E23D9">
        <w:t xml:space="preserve"> submitted it was appropriate for this court to do so considering that </w:t>
      </w:r>
      <w:r w:rsidR="00244112">
        <w:t>t</w:t>
      </w:r>
      <w:r w:rsidR="001E23D9">
        <w:t>he</w:t>
      </w:r>
      <w:r w:rsidR="00345D71">
        <w:t xml:space="preserve"> </w:t>
      </w:r>
      <w:r w:rsidR="00BA0F98">
        <w:t>respondents/</w:t>
      </w:r>
      <w:r w:rsidR="00345D71">
        <w:t xml:space="preserve">applicants seeking to intervene </w:t>
      </w:r>
      <w:r w:rsidR="001E23D9">
        <w:t>do not own any assets in South Africa. The</w:t>
      </w:r>
      <w:r w:rsidR="00244112">
        <w:t xml:space="preserve">y </w:t>
      </w:r>
      <w:r w:rsidR="00BA0F98">
        <w:t xml:space="preserve">are </w:t>
      </w:r>
      <w:r w:rsidR="00244112">
        <w:t>the directors of Skincon and their</w:t>
      </w:r>
      <w:r w:rsidR="001E23D9">
        <w:t xml:space="preserve"> company has been liquidated.  </w:t>
      </w:r>
      <w:r w:rsidR="00244112">
        <w:t>Their attempt to intervene</w:t>
      </w:r>
      <w:r w:rsidR="00BA0F98">
        <w:t xml:space="preserve">, </w:t>
      </w:r>
      <w:r w:rsidR="00435374">
        <w:t xml:space="preserve">it was </w:t>
      </w:r>
      <w:r w:rsidR="00345D71">
        <w:t xml:space="preserve">submitted was vexatious and was an attempt </w:t>
      </w:r>
      <w:r w:rsidR="00244112">
        <w:t xml:space="preserve">to withhold information from creditors. </w:t>
      </w:r>
      <w:r w:rsidR="006A311D">
        <w:t>Th</w:t>
      </w:r>
      <w:r w:rsidR="000D0B13">
        <w:t xml:space="preserve">is they would accomplish by </w:t>
      </w:r>
      <w:r w:rsidR="00815C47">
        <w:t>step</w:t>
      </w:r>
      <w:r w:rsidR="000D0B13">
        <w:t>ping</w:t>
      </w:r>
      <w:r w:rsidR="00815C47">
        <w:t xml:space="preserve"> into the shoes of the liquidators</w:t>
      </w:r>
      <w:r w:rsidR="00BA0F98">
        <w:t xml:space="preserve">, </w:t>
      </w:r>
      <w:r w:rsidR="00815C47">
        <w:t>to prevent creditors from inspecting documents.</w:t>
      </w:r>
      <w:r w:rsidR="00457525">
        <w:t xml:space="preserve"> </w:t>
      </w:r>
      <w:r w:rsidR="00E56C14">
        <w:t xml:space="preserve">Moreover, </w:t>
      </w:r>
      <w:r w:rsidR="000D0B13">
        <w:t xml:space="preserve">Counsel argued that they </w:t>
      </w:r>
      <w:r w:rsidR="00457525">
        <w:t xml:space="preserve">have not put up a </w:t>
      </w:r>
      <w:r w:rsidR="00BE21E8">
        <w:t xml:space="preserve">viable </w:t>
      </w:r>
      <w:r w:rsidR="00457525">
        <w:t xml:space="preserve">defence to the intervention application. </w:t>
      </w:r>
      <w:r w:rsidR="000D0B13">
        <w:t>If they are successful in keeping the creditors from inspecting</w:t>
      </w:r>
      <w:r w:rsidR="00A94ADC">
        <w:t xml:space="preserve"> the books,</w:t>
      </w:r>
      <w:r w:rsidR="000D0B13">
        <w:t xml:space="preserve"> the injustice will be palpable and take the matter no closer to resolving the </w:t>
      </w:r>
      <w:r w:rsidR="00A94ADC">
        <w:t>issues and tracking where the funds</w:t>
      </w:r>
      <w:r w:rsidR="00BE21E8">
        <w:t xml:space="preserve"> </w:t>
      </w:r>
      <w:r w:rsidR="00E56C14">
        <w:t xml:space="preserve">went to </w:t>
      </w:r>
      <w:r w:rsidR="00BE21E8">
        <w:t>in order to pay</w:t>
      </w:r>
      <w:r w:rsidR="000D0B13">
        <w:t xml:space="preserve"> the creditors and contractors who completed work on the project. </w:t>
      </w:r>
      <w:r w:rsidR="00577D4D">
        <w:t xml:space="preserve">Counsel pointed out that </w:t>
      </w:r>
      <w:r w:rsidR="00577D4D" w:rsidRPr="00E56C14">
        <w:t>this</w:t>
      </w:r>
      <w:r w:rsidR="00577D4D" w:rsidRPr="00CF3A31">
        <w:rPr>
          <w:color w:val="FF0000"/>
        </w:rPr>
        <w:t xml:space="preserve"> </w:t>
      </w:r>
      <w:r w:rsidR="00577D4D">
        <w:t xml:space="preserve">court should consider the </w:t>
      </w:r>
      <w:r w:rsidR="00DF50BA" w:rsidRPr="00577D4D">
        <w:rPr>
          <w:color w:val="000000"/>
          <w:szCs w:val="24"/>
        </w:rPr>
        <w:t xml:space="preserve">merits of the main proceedings only to the extent that the claim or the defence </w:t>
      </w:r>
      <w:r w:rsidR="00577D4D" w:rsidRPr="00577D4D">
        <w:rPr>
          <w:color w:val="000000"/>
          <w:szCs w:val="24"/>
        </w:rPr>
        <w:t>is</w:t>
      </w:r>
      <w:r w:rsidR="00BE21E8">
        <w:rPr>
          <w:color w:val="000000"/>
          <w:szCs w:val="24"/>
        </w:rPr>
        <w:t xml:space="preserve"> </w:t>
      </w:r>
      <w:r w:rsidR="00DF50BA" w:rsidRPr="00577D4D">
        <w:rPr>
          <w:i/>
          <w:iCs/>
          <w:color w:val="000000"/>
          <w:szCs w:val="24"/>
        </w:rPr>
        <w:t>bona fide</w:t>
      </w:r>
      <w:r w:rsidR="00577D4D" w:rsidRPr="00577D4D">
        <w:rPr>
          <w:i/>
          <w:iCs/>
          <w:color w:val="000000"/>
          <w:szCs w:val="24"/>
        </w:rPr>
        <w:t xml:space="preserve">. </w:t>
      </w:r>
      <w:r w:rsidR="00577D4D" w:rsidRPr="00577D4D">
        <w:rPr>
          <w:iCs/>
          <w:color w:val="000000"/>
          <w:szCs w:val="24"/>
        </w:rPr>
        <w:t>In the present matter</w:t>
      </w:r>
      <w:r w:rsidR="00BE21E8">
        <w:rPr>
          <w:iCs/>
          <w:color w:val="000000"/>
          <w:szCs w:val="24"/>
        </w:rPr>
        <w:t>,</w:t>
      </w:r>
      <w:r w:rsidR="00577D4D" w:rsidRPr="00577D4D">
        <w:rPr>
          <w:iCs/>
          <w:color w:val="000000"/>
          <w:szCs w:val="24"/>
        </w:rPr>
        <w:t xml:space="preserve"> </w:t>
      </w:r>
      <w:r w:rsidR="00BE21E8">
        <w:rPr>
          <w:iCs/>
          <w:color w:val="000000"/>
          <w:szCs w:val="24"/>
        </w:rPr>
        <w:t xml:space="preserve">counsel </w:t>
      </w:r>
      <w:r w:rsidR="00577D4D" w:rsidRPr="00577D4D">
        <w:rPr>
          <w:iCs/>
          <w:color w:val="000000"/>
          <w:szCs w:val="24"/>
        </w:rPr>
        <w:t xml:space="preserve">argued that </w:t>
      </w:r>
      <w:r w:rsidR="00A94ADC">
        <w:rPr>
          <w:iCs/>
          <w:color w:val="000000"/>
          <w:szCs w:val="24"/>
        </w:rPr>
        <w:t xml:space="preserve">if </w:t>
      </w:r>
      <w:r w:rsidR="00577D4D" w:rsidRPr="00577D4D">
        <w:rPr>
          <w:iCs/>
          <w:color w:val="000000"/>
          <w:szCs w:val="24"/>
        </w:rPr>
        <w:t xml:space="preserve">the directors were </w:t>
      </w:r>
      <w:r w:rsidR="00BE21E8">
        <w:rPr>
          <w:iCs/>
          <w:color w:val="000000"/>
          <w:szCs w:val="24"/>
        </w:rPr>
        <w:t xml:space="preserve">transparent and were </w:t>
      </w:r>
      <w:r w:rsidR="00577D4D" w:rsidRPr="00577D4D">
        <w:rPr>
          <w:iCs/>
          <w:color w:val="000000"/>
          <w:szCs w:val="24"/>
        </w:rPr>
        <w:t>not hiding information,</w:t>
      </w:r>
      <w:r w:rsidR="00A94ADC">
        <w:rPr>
          <w:iCs/>
          <w:color w:val="000000"/>
          <w:szCs w:val="24"/>
        </w:rPr>
        <w:t xml:space="preserve"> it </w:t>
      </w:r>
      <w:r w:rsidR="00BE21E8">
        <w:rPr>
          <w:iCs/>
          <w:color w:val="000000"/>
          <w:szCs w:val="24"/>
        </w:rPr>
        <w:t xml:space="preserve">was not </w:t>
      </w:r>
      <w:r w:rsidR="00A94ADC">
        <w:rPr>
          <w:iCs/>
          <w:color w:val="000000"/>
          <w:szCs w:val="24"/>
        </w:rPr>
        <w:t>necessary to bring the application to inspect</w:t>
      </w:r>
      <w:r w:rsidR="00BE21E8">
        <w:rPr>
          <w:iCs/>
          <w:color w:val="000000"/>
          <w:szCs w:val="24"/>
        </w:rPr>
        <w:t xml:space="preserve">. </w:t>
      </w:r>
      <w:r w:rsidR="00A94ADC">
        <w:rPr>
          <w:iCs/>
          <w:color w:val="000000"/>
          <w:szCs w:val="24"/>
        </w:rPr>
        <w:t>It was evident</w:t>
      </w:r>
      <w:r w:rsidR="00BE21E8">
        <w:rPr>
          <w:iCs/>
          <w:color w:val="000000"/>
          <w:szCs w:val="24"/>
        </w:rPr>
        <w:t xml:space="preserve">, counsel submitted </w:t>
      </w:r>
      <w:r w:rsidR="00A94ADC">
        <w:rPr>
          <w:iCs/>
          <w:color w:val="000000"/>
          <w:szCs w:val="24"/>
        </w:rPr>
        <w:t xml:space="preserve">that </w:t>
      </w:r>
      <w:r w:rsidR="00577D4D" w:rsidRPr="00577D4D">
        <w:rPr>
          <w:iCs/>
          <w:color w:val="000000"/>
          <w:szCs w:val="24"/>
        </w:rPr>
        <w:t>their conduct is vexatious</w:t>
      </w:r>
      <w:r w:rsidR="00A94ADC">
        <w:rPr>
          <w:iCs/>
          <w:color w:val="000000"/>
          <w:szCs w:val="24"/>
        </w:rPr>
        <w:t xml:space="preserve"> where their defences were not known</w:t>
      </w:r>
      <w:r w:rsidR="00577D4D" w:rsidRPr="00577D4D">
        <w:rPr>
          <w:iCs/>
          <w:color w:val="000000"/>
          <w:szCs w:val="24"/>
        </w:rPr>
        <w:t xml:space="preserve">. </w:t>
      </w:r>
      <w:r w:rsidR="00BE21E8">
        <w:rPr>
          <w:iCs/>
          <w:color w:val="000000"/>
          <w:szCs w:val="24"/>
        </w:rPr>
        <w:t xml:space="preserve">He referred to </w:t>
      </w:r>
      <w:r w:rsidR="005E70ED" w:rsidRPr="00FC1509">
        <w:rPr>
          <w:i/>
          <w:iCs/>
          <w:color w:val="000000"/>
          <w:szCs w:val="24"/>
        </w:rPr>
        <w:t>Zietsman v Electronic Media and Others</w:t>
      </w:r>
      <w:r w:rsidR="00FC1509">
        <w:rPr>
          <w:rStyle w:val="FootnoteReference"/>
          <w:i/>
          <w:iCs/>
          <w:color w:val="000000"/>
          <w:szCs w:val="24"/>
        </w:rPr>
        <w:footnoteReference w:id="3"/>
      </w:r>
      <w:r w:rsidR="005E70ED">
        <w:rPr>
          <w:iCs/>
          <w:color w:val="000000"/>
          <w:szCs w:val="24"/>
        </w:rPr>
        <w:t>,</w:t>
      </w:r>
      <w:r w:rsidR="00BE21E8">
        <w:rPr>
          <w:iCs/>
          <w:color w:val="000000"/>
          <w:szCs w:val="24"/>
        </w:rPr>
        <w:t xml:space="preserve"> where </w:t>
      </w:r>
      <w:r w:rsidR="005E70ED">
        <w:rPr>
          <w:iCs/>
          <w:color w:val="000000"/>
          <w:szCs w:val="24"/>
        </w:rPr>
        <w:t xml:space="preserve"> the Court  held</w:t>
      </w:r>
      <w:r w:rsidR="00BE21E8">
        <w:rPr>
          <w:iCs/>
          <w:color w:val="000000"/>
          <w:szCs w:val="24"/>
        </w:rPr>
        <w:t>:</w:t>
      </w:r>
      <w:r w:rsidR="005E70ED">
        <w:rPr>
          <w:iCs/>
          <w:color w:val="000000"/>
          <w:szCs w:val="24"/>
        </w:rPr>
        <w:t xml:space="preserve"> </w:t>
      </w:r>
    </w:p>
    <w:p w:rsidR="009E42D6" w:rsidRDefault="005E70ED" w:rsidP="009E42D6">
      <w:pPr>
        <w:pStyle w:val="JudgmentNumbered"/>
        <w:numPr>
          <w:ilvl w:val="0"/>
          <w:numId w:val="0"/>
        </w:numPr>
        <w:ind w:left="1440"/>
      </w:pPr>
      <w:r>
        <w:t>“</w:t>
      </w:r>
      <w:r w:rsidRPr="00FC1509">
        <w:rPr>
          <w:sz w:val="22"/>
        </w:rPr>
        <w:t>In deciding whether the appeal should be upheld, the Court was influenced largely by the fact that the respondents had not disclosed a defence. It deemed it unreasonable to order a plaintiff incola to provide security for the costs of an action instituted by him, at the behest of a defendant who may not even have a defence worthy of consideration.”</w:t>
      </w:r>
      <w:r>
        <w:t xml:space="preserve"> </w:t>
      </w:r>
    </w:p>
    <w:p w:rsidR="00B6117A" w:rsidRDefault="009E42D6" w:rsidP="009E42D6">
      <w:pPr>
        <w:pStyle w:val="JudgmentNumbered"/>
        <w:numPr>
          <w:ilvl w:val="0"/>
          <w:numId w:val="0"/>
        </w:numPr>
        <w:ind w:left="567" w:hanging="567"/>
      </w:pPr>
      <w:r>
        <w:t>[10]</w:t>
      </w:r>
      <w:r>
        <w:tab/>
      </w:r>
      <w:r w:rsidR="00136BD2">
        <w:t>Counsel compared th</w:t>
      </w:r>
      <w:r w:rsidR="00E56C14">
        <w:t xml:space="preserve">is </w:t>
      </w:r>
      <w:r w:rsidR="00136BD2">
        <w:t xml:space="preserve">application to the facts in </w:t>
      </w:r>
      <w:r w:rsidR="00A94ADC" w:rsidRPr="00B6117A">
        <w:rPr>
          <w:i/>
        </w:rPr>
        <w:t>Lurco Group South Africa (Pty) Limited v Knoop NO and Others (Oakbay Investments (Pty) Ltd Intervening)</w:t>
      </w:r>
      <w:r w:rsidR="00A94ADC">
        <w:t xml:space="preserve"> (38647/2019) [2020] ZAGPJHC 74 (5 March 2020)</w:t>
      </w:r>
      <w:r w:rsidR="00B6117A">
        <w:t xml:space="preserve">, </w:t>
      </w:r>
      <w:r w:rsidR="00136BD2">
        <w:t xml:space="preserve">and submitted that </w:t>
      </w:r>
      <w:r>
        <w:t>similarly</w:t>
      </w:r>
      <w:r w:rsidR="00136BD2">
        <w:t xml:space="preserve"> </w:t>
      </w:r>
      <w:r w:rsidR="00136BD2" w:rsidRPr="00E56C14">
        <w:t>a</w:t>
      </w:r>
      <w:r w:rsidR="00136BD2" w:rsidRPr="00CF3A31">
        <w:rPr>
          <w:color w:val="FF0000"/>
        </w:rPr>
        <w:t xml:space="preserve"> </w:t>
      </w:r>
      <w:r w:rsidR="00136BD2">
        <w:t xml:space="preserve">foreign </w:t>
      </w:r>
      <w:r w:rsidR="00B6117A">
        <w:t>company sought to intervene in proceedings</w:t>
      </w:r>
      <w:r w:rsidR="00136BD2">
        <w:t xml:space="preserve"> where they had </w:t>
      </w:r>
      <w:r w:rsidR="00B6117A">
        <w:t xml:space="preserve">departed from the country and </w:t>
      </w:r>
      <w:r w:rsidR="00136BD2">
        <w:t xml:space="preserve">were </w:t>
      </w:r>
      <w:r w:rsidR="00B6117A">
        <w:t>not residing in South Africa. The court</w:t>
      </w:r>
      <w:r w:rsidR="00136BD2">
        <w:t xml:space="preserve"> in that matter </w:t>
      </w:r>
      <w:r>
        <w:t>ordered that</w:t>
      </w:r>
      <w:r w:rsidR="00136BD2">
        <w:t xml:space="preserve"> the foreign intervening party </w:t>
      </w:r>
      <w:r w:rsidR="00B6117A">
        <w:t>pay R500 000 as security for cost</w:t>
      </w:r>
      <w:r w:rsidR="00E56C14">
        <w:t>s</w:t>
      </w:r>
      <w:r w:rsidR="00B6117A">
        <w:t xml:space="preserve"> of the business rescue practitioners. The courts view is encapsulated as follows: </w:t>
      </w:r>
    </w:p>
    <w:p w:rsidR="00B6117A" w:rsidRPr="00B6117A" w:rsidRDefault="00B6117A" w:rsidP="00E64C78">
      <w:pPr>
        <w:pStyle w:val="JudgmentNumbered"/>
        <w:numPr>
          <w:ilvl w:val="0"/>
          <w:numId w:val="0"/>
        </w:numPr>
        <w:ind w:left="1440" w:firstLine="70"/>
        <w:rPr>
          <w:sz w:val="22"/>
        </w:rPr>
      </w:pPr>
      <w:r>
        <w:lastRenderedPageBreak/>
        <w:t>“</w:t>
      </w:r>
      <w:r w:rsidRPr="00B6117A">
        <w:rPr>
          <w:sz w:val="22"/>
        </w:rPr>
        <w:t>It follows that the court has to weigh up the injustice caused to the defendant if no security for cost order is made, against the possible injustice that the plaintiff would suffer if he is prevented from instituting a claim based on a security for costs order. The court must have regard to the nature of the claim, the financial status of the incola and the incola's probable financial status, should it fail in the matter. The applicant for security for costs must also satisfy the court that the main action is vexatious, reckless or otherwise amounts to abuse</w:t>
      </w:r>
      <w:r w:rsidR="00E64C78">
        <w:rPr>
          <w:sz w:val="22"/>
        </w:rPr>
        <w:t>”</w:t>
      </w:r>
    </w:p>
    <w:p w:rsidR="006C7699" w:rsidRDefault="009E42D6" w:rsidP="009E42D6">
      <w:pPr>
        <w:pStyle w:val="JudgmentNumbered"/>
        <w:numPr>
          <w:ilvl w:val="0"/>
          <w:numId w:val="0"/>
        </w:numPr>
        <w:ind w:left="567" w:hanging="567"/>
      </w:pPr>
      <w:r>
        <w:t>[11]</w:t>
      </w:r>
      <w:r>
        <w:tab/>
      </w:r>
      <w:r w:rsidR="00136BD2">
        <w:t xml:space="preserve">Thus </w:t>
      </w:r>
      <w:r w:rsidR="00435374">
        <w:t>it was argued that the</w:t>
      </w:r>
      <w:r w:rsidR="00136BD2">
        <w:t xml:space="preserve"> respondents as </w:t>
      </w:r>
      <w:r w:rsidR="00136BD2" w:rsidRPr="00CF3A31">
        <w:rPr>
          <w:i/>
        </w:rPr>
        <w:t>peregrinus</w:t>
      </w:r>
      <w:r w:rsidR="00136BD2">
        <w:t xml:space="preserve"> who live in Australia</w:t>
      </w:r>
      <w:r w:rsidR="006C7699">
        <w:t xml:space="preserve"> and </w:t>
      </w:r>
      <w:r w:rsidR="00435374">
        <w:t xml:space="preserve">admit they </w:t>
      </w:r>
      <w:r w:rsidR="006C7699">
        <w:t>have means to pay</w:t>
      </w:r>
      <w:r w:rsidR="00435374">
        <w:t>, should pay</w:t>
      </w:r>
      <w:r w:rsidR="006C7699">
        <w:t xml:space="preserve">. </w:t>
      </w:r>
      <w:r w:rsidR="00136BD2">
        <w:t xml:space="preserve"> </w:t>
      </w:r>
      <w:r w:rsidR="006A311D" w:rsidRPr="004922BF">
        <w:t xml:space="preserve">In the present matter there is no cooperation from </w:t>
      </w:r>
      <w:r w:rsidR="006C7699">
        <w:t xml:space="preserve">the respondents </w:t>
      </w:r>
      <w:r w:rsidR="006A311D" w:rsidRPr="004922BF">
        <w:t>in resolving issues with their partners in the consortium and their attorneys have not been of assistance in this re</w:t>
      </w:r>
      <w:r w:rsidR="00E56C14">
        <w:t>gard either. They have</w:t>
      </w:r>
      <w:r w:rsidR="006A311D" w:rsidRPr="004922BF">
        <w:t xml:space="preserve"> not indicated their impecuniosity and they have the financial ability to pay a cost order if they fail in the intervention application</w:t>
      </w:r>
      <w:r w:rsidR="006C7699">
        <w:t>.</w:t>
      </w:r>
    </w:p>
    <w:p w:rsidR="009C618C" w:rsidRDefault="009E42D6" w:rsidP="009E42D6">
      <w:pPr>
        <w:pStyle w:val="JudgmentNumbered"/>
        <w:numPr>
          <w:ilvl w:val="0"/>
          <w:numId w:val="0"/>
        </w:numPr>
        <w:ind w:left="567" w:hanging="567"/>
      </w:pPr>
      <w:r>
        <w:t>[12]</w:t>
      </w:r>
      <w:r>
        <w:tab/>
      </w:r>
      <w:r w:rsidR="006A2800">
        <w:t xml:space="preserve">Counsel for the respondent submitted that this court should consider the </w:t>
      </w:r>
      <w:r w:rsidR="007E6E54">
        <w:t>purpose</w:t>
      </w:r>
      <w:r w:rsidR="006A2800">
        <w:t xml:space="preserve"> behind the main application</w:t>
      </w:r>
      <w:r w:rsidR="00435374">
        <w:t xml:space="preserve"> before ordering the respondent to pay security for costs</w:t>
      </w:r>
      <w:r w:rsidR="006A2800">
        <w:t>. Having regard to the main application and the reply, it is evident in the main application</w:t>
      </w:r>
      <w:r w:rsidR="006A2800">
        <w:rPr>
          <w:rStyle w:val="FootnoteReference"/>
        </w:rPr>
        <w:footnoteReference w:id="4"/>
      </w:r>
      <w:r w:rsidR="006A2800">
        <w:t xml:space="preserve"> that the</w:t>
      </w:r>
      <w:r w:rsidR="006C7699">
        <w:t xml:space="preserve"> applicants state they </w:t>
      </w:r>
      <w:r w:rsidR="006A2800">
        <w:t xml:space="preserve">require the </w:t>
      </w:r>
      <w:r w:rsidR="00807D9F">
        <w:t>document</w:t>
      </w:r>
      <w:r w:rsidR="006C7699">
        <w:t>s</w:t>
      </w:r>
      <w:r w:rsidR="00807D9F">
        <w:t xml:space="preserve"> to prove their claims. However</w:t>
      </w:r>
      <w:r w:rsidR="007E6E54">
        <w:t>,</w:t>
      </w:r>
      <w:r w:rsidR="00807D9F">
        <w:t xml:space="preserve"> this is not so as the first meeting of creditors </w:t>
      </w:r>
      <w:r w:rsidR="00E56C14">
        <w:t>was</w:t>
      </w:r>
      <w:r w:rsidR="00807D9F">
        <w:t xml:space="preserve"> scheduled for 21 July 2021</w:t>
      </w:r>
      <w:r w:rsidR="00807D9F">
        <w:rPr>
          <w:rStyle w:val="FootnoteReference"/>
        </w:rPr>
        <w:footnoteReference w:id="5"/>
      </w:r>
      <w:r w:rsidR="00807D9F">
        <w:t xml:space="preserve">. </w:t>
      </w:r>
      <w:r w:rsidR="006C7699">
        <w:t>At that meeting on 21 July 2021, the claims were proved. Moreover</w:t>
      </w:r>
      <w:r w:rsidR="00E56C14">
        <w:t>,</w:t>
      </w:r>
      <w:r w:rsidR="006C7699">
        <w:t xml:space="preserve"> counsel submitted that t</w:t>
      </w:r>
      <w:r w:rsidR="00807D9F">
        <w:t xml:space="preserve">hey do however have sufficient information to complete their claim form as their claim form was submitted </w:t>
      </w:r>
      <w:r w:rsidR="006C7699">
        <w:t xml:space="preserve">as </w:t>
      </w:r>
      <w:r w:rsidR="009C6CB7">
        <w:t xml:space="preserve"> is evident from </w:t>
      </w:r>
      <w:r w:rsidR="00807D9F">
        <w:t>their completed claim form attached to the papers.</w:t>
      </w:r>
      <w:r w:rsidR="00807D9F">
        <w:rPr>
          <w:rStyle w:val="FootnoteReference"/>
        </w:rPr>
        <w:footnoteReference w:id="6"/>
      </w:r>
      <w:r w:rsidR="00807D9F">
        <w:t xml:space="preserve"> </w:t>
      </w:r>
      <w:r w:rsidR="00124587">
        <w:t>Furthermore, counsel submitted i</w:t>
      </w:r>
      <w:r w:rsidR="009C6CB7">
        <w:t>t is also evident that they proved their claims at the meeting of creditors at the Magistrates Court</w:t>
      </w:r>
      <w:r w:rsidR="007E6E54">
        <w:t>,</w:t>
      </w:r>
      <w:r w:rsidR="009C6CB7">
        <w:t xml:space="preserve"> Cullinan and there was no indication that their claims were not accepted. If the claim was not proved at the second claim</w:t>
      </w:r>
      <w:r w:rsidR="007E6E54">
        <w:t xml:space="preserve"> </w:t>
      </w:r>
      <w:r w:rsidR="00124587">
        <w:t xml:space="preserve">meeting he submitted </w:t>
      </w:r>
      <w:r w:rsidR="007E6E54">
        <w:t>it was no</w:t>
      </w:r>
      <w:r w:rsidR="00124587">
        <w:t>t</w:t>
      </w:r>
      <w:r w:rsidR="007E6E54">
        <w:t xml:space="preserve"> proved</w:t>
      </w:r>
      <w:r w:rsidR="00124587">
        <w:t xml:space="preserve"> intentionally,</w:t>
      </w:r>
      <w:r w:rsidR="007E6E54">
        <w:t xml:space="preserve"> because they did not w</w:t>
      </w:r>
      <w:r w:rsidR="00124587">
        <w:t xml:space="preserve">ish </w:t>
      </w:r>
      <w:r w:rsidR="007E6E54">
        <w:t xml:space="preserve">to contribute towards the costs. </w:t>
      </w:r>
    </w:p>
    <w:p w:rsidR="003940B8" w:rsidRDefault="009E42D6" w:rsidP="009E42D6">
      <w:pPr>
        <w:pStyle w:val="JudgmentNumbered"/>
        <w:numPr>
          <w:ilvl w:val="0"/>
          <w:numId w:val="0"/>
        </w:numPr>
        <w:ind w:left="567" w:hanging="567"/>
      </w:pPr>
      <w:r>
        <w:t>[13]</w:t>
      </w:r>
      <w:r>
        <w:tab/>
      </w:r>
      <w:r w:rsidR="007E6E54">
        <w:t xml:space="preserve">Counsel </w:t>
      </w:r>
      <w:r w:rsidR="00124587">
        <w:t xml:space="preserve">for the respondent, </w:t>
      </w:r>
      <w:r w:rsidR="007E6E54">
        <w:t xml:space="preserve">argued further that the applicant’s insistence to proceed with the request for </w:t>
      </w:r>
      <w:r w:rsidR="00DB756D">
        <w:t>documents</w:t>
      </w:r>
      <w:r w:rsidR="00406869">
        <w:t xml:space="preserve"> </w:t>
      </w:r>
      <w:r w:rsidR="00DB756D">
        <w:t xml:space="preserve">is not for a legitimate purpose and </w:t>
      </w:r>
      <w:r w:rsidR="00406869">
        <w:t xml:space="preserve">is </w:t>
      </w:r>
      <w:r w:rsidR="00406869">
        <w:lastRenderedPageBreak/>
        <w:t>pursued for</w:t>
      </w:r>
      <w:r w:rsidR="00DB756D">
        <w:t xml:space="preserve"> their own purpose. It cannot be to </w:t>
      </w:r>
      <w:r w:rsidR="00406869">
        <w:t xml:space="preserve">prove a claim as the claims were already proved before the Magistrate Cullinan. SDE was the only claimant who did not prove its case and it follows that SDE is not a creditor of Skincon. </w:t>
      </w:r>
      <w:r w:rsidR="00E56C14">
        <w:t>He argued that t</w:t>
      </w:r>
      <w:r w:rsidR="00DB756D">
        <w:t xml:space="preserve">he rules </w:t>
      </w:r>
      <w:r w:rsidR="0068614D">
        <w:t xml:space="preserve">of court </w:t>
      </w:r>
      <w:r w:rsidR="00DB756D">
        <w:t>may be utilised to issue a</w:t>
      </w:r>
      <w:r w:rsidR="00DB756D" w:rsidRPr="00DB756D">
        <w:rPr>
          <w:i/>
        </w:rPr>
        <w:t xml:space="preserve"> subpoena duces tecum.</w:t>
      </w:r>
      <w:r w:rsidR="00DB756D">
        <w:t xml:space="preserve"> </w:t>
      </w:r>
      <w:r w:rsidR="00896B72">
        <w:t>In the present circumstances</w:t>
      </w:r>
      <w:r w:rsidR="0068614D">
        <w:t>,</w:t>
      </w:r>
      <w:r w:rsidR="00896B72">
        <w:t xml:space="preserve"> he continued that </w:t>
      </w:r>
      <w:r w:rsidR="00406869">
        <w:t>the</w:t>
      </w:r>
      <w:r w:rsidR="00DB756D">
        <w:t xml:space="preserve"> claims </w:t>
      </w:r>
      <w:r w:rsidR="00406869">
        <w:t xml:space="preserve">that were proved before the Magistrate Cullinan </w:t>
      </w:r>
      <w:r w:rsidR="00DB756D">
        <w:t>are not contested</w:t>
      </w:r>
      <w:r w:rsidR="0068614D">
        <w:t xml:space="preserve"> by Skincon</w:t>
      </w:r>
      <w:r w:rsidR="00DB756D">
        <w:t xml:space="preserve">. There are in fact judgments taken against </w:t>
      </w:r>
      <w:r w:rsidR="00124587">
        <w:t xml:space="preserve">the respondent </w:t>
      </w:r>
      <w:r w:rsidR="003E7F1B">
        <w:t>which is evident from the papers. It is also not true</w:t>
      </w:r>
      <w:r w:rsidR="00406869">
        <w:t xml:space="preserve">, counsel submitted </w:t>
      </w:r>
      <w:r w:rsidR="003E7F1B">
        <w:t>that the consortium requires information.</w:t>
      </w:r>
      <w:r w:rsidR="00406869">
        <w:t xml:space="preserve"> He continued that it was a</w:t>
      </w:r>
      <w:r w:rsidR="003E7F1B">
        <w:t xml:space="preserve"> different litigant</w:t>
      </w:r>
      <w:r w:rsidR="00406869">
        <w:t>, a Mr.</w:t>
      </w:r>
      <w:r w:rsidR="003E7F1B">
        <w:t xml:space="preserve"> Gaffner</w:t>
      </w:r>
      <w:r w:rsidR="0068614D">
        <w:t>,</w:t>
      </w:r>
      <w:r w:rsidR="003E7F1B">
        <w:t xml:space="preserve"> </w:t>
      </w:r>
      <w:r w:rsidR="00406869">
        <w:t xml:space="preserve">who </w:t>
      </w:r>
      <w:r w:rsidR="003E7F1B">
        <w:t>is engaging in litigation with the director</w:t>
      </w:r>
      <w:r w:rsidR="003D13A4">
        <w:t>s</w:t>
      </w:r>
      <w:r w:rsidR="00406869">
        <w:t xml:space="preserve"> who attested to the affidavit</w:t>
      </w:r>
      <w:r w:rsidR="003940B8">
        <w:t xml:space="preserve">. Mr. </w:t>
      </w:r>
      <w:r w:rsidR="003E7F1B">
        <w:t>Gaffner is seeking information</w:t>
      </w:r>
      <w:r w:rsidR="00896B72">
        <w:t xml:space="preserve">. The application is therefore undertaken to </w:t>
      </w:r>
      <w:r w:rsidR="003940B8">
        <w:t xml:space="preserve">assist </w:t>
      </w:r>
      <w:r w:rsidR="00896B72">
        <w:t xml:space="preserve">some other litigant </w:t>
      </w:r>
      <w:r w:rsidR="003940B8">
        <w:t>who is being sued</w:t>
      </w:r>
      <w:r w:rsidR="003E7F1B">
        <w:t xml:space="preserve">. </w:t>
      </w:r>
      <w:r w:rsidR="003940B8">
        <w:t xml:space="preserve">He argued moreover that the </w:t>
      </w:r>
      <w:r w:rsidR="003E7F1B">
        <w:t>litigation will have no prospects of success</w:t>
      </w:r>
      <w:r w:rsidR="003940B8">
        <w:t>. The respondents in the present matter will be respondent</w:t>
      </w:r>
      <w:r w:rsidR="00456166">
        <w:t>s</w:t>
      </w:r>
      <w:r w:rsidR="003940B8">
        <w:t xml:space="preserve"> in the application to inspect once they are granted leave to intervene and it would not be appropriate to grant security for costs against the respondents.</w:t>
      </w:r>
    </w:p>
    <w:p w:rsidR="00EE01BB" w:rsidRDefault="009E42D6" w:rsidP="009E42D6">
      <w:pPr>
        <w:pStyle w:val="JudgmentNumbered"/>
        <w:numPr>
          <w:ilvl w:val="0"/>
          <w:numId w:val="0"/>
        </w:numPr>
        <w:ind w:left="567" w:hanging="567"/>
      </w:pPr>
      <w:r>
        <w:t>[14]</w:t>
      </w:r>
      <w:r>
        <w:tab/>
      </w:r>
      <w:r w:rsidR="003940B8">
        <w:t xml:space="preserve">Counsel for the respondents submitted that the request for security was an abuse by the applicants who sought to dictate the pace of litigation and to keep the respondents out </w:t>
      </w:r>
      <w:r w:rsidR="000E7094">
        <w:t>of the main application.</w:t>
      </w:r>
      <w:r w:rsidR="00890D81">
        <w:t xml:space="preserve"> They lodge</w:t>
      </w:r>
      <w:r w:rsidR="00124587">
        <w:t>d a Rule 47(1)</w:t>
      </w:r>
      <w:r w:rsidR="00890D81">
        <w:t xml:space="preserve"> application withdrew it and launched the present application later.</w:t>
      </w:r>
      <w:r w:rsidR="000E7094">
        <w:t xml:space="preserve"> The </w:t>
      </w:r>
      <w:r w:rsidR="00890D81">
        <w:t>respondents’</w:t>
      </w:r>
      <w:r w:rsidR="000E7094">
        <w:t xml:space="preserve"> position </w:t>
      </w:r>
      <w:r w:rsidR="00456166">
        <w:t xml:space="preserve">was </w:t>
      </w:r>
      <w:r w:rsidR="000E7094">
        <w:t xml:space="preserve">misrepresented where they </w:t>
      </w:r>
      <w:r w:rsidR="00456166">
        <w:t xml:space="preserve">were </w:t>
      </w:r>
      <w:r w:rsidR="007A02E7">
        <w:t xml:space="preserve">portrayed </w:t>
      </w:r>
      <w:r w:rsidR="00456166">
        <w:t xml:space="preserve">as </w:t>
      </w:r>
      <w:r w:rsidR="00124587">
        <w:t xml:space="preserve">respondents </w:t>
      </w:r>
      <w:r w:rsidR="000E7094">
        <w:t xml:space="preserve">leaving with the funds. The true position is that they relocated to Australia prior to the project commencing and travelled frequently to the country. The company was placed in liquidation due to the product failing. </w:t>
      </w:r>
    </w:p>
    <w:p w:rsidR="002D7F54" w:rsidRPr="007D46E0" w:rsidRDefault="009E42D6" w:rsidP="009E42D6">
      <w:pPr>
        <w:pStyle w:val="JudgmentNumbered"/>
        <w:numPr>
          <w:ilvl w:val="0"/>
          <w:numId w:val="0"/>
        </w:numPr>
        <w:ind w:left="567" w:hanging="567"/>
        <w:rPr>
          <w:i/>
        </w:rPr>
      </w:pPr>
      <w:r>
        <w:t>[15]</w:t>
      </w:r>
      <w:r>
        <w:tab/>
      </w:r>
      <w:r w:rsidR="002D7F54">
        <w:t xml:space="preserve">Having considered the submissions of both counsel, as well as the authorities and the decision in </w:t>
      </w:r>
      <w:r w:rsidR="002D7F54" w:rsidRPr="002D7F54">
        <w:rPr>
          <w:i/>
        </w:rPr>
        <w:t>Exploitatieen Beleggingsmaatschppij Argonauten 11BV and another v Honig</w:t>
      </w:r>
      <w:r w:rsidR="002D7F54">
        <w:rPr>
          <w:rStyle w:val="FootnoteReference"/>
          <w:i/>
        </w:rPr>
        <w:footnoteReference w:id="7"/>
      </w:r>
      <w:r w:rsidR="002D7F54">
        <w:rPr>
          <w:i/>
        </w:rPr>
        <w:t xml:space="preserve"> </w:t>
      </w:r>
      <w:r w:rsidR="002D7F54">
        <w:t>where the Court held:</w:t>
      </w:r>
    </w:p>
    <w:p w:rsidR="007D46E0" w:rsidRDefault="007D46E0" w:rsidP="007D46E0">
      <w:pPr>
        <w:pStyle w:val="JudgmentNumbered"/>
        <w:numPr>
          <w:ilvl w:val="0"/>
          <w:numId w:val="0"/>
        </w:numPr>
        <w:ind w:left="1701"/>
        <w:rPr>
          <w:i/>
          <w:sz w:val="22"/>
        </w:rPr>
      </w:pPr>
      <w:r>
        <w:rPr>
          <w:sz w:val="22"/>
        </w:rPr>
        <w:t xml:space="preserve">“if their financial status was relevant to the question of security it was incumbent upon them to take the court into their confidence and make sufficient disclosure of their assets and liabilities to enable the court to make a proper assessment thereof in the exercise of its discretion. That was not </w:t>
      </w:r>
      <w:r>
        <w:rPr>
          <w:sz w:val="22"/>
        </w:rPr>
        <w:lastRenderedPageBreak/>
        <w:t xml:space="preserve">done. In </w:t>
      </w:r>
      <w:r w:rsidR="00EE01BB">
        <w:rPr>
          <w:sz w:val="22"/>
        </w:rPr>
        <w:t>any event</w:t>
      </w:r>
      <w:r>
        <w:rPr>
          <w:sz w:val="22"/>
        </w:rPr>
        <w:t xml:space="preserve">, the fact that the respondent would have to proceed against the appellants abroad if he obtained a costs order in his favour with the associated uncertainty and inconvenience that would entail, was </w:t>
      </w:r>
      <w:r w:rsidR="00EE01BB">
        <w:rPr>
          <w:sz w:val="22"/>
        </w:rPr>
        <w:t>one</w:t>
      </w:r>
      <w:r>
        <w:rPr>
          <w:sz w:val="22"/>
        </w:rPr>
        <w:t xml:space="preserve"> of the fundamental reasons a peregrinus should provide securit</w:t>
      </w:r>
      <w:r w:rsidRPr="007D46E0">
        <w:rPr>
          <w:i/>
          <w:sz w:val="22"/>
        </w:rPr>
        <w:t xml:space="preserve">y” </w:t>
      </w:r>
    </w:p>
    <w:p w:rsidR="00876DB7" w:rsidRDefault="009E42D6" w:rsidP="009E42D6">
      <w:pPr>
        <w:pStyle w:val="JudgmentNumbered"/>
        <w:numPr>
          <w:ilvl w:val="0"/>
          <w:numId w:val="0"/>
        </w:numPr>
        <w:ind w:left="567" w:hanging="567"/>
      </w:pPr>
      <w:r>
        <w:t>[16]</w:t>
      </w:r>
      <w:r>
        <w:tab/>
      </w:r>
      <w:r w:rsidR="007D46E0" w:rsidRPr="007D46E0">
        <w:t>In the present matter</w:t>
      </w:r>
      <w:r w:rsidR="005C6E8A">
        <w:t>,</w:t>
      </w:r>
      <w:r w:rsidR="007D46E0" w:rsidRPr="007D46E0">
        <w:t xml:space="preserve"> the factors which I have considered </w:t>
      </w:r>
      <w:r w:rsidR="00456166">
        <w:t>are</w:t>
      </w:r>
      <w:r w:rsidR="007D46E0" w:rsidRPr="007D46E0">
        <w:t xml:space="preserve"> that </w:t>
      </w:r>
      <w:r w:rsidR="007D46E0">
        <w:t xml:space="preserve">respondents </w:t>
      </w:r>
      <w:r w:rsidR="00456166">
        <w:t xml:space="preserve">are peregrine and </w:t>
      </w:r>
      <w:r w:rsidR="007D46E0">
        <w:t xml:space="preserve">indicate that they are in a position to litigate and have no difficulty paying a costs order if one were ultimately ordered. </w:t>
      </w:r>
      <w:r w:rsidR="00456166">
        <w:t>In contrast t</w:t>
      </w:r>
      <w:r w:rsidR="007D46E0">
        <w:t xml:space="preserve">he </w:t>
      </w:r>
      <w:r w:rsidR="005C6E8A">
        <w:t>applicants</w:t>
      </w:r>
      <w:r w:rsidR="00456166">
        <w:t xml:space="preserve">, </w:t>
      </w:r>
      <w:r w:rsidR="005C6E8A">
        <w:t xml:space="preserve">SDE and GIS </w:t>
      </w:r>
      <w:r w:rsidR="00456166">
        <w:t xml:space="preserve">one of whom </w:t>
      </w:r>
      <w:r w:rsidR="005C6E8A">
        <w:t>are in th</w:t>
      </w:r>
      <w:r w:rsidR="0068614D">
        <w:t>e process of business rescue,</w:t>
      </w:r>
      <w:r w:rsidR="005C6E8A">
        <w:t xml:space="preserve"> would experience great difficulty in pursuing their costs if they were to pursue the respondents in another country. </w:t>
      </w:r>
      <w:r w:rsidR="00890D81">
        <w:t xml:space="preserve"> It is evident that the applicants will</w:t>
      </w:r>
      <w:r w:rsidR="00EE01BB">
        <w:t xml:space="preserve"> </w:t>
      </w:r>
      <w:r w:rsidR="00890D81">
        <w:t xml:space="preserve">have difficulty if they are to recoup their costs in another country. </w:t>
      </w:r>
      <w:r w:rsidR="0068614D">
        <w:t>The</w:t>
      </w:r>
      <w:r w:rsidR="00047702">
        <w:t>se</w:t>
      </w:r>
      <w:r w:rsidR="0068614D">
        <w:t xml:space="preserve"> two factors </w:t>
      </w:r>
      <w:r w:rsidR="00047702">
        <w:t xml:space="preserve">support the applicant’s case </w:t>
      </w:r>
      <w:r w:rsidR="0068614D">
        <w:t>in favour of the granting security for costs</w:t>
      </w:r>
      <w:r w:rsidR="00047702">
        <w:t xml:space="preserve"> where the </w:t>
      </w:r>
      <w:r w:rsidR="004B14DF">
        <w:t>primary consideration in deciding whether to grant security for costs is the domicile of the respondents.</w:t>
      </w:r>
    </w:p>
    <w:p w:rsidR="009E42D6" w:rsidRDefault="00876DB7" w:rsidP="009E42D6">
      <w:pPr>
        <w:pStyle w:val="JudgmentNumbered"/>
        <w:numPr>
          <w:ilvl w:val="0"/>
          <w:numId w:val="0"/>
        </w:numPr>
        <w:ind w:left="567" w:hanging="567"/>
      </w:pPr>
      <w:r>
        <w:t>[17]</w:t>
      </w:r>
      <w:r>
        <w:tab/>
      </w:r>
      <w:r w:rsidR="004B14DF">
        <w:t>The consideration whether they are entering an opposition is vexatious cannot be fully ascertained at this stage. There are disputes</w:t>
      </w:r>
      <w:r w:rsidR="00C65595">
        <w:t xml:space="preserve"> </w:t>
      </w:r>
      <w:r w:rsidR="004B14DF">
        <w:t>about whether SDE is a creditor or not. That SDE’s claim was not proved</w:t>
      </w:r>
      <w:r w:rsidR="00A427CE">
        <w:t xml:space="preserve"> and is not a creditor is a red herring. A</w:t>
      </w:r>
      <w:r w:rsidR="00047702">
        <w:t xml:space="preserve">ccording </w:t>
      </w:r>
      <w:r w:rsidR="00A427CE">
        <w:t xml:space="preserve">to </w:t>
      </w:r>
      <w:r w:rsidR="004B14DF">
        <w:t>counsel</w:t>
      </w:r>
      <w:r w:rsidR="00C65595">
        <w:t xml:space="preserve"> for the respondent</w:t>
      </w:r>
      <w:r w:rsidR="00A427CE">
        <w:t>,</w:t>
      </w:r>
      <w:r w:rsidR="00047702">
        <w:t xml:space="preserve"> </w:t>
      </w:r>
      <w:r w:rsidR="00A427CE">
        <w:t>it was</w:t>
      </w:r>
      <w:r w:rsidR="004B14DF">
        <w:t xml:space="preserve"> only because they cannot</w:t>
      </w:r>
      <w:r w:rsidR="00A427CE">
        <w:t xml:space="preserve"> or will not </w:t>
      </w:r>
      <w:r w:rsidR="004B14DF">
        <w:t>pay the costs</w:t>
      </w:r>
      <w:r w:rsidR="00047702">
        <w:t xml:space="preserve"> </w:t>
      </w:r>
      <w:r w:rsidR="00A427CE">
        <w:t xml:space="preserve">that their claim was not proved. </w:t>
      </w:r>
      <w:r w:rsidR="00047702">
        <w:t xml:space="preserve">As counsel for the respondent argued, it did not indicate </w:t>
      </w:r>
      <w:r w:rsidR="00A427CE">
        <w:t xml:space="preserve">that </w:t>
      </w:r>
      <w:r w:rsidR="00047702">
        <w:t>SDE’s claim wa</w:t>
      </w:r>
      <w:r w:rsidR="004B14DF">
        <w:t xml:space="preserve">s not </w:t>
      </w:r>
      <w:r w:rsidR="00C65595">
        <w:t xml:space="preserve">good </w:t>
      </w:r>
      <w:r w:rsidR="00047702">
        <w:t>or that it would not be accepted, it just indicated that they had an issue with covering the costs and did not accept this</w:t>
      </w:r>
      <w:r w:rsidR="00C65595">
        <w:t xml:space="preserve">. This highlights the very issue of costs and why the respondents who say they can pay the costs should pay </w:t>
      </w:r>
      <w:r w:rsidR="00A37396">
        <w:t xml:space="preserve">security for </w:t>
      </w:r>
      <w:r w:rsidR="00C65595">
        <w:t xml:space="preserve">costs.  The determination about the vexatious element of the respondent merely clouds the issue at this point and I do not deem it necessary to </w:t>
      </w:r>
      <w:r w:rsidR="00EE01BB">
        <w:t xml:space="preserve">determine </w:t>
      </w:r>
      <w:r w:rsidR="00C65595">
        <w:t xml:space="preserve">the issue of security for costs. </w:t>
      </w:r>
      <w:r w:rsidR="00EE01BB">
        <w:t xml:space="preserve">For the present application where the respondents seek to </w:t>
      </w:r>
      <w:r w:rsidR="00371B75">
        <w:t xml:space="preserve">intervene and are peregrine it is appropriate that they be ordered to pay security costs. </w:t>
      </w:r>
    </w:p>
    <w:p w:rsidR="000E7B40" w:rsidRDefault="00876DB7" w:rsidP="009E42D6">
      <w:pPr>
        <w:pStyle w:val="JudgmentNumbered"/>
        <w:numPr>
          <w:ilvl w:val="0"/>
          <w:numId w:val="0"/>
        </w:numPr>
        <w:ind w:left="567" w:hanging="567"/>
      </w:pPr>
      <w:r>
        <w:t>[18</w:t>
      </w:r>
      <w:r w:rsidR="009E42D6">
        <w:t>]</w:t>
      </w:r>
      <w:r w:rsidR="009E42D6">
        <w:tab/>
      </w:r>
      <w:r w:rsidR="00B11636">
        <w:t xml:space="preserve">The respondents in the matter have not yet been permitted to intervene in the inspection matter at the time the matter appeared before me. Their circumstances are that they are not </w:t>
      </w:r>
      <w:r w:rsidR="002C0F22">
        <w:t xml:space="preserve">residing or </w:t>
      </w:r>
      <w:r w:rsidR="00B11636">
        <w:t xml:space="preserve">domiciled in the country and </w:t>
      </w:r>
      <w:r w:rsidR="007A02E7" w:rsidRPr="007A02E7">
        <w:rPr>
          <w:i/>
        </w:rPr>
        <w:t>peregrini</w:t>
      </w:r>
      <w:r w:rsidR="007A02E7">
        <w:t xml:space="preserve"> are</w:t>
      </w:r>
      <w:r w:rsidR="00371B75">
        <w:t xml:space="preserve"> </w:t>
      </w:r>
      <w:r w:rsidR="00BD48F7">
        <w:t xml:space="preserve">usually required </w:t>
      </w:r>
      <w:r w:rsidR="002C0F22">
        <w:t xml:space="preserve">to </w:t>
      </w:r>
      <w:r w:rsidR="007A02E7">
        <w:t>provide</w:t>
      </w:r>
      <w:r w:rsidR="002C0F22">
        <w:t xml:space="preserve"> security. </w:t>
      </w:r>
      <w:r w:rsidR="00371B75">
        <w:t xml:space="preserve">The factors usually </w:t>
      </w:r>
      <w:r w:rsidR="007A02E7">
        <w:t xml:space="preserve">considered </w:t>
      </w:r>
      <w:r w:rsidR="007A02E7">
        <w:lastRenderedPageBreak/>
        <w:t>are</w:t>
      </w:r>
      <w:r w:rsidR="00371B75">
        <w:t xml:space="preserve"> the character of the </w:t>
      </w:r>
      <w:r w:rsidR="00371B75" w:rsidRPr="007A02E7">
        <w:rPr>
          <w:i/>
        </w:rPr>
        <w:t>peregrine</w:t>
      </w:r>
      <w:r w:rsidR="00371B75">
        <w:t xml:space="preserve">. In these circumstances the </w:t>
      </w:r>
      <w:r w:rsidR="00371B75" w:rsidRPr="00344320">
        <w:rPr>
          <w:i/>
        </w:rPr>
        <w:t>peregrine</w:t>
      </w:r>
      <w:r w:rsidR="00371B75">
        <w:t xml:space="preserve"> directors placed the company in liquidation and have not </w:t>
      </w:r>
      <w:r w:rsidR="00A427CE">
        <w:t>been</w:t>
      </w:r>
      <w:r w:rsidR="00371B75">
        <w:t xml:space="preserve"> candid with their partners in the consortium. </w:t>
      </w:r>
      <w:r w:rsidR="00BD48F7">
        <w:t xml:space="preserve">Skincon was responsible for the retentions of funds on behalf of subcontractors. </w:t>
      </w:r>
      <w:r w:rsidR="002C0F22">
        <w:t xml:space="preserve">It is not clear what </w:t>
      </w:r>
      <w:r w:rsidR="00503619">
        <w:t>has</w:t>
      </w:r>
      <w:r w:rsidR="002C0F22">
        <w:t xml:space="preserve"> </w:t>
      </w:r>
      <w:r w:rsidR="00BD48F7">
        <w:t xml:space="preserve">happened </w:t>
      </w:r>
      <w:r w:rsidR="002C0F22">
        <w:t xml:space="preserve">to the funds that </w:t>
      </w:r>
      <w:r w:rsidR="00BD48F7">
        <w:t xml:space="preserve">was </w:t>
      </w:r>
      <w:r w:rsidR="002C0F22">
        <w:t>kept in retention for the contractors.</w:t>
      </w:r>
      <w:r w:rsidR="00BD48F7">
        <w:t xml:space="preserve"> The application to inspect and the application to intervene are pending. </w:t>
      </w:r>
      <w:r w:rsidR="002C0F22">
        <w:t xml:space="preserve">The respondents </w:t>
      </w:r>
      <w:r w:rsidR="00BD48F7">
        <w:t>as peregrine have relocated prior to the project commencing</w:t>
      </w:r>
      <w:r w:rsidR="000E7B40">
        <w:t xml:space="preserve"> and </w:t>
      </w:r>
      <w:r w:rsidR="00EA47C9">
        <w:t xml:space="preserve">have no assets in this country and it will be difficult for the applicants to recover costs against them in another country. I have considered that they may be respondents in the application to inspect. </w:t>
      </w:r>
      <w:r w:rsidR="002C0F22">
        <w:t xml:space="preserve">There are no circumstances indicated </w:t>
      </w:r>
      <w:r w:rsidR="00EA47C9">
        <w:t>that</w:t>
      </w:r>
      <w:r w:rsidR="002C0F22">
        <w:t xml:space="preserve"> suggested it is </w:t>
      </w:r>
      <w:r w:rsidR="00EA47C9">
        <w:t xml:space="preserve">not </w:t>
      </w:r>
      <w:r w:rsidR="002C0F22">
        <w:t xml:space="preserve">appropriate </w:t>
      </w:r>
      <w:r w:rsidR="00EA47C9">
        <w:t xml:space="preserve">and unjust or inequitable </w:t>
      </w:r>
      <w:r w:rsidR="002C0F22">
        <w:t>that they be ordered to provide security</w:t>
      </w:r>
      <w:r w:rsidR="000E7B40">
        <w:t xml:space="preserve"> in the present circumstances</w:t>
      </w:r>
      <w:r w:rsidR="002C0F22">
        <w:t>.</w:t>
      </w:r>
    </w:p>
    <w:p w:rsidR="000E7B40" w:rsidRDefault="00876DB7" w:rsidP="009E42D6">
      <w:pPr>
        <w:pStyle w:val="JudgmentNumbered"/>
        <w:numPr>
          <w:ilvl w:val="0"/>
          <w:numId w:val="0"/>
        </w:numPr>
        <w:ind w:left="567" w:hanging="567"/>
        <w:rPr>
          <w:color w:val="000000"/>
          <w:szCs w:val="24"/>
          <w:shd w:val="clear" w:color="auto" w:fill="FFFFFF"/>
        </w:rPr>
      </w:pPr>
      <w:r>
        <w:t>[19</w:t>
      </w:r>
      <w:r w:rsidR="009E42D6">
        <w:t>]</w:t>
      </w:r>
      <w:r w:rsidR="009E42D6">
        <w:tab/>
      </w:r>
      <w:r w:rsidR="000E7B40">
        <w:t xml:space="preserve">The rule 47(3) provides that security be provided in the amount demanded or an amount fixed by the Registrar within 10 days of demand or when application is made to this court for an order that such security be given and the proceedings be stayed </w:t>
      </w:r>
      <w:r w:rsidR="000E7B40" w:rsidRPr="000E7B40">
        <w:rPr>
          <w:color w:val="000000"/>
          <w:szCs w:val="24"/>
          <w:shd w:val="clear" w:color="auto" w:fill="FFFFFF"/>
        </w:rPr>
        <w:t>until such order is complied with</w:t>
      </w:r>
      <w:r w:rsidR="000E7B40">
        <w:rPr>
          <w:color w:val="000000"/>
          <w:szCs w:val="24"/>
          <w:shd w:val="clear" w:color="auto" w:fill="FFFFFF"/>
        </w:rPr>
        <w:t xml:space="preserve">. </w:t>
      </w:r>
    </w:p>
    <w:p w:rsidR="003D5507" w:rsidRDefault="00876DB7" w:rsidP="009E42D6">
      <w:pPr>
        <w:pStyle w:val="JudgmentNumbered"/>
        <w:numPr>
          <w:ilvl w:val="0"/>
          <w:numId w:val="0"/>
        </w:numPr>
        <w:ind w:left="567" w:hanging="567"/>
        <w:rPr>
          <w:color w:val="000000"/>
          <w:szCs w:val="24"/>
          <w:shd w:val="clear" w:color="auto" w:fill="FFFFFF"/>
        </w:rPr>
      </w:pPr>
      <w:r>
        <w:rPr>
          <w:color w:val="000000"/>
          <w:szCs w:val="24"/>
          <w:shd w:val="clear" w:color="auto" w:fill="FFFFFF"/>
        </w:rPr>
        <w:t>[20</w:t>
      </w:r>
      <w:r w:rsidR="009E42D6">
        <w:rPr>
          <w:color w:val="000000"/>
          <w:szCs w:val="24"/>
          <w:shd w:val="clear" w:color="auto" w:fill="FFFFFF"/>
        </w:rPr>
        <w:t>]</w:t>
      </w:r>
      <w:r w:rsidR="009E42D6">
        <w:rPr>
          <w:color w:val="000000"/>
          <w:szCs w:val="24"/>
          <w:shd w:val="clear" w:color="auto" w:fill="FFFFFF"/>
        </w:rPr>
        <w:tab/>
      </w:r>
      <w:r w:rsidR="00344320">
        <w:rPr>
          <w:color w:val="000000"/>
          <w:szCs w:val="24"/>
          <w:shd w:val="clear" w:color="auto" w:fill="FFFFFF"/>
        </w:rPr>
        <w:t>The are</w:t>
      </w:r>
      <w:r w:rsidR="003D5507">
        <w:rPr>
          <w:color w:val="000000"/>
          <w:szCs w:val="24"/>
          <w:shd w:val="clear" w:color="auto" w:fill="FFFFFF"/>
        </w:rPr>
        <w:t xml:space="preserve"> no reasons why the</w:t>
      </w:r>
      <w:r w:rsidR="00344320">
        <w:rPr>
          <w:color w:val="000000"/>
          <w:szCs w:val="24"/>
          <w:shd w:val="clear" w:color="auto" w:fill="FFFFFF"/>
        </w:rPr>
        <w:t>re</w:t>
      </w:r>
      <w:r w:rsidR="003D5507">
        <w:rPr>
          <w:color w:val="000000"/>
          <w:szCs w:val="24"/>
          <w:shd w:val="clear" w:color="auto" w:fill="FFFFFF"/>
        </w:rPr>
        <w:t xml:space="preserve"> should be any deviation from the usual cost order in this application.</w:t>
      </w:r>
    </w:p>
    <w:p w:rsidR="00A83A79" w:rsidRDefault="002C0F22" w:rsidP="00876DB7">
      <w:pPr>
        <w:pStyle w:val="JudgmentNumbered"/>
        <w:numPr>
          <w:ilvl w:val="0"/>
          <w:numId w:val="0"/>
        </w:numPr>
        <w:ind w:left="567" w:hanging="567"/>
      </w:pPr>
      <w:r>
        <w:t xml:space="preserve"> </w:t>
      </w:r>
      <w:r w:rsidR="00876DB7">
        <w:t>[21</w:t>
      </w:r>
      <w:r w:rsidR="009E42D6">
        <w:t>]</w:t>
      </w:r>
      <w:r w:rsidR="009E42D6">
        <w:tab/>
      </w:r>
      <w:r w:rsidR="00EA47C9">
        <w:t>For the reasons above I hereby grant the following order:</w:t>
      </w:r>
    </w:p>
    <w:p w:rsidR="003F72B4" w:rsidRDefault="003F72B4" w:rsidP="003F72B4">
      <w:pPr>
        <w:pStyle w:val="JudgmentNumbered"/>
        <w:numPr>
          <w:ilvl w:val="0"/>
          <w:numId w:val="0"/>
        </w:numPr>
        <w:ind w:left="567"/>
        <w:rPr>
          <w:i/>
        </w:rPr>
      </w:pPr>
      <w:r w:rsidRPr="003F72B4">
        <w:rPr>
          <w:i/>
        </w:rPr>
        <w:t>Order</w:t>
      </w:r>
    </w:p>
    <w:p w:rsidR="003F72B4" w:rsidRDefault="003F72B4" w:rsidP="00D9548F">
      <w:pPr>
        <w:pStyle w:val="JudgmentNumbered"/>
        <w:numPr>
          <w:ilvl w:val="0"/>
          <w:numId w:val="0"/>
        </w:numPr>
        <w:ind w:left="1437" w:hanging="870"/>
      </w:pPr>
      <w:r>
        <w:t>1</w:t>
      </w:r>
      <w:bookmarkStart w:id="0" w:name="_GoBack"/>
      <w:bookmarkEnd w:id="0"/>
      <w:r>
        <w:t>.</w:t>
      </w:r>
      <w:r w:rsidR="00220E2E">
        <w:tab/>
      </w:r>
      <w:r>
        <w:t xml:space="preserve">That the respondents be ordered to provide security to the applicants in the amount of R169 042,50 within 10 (TEN) of this order. </w:t>
      </w:r>
    </w:p>
    <w:p w:rsidR="00220E2E" w:rsidRDefault="003F72B4" w:rsidP="00D9548F">
      <w:pPr>
        <w:pStyle w:val="JudgmentNumbered"/>
        <w:numPr>
          <w:ilvl w:val="0"/>
          <w:numId w:val="0"/>
        </w:numPr>
        <w:ind w:left="1437" w:hanging="870"/>
      </w:pPr>
      <w:r>
        <w:t xml:space="preserve">2. </w:t>
      </w:r>
      <w:r w:rsidR="00220E2E">
        <w:tab/>
      </w:r>
      <w:r>
        <w:t>That the proceedings of the intervention application be stayed pending compliance with prayer 1 (</w:t>
      </w:r>
      <w:r w:rsidR="00220E2E">
        <w:t>above</w:t>
      </w:r>
      <w:r>
        <w:t xml:space="preserve">). </w:t>
      </w:r>
    </w:p>
    <w:p w:rsidR="003F72B4" w:rsidRPr="003F72B4" w:rsidRDefault="003F72B4" w:rsidP="00D9548F">
      <w:pPr>
        <w:pStyle w:val="JudgmentNumbered"/>
        <w:numPr>
          <w:ilvl w:val="0"/>
          <w:numId w:val="0"/>
        </w:numPr>
        <w:ind w:left="567"/>
      </w:pPr>
      <w:r>
        <w:t xml:space="preserve">3. </w:t>
      </w:r>
      <w:r w:rsidR="00220E2E">
        <w:tab/>
      </w:r>
      <w:r>
        <w:t>Cost of the application.</w:t>
      </w:r>
    </w:p>
    <w:p w:rsidR="002B448C" w:rsidRDefault="002B448C" w:rsidP="00EB01DA">
      <w:pPr>
        <w:pStyle w:val="JudgmentNumbered"/>
        <w:numPr>
          <w:ilvl w:val="0"/>
          <w:numId w:val="0"/>
        </w:numPr>
        <w:spacing w:after="0"/>
        <w:ind w:left="567" w:hanging="567"/>
        <w:jc w:val="right"/>
      </w:pPr>
      <w:r>
        <w:t>___________</w:t>
      </w:r>
      <w:r w:rsidR="00EB01DA">
        <w:t>__</w:t>
      </w:r>
      <w:r>
        <w:t>______________</w:t>
      </w:r>
    </w:p>
    <w:p w:rsidR="002B448C" w:rsidRDefault="00EA47C9" w:rsidP="00EB01DA">
      <w:pPr>
        <w:pStyle w:val="JudgmentNumbered"/>
        <w:numPr>
          <w:ilvl w:val="0"/>
          <w:numId w:val="0"/>
        </w:numPr>
        <w:spacing w:after="0"/>
        <w:ind w:left="567" w:hanging="567"/>
        <w:jc w:val="right"/>
        <w:rPr>
          <w:b/>
        </w:rPr>
      </w:pPr>
      <w:r>
        <w:rPr>
          <w:b/>
        </w:rPr>
        <w:t>SC MIA</w:t>
      </w:r>
    </w:p>
    <w:p w:rsidR="002B448C" w:rsidRDefault="002B448C" w:rsidP="00EB01DA">
      <w:pPr>
        <w:pStyle w:val="JudgmentNumbered"/>
        <w:numPr>
          <w:ilvl w:val="0"/>
          <w:numId w:val="0"/>
        </w:numPr>
        <w:spacing w:after="0"/>
        <w:ind w:left="567" w:hanging="567"/>
        <w:jc w:val="right"/>
        <w:rPr>
          <w:b/>
        </w:rPr>
      </w:pPr>
      <w:r>
        <w:rPr>
          <w:b/>
        </w:rPr>
        <w:t>JUDGE OF THE HIGH COURT</w:t>
      </w:r>
    </w:p>
    <w:p w:rsidR="00EB01DA" w:rsidRDefault="002B448C"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r>
        <w:rPr>
          <w:b/>
        </w:rPr>
        <w:t>JOHANNESBURG</w:t>
      </w:r>
    </w:p>
    <w:p w:rsidR="00EB01DA" w:rsidRPr="003673B7" w:rsidRDefault="00EB01DA" w:rsidP="00B82889">
      <w:pPr>
        <w:spacing w:after="160" w:line="259" w:lineRule="auto"/>
        <w:ind w:left="0"/>
        <w:jc w:val="left"/>
        <w:rPr>
          <w:rFonts w:eastAsia="Times New Roman" w:cs="Arial"/>
          <w:szCs w:val="24"/>
          <w:lang w:val="en-ZA"/>
        </w:rPr>
      </w:pPr>
      <w:r w:rsidRPr="003673B7">
        <w:rPr>
          <w:rFonts w:eastAsia="Times New Roman" w:cs="Arial"/>
          <w:szCs w:val="24"/>
          <w:lang w:val="en-ZA"/>
        </w:rPr>
        <w:lastRenderedPageBreak/>
        <w:t>For the Applicant:</w:t>
      </w:r>
      <w:r w:rsidR="00DC571E">
        <w:rPr>
          <w:rFonts w:eastAsia="Times New Roman" w:cs="Arial"/>
          <w:szCs w:val="24"/>
          <w:lang w:val="en-ZA"/>
        </w:rPr>
        <w:t xml:space="preserve"> Adv W.K.C Pretsch</w:t>
      </w:r>
    </w:p>
    <w:p w:rsidR="00EB01DA" w:rsidRPr="003673B7" w:rsidRDefault="00EB01DA" w:rsidP="00EB01DA">
      <w:pPr>
        <w:spacing w:after="0" w:line="240" w:lineRule="auto"/>
        <w:ind w:left="0"/>
        <w:rPr>
          <w:rFonts w:eastAsia="Times New Roman" w:cs="Arial"/>
          <w:szCs w:val="24"/>
          <w:lang w:val="en-ZA"/>
        </w:rPr>
      </w:pPr>
    </w:p>
    <w:p w:rsidR="00EB01DA" w:rsidRPr="003673B7" w:rsidRDefault="00EB01DA" w:rsidP="00EB01DA">
      <w:pPr>
        <w:spacing w:after="0" w:line="240" w:lineRule="auto"/>
        <w:ind w:left="0"/>
        <w:rPr>
          <w:rFonts w:eastAsia="Times New Roman" w:cs="Arial"/>
          <w:szCs w:val="24"/>
          <w:lang w:val="en-ZA"/>
        </w:rPr>
      </w:pPr>
    </w:p>
    <w:p w:rsidR="00EB01DA"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r w:rsidR="00DC571E">
        <w:rPr>
          <w:rFonts w:eastAsia="Times New Roman" w:cs="Arial"/>
          <w:szCs w:val="24"/>
          <w:lang w:val="en-ZA"/>
        </w:rPr>
        <w:t xml:space="preserve"> Adv M.P Van Der Merwe SC</w:t>
      </w:r>
    </w:p>
    <w:p w:rsidR="00DC571E" w:rsidRDefault="00DC571E" w:rsidP="00DC571E">
      <w:pPr>
        <w:pStyle w:val="JudgmentNumbered"/>
        <w:numPr>
          <w:ilvl w:val="0"/>
          <w:numId w:val="0"/>
        </w:numPr>
        <w:ind w:left="567" w:hanging="567"/>
        <w:rPr>
          <w:lang w:val="en-ZA"/>
        </w:rPr>
      </w:pPr>
    </w:p>
    <w:p w:rsidR="00DC571E" w:rsidRDefault="00DC571E" w:rsidP="00DC571E">
      <w:pPr>
        <w:pStyle w:val="JudgmentNumbered"/>
        <w:numPr>
          <w:ilvl w:val="0"/>
          <w:numId w:val="0"/>
        </w:numPr>
        <w:ind w:left="567" w:hanging="567"/>
        <w:rPr>
          <w:lang w:val="en-ZA"/>
        </w:rPr>
      </w:pPr>
      <w:r>
        <w:rPr>
          <w:lang w:val="en-ZA"/>
        </w:rPr>
        <w:t>Date of Hearing: 31 January 2023</w:t>
      </w:r>
    </w:p>
    <w:p w:rsidR="00DC571E" w:rsidRPr="00DC571E" w:rsidRDefault="00DC571E" w:rsidP="00DC571E">
      <w:pPr>
        <w:pStyle w:val="JudgmentNumbered"/>
        <w:numPr>
          <w:ilvl w:val="0"/>
          <w:numId w:val="0"/>
        </w:numPr>
        <w:ind w:left="567" w:hanging="567"/>
        <w:rPr>
          <w:lang w:val="en-ZA"/>
        </w:rPr>
      </w:pPr>
      <w:r>
        <w:rPr>
          <w:lang w:val="en-ZA"/>
        </w:rPr>
        <w:t xml:space="preserve">Date of Judgment: </w:t>
      </w:r>
      <w:r w:rsidR="00876DB7">
        <w:rPr>
          <w:lang w:val="en-ZA"/>
        </w:rPr>
        <w:t xml:space="preserve">12 </w:t>
      </w:r>
      <w:r>
        <w:rPr>
          <w:lang w:val="en-ZA"/>
        </w:rPr>
        <w:t>April 2023</w:t>
      </w:r>
    </w:p>
    <w:p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Pr="003673B7">
        <w:rPr>
          <w:rFonts w:eastAsia="Times New Roman" w:cs="Arial"/>
          <w:szCs w:val="24"/>
          <w:lang w:val="en-ZA"/>
        </w:rPr>
        <w:lastRenderedPageBreak/>
        <w:t xml:space="preserve"> instructed by </w:t>
      </w:r>
      <w:r w:rsidR="00DC571E">
        <w:rPr>
          <w:rFonts w:eastAsia="Times New Roman" w:cs="Arial"/>
          <w:szCs w:val="24"/>
          <w:lang w:val="en-ZA"/>
        </w:rPr>
        <w:t>Primerio International</w:t>
      </w:r>
    </w:p>
    <w:p w:rsidR="00EB01DA" w:rsidRPr="003673B7" w:rsidRDefault="00EB01DA" w:rsidP="00EB01DA">
      <w:pPr>
        <w:spacing w:after="0" w:line="240" w:lineRule="auto"/>
        <w:ind w:left="0"/>
        <w:rPr>
          <w:rFonts w:eastAsia="Times New Roman" w:cs="Arial"/>
          <w:szCs w:val="24"/>
          <w:lang w:val="en-ZA"/>
        </w:rPr>
      </w:pPr>
    </w:p>
    <w:p w:rsidR="002B448C" w:rsidRPr="003673B7" w:rsidRDefault="00DC571E" w:rsidP="00EB01DA">
      <w:pPr>
        <w:spacing w:after="0" w:line="240" w:lineRule="auto"/>
        <w:ind w:left="0"/>
        <w:rPr>
          <w:rFonts w:cs="Arial"/>
          <w:b/>
          <w:szCs w:val="24"/>
        </w:rPr>
      </w:pPr>
      <w:r>
        <w:rPr>
          <w:rFonts w:eastAsia="Times New Roman" w:cs="Arial"/>
          <w:szCs w:val="24"/>
          <w:lang w:val="en-ZA"/>
        </w:rPr>
        <w:t xml:space="preserve"> </w:t>
      </w:r>
      <w:r w:rsidR="00EB01DA" w:rsidRPr="003673B7">
        <w:rPr>
          <w:rFonts w:eastAsia="Times New Roman" w:cs="Arial"/>
          <w:szCs w:val="24"/>
          <w:lang w:val="en-ZA"/>
        </w:rPr>
        <w:t xml:space="preserve">instructed by </w:t>
      </w:r>
      <w:r>
        <w:rPr>
          <w:rFonts w:eastAsia="Times New Roman" w:cs="Arial"/>
          <w:szCs w:val="24"/>
          <w:lang w:val="en-ZA"/>
        </w:rPr>
        <w:t>Tim Du Toit &amp; Co Inc</w:t>
      </w:r>
    </w:p>
    <w:sectPr w:rsidR="002B448C" w:rsidRPr="003673B7" w:rsidSect="002D7F54">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20" w:rsidRDefault="00E04520" w:rsidP="00F17C09">
      <w:pPr>
        <w:spacing w:after="0" w:line="240" w:lineRule="auto"/>
      </w:pPr>
      <w:r>
        <w:separator/>
      </w:r>
    </w:p>
  </w:endnote>
  <w:endnote w:type="continuationSeparator" w:id="0">
    <w:p w:rsidR="00E04520" w:rsidRDefault="00E04520" w:rsidP="00F1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20" w:rsidRDefault="00E04520" w:rsidP="00F17C09">
      <w:pPr>
        <w:spacing w:after="0" w:line="240" w:lineRule="auto"/>
      </w:pPr>
      <w:r>
        <w:separator/>
      </w:r>
    </w:p>
  </w:footnote>
  <w:footnote w:type="continuationSeparator" w:id="0">
    <w:p w:rsidR="00E04520" w:rsidRDefault="00E04520" w:rsidP="00F17C09">
      <w:pPr>
        <w:spacing w:after="0" w:line="240" w:lineRule="auto"/>
      </w:pPr>
      <w:r>
        <w:continuationSeparator/>
      </w:r>
    </w:p>
  </w:footnote>
  <w:footnote w:id="1">
    <w:p w:rsidR="002D7F54" w:rsidRPr="008C49A2" w:rsidRDefault="002D7F54" w:rsidP="00F41D6F">
      <w:pPr>
        <w:pStyle w:val="cm-bullet"/>
        <w:shd w:val="clear" w:color="auto" w:fill="FFFFFF"/>
        <w:spacing w:before="180" w:beforeAutospacing="0" w:after="0" w:afterAutospacing="0"/>
        <w:ind w:left="567"/>
        <w:jc w:val="both"/>
        <w:rPr>
          <w:rFonts w:ascii="Arial" w:hAnsi="Arial" w:cs="Arial"/>
          <w:sz w:val="20"/>
          <w:szCs w:val="20"/>
        </w:rPr>
      </w:pPr>
      <w:r>
        <w:rPr>
          <w:rStyle w:val="FootnoteReference"/>
        </w:rPr>
        <w:footnoteRef/>
      </w:r>
      <w:r>
        <w:t xml:space="preserve"> </w:t>
      </w:r>
      <w:r>
        <w:tab/>
      </w:r>
      <w:r w:rsidRPr="008C49A2">
        <w:rPr>
          <w:rFonts w:ascii="Arial" w:hAnsi="Arial" w:cs="Arial"/>
          <w:sz w:val="20"/>
          <w:szCs w:val="20"/>
        </w:rPr>
        <w:t xml:space="preserve">Harms </w:t>
      </w:r>
      <w:r w:rsidRPr="006A311D">
        <w:rPr>
          <w:rFonts w:ascii="Arial" w:hAnsi="Arial" w:cs="Arial"/>
          <w:i/>
          <w:sz w:val="20"/>
          <w:szCs w:val="20"/>
        </w:rPr>
        <w:t>Civil Practice in the Superior Court</w:t>
      </w:r>
    </w:p>
    <w:p w:rsidR="002D7F54" w:rsidRPr="00F41D6F" w:rsidRDefault="002D7F54">
      <w:pPr>
        <w:pStyle w:val="FootnoteText"/>
        <w:rPr>
          <w:rFonts w:cs="Arial"/>
          <w:lang w:val="en-ZA"/>
        </w:rPr>
      </w:pPr>
    </w:p>
  </w:footnote>
  <w:footnote w:id="2">
    <w:p w:rsidR="004407FC" w:rsidRPr="004407FC" w:rsidRDefault="004407FC">
      <w:pPr>
        <w:pStyle w:val="FootnoteText"/>
        <w:rPr>
          <w:lang w:val="en-ZA"/>
        </w:rPr>
      </w:pPr>
      <w:r>
        <w:rPr>
          <w:rStyle w:val="FootnoteReference"/>
        </w:rPr>
        <w:footnoteRef/>
      </w:r>
      <w:r>
        <w:t xml:space="preserve"> </w:t>
      </w:r>
      <w:r>
        <w:rPr>
          <w:lang w:val="en-ZA"/>
        </w:rPr>
        <w:t xml:space="preserve">Harms </w:t>
      </w:r>
      <w:r w:rsidRPr="004407FC">
        <w:rPr>
          <w:i/>
          <w:lang w:val="en-ZA"/>
        </w:rPr>
        <w:t xml:space="preserve">Civil Practice in the Superior Court </w:t>
      </w:r>
    </w:p>
  </w:footnote>
  <w:footnote w:id="3">
    <w:p w:rsidR="002D7F54" w:rsidRPr="00FC1509" w:rsidRDefault="002D7F54">
      <w:pPr>
        <w:pStyle w:val="FootnoteText"/>
        <w:rPr>
          <w:lang w:val="en-ZA"/>
        </w:rPr>
      </w:pPr>
      <w:r>
        <w:rPr>
          <w:rStyle w:val="FootnoteReference"/>
        </w:rPr>
        <w:footnoteRef/>
      </w:r>
      <w:r>
        <w:t xml:space="preserve"> </w:t>
      </w:r>
      <w:r w:rsidRPr="00FC1509">
        <w:rPr>
          <w:i/>
          <w:iCs/>
          <w:color w:val="000000"/>
          <w:szCs w:val="24"/>
        </w:rPr>
        <w:t>Zietsman v Electronic Media and Others</w:t>
      </w:r>
      <w:r>
        <w:rPr>
          <w:iCs/>
          <w:color w:val="000000"/>
          <w:szCs w:val="24"/>
        </w:rPr>
        <w:t xml:space="preserve"> [2008] All SA 523 SCA</w:t>
      </w:r>
    </w:p>
  </w:footnote>
  <w:footnote w:id="4">
    <w:p w:rsidR="002D7F54" w:rsidRPr="006A2800" w:rsidRDefault="002D7F54">
      <w:pPr>
        <w:pStyle w:val="FootnoteText"/>
        <w:rPr>
          <w:lang w:val="en-ZA"/>
        </w:rPr>
      </w:pPr>
      <w:r>
        <w:rPr>
          <w:rStyle w:val="FootnoteReference"/>
        </w:rPr>
        <w:footnoteRef/>
      </w:r>
      <w:r>
        <w:t xml:space="preserve"> </w:t>
      </w:r>
      <w:r>
        <w:rPr>
          <w:lang w:val="en-ZA"/>
        </w:rPr>
        <w:t>Caseline 01-12 para 18.5</w:t>
      </w:r>
    </w:p>
  </w:footnote>
  <w:footnote w:id="5">
    <w:p w:rsidR="002D7F54" w:rsidRPr="00807D9F" w:rsidRDefault="002D7F54">
      <w:pPr>
        <w:pStyle w:val="FootnoteText"/>
        <w:rPr>
          <w:lang w:val="en-ZA"/>
        </w:rPr>
      </w:pPr>
      <w:r>
        <w:rPr>
          <w:rStyle w:val="FootnoteReference"/>
        </w:rPr>
        <w:footnoteRef/>
      </w:r>
      <w:r>
        <w:t xml:space="preserve"> Caselines </w:t>
      </w:r>
      <w:r>
        <w:rPr>
          <w:lang w:val="en-ZA"/>
        </w:rPr>
        <w:t>01-14 para 21</w:t>
      </w:r>
    </w:p>
  </w:footnote>
  <w:footnote w:id="6">
    <w:p w:rsidR="002D7F54" w:rsidRPr="00807D9F" w:rsidRDefault="002D7F54">
      <w:pPr>
        <w:pStyle w:val="FootnoteText"/>
        <w:rPr>
          <w:lang w:val="en-ZA"/>
        </w:rPr>
      </w:pPr>
      <w:r>
        <w:rPr>
          <w:rStyle w:val="FootnoteReference"/>
        </w:rPr>
        <w:footnoteRef/>
      </w:r>
      <w:r>
        <w:t xml:space="preserve"> Caselines 01-73 com</w:t>
      </w:r>
      <w:r w:rsidR="00220E2E">
        <w:t>p</w:t>
      </w:r>
      <w:r>
        <w:t>leted claim form</w:t>
      </w:r>
    </w:p>
  </w:footnote>
  <w:footnote w:id="7">
    <w:p w:rsidR="002D7F54" w:rsidRPr="002D7F54" w:rsidRDefault="002D7F54">
      <w:pPr>
        <w:pStyle w:val="FootnoteText"/>
        <w:rPr>
          <w:lang w:val="en-ZA"/>
        </w:rPr>
      </w:pPr>
      <w:r>
        <w:rPr>
          <w:rStyle w:val="FootnoteReference"/>
        </w:rPr>
        <w:footnoteRef/>
      </w:r>
      <w:r>
        <w:t xml:space="preserve"> </w:t>
      </w:r>
      <w:r w:rsidRPr="002D7F54">
        <w:rPr>
          <w:i/>
        </w:rPr>
        <w:t>Exploitatieen Beleggingsmaatschppij Argonauten 11BV and another v Honig</w:t>
      </w:r>
      <w:r>
        <w:rPr>
          <w:lang w:val="en-ZA"/>
        </w:rPr>
        <w:t xml:space="preserve"> [2012] 2 All SA 22 SCA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B91E45C4"/>
    <w:lvl w:ilvl="0">
      <w:start w:val="1"/>
      <w:numFmt w:val="decimal"/>
      <w:pStyle w:val="JudgmentNumbered"/>
      <w:lvlText w:val="[%1]"/>
      <w:lvlJc w:val="left"/>
      <w:pPr>
        <w:ind w:left="708"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528C7D1A"/>
    <w:multiLevelType w:val="hybridMultilevel"/>
    <w:tmpl w:val="F13E66D4"/>
    <w:lvl w:ilvl="0" w:tplc="C22A6FFE">
      <w:start w:val="14"/>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0B"/>
    <w:rsid w:val="00015BB2"/>
    <w:rsid w:val="00034AC6"/>
    <w:rsid w:val="00043359"/>
    <w:rsid w:val="00047702"/>
    <w:rsid w:val="000B75F9"/>
    <w:rsid w:val="000D0B13"/>
    <w:rsid w:val="000D7F4B"/>
    <w:rsid w:val="000E7094"/>
    <w:rsid w:val="000E7B40"/>
    <w:rsid w:val="00123414"/>
    <w:rsid w:val="00124587"/>
    <w:rsid w:val="00124F63"/>
    <w:rsid w:val="00136BD2"/>
    <w:rsid w:val="00151D35"/>
    <w:rsid w:val="0016056D"/>
    <w:rsid w:val="001779D9"/>
    <w:rsid w:val="001C2C86"/>
    <w:rsid w:val="001C3576"/>
    <w:rsid w:val="001C5042"/>
    <w:rsid w:val="001D03CA"/>
    <w:rsid w:val="001E23D9"/>
    <w:rsid w:val="00220E2E"/>
    <w:rsid w:val="00244112"/>
    <w:rsid w:val="002573B0"/>
    <w:rsid w:val="00292640"/>
    <w:rsid w:val="00295AB3"/>
    <w:rsid w:val="002B3F22"/>
    <w:rsid w:val="002B448C"/>
    <w:rsid w:val="002C0F22"/>
    <w:rsid w:val="002D7F54"/>
    <w:rsid w:val="002E232D"/>
    <w:rsid w:val="00344320"/>
    <w:rsid w:val="00345D71"/>
    <w:rsid w:val="0035787F"/>
    <w:rsid w:val="003673B7"/>
    <w:rsid w:val="00371B75"/>
    <w:rsid w:val="003940B8"/>
    <w:rsid w:val="003B0BEA"/>
    <w:rsid w:val="003B4C3B"/>
    <w:rsid w:val="003D13A4"/>
    <w:rsid w:val="003D5507"/>
    <w:rsid w:val="003E7F1B"/>
    <w:rsid w:val="003F72B4"/>
    <w:rsid w:val="00406869"/>
    <w:rsid w:val="004147C5"/>
    <w:rsid w:val="00435374"/>
    <w:rsid w:val="004407FC"/>
    <w:rsid w:val="00456166"/>
    <w:rsid w:val="00457525"/>
    <w:rsid w:val="00466F85"/>
    <w:rsid w:val="004922BF"/>
    <w:rsid w:val="004B14DF"/>
    <w:rsid w:val="004C3B0E"/>
    <w:rsid w:val="004D25BB"/>
    <w:rsid w:val="004E0F3A"/>
    <w:rsid w:val="00503619"/>
    <w:rsid w:val="00514267"/>
    <w:rsid w:val="005376BA"/>
    <w:rsid w:val="00577D4D"/>
    <w:rsid w:val="005964E0"/>
    <w:rsid w:val="005B3AFC"/>
    <w:rsid w:val="005C6E8A"/>
    <w:rsid w:val="005E70ED"/>
    <w:rsid w:val="00604A39"/>
    <w:rsid w:val="006125B5"/>
    <w:rsid w:val="00633D81"/>
    <w:rsid w:val="00644BF1"/>
    <w:rsid w:val="0068614D"/>
    <w:rsid w:val="006A0551"/>
    <w:rsid w:val="006A2800"/>
    <w:rsid w:val="006A311D"/>
    <w:rsid w:val="006C7699"/>
    <w:rsid w:val="007337A9"/>
    <w:rsid w:val="007354F0"/>
    <w:rsid w:val="00794DCB"/>
    <w:rsid w:val="007A02E7"/>
    <w:rsid w:val="007B7F59"/>
    <w:rsid w:val="007C3943"/>
    <w:rsid w:val="007D46E0"/>
    <w:rsid w:val="007E6E54"/>
    <w:rsid w:val="00807D9F"/>
    <w:rsid w:val="00815C47"/>
    <w:rsid w:val="00844E86"/>
    <w:rsid w:val="00876DB7"/>
    <w:rsid w:val="008901CC"/>
    <w:rsid w:val="00890D81"/>
    <w:rsid w:val="00896B72"/>
    <w:rsid w:val="008C49A2"/>
    <w:rsid w:val="008F6851"/>
    <w:rsid w:val="008F6BB6"/>
    <w:rsid w:val="00960C24"/>
    <w:rsid w:val="009C08C0"/>
    <w:rsid w:val="009C618C"/>
    <w:rsid w:val="009C6CB7"/>
    <w:rsid w:val="009E42D6"/>
    <w:rsid w:val="009F0538"/>
    <w:rsid w:val="00A066D5"/>
    <w:rsid w:val="00A37396"/>
    <w:rsid w:val="00A427CE"/>
    <w:rsid w:val="00A6383E"/>
    <w:rsid w:val="00A83A79"/>
    <w:rsid w:val="00A8760E"/>
    <w:rsid w:val="00A94ADC"/>
    <w:rsid w:val="00B11636"/>
    <w:rsid w:val="00B50244"/>
    <w:rsid w:val="00B6117A"/>
    <w:rsid w:val="00B74CC4"/>
    <w:rsid w:val="00B82889"/>
    <w:rsid w:val="00BA0F98"/>
    <w:rsid w:val="00BB1A0B"/>
    <w:rsid w:val="00BC03F9"/>
    <w:rsid w:val="00BD48F7"/>
    <w:rsid w:val="00BE06DF"/>
    <w:rsid w:val="00BE1682"/>
    <w:rsid w:val="00BE21E8"/>
    <w:rsid w:val="00BE2EC9"/>
    <w:rsid w:val="00BF05FC"/>
    <w:rsid w:val="00C65595"/>
    <w:rsid w:val="00CF3A31"/>
    <w:rsid w:val="00CF4B92"/>
    <w:rsid w:val="00D0074C"/>
    <w:rsid w:val="00D84549"/>
    <w:rsid w:val="00D879B5"/>
    <w:rsid w:val="00D9548F"/>
    <w:rsid w:val="00DB756D"/>
    <w:rsid w:val="00DC571E"/>
    <w:rsid w:val="00DF1CDC"/>
    <w:rsid w:val="00DF42A0"/>
    <w:rsid w:val="00DF50BA"/>
    <w:rsid w:val="00E04520"/>
    <w:rsid w:val="00E45283"/>
    <w:rsid w:val="00E56C14"/>
    <w:rsid w:val="00E64C78"/>
    <w:rsid w:val="00EA47C9"/>
    <w:rsid w:val="00EB01DA"/>
    <w:rsid w:val="00EE01BB"/>
    <w:rsid w:val="00F17C09"/>
    <w:rsid w:val="00F25136"/>
    <w:rsid w:val="00F41D6F"/>
    <w:rsid w:val="00F45170"/>
    <w:rsid w:val="00F734A6"/>
    <w:rsid w:val="00F915BA"/>
    <w:rsid w:val="00FC15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140C9-E0E2-4D4B-8040-4012EAEF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ind w:left="567"/>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customStyle="1" w:styleId="cm-parafullout-bold">
    <w:name w:val="cm-parafullout-bold"/>
    <w:basedOn w:val="Normal"/>
    <w:rsid w:val="00DF50B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styleId="Hyperlink">
    <w:name w:val="Hyperlink"/>
    <w:basedOn w:val="DefaultParagraphFont"/>
    <w:uiPriority w:val="99"/>
    <w:semiHidden/>
    <w:unhideWhenUsed/>
    <w:rsid w:val="00DF50BA"/>
    <w:rPr>
      <w:color w:val="0000FF"/>
      <w:u w:val="single"/>
    </w:rPr>
  </w:style>
  <w:style w:type="paragraph" w:customStyle="1" w:styleId="cm-bullet">
    <w:name w:val="cm-bullet"/>
    <w:basedOn w:val="Normal"/>
    <w:rsid w:val="00DF50B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cm-parafullout">
    <w:name w:val="cm-parafullout"/>
    <w:basedOn w:val="Normal"/>
    <w:rsid w:val="00DF50B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cm-para1quad">
    <w:name w:val="cm-para1quad"/>
    <w:basedOn w:val="Normal"/>
    <w:rsid w:val="00DF50B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FootnoteText">
    <w:name w:val="footnote text"/>
    <w:basedOn w:val="Normal"/>
    <w:link w:val="FootnoteTextChar"/>
    <w:uiPriority w:val="99"/>
    <w:semiHidden/>
    <w:unhideWhenUsed/>
    <w:rsid w:val="00F17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C09"/>
    <w:rPr>
      <w:rFonts w:ascii="Arial" w:hAnsi="Arial"/>
      <w:sz w:val="20"/>
      <w:szCs w:val="20"/>
      <w:lang w:val="en-GB"/>
    </w:rPr>
  </w:style>
  <w:style w:type="character" w:styleId="FootnoteReference">
    <w:name w:val="footnote reference"/>
    <w:basedOn w:val="DefaultParagraphFont"/>
    <w:uiPriority w:val="99"/>
    <w:semiHidden/>
    <w:unhideWhenUsed/>
    <w:rsid w:val="00F17C09"/>
    <w:rPr>
      <w:vertAlign w:val="superscript"/>
    </w:rPr>
  </w:style>
  <w:style w:type="paragraph" w:styleId="ListParagraph">
    <w:name w:val="List Paragraph"/>
    <w:basedOn w:val="Normal"/>
    <w:uiPriority w:val="34"/>
    <w:qFormat/>
    <w:rsid w:val="003F72B4"/>
    <w:pPr>
      <w:ind w:left="720"/>
      <w:contextualSpacing/>
    </w:pPr>
  </w:style>
  <w:style w:type="paragraph" w:styleId="BalloonText">
    <w:name w:val="Balloon Text"/>
    <w:basedOn w:val="Normal"/>
    <w:link w:val="BalloonTextChar"/>
    <w:uiPriority w:val="99"/>
    <w:semiHidden/>
    <w:unhideWhenUsed/>
    <w:rsid w:val="00A37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9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Dropbox\PC\Documents\Judgments%202023\High%20Court%20Judgment%20Template%20(0000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BA5A-0DB6-45E1-9734-0F0AA001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 (00000002)</Template>
  <TotalTime>0</TotalTime>
  <Pages>10</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2</cp:revision>
  <cp:lastPrinted>2023-04-11T14:59:00Z</cp:lastPrinted>
  <dcterms:created xsi:type="dcterms:W3CDTF">2023-04-13T10:58:00Z</dcterms:created>
  <dcterms:modified xsi:type="dcterms:W3CDTF">2023-04-13T10:58:00Z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7d2a27f1-7d0d-44a7-82e4-16d78624a007</vt:lpwstr>
  </property>
</Properties>
</file>