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566C4D1B" w14:textId="77777777" w:rsidR="006C43D7" w:rsidRPr="0009745A" w:rsidRDefault="006C43D7" w:rsidP="006C43D7">
      <w:pPr>
        <w:jc w:val="center"/>
        <w:rPr>
          <w:rFonts w:cs="Arial"/>
          <w:b/>
          <w:szCs w:val="22"/>
        </w:rPr>
      </w:pPr>
      <w:r w:rsidRPr="0009745A">
        <w:rPr>
          <w:rFonts w:cs="Arial"/>
          <w:b/>
          <w:szCs w:val="22"/>
        </w:rPr>
        <w:t>GAUTENG DIVISION, JOHANNESBURG</w:t>
      </w:r>
    </w:p>
    <w:p w14:paraId="13D6E83E" w14:textId="77777777" w:rsidR="006C43D7" w:rsidRPr="0009745A" w:rsidRDefault="006C43D7" w:rsidP="006C43D7">
      <w:pPr>
        <w:jc w:val="both"/>
        <w:rPr>
          <w:rFonts w:cs="Arial"/>
          <w:b/>
          <w:szCs w:val="22"/>
        </w:rPr>
      </w:pPr>
    </w:p>
    <w:p w14:paraId="3698476C" w14:textId="451E9E9F" w:rsidR="006C43D7" w:rsidRPr="0009745A" w:rsidRDefault="006C43D7" w:rsidP="006C43D7">
      <w:pPr>
        <w:spacing w:line="360" w:lineRule="auto"/>
        <w:jc w:val="right"/>
        <w:rPr>
          <w:rFonts w:cs="Arial"/>
          <w:b/>
          <w:szCs w:val="22"/>
        </w:rPr>
      </w:pPr>
      <w:r w:rsidRPr="0009745A">
        <w:rPr>
          <w:rFonts w:cs="Arial"/>
          <w:b/>
          <w:szCs w:val="22"/>
        </w:rPr>
        <w:t xml:space="preserve">CASE NO: </w:t>
      </w:r>
      <w:r w:rsidR="00CE0612">
        <w:rPr>
          <w:b/>
          <w:bCs/>
        </w:rPr>
        <w:t>2023/00000054</w:t>
      </w:r>
    </w:p>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7144B547" w:rsidR="009165D0" w:rsidRDefault="008E2A77" w:rsidP="008E2A7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7176AFD7" w:rsidR="009165D0" w:rsidRPr="001D3CC2" w:rsidRDefault="008E2A77" w:rsidP="008E2A7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7144B547" w:rsidR="009165D0" w:rsidRDefault="008E2A77" w:rsidP="008E2A7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7176AFD7" w:rsidR="009165D0" w:rsidRPr="001D3CC2" w:rsidRDefault="008E2A77" w:rsidP="008E2A7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04919B1B" w14:textId="77777777" w:rsidR="001D3CC2" w:rsidRPr="0009745A" w:rsidRDefault="001D3CC2" w:rsidP="006C43D7">
      <w:pPr>
        <w:spacing w:line="480" w:lineRule="auto"/>
        <w:jc w:val="both"/>
        <w:rPr>
          <w:rFonts w:cs="Arial"/>
          <w:szCs w:val="22"/>
        </w:rPr>
      </w:pPr>
    </w:p>
    <w:p w14:paraId="2A3E8EC7" w14:textId="35BFF3B1" w:rsidR="00CC48E3" w:rsidRPr="0009745A" w:rsidRDefault="00CC48E3" w:rsidP="00CC48E3">
      <w:pPr>
        <w:rPr>
          <w:rFonts w:cs="Arial"/>
          <w:szCs w:val="22"/>
        </w:rPr>
      </w:pPr>
    </w:p>
    <w:p w14:paraId="3CF828F5" w14:textId="77777777" w:rsidR="00CC48E3" w:rsidRPr="0009745A" w:rsidRDefault="00CC48E3" w:rsidP="00CC48E3">
      <w:pPr>
        <w:rPr>
          <w:rFonts w:cs="Arial"/>
          <w:szCs w:val="22"/>
        </w:rPr>
      </w:pPr>
      <w:r w:rsidRPr="0009745A">
        <w:rPr>
          <w:rFonts w:cs="Arial"/>
          <w:szCs w:val="22"/>
        </w:rPr>
        <w:t>In the matter between –</w:t>
      </w:r>
    </w:p>
    <w:p w14:paraId="17480F7B" w14:textId="05A3E5F7" w:rsidR="00CC48E3" w:rsidRPr="0009745A" w:rsidRDefault="00CC48E3" w:rsidP="00CC48E3">
      <w:pPr>
        <w:rPr>
          <w:rFonts w:cs="Arial"/>
          <w:szCs w:val="22"/>
        </w:rPr>
      </w:pPr>
    </w:p>
    <w:p w14:paraId="5CA8F57B" w14:textId="3A5CECEB" w:rsidR="006C43D7" w:rsidRPr="0009745A" w:rsidRDefault="006C43D7" w:rsidP="00016C5A">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12"/>
      </w:tblGrid>
      <w:tr w:rsidR="00C35C76" w:rsidRPr="00D220D9" w14:paraId="3F391BAE" w14:textId="77777777" w:rsidTr="00CE0612">
        <w:tc>
          <w:tcPr>
            <w:tcW w:w="6804" w:type="dxa"/>
          </w:tcPr>
          <w:p w14:paraId="14A5291F" w14:textId="2AAAD3DE" w:rsidR="00C35C76" w:rsidRPr="00CE0612" w:rsidRDefault="00CE0612" w:rsidP="00CE0612">
            <w:pPr>
              <w:pStyle w:val="Heading1"/>
              <w:outlineLvl w:val="0"/>
              <w:rPr>
                <w:b w:val="0"/>
                <w:bCs w:val="0"/>
              </w:rPr>
            </w:pPr>
            <w:r>
              <w:t>SINETHEMBA DUBE</w:t>
            </w:r>
          </w:p>
        </w:tc>
        <w:tc>
          <w:tcPr>
            <w:tcW w:w="2212" w:type="dxa"/>
          </w:tcPr>
          <w:p w14:paraId="1F273C18" w14:textId="7CD5B034" w:rsidR="00C35C76" w:rsidRPr="00D220D9" w:rsidRDefault="00CE0612" w:rsidP="00D220D9">
            <w:pPr>
              <w:spacing w:before="120" w:after="120"/>
              <w:rPr>
                <w:rFonts w:cs="Arial"/>
                <w:b/>
                <w:bCs/>
                <w:szCs w:val="22"/>
              </w:rPr>
            </w:pPr>
            <w:r>
              <w:rPr>
                <w:rFonts w:cs="Arial"/>
                <w:b/>
                <w:bCs/>
                <w:szCs w:val="22"/>
              </w:rPr>
              <w:t>1</w:t>
            </w:r>
            <w:r w:rsidRPr="00CE0612">
              <w:rPr>
                <w:rFonts w:cs="Arial"/>
                <w:b/>
                <w:bCs/>
                <w:szCs w:val="22"/>
                <w:vertAlign w:val="superscript"/>
              </w:rPr>
              <w:t>st</w:t>
            </w:r>
            <w:r>
              <w:rPr>
                <w:rFonts w:cs="Arial"/>
                <w:b/>
                <w:bCs/>
                <w:szCs w:val="22"/>
              </w:rPr>
              <w:t xml:space="preserve"> </w:t>
            </w:r>
            <w:r w:rsidR="00C35C76" w:rsidRPr="00D220D9">
              <w:rPr>
                <w:rFonts w:cs="Arial"/>
                <w:b/>
                <w:bCs/>
                <w:szCs w:val="22"/>
              </w:rPr>
              <w:t>APPLICANT</w:t>
            </w:r>
          </w:p>
        </w:tc>
      </w:tr>
      <w:tr w:rsidR="00C35C76" w:rsidRPr="00D220D9" w14:paraId="4FC5C5F1" w14:textId="77777777" w:rsidTr="00CE0612">
        <w:tc>
          <w:tcPr>
            <w:tcW w:w="6804" w:type="dxa"/>
          </w:tcPr>
          <w:p w14:paraId="3B807347" w14:textId="77777777" w:rsidR="00CE0612" w:rsidRDefault="00CE0612" w:rsidP="00CE0612">
            <w:pPr>
              <w:rPr>
                <w:b/>
              </w:rPr>
            </w:pPr>
            <w:r>
              <w:rPr>
                <w:b/>
              </w:rPr>
              <w:t>THE TENANTS OF 31 BETTY STREET</w:t>
            </w:r>
          </w:p>
          <w:p w14:paraId="0CE7B1D3" w14:textId="12DA27A6" w:rsidR="00C35C76" w:rsidRPr="00D220D9" w:rsidRDefault="00CE0612" w:rsidP="00CE0612">
            <w:pPr>
              <w:spacing w:before="120" w:after="120"/>
              <w:rPr>
                <w:rFonts w:cs="Arial"/>
                <w:b/>
                <w:bCs/>
                <w:szCs w:val="22"/>
              </w:rPr>
            </w:pPr>
            <w:r>
              <w:rPr>
                <w:b/>
              </w:rPr>
              <w:t>LISTED IN ANNEXURE “A” OF THE NOTICE OF MOTION</w:t>
            </w:r>
            <w:r w:rsidRPr="00D220D9">
              <w:rPr>
                <w:rFonts w:cs="Arial"/>
                <w:b/>
                <w:bCs/>
                <w:szCs w:val="22"/>
              </w:rPr>
              <w:t xml:space="preserve"> </w:t>
            </w:r>
          </w:p>
        </w:tc>
        <w:tc>
          <w:tcPr>
            <w:tcW w:w="2212" w:type="dxa"/>
          </w:tcPr>
          <w:p w14:paraId="2F9DB216" w14:textId="3DBEDBA8" w:rsidR="00C35C76" w:rsidRPr="00D220D9" w:rsidRDefault="00CE0612" w:rsidP="00D220D9">
            <w:pPr>
              <w:spacing w:before="120" w:after="120"/>
              <w:rPr>
                <w:rFonts w:cs="Arial"/>
                <w:b/>
                <w:bCs/>
                <w:szCs w:val="22"/>
              </w:rPr>
            </w:pPr>
            <w:r>
              <w:rPr>
                <w:rFonts w:cs="Arial"/>
                <w:b/>
                <w:bCs/>
                <w:szCs w:val="22"/>
              </w:rPr>
              <w:t>2</w:t>
            </w:r>
            <w:r w:rsidRPr="00CE0612">
              <w:rPr>
                <w:rFonts w:cs="Arial"/>
                <w:b/>
                <w:bCs/>
                <w:szCs w:val="22"/>
                <w:vertAlign w:val="superscript"/>
              </w:rPr>
              <w:t>nd</w:t>
            </w:r>
            <w:r>
              <w:rPr>
                <w:rFonts w:cs="Arial"/>
                <w:b/>
                <w:bCs/>
                <w:szCs w:val="22"/>
              </w:rPr>
              <w:t xml:space="preserve"> APPLICANT</w:t>
            </w:r>
          </w:p>
        </w:tc>
      </w:tr>
      <w:tr w:rsidR="00C35C76" w:rsidRPr="00D220D9" w14:paraId="049E5813" w14:textId="77777777" w:rsidTr="00CE0612">
        <w:tc>
          <w:tcPr>
            <w:tcW w:w="6804" w:type="dxa"/>
          </w:tcPr>
          <w:p w14:paraId="7147811E" w14:textId="62DA233C" w:rsidR="00C35C76" w:rsidRPr="00D220D9" w:rsidRDefault="00CE0612" w:rsidP="00D220D9">
            <w:pPr>
              <w:spacing w:before="120" w:after="120"/>
              <w:rPr>
                <w:rFonts w:cs="Arial"/>
                <w:b/>
                <w:bCs/>
                <w:szCs w:val="22"/>
              </w:rPr>
            </w:pPr>
            <w:r>
              <w:rPr>
                <w:rFonts w:cs="Arial"/>
                <w:b/>
                <w:bCs/>
                <w:szCs w:val="22"/>
              </w:rPr>
              <w:t>and</w:t>
            </w:r>
          </w:p>
        </w:tc>
        <w:tc>
          <w:tcPr>
            <w:tcW w:w="2212" w:type="dxa"/>
          </w:tcPr>
          <w:p w14:paraId="5F31628B" w14:textId="75E7A2BA" w:rsidR="00C35C76" w:rsidRPr="00D220D9" w:rsidRDefault="00C35C76" w:rsidP="00D220D9">
            <w:pPr>
              <w:autoSpaceDE w:val="0"/>
              <w:autoSpaceDN w:val="0"/>
              <w:adjustRightInd w:val="0"/>
              <w:spacing w:before="120" w:after="120"/>
              <w:rPr>
                <w:rFonts w:cs="Arial"/>
                <w:b/>
                <w:bCs/>
                <w:szCs w:val="22"/>
              </w:rPr>
            </w:pPr>
          </w:p>
        </w:tc>
      </w:tr>
      <w:tr w:rsidR="00087D87" w:rsidRPr="00D220D9" w14:paraId="35088DCF" w14:textId="77777777" w:rsidTr="00CE0612">
        <w:tc>
          <w:tcPr>
            <w:tcW w:w="6804" w:type="dxa"/>
          </w:tcPr>
          <w:p w14:paraId="5ED2DE8A" w14:textId="76F9FBDD" w:rsidR="00087D87" w:rsidRPr="00D220D9" w:rsidRDefault="00CE0612" w:rsidP="00CE0612">
            <w:pPr>
              <w:spacing w:before="120" w:after="120"/>
              <w:rPr>
                <w:b/>
                <w:bCs/>
              </w:rPr>
            </w:pPr>
            <w:r>
              <w:rPr>
                <w:rFonts w:cs="Arial"/>
                <w:b/>
                <w:bCs/>
              </w:rPr>
              <w:t>NINARICH INVESTMENTS (PTY) LTD</w:t>
            </w:r>
          </w:p>
        </w:tc>
        <w:tc>
          <w:tcPr>
            <w:tcW w:w="2212" w:type="dxa"/>
          </w:tcPr>
          <w:p w14:paraId="5AB035B0" w14:textId="7C5681F7" w:rsidR="00D220D9" w:rsidRPr="00D220D9" w:rsidRDefault="00CE0612" w:rsidP="00CE0612">
            <w:pPr>
              <w:autoSpaceDE w:val="0"/>
              <w:autoSpaceDN w:val="0"/>
              <w:adjustRightInd w:val="0"/>
              <w:spacing w:before="120" w:after="120"/>
              <w:rPr>
                <w:rFonts w:cs="Arial"/>
                <w:b/>
                <w:bCs/>
                <w:szCs w:val="22"/>
              </w:rPr>
            </w:pPr>
            <w:r>
              <w:rPr>
                <w:rFonts w:cs="Arial"/>
                <w:b/>
                <w:bCs/>
                <w:szCs w:val="22"/>
              </w:rPr>
              <w:t>1</w:t>
            </w:r>
            <w:r w:rsidRPr="00CE0612">
              <w:rPr>
                <w:rFonts w:cs="Arial"/>
                <w:b/>
                <w:bCs/>
                <w:szCs w:val="22"/>
                <w:vertAlign w:val="superscript"/>
              </w:rPr>
              <w:t>st</w:t>
            </w:r>
            <w:r w:rsidR="00087D87" w:rsidRPr="00D220D9">
              <w:rPr>
                <w:rFonts w:cs="Arial"/>
                <w:b/>
                <w:bCs/>
                <w:szCs w:val="22"/>
              </w:rPr>
              <w:t xml:space="preserve"> RESPONDENT</w:t>
            </w:r>
          </w:p>
        </w:tc>
      </w:tr>
      <w:tr w:rsidR="00D220D9" w:rsidRPr="00D220D9" w14:paraId="1EE58C33" w14:textId="77777777" w:rsidTr="00CE0612">
        <w:tc>
          <w:tcPr>
            <w:tcW w:w="6804" w:type="dxa"/>
          </w:tcPr>
          <w:p w14:paraId="6B48D352" w14:textId="5C83AA0A" w:rsidR="00D220D9" w:rsidRPr="00D220D9" w:rsidRDefault="00CE0612" w:rsidP="00CE0612">
            <w:pPr>
              <w:spacing w:before="120" w:after="120"/>
              <w:rPr>
                <w:b/>
                <w:bCs/>
              </w:rPr>
            </w:pPr>
            <w:r>
              <w:rPr>
                <w:rFonts w:cs="Arial"/>
                <w:b/>
              </w:rPr>
              <w:t>NINARICH TRADING 3 (PTY) LTD</w:t>
            </w:r>
          </w:p>
        </w:tc>
        <w:tc>
          <w:tcPr>
            <w:tcW w:w="2212" w:type="dxa"/>
          </w:tcPr>
          <w:p w14:paraId="63DFE1C7" w14:textId="17CF50DF" w:rsidR="00D220D9" w:rsidRPr="00D220D9" w:rsidRDefault="00CE0612" w:rsidP="00CE0612">
            <w:pPr>
              <w:autoSpaceDE w:val="0"/>
              <w:autoSpaceDN w:val="0"/>
              <w:adjustRightInd w:val="0"/>
              <w:spacing w:before="120" w:after="120"/>
              <w:rPr>
                <w:rFonts w:cs="Arial"/>
                <w:b/>
                <w:bCs/>
                <w:szCs w:val="22"/>
              </w:rPr>
            </w:pPr>
            <w:r>
              <w:rPr>
                <w:rFonts w:cs="Arial"/>
                <w:b/>
                <w:bCs/>
                <w:szCs w:val="22"/>
              </w:rPr>
              <w:t>2</w:t>
            </w:r>
            <w:r w:rsidRPr="00CE0612">
              <w:rPr>
                <w:rFonts w:cs="Arial"/>
                <w:b/>
                <w:bCs/>
                <w:szCs w:val="22"/>
                <w:vertAlign w:val="superscript"/>
              </w:rPr>
              <w:t>nd</w:t>
            </w:r>
            <w:r w:rsidR="00D220D9" w:rsidRPr="00D220D9">
              <w:rPr>
                <w:rFonts w:cs="Arial"/>
                <w:b/>
                <w:bCs/>
                <w:szCs w:val="22"/>
              </w:rPr>
              <w:t xml:space="preserve"> RESPONDENT</w:t>
            </w:r>
          </w:p>
        </w:tc>
      </w:tr>
      <w:tr w:rsidR="00D220D9" w:rsidRPr="00D220D9" w14:paraId="715D9D79" w14:textId="77777777" w:rsidTr="00CE0612">
        <w:tc>
          <w:tcPr>
            <w:tcW w:w="6804" w:type="dxa"/>
          </w:tcPr>
          <w:p w14:paraId="1FE5948D" w14:textId="69D3C609" w:rsidR="00D220D9" w:rsidRPr="00D220D9" w:rsidRDefault="00CE0612" w:rsidP="00CE0612">
            <w:pPr>
              <w:spacing w:line="276" w:lineRule="auto"/>
              <w:rPr>
                <w:b/>
                <w:bCs/>
              </w:rPr>
            </w:pPr>
            <w:r>
              <w:rPr>
                <w:rFonts w:cs="Arial"/>
                <w:b/>
              </w:rPr>
              <w:t>G3 HOLDINGS (PTY) LTD T/A INVESTIGATIONS &amp; SECURITY SERVICES</w:t>
            </w:r>
          </w:p>
        </w:tc>
        <w:tc>
          <w:tcPr>
            <w:tcW w:w="2212" w:type="dxa"/>
          </w:tcPr>
          <w:p w14:paraId="45809840" w14:textId="4A168E2A" w:rsidR="00D220D9" w:rsidRPr="00D220D9" w:rsidRDefault="00CE0612" w:rsidP="00CE0612">
            <w:pPr>
              <w:autoSpaceDE w:val="0"/>
              <w:autoSpaceDN w:val="0"/>
              <w:adjustRightInd w:val="0"/>
              <w:spacing w:before="120" w:after="120"/>
              <w:rPr>
                <w:rFonts w:cs="Arial"/>
                <w:b/>
                <w:bCs/>
                <w:szCs w:val="22"/>
              </w:rPr>
            </w:pPr>
            <w:r>
              <w:rPr>
                <w:rFonts w:cs="Arial"/>
                <w:b/>
                <w:bCs/>
                <w:szCs w:val="22"/>
              </w:rPr>
              <w:t>3</w:t>
            </w:r>
            <w:r w:rsidRPr="00CE0612">
              <w:rPr>
                <w:rFonts w:cs="Arial"/>
                <w:b/>
                <w:bCs/>
                <w:szCs w:val="22"/>
                <w:vertAlign w:val="superscript"/>
              </w:rPr>
              <w:t>rd</w:t>
            </w:r>
            <w:r w:rsidR="00D220D9" w:rsidRPr="00D220D9">
              <w:rPr>
                <w:rFonts w:cs="Arial"/>
                <w:b/>
                <w:bCs/>
                <w:szCs w:val="22"/>
              </w:rPr>
              <w:t xml:space="preserve"> RESPONDENT</w:t>
            </w:r>
          </w:p>
        </w:tc>
      </w:tr>
      <w:tr w:rsidR="00D220D9" w:rsidRPr="00D220D9" w14:paraId="13EC00D2" w14:textId="77777777" w:rsidTr="00CE0612">
        <w:tc>
          <w:tcPr>
            <w:tcW w:w="6804" w:type="dxa"/>
          </w:tcPr>
          <w:p w14:paraId="609BE1AF" w14:textId="4A2D67FF" w:rsidR="00D220D9" w:rsidRPr="00D220D9" w:rsidRDefault="00CE0612" w:rsidP="00CE0612">
            <w:pPr>
              <w:spacing w:before="120" w:after="120"/>
              <w:rPr>
                <w:b/>
                <w:bCs/>
              </w:rPr>
            </w:pPr>
            <w:r>
              <w:rPr>
                <w:rFonts w:cs="Arial"/>
                <w:b/>
              </w:rPr>
              <w:t>CITY OF JOHANNESBURG</w:t>
            </w:r>
          </w:p>
        </w:tc>
        <w:tc>
          <w:tcPr>
            <w:tcW w:w="2212" w:type="dxa"/>
          </w:tcPr>
          <w:p w14:paraId="572DD25C" w14:textId="5905A912" w:rsidR="00D220D9" w:rsidRPr="00D220D9" w:rsidRDefault="00CE0612" w:rsidP="00CE0612">
            <w:pPr>
              <w:autoSpaceDE w:val="0"/>
              <w:autoSpaceDN w:val="0"/>
              <w:adjustRightInd w:val="0"/>
              <w:spacing w:before="120" w:after="120"/>
              <w:rPr>
                <w:rFonts w:cs="Arial"/>
                <w:b/>
                <w:bCs/>
                <w:szCs w:val="22"/>
              </w:rPr>
            </w:pPr>
            <w:r>
              <w:rPr>
                <w:rFonts w:cs="Arial"/>
                <w:b/>
                <w:bCs/>
                <w:szCs w:val="22"/>
              </w:rPr>
              <w:t>4</w:t>
            </w:r>
            <w:r w:rsidRPr="00CE0612">
              <w:rPr>
                <w:rFonts w:cs="Arial"/>
                <w:b/>
                <w:bCs/>
                <w:szCs w:val="22"/>
                <w:vertAlign w:val="superscript"/>
              </w:rPr>
              <w:t>th</w:t>
            </w:r>
            <w:r w:rsidR="00D220D9" w:rsidRPr="00D220D9">
              <w:rPr>
                <w:rFonts w:cs="Arial"/>
                <w:b/>
                <w:bCs/>
                <w:szCs w:val="22"/>
              </w:rPr>
              <w:t xml:space="preserve"> RESPONDENT</w:t>
            </w:r>
          </w:p>
        </w:tc>
      </w:tr>
    </w:tbl>
    <w:p w14:paraId="1F877BDF" w14:textId="77777777" w:rsidR="009A54C5" w:rsidRPr="0009745A" w:rsidRDefault="009A54C5" w:rsidP="00D220D9">
      <w:pPr>
        <w:pBdr>
          <w:bottom w:val="single" w:sz="4" w:space="1" w:color="auto"/>
        </w:pBdr>
        <w:spacing w:line="360" w:lineRule="auto"/>
        <w:rPr>
          <w:rFonts w:cs="Arial"/>
          <w:szCs w:val="22"/>
        </w:rPr>
      </w:pPr>
    </w:p>
    <w:p w14:paraId="58DE5549" w14:textId="77777777" w:rsidR="006C43D7" w:rsidRPr="0009745A" w:rsidRDefault="006C43D7" w:rsidP="006C43D7">
      <w:pPr>
        <w:spacing w:line="276" w:lineRule="auto"/>
        <w:jc w:val="both"/>
        <w:rPr>
          <w:rFonts w:cs="Arial"/>
          <w:szCs w:val="22"/>
        </w:rPr>
      </w:pPr>
    </w:p>
    <w:p w14:paraId="647AB70C" w14:textId="77777777" w:rsidR="006C43D7" w:rsidRPr="0009745A" w:rsidRDefault="006C43D7" w:rsidP="006C43D7">
      <w:pPr>
        <w:keepNext/>
        <w:spacing w:line="276" w:lineRule="auto"/>
        <w:jc w:val="center"/>
        <w:outlineLvl w:val="1"/>
        <w:rPr>
          <w:rFonts w:cs="Arial"/>
          <w:b/>
          <w:bCs/>
          <w:szCs w:val="22"/>
        </w:rPr>
      </w:pPr>
      <w:r w:rsidRPr="0009745A">
        <w:rPr>
          <w:rFonts w:cs="Arial"/>
          <w:b/>
          <w:bCs/>
          <w:szCs w:val="22"/>
        </w:rPr>
        <w:t>JUDGMENT</w:t>
      </w:r>
    </w:p>
    <w:p w14:paraId="52CD25EB" w14:textId="77777777" w:rsidR="006C43D7" w:rsidRPr="0009745A" w:rsidRDefault="006C43D7" w:rsidP="006C43D7">
      <w:pPr>
        <w:pBdr>
          <w:bottom w:val="single" w:sz="4" w:space="1" w:color="auto"/>
        </w:pBdr>
        <w:jc w:val="both"/>
        <w:rPr>
          <w:rFonts w:cs="Arial"/>
          <w:szCs w:val="22"/>
        </w:rPr>
      </w:pPr>
    </w:p>
    <w:p w14:paraId="5BD82EFE" w14:textId="0F8FBF70" w:rsidR="00BE6AB8" w:rsidRPr="0009745A" w:rsidRDefault="00C676F3" w:rsidP="00250A46">
      <w:pPr>
        <w:widowControl w:val="0"/>
        <w:spacing w:after="480" w:line="480" w:lineRule="auto"/>
        <w:jc w:val="both"/>
        <w:rPr>
          <w:rFonts w:cs="Arial"/>
          <w:b/>
          <w:szCs w:val="22"/>
        </w:rPr>
      </w:pPr>
      <w:r w:rsidRPr="0009745A">
        <w:rPr>
          <w:rFonts w:cs="Arial"/>
          <w:b/>
          <w:szCs w:val="22"/>
        </w:rPr>
        <w:t>MOORCROFT</w:t>
      </w:r>
      <w:r w:rsidR="006C43D7" w:rsidRPr="0009745A">
        <w:rPr>
          <w:rFonts w:cs="Arial"/>
          <w:b/>
          <w:szCs w:val="22"/>
        </w:rPr>
        <w:t xml:space="preserve"> AJ:</w:t>
      </w:r>
    </w:p>
    <w:p w14:paraId="4D94AFA1" w14:textId="3A8CEBC4" w:rsidR="00EB3541" w:rsidRDefault="00EB3541" w:rsidP="00250A46">
      <w:pPr>
        <w:widowControl w:val="0"/>
        <w:spacing w:after="480" w:line="480" w:lineRule="auto"/>
        <w:jc w:val="both"/>
        <w:rPr>
          <w:rFonts w:cs="Arial"/>
          <w:bCs/>
          <w:i/>
          <w:iCs/>
          <w:szCs w:val="22"/>
          <w:u w:val="single"/>
        </w:rPr>
      </w:pPr>
      <w:r>
        <w:rPr>
          <w:rFonts w:cs="Arial"/>
          <w:bCs/>
          <w:i/>
          <w:iCs/>
          <w:szCs w:val="22"/>
          <w:u w:val="single"/>
        </w:rPr>
        <w:lastRenderedPageBreak/>
        <w:t>Summary</w:t>
      </w:r>
    </w:p>
    <w:p w14:paraId="4B3D84DC" w14:textId="174E15B1" w:rsidR="00EB3541" w:rsidRDefault="00EB3541" w:rsidP="00250A46">
      <w:pPr>
        <w:widowControl w:val="0"/>
        <w:spacing w:after="480" w:line="480" w:lineRule="auto"/>
        <w:jc w:val="both"/>
        <w:rPr>
          <w:rFonts w:cs="Arial"/>
          <w:i/>
          <w:iCs/>
          <w:color w:val="000000" w:themeColor="text1"/>
        </w:rPr>
      </w:pPr>
      <w:r>
        <w:rPr>
          <w:rFonts w:cs="Arial"/>
          <w:bCs/>
          <w:i/>
          <w:iCs/>
          <w:szCs w:val="22"/>
        </w:rPr>
        <w:t xml:space="preserve">Spoliation – requirements - </w:t>
      </w:r>
      <w:r w:rsidRPr="00030AAB">
        <w:rPr>
          <w:rFonts w:cs="Arial"/>
          <w:i/>
          <w:iCs/>
          <w:color w:val="000000" w:themeColor="text1"/>
        </w:rPr>
        <w:t>peaceful and undisturbed possession of a thing</w:t>
      </w:r>
      <w:r>
        <w:rPr>
          <w:rFonts w:cs="Arial"/>
          <w:i/>
          <w:iCs/>
          <w:color w:val="000000" w:themeColor="text1"/>
        </w:rPr>
        <w:t xml:space="preserve">, </w:t>
      </w:r>
      <w:r w:rsidRPr="00030AAB">
        <w:rPr>
          <w:rFonts w:cs="Arial"/>
          <w:i/>
          <w:iCs/>
          <w:color w:val="000000" w:themeColor="text1"/>
        </w:rPr>
        <w:t>and unlawful deprivation of such possession</w:t>
      </w:r>
    </w:p>
    <w:p w14:paraId="29A2E26C" w14:textId="531CC602" w:rsidR="00EB3541" w:rsidRDefault="00EB3541" w:rsidP="00250A46">
      <w:pPr>
        <w:widowControl w:val="0"/>
        <w:spacing w:after="480" w:line="480" w:lineRule="auto"/>
        <w:jc w:val="both"/>
        <w:rPr>
          <w:rFonts w:cs="Arial"/>
          <w:i/>
          <w:iCs/>
          <w:color w:val="000000" w:themeColor="text1"/>
        </w:rPr>
      </w:pPr>
      <w:r>
        <w:rPr>
          <w:rFonts w:cs="Arial"/>
          <w:i/>
          <w:iCs/>
          <w:color w:val="000000" w:themeColor="text1"/>
        </w:rPr>
        <w:t xml:space="preserve">Possession not peaceful and undisturbed when it </w:t>
      </w:r>
      <w:r w:rsidR="00BC2A62">
        <w:rPr>
          <w:rFonts w:cs="Arial"/>
          <w:i/>
          <w:iCs/>
          <w:color w:val="000000" w:themeColor="text1"/>
        </w:rPr>
        <w:t xml:space="preserve">is </w:t>
      </w:r>
      <w:r>
        <w:rPr>
          <w:rFonts w:cs="Arial"/>
          <w:i/>
          <w:iCs/>
          <w:color w:val="000000" w:themeColor="text1"/>
        </w:rPr>
        <w:t xml:space="preserve">continuously </w:t>
      </w:r>
      <w:r w:rsidR="00BC2A62">
        <w:rPr>
          <w:rFonts w:cs="Arial"/>
          <w:i/>
          <w:iCs/>
          <w:color w:val="000000" w:themeColor="text1"/>
        </w:rPr>
        <w:t xml:space="preserve">being </w:t>
      </w:r>
      <w:r>
        <w:rPr>
          <w:rFonts w:cs="Arial"/>
          <w:i/>
          <w:iCs/>
          <w:color w:val="000000" w:themeColor="text1"/>
        </w:rPr>
        <w:t>resisted</w:t>
      </w:r>
    </w:p>
    <w:p w14:paraId="0C544F7D" w14:textId="77777777" w:rsidR="00EB3541" w:rsidRPr="00EB3541" w:rsidRDefault="00EB3541" w:rsidP="00250A46">
      <w:pPr>
        <w:widowControl w:val="0"/>
        <w:spacing w:after="480" w:line="480" w:lineRule="auto"/>
        <w:jc w:val="both"/>
        <w:rPr>
          <w:rFonts w:cs="Arial"/>
          <w:bCs/>
          <w:i/>
          <w:iCs/>
          <w:szCs w:val="22"/>
        </w:rPr>
      </w:pPr>
    </w:p>
    <w:p w14:paraId="32DA3C2C" w14:textId="052DEAC8" w:rsidR="003A6F23" w:rsidRPr="0009745A" w:rsidRDefault="003A6F23" w:rsidP="00250A46">
      <w:pPr>
        <w:widowControl w:val="0"/>
        <w:spacing w:after="480" w:line="480" w:lineRule="auto"/>
        <w:jc w:val="both"/>
        <w:rPr>
          <w:rFonts w:cs="Arial"/>
          <w:bCs/>
          <w:szCs w:val="22"/>
          <w:u w:val="single"/>
        </w:rPr>
      </w:pPr>
      <w:r w:rsidRPr="0009745A">
        <w:rPr>
          <w:rFonts w:cs="Arial"/>
          <w:bCs/>
          <w:szCs w:val="22"/>
          <w:u w:val="single"/>
        </w:rPr>
        <w:t>Order</w:t>
      </w:r>
    </w:p>
    <w:p w14:paraId="794327A4" w14:textId="6E709E52" w:rsidR="003A6F23" w:rsidRPr="0009745A" w:rsidRDefault="008E2A77" w:rsidP="008E2A77">
      <w:pPr>
        <w:widowControl w:val="0"/>
        <w:tabs>
          <w:tab w:val="left" w:pos="567"/>
        </w:tabs>
        <w:spacing w:after="480" w:line="480" w:lineRule="auto"/>
        <w:jc w:val="both"/>
        <w:rPr>
          <w:rFonts w:cs="Arial"/>
          <w:bCs/>
          <w:szCs w:val="22"/>
        </w:rPr>
      </w:pPr>
      <w:r w:rsidRPr="0009745A">
        <w:rPr>
          <w:rFonts w:cs="Arial"/>
          <w:bCs/>
          <w:szCs w:val="22"/>
        </w:rPr>
        <w:t>[1]</w:t>
      </w:r>
      <w:r w:rsidRPr="0009745A">
        <w:rPr>
          <w:rFonts w:cs="Arial"/>
          <w:bCs/>
          <w:szCs w:val="22"/>
        </w:rPr>
        <w:tab/>
      </w:r>
      <w:r w:rsidR="00B87B26" w:rsidRPr="0009745A">
        <w:rPr>
          <w:rFonts w:cs="Arial"/>
          <w:bCs/>
          <w:szCs w:val="22"/>
        </w:rPr>
        <w:t>I ma</w:t>
      </w:r>
      <w:r w:rsidR="00FA2987" w:rsidRPr="0009745A">
        <w:rPr>
          <w:rFonts w:cs="Arial"/>
          <w:bCs/>
          <w:szCs w:val="22"/>
        </w:rPr>
        <w:t>k</w:t>
      </w:r>
      <w:r w:rsidR="00B87B26" w:rsidRPr="0009745A">
        <w:rPr>
          <w:rFonts w:cs="Arial"/>
          <w:bCs/>
          <w:szCs w:val="22"/>
        </w:rPr>
        <w:t>e the following order</w:t>
      </w:r>
      <w:r w:rsidR="005A27EF" w:rsidRPr="0009745A">
        <w:rPr>
          <w:rFonts w:cs="Arial"/>
          <w:bCs/>
          <w:szCs w:val="22"/>
        </w:rPr>
        <w:t>:</w:t>
      </w:r>
    </w:p>
    <w:p w14:paraId="7E2A524E" w14:textId="069DCA90" w:rsidR="00891D4B" w:rsidRPr="008E2A77" w:rsidRDefault="008E2A77" w:rsidP="008E2A77">
      <w:pPr>
        <w:spacing w:before="120" w:line="360" w:lineRule="auto"/>
        <w:ind w:left="357" w:hanging="357"/>
        <w:jc w:val="both"/>
        <w:rPr>
          <w:rFonts w:cs="Arial"/>
          <w:i/>
          <w:iCs/>
          <w:szCs w:val="22"/>
        </w:rPr>
      </w:pPr>
      <w:r>
        <w:rPr>
          <w:rFonts w:cs="Arial"/>
          <w:i/>
          <w:iCs/>
          <w:szCs w:val="22"/>
        </w:rPr>
        <w:t>1.</w:t>
      </w:r>
      <w:r>
        <w:rPr>
          <w:rFonts w:cs="Arial"/>
          <w:i/>
          <w:iCs/>
          <w:szCs w:val="22"/>
        </w:rPr>
        <w:tab/>
      </w:r>
      <w:r w:rsidR="00891D4B" w:rsidRPr="008E2A77">
        <w:rPr>
          <w:rFonts w:cs="Arial"/>
          <w:i/>
          <w:iCs/>
          <w:szCs w:val="22"/>
        </w:rPr>
        <w:t>The application by the 1</w:t>
      </w:r>
      <w:r w:rsidR="00891D4B" w:rsidRPr="008E2A77">
        <w:rPr>
          <w:rFonts w:cs="Arial"/>
          <w:i/>
          <w:iCs/>
          <w:szCs w:val="22"/>
          <w:vertAlign w:val="superscript"/>
        </w:rPr>
        <w:t>st</w:t>
      </w:r>
      <w:r w:rsidR="00891D4B" w:rsidRPr="008E2A77">
        <w:rPr>
          <w:rFonts w:cs="Arial"/>
          <w:i/>
          <w:iCs/>
          <w:szCs w:val="22"/>
        </w:rPr>
        <w:t xml:space="preserve"> and 2</w:t>
      </w:r>
      <w:r w:rsidR="00891D4B" w:rsidRPr="008E2A77">
        <w:rPr>
          <w:rFonts w:cs="Arial"/>
          <w:i/>
          <w:iCs/>
          <w:szCs w:val="22"/>
          <w:vertAlign w:val="superscript"/>
        </w:rPr>
        <w:t>nd</w:t>
      </w:r>
      <w:r w:rsidR="00891D4B" w:rsidRPr="008E2A77">
        <w:rPr>
          <w:rFonts w:cs="Arial"/>
          <w:i/>
          <w:iCs/>
          <w:szCs w:val="22"/>
        </w:rPr>
        <w:t xml:space="preserve"> respondents to join third parties to the application is removed from the roll, and no order is made as to costs;</w:t>
      </w:r>
    </w:p>
    <w:p w14:paraId="606CBA72" w14:textId="4535C45D" w:rsidR="00891D4B" w:rsidRPr="008E2A77" w:rsidRDefault="008E2A77" w:rsidP="008E2A77">
      <w:pPr>
        <w:spacing w:before="120" w:line="360" w:lineRule="auto"/>
        <w:ind w:left="357" w:hanging="357"/>
        <w:jc w:val="both"/>
        <w:rPr>
          <w:rFonts w:cs="Arial"/>
          <w:i/>
          <w:iCs/>
          <w:szCs w:val="22"/>
        </w:rPr>
      </w:pPr>
      <w:r>
        <w:rPr>
          <w:rFonts w:cs="Arial"/>
          <w:i/>
          <w:iCs/>
          <w:szCs w:val="22"/>
        </w:rPr>
        <w:t>2.</w:t>
      </w:r>
      <w:r>
        <w:rPr>
          <w:rFonts w:cs="Arial"/>
          <w:i/>
          <w:iCs/>
          <w:szCs w:val="22"/>
        </w:rPr>
        <w:tab/>
      </w:r>
      <w:r w:rsidR="00891D4B" w:rsidRPr="008E2A77">
        <w:rPr>
          <w:rFonts w:cs="Arial"/>
          <w:i/>
          <w:iCs/>
          <w:szCs w:val="22"/>
        </w:rPr>
        <w:t>The main application is dismissed;</w:t>
      </w:r>
    </w:p>
    <w:p w14:paraId="4140FEBA" w14:textId="72AA7878" w:rsidR="00CE0612" w:rsidRPr="008E2A77" w:rsidRDefault="008E2A77" w:rsidP="008E2A77">
      <w:pPr>
        <w:spacing w:before="120" w:line="360" w:lineRule="auto"/>
        <w:ind w:left="357" w:hanging="357"/>
        <w:jc w:val="both"/>
        <w:rPr>
          <w:rFonts w:cs="Arial"/>
          <w:i/>
          <w:iCs/>
          <w:szCs w:val="22"/>
        </w:rPr>
      </w:pPr>
      <w:r>
        <w:rPr>
          <w:rFonts w:cs="Arial"/>
          <w:i/>
          <w:iCs/>
          <w:szCs w:val="22"/>
        </w:rPr>
        <w:t>3.</w:t>
      </w:r>
      <w:r>
        <w:rPr>
          <w:rFonts w:cs="Arial"/>
          <w:i/>
          <w:iCs/>
          <w:szCs w:val="22"/>
        </w:rPr>
        <w:tab/>
      </w:r>
      <w:r w:rsidR="00891D4B" w:rsidRPr="008E2A77">
        <w:rPr>
          <w:rFonts w:cs="Arial"/>
          <w:i/>
          <w:iCs/>
          <w:szCs w:val="22"/>
        </w:rPr>
        <w:t>The applicants are ordered to pay the costs</w:t>
      </w:r>
      <w:r w:rsidR="009F7500" w:rsidRPr="008E2A77">
        <w:rPr>
          <w:rFonts w:cs="Arial"/>
          <w:i/>
          <w:iCs/>
          <w:szCs w:val="22"/>
        </w:rPr>
        <w:t xml:space="preserve"> of the application, including the costs</w:t>
      </w:r>
      <w:r w:rsidR="00891D4B" w:rsidRPr="008E2A77">
        <w:rPr>
          <w:rFonts w:cs="Arial"/>
          <w:i/>
          <w:iCs/>
          <w:szCs w:val="22"/>
        </w:rPr>
        <w:t xml:space="preserve"> reserved on </w:t>
      </w:r>
      <w:r w:rsidR="009F7500" w:rsidRPr="008E2A77">
        <w:rPr>
          <w:rFonts w:cs="Arial"/>
          <w:i/>
          <w:iCs/>
          <w:szCs w:val="22"/>
        </w:rPr>
        <w:t>18</w:t>
      </w:r>
      <w:r w:rsidR="00891D4B" w:rsidRPr="008E2A77">
        <w:rPr>
          <w:rFonts w:cs="Arial"/>
          <w:i/>
          <w:iCs/>
          <w:szCs w:val="22"/>
        </w:rPr>
        <w:t xml:space="preserve"> March 2023 on the scale as between attorney and client</w:t>
      </w:r>
      <w:r w:rsidR="009F7500" w:rsidRPr="008E2A77">
        <w:rPr>
          <w:rFonts w:cs="Arial"/>
          <w:i/>
          <w:iCs/>
          <w:szCs w:val="22"/>
        </w:rPr>
        <w:t>.</w:t>
      </w:r>
    </w:p>
    <w:p w14:paraId="58B7BCDA" w14:textId="77777777" w:rsidR="00CE0612" w:rsidRPr="00B24A59" w:rsidRDefault="00CE0612" w:rsidP="00B24A59">
      <w:pPr>
        <w:spacing w:before="120" w:line="360" w:lineRule="auto"/>
        <w:jc w:val="both"/>
        <w:rPr>
          <w:rFonts w:cs="Arial"/>
          <w:i/>
          <w:iCs/>
          <w:szCs w:val="22"/>
        </w:rPr>
      </w:pPr>
    </w:p>
    <w:p w14:paraId="19E04392" w14:textId="406B3697" w:rsidR="00A72651" w:rsidRPr="0009745A" w:rsidRDefault="008E2A77" w:rsidP="008E2A77">
      <w:pPr>
        <w:widowControl w:val="0"/>
        <w:tabs>
          <w:tab w:val="left" w:pos="567"/>
        </w:tabs>
        <w:spacing w:before="480" w:after="480" w:line="480" w:lineRule="auto"/>
        <w:jc w:val="both"/>
        <w:rPr>
          <w:rFonts w:cs="Arial"/>
          <w:bCs/>
          <w:szCs w:val="22"/>
        </w:rPr>
      </w:pPr>
      <w:r w:rsidRPr="0009745A">
        <w:rPr>
          <w:rFonts w:cs="Arial"/>
          <w:bCs/>
          <w:szCs w:val="22"/>
        </w:rPr>
        <w:t>[2]</w:t>
      </w:r>
      <w:r w:rsidRPr="0009745A">
        <w:rPr>
          <w:rFonts w:cs="Arial"/>
          <w:bCs/>
          <w:szCs w:val="22"/>
        </w:rPr>
        <w:tab/>
      </w:r>
      <w:r w:rsidR="003A6F23" w:rsidRPr="0009745A">
        <w:rPr>
          <w:rFonts w:cs="Arial"/>
          <w:bCs/>
          <w:szCs w:val="22"/>
        </w:rPr>
        <w:t xml:space="preserve">The reasons for the order </w:t>
      </w:r>
      <w:r w:rsidR="006145CE" w:rsidRPr="0009745A">
        <w:rPr>
          <w:rFonts w:cs="Arial"/>
          <w:bCs/>
          <w:szCs w:val="22"/>
        </w:rPr>
        <w:t>follow</w:t>
      </w:r>
      <w:r w:rsidR="003A6F23" w:rsidRPr="0009745A">
        <w:rPr>
          <w:rFonts w:cs="Arial"/>
          <w:bCs/>
          <w:szCs w:val="22"/>
        </w:rPr>
        <w:t xml:space="preserve"> below.</w:t>
      </w:r>
    </w:p>
    <w:p w14:paraId="4E35E6BB" w14:textId="77777777" w:rsidR="00D86ADD" w:rsidRDefault="00D86ADD" w:rsidP="002569A3">
      <w:pPr>
        <w:keepNext/>
        <w:widowControl w:val="0"/>
        <w:spacing w:before="480" w:after="480" w:line="480" w:lineRule="auto"/>
        <w:jc w:val="both"/>
        <w:rPr>
          <w:rFonts w:cs="Arial"/>
          <w:bCs/>
          <w:szCs w:val="22"/>
          <w:u w:val="single"/>
        </w:rPr>
      </w:pPr>
    </w:p>
    <w:p w14:paraId="10D55EE1" w14:textId="6330478D" w:rsidR="002569A3" w:rsidRPr="002569A3" w:rsidRDefault="002569A3" w:rsidP="002569A3">
      <w:pPr>
        <w:keepNext/>
        <w:widowControl w:val="0"/>
        <w:spacing w:before="480" w:after="480" w:line="480" w:lineRule="auto"/>
        <w:jc w:val="both"/>
        <w:rPr>
          <w:rFonts w:cs="Arial"/>
          <w:bCs/>
          <w:szCs w:val="22"/>
          <w:u w:val="single"/>
        </w:rPr>
      </w:pPr>
      <w:r w:rsidRPr="002569A3">
        <w:rPr>
          <w:rFonts w:cs="Arial"/>
          <w:bCs/>
          <w:szCs w:val="22"/>
          <w:u w:val="single"/>
        </w:rPr>
        <w:t>Introduction</w:t>
      </w:r>
    </w:p>
    <w:p w14:paraId="4C765F78" w14:textId="18CB0AD4" w:rsidR="00891D4B" w:rsidRDefault="008E2A77" w:rsidP="008E2A77">
      <w:pPr>
        <w:keepNext/>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891D4B">
        <w:rPr>
          <w:rFonts w:cs="Arial"/>
          <w:bCs/>
          <w:szCs w:val="22"/>
        </w:rPr>
        <w:t xml:space="preserve">In this matter I gave judgments and orders on 17, 18, and 21 March 2023. I do not repeat what was stated there </w:t>
      </w:r>
      <w:r w:rsidR="009F7500">
        <w:rPr>
          <w:rFonts w:cs="Arial"/>
          <w:bCs/>
          <w:szCs w:val="22"/>
        </w:rPr>
        <w:t>except to the extent</w:t>
      </w:r>
      <w:r w:rsidR="00891D4B">
        <w:rPr>
          <w:rFonts w:cs="Arial"/>
          <w:bCs/>
          <w:szCs w:val="22"/>
        </w:rPr>
        <w:t xml:space="preserve"> necessary. I also point to a typographical error in the last paragraph of the judgment on 21 March 2023 where the word ‘</w:t>
      </w:r>
      <w:r w:rsidR="00891D4B" w:rsidRPr="00EF4EC8">
        <w:rPr>
          <w:rFonts w:cs="Arial"/>
          <w:bCs/>
          <w:i/>
          <w:iCs/>
          <w:szCs w:val="22"/>
        </w:rPr>
        <w:t>not’</w:t>
      </w:r>
      <w:r w:rsidR="00891D4B">
        <w:rPr>
          <w:rFonts w:cs="Arial"/>
          <w:bCs/>
          <w:szCs w:val="22"/>
        </w:rPr>
        <w:t xml:space="preserve"> was omitted. The </w:t>
      </w:r>
      <w:r w:rsidR="00891D4B">
        <w:rPr>
          <w:rFonts w:cs="Arial"/>
          <w:bCs/>
          <w:szCs w:val="22"/>
        </w:rPr>
        <w:lastRenderedPageBreak/>
        <w:t xml:space="preserve">paragraph should read: </w:t>
      </w:r>
      <w:r w:rsidR="00891D4B" w:rsidRPr="00891D4B">
        <w:rPr>
          <w:rFonts w:cs="Arial"/>
          <w:bCs/>
          <w:i/>
          <w:iCs/>
          <w:szCs w:val="22"/>
        </w:rPr>
        <w:t>“I therefore make the order in paragraph 1 above. I may add that it was</w:t>
      </w:r>
      <w:r w:rsidR="00891D4B">
        <w:rPr>
          <w:rFonts w:cs="Arial"/>
          <w:bCs/>
          <w:i/>
          <w:iCs/>
          <w:szCs w:val="22"/>
        </w:rPr>
        <w:t xml:space="preserve"> </w:t>
      </w:r>
      <w:r w:rsidR="00891D4B" w:rsidRPr="00A2110C">
        <w:rPr>
          <w:rFonts w:cs="Arial"/>
          <w:bCs/>
          <w:i/>
          <w:iCs/>
          <w:szCs w:val="22"/>
          <w:u w:val="single"/>
        </w:rPr>
        <w:t>not</w:t>
      </w:r>
      <w:r w:rsidR="00891D4B">
        <w:rPr>
          <w:rFonts w:cs="Arial"/>
          <w:bCs/>
          <w:i/>
          <w:iCs/>
          <w:szCs w:val="22"/>
        </w:rPr>
        <w:t xml:space="preserve"> </w:t>
      </w:r>
      <w:r w:rsidR="00891D4B" w:rsidRPr="00891D4B">
        <w:rPr>
          <w:rFonts w:cs="Arial"/>
          <w:bCs/>
          <w:i/>
          <w:iCs/>
          <w:szCs w:val="22"/>
        </w:rPr>
        <w:t xml:space="preserve"> necessary to make any cost order as there was no appearance for the respondents.”</w:t>
      </w:r>
    </w:p>
    <w:p w14:paraId="19CDB7CE" w14:textId="4415F0FE" w:rsidR="00A869FC" w:rsidRDefault="008E2A77" w:rsidP="008E2A77">
      <w:pPr>
        <w:keepNext/>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9F7500">
        <w:rPr>
          <w:rFonts w:cs="Arial"/>
          <w:bCs/>
          <w:szCs w:val="22"/>
        </w:rPr>
        <w:t xml:space="preserve">On 17 March 2023 I removed the matter from the roll. </w:t>
      </w:r>
      <w:r w:rsidR="00A869FC">
        <w:rPr>
          <w:rFonts w:cs="Arial"/>
          <w:bCs/>
          <w:szCs w:val="22"/>
        </w:rPr>
        <w:t xml:space="preserve">On 18 March 2023 </w:t>
      </w:r>
      <w:r w:rsidR="009F7500">
        <w:rPr>
          <w:rFonts w:cs="Arial"/>
          <w:bCs/>
          <w:szCs w:val="22"/>
        </w:rPr>
        <w:t xml:space="preserve">I </w:t>
      </w:r>
      <w:r w:rsidR="00A869FC">
        <w:rPr>
          <w:rFonts w:cs="Arial"/>
          <w:bCs/>
          <w:szCs w:val="22"/>
        </w:rPr>
        <w:t>stood the matter down for argument on 24 March 2023, and I set time periods for the filing of affidavits.</w:t>
      </w:r>
      <w:r w:rsidR="00D42AB0">
        <w:rPr>
          <w:rFonts w:cs="Arial"/>
          <w:bCs/>
          <w:szCs w:val="22"/>
        </w:rPr>
        <w:t xml:space="preserve"> </w:t>
      </w:r>
      <w:r w:rsidR="009F7500">
        <w:rPr>
          <w:rFonts w:cs="Arial"/>
          <w:bCs/>
          <w:szCs w:val="22"/>
        </w:rPr>
        <w:t>A further application was removed from the roll on 21 March 2023 and t</w:t>
      </w:r>
      <w:r w:rsidR="00D42AB0">
        <w:rPr>
          <w:rFonts w:cs="Arial"/>
          <w:bCs/>
          <w:szCs w:val="22"/>
        </w:rPr>
        <w:t>he application was then argued on th</w:t>
      </w:r>
      <w:bookmarkStart w:id="0" w:name="_GoBack"/>
      <w:bookmarkEnd w:id="0"/>
      <w:r w:rsidR="00D42AB0">
        <w:rPr>
          <w:rFonts w:cs="Arial"/>
          <w:bCs/>
          <w:szCs w:val="22"/>
        </w:rPr>
        <w:t>e 24</w:t>
      </w:r>
      <w:r w:rsidR="00D42AB0" w:rsidRPr="00D42AB0">
        <w:rPr>
          <w:rFonts w:cs="Arial"/>
          <w:bCs/>
          <w:szCs w:val="22"/>
          <w:vertAlign w:val="superscript"/>
        </w:rPr>
        <w:t>th</w:t>
      </w:r>
      <w:r w:rsidR="00D42AB0">
        <w:rPr>
          <w:rFonts w:cs="Arial"/>
          <w:bCs/>
          <w:szCs w:val="22"/>
        </w:rPr>
        <w:t>.</w:t>
      </w:r>
    </w:p>
    <w:p w14:paraId="1F122FB4" w14:textId="6D3C79B4" w:rsidR="00BC2A62" w:rsidRDefault="008E2A77" w:rsidP="008E2A77">
      <w:pPr>
        <w:keepNext/>
        <w:widowControl w:val="0"/>
        <w:tabs>
          <w:tab w:val="left" w:pos="567"/>
        </w:tabs>
        <w:spacing w:before="480" w:after="480" w:line="480" w:lineRule="auto"/>
        <w:jc w:val="both"/>
        <w:rPr>
          <w:rFonts w:cs="Arial"/>
          <w:bCs/>
          <w:szCs w:val="22"/>
        </w:rPr>
      </w:pPr>
      <w:r>
        <w:rPr>
          <w:rFonts w:cs="Arial"/>
          <w:bCs/>
          <w:szCs w:val="22"/>
        </w:rPr>
        <w:t>[5]</w:t>
      </w:r>
      <w:r>
        <w:rPr>
          <w:rFonts w:cs="Arial"/>
          <w:bCs/>
          <w:szCs w:val="22"/>
        </w:rPr>
        <w:tab/>
      </w:r>
      <w:r w:rsidR="00BC2A62">
        <w:rPr>
          <w:rFonts w:cs="Arial"/>
          <w:bCs/>
          <w:szCs w:val="22"/>
        </w:rPr>
        <w:t>I am satisfied that the matter was sufficiently urgent to merit a hearing during the motion court week of 17 to 24 March 2023. The applicants allege that they were deprived of possession on 13 March 2023. They were arrested and most of the applicants were released on bail on the 15</w:t>
      </w:r>
      <w:r w:rsidR="00BC2A62" w:rsidRPr="00BC2A62">
        <w:rPr>
          <w:rFonts w:cs="Arial"/>
          <w:bCs/>
          <w:szCs w:val="22"/>
          <w:vertAlign w:val="superscript"/>
        </w:rPr>
        <w:t>th</w:t>
      </w:r>
      <w:r w:rsidR="00BC2A62">
        <w:rPr>
          <w:rFonts w:cs="Arial"/>
          <w:bCs/>
          <w:szCs w:val="22"/>
        </w:rPr>
        <w:t>. They then sought legal advice and served the application by email on the 17</w:t>
      </w:r>
      <w:r w:rsidR="00BC2A62" w:rsidRPr="00BC2A62">
        <w:rPr>
          <w:rFonts w:cs="Arial"/>
          <w:bCs/>
          <w:szCs w:val="22"/>
          <w:vertAlign w:val="superscript"/>
        </w:rPr>
        <w:t>th</w:t>
      </w:r>
      <w:r w:rsidR="00BC2A62">
        <w:rPr>
          <w:rFonts w:cs="Arial"/>
          <w:bCs/>
          <w:szCs w:val="22"/>
          <w:vertAlign w:val="superscript"/>
        </w:rPr>
        <w:t>.</w:t>
      </w:r>
      <w:r w:rsidR="00BC2A62">
        <w:rPr>
          <w:rFonts w:cs="Arial"/>
          <w:bCs/>
          <w:szCs w:val="22"/>
        </w:rPr>
        <w:t xml:space="preserve"> </w:t>
      </w:r>
    </w:p>
    <w:p w14:paraId="0B9A01DA" w14:textId="77777777" w:rsidR="009F7500" w:rsidRDefault="009F7500" w:rsidP="00D42AB0">
      <w:pPr>
        <w:keepNext/>
        <w:widowControl w:val="0"/>
        <w:spacing w:before="480" w:after="480" w:line="480" w:lineRule="auto"/>
        <w:jc w:val="both"/>
        <w:rPr>
          <w:rFonts w:cs="Arial"/>
          <w:bCs/>
          <w:szCs w:val="22"/>
          <w:u w:val="single"/>
        </w:rPr>
      </w:pPr>
    </w:p>
    <w:p w14:paraId="66C188BD" w14:textId="7B9B3054" w:rsidR="00D42AB0" w:rsidRPr="00D42AB0" w:rsidRDefault="00D42AB0" w:rsidP="009F7500">
      <w:pPr>
        <w:keepNext/>
        <w:widowControl w:val="0"/>
        <w:spacing w:before="480" w:after="480" w:line="480" w:lineRule="auto"/>
        <w:jc w:val="both"/>
        <w:rPr>
          <w:rFonts w:cs="Arial"/>
          <w:bCs/>
          <w:szCs w:val="22"/>
          <w:u w:val="single"/>
        </w:rPr>
      </w:pPr>
      <w:r w:rsidRPr="00D42AB0">
        <w:rPr>
          <w:rFonts w:cs="Arial"/>
          <w:bCs/>
          <w:szCs w:val="22"/>
          <w:u w:val="single"/>
        </w:rPr>
        <w:t>The history of the matter</w:t>
      </w:r>
    </w:p>
    <w:p w14:paraId="039E6501" w14:textId="7BA46826" w:rsidR="00EF4EC8" w:rsidRDefault="008E2A77" w:rsidP="008E2A77">
      <w:pPr>
        <w:keepNext/>
        <w:widowControl w:val="0"/>
        <w:tabs>
          <w:tab w:val="left" w:pos="567"/>
        </w:tabs>
        <w:spacing w:before="480" w:after="480" w:line="480" w:lineRule="auto"/>
        <w:jc w:val="both"/>
        <w:rPr>
          <w:rFonts w:cs="Arial"/>
          <w:bCs/>
          <w:szCs w:val="22"/>
        </w:rPr>
      </w:pPr>
      <w:r>
        <w:rPr>
          <w:rFonts w:cs="Arial"/>
          <w:bCs/>
          <w:szCs w:val="22"/>
        </w:rPr>
        <w:t>[6]</w:t>
      </w:r>
      <w:r>
        <w:rPr>
          <w:rFonts w:cs="Arial"/>
          <w:bCs/>
          <w:szCs w:val="22"/>
        </w:rPr>
        <w:tab/>
      </w:r>
      <w:r w:rsidR="00304724">
        <w:rPr>
          <w:rFonts w:cs="Arial"/>
          <w:bCs/>
          <w:szCs w:val="22"/>
        </w:rPr>
        <w:t>The uncontested evidence is that the building</w:t>
      </w:r>
      <w:r w:rsidR="002231EF">
        <w:rPr>
          <w:rFonts w:cs="Arial"/>
          <w:bCs/>
          <w:szCs w:val="22"/>
        </w:rPr>
        <w:t xml:space="preserve"> owned by the 1</w:t>
      </w:r>
      <w:r w:rsidR="002231EF" w:rsidRPr="002231EF">
        <w:rPr>
          <w:rFonts w:cs="Arial"/>
          <w:bCs/>
          <w:szCs w:val="22"/>
          <w:vertAlign w:val="superscript"/>
        </w:rPr>
        <w:t>st</w:t>
      </w:r>
      <w:r w:rsidR="002231EF">
        <w:rPr>
          <w:rFonts w:cs="Arial"/>
          <w:bCs/>
          <w:szCs w:val="22"/>
        </w:rPr>
        <w:t xml:space="preserve"> respondent and situated at 31 Betty Street, Jeppestown</w:t>
      </w:r>
      <w:r w:rsidR="00304724">
        <w:rPr>
          <w:rFonts w:cs="Arial"/>
          <w:bCs/>
          <w:szCs w:val="22"/>
        </w:rPr>
        <w:t xml:space="preserve"> was standing empty</w:t>
      </w:r>
      <w:r w:rsidR="0040535A">
        <w:rPr>
          <w:rStyle w:val="FootnoteReference"/>
          <w:rFonts w:cs="Arial"/>
          <w:bCs/>
          <w:szCs w:val="22"/>
        </w:rPr>
        <w:footnoteReference w:id="1"/>
      </w:r>
      <w:r w:rsidR="00304724">
        <w:rPr>
          <w:rFonts w:cs="Arial"/>
          <w:bCs/>
          <w:szCs w:val="22"/>
        </w:rPr>
        <w:t xml:space="preserve"> on 8 November 2022 when the applicants arrived at the entrance and announced that they would return that evening to seize control. That evening they arrived, chased off the security guards, and hijacked the building.</w:t>
      </w:r>
      <w:r w:rsidR="002F27D2">
        <w:rPr>
          <w:rFonts w:cs="Arial"/>
          <w:bCs/>
          <w:szCs w:val="22"/>
        </w:rPr>
        <w:t xml:space="preserve"> They vandalised the building by removing roller doors, </w:t>
      </w:r>
      <w:r w:rsidR="00EB3541">
        <w:rPr>
          <w:rFonts w:cs="Arial"/>
          <w:bCs/>
          <w:szCs w:val="22"/>
        </w:rPr>
        <w:t>geysers</w:t>
      </w:r>
      <w:r w:rsidR="002F27D2">
        <w:rPr>
          <w:rFonts w:cs="Arial"/>
          <w:bCs/>
          <w:szCs w:val="22"/>
        </w:rPr>
        <w:t xml:space="preserve"> and piping.</w:t>
      </w:r>
    </w:p>
    <w:p w14:paraId="2CFB5221" w14:textId="711632B6" w:rsidR="00D42AB0" w:rsidRDefault="008E2A77" w:rsidP="008E2A77">
      <w:pPr>
        <w:keepNext/>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191F5A">
        <w:rPr>
          <w:rFonts w:cs="Arial"/>
          <w:bCs/>
          <w:szCs w:val="22"/>
        </w:rPr>
        <w:t>The 1</w:t>
      </w:r>
      <w:r w:rsidR="00191F5A" w:rsidRPr="00191F5A">
        <w:rPr>
          <w:rFonts w:cs="Arial"/>
          <w:bCs/>
          <w:szCs w:val="22"/>
          <w:vertAlign w:val="superscript"/>
        </w:rPr>
        <w:t>st</w:t>
      </w:r>
      <w:r w:rsidR="00191F5A">
        <w:rPr>
          <w:rFonts w:cs="Arial"/>
          <w:bCs/>
          <w:szCs w:val="22"/>
        </w:rPr>
        <w:t xml:space="preserve"> respondent laid c</w:t>
      </w:r>
      <w:r w:rsidR="00D42AB0">
        <w:rPr>
          <w:rFonts w:cs="Arial"/>
          <w:bCs/>
          <w:szCs w:val="22"/>
        </w:rPr>
        <w:t>riminal charges</w:t>
      </w:r>
      <w:r w:rsidR="00191F5A">
        <w:rPr>
          <w:rFonts w:cs="Arial"/>
          <w:bCs/>
          <w:szCs w:val="22"/>
        </w:rPr>
        <w:t>. The 1</w:t>
      </w:r>
      <w:r w:rsidR="00191F5A" w:rsidRPr="00191F5A">
        <w:rPr>
          <w:rFonts w:cs="Arial"/>
          <w:bCs/>
          <w:szCs w:val="22"/>
          <w:vertAlign w:val="superscript"/>
        </w:rPr>
        <w:t>st</w:t>
      </w:r>
      <w:r w:rsidR="00191F5A">
        <w:rPr>
          <w:rFonts w:cs="Arial"/>
          <w:bCs/>
          <w:szCs w:val="22"/>
        </w:rPr>
        <w:t xml:space="preserve"> and 2</w:t>
      </w:r>
      <w:r w:rsidR="00191F5A" w:rsidRPr="00191F5A">
        <w:rPr>
          <w:rFonts w:cs="Arial"/>
          <w:bCs/>
          <w:szCs w:val="22"/>
          <w:vertAlign w:val="superscript"/>
        </w:rPr>
        <w:t>nd</w:t>
      </w:r>
      <w:r w:rsidR="00191F5A">
        <w:rPr>
          <w:rFonts w:cs="Arial"/>
          <w:bCs/>
          <w:szCs w:val="22"/>
        </w:rPr>
        <w:t xml:space="preserve"> respondents (“the </w:t>
      </w:r>
      <w:r w:rsidR="00191F5A">
        <w:rPr>
          <w:rFonts w:cs="Arial"/>
          <w:bCs/>
          <w:szCs w:val="22"/>
        </w:rPr>
        <w:lastRenderedPageBreak/>
        <w:t>respondents”)</w:t>
      </w:r>
      <w:r w:rsidR="00D42AB0">
        <w:rPr>
          <w:rFonts w:cs="Arial"/>
          <w:bCs/>
          <w:szCs w:val="22"/>
        </w:rPr>
        <w:t xml:space="preserve"> </w:t>
      </w:r>
      <w:r w:rsidR="00191F5A">
        <w:rPr>
          <w:rFonts w:cs="Arial"/>
          <w:bCs/>
          <w:szCs w:val="22"/>
        </w:rPr>
        <w:t xml:space="preserve">then proceeded with a </w:t>
      </w:r>
      <w:r w:rsidR="00D42AB0">
        <w:rPr>
          <w:rFonts w:cs="Arial"/>
          <w:bCs/>
          <w:szCs w:val="22"/>
        </w:rPr>
        <w:t>spoliation application</w:t>
      </w:r>
      <w:r w:rsidR="00D42AB0">
        <w:rPr>
          <w:rStyle w:val="FootnoteReference"/>
          <w:rFonts w:cs="Arial"/>
          <w:bCs/>
          <w:szCs w:val="22"/>
        </w:rPr>
        <w:footnoteReference w:id="2"/>
      </w:r>
      <w:r w:rsidR="00191F5A">
        <w:rPr>
          <w:rFonts w:cs="Arial"/>
          <w:bCs/>
          <w:szCs w:val="22"/>
        </w:rPr>
        <w:t xml:space="preserve"> in the part A and part B format </w:t>
      </w:r>
      <w:r w:rsidR="00D42AB0">
        <w:rPr>
          <w:rFonts w:cs="Arial"/>
          <w:bCs/>
          <w:szCs w:val="22"/>
        </w:rPr>
        <w:t>against the occupiers of a number of buildings in Jeppestown and Doornfontein</w:t>
      </w:r>
      <w:r w:rsidR="00EA7F05">
        <w:rPr>
          <w:rFonts w:cs="Arial"/>
          <w:bCs/>
          <w:szCs w:val="22"/>
        </w:rPr>
        <w:t xml:space="preserve"> owned by the respondents</w:t>
      </w:r>
      <w:r w:rsidR="00D42AB0">
        <w:rPr>
          <w:rFonts w:cs="Arial"/>
          <w:bCs/>
          <w:szCs w:val="22"/>
        </w:rPr>
        <w:t xml:space="preserve">, including the building </w:t>
      </w:r>
      <w:r w:rsidR="00EA7F05">
        <w:rPr>
          <w:rFonts w:cs="Arial"/>
          <w:bCs/>
          <w:szCs w:val="22"/>
        </w:rPr>
        <w:t>at</w:t>
      </w:r>
      <w:r w:rsidR="00D42AB0">
        <w:rPr>
          <w:rFonts w:cs="Arial"/>
          <w:bCs/>
          <w:szCs w:val="22"/>
        </w:rPr>
        <w:t xml:space="preserve"> 31 Betty Street</w:t>
      </w:r>
      <w:r w:rsidR="00191F5A">
        <w:rPr>
          <w:rFonts w:cs="Arial"/>
          <w:bCs/>
          <w:szCs w:val="22"/>
        </w:rPr>
        <w:t xml:space="preserve"> owned by the 1</w:t>
      </w:r>
      <w:r w:rsidR="00191F5A" w:rsidRPr="00191F5A">
        <w:rPr>
          <w:rFonts w:cs="Arial"/>
          <w:bCs/>
          <w:szCs w:val="22"/>
          <w:vertAlign w:val="superscript"/>
        </w:rPr>
        <w:t>st</w:t>
      </w:r>
      <w:r w:rsidR="00191F5A">
        <w:rPr>
          <w:rFonts w:cs="Arial"/>
          <w:bCs/>
          <w:szCs w:val="22"/>
        </w:rPr>
        <w:t xml:space="preserve"> respondent</w:t>
      </w:r>
      <w:r w:rsidR="00D42AB0">
        <w:rPr>
          <w:rFonts w:cs="Arial"/>
          <w:bCs/>
          <w:szCs w:val="22"/>
        </w:rPr>
        <w:t xml:space="preserve">. </w:t>
      </w:r>
    </w:p>
    <w:p w14:paraId="29B7668F" w14:textId="258B6E60" w:rsidR="00D42AB0" w:rsidRDefault="008E2A77" w:rsidP="008E2A77">
      <w:pPr>
        <w:keepNext/>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D42AB0">
        <w:rPr>
          <w:rFonts w:cs="Arial"/>
          <w:bCs/>
          <w:szCs w:val="22"/>
        </w:rPr>
        <w:t>The alleged unlawful occupiers of 31 Betty Street, now</w:t>
      </w:r>
      <w:r w:rsidR="00EA7F05">
        <w:rPr>
          <w:rFonts w:cs="Arial"/>
          <w:bCs/>
          <w:szCs w:val="22"/>
        </w:rPr>
        <w:t xml:space="preserve"> </w:t>
      </w:r>
      <w:r w:rsidR="00D42AB0">
        <w:rPr>
          <w:rFonts w:cs="Arial"/>
          <w:bCs/>
          <w:szCs w:val="22"/>
        </w:rPr>
        <w:t>the applicants, were cited as the 5</w:t>
      </w:r>
      <w:r w:rsidR="00D42AB0" w:rsidRPr="00A869FC">
        <w:rPr>
          <w:rFonts w:cs="Arial"/>
          <w:bCs/>
          <w:szCs w:val="22"/>
          <w:vertAlign w:val="superscript"/>
        </w:rPr>
        <w:t>th</w:t>
      </w:r>
      <w:r w:rsidR="00D42AB0">
        <w:rPr>
          <w:rFonts w:cs="Arial"/>
          <w:bCs/>
          <w:szCs w:val="22"/>
        </w:rPr>
        <w:t xml:space="preserve"> respondent.</w:t>
      </w:r>
    </w:p>
    <w:p w14:paraId="432E62E5" w14:textId="7B4F1FFF" w:rsidR="00A2110C" w:rsidRDefault="008E2A77" w:rsidP="008E2A77">
      <w:pPr>
        <w:keepNext/>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D42AB0">
        <w:rPr>
          <w:rFonts w:cs="Arial"/>
          <w:bCs/>
          <w:szCs w:val="22"/>
        </w:rPr>
        <w:t xml:space="preserve">The </w:t>
      </w:r>
      <w:r w:rsidR="00A2110C">
        <w:rPr>
          <w:rFonts w:cs="Arial"/>
          <w:bCs/>
          <w:szCs w:val="22"/>
        </w:rPr>
        <w:t xml:space="preserve">urgent </w:t>
      </w:r>
      <w:r w:rsidR="00D42AB0">
        <w:rPr>
          <w:rFonts w:cs="Arial"/>
          <w:bCs/>
          <w:szCs w:val="22"/>
        </w:rPr>
        <w:t xml:space="preserve">application was struck from the roll for want of compliance with Rule 6, and specifically with respect to the occupiers of 31 Betty Street, Jeppestown  the application was postponed </w:t>
      </w:r>
      <w:r w:rsidR="00D42AB0" w:rsidRPr="00191F5A">
        <w:rPr>
          <w:rFonts w:cs="Arial"/>
          <w:bCs/>
          <w:i/>
          <w:iCs/>
          <w:szCs w:val="22"/>
        </w:rPr>
        <w:t>sine die</w:t>
      </w:r>
      <w:r w:rsidR="00D42AB0">
        <w:rPr>
          <w:rFonts w:cs="Arial"/>
          <w:bCs/>
          <w:szCs w:val="22"/>
        </w:rPr>
        <w:t xml:space="preserve">, the occupiers were ordered to file answering affidavits by 13 December 2022, and costs were ordered to be costs in the cause. </w:t>
      </w:r>
    </w:p>
    <w:p w14:paraId="7BE63D22" w14:textId="3FD2212A" w:rsidR="00D42AB0" w:rsidRDefault="008E2A77" w:rsidP="008E2A77">
      <w:pPr>
        <w:keepNext/>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D42AB0">
        <w:rPr>
          <w:rFonts w:cs="Arial"/>
          <w:bCs/>
          <w:szCs w:val="22"/>
        </w:rPr>
        <w:t>This litigation between the respondents and the occupiers have not been finalised and is ongoing.</w:t>
      </w:r>
    </w:p>
    <w:p w14:paraId="797511DA" w14:textId="3898250C" w:rsidR="00EF4EC8" w:rsidRDefault="008E2A77" w:rsidP="008E2A77">
      <w:pPr>
        <w:keepNext/>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D42AB0">
        <w:rPr>
          <w:rFonts w:cs="Arial"/>
          <w:bCs/>
          <w:szCs w:val="22"/>
        </w:rPr>
        <w:t>In the answering affidavit</w:t>
      </w:r>
      <w:r w:rsidR="00C530D6">
        <w:rPr>
          <w:rStyle w:val="FootnoteReference"/>
          <w:rFonts w:cs="Arial"/>
          <w:bCs/>
          <w:szCs w:val="22"/>
        </w:rPr>
        <w:footnoteReference w:id="3"/>
      </w:r>
      <w:r w:rsidR="00D42AB0">
        <w:rPr>
          <w:rFonts w:cs="Arial"/>
          <w:bCs/>
          <w:szCs w:val="22"/>
        </w:rPr>
        <w:t xml:space="preserve"> the applicants (then the 5</w:t>
      </w:r>
      <w:r w:rsidR="00D42AB0" w:rsidRPr="00D42AB0">
        <w:rPr>
          <w:rFonts w:cs="Arial"/>
          <w:bCs/>
          <w:szCs w:val="22"/>
          <w:vertAlign w:val="superscript"/>
        </w:rPr>
        <w:t>th</w:t>
      </w:r>
      <w:r w:rsidR="00D42AB0">
        <w:rPr>
          <w:rFonts w:cs="Arial"/>
          <w:bCs/>
          <w:szCs w:val="22"/>
        </w:rPr>
        <w:t xml:space="preserve"> respondent) denied the </w:t>
      </w:r>
      <w:r w:rsidR="00191F5A">
        <w:rPr>
          <w:rFonts w:cs="Arial"/>
          <w:bCs/>
          <w:szCs w:val="22"/>
        </w:rPr>
        <w:t>1</w:t>
      </w:r>
      <w:r w:rsidR="00191F5A" w:rsidRPr="00191F5A">
        <w:rPr>
          <w:rFonts w:cs="Arial"/>
          <w:bCs/>
          <w:szCs w:val="22"/>
          <w:vertAlign w:val="superscript"/>
        </w:rPr>
        <w:t>st</w:t>
      </w:r>
      <w:r w:rsidR="00191F5A">
        <w:rPr>
          <w:rFonts w:cs="Arial"/>
          <w:bCs/>
          <w:szCs w:val="22"/>
        </w:rPr>
        <w:t xml:space="preserve"> </w:t>
      </w:r>
      <w:r w:rsidR="00D42AB0">
        <w:rPr>
          <w:rFonts w:cs="Arial"/>
          <w:bCs/>
          <w:szCs w:val="22"/>
        </w:rPr>
        <w:t>respondent’</w:t>
      </w:r>
      <w:r w:rsidR="00191F5A">
        <w:rPr>
          <w:rFonts w:cs="Arial"/>
          <w:bCs/>
          <w:szCs w:val="22"/>
        </w:rPr>
        <w:t>s</w:t>
      </w:r>
      <w:r w:rsidR="00D42AB0">
        <w:rPr>
          <w:rFonts w:cs="Arial"/>
          <w:bCs/>
          <w:szCs w:val="22"/>
        </w:rPr>
        <w:t xml:space="preserve"> peaceful and undisturbed possession, alleged that the building had been abandoned, and alleged that the </w:t>
      </w:r>
      <w:r w:rsidR="00191F5A">
        <w:rPr>
          <w:rFonts w:cs="Arial"/>
          <w:bCs/>
          <w:szCs w:val="22"/>
        </w:rPr>
        <w:t>1</w:t>
      </w:r>
      <w:r w:rsidR="00191F5A" w:rsidRPr="00191F5A">
        <w:rPr>
          <w:rFonts w:cs="Arial"/>
          <w:bCs/>
          <w:szCs w:val="22"/>
          <w:vertAlign w:val="superscript"/>
        </w:rPr>
        <w:t>st</w:t>
      </w:r>
      <w:r w:rsidR="00191F5A">
        <w:rPr>
          <w:rFonts w:cs="Arial"/>
          <w:bCs/>
          <w:szCs w:val="22"/>
        </w:rPr>
        <w:t xml:space="preserve"> </w:t>
      </w:r>
      <w:r w:rsidR="00D42AB0">
        <w:rPr>
          <w:rFonts w:cs="Arial"/>
          <w:bCs/>
          <w:szCs w:val="22"/>
        </w:rPr>
        <w:t>respondent were attempting to extract rental by way of a spoliation application.</w:t>
      </w:r>
      <w:r w:rsidR="00191F5A">
        <w:rPr>
          <w:rFonts w:cs="Arial"/>
          <w:bCs/>
          <w:szCs w:val="22"/>
        </w:rPr>
        <w:t xml:space="preserve"> The </w:t>
      </w:r>
      <w:r w:rsidR="00EB3541">
        <w:rPr>
          <w:rFonts w:cs="Arial"/>
          <w:bCs/>
          <w:szCs w:val="22"/>
        </w:rPr>
        <w:t>hijacking</w:t>
      </w:r>
      <w:r w:rsidR="00191F5A">
        <w:rPr>
          <w:rFonts w:cs="Arial"/>
          <w:bCs/>
          <w:szCs w:val="22"/>
        </w:rPr>
        <w:t xml:space="preserve"> was </w:t>
      </w:r>
      <w:r w:rsidR="00152620">
        <w:rPr>
          <w:rFonts w:cs="Arial"/>
          <w:bCs/>
          <w:szCs w:val="22"/>
        </w:rPr>
        <w:t>not</w:t>
      </w:r>
      <w:r w:rsidR="00191F5A">
        <w:rPr>
          <w:rFonts w:cs="Arial"/>
          <w:bCs/>
          <w:szCs w:val="22"/>
        </w:rPr>
        <w:t xml:space="preserve"> denied.</w:t>
      </w:r>
    </w:p>
    <w:p w14:paraId="4E15C5A7" w14:textId="0C767CA3" w:rsidR="00191F5A" w:rsidRDefault="008E2A77" w:rsidP="008E2A77">
      <w:pPr>
        <w:keepNext/>
        <w:widowControl w:val="0"/>
        <w:tabs>
          <w:tab w:val="left" w:pos="567"/>
        </w:tabs>
        <w:spacing w:before="480" w:after="480" w:line="480" w:lineRule="auto"/>
        <w:jc w:val="both"/>
        <w:rPr>
          <w:rFonts w:cs="Arial"/>
          <w:bCs/>
          <w:szCs w:val="22"/>
        </w:rPr>
      </w:pPr>
      <w:r>
        <w:rPr>
          <w:rFonts w:cs="Arial"/>
          <w:bCs/>
          <w:szCs w:val="22"/>
        </w:rPr>
        <w:t>[12]</w:t>
      </w:r>
      <w:r>
        <w:rPr>
          <w:rFonts w:cs="Arial"/>
          <w:bCs/>
          <w:szCs w:val="22"/>
        </w:rPr>
        <w:tab/>
      </w:r>
      <w:r w:rsidR="00191F5A">
        <w:rPr>
          <w:rFonts w:cs="Arial"/>
          <w:bCs/>
          <w:szCs w:val="22"/>
        </w:rPr>
        <w:t>The respondents ran out of funds and the application was not set down for hearing by either party</w:t>
      </w:r>
      <w:r w:rsidR="00DF7FD3">
        <w:rPr>
          <w:rFonts w:cs="Arial"/>
          <w:bCs/>
          <w:szCs w:val="22"/>
        </w:rPr>
        <w:t xml:space="preserve"> during the period December 2022 to February 2023</w:t>
      </w:r>
      <w:r w:rsidR="00191F5A">
        <w:rPr>
          <w:rFonts w:cs="Arial"/>
          <w:bCs/>
          <w:szCs w:val="22"/>
        </w:rPr>
        <w:t xml:space="preserve">. On 14 March 2023 the respondents </w:t>
      </w:r>
      <w:r w:rsidR="00152620">
        <w:rPr>
          <w:rFonts w:cs="Arial"/>
          <w:bCs/>
          <w:szCs w:val="22"/>
        </w:rPr>
        <w:t>brought new proceedings set down for 11 April 2023.</w:t>
      </w:r>
      <w:r w:rsidR="000D439C">
        <w:rPr>
          <w:rStyle w:val="FootnoteReference"/>
          <w:rFonts w:cs="Arial"/>
          <w:bCs/>
          <w:szCs w:val="22"/>
        </w:rPr>
        <w:footnoteReference w:id="4"/>
      </w:r>
    </w:p>
    <w:p w14:paraId="7F231406" w14:textId="7408B0E0" w:rsidR="007C6E3E" w:rsidRPr="007C6E3E" w:rsidRDefault="008E2A77" w:rsidP="008E2A77">
      <w:pPr>
        <w:keepNext/>
        <w:widowControl w:val="0"/>
        <w:tabs>
          <w:tab w:val="left" w:pos="567"/>
        </w:tabs>
        <w:spacing w:before="480" w:after="480" w:line="480" w:lineRule="auto"/>
        <w:jc w:val="both"/>
        <w:rPr>
          <w:rFonts w:cs="Arial"/>
          <w:color w:val="000000" w:themeColor="text1"/>
        </w:rPr>
      </w:pPr>
      <w:r w:rsidRPr="007C6E3E">
        <w:rPr>
          <w:rFonts w:cs="Arial"/>
        </w:rPr>
        <w:t>[13]</w:t>
      </w:r>
      <w:r w:rsidRPr="007C6E3E">
        <w:rPr>
          <w:rFonts w:cs="Arial"/>
        </w:rPr>
        <w:tab/>
      </w:r>
      <w:r w:rsidR="00152620" w:rsidRPr="007C6E3E">
        <w:rPr>
          <w:rFonts w:cs="Arial"/>
          <w:bCs/>
          <w:szCs w:val="22"/>
        </w:rPr>
        <w:t xml:space="preserve">The trespassing charges also remained active and on 13 March 2023 members of the </w:t>
      </w:r>
      <w:r w:rsidR="00152620" w:rsidRPr="007C6E3E">
        <w:rPr>
          <w:rFonts w:cs="Arial"/>
          <w:bCs/>
          <w:szCs w:val="22"/>
        </w:rPr>
        <w:lastRenderedPageBreak/>
        <w:t>SA Police Service arrived at the building and arrested 25 occupiers, 23 of whom were released on bail on the 15</w:t>
      </w:r>
      <w:r w:rsidR="00152620" w:rsidRPr="007C6E3E">
        <w:rPr>
          <w:rFonts w:cs="Arial"/>
          <w:bCs/>
          <w:szCs w:val="22"/>
          <w:vertAlign w:val="superscript"/>
        </w:rPr>
        <w:t>th</w:t>
      </w:r>
      <w:r w:rsidR="0029746D" w:rsidRPr="007C6E3E">
        <w:rPr>
          <w:rFonts w:cs="Arial"/>
          <w:bCs/>
          <w:szCs w:val="22"/>
        </w:rPr>
        <w:t>.</w:t>
      </w:r>
      <w:r w:rsidR="0029746D">
        <w:rPr>
          <w:rStyle w:val="FootnoteReference"/>
          <w:rFonts w:cs="Arial"/>
          <w:bCs/>
          <w:szCs w:val="22"/>
        </w:rPr>
        <w:footnoteReference w:id="5"/>
      </w:r>
      <w:r w:rsidR="0029746D" w:rsidRPr="007C6E3E">
        <w:rPr>
          <w:rFonts w:cs="Arial"/>
          <w:bCs/>
          <w:szCs w:val="22"/>
        </w:rPr>
        <w:t xml:space="preserve"> Correspondence followed between the respective attorneys, and the applicants claimed that they had been spoliated while the 1</w:t>
      </w:r>
      <w:r w:rsidR="0029746D" w:rsidRPr="007C6E3E">
        <w:rPr>
          <w:rFonts w:cs="Arial"/>
          <w:bCs/>
          <w:szCs w:val="22"/>
          <w:vertAlign w:val="superscript"/>
        </w:rPr>
        <w:t>st</w:t>
      </w:r>
      <w:r w:rsidR="0029746D" w:rsidRPr="007C6E3E">
        <w:rPr>
          <w:rFonts w:cs="Arial"/>
          <w:bCs/>
          <w:szCs w:val="22"/>
        </w:rPr>
        <w:t xml:space="preserve"> respondent adopted the view that the </w:t>
      </w:r>
      <w:r w:rsidR="00EB3541" w:rsidRPr="007C6E3E">
        <w:rPr>
          <w:rFonts w:cs="Arial"/>
          <w:bCs/>
          <w:szCs w:val="22"/>
        </w:rPr>
        <w:t>hijackers</w:t>
      </w:r>
      <w:r w:rsidR="0029746D" w:rsidRPr="007C6E3E">
        <w:rPr>
          <w:rFonts w:cs="Arial"/>
          <w:bCs/>
          <w:szCs w:val="22"/>
        </w:rPr>
        <w:t xml:space="preserve"> had been lawfully removed by the Police pursuant to the criminal charges laid in 2022.</w:t>
      </w:r>
      <w:r w:rsidR="00A2110C">
        <w:rPr>
          <w:rFonts w:cs="Arial"/>
          <w:bCs/>
          <w:szCs w:val="22"/>
        </w:rPr>
        <w:t xml:space="preserve"> The respondents then controlled access to the building.</w:t>
      </w:r>
    </w:p>
    <w:p w14:paraId="0BC4424F" w14:textId="77777777" w:rsidR="00EA7F05" w:rsidRDefault="00EA7F05" w:rsidP="007C6E3E">
      <w:pPr>
        <w:keepNext/>
        <w:widowControl w:val="0"/>
        <w:spacing w:before="480" w:after="480" w:line="480" w:lineRule="auto"/>
        <w:jc w:val="both"/>
        <w:rPr>
          <w:rFonts w:cs="Arial"/>
          <w:bCs/>
          <w:szCs w:val="22"/>
          <w:u w:val="single"/>
        </w:rPr>
      </w:pPr>
    </w:p>
    <w:p w14:paraId="4C34473E" w14:textId="770B68E6" w:rsidR="007C6E3E" w:rsidRPr="007C6E3E" w:rsidRDefault="007C6E3E" w:rsidP="007C6E3E">
      <w:pPr>
        <w:keepNext/>
        <w:widowControl w:val="0"/>
        <w:spacing w:before="480" w:after="480" w:line="480" w:lineRule="auto"/>
        <w:jc w:val="both"/>
        <w:rPr>
          <w:rFonts w:cs="Arial"/>
          <w:bCs/>
          <w:szCs w:val="22"/>
          <w:u w:val="single"/>
        </w:rPr>
      </w:pPr>
      <w:r w:rsidRPr="007C6E3E">
        <w:rPr>
          <w:rFonts w:cs="Arial"/>
          <w:bCs/>
          <w:szCs w:val="22"/>
          <w:u w:val="single"/>
        </w:rPr>
        <w:t xml:space="preserve">The requirements for the </w:t>
      </w:r>
      <w:r w:rsidRPr="007C6E3E">
        <w:rPr>
          <w:rFonts w:cs="Arial"/>
          <w:bCs/>
          <w:i/>
          <w:iCs/>
          <w:szCs w:val="22"/>
          <w:u w:val="single"/>
        </w:rPr>
        <w:t>mandament van spolie</w:t>
      </w:r>
    </w:p>
    <w:p w14:paraId="222390DF" w14:textId="377DE6B6" w:rsidR="007C6E3E" w:rsidRPr="007C6E3E" w:rsidRDefault="008E2A77" w:rsidP="008E2A77">
      <w:pPr>
        <w:keepNext/>
        <w:widowControl w:val="0"/>
        <w:tabs>
          <w:tab w:val="left" w:pos="567"/>
        </w:tabs>
        <w:spacing w:before="480" w:after="480" w:line="480" w:lineRule="auto"/>
        <w:jc w:val="both"/>
        <w:rPr>
          <w:rFonts w:cs="Arial"/>
          <w:color w:val="000000" w:themeColor="text1"/>
        </w:rPr>
      </w:pPr>
      <w:r w:rsidRPr="007C6E3E">
        <w:rPr>
          <w:rFonts w:cs="Arial"/>
        </w:rPr>
        <w:t>[14]</w:t>
      </w:r>
      <w:r w:rsidRPr="007C6E3E">
        <w:rPr>
          <w:rFonts w:cs="Arial"/>
        </w:rPr>
        <w:tab/>
      </w:r>
      <w:r w:rsidR="007C6E3E" w:rsidRPr="007C6E3E">
        <w:rPr>
          <w:rFonts w:cs="Arial"/>
          <w:color w:val="000000" w:themeColor="text1"/>
        </w:rPr>
        <w:t xml:space="preserve">In </w:t>
      </w:r>
      <w:r w:rsidR="007C6E3E" w:rsidRPr="00030AAB">
        <w:rPr>
          <w:rFonts w:cs="Arial"/>
          <w:i/>
          <w:iCs/>
          <w:color w:val="000000" w:themeColor="text1"/>
        </w:rPr>
        <w:t>Bisschoff and Others v Welbeplan Boerdery (Pty) Ltd</w:t>
      </w:r>
      <w:r w:rsidR="007C6E3E">
        <w:rPr>
          <w:rStyle w:val="FootnoteReference"/>
          <w:rFonts w:cs="Arial"/>
          <w:color w:val="000000" w:themeColor="text1"/>
        </w:rPr>
        <w:footnoteReference w:id="6"/>
      </w:r>
      <w:r w:rsidR="007C6E3E" w:rsidRPr="007C6E3E">
        <w:rPr>
          <w:rFonts w:cs="Arial"/>
          <w:color w:val="000000" w:themeColor="text1"/>
        </w:rPr>
        <w:t xml:space="preserve">  Dlodlo JA said:</w:t>
      </w:r>
    </w:p>
    <w:p w14:paraId="2C3F6C0B" w14:textId="1BE2714D" w:rsidR="00EF4EC8" w:rsidRDefault="00030AAB" w:rsidP="00030AAB">
      <w:pPr>
        <w:keepNext/>
        <w:widowControl w:val="0"/>
        <w:spacing w:before="480" w:after="480" w:line="480" w:lineRule="auto"/>
        <w:ind w:left="1440"/>
        <w:jc w:val="both"/>
        <w:rPr>
          <w:rFonts w:cs="Arial"/>
          <w:bCs/>
          <w:szCs w:val="22"/>
        </w:rPr>
      </w:pPr>
      <w:r w:rsidRPr="00030AAB">
        <w:rPr>
          <w:rFonts w:cs="Arial"/>
          <w:i/>
          <w:iCs/>
          <w:color w:val="000000" w:themeColor="text1"/>
        </w:rPr>
        <w:t>“</w:t>
      </w:r>
      <w:r w:rsidR="007C6E3E" w:rsidRPr="00030AAB">
        <w:rPr>
          <w:rFonts w:cs="Arial"/>
          <w:i/>
          <w:iCs/>
          <w:color w:val="000000" w:themeColor="text1"/>
        </w:rPr>
        <w:t>[5] …. The requirements for the mandament van spolie are trite: (a) peaceful and undisturbed possession of a thing; and (b) unlawful deprivation of such possession.</w:t>
      </w:r>
      <w:r w:rsidR="007C6E3E" w:rsidRPr="00030AAB">
        <w:rPr>
          <w:rFonts w:cs="Arial"/>
          <w:i/>
          <w:iCs/>
          <w:color w:val="000000" w:themeColor="text1"/>
          <w:sz w:val="16"/>
          <w:szCs w:val="16"/>
        </w:rPr>
        <w:t> </w:t>
      </w:r>
      <w:hyperlink r:id="rId9" w:anchor="ftn3" w:history="1">
        <w:r w:rsidR="007C6E3E" w:rsidRPr="00030AAB">
          <w:rPr>
            <w:rStyle w:val="Hyperlink"/>
            <w:rFonts w:cs="Arial"/>
            <w:i/>
            <w:iCs/>
            <w:color w:val="000000" w:themeColor="text1"/>
            <w:sz w:val="16"/>
            <w:szCs w:val="16"/>
            <w:u w:val="none"/>
          </w:rPr>
          <w:t>[3]</w:t>
        </w:r>
      </w:hyperlink>
      <w:r>
        <w:rPr>
          <w:rStyle w:val="FootnoteReference"/>
          <w:rFonts w:cs="Arial"/>
          <w:i/>
          <w:iCs/>
          <w:color w:val="000000" w:themeColor="text1"/>
          <w:sz w:val="16"/>
          <w:szCs w:val="16"/>
        </w:rPr>
        <w:footnoteReference w:id="7"/>
      </w:r>
      <w:r w:rsidR="007C6E3E" w:rsidRPr="00030AAB">
        <w:rPr>
          <w:rFonts w:cs="Arial"/>
          <w:i/>
          <w:iCs/>
          <w:color w:val="000000" w:themeColor="text1"/>
        </w:rPr>
        <w:t> The mandament van spolie is rooted in the rule of law and its main purpose is to preserve public order by preventing persons from taking the law into their own hands. </w:t>
      </w:r>
      <w:hyperlink r:id="rId10" w:anchor="ftn4" w:history="1">
        <w:r w:rsidR="007C6E3E" w:rsidRPr="00030AAB">
          <w:rPr>
            <w:rStyle w:val="Hyperlink"/>
            <w:rFonts w:cs="Arial"/>
            <w:i/>
            <w:iCs/>
            <w:color w:val="000000" w:themeColor="text1"/>
            <w:sz w:val="16"/>
            <w:szCs w:val="16"/>
            <w:u w:val="none"/>
          </w:rPr>
          <w:t>[4]</w:t>
        </w:r>
      </w:hyperlink>
      <w:r>
        <w:rPr>
          <w:rStyle w:val="FootnoteReference"/>
          <w:rFonts w:cs="Arial"/>
          <w:i/>
          <w:iCs/>
          <w:color w:val="000000" w:themeColor="text1"/>
          <w:sz w:val="16"/>
          <w:szCs w:val="16"/>
        </w:rPr>
        <w:footnoteReference w:id="8"/>
      </w:r>
      <w:r w:rsidRPr="00030AAB">
        <w:rPr>
          <w:rFonts w:cs="Arial"/>
          <w:i/>
          <w:iCs/>
          <w:color w:val="000000" w:themeColor="text1"/>
        </w:rPr>
        <w:t>”</w:t>
      </w:r>
      <w:r w:rsidR="007C6E3E">
        <w:rPr>
          <w:rFonts w:cs="Arial"/>
          <w:bCs/>
          <w:szCs w:val="22"/>
        </w:rPr>
        <w:t>.</w:t>
      </w:r>
    </w:p>
    <w:p w14:paraId="73D1ACD2" w14:textId="77777777" w:rsidR="00DF7FD3" w:rsidRDefault="00DF7FD3" w:rsidP="00DF7FD3">
      <w:pPr>
        <w:keepNext/>
        <w:widowControl w:val="0"/>
        <w:spacing w:before="480" w:after="480" w:line="480" w:lineRule="auto"/>
        <w:jc w:val="both"/>
        <w:rPr>
          <w:rFonts w:cs="Arial"/>
          <w:bCs/>
          <w:szCs w:val="22"/>
          <w:u w:val="single"/>
        </w:rPr>
      </w:pPr>
    </w:p>
    <w:p w14:paraId="1455508B" w14:textId="0ED4C402" w:rsidR="00DF7FD3" w:rsidRPr="00DF7FD3" w:rsidRDefault="00DF7FD3" w:rsidP="00DF7FD3">
      <w:pPr>
        <w:keepNext/>
        <w:widowControl w:val="0"/>
        <w:spacing w:before="480" w:after="480" w:line="480" w:lineRule="auto"/>
        <w:jc w:val="both"/>
        <w:rPr>
          <w:rFonts w:cs="Arial"/>
          <w:bCs/>
          <w:szCs w:val="22"/>
          <w:u w:val="single"/>
        </w:rPr>
      </w:pPr>
      <w:r w:rsidRPr="00DF7FD3">
        <w:rPr>
          <w:rFonts w:cs="Arial"/>
          <w:bCs/>
          <w:szCs w:val="22"/>
          <w:u w:val="single"/>
        </w:rPr>
        <w:t>The element of peaceful and undisturbed possession</w:t>
      </w:r>
    </w:p>
    <w:p w14:paraId="174C518F" w14:textId="418C1E94" w:rsidR="0029746D" w:rsidRDefault="008E2A77" w:rsidP="008E2A77">
      <w:pPr>
        <w:keepNext/>
        <w:widowControl w:val="0"/>
        <w:tabs>
          <w:tab w:val="left" w:pos="567"/>
        </w:tabs>
        <w:spacing w:before="480" w:after="480" w:line="480" w:lineRule="auto"/>
        <w:jc w:val="both"/>
        <w:rPr>
          <w:rFonts w:cs="Arial"/>
          <w:bCs/>
          <w:szCs w:val="22"/>
        </w:rPr>
      </w:pPr>
      <w:r>
        <w:rPr>
          <w:rFonts w:cs="Arial"/>
          <w:bCs/>
          <w:szCs w:val="22"/>
        </w:rPr>
        <w:t>[15]</w:t>
      </w:r>
      <w:r>
        <w:rPr>
          <w:rFonts w:cs="Arial"/>
          <w:bCs/>
          <w:szCs w:val="22"/>
        </w:rPr>
        <w:tab/>
      </w:r>
      <w:r w:rsidR="00FA7918">
        <w:rPr>
          <w:rFonts w:cs="Arial"/>
          <w:bCs/>
          <w:szCs w:val="22"/>
        </w:rPr>
        <w:t xml:space="preserve">The respondents deny that the applicants were ever in peaceful and undisturbed </w:t>
      </w:r>
      <w:r w:rsidR="00AD5024">
        <w:rPr>
          <w:rFonts w:cs="Arial"/>
          <w:bCs/>
          <w:szCs w:val="22"/>
        </w:rPr>
        <w:lastRenderedPageBreak/>
        <w:t>possession</w:t>
      </w:r>
      <w:r w:rsidR="00FA7918">
        <w:rPr>
          <w:rFonts w:cs="Arial"/>
          <w:bCs/>
          <w:szCs w:val="22"/>
        </w:rPr>
        <w:t xml:space="preserve"> of the property. The </w:t>
      </w:r>
      <w:r w:rsidR="00EB3541">
        <w:rPr>
          <w:rFonts w:cs="Arial"/>
          <w:bCs/>
          <w:szCs w:val="22"/>
        </w:rPr>
        <w:t>hijacking</w:t>
      </w:r>
      <w:r w:rsidR="00FA7918">
        <w:rPr>
          <w:rFonts w:cs="Arial"/>
          <w:bCs/>
          <w:szCs w:val="22"/>
        </w:rPr>
        <w:t xml:space="preserve"> was always resisted by the 1</w:t>
      </w:r>
      <w:r w:rsidR="00FA7918" w:rsidRPr="00FA7918">
        <w:rPr>
          <w:rFonts w:cs="Arial"/>
          <w:bCs/>
          <w:szCs w:val="22"/>
          <w:vertAlign w:val="superscript"/>
        </w:rPr>
        <w:t>st</w:t>
      </w:r>
      <w:r w:rsidR="00FA7918">
        <w:rPr>
          <w:rFonts w:cs="Arial"/>
          <w:bCs/>
          <w:szCs w:val="22"/>
        </w:rPr>
        <w:t xml:space="preserve"> respondent as owner, through criminal charges</w:t>
      </w:r>
      <w:r w:rsidR="00ED457F">
        <w:rPr>
          <w:rFonts w:cs="Arial"/>
          <w:bCs/>
          <w:szCs w:val="22"/>
        </w:rPr>
        <w:t xml:space="preserve"> </w:t>
      </w:r>
      <w:r w:rsidR="00FA7918">
        <w:rPr>
          <w:rFonts w:cs="Arial"/>
          <w:bCs/>
          <w:szCs w:val="22"/>
        </w:rPr>
        <w:t>and applications to court.</w:t>
      </w:r>
    </w:p>
    <w:p w14:paraId="0E353CFC" w14:textId="76B60FE1" w:rsidR="00141727" w:rsidRPr="00141727" w:rsidRDefault="008E2A77" w:rsidP="008E2A77">
      <w:pPr>
        <w:keepNext/>
        <w:widowControl w:val="0"/>
        <w:tabs>
          <w:tab w:val="left" w:pos="567"/>
        </w:tabs>
        <w:spacing w:before="480" w:after="480" w:line="480" w:lineRule="auto"/>
        <w:jc w:val="both"/>
        <w:rPr>
          <w:rFonts w:cs="Arial"/>
          <w:bCs/>
          <w:szCs w:val="22"/>
        </w:rPr>
      </w:pPr>
      <w:r w:rsidRPr="00141727">
        <w:rPr>
          <w:rFonts w:cs="Arial"/>
          <w:bCs/>
          <w:szCs w:val="22"/>
        </w:rPr>
        <w:t>[16]</w:t>
      </w:r>
      <w:r w:rsidRPr="00141727">
        <w:rPr>
          <w:rFonts w:cs="Arial"/>
          <w:bCs/>
          <w:szCs w:val="22"/>
        </w:rPr>
        <w:tab/>
      </w:r>
      <w:r w:rsidR="003F4B3A" w:rsidRPr="00BF3B21">
        <w:t xml:space="preserve">A spoliation application failed in </w:t>
      </w:r>
      <w:r w:rsidR="003F4B3A" w:rsidRPr="003F4B3A">
        <w:rPr>
          <w:i/>
          <w:iCs/>
        </w:rPr>
        <w:t>Kgosana v Otto</w:t>
      </w:r>
      <w:r w:rsidR="003F4B3A">
        <w:rPr>
          <w:rStyle w:val="FootnoteReference"/>
          <w:i/>
          <w:iCs/>
        </w:rPr>
        <w:footnoteReference w:id="9"/>
      </w:r>
      <w:r w:rsidR="003F4B3A" w:rsidRPr="00BF3B21">
        <w:t xml:space="preserve"> where the evidence showed that the applicants had occupied the property without consent and that the respondent had immediately taken steps to resist the invasion of the land, and had continuously taken steps to resist the unlawful conduct of the applicants. The </w:t>
      </w:r>
      <w:r w:rsidR="00AD5024">
        <w:t>possession</w:t>
      </w:r>
      <w:r w:rsidR="003F4B3A" w:rsidRPr="00BF3B21">
        <w:t xml:space="preserve"> never became peaceful and undisturbed.</w:t>
      </w:r>
      <w:r w:rsidR="00EC212D">
        <w:t xml:space="preserve"> </w:t>
      </w:r>
    </w:p>
    <w:p w14:paraId="54D08889" w14:textId="2C168341" w:rsidR="00EC212D" w:rsidRPr="00F77DB0" w:rsidRDefault="008E2A77" w:rsidP="008E2A77">
      <w:pPr>
        <w:keepNext/>
        <w:widowControl w:val="0"/>
        <w:tabs>
          <w:tab w:val="left" w:pos="567"/>
        </w:tabs>
        <w:spacing w:before="480" w:after="480" w:line="480" w:lineRule="auto"/>
        <w:jc w:val="both"/>
        <w:rPr>
          <w:rFonts w:cs="Arial"/>
          <w:bCs/>
          <w:szCs w:val="22"/>
        </w:rPr>
      </w:pPr>
      <w:r w:rsidRPr="00F77DB0">
        <w:rPr>
          <w:rFonts w:cs="Arial"/>
          <w:bCs/>
          <w:szCs w:val="22"/>
        </w:rPr>
        <w:t>[17]</w:t>
      </w:r>
      <w:r w:rsidRPr="00F77DB0">
        <w:rPr>
          <w:rFonts w:cs="Arial"/>
          <w:bCs/>
          <w:szCs w:val="22"/>
        </w:rPr>
        <w:tab/>
      </w:r>
      <w:r w:rsidR="00ED457F">
        <w:t xml:space="preserve">The applicant in a spoliation application does not have a protectable right when all is can show is </w:t>
      </w:r>
      <w:r w:rsidR="00F77DB0">
        <w:t xml:space="preserve">a lawful or unlawful </w:t>
      </w:r>
      <w:r w:rsidR="00EA7F05" w:rsidRPr="00EA7F05">
        <w:rPr>
          <w:i/>
          <w:iCs/>
        </w:rPr>
        <w:t>“</w:t>
      </w:r>
      <w:r w:rsidR="00F77DB0" w:rsidRPr="00EA7F05">
        <w:rPr>
          <w:i/>
          <w:iCs/>
        </w:rPr>
        <w:t>self-help grab of possession to which there is continued resistance.</w:t>
      </w:r>
      <w:r w:rsidR="00EA7F05" w:rsidRPr="00EA7F05">
        <w:rPr>
          <w:i/>
          <w:iCs/>
        </w:rPr>
        <w:t>”</w:t>
      </w:r>
      <w:r w:rsidR="00F77DB0">
        <w:t xml:space="preserve"> In</w:t>
      </w:r>
      <w:r w:rsidR="00141727" w:rsidRPr="00141727">
        <w:rPr>
          <w:i/>
          <w:iCs/>
        </w:rPr>
        <w:t xml:space="preserve"> </w:t>
      </w:r>
      <w:r w:rsidR="00141727" w:rsidRPr="0048743E">
        <w:rPr>
          <w:i/>
          <w:iCs/>
        </w:rPr>
        <w:t>Mbangi and Others v Dobsonville City Council</w:t>
      </w:r>
      <w:r w:rsidR="00F77DB0">
        <w:t>,</w:t>
      </w:r>
      <w:r w:rsidR="00F77DB0">
        <w:rPr>
          <w:rStyle w:val="FootnoteReference"/>
        </w:rPr>
        <w:footnoteReference w:id="10"/>
      </w:r>
      <w:r w:rsidR="00F77DB0">
        <w:t xml:space="preserve"> Flemming J said:</w:t>
      </w:r>
    </w:p>
    <w:p w14:paraId="6208A198" w14:textId="6A2A9113" w:rsidR="00F77DB0" w:rsidRPr="00141727" w:rsidRDefault="00141727" w:rsidP="00141727">
      <w:pPr>
        <w:widowControl w:val="0"/>
        <w:autoSpaceDE w:val="0"/>
        <w:autoSpaceDN w:val="0"/>
        <w:adjustRightInd w:val="0"/>
        <w:spacing w:before="120" w:after="120" w:line="360" w:lineRule="auto"/>
        <w:ind w:left="1440"/>
        <w:jc w:val="both"/>
        <w:rPr>
          <w:rFonts w:cs="Arial"/>
          <w:i/>
          <w:iCs/>
          <w:szCs w:val="22"/>
        </w:rPr>
      </w:pPr>
      <w:r w:rsidRPr="00141727">
        <w:rPr>
          <w:rFonts w:cs="Arial"/>
          <w:i/>
          <w:iCs/>
          <w:szCs w:val="22"/>
        </w:rPr>
        <w:t>“</w:t>
      </w:r>
      <w:r w:rsidR="00F77DB0" w:rsidRPr="00141727">
        <w:rPr>
          <w:rFonts w:cs="Arial"/>
          <w:i/>
          <w:iCs/>
          <w:szCs w:val="22"/>
        </w:rPr>
        <w:t>The applicant for spoliation requires possession which has become ensconce</w:t>
      </w:r>
      <w:r w:rsidR="007F1211">
        <w:rPr>
          <w:rFonts w:cs="Arial"/>
          <w:i/>
          <w:iCs/>
          <w:szCs w:val="22"/>
        </w:rPr>
        <w:t xml:space="preserve">d, </w:t>
      </w:r>
      <w:r w:rsidR="00F77DB0" w:rsidRPr="00141727">
        <w:rPr>
          <w:rFonts w:cs="Arial"/>
          <w:i/>
          <w:iCs/>
          <w:szCs w:val="22"/>
        </w:rPr>
        <w:t>as was decided in the Ness case.</w:t>
      </w:r>
      <w:r>
        <w:rPr>
          <w:rStyle w:val="FootnoteReference"/>
          <w:rFonts w:cs="Arial"/>
          <w:i/>
          <w:iCs/>
          <w:szCs w:val="22"/>
        </w:rPr>
        <w:footnoteReference w:id="11"/>
      </w:r>
      <w:r w:rsidR="00F77DB0" w:rsidRPr="00141727">
        <w:rPr>
          <w:rFonts w:cs="Arial"/>
          <w:i/>
          <w:iCs/>
          <w:szCs w:val="22"/>
        </w:rPr>
        <w:t xml:space="preserve"> See also Sonnekus 1986 TSAR at 247. It would normally be evidenced (but not necessarily so) by a period of time during which the de facto possession has continued</w:t>
      </w:r>
      <w:r>
        <w:rPr>
          <w:rFonts w:cs="Arial"/>
          <w:i/>
          <w:iCs/>
          <w:szCs w:val="22"/>
        </w:rPr>
        <w:t xml:space="preserve"> </w:t>
      </w:r>
      <w:r w:rsidR="00F77DB0" w:rsidRPr="00141727">
        <w:rPr>
          <w:rFonts w:cs="Arial"/>
          <w:i/>
          <w:iCs/>
          <w:szCs w:val="22"/>
        </w:rPr>
        <w:t xml:space="preserve">without interference. However, quite apart from evidential considerations, the </w:t>
      </w:r>
      <w:r w:rsidR="00F77DB0" w:rsidRPr="00141727">
        <w:rPr>
          <w:rFonts w:cs="Arial"/>
          <w:i/>
          <w:iCs/>
          <w:szCs w:val="22"/>
          <w:u w:val="single"/>
        </w:rPr>
        <w:t>complainant lacks protectable merit if the best he can prove is a (lawful or unlawful) self-help grab of possession to which there is continued resistance</w:t>
      </w:r>
      <w:r w:rsidR="00F77DB0" w:rsidRPr="00141727">
        <w:rPr>
          <w:rFonts w:cs="Arial"/>
          <w:i/>
          <w:iCs/>
          <w:szCs w:val="22"/>
        </w:rPr>
        <w:t>.</w:t>
      </w:r>
    </w:p>
    <w:p w14:paraId="002C1D3D" w14:textId="77777777" w:rsidR="00F77DB0" w:rsidRPr="00141727" w:rsidRDefault="00F77DB0" w:rsidP="00141727">
      <w:pPr>
        <w:widowControl w:val="0"/>
        <w:autoSpaceDE w:val="0"/>
        <w:autoSpaceDN w:val="0"/>
        <w:adjustRightInd w:val="0"/>
        <w:spacing w:before="120" w:after="120" w:line="360" w:lineRule="auto"/>
        <w:ind w:left="1440"/>
        <w:jc w:val="both"/>
        <w:rPr>
          <w:rFonts w:cs="Arial"/>
          <w:i/>
          <w:iCs/>
          <w:szCs w:val="22"/>
        </w:rPr>
      </w:pPr>
    </w:p>
    <w:p w14:paraId="400C3EA3" w14:textId="0CFD05C4" w:rsidR="00F77DB0" w:rsidRDefault="00F77DB0" w:rsidP="00141727">
      <w:pPr>
        <w:widowControl w:val="0"/>
        <w:autoSpaceDE w:val="0"/>
        <w:autoSpaceDN w:val="0"/>
        <w:adjustRightInd w:val="0"/>
        <w:spacing w:before="120" w:after="120" w:line="360" w:lineRule="auto"/>
        <w:ind w:left="1440"/>
        <w:jc w:val="both"/>
        <w:rPr>
          <w:rFonts w:cs="Arial"/>
          <w:szCs w:val="22"/>
        </w:rPr>
      </w:pPr>
      <w:r w:rsidRPr="00141727">
        <w:rPr>
          <w:rFonts w:cs="Arial"/>
          <w:i/>
          <w:iCs/>
          <w:szCs w:val="22"/>
        </w:rPr>
        <w:t xml:space="preserve">The question necessarily arises </w:t>
      </w:r>
      <w:r w:rsidRPr="007F1211">
        <w:rPr>
          <w:rFonts w:cs="Arial"/>
          <w:i/>
          <w:iCs/>
          <w:szCs w:val="22"/>
          <w:u w:val="single"/>
        </w:rPr>
        <w:t>what type and degree of resistance</w:t>
      </w:r>
      <w:r w:rsidR="00141727" w:rsidRPr="007F1211">
        <w:rPr>
          <w:rFonts w:cs="Arial"/>
          <w:i/>
          <w:iCs/>
          <w:szCs w:val="22"/>
          <w:u w:val="single"/>
        </w:rPr>
        <w:t xml:space="preserve"> </w:t>
      </w:r>
      <w:r w:rsidRPr="007F1211">
        <w:rPr>
          <w:rFonts w:cs="Arial"/>
          <w:i/>
          <w:iCs/>
          <w:szCs w:val="22"/>
          <w:u w:val="single"/>
        </w:rPr>
        <w:t>would cause the requirement to be lacking. I doubt whether it is possible to define that in vacuo.</w:t>
      </w:r>
      <w:r w:rsidRPr="00141727">
        <w:rPr>
          <w:rFonts w:cs="Arial"/>
          <w:i/>
          <w:iCs/>
          <w:szCs w:val="22"/>
        </w:rPr>
        <w:t xml:space="preserve"> The reason why the requirement exists, cognisance of the reason why the remedy exists, and also the lack of authority for a contrary view, point thereto that </w:t>
      </w:r>
      <w:r w:rsidRPr="00141727">
        <w:rPr>
          <w:rFonts w:cs="Arial"/>
          <w:i/>
          <w:iCs/>
          <w:szCs w:val="22"/>
          <w:u w:val="single"/>
        </w:rPr>
        <w:t>less than physical resistance is sufficient</w:t>
      </w:r>
      <w:r w:rsidRPr="00141727">
        <w:rPr>
          <w:rFonts w:cs="Arial"/>
          <w:i/>
          <w:iCs/>
          <w:szCs w:val="22"/>
        </w:rPr>
        <w:t>. It would be a sad state of the law indeed if only he who is able and willing to help himself by physical resistance or by intimidation or other threat is not dealt with as a spoliator, whilst the Court's assistance is given to him who takes</w:t>
      </w:r>
      <w:r w:rsidR="00141727">
        <w:rPr>
          <w:rFonts w:cs="Arial"/>
          <w:i/>
          <w:iCs/>
          <w:szCs w:val="22"/>
        </w:rPr>
        <w:t xml:space="preserve"> </w:t>
      </w:r>
      <w:r w:rsidRPr="00141727">
        <w:rPr>
          <w:rFonts w:cs="Arial"/>
          <w:i/>
          <w:iCs/>
          <w:szCs w:val="22"/>
        </w:rPr>
        <w:t xml:space="preserve">possession despite resistance </w:t>
      </w:r>
      <w:r w:rsidRPr="00141727">
        <w:rPr>
          <w:rFonts w:cs="Arial"/>
          <w:i/>
          <w:iCs/>
          <w:szCs w:val="22"/>
        </w:rPr>
        <w:lastRenderedPageBreak/>
        <w:t>in a form which pays heed to the undesirability of physical encounters and the proprieties of civilised behaviour.</w:t>
      </w:r>
      <w:r w:rsidR="00141727">
        <w:rPr>
          <w:rFonts w:cs="Arial"/>
          <w:i/>
          <w:iCs/>
          <w:szCs w:val="22"/>
        </w:rPr>
        <w:t xml:space="preserve">” </w:t>
      </w:r>
      <w:r w:rsidR="00141727">
        <w:rPr>
          <w:rFonts w:cs="Arial"/>
          <w:szCs w:val="22"/>
        </w:rPr>
        <w:t>[emphasis added]</w:t>
      </w:r>
    </w:p>
    <w:p w14:paraId="61D2F0A4" w14:textId="77777777" w:rsidR="00EA7F05" w:rsidRPr="00141727" w:rsidRDefault="00EA7F05" w:rsidP="00141727">
      <w:pPr>
        <w:widowControl w:val="0"/>
        <w:autoSpaceDE w:val="0"/>
        <w:autoSpaceDN w:val="0"/>
        <w:adjustRightInd w:val="0"/>
        <w:spacing w:before="120" w:after="120" w:line="360" w:lineRule="auto"/>
        <w:ind w:left="1440"/>
        <w:jc w:val="both"/>
        <w:rPr>
          <w:rFonts w:cs="Arial"/>
          <w:szCs w:val="22"/>
        </w:rPr>
      </w:pPr>
    </w:p>
    <w:p w14:paraId="02BFC82D" w14:textId="57AD3D53" w:rsidR="00ED457F" w:rsidRPr="00EC212D" w:rsidRDefault="008E2A77" w:rsidP="008E2A77">
      <w:pPr>
        <w:keepNext/>
        <w:widowControl w:val="0"/>
        <w:tabs>
          <w:tab w:val="left" w:pos="567"/>
        </w:tabs>
        <w:spacing w:before="480" w:after="480" w:line="480" w:lineRule="auto"/>
        <w:jc w:val="both"/>
        <w:rPr>
          <w:rFonts w:cs="Arial"/>
          <w:bCs/>
          <w:szCs w:val="22"/>
        </w:rPr>
      </w:pPr>
      <w:r w:rsidRPr="00EC212D">
        <w:rPr>
          <w:rFonts w:cs="Arial"/>
          <w:bCs/>
          <w:szCs w:val="22"/>
        </w:rPr>
        <w:t>[18]</w:t>
      </w:r>
      <w:r w:rsidRPr="00EC212D">
        <w:rPr>
          <w:rFonts w:cs="Arial"/>
          <w:bCs/>
          <w:szCs w:val="22"/>
        </w:rPr>
        <w:tab/>
      </w:r>
      <w:r w:rsidR="00141727">
        <w:rPr>
          <w:rFonts w:cs="Arial"/>
          <w:bCs/>
          <w:szCs w:val="22"/>
        </w:rPr>
        <w:t xml:space="preserve">In </w:t>
      </w:r>
      <w:r w:rsidR="00EA7F05">
        <w:rPr>
          <w:rFonts w:cs="Arial"/>
          <w:bCs/>
          <w:szCs w:val="22"/>
        </w:rPr>
        <w:t>the present</w:t>
      </w:r>
      <w:r w:rsidR="00141727">
        <w:rPr>
          <w:rFonts w:cs="Arial"/>
          <w:bCs/>
          <w:szCs w:val="22"/>
        </w:rPr>
        <w:t xml:space="preserve"> matter the respondents resisted the deprivation of possession by laying charges with the Police and by bringing a court application.</w:t>
      </w:r>
      <w:r w:rsidR="007F1211">
        <w:rPr>
          <w:rFonts w:cs="Arial"/>
          <w:bCs/>
          <w:szCs w:val="22"/>
        </w:rPr>
        <w:t xml:space="preserve"> They did not opt for physical resistance when the guards they had on site were chased off and the property damaged in November 2022</w:t>
      </w:r>
      <w:r w:rsidR="00EA7F05">
        <w:rPr>
          <w:rFonts w:cs="Arial"/>
          <w:bCs/>
          <w:szCs w:val="22"/>
        </w:rPr>
        <w:t>.</w:t>
      </w:r>
    </w:p>
    <w:p w14:paraId="07D36689" w14:textId="66C611FE" w:rsidR="00ED457F" w:rsidRPr="00ED457F" w:rsidRDefault="008E2A77" w:rsidP="008E2A77">
      <w:pPr>
        <w:keepNext/>
        <w:widowControl w:val="0"/>
        <w:tabs>
          <w:tab w:val="left" w:pos="567"/>
        </w:tabs>
        <w:spacing w:before="480" w:after="480" w:line="480" w:lineRule="auto"/>
        <w:jc w:val="both"/>
        <w:rPr>
          <w:rFonts w:cs="Arial"/>
          <w:bCs/>
          <w:szCs w:val="22"/>
        </w:rPr>
      </w:pPr>
      <w:r w:rsidRPr="00ED457F">
        <w:rPr>
          <w:rFonts w:cs="Arial"/>
          <w:bCs/>
          <w:szCs w:val="22"/>
        </w:rPr>
        <w:t>[19]</w:t>
      </w:r>
      <w:r w:rsidRPr="00ED457F">
        <w:rPr>
          <w:rFonts w:cs="Arial"/>
          <w:bCs/>
          <w:szCs w:val="22"/>
        </w:rPr>
        <w:tab/>
      </w:r>
      <w:r w:rsidR="00EC212D">
        <w:t xml:space="preserve">The question whether the owner has continuously taken steps to </w:t>
      </w:r>
      <w:r w:rsidR="00ED457F">
        <w:t>resist</w:t>
      </w:r>
      <w:r w:rsidR="00EC212D">
        <w:t xml:space="preserve"> deprivation of its property is a question of fact. It was argued on behalf of the applicants that the respondents abandoned the legal process and by mid-March the occupiers were indeed in peaceful and undisturbed </w:t>
      </w:r>
      <w:r w:rsidR="00E0285E">
        <w:t>possession</w:t>
      </w:r>
      <w:r w:rsidR="00EC212D">
        <w:t>.</w:t>
      </w:r>
      <w:r w:rsidR="00973C55">
        <w:t xml:space="preserve"> </w:t>
      </w:r>
    </w:p>
    <w:p w14:paraId="12EAE7F1" w14:textId="636CFA2A" w:rsidR="00BA0E8D" w:rsidRPr="008D1E99" w:rsidRDefault="008E2A77" w:rsidP="008E2A77">
      <w:pPr>
        <w:keepNext/>
        <w:widowControl w:val="0"/>
        <w:tabs>
          <w:tab w:val="left" w:pos="567"/>
        </w:tabs>
        <w:spacing w:before="480" w:after="480" w:line="480" w:lineRule="auto"/>
        <w:jc w:val="both"/>
        <w:rPr>
          <w:rFonts w:cs="Arial"/>
          <w:bCs/>
          <w:szCs w:val="22"/>
        </w:rPr>
      </w:pPr>
      <w:r w:rsidRPr="008D1E99">
        <w:rPr>
          <w:rFonts w:cs="Arial"/>
          <w:bCs/>
          <w:szCs w:val="22"/>
        </w:rPr>
        <w:t>[20]</w:t>
      </w:r>
      <w:r w:rsidRPr="008D1E99">
        <w:rPr>
          <w:rFonts w:cs="Arial"/>
          <w:bCs/>
          <w:szCs w:val="22"/>
        </w:rPr>
        <w:tab/>
      </w:r>
      <w:r w:rsidR="00973C55">
        <w:t xml:space="preserve">It is necessary </w:t>
      </w:r>
      <w:r w:rsidR="00ED457F">
        <w:t xml:space="preserve">therefore </w:t>
      </w:r>
      <w:r w:rsidR="00973C55">
        <w:t xml:space="preserve">to weigh the facts. On the one hand the answering affidavit in the earlier application was filed in the middle of December 2022, over the holiday period. It </w:t>
      </w:r>
      <w:r w:rsidR="00A2110C">
        <w:t>is</w:t>
      </w:r>
      <w:r w:rsidR="00973C55">
        <w:t xml:space="preserve"> that the </w:t>
      </w:r>
      <w:r w:rsidR="008D1E99">
        <w:t xml:space="preserve">respondents should </w:t>
      </w:r>
      <w:r w:rsidR="007F1211">
        <w:t xml:space="preserve">have </w:t>
      </w:r>
      <w:r w:rsidR="008D1E99">
        <w:t>filed a replying affidavit and enrolled the matter in the Urgent Court late in December or early in January 2023. On the other hand, by the time the answering affidavit was filed the urgency had to some extent dissipated and the new term only started min-January. The Police investigation was not complete and the</w:t>
      </w:r>
      <w:r w:rsidR="00EA7F05">
        <w:t xml:space="preserve"> respondents</w:t>
      </w:r>
      <w:r w:rsidR="007F1211">
        <w:t xml:space="preserve"> were entitled to rely on a Police investigation</w:t>
      </w:r>
      <w:r w:rsidR="00900368">
        <w:t xml:space="preserve"> and the protection of the Police</w:t>
      </w:r>
      <w:r w:rsidR="007F1211">
        <w:t>.</w:t>
      </w:r>
      <w:r w:rsidR="008D1E99">
        <w:t xml:space="preserve"> </w:t>
      </w:r>
    </w:p>
    <w:p w14:paraId="24E581F2" w14:textId="5A860B51" w:rsidR="00685188" w:rsidRPr="00685188" w:rsidRDefault="008E2A77" w:rsidP="008E2A77">
      <w:pPr>
        <w:keepNext/>
        <w:widowControl w:val="0"/>
        <w:tabs>
          <w:tab w:val="left" w:pos="567"/>
        </w:tabs>
        <w:spacing w:before="480" w:after="480" w:line="480" w:lineRule="auto"/>
        <w:jc w:val="both"/>
        <w:rPr>
          <w:rFonts w:cs="Arial"/>
          <w:bCs/>
          <w:szCs w:val="22"/>
        </w:rPr>
      </w:pPr>
      <w:r w:rsidRPr="00685188">
        <w:rPr>
          <w:rFonts w:cs="Arial"/>
          <w:bCs/>
          <w:szCs w:val="22"/>
        </w:rPr>
        <w:t>[21]</w:t>
      </w:r>
      <w:r w:rsidRPr="00685188">
        <w:rPr>
          <w:rFonts w:cs="Arial"/>
          <w:bCs/>
          <w:szCs w:val="22"/>
        </w:rPr>
        <w:tab/>
      </w:r>
      <w:r w:rsidR="00685188">
        <w:t>The applicants</w:t>
      </w:r>
      <w:r w:rsidR="007F1211">
        <w:t xml:space="preserve"> likewise took no steps to </w:t>
      </w:r>
      <w:r w:rsidR="00EB3541">
        <w:t>stabilise</w:t>
      </w:r>
      <w:r w:rsidR="00685188">
        <w:t xml:space="preserve"> their </w:t>
      </w:r>
      <w:r w:rsidR="00E0285E">
        <w:t>possession</w:t>
      </w:r>
      <w:r w:rsidR="007F1211">
        <w:t>.</w:t>
      </w:r>
    </w:p>
    <w:p w14:paraId="224AB697" w14:textId="0931E760" w:rsidR="008D1E99" w:rsidRPr="00685188" w:rsidRDefault="008E2A77" w:rsidP="008E2A77">
      <w:pPr>
        <w:keepNext/>
        <w:widowControl w:val="0"/>
        <w:tabs>
          <w:tab w:val="left" w:pos="567"/>
        </w:tabs>
        <w:spacing w:before="480" w:after="480" w:line="480" w:lineRule="auto"/>
        <w:jc w:val="both"/>
        <w:rPr>
          <w:rFonts w:cs="Arial"/>
          <w:bCs/>
          <w:szCs w:val="22"/>
        </w:rPr>
      </w:pPr>
      <w:r w:rsidRPr="00685188">
        <w:rPr>
          <w:rFonts w:cs="Arial"/>
          <w:bCs/>
          <w:szCs w:val="22"/>
        </w:rPr>
        <w:t>[22]</w:t>
      </w:r>
      <w:r w:rsidRPr="00685188">
        <w:rPr>
          <w:rFonts w:cs="Arial"/>
          <w:bCs/>
          <w:szCs w:val="22"/>
        </w:rPr>
        <w:tab/>
      </w:r>
      <w:r w:rsidR="00900368">
        <w:t>I</w:t>
      </w:r>
      <w:r w:rsidR="008D1E99">
        <w:t xml:space="preserve">t can </w:t>
      </w:r>
      <w:r w:rsidR="00900368">
        <w:t xml:space="preserve">perhaps </w:t>
      </w:r>
      <w:r w:rsidR="008D1E99">
        <w:t>be argued that the Police should have acted with more haste. The Police are however not under the control of the respondents and one does not know what priorities over the Festive Season led to the Police only acting in March.</w:t>
      </w:r>
      <w:r w:rsidR="00900368">
        <w:t xml:space="preserve"> No criticism of the Police is </w:t>
      </w:r>
      <w:r w:rsidR="00900368">
        <w:lastRenderedPageBreak/>
        <w:t>intended and the Minister of Police is in any event not cited in the application.</w:t>
      </w:r>
    </w:p>
    <w:p w14:paraId="6D823280" w14:textId="20521D11" w:rsidR="00685188" w:rsidRPr="00BA0E8D" w:rsidRDefault="008E2A77" w:rsidP="008E2A77">
      <w:pPr>
        <w:keepNext/>
        <w:widowControl w:val="0"/>
        <w:tabs>
          <w:tab w:val="left" w:pos="567"/>
        </w:tabs>
        <w:spacing w:before="480" w:after="480" w:line="480" w:lineRule="auto"/>
        <w:jc w:val="both"/>
        <w:rPr>
          <w:rFonts w:cs="Arial"/>
          <w:bCs/>
          <w:szCs w:val="22"/>
        </w:rPr>
      </w:pPr>
      <w:r w:rsidRPr="00BA0E8D">
        <w:rPr>
          <w:rFonts w:cs="Arial"/>
          <w:bCs/>
          <w:szCs w:val="22"/>
        </w:rPr>
        <w:t>[23]</w:t>
      </w:r>
      <w:r w:rsidRPr="00BA0E8D">
        <w:rPr>
          <w:rFonts w:cs="Arial"/>
          <w:bCs/>
          <w:szCs w:val="22"/>
        </w:rPr>
        <w:tab/>
      </w:r>
      <w:r w:rsidR="00685188">
        <w:t xml:space="preserve">My view of the facts are that the applicants were never in peaceful and undisturbed </w:t>
      </w:r>
      <w:r w:rsidR="00E0285E">
        <w:t>possession</w:t>
      </w:r>
      <w:r w:rsidR="00685188">
        <w:t xml:space="preserve"> of the </w:t>
      </w:r>
      <w:r w:rsidR="00214044">
        <w:t xml:space="preserve">building, that the respondents continuously resisted the </w:t>
      </w:r>
      <w:r w:rsidR="00EB3541">
        <w:t>hijacking</w:t>
      </w:r>
      <w:r w:rsidR="00214044">
        <w:t>,</w:t>
      </w:r>
      <w:r w:rsidR="00685188">
        <w:t xml:space="preserve"> and</w:t>
      </w:r>
      <w:r w:rsidR="00900368">
        <w:t xml:space="preserve"> that</w:t>
      </w:r>
      <w:r w:rsidR="00685188">
        <w:t xml:space="preserve"> for this reason the</w:t>
      </w:r>
      <w:r w:rsidR="00214044">
        <w:t xml:space="preserve"> applicants</w:t>
      </w:r>
      <w:r w:rsidR="00685188">
        <w:t xml:space="preserve"> are not entitled to the order sought.</w:t>
      </w:r>
    </w:p>
    <w:p w14:paraId="44F47A27" w14:textId="3071FF0B" w:rsidR="00685188" w:rsidRPr="00ED457F" w:rsidRDefault="008E2A77" w:rsidP="008E2A77">
      <w:pPr>
        <w:keepNext/>
        <w:widowControl w:val="0"/>
        <w:tabs>
          <w:tab w:val="left" w:pos="567"/>
        </w:tabs>
        <w:spacing w:before="480" w:after="480" w:line="480" w:lineRule="auto"/>
        <w:jc w:val="both"/>
        <w:rPr>
          <w:rFonts w:cs="Arial"/>
          <w:bCs/>
          <w:szCs w:val="22"/>
        </w:rPr>
      </w:pPr>
      <w:r w:rsidRPr="00ED457F">
        <w:rPr>
          <w:rFonts w:cs="Arial"/>
          <w:bCs/>
          <w:szCs w:val="22"/>
        </w:rPr>
        <w:t>[24]</w:t>
      </w:r>
      <w:r w:rsidRPr="00ED457F">
        <w:rPr>
          <w:rFonts w:cs="Arial"/>
          <w:bCs/>
          <w:szCs w:val="22"/>
        </w:rPr>
        <w:tab/>
      </w:r>
      <w:r w:rsidR="00BA0E8D">
        <w:t xml:space="preserve">The decision in </w:t>
      </w:r>
      <w:r w:rsidR="00BA0E8D" w:rsidRPr="00BA1A05">
        <w:rPr>
          <w:i/>
          <w:iCs/>
        </w:rPr>
        <w:t>South African Human Rights Commission and Others v Cape Town City and Others</w:t>
      </w:r>
      <w:r w:rsidR="00BA0E8D">
        <w:rPr>
          <w:rStyle w:val="FootnoteReference"/>
          <w:i/>
          <w:iCs/>
        </w:rPr>
        <w:footnoteReference w:id="12"/>
      </w:r>
      <w:r w:rsidR="00BA0E8D">
        <w:t xml:space="preserve"> is not authority for the view that peaceful and undisturbed </w:t>
      </w:r>
      <w:r w:rsidR="00E0285E">
        <w:t>possession</w:t>
      </w:r>
      <w:r w:rsidR="00BA0E8D">
        <w:t xml:space="preserve"> is no longer a requirement. In this judgment it was accepted that the </w:t>
      </w:r>
      <w:r w:rsidR="00E0285E">
        <w:t>possession</w:t>
      </w:r>
      <w:r w:rsidR="00BA0E8D">
        <w:t xml:space="preserve"> of vacant land was peaceful and undisturbed,</w:t>
      </w:r>
      <w:r w:rsidR="00BA0E8D">
        <w:rPr>
          <w:rStyle w:val="FootnoteReference"/>
        </w:rPr>
        <w:footnoteReference w:id="13"/>
      </w:r>
      <w:r w:rsidR="00BA0E8D">
        <w:t xml:space="preserve"> and the local authority’s reliance on contra-spoliation was rejected </w:t>
      </w:r>
      <w:r w:rsidR="00214044">
        <w:lastRenderedPageBreak/>
        <w:t xml:space="preserve">on the facts </w:t>
      </w:r>
      <w:r w:rsidR="00BA0E8D">
        <w:t xml:space="preserve">as it did not react </w:t>
      </w:r>
      <w:r w:rsidR="00BA0E8D" w:rsidRPr="00BA0E8D">
        <w:rPr>
          <w:i/>
          <w:iCs/>
        </w:rPr>
        <w:t>instanter</w:t>
      </w:r>
      <w:r w:rsidR="00BA0E8D">
        <w:rPr>
          <w:i/>
          <w:iCs/>
        </w:rPr>
        <w:t>,</w:t>
      </w:r>
      <w:r w:rsidR="00BA0E8D" w:rsidRPr="00BA0E8D">
        <w:t xml:space="preserve"> or </w:t>
      </w:r>
      <w:r w:rsidR="00EC212D">
        <w:t>immediately</w:t>
      </w:r>
      <w:r w:rsidR="00BA0E8D" w:rsidRPr="00BA0E8D">
        <w:t>.</w:t>
      </w:r>
    </w:p>
    <w:p w14:paraId="0364080C" w14:textId="77777777" w:rsidR="00DF7FD3" w:rsidRDefault="00DF7FD3" w:rsidP="00DF7FD3">
      <w:pPr>
        <w:keepNext/>
        <w:widowControl w:val="0"/>
        <w:spacing w:before="480" w:after="480" w:line="480" w:lineRule="auto"/>
        <w:jc w:val="both"/>
        <w:rPr>
          <w:rFonts w:cs="Arial"/>
          <w:bCs/>
          <w:szCs w:val="22"/>
          <w:u w:val="single"/>
        </w:rPr>
      </w:pPr>
    </w:p>
    <w:p w14:paraId="1C4DAB05" w14:textId="06A53F11" w:rsidR="00DF7FD3" w:rsidRPr="00DF7FD3" w:rsidRDefault="00DF7FD3" w:rsidP="00AD5024">
      <w:pPr>
        <w:keepNext/>
        <w:widowControl w:val="0"/>
        <w:spacing w:before="480" w:after="480" w:line="480" w:lineRule="auto"/>
        <w:jc w:val="both"/>
        <w:rPr>
          <w:rFonts w:cs="Arial"/>
          <w:bCs/>
          <w:szCs w:val="22"/>
          <w:u w:val="single"/>
        </w:rPr>
      </w:pPr>
      <w:r w:rsidRPr="00DF7FD3">
        <w:rPr>
          <w:rFonts w:cs="Arial"/>
          <w:bCs/>
          <w:szCs w:val="22"/>
          <w:u w:val="single"/>
        </w:rPr>
        <w:t xml:space="preserve">The </w:t>
      </w:r>
      <w:r w:rsidR="003F4B3A">
        <w:rPr>
          <w:rFonts w:cs="Arial"/>
          <w:bCs/>
          <w:szCs w:val="22"/>
          <w:u w:val="single"/>
        </w:rPr>
        <w:t xml:space="preserve">requirement of unlawfulness and the </w:t>
      </w:r>
      <w:r w:rsidRPr="00DF7FD3">
        <w:rPr>
          <w:rFonts w:cs="Arial"/>
          <w:bCs/>
          <w:szCs w:val="22"/>
          <w:u w:val="single"/>
        </w:rPr>
        <w:t>action</w:t>
      </w:r>
      <w:r w:rsidR="003F4B3A">
        <w:rPr>
          <w:rFonts w:cs="Arial"/>
          <w:bCs/>
          <w:szCs w:val="22"/>
          <w:u w:val="single"/>
        </w:rPr>
        <w:t>s</w:t>
      </w:r>
      <w:r w:rsidRPr="00DF7FD3">
        <w:rPr>
          <w:rFonts w:cs="Arial"/>
          <w:bCs/>
          <w:szCs w:val="22"/>
          <w:u w:val="single"/>
        </w:rPr>
        <w:t xml:space="preserve"> of the members of the South African Police Service</w:t>
      </w:r>
    </w:p>
    <w:p w14:paraId="23098A2F" w14:textId="3EDC9CA3" w:rsidR="00AD5024" w:rsidRDefault="008E2A77" w:rsidP="008E2A77">
      <w:pPr>
        <w:keepNext/>
        <w:widowControl w:val="0"/>
        <w:tabs>
          <w:tab w:val="left" w:pos="567"/>
        </w:tabs>
        <w:spacing w:before="480" w:after="480" w:line="480" w:lineRule="auto"/>
        <w:jc w:val="both"/>
        <w:rPr>
          <w:rFonts w:cs="Arial"/>
          <w:bCs/>
          <w:szCs w:val="22"/>
        </w:rPr>
      </w:pPr>
      <w:r>
        <w:rPr>
          <w:rFonts w:cs="Arial"/>
          <w:bCs/>
          <w:szCs w:val="22"/>
        </w:rPr>
        <w:t>[25]</w:t>
      </w:r>
      <w:r>
        <w:rPr>
          <w:rFonts w:cs="Arial"/>
          <w:bCs/>
          <w:szCs w:val="22"/>
        </w:rPr>
        <w:tab/>
      </w:r>
      <w:r w:rsidR="004778C8">
        <w:rPr>
          <w:rFonts w:cs="Arial"/>
          <w:bCs/>
          <w:szCs w:val="22"/>
        </w:rPr>
        <w:t>The arrests were carried out by the members of the Police Service pursuant to criminal charges laid by the 1</w:t>
      </w:r>
      <w:r w:rsidR="004778C8" w:rsidRPr="004778C8">
        <w:rPr>
          <w:rFonts w:cs="Arial"/>
          <w:bCs/>
          <w:szCs w:val="22"/>
          <w:vertAlign w:val="superscript"/>
        </w:rPr>
        <w:t>st</w:t>
      </w:r>
      <w:r w:rsidR="004778C8">
        <w:rPr>
          <w:rFonts w:cs="Arial"/>
          <w:bCs/>
          <w:szCs w:val="22"/>
        </w:rPr>
        <w:t xml:space="preserve"> respondent. The Police act independently and are not the mere agents of a complainant when </w:t>
      </w:r>
      <w:r w:rsidR="00AD5024">
        <w:rPr>
          <w:rFonts w:cs="Arial"/>
          <w:bCs/>
          <w:szCs w:val="22"/>
        </w:rPr>
        <w:t xml:space="preserve">member of the Service arrest people for trespassing. </w:t>
      </w:r>
    </w:p>
    <w:p w14:paraId="45423768" w14:textId="6D5DB459" w:rsidR="00891D4B" w:rsidRDefault="008E2A77" w:rsidP="008E2A77">
      <w:pPr>
        <w:keepNext/>
        <w:widowControl w:val="0"/>
        <w:tabs>
          <w:tab w:val="left" w:pos="567"/>
        </w:tabs>
        <w:spacing w:before="480" w:after="480" w:line="480" w:lineRule="auto"/>
        <w:jc w:val="both"/>
        <w:rPr>
          <w:rFonts w:cs="Arial"/>
          <w:bCs/>
          <w:szCs w:val="22"/>
        </w:rPr>
      </w:pPr>
      <w:r>
        <w:rPr>
          <w:rFonts w:cs="Arial"/>
          <w:bCs/>
          <w:szCs w:val="22"/>
        </w:rPr>
        <w:t>[26]</w:t>
      </w:r>
      <w:r>
        <w:rPr>
          <w:rFonts w:cs="Arial"/>
          <w:bCs/>
          <w:szCs w:val="22"/>
        </w:rPr>
        <w:tab/>
      </w:r>
      <w:r w:rsidR="004778C8">
        <w:rPr>
          <w:rFonts w:cs="Arial"/>
          <w:bCs/>
          <w:szCs w:val="22"/>
        </w:rPr>
        <w:t xml:space="preserve">There is </w:t>
      </w:r>
      <w:r w:rsidR="00932208">
        <w:rPr>
          <w:rFonts w:cs="Arial"/>
          <w:bCs/>
          <w:szCs w:val="22"/>
        </w:rPr>
        <w:t xml:space="preserve">also </w:t>
      </w:r>
      <w:r w:rsidR="004778C8">
        <w:rPr>
          <w:rFonts w:cs="Arial"/>
          <w:bCs/>
          <w:szCs w:val="22"/>
        </w:rPr>
        <w:t>no case made out to suggest that the arrests were not lawful arrests</w:t>
      </w:r>
      <w:r w:rsidR="00DF7FD3">
        <w:rPr>
          <w:rFonts w:cs="Arial"/>
          <w:bCs/>
          <w:szCs w:val="22"/>
        </w:rPr>
        <w:t xml:space="preserve"> and therefore no case that the deprivation of possession was unlawful.</w:t>
      </w:r>
      <w:r w:rsidR="00AD5024">
        <w:rPr>
          <w:rFonts w:cs="Arial"/>
          <w:bCs/>
          <w:szCs w:val="22"/>
        </w:rPr>
        <w:t xml:space="preserve"> A complaint was made to the Police late in 2022 and in March 2023 the Police carried out arrests.</w:t>
      </w:r>
    </w:p>
    <w:p w14:paraId="39BDADF6" w14:textId="77777777" w:rsidR="003F4B3A" w:rsidRDefault="003F4B3A" w:rsidP="003F4B3A">
      <w:pPr>
        <w:keepNext/>
        <w:widowControl w:val="0"/>
        <w:spacing w:before="480" w:after="480" w:line="480" w:lineRule="auto"/>
        <w:jc w:val="both"/>
        <w:rPr>
          <w:rFonts w:cs="Arial"/>
          <w:bCs/>
          <w:szCs w:val="22"/>
          <w:u w:val="single"/>
        </w:rPr>
      </w:pPr>
    </w:p>
    <w:p w14:paraId="7D5A883A" w14:textId="5F862EC9" w:rsidR="003F4B3A" w:rsidRPr="003F4B3A" w:rsidRDefault="003F4B3A" w:rsidP="003F4B3A">
      <w:pPr>
        <w:keepNext/>
        <w:widowControl w:val="0"/>
        <w:spacing w:before="480" w:after="480" w:line="480" w:lineRule="auto"/>
        <w:jc w:val="both"/>
        <w:rPr>
          <w:rFonts w:cs="Arial"/>
          <w:bCs/>
          <w:szCs w:val="22"/>
          <w:u w:val="single"/>
        </w:rPr>
      </w:pPr>
      <w:r w:rsidRPr="003F4B3A">
        <w:rPr>
          <w:rFonts w:cs="Arial"/>
          <w:bCs/>
          <w:szCs w:val="22"/>
          <w:u w:val="single"/>
        </w:rPr>
        <w:t>The applicants’ movables</w:t>
      </w:r>
    </w:p>
    <w:p w14:paraId="77F8B989" w14:textId="44A447A7" w:rsidR="00891D4B" w:rsidRDefault="008E2A77" w:rsidP="008E2A77">
      <w:pPr>
        <w:keepNext/>
        <w:widowControl w:val="0"/>
        <w:tabs>
          <w:tab w:val="left" w:pos="567"/>
        </w:tabs>
        <w:spacing w:before="480" w:after="480" w:line="480" w:lineRule="auto"/>
        <w:jc w:val="both"/>
        <w:rPr>
          <w:rFonts w:cs="Arial"/>
          <w:bCs/>
          <w:szCs w:val="22"/>
        </w:rPr>
      </w:pPr>
      <w:r>
        <w:rPr>
          <w:rFonts w:cs="Arial"/>
          <w:bCs/>
          <w:szCs w:val="22"/>
        </w:rPr>
        <w:t>[27]</w:t>
      </w:r>
      <w:r>
        <w:rPr>
          <w:rFonts w:cs="Arial"/>
          <w:bCs/>
          <w:szCs w:val="22"/>
        </w:rPr>
        <w:tab/>
      </w:r>
      <w:r w:rsidR="00A9650C">
        <w:rPr>
          <w:rFonts w:cs="Arial"/>
          <w:bCs/>
          <w:szCs w:val="22"/>
        </w:rPr>
        <w:t>The applicants allege that their movables are still on the property. The respondents have given an undertaking that any applicant who wished to remove his or her movables will be assisted to do so.</w:t>
      </w:r>
    </w:p>
    <w:p w14:paraId="5143C4D8" w14:textId="77777777" w:rsidR="00D70528" w:rsidRDefault="00D70528" w:rsidP="00D70528">
      <w:pPr>
        <w:keepNext/>
        <w:widowControl w:val="0"/>
        <w:spacing w:before="480" w:after="480" w:line="480" w:lineRule="auto"/>
        <w:jc w:val="both"/>
        <w:rPr>
          <w:rFonts w:cs="Arial"/>
          <w:bCs/>
          <w:szCs w:val="22"/>
          <w:u w:val="single"/>
        </w:rPr>
      </w:pPr>
    </w:p>
    <w:p w14:paraId="0E3A12BF" w14:textId="3C4C2C14" w:rsidR="00D70528" w:rsidRPr="00D70528" w:rsidRDefault="00D70528" w:rsidP="00D70528">
      <w:pPr>
        <w:keepNext/>
        <w:widowControl w:val="0"/>
        <w:spacing w:before="480" w:after="480" w:line="480" w:lineRule="auto"/>
        <w:jc w:val="both"/>
        <w:rPr>
          <w:rFonts w:cs="Arial"/>
          <w:bCs/>
          <w:szCs w:val="22"/>
          <w:u w:val="single"/>
        </w:rPr>
      </w:pPr>
      <w:r w:rsidRPr="00D70528">
        <w:rPr>
          <w:rFonts w:cs="Arial"/>
          <w:bCs/>
          <w:szCs w:val="22"/>
          <w:u w:val="single"/>
        </w:rPr>
        <w:t>Children</w:t>
      </w:r>
    </w:p>
    <w:p w14:paraId="184DD3F6" w14:textId="29B94BF9" w:rsidR="0011505A" w:rsidRDefault="008E2A77" w:rsidP="008E2A77">
      <w:pPr>
        <w:keepNext/>
        <w:widowControl w:val="0"/>
        <w:tabs>
          <w:tab w:val="left" w:pos="567"/>
        </w:tabs>
        <w:spacing w:before="480" w:after="480" w:line="480" w:lineRule="auto"/>
        <w:jc w:val="both"/>
        <w:rPr>
          <w:rFonts w:cs="Arial"/>
          <w:bCs/>
          <w:szCs w:val="22"/>
        </w:rPr>
      </w:pPr>
      <w:r>
        <w:rPr>
          <w:rFonts w:cs="Arial"/>
          <w:bCs/>
          <w:szCs w:val="22"/>
        </w:rPr>
        <w:t>[28]</w:t>
      </w:r>
      <w:r>
        <w:rPr>
          <w:rFonts w:cs="Arial"/>
          <w:bCs/>
          <w:szCs w:val="22"/>
        </w:rPr>
        <w:tab/>
      </w:r>
      <w:r w:rsidR="0011505A">
        <w:rPr>
          <w:rFonts w:cs="Arial"/>
          <w:bCs/>
          <w:szCs w:val="22"/>
        </w:rPr>
        <w:t xml:space="preserve">Reference was made in argument to children affected by the litigation and at a very late </w:t>
      </w:r>
      <w:r w:rsidR="0011505A">
        <w:rPr>
          <w:rFonts w:cs="Arial"/>
          <w:bCs/>
          <w:szCs w:val="22"/>
        </w:rPr>
        <w:lastRenderedPageBreak/>
        <w:t xml:space="preserve">stage the applicants provided some details of the identity of these children. The children are in the care of four of the applicants and their </w:t>
      </w:r>
      <w:r w:rsidR="00EC099E">
        <w:rPr>
          <w:rFonts w:cs="Arial"/>
          <w:bCs/>
          <w:szCs w:val="22"/>
        </w:rPr>
        <w:t>names</w:t>
      </w:r>
      <w:r w:rsidR="0011505A">
        <w:rPr>
          <w:rFonts w:cs="Arial"/>
          <w:bCs/>
          <w:szCs w:val="22"/>
        </w:rPr>
        <w:t xml:space="preserve"> were disclosed under oath on 21 March 2023. </w:t>
      </w:r>
    </w:p>
    <w:p w14:paraId="423947E6" w14:textId="0BBE9726" w:rsidR="00397E4A" w:rsidRDefault="008E2A77" w:rsidP="008E2A77">
      <w:pPr>
        <w:keepNext/>
        <w:widowControl w:val="0"/>
        <w:tabs>
          <w:tab w:val="left" w:pos="567"/>
        </w:tabs>
        <w:spacing w:before="480" w:after="480" w:line="480" w:lineRule="auto"/>
        <w:jc w:val="both"/>
        <w:rPr>
          <w:rFonts w:cs="Arial"/>
          <w:bCs/>
          <w:szCs w:val="22"/>
        </w:rPr>
      </w:pPr>
      <w:r>
        <w:rPr>
          <w:rFonts w:cs="Arial"/>
          <w:bCs/>
          <w:szCs w:val="22"/>
        </w:rPr>
        <w:t>[29]</w:t>
      </w:r>
      <w:r>
        <w:rPr>
          <w:rFonts w:cs="Arial"/>
          <w:bCs/>
          <w:szCs w:val="22"/>
        </w:rPr>
        <w:tab/>
      </w:r>
      <w:r w:rsidR="0011505A">
        <w:rPr>
          <w:rFonts w:cs="Arial"/>
          <w:bCs/>
          <w:szCs w:val="22"/>
        </w:rPr>
        <w:t>The respondents called on the applicants to bring applications against the relevant government departments</w:t>
      </w:r>
      <w:r w:rsidR="0011505A">
        <w:rPr>
          <w:rStyle w:val="FootnoteReference"/>
          <w:rFonts w:cs="Arial"/>
          <w:bCs/>
          <w:szCs w:val="22"/>
        </w:rPr>
        <w:footnoteReference w:id="14"/>
      </w:r>
      <w:r w:rsidR="0011505A">
        <w:rPr>
          <w:rFonts w:cs="Arial"/>
          <w:bCs/>
          <w:szCs w:val="22"/>
        </w:rPr>
        <w:t xml:space="preserve"> and I mentioned in court that should the attorneys (who have access to facts I do not have access to) deem it wise, I would make an order in terms of section </w:t>
      </w:r>
      <w:r w:rsidR="0011505A">
        <w:rPr>
          <w:rFonts w:cs="Arial"/>
          <w:bCs/>
          <w:szCs w:val="22"/>
        </w:rPr>
        <w:lastRenderedPageBreak/>
        <w:t>47 of the Children’s Act, 38 of 2005.</w:t>
      </w:r>
      <w:r w:rsidR="00D70528">
        <w:rPr>
          <w:rFonts w:cs="Arial"/>
          <w:bCs/>
          <w:szCs w:val="22"/>
        </w:rPr>
        <w:t xml:space="preserve"> I have not been requested to do so.</w:t>
      </w:r>
    </w:p>
    <w:p w14:paraId="2A4B303E" w14:textId="77777777" w:rsidR="00397E4A" w:rsidRDefault="00397E4A" w:rsidP="00397E4A">
      <w:pPr>
        <w:keepNext/>
        <w:widowControl w:val="0"/>
        <w:spacing w:before="480" w:after="480" w:line="480" w:lineRule="auto"/>
        <w:jc w:val="both"/>
        <w:rPr>
          <w:rFonts w:cs="Arial"/>
          <w:bCs/>
          <w:szCs w:val="22"/>
          <w:u w:val="single"/>
        </w:rPr>
      </w:pPr>
    </w:p>
    <w:p w14:paraId="1EF1DA0A" w14:textId="499D1569" w:rsidR="00397E4A" w:rsidRPr="00397E4A" w:rsidRDefault="00397E4A" w:rsidP="00397E4A">
      <w:pPr>
        <w:keepNext/>
        <w:widowControl w:val="0"/>
        <w:spacing w:before="480" w:after="480" w:line="480" w:lineRule="auto"/>
        <w:jc w:val="both"/>
        <w:rPr>
          <w:rFonts w:cs="Arial"/>
          <w:bCs/>
          <w:szCs w:val="22"/>
          <w:u w:val="single"/>
        </w:rPr>
      </w:pPr>
      <w:r w:rsidRPr="00397E4A">
        <w:rPr>
          <w:rFonts w:cs="Arial"/>
          <w:bCs/>
          <w:szCs w:val="22"/>
          <w:u w:val="single"/>
        </w:rPr>
        <w:t>Costs</w:t>
      </w:r>
    </w:p>
    <w:p w14:paraId="1501E66C" w14:textId="42AF01C5" w:rsidR="00900368" w:rsidRDefault="008E2A77" w:rsidP="008E2A77">
      <w:pPr>
        <w:keepNext/>
        <w:widowControl w:val="0"/>
        <w:tabs>
          <w:tab w:val="left" w:pos="567"/>
        </w:tabs>
        <w:spacing w:before="480" w:after="480" w:line="480" w:lineRule="auto"/>
        <w:jc w:val="both"/>
        <w:rPr>
          <w:rFonts w:cs="Arial"/>
          <w:bCs/>
          <w:szCs w:val="22"/>
        </w:rPr>
      </w:pPr>
      <w:r>
        <w:rPr>
          <w:rFonts w:cs="Arial"/>
          <w:bCs/>
          <w:szCs w:val="22"/>
        </w:rPr>
        <w:t>[30]</w:t>
      </w:r>
      <w:r>
        <w:rPr>
          <w:rFonts w:cs="Arial"/>
          <w:bCs/>
          <w:szCs w:val="22"/>
        </w:rPr>
        <w:tab/>
      </w:r>
      <w:r w:rsidR="00397E4A">
        <w:rPr>
          <w:rFonts w:cs="Arial"/>
          <w:bCs/>
          <w:szCs w:val="22"/>
        </w:rPr>
        <w:t xml:space="preserve">The applicants set the application down on very short notice on Saturday, 17 March 2023. It was removed from the roll. They then set it down again the very next day </w:t>
      </w:r>
      <w:r w:rsidR="00900368">
        <w:rPr>
          <w:rFonts w:cs="Arial"/>
          <w:bCs/>
          <w:szCs w:val="22"/>
        </w:rPr>
        <w:t>(the 18</w:t>
      </w:r>
      <w:r w:rsidR="00900368" w:rsidRPr="00900368">
        <w:rPr>
          <w:rFonts w:cs="Arial"/>
          <w:bCs/>
          <w:szCs w:val="22"/>
          <w:vertAlign w:val="superscript"/>
        </w:rPr>
        <w:t>th</w:t>
      </w:r>
      <w:r w:rsidR="00900368">
        <w:rPr>
          <w:rFonts w:cs="Arial"/>
          <w:bCs/>
          <w:szCs w:val="22"/>
        </w:rPr>
        <w:t xml:space="preserve">) </w:t>
      </w:r>
      <w:r w:rsidR="00397E4A">
        <w:rPr>
          <w:rFonts w:cs="Arial"/>
          <w:bCs/>
          <w:szCs w:val="22"/>
        </w:rPr>
        <w:t>on equally short notice</w:t>
      </w:r>
      <w:r w:rsidR="00900368">
        <w:rPr>
          <w:rFonts w:cs="Arial"/>
          <w:bCs/>
          <w:szCs w:val="22"/>
        </w:rPr>
        <w:t>. They chose not to set it down with sufficient time for the respondents to file affidavits</w:t>
      </w:r>
      <w:r w:rsidR="00397E4A">
        <w:rPr>
          <w:rFonts w:cs="Arial"/>
          <w:bCs/>
          <w:szCs w:val="22"/>
        </w:rPr>
        <w:t xml:space="preserve">. </w:t>
      </w:r>
    </w:p>
    <w:p w14:paraId="433D3A49" w14:textId="45E02317" w:rsidR="00397E4A" w:rsidRDefault="008E2A77" w:rsidP="008E2A77">
      <w:pPr>
        <w:keepNext/>
        <w:widowControl w:val="0"/>
        <w:tabs>
          <w:tab w:val="left" w:pos="567"/>
        </w:tabs>
        <w:spacing w:before="480" w:after="480" w:line="480" w:lineRule="auto"/>
        <w:jc w:val="both"/>
        <w:rPr>
          <w:rFonts w:cs="Arial"/>
          <w:bCs/>
          <w:szCs w:val="22"/>
        </w:rPr>
      </w:pPr>
      <w:r>
        <w:rPr>
          <w:rFonts w:cs="Arial"/>
          <w:bCs/>
          <w:szCs w:val="22"/>
        </w:rPr>
        <w:t>[31]</w:t>
      </w:r>
      <w:r>
        <w:rPr>
          <w:rFonts w:cs="Arial"/>
          <w:bCs/>
          <w:szCs w:val="22"/>
        </w:rPr>
        <w:tab/>
      </w:r>
      <w:r w:rsidR="00397E4A">
        <w:rPr>
          <w:rFonts w:cs="Arial"/>
          <w:bCs/>
          <w:szCs w:val="22"/>
        </w:rPr>
        <w:t xml:space="preserve">In order to guide the matter I determined times for filing of affidavits and stood the application down to 24 March 2023. </w:t>
      </w:r>
    </w:p>
    <w:p w14:paraId="6DCEE4C3" w14:textId="60700E44" w:rsidR="00397E4A" w:rsidRDefault="008E2A77" w:rsidP="008E2A77">
      <w:pPr>
        <w:keepNext/>
        <w:widowControl w:val="0"/>
        <w:tabs>
          <w:tab w:val="left" w:pos="567"/>
        </w:tabs>
        <w:spacing w:before="480" w:after="480" w:line="480" w:lineRule="auto"/>
        <w:jc w:val="both"/>
        <w:rPr>
          <w:rFonts w:cs="Arial"/>
          <w:bCs/>
          <w:szCs w:val="22"/>
        </w:rPr>
      </w:pPr>
      <w:r>
        <w:rPr>
          <w:rFonts w:cs="Arial"/>
          <w:bCs/>
          <w:szCs w:val="22"/>
        </w:rPr>
        <w:t>[32]</w:t>
      </w:r>
      <w:r>
        <w:rPr>
          <w:rFonts w:cs="Arial"/>
          <w:bCs/>
          <w:szCs w:val="22"/>
        </w:rPr>
        <w:tab/>
      </w:r>
      <w:r w:rsidR="00397E4A">
        <w:rPr>
          <w:rFonts w:cs="Arial"/>
          <w:bCs/>
          <w:szCs w:val="22"/>
        </w:rPr>
        <w:t xml:space="preserve">The applicants chose not to abide this order and set it down for 21 March 2023 </w:t>
      </w:r>
      <w:r w:rsidR="00900368">
        <w:rPr>
          <w:rFonts w:cs="Arial"/>
          <w:bCs/>
          <w:szCs w:val="22"/>
        </w:rPr>
        <w:t>ostensibly</w:t>
      </w:r>
      <w:r w:rsidR="00397E4A">
        <w:rPr>
          <w:rFonts w:cs="Arial"/>
          <w:bCs/>
          <w:szCs w:val="22"/>
        </w:rPr>
        <w:t xml:space="preserve"> an interim order</w:t>
      </w:r>
      <w:r w:rsidR="00900368">
        <w:rPr>
          <w:rFonts w:cs="Arial"/>
          <w:bCs/>
          <w:szCs w:val="22"/>
        </w:rPr>
        <w:t xml:space="preserve"> for the period 21 to 24 March</w:t>
      </w:r>
      <w:r w:rsidR="00397E4A">
        <w:rPr>
          <w:rFonts w:cs="Arial"/>
          <w:bCs/>
          <w:szCs w:val="22"/>
        </w:rPr>
        <w:t>, ignoring the fact that the whole application (including the prayers for interim relief) was standing down for the 24</w:t>
      </w:r>
      <w:r w:rsidR="00397E4A" w:rsidRPr="00397E4A">
        <w:rPr>
          <w:rFonts w:cs="Arial"/>
          <w:bCs/>
          <w:szCs w:val="22"/>
          <w:vertAlign w:val="superscript"/>
        </w:rPr>
        <w:t>th</w:t>
      </w:r>
      <w:r w:rsidR="00397E4A">
        <w:rPr>
          <w:rFonts w:cs="Arial"/>
          <w:bCs/>
          <w:szCs w:val="22"/>
        </w:rPr>
        <w:t>.</w:t>
      </w:r>
    </w:p>
    <w:p w14:paraId="4A4DE686" w14:textId="1B6DDAD0" w:rsidR="00397E4A" w:rsidRDefault="008E2A77" w:rsidP="008E2A77">
      <w:pPr>
        <w:keepNext/>
        <w:widowControl w:val="0"/>
        <w:tabs>
          <w:tab w:val="left" w:pos="567"/>
        </w:tabs>
        <w:spacing w:before="480" w:after="480" w:line="480" w:lineRule="auto"/>
        <w:jc w:val="both"/>
        <w:rPr>
          <w:rFonts w:cs="Arial"/>
          <w:bCs/>
          <w:szCs w:val="22"/>
        </w:rPr>
      </w:pPr>
      <w:r>
        <w:rPr>
          <w:rFonts w:cs="Arial"/>
          <w:bCs/>
          <w:szCs w:val="22"/>
        </w:rPr>
        <w:t>[33]</w:t>
      </w:r>
      <w:r>
        <w:rPr>
          <w:rFonts w:cs="Arial"/>
          <w:bCs/>
          <w:szCs w:val="22"/>
        </w:rPr>
        <w:tab/>
      </w:r>
      <w:r w:rsidR="00397E4A">
        <w:rPr>
          <w:rFonts w:cs="Arial"/>
          <w:bCs/>
          <w:szCs w:val="22"/>
        </w:rPr>
        <w:t>This constitutes an abuse and I am of the view that a punitive cost order is justified as prayer for by the respondents.</w:t>
      </w:r>
    </w:p>
    <w:p w14:paraId="22A65944" w14:textId="77777777" w:rsidR="00397E4A" w:rsidRDefault="00397E4A" w:rsidP="00D70528">
      <w:pPr>
        <w:keepNext/>
        <w:widowControl w:val="0"/>
        <w:spacing w:before="480" w:after="480" w:line="480" w:lineRule="auto"/>
        <w:jc w:val="both"/>
        <w:rPr>
          <w:rFonts w:cs="Arial"/>
          <w:bCs/>
          <w:szCs w:val="22"/>
          <w:u w:val="single"/>
        </w:rPr>
      </w:pPr>
    </w:p>
    <w:p w14:paraId="40A9CCF9" w14:textId="1BE7B20D" w:rsidR="00D70528" w:rsidRPr="00D70528" w:rsidRDefault="00D70528" w:rsidP="00D70528">
      <w:pPr>
        <w:keepNext/>
        <w:widowControl w:val="0"/>
        <w:spacing w:before="480" w:after="480" w:line="480" w:lineRule="auto"/>
        <w:jc w:val="both"/>
        <w:rPr>
          <w:rFonts w:cs="Arial"/>
          <w:bCs/>
          <w:szCs w:val="22"/>
          <w:u w:val="single"/>
        </w:rPr>
      </w:pPr>
      <w:r w:rsidRPr="00D70528">
        <w:rPr>
          <w:rFonts w:cs="Arial"/>
          <w:bCs/>
          <w:szCs w:val="22"/>
          <w:u w:val="single"/>
        </w:rPr>
        <w:t>Conclusion</w:t>
      </w:r>
    </w:p>
    <w:p w14:paraId="3AC02D41" w14:textId="406FC88F" w:rsidR="00D70528" w:rsidRDefault="008E2A77" w:rsidP="008E2A77">
      <w:pPr>
        <w:keepNext/>
        <w:widowControl w:val="0"/>
        <w:tabs>
          <w:tab w:val="left" w:pos="567"/>
        </w:tabs>
        <w:spacing w:before="480" w:after="480" w:line="480" w:lineRule="auto"/>
        <w:jc w:val="both"/>
        <w:rPr>
          <w:rFonts w:cs="Arial"/>
          <w:bCs/>
          <w:szCs w:val="22"/>
        </w:rPr>
      </w:pPr>
      <w:r>
        <w:rPr>
          <w:rFonts w:cs="Arial"/>
          <w:bCs/>
          <w:szCs w:val="22"/>
        </w:rPr>
        <w:t>[34]</w:t>
      </w:r>
      <w:r>
        <w:rPr>
          <w:rFonts w:cs="Arial"/>
          <w:bCs/>
          <w:szCs w:val="22"/>
        </w:rPr>
        <w:tab/>
      </w:r>
      <w:r w:rsidR="00D70528">
        <w:rPr>
          <w:rFonts w:cs="Arial"/>
          <w:bCs/>
          <w:szCs w:val="22"/>
        </w:rPr>
        <w:t>I therefore make the order in paragraph 1 above.</w:t>
      </w:r>
    </w:p>
    <w:p w14:paraId="740EAE43" w14:textId="77777777" w:rsidR="007C6DF0" w:rsidRPr="0009745A" w:rsidRDefault="007C6DF0" w:rsidP="005E09BA">
      <w:pPr>
        <w:widowControl w:val="0"/>
        <w:tabs>
          <w:tab w:val="right" w:pos="0"/>
        </w:tabs>
        <w:spacing w:line="360" w:lineRule="auto"/>
        <w:contextualSpacing/>
        <w:jc w:val="both"/>
        <w:rPr>
          <w:rFonts w:cs="Arial"/>
          <w:b/>
          <w:szCs w:val="22"/>
        </w:rPr>
      </w:pPr>
    </w:p>
    <w:p w14:paraId="162481B2" w14:textId="3E18B653" w:rsidR="00581C59" w:rsidRPr="0009745A" w:rsidRDefault="00581C59" w:rsidP="005E09BA">
      <w:pPr>
        <w:widowControl w:val="0"/>
        <w:tabs>
          <w:tab w:val="right" w:pos="0"/>
        </w:tabs>
        <w:spacing w:line="360" w:lineRule="auto"/>
        <w:contextualSpacing/>
        <w:jc w:val="right"/>
        <w:rPr>
          <w:rFonts w:cs="Arial"/>
          <w:b/>
          <w:szCs w:val="22"/>
        </w:rPr>
      </w:pPr>
      <w:r w:rsidRPr="0009745A">
        <w:rPr>
          <w:rFonts w:cs="Arial"/>
          <w:b/>
          <w:szCs w:val="22"/>
        </w:rPr>
        <w:lastRenderedPageBreak/>
        <w:t>_____________</w:t>
      </w:r>
    </w:p>
    <w:p w14:paraId="0CCB9BFE" w14:textId="2B9BE171" w:rsidR="006C43D7" w:rsidRPr="0009745A" w:rsidRDefault="00C676F3" w:rsidP="005E09BA">
      <w:pPr>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5E09BA">
      <w:pPr>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p w14:paraId="077C2590" w14:textId="7C2C605F"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326B529B"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p>
    <w:p w14:paraId="5A4CC56C" w14:textId="051C4E22" w:rsidR="006C43D7" w:rsidRPr="0009745A" w:rsidRDefault="006C43D7" w:rsidP="005E09BA">
      <w:pPr>
        <w:widowControl w:val="0"/>
        <w:spacing w:after="200" w:line="480" w:lineRule="auto"/>
        <w:contextualSpacing/>
        <w:jc w:val="right"/>
        <w:rPr>
          <w:rFonts w:cs="Arial"/>
          <w:b/>
          <w:i/>
          <w:iCs/>
          <w:szCs w:val="22"/>
        </w:rPr>
      </w:pPr>
      <w:r w:rsidRPr="0009745A">
        <w:rPr>
          <w:rFonts w:cs="Arial"/>
          <w:b/>
          <w:i/>
          <w:iCs/>
          <w:szCs w:val="22"/>
        </w:rPr>
        <w:t>Electronically submitted</w:t>
      </w:r>
    </w:p>
    <w:p w14:paraId="4E3E9427" w14:textId="77777777" w:rsidR="006C43D7" w:rsidRPr="0009745A" w:rsidRDefault="006C43D7" w:rsidP="00250A46">
      <w:pPr>
        <w:widowControl w:val="0"/>
        <w:spacing w:after="200" w:line="360" w:lineRule="auto"/>
        <w:contextualSpacing/>
        <w:jc w:val="both"/>
        <w:rPr>
          <w:rFonts w:eastAsia="Arial Unicode MS" w:cs="Arial"/>
          <w:bCs/>
          <w:szCs w:val="22"/>
        </w:rPr>
      </w:pPr>
    </w:p>
    <w:p w14:paraId="51C686CA" w14:textId="11F3EA3F" w:rsidR="006C43D7" w:rsidRPr="0009745A" w:rsidRDefault="006C43D7" w:rsidP="00250A46">
      <w:pPr>
        <w:widowControl w:val="0"/>
        <w:spacing w:after="200" w:line="360" w:lineRule="auto"/>
        <w:contextualSpacing/>
        <w:jc w:val="both"/>
        <w:rPr>
          <w:rFonts w:eastAsia="Arial Unicode MS" w:cs="Arial"/>
          <w:bCs/>
          <w:szCs w:val="22"/>
        </w:rPr>
      </w:pPr>
      <w:r w:rsidRPr="0009745A">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w:t>
      </w:r>
      <w:r w:rsidR="000C1421" w:rsidRPr="0009745A">
        <w:rPr>
          <w:rFonts w:eastAsia="Arial Unicode MS" w:cs="Arial"/>
          <w:bCs/>
          <w:szCs w:val="22"/>
        </w:rPr>
        <w:t>L</w:t>
      </w:r>
      <w:r w:rsidRPr="0009745A">
        <w:rPr>
          <w:rFonts w:eastAsia="Arial Unicode MS" w:cs="Arial"/>
          <w:bCs/>
          <w:szCs w:val="22"/>
        </w:rPr>
        <w:t>ines. The date of the judgment is deemed to be</w:t>
      </w:r>
      <w:r w:rsidR="00357D35" w:rsidRPr="0009745A">
        <w:rPr>
          <w:rFonts w:eastAsia="Arial Unicode MS" w:cs="Arial"/>
          <w:bCs/>
          <w:szCs w:val="22"/>
        </w:rPr>
        <w:t xml:space="preserve"> </w:t>
      </w:r>
      <w:r w:rsidR="00CB0DF9">
        <w:rPr>
          <w:rFonts w:eastAsia="Arial Unicode MS" w:cs="Arial"/>
          <w:b/>
          <w:bCs/>
          <w:szCs w:val="22"/>
        </w:rPr>
        <w:t>2</w:t>
      </w:r>
      <w:r w:rsidR="00900368">
        <w:rPr>
          <w:rFonts w:eastAsia="Arial Unicode MS" w:cs="Arial"/>
          <w:b/>
          <w:bCs/>
          <w:szCs w:val="22"/>
        </w:rPr>
        <w:t>7</w:t>
      </w:r>
      <w:r w:rsidR="002014D0" w:rsidRPr="0009745A">
        <w:rPr>
          <w:rFonts w:eastAsia="Arial Unicode MS" w:cs="Arial"/>
          <w:b/>
          <w:bCs/>
          <w:szCs w:val="22"/>
        </w:rPr>
        <w:t xml:space="preserve"> </w:t>
      </w:r>
      <w:r w:rsidR="00991B1A" w:rsidRPr="0009745A">
        <w:rPr>
          <w:rFonts w:eastAsia="Arial Unicode MS" w:cs="Arial"/>
          <w:b/>
          <w:bCs/>
          <w:szCs w:val="22"/>
        </w:rPr>
        <w:t>MARCH 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55"/>
        <w:gridCol w:w="4508"/>
      </w:tblGrid>
      <w:tr w:rsidR="009B62F7" w:rsidRPr="0009745A" w14:paraId="6CDD4926" w14:textId="77777777" w:rsidTr="0098739F">
        <w:tc>
          <w:tcPr>
            <w:tcW w:w="4508" w:type="dxa"/>
            <w:gridSpan w:val="2"/>
          </w:tcPr>
          <w:p w14:paraId="0F4C5124" w14:textId="2909BC19" w:rsidR="009B62F7" w:rsidRPr="0009745A" w:rsidRDefault="009B62F7" w:rsidP="0098739F">
            <w:pPr>
              <w:widowControl w:val="0"/>
              <w:spacing w:before="120" w:after="120"/>
              <w:jc w:val="both"/>
              <w:rPr>
                <w:rFonts w:eastAsia="Arial Unicode MS" w:cs="Arial"/>
                <w:b/>
                <w:bCs/>
                <w:szCs w:val="22"/>
              </w:rPr>
            </w:pPr>
            <w:r w:rsidRPr="0009745A">
              <w:rPr>
                <w:rFonts w:cs="Arial"/>
                <w:szCs w:val="22"/>
              </w:rPr>
              <w:t>COUNSEL FOR THE APPLICANT:</w:t>
            </w:r>
          </w:p>
        </w:tc>
        <w:tc>
          <w:tcPr>
            <w:tcW w:w="4508" w:type="dxa"/>
          </w:tcPr>
          <w:p w14:paraId="7DD198BB" w14:textId="39C3FF78" w:rsidR="009B62F7" w:rsidRPr="00CF28CA" w:rsidRDefault="00CE0612" w:rsidP="0098739F">
            <w:pPr>
              <w:widowControl w:val="0"/>
              <w:spacing w:before="120" w:after="120"/>
              <w:jc w:val="right"/>
              <w:rPr>
                <w:rFonts w:eastAsia="Arial Unicode MS" w:cs="Arial"/>
                <w:szCs w:val="22"/>
              </w:rPr>
            </w:pPr>
            <w:r>
              <w:rPr>
                <w:rFonts w:eastAsia="Arial Unicode MS" w:cs="Arial"/>
                <w:szCs w:val="22"/>
              </w:rPr>
              <w:t>L MOELA</w:t>
            </w:r>
          </w:p>
        </w:tc>
      </w:tr>
      <w:tr w:rsidR="009B62F7" w:rsidRPr="0009745A" w14:paraId="6B458BBE" w14:textId="77777777" w:rsidTr="0098739F">
        <w:tc>
          <w:tcPr>
            <w:tcW w:w="4508" w:type="dxa"/>
            <w:gridSpan w:val="2"/>
          </w:tcPr>
          <w:p w14:paraId="004C2388" w14:textId="4D252395"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INSTRUCTED BY: </w:t>
            </w:r>
          </w:p>
        </w:tc>
        <w:tc>
          <w:tcPr>
            <w:tcW w:w="4508" w:type="dxa"/>
          </w:tcPr>
          <w:p w14:paraId="03FBBB1A" w14:textId="133253FD" w:rsidR="009B62F7" w:rsidRPr="00CE0612" w:rsidRDefault="00CE0612" w:rsidP="0098739F">
            <w:pPr>
              <w:widowControl w:val="0"/>
              <w:spacing w:before="120" w:after="120"/>
              <w:jc w:val="right"/>
              <w:rPr>
                <w:rFonts w:eastAsia="Arial Unicode MS" w:cs="Arial"/>
                <w:szCs w:val="22"/>
              </w:rPr>
            </w:pPr>
            <w:r w:rsidRPr="00CE0612">
              <w:rPr>
                <w:rFonts w:ascii="Arial-BoldMT" w:hAnsi="Arial-BoldMT" w:cs="Arial-BoldMT"/>
                <w:sz w:val="24"/>
                <w:lang w:eastAsia="en-ZA"/>
              </w:rPr>
              <w:t>SITHI AND THABELA ATTORNEYS</w:t>
            </w:r>
          </w:p>
        </w:tc>
      </w:tr>
      <w:tr w:rsidR="009B62F7" w:rsidRPr="0009745A" w14:paraId="2094B6A6" w14:textId="77777777" w:rsidTr="0098739F">
        <w:tc>
          <w:tcPr>
            <w:tcW w:w="4508" w:type="dxa"/>
            <w:gridSpan w:val="2"/>
          </w:tcPr>
          <w:p w14:paraId="660EE22E" w14:textId="7B04873A" w:rsidR="009B62F7" w:rsidRPr="0009745A" w:rsidRDefault="009B62F7" w:rsidP="0098739F">
            <w:pPr>
              <w:widowControl w:val="0"/>
              <w:spacing w:before="120" w:after="120"/>
              <w:jc w:val="both"/>
              <w:rPr>
                <w:rFonts w:eastAsia="Arial Unicode MS" w:cs="Arial"/>
                <w:b/>
                <w:bCs/>
                <w:szCs w:val="22"/>
              </w:rPr>
            </w:pPr>
            <w:r w:rsidRPr="0009745A">
              <w:rPr>
                <w:rFonts w:cs="Arial"/>
                <w:szCs w:val="22"/>
              </w:rPr>
              <w:t>COUNSEL FOR THE</w:t>
            </w:r>
            <w:r w:rsidR="00F042D3">
              <w:rPr>
                <w:rFonts w:cs="Arial"/>
                <w:szCs w:val="22"/>
              </w:rPr>
              <w:t xml:space="preserve"> 1</w:t>
            </w:r>
            <w:r w:rsidR="00F042D3" w:rsidRPr="00F042D3">
              <w:rPr>
                <w:rFonts w:cs="Arial"/>
                <w:szCs w:val="22"/>
                <w:vertAlign w:val="superscript"/>
              </w:rPr>
              <w:t>st</w:t>
            </w:r>
            <w:r w:rsidR="00F042D3">
              <w:rPr>
                <w:rFonts w:cs="Arial"/>
                <w:szCs w:val="22"/>
              </w:rPr>
              <w:t xml:space="preserve"> &amp; 2</w:t>
            </w:r>
            <w:r w:rsidR="00F042D3" w:rsidRPr="00F042D3">
              <w:rPr>
                <w:rFonts w:cs="Arial"/>
                <w:szCs w:val="22"/>
                <w:vertAlign w:val="superscript"/>
              </w:rPr>
              <w:t>nd</w:t>
            </w:r>
            <w:r w:rsidR="00F042D3">
              <w:rPr>
                <w:rFonts w:cs="Arial"/>
                <w:szCs w:val="22"/>
              </w:rPr>
              <w:t xml:space="preserve"> </w:t>
            </w:r>
            <w:r w:rsidRPr="0009745A">
              <w:rPr>
                <w:rFonts w:cs="Arial"/>
                <w:szCs w:val="22"/>
              </w:rPr>
              <w:t>RESPONDENT</w:t>
            </w:r>
            <w:r w:rsidR="00897C3B">
              <w:rPr>
                <w:rFonts w:cs="Arial"/>
                <w:szCs w:val="22"/>
              </w:rPr>
              <w:t>S</w:t>
            </w:r>
            <w:r w:rsidRPr="0009745A">
              <w:rPr>
                <w:rFonts w:cs="Arial"/>
                <w:szCs w:val="22"/>
              </w:rPr>
              <w:t>:</w:t>
            </w:r>
          </w:p>
        </w:tc>
        <w:tc>
          <w:tcPr>
            <w:tcW w:w="4508" w:type="dxa"/>
          </w:tcPr>
          <w:p w14:paraId="6407F6D2" w14:textId="520D7DED" w:rsidR="009B62F7" w:rsidRPr="0009745A" w:rsidRDefault="004E3AFC" w:rsidP="0098739F">
            <w:pPr>
              <w:autoSpaceDE w:val="0"/>
              <w:autoSpaceDN w:val="0"/>
              <w:adjustRightInd w:val="0"/>
              <w:spacing w:before="120" w:after="120"/>
              <w:jc w:val="right"/>
              <w:rPr>
                <w:rFonts w:eastAsia="Arial Unicode MS" w:cs="Arial"/>
                <w:szCs w:val="22"/>
              </w:rPr>
            </w:pPr>
            <w:r>
              <w:rPr>
                <w:rFonts w:eastAsia="Arial Unicode MS" w:cs="Arial"/>
                <w:szCs w:val="22"/>
              </w:rPr>
              <w:t>L HOLLANDER</w:t>
            </w:r>
          </w:p>
        </w:tc>
      </w:tr>
      <w:tr w:rsidR="009B62F7" w:rsidRPr="0009745A" w14:paraId="78D0B5E2" w14:textId="77777777" w:rsidTr="004E3AFC">
        <w:tc>
          <w:tcPr>
            <w:tcW w:w="4253" w:type="dxa"/>
          </w:tcPr>
          <w:p w14:paraId="042FC86A" w14:textId="06E34E50" w:rsidR="009B62F7" w:rsidRPr="00897C3B" w:rsidRDefault="009B62F7" w:rsidP="0098739F">
            <w:pPr>
              <w:widowControl w:val="0"/>
              <w:spacing w:before="120" w:after="120"/>
              <w:jc w:val="both"/>
              <w:rPr>
                <w:rFonts w:eastAsia="Arial Unicode MS" w:cs="Arial"/>
                <w:szCs w:val="22"/>
              </w:rPr>
            </w:pPr>
            <w:r w:rsidRPr="00897C3B">
              <w:rPr>
                <w:rFonts w:cs="Arial"/>
                <w:szCs w:val="22"/>
              </w:rPr>
              <w:t>INSTRUCTED BY:</w:t>
            </w:r>
          </w:p>
        </w:tc>
        <w:tc>
          <w:tcPr>
            <w:tcW w:w="4763" w:type="dxa"/>
            <w:gridSpan w:val="2"/>
          </w:tcPr>
          <w:p w14:paraId="38283046" w14:textId="0570504D" w:rsidR="009B62F7" w:rsidRPr="0068623E" w:rsidRDefault="004E3AFC" w:rsidP="0098739F">
            <w:pPr>
              <w:widowControl w:val="0"/>
              <w:spacing w:before="120" w:after="120"/>
              <w:jc w:val="right"/>
              <w:rPr>
                <w:rFonts w:eastAsia="Arial Unicode MS" w:cs="Arial"/>
                <w:szCs w:val="22"/>
              </w:rPr>
            </w:pPr>
            <w:r>
              <w:rPr>
                <w:rFonts w:eastAsia="Arial Unicode MS" w:cs="Arial"/>
                <w:szCs w:val="22"/>
              </w:rPr>
              <w:t>VERMAAK MARSHALL WELLBELOVED INC</w:t>
            </w:r>
          </w:p>
        </w:tc>
      </w:tr>
      <w:tr w:rsidR="009B62F7" w:rsidRPr="0009745A" w14:paraId="4AAB18B9" w14:textId="77777777" w:rsidTr="0098739F">
        <w:tc>
          <w:tcPr>
            <w:tcW w:w="4508" w:type="dxa"/>
            <w:gridSpan w:val="2"/>
          </w:tcPr>
          <w:p w14:paraId="79DE91BD" w14:textId="2E42E4A5" w:rsidR="009B62F7" w:rsidRPr="0009745A" w:rsidRDefault="0098739F" w:rsidP="0098739F">
            <w:pPr>
              <w:widowControl w:val="0"/>
              <w:spacing w:before="120" w:after="120"/>
              <w:jc w:val="both"/>
              <w:rPr>
                <w:rFonts w:eastAsia="Arial Unicode MS" w:cs="Arial"/>
                <w:b/>
                <w:bCs/>
                <w:szCs w:val="22"/>
              </w:rPr>
            </w:pPr>
            <w:r w:rsidRPr="0009745A">
              <w:rPr>
                <w:rFonts w:cs="Arial"/>
                <w:szCs w:val="22"/>
              </w:rPr>
              <w:t>DATE OF THE HEARING:</w:t>
            </w:r>
          </w:p>
        </w:tc>
        <w:tc>
          <w:tcPr>
            <w:tcW w:w="4508" w:type="dxa"/>
          </w:tcPr>
          <w:p w14:paraId="6A89FC90" w14:textId="708D4EB5" w:rsidR="009B62F7" w:rsidRPr="0009745A" w:rsidRDefault="00311C7A" w:rsidP="0098739F">
            <w:pPr>
              <w:widowControl w:val="0"/>
              <w:spacing w:before="120" w:after="120"/>
              <w:jc w:val="right"/>
              <w:rPr>
                <w:rFonts w:eastAsia="Arial Unicode MS" w:cs="Arial"/>
                <w:b/>
                <w:bCs/>
                <w:szCs w:val="22"/>
              </w:rPr>
            </w:pPr>
            <w:r>
              <w:rPr>
                <w:rFonts w:cs="Arial"/>
                <w:szCs w:val="22"/>
              </w:rPr>
              <w:t>1</w:t>
            </w:r>
            <w:r w:rsidR="00007864">
              <w:rPr>
                <w:rFonts w:cs="Arial"/>
                <w:szCs w:val="22"/>
              </w:rPr>
              <w:t xml:space="preserve">7, 18, 21 AND </w:t>
            </w:r>
            <w:r w:rsidR="00CE0612">
              <w:rPr>
                <w:rFonts w:cs="Arial"/>
                <w:szCs w:val="22"/>
              </w:rPr>
              <w:t>2</w:t>
            </w:r>
            <w:r w:rsidR="004E3AFC">
              <w:rPr>
                <w:rFonts w:cs="Arial"/>
                <w:szCs w:val="22"/>
              </w:rPr>
              <w:t>4</w:t>
            </w:r>
            <w:r w:rsidR="0098739F" w:rsidRPr="0009745A">
              <w:rPr>
                <w:rFonts w:cs="Arial"/>
                <w:szCs w:val="22"/>
              </w:rPr>
              <w:t xml:space="preserve"> MARCH 20</w:t>
            </w:r>
          </w:p>
        </w:tc>
      </w:tr>
      <w:tr w:rsidR="0098739F" w:rsidRPr="0009745A" w14:paraId="32221BF2" w14:textId="77777777" w:rsidTr="0098739F">
        <w:tc>
          <w:tcPr>
            <w:tcW w:w="4508" w:type="dxa"/>
            <w:gridSpan w:val="2"/>
          </w:tcPr>
          <w:p w14:paraId="0EFD4A3E" w14:textId="0FD2ACFD" w:rsidR="0098739F" w:rsidRPr="0009745A" w:rsidRDefault="0098739F" w:rsidP="0098739F">
            <w:pPr>
              <w:widowControl w:val="0"/>
              <w:spacing w:before="120" w:after="120"/>
              <w:jc w:val="both"/>
              <w:rPr>
                <w:rFonts w:cs="Arial"/>
                <w:szCs w:val="22"/>
              </w:rPr>
            </w:pPr>
            <w:r w:rsidRPr="0009745A">
              <w:rPr>
                <w:rFonts w:cs="Arial"/>
                <w:szCs w:val="22"/>
              </w:rPr>
              <w:t>DATE OF JUDGMENT:</w:t>
            </w:r>
          </w:p>
        </w:tc>
        <w:tc>
          <w:tcPr>
            <w:tcW w:w="4508" w:type="dxa"/>
          </w:tcPr>
          <w:p w14:paraId="2615EC97" w14:textId="6B507E3E" w:rsidR="0098739F" w:rsidRPr="0009745A" w:rsidRDefault="00CB0DF9" w:rsidP="0098739F">
            <w:pPr>
              <w:widowControl w:val="0"/>
              <w:spacing w:before="120" w:after="120"/>
              <w:jc w:val="right"/>
              <w:rPr>
                <w:rFonts w:cs="Arial"/>
                <w:szCs w:val="22"/>
              </w:rPr>
            </w:pPr>
            <w:r>
              <w:rPr>
                <w:rFonts w:cs="Arial"/>
                <w:szCs w:val="22"/>
              </w:rPr>
              <w:t>2</w:t>
            </w:r>
            <w:r w:rsidR="004E3AFC">
              <w:rPr>
                <w:rFonts w:cs="Arial"/>
                <w:szCs w:val="22"/>
              </w:rPr>
              <w:t>7</w:t>
            </w:r>
            <w:r w:rsidR="0098739F" w:rsidRPr="0009745A">
              <w:rPr>
                <w:rFonts w:cs="Arial"/>
                <w:szCs w:val="22"/>
              </w:rPr>
              <w:t xml:space="preserve"> MARCH 2023</w:t>
            </w:r>
          </w:p>
        </w:tc>
      </w:tr>
    </w:tbl>
    <w:p w14:paraId="6D7F3969" w14:textId="76A86C9F" w:rsidR="00A675FB" w:rsidRPr="0009745A" w:rsidRDefault="00A675FB" w:rsidP="0098739F">
      <w:pPr>
        <w:widowControl w:val="0"/>
        <w:spacing w:after="200" w:line="360" w:lineRule="auto"/>
        <w:contextualSpacing/>
        <w:jc w:val="both"/>
        <w:rPr>
          <w:rFonts w:cs="Arial"/>
          <w:szCs w:val="22"/>
        </w:rPr>
      </w:pPr>
    </w:p>
    <w:sectPr w:rsidR="00A675FB" w:rsidRPr="0009745A" w:rsidSect="00A675FB">
      <w:head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34AC5" w14:textId="77777777" w:rsidR="00CE2D44" w:rsidRDefault="00CE2D44">
      <w:r>
        <w:separator/>
      </w:r>
    </w:p>
  </w:endnote>
  <w:endnote w:type="continuationSeparator" w:id="0">
    <w:p w14:paraId="265AC96D" w14:textId="77777777" w:rsidR="00CE2D44" w:rsidRDefault="00CE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7EED" w14:textId="77777777" w:rsidR="00CE2D44" w:rsidRDefault="00CE2D44">
      <w:r>
        <w:separator/>
      </w:r>
    </w:p>
  </w:footnote>
  <w:footnote w:type="continuationSeparator" w:id="0">
    <w:p w14:paraId="5426015B" w14:textId="77777777" w:rsidR="00CE2D44" w:rsidRDefault="00CE2D44">
      <w:r>
        <w:continuationSeparator/>
      </w:r>
    </w:p>
  </w:footnote>
  <w:footnote w:id="1">
    <w:p w14:paraId="7D1B173F" w14:textId="21E5CBBA" w:rsidR="0040535A" w:rsidRDefault="0040535A">
      <w:pPr>
        <w:pStyle w:val="FootnoteText"/>
      </w:pPr>
      <w:r>
        <w:rPr>
          <w:rStyle w:val="FootnoteReference"/>
        </w:rPr>
        <w:footnoteRef/>
      </w:r>
      <w:r>
        <w:t xml:space="preserve"> </w:t>
      </w:r>
      <w:r>
        <w:tab/>
        <w:t>The building was and is earmarked for social housing</w:t>
      </w:r>
      <w:r w:rsidR="00332107">
        <w:t xml:space="preserve"> in a project involving the respondents and the authorities responsible for social housing.</w:t>
      </w:r>
    </w:p>
  </w:footnote>
  <w:footnote w:id="2">
    <w:p w14:paraId="663BF485" w14:textId="77777777" w:rsidR="00D42AB0" w:rsidRDefault="00D42AB0" w:rsidP="00D42AB0">
      <w:pPr>
        <w:pStyle w:val="FootnoteText"/>
      </w:pPr>
      <w:r>
        <w:rPr>
          <w:rStyle w:val="FootnoteReference"/>
        </w:rPr>
        <w:footnoteRef/>
      </w:r>
      <w:r>
        <w:t xml:space="preserve"> </w:t>
      </w:r>
      <w:r>
        <w:tab/>
        <w:t>Under case number 2022/047559 (CaseLines 02-22).</w:t>
      </w:r>
    </w:p>
  </w:footnote>
  <w:footnote w:id="3">
    <w:p w14:paraId="21AF8BB4" w14:textId="40B766D6" w:rsidR="00C530D6" w:rsidRDefault="00C530D6">
      <w:pPr>
        <w:pStyle w:val="FootnoteText"/>
      </w:pPr>
      <w:r>
        <w:rPr>
          <w:rStyle w:val="FootnoteReference"/>
        </w:rPr>
        <w:footnoteRef/>
      </w:r>
      <w:r>
        <w:t xml:space="preserve"> </w:t>
      </w:r>
      <w:r>
        <w:tab/>
        <w:t>CaseLines 12-78.</w:t>
      </w:r>
    </w:p>
  </w:footnote>
  <w:footnote w:id="4">
    <w:p w14:paraId="03531306" w14:textId="1313C2A9" w:rsidR="000D439C" w:rsidRDefault="000D439C">
      <w:pPr>
        <w:pStyle w:val="FootnoteText"/>
      </w:pPr>
      <w:r>
        <w:rPr>
          <w:rStyle w:val="FootnoteReference"/>
        </w:rPr>
        <w:footnoteRef/>
      </w:r>
      <w:r>
        <w:t xml:space="preserve"> </w:t>
      </w:r>
      <w:r>
        <w:tab/>
      </w:r>
      <w:r>
        <w:rPr>
          <w:rFonts w:cs="Arial"/>
          <w:bCs/>
          <w:szCs w:val="22"/>
        </w:rPr>
        <w:t xml:space="preserve">This may give rise to a </w:t>
      </w:r>
      <w:r w:rsidRPr="000D439C">
        <w:rPr>
          <w:rFonts w:cs="Arial"/>
          <w:bCs/>
          <w:i/>
          <w:iCs/>
          <w:szCs w:val="22"/>
        </w:rPr>
        <w:t>lis pendens</w:t>
      </w:r>
      <w:r>
        <w:rPr>
          <w:rFonts w:cs="Arial"/>
          <w:bCs/>
          <w:szCs w:val="22"/>
        </w:rPr>
        <w:t xml:space="preserve"> argument, but at present both applications are pending applications before the Court</w:t>
      </w:r>
    </w:p>
  </w:footnote>
  <w:footnote w:id="5">
    <w:p w14:paraId="4BD9BC69" w14:textId="033082D5" w:rsidR="0029746D" w:rsidRDefault="0029746D">
      <w:pPr>
        <w:pStyle w:val="FootnoteText"/>
      </w:pPr>
      <w:r>
        <w:rPr>
          <w:rStyle w:val="FootnoteReference"/>
        </w:rPr>
        <w:footnoteRef/>
      </w:r>
      <w:r>
        <w:t xml:space="preserve"> </w:t>
      </w:r>
      <w:r>
        <w:tab/>
      </w:r>
      <w:r>
        <w:rPr>
          <w:rFonts w:cs="Arial"/>
          <w:bCs/>
          <w:szCs w:val="22"/>
        </w:rPr>
        <w:t>The bail applications by the remaining two persons arrested were postponed to the 24</w:t>
      </w:r>
      <w:r w:rsidRPr="00152620">
        <w:rPr>
          <w:rFonts w:cs="Arial"/>
          <w:bCs/>
          <w:szCs w:val="22"/>
          <w:vertAlign w:val="superscript"/>
        </w:rPr>
        <w:t>th</w:t>
      </w:r>
      <w:r w:rsidR="00EA7F05">
        <w:rPr>
          <w:rFonts w:cs="Arial"/>
          <w:bCs/>
          <w:szCs w:val="22"/>
          <w:vertAlign w:val="superscript"/>
        </w:rPr>
        <w:t>.</w:t>
      </w:r>
    </w:p>
  </w:footnote>
  <w:footnote w:id="6">
    <w:p w14:paraId="77604101" w14:textId="6ED85F5F" w:rsidR="007C6E3E" w:rsidRDefault="007C6E3E">
      <w:pPr>
        <w:pStyle w:val="FootnoteText"/>
      </w:pPr>
      <w:r>
        <w:rPr>
          <w:rStyle w:val="FootnoteReference"/>
        </w:rPr>
        <w:footnoteRef/>
      </w:r>
      <w:r>
        <w:t xml:space="preserve"> </w:t>
      </w:r>
      <w:r>
        <w:tab/>
      </w:r>
      <w:r w:rsidRPr="007C6E3E">
        <w:rPr>
          <w:rFonts w:cs="Arial"/>
          <w:i/>
          <w:iCs/>
          <w:color w:val="000000" w:themeColor="text1"/>
        </w:rPr>
        <w:t>Bisschoff and Others v Welbeplan Boerdery (Pty) Ltd</w:t>
      </w:r>
      <w:r w:rsidRPr="007C6E3E">
        <w:rPr>
          <w:rFonts w:cs="Arial"/>
          <w:color w:val="000000" w:themeColor="text1"/>
        </w:rPr>
        <w:t xml:space="preserve"> 2021 (5) SA 54 (SCA)</w:t>
      </w:r>
      <w:r>
        <w:rPr>
          <w:rFonts w:cs="Arial"/>
          <w:color w:val="000000" w:themeColor="text1"/>
        </w:rPr>
        <w:t>.</w:t>
      </w:r>
      <w:r w:rsidR="00973C55">
        <w:rPr>
          <w:rFonts w:cs="Arial"/>
          <w:color w:val="000000" w:themeColor="text1"/>
        </w:rPr>
        <w:t xml:space="preserve"> See also </w:t>
      </w:r>
      <w:r w:rsidR="00973C55" w:rsidRPr="00A70A6D">
        <w:t xml:space="preserve">Van Loggerenberg DE and Bertelsmann E </w:t>
      </w:r>
      <w:r w:rsidR="00973C55" w:rsidRPr="00A70A6D">
        <w:rPr>
          <w:i/>
          <w:iCs/>
        </w:rPr>
        <w:t>Erasmus: Superior Court Practice</w:t>
      </w:r>
      <w:r w:rsidR="00973C55">
        <w:rPr>
          <w:i/>
          <w:iCs/>
        </w:rPr>
        <w:t xml:space="preserve"> </w:t>
      </w:r>
      <w:r w:rsidR="00973C55">
        <w:t>RS20, 2022, D7-1. (Mandamenten van Spolie)</w:t>
      </w:r>
    </w:p>
  </w:footnote>
  <w:footnote w:id="7">
    <w:p w14:paraId="1E13CDF1" w14:textId="0AA08602" w:rsidR="00030AAB" w:rsidRDefault="00030AAB">
      <w:pPr>
        <w:pStyle w:val="FootnoteText"/>
      </w:pPr>
      <w:r>
        <w:rPr>
          <w:rStyle w:val="FootnoteReference"/>
        </w:rPr>
        <w:footnoteRef/>
      </w:r>
      <w:r>
        <w:t xml:space="preserve"> </w:t>
      </w:r>
      <w:r>
        <w:tab/>
        <w:t>“</w:t>
      </w:r>
      <w:r w:rsidRPr="00030AAB">
        <w:rPr>
          <w:rFonts w:cs="Arial"/>
          <w:i/>
          <w:iCs/>
          <w:color w:val="000000" w:themeColor="text1"/>
        </w:rPr>
        <w:t>Yeko v Qana</w:t>
      </w:r>
      <w:r w:rsidRPr="00BF3B21">
        <w:rPr>
          <w:rFonts w:cs="Arial"/>
          <w:color w:val="000000" w:themeColor="text1"/>
        </w:rPr>
        <w:t> </w:t>
      </w:r>
      <w:hyperlink r:id="rId1" w:history="1">
        <w:r w:rsidRPr="00BF3B21">
          <w:rPr>
            <w:rStyle w:val="Hyperlink"/>
            <w:rFonts w:cs="Arial"/>
            <w:color w:val="000000" w:themeColor="text1"/>
            <w:u w:val="none"/>
          </w:rPr>
          <w:t>1973 (4) SA 735 (A)</w:t>
        </w:r>
      </w:hyperlink>
      <w:r w:rsidRPr="00BF3B21">
        <w:rPr>
          <w:rFonts w:cs="Arial"/>
          <w:color w:val="000000" w:themeColor="text1"/>
        </w:rPr>
        <w:t> at 739E – F. See also Lawsa 2 ed (2014) at 113 para 108.</w:t>
      </w:r>
      <w:r>
        <w:t>”</w:t>
      </w:r>
    </w:p>
  </w:footnote>
  <w:footnote w:id="8">
    <w:p w14:paraId="59215C81" w14:textId="59E2207C" w:rsidR="00030AAB" w:rsidRDefault="00030AAB">
      <w:pPr>
        <w:pStyle w:val="FootnoteText"/>
      </w:pPr>
      <w:r>
        <w:rPr>
          <w:rStyle w:val="FootnoteReference"/>
        </w:rPr>
        <w:footnoteRef/>
      </w:r>
      <w:r>
        <w:t xml:space="preserve"> </w:t>
      </w:r>
      <w:r>
        <w:tab/>
        <w:t>“</w:t>
      </w:r>
      <w:r w:rsidRPr="00030AAB">
        <w:rPr>
          <w:rFonts w:cs="Arial"/>
          <w:i/>
          <w:iCs/>
          <w:color w:val="000000" w:themeColor="text1"/>
        </w:rPr>
        <w:t>Tswelopele Non-Profit Organisation and Others v City of Tshwane Metropolitan Municipality and Others</w:t>
      </w:r>
      <w:r w:rsidRPr="00BF3B21">
        <w:rPr>
          <w:rFonts w:cs="Arial"/>
          <w:color w:val="000000" w:themeColor="text1"/>
        </w:rPr>
        <w:t> </w:t>
      </w:r>
      <w:hyperlink r:id="rId2" w:history="1">
        <w:r w:rsidRPr="00BF3B21">
          <w:rPr>
            <w:rStyle w:val="Hyperlink"/>
            <w:rFonts w:cs="Arial"/>
            <w:color w:val="000000" w:themeColor="text1"/>
            <w:u w:val="none"/>
          </w:rPr>
          <w:t>2007 (6) SA 511 (SCA)</w:t>
        </w:r>
      </w:hyperlink>
      <w:r w:rsidRPr="00BF3B21">
        <w:rPr>
          <w:rFonts w:cs="Arial"/>
          <w:color w:val="000000" w:themeColor="text1"/>
        </w:rPr>
        <w:t> ([2007] ZASCA 70) para 22; </w:t>
      </w:r>
      <w:r w:rsidRPr="00030AAB">
        <w:rPr>
          <w:rFonts w:cs="Arial"/>
          <w:i/>
          <w:iCs/>
          <w:color w:val="000000" w:themeColor="text1"/>
        </w:rPr>
        <w:t>Ngqukumba v Minister of Safety and Security and Others</w:t>
      </w:r>
      <w:r w:rsidRPr="00BF3B21">
        <w:rPr>
          <w:rFonts w:cs="Arial"/>
          <w:color w:val="000000" w:themeColor="text1"/>
        </w:rPr>
        <w:t> </w:t>
      </w:r>
      <w:hyperlink r:id="rId3" w:history="1">
        <w:r w:rsidRPr="00BF3B21">
          <w:rPr>
            <w:rStyle w:val="Hyperlink"/>
            <w:rFonts w:cs="Arial"/>
            <w:color w:val="000000" w:themeColor="text1"/>
            <w:u w:val="none"/>
          </w:rPr>
          <w:t>2014 (5) SA 112 (CC)</w:t>
        </w:r>
      </w:hyperlink>
      <w:r w:rsidRPr="00BF3B21">
        <w:rPr>
          <w:rFonts w:cs="Arial"/>
          <w:color w:val="000000" w:themeColor="text1"/>
        </w:rPr>
        <w:t> (2014 (2) SACR 325; 2014 (7) BCLR 788; [2014] ZACC 14) paras 10 – 12.</w:t>
      </w:r>
    </w:p>
  </w:footnote>
  <w:footnote w:id="9">
    <w:p w14:paraId="4CFAFD1F" w14:textId="661113AE" w:rsidR="003F4B3A" w:rsidRDefault="003F4B3A">
      <w:pPr>
        <w:pStyle w:val="FootnoteText"/>
      </w:pPr>
      <w:r>
        <w:rPr>
          <w:rStyle w:val="FootnoteReference"/>
        </w:rPr>
        <w:footnoteRef/>
      </w:r>
      <w:r>
        <w:t xml:space="preserve"> </w:t>
      </w:r>
      <w:r>
        <w:tab/>
      </w:r>
      <w:r w:rsidRPr="003F4B3A">
        <w:rPr>
          <w:i/>
          <w:iCs/>
        </w:rPr>
        <w:t>Kgosana v Otto</w:t>
      </w:r>
      <w:r w:rsidRPr="00BF3B21">
        <w:t xml:space="preserve"> 1991 (2) SA 113 (W)</w:t>
      </w:r>
      <w:r>
        <w:t>.</w:t>
      </w:r>
    </w:p>
  </w:footnote>
  <w:footnote w:id="10">
    <w:p w14:paraId="2DA68243" w14:textId="1A32A533" w:rsidR="00F77DB0" w:rsidRDefault="00F77DB0">
      <w:pPr>
        <w:pStyle w:val="FootnoteText"/>
      </w:pPr>
      <w:r>
        <w:rPr>
          <w:rStyle w:val="FootnoteReference"/>
        </w:rPr>
        <w:footnoteRef/>
      </w:r>
      <w:r>
        <w:t xml:space="preserve"> </w:t>
      </w:r>
      <w:r>
        <w:tab/>
      </w:r>
      <w:bookmarkStart w:id="1" w:name="_Hlk130743806"/>
      <w:r w:rsidRPr="0048743E">
        <w:rPr>
          <w:i/>
          <w:iCs/>
        </w:rPr>
        <w:t>Mbangi and Others v Dobsonville City Council</w:t>
      </w:r>
      <w:bookmarkEnd w:id="1"/>
      <w:r>
        <w:t xml:space="preserve"> </w:t>
      </w:r>
      <w:r w:rsidRPr="0048743E">
        <w:t>1991 (2) SA 330 (W)</w:t>
      </w:r>
      <w:r>
        <w:t xml:space="preserve"> 338B</w:t>
      </w:r>
      <w:r w:rsidR="00141727">
        <w:t>-D</w:t>
      </w:r>
      <w:r>
        <w:t>.</w:t>
      </w:r>
    </w:p>
  </w:footnote>
  <w:footnote w:id="11">
    <w:p w14:paraId="6467AE68" w14:textId="72C96ED5" w:rsidR="00141727" w:rsidRDefault="00141727">
      <w:pPr>
        <w:pStyle w:val="FootnoteText"/>
      </w:pPr>
      <w:r>
        <w:rPr>
          <w:rStyle w:val="FootnoteReference"/>
        </w:rPr>
        <w:footnoteRef/>
      </w:r>
      <w:r>
        <w:t xml:space="preserve"> </w:t>
      </w:r>
      <w:r>
        <w:tab/>
        <w:t xml:space="preserve">The reference is to </w:t>
      </w:r>
      <w:r w:rsidRPr="00141727">
        <w:rPr>
          <w:i/>
          <w:iCs/>
        </w:rPr>
        <w:t>Ness and Another v Greef</w:t>
      </w:r>
      <w:r w:rsidRPr="005A5145">
        <w:t xml:space="preserve"> 1985 (4) SA 641 (C)</w:t>
      </w:r>
      <w:r>
        <w:t>.</w:t>
      </w:r>
    </w:p>
  </w:footnote>
  <w:footnote w:id="12">
    <w:p w14:paraId="501C5B6D" w14:textId="4AFE3CBF" w:rsidR="00BA0E8D" w:rsidRDefault="00BA0E8D">
      <w:pPr>
        <w:pStyle w:val="FootnoteText"/>
      </w:pPr>
      <w:r>
        <w:rPr>
          <w:rStyle w:val="FootnoteReference"/>
        </w:rPr>
        <w:footnoteRef/>
      </w:r>
      <w:r>
        <w:t xml:space="preserve"> </w:t>
      </w:r>
      <w:r>
        <w:tab/>
      </w:r>
      <w:r w:rsidRPr="00BA1A05">
        <w:rPr>
          <w:i/>
          <w:iCs/>
        </w:rPr>
        <w:t>South African Human Rights Commission and Others v Cape Town City and Others</w:t>
      </w:r>
      <w:r w:rsidRPr="00BA1A05">
        <w:t xml:space="preserve"> </w:t>
      </w:r>
      <w:r>
        <w:t>2</w:t>
      </w:r>
      <w:r w:rsidRPr="00BA1A05">
        <w:t>022 (6) SA 508 (WCC)</w:t>
      </w:r>
      <w:r>
        <w:t>.</w:t>
      </w:r>
    </w:p>
  </w:footnote>
  <w:footnote w:id="13">
    <w:p w14:paraId="59846C00" w14:textId="4FF7CE35" w:rsidR="00BA0E8D" w:rsidRDefault="00BA0E8D">
      <w:pPr>
        <w:pStyle w:val="FootnoteText"/>
      </w:pPr>
      <w:r>
        <w:rPr>
          <w:rStyle w:val="FootnoteReference"/>
        </w:rPr>
        <w:footnoteRef/>
      </w:r>
      <w:r>
        <w:t xml:space="preserve"> </w:t>
      </w:r>
      <w:r>
        <w:tab/>
        <w:t>Para. 30.</w:t>
      </w:r>
    </w:p>
  </w:footnote>
  <w:footnote w:id="14">
    <w:p w14:paraId="4F465181" w14:textId="5ED2C442" w:rsidR="0011505A" w:rsidRDefault="0011505A">
      <w:pPr>
        <w:pStyle w:val="FootnoteText"/>
      </w:pPr>
      <w:r>
        <w:rPr>
          <w:rStyle w:val="FootnoteReference"/>
        </w:rPr>
        <w:footnoteRef/>
      </w:r>
      <w:r>
        <w:t xml:space="preserve"> </w:t>
      </w:r>
      <w:r>
        <w:tab/>
        <w:t xml:space="preserve">The </w:t>
      </w:r>
      <w:r w:rsidR="00D70528">
        <w:t>respondents</w:t>
      </w:r>
      <w:r>
        <w:t xml:space="preserve"> prepared their own application but it was not proceeded with at the hearing, and in the order I make </w:t>
      </w:r>
      <w:r w:rsidR="00D70528">
        <w:t>the respondents’ application is removed</w:t>
      </w:r>
      <w:r>
        <w:t xml:space="preserve"> from the roll without making an order as to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3155DD8E"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8E2A77">
      <w:rPr>
        <w:rFonts w:cs="Arial"/>
        <w:noProof/>
        <w:sz w:val="20"/>
        <w:szCs w:val="20"/>
        <w:lang w:val="en-GB"/>
      </w:rPr>
      <w:t>3</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EC66232"/>
    <w:multiLevelType w:val="multilevel"/>
    <w:tmpl w:val="1C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3">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F2D0F29"/>
    <w:multiLevelType w:val="multilevel"/>
    <w:tmpl w:val="A92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nsid w:val="4446663F"/>
    <w:multiLevelType w:val="hybridMultilevel"/>
    <w:tmpl w:val="9F6A45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7AFC585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4"/>
  </w:num>
  <w:num w:numId="4">
    <w:abstractNumId w:val="7"/>
  </w:num>
  <w:num w:numId="5">
    <w:abstractNumId w:val="13"/>
  </w:num>
  <w:num w:numId="6">
    <w:abstractNumId w:val="10"/>
  </w:num>
  <w:num w:numId="7">
    <w:abstractNumId w:val="0"/>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9"/>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07864"/>
    <w:rsid w:val="00007CC6"/>
    <w:rsid w:val="0001111B"/>
    <w:rsid w:val="0001140A"/>
    <w:rsid w:val="00011EAE"/>
    <w:rsid w:val="00013B7F"/>
    <w:rsid w:val="000153E9"/>
    <w:rsid w:val="00016C5A"/>
    <w:rsid w:val="000207F6"/>
    <w:rsid w:val="000228A7"/>
    <w:rsid w:val="000248F1"/>
    <w:rsid w:val="00024A29"/>
    <w:rsid w:val="00030AAB"/>
    <w:rsid w:val="00034AE8"/>
    <w:rsid w:val="00047055"/>
    <w:rsid w:val="00047AA2"/>
    <w:rsid w:val="00050086"/>
    <w:rsid w:val="0005034C"/>
    <w:rsid w:val="000504F1"/>
    <w:rsid w:val="00051207"/>
    <w:rsid w:val="0005445F"/>
    <w:rsid w:val="0005465E"/>
    <w:rsid w:val="00054804"/>
    <w:rsid w:val="00063F7B"/>
    <w:rsid w:val="000737E1"/>
    <w:rsid w:val="00073D6B"/>
    <w:rsid w:val="00073E30"/>
    <w:rsid w:val="00075AA1"/>
    <w:rsid w:val="0008042E"/>
    <w:rsid w:val="00080688"/>
    <w:rsid w:val="00083242"/>
    <w:rsid w:val="000833BB"/>
    <w:rsid w:val="00085A94"/>
    <w:rsid w:val="00087D87"/>
    <w:rsid w:val="00091FAD"/>
    <w:rsid w:val="0009488C"/>
    <w:rsid w:val="0009745A"/>
    <w:rsid w:val="0009787A"/>
    <w:rsid w:val="00097968"/>
    <w:rsid w:val="000979E8"/>
    <w:rsid w:val="00097AD1"/>
    <w:rsid w:val="000A1793"/>
    <w:rsid w:val="000A1CEC"/>
    <w:rsid w:val="000A292E"/>
    <w:rsid w:val="000A2D03"/>
    <w:rsid w:val="000A6AD8"/>
    <w:rsid w:val="000A7D8C"/>
    <w:rsid w:val="000B03EB"/>
    <w:rsid w:val="000B580F"/>
    <w:rsid w:val="000C044A"/>
    <w:rsid w:val="000C1421"/>
    <w:rsid w:val="000D10C0"/>
    <w:rsid w:val="000D439C"/>
    <w:rsid w:val="000D45F0"/>
    <w:rsid w:val="000D7D6A"/>
    <w:rsid w:val="000E1813"/>
    <w:rsid w:val="000E254E"/>
    <w:rsid w:val="000E6A2C"/>
    <w:rsid w:val="000F0BBE"/>
    <w:rsid w:val="000F23B3"/>
    <w:rsid w:val="000F39F6"/>
    <w:rsid w:val="000F59F8"/>
    <w:rsid w:val="000F6007"/>
    <w:rsid w:val="000F71C2"/>
    <w:rsid w:val="0010063D"/>
    <w:rsid w:val="001024D7"/>
    <w:rsid w:val="0010288A"/>
    <w:rsid w:val="00104142"/>
    <w:rsid w:val="00111EFC"/>
    <w:rsid w:val="00114E52"/>
    <w:rsid w:val="0011505A"/>
    <w:rsid w:val="00120FB1"/>
    <w:rsid w:val="0012741F"/>
    <w:rsid w:val="00131957"/>
    <w:rsid w:val="001330D2"/>
    <w:rsid w:val="00136C6A"/>
    <w:rsid w:val="001410DC"/>
    <w:rsid w:val="00141727"/>
    <w:rsid w:val="00141A0B"/>
    <w:rsid w:val="00146DDA"/>
    <w:rsid w:val="00147BD7"/>
    <w:rsid w:val="00147FF5"/>
    <w:rsid w:val="00152620"/>
    <w:rsid w:val="0015788C"/>
    <w:rsid w:val="00162F4F"/>
    <w:rsid w:val="00170A22"/>
    <w:rsid w:val="00177D8F"/>
    <w:rsid w:val="0018376A"/>
    <w:rsid w:val="00185ACF"/>
    <w:rsid w:val="00190579"/>
    <w:rsid w:val="00191F5A"/>
    <w:rsid w:val="00196E14"/>
    <w:rsid w:val="001A1819"/>
    <w:rsid w:val="001A464D"/>
    <w:rsid w:val="001A522A"/>
    <w:rsid w:val="001B1D39"/>
    <w:rsid w:val="001B4217"/>
    <w:rsid w:val="001B5D3E"/>
    <w:rsid w:val="001B606B"/>
    <w:rsid w:val="001B62D3"/>
    <w:rsid w:val="001B6FFC"/>
    <w:rsid w:val="001C01DF"/>
    <w:rsid w:val="001C3E06"/>
    <w:rsid w:val="001D12D9"/>
    <w:rsid w:val="001D3CC2"/>
    <w:rsid w:val="001D6138"/>
    <w:rsid w:val="001D68D9"/>
    <w:rsid w:val="001E2EED"/>
    <w:rsid w:val="001F0A29"/>
    <w:rsid w:val="001F11EA"/>
    <w:rsid w:val="001F2072"/>
    <w:rsid w:val="001F2C31"/>
    <w:rsid w:val="001F3DBD"/>
    <w:rsid w:val="001F45CB"/>
    <w:rsid w:val="001F648A"/>
    <w:rsid w:val="001F6E8E"/>
    <w:rsid w:val="002014D0"/>
    <w:rsid w:val="00201620"/>
    <w:rsid w:val="0020571A"/>
    <w:rsid w:val="002076F6"/>
    <w:rsid w:val="00210971"/>
    <w:rsid w:val="0021319A"/>
    <w:rsid w:val="002133DC"/>
    <w:rsid w:val="00214044"/>
    <w:rsid w:val="00215824"/>
    <w:rsid w:val="00216BC8"/>
    <w:rsid w:val="0022218D"/>
    <w:rsid w:val="002231EF"/>
    <w:rsid w:val="00224EF0"/>
    <w:rsid w:val="00226926"/>
    <w:rsid w:val="00232528"/>
    <w:rsid w:val="00237209"/>
    <w:rsid w:val="00237FF9"/>
    <w:rsid w:val="00250A46"/>
    <w:rsid w:val="002569A3"/>
    <w:rsid w:val="00262819"/>
    <w:rsid w:val="0027146F"/>
    <w:rsid w:val="00281213"/>
    <w:rsid w:val="00285040"/>
    <w:rsid w:val="00285062"/>
    <w:rsid w:val="00285DE9"/>
    <w:rsid w:val="00290B89"/>
    <w:rsid w:val="00294B84"/>
    <w:rsid w:val="00294ED8"/>
    <w:rsid w:val="0029606F"/>
    <w:rsid w:val="0029746D"/>
    <w:rsid w:val="002A0160"/>
    <w:rsid w:val="002A2AE7"/>
    <w:rsid w:val="002A5EEA"/>
    <w:rsid w:val="002A7485"/>
    <w:rsid w:val="002B3810"/>
    <w:rsid w:val="002B7824"/>
    <w:rsid w:val="002C05F2"/>
    <w:rsid w:val="002C115B"/>
    <w:rsid w:val="002C15AC"/>
    <w:rsid w:val="002C25BE"/>
    <w:rsid w:val="002C3500"/>
    <w:rsid w:val="002C364B"/>
    <w:rsid w:val="002C4638"/>
    <w:rsid w:val="002C4687"/>
    <w:rsid w:val="002C481E"/>
    <w:rsid w:val="002D10E4"/>
    <w:rsid w:val="002D5C85"/>
    <w:rsid w:val="002D77CC"/>
    <w:rsid w:val="002E1342"/>
    <w:rsid w:val="002E4B98"/>
    <w:rsid w:val="002E5B57"/>
    <w:rsid w:val="002E6CD7"/>
    <w:rsid w:val="002E77C4"/>
    <w:rsid w:val="002F17E6"/>
    <w:rsid w:val="002F27D2"/>
    <w:rsid w:val="002F3010"/>
    <w:rsid w:val="002F465B"/>
    <w:rsid w:val="002F6D39"/>
    <w:rsid w:val="003005DF"/>
    <w:rsid w:val="003016BE"/>
    <w:rsid w:val="00302290"/>
    <w:rsid w:val="00302C31"/>
    <w:rsid w:val="00303A63"/>
    <w:rsid w:val="00304724"/>
    <w:rsid w:val="0030653F"/>
    <w:rsid w:val="00307471"/>
    <w:rsid w:val="0031024B"/>
    <w:rsid w:val="00310A3B"/>
    <w:rsid w:val="0031117B"/>
    <w:rsid w:val="0031170D"/>
    <w:rsid w:val="00311B1E"/>
    <w:rsid w:val="00311C7A"/>
    <w:rsid w:val="00312EBC"/>
    <w:rsid w:val="00313056"/>
    <w:rsid w:val="00320DD8"/>
    <w:rsid w:val="00321F7F"/>
    <w:rsid w:val="00322E67"/>
    <w:rsid w:val="00323DD7"/>
    <w:rsid w:val="00331713"/>
    <w:rsid w:val="00332107"/>
    <w:rsid w:val="0033376C"/>
    <w:rsid w:val="00336D7B"/>
    <w:rsid w:val="00337135"/>
    <w:rsid w:val="00341086"/>
    <w:rsid w:val="0034147B"/>
    <w:rsid w:val="003463D6"/>
    <w:rsid w:val="003469B6"/>
    <w:rsid w:val="00346D31"/>
    <w:rsid w:val="00346DE6"/>
    <w:rsid w:val="003518A3"/>
    <w:rsid w:val="00351ABE"/>
    <w:rsid w:val="003543C5"/>
    <w:rsid w:val="00354EF2"/>
    <w:rsid w:val="00357081"/>
    <w:rsid w:val="00357856"/>
    <w:rsid w:val="00357D35"/>
    <w:rsid w:val="00357F9E"/>
    <w:rsid w:val="003605A3"/>
    <w:rsid w:val="00360D1A"/>
    <w:rsid w:val="00362DBD"/>
    <w:rsid w:val="00363FCD"/>
    <w:rsid w:val="00364C43"/>
    <w:rsid w:val="00367720"/>
    <w:rsid w:val="0037029D"/>
    <w:rsid w:val="00376B7D"/>
    <w:rsid w:val="00381213"/>
    <w:rsid w:val="003840EC"/>
    <w:rsid w:val="00385FAB"/>
    <w:rsid w:val="00390C3F"/>
    <w:rsid w:val="00397E4A"/>
    <w:rsid w:val="003A6F23"/>
    <w:rsid w:val="003A7864"/>
    <w:rsid w:val="003B080A"/>
    <w:rsid w:val="003B142D"/>
    <w:rsid w:val="003B323E"/>
    <w:rsid w:val="003B4100"/>
    <w:rsid w:val="003C0B91"/>
    <w:rsid w:val="003C1A16"/>
    <w:rsid w:val="003C1E91"/>
    <w:rsid w:val="003C3AC6"/>
    <w:rsid w:val="003D5739"/>
    <w:rsid w:val="003E1423"/>
    <w:rsid w:val="003E1436"/>
    <w:rsid w:val="003E3B27"/>
    <w:rsid w:val="003F4B3A"/>
    <w:rsid w:val="003F5560"/>
    <w:rsid w:val="00400852"/>
    <w:rsid w:val="004026CF"/>
    <w:rsid w:val="0040535A"/>
    <w:rsid w:val="0040795A"/>
    <w:rsid w:val="00407F28"/>
    <w:rsid w:val="004131C5"/>
    <w:rsid w:val="00422DDD"/>
    <w:rsid w:val="004234C1"/>
    <w:rsid w:val="004239DA"/>
    <w:rsid w:val="0042423E"/>
    <w:rsid w:val="00424A49"/>
    <w:rsid w:val="00427FD1"/>
    <w:rsid w:val="00431DD4"/>
    <w:rsid w:val="0043256C"/>
    <w:rsid w:val="004339E6"/>
    <w:rsid w:val="00435513"/>
    <w:rsid w:val="0043683A"/>
    <w:rsid w:val="0044085B"/>
    <w:rsid w:val="00441422"/>
    <w:rsid w:val="00442AC5"/>
    <w:rsid w:val="004450BD"/>
    <w:rsid w:val="00445DCB"/>
    <w:rsid w:val="004460B9"/>
    <w:rsid w:val="00456542"/>
    <w:rsid w:val="004630B6"/>
    <w:rsid w:val="00467D30"/>
    <w:rsid w:val="004726E4"/>
    <w:rsid w:val="00474607"/>
    <w:rsid w:val="00474910"/>
    <w:rsid w:val="004749AF"/>
    <w:rsid w:val="004766B3"/>
    <w:rsid w:val="004778C8"/>
    <w:rsid w:val="00484116"/>
    <w:rsid w:val="0048424E"/>
    <w:rsid w:val="004846F7"/>
    <w:rsid w:val="0048507B"/>
    <w:rsid w:val="00486F42"/>
    <w:rsid w:val="00487D14"/>
    <w:rsid w:val="00487FAD"/>
    <w:rsid w:val="00496AC1"/>
    <w:rsid w:val="00497938"/>
    <w:rsid w:val="00497FF4"/>
    <w:rsid w:val="004A2C7E"/>
    <w:rsid w:val="004A33EC"/>
    <w:rsid w:val="004A54F5"/>
    <w:rsid w:val="004A7155"/>
    <w:rsid w:val="004A7DFE"/>
    <w:rsid w:val="004B21D9"/>
    <w:rsid w:val="004B4621"/>
    <w:rsid w:val="004B771D"/>
    <w:rsid w:val="004C368B"/>
    <w:rsid w:val="004C6492"/>
    <w:rsid w:val="004D262A"/>
    <w:rsid w:val="004D2C6F"/>
    <w:rsid w:val="004D2E01"/>
    <w:rsid w:val="004D7AE9"/>
    <w:rsid w:val="004E173B"/>
    <w:rsid w:val="004E3AFC"/>
    <w:rsid w:val="004E568C"/>
    <w:rsid w:val="004E5AD8"/>
    <w:rsid w:val="004F12D8"/>
    <w:rsid w:val="004F22A6"/>
    <w:rsid w:val="004F5E43"/>
    <w:rsid w:val="00504B53"/>
    <w:rsid w:val="00506B31"/>
    <w:rsid w:val="00507D49"/>
    <w:rsid w:val="0051015D"/>
    <w:rsid w:val="0051292D"/>
    <w:rsid w:val="00513A4F"/>
    <w:rsid w:val="0051622D"/>
    <w:rsid w:val="00523B52"/>
    <w:rsid w:val="005262C2"/>
    <w:rsid w:val="005266FB"/>
    <w:rsid w:val="0052705A"/>
    <w:rsid w:val="005363ED"/>
    <w:rsid w:val="00537A72"/>
    <w:rsid w:val="00545A74"/>
    <w:rsid w:val="00545B01"/>
    <w:rsid w:val="00546A0D"/>
    <w:rsid w:val="005503CC"/>
    <w:rsid w:val="00551687"/>
    <w:rsid w:val="00553AC4"/>
    <w:rsid w:val="0055729D"/>
    <w:rsid w:val="0057674C"/>
    <w:rsid w:val="0057700A"/>
    <w:rsid w:val="00581C59"/>
    <w:rsid w:val="0059024D"/>
    <w:rsid w:val="00596509"/>
    <w:rsid w:val="00597E64"/>
    <w:rsid w:val="005A27EF"/>
    <w:rsid w:val="005A313A"/>
    <w:rsid w:val="005A637B"/>
    <w:rsid w:val="005A680F"/>
    <w:rsid w:val="005A75D7"/>
    <w:rsid w:val="005B53B0"/>
    <w:rsid w:val="005B62A6"/>
    <w:rsid w:val="005B6D81"/>
    <w:rsid w:val="005B7DD3"/>
    <w:rsid w:val="005C0D08"/>
    <w:rsid w:val="005C657D"/>
    <w:rsid w:val="005C7FC2"/>
    <w:rsid w:val="005D2408"/>
    <w:rsid w:val="005D6122"/>
    <w:rsid w:val="005D6E80"/>
    <w:rsid w:val="005E004E"/>
    <w:rsid w:val="005E035E"/>
    <w:rsid w:val="005E09BA"/>
    <w:rsid w:val="005E2F7B"/>
    <w:rsid w:val="005E5C01"/>
    <w:rsid w:val="005E7118"/>
    <w:rsid w:val="005F03F7"/>
    <w:rsid w:val="005F2C91"/>
    <w:rsid w:val="005F37A4"/>
    <w:rsid w:val="005F62CB"/>
    <w:rsid w:val="0060139C"/>
    <w:rsid w:val="00603CD1"/>
    <w:rsid w:val="006041A4"/>
    <w:rsid w:val="006070E5"/>
    <w:rsid w:val="0061089B"/>
    <w:rsid w:val="00613721"/>
    <w:rsid w:val="006145CE"/>
    <w:rsid w:val="00617F98"/>
    <w:rsid w:val="00623C9B"/>
    <w:rsid w:val="006241D3"/>
    <w:rsid w:val="00626B53"/>
    <w:rsid w:val="00626F12"/>
    <w:rsid w:val="0062754A"/>
    <w:rsid w:val="00630DD5"/>
    <w:rsid w:val="00647DDD"/>
    <w:rsid w:val="00653BA4"/>
    <w:rsid w:val="00654654"/>
    <w:rsid w:val="00654D4B"/>
    <w:rsid w:val="00657EDA"/>
    <w:rsid w:val="00660C84"/>
    <w:rsid w:val="0066194B"/>
    <w:rsid w:val="00662270"/>
    <w:rsid w:val="00666D4D"/>
    <w:rsid w:val="006706A5"/>
    <w:rsid w:val="00671C76"/>
    <w:rsid w:val="00681EAF"/>
    <w:rsid w:val="00685188"/>
    <w:rsid w:val="00685619"/>
    <w:rsid w:val="006858DA"/>
    <w:rsid w:val="0068621A"/>
    <w:rsid w:val="0068623E"/>
    <w:rsid w:val="006902F1"/>
    <w:rsid w:val="006918E9"/>
    <w:rsid w:val="00694C71"/>
    <w:rsid w:val="006951CE"/>
    <w:rsid w:val="006A0C2E"/>
    <w:rsid w:val="006A1756"/>
    <w:rsid w:val="006B625C"/>
    <w:rsid w:val="006C3A24"/>
    <w:rsid w:val="006C4213"/>
    <w:rsid w:val="006C43D7"/>
    <w:rsid w:val="006C5694"/>
    <w:rsid w:val="006D797F"/>
    <w:rsid w:val="006D7CD4"/>
    <w:rsid w:val="006E2346"/>
    <w:rsid w:val="006E323B"/>
    <w:rsid w:val="006E32B4"/>
    <w:rsid w:val="006E38D7"/>
    <w:rsid w:val="006E4540"/>
    <w:rsid w:val="006E68E6"/>
    <w:rsid w:val="006F0BB6"/>
    <w:rsid w:val="006F25E5"/>
    <w:rsid w:val="006F2FCE"/>
    <w:rsid w:val="006F415C"/>
    <w:rsid w:val="006F72F0"/>
    <w:rsid w:val="00701BBE"/>
    <w:rsid w:val="007046F8"/>
    <w:rsid w:val="00706D06"/>
    <w:rsid w:val="00710D76"/>
    <w:rsid w:val="0071137C"/>
    <w:rsid w:val="007148A5"/>
    <w:rsid w:val="00720436"/>
    <w:rsid w:val="00722091"/>
    <w:rsid w:val="007241D4"/>
    <w:rsid w:val="0073191E"/>
    <w:rsid w:val="00732A6F"/>
    <w:rsid w:val="007349CA"/>
    <w:rsid w:val="007407CE"/>
    <w:rsid w:val="00742764"/>
    <w:rsid w:val="0075156A"/>
    <w:rsid w:val="00751F90"/>
    <w:rsid w:val="00752759"/>
    <w:rsid w:val="0075455B"/>
    <w:rsid w:val="00756E65"/>
    <w:rsid w:val="00761C35"/>
    <w:rsid w:val="00762FCF"/>
    <w:rsid w:val="007659FB"/>
    <w:rsid w:val="00766026"/>
    <w:rsid w:val="0077214B"/>
    <w:rsid w:val="00772B54"/>
    <w:rsid w:val="00781AA0"/>
    <w:rsid w:val="00783072"/>
    <w:rsid w:val="00785746"/>
    <w:rsid w:val="007863DD"/>
    <w:rsid w:val="00792386"/>
    <w:rsid w:val="007975CB"/>
    <w:rsid w:val="007B0648"/>
    <w:rsid w:val="007B13BB"/>
    <w:rsid w:val="007B165A"/>
    <w:rsid w:val="007B3410"/>
    <w:rsid w:val="007B6964"/>
    <w:rsid w:val="007B78C2"/>
    <w:rsid w:val="007C35FE"/>
    <w:rsid w:val="007C5008"/>
    <w:rsid w:val="007C5673"/>
    <w:rsid w:val="007C6555"/>
    <w:rsid w:val="007C6DF0"/>
    <w:rsid w:val="007C6E3E"/>
    <w:rsid w:val="007D1E79"/>
    <w:rsid w:val="007D27CF"/>
    <w:rsid w:val="007D31A3"/>
    <w:rsid w:val="007D710C"/>
    <w:rsid w:val="007D7528"/>
    <w:rsid w:val="007E3AB4"/>
    <w:rsid w:val="007E468A"/>
    <w:rsid w:val="007E58FC"/>
    <w:rsid w:val="007E6D02"/>
    <w:rsid w:val="007F0C19"/>
    <w:rsid w:val="007F1211"/>
    <w:rsid w:val="007F207F"/>
    <w:rsid w:val="00802357"/>
    <w:rsid w:val="00803CEC"/>
    <w:rsid w:val="00807ECB"/>
    <w:rsid w:val="008135EC"/>
    <w:rsid w:val="0081475E"/>
    <w:rsid w:val="00815C5A"/>
    <w:rsid w:val="00822050"/>
    <w:rsid w:val="008246E5"/>
    <w:rsid w:val="00825F6C"/>
    <w:rsid w:val="00830952"/>
    <w:rsid w:val="00831234"/>
    <w:rsid w:val="00837B03"/>
    <w:rsid w:val="0084438C"/>
    <w:rsid w:val="008443A9"/>
    <w:rsid w:val="00844C14"/>
    <w:rsid w:val="00845AEA"/>
    <w:rsid w:val="00846EF4"/>
    <w:rsid w:val="0085548F"/>
    <w:rsid w:val="00856289"/>
    <w:rsid w:val="0085754D"/>
    <w:rsid w:val="00860576"/>
    <w:rsid w:val="00861FA9"/>
    <w:rsid w:val="00862564"/>
    <w:rsid w:val="0086345E"/>
    <w:rsid w:val="008674AA"/>
    <w:rsid w:val="00867E6F"/>
    <w:rsid w:val="008761FC"/>
    <w:rsid w:val="0088094C"/>
    <w:rsid w:val="00881004"/>
    <w:rsid w:val="00882C40"/>
    <w:rsid w:val="00891D4B"/>
    <w:rsid w:val="0089779E"/>
    <w:rsid w:val="00897C3B"/>
    <w:rsid w:val="008A082A"/>
    <w:rsid w:val="008A4DF4"/>
    <w:rsid w:val="008A6783"/>
    <w:rsid w:val="008B0DB3"/>
    <w:rsid w:val="008B1BB7"/>
    <w:rsid w:val="008B1DA9"/>
    <w:rsid w:val="008B526B"/>
    <w:rsid w:val="008B7FFC"/>
    <w:rsid w:val="008C0D42"/>
    <w:rsid w:val="008C21A8"/>
    <w:rsid w:val="008D1E99"/>
    <w:rsid w:val="008D33A3"/>
    <w:rsid w:val="008D4715"/>
    <w:rsid w:val="008E03F7"/>
    <w:rsid w:val="008E0638"/>
    <w:rsid w:val="008E2A77"/>
    <w:rsid w:val="008F189C"/>
    <w:rsid w:val="008F1BBC"/>
    <w:rsid w:val="008F1FE1"/>
    <w:rsid w:val="008F2742"/>
    <w:rsid w:val="008F4486"/>
    <w:rsid w:val="008F4FC6"/>
    <w:rsid w:val="008F5A82"/>
    <w:rsid w:val="00900368"/>
    <w:rsid w:val="00901143"/>
    <w:rsid w:val="00903F5D"/>
    <w:rsid w:val="0090659A"/>
    <w:rsid w:val="009108D0"/>
    <w:rsid w:val="0091544C"/>
    <w:rsid w:val="009165D0"/>
    <w:rsid w:val="00920D43"/>
    <w:rsid w:val="00927FD9"/>
    <w:rsid w:val="00930D69"/>
    <w:rsid w:val="009310B4"/>
    <w:rsid w:val="00932208"/>
    <w:rsid w:val="00933065"/>
    <w:rsid w:val="00933569"/>
    <w:rsid w:val="0093799C"/>
    <w:rsid w:val="00940ECC"/>
    <w:rsid w:val="00942835"/>
    <w:rsid w:val="00944003"/>
    <w:rsid w:val="00944804"/>
    <w:rsid w:val="009473D8"/>
    <w:rsid w:val="00953D6B"/>
    <w:rsid w:val="0095427F"/>
    <w:rsid w:val="00960ADF"/>
    <w:rsid w:val="00962B21"/>
    <w:rsid w:val="00963A0C"/>
    <w:rsid w:val="00963F16"/>
    <w:rsid w:val="00964367"/>
    <w:rsid w:val="00964A4A"/>
    <w:rsid w:val="009653C0"/>
    <w:rsid w:val="00973C55"/>
    <w:rsid w:val="00974A92"/>
    <w:rsid w:val="00974AB5"/>
    <w:rsid w:val="00976BB2"/>
    <w:rsid w:val="0097721C"/>
    <w:rsid w:val="009773E8"/>
    <w:rsid w:val="00980CE6"/>
    <w:rsid w:val="009835E3"/>
    <w:rsid w:val="00986050"/>
    <w:rsid w:val="00986455"/>
    <w:rsid w:val="0098739F"/>
    <w:rsid w:val="00987CDB"/>
    <w:rsid w:val="00991B1A"/>
    <w:rsid w:val="00994C5C"/>
    <w:rsid w:val="00994D8A"/>
    <w:rsid w:val="0099709D"/>
    <w:rsid w:val="009A1034"/>
    <w:rsid w:val="009A30E0"/>
    <w:rsid w:val="009A3619"/>
    <w:rsid w:val="009A524B"/>
    <w:rsid w:val="009A54C5"/>
    <w:rsid w:val="009A6493"/>
    <w:rsid w:val="009B08AF"/>
    <w:rsid w:val="009B1529"/>
    <w:rsid w:val="009B2FB6"/>
    <w:rsid w:val="009B3DFC"/>
    <w:rsid w:val="009B62F7"/>
    <w:rsid w:val="009B7A7B"/>
    <w:rsid w:val="009C28AC"/>
    <w:rsid w:val="009C37B9"/>
    <w:rsid w:val="009C38E7"/>
    <w:rsid w:val="009C5BEF"/>
    <w:rsid w:val="009D31F3"/>
    <w:rsid w:val="009D32BD"/>
    <w:rsid w:val="009D4486"/>
    <w:rsid w:val="009D5DAE"/>
    <w:rsid w:val="009E140F"/>
    <w:rsid w:val="009F211E"/>
    <w:rsid w:val="009F294E"/>
    <w:rsid w:val="009F30F1"/>
    <w:rsid w:val="009F37C7"/>
    <w:rsid w:val="009F50AB"/>
    <w:rsid w:val="009F5FBB"/>
    <w:rsid w:val="009F7500"/>
    <w:rsid w:val="00A000A9"/>
    <w:rsid w:val="00A005F6"/>
    <w:rsid w:val="00A0424F"/>
    <w:rsid w:val="00A048C6"/>
    <w:rsid w:val="00A06D09"/>
    <w:rsid w:val="00A11958"/>
    <w:rsid w:val="00A130D6"/>
    <w:rsid w:val="00A1488A"/>
    <w:rsid w:val="00A17A3E"/>
    <w:rsid w:val="00A2110C"/>
    <w:rsid w:val="00A2193F"/>
    <w:rsid w:val="00A225EE"/>
    <w:rsid w:val="00A23A84"/>
    <w:rsid w:val="00A31913"/>
    <w:rsid w:val="00A37BA4"/>
    <w:rsid w:val="00A37BB7"/>
    <w:rsid w:val="00A411DB"/>
    <w:rsid w:val="00A43739"/>
    <w:rsid w:val="00A533E3"/>
    <w:rsid w:val="00A539CB"/>
    <w:rsid w:val="00A53BC7"/>
    <w:rsid w:val="00A63078"/>
    <w:rsid w:val="00A649AA"/>
    <w:rsid w:val="00A65124"/>
    <w:rsid w:val="00A660AF"/>
    <w:rsid w:val="00A675FB"/>
    <w:rsid w:val="00A70A95"/>
    <w:rsid w:val="00A72651"/>
    <w:rsid w:val="00A73821"/>
    <w:rsid w:val="00A77EE7"/>
    <w:rsid w:val="00A809F0"/>
    <w:rsid w:val="00A869FC"/>
    <w:rsid w:val="00A93351"/>
    <w:rsid w:val="00A93A39"/>
    <w:rsid w:val="00A9650C"/>
    <w:rsid w:val="00A97CE6"/>
    <w:rsid w:val="00AA302C"/>
    <w:rsid w:val="00AA36D1"/>
    <w:rsid w:val="00AA6E8C"/>
    <w:rsid w:val="00AA6F19"/>
    <w:rsid w:val="00AA7A76"/>
    <w:rsid w:val="00AB03EF"/>
    <w:rsid w:val="00AB24C4"/>
    <w:rsid w:val="00AB3B72"/>
    <w:rsid w:val="00AB50EE"/>
    <w:rsid w:val="00AB6625"/>
    <w:rsid w:val="00AD0D62"/>
    <w:rsid w:val="00AD147C"/>
    <w:rsid w:val="00AD2631"/>
    <w:rsid w:val="00AD5024"/>
    <w:rsid w:val="00AD58C5"/>
    <w:rsid w:val="00AD5DC1"/>
    <w:rsid w:val="00AE2574"/>
    <w:rsid w:val="00AE3320"/>
    <w:rsid w:val="00AE63BD"/>
    <w:rsid w:val="00AE70A9"/>
    <w:rsid w:val="00AE7682"/>
    <w:rsid w:val="00AF0711"/>
    <w:rsid w:val="00AF0B2B"/>
    <w:rsid w:val="00AF0FA7"/>
    <w:rsid w:val="00AF2914"/>
    <w:rsid w:val="00AF3136"/>
    <w:rsid w:val="00AF363F"/>
    <w:rsid w:val="00AF3A71"/>
    <w:rsid w:val="00AF3E4F"/>
    <w:rsid w:val="00B0654E"/>
    <w:rsid w:val="00B071FF"/>
    <w:rsid w:val="00B11505"/>
    <w:rsid w:val="00B11DC2"/>
    <w:rsid w:val="00B121D2"/>
    <w:rsid w:val="00B15CAA"/>
    <w:rsid w:val="00B1673B"/>
    <w:rsid w:val="00B17897"/>
    <w:rsid w:val="00B20ABA"/>
    <w:rsid w:val="00B20C42"/>
    <w:rsid w:val="00B22CE8"/>
    <w:rsid w:val="00B24A59"/>
    <w:rsid w:val="00B27C5D"/>
    <w:rsid w:val="00B3585E"/>
    <w:rsid w:val="00B37BB0"/>
    <w:rsid w:val="00B403C2"/>
    <w:rsid w:val="00B40CD3"/>
    <w:rsid w:val="00B42807"/>
    <w:rsid w:val="00B428A6"/>
    <w:rsid w:val="00B53913"/>
    <w:rsid w:val="00B567F9"/>
    <w:rsid w:val="00B56906"/>
    <w:rsid w:val="00B57FCC"/>
    <w:rsid w:val="00B61782"/>
    <w:rsid w:val="00B63D44"/>
    <w:rsid w:val="00B65AF6"/>
    <w:rsid w:val="00B7031E"/>
    <w:rsid w:val="00B72922"/>
    <w:rsid w:val="00B72A13"/>
    <w:rsid w:val="00B75196"/>
    <w:rsid w:val="00B80687"/>
    <w:rsid w:val="00B8351D"/>
    <w:rsid w:val="00B84DD5"/>
    <w:rsid w:val="00B87538"/>
    <w:rsid w:val="00B87B26"/>
    <w:rsid w:val="00B91EA6"/>
    <w:rsid w:val="00B94CAA"/>
    <w:rsid w:val="00B954F3"/>
    <w:rsid w:val="00B95910"/>
    <w:rsid w:val="00B97F7D"/>
    <w:rsid w:val="00BA0E8D"/>
    <w:rsid w:val="00BA24FC"/>
    <w:rsid w:val="00BA394B"/>
    <w:rsid w:val="00BA3A4C"/>
    <w:rsid w:val="00BB0F20"/>
    <w:rsid w:val="00BC1990"/>
    <w:rsid w:val="00BC2A62"/>
    <w:rsid w:val="00BC3B5C"/>
    <w:rsid w:val="00BC7175"/>
    <w:rsid w:val="00BC746E"/>
    <w:rsid w:val="00BD2CDE"/>
    <w:rsid w:val="00BD41CF"/>
    <w:rsid w:val="00BD7CC1"/>
    <w:rsid w:val="00BE0164"/>
    <w:rsid w:val="00BE0251"/>
    <w:rsid w:val="00BE12BD"/>
    <w:rsid w:val="00BE2ED7"/>
    <w:rsid w:val="00BE464D"/>
    <w:rsid w:val="00BE6AB8"/>
    <w:rsid w:val="00BF086D"/>
    <w:rsid w:val="00BF2167"/>
    <w:rsid w:val="00BF2774"/>
    <w:rsid w:val="00BF4013"/>
    <w:rsid w:val="00C02D96"/>
    <w:rsid w:val="00C0551D"/>
    <w:rsid w:val="00C12767"/>
    <w:rsid w:val="00C12883"/>
    <w:rsid w:val="00C20A22"/>
    <w:rsid w:val="00C21632"/>
    <w:rsid w:val="00C25581"/>
    <w:rsid w:val="00C264E3"/>
    <w:rsid w:val="00C26BFC"/>
    <w:rsid w:val="00C2788D"/>
    <w:rsid w:val="00C32EFD"/>
    <w:rsid w:val="00C35C76"/>
    <w:rsid w:val="00C361F6"/>
    <w:rsid w:val="00C3669A"/>
    <w:rsid w:val="00C423E3"/>
    <w:rsid w:val="00C44428"/>
    <w:rsid w:val="00C458AF"/>
    <w:rsid w:val="00C50A80"/>
    <w:rsid w:val="00C52D48"/>
    <w:rsid w:val="00C530D6"/>
    <w:rsid w:val="00C54642"/>
    <w:rsid w:val="00C676F3"/>
    <w:rsid w:val="00C72A4C"/>
    <w:rsid w:val="00C72C0C"/>
    <w:rsid w:val="00C731BF"/>
    <w:rsid w:val="00C77EFD"/>
    <w:rsid w:val="00C8009F"/>
    <w:rsid w:val="00C82759"/>
    <w:rsid w:val="00C829DF"/>
    <w:rsid w:val="00C83906"/>
    <w:rsid w:val="00C84021"/>
    <w:rsid w:val="00C84EB7"/>
    <w:rsid w:val="00C875AE"/>
    <w:rsid w:val="00C91188"/>
    <w:rsid w:val="00C9136F"/>
    <w:rsid w:val="00C9208E"/>
    <w:rsid w:val="00C92700"/>
    <w:rsid w:val="00C92A2F"/>
    <w:rsid w:val="00C9634D"/>
    <w:rsid w:val="00CA28E0"/>
    <w:rsid w:val="00CA6970"/>
    <w:rsid w:val="00CB0DF9"/>
    <w:rsid w:val="00CB1B8E"/>
    <w:rsid w:val="00CB4F4C"/>
    <w:rsid w:val="00CB5DEF"/>
    <w:rsid w:val="00CB5E49"/>
    <w:rsid w:val="00CC0C54"/>
    <w:rsid w:val="00CC1016"/>
    <w:rsid w:val="00CC48E3"/>
    <w:rsid w:val="00CC67A5"/>
    <w:rsid w:val="00CD093A"/>
    <w:rsid w:val="00CD4424"/>
    <w:rsid w:val="00CE0612"/>
    <w:rsid w:val="00CE08F9"/>
    <w:rsid w:val="00CE1966"/>
    <w:rsid w:val="00CE2983"/>
    <w:rsid w:val="00CE2D44"/>
    <w:rsid w:val="00CF2008"/>
    <w:rsid w:val="00CF28CA"/>
    <w:rsid w:val="00CF4188"/>
    <w:rsid w:val="00CF42BA"/>
    <w:rsid w:val="00D06213"/>
    <w:rsid w:val="00D07D6A"/>
    <w:rsid w:val="00D220D9"/>
    <w:rsid w:val="00D24425"/>
    <w:rsid w:val="00D277A3"/>
    <w:rsid w:val="00D277C2"/>
    <w:rsid w:val="00D31882"/>
    <w:rsid w:val="00D31BAB"/>
    <w:rsid w:val="00D327FF"/>
    <w:rsid w:val="00D34F24"/>
    <w:rsid w:val="00D35A03"/>
    <w:rsid w:val="00D369AC"/>
    <w:rsid w:val="00D37377"/>
    <w:rsid w:val="00D42AB0"/>
    <w:rsid w:val="00D457F9"/>
    <w:rsid w:val="00D45B09"/>
    <w:rsid w:val="00D45B8C"/>
    <w:rsid w:val="00D51538"/>
    <w:rsid w:val="00D52F92"/>
    <w:rsid w:val="00D532F2"/>
    <w:rsid w:val="00D5375D"/>
    <w:rsid w:val="00D567E0"/>
    <w:rsid w:val="00D578D9"/>
    <w:rsid w:val="00D630DE"/>
    <w:rsid w:val="00D664AD"/>
    <w:rsid w:val="00D70528"/>
    <w:rsid w:val="00D71B57"/>
    <w:rsid w:val="00D72C82"/>
    <w:rsid w:val="00D7327A"/>
    <w:rsid w:val="00D73E65"/>
    <w:rsid w:val="00D75BB5"/>
    <w:rsid w:val="00D86ADD"/>
    <w:rsid w:val="00D87625"/>
    <w:rsid w:val="00D92504"/>
    <w:rsid w:val="00D94745"/>
    <w:rsid w:val="00DA41B2"/>
    <w:rsid w:val="00DA4EE5"/>
    <w:rsid w:val="00DA5D06"/>
    <w:rsid w:val="00DA7B20"/>
    <w:rsid w:val="00DB0D4D"/>
    <w:rsid w:val="00DB2CE4"/>
    <w:rsid w:val="00DB2E02"/>
    <w:rsid w:val="00DB37CF"/>
    <w:rsid w:val="00DB407F"/>
    <w:rsid w:val="00DB722D"/>
    <w:rsid w:val="00DC6A98"/>
    <w:rsid w:val="00DC7016"/>
    <w:rsid w:val="00DC7245"/>
    <w:rsid w:val="00DC730A"/>
    <w:rsid w:val="00DD12FC"/>
    <w:rsid w:val="00DD296E"/>
    <w:rsid w:val="00DE130A"/>
    <w:rsid w:val="00DE38B2"/>
    <w:rsid w:val="00DE4148"/>
    <w:rsid w:val="00DE44F5"/>
    <w:rsid w:val="00DF7FD3"/>
    <w:rsid w:val="00E00F46"/>
    <w:rsid w:val="00E0285E"/>
    <w:rsid w:val="00E03AAE"/>
    <w:rsid w:val="00E12D6B"/>
    <w:rsid w:val="00E1303E"/>
    <w:rsid w:val="00E145ED"/>
    <w:rsid w:val="00E15596"/>
    <w:rsid w:val="00E166FD"/>
    <w:rsid w:val="00E17247"/>
    <w:rsid w:val="00E24560"/>
    <w:rsid w:val="00E25325"/>
    <w:rsid w:val="00E2615E"/>
    <w:rsid w:val="00E264BB"/>
    <w:rsid w:val="00E26628"/>
    <w:rsid w:val="00E26CE0"/>
    <w:rsid w:val="00E26D1B"/>
    <w:rsid w:val="00E276DF"/>
    <w:rsid w:val="00E30EA9"/>
    <w:rsid w:val="00E337EE"/>
    <w:rsid w:val="00E339BE"/>
    <w:rsid w:val="00E34482"/>
    <w:rsid w:val="00E37870"/>
    <w:rsid w:val="00E4050D"/>
    <w:rsid w:val="00E43AB6"/>
    <w:rsid w:val="00E45E6A"/>
    <w:rsid w:val="00E50A42"/>
    <w:rsid w:val="00E537FA"/>
    <w:rsid w:val="00E549A2"/>
    <w:rsid w:val="00E55311"/>
    <w:rsid w:val="00E5663F"/>
    <w:rsid w:val="00E56D64"/>
    <w:rsid w:val="00E611CC"/>
    <w:rsid w:val="00E66A30"/>
    <w:rsid w:val="00E67806"/>
    <w:rsid w:val="00E712B1"/>
    <w:rsid w:val="00E74886"/>
    <w:rsid w:val="00E75DDF"/>
    <w:rsid w:val="00E76641"/>
    <w:rsid w:val="00E81B17"/>
    <w:rsid w:val="00E82722"/>
    <w:rsid w:val="00E85BF7"/>
    <w:rsid w:val="00E87A28"/>
    <w:rsid w:val="00E941E6"/>
    <w:rsid w:val="00E95AB3"/>
    <w:rsid w:val="00EA2187"/>
    <w:rsid w:val="00EA5E85"/>
    <w:rsid w:val="00EA7F05"/>
    <w:rsid w:val="00EB3541"/>
    <w:rsid w:val="00EB5058"/>
    <w:rsid w:val="00EB7EB6"/>
    <w:rsid w:val="00EC07E1"/>
    <w:rsid w:val="00EC099E"/>
    <w:rsid w:val="00EC194E"/>
    <w:rsid w:val="00EC212D"/>
    <w:rsid w:val="00EC2591"/>
    <w:rsid w:val="00EC496C"/>
    <w:rsid w:val="00EC5057"/>
    <w:rsid w:val="00EC70BC"/>
    <w:rsid w:val="00ED018E"/>
    <w:rsid w:val="00ED1A67"/>
    <w:rsid w:val="00ED311D"/>
    <w:rsid w:val="00ED3283"/>
    <w:rsid w:val="00ED457F"/>
    <w:rsid w:val="00EE55F9"/>
    <w:rsid w:val="00EE62A5"/>
    <w:rsid w:val="00EF0734"/>
    <w:rsid w:val="00EF32C4"/>
    <w:rsid w:val="00EF39AD"/>
    <w:rsid w:val="00EF4EC8"/>
    <w:rsid w:val="00F042D3"/>
    <w:rsid w:val="00F05C27"/>
    <w:rsid w:val="00F11454"/>
    <w:rsid w:val="00F125DA"/>
    <w:rsid w:val="00F15575"/>
    <w:rsid w:val="00F1782F"/>
    <w:rsid w:val="00F221FC"/>
    <w:rsid w:val="00F33859"/>
    <w:rsid w:val="00F339F7"/>
    <w:rsid w:val="00F40820"/>
    <w:rsid w:val="00F41B84"/>
    <w:rsid w:val="00F43BDB"/>
    <w:rsid w:val="00F53254"/>
    <w:rsid w:val="00F6200F"/>
    <w:rsid w:val="00F627E4"/>
    <w:rsid w:val="00F6377B"/>
    <w:rsid w:val="00F65D8E"/>
    <w:rsid w:val="00F665A8"/>
    <w:rsid w:val="00F669B9"/>
    <w:rsid w:val="00F72573"/>
    <w:rsid w:val="00F77DB0"/>
    <w:rsid w:val="00F81B3F"/>
    <w:rsid w:val="00F86BC7"/>
    <w:rsid w:val="00F94E31"/>
    <w:rsid w:val="00F95D89"/>
    <w:rsid w:val="00FA0D89"/>
    <w:rsid w:val="00FA2987"/>
    <w:rsid w:val="00FA302F"/>
    <w:rsid w:val="00FA584E"/>
    <w:rsid w:val="00FA6D24"/>
    <w:rsid w:val="00FA7918"/>
    <w:rsid w:val="00FB3ABD"/>
    <w:rsid w:val="00FB59A0"/>
    <w:rsid w:val="00FB6596"/>
    <w:rsid w:val="00FC42BD"/>
    <w:rsid w:val="00FC62D7"/>
    <w:rsid w:val="00FD2E9B"/>
    <w:rsid w:val="00FD3552"/>
    <w:rsid w:val="00FD3D6E"/>
    <w:rsid w:val="00FE008D"/>
    <w:rsid w:val="00FE065B"/>
    <w:rsid w:val="00FE0E9D"/>
    <w:rsid w:val="00FE2BBF"/>
    <w:rsid w:val="00FE703A"/>
    <w:rsid w:val="00FE7A4D"/>
    <w:rsid w:val="00FF1F53"/>
    <w:rsid w:val="00FF6151"/>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D542374B-B11F-4280-8EF6-916DD26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 TargetMode="External"/><Relationship Id="rId4" Type="http://schemas.openxmlformats.org/officeDocument/2006/relationships/settings" Target="settings.xml"/><Relationship Id="rId9" Type="http://schemas.openxmlformats.org/officeDocument/2006/relationships/hyperlink" Target="https://app.jutastatevolve.co.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14v5SApg112" TargetMode="External"/><Relationship Id="rId2" Type="http://schemas.openxmlformats.org/officeDocument/2006/relationships/hyperlink" Target="https://app.jutastatevolve.co.za/y2007v6SApg511" TargetMode="External"/><Relationship Id="rId1" Type="http://schemas.openxmlformats.org/officeDocument/2006/relationships/hyperlink" Target="https://app.jutastatevolve.co.za/y1973v4SApg7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7B4E-BB53-4E79-AE98-B568A9C9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12</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Mokone</cp:lastModifiedBy>
  <cp:revision>3</cp:revision>
  <cp:lastPrinted>2022-05-23T06:22:00Z</cp:lastPrinted>
  <dcterms:created xsi:type="dcterms:W3CDTF">2023-04-13T14:49:00Z</dcterms:created>
  <dcterms:modified xsi:type="dcterms:W3CDTF">2023-04-13T14:49:00Z</dcterms:modified>
</cp:coreProperties>
</file>