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B7052" w14:textId="333F9C17" w:rsidR="006A43A1" w:rsidRDefault="00995F5D" w:rsidP="006A43A1">
      <w:pPr>
        <w:spacing w:line="240" w:lineRule="auto"/>
        <w:jc w:val="center"/>
        <w:rPr>
          <w:rFonts w:cs="Arial"/>
          <w:b/>
          <w:noProof/>
          <w:lang w:eastAsia="en-ZA"/>
        </w:rPr>
      </w:pPr>
      <w:bookmarkStart w:id="0" w:name="_GoBack"/>
      <w:bookmarkEnd w:id="0"/>
      <w:r>
        <w:rPr>
          <w:rFonts w:cs="Arial"/>
          <w:b/>
          <w:noProof/>
          <w:lang w:val="en-ZA" w:eastAsia="en-ZA"/>
        </w:rPr>
        <w:drawing>
          <wp:inline distT="0" distB="0" distL="0" distR="0" wp14:anchorId="1A55A6FE" wp14:editId="75F781E8">
            <wp:extent cx="1352550" cy="1352550"/>
            <wp:effectExtent l="0" t="0" r="0" b="0"/>
            <wp:docPr id="1" name="Picture 2"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4060D4FA" w14:textId="77777777" w:rsidR="006A43A1" w:rsidRPr="00C71BA3" w:rsidRDefault="006A43A1" w:rsidP="006A43A1">
      <w:pPr>
        <w:spacing w:after="0" w:line="240" w:lineRule="auto"/>
        <w:jc w:val="center"/>
        <w:rPr>
          <w:rFonts w:cs="Arial"/>
          <w:b/>
        </w:rPr>
      </w:pPr>
      <w:r w:rsidRPr="00C71BA3">
        <w:rPr>
          <w:rFonts w:cs="Arial"/>
          <w:b/>
        </w:rPr>
        <w:t>IN THE HIGH COURT OF SOUTH AFRICA</w:t>
      </w:r>
    </w:p>
    <w:p w14:paraId="5DD756D5" w14:textId="020685BA" w:rsidR="006A43A1" w:rsidRDefault="006A43A1" w:rsidP="006A43A1">
      <w:pPr>
        <w:spacing w:after="0" w:line="240" w:lineRule="auto"/>
        <w:jc w:val="center"/>
        <w:rPr>
          <w:rFonts w:cs="Arial"/>
          <w:b/>
        </w:rPr>
      </w:pPr>
      <w:r w:rsidRPr="00C71BA3">
        <w:rPr>
          <w:rFonts w:cs="Arial"/>
          <w:b/>
        </w:rPr>
        <w:t xml:space="preserve">GAUTENG DIVISION, </w:t>
      </w:r>
      <w:r>
        <w:rPr>
          <w:rFonts w:cs="Arial"/>
          <w:b/>
        </w:rPr>
        <w:t>JOHANNESBURG</w:t>
      </w:r>
    </w:p>
    <w:p w14:paraId="4F44DB0E" w14:textId="7FED9BC4" w:rsidR="006A43A1" w:rsidRDefault="006A43A1" w:rsidP="006A43A1">
      <w:pPr>
        <w:spacing w:after="0" w:line="240" w:lineRule="auto"/>
        <w:jc w:val="center"/>
        <w:rPr>
          <w:rFonts w:cs="Arial"/>
          <w:b/>
        </w:rPr>
      </w:pPr>
    </w:p>
    <w:p w14:paraId="597DBDC4" w14:textId="38F95D68" w:rsidR="006A43A1" w:rsidRDefault="00995F5D" w:rsidP="006A43A1">
      <w:pPr>
        <w:spacing w:after="0" w:line="240" w:lineRule="auto"/>
        <w:jc w:val="center"/>
        <w:rPr>
          <w:rFonts w:cs="Arial"/>
          <w:b/>
        </w:rPr>
      </w:pPr>
      <w:r>
        <w:rPr>
          <w:noProof/>
          <w:lang w:val="en-ZA" w:eastAsia="en-ZA"/>
        </w:rPr>
        <w:drawing>
          <wp:inline distT="0" distB="0" distL="0" distR="0" wp14:anchorId="540A122A" wp14:editId="113853F3">
            <wp:extent cx="54006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1047750"/>
                    </a:xfrm>
                    <a:prstGeom prst="rect">
                      <a:avLst/>
                    </a:prstGeom>
                    <a:noFill/>
                    <a:ln>
                      <a:noFill/>
                    </a:ln>
                  </pic:spPr>
                </pic:pic>
              </a:graphicData>
            </a:graphic>
          </wp:inline>
        </w:drawing>
      </w:r>
    </w:p>
    <w:p w14:paraId="38958550" w14:textId="5B280E0D" w:rsidR="006A43A1" w:rsidRDefault="006A43A1" w:rsidP="006A43A1">
      <w:pPr>
        <w:spacing w:after="0" w:line="240" w:lineRule="auto"/>
        <w:jc w:val="center"/>
        <w:rPr>
          <w:rFonts w:cs="Arial"/>
          <w:b/>
        </w:rPr>
      </w:pPr>
    </w:p>
    <w:p w14:paraId="2082B027" w14:textId="72E8218C" w:rsidR="006A43A1" w:rsidRDefault="006A43A1" w:rsidP="006A43A1">
      <w:pPr>
        <w:spacing w:line="240" w:lineRule="auto"/>
        <w:jc w:val="right"/>
        <w:rPr>
          <w:szCs w:val="25"/>
        </w:rPr>
      </w:pPr>
    </w:p>
    <w:p w14:paraId="28417F71" w14:textId="5AF267BD" w:rsidR="006A43A1" w:rsidRDefault="006A43A1" w:rsidP="006A43A1">
      <w:pPr>
        <w:spacing w:line="240" w:lineRule="auto"/>
        <w:jc w:val="right"/>
        <w:rPr>
          <w:szCs w:val="25"/>
        </w:rPr>
      </w:pPr>
      <w:r>
        <w:rPr>
          <w:szCs w:val="25"/>
        </w:rPr>
        <w:t>CASE NO.: 14719/2020</w:t>
      </w:r>
    </w:p>
    <w:p w14:paraId="5557375E" w14:textId="5C89A9BC" w:rsidR="006A43A1" w:rsidRPr="006A43A1" w:rsidRDefault="006A43A1" w:rsidP="006A43A1">
      <w:pPr>
        <w:spacing w:line="240" w:lineRule="auto"/>
        <w:jc w:val="left"/>
        <w:rPr>
          <w:szCs w:val="25"/>
        </w:rPr>
      </w:pPr>
      <w:r w:rsidRPr="006A43A1">
        <w:rPr>
          <w:szCs w:val="25"/>
        </w:rPr>
        <w:t>In the matter between:</w:t>
      </w:r>
      <w:r w:rsidRPr="006A43A1">
        <w:rPr>
          <w:rFonts w:cs="Arial"/>
          <w:szCs w:val="25"/>
        </w:rPr>
        <w:t xml:space="preserve"> </w:t>
      </w:r>
    </w:p>
    <w:p w14:paraId="0DF3F089" w14:textId="619ED7A1" w:rsidR="006A43A1" w:rsidRPr="006A43A1" w:rsidRDefault="006A43A1" w:rsidP="006A43A1">
      <w:pPr>
        <w:spacing w:after="0" w:line="240" w:lineRule="auto"/>
        <w:ind w:right="-477"/>
        <w:jc w:val="left"/>
        <w:rPr>
          <w:b/>
          <w:szCs w:val="25"/>
        </w:rPr>
      </w:pPr>
      <w:r>
        <w:rPr>
          <w:b/>
          <w:szCs w:val="25"/>
        </w:rPr>
        <w:t>QELESILE, BHEKISISA ANTON</w:t>
      </w:r>
      <w:r w:rsidRPr="006A43A1">
        <w:rPr>
          <w:b/>
          <w:szCs w:val="25"/>
        </w:rPr>
        <w:tab/>
      </w:r>
      <w:r w:rsidRPr="006A43A1">
        <w:rPr>
          <w:b/>
          <w:szCs w:val="25"/>
        </w:rPr>
        <w:tab/>
      </w:r>
      <w:r w:rsidRPr="006A43A1">
        <w:rPr>
          <w:b/>
          <w:szCs w:val="25"/>
        </w:rPr>
        <w:tab/>
      </w:r>
      <w:r w:rsidRPr="006A43A1">
        <w:rPr>
          <w:b/>
          <w:szCs w:val="25"/>
        </w:rPr>
        <w:tab/>
      </w:r>
      <w:r w:rsidRPr="006A43A1">
        <w:rPr>
          <w:b/>
          <w:szCs w:val="25"/>
        </w:rPr>
        <w:tab/>
      </w:r>
      <w:r w:rsidRPr="006A43A1">
        <w:rPr>
          <w:b/>
          <w:szCs w:val="25"/>
        </w:rPr>
        <w:tab/>
        <w:t>APPLICANT</w:t>
      </w:r>
    </w:p>
    <w:p w14:paraId="625F7403" w14:textId="77777777" w:rsidR="006A43A1" w:rsidRPr="006A43A1" w:rsidRDefault="006A43A1" w:rsidP="006A43A1">
      <w:pPr>
        <w:spacing w:after="0" w:line="240" w:lineRule="auto"/>
        <w:ind w:right="-477"/>
        <w:jc w:val="left"/>
        <w:rPr>
          <w:b/>
          <w:szCs w:val="25"/>
        </w:rPr>
      </w:pPr>
    </w:p>
    <w:p w14:paraId="02F2726E" w14:textId="77777777" w:rsidR="006A43A1" w:rsidRPr="006A43A1" w:rsidRDefault="006A43A1" w:rsidP="006A43A1">
      <w:pPr>
        <w:spacing w:after="0" w:line="240" w:lineRule="auto"/>
        <w:ind w:right="-477"/>
        <w:jc w:val="left"/>
        <w:rPr>
          <w:b/>
          <w:szCs w:val="25"/>
        </w:rPr>
      </w:pPr>
    </w:p>
    <w:p w14:paraId="2A1CA98C" w14:textId="77777777" w:rsidR="006A43A1" w:rsidRPr="006A43A1" w:rsidRDefault="006A43A1" w:rsidP="006A43A1">
      <w:pPr>
        <w:spacing w:after="0" w:line="240" w:lineRule="auto"/>
        <w:ind w:right="-477"/>
        <w:jc w:val="left"/>
        <w:rPr>
          <w:b/>
          <w:szCs w:val="25"/>
        </w:rPr>
      </w:pPr>
      <w:r w:rsidRPr="006A43A1">
        <w:rPr>
          <w:b/>
          <w:szCs w:val="25"/>
        </w:rPr>
        <w:t>AND</w:t>
      </w:r>
    </w:p>
    <w:p w14:paraId="28A1338F" w14:textId="77777777" w:rsidR="006A43A1" w:rsidRPr="006A43A1" w:rsidRDefault="006A43A1" w:rsidP="006A43A1">
      <w:pPr>
        <w:spacing w:after="0" w:line="240" w:lineRule="auto"/>
        <w:ind w:right="-477"/>
        <w:jc w:val="left"/>
        <w:rPr>
          <w:b/>
          <w:szCs w:val="25"/>
        </w:rPr>
      </w:pPr>
    </w:p>
    <w:p w14:paraId="4B43BB4E" w14:textId="77777777" w:rsidR="006A43A1" w:rsidRPr="006A43A1" w:rsidRDefault="006A43A1" w:rsidP="006A43A1">
      <w:pPr>
        <w:spacing w:after="0" w:line="240" w:lineRule="auto"/>
        <w:ind w:right="-477"/>
        <w:jc w:val="left"/>
        <w:rPr>
          <w:b/>
          <w:szCs w:val="25"/>
        </w:rPr>
      </w:pPr>
    </w:p>
    <w:p w14:paraId="00758EAF" w14:textId="157249E6" w:rsidR="006A43A1" w:rsidRPr="006A43A1" w:rsidRDefault="006A43A1" w:rsidP="006A43A1">
      <w:pPr>
        <w:spacing w:after="0" w:line="240" w:lineRule="auto"/>
        <w:ind w:right="-477"/>
        <w:jc w:val="left"/>
        <w:rPr>
          <w:b/>
          <w:szCs w:val="25"/>
        </w:rPr>
      </w:pPr>
      <w:r>
        <w:rPr>
          <w:b/>
          <w:szCs w:val="25"/>
        </w:rPr>
        <w:t>THE ROAD ACCIDENT FUND</w:t>
      </w:r>
      <w:r>
        <w:rPr>
          <w:b/>
          <w:szCs w:val="25"/>
        </w:rPr>
        <w:tab/>
      </w:r>
      <w:r>
        <w:rPr>
          <w:b/>
          <w:szCs w:val="25"/>
        </w:rPr>
        <w:tab/>
      </w:r>
      <w:r>
        <w:rPr>
          <w:b/>
          <w:szCs w:val="25"/>
        </w:rPr>
        <w:tab/>
      </w:r>
      <w:r w:rsidRPr="006A43A1">
        <w:rPr>
          <w:b/>
          <w:szCs w:val="25"/>
        </w:rPr>
        <w:tab/>
      </w:r>
      <w:r w:rsidRPr="006A43A1">
        <w:rPr>
          <w:b/>
          <w:szCs w:val="25"/>
        </w:rPr>
        <w:tab/>
      </w:r>
      <w:r w:rsidRPr="006A43A1">
        <w:rPr>
          <w:b/>
          <w:szCs w:val="25"/>
        </w:rPr>
        <w:tab/>
        <w:t>RESPONDENT</w:t>
      </w:r>
      <w:r w:rsidRPr="006A43A1">
        <w:rPr>
          <w:b/>
          <w:szCs w:val="25"/>
        </w:rPr>
        <w:tab/>
      </w:r>
    </w:p>
    <w:p w14:paraId="394DF9A6" w14:textId="77777777" w:rsidR="00121756" w:rsidRDefault="00121756" w:rsidP="006A43A1">
      <w:pPr>
        <w:spacing w:line="240" w:lineRule="auto"/>
        <w:jc w:val="right"/>
        <w:rPr>
          <w:szCs w:val="25"/>
        </w:rPr>
      </w:pPr>
    </w:p>
    <w:p w14:paraId="6708F4C4" w14:textId="77777777" w:rsidR="00121756" w:rsidRDefault="00121756" w:rsidP="006A43A1">
      <w:pPr>
        <w:spacing w:line="240" w:lineRule="auto"/>
        <w:jc w:val="right"/>
        <w:rPr>
          <w:szCs w:val="25"/>
        </w:rPr>
      </w:pPr>
    </w:p>
    <w:p w14:paraId="50F787C4" w14:textId="77777777" w:rsidR="00121756" w:rsidRDefault="00121756" w:rsidP="006A43A1">
      <w:pPr>
        <w:spacing w:line="240" w:lineRule="auto"/>
        <w:jc w:val="right"/>
        <w:rPr>
          <w:szCs w:val="25"/>
        </w:rPr>
      </w:pPr>
    </w:p>
    <w:p w14:paraId="4646FE08" w14:textId="77777777" w:rsidR="00121756" w:rsidRDefault="00121756" w:rsidP="006A43A1">
      <w:pPr>
        <w:spacing w:line="240" w:lineRule="auto"/>
        <w:jc w:val="right"/>
        <w:rPr>
          <w:szCs w:val="25"/>
        </w:rPr>
      </w:pPr>
    </w:p>
    <w:p w14:paraId="1FB3AB06" w14:textId="77777777" w:rsidR="00121756" w:rsidRDefault="00121756" w:rsidP="006A43A1">
      <w:pPr>
        <w:spacing w:line="240" w:lineRule="auto"/>
        <w:jc w:val="right"/>
        <w:rPr>
          <w:szCs w:val="25"/>
        </w:rPr>
      </w:pPr>
    </w:p>
    <w:p w14:paraId="6F63BBFB" w14:textId="2C8C5C0A" w:rsidR="006A43A1" w:rsidRDefault="006A43A1" w:rsidP="006A43A1">
      <w:pPr>
        <w:spacing w:line="240" w:lineRule="auto"/>
        <w:jc w:val="right"/>
        <w:rPr>
          <w:szCs w:val="25"/>
        </w:rPr>
      </w:pPr>
      <w:r>
        <w:rPr>
          <w:szCs w:val="25"/>
        </w:rPr>
        <w:lastRenderedPageBreak/>
        <w:t>CASE NO.: 5168/2021</w:t>
      </w:r>
    </w:p>
    <w:p w14:paraId="602F875D" w14:textId="77777777" w:rsidR="006A43A1" w:rsidRPr="006A43A1" w:rsidRDefault="006A43A1" w:rsidP="006A43A1">
      <w:pPr>
        <w:spacing w:line="240" w:lineRule="auto"/>
        <w:jc w:val="left"/>
        <w:rPr>
          <w:szCs w:val="25"/>
        </w:rPr>
      </w:pPr>
      <w:r w:rsidRPr="006A43A1">
        <w:rPr>
          <w:szCs w:val="25"/>
        </w:rPr>
        <w:t>In the matter between:</w:t>
      </w:r>
      <w:r w:rsidRPr="006A43A1">
        <w:rPr>
          <w:rFonts w:cs="Arial"/>
          <w:szCs w:val="25"/>
        </w:rPr>
        <w:t xml:space="preserve"> </w:t>
      </w:r>
    </w:p>
    <w:p w14:paraId="1A68EC4E" w14:textId="641C9D58" w:rsidR="006A43A1" w:rsidRPr="006A43A1" w:rsidRDefault="006A43A1" w:rsidP="006A43A1">
      <w:pPr>
        <w:spacing w:after="0" w:line="240" w:lineRule="auto"/>
        <w:ind w:right="-477"/>
        <w:jc w:val="left"/>
        <w:rPr>
          <w:b/>
          <w:szCs w:val="25"/>
        </w:rPr>
      </w:pPr>
      <w:r>
        <w:rPr>
          <w:b/>
          <w:szCs w:val="25"/>
        </w:rPr>
        <w:t>BANDA, AARON MATEMBU</w:t>
      </w:r>
      <w:r w:rsidRPr="006A43A1">
        <w:rPr>
          <w:b/>
          <w:szCs w:val="25"/>
        </w:rPr>
        <w:tab/>
      </w:r>
      <w:r w:rsidRPr="006A43A1">
        <w:rPr>
          <w:b/>
          <w:szCs w:val="25"/>
        </w:rPr>
        <w:tab/>
      </w:r>
      <w:r w:rsidRPr="006A43A1">
        <w:rPr>
          <w:b/>
          <w:szCs w:val="25"/>
        </w:rPr>
        <w:tab/>
      </w:r>
      <w:r w:rsidRPr="006A43A1">
        <w:rPr>
          <w:b/>
          <w:szCs w:val="25"/>
        </w:rPr>
        <w:tab/>
      </w:r>
      <w:r w:rsidRPr="006A43A1">
        <w:rPr>
          <w:b/>
          <w:szCs w:val="25"/>
        </w:rPr>
        <w:tab/>
      </w:r>
      <w:r w:rsidRPr="006A43A1">
        <w:rPr>
          <w:b/>
          <w:szCs w:val="25"/>
        </w:rPr>
        <w:tab/>
        <w:t>APPLICANT</w:t>
      </w:r>
    </w:p>
    <w:p w14:paraId="463E26EE" w14:textId="77777777" w:rsidR="006A43A1" w:rsidRPr="006A43A1" w:rsidRDefault="006A43A1" w:rsidP="006A43A1">
      <w:pPr>
        <w:spacing w:after="0" w:line="240" w:lineRule="auto"/>
        <w:ind w:right="-477"/>
        <w:jc w:val="left"/>
        <w:rPr>
          <w:b/>
          <w:szCs w:val="25"/>
        </w:rPr>
      </w:pPr>
    </w:p>
    <w:p w14:paraId="596853F2" w14:textId="77777777" w:rsidR="006A43A1" w:rsidRPr="006A43A1" w:rsidRDefault="006A43A1" w:rsidP="006A43A1">
      <w:pPr>
        <w:spacing w:after="0" w:line="240" w:lineRule="auto"/>
        <w:ind w:right="-477"/>
        <w:jc w:val="left"/>
        <w:rPr>
          <w:b/>
          <w:szCs w:val="25"/>
        </w:rPr>
      </w:pPr>
    </w:p>
    <w:p w14:paraId="126962CD" w14:textId="77777777" w:rsidR="006A43A1" w:rsidRPr="006A43A1" w:rsidRDefault="006A43A1" w:rsidP="006A43A1">
      <w:pPr>
        <w:spacing w:after="0" w:line="240" w:lineRule="auto"/>
        <w:ind w:right="-477"/>
        <w:jc w:val="left"/>
        <w:rPr>
          <w:b/>
          <w:szCs w:val="25"/>
        </w:rPr>
      </w:pPr>
      <w:r w:rsidRPr="006A43A1">
        <w:rPr>
          <w:b/>
          <w:szCs w:val="25"/>
        </w:rPr>
        <w:t>AND</w:t>
      </w:r>
    </w:p>
    <w:p w14:paraId="70001DEC" w14:textId="77777777" w:rsidR="006A43A1" w:rsidRPr="006A43A1" w:rsidRDefault="006A43A1" w:rsidP="006A43A1">
      <w:pPr>
        <w:spacing w:after="0" w:line="240" w:lineRule="auto"/>
        <w:ind w:right="-477"/>
        <w:jc w:val="left"/>
        <w:rPr>
          <w:b/>
          <w:szCs w:val="25"/>
        </w:rPr>
      </w:pPr>
    </w:p>
    <w:p w14:paraId="4F88E390" w14:textId="77777777" w:rsidR="006A43A1" w:rsidRPr="006A43A1" w:rsidRDefault="006A43A1" w:rsidP="006A43A1">
      <w:pPr>
        <w:spacing w:after="0" w:line="240" w:lineRule="auto"/>
        <w:ind w:right="-477"/>
        <w:jc w:val="left"/>
        <w:rPr>
          <w:b/>
          <w:szCs w:val="25"/>
        </w:rPr>
      </w:pPr>
    </w:p>
    <w:p w14:paraId="7F156E54" w14:textId="625093EF" w:rsidR="006A43A1" w:rsidRPr="006A43A1" w:rsidRDefault="006A43A1" w:rsidP="006A43A1">
      <w:pPr>
        <w:spacing w:line="240" w:lineRule="auto"/>
        <w:ind w:right="-619"/>
        <w:jc w:val="left"/>
        <w:rPr>
          <w:szCs w:val="25"/>
        </w:rPr>
      </w:pPr>
      <w:r>
        <w:rPr>
          <w:b/>
          <w:szCs w:val="25"/>
        </w:rPr>
        <w:t>THE ROAD ACCIDENT FUND</w:t>
      </w:r>
      <w:r>
        <w:rPr>
          <w:b/>
          <w:szCs w:val="25"/>
        </w:rPr>
        <w:tab/>
      </w:r>
      <w:r>
        <w:rPr>
          <w:b/>
          <w:szCs w:val="25"/>
        </w:rPr>
        <w:tab/>
      </w:r>
      <w:r>
        <w:rPr>
          <w:b/>
          <w:szCs w:val="25"/>
        </w:rPr>
        <w:tab/>
      </w:r>
      <w:r w:rsidRPr="006A43A1">
        <w:rPr>
          <w:b/>
          <w:szCs w:val="25"/>
        </w:rPr>
        <w:tab/>
      </w:r>
      <w:r>
        <w:rPr>
          <w:b/>
          <w:szCs w:val="25"/>
        </w:rPr>
        <w:tab/>
      </w:r>
      <w:r>
        <w:rPr>
          <w:b/>
          <w:szCs w:val="25"/>
        </w:rPr>
        <w:tab/>
      </w:r>
      <w:r w:rsidRPr="006A43A1">
        <w:rPr>
          <w:b/>
          <w:szCs w:val="25"/>
        </w:rPr>
        <w:t>RESPONDENT</w:t>
      </w:r>
      <w:r w:rsidRPr="006A43A1">
        <w:rPr>
          <w:szCs w:val="25"/>
        </w:rPr>
        <w:t xml:space="preserve"> </w:t>
      </w:r>
    </w:p>
    <w:p w14:paraId="2AAFE735" w14:textId="417B6388" w:rsidR="006A43A1" w:rsidRDefault="006A43A1" w:rsidP="006A43A1">
      <w:pPr>
        <w:spacing w:after="0" w:line="240" w:lineRule="auto"/>
        <w:rPr>
          <w:rFonts w:cs="Arial"/>
          <w:b/>
        </w:rPr>
      </w:pPr>
    </w:p>
    <w:p w14:paraId="67FAF192" w14:textId="41D12BB3" w:rsidR="006A43A1" w:rsidRDefault="006A43A1" w:rsidP="006A43A1">
      <w:pPr>
        <w:pStyle w:val="Indent"/>
        <w:numPr>
          <w:ilvl w:val="0"/>
          <w:numId w:val="0"/>
        </w:numPr>
        <w:spacing w:after="240" w:line="240" w:lineRule="auto"/>
        <w:ind w:left="1440" w:hanging="1440"/>
      </w:pPr>
      <w:r>
        <w:t>Delivered:</w:t>
      </w:r>
      <w:r>
        <w:tab/>
        <w:t xml:space="preserve">This judgment was prepared and authored by the Judge whose name is reflected and is handed down electronically by circulation to the parties/their legal representatives by </w:t>
      </w:r>
      <w:r w:rsidRPr="00167093">
        <w:t>e</w:t>
      </w:r>
      <w:r w:rsidRPr="00167093">
        <w:noBreakHyphen/>
        <w:t>mail</w:t>
      </w:r>
      <w:r>
        <w:t xml:space="preserve"> and by uploading it to the electronic file of this matter on CaseLines.  The date for hand-down is deemed to be 24 February 2023.</w:t>
      </w:r>
    </w:p>
    <w:p w14:paraId="5E7027CC" w14:textId="5E4B7BFA" w:rsidR="006A43A1" w:rsidRPr="004C1FC6" w:rsidRDefault="006A43A1" w:rsidP="00D80704">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1"/>
      </w:tblGrid>
      <w:tr w:rsidR="00D80704" w:rsidRPr="004C1FC6" w14:paraId="48E03FE9" w14:textId="77777777">
        <w:tc>
          <w:tcPr>
            <w:tcW w:w="8811" w:type="dxa"/>
            <w:tcBorders>
              <w:top w:val="single" w:sz="4" w:space="0" w:color="auto"/>
              <w:left w:val="nil"/>
              <w:bottom w:val="single" w:sz="4" w:space="0" w:color="auto"/>
              <w:right w:val="nil"/>
            </w:tcBorders>
          </w:tcPr>
          <w:p w14:paraId="33A12A4B" w14:textId="77777777" w:rsidR="00D80704" w:rsidRPr="00B00377" w:rsidRDefault="006C7F13" w:rsidP="00A211D2">
            <w:pPr>
              <w:spacing w:before="360" w:after="360" w:line="240" w:lineRule="auto"/>
              <w:jc w:val="center"/>
              <w:rPr>
                <w:b/>
              </w:rPr>
            </w:pPr>
            <w:r>
              <w:rPr>
                <w:b/>
              </w:rPr>
              <w:t>JUDGMENT</w:t>
            </w:r>
            <w:r w:rsidR="00F15259">
              <w:rPr>
                <w:b/>
              </w:rPr>
              <w:t xml:space="preserve"> </w:t>
            </w:r>
          </w:p>
        </w:tc>
      </w:tr>
    </w:tbl>
    <w:p w14:paraId="5E009E1E" w14:textId="3671D371" w:rsidR="00D80704" w:rsidRDefault="00D80704" w:rsidP="00D80704">
      <w:pPr>
        <w:spacing w:line="240" w:lineRule="auto"/>
        <w:jc w:val="left"/>
      </w:pPr>
    </w:p>
    <w:p w14:paraId="653CA0BD" w14:textId="7CD51876" w:rsidR="00BC4E73" w:rsidRDefault="00BC4E73" w:rsidP="00BC0D30">
      <w:pPr>
        <w:rPr>
          <w:rFonts w:cs="Arial"/>
          <w:bCs/>
          <w:szCs w:val="25"/>
        </w:rPr>
      </w:pPr>
      <w:r>
        <w:rPr>
          <w:rFonts w:cs="Arial"/>
          <w:bCs/>
          <w:szCs w:val="25"/>
        </w:rPr>
        <w:t>Practice – Practice directives and clarification notes – Enrolment of applications in terms of Rule 34(4)(a) – Applications in terms of Rule 34A(4)(a) to be enrolled on the general civil trial roll, not unopposed motion court roll.</w:t>
      </w:r>
    </w:p>
    <w:p w14:paraId="47C97177" w14:textId="63EBB99D" w:rsidR="00BC0D30" w:rsidRPr="00BC0D30" w:rsidRDefault="00BC0D30" w:rsidP="00BC0D30">
      <w:pPr>
        <w:rPr>
          <w:szCs w:val="25"/>
        </w:rPr>
      </w:pPr>
      <w:r w:rsidRPr="00BC0D30">
        <w:rPr>
          <w:rFonts w:cs="Arial"/>
          <w:bCs/>
          <w:szCs w:val="25"/>
        </w:rPr>
        <w:t xml:space="preserve">Motor vehicle accident — Compensation — Claim against Road Accident Fund — Application for interim payment under </w:t>
      </w:r>
      <w:r>
        <w:rPr>
          <w:rFonts w:cs="Arial"/>
          <w:bCs/>
          <w:szCs w:val="25"/>
        </w:rPr>
        <w:t>R</w:t>
      </w:r>
      <w:r w:rsidRPr="00BC0D30">
        <w:rPr>
          <w:rFonts w:cs="Arial"/>
          <w:bCs/>
          <w:szCs w:val="25"/>
        </w:rPr>
        <w:t xml:space="preserve">ule 34A for medical costs already incurred — Written admission of liability for damages in rule 34A(4)(a) —  Written admission that accident caused by sole or contributory negligence of </w:t>
      </w:r>
      <w:r w:rsidRPr="00BC0D30">
        <w:rPr>
          <w:rFonts w:cs="Arial"/>
          <w:bCs/>
          <w:szCs w:val="25"/>
        </w:rPr>
        <w:lastRenderedPageBreak/>
        <w:t xml:space="preserve">insured driver insufficient to satisfy court that Fund has admitted liability — </w:t>
      </w:r>
      <w:r>
        <w:rPr>
          <w:rFonts w:cs="Arial"/>
          <w:bCs/>
          <w:szCs w:val="25"/>
        </w:rPr>
        <w:t>Section 17(1)</w:t>
      </w:r>
      <w:r w:rsidRPr="00BC0D30">
        <w:rPr>
          <w:rFonts w:cs="Arial"/>
          <w:bCs/>
          <w:szCs w:val="25"/>
        </w:rPr>
        <w:t xml:space="preserve"> </w:t>
      </w:r>
      <w:r w:rsidR="00BC4E73">
        <w:rPr>
          <w:rFonts w:cs="Arial"/>
          <w:bCs/>
          <w:szCs w:val="25"/>
        </w:rPr>
        <w:t xml:space="preserve">of </w:t>
      </w:r>
      <w:r w:rsidR="00BC4E73" w:rsidRPr="00BC0D30">
        <w:rPr>
          <w:rFonts w:cs="Arial"/>
          <w:bCs/>
          <w:szCs w:val="25"/>
        </w:rPr>
        <w:t>Road Accident Fund Act 56 of 1996</w:t>
      </w:r>
      <w:r w:rsidR="00BC4E73">
        <w:rPr>
          <w:rFonts w:cs="Arial"/>
          <w:bCs/>
          <w:szCs w:val="25"/>
        </w:rPr>
        <w:t xml:space="preserve"> </w:t>
      </w:r>
      <w:r>
        <w:rPr>
          <w:rFonts w:cs="Arial"/>
          <w:bCs/>
          <w:szCs w:val="25"/>
        </w:rPr>
        <w:t xml:space="preserve">qualifies a claim in terms of Section 17(6) </w:t>
      </w:r>
      <w:r w:rsidR="00BC4E73">
        <w:rPr>
          <w:rFonts w:cs="Arial"/>
          <w:bCs/>
          <w:szCs w:val="25"/>
        </w:rPr>
        <w:t xml:space="preserve"> to the same effect as Rule 34(A)(4)(a) </w:t>
      </w:r>
      <w:r w:rsidRPr="00BC0D30">
        <w:rPr>
          <w:rFonts w:cs="Arial"/>
          <w:bCs/>
          <w:szCs w:val="25"/>
        </w:rPr>
        <w:t xml:space="preserve">— Uniform Rules of Court, </w:t>
      </w:r>
      <w:r>
        <w:rPr>
          <w:rFonts w:cs="Arial"/>
          <w:bCs/>
          <w:szCs w:val="25"/>
        </w:rPr>
        <w:t>R</w:t>
      </w:r>
      <w:r w:rsidRPr="00BC0D30">
        <w:rPr>
          <w:rFonts w:cs="Arial"/>
          <w:bCs/>
          <w:szCs w:val="25"/>
        </w:rPr>
        <w:t>ule 34A; Road Accident Fund Act 56 of 1996, s</w:t>
      </w:r>
      <w:r w:rsidR="00BC4E73">
        <w:rPr>
          <w:rFonts w:cs="Arial"/>
          <w:bCs/>
          <w:szCs w:val="25"/>
        </w:rPr>
        <w:t>s 17(1) and</w:t>
      </w:r>
      <w:r w:rsidRPr="00BC0D30">
        <w:rPr>
          <w:rFonts w:cs="Arial"/>
          <w:bCs/>
          <w:szCs w:val="25"/>
        </w:rPr>
        <w:t xml:space="preserve"> 17(6).</w:t>
      </w:r>
    </w:p>
    <w:p w14:paraId="58BEC1E2" w14:textId="77777777" w:rsidR="002866C8" w:rsidRDefault="002F3E7E" w:rsidP="006C7F13">
      <w:pPr>
        <w:pStyle w:val="Indent"/>
        <w:numPr>
          <w:ilvl w:val="0"/>
          <w:numId w:val="0"/>
        </w:numPr>
        <w:rPr>
          <w:b/>
        </w:rPr>
      </w:pPr>
      <w:r>
        <w:rPr>
          <w:b/>
          <w:u w:val="single"/>
        </w:rPr>
        <w:t xml:space="preserve">VAN NIEUWENHUIZEN </w:t>
      </w:r>
      <w:r w:rsidR="006C7F13" w:rsidRPr="00CA03EF">
        <w:rPr>
          <w:b/>
          <w:u w:val="single"/>
        </w:rPr>
        <w:t>AJ</w:t>
      </w:r>
      <w:r w:rsidR="006C7F13">
        <w:rPr>
          <w:b/>
        </w:rPr>
        <w:t>:</w:t>
      </w:r>
    </w:p>
    <w:p w14:paraId="1D2D611E" w14:textId="30D16FAC" w:rsidR="002734AC" w:rsidRDefault="00A44588" w:rsidP="00A44588">
      <w:pPr>
        <w:pStyle w:val="Indent"/>
        <w:numPr>
          <w:ilvl w:val="0"/>
          <w:numId w:val="0"/>
        </w:numPr>
        <w:tabs>
          <w:tab w:val="left" w:pos="0"/>
        </w:tabs>
      </w:pPr>
      <w:r>
        <w:rPr>
          <w:szCs w:val="25"/>
        </w:rPr>
        <w:t>[1]</w:t>
      </w:r>
      <w:r>
        <w:rPr>
          <w:szCs w:val="25"/>
        </w:rPr>
        <w:tab/>
      </w:r>
      <w:r w:rsidR="002004AB">
        <w:t xml:space="preserve">Sitting in the unopposed motion court on 21 February 2023, two matters came before me which required the same legal issue to be </w:t>
      </w:r>
      <w:r w:rsidR="002734AC">
        <w:t>considered</w:t>
      </w:r>
      <w:r w:rsidR="002004AB">
        <w:t>, namely whether or not the Road Accident Fund, being the Defendant in both matters, had admitted liability for the respective Plaintiffs’ damages as meant by Rule 34A(4)(a). Accordingly, I directed that both matters be heard simultaneously pursuant to which argument was presented on behalf of the Plaintiffs and judgment was reserved.</w:t>
      </w:r>
    </w:p>
    <w:p w14:paraId="52158559" w14:textId="7C9665EF" w:rsidR="002734AC" w:rsidRDefault="00A44588" w:rsidP="00A44588">
      <w:pPr>
        <w:pStyle w:val="Indent"/>
        <w:numPr>
          <w:ilvl w:val="0"/>
          <w:numId w:val="0"/>
        </w:numPr>
        <w:tabs>
          <w:tab w:val="left" w:pos="0"/>
        </w:tabs>
      </w:pPr>
      <w:r>
        <w:rPr>
          <w:szCs w:val="25"/>
        </w:rPr>
        <w:t>[2]</w:t>
      </w:r>
      <w:r>
        <w:rPr>
          <w:szCs w:val="25"/>
        </w:rPr>
        <w:tab/>
      </w:r>
      <w:r w:rsidR="002004AB">
        <w:t xml:space="preserve">In addition to the aforegoing predominant </w:t>
      </w:r>
      <w:r w:rsidR="002734AC">
        <w:t>issue</w:t>
      </w:r>
      <w:r w:rsidR="002004AB">
        <w:t xml:space="preserve"> to be determined, the question also arose as to whether or not the matters ought in fact have served before me sitting in unopposed motion court, or whether they are to be enrolled on the civil trial roll.  </w:t>
      </w:r>
    </w:p>
    <w:p w14:paraId="5BB38882" w14:textId="2545A9F8" w:rsidR="002734AC" w:rsidRDefault="00A44588" w:rsidP="00A44588">
      <w:pPr>
        <w:pStyle w:val="Indent"/>
        <w:numPr>
          <w:ilvl w:val="0"/>
          <w:numId w:val="0"/>
        </w:numPr>
        <w:tabs>
          <w:tab w:val="left" w:pos="0"/>
        </w:tabs>
      </w:pPr>
      <w:r>
        <w:rPr>
          <w:szCs w:val="25"/>
        </w:rPr>
        <w:t>[3]</w:t>
      </w:r>
      <w:r>
        <w:rPr>
          <w:szCs w:val="25"/>
        </w:rPr>
        <w:tab/>
      </w:r>
      <w:r w:rsidR="002734AC">
        <w:t xml:space="preserve">Both these </w:t>
      </w:r>
      <w:r w:rsidR="0001282E">
        <w:t>issues</w:t>
      </w:r>
      <w:r w:rsidR="002734AC">
        <w:t xml:space="preserve"> </w:t>
      </w:r>
      <w:r w:rsidR="002004AB">
        <w:t xml:space="preserve">arose </w:t>
      </w:r>
      <w:r w:rsidR="0001282E">
        <w:t>after</w:t>
      </w:r>
      <w:r w:rsidR="002734AC">
        <w:t xml:space="preserve"> a recent</w:t>
      </w:r>
      <w:r w:rsidR="002004AB">
        <w:t xml:space="preserve"> judgment </w:t>
      </w:r>
      <w:r w:rsidR="0001282E">
        <w:t xml:space="preserve">of </w:t>
      </w:r>
      <w:r w:rsidR="002004AB">
        <w:t>Moultrie AJ</w:t>
      </w:r>
      <w:r w:rsidR="0001282E">
        <w:t>, delivered</w:t>
      </w:r>
      <w:r w:rsidR="002004AB">
        <w:t xml:space="preserve"> on 11 February 2023</w:t>
      </w:r>
      <w:r w:rsidR="0001282E">
        <w:t xml:space="preserve"> and</w:t>
      </w:r>
      <w:r w:rsidR="002004AB">
        <w:t xml:space="preserve"> </w:t>
      </w:r>
      <w:r w:rsidR="002734AC">
        <w:t xml:space="preserve">presently cited as </w:t>
      </w:r>
      <w:r w:rsidR="002004AB" w:rsidRPr="002734AC">
        <w:rPr>
          <w:b/>
        </w:rPr>
        <w:t>Alexander v Road Accident Fund and 3 Other Related Matters</w:t>
      </w:r>
      <w:r w:rsidR="002004AB">
        <w:t xml:space="preserve"> (2021/53043; 2021/26274; 2020/15348; </w:t>
      </w:r>
      <w:r w:rsidR="002004AB">
        <w:lastRenderedPageBreak/>
        <w:t>2022/5105) [2023] ZAGPJHC 112 (11 February 2023)</w:t>
      </w:r>
      <w:r w:rsidR="002734AC">
        <w:t>, to which I was quite appropriately referred to by Mr Mudau who appeared on behalf of both Plaintiffs.</w:t>
      </w:r>
    </w:p>
    <w:p w14:paraId="07DB454F" w14:textId="6E5A9CFE" w:rsidR="0001282E" w:rsidRDefault="00A44588" w:rsidP="00A44588">
      <w:pPr>
        <w:pStyle w:val="Indent"/>
        <w:numPr>
          <w:ilvl w:val="0"/>
          <w:numId w:val="0"/>
        </w:numPr>
        <w:tabs>
          <w:tab w:val="left" w:pos="0"/>
        </w:tabs>
      </w:pPr>
      <w:r>
        <w:rPr>
          <w:szCs w:val="25"/>
        </w:rPr>
        <w:t>[4]</w:t>
      </w:r>
      <w:r>
        <w:rPr>
          <w:szCs w:val="25"/>
        </w:rPr>
        <w:tab/>
      </w:r>
      <w:r w:rsidR="002734AC">
        <w:t>At</w:t>
      </w:r>
      <w:r w:rsidR="002004AB">
        <w:t xml:space="preserve"> the first sentence </w:t>
      </w:r>
      <w:r w:rsidR="002734AC">
        <w:t xml:space="preserve">of </w:t>
      </w:r>
      <w:r w:rsidR="002734AC">
        <w:rPr>
          <w:b/>
          <w:bCs/>
        </w:rPr>
        <w:t xml:space="preserve">Alexander </w:t>
      </w:r>
      <w:r w:rsidR="002004AB">
        <w:t xml:space="preserve">and </w:t>
      </w:r>
      <w:r w:rsidR="002734AC">
        <w:t xml:space="preserve">in the </w:t>
      </w:r>
      <w:r w:rsidR="002004AB">
        <w:t xml:space="preserve">first footnote, the learned </w:t>
      </w:r>
      <w:r w:rsidR="00756DD7">
        <w:t>a</w:t>
      </w:r>
      <w:r w:rsidR="002004AB">
        <w:t xml:space="preserve">cting </w:t>
      </w:r>
      <w:r w:rsidR="00756DD7">
        <w:t>j</w:t>
      </w:r>
      <w:r w:rsidR="002004AB">
        <w:t>udge stated that the matter</w:t>
      </w:r>
      <w:r w:rsidR="0001282E">
        <w:t>s his judgment dealt with</w:t>
      </w:r>
      <w:r w:rsidR="002004AB">
        <w:t xml:space="preserve"> served before him prior to the Deputy Judge President’s clarification on 2 February 2023 </w:t>
      </w:r>
      <w:r w:rsidR="0001282E">
        <w:t xml:space="preserve">(“the 2 February 2023 clarification”) </w:t>
      </w:r>
      <w:r w:rsidR="002004AB">
        <w:t>that applications for interim payments under Rule 34A(4)(b) should be enrolled on the civil trial roll and not in the unopposed motion court</w:t>
      </w:r>
      <w:r w:rsidR="0001282E">
        <w:t>, and that there is no reason why that should not apply to applicatio</w:t>
      </w:r>
      <w:r w:rsidR="0001282E" w:rsidRPr="00BC0D30">
        <w:t>ns</w:t>
      </w:r>
      <w:r w:rsidR="0001282E">
        <w:t xml:space="preserve"> in terms of Rule 34A(4)(a)</w:t>
      </w:r>
      <w:r w:rsidR="0044037A">
        <w:t xml:space="preserve"> [i.e. after 2 February 2023]</w:t>
      </w:r>
      <w:r w:rsidR="0001282E">
        <w:t>.</w:t>
      </w:r>
    </w:p>
    <w:p w14:paraId="6C6E4D9C" w14:textId="64716C74" w:rsidR="0044037A" w:rsidRDefault="00A44588" w:rsidP="00A44588">
      <w:pPr>
        <w:pStyle w:val="Indent"/>
        <w:numPr>
          <w:ilvl w:val="0"/>
          <w:numId w:val="0"/>
        </w:numPr>
        <w:tabs>
          <w:tab w:val="left" w:pos="0"/>
        </w:tabs>
      </w:pPr>
      <w:r>
        <w:rPr>
          <w:szCs w:val="25"/>
        </w:rPr>
        <w:t>[5]</w:t>
      </w:r>
      <w:r>
        <w:rPr>
          <w:szCs w:val="25"/>
        </w:rPr>
        <w:tab/>
      </w:r>
      <w:r w:rsidR="0044037A">
        <w:t xml:space="preserve">The </w:t>
      </w:r>
      <w:r w:rsidR="0044037A">
        <w:rPr>
          <w:i/>
          <w:iCs/>
        </w:rPr>
        <w:t xml:space="preserve">crux </w:t>
      </w:r>
      <w:r w:rsidR="0044037A">
        <w:t xml:space="preserve">of </w:t>
      </w:r>
      <w:r w:rsidR="0044037A">
        <w:rPr>
          <w:b/>
          <w:bCs/>
        </w:rPr>
        <w:t xml:space="preserve">Alexander </w:t>
      </w:r>
      <w:r w:rsidR="0044037A" w:rsidRPr="0044037A">
        <w:t>(</w:t>
      </w:r>
      <w:r w:rsidR="0044037A">
        <w:t xml:space="preserve">at </w:t>
      </w:r>
      <w:r w:rsidR="0044037A" w:rsidRPr="0044037A">
        <w:t>paras 11 and 16)</w:t>
      </w:r>
      <w:r w:rsidR="0044037A">
        <w:t xml:space="preserve"> was to the effect that the admission of liability by a defendant </w:t>
      </w:r>
      <w:r w:rsidR="00552B9B">
        <w:t xml:space="preserve">in terms of Rule 34A(4)(a) </w:t>
      </w:r>
      <w:r w:rsidR="0044037A">
        <w:t>necessitated an admission of all the requirements of the elements of a delict, not only negligence.</w:t>
      </w:r>
    </w:p>
    <w:p w14:paraId="5662CF9D" w14:textId="26995C2A" w:rsidR="0001282E" w:rsidRDefault="00A44588" w:rsidP="00A44588">
      <w:pPr>
        <w:pStyle w:val="Indent"/>
        <w:numPr>
          <w:ilvl w:val="0"/>
          <w:numId w:val="0"/>
        </w:numPr>
        <w:tabs>
          <w:tab w:val="left" w:pos="0"/>
        </w:tabs>
      </w:pPr>
      <w:r>
        <w:rPr>
          <w:szCs w:val="25"/>
        </w:rPr>
        <w:t>[6]</w:t>
      </w:r>
      <w:r>
        <w:rPr>
          <w:szCs w:val="25"/>
        </w:rPr>
        <w:tab/>
      </w:r>
      <w:r w:rsidR="0001282E">
        <w:t xml:space="preserve">Mr Mudau sought to argue that: </w:t>
      </w:r>
    </w:p>
    <w:p w14:paraId="14E10979" w14:textId="1BABBDB4" w:rsidR="0001282E" w:rsidRDefault="00A44588" w:rsidP="00A44588">
      <w:pPr>
        <w:pStyle w:val="Indent"/>
        <w:numPr>
          <w:ilvl w:val="0"/>
          <w:numId w:val="0"/>
        </w:numPr>
        <w:tabs>
          <w:tab w:val="left" w:pos="1304"/>
        </w:tabs>
        <w:ind w:left="284"/>
      </w:pPr>
      <w:r>
        <w:t>[6.1]</w:t>
      </w:r>
      <w:r>
        <w:tab/>
      </w:r>
      <w:r w:rsidR="0001282E">
        <w:t xml:space="preserve">firstly, despite a diligent search, he was unable to find the 2 February </w:t>
      </w:r>
      <w:r w:rsidR="0044037A">
        <w:t xml:space="preserve">2023 </w:t>
      </w:r>
      <w:r w:rsidR="0001282E">
        <w:t>clarification and according to the present practice directives there was no bar to having the matters enrolled and heard in the unopposed motion court (“the correct roll</w:t>
      </w:r>
      <w:r w:rsidR="0044037A">
        <w:t xml:space="preserve"> issue</w:t>
      </w:r>
      <w:r w:rsidR="0001282E">
        <w:t xml:space="preserve">”); and </w:t>
      </w:r>
    </w:p>
    <w:p w14:paraId="3B8E3E35" w14:textId="5DBFA1B6" w:rsidR="00B80834" w:rsidRDefault="00A44588" w:rsidP="00A44588">
      <w:pPr>
        <w:pStyle w:val="Indent"/>
        <w:numPr>
          <w:ilvl w:val="0"/>
          <w:numId w:val="0"/>
        </w:numPr>
        <w:tabs>
          <w:tab w:val="left" w:pos="1304"/>
        </w:tabs>
        <w:ind w:left="284"/>
      </w:pPr>
      <w:r>
        <w:lastRenderedPageBreak/>
        <w:t>[6.2]</w:t>
      </w:r>
      <w:r>
        <w:tab/>
      </w:r>
      <w:r w:rsidR="0001282E">
        <w:t xml:space="preserve">secondly, that </w:t>
      </w:r>
      <w:r w:rsidR="0001282E" w:rsidRPr="0001282E">
        <w:rPr>
          <w:b/>
          <w:bCs/>
        </w:rPr>
        <w:t xml:space="preserve">Alexander </w:t>
      </w:r>
      <w:r w:rsidR="0001282E">
        <w:t>was wrongly decided and that I should not follow it</w:t>
      </w:r>
      <w:r w:rsidR="00552B9B">
        <w:t xml:space="preserve"> as </w:t>
      </w:r>
      <w:r w:rsidR="00E21545">
        <w:t>s</w:t>
      </w:r>
      <w:r w:rsidR="00552B9B">
        <w:t xml:space="preserve">ection 17 of the Road Accident Fund Act 56 of 1996 (“the RAF Act”), and particular section 17(6) read with </w:t>
      </w:r>
      <w:r w:rsidR="00E21545">
        <w:t xml:space="preserve">section </w:t>
      </w:r>
      <w:r w:rsidR="00552B9B">
        <w:t xml:space="preserve">17(1), afforded the Plaintiffs </w:t>
      </w:r>
      <w:r w:rsidR="00552B9B" w:rsidRPr="00BC0D30">
        <w:t>a</w:t>
      </w:r>
      <w:r w:rsidR="00552B9B">
        <w:t xml:space="preserve"> substantive right to interim payments for past medical expenses where the Plaintiffs suffered bodily injuries caused by the negligent driving of a motor vehicle by a driver indemnified under the RAF Act</w:t>
      </w:r>
      <w:r w:rsidR="00B80834">
        <w:t xml:space="preserve"> and </w:t>
      </w:r>
      <w:r w:rsidR="00B80834" w:rsidRPr="00BC0D30">
        <w:t>a</w:t>
      </w:r>
      <w:r w:rsidR="00BC0D30" w:rsidRPr="00BC0D30">
        <w:t xml:space="preserve"> </w:t>
      </w:r>
      <w:r w:rsidR="00B80834" w:rsidRPr="00BC0D30">
        <w:t>plaintiff</w:t>
      </w:r>
      <w:r w:rsidR="00B80834">
        <w:t xml:space="preserve"> merely had to meet the requirement of Rule 34A(1) and not Rule 34A(4)(a)</w:t>
      </w:r>
      <w:r w:rsidR="00E21545">
        <w:t xml:space="preserve">. Alternatively the admission of negligence by the Defendant is all that is required in the circumstances to meet the requirements of Rule 34A(4)(a). </w:t>
      </w:r>
      <w:r w:rsidR="00756DD7">
        <w:t xml:space="preserve">Thus, the Plaintiffs’ argument ran, Rule 34A(4)(a) was merely a procedural mechanism invoked in conjunction with Rule 34A(1) to compel the Defendant to discharge its concomitant obligation under section 17 of the RAF Act in this regard and an admission of negligence suffices to constitute an admission of liability for the Plaintiffs’ damages as meant by Rule 34A(4)(a). </w:t>
      </w:r>
      <w:r w:rsidR="00B80834">
        <w:t>(“</w:t>
      </w:r>
      <w:r w:rsidR="00E21545">
        <w:t>T</w:t>
      </w:r>
      <w:r w:rsidR="00B80834">
        <w:t xml:space="preserve">he </w:t>
      </w:r>
      <w:r w:rsidR="00FA6904">
        <w:t xml:space="preserve">correctness of </w:t>
      </w:r>
      <w:r w:rsidR="00FA6904">
        <w:rPr>
          <w:b/>
          <w:bCs/>
        </w:rPr>
        <w:t>Alexander</w:t>
      </w:r>
      <w:r w:rsidR="00FA6904">
        <w:t xml:space="preserve"> issue”)</w:t>
      </w:r>
      <w:r w:rsidR="00B80834">
        <w:t>.</w:t>
      </w:r>
    </w:p>
    <w:p w14:paraId="744453E9" w14:textId="2317A91E" w:rsidR="00E21545" w:rsidRDefault="00A44588" w:rsidP="00A44588">
      <w:pPr>
        <w:pStyle w:val="Indent"/>
        <w:numPr>
          <w:ilvl w:val="0"/>
          <w:numId w:val="0"/>
        </w:numPr>
        <w:tabs>
          <w:tab w:val="left" w:pos="737"/>
        </w:tabs>
      </w:pPr>
      <w:r>
        <w:rPr>
          <w:szCs w:val="25"/>
        </w:rPr>
        <w:t>[7]</w:t>
      </w:r>
      <w:r>
        <w:rPr>
          <w:szCs w:val="25"/>
        </w:rPr>
        <w:tab/>
      </w:r>
      <w:r w:rsidR="00FA6904">
        <w:t>I propose to deal with the correct roll issue first.</w:t>
      </w:r>
    </w:p>
    <w:p w14:paraId="5E86D193" w14:textId="4CBBCAF2" w:rsidR="00E21545" w:rsidRPr="00E21545" w:rsidRDefault="00E21545" w:rsidP="00E21545">
      <w:pPr>
        <w:pStyle w:val="Indent"/>
        <w:numPr>
          <w:ilvl w:val="0"/>
          <w:numId w:val="0"/>
        </w:numPr>
        <w:rPr>
          <w:b/>
          <w:bCs/>
          <w:u w:val="single"/>
        </w:rPr>
      </w:pPr>
      <w:r w:rsidRPr="00E21545">
        <w:rPr>
          <w:b/>
          <w:bCs/>
          <w:u w:val="single"/>
        </w:rPr>
        <w:t>THE CORRECT ROLL ISSUE</w:t>
      </w:r>
    </w:p>
    <w:p w14:paraId="1C18D019" w14:textId="53454291" w:rsidR="002004AB" w:rsidRDefault="00A44588" w:rsidP="00A44588">
      <w:pPr>
        <w:pStyle w:val="Indent"/>
        <w:numPr>
          <w:ilvl w:val="0"/>
          <w:numId w:val="0"/>
        </w:numPr>
        <w:tabs>
          <w:tab w:val="left" w:pos="737"/>
        </w:tabs>
      </w:pPr>
      <w:r>
        <w:rPr>
          <w:szCs w:val="25"/>
        </w:rPr>
        <w:t>[8]</w:t>
      </w:r>
      <w:r>
        <w:rPr>
          <w:szCs w:val="25"/>
        </w:rPr>
        <w:tab/>
      </w:r>
      <w:r w:rsidR="002004AB">
        <w:t>On 19 January 2023, the Deputy Judge President issued a clarification note about judgments and orders in damages claims against any organ of State in the High Court in Johannesburg.  This clarification note provided as follows:</w:t>
      </w:r>
    </w:p>
    <w:p w14:paraId="7EF40481" w14:textId="77777777" w:rsidR="002004AB" w:rsidRPr="009908C2" w:rsidRDefault="002004AB" w:rsidP="009908C2">
      <w:pPr>
        <w:pStyle w:val="Indent"/>
        <w:numPr>
          <w:ilvl w:val="0"/>
          <w:numId w:val="0"/>
        </w:numPr>
        <w:spacing w:line="360" w:lineRule="auto"/>
        <w:ind w:left="1440" w:hanging="590"/>
        <w:rPr>
          <w:i/>
          <w:sz w:val="24"/>
          <w:szCs w:val="24"/>
        </w:rPr>
      </w:pPr>
      <w:r w:rsidRPr="009908C2">
        <w:rPr>
          <w:i/>
          <w:sz w:val="24"/>
          <w:szCs w:val="24"/>
        </w:rPr>
        <w:lastRenderedPageBreak/>
        <w:t>“1.</w:t>
      </w:r>
      <w:r w:rsidRPr="009908C2">
        <w:rPr>
          <w:i/>
          <w:sz w:val="24"/>
          <w:szCs w:val="24"/>
        </w:rPr>
        <w:tab/>
        <w:t>It has become apparent that some uncertainty exists about the enrolment of a case by a Plaintiff who seeks an order for damages from an organ of State. This clarification note serves to resolve uncertainty.</w:t>
      </w:r>
    </w:p>
    <w:p w14:paraId="725DB641" w14:textId="77777777" w:rsidR="002004AB" w:rsidRPr="009908C2" w:rsidRDefault="002004AB" w:rsidP="009908C2">
      <w:pPr>
        <w:pStyle w:val="Indent"/>
        <w:numPr>
          <w:ilvl w:val="0"/>
          <w:numId w:val="0"/>
        </w:numPr>
        <w:spacing w:line="360" w:lineRule="auto"/>
        <w:ind w:left="1440" w:hanging="590"/>
        <w:rPr>
          <w:i/>
          <w:sz w:val="24"/>
          <w:szCs w:val="24"/>
        </w:rPr>
      </w:pPr>
      <w:r w:rsidRPr="009908C2">
        <w:rPr>
          <w:i/>
          <w:sz w:val="24"/>
          <w:szCs w:val="24"/>
        </w:rPr>
        <w:t>2.</w:t>
      </w:r>
      <w:r w:rsidRPr="009908C2">
        <w:rPr>
          <w:i/>
          <w:sz w:val="24"/>
          <w:szCs w:val="24"/>
        </w:rPr>
        <w:tab/>
        <w:t xml:space="preserve">In any case against the organ of State where a </w:t>
      </w:r>
      <w:r w:rsidRPr="009908C2">
        <w:rPr>
          <w:b/>
          <w:i/>
          <w:sz w:val="24"/>
          <w:szCs w:val="24"/>
        </w:rPr>
        <w:t>settlement agreement</w:t>
      </w:r>
      <w:r w:rsidRPr="009908C2">
        <w:rPr>
          <w:i/>
          <w:sz w:val="24"/>
          <w:szCs w:val="24"/>
        </w:rPr>
        <w:t xml:space="preserve"> has been concluded, the case must be enrolled in the </w:t>
      </w:r>
      <w:r w:rsidRPr="009908C2">
        <w:rPr>
          <w:b/>
          <w:i/>
          <w:sz w:val="24"/>
          <w:szCs w:val="24"/>
        </w:rPr>
        <w:t>Settlements Court</w:t>
      </w:r>
      <w:r w:rsidRPr="009908C2">
        <w:rPr>
          <w:i/>
          <w:sz w:val="24"/>
          <w:szCs w:val="24"/>
        </w:rPr>
        <w:t>.</w:t>
      </w:r>
    </w:p>
    <w:p w14:paraId="1025E350" w14:textId="77777777" w:rsidR="002004AB" w:rsidRPr="009908C2" w:rsidRDefault="002004AB" w:rsidP="009908C2">
      <w:pPr>
        <w:pStyle w:val="Indent"/>
        <w:numPr>
          <w:ilvl w:val="0"/>
          <w:numId w:val="0"/>
        </w:numPr>
        <w:spacing w:line="360" w:lineRule="auto"/>
        <w:ind w:left="2160" w:hanging="720"/>
        <w:rPr>
          <w:i/>
          <w:sz w:val="24"/>
          <w:szCs w:val="24"/>
        </w:rPr>
      </w:pPr>
      <w:r w:rsidRPr="009908C2">
        <w:rPr>
          <w:i/>
          <w:sz w:val="24"/>
          <w:szCs w:val="24"/>
        </w:rPr>
        <w:t>(a)</w:t>
      </w:r>
      <w:r w:rsidRPr="009908C2">
        <w:rPr>
          <w:i/>
          <w:sz w:val="24"/>
          <w:szCs w:val="24"/>
        </w:rPr>
        <w:tab/>
        <w:t>This court’s remit was expanded in terms of the revision of Directive 1 of 2021, dated 1 December 2022 to include all organs of State.</w:t>
      </w:r>
    </w:p>
    <w:p w14:paraId="188E25BE" w14:textId="77777777" w:rsidR="002004AB" w:rsidRPr="009908C2" w:rsidRDefault="002004AB" w:rsidP="009908C2">
      <w:pPr>
        <w:pStyle w:val="Indent"/>
        <w:numPr>
          <w:ilvl w:val="0"/>
          <w:numId w:val="0"/>
        </w:numPr>
        <w:spacing w:line="360" w:lineRule="auto"/>
        <w:ind w:left="2160" w:hanging="720"/>
        <w:rPr>
          <w:i/>
          <w:sz w:val="24"/>
          <w:szCs w:val="24"/>
        </w:rPr>
      </w:pPr>
      <w:r w:rsidRPr="009908C2">
        <w:rPr>
          <w:i/>
          <w:sz w:val="24"/>
          <w:szCs w:val="24"/>
        </w:rPr>
        <w:t>(b)</w:t>
      </w:r>
      <w:r w:rsidRPr="009908C2">
        <w:rPr>
          <w:i/>
          <w:sz w:val="24"/>
          <w:szCs w:val="24"/>
        </w:rPr>
        <w:tab/>
        <w:t>Chapter 9 of Directive 1 of 2021 (as amended) prescribes the steps that must be taken to present to the Settlements Court a rational foundation for the settlement reached.</w:t>
      </w:r>
    </w:p>
    <w:p w14:paraId="204AADE9" w14:textId="77777777" w:rsidR="002004AB" w:rsidRPr="009908C2" w:rsidRDefault="002004AB" w:rsidP="009908C2">
      <w:pPr>
        <w:pStyle w:val="Indent"/>
        <w:numPr>
          <w:ilvl w:val="0"/>
          <w:numId w:val="0"/>
        </w:numPr>
        <w:spacing w:line="360" w:lineRule="auto"/>
        <w:ind w:left="2160" w:hanging="720"/>
        <w:rPr>
          <w:i/>
          <w:sz w:val="24"/>
          <w:szCs w:val="24"/>
        </w:rPr>
      </w:pPr>
      <w:r w:rsidRPr="009908C2">
        <w:rPr>
          <w:i/>
          <w:sz w:val="24"/>
          <w:szCs w:val="24"/>
        </w:rPr>
        <w:t>(c)</w:t>
      </w:r>
      <w:r w:rsidRPr="009908C2">
        <w:rPr>
          <w:i/>
          <w:sz w:val="24"/>
          <w:szCs w:val="24"/>
        </w:rPr>
        <w:tab/>
        <w:t xml:space="preserve">The settlement Court in Johannesburg can be accessed on a 3-week turnaround.  </w:t>
      </w:r>
    </w:p>
    <w:p w14:paraId="6BFE8CD9" w14:textId="77777777" w:rsidR="002004AB" w:rsidRPr="009908C2" w:rsidRDefault="002004AB" w:rsidP="009908C2">
      <w:pPr>
        <w:pStyle w:val="Indent"/>
        <w:numPr>
          <w:ilvl w:val="0"/>
          <w:numId w:val="0"/>
        </w:numPr>
        <w:spacing w:line="360" w:lineRule="auto"/>
        <w:ind w:left="1440" w:hanging="589"/>
        <w:rPr>
          <w:i/>
          <w:sz w:val="24"/>
          <w:szCs w:val="24"/>
        </w:rPr>
      </w:pPr>
      <w:r w:rsidRPr="009908C2">
        <w:rPr>
          <w:i/>
          <w:sz w:val="24"/>
          <w:szCs w:val="24"/>
        </w:rPr>
        <w:t>3.</w:t>
      </w:r>
      <w:r w:rsidRPr="009908C2">
        <w:rPr>
          <w:i/>
          <w:sz w:val="24"/>
          <w:szCs w:val="24"/>
        </w:rPr>
        <w:tab/>
        <w:t xml:space="preserve">In any case against the organ of State where </w:t>
      </w:r>
      <w:r w:rsidRPr="009908C2">
        <w:rPr>
          <w:b/>
          <w:i/>
          <w:sz w:val="24"/>
          <w:szCs w:val="24"/>
        </w:rPr>
        <w:t>default judgment</w:t>
      </w:r>
      <w:r w:rsidRPr="009908C2">
        <w:rPr>
          <w:i/>
          <w:sz w:val="24"/>
          <w:szCs w:val="24"/>
        </w:rPr>
        <w:t xml:space="preserve"> is sought, the case must be enrolled on the </w:t>
      </w:r>
      <w:r w:rsidRPr="009908C2">
        <w:rPr>
          <w:b/>
          <w:i/>
          <w:sz w:val="24"/>
          <w:szCs w:val="24"/>
        </w:rPr>
        <w:t>General Civil Trial Roll</w:t>
      </w:r>
      <w:r w:rsidRPr="009908C2">
        <w:rPr>
          <w:i/>
          <w:sz w:val="24"/>
          <w:szCs w:val="24"/>
        </w:rPr>
        <w:t>.</w:t>
      </w:r>
    </w:p>
    <w:p w14:paraId="1F6E4C6E" w14:textId="77777777" w:rsidR="002004AB" w:rsidRPr="009908C2" w:rsidRDefault="002004AB" w:rsidP="009908C2">
      <w:pPr>
        <w:pStyle w:val="Indent"/>
        <w:numPr>
          <w:ilvl w:val="0"/>
          <w:numId w:val="0"/>
        </w:numPr>
        <w:spacing w:line="360" w:lineRule="auto"/>
        <w:ind w:left="2160" w:hanging="720"/>
        <w:rPr>
          <w:i/>
          <w:sz w:val="24"/>
          <w:szCs w:val="24"/>
        </w:rPr>
      </w:pPr>
      <w:r w:rsidRPr="009908C2">
        <w:rPr>
          <w:i/>
          <w:sz w:val="24"/>
          <w:szCs w:val="24"/>
        </w:rPr>
        <w:t>(a)</w:t>
      </w:r>
      <w:r w:rsidRPr="009908C2">
        <w:rPr>
          <w:i/>
          <w:sz w:val="24"/>
          <w:szCs w:val="24"/>
        </w:rPr>
        <w:tab/>
        <w:t>Chapter 7 of the Directive 1 of 2021 (as amended by paras 4, 5, 6 and 7 of the revision of 1 December 2022) sets out the declaration that the Plaintiff must make to the registrar to obtain a set down date.  Regrettably, the lead times for enrolment of default judgments in the trial court as at the time of writing are unacceptably long and practical methods to reduce the time are being explored.</w:t>
      </w:r>
    </w:p>
    <w:p w14:paraId="6576EB81" w14:textId="77777777" w:rsidR="002004AB" w:rsidRPr="009908C2" w:rsidRDefault="002004AB" w:rsidP="009908C2">
      <w:pPr>
        <w:pStyle w:val="Indent"/>
        <w:numPr>
          <w:ilvl w:val="0"/>
          <w:numId w:val="0"/>
        </w:numPr>
        <w:spacing w:line="360" w:lineRule="auto"/>
        <w:ind w:left="2160" w:hanging="720"/>
        <w:rPr>
          <w:i/>
          <w:sz w:val="24"/>
          <w:szCs w:val="24"/>
        </w:rPr>
      </w:pPr>
      <w:r w:rsidRPr="009908C2">
        <w:rPr>
          <w:i/>
          <w:sz w:val="24"/>
          <w:szCs w:val="24"/>
        </w:rPr>
        <w:lastRenderedPageBreak/>
        <w:t>(b)</w:t>
      </w:r>
      <w:r w:rsidRPr="009908C2">
        <w:rPr>
          <w:i/>
          <w:sz w:val="24"/>
          <w:szCs w:val="24"/>
        </w:rPr>
        <w:tab/>
        <w:t>The trial judge must be presented with the relevant evidence to justify the claim and quantum of damages sought.  Where it is appropriate to do so, evidence may be adduced on affidavit.</w:t>
      </w:r>
    </w:p>
    <w:p w14:paraId="1E35A203" w14:textId="115BA766" w:rsidR="002004AB" w:rsidRPr="009908C2" w:rsidRDefault="002004AB" w:rsidP="009908C2">
      <w:pPr>
        <w:pStyle w:val="Indent"/>
        <w:numPr>
          <w:ilvl w:val="0"/>
          <w:numId w:val="0"/>
        </w:numPr>
        <w:spacing w:line="360" w:lineRule="auto"/>
        <w:ind w:left="2160" w:hanging="720"/>
        <w:rPr>
          <w:i/>
          <w:sz w:val="24"/>
          <w:szCs w:val="24"/>
        </w:rPr>
      </w:pPr>
      <w:r w:rsidRPr="009908C2">
        <w:rPr>
          <w:i/>
          <w:sz w:val="24"/>
          <w:szCs w:val="24"/>
        </w:rPr>
        <w:t>(c)</w:t>
      </w:r>
      <w:r w:rsidRPr="009908C2">
        <w:rPr>
          <w:i/>
          <w:sz w:val="24"/>
          <w:szCs w:val="24"/>
        </w:rPr>
        <w:tab/>
      </w:r>
      <w:r w:rsidR="00FA6904" w:rsidRPr="009908C2">
        <w:rPr>
          <w:i/>
          <w:sz w:val="24"/>
          <w:szCs w:val="24"/>
        </w:rPr>
        <w:t>S</w:t>
      </w:r>
      <w:r w:rsidRPr="009908C2">
        <w:rPr>
          <w:i/>
          <w:sz w:val="24"/>
          <w:szCs w:val="24"/>
        </w:rPr>
        <w:t xml:space="preserve">uch a case must not be enrolled in the Unopposed Motion Court which is not able to conduct the appropriate interrogation of the order sought.  Where such a matter is enrolled on the Unopposed Motion Court it shall be removed and no costs shall be allowed. </w:t>
      </w:r>
    </w:p>
    <w:p w14:paraId="0A950105" w14:textId="77777777" w:rsidR="002004AB" w:rsidRPr="009908C2" w:rsidRDefault="002004AB" w:rsidP="009908C2">
      <w:pPr>
        <w:pStyle w:val="Indent"/>
        <w:numPr>
          <w:ilvl w:val="0"/>
          <w:numId w:val="0"/>
        </w:numPr>
        <w:spacing w:line="360" w:lineRule="auto"/>
        <w:ind w:left="1440" w:hanging="589"/>
        <w:rPr>
          <w:i/>
          <w:sz w:val="24"/>
          <w:szCs w:val="24"/>
        </w:rPr>
      </w:pPr>
      <w:r w:rsidRPr="009908C2">
        <w:rPr>
          <w:i/>
          <w:sz w:val="24"/>
          <w:szCs w:val="24"/>
        </w:rPr>
        <w:t>4.</w:t>
      </w:r>
      <w:r w:rsidRPr="009908C2">
        <w:rPr>
          <w:i/>
          <w:sz w:val="24"/>
          <w:szCs w:val="24"/>
        </w:rPr>
        <w:tab/>
        <w:t>Typically, the organs of State that are frequent litigants are the Road Accident Fund, PRASA, the MEC for Health, Gauteng, and the Minister of Police.  Other organs of State occasionally are subject to damages claims too.</w:t>
      </w:r>
    </w:p>
    <w:p w14:paraId="1154CB93" w14:textId="77777777" w:rsidR="002004AB" w:rsidRPr="009908C2" w:rsidRDefault="002004AB" w:rsidP="009908C2">
      <w:pPr>
        <w:pStyle w:val="Indent"/>
        <w:numPr>
          <w:ilvl w:val="0"/>
          <w:numId w:val="0"/>
        </w:numPr>
        <w:spacing w:line="360" w:lineRule="auto"/>
        <w:ind w:left="1440" w:hanging="589"/>
        <w:rPr>
          <w:i/>
          <w:sz w:val="24"/>
          <w:szCs w:val="24"/>
        </w:rPr>
      </w:pPr>
      <w:r w:rsidRPr="009908C2">
        <w:rPr>
          <w:i/>
          <w:sz w:val="24"/>
          <w:szCs w:val="24"/>
        </w:rPr>
        <w:t>5.</w:t>
      </w:r>
      <w:r w:rsidRPr="009908C2">
        <w:rPr>
          <w:i/>
          <w:sz w:val="24"/>
          <w:szCs w:val="24"/>
        </w:rPr>
        <w:tab/>
        <w:t>It is appropriate to remind practitioners of the rationale for these procedures.  In all the cases public money is being spent.  It is incumbent on the courts not to be a rubber stamp for either settlements or default judgments which are not rationally premised.  Regrettably, experience has shown that there are frequent settlements reached which are irrational.  Similarly, where an organ of State is remiss in engaging with a plaintiff and a default judgment per se is justified, it remains appropriate that a court making an order of court by default does not inadvertently endorse an opportunistic overreaching at the public expense.</w:t>
      </w:r>
    </w:p>
    <w:p w14:paraId="7D128710" w14:textId="77777777" w:rsidR="002004AB" w:rsidRPr="009908C2" w:rsidRDefault="002004AB" w:rsidP="009908C2">
      <w:pPr>
        <w:pStyle w:val="Indent"/>
        <w:numPr>
          <w:ilvl w:val="0"/>
          <w:numId w:val="0"/>
        </w:numPr>
        <w:spacing w:line="360" w:lineRule="auto"/>
        <w:ind w:left="1440" w:hanging="589"/>
        <w:rPr>
          <w:i/>
          <w:sz w:val="24"/>
          <w:szCs w:val="24"/>
        </w:rPr>
      </w:pPr>
      <w:r w:rsidRPr="009908C2">
        <w:rPr>
          <w:i/>
          <w:sz w:val="24"/>
          <w:szCs w:val="24"/>
        </w:rPr>
        <w:t>6.</w:t>
      </w:r>
      <w:r w:rsidRPr="009908C2">
        <w:rPr>
          <w:i/>
          <w:sz w:val="24"/>
          <w:szCs w:val="24"/>
        </w:rPr>
        <w:tab/>
        <w:t>Compliance with this procedure shall obviate disappointments and delays.”</w:t>
      </w:r>
    </w:p>
    <w:p w14:paraId="4AD467A6" w14:textId="15E37D29" w:rsidR="002004AB" w:rsidRDefault="00A44588" w:rsidP="00A44588">
      <w:pPr>
        <w:pStyle w:val="Indent"/>
        <w:numPr>
          <w:ilvl w:val="0"/>
          <w:numId w:val="0"/>
        </w:numPr>
        <w:tabs>
          <w:tab w:val="left" w:pos="850"/>
        </w:tabs>
        <w:ind w:left="850" w:hanging="850"/>
      </w:pPr>
      <w:r>
        <w:rPr>
          <w:szCs w:val="25"/>
        </w:rPr>
        <w:t>[9]</w:t>
      </w:r>
      <w:r>
        <w:rPr>
          <w:szCs w:val="25"/>
        </w:rPr>
        <w:tab/>
      </w:r>
      <w:r w:rsidR="002004AB">
        <w:t xml:space="preserve">On 19 January 2023, a firm of attorneys in Johannesburg addressed </w:t>
      </w:r>
      <w:r w:rsidR="002004AB">
        <w:lastRenderedPageBreak/>
        <w:t>written correspondence to the Deputy Judge President, copying in the State Attorney, with a request for clarification in relation to the aforesaid clarification note issued by the office of the Deputy Judge President.  The relevant portions of the said letter read as follows:</w:t>
      </w:r>
    </w:p>
    <w:p w14:paraId="51992871" w14:textId="77777777" w:rsidR="002004AB" w:rsidRPr="009908C2" w:rsidRDefault="002004AB" w:rsidP="009908C2">
      <w:pPr>
        <w:pStyle w:val="Indent"/>
        <w:numPr>
          <w:ilvl w:val="0"/>
          <w:numId w:val="0"/>
        </w:numPr>
        <w:spacing w:line="360" w:lineRule="auto"/>
        <w:ind w:left="1440" w:hanging="590"/>
        <w:rPr>
          <w:i/>
          <w:sz w:val="24"/>
          <w:szCs w:val="24"/>
        </w:rPr>
      </w:pPr>
      <w:r w:rsidRPr="009908C2">
        <w:rPr>
          <w:i/>
          <w:sz w:val="24"/>
          <w:szCs w:val="24"/>
        </w:rPr>
        <w:t>“2.</w:t>
      </w:r>
      <w:r w:rsidRPr="009908C2">
        <w:rPr>
          <w:i/>
          <w:sz w:val="24"/>
          <w:szCs w:val="24"/>
        </w:rPr>
        <w:tab/>
        <w:t>We confirm that we have considered whether or not the clarification note is applicable to an Application for an Interim Payment in terms of Rule 34A ...</w:t>
      </w:r>
    </w:p>
    <w:p w14:paraId="7BB1486B" w14:textId="77777777" w:rsidR="002004AB" w:rsidRPr="009908C2" w:rsidRDefault="002004AB" w:rsidP="009908C2">
      <w:pPr>
        <w:pStyle w:val="Indent"/>
        <w:numPr>
          <w:ilvl w:val="0"/>
          <w:numId w:val="0"/>
        </w:numPr>
        <w:spacing w:line="360" w:lineRule="auto"/>
        <w:ind w:left="1440" w:hanging="590"/>
        <w:rPr>
          <w:i/>
          <w:sz w:val="24"/>
          <w:szCs w:val="24"/>
        </w:rPr>
      </w:pPr>
      <w:r w:rsidRPr="009908C2">
        <w:rPr>
          <w:i/>
          <w:sz w:val="24"/>
          <w:szCs w:val="24"/>
        </w:rPr>
        <w:t>4.</w:t>
      </w:r>
      <w:r w:rsidRPr="009908C2">
        <w:rPr>
          <w:i/>
          <w:sz w:val="24"/>
          <w:szCs w:val="24"/>
        </w:rPr>
        <w:tab/>
        <w:t>It is our respectful view that:</w:t>
      </w:r>
    </w:p>
    <w:p w14:paraId="5B343B1D" w14:textId="0431AAC2" w:rsidR="002004AB" w:rsidRPr="009908C2" w:rsidRDefault="002004AB" w:rsidP="009908C2">
      <w:pPr>
        <w:pStyle w:val="Indent"/>
        <w:numPr>
          <w:ilvl w:val="0"/>
          <w:numId w:val="0"/>
        </w:numPr>
        <w:spacing w:line="360" w:lineRule="auto"/>
        <w:ind w:left="2160" w:hanging="720"/>
        <w:rPr>
          <w:i/>
          <w:sz w:val="24"/>
          <w:szCs w:val="24"/>
        </w:rPr>
      </w:pPr>
      <w:r w:rsidRPr="009908C2">
        <w:rPr>
          <w:i/>
          <w:sz w:val="24"/>
          <w:szCs w:val="24"/>
        </w:rPr>
        <w:t>4.1.</w:t>
      </w:r>
      <w:r w:rsidRPr="009908C2">
        <w:rPr>
          <w:i/>
          <w:sz w:val="24"/>
          <w:szCs w:val="24"/>
        </w:rPr>
        <w:tab/>
        <w:t>the “clarification note” is not applicable to Applications for an Interim Payment in terms of Rule 34A; and</w:t>
      </w:r>
    </w:p>
    <w:p w14:paraId="7DCCA651" w14:textId="77777777" w:rsidR="002004AB" w:rsidRPr="009908C2" w:rsidRDefault="002004AB" w:rsidP="009908C2">
      <w:pPr>
        <w:pStyle w:val="Indent"/>
        <w:numPr>
          <w:ilvl w:val="0"/>
          <w:numId w:val="0"/>
        </w:numPr>
        <w:spacing w:line="360" w:lineRule="auto"/>
        <w:ind w:left="2160" w:hanging="720"/>
        <w:rPr>
          <w:i/>
          <w:sz w:val="24"/>
          <w:szCs w:val="24"/>
        </w:rPr>
      </w:pPr>
      <w:r w:rsidRPr="009908C2">
        <w:rPr>
          <w:i/>
          <w:sz w:val="24"/>
          <w:szCs w:val="24"/>
        </w:rPr>
        <w:t>4.2.</w:t>
      </w:r>
      <w:r w:rsidRPr="009908C2">
        <w:rPr>
          <w:i/>
          <w:sz w:val="24"/>
          <w:szCs w:val="24"/>
        </w:rPr>
        <w:tab/>
        <w:t>an unopposed Application for an Interim Payment in terms of Rule 34A must be set down for hearing in the unopposed Motion Court.</w:t>
      </w:r>
    </w:p>
    <w:p w14:paraId="2F156903" w14:textId="77777777" w:rsidR="002004AB" w:rsidRPr="009908C2" w:rsidRDefault="002004AB" w:rsidP="009908C2">
      <w:pPr>
        <w:pStyle w:val="Indent"/>
        <w:numPr>
          <w:ilvl w:val="0"/>
          <w:numId w:val="0"/>
        </w:numPr>
        <w:spacing w:line="360" w:lineRule="auto"/>
        <w:ind w:left="1440" w:hanging="590"/>
        <w:rPr>
          <w:i/>
          <w:sz w:val="24"/>
          <w:szCs w:val="24"/>
        </w:rPr>
      </w:pPr>
      <w:r w:rsidRPr="009908C2">
        <w:rPr>
          <w:i/>
          <w:sz w:val="24"/>
          <w:szCs w:val="24"/>
        </w:rPr>
        <w:t>5.</w:t>
      </w:r>
      <w:r w:rsidRPr="009908C2">
        <w:rPr>
          <w:i/>
          <w:sz w:val="24"/>
          <w:szCs w:val="24"/>
        </w:rPr>
        <w:tab/>
        <w:t>We humbly request that the Honourable Deputy Judge President R T Sutherland, assist by clarifying and confirming the correct procedure to be followed in order to enable us to apply for an Interim Payment in terms of Rule 34A.”</w:t>
      </w:r>
    </w:p>
    <w:p w14:paraId="636A6E08" w14:textId="5312DE35" w:rsidR="002004AB" w:rsidRDefault="00A44588" w:rsidP="00A44588">
      <w:pPr>
        <w:pStyle w:val="Indent"/>
        <w:numPr>
          <w:ilvl w:val="0"/>
          <w:numId w:val="0"/>
        </w:numPr>
        <w:tabs>
          <w:tab w:val="left" w:pos="850"/>
        </w:tabs>
        <w:ind w:left="850" w:hanging="850"/>
      </w:pPr>
      <w:r>
        <w:rPr>
          <w:szCs w:val="25"/>
        </w:rPr>
        <w:t>[10]</w:t>
      </w:r>
      <w:r>
        <w:rPr>
          <w:szCs w:val="25"/>
        </w:rPr>
        <w:tab/>
      </w:r>
      <w:r w:rsidR="002004AB">
        <w:t xml:space="preserve">On 2 February 2023, the Deputy Judge President </w:t>
      </w:r>
      <w:r w:rsidR="00FA6904">
        <w:t>then</w:t>
      </w:r>
      <w:r w:rsidR="002004AB">
        <w:t xml:space="preserve"> replied to the attorneys</w:t>
      </w:r>
      <w:r w:rsidR="00FA6904">
        <w:t xml:space="preserve"> per the 2 February 2023 clarification</w:t>
      </w:r>
      <w:r w:rsidR="002004AB">
        <w:t xml:space="preserve">. </w:t>
      </w:r>
      <w:r w:rsidR="00FA6904">
        <w:t xml:space="preserve">Because Plaintiffs’ counsel </w:t>
      </w:r>
      <w:r w:rsidR="002004AB">
        <w:t xml:space="preserve">indicated that despite his best efforts, he was not able to find </w:t>
      </w:r>
      <w:r w:rsidR="00FA6904">
        <w:t xml:space="preserve">the 2 February 2023 clarification </w:t>
      </w:r>
      <w:r w:rsidR="002004AB">
        <w:t>as alluded to by Moultrie AJ</w:t>
      </w:r>
      <w:r w:rsidR="00FA6904">
        <w:t xml:space="preserve">, </w:t>
      </w:r>
      <w:r w:rsidR="002004AB">
        <w:t xml:space="preserve">I deem it </w:t>
      </w:r>
      <w:r w:rsidR="002004AB">
        <w:lastRenderedPageBreak/>
        <w:t>appropriate to quote the contents thereof in full:</w:t>
      </w:r>
    </w:p>
    <w:p w14:paraId="050C0FDD" w14:textId="77777777" w:rsidR="002004AB" w:rsidRPr="009908C2" w:rsidRDefault="002004AB" w:rsidP="009908C2">
      <w:pPr>
        <w:pStyle w:val="Indent"/>
        <w:numPr>
          <w:ilvl w:val="0"/>
          <w:numId w:val="0"/>
        </w:numPr>
        <w:spacing w:line="360" w:lineRule="auto"/>
        <w:ind w:left="850"/>
        <w:rPr>
          <w:i/>
          <w:sz w:val="24"/>
          <w:szCs w:val="24"/>
        </w:rPr>
      </w:pPr>
      <w:r w:rsidRPr="009908C2">
        <w:rPr>
          <w:i/>
          <w:sz w:val="24"/>
          <w:szCs w:val="24"/>
        </w:rPr>
        <w:t>“1.</w:t>
      </w:r>
      <w:r w:rsidRPr="009908C2">
        <w:rPr>
          <w:i/>
          <w:sz w:val="24"/>
          <w:szCs w:val="24"/>
        </w:rPr>
        <w:tab/>
        <w:t>Your letter dated 19 January 2023 refers.</w:t>
      </w:r>
    </w:p>
    <w:p w14:paraId="3AC9346D" w14:textId="77777777" w:rsidR="002004AB" w:rsidRPr="009908C2" w:rsidRDefault="002004AB" w:rsidP="009908C2">
      <w:pPr>
        <w:pStyle w:val="Indent"/>
        <w:numPr>
          <w:ilvl w:val="0"/>
          <w:numId w:val="0"/>
        </w:numPr>
        <w:spacing w:line="360" w:lineRule="auto"/>
        <w:ind w:left="1440" w:hanging="590"/>
        <w:rPr>
          <w:i/>
          <w:sz w:val="24"/>
          <w:szCs w:val="24"/>
        </w:rPr>
      </w:pPr>
      <w:r w:rsidRPr="009908C2">
        <w:rPr>
          <w:i/>
          <w:sz w:val="24"/>
          <w:szCs w:val="24"/>
        </w:rPr>
        <w:t>2.</w:t>
      </w:r>
      <w:r w:rsidRPr="009908C2">
        <w:rPr>
          <w:i/>
          <w:sz w:val="24"/>
          <w:szCs w:val="24"/>
        </w:rPr>
        <w:tab/>
        <w:t>The exercise which is prescribed in Rule 34A(b) is one that requires a judge to interrogate the basis for the interim payment and the quantum. The essence of this exercise has been addressed in greater detail in Chapter 9 in the Judge President’s Practice Directive 01 of 2021, as amended on 08 July 2022 and further amended on 01 December 2022.</w:t>
      </w:r>
    </w:p>
    <w:p w14:paraId="53ED1AB4" w14:textId="08146E7C" w:rsidR="002004AB" w:rsidRPr="009908C2" w:rsidRDefault="002004AB" w:rsidP="009908C2">
      <w:pPr>
        <w:pStyle w:val="Indent"/>
        <w:numPr>
          <w:ilvl w:val="0"/>
          <w:numId w:val="0"/>
        </w:numPr>
        <w:spacing w:line="360" w:lineRule="auto"/>
        <w:ind w:left="1440" w:hanging="590"/>
        <w:rPr>
          <w:i/>
          <w:sz w:val="24"/>
          <w:szCs w:val="24"/>
        </w:rPr>
      </w:pPr>
      <w:r w:rsidRPr="009908C2">
        <w:rPr>
          <w:i/>
          <w:sz w:val="24"/>
          <w:szCs w:val="24"/>
        </w:rPr>
        <w:t>3.</w:t>
      </w:r>
      <w:r w:rsidRPr="009908C2">
        <w:rPr>
          <w:i/>
          <w:sz w:val="24"/>
          <w:szCs w:val="24"/>
        </w:rPr>
        <w:tab/>
        <w:t>The interrogation exercise contemplated in Chapter 9 whether as to a settlement agreement or as to a default judgment or as to proceedings on which the relief is opposed cannot, effectively, be carried out in the general unopposed motion courts or opposed motion courts because of time taken to audit, mero motu, the claims and a risk of calling for substantiation by way of evidence.</w:t>
      </w:r>
    </w:p>
    <w:p w14:paraId="4A2654D0" w14:textId="12DF31CA" w:rsidR="002004AB" w:rsidRPr="009908C2" w:rsidRDefault="002004AB" w:rsidP="009908C2">
      <w:pPr>
        <w:pStyle w:val="Indent"/>
        <w:numPr>
          <w:ilvl w:val="0"/>
          <w:numId w:val="0"/>
        </w:numPr>
        <w:spacing w:line="360" w:lineRule="auto"/>
        <w:ind w:left="1440" w:hanging="590"/>
        <w:rPr>
          <w:i/>
          <w:sz w:val="24"/>
          <w:szCs w:val="24"/>
        </w:rPr>
      </w:pPr>
      <w:r w:rsidRPr="009908C2">
        <w:rPr>
          <w:i/>
          <w:sz w:val="24"/>
          <w:szCs w:val="24"/>
        </w:rPr>
        <w:t>4.</w:t>
      </w:r>
      <w:r w:rsidRPr="009908C2">
        <w:rPr>
          <w:i/>
          <w:sz w:val="24"/>
          <w:szCs w:val="24"/>
        </w:rPr>
        <w:tab/>
        <w:t>This process, cumbersome as it is, is the outcome of a policy decision that Judges shall not allow themselves to be rubber stamps. The scale of malfeasance in litigation seeking the extraction of money from the organs of state is so gross that these integrity audits are necessary to avoid the courts being inadvertent accomplices.</w:t>
      </w:r>
    </w:p>
    <w:p w14:paraId="3B909F35" w14:textId="1785C257" w:rsidR="002004AB" w:rsidRPr="009908C2" w:rsidRDefault="002004AB" w:rsidP="009908C2">
      <w:pPr>
        <w:pStyle w:val="Indent"/>
        <w:numPr>
          <w:ilvl w:val="0"/>
          <w:numId w:val="0"/>
        </w:numPr>
        <w:spacing w:line="360" w:lineRule="auto"/>
        <w:ind w:left="1440" w:hanging="590"/>
        <w:rPr>
          <w:i/>
          <w:sz w:val="24"/>
          <w:szCs w:val="24"/>
        </w:rPr>
      </w:pPr>
      <w:r w:rsidRPr="009908C2">
        <w:rPr>
          <w:i/>
          <w:sz w:val="24"/>
          <w:szCs w:val="24"/>
        </w:rPr>
        <w:t>5.</w:t>
      </w:r>
      <w:r w:rsidRPr="009908C2">
        <w:rPr>
          <w:i/>
          <w:sz w:val="24"/>
          <w:szCs w:val="24"/>
        </w:rPr>
        <w:tab/>
        <w:t>The division of the work of the court by assembling matters of different types on different rolls is one of organisational mechanics not one of principle; there is, in law, only one court.  It has been decided that the most appropriate roll to use to hear matters on damages against organs of State, including default judgments, is one on the general civil trial roll.</w:t>
      </w:r>
    </w:p>
    <w:p w14:paraId="36388075" w14:textId="3D26E1BF" w:rsidR="002004AB" w:rsidRPr="009908C2" w:rsidRDefault="002004AB" w:rsidP="009908C2">
      <w:pPr>
        <w:pStyle w:val="Indent"/>
        <w:numPr>
          <w:ilvl w:val="0"/>
          <w:numId w:val="0"/>
        </w:numPr>
        <w:spacing w:line="360" w:lineRule="auto"/>
        <w:ind w:left="1440" w:hanging="590"/>
        <w:rPr>
          <w:i/>
          <w:sz w:val="24"/>
          <w:szCs w:val="24"/>
        </w:rPr>
      </w:pPr>
      <w:r w:rsidRPr="009908C2">
        <w:rPr>
          <w:i/>
          <w:sz w:val="24"/>
          <w:szCs w:val="24"/>
        </w:rPr>
        <w:lastRenderedPageBreak/>
        <w:t>6.</w:t>
      </w:r>
      <w:r w:rsidRPr="009908C2">
        <w:rPr>
          <w:i/>
          <w:sz w:val="24"/>
          <w:szCs w:val="24"/>
        </w:rPr>
        <w:tab/>
        <w:t>This is not without concomitant logistical disadvantages; in this case, a longer lead time. Because of the awareness of this drawback, an exploration of an alternative channel to accommodate default judgments in damages cases is being explored.  The chief inhibition to achieving a wholly satisfactory outcome is the lack of enough judges to staff additional courts.</w:t>
      </w:r>
    </w:p>
    <w:p w14:paraId="30A4D7EE" w14:textId="77777777" w:rsidR="002004AB" w:rsidRPr="009908C2" w:rsidRDefault="002004AB" w:rsidP="009908C2">
      <w:pPr>
        <w:pStyle w:val="Indent"/>
        <w:numPr>
          <w:ilvl w:val="0"/>
          <w:numId w:val="0"/>
        </w:numPr>
        <w:spacing w:line="360" w:lineRule="auto"/>
        <w:ind w:left="1440" w:hanging="590"/>
        <w:rPr>
          <w:i/>
          <w:sz w:val="24"/>
          <w:szCs w:val="24"/>
        </w:rPr>
      </w:pPr>
      <w:r w:rsidRPr="009908C2">
        <w:rPr>
          <w:i/>
          <w:sz w:val="24"/>
          <w:szCs w:val="24"/>
        </w:rPr>
        <w:t>7.</w:t>
      </w:r>
      <w:r w:rsidRPr="009908C2">
        <w:rPr>
          <w:i/>
          <w:sz w:val="24"/>
          <w:szCs w:val="24"/>
        </w:rPr>
        <w:tab/>
        <w:t>Kindly enrol the matter on the general civil trial roll.”</w:t>
      </w:r>
    </w:p>
    <w:p w14:paraId="3EFC8D9E" w14:textId="36617002" w:rsidR="002004AB" w:rsidRDefault="00A44588" w:rsidP="00A44588">
      <w:pPr>
        <w:pStyle w:val="Indent"/>
        <w:numPr>
          <w:ilvl w:val="0"/>
          <w:numId w:val="0"/>
        </w:numPr>
        <w:tabs>
          <w:tab w:val="left" w:pos="850"/>
        </w:tabs>
        <w:ind w:left="850" w:hanging="850"/>
      </w:pPr>
      <w:r>
        <w:rPr>
          <w:szCs w:val="25"/>
        </w:rPr>
        <w:t>[11]</w:t>
      </w:r>
      <w:r>
        <w:rPr>
          <w:szCs w:val="25"/>
        </w:rPr>
        <w:tab/>
      </w:r>
      <w:r w:rsidR="002004AB">
        <w:t xml:space="preserve">Thus, strictly speaking, sitting as a judge in the unopposed court, </w:t>
      </w:r>
      <w:r w:rsidR="002751FF">
        <w:t xml:space="preserve">as a general proposition </w:t>
      </w:r>
      <w:r w:rsidR="009908C2">
        <w:t>I should order that the matters be removed from the roll</w:t>
      </w:r>
      <w:r w:rsidR="00687E9B">
        <w:t xml:space="preserve"> (see </w:t>
      </w:r>
      <w:r w:rsidR="00687E9B" w:rsidRPr="00687E9B">
        <w:rPr>
          <w:b/>
          <w:bCs/>
        </w:rPr>
        <w:t>In Re Several Matters On The Urgent Court Roll</w:t>
      </w:r>
      <w:r w:rsidR="00687E9B" w:rsidRPr="00687E9B">
        <w:t> 2013 (1) SA 549 (GSJ)</w:t>
      </w:r>
      <w:r w:rsidR="00687E9B">
        <w:t xml:space="preserve"> at paras 11 and 13)</w:t>
      </w:r>
      <w:r w:rsidR="002004AB">
        <w:t>. However, in light of the fact that:</w:t>
      </w:r>
    </w:p>
    <w:p w14:paraId="79D1BD2A" w14:textId="72C97A30" w:rsidR="002004AB" w:rsidRDefault="00A44588" w:rsidP="00A44588">
      <w:pPr>
        <w:pStyle w:val="Indent"/>
        <w:numPr>
          <w:ilvl w:val="0"/>
          <w:numId w:val="0"/>
        </w:numPr>
        <w:tabs>
          <w:tab w:val="left" w:pos="1438"/>
        </w:tabs>
        <w:ind w:left="1438" w:hanging="588"/>
      </w:pPr>
      <w:r>
        <w:t>(1)</w:t>
      </w:r>
      <w:r>
        <w:tab/>
      </w:r>
      <w:r w:rsidR="002004AB">
        <w:t xml:space="preserve">I was advised by the </w:t>
      </w:r>
      <w:r w:rsidR="00FA6904">
        <w:t>Plaintiffs</w:t>
      </w:r>
      <w:r w:rsidR="002004AB">
        <w:t>’ counsel that applications of the present nature were also pending on the very same day before the other unopposed motion courts;</w:t>
      </w:r>
    </w:p>
    <w:p w14:paraId="7E52DB22" w14:textId="66FC294E" w:rsidR="002004AB" w:rsidRDefault="00A44588" w:rsidP="00A44588">
      <w:pPr>
        <w:pStyle w:val="Indent"/>
        <w:numPr>
          <w:ilvl w:val="0"/>
          <w:numId w:val="0"/>
        </w:numPr>
        <w:tabs>
          <w:tab w:val="left" w:pos="1438"/>
        </w:tabs>
        <w:ind w:left="1438" w:hanging="588"/>
      </w:pPr>
      <w:r>
        <w:t>(2)</w:t>
      </w:r>
      <w:r>
        <w:tab/>
      </w:r>
      <w:r w:rsidR="002004AB">
        <w:t xml:space="preserve">that counsel had prepared a comprehensive practice note setting out various authorities and submissions, wherein he quite appropriately drew my attention to </w:t>
      </w:r>
      <w:r w:rsidR="002004AB" w:rsidRPr="00FA6904">
        <w:rPr>
          <w:b/>
          <w:bCs/>
        </w:rPr>
        <w:t>Alexander</w:t>
      </w:r>
      <w:r w:rsidR="002004AB">
        <w:t xml:space="preserve"> and made submissions as to why the learned </w:t>
      </w:r>
      <w:r w:rsidR="00756DD7">
        <w:t>a</w:t>
      </w:r>
      <w:r w:rsidR="002004AB">
        <w:t xml:space="preserve">cting </w:t>
      </w:r>
      <w:r w:rsidR="00756DD7">
        <w:t>j</w:t>
      </w:r>
      <w:r w:rsidR="002004AB">
        <w:t>udge had erred; and</w:t>
      </w:r>
    </w:p>
    <w:p w14:paraId="4BAD9053" w14:textId="5A28B6DD" w:rsidR="002004AB" w:rsidRDefault="00A44588" w:rsidP="00A44588">
      <w:pPr>
        <w:pStyle w:val="Indent"/>
        <w:numPr>
          <w:ilvl w:val="0"/>
          <w:numId w:val="0"/>
        </w:numPr>
        <w:tabs>
          <w:tab w:val="left" w:pos="1438"/>
        </w:tabs>
        <w:ind w:left="1438" w:hanging="588"/>
      </w:pPr>
      <w:r>
        <w:t>(3)</w:t>
      </w:r>
      <w:r>
        <w:tab/>
      </w:r>
      <w:r w:rsidR="002004AB">
        <w:t xml:space="preserve">I had spent a significant amount of time in researching the </w:t>
      </w:r>
      <w:r w:rsidR="00FA6904">
        <w:t>two issues</w:t>
      </w:r>
      <w:r w:rsidR="002004AB">
        <w:t xml:space="preserve">, </w:t>
      </w:r>
    </w:p>
    <w:p w14:paraId="5C86AC6C" w14:textId="0778DB2C" w:rsidR="002004AB" w:rsidRDefault="002004AB" w:rsidP="002004AB">
      <w:pPr>
        <w:pStyle w:val="Indent"/>
        <w:numPr>
          <w:ilvl w:val="0"/>
          <w:numId w:val="0"/>
        </w:numPr>
        <w:ind w:left="850"/>
      </w:pPr>
      <w:r>
        <w:lastRenderedPageBreak/>
        <w:t>I propose not to remove the matter</w:t>
      </w:r>
      <w:r w:rsidR="009908C2">
        <w:t>s</w:t>
      </w:r>
      <w:r>
        <w:t xml:space="preserve"> from the roll, but dispose of </w:t>
      </w:r>
      <w:r w:rsidR="009908C2">
        <w:t xml:space="preserve">the correctness of </w:t>
      </w:r>
      <w:r w:rsidR="009908C2">
        <w:rPr>
          <w:b/>
          <w:bCs/>
        </w:rPr>
        <w:t xml:space="preserve">Alexander </w:t>
      </w:r>
      <w:r w:rsidR="009908C2">
        <w:t>issue</w:t>
      </w:r>
      <w:r>
        <w:t xml:space="preserve"> so that another court, for the </w:t>
      </w:r>
      <w:r w:rsidR="00FA6904">
        <w:t>conclusions</w:t>
      </w:r>
      <w:r>
        <w:t xml:space="preserve"> that I have reached herein, need not spend precious judicial resources on these applications, and so too, as shall be seen hereinbelow, having come to the same </w:t>
      </w:r>
      <w:r w:rsidR="00756DD7">
        <w:t>result</w:t>
      </w:r>
      <w:r>
        <w:t xml:space="preserve"> as Moultrie AJ, that future applications of this nature are not enrolled, nor trouble </w:t>
      </w:r>
      <w:r w:rsidR="009908C2">
        <w:t xml:space="preserve">– </w:t>
      </w:r>
      <w:r>
        <w:t>not only the unopposed motion court</w:t>
      </w:r>
      <w:r w:rsidR="009908C2">
        <w:t xml:space="preserve"> –</w:t>
      </w:r>
      <w:r>
        <w:t xml:space="preserve"> but </w:t>
      </w:r>
      <w:r w:rsidR="00687E9B">
        <w:t xml:space="preserve">also </w:t>
      </w:r>
      <w:r w:rsidR="009908C2">
        <w:t xml:space="preserve">a judge hearing the matter from the </w:t>
      </w:r>
      <w:r>
        <w:t>general civil trial</w:t>
      </w:r>
      <w:r w:rsidR="009908C2">
        <w:t xml:space="preserve"> </w:t>
      </w:r>
      <w:r>
        <w:t>roll</w:t>
      </w:r>
      <w:r w:rsidR="009908C2">
        <w:t>,</w:t>
      </w:r>
      <w:r>
        <w:t xml:space="preserve"> if the necessary requirements as envisaged in terms of Rule 34A(4)(a) have not been met.</w:t>
      </w:r>
      <w:r w:rsidR="002751FF">
        <w:t xml:space="preserve"> I do caution though that my willingness to entertain the applications should not be construed in any way as inviting or allowing litigants to avoid this court’s practice directives.</w:t>
      </w:r>
    </w:p>
    <w:p w14:paraId="427CDC2F" w14:textId="76F106E9" w:rsidR="00756DD7" w:rsidRDefault="00756DD7" w:rsidP="00756DD7">
      <w:pPr>
        <w:pStyle w:val="Indent"/>
        <w:numPr>
          <w:ilvl w:val="0"/>
          <w:numId w:val="0"/>
        </w:numPr>
      </w:pPr>
      <w:r>
        <w:t>[12]</w:t>
      </w:r>
      <w:r>
        <w:tab/>
        <w:t xml:space="preserve">It follows that applications for interim payments in terms of Rule 34A(4)(a) are to be enrolled on the general civil trial roll and not in the unopposed motion court roll. </w:t>
      </w:r>
    </w:p>
    <w:p w14:paraId="07ACDEB9" w14:textId="5A28D482" w:rsidR="00E21545" w:rsidRPr="00E21545" w:rsidRDefault="00E21545" w:rsidP="00E21545">
      <w:pPr>
        <w:pStyle w:val="Indent"/>
        <w:numPr>
          <w:ilvl w:val="0"/>
          <w:numId w:val="0"/>
        </w:numPr>
        <w:rPr>
          <w:b/>
          <w:bCs/>
          <w:u w:val="single"/>
        </w:rPr>
      </w:pPr>
      <w:r w:rsidRPr="00E21545">
        <w:rPr>
          <w:b/>
          <w:bCs/>
          <w:u w:val="single"/>
        </w:rPr>
        <w:t xml:space="preserve">THE CORRECTNESS OF </w:t>
      </w:r>
      <w:r w:rsidRPr="00E21545">
        <w:rPr>
          <w:b/>
          <w:bCs/>
          <w:i/>
          <w:iCs/>
          <w:u w:val="single"/>
        </w:rPr>
        <w:t>ALEXANDER</w:t>
      </w:r>
      <w:r w:rsidRPr="00E21545">
        <w:rPr>
          <w:b/>
          <w:bCs/>
          <w:u w:val="single"/>
        </w:rPr>
        <w:t xml:space="preserve"> ISSUE</w:t>
      </w:r>
    </w:p>
    <w:p w14:paraId="35919722" w14:textId="4A8B3979" w:rsidR="002004AB" w:rsidRDefault="00A44588" w:rsidP="00A44588">
      <w:pPr>
        <w:pStyle w:val="Indent"/>
        <w:numPr>
          <w:ilvl w:val="0"/>
          <w:numId w:val="0"/>
        </w:numPr>
        <w:tabs>
          <w:tab w:val="left" w:pos="850"/>
        </w:tabs>
        <w:ind w:left="850" w:hanging="850"/>
      </w:pPr>
      <w:r>
        <w:rPr>
          <w:szCs w:val="25"/>
        </w:rPr>
        <w:t>[12]</w:t>
      </w:r>
      <w:r>
        <w:rPr>
          <w:szCs w:val="25"/>
        </w:rPr>
        <w:tab/>
      </w:r>
      <w:r w:rsidR="002004AB">
        <w:t>Rule 34A(4)(a) provides as follows:</w:t>
      </w:r>
    </w:p>
    <w:p w14:paraId="2D5FBC68" w14:textId="2E45D17B" w:rsidR="002004AB" w:rsidRPr="009908C2" w:rsidRDefault="002004AB" w:rsidP="009908C2">
      <w:pPr>
        <w:pStyle w:val="Indent"/>
        <w:numPr>
          <w:ilvl w:val="0"/>
          <w:numId w:val="0"/>
        </w:numPr>
        <w:spacing w:line="360" w:lineRule="auto"/>
        <w:ind w:left="1440"/>
        <w:rPr>
          <w:i/>
          <w:sz w:val="24"/>
          <w:szCs w:val="24"/>
        </w:rPr>
      </w:pPr>
      <w:r w:rsidRPr="009908C2">
        <w:rPr>
          <w:i/>
          <w:sz w:val="24"/>
          <w:szCs w:val="24"/>
        </w:rPr>
        <w:t xml:space="preserve">“If at the hearing of </w:t>
      </w:r>
      <w:r w:rsidRPr="00687E9B">
        <w:rPr>
          <w:i/>
          <w:sz w:val="24"/>
          <w:szCs w:val="24"/>
          <w:u w:val="single"/>
        </w:rPr>
        <w:t>such an application</w:t>
      </w:r>
      <w:r w:rsidRPr="009908C2">
        <w:rPr>
          <w:i/>
          <w:sz w:val="24"/>
          <w:szCs w:val="24"/>
        </w:rPr>
        <w:t xml:space="preserve">, the court is satisfied that the Defendant against whom the order is sought has in writing admitted liability for the Plaintiff’s damages, the court may, if it thinks fit but </w:t>
      </w:r>
      <w:r w:rsidRPr="009908C2">
        <w:rPr>
          <w:i/>
          <w:sz w:val="24"/>
          <w:szCs w:val="24"/>
        </w:rPr>
        <w:lastRenderedPageBreak/>
        <w:t xml:space="preserve">subject to the provisions of sub-rule </w:t>
      </w:r>
      <w:r w:rsidR="00687E9B">
        <w:rPr>
          <w:i/>
          <w:sz w:val="24"/>
          <w:szCs w:val="24"/>
        </w:rPr>
        <w:t>(</w:t>
      </w:r>
      <w:r w:rsidRPr="009908C2">
        <w:rPr>
          <w:i/>
          <w:sz w:val="24"/>
          <w:szCs w:val="24"/>
        </w:rPr>
        <w:t>5</w:t>
      </w:r>
      <w:r w:rsidR="00687E9B">
        <w:rPr>
          <w:i/>
          <w:sz w:val="24"/>
          <w:szCs w:val="24"/>
        </w:rPr>
        <w:t>)</w:t>
      </w:r>
      <w:r w:rsidRPr="009908C2">
        <w:rPr>
          <w:i/>
          <w:sz w:val="24"/>
          <w:szCs w:val="24"/>
        </w:rPr>
        <w:t>, order the Respondent to make an interim payment of such amount as it thinks just, which amount shall not exceed a reasonable proportion of the damages which in the opinion of the court are likely to be recovered by the Plaintiff taking into account any contributory negligence, set off or counterclaim.”</w:t>
      </w:r>
    </w:p>
    <w:p w14:paraId="7947D298" w14:textId="1BAB0B80" w:rsidR="00687E9B" w:rsidRDefault="00687E9B" w:rsidP="00687E9B">
      <w:pPr>
        <w:pStyle w:val="Indent"/>
        <w:numPr>
          <w:ilvl w:val="0"/>
          <w:numId w:val="0"/>
        </w:numPr>
        <w:ind w:left="850"/>
      </w:pPr>
      <w:r>
        <w:t>(my emphasis).</w:t>
      </w:r>
    </w:p>
    <w:p w14:paraId="2A618EE4" w14:textId="39033168" w:rsidR="002751FF" w:rsidRDefault="00A44588" w:rsidP="00A44588">
      <w:pPr>
        <w:pStyle w:val="Indent"/>
        <w:numPr>
          <w:ilvl w:val="0"/>
          <w:numId w:val="0"/>
        </w:numPr>
        <w:tabs>
          <w:tab w:val="left" w:pos="850"/>
        </w:tabs>
        <w:ind w:left="850" w:hanging="850"/>
      </w:pPr>
      <w:r>
        <w:rPr>
          <w:szCs w:val="25"/>
        </w:rPr>
        <w:t>[13]</w:t>
      </w:r>
      <w:r>
        <w:rPr>
          <w:szCs w:val="25"/>
        </w:rPr>
        <w:tab/>
      </w:r>
      <w:r w:rsidR="00687E9B">
        <w:t>The application referenced is one either in terms of Rule 34A(1)</w:t>
      </w:r>
      <w:r w:rsidR="00BF4347">
        <w:rPr>
          <w:rStyle w:val="FootnoteReference"/>
        </w:rPr>
        <w:footnoteReference w:id="1"/>
      </w:r>
      <w:r w:rsidR="00687E9B">
        <w:t xml:space="preserve"> or 34A(3)</w:t>
      </w:r>
      <w:r w:rsidR="00BF4347">
        <w:rPr>
          <w:rStyle w:val="FootnoteReference"/>
        </w:rPr>
        <w:footnoteReference w:id="2"/>
      </w:r>
      <w:r w:rsidR="00687E9B">
        <w:t xml:space="preserve">. This is clear from reading Rule 34A as a whole. Thus, the contention on behalf of the Plaintiffs that where the Defendant has admitted negligence only Rule 34A(1) or (3) need to be </w:t>
      </w:r>
      <w:r w:rsidR="00BF4347">
        <w:t>invoked</w:t>
      </w:r>
      <w:r w:rsidR="00687E9B">
        <w:t xml:space="preserve">, and not Rule 34A(4)(a), to give effect to the substantive right emanating from </w:t>
      </w:r>
      <w:r w:rsidR="00E21545">
        <w:t>s</w:t>
      </w:r>
      <w:r w:rsidR="00687E9B">
        <w:t xml:space="preserve">ection 17(6) </w:t>
      </w:r>
      <w:r w:rsidR="00E21545">
        <w:t xml:space="preserve">read with section 17(1) </w:t>
      </w:r>
      <w:r w:rsidR="00687E9B">
        <w:t>of the RAF Act, is</w:t>
      </w:r>
      <w:r w:rsidR="00BF4347">
        <w:t>, on face value,</w:t>
      </w:r>
      <w:r w:rsidR="00687E9B">
        <w:t xml:space="preserve"> </w:t>
      </w:r>
      <w:r w:rsidR="00BF4347">
        <w:t>wrong</w:t>
      </w:r>
      <w:r w:rsidR="00687E9B">
        <w:t>.</w:t>
      </w:r>
    </w:p>
    <w:p w14:paraId="683833C4" w14:textId="03C50952" w:rsidR="00687E9B" w:rsidRDefault="00A44588" w:rsidP="00A44588">
      <w:pPr>
        <w:pStyle w:val="Indent"/>
        <w:numPr>
          <w:ilvl w:val="0"/>
          <w:numId w:val="0"/>
        </w:numPr>
        <w:tabs>
          <w:tab w:val="left" w:pos="850"/>
        </w:tabs>
        <w:ind w:left="850" w:hanging="850"/>
      </w:pPr>
      <w:r>
        <w:rPr>
          <w:szCs w:val="25"/>
        </w:rPr>
        <w:t>[14]</w:t>
      </w:r>
      <w:r>
        <w:rPr>
          <w:szCs w:val="25"/>
        </w:rPr>
        <w:tab/>
      </w:r>
      <w:r w:rsidR="00ED3DA3">
        <w:t xml:space="preserve">Does </w:t>
      </w:r>
      <w:r w:rsidR="00E21545">
        <w:t xml:space="preserve">section 17(6) read with section 17(1) </w:t>
      </w:r>
      <w:r w:rsidR="00ED3DA3">
        <w:t xml:space="preserve">of the RAF Act in of itself cure this </w:t>
      </w:r>
      <w:r w:rsidR="00ED3DA3">
        <w:rPr>
          <w:i/>
          <w:iCs/>
        </w:rPr>
        <w:t xml:space="preserve">prima facie </w:t>
      </w:r>
      <w:r w:rsidR="00ED3DA3">
        <w:t>hurdle?</w:t>
      </w:r>
      <w:r w:rsidR="00E21545">
        <w:t xml:space="preserve"> In my view it does not.</w:t>
      </w:r>
    </w:p>
    <w:p w14:paraId="5C424F2D" w14:textId="127A9579" w:rsidR="00BF4347" w:rsidRDefault="00A44588" w:rsidP="00A44588">
      <w:pPr>
        <w:pStyle w:val="Indent"/>
        <w:numPr>
          <w:ilvl w:val="0"/>
          <w:numId w:val="0"/>
        </w:numPr>
        <w:tabs>
          <w:tab w:val="left" w:pos="850"/>
        </w:tabs>
        <w:ind w:left="850" w:hanging="850"/>
      </w:pPr>
      <w:r>
        <w:rPr>
          <w:szCs w:val="25"/>
        </w:rPr>
        <w:lastRenderedPageBreak/>
        <w:t>[15]</w:t>
      </w:r>
      <w:r>
        <w:rPr>
          <w:szCs w:val="25"/>
        </w:rPr>
        <w:tab/>
      </w:r>
      <w:r w:rsidR="00BF4347">
        <w:t>Section 17(6) of the RAF Act provides as follows:</w:t>
      </w:r>
    </w:p>
    <w:p w14:paraId="1E885B7E" w14:textId="33780F6D" w:rsidR="00BF4347" w:rsidRPr="00BF4347" w:rsidRDefault="00BF4347" w:rsidP="00BF4347">
      <w:pPr>
        <w:pStyle w:val="Indent"/>
        <w:numPr>
          <w:ilvl w:val="0"/>
          <w:numId w:val="0"/>
        </w:numPr>
        <w:spacing w:line="360" w:lineRule="auto"/>
        <w:ind w:left="1440"/>
        <w:rPr>
          <w:sz w:val="24"/>
          <w:szCs w:val="24"/>
        </w:rPr>
      </w:pPr>
      <w:r w:rsidRPr="00BF4347">
        <w:rPr>
          <w:i/>
          <w:sz w:val="24"/>
          <w:szCs w:val="24"/>
        </w:rPr>
        <w:t>“The Fund, or an agent with the approval of the Fund, may make an interim payment to the third party out of the amount to be awarded in terms of subsection (1) to the third party in respect of medical costs, in accordance with the tariff contemplated in subsection (4B), loss of income and loss of support: Provided that the Fund or such agent shall, notwithstanding anything to the contrary in any law contained, only be liable to make an interim payment in so far as such costs have already been incurred and any such losses have already been suffered.”</w:t>
      </w:r>
    </w:p>
    <w:p w14:paraId="150AEB1F" w14:textId="38A44F14" w:rsidR="00245BD1" w:rsidRDefault="00A44588" w:rsidP="00A44588">
      <w:pPr>
        <w:pStyle w:val="Indent"/>
        <w:numPr>
          <w:ilvl w:val="0"/>
          <w:numId w:val="0"/>
        </w:numPr>
        <w:tabs>
          <w:tab w:val="left" w:pos="737"/>
        </w:tabs>
      </w:pPr>
      <w:r>
        <w:rPr>
          <w:szCs w:val="25"/>
        </w:rPr>
        <w:t>[16]</w:t>
      </w:r>
      <w:r>
        <w:rPr>
          <w:szCs w:val="25"/>
        </w:rPr>
        <w:tab/>
      </w:r>
      <w:r w:rsidR="00ED3DA3">
        <w:t xml:space="preserve">Section 17(6) of the RAF Act is </w:t>
      </w:r>
      <w:r w:rsidR="002751FF">
        <w:t>couched in permissive language</w:t>
      </w:r>
      <w:r w:rsidR="00245BD1">
        <w:t xml:space="preserve">, having employed the word </w:t>
      </w:r>
      <w:r w:rsidR="00245BD1">
        <w:rPr>
          <w:i/>
          <w:iCs/>
        </w:rPr>
        <w:t>“may”</w:t>
      </w:r>
      <w:r w:rsidR="002751FF">
        <w:t xml:space="preserve">. </w:t>
      </w:r>
      <w:r w:rsidR="00245BD1">
        <w:t xml:space="preserve">In </w:t>
      </w:r>
      <w:r w:rsidR="00245BD1" w:rsidRPr="00245BD1">
        <w:rPr>
          <w:b/>
          <w:bCs/>
        </w:rPr>
        <w:t xml:space="preserve">Schwartz v Schwartz </w:t>
      </w:r>
      <w:r w:rsidR="00245BD1">
        <w:t>1984 (4) SA 467 (A) Corbett JA (as he then was) said the following at 473I – 474E:</w:t>
      </w:r>
    </w:p>
    <w:p w14:paraId="1F3711F9" w14:textId="5EEACCF1" w:rsidR="00245BD1" w:rsidRPr="00245BD1" w:rsidRDefault="00245BD1" w:rsidP="00245BD1">
      <w:pPr>
        <w:pStyle w:val="Indent"/>
        <w:numPr>
          <w:ilvl w:val="0"/>
          <w:numId w:val="0"/>
        </w:numPr>
        <w:spacing w:line="360" w:lineRule="auto"/>
        <w:ind w:left="720"/>
        <w:rPr>
          <w:i/>
          <w:iCs/>
          <w:sz w:val="24"/>
          <w:szCs w:val="24"/>
        </w:rPr>
      </w:pPr>
      <w:r w:rsidRPr="00245BD1">
        <w:rPr>
          <w:i/>
          <w:iCs/>
          <w:sz w:val="24"/>
          <w:szCs w:val="24"/>
        </w:rPr>
        <w:t xml:space="preserve">“A statutory enactment conferring a power in permissive language may nevertheless have to be construed as making it the duty of the person or authority in whom the power is reposed to exercise that power when the conditions prescribed as justifying its exercise have been satisfied. Whether an enactment should be so construed depends on, inter alia, the language in which it is couched, the context in which it appears, the general scope and object of the legislation, the nature of the thing empowered to be done and the person or persons for whose benefit the power is to be exercised. (See generally Noble and Barbour v South African Railways and Harbours, 1922 AD 527, at pp 539-40, citing Julius v The Bishop of Oxford, (1880) 5 AC 214; South African Railways v New Silverton Estate, Ltd, 1946 AD 830, at p 842; CIR v King, 1947 (2) SA 196 (A), at pp 209-10; South African Railways and Harbours v Transvaal Consolidated Land and </w:t>
      </w:r>
      <w:r w:rsidRPr="00245BD1">
        <w:rPr>
          <w:i/>
          <w:iCs/>
          <w:sz w:val="24"/>
          <w:szCs w:val="24"/>
        </w:rPr>
        <w:lastRenderedPageBreak/>
        <w:t>Exploration Co Ltd, 1961 (2) SA 467 (A), at pp 478-80, 502-4.) As was pointed out in the Noble and Barbour case (supra), this does not involve reading the word "may" as meaning "must". As long as the English language retains its meaning "may" can never be equivalent to "must". It is a question whether the grant of the permissive power also imports an obligation in certain circumstances to use the power.”</w:t>
      </w:r>
    </w:p>
    <w:p w14:paraId="4A2267CB" w14:textId="081C16D3" w:rsidR="00ED3DA3" w:rsidRDefault="00A44588" w:rsidP="00A44588">
      <w:pPr>
        <w:pStyle w:val="Indent"/>
        <w:numPr>
          <w:ilvl w:val="0"/>
          <w:numId w:val="0"/>
        </w:numPr>
        <w:tabs>
          <w:tab w:val="left" w:pos="0"/>
        </w:tabs>
      </w:pPr>
      <w:r>
        <w:rPr>
          <w:szCs w:val="25"/>
        </w:rPr>
        <w:t>[17]</w:t>
      </w:r>
      <w:r>
        <w:rPr>
          <w:szCs w:val="25"/>
        </w:rPr>
        <w:tab/>
      </w:r>
      <w:r w:rsidR="00245BD1">
        <w:t xml:space="preserve">Thus, despite the word </w:t>
      </w:r>
      <w:r w:rsidR="00245BD1">
        <w:rPr>
          <w:i/>
          <w:iCs/>
        </w:rPr>
        <w:t>“may”</w:t>
      </w:r>
      <w:r w:rsidR="00245BD1">
        <w:t>, the provisor contained in section 17(6) that attaches liability for interim payments indeed does place a duty on the Fund to make such interim payments. However, such a duty is not unqualified. A</w:t>
      </w:r>
      <w:r w:rsidR="00245BD1" w:rsidRPr="00245BD1">
        <w:t xml:space="preserve">n interim payment to </w:t>
      </w:r>
      <w:r w:rsidR="00245BD1">
        <w:t>a</w:t>
      </w:r>
      <w:r w:rsidR="00245BD1" w:rsidRPr="00245BD1">
        <w:t xml:space="preserve"> third party </w:t>
      </w:r>
      <w:r w:rsidR="00245BD1">
        <w:t xml:space="preserve">(such as the Plaintiffs) is to be paid </w:t>
      </w:r>
      <w:r w:rsidR="00245BD1" w:rsidRPr="00245BD1">
        <w:t xml:space="preserve">out of the amount </w:t>
      </w:r>
      <w:r w:rsidR="00245BD1" w:rsidRPr="00245BD1">
        <w:rPr>
          <w:i/>
          <w:iCs/>
        </w:rPr>
        <w:t>to be</w:t>
      </w:r>
      <w:r w:rsidR="00245BD1" w:rsidRPr="00245BD1">
        <w:t xml:space="preserve"> awarded in terms of subsection (1) to the third party in respect of medical costs</w:t>
      </w:r>
      <w:r w:rsidR="00245BD1">
        <w:t>.</w:t>
      </w:r>
      <w:r w:rsidR="00756DD7">
        <w:t xml:space="preserve"> In other words section 17(6) is qualified by section 17(1) of the RAF Act.</w:t>
      </w:r>
    </w:p>
    <w:p w14:paraId="633574E4" w14:textId="0D6573E7" w:rsidR="00245BD1" w:rsidRDefault="00A44588" w:rsidP="00A44588">
      <w:pPr>
        <w:pStyle w:val="Indent"/>
        <w:numPr>
          <w:ilvl w:val="0"/>
          <w:numId w:val="0"/>
        </w:numPr>
        <w:tabs>
          <w:tab w:val="left" w:pos="737"/>
        </w:tabs>
      </w:pPr>
      <w:r>
        <w:rPr>
          <w:szCs w:val="25"/>
        </w:rPr>
        <w:t>[18]</w:t>
      </w:r>
      <w:r>
        <w:rPr>
          <w:szCs w:val="25"/>
        </w:rPr>
        <w:tab/>
      </w:r>
      <w:r w:rsidR="00245BD1">
        <w:t>Section 17(1) provides as follows (with my emphasis added):</w:t>
      </w:r>
    </w:p>
    <w:p w14:paraId="2101AF51" w14:textId="7E2AE815" w:rsidR="00245BD1" w:rsidRPr="00245BD1" w:rsidRDefault="00245BD1" w:rsidP="00245BD1">
      <w:pPr>
        <w:pStyle w:val="Indent"/>
        <w:numPr>
          <w:ilvl w:val="0"/>
          <w:numId w:val="0"/>
        </w:numPr>
        <w:spacing w:line="360" w:lineRule="auto"/>
        <w:ind w:firstLine="720"/>
        <w:rPr>
          <w:i/>
          <w:iCs/>
          <w:sz w:val="24"/>
          <w:szCs w:val="24"/>
        </w:rPr>
      </w:pPr>
      <w:r w:rsidRPr="00245BD1">
        <w:rPr>
          <w:i/>
          <w:iCs/>
          <w:sz w:val="24"/>
          <w:szCs w:val="24"/>
        </w:rPr>
        <w:t>“(1)</w:t>
      </w:r>
      <w:r w:rsidRPr="00245BD1">
        <w:rPr>
          <w:i/>
          <w:iCs/>
          <w:sz w:val="24"/>
          <w:szCs w:val="24"/>
        </w:rPr>
        <w:tab/>
        <w:t>The Fund or an agent shall-</w:t>
      </w:r>
    </w:p>
    <w:p w14:paraId="58AF8B2B" w14:textId="4F166E21" w:rsidR="00245BD1" w:rsidRPr="00245BD1" w:rsidRDefault="00245BD1" w:rsidP="00245BD1">
      <w:pPr>
        <w:pStyle w:val="Indent"/>
        <w:numPr>
          <w:ilvl w:val="0"/>
          <w:numId w:val="0"/>
        </w:numPr>
        <w:spacing w:line="360" w:lineRule="auto"/>
        <w:ind w:left="2160" w:hanging="720"/>
        <w:rPr>
          <w:i/>
          <w:iCs/>
          <w:sz w:val="24"/>
          <w:szCs w:val="24"/>
        </w:rPr>
      </w:pPr>
      <w:r w:rsidRPr="00245BD1">
        <w:rPr>
          <w:i/>
          <w:iCs/>
          <w:sz w:val="24"/>
          <w:szCs w:val="24"/>
        </w:rPr>
        <w:t>(a)</w:t>
      </w:r>
      <w:r w:rsidRPr="00245BD1">
        <w:rPr>
          <w:i/>
          <w:iCs/>
          <w:sz w:val="24"/>
          <w:szCs w:val="24"/>
        </w:rPr>
        <w:tab/>
        <w:t>subject to this Act, in the case of a claim for compensation under this section arising from the driving of a motor vehicle where the identity of the owner or the driver thereof has been established;</w:t>
      </w:r>
    </w:p>
    <w:p w14:paraId="617ADB2B" w14:textId="2A8BD59C" w:rsidR="00245BD1" w:rsidRPr="00245BD1" w:rsidRDefault="00245BD1" w:rsidP="00245BD1">
      <w:pPr>
        <w:pStyle w:val="Indent"/>
        <w:numPr>
          <w:ilvl w:val="0"/>
          <w:numId w:val="0"/>
        </w:numPr>
        <w:spacing w:line="360" w:lineRule="auto"/>
        <w:ind w:left="2160" w:hanging="720"/>
        <w:rPr>
          <w:i/>
          <w:iCs/>
          <w:sz w:val="24"/>
          <w:szCs w:val="24"/>
        </w:rPr>
      </w:pPr>
      <w:r w:rsidRPr="00245BD1">
        <w:rPr>
          <w:i/>
          <w:iCs/>
          <w:sz w:val="24"/>
          <w:szCs w:val="24"/>
        </w:rPr>
        <w:t>(b)</w:t>
      </w:r>
      <w:r w:rsidRPr="00245BD1">
        <w:rPr>
          <w:i/>
          <w:iCs/>
          <w:sz w:val="24"/>
          <w:szCs w:val="24"/>
        </w:rPr>
        <w:tab/>
        <w:t>subject to any regulation made under section 26, in the case of a claim for compensation under this section arising from the driving of a motor vehicle where the identity of neither the owner nor the driver thereof has been established,</w:t>
      </w:r>
    </w:p>
    <w:p w14:paraId="65ED3FC0" w14:textId="72C45A45" w:rsidR="00245BD1" w:rsidRDefault="00245BD1" w:rsidP="00245BD1">
      <w:pPr>
        <w:pStyle w:val="Indent"/>
        <w:numPr>
          <w:ilvl w:val="0"/>
          <w:numId w:val="0"/>
        </w:numPr>
        <w:spacing w:line="360" w:lineRule="auto"/>
        <w:ind w:left="1440"/>
      </w:pPr>
      <w:r w:rsidRPr="00245BD1">
        <w:rPr>
          <w:i/>
          <w:iCs/>
          <w:sz w:val="24"/>
          <w:szCs w:val="24"/>
        </w:rPr>
        <w:lastRenderedPageBreak/>
        <w:t xml:space="preserve">be obliged to compensate any person (the third party) for any loss or damage which the third party has suffered </w:t>
      </w:r>
      <w:r w:rsidRPr="00245BD1">
        <w:rPr>
          <w:i/>
          <w:iCs/>
          <w:sz w:val="24"/>
          <w:szCs w:val="24"/>
          <w:u w:val="single"/>
        </w:rPr>
        <w:t>as a result of</w:t>
      </w:r>
      <w:r w:rsidRPr="00245BD1">
        <w:rPr>
          <w:i/>
          <w:iCs/>
          <w:sz w:val="24"/>
          <w:szCs w:val="24"/>
        </w:rPr>
        <w:t xml:space="preserve"> any bodily injury to himself or herself or the death of or any bodily injury to any other person, </w:t>
      </w:r>
      <w:r w:rsidRPr="00245BD1">
        <w:rPr>
          <w:i/>
          <w:iCs/>
          <w:sz w:val="24"/>
          <w:szCs w:val="24"/>
          <w:u w:val="single"/>
        </w:rPr>
        <w:t>caused by or arising from</w:t>
      </w:r>
      <w:r w:rsidRPr="00245BD1">
        <w:rPr>
          <w:i/>
          <w:iCs/>
          <w:sz w:val="24"/>
          <w:szCs w:val="24"/>
        </w:rPr>
        <w:t xml:space="preserve"> the driving of a motor vehicle by any person at any place within the Republic, if the injury or death is </w:t>
      </w:r>
      <w:r w:rsidRPr="00245BD1">
        <w:rPr>
          <w:i/>
          <w:iCs/>
          <w:sz w:val="24"/>
          <w:szCs w:val="24"/>
          <w:u w:val="single"/>
        </w:rPr>
        <w:t>due to the negligence or other wrongful act</w:t>
      </w:r>
      <w:r w:rsidRPr="00245BD1">
        <w:rPr>
          <w:i/>
          <w:iCs/>
          <w:sz w:val="24"/>
          <w:szCs w:val="24"/>
        </w:rPr>
        <w:t xml:space="preserve"> of the driver or of the owner of the motor vehicle or of his or her employee in the performance of the employee's duties as employee: Provided that the obligation of the Fund to compensate a third party for non-pecuniary loss shall be limited to compensation for a serious injury as contemplated in subsection (1A) and shall be paid by way of a lump sum.”</w:t>
      </w:r>
    </w:p>
    <w:p w14:paraId="5C0B5020" w14:textId="46643581" w:rsidR="00245BD1" w:rsidRDefault="00A44588" w:rsidP="00A44588">
      <w:pPr>
        <w:pStyle w:val="Indent"/>
        <w:numPr>
          <w:ilvl w:val="0"/>
          <w:numId w:val="0"/>
        </w:numPr>
        <w:tabs>
          <w:tab w:val="left" w:pos="0"/>
        </w:tabs>
      </w:pPr>
      <w:r>
        <w:rPr>
          <w:szCs w:val="25"/>
        </w:rPr>
        <w:t>[19]</w:t>
      </w:r>
      <w:r>
        <w:rPr>
          <w:szCs w:val="25"/>
        </w:rPr>
        <w:tab/>
      </w:r>
      <w:r w:rsidR="002A3708">
        <w:t xml:space="preserve">Thus, any interim payment [in terms of section 17(6)] shall be made from the compensation to be awarded in terms of section 17(1). An award for compensation in terms of section 17(1) may only be made if the loss or damage suffered by a third party </w:t>
      </w:r>
      <w:r w:rsidR="002A3708" w:rsidRPr="002A3708">
        <w:rPr>
          <w:u w:val="single"/>
        </w:rPr>
        <w:t>was caused by, or arose from</w:t>
      </w:r>
      <w:r w:rsidR="002A3708">
        <w:t xml:space="preserve">, the driving of a motor vehicle and only if the injury or death was </w:t>
      </w:r>
      <w:r w:rsidR="002A3708" w:rsidRPr="002A3708">
        <w:rPr>
          <w:u w:val="single"/>
        </w:rPr>
        <w:t>due to</w:t>
      </w:r>
      <w:r w:rsidR="002A3708">
        <w:t xml:space="preserve"> negligence or other wrongful act of such a driver. These express phrases patently relate to and require causation – one of the essential elements of a delict, to be proved or conceded</w:t>
      </w:r>
      <w:r w:rsidR="00756DD7">
        <w:t xml:space="preserve"> </w:t>
      </w:r>
      <w:r w:rsidR="001102CB">
        <w:t xml:space="preserve">(see </w:t>
      </w:r>
      <w:r w:rsidR="001102CB">
        <w:rPr>
          <w:b/>
        </w:rPr>
        <w:t xml:space="preserve">Law Society of South Africa and Others v Minister of Transport and Another </w:t>
      </w:r>
      <w:r w:rsidR="001102CB">
        <w:t>2011 (1) SA 400 (CC) [25])</w:t>
      </w:r>
      <w:r w:rsidR="002A3708">
        <w:t>. It follows that the Plaintiffs contention that an admission of liability suffices cannot be upheld.</w:t>
      </w:r>
    </w:p>
    <w:p w14:paraId="3F717BE1" w14:textId="76DAE3DB" w:rsidR="002A3708" w:rsidRDefault="00A44588" w:rsidP="00A44588">
      <w:pPr>
        <w:pStyle w:val="Indent"/>
        <w:numPr>
          <w:ilvl w:val="0"/>
          <w:numId w:val="0"/>
        </w:numPr>
        <w:tabs>
          <w:tab w:val="left" w:pos="0"/>
        </w:tabs>
      </w:pPr>
      <w:r>
        <w:rPr>
          <w:szCs w:val="25"/>
        </w:rPr>
        <w:t>[20]</w:t>
      </w:r>
      <w:r>
        <w:rPr>
          <w:szCs w:val="25"/>
        </w:rPr>
        <w:tab/>
      </w:r>
      <w:r w:rsidR="002A3708">
        <w:t xml:space="preserve">The next question is whether an admission of negligence by the Defendant </w:t>
      </w:r>
      <w:r w:rsidR="00B224FA">
        <w:t>constitutes an admission of liability for purposes</w:t>
      </w:r>
      <w:r w:rsidR="002A3708">
        <w:t xml:space="preserve"> of Rule 34A(4)(a)</w:t>
      </w:r>
      <w:r w:rsidR="00B224FA">
        <w:t xml:space="preserve">? </w:t>
      </w:r>
      <w:r w:rsidR="00B224FA">
        <w:lastRenderedPageBreak/>
        <w:t xml:space="preserve">In my view, it does not. </w:t>
      </w:r>
    </w:p>
    <w:p w14:paraId="4CCBBF71" w14:textId="53FB9DA0" w:rsidR="002004AB" w:rsidRDefault="00A44588" w:rsidP="00A44588">
      <w:pPr>
        <w:pStyle w:val="Indent"/>
        <w:numPr>
          <w:ilvl w:val="0"/>
          <w:numId w:val="0"/>
        </w:numPr>
        <w:tabs>
          <w:tab w:val="left" w:pos="0"/>
        </w:tabs>
      </w:pPr>
      <w:r>
        <w:rPr>
          <w:szCs w:val="25"/>
        </w:rPr>
        <w:t>[21]</w:t>
      </w:r>
      <w:r>
        <w:rPr>
          <w:szCs w:val="25"/>
        </w:rPr>
        <w:tab/>
      </w:r>
      <w:r w:rsidR="002004AB">
        <w:t xml:space="preserve">As appears to </w:t>
      </w:r>
      <w:r w:rsidR="00B224FA">
        <w:t xml:space="preserve">have been </w:t>
      </w:r>
      <w:r w:rsidR="002004AB">
        <w:t xml:space="preserve">the case in </w:t>
      </w:r>
      <w:r w:rsidR="002004AB" w:rsidRPr="00B224FA">
        <w:rPr>
          <w:b/>
          <w:bCs/>
        </w:rPr>
        <w:t>Alexander</w:t>
      </w:r>
      <w:r w:rsidR="002004AB">
        <w:t>, in the matters before me, the written word emanating from the Defendant on which the Plaintiffs rely for the contention that the admission of liability requirement in Rule 34A(4)(a) has been met read as follows</w:t>
      </w:r>
      <w:r w:rsidR="00B224FA">
        <w:t xml:space="preserve"> (with my emphasis added)</w:t>
      </w:r>
      <w:r w:rsidR="002004AB">
        <w:t>:</w:t>
      </w:r>
    </w:p>
    <w:p w14:paraId="3F7C2DD7" w14:textId="291A5A38" w:rsidR="002004AB" w:rsidRPr="00B224FA" w:rsidRDefault="002004AB" w:rsidP="00B224FA">
      <w:pPr>
        <w:pStyle w:val="Indent"/>
        <w:numPr>
          <w:ilvl w:val="0"/>
          <w:numId w:val="0"/>
        </w:numPr>
        <w:spacing w:line="360" w:lineRule="auto"/>
        <w:ind w:left="1440"/>
        <w:rPr>
          <w:i/>
          <w:sz w:val="24"/>
          <w:szCs w:val="24"/>
        </w:rPr>
      </w:pPr>
      <w:r w:rsidRPr="00B224FA">
        <w:rPr>
          <w:i/>
          <w:sz w:val="24"/>
          <w:szCs w:val="24"/>
        </w:rPr>
        <w:t xml:space="preserve">“The Road Accident Fund (RAF) has considered the available evidence relating to the matter in which the motor vehicle accident giving rise to this claim occurred. The RAF has concluded that the collision resulted from the joint negligence of the injured and the RAF’s insured driver.  ... Consequently, without prejudice, the RAF offers to settle </w:t>
      </w:r>
      <w:r w:rsidRPr="00B224FA">
        <w:rPr>
          <w:i/>
          <w:sz w:val="24"/>
          <w:szCs w:val="24"/>
          <w:u w:val="single"/>
        </w:rPr>
        <w:t>the issue of negligence vis-à-vis the occurrence of the motor vehicle collision</w:t>
      </w:r>
      <w:r w:rsidRPr="00B224FA">
        <w:rPr>
          <w:i/>
          <w:sz w:val="24"/>
          <w:szCs w:val="24"/>
        </w:rPr>
        <w:t xml:space="preserve"> subject to the apportionment of negligence specified above. </w:t>
      </w:r>
      <w:r w:rsidRPr="00B224FA">
        <w:rPr>
          <w:i/>
          <w:sz w:val="24"/>
          <w:szCs w:val="24"/>
          <w:u w:val="single"/>
        </w:rPr>
        <w:t>This offer is limited to the aspect of negligence as to the manner in which the collision occurred and the apportionment of such negligence.</w:t>
      </w:r>
      <w:r w:rsidRPr="00B224FA">
        <w:rPr>
          <w:i/>
          <w:sz w:val="24"/>
          <w:szCs w:val="24"/>
        </w:rPr>
        <w:t xml:space="preserve">  </w:t>
      </w:r>
      <w:r w:rsidRPr="00B224FA">
        <w:rPr>
          <w:i/>
          <w:sz w:val="24"/>
          <w:szCs w:val="24"/>
          <w:u w:val="single"/>
        </w:rPr>
        <w:t>This offer may not be interpreted or construed in a manner that would have the RAF concede any other aspect of the claim.</w:t>
      </w:r>
      <w:r w:rsidRPr="00B224FA">
        <w:rPr>
          <w:i/>
          <w:sz w:val="24"/>
          <w:szCs w:val="24"/>
        </w:rPr>
        <w:t xml:space="preserve">  </w:t>
      </w:r>
      <w:r w:rsidRPr="00B224FA">
        <w:rPr>
          <w:i/>
          <w:sz w:val="24"/>
          <w:szCs w:val="24"/>
          <w:u w:val="single"/>
        </w:rPr>
        <w:t>To avoid doubt, the RAF reserves all its rights in law with regards to all other procedural and substantive aspects of the claim.</w:t>
      </w:r>
      <w:r w:rsidRPr="00B224FA">
        <w:rPr>
          <w:i/>
          <w:sz w:val="24"/>
          <w:szCs w:val="24"/>
        </w:rPr>
        <w:t xml:space="preserve"> ... If this offer was made after prescription of the claim, it will not be deemed to be a waiver of prescription and any purported acceptance will not be enforceable.”</w:t>
      </w:r>
    </w:p>
    <w:p w14:paraId="6CCFF0E3" w14:textId="77777777" w:rsidR="001102CB" w:rsidRDefault="00B224FA" w:rsidP="001102CB">
      <w:pPr>
        <w:pStyle w:val="Indent"/>
        <w:numPr>
          <w:ilvl w:val="0"/>
          <w:numId w:val="0"/>
        </w:numPr>
      </w:pPr>
      <w:r>
        <w:t xml:space="preserve">The limitation of the admission of the Defendant to the issue of negligence pertaining to the could not be </w:t>
      </w:r>
      <w:r w:rsidR="004931DD">
        <w:t>clearer</w:t>
      </w:r>
      <w:r>
        <w:t xml:space="preserve">. </w:t>
      </w:r>
      <w:r w:rsidR="001102CB">
        <w:t xml:space="preserve">There is no scope for a construction that causation or damages were conceded. </w:t>
      </w:r>
    </w:p>
    <w:p w14:paraId="536B9A40" w14:textId="761D0FFF" w:rsidR="00B224FA" w:rsidRDefault="00A44588" w:rsidP="00A44588">
      <w:pPr>
        <w:pStyle w:val="Indent"/>
        <w:numPr>
          <w:ilvl w:val="0"/>
          <w:numId w:val="0"/>
        </w:numPr>
        <w:tabs>
          <w:tab w:val="left" w:pos="0"/>
        </w:tabs>
      </w:pPr>
      <w:r>
        <w:rPr>
          <w:szCs w:val="25"/>
        </w:rPr>
        <w:lastRenderedPageBreak/>
        <w:t>[22]</w:t>
      </w:r>
      <w:r>
        <w:rPr>
          <w:szCs w:val="25"/>
        </w:rPr>
        <w:tab/>
      </w:r>
      <w:r w:rsidR="00B224FA">
        <w:t xml:space="preserve">In order for the Plaintiffs’ contention to have any merit, the word </w:t>
      </w:r>
      <w:r w:rsidR="00B224FA">
        <w:rPr>
          <w:i/>
          <w:iCs/>
        </w:rPr>
        <w:t xml:space="preserve">“liability” </w:t>
      </w:r>
      <w:r w:rsidR="00B224FA">
        <w:t xml:space="preserve">in Rule 34A(4)(a) would have to be interpreted as meaning </w:t>
      </w:r>
      <w:r w:rsidR="00B224FA">
        <w:rPr>
          <w:i/>
          <w:iCs/>
        </w:rPr>
        <w:t>“negligence”</w:t>
      </w:r>
      <w:r w:rsidR="00B224FA">
        <w:t>.</w:t>
      </w:r>
      <w:r w:rsidR="00B224FA">
        <w:rPr>
          <w:i/>
          <w:iCs/>
        </w:rPr>
        <w:t xml:space="preserve"> </w:t>
      </w:r>
      <w:r w:rsidR="00B224FA">
        <w:t>Such an interpretation would have the effect of defeating the very circumscription of the substantive right set out in section 17(6) read with section 17(1) of the RAF Act. Such an interpretation is impermissible</w:t>
      </w:r>
      <w:r w:rsidR="004931DD">
        <w:t xml:space="preserve"> as it would mean that Rule 34A(4)(a)</w:t>
      </w:r>
      <w:r w:rsidR="001102CB">
        <w:t>,</w:t>
      </w:r>
      <w:r w:rsidR="004931DD">
        <w:t xml:space="preserve"> which is the procedure created to give effect to claims as is envisaged in terms of section 17(6) read with section 17(1) of the RAF Act</w:t>
      </w:r>
      <w:r w:rsidR="001102CB">
        <w:t>,</w:t>
      </w:r>
      <w:r w:rsidR="004931DD">
        <w:t xml:space="preserve"> would bring in or allow claims that do not fall within the said sections’ purview (see</w:t>
      </w:r>
      <w:r w:rsidR="00B224FA">
        <w:t xml:space="preserve"> </w:t>
      </w:r>
      <w:r w:rsidR="00B224FA" w:rsidRPr="00B224FA">
        <w:rPr>
          <w:b/>
          <w:bCs/>
        </w:rPr>
        <w:t>Dadoo Ltd and Others v Krugersdorp Municipal Council</w:t>
      </w:r>
      <w:r w:rsidR="00B224FA" w:rsidRPr="00B224FA">
        <w:t xml:space="preserve"> 1920 AD 530</w:t>
      </w:r>
      <w:r w:rsidR="00B224FA">
        <w:t xml:space="preserve"> </w:t>
      </w:r>
      <w:r w:rsidR="004931DD">
        <w:t>at 544).</w:t>
      </w:r>
    </w:p>
    <w:p w14:paraId="1D2D0C6A" w14:textId="1F7567D5" w:rsidR="000C567B" w:rsidRDefault="00A44588" w:rsidP="00A44588">
      <w:pPr>
        <w:pStyle w:val="Indent"/>
        <w:numPr>
          <w:ilvl w:val="0"/>
          <w:numId w:val="0"/>
        </w:numPr>
        <w:tabs>
          <w:tab w:val="left" w:pos="0"/>
        </w:tabs>
      </w:pPr>
      <w:r>
        <w:rPr>
          <w:szCs w:val="25"/>
        </w:rPr>
        <w:t>[23]</w:t>
      </w:r>
      <w:r>
        <w:rPr>
          <w:szCs w:val="25"/>
        </w:rPr>
        <w:tab/>
      </w:r>
      <w:r w:rsidR="000C567B">
        <w:t xml:space="preserve">I am further fortified in this view with reference to the matter of </w:t>
      </w:r>
      <w:r w:rsidR="000C567B">
        <w:rPr>
          <w:b/>
        </w:rPr>
        <w:t xml:space="preserve">Karpakis v Mutual &amp; Federal Insurance Co Ltd </w:t>
      </w:r>
      <w:r w:rsidR="000C567B">
        <w:t>1991 (3) SA 489 (O)</w:t>
      </w:r>
      <w:r w:rsidR="000C567B" w:rsidRPr="000C567B">
        <w:t xml:space="preserve"> </w:t>
      </w:r>
      <w:r w:rsidR="000C567B">
        <w:t xml:space="preserve">where Lichtenberg J comprehensively dealt with Rule 34A and found same to be adjective or procedural </w:t>
      </w:r>
      <w:r w:rsidR="00FE79AB">
        <w:t>in nature regulating the procedure of</w:t>
      </w:r>
      <w:r w:rsidR="000C567B">
        <w:t xml:space="preserve"> the predecessor to the present </w:t>
      </w:r>
      <w:r w:rsidR="001102CB">
        <w:t>s</w:t>
      </w:r>
      <w:r w:rsidR="000C567B">
        <w:t xml:space="preserve">ection 17(6) of the Road Accident Fund Act. The result is that Rule 34A(4)(a) is the mechanism by which effect can be given to the substantive law and that mechanism, as explained by the learned Judge, places safeguards in place, such as, applicable </w:t>
      </w:r>
      <w:r w:rsidR="000C567B" w:rsidRPr="00BB2E8A">
        <w:rPr>
          <w:i/>
        </w:rPr>
        <w:t>in casu</w:t>
      </w:r>
      <w:r w:rsidR="000C567B">
        <w:t>, the admission of liability for the Plaintiffs’ damages. At 497E, the learned Judge said the following:</w:t>
      </w:r>
    </w:p>
    <w:p w14:paraId="64420769" w14:textId="77777777" w:rsidR="000C567B" w:rsidRPr="000C567B" w:rsidRDefault="000C567B" w:rsidP="000C567B">
      <w:pPr>
        <w:pStyle w:val="Indent"/>
        <w:numPr>
          <w:ilvl w:val="0"/>
          <w:numId w:val="0"/>
        </w:numPr>
        <w:spacing w:line="360" w:lineRule="auto"/>
        <w:ind w:left="1440"/>
        <w:rPr>
          <w:i/>
          <w:sz w:val="24"/>
          <w:szCs w:val="24"/>
        </w:rPr>
      </w:pPr>
      <w:r w:rsidRPr="000C567B">
        <w:rPr>
          <w:i/>
          <w:sz w:val="24"/>
          <w:szCs w:val="24"/>
        </w:rPr>
        <w:t xml:space="preserve">“Under Rule 34A(4)(a) and (b) the respondent's (defendant's) position is a strong one because an interim payment can only be ordered if, inter alia, the defendant has in writing admitted liability for </w:t>
      </w:r>
      <w:r w:rsidRPr="000C567B">
        <w:rPr>
          <w:i/>
          <w:sz w:val="24"/>
          <w:szCs w:val="24"/>
        </w:rPr>
        <w:lastRenderedPageBreak/>
        <w:t>the plaintiff's damages, that is to say if the defendant has conceded the merits of the action (which is the case in the present action) ...”</w:t>
      </w:r>
    </w:p>
    <w:p w14:paraId="54233D3B" w14:textId="77777777" w:rsidR="000C567B" w:rsidRDefault="000C567B" w:rsidP="00FE79AB">
      <w:pPr>
        <w:pStyle w:val="Indent"/>
        <w:numPr>
          <w:ilvl w:val="0"/>
          <w:numId w:val="0"/>
        </w:numPr>
      </w:pPr>
      <w:r>
        <w:t>At 498D – E the learned judge continued to state that:</w:t>
      </w:r>
    </w:p>
    <w:p w14:paraId="023FD736" w14:textId="66F0E476" w:rsidR="000C567B" w:rsidRPr="00B224FA" w:rsidRDefault="000C567B" w:rsidP="00FE79AB">
      <w:pPr>
        <w:pStyle w:val="Indent"/>
        <w:numPr>
          <w:ilvl w:val="0"/>
          <w:numId w:val="0"/>
        </w:numPr>
        <w:ind w:left="1440"/>
      </w:pPr>
      <w:r w:rsidRPr="000C567B">
        <w:rPr>
          <w:i/>
          <w:sz w:val="24"/>
          <w:szCs w:val="24"/>
        </w:rPr>
        <w:t>“Rule 33(4) provides, inter alia, that the merits of a claim for damages, ie the defendant's liability for such damages, if any, can be tried separately from the quantum of damages, and in such a case, ie where - as often happens in 'third party' cases - the merits are disposed of by a judgment after such separate trial, no appeal is permissible until the entire case, including the damages aspect as well, has been decided; see Botha v AA Mutual Insurance Association Ltd and Another 1968 (4) SA 485 (A) at 489F - G.”</w:t>
      </w:r>
    </w:p>
    <w:p w14:paraId="19F75824" w14:textId="094B0E6F" w:rsidR="002004AB" w:rsidRDefault="00A44588" w:rsidP="00A44588">
      <w:pPr>
        <w:pStyle w:val="Indent"/>
        <w:numPr>
          <w:ilvl w:val="0"/>
          <w:numId w:val="0"/>
        </w:numPr>
        <w:tabs>
          <w:tab w:val="left" w:pos="0"/>
        </w:tabs>
      </w:pPr>
      <w:r>
        <w:rPr>
          <w:szCs w:val="25"/>
        </w:rPr>
        <w:t>[24]</w:t>
      </w:r>
      <w:r>
        <w:rPr>
          <w:szCs w:val="25"/>
        </w:rPr>
        <w:tab/>
      </w:r>
      <w:r w:rsidR="002004AB">
        <w:t xml:space="preserve">In </w:t>
      </w:r>
      <w:r w:rsidR="002004AB" w:rsidRPr="004931DD">
        <w:rPr>
          <w:b/>
          <w:bCs/>
        </w:rPr>
        <w:t>Alexander</w:t>
      </w:r>
      <w:r w:rsidR="002004AB">
        <w:t xml:space="preserve"> Moultrie AJ in effect held that the Defendant’s acknowledgement of negligence (or contributory negligence) did not satisfy the provisions of Rule 34A(4)(a) to constitute an acknowledgement of liability. </w:t>
      </w:r>
      <w:r w:rsidR="004931DD">
        <w:t>The learned acting judge</w:t>
      </w:r>
      <w:r w:rsidR="002004AB">
        <w:t xml:space="preserve"> came to the conclusion </w:t>
      </w:r>
      <w:r w:rsidR="00FE79AB">
        <w:t xml:space="preserve">(as summarised earlier in this judgment) </w:t>
      </w:r>
      <w:r w:rsidR="002004AB">
        <w:t>with reference to various authorities</w:t>
      </w:r>
      <w:r w:rsidR="004931DD">
        <w:t>,</w:t>
      </w:r>
      <w:r w:rsidR="002004AB">
        <w:t xml:space="preserve"> including </w:t>
      </w:r>
      <w:r w:rsidR="004931DD">
        <w:rPr>
          <w:b/>
        </w:rPr>
        <w:t>Karpakis</w:t>
      </w:r>
      <w:r w:rsidR="004931DD">
        <w:t xml:space="preserve">, </w:t>
      </w:r>
      <w:r w:rsidR="004931DD">
        <w:rPr>
          <w:b/>
        </w:rPr>
        <w:t xml:space="preserve">Tolstrup NO v Kwapa NO </w:t>
      </w:r>
      <w:r w:rsidR="004931DD">
        <w:t xml:space="preserve">2002 (5) SA 73 (W), </w:t>
      </w:r>
      <w:r w:rsidR="004931DD">
        <w:rPr>
          <w:b/>
        </w:rPr>
        <w:t xml:space="preserve">Law Society of South Africa and Others v Minister of Transport and Another </w:t>
      </w:r>
      <w:r w:rsidR="004931DD">
        <w:t xml:space="preserve">2011 (1) SA 400 (CC), </w:t>
      </w:r>
      <w:r w:rsidR="002004AB">
        <w:rPr>
          <w:b/>
        </w:rPr>
        <w:t xml:space="preserve">J v MEC Health, Western Cape </w:t>
      </w:r>
      <w:r w:rsidR="002004AB">
        <w:t xml:space="preserve">[2017] ZAWCHC 75, </w:t>
      </w:r>
      <w:r w:rsidR="002004AB">
        <w:rPr>
          <w:b/>
        </w:rPr>
        <w:t xml:space="preserve">MS v Road Accident Fund </w:t>
      </w:r>
      <w:r w:rsidR="002004AB">
        <w:t xml:space="preserve">[2019] 3 All SA 626 (GJ), </w:t>
      </w:r>
      <w:r w:rsidR="000C567B">
        <w:rPr>
          <w:b/>
        </w:rPr>
        <w:t xml:space="preserve">Kaufmann v The Road Accident Fund </w:t>
      </w:r>
      <w:r w:rsidR="000C567B">
        <w:t xml:space="preserve">2019 JDR 2018 (GJ), </w:t>
      </w:r>
      <w:r w:rsidR="002004AB">
        <w:rPr>
          <w:b/>
        </w:rPr>
        <w:t xml:space="preserve">Apleni v Minister of Police and a Related Matter </w:t>
      </w:r>
      <w:r w:rsidR="002004AB">
        <w:t xml:space="preserve">[2021] JOL </w:t>
      </w:r>
      <w:r w:rsidR="002004AB">
        <w:lastRenderedPageBreak/>
        <w:t>56020 (WCC),</w:t>
      </w:r>
      <w:r w:rsidR="004931DD">
        <w:t xml:space="preserve"> </w:t>
      </w:r>
      <w:r w:rsidR="004931DD" w:rsidRPr="00543E04">
        <w:rPr>
          <w:b/>
        </w:rPr>
        <w:t>Road Accident Fund v Krawa</w:t>
      </w:r>
      <w:r w:rsidR="004931DD">
        <w:t xml:space="preserve"> 2022 (2) SA 346 (ECG)</w:t>
      </w:r>
      <w:r w:rsidR="000C567B">
        <w:t xml:space="preserve">, and </w:t>
      </w:r>
      <w:r w:rsidR="000C567B">
        <w:rPr>
          <w:b/>
        </w:rPr>
        <w:t xml:space="preserve">Mnisi v RAF and Other Related Matters </w:t>
      </w:r>
      <w:r w:rsidR="000C567B">
        <w:t>[2022] JRL 53515 (MM).</w:t>
      </w:r>
      <w:r w:rsidR="002004AB">
        <w:rPr>
          <w:rStyle w:val="FootnoteReference"/>
        </w:rPr>
        <w:footnoteReference w:id="3"/>
      </w:r>
    </w:p>
    <w:p w14:paraId="77DE158E" w14:textId="2B974C08" w:rsidR="002004AB" w:rsidRDefault="00A44588" w:rsidP="00A44588">
      <w:pPr>
        <w:pStyle w:val="Indent"/>
        <w:numPr>
          <w:ilvl w:val="0"/>
          <w:numId w:val="0"/>
        </w:numPr>
        <w:tabs>
          <w:tab w:val="left" w:pos="0"/>
        </w:tabs>
      </w:pPr>
      <w:r>
        <w:rPr>
          <w:szCs w:val="25"/>
        </w:rPr>
        <w:t>[25]</w:t>
      </w:r>
      <w:r>
        <w:rPr>
          <w:szCs w:val="25"/>
        </w:rPr>
        <w:tab/>
      </w:r>
      <w:r w:rsidR="002004AB">
        <w:t>I find the reasoning of Moultrie AJ, as well as th</w:t>
      </w:r>
      <w:r w:rsidR="00FE79AB">
        <w:t>ose</w:t>
      </w:r>
      <w:r w:rsidR="002004AB">
        <w:t xml:space="preserve"> of Fischer J in the </w:t>
      </w:r>
      <w:r w:rsidR="002004AB">
        <w:rPr>
          <w:b/>
        </w:rPr>
        <w:t>MS v Road Accident Fund</w:t>
      </w:r>
      <w:r w:rsidR="002004AB">
        <w:t>, and Roestof A</w:t>
      </w:r>
      <w:r w:rsidR="000C567B">
        <w:t>J</w:t>
      </w:r>
      <w:r w:rsidR="002004AB">
        <w:t xml:space="preserve"> in </w:t>
      </w:r>
      <w:r w:rsidR="002004AB">
        <w:rPr>
          <w:b/>
        </w:rPr>
        <w:t>Mnisi</w:t>
      </w:r>
      <w:r w:rsidR="000C567B" w:rsidRPr="000C567B">
        <w:rPr>
          <w:bCs/>
        </w:rPr>
        <w:t>,</w:t>
      </w:r>
      <w:r w:rsidR="000C567B">
        <w:rPr>
          <w:b/>
        </w:rPr>
        <w:t xml:space="preserve"> </w:t>
      </w:r>
      <w:r w:rsidR="002004AB">
        <w:t xml:space="preserve">persuasive. </w:t>
      </w:r>
      <w:r w:rsidR="00FE79AB">
        <w:t xml:space="preserve">For the reasons already dealt with in this judgment I am in full agreement with Moultrie AJ (in </w:t>
      </w:r>
      <w:r w:rsidR="00FE79AB">
        <w:rPr>
          <w:b/>
          <w:bCs/>
        </w:rPr>
        <w:t>Alexander</w:t>
      </w:r>
      <w:r w:rsidR="00FE79AB">
        <w:t>)</w:t>
      </w:r>
      <w:r w:rsidR="00FE79AB">
        <w:rPr>
          <w:b/>
          <w:bCs/>
        </w:rPr>
        <w:t xml:space="preserve"> </w:t>
      </w:r>
      <w:r w:rsidR="00FE79AB">
        <w:t xml:space="preserve">and Roestof AJ (in </w:t>
      </w:r>
      <w:r w:rsidR="00FE79AB">
        <w:rPr>
          <w:b/>
        </w:rPr>
        <w:t>Mnisi</w:t>
      </w:r>
      <w:r w:rsidR="00FE79AB">
        <w:t xml:space="preserve">) that Fischer J (in </w:t>
      </w:r>
      <w:r w:rsidR="00FE79AB">
        <w:rPr>
          <w:b/>
        </w:rPr>
        <w:t>MS v Road Accident Fund</w:t>
      </w:r>
      <w:r w:rsidR="00FE79AB">
        <w:t>) was quite correct in setting out that liability is not limited to negligence only.</w:t>
      </w:r>
    </w:p>
    <w:p w14:paraId="5003C267" w14:textId="40D44CE9" w:rsidR="00FE79AB" w:rsidRDefault="00A44588" w:rsidP="00A44588">
      <w:pPr>
        <w:pStyle w:val="Indent"/>
        <w:numPr>
          <w:ilvl w:val="0"/>
          <w:numId w:val="0"/>
        </w:numPr>
        <w:tabs>
          <w:tab w:val="left" w:pos="0"/>
        </w:tabs>
      </w:pPr>
      <w:r>
        <w:rPr>
          <w:szCs w:val="25"/>
        </w:rPr>
        <w:t>[26]</w:t>
      </w:r>
      <w:r>
        <w:rPr>
          <w:szCs w:val="25"/>
        </w:rPr>
        <w:tab/>
      </w:r>
      <w:r w:rsidR="002004AB">
        <w:t xml:space="preserve">The Applicants’ counsel further submitted that Moultrie AJ misconstrued the </w:t>
      </w:r>
      <w:r w:rsidR="002004AB">
        <w:rPr>
          <w:b/>
        </w:rPr>
        <w:t>Apleni</w:t>
      </w:r>
      <w:r w:rsidR="002004AB">
        <w:t xml:space="preserve"> judgment and that </w:t>
      </w:r>
      <w:r w:rsidR="00FE79AB" w:rsidRPr="00BC0D30">
        <w:t>same</w:t>
      </w:r>
      <w:r w:rsidR="00FE79AB">
        <w:t xml:space="preserve"> </w:t>
      </w:r>
      <w:r w:rsidR="00FE79AB" w:rsidRPr="00BD6B92">
        <w:t>is</w:t>
      </w:r>
      <w:r w:rsidR="00FE79AB">
        <w:t xml:space="preserve"> authority for the proposition that </w:t>
      </w:r>
      <w:r w:rsidR="002004AB">
        <w:t>the acknowledgement of liability of negligence suffices for purposes of Rule 34A(4)(a).</w:t>
      </w:r>
      <w:r w:rsidR="00FE79AB">
        <w:t xml:space="preserve"> I disagree. In </w:t>
      </w:r>
      <w:r w:rsidR="00FE79AB">
        <w:rPr>
          <w:b/>
        </w:rPr>
        <w:t>Apleni</w:t>
      </w:r>
      <w:r w:rsidR="00FE79AB" w:rsidRPr="00587974">
        <w:t>, on the</w:t>
      </w:r>
      <w:r w:rsidR="00FE79AB">
        <w:t xml:space="preserve"> pleadings, all remaining elements for liability, save the quantum of the damages, was clearly taken out of dispute. Mangcu-Lockwood J quoted paragraphs 12 and 13 of the summons </w:t>
      </w:r>
      <w:r w:rsidR="00AA3FF2">
        <w:t xml:space="preserve">which are reported to have </w:t>
      </w:r>
      <w:r w:rsidR="00FE79AB">
        <w:t>stated as follows</w:t>
      </w:r>
      <w:r w:rsidR="00AA3FF2">
        <w:t xml:space="preserve"> (at par. 4)</w:t>
      </w:r>
      <w:r w:rsidR="00FE79AB">
        <w:t>:</w:t>
      </w:r>
    </w:p>
    <w:p w14:paraId="3B45CAC0" w14:textId="77777777" w:rsidR="00FE79AB" w:rsidRPr="00AA3FF2" w:rsidRDefault="00FE79AB" w:rsidP="00AA3FF2">
      <w:pPr>
        <w:pStyle w:val="Indent"/>
        <w:numPr>
          <w:ilvl w:val="0"/>
          <w:numId w:val="0"/>
        </w:numPr>
        <w:spacing w:line="360" w:lineRule="auto"/>
        <w:ind w:left="1440" w:hanging="590"/>
        <w:rPr>
          <w:i/>
          <w:sz w:val="24"/>
          <w:szCs w:val="24"/>
        </w:rPr>
      </w:pPr>
      <w:r w:rsidRPr="00AA3FF2">
        <w:rPr>
          <w:i/>
          <w:sz w:val="24"/>
          <w:szCs w:val="24"/>
        </w:rPr>
        <w:t>“12.</w:t>
      </w:r>
      <w:r w:rsidRPr="00AA3FF2">
        <w:rPr>
          <w:i/>
          <w:sz w:val="24"/>
          <w:szCs w:val="24"/>
        </w:rPr>
        <w:tab/>
        <w:t>The members of SAPS fatally shot two (2) staff members and three (3) of them sustained serious gunshot wounds.</w:t>
      </w:r>
    </w:p>
    <w:p w14:paraId="7F7FFFB6" w14:textId="1AEE2436" w:rsidR="00FE79AB" w:rsidRPr="00AA3FF2" w:rsidRDefault="00FE79AB" w:rsidP="00AA3FF2">
      <w:pPr>
        <w:pStyle w:val="Indent"/>
        <w:numPr>
          <w:ilvl w:val="0"/>
          <w:numId w:val="0"/>
        </w:numPr>
        <w:spacing w:line="360" w:lineRule="auto"/>
        <w:ind w:left="1440" w:hanging="590"/>
        <w:rPr>
          <w:i/>
          <w:sz w:val="24"/>
          <w:szCs w:val="24"/>
        </w:rPr>
      </w:pPr>
      <w:r w:rsidRPr="00AA3FF2">
        <w:rPr>
          <w:i/>
          <w:sz w:val="24"/>
          <w:szCs w:val="24"/>
        </w:rPr>
        <w:lastRenderedPageBreak/>
        <w:t>13.</w:t>
      </w:r>
      <w:r w:rsidRPr="00AA3FF2">
        <w:rPr>
          <w:i/>
          <w:sz w:val="24"/>
          <w:szCs w:val="24"/>
        </w:rPr>
        <w:tab/>
        <w:t>The members of SAPS wrongfully and negligently shot the Plaintiff.</w:t>
      </w:r>
      <w:r w:rsidR="00AA3FF2" w:rsidRPr="00AA3FF2">
        <w:rPr>
          <w:i/>
          <w:sz w:val="24"/>
          <w:szCs w:val="24"/>
        </w:rPr>
        <w:t>”</w:t>
      </w:r>
    </w:p>
    <w:p w14:paraId="6C81F2C2" w14:textId="7854B6C9" w:rsidR="00FE79AB" w:rsidRPr="00AA3FF2" w:rsidRDefault="00FE79AB" w:rsidP="00AA3FF2">
      <w:pPr>
        <w:pStyle w:val="Indent"/>
        <w:numPr>
          <w:ilvl w:val="0"/>
          <w:numId w:val="0"/>
        </w:numPr>
        <w:rPr>
          <w:iCs/>
        </w:rPr>
      </w:pPr>
      <w:r w:rsidRPr="00AA3FF2">
        <w:rPr>
          <w:iCs/>
        </w:rPr>
        <w:t xml:space="preserve">The response in the plea was </w:t>
      </w:r>
      <w:r w:rsidR="00AA3FF2" w:rsidRPr="00AA3FF2">
        <w:rPr>
          <w:iCs/>
        </w:rPr>
        <w:t>reported to have recorded as follows</w:t>
      </w:r>
      <w:r w:rsidR="00AA3FF2">
        <w:rPr>
          <w:iCs/>
        </w:rPr>
        <w:t xml:space="preserve"> (at par. 5)</w:t>
      </w:r>
      <w:r w:rsidRPr="00AA3FF2">
        <w:rPr>
          <w:iCs/>
        </w:rPr>
        <w:t>:</w:t>
      </w:r>
    </w:p>
    <w:p w14:paraId="504AF03D" w14:textId="0D0ECF22" w:rsidR="00FE79AB" w:rsidRPr="00AA3FF2" w:rsidRDefault="00FE79AB" w:rsidP="00AA3FF2">
      <w:pPr>
        <w:pStyle w:val="Indent"/>
        <w:numPr>
          <w:ilvl w:val="0"/>
          <w:numId w:val="0"/>
        </w:numPr>
        <w:spacing w:line="360" w:lineRule="auto"/>
        <w:ind w:left="1440" w:hanging="590"/>
        <w:rPr>
          <w:i/>
          <w:sz w:val="24"/>
          <w:szCs w:val="24"/>
        </w:rPr>
      </w:pPr>
      <w:r w:rsidRPr="00AA3FF2">
        <w:rPr>
          <w:i/>
          <w:sz w:val="24"/>
          <w:szCs w:val="24"/>
        </w:rPr>
        <w:t>“Ad paragraphs 12 &amp; 13</w:t>
      </w:r>
    </w:p>
    <w:p w14:paraId="65EF466C" w14:textId="77777777" w:rsidR="00FE79AB" w:rsidRPr="00AA3FF2" w:rsidRDefault="00FE79AB" w:rsidP="00AA3FF2">
      <w:pPr>
        <w:pStyle w:val="Indent"/>
        <w:numPr>
          <w:ilvl w:val="0"/>
          <w:numId w:val="0"/>
        </w:numPr>
        <w:spacing w:line="360" w:lineRule="auto"/>
        <w:ind w:left="1435" w:hanging="585"/>
        <w:rPr>
          <w:i/>
          <w:sz w:val="24"/>
          <w:szCs w:val="24"/>
        </w:rPr>
      </w:pPr>
      <w:r w:rsidRPr="00AA3FF2">
        <w:rPr>
          <w:i/>
          <w:sz w:val="24"/>
          <w:szCs w:val="24"/>
        </w:rPr>
        <w:t>13.</w:t>
      </w:r>
      <w:r w:rsidRPr="00AA3FF2">
        <w:rPr>
          <w:i/>
          <w:sz w:val="24"/>
          <w:szCs w:val="24"/>
        </w:rPr>
        <w:tab/>
        <w:t>Defendant admits that specific passengers travelling in the Quantum were found to have been fatally wounded and that certain other passengers, including Plaintiff, were found to have been injured in that Plaintiff had been shot by the police.</w:t>
      </w:r>
    </w:p>
    <w:p w14:paraId="276D9D83" w14:textId="77777777" w:rsidR="00FE79AB" w:rsidRDefault="00FE79AB" w:rsidP="00AA3FF2">
      <w:pPr>
        <w:pStyle w:val="Indent"/>
        <w:numPr>
          <w:ilvl w:val="0"/>
          <w:numId w:val="0"/>
        </w:numPr>
        <w:spacing w:line="360" w:lineRule="auto"/>
        <w:ind w:left="1435" w:hanging="715"/>
        <w:rPr>
          <w:i/>
        </w:rPr>
      </w:pPr>
      <w:r w:rsidRPr="00AA3FF2">
        <w:rPr>
          <w:i/>
          <w:sz w:val="24"/>
          <w:szCs w:val="24"/>
        </w:rPr>
        <w:t>14.</w:t>
      </w:r>
      <w:r w:rsidRPr="00AA3FF2">
        <w:rPr>
          <w:i/>
          <w:sz w:val="24"/>
          <w:szCs w:val="24"/>
        </w:rPr>
        <w:tab/>
        <w:t>Defendant admits the shooting of the Plaintiff was unjustified and consequently wrongful.”</w:t>
      </w:r>
    </w:p>
    <w:p w14:paraId="1DEDE771" w14:textId="482B5121" w:rsidR="002004AB" w:rsidRDefault="00A44588" w:rsidP="00A44588">
      <w:pPr>
        <w:pStyle w:val="Indent"/>
        <w:numPr>
          <w:ilvl w:val="0"/>
          <w:numId w:val="0"/>
        </w:numPr>
        <w:tabs>
          <w:tab w:val="left" w:pos="0"/>
        </w:tabs>
      </w:pPr>
      <w:r>
        <w:rPr>
          <w:szCs w:val="25"/>
        </w:rPr>
        <w:t>[27]</w:t>
      </w:r>
      <w:r>
        <w:rPr>
          <w:szCs w:val="25"/>
        </w:rPr>
        <w:tab/>
      </w:r>
      <w:r w:rsidR="00FE79AB">
        <w:t>It is in that context that paragraph 11 of the judgment by Mangcu-Lockwood J is to be understood. Thus questions of causality, conduct and wrongfulness were conceded</w:t>
      </w:r>
      <w:r w:rsidR="00AA3FF2">
        <w:t>,</w:t>
      </w:r>
      <w:r w:rsidR="00FE79AB">
        <w:t xml:space="preserve"> </w:t>
      </w:r>
      <w:r w:rsidR="00AA3FF2">
        <w:t xml:space="preserve">and </w:t>
      </w:r>
      <w:r w:rsidR="00FE79AB">
        <w:t xml:space="preserve">patently so. The only thing that I was unable to discern from the judgment was the issue of negligence, however, as there had been no suggestion from the judgment that there was a denial of negligence or a plea of contributory negligence or it seems to me that </w:t>
      </w:r>
      <w:r w:rsidR="00AA3FF2">
        <w:t>same may have been agreed to between</w:t>
      </w:r>
      <w:r w:rsidR="00FE79AB">
        <w:t xml:space="preserve"> the parties, and especially having regard to the nature of the argument presented on behalf of the Defendant in that matter, that it was accepted that negligence was also conceded.</w:t>
      </w:r>
    </w:p>
    <w:p w14:paraId="0E868463" w14:textId="19F0DBC2" w:rsidR="00AA3FF2" w:rsidRDefault="00A44588" w:rsidP="00A44588">
      <w:pPr>
        <w:pStyle w:val="Indent"/>
        <w:numPr>
          <w:ilvl w:val="0"/>
          <w:numId w:val="0"/>
        </w:numPr>
        <w:tabs>
          <w:tab w:val="left" w:pos="0"/>
        </w:tabs>
      </w:pPr>
      <w:r>
        <w:rPr>
          <w:szCs w:val="25"/>
        </w:rPr>
        <w:t>[28]</w:t>
      </w:r>
      <w:r>
        <w:rPr>
          <w:szCs w:val="25"/>
        </w:rPr>
        <w:tab/>
      </w:r>
      <w:r w:rsidR="002004AB">
        <w:t xml:space="preserve"> Insofar as the Applicants seek to place reliance on </w:t>
      </w:r>
      <w:r w:rsidR="002004AB">
        <w:rPr>
          <w:b/>
        </w:rPr>
        <w:t xml:space="preserve">Karpakis </w:t>
      </w:r>
      <w:r w:rsidR="00AA3FF2">
        <w:t>as authority for the proposition that</w:t>
      </w:r>
      <w:r w:rsidR="002004AB">
        <w:t xml:space="preserve"> an acknowledgement of negligence to </w:t>
      </w:r>
      <w:r w:rsidR="002004AB">
        <w:lastRenderedPageBreak/>
        <w:t xml:space="preserve">constitute compliance with acknowledgement of liability for purposes of Rule 34A(4)(a), </w:t>
      </w:r>
      <w:r w:rsidR="001102CB">
        <w:t>the reliance is misplaced</w:t>
      </w:r>
      <w:r w:rsidR="002004AB">
        <w:t xml:space="preserve">.  In </w:t>
      </w:r>
      <w:r w:rsidR="002004AB">
        <w:rPr>
          <w:b/>
        </w:rPr>
        <w:t>Karpakis</w:t>
      </w:r>
      <w:r w:rsidR="002004AB">
        <w:t xml:space="preserve">, Lichtenberg J consistently distinguished between the issue of liability and the issue of quantum of the Plaintiffs’ alleged damages.  In that case, it was the issue of liability </w:t>
      </w:r>
      <w:r w:rsidR="001102CB">
        <w:t xml:space="preserve">(i.e. all the elements of a delict) </w:t>
      </w:r>
      <w:r w:rsidR="002004AB">
        <w:t xml:space="preserve">that was conceded by the Defendant and thus the only issue remaining was the quantum </w:t>
      </w:r>
      <w:r w:rsidR="001102CB">
        <w:t xml:space="preserve">(i.e. the extent) </w:t>
      </w:r>
      <w:r w:rsidR="002004AB">
        <w:t xml:space="preserve">of the Plaintiff’s alleged damages (at 491D – E). In the part of the judgment in </w:t>
      </w:r>
      <w:r w:rsidR="002004AB">
        <w:rPr>
          <w:b/>
        </w:rPr>
        <w:t xml:space="preserve">Karpakis </w:t>
      </w:r>
      <w:r w:rsidR="002004AB">
        <w:t xml:space="preserve">already quoted above </w:t>
      </w:r>
      <w:r w:rsidR="00AA3FF2">
        <w:t>(</w:t>
      </w:r>
      <w:r w:rsidR="002004AB">
        <w:t>at 498D</w:t>
      </w:r>
      <w:r w:rsidR="00AA3FF2">
        <w:t>)</w:t>
      </w:r>
      <w:r w:rsidR="002004AB">
        <w:t>, Lichtenberg J again clearly distinguished between the principles of liability for damages, on the one hand, and the quantum of damages on the other.</w:t>
      </w:r>
    </w:p>
    <w:p w14:paraId="4A603694" w14:textId="4A076D17" w:rsidR="00AA3FF2" w:rsidRDefault="00A44588" w:rsidP="00A44588">
      <w:pPr>
        <w:pStyle w:val="Indent"/>
        <w:numPr>
          <w:ilvl w:val="0"/>
          <w:numId w:val="0"/>
        </w:numPr>
        <w:tabs>
          <w:tab w:val="left" w:pos="0"/>
        </w:tabs>
      </w:pPr>
      <w:r>
        <w:rPr>
          <w:szCs w:val="25"/>
        </w:rPr>
        <w:t>[29]</w:t>
      </w:r>
      <w:r>
        <w:rPr>
          <w:szCs w:val="25"/>
        </w:rPr>
        <w:tab/>
      </w:r>
      <w:r w:rsidR="002004AB">
        <w:t xml:space="preserve">I have not been able to find any interpretive aid or authority to suggest that the word </w:t>
      </w:r>
      <w:r w:rsidR="002004AB" w:rsidRPr="00AA3FF2">
        <w:rPr>
          <w:i/>
        </w:rPr>
        <w:t>“liability”</w:t>
      </w:r>
      <w:r w:rsidR="002004AB">
        <w:t xml:space="preserve"> in Rule 34A(4)(a) may be limited</w:t>
      </w:r>
      <w:r w:rsidR="00AA3FF2">
        <w:t xml:space="preserve"> to negligence</w:t>
      </w:r>
      <w:r w:rsidR="002004AB">
        <w:t xml:space="preserve">.  To the contrary, </w:t>
      </w:r>
      <w:r w:rsidR="002004AB" w:rsidRPr="00AA3FF2">
        <w:rPr>
          <w:b/>
        </w:rPr>
        <w:t>Karpakis</w:t>
      </w:r>
      <w:r w:rsidR="002004AB">
        <w:t xml:space="preserve">, which seems to me to be exceptionally comprehensively reasoned and considered, which forms the basis for the judgment in </w:t>
      </w:r>
      <w:r w:rsidR="002004AB" w:rsidRPr="00AA3FF2">
        <w:rPr>
          <w:b/>
        </w:rPr>
        <w:t>Apleni</w:t>
      </w:r>
      <w:r w:rsidR="002004AB">
        <w:t xml:space="preserve">, and upon which the </w:t>
      </w:r>
      <w:r w:rsidR="00AA3FF2">
        <w:t>Plaintiff</w:t>
      </w:r>
      <w:r w:rsidR="002004AB">
        <w:t xml:space="preserve">s rely, itself emphasises the importance of the safeguard that the written acknowledgement of liability puts in place. That safeguard is not detracted </w:t>
      </w:r>
      <w:r w:rsidR="00AA3FF2">
        <w:t xml:space="preserve">from in my view </w:t>
      </w:r>
      <w:r w:rsidR="002004AB">
        <w:t xml:space="preserve">in any way by anything else stated in the judgment by Lichtenberg J.  </w:t>
      </w:r>
    </w:p>
    <w:p w14:paraId="731CEC2E" w14:textId="1C642C62" w:rsidR="00AA3FF2" w:rsidRDefault="00A44588" w:rsidP="00A44588">
      <w:pPr>
        <w:pStyle w:val="Indent"/>
        <w:numPr>
          <w:ilvl w:val="0"/>
          <w:numId w:val="0"/>
        </w:numPr>
        <w:tabs>
          <w:tab w:val="left" w:pos="0"/>
        </w:tabs>
      </w:pPr>
      <w:r>
        <w:rPr>
          <w:szCs w:val="25"/>
        </w:rPr>
        <w:t>[30]</w:t>
      </w:r>
      <w:r>
        <w:rPr>
          <w:szCs w:val="25"/>
        </w:rPr>
        <w:tab/>
      </w:r>
      <w:r w:rsidR="002004AB">
        <w:t xml:space="preserve">There is thus no merit in the submission that Moultrie AJ did not consider </w:t>
      </w:r>
      <w:r w:rsidR="002004AB" w:rsidRPr="00AA3FF2">
        <w:rPr>
          <w:b/>
        </w:rPr>
        <w:t>Apleni’s</w:t>
      </w:r>
      <w:r w:rsidR="002004AB">
        <w:t xml:space="preserve"> judgment on the principle of Rule 34A(1) as submitted in the </w:t>
      </w:r>
      <w:r w:rsidR="00AA3FF2">
        <w:t>Plaintiffs</w:t>
      </w:r>
      <w:r w:rsidR="002004AB">
        <w:t xml:space="preserve">’ practice note. </w:t>
      </w:r>
      <w:r w:rsidR="00AA3FF2">
        <w:t>As I have already stated, i</w:t>
      </w:r>
      <w:r w:rsidR="002004AB">
        <w:t xml:space="preserve">t is conspicuous from the judgment of </w:t>
      </w:r>
      <w:r w:rsidR="002004AB" w:rsidRPr="00AA3FF2">
        <w:rPr>
          <w:b/>
        </w:rPr>
        <w:lastRenderedPageBreak/>
        <w:t>Karpakis</w:t>
      </w:r>
      <w:r w:rsidR="002004AB">
        <w:t xml:space="preserve"> and Rule 34A itself, that 34A(1) is to be read with the safeguard of Rule 34A(4)(a) applicable </w:t>
      </w:r>
      <w:r w:rsidR="002004AB" w:rsidRPr="00AA3FF2">
        <w:rPr>
          <w:i/>
        </w:rPr>
        <w:t>in casu</w:t>
      </w:r>
      <w:r w:rsidR="002004AB">
        <w:t>.</w:t>
      </w:r>
      <w:r w:rsidR="001102CB">
        <w:t xml:space="preserve"> Even if that weren’t the case, the qualification by section 17(1) of a third party’s right to interim payments </w:t>
      </w:r>
      <w:r w:rsidR="00D00FC5">
        <w:t xml:space="preserve">in terms of section 17(6) of the RAF Act </w:t>
      </w:r>
      <w:r w:rsidR="001102CB">
        <w:t>has the same effect</w:t>
      </w:r>
      <w:r w:rsidR="00D00FC5">
        <w:t xml:space="preserve"> and safeguards, in effect, as Rule 34A(4)(a). </w:t>
      </w:r>
    </w:p>
    <w:p w14:paraId="34D242B8" w14:textId="1C9BB464" w:rsidR="00AA3FF2" w:rsidRDefault="00A44588" w:rsidP="00A44588">
      <w:pPr>
        <w:pStyle w:val="Indent"/>
        <w:numPr>
          <w:ilvl w:val="0"/>
          <w:numId w:val="0"/>
        </w:numPr>
        <w:tabs>
          <w:tab w:val="left" w:pos="0"/>
        </w:tabs>
      </w:pPr>
      <w:r>
        <w:rPr>
          <w:szCs w:val="25"/>
        </w:rPr>
        <w:t>[31]</w:t>
      </w:r>
      <w:r>
        <w:rPr>
          <w:szCs w:val="25"/>
        </w:rPr>
        <w:tab/>
      </w:r>
      <w:r w:rsidR="002004AB">
        <w:t xml:space="preserve">The argument on behalf of the </w:t>
      </w:r>
      <w:r w:rsidR="00AA3FF2">
        <w:t>Plaintiffs</w:t>
      </w:r>
      <w:r w:rsidR="002004AB">
        <w:t xml:space="preserve"> that they may approach the court on good cause shown in terms of Rule 34A(3) is similarly misplaced.  That is true as a general proposition, but in no way supports </w:t>
      </w:r>
      <w:r w:rsidR="00D00FC5">
        <w:t>an</w:t>
      </w:r>
      <w:r w:rsidR="002004AB">
        <w:t xml:space="preserve"> entitlement of the </w:t>
      </w:r>
      <w:r w:rsidR="00AA3FF2">
        <w:t>Plaintiffs</w:t>
      </w:r>
      <w:r w:rsidR="002004AB">
        <w:t xml:space="preserve"> to the relief claimed presently, nor in some way</w:t>
      </w:r>
      <w:r w:rsidR="00AA3FF2">
        <w:t xml:space="preserve"> could it</w:t>
      </w:r>
      <w:r w:rsidR="002004AB">
        <w:t xml:space="preserve"> circumvent the safeguard as provided for in Rule 34A(4)(a).</w:t>
      </w:r>
    </w:p>
    <w:p w14:paraId="759FDF0A" w14:textId="50064BED" w:rsidR="006A43A1" w:rsidRDefault="00A44588" w:rsidP="00A44588">
      <w:pPr>
        <w:pStyle w:val="Indent"/>
        <w:numPr>
          <w:ilvl w:val="0"/>
          <w:numId w:val="0"/>
        </w:numPr>
        <w:tabs>
          <w:tab w:val="left" w:pos="0"/>
        </w:tabs>
      </w:pPr>
      <w:r>
        <w:rPr>
          <w:szCs w:val="25"/>
        </w:rPr>
        <w:t>[32]</w:t>
      </w:r>
      <w:r>
        <w:rPr>
          <w:szCs w:val="25"/>
        </w:rPr>
        <w:tab/>
      </w:r>
      <w:r w:rsidR="002004AB">
        <w:t xml:space="preserve">Finally, </w:t>
      </w:r>
      <w:r w:rsidR="006A43A1">
        <w:t>similarly misplaced</w:t>
      </w:r>
      <w:r w:rsidR="002004AB">
        <w:t xml:space="preserve"> is the attempted reliance on </w:t>
      </w:r>
      <w:r w:rsidR="00AA3FF2">
        <w:t>s</w:t>
      </w:r>
      <w:r w:rsidR="002004AB">
        <w:t xml:space="preserve">ections 17 and 18 of the </w:t>
      </w:r>
      <w:r w:rsidR="00AA3FF2">
        <w:t>RAF Act</w:t>
      </w:r>
      <w:r w:rsidR="002004AB">
        <w:t xml:space="preserve"> for the proposition that same somehow reduces the provisions of Rule 34A to some </w:t>
      </w:r>
      <w:r w:rsidR="00D00FC5">
        <w:t>hollow provision</w:t>
      </w:r>
      <w:r w:rsidR="002004AB">
        <w:t xml:space="preserve"> applicable</w:t>
      </w:r>
      <w:r w:rsidR="00D00FC5">
        <w:t xml:space="preserve"> only to the extent of being</w:t>
      </w:r>
      <w:r w:rsidR="002004AB">
        <w:t xml:space="preserve"> </w:t>
      </w:r>
      <w:r w:rsidR="002004AB" w:rsidRPr="00BC0D30">
        <w:t>a</w:t>
      </w:r>
      <w:r w:rsidR="002004AB">
        <w:t xml:space="preserve"> </w:t>
      </w:r>
      <w:r w:rsidR="00D00FC5">
        <w:t>box to be ticket</w:t>
      </w:r>
      <w:r w:rsidR="002004AB">
        <w:t xml:space="preserve"> to have the applications placed before a court. </w:t>
      </w:r>
      <w:r w:rsidR="002004AB" w:rsidRPr="00AA3FF2">
        <w:rPr>
          <w:b/>
        </w:rPr>
        <w:t xml:space="preserve">Karpakis </w:t>
      </w:r>
      <w:r w:rsidR="002004AB">
        <w:t xml:space="preserve">quite comprehensively explains the context of Rule 34A when seeking to enforce a substantive right as the Applicants attempt to do presently through the provisions of </w:t>
      </w:r>
      <w:r w:rsidR="006A43A1">
        <w:t>s</w:t>
      </w:r>
      <w:r w:rsidR="002004AB">
        <w:t xml:space="preserve">ection 17(6) </w:t>
      </w:r>
      <w:r w:rsidR="006A43A1">
        <w:t xml:space="preserve">read with section 17(1) </w:t>
      </w:r>
      <w:r w:rsidR="002004AB">
        <w:t xml:space="preserve">of the </w:t>
      </w:r>
      <w:r w:rsidR="006A43A1">
        <w:t xml:space="preserve">RAF </w:t>
      </w:r>
      <w:r w:rsidR="002004AB">
        <w:t>Act.</w:t>
      </w:r>
    </w:p>
    <w:p w14:paraId="37D11C33" w14:textId="68B056FE" w:rsidR="002004AB" w:rsidRPr="006A43A1" w:rsidRDefault="00A44588" w:rsidP="00A44588">
      <w:pPr>
        <w:pStyle w:val="Indent"/>
        <w:numPr>
          <w:ilvl w:val="0"/>
          <w:numId w:val="0"/>
        </w:numPr>
        <w:tabs>
          <w:tab w:val="left" w:pos="0"/>
        </w:tabs>
      </w:pPr>
      <w:r w:rsidRPr="006A43A1">
        <w:rPr>
          <w:szCs w:val="25"/>
        </w:rPr>
        <w:t>[33]</w:t>
      </w:r>
      <w:r w:rsidRPr="006A43A1">
        <w:rPr>
          <w:szCs w:val="25"/>
        </w:rPr>
        <w:tab/>
      </w:r>
      <w:r w:rsidR="002004AB">
        <w:t>Accordingly, I make the following order in relation to the applications for interim payments in terms of Rule 34A in each of the above matters:</w:t>
      </w:r>
    </w:p>
    <w:p w14:paraId="6C3390E3" w14:textId="77777777" w:rsidR="002004AB" w:rsidRDefault="002004AB" w:rsidP="002004AB">
      <w:pPr>
        <w:pStyle w:val="Indent"/>
        <w:numPr>
          <w:ilvl w:val="0"/>
          <w:numId w:val="0"/>
        </w:numPr>
        <w:ind w:left="850"/>
      </w:pPr>
      <w:r>
        <w:lastRenderedPageBreak/>
        <w:t>(i)</w:t>
      </w:r>
      <w:r>
        <w:tab/>
        <w:t>The application is dismissed;</w:t>
      </w:r>
    </w:p>
    <w:p w14:paraId="114A55CB" w14:textId="77777777" w:rsidR="002004AB" w:rsidRDefault="002004AB" w:rsidP="002004AB">
      <w:pPr>
        <w:pStyle w:val="Indent"/>
        <w:numPr>
          <w:ilvl w:val="0"/>
          <w:numId w:val="0"/>
        </w:numPr>
        <w:ind w:left="850"/>
      </w:pPr>
      <w:r>
        <w:t>(ii)</w:t>
      </w:r>
      <w:r>
        <w:tab/>
        <w:t>There is no order as to costs.</w:t>
      </w:r>
    </w:p>
    <w:p w14:paraId="67CCD491" w14:textId="25EFDE3F" w:rsidR="00121756" w:rsidRDefault="00121756" w:rsidP="002004AB">
      <w:pPr>
        <w:spacing w:after="0" w:line="240" w:lineRule="auto"/>
        <w:rPr>
          <w:rFonts w:cs="Arial"/>
        </w:rPr>
      </w:pPr>
    </w:p>
    <w:p w14:paraId="01AB0EC2" w14:textId="77777777" w:rsidR="00121756" w:rsidRDefault="00121756" w:rsidP="002004AB">
      <w:pPr>
        <w:spacing w:after="0" w:line="240" w:lineRule="auto"/>
        <w:rPr>
          <w:b/>
        </w:rPr>
      </w:pPr>
    </w:p>
    <w:p w14:paraId="6BCA1400" w14:textId="206F4593" w:rsidR="002004AB" w:rsidRDefault="002004AB" w:rsidP="002004AB">
      <w:pPr>
        <w:spacing w:after="0" w:line="240" w:lineRule="auto"/>
      </w:pPr>
      <w:r>
        <w:rPr>
          <w:b/>
        </w:rPr>
        <w:t>H P VAN NIEUWENHUIZEN AJ</w:t>
      </w:r>
    </w:p>
    <w:p w14:paraId="426E3A3D" w14:textId="77777777" w:rsidR="002004AB" w:rsidRDefault="002004AB" w:rsidP="002004AB">
      <w:pPr>
        <w:spacing w:after="0" w:line="240" w:lineRule="auto"/>
      </w:pPr>
      <w:r>
        <w:t>Acting Judge of the High Court</w:t>
      </w:r>
    </w:p>
    <w:p w14:paraId="19BD01EA" w14:textId="77777777" w:rsidR="002004AB" w:rsidRDefault="002004AB" w:rsidP="002004AB">
      <w:pPr>
        <w:spacing w:after="0" w:line="240" w:lineRule="auto"/>
      </w:pPr>
      <w:smartTag w:uri="urn:schemas-microsoft-com:office:smarttags" w:element="State">
        <w:r>
          <w:t>Gauteng</w:t>
        </w:r>
      </w:smartTag>
      <w:r>
        <w:t xml:space="preserve"> Division, </w:t>
      </w:r>
      <w:smartTag w:uri="urn:schemas-microsoft-com:office:smarttags" w:element="place">
        <w:smartTag w:uri="urn:schemas-microsoft-com:office:smarttags" w:element="City">
          <w:r>
            <w:t>Johannesburg</w:t>
          </w:r>
        </w:smartTag>
      </w:smartTag>
    </w:p>
    <w:p w14:paraId="02FF39FD" w14:textId="77777777" w:rsidR="002004AB" w:rsidRDefault="002004AB" w:rsidP="002004AB">
      <w:pPr>
        <w:spacing w:after="0" w:line="240" w:lineRule="auto"/>
      </w:pPr>
    </w:p>
    <w:p w14:paraId="1460596F" w14:textId="5712B8E8" w:rsidR="002004AB" w:rsidRDefault="002004AB" w:rsidP="002004AB">
      <w:pPr>
        <w:spacing w:after="0" w:line="240" w:lineRule="auto"/>
      </w:pPr>
      <w:r>
        <w:t>Date heard:</w:t>
      </w:r>
      <w:r>
        <w:tab/>
      </w:r>
      <w:r>
        <w:tab/>
        <w:t>21 February 2023</w:t>
      </w:r>
    </w:p>
    <w:p w14:paraId="4F53A57B" w14:textId="0408F8B0" w:rsidR="002004AB" w:rsidRDefault="002004AB" w:rsidP="002004AB">
      <w:pPr>
        <w:spacing w:after="0" w:line="240" w:lineRule="auto"/>
      </w:pPr>
      <w:r>
        <w:t>Judgment Delivered:</w:t>
      </w:r>
      <w:r>
        <w:tab/>
        <w:t>2</w:t>
      </w:r>
      <w:r w:rsidR="006A43A1">
        <w:t>4</w:t>
      </w:r>
      <w:r>
        <w:t xml:space="preserve"> February 2023</w:t>
      </w:r>
    </w:p>
    <w:p w14:paraId="57004C54" w14:textId="77777777" w:rsidR="002004AB" w:rsidRDefault="002004AB" w:rsidP="002004AB">
      <w:pPr>
        <w:spacing w:after="0" w:line="240" w:lineRule="auto"/>
      </w:pPr>
    </w:p>
    <w:p w14:paraId="417D1AE4" w14:textId="77777777" w:rsidR="002004AB" w:rsidRDefault="002004AB" w:rsidP="002004AB">
      <w:pPr>
        <w:spacing w:after="0" w:line="240" w:lineRule="auto"/>
      </w:pPr>
      <w:r>
        <w:t>Appearances :</w:t>
      </w:r>
    </w:p>
    <w:p w14:paraId="777D77A3" w14:textId="77777777" w:rsidR="002004AB" w:rsidRDefault="002004AB" w:rsidP="002004AB">
      <w:pPr>
        <w:tabs>
          <w:tab w:val="clear" w:pos="3969"/>
          <w:tab w:val="left" w:pos="3544"/>
        </w:tabs>
        <w:spacing w:after="0" w:line="240" w:lineRule="auto"/>
      </w:pPr>
      <w:r>
        <w:t>Counsel for the Applicants :</w:t>
      </w:r>
      <w:r>
        <w:tab/>
        <w:t>R V Mudau</w:t>
      </w:r>
    </w:p>
    <w:p w14:paraId="2363AE1D" w14:textId="77777777" w:rsidR="002004AB" w:rsidRDefault="002004AB" w:rsidP="002004AB">
      <w:pPr>
        <w:tabs>
          <w:tab w:val="clear" w:pos="3969"/>
          <w:tab w:val="left" w:pos="3544"/>
        </w:tabs>
        <w:spacing w:after="0" w:line="240" w:lineRule="auto"/>
      </w:pPr>
      <w:r>
        <w:tab/>
      </w:r>
      <w:r>
        <w:tab/>
      </w:r>
      <w:r>
        <w:tab/>
      </w:r>
      <w:r>
        <w:tab/>
        <w:t>Instructed by A Wolmarans Inc</w:t>
      </w:r>
    </w:p>
    <w:p w14:paraId="17DBAC54" w14:textId="77777777" w:rsidR="006A43A1" w:rsidRDefault="006A43A1" w:rsidP="00530EFB">
      <w:pPr>
        <w:pStyle w:val="Indent"/>
        <w:numPr>
          <w:ilvl w:val="0"/>
          <w:numId w:val="0"/>
        </w:numPr>
        <w:spacing w:after="0" w:line="240" w:lineRule="auto"/>
        <w:ind w:left="4320"/>
      </w:pPr>
    </w:p>
    <w:p w14:paraId="73607F6A" w14:textId="77777777" w:rsidR="006A43A1" w:rsidRDefault="006A43A1" w:rsidP="00530EFB">
      <w:pPr>
        <w:pStyle w:val="Indent"/>
        <w:numPr>
          <w:ilvl w:val="0"/>
          <w:numId w:val="0"/>
        </w:numPr>
        <w:spacing w:after="0" w:line="240" w:lineRule="auto"/>
        <w:ind w:left="4320"/>
      </w:pPr>
    </w:p>
    <w:p w14:paraId="499A252D" w14:textId="0EB61560" w:rsidR="00D11FC8" w:rsidRDefault="00D11FC8" w:rsidP="00D11FC8">
      <w:pPr>
        <w:pStyle w:val="Indent"/>
        <w:numPr>
          <w:ilvl w:val="0"/>
          <w:numId w:val="0"/>
        </w:numPr>
        <w:spacing w:after="0" w:line="240" w:lineRule="auto"/>
      </w:pPr>
    </w:p>
    <w:sectPr w:rsidR="00D11FC8" w:rsidSect="00D80704">
      <w:headerReference w:type="default" r:id="rId9"/>
      <w:endnotePr>
        <w:numFmt w:val="decimal"/>
      </w:endnotePr>
      <w:pgSz w:w="11906" w:h="16838" w:code="9"/>
      <w:pgMar w:top="1429" w:right="1729" w:bottom="1429" w:left="1582" w:header="1304"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97159" w14:textId="77777777" w:rsidR="00DE0327" w:rsidRDefault="00DE0327">
      <w:r>
        <w:separator/>
      </w:r>
    </w:p>
  </w:endnote>
  <w:endnote w:type="continuationSeparator" w:id="0">
    <w:p w14:paraId="2B6027D0" w14:textId="77777777" w:rsidR="00DE0327" w:rsidRDefault="00DE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b 1Stone Serif Semibold">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5C259" w14:textId="77777777" w:rsidR="00DE0327" w:rsidRDefault="00DE0327" w:rsidP="00111EA1">
      <w:pPr>
        <w:spacing w:after="0"/>
      </w:pPr>
      <w:r>
        <w:separator/>
      </w:r>
    </w:p>
  </w:footnote>
  <w:footnote w:type="continuationSeparator" w:id="0">
    <w:p w14:paraId="04CC12F5" w14:textId="77777777" w:rsidR="00DE0327" w:rsidRDefault="00DE0327">
      <w:r>
        <w:continuationSeparator/>
      </w:r>
    </w:p>
  </w:footnote>
  <w:footnote w:id="1">
    <w:p w14:paraId="0C0BD91E" w14:textId="4587A536" w:rsidR="00BF4347" w:rsidRPr="00BF4347" w:rsidRDefault="00BF4347" w:rsidP="00BF4347">
      <w:pPr>
        <w:pStyle w:val="FootnoteText"/>
        <w:jc w:val="both"/>
      </w:pPr>
      <w:r>
        <w:rPr>
          <w:rStyle w:val="FootnoteReference"/>
        </w:rPr>
        <w:footnoteRef/>
      </w:r>
      <w:r>
        <w:t xml:space="preserve"> </w:t>
      </w:r>
      <w:r>
        <w:tab/>
      </w:r>
      <w:r w:rsidRPr="00BF4347">
        <w:rPr>
          <w:i/>
          <w:iCs/>
        </w:rPr>
        <w:t>“</w:t>
      </w:r>
      <w:r w:rsidRPr="00BF4347">
        <w:rPr>
          <w:rFonts w:cs="Verdana"/>
          <w:i/>
          <w:iCs/>
        </w:rPr>
        <w:t>(1) In an action for damages for personal injuries or the death of a person, the plaintiff may, at any time after the expiry of the period for the delivery of the notice of intention to defend, apply to the court for an order requiring the defendant to make an interim payment in respect of his claim for medical costs and loss of income arising from his physical disability or the death of a person.”</w:t>
      </w:r>
    </w:p>
  </w:footnote>
  <w:footnote w:id="2">
    <w:p w14:paraId="50C5DD6C" w14:textId="6FA07D7B" w:rsidR="00BF4347" w:rsidRPr="00BF4347" w:rsidRDefault="00BF4347">
      <w:pPr>
        <w:pStyle w:val="FootnoteText"/>
      </w:pPr>
      <w:r>
        <w:rPr>
          <w:rStyle w:val="FootnoteReference"/>
        </w:rPr>
        <w:footnoteRef/>
      </w:r>
      <w:r>
        <w:t xml:space="preserve"> </w:t>
      </w:r>
      <w:r>
        <w:tab/>
      </w:r>
      <w:r w:rsidRPr="00BF4347">
        <w:rPr>
          <w:i/>
          <w:iCs/>
        </w:rPr>
        <w:t>“(3) Notwithstanding the grant or refusal of an application for an interim payment, further such applications may be brought on good cause shown.”</w:t>
      </w:r>
    </w:p>
  </w:footnote>
  <w:footnote w:id="3">
    <w:p w14:paraId="2E2A1773" w14:textId="7D84330D" w:rsidR="002004AB" w:rsidRDefault="002004AB" w:rsidP="002004AB">
      <w:pPr>
        <w:pStyle w:val="FootnoteText"/>
      </w:pPr>
      <w:r>
        <w:rPr>
          <w:rStyle w:val="FootnoteReference"/>
        </w:rPr>
        <w:footnoteRef/>
      </w:r>
      <w:r>
        <w:t xml:space="preserve"> </w:t>
      </w:r>
      <w:r>
        <w:tab/>
        <w:t xml:space="preserve">In the </w:t>
      </w:r>
      <w:r w:rsidRPr="000C567B">
        <w:rPr>
          <w:b/>
          <w:bCs/>
        </w:rPr>
        <w:t>Alexander</w:t>
      </w:r>
      <w:r>
        <w:t xml:space="preserve"> Moultrie AJ comprehensively and precisely refers to which parts of the said judgments reliance is placed upon and accordingly I do not repeat same hereat</w:t>
      </w:r>
      <w:r w:rsidR="000C567B">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DC359" w14:textId="4F964BEA" w:rsidR="002F275F" w:rsidRDefault="002F275F" w:rsidP="00F97678">
    <w:pPr>
      <w:pStyle w:val="Header"/>
      <w:spacing w:after="480" w:line="480" w:lineRule="auto"/>
      <w:jc w:val="center"/>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fldChar w:fldCharType="begin"/>
    </w:r>
    <w:r>
      <w:rPr>
        <w:snapToGrid w:val="0"/>
        <w:sz w:val="24"/>
      </w:rPr>
      <w:instrText xml:space="preserve"> PAGE </w:instrText>
    </w:r>
    <w:r>
      <w:rPr>
        <w:snapToGrid w:val="0"/>
        <w:sz w:val="24"/>
      </w:rPr>
      <w:fldChar w:fldCharType="separate"/>
    </w:r>
    <w:r w:rsidR="00A44588">
      <w:rPr>
        <w:noProof/>
        <w:snapToGrid w:val="0"/>
        <w:sz w:val="24"/>
      </w:rPr>
      <w:t>23</w:t>
    </w:r>
    <w:r>
      <w:rPr>
        <w:snapToGrid w:val="0"/>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2D2B"/>
    <w:multiLevelType w:val="hybridMultilevel"/>
    <w:tmpl w:val="C76E4664"/>
    <w:lvl w:ilvl="0" w:tplc="B64AAC92">
      <w:start w:val="1"/>
      <w:numFmt w:val="decimal"/>
      <w:lvlText w:val="(%1)"/>
      <w:lvlJc w:val="left"/>
      <w:pPr>
        <w:tabs>
          <w:tab w:val="num" w:pos="718"/>
        </w:tabs>
        <w:ind w:left="718" w:hanging="435"/>
      </w:pPr>
      <w:rPr>
        <w:rFonts w:hint="default"/>
      </w:rPr>
    </w:lvl>
    <w:lvl w:ilvl="1" w:tplc="08090019" w:tentative="1">
      <w:start w:val="1"/>
      <w:numFmt w:val="lowerLetter"/>
      <w:lvlText w:val="%2."/>
      <w:lvlJc w:val="left"/>
      <w:pPr>
        <w:tabs>
          <w:tab w:val="num" w:pos="1363"/>
        </w:tabs>
        <w:ind w:left="1363" w:hanging="360"/>
      </w:pPr>
    </w:lvl>
    <w:lvl w:ilvl="2" w:tplc="0809001B" w:tentative="1">
      <w:start w:val="1"/>
      <w:numFmt w:val="lowerRoman"/>
      <w:lvlText w:val="%3."/>
      <w:lvlJc w:val="right"/>
      <w:pPr>
        <w:tabs>
          <w:tab w:val="num" w:pos="2083"/>
        </w:tabs>
        <w:ind w:left="2083" w:hanging="180"/>
      </w:pPr>
    </w:lvl>
    <w:lvl w:ilvl="3" w:tplc="0809000F" w:tentative="1">
      <w:start w:val="1"/>
      <w:numFmt w:val="decimal"/>
      <w:lvlText w:val="%4."/>
      <w:lvlJc w:val="left"/>
      <w:pPr>
        <w:tabs>
          <w:tab w:val="num" w:pos="2803"/>
        </w:tabs>
        <w:ind w:left="2803" w:hanging="360"/>
      </w:pPr>
    </w:lvl>
    <w:lvl w:ilvl="4" w:tplc="08090019" w:tentative="1">
      <w:start w:val="1"/>
      <w:numFmt w:val="lowerLetter"/>
      <w:lvlText w:val="%5."/>
      <w:lvlJc w:val="left"/>
      <w:pPr>
        <w:tabs>
          <w:tab w:val="num" w:pos="3523"/>
        </w:tabs>
        <w:ind w:left="3523" w:hanging="360"/>
      </w:pPr>
    </w:lvl>
    <w:lvl w:ilvl="5" w:tplc="0809001B" w:tentative="1">
      <w:start w:val="1"/>
      <w:numFmt w:val="lowerRoman"/>
      <w:lvlText w:val="%6."/>
      <w:lvlJc w:val="right"/>
      <w:pPr>
        <w:tabs>
          <w:tab w:val="num" w:pos="4243"/>
        </w:tabs>
        <w:ind w:left="4243" w:hanging="180"/>
      </w:pPr>
    </w:lvl>
    <w:lvl w:ilvl="6" w:tplc="0809000F" w:tentative="1">
      <w:start w:val="1"/>
      <w:numFmt w:val="decimal"/>
      <w:lvlText w:val="%7."/>
      <w:lvlJc w:val="left"/>
      <w:pPr>
        <w:tabs>
          <w:tab w:val="num" w:pos="4963"/>
        </w:tabs>
        <w:ind w:left="4963" w:hanging="360"/>
      </w:pPr>
    </w:lvl>
    <w:lvl w:ilvl="7" w:tplc="08090019" w:tentative="1">
      <w:start w:val="1"/>
      <w:numFmt w:val="lowerLetter"/>
      <w:lvlText w:val="%8."/>
      <w:lvlJc w:val="left"/>
      <w:pPr>
        <w:tabs>
          <w:tab w:val="num" w:pos="5683"/>
        </w:tabs>
        <w:ind w:left="5683" w:hanging="360"/>
      </w:pPr>
    </w:lvl>
    <w:lvl w:ilvl="8" w:tplc="0809001B" w:tentative="1">
      <w:start w:val="1"/>
      <w:numFmt w:val="lowerRoman"/>
      <w:lvlText w:val="%9."/>
      <w:lvlJc w:val="right"/>
      <w:pPr>
        <w:tabs>
          <w:tab w:val="num" w:pos="6403"/>
        </w:tabs>
        <w:ind w:left="6403" w:hanging="180"/>
      </w:pPr>
    </w:lvl>
  </w:abstractNum>
  <w:abstractNum w:abstractNumId="1" w15:restartNumberingAfterBreak="0">
    <w:nsid w:val="0B957292"/>
    <w:multiLevelType w:val="hybridMultilevel"/>
    <w:tmpl w:val="AE3CCC18"/>
    <w:lvl w:ilvl="0" w:tplc="7A94E0B8">
      <w:start w:val="1"/>
      <w:numFmt w:val="decimal"/>
      <w:lvlText w:val="%1."/>
      <w:lvlJc w:val="left"/>
      <w:pPr>
        <w:tabs>
          <w:tab w:val="num" w:pos="1434"/>
        </w:tabs>
        <w:ind w:left="1434" w:hanging="714"/>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124D35A5"/>
    <w:multiLevelType w:val="multilevel"/>
    <w:tmpl w:val="4C245596"/>
    <w:styleLink w:val="A111111"/>
    <w:lvl w:ilvl="0">
      <w:start w:val="1"/>
      <w:numFmt w:val="upperLetter"/>
      <w:lvlText w:val="%1."/>
      <w:lvlJc w:val="left"/>
      <w:pPr>
        <w:tabs>
          <w:tab w:val="num" w:pos="567"/>
        </w:tabs>
        <w:ind w:left="567" w:hanging="567"/>
      </w:pPr>
      <w:rPr>
        <w:rFonts w:ascii="Arial" w:hAnsi="Arial" w:hint="default"/>
        <w:sz w:val="25"/>
        <w:szCs w:val="25"/>
      </w:rPr>
    </w:lvl>
    <w:lvl w:ilvl="1">
      <w:start w:val="1"/>
      <w:numFmt w:val="decimal"/>
      <w:lvlText w:val="%2."/>
      <w:lvlJc w:val="left"/>
      <w:pPr>
        <w:tabs>
          <w:tab w:val="num" w:pos="1191"/>
        </w:tabs>
        <w:ind w:left="1191" w:hanging="624"/>
      </w:pPr>
      <w:rPr>
        <w:rFonts w:hint="default"/>
      </w:rPr>
    </w:lvl>
    <w:lvl w:ilvl="2">
      <w:start w:val="1"/>
      <w:numFmt w:val="decimal"/>
      <w:lvlText w:val="%2.%3"/>
      <w:lvlJc w:val="left"/>
      <w:pPr>
        <w:tabs>
          <w:tab w:val="num" w:pos="1985"/>
        </w:tabs>
        <w:ind w:left="1985" w:hanging="794"/>
      </w:pPr>
      <w:rPr>
        <w:rFonts w:hint="default"/>
      </w:rPr>
    </w:lvl>
    <w:lvl w:ilvl="3">
      <w:start w:val="1"/>
      <w:numFmt w:val="decimal"/>
      <w:lvlText w:val="%2.%3.%4"/>
      <w:lvlJc w:val="left"/>
      <w:pPr>
        <w:tabs>
          <w:tab w:val="num" w:pos="2835"/>
        </w:tabs>
        <w:ind w:left="2835" w:hanging="850"/>
      </w:pPr>
      <w:rPr>
        <w:rFonts w:hint="default"/>
      </w:rPr>
    </w:lvl>
    <w:lvl w:ilvl="4">
      <w:start w:val="1"/>
      <w:numFmt w:val="decimal"/>
      <w:lvlText w:val="%2.%3.%4.%5"/>
      <w:lvlJc w:val="left"/>
      <w:pPr>
        <w:tabs>
          <w:tab w:val="num" w:pos="3969"/>
        </w:tabs>
        <w:ind w:left="3969" w:hanging="1134"/>
      </w:pPr>
      <w:rPr>
        <w:rFonts w:hint="default"/>
      </w:rPr>
    </w:lvl>
    <w:lvl w:ilvl="5">
      <w:start w:val="1"/>
      <w:numFmt w:val="decimal"/>
      <w:lvlText w:val="%2.%3.%4.%5.%6"/>
      <w:lvlJc w:val="left"/>
      <w:pPr>
        <w:tabs>
          <w:tab w:val="num" w:pos="5103"/>
        </w:tabs>
        <w:ind w:left="5103" w:hanging="1134"/>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3" w15:restartNumberingAfterBreak="0">
    <w:nsid w:val="154C3444"/>
    <w:multiLevelType w:val="multilevel"/>
    <w:tmpl w:val="23606C84"/>
    <w:lvl w:ilvl="0">
      <w:start w:val="1"/>
      <w:numFmt w:val="decimal"/>
      <w:lvlText w:val="%1."/>
      <w:lvlJc w:val="left"/>
      <w:pPr>
        <w:tabs>
          <w:tab w:val="num" w:pos="862"/>
        </w:tabs>
        <w:ind w:left="862" w:hanging="862"/>
      </w:pPr>
    </w:lvl>
    <w:lvl w:ilvl="1">
      <w:start w:val="1"/>
      <w:numFmt w:val="decimal"/>
      <w:lvlText w:val="%1.%2"/>
      <w:lvlJc w:val="left"/>
      <w:pPr>
        <w:tabs>
          <w:tab w:val="num" w:pos="1871"/>
        </w:tabs>
        <w:ind w:left="1871" w:hanging="1009"/>
      </w:pPr>
    </w:lvl>
    <w:lvl w:ilvl="2">
      <w:start w:val="1"/>
      <w:numFmt w:val="decimal"/>
      <w:lvlText w:val="%1.%2.%3"/>
      <w:lvlJc w:val="left"/>
      <w:pPr>
        <w:tabs>
          <w:tab w:val="num" w:pos="3022"/>
        </w:tabs>
        <w:ind w:left="3022" w:hanging="1151"/>
      </w:pPr>
    </w:lvl>
    <w:lvl w:ilvl="3">
      <w:start w:val="1"/>
      <w:numFmt w:val="decimal"/>
      <w:lvlText w:val="%1.%2.%3.%4"/>
      <w:lvlJc w:val="left"/>
      <w:pPr>
        <w:tabs>
          <w:tab w:val="num" w:pos="4321"/>
        </w:tabs>
        <w:ind w:left="4321" w:hanging="1299"/>
      </w:pPr>
    </w:lvl>
    <w:lvl w:ilvl="4">
      <w:start w:val="1"/>
      <w:numFmt w:val="decimal"/>
      <w:pStyle w:val="Heading5"/>
      <w:lvlText w:val="%1.%2.%3.%4.%5"/>
      <w:lvlJc w:val="left"/>
      <w:pPr>
        <w:tabs>
          <w:tab w:val="num" w:pos="5761"/>
        </w:tabs>
        <w:ind w:left="5761" w:hanging="1440"/>
      </w:pPr>
    </w:lvl>
    <w:lvl w:ilvl="5">
      <w:start w:val="1"/>
      <w:numFmt w:val="decimal"/>
      <w:lvlText w:val="%1.%2.%3.%4.%5.%6"/>
      <w:lvlJc w:val="left"/>
      <w:pPr>
        <w:tabs>
          <w:tab w:val="num" w:pos="7343"/>
        </w:tabs>
        <w:ind w:left="7343" w:hanging="1582"/>
      </w:pPr>
    </w:lvl>
    <w:lvl w:ilvl="6">
      <w:start w:val="1"/>
      <w:numFmt w:val="decimal"/>
      <w:lvlText w:val="%1.%2.%3.%4.%5.%6.%7"/>
      <w:lvlJc w:val="left"/>
      <w:pPr>
        <w:tabs>
          <w:tab w:val="num" w:pos="9072"/>
        </w:tabs>
        <w:ind w:left="9072" w:hanging="1729"/>
      </w:pPr>
    </w:lvl>
    <w:lvl w:ilvl="7">
      <w:start w:val="1"/>
      <w:numFmt w:val="decimal"/>
      <w:lvlText w:val="%1.%2.%3.%4.%5.%6.%7.%8."/>
      <w:lvlJc w:val="left"/>
      <w:pPr>
        <w:tabs>
          <w:tab w:val="num" w:pos="11232"/>
        </w:tabs>
        <w:ind w:left="10801" w:hanging="1729"/>
      </w:pPr>
    </w:lvl>
    <w:lvl w:ilvl="8">
      <w:start w:val="1"/>
      <w:numFmt w:val="decimal"/>
      <w:lvlText w:val="%1.%2.%3.%4.%5.%6.%7.%8.%9."/>
      <w:lvlJc w:val="left"/>
      <w:pPr>
        <w:tabs>
          <w:tab w:val="num" w:pos="12961"/>
        </w:tabs>
        <w:ind w:left="12531" w:hanging="1730"/>
      </w:pPr>
    </w:lvl>
  </w:abstractNum>
  <w:abstractNum w:abstractNumId="4" w15:restartNumberingAfterBreak="0">
    <w:nsid w:val="19D067E8"/>
    <w:multiLevelType w:val="multilevel"/>
    <w:tmpl w:val="E4D8CABC"/>
    <w:lvl w:ilvl="0">
      <w:start w:val="2"/>
      <w:numFmt w:val="decimal"/>
      <w:pStyle w:val="Amendment"/>
      <w:lvlText w:val="%1."/>
      <w:lvlJc w:val="left"/>
      <w:pPr>
        <w:tabs>
          <w:tab w:val="num" w:pos="1418"/>
        </w:tabs>
        <w:ind w:left="1418" w:hanging="568"/>
      </w:pPr>
      <w:rPr>
        <w:rFonts w:ascii="Arial" w:hAnsi="Arial" w:hint="default"/>
        <w:sz w:val="24"/>
        <w:szCs w:val="24"/>
      </w:rPr>
    </w:lvl>
    <w:lvl w:ilvl="1">
      <w:start w:val="1"/>
      <w:numFmt w:val="decimal"/>
      <w:lvlText w:val="%1.%2"/>
      <w:lvlJc w:val="left"/>
      <w:pPr>
        <w:tabs>
          <w:tab w:val="num" w:pos="2268"/>
        </w:tabs>
        <w:ind w:left="2268" w:hanging="850"/>
      </w:pPr>
      <w:rPr>
        <w:rFonts w:hint="default"/>
      </w:rPr>
    </w:lvl>
    <w:lvl w:ilvl="2">
      <w:start w:val="1"/>
      <w:numFmt w:val="decimal"/>
      <w:lvlText w:val="%1.%2.%3"/>
      <w:lvlJc w:val="left"/>
      <w:pPr>
        <w:tabs>
          <w:tab w:val="num" w:pos="3119"/>
        </w:tabs>
        <w:ind w:left="3119" w:hanging="851"/>
      </w:pPr>
      <w:rPr>
        <w:rFonts w:hint="default"/>
      </w:rPr>
    </w:lvl>
    <w:lvl w:ilvl="3">
      <w:start w:val="1"/>
      <w:numFmt w:val="decimal"/>
      <w:lvlText w:val="%1.%2.%3.%4"/>
      <w:lvlJc w:val="left"/>
      <w:pPr>
        <w:tabs>
          <w:tab w:val="num" w:pos="4082"/>
        </w:tabs>
        <w:ind w:left="4082" w:hanging="963"/>
      </w:pPr>
      <w:rPr>
        <w:rFonts w:hint="default"/>
      </w:rPr>
    </w:lvl>
    <w:lvl w:ilvl="4">
      <w:start w:val="1"/>
      <w:numFmt w:val="decimal"/>
      <w:lvlText w:val="%1.%2.%3.%4.%5"/>
      <w:lvlJc w:val="left"/>
      <w:pPr>
        <w:tabs>
          <w:tab w:val="num" w:pos="5103"/>
        </w:tabs>
        <w:ind w:left="5103" w:hanging="1021"/>
      </w:pPr>
      <w:rPr>
        <w:rFonts w:hint="default"/>
      </w:rPr>
    </w:lvl>
    <w:lvl w:ilvl="5">
      <w:start w:val="1"/>
      <w:numFmt w:val="decimal"/>
      <w:lvlText w:val="%1.%2.%3.%4.%5.%6"/>
      <w:lvlJc w:val="left"/>
      <w:pPr>
        <w:tabs>
          <w:tab w:val="num" w:pos="8192"/>
        </w:tabs>
        <w:ind w:left="8192" w:hanging="1582"/>
      </w:pPr>
      <w:rPr>
        <w:rFonts w:hint="default"/>
      </w:rPr>
    </w:lvl>
    <w:lvl w:ilvl="6">
      <w:start w:val="1"/>
      <w:numFmt w:val="decimal"/>
      <w:lvlText w:val="%1.%2.%3.%4.%5.%6.%7"/>
      <w:lvlJc w:val="left"/>
      <w:pPr>
        <w:tabs>
          <w:tab w:val="num" w:pos="9921"/>
        </w:tabs>
        <w:ind w:left="9921" w:hanging="1729"/>
      </w:pPr>
      <w:rPr>
        <w:rFonts w:hint="default"/>
      </w:rPr>
    </w:lvl>
    <w:lvl w:ilvl="7">
      <w:start w:val="1"/>
      <w:numFmt w:val="decimal"/>
      <w:lvlText w:val="%1.%2.%3.%4.%5.%6.%7.%8."/>
      <w:lvlJc w:val="left"/>
      <w:pPr>
        <w:tabs>
          <w:tab w:val="num" w:pos="12081"/>
        </w:tabs>
        <w:ind w:left="11650" w:hanging="1729"/>
      </w:pPr>
      <w:rPr>
        <w:rFonts w:hint="default"/>
      </w:rPr>
    </w:lvl>
    <w:lvl w:ilvl="8">
      <w:start w:val="1"/>
      <w:numFmt w:val="decimal"/>
      <w:lvlText w:val="%1.%2.%3.%4.%5.%6.%7.%8.%9."/>
      <w:lvlJc w:val="left"/>
      <w:pPr>
        <w:tabs>
          <w:tab w:val="num" w:pos="13810"/>
        </w:tabs>
        <w:ind w:left="13379" w:hanging="1729"/>
      </w:pPr>
      <w:rPr>
        <w:rFonts w:hint="default"/>
      </w:rPr>
    </w:lvl>
  </w:abstractNum>
  <w:abstractNum w:abstractNumId="5" w15:restartNumberingAfterBreak="0">
    <w:nsid w:val="1D7A7B5B"/>
    <w:multiLevelType w:val="hybridMultilevel"/>
    <w:tmpl w:val="7C36909A"/>
    <w:lvl w:ilvl="0" w:tplc="D7149124">
      <w:start w:val="3"/>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2322036F"/>
    <w:multiLevelType w:val="multilevel"/>
    <w:tmpl w:val="C8A4EB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7" w15:restartNumberingAfterBreak="0">
    <w:nsid w:val="27F4671D"/>
    <w:multiLevelType w:val="multilevel"/>
    <w:tmpl w:val="3B7C5BAC"/>
    <w:lvl w:ilvl="0">
      <w:start w:val="8"/>
      <w:numFmt w:val="decimal"/>
      <w:lvlText w:val="%1"/>
      <w:lvlJc w:val="left"/>
      <w:pPr>
        <w:tabs>
          <w:tab w:val="num" w:pos="732"/>
        </w:tabs>
        <w:ind w:left="732" w:hanging="732"/>
      </w:pPr>
      <w:rPr>
        <w:rFonts w:hint="default"/>
      </w:rPr>
    </w:lvl>
    <w:lvl w:ilvl="1">
      <w:start w:val="1"/>
      <w:numFmt w:val="decimal"/>
      <w:lvlText w:val="%1.%2"/>
      <w:lvlJc w:val="left"/>
      <w:pPr>
        <w:tabs>
          <w:tab w:val="num" w:pos="1452"/>
        </w:tabs>
        <w:ind w:left="1452" w:hanging="732"/>
      </w:pPr>
      <w:rPr>
        <w:rFonts w:hint="default"/>
      </w:rPr>
    </w:lvl>
    <w:lvl w:ilvl="2">
      <w:start w:val="1"/>
      <w:numFmt w:val="decimal"/>
      <w:lvlText w:val="%1.%2.%3"/>
      <w:lvlJc w:val="left"/>
      <w:pPr>
        <w:tabs>
          <w:tab w:val="num" w:pos="2172"/>
        </w:tabs>
        <w:ind w:left="2172" w:hanging="732"/>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30DF06C9"/>
    <w:multiLevelType w:val="multilevel"/>
    <w:tmpl w:val="EE4EAEC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34B36A7E"/>
    <w:multiLevelType w:val="multilevel"/>
    <w:tmpl w:val="58C4ABC2"/>
    <w:lvl w:ilvl="0">
      <w:start w:val="1"/>
      <w:numFmt w:val="decimal"/>
      <w:pStyle w:val="Indent2"/>
      <w:lvlText w:val="%1."/>
      <w:lvlJc w:val="left"/>
      <w:pPr>
        <w:tabs>
          <w:tab w:val="num" w:pos="851"/>
        </w:tabs>
        <w:ind w:left="851" w:hanging="851"/>
      </w:pPr>
      <w:rPr>
        <w:rFonts w:ascii="Arial" w:hAnsi="Arial" w:hint="default"/>
        <w:sz w:val="24"/>
        <w:szCs w:val="24"/>
      </w:rPr>
    </w:lvl>
    <w:lvl w:ilvl="1">
      <w:start w:val="1"/>
      <w:numFmt w:val="decimal"/>
      <w:pStyle w:val="Indent2"/>
      <w:lvlText w:val="%1.%2"/>
      <w:lvlJc w:val="left"/>
      <w:pPr>
        <w:tabs>
          <w:tab w:val="num" w:pos="1701"/>
        </w:tabs>
        <w:ind w:left="1701" w:hanging="850"/>
      </w:pPr>
      <w:rPr>
        <w:rFonts w:ascii="Arial" w:hAnsi="Arial" w:hint="default"/>
        <w:b w:val="0"/>
        <w:i w:val="0"/>
        <w:sz w:val="24"/>
        <w:szCs w:val="24"/>
      </w:rPr>
    </w:lvl>
    <w:lvl w:ilvl="2">
      <w:start w:val="1"/>
      <w:numFmt w:val="decimal"/>
      <w:lvlText w:val="%1.%2.%3"/>
      <w:lvlJc w:val="left"/>
      <w:pPr>
        <w:tabs>
          <w:tab w:val="num" w:pos="2325"/>
        </w:tabs>
        <w:ind w:left="2325" w:hanging="851"/>
      </w:pPr>
      <w:rPr>
        <w:rFonts w:hint="default"/>
      </w:rPr>
    </w:lvl>
    <w:lvl w:ilvl="3">
      <w:start w:val="1"/>
      <w:numFmt w:val="decimal"/>
      <w:lvlText w:val="%1.%2.%3.%4"/>
      <w:lvlJc w:val="left"/>
      <w:pPr>
        <w:tabs>
          <w:tab w:val="num" w:pos="3459"/>
        </w:tabs>
        <w:ind w:left="3459" w:hanging="1134"/>
      </w:pPr>
      <w:rPr>
        <w:rFonts w:hint="default"/>
      </w:rPr>
    </w:lvl>
    <w:lvl w:ilvl="4">
      <w:start w:val="1"/>
      <w:numFmt w:val="decimal"/>
      <w:lvlText w:val="%1.%2.%3.%4.%5"/>
      <w:lvlJc w:val="left"/>
      <w:pPr>
        <w:tabs>
          <w:tab w:val="num" w:pos="4876"/>
        </w:tabs>
        <w:ind w:left="4876" w:hanging="1417"/>
      </w:pPr>
      <w:rPr>
        <w:rFonts w:hint="default"/>
      </w:rPr>
    </w:lvl>
    <w:lvl w:ilvl="5">
      <w:start w:val="1"/>
      <w:numFmt w:val="decimal"/>
      <w:lvlText w:val="%1.%2.%3.%4.%5.%6"/>
      <w:lvlJc w:val="left"/>
      <w:pPr>
        <w:tabs>
          <w:tab w:val="num" w:pos="6010"/>
        </w:tabs>
        <w:ind w:left="6010" w:hanging="1134"/>
      </w:pPr>
      <w:rPr>
        <w:rFonts w:hint="default"/>
      </w:rPr>
    </w:lvl>
    <w:lvl w:ilvl="6">
      <w:start w:val="1"/>
      <w:numFmt w:val="decimal"/>
      <w:lvlText w:val="%1.%2.%3.%4.%5.%6.%7"/>
      <w:lvlJc w:val="left"/>
      <w:pPr>
        <w:tabs>
          <w:tab w:val="num" w:pos="8278"/>
        </w:tabs>
        <w:ind w:left="8278" w:hanging="1729"/>
      </w:pPr>
      <w:rPr>
        <w:rFonts w:hint="default"/>
      </w:rPr>
    </w:lvl>
    <w:lvl w:ilvl="7">
      <w:start w:val="1"/>
      <w:numFmt w:val="decimal"/>
      <w:lvlText w:val="%1.%2.%3.%4.%5.%6.%7.%8."/>
      <w:lvlJc w:val="left"/>
      <w:pPr>
        <w:tabs>
          <w:tab w:val="num" w:pos="10438"/>
        </w:tabs>
        <w:ind w:left="10007" w:hanging="1729"/>
      </w:pPr>
      <w:rPr>
        <w:rFonts w:hint="default"/>
      </w:rPr>
    </w:lvl>
    <w:lvl w:ilvl="8">
      <w:start w:val="1"/>
      <w:numFmt w:val="decimal"/>
      <w:lvlText w:val="%1.%2.%3.%4.%5.%6.%7.%8.%9."/>
      <w:lvlJc w:val="left"/>
      <w:pPr>
        <w:tabs>
          <w:tab w:val="num" w:pos="12167"/>
        </w:tabs>
        <w:ind w:left="11737" w:hanging="1730"/>
      </w:pPr>
      <w:rPr>
        <w:rFonts w:hint="default"/>
      </w:rPr>
    </w:lvl>
  </w:abstractNum>
  <w:abstractNum w:abstractNumId="10" w15:restartNumberingAfterBreak="0">
    <w:nsid w:val="3A05094F"/>
    <w:multiLevelType w:val="multilevel"/>
    <w:tmpl w:val="271E086C"/>
    <w:lvl w:ilvl="0">
      <w:start w:val="1"/>
      <w:numFmt w:val="decimal"/>
      <w:lvlText w:val="%1"/>
      <w:lvlJc w:val="left"/>
      <w:pPr>
        <w:tabs>
          <w:tab w:val="num" w:pos="360"/>
        </w:tabs>
        <w:ind w:left="360" w:hanging="360"/>
      </w:pPr>
      <w:rPr>
        <w:rFonts w:hint="default"/>
        <w:i/>
      </w:rPr>
    </w:lvl>
    <w:lvl w:ilvl="1">
      <w:start w:val="1"/>
      <w:numFmt w:val="decimal"/>
      <w:lvlText w:val="%1.%2"/>
      <w:lvlJc w:val="left"/>
      <w:pPr>
        <w:tabs>
          <w:tab w:val="num" w:pos="1080"/>
        </w:tabs>
        <w:ind w:left="1080" w:hanging="360"/>
      </w:pPr>
      <w:rPr>
        <w:rFonts w:hint="default"/>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3240"/>
        </w:tabs>
        <w:ind w:left="3240" w:hanging="108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5040"/>
        </w:tabs>
        <w:ind w:left="5040" w:hanging="144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840"/>
        </w:tabs>
        <w:ind w:left="6840" w:hanging="1800"/>
      </w:pPr>
      <w:rPr>
        <w:rFonts w:hint="default"/>
        <w:i/>
      </w:rPr>
    </w:lvl>
    <w:lvl w:ilvl="8">
      <w:start w:val="1"/>
      <w:numFmt w:val="decimal"/>
      <w:lvlText w:val="%1.%2.%3.%4.%5.%6.%7.%8.%9"/>
      <w:lvlJc w:val="left"/>
      <w:pPr>
        <w:tabs>
          <w:tab w:val="num" w:pos="7920"/>
        </w:tabs>
        <w:ind w:left="7920" w:hanging="2160"/>
      </w:pPr>
      <w:rPr>
        <w:rFonts w:hint="default"/>
        <w:i/>
      </w:rPr>
    </w:lvl>
  </w:abstractNum>
  <w:abstractNum w:abstractNumId="11" w15:restartNumberingAfterBreak="0">
    <w:nsid w:val="3F2B0692"/>
    <w:multiLevelType w:val="hybridMultilevel"/>
    <w:tmpl w:val="140A494C"/>
    <w:lvl w:ilvl="0" w:tplc="603A1078">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47A53653"/>
    <w:multiLevelType w:val="multilevel"/>
    <w:tmpl w:val="F16658F8"/>
    <w:lvl w:ilvl="0">
      <w:start w:val="1"/>
      <w:numFmt w:val="lowerLetter"/>
      <w:pStyle w:val="aThirdIndent"/>
      <w:lvlText w:val="(%1)"/>
      <w:lvlJc w:val="left"/>
      <w:pPr>
        <w:tabs>
          <w:tab w:val="num" w:pos="3969"/>
        </w:tabs>
        <w:ind w:left="3969" w:hanging="1134"/>
      </w:pPr>
      <w:rPr>
        <w:rFonts w:ascii="Arial" w:hAnsi="Arial" w:hint="default"/>
        <w:b w:val="0"/>
        <w:i w:val="0"/>
        <w:sz w:val="25"/>
        <w:szCs w:val="25"/>
      </w:rPr>
    </w:lvl>
    <w:lvl w:ilvl="1">
      <w:start w:val="1"/>
      <w:numFmt w:val="lowerRoman"/>
      <w:lvlText w:val="(%2)"/>
      <w:lvlJc w:val="left"/>
      <w:pPr>
        <w:tabs>
          <w:tab w:val="num" w:pos="4706"/>
        </w:tabs>
        <w:ind w:left="4706" w:hanging="737"/>
      </w:pPr>
      <w:rPr>
        <w:rFonts w:ascii="Arial" w:hAnsi="Arial" w:hint="default"/>
        <w:b w:val="0"/>
        <w:i w:val="0"/>
        <w:sz w:val="25"/>
        <w:szCs w:val="25"/>
      </w:rPr>
    </w:lvl>
    <w:lvl w:ilvl="2">
      <w:start w:val="1"/>
      <w:numFmt w:val="upperLetter"/>
      <w:lvlText w:val="%3."/>
      <w:lvlJc w:val="left"/>
      <w:pPr>
        <w:tabs>
          <w:tab w:val="num" w:pos="5670"/>
        </w:tabs>
        <w:ind w:left="5670" w:hanging="964"/>
      </w:pPr>
      <w:rPr>
        <w:rFonts w:ascii="Arial" w:hAnsi="Arial" w:hint="default"/>
        <w:b w:val="0"/>
        <w:i w:val="0"/>
        <w:sz w:val="25"/>
        <w:szCs w:val="25"/>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103"/>
        </w:tabs>
        <w:ind w:left="5103" w:hanging="1134"/>
      </w:pPr>
      <w:rPr>
        <w:rFonts w:hint="default"/>
      </w:rPr>
    </w:lvl>
    <w:lvl w:ilvl="5">
      <w:start w:val="1"/>
      <w:numFmt w:val="decimal"/>
      <w:lvlText w:val="%1.%2.%3.%4.%5.%6"/>
      <w:lvlJc w:val="left"/>
      <w:pPr>
        <w:tabs>
          <w:tab w:val="num" w:pos="7343"/>
        </w:tabs>
        <w:ind w:left="7343" w:hanging="1582"/>
      </w:pPr>
      <w:rPr>
        <w:rFonts w:hint="default"/>
      </w:rPr>
    </w:lvl>
    <w:lvl w:ilvl="6">
      <w:start w:val="1"/>
      <w:numFmt w:val="decimal"/>
      <w:lvlText w:val="%1.%2.%3.%4.%5.%6.%7"/>
      <w:lvlJc w:val="left"/>
      <w:pPr>
        <w:tabs>
          <w:tab w:val="num" w:pos="9072"/>
        </w:tabs>
        <w:ind w:left="9072" w:hanging="1729"/>
      </w:pPr>
      <w:rPr>
        <w:rFonts w:hint="default"/>
      </w:rPr>
    </w:lvl>
    <w:lvl w:ilvl="7">
      <w:start w:val="1"/>
      <w:numFmt w:val="decimal"/>
      <w:lvlText w:val="%1.%2.%3.%4.%5.%6.%7.%8."/>
      <w:lvlJc w:val="left"/>
      <w:pPr>
        <w:tabs>
          <w:tab w:val="num" w:pos="11232"/>
        </w:tabs>
        <w:ind w:left="10801" w:hanging="1729"/>
      </w:pPr>
      <w:rPr>
        <w:rFonts w:hint="default"/>
      </w:rPr>
    </w:lvl>
    <w:lvl w:ilvl="8">
      <w:start w:val="1"/>
      <w:numFmt w:val="decimal"/>
      <w:lvlText w:val="%1.%2.%3.%4.%5.%6.%7.%8.%9."/>
      <w:lvlJc w:val="left"/>
      <w:pPr>
        <w:tabs>
          <w:tab w:val="num" w:pos="12961"/>
        </w:tabs>
        <w:ind w:left="12531" w:hanging="1730"/>
      </w:pPr>
      <w:rPr>
        <w:rFonts w:hint="default"/>
      </w:rPr>
    </w:lvl>
  </w:abstractNum>
  <w:abstractNum w:abstractNumId="13" w15:restartNumberingAfterBreak="0">
    <w:nsid w:val="50BB65CF"/>
    <w:multiLevelType w:val="hybridMultilevel"/>
    <w:tmpl w:val="B0CCEFEA"/>
    <w:lvl w:ilvl="0" w:tplc="FC8AEAE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51F31132"/>
    <w:multiLevelType w:val="hybridMultilevel"/>
    <w:tmpl w:val="E144706C"/>
    <w:lvl w:ilvl="0" w:tplc="EB7E0108">
      <w:start w:val="1"/>
      <w:numFmt w:val="decimal"/>
      <w:lvlText w:val="(%1)"/>
      <w:lvlJc w:val="left"/>
      <w:pPr>
        <w:tabs>
          <w:tab w:val="num" w:pos="1438"/>
        </w:tabs>
        <w:ind w:left="1438" w:hanging="588"/>
      </w:pPr>
      <w:rPr>
        <w:rFonts w:hint="default"/>
      </w:rPr>
    </w:lvl>
    <w:lvl w:ilvl="1" w:tplc="08090019" w:tentative="1">
      <w:start w:val="1"/>
      <w:numFmt w:val="lowerLetter"/>
      <w:lvlText w:val="%2."/>
      <w:lvlJc w:val="left"/>
      <w:pPr>
        <w:tabs>
          <w:tab w:val="num" w:pos="1930"/>
        </w:tabs>
        <w:ind w:left="1930" w:hanging="360"/>
      </w:pPr>
    </w:lvl>
    <w:lvl w:ilvl="2" w:tplc="0809001B" w:tentative="1">
      <w:start w:val="1"/>
      <w:numFmt w:val="lowerRoman"/>
      <w:lvlText w:val="%3."/>
      <w:lvlJc w:val="right"/>
      <w:pPr>
        <w:tabs>
          <w:tab w:val="num" w:pos="2650"/>
        </w:tabs>
        <w:ind w:left="2650" w:hanging="180"/>
      </w:pPr>
    </w:lvl>
    <w:lvl w:ilvl="3" w:tplc="0809000F" w:tentative="1">
      <w:start w:val="1"/>
      <w:numFmt w:val="decimal"/>
      <w:lvlText w:val="%4."/>
      <w:lvlJc w:val="left"/>
      <w:pPr>
        <w:tabs>
          <w:tab w:val="num" w:pos="3370"/>
        </w:tabs>
        <w:ind w:left="3370" w:hanging="360"/>
      </w:pPr>
    </w:lvl>
    <w:lvl w:ilvl="4" w:tplc="08090019" w:tentative="1">
      <w:start w:val="1"/>
      <w:numFmt w:val="lowerLetter"/>
      <w:lvlText w:val="%5."/>
      <w:lvlJc w:val="left"/>
      <w:pPr>
        <w:tabs>
          <w:tab w:val="num" w:pos="4090"/>
        </w:tabs>
        <w:ind w:left="4090" w:hanging="360"/>
      </w:pPr>
    </w:lvl>
    <w:lvl w:ilvl="5" w:tplc="0809001B" w:tentative="1">
      <w:start w:val="1"/>
      <w:numFmt w:val="lowerRoman"/>
      <w:lvlText w:val="%6."/>
      <w:lvlJc w:val="right"/>
      <w:pPr>
        <w:tabs>
          <w:tab w:val="num" w:pos="4810"/>
        </w:tabs>
        <w:ind w:left="4810" w:hanging="180"/>
      </w:pPr>
    </w:lvl>
    <w:lvl w:ilvl="6" w:tplc="0809000F" w:tentative="1">
      <w:start w:val="1"/>
      <w:numFmt w:val="decimal"/>
      <w:lvlText w:val="%7."/>
      <w:lvlJc w:val="left"/>
      <w:pPr>
        <w:tabs>
          <w:tab w:val="num" w:pos="5530"/>
        </w:tabs>
        <w:ind w:left="5530" w:hanging="360"/>
      </w:pPr>
    </w:lvl>
    <w:lvl w:ilvl="7" w:tplc="08090019" w:tentative="1">
      <w:start w:val="1"/>
      <w:numFmt w:val="lowerLetter"/>
      <w:lvlText w:val="%8."/>
      <w:lvlJc w:val="left"/>
      <w:pPr>
        <w:tabs>
          <w:tab w:val="num" w:pos="6250"/>
        </w:tabs>
        <w:ind w:left="6250" w:hanging="360"/>
      </w:pPr>
    </w:lvl>
    <w:lvl w:ilvl="8" w:tplc="0809001B" w:tentative="1">
      <w:start w:val="1"/>
      <w:numFmt w:val="lowerRoman"/>
      <w:lvlText w:val="%9."/>
      <w:lvlJc w:val="right"/>
      <w:pPr>
        <w:tabs>
          <w:tab w:val="num" w:pos="6970"/>
        </w:tabs>
        <w:ind w:left="6970" w:hanging="180"/>
      </w:pPr>
    </w:lvl>
  </w:abstractNum>
  <w:abstractNum w:abstractNumId="15" w15:restartNumberingAfterBreak="0">
    <w:nsid w:val="543126C9"/>
    <w:multiLevelType w:val="multilevel"/>
    <w:tmpl w:val="3050D978"/>
    <w:styleLink w:val="Indentedai"/>
    <w:lvl w:ilvl="0">
      <w:start w:val="1"/>
      <w:numFmt w:val="lowerLetter"/>
      <w:lvlText w:val="(%1)"/>
      <w:lvlJc w:val="left"/>
      <w:pPr>
        <w:tabs>
          <w:tab w:val="num" w:pos="2835"/>
        </w:tabs>
        <w:ind w:left="2835" w:hanging="1134"/>
      </w:pPr>
      <w:rPr>
        <w:rFonts w:hint="default"/>
      </w:rPr>
    </w:lvl>
    <w:lvl w:ilvl="1">
      <w:start w:val="1"/>
      <w:numFmt w:val="lowerRoman"/>
      <w:lvlText w:val="(%2)"/>
      <w:lvlJc w:val="left"/>
      <w:pPr>
        <w:tabs>
          <w:tab w:val="num" w:pos="3402"/>
        </w:tabs>
        <w:ind w:left="3402" w:hanging="567"/>
      </w:pPr>
      <w:rPr>
        <w:rFonts w:ascii="Arial" w:hAnsi="Arial" w:hint="default"/>
        <w:kern w:val="25"/>
        <w:sz w:val="25"/>
      </w:rPr>
    </w:lvl>
    <w:lvl w:ilvl="2">
      <w:start w:val="1"/>
      <w:numFmt w:val="lowerRoman"/>
      <w:lvlText w:val="%3."/>
      <w:lvlJc w:val="right"/>
      <w:pPr>
        <w:tabs>
          <w:tab w:val="num" w:pos="3969"/>
        </w:tabs>
        <w:ind w:left="3969" w:hanging="567"/>
      </w:pPr>
      <w:rPr>
        <w:rFonts w:hint="default"/>
      </w:rPr>
    </w:lvl>
    <w:lvl w:ilvl="3">
      <w:start w:val="1"/>
      <w:numFmt w:val="decimal"/>
      <w:lvlText w:val="%4."/>
      <w:lvlJc w:val="left"/>
      <w:pPr>
        <w:tabs>
          <w:tab w:val="num" w:pos="4221"/>
        </w:tabs>
        <w:ind w:left="4221" w:hanging="360"/>
      </w:pPr>
      <w:rPr>
        <w:rFonts w:hint="default"/>
      </w:rPr>
    </w:lvl>
    <w:lvl w:ilvl="4">
      <w:start w:val="1"/>
      <w:numFmt w:val="lowerLetter"/>
      <w:lvlText w:val="%5."/>
      <w:lvlJc w:val="left"/>
      <w:pPr>
        <w:tabs>
          <w:tab w:val="num" w:pos="4941"/>
        </w:tabs>
        <w:ind w:left="4941" w:hanging="360"/>
      </w:pPr>
      <w:rPr>
        <w:rFonts w:hint="default"/>
      </w:rPr>
    </w:lvl>
    <w:lvl w:ilvl="5">
      <w:start w:val="1"/>
      <w:numFmt w:val="lowerRoman"/>
      <w:lvlText w:val="%6."/>
      <w:lvlJc w:val="right"/>
      <w:pPr>
        <w:tabs>
          <w:tab w:val="num" w:pos="5661"/>
        </w:tabs>
        <w:ind w:left="5661" w:hanging="180"/>
      </w:pPr>
      <w:rPr>
        <w:rFonts w:hint="default"/>
      </w:rPr>
    </w:lvl>
    <w:lvl w:ilvl="6">
      <w:start w:val="1"/>
      <w:numFmt w:val="decimal"/>
      <w:lvlText w:val="%7."/>
      <w:lvlJc w:val="left"/>
      <w:pPr>
        <w:tabs>
          <w:tab w:val="num" w:pos="6381"/>
        </w:tabs>
        <w:ind w:left="6381" w:hanging="360"/>
      </w:pPr>
      <w:rPr>
        <w:rFonts w:hint="default"/>
      </w:rPr>
    </w:lvl>
    <w:lvl w:ilvl="7">
      <w:start w:val="1"/>
      <w:numFmt w:val="lowerLetter"/>
      <w:lvlText w:val="%8."/>
      <w:lvlJc w:val="left"/>
      <w:pPr>
        <w:tabs>
          <w:tab w:val="num" w:pos="7101"/>
        </w:tabs>
        <w:ind w:left="7101" w:hanging="360"/>
      </w:pPr>
      <w:rPr>
        <w:rFonts w:hint="default"/>
      </w:rPr>
    </w:lvl>
    <w:lvl w:ilvl="8">
      <w:start w:val="1"/>
      <w:numFmt w:val="lowerRoman"/>
      <w:lvlText w:val="%9."/>
      <w:lvlJc w:val="right"/>
      <w:pPr>
        <w:tabs>
          <w:tab w:val="num" w:pos="7821"/>
        </w:tabs>
        <w:ind w:left="7821" w:hanging="180"/>
      </w:pPr>
      <w:rPr>
        <w:rFonts w:hint="default"/>
      </w:rPr>
    </w:lvl>
  </w:abstractNum>
  <w:abstractNum w:abstractNumId="16" w15:restartNumberingAfterBreak="0">
    <w:nsid w:val="58DD5376"/>
    <w:multiLevelType w:val="hybridMultilevel"/>
    <w:tmpl w:val="2F121760"/>
    <w:lvl w:ilvl="0" w:tplc="062E6730">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5A355E41"/>
    <w:multiLevelType w:val="hybridMultilevel"/>
    <w:tmpl w:val="CFE633C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F36541C"/>
    <w:multiLevelType w:val="multilevel"/>
    <w:tmpl w:val="BAEA5A70"/>
    <w:lvl w:ilvl="0">
      <w:start w:val="1"/>
      <w:numFmt w:val="decimal"/>
      <w:pStyle w:val="Indent"/>
      <w:lvlText w:val="[%1]"/>
      <w:lvlJc w:val="left"/>
      <w:pPr>
        <w:tabs>
          <w:tab w:val="num" w:pos="737"/>
        </w:tabs>
        <w:ind w:left="0" w:firstLine="0"/>
      </w:pPr>
      <w:rPr>
        <w:rFonts w:ascii="Arial" w:hAnsi="Arial" w:hint="default"/>
        <w:i w:val="0"/>
        <w:sz w:val="25"/>
        <w:szCs w:val="25"/>
      </w:rPr>
    </w:lvl>
    <w:lvl w:ilvl="1">
      <w:start w:val="1"/>
      <w:numFmt w:val="decimal"/>
      <w:lvlText w:val="[%1.%2]"/>
      <w:lvlJc w:val="left"/>
      <w:pPr>
        <w:tabs>
          <w:tab w:val="num" w:pos="1304"/>
        </w:tabs>
        <w:ind w:left="284" w:firstLine="0"/>
      </w:pPr>
      <w:rPr>
        <w:rFonts w:hint="default"/>
        <w:i w:val="0"/>
      </w:rPr>
    </w:lvl>
    <w:lvl w:ilvl="2">
      <w:start w:val="1"/>
      <w:numFmt w:val="decimal"/>
      <w:lvlText w:val="[%1.%2.%3]"/>
      <w:lvlJc w:val="left"/>
      <w:pPr>
        <w:tabs>
          <w:tab w:val="num" w:pos="1588"/>
        </w:tabs>
        <w:ind w:left="567" w:firstLine="0"/>
      </w:pPr>
      <w:rPr>
        <w:rFonts w:hint="default"/>
      </w:rPr>
    </w:lvl>
    <w:lvl w:ilvl="3">
      <w:start w:val="1"/>
      <w:numFmt w:val="decimal"/>
      <w:lvlText w:val="%1.%2.%3.%4"/>
      <w:lvlJc w:val="left"/>
      <w:pPr>
        <w:tabs>
          <w:tab w:val="num" w:pos="2155"/>
        </w:tabs>
        <w:ind w:left="907" w:firstLine="0"/>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19" w15:restartNumberingAfterBreak="0">
    <w:nsid w:val="6C5678A7"/>
    <w:multiLevelType w:val="multilevel"/>
    <w:tmpl w:val="11A0698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2160"/>
        </w:tabs>
        <w:ind w:left="2160" w:hanging="108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960"/>
        </w:tabs>
        <w:ind w:left="3960" w:hanging="144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5040"/>
        </w:tabs>
        <w:ind w:left="5040" w:hanging="1800"/>
      </w:pPr>
      <w:rPr>
        <w:rFonts w:hint="default"/>
      </w:rPr>
    </w:lvl>
    <w:lvl w:ilvl="8">
      <w:start w:val="1"/>
      <w:numFmt w:val="decimal"/>
      <w:isLgl/>
      <w:lvlText w:val="%1.%2.%3.%4.%5.%6.%7.%8.%9"/>
      <w:lvlJc w:val="left"/>
      <w:pPr>
        <w:tabs>
          <w:tab w:val="num" w:pos="5760"/>
        </w:tabs>
        <w:ind w:left="5760" w:hanging="2160"/>
      </w:pPr>
      <w:rPr>
        <w:rFonts w:hint="default"/>
      </w:rPr>
    </w:lvl>
  </w:abstractNum>
  <w:abstractNum w:abstractNumId="20" w15:restartNumberingAfterBreak="0">
    <w:nsid w:val="6E49322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75DD7976"/>
    <w:multiLevelType w:val="multilevel"/>
    <w:tmpl w:val="02328EF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7F3B58F4"/>
    <w:multiLevelType w:val="multilevel"/>
    <w:tmpl w:val="D472961C"/>
    <w:lvl w:ilvl="0">
      <w:start w:val="1"/>
      <w:numFmt w:val="lowerLetter"/>
      <w:pStyle w:val="ai"/>
      <w:lvlText w:val="(%1)"/>
      <w:lvlJc w:val="left"/>
      <w:pPr>
        <w:tabs>
          <w:tab w:val="num" w:pos="851"/>
        </w:tabs>
        <w:ind w:left="851" w:hanging="851"/>
      </w:pPr>
      <w:rPr>
        <w:rFonts w:hint="default"/>
        <w:sz w:val="25"/>
        <w:szCs w:val="25"/>
      </w:rPr>
    </w:lvl>
    <w:lvl w:ilvl="1">
      <w:start w:val="1"/>
      <w:numFmt w:val="lowerRoman"/>
      <w:lvlText w:val="(%2)"/>
      <w:lvlJc w:val="left"/>
      <w:pPr>
        <w:tabs>
          <w:tab w:val="num" w:pos="1701"/>
        </w:tabs>
        <w:ind w:left="1701" w:hanging="850"/>
      </w:pPr>
      <w:rPr>
        <w:rFonts w:ascii="Arial" w:hAnsi="Arial" w:hint="default"/>
        <w:b w:val="0"/>
        <w:i w:val="0"/>
        <w:kern w:val="25"/>
        <w:sz w:val="25"/>
        <w:szCs w:val="24"/>
      </w:rPr>
    </w:lvl>
    <w:lvl w:ilvl="2">
      <w:start w:val="1"/>
      <w:numFmt w:val="upperLetter"/>
      <w:lvlText w:val="(%3)"/>
      <w:lvlJc w:val="left"/>
      <w:pPr>
        <w:tabs>
          <w:tab w:val="num" w:pos="2552"/>
        </w:tabs>
        <w:ind w:left="2552" w:hanging="851"/>
      </w:pPr>
      <w:rPr>
        <w:rFonts w:hint="default"/>
        <w:b w:val="0"/>
        <w:i w:val="0"/>
        <w:sz w:val="24"/>
        <w:szCs w:val="24"/>
      </w:rPr>
    </w:lvl>
    <w:lvl w:ilvl="3">
      <w:start w:val="1"/>
      <w:numFmt w:val="decimal"/>
      <w:lvlText w:val="%4."/>
      <w:lvlJc w:val="left"/>
      <w:pPr>
        <w:tabs>
          <w:tab w:val="num" w:pos="3402"/>
        </w:tabs>
        <w:ind w:left="3402" w:hanging="85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3"/>
  </w:num>
  <w:num w:numId="2">
    <w:abstractNumId w:val="9"/>
  </w:num>
  <w:num w:numId="3">
    <w:abstractNumId w:val="20"/>
  </w:num>
  <w:num w:numId="4">
    <w:abstractNumId w:val="18"/>
  </w:num>
  <w:num w:numId="5">
    <w:abstractNumId w:val="15"/>
  </w:num>
  <w:num w:numId="6">
    <w:abstractNumId w:val="12"/>
  </w:num>
  <w:num w:numId="7">
    <w:abstractNumId w:val="4"/>
  </w:num>
  <w:num w:numId="8">
    <w:abstractNumId w:val="22"/>
  </w:num>
  <w:num w:numId="9">
    <w:abstractNumId w:val="2"/>
  </w:num>
  <w:num w:numId="10">
    <w:abstractNumId w:val="0"/>
  </w:num>
  <w:num w:numId="11">
    <w:abstractNumId w:val="17"/>
  </w:num>
  <w:num w:numId="12">
    <w:abstractNumId w:val="21"/>
  </w:num>
  <w:num w:numId="13">
    <w:abstractNumId w:val="8"/>
  </w:num>
  <w:num w:numId="14">
    <w:abstractNumId w:val="19"/>
  </w:num>
  <w:num w:numId="15">
    <w:abstractNumId w:val="16"/>
  </w:num>
  <w:num w:numId="16">
    <w:abstractNumId w:val="10"/>
  </w:num>
  <w:num w:numId="17">
    <w:abstractNumId w:val="6"/>
  </w:num>
  <w:num w:numId="18">
    <w:abstractNumId w:val="13"/>
  </w:num>
  <w:num w:numId="19">
    <w:abstractNumId w:val="1"/>
  </w:num>
  <w:num w:numId="20">
    <w:abstractNumId w:val="5"/>
  </w:num>
  <w:num w:numId="21">
    <w:abstractNumId w:val="18"/>
  </w:num>
  <w:num w:numId="22">
    <w:abstractNumId w:val="18"/>
  </w:num>
  <w:num w:numId="23">
    <w:abstractNumId w:val="18"/>
  </w:num>
  <w:num w:numId="24">
    <w:abstractNumId w:val="18"/>
  </w:num>
  <w:num w:numId="25">
    <w:abstractNumId w:val="11"/>
  </w:num>
  <w:num w:numId="26">
    <w:abstractNumId w:val="7"/>
  </w:num>
  <w:num w:numId="2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12"/>
    <w:rsid w:val="0000257C"/>
    <w:rsid w:val="000026C1"/>
    <w:rsid w:val="00005DA6"/>
    <w:rsid w:val="000064DB"/>
    <w:rsid w:val="0001282E"/>
    <w:rsid w:val="00012B99"/>
    <w:rsid w:val="000146BD"/>
    <w:rsid w:val="0001548A"/>
    <w:rsid w:val="000158DD"/>
    <w:rsid w:val="00020187"/>
    <w:rsid w:val="0002499A"/>
    <w:rsid w:val="0002666A"/>
    <w:rsid w:val="000267E7"/>
    <w:rsid w:val="00027BD0"/>
    <w:rsid w:val="00032434"/>
    <w:rsid w:val="0003403E"/>
    <w:rsid w:val="00035885"/>
    <w:rsid w:val="000372A1"/>
    <w:rsid w:val="0005360D"/>
    <w:rsid w:val="00065437"/>
    <w:rsid w:val="000665C8"/>
    <w:rsid w:val="00071878"/>
    <w:rsid w:val="00077F3E"/>
    <w:rsid w:val="000819A5"/>
    <w:rsid w:val="000841AC"/>
    <w:rsid w:val="00092391"/>
    <w:rsid w:val="0009691F"/>
    <w:rsid w:val="000979C4"/>
    <w:rsid w:val="000A224A"/>
    <w:rsid w:val="000A4C07"/>
    <w:rsid w:val="000A648D"/>
    <w:rsid w:val="000A6558"/>
    <w:rsid w:val="000C0800"/>
    <w:rsid w:val="000C2E56"/>
    <w:rsid w:val="000C3387"/>
    <w:rsid w:val="000C567B"/>
    <w:rsid w:val="000D1EDD"/>
    <w:rsid w:val="000D53E5"/>
    <w:rsid w:val="000E083F"/>
    <w:rsid w:val="000E22B1"/>
    <w:rsid w:val="000E6335"/>
    <w:rsid w:val="000F1552"/>
    <w:rsid w:val="000F4FE4"/>
    <w:rsid w:val="000F64D6"/>
    <w:rsid w:val="000F65B2"/>
    <w:rsid w:val="001102CB"/>
    <w:rsid w:val="00111EA1"/>
    <w:rsid w:val="00111FD1"/>
    <w:rsid w:val="0011558F"/>
    <w:rsid w:val="00121756"/>
    <w:rsid w:val="00122343"/>
    <w:rsid w:val="001259E5"/>
    <w:rsid w:val="00132266"/>
    <w:rsid w:val="00135588"/>
    <w:rsid w:val="0014675D"/>
    <w:rsid w:val="00146D4A"/>
    <w:rsid w:val="00156CC5"/>
    <w:rsid w:val="001628D8"/>
    <w:rsid w:val="00170727"/>
    <w:rsid w:val="00173E96"/>
    <w:rsid w:val="00182992"/>
    <w:rsid w:val="00185C70"/>
    <w:rsid w:val="00191ADA"/>
    <w:rsid w:val="00192503"/>
    <w:rsid w:val="001A5361"/>
    <w:rsid w:val="001B428D"/>
    <w:rsid w:val="001B533E"/>
    <w:rsid w:val="001B6D74"/>
    <w:rsid w:val="001C4E55"/>
    <w:rsid w:val="001C59B0"/>
    <w:rsid w:val="001C5ACA"/>
    <w:rsid w:val="001D6B2E"/>
    <w:rsid w:val="001D7088"/>
    <w:rsid w:val="001E09CD"/>
    <w:rsid w:val="001E0F5D"/>
    <w:rsid w:val="001E138C"/>
    <w:rsid w:val="001E3853"/>
    <w:rsid w:val="001E3BFE"/>
    <w:rsid w:val="001E63F6"/>
    <w:rsid w:val="001F457F"/>
    <w:rsid w:val="001F60E8"/>
    <w:rsid w:val="001F6D39"/>
    <w:rsid w:val="002004AB"/>
    <w:rsid w:val="00205AC8"/>
    <w:rsid w:val="002162D4"/>
    <w:rsid w:val="002214BC"/>
    <w:rsid w:val="00222778"/>
    <w:rsid w:val="00224207"/>
    <w:rsid w:val="0022535B"/>
    <w:rsid w:val="002265B9"/>
    <w:rsid w:val="00227B87"/>
    <w:rsid w:val="0023042D"/>
    <w:rsid w:val="002317B6"/>
    <w:rsid w:val="00232CF7"/>
    <w:rsid w:val="00234238"/>
    <w:rsid w:val="00245BD1"/>
    <w:rsid w:val="0024686D"/>
    <w:rsid w:val="002538B8"/>
    <w:rsid w:val="00255CF1"/>
    <w:rsid w:val="00257342"/>
    <w:rsid w:val="00261851"/>
    <w:rsid w:val="002650AF"/>
    <w:rsid w:val="002734AC"/>
    <w:rsid w:val="002751FF"/>
    <w:rsid w:val="002819E8"/>
    <w:rsid w:val="00284AEA"/>
    <w:rsid w:val="0028545A"/>
    <w:rsid w:val="002866C8"/>
    <w:rsid w:val="00287A37"/>
    <w:rsid w:val="0029021B"/>
    <w:rsid w:val="002932D1"/>
    <w:rsid w:val="002A2ADE"/>
    <w:rsid w:val="002A3708"/>
    <w:rsid w:val="002A5FF2"/>
    <w:rsid w:val="002B205B"/>
    <w:rsid w:val="002C0C5A"/>
    <w:rsid w:val="002C2C0B"/>
    <w:rsid w:val="002C61A0"/>
    <w:rsid w:val="002C6558"/>
    <w:rsid w:val="002C7A20"/>
    <w:rsid w:val="002D0DE9"/>
    <w:rsid w:val="002D2FEC"/>
    <w:rsid w:val="002F02F9"/>
    <w:rsid w:val="002F275F"/>
    <w:rsid w:val="002F37E2"/>
    <w:rsid w:val="002F3E7E"/>
    <w:rsid w:val="002F4A80"/>
    <w:rsid w:val="002F7F6B"/>
    <w:rsid w:val="0032347A"/>
    <w:rsid w:val="00323F57"/>
    <w:rsid w:val="003250EF"/>
    <w:rsid w:val="00330811"/>
    <w:rsid w:val="00335617"/>
    <w:rsid w:val="003417F2"/>
    <w:rsid w:val="00347A5D"/>
    <w:rsid w:val="00357E57"/>
    <w:rsid w:val="00362923"/>
    <w:rsid w:val="00364895"/>
    <w:rsid w:val="0036777E"/>
    <w:rsid w:val="00371C5F"/>
    <w:rsid w:val="003773B5"/>
    <w:rsid w:val="003801AE"/>
    <w:rsid w:val="00380406"/>
    <w:rsid w:val="00380BBC"/>
    <w:rsid w:val="00384F59"/>
    <w:rsid w:val="0039595B"/>
    <w:rsid w:val="00395DB7"/>
    <w:rsid w:val="003A14FA"/>
    <w:rsid w:val="003A5AAD"/>
    <w:rsid w:val="003B0781"/>
    <w:rsid w:val="003B41FC"/>
    <w:rsid w:val="003C0908"/>
    <w:rsid w:val="003C113A"/>
    <w:rsid w:val="003C1EF4"/>
    <w:rsid w:val="003C2ED1"/>
    <w:rsid w:val="003D6792"/>
    <w:rsid w:val="003E7E1D"/>
    <w:rsid w:val="003F159E"/>
    <w:rsid w:val="00404739"/>
    <w:rsid w:val="004146FF"/>
    <w:rsid w:val="004206ED"/>
    <w:rsid w:val="00430425"/>
    <w:rsid w:val="00436F8F"/>
    <w:rsid w:val="0043783C"/>
    <w:rsid w:val="00437922"/>
    <w:rsid w:val="0044037A"/>
    <w:rsid w:val="00444742"/>
    <w:rsid w:val="00444938"/>
    <w:rsid w:val="004467AC"/>
    <w:rsid w:val="004514E1"/>
    <w:rsid w:val="004517C5"/>
    <w:rsid w:val="00451BBB"/>
    <w:rsid w:val="00463D25"/>
    <w:rsid w:val="00465E6A"/>
    <w:rsid w:val="00466B57"/>
    <w:rsid w:val="00471889"/>
    <w:rsid w:val="004723C6"/>
    <w:rsid w:val="00472517"/>
    <w:rsid w:val="00476257"/>
    <w:rsid w:val="00480C82"/>
    <w:rsid w:val="004931DD"/>
    <w:rsid w:val="00495693"/>
    <w:rsid w:val="00497CA0"/>
    <w:rsid w:val="004A139C"/>
    <w:rsid w:val="004B04FE"/>
    <w:rsid w:val="004B06C8"/>
    <w:rsid w:val="004B3B6A"/>
    <w:rsid w:val="004C3D57"/>
    <w:rsid w:val="004C5373"/>
    <w:rsid w:val="004E18E9"/>
    <w:rsid w:val="004E4167"/>
    <w:rsid w:val="004F7342"/>
    <w:rsid w:val="00501BA1"/>
    <w:rsid w:val="0051281A"/>
    <w:rsid w:val="005137DB"/>
    <w:rsid w:val="00520729"/>
    <w:rsid w:val="00522637"/>
    <w:rsid w:val="00523487"/>
    <w:rsid w:val="005236C5"/>
    <w:rsid w:val="00523972"/>
    <w:rsid w:val="00524040"/>
    <w:rsid w:val="005242B4"/>
    <w:rsid w:val="00525D6F"/>
    <w:rsid w:val="00526297"/>
    <w:rsid w:val="00530EFB"/>
    <w:rsid w:val="005344F8"/>
    <w:rsid w:val="00543D5B"/>
    <w:rsid w:val="005447E8"/>
    <w:rsid w:val="00546BA2"/>
    <w:rsid w:val="00547EE7"/>
    <w:rsid w:val="005505BB"/>
    <w:rsid w:val="005524EE"/>
    <w:rsid w:val="00552B9B"/>
    <w:rsid w:val="00554033"/>
    <w:rsid w:val="00554D8A"/>
    <w:rsid w:val="00557F9E"/>
    <w:rsid w:val="00560457"/>
    <w:rsid w:val="00563BC1"/>
    <w:rsid w:val="00564284"/>
    <w:rsid w:val="0057124B"/>
    <w:rsid w:val="00574B39"/>
    <w:rsid w:val="0058016F"/>
    <w:rsid w:val="00583359"/>
    <w:rsid w:val="00585B8A"/>
    <w:rsid w:val="00587324"/>
    <w:rsid w:val="00590246"/>
    <w:rsid w:val="005964C0"/>
    <w:rsid w:val="0059793F"/>
    <w:rsid w:val="005A5CED"/>
    <w:rsid w:val="005A7A2A"/>
    <w:rsid w:val="005B031D"/>
    <w:rsid w:val="005B08C6"/>
    <w:rsid w:val="005B320A"/>
    <w:rsid w:val="005C043B"/>
    <w:rsid w:val="005C11A1"/>
    <w:rsid w:val="005D2044"/>
    <w:rsid w:val="005D2D1E"/>
    <w:rsid w:val="005F0529"/>
    <w:rsid w:val="005F1337"/>
    <w:rsid w:val="00600DEC"/>
    <w:rsid w:val="006011B7"/>
    <w:rsid w:val="006012DC"/>
    <w:rsid w:val="00610DDC"/>
    <w:rsid w:val="00612130"/>
    <w:rsid w:val="00612C20"/>
    <w:rsid w:val="006159B3"/>
    <w:rsid w:val="00620BAB"/>
    <w:rsid w:val="00630E44"/>
    <w:rsid w:val="00636DFC"/>
    <w:rsid w:val="0063706D"/>
    <w:rsid w:val="00642F67"/>
    <w:rsid w:val="00643DDF"/>
    <w:rsid w:val="00644E2C"/>
    <w:rsid w:val="00644F29"/>
    <w:rsid w:val="006451B7"/>
    <w:rsid w:val="00645F54"/>
    <w:rsid w:val="006569BF"/>
    <w:rsid w:val="00660FF8"/>
    <w:rsid w:val="00662242"/>
    <w:rsid w:val="00676504"/>
    <w:rsid w:val="0068148E"/>
    <w:rsid w:val="0068167D"/>
    <w:rsid w:val="0068263F"/>
    <w:rsid w:val="00684E6A"/>
    <w:rsid w:val="00687E9B"/>
    <w:rsid w:val="006900C3"/>
    <w:rsid w:val="0069080F"/>
    <w:rsid w:val="006955F1"/>
    <w:rsid w:val="006A2396"/>
    <w:rsid w:val="006A43A1"/>
    <w:rsid w:val="006A4EA8"/>
    <w:rsid w:val="006B1AE2"/>
    <w:rsid w:val="006C2060"/>
    <w:rsid w:val="006C4355"/>
    <w:rsid w:val="006C7F13"/>
    <w:rsid w:val="006D0298"/>
    <w:rsid w:val="006D2383"/>
    <w:rsid w:val="006D4FF7"/>
    <w:rsid w:val="006D6DD3"/>
    <w:rsid w:val="006E745F"/>
    <w:rsid w:val="006F7EA0"/>
    <w:rsid w:val="0070068D"/>
    <w:rsid w:val="007058DB"/>
    <w:rsid w:val="007075B5"/>
    <w:rsid w:val="007107D6"/>
    <w:rsid w:val="007137FD"/>
    <w:rsid w:val="00730155"/>
    <w:rsid w:val="00732396"/>
    <w:rsid w:val="00734244"/>
    <w:rsid w:val="007401B5"/>
    <w:rsid w:val="00746978"/>
    <w:rsid w:val="00750396"/>
    <w:rsid w:val="00752A00"/>
    <w:rsid w:val="007546B6"/>
    <w:rsid w:val="00756DD7"/>
    <w:rsid w:val="007612A9"/>
    <w:rsid w:val="00766B2A"/>
    <w:rsid w:val="00766E93"/>
    <w:rsid w:val="00770EAD"/>
    <w:rsid w:val="00772BDC"/>
    <w:rsid w:val="007850C9"/>
    <w:rsid w:val="007852C0"/>
    <w:rsid w:val="00790040"/>
    <w:rsid w:val="007902E2"/>
    <w:rsid w:val="00796D5D"/>
    <w:rsid w:val="007A5087"/>
    <w:rsid w:val="007C6C8E"/>
    <w:rsid w:val="007C7467"/>
    <w:rsid w:val="007D7EFE"/>
    <w:rsid w:val="007E670D"/>
    <w:rsid w:val="007E7292"/>
    <w:rsid w:val="00800C60"/>
    <w:rsid w:val="00802E3D"/>
    <w:rsid w:val="00804723"/>
    <w:rsid w:val="00805DCD"/>
    <w:rsid w:val="00813AFF"/>
    <w:rsid w:val="00815F0D"/>
    <w:rsid w:val="0081698C"/>
    <w:rsid w:val="00821F2E"/>
    <w:rsid w:val="00825FB5"/>
    <w:rsid w:val="008262C3"/>
    <w:rsid w:val="00827FB9"/>
    <w:rsid w:val="00834A61"/>
    <w:rsid w:val="0084184D"/>
    <w:rsid w:val="008448A8"/>
    <w:rsid w:val="008513C5"/>
    <w:rsid w:val="00854C3A"/>
    <w:rsid w:val="008563CC"/>
    <w:rsid w:val="00865231"/>
    <w:rsid w:val="00877044"/>
    <w:rsid w:val="00881B98"/>
    <w:rsid w:val="0088668B"/>
    <w:rsid w:val="0089017F"/>
    <w:rsid w:val="00892013"/>
    <w:rsid w:val="00892DCE"/>
    <w:rsid w:val="008A0C13"/>
    <w:rsid w:val="008A58BF"/>
    <w:rsid w:val="008A7279"/>
    <w:rsid w:val="008B4EA3"/>
    <w:rsid w:val="008C4A3B"/>
    <w:rsid w:val="008C6130"/>
    <w:rsid w:val="008E0FF6"/>
    <w:rsid w:val="008E7197"/>
    <w:rsid w:val="008F3149"/>
    <w:rsid w:val="008F445B"/>
    <w:rsid w:val="008F4898"/>
    <w:rsid w:val="00903E91"/>
    <w:rsid w:val="00911201"/>
    <w:rsid w:val="00911466"/>
    <w:rsid w:val="00916F7E"/>
    <w:rsid w:val="00917C13"/>
    <w:rsid w:val="00924280"/>
    <w:rsid w:val="0093000F"/>
    <w:rsid w:val="00932094"/>
    <w:rsid w:val="00933A3D"/>
    <w:rsid w:val="00935972"/>
    <w:rsid w:val="0093738F"/>
    <w:rsid w:val="009416CB"/>
    <w:rsid w:val="0095276D"/>
    <w:rsid w:val="00953285"/>
    <w:rsid w:val="00955250"/>
    <w:rsid w:val="00957C74"/>
    <w:rsid w:val="0096266F"/>
    <w:rsid w:val="00962A0C"/>
    <w:rsid w:val="009674E9"/>
    <w:rsid w:val="009679A9"/>
    <w:rsid w:val="0098738E"/>
    <w:rsid w:val="0099023B"/>
    <w:rsid w:val="009908C2"/>
    <w:rsid w:val="00994063"/>
    <w:rsid w:val="0099517E"/>
    <w:rsid w:val="0099544A"/>
    <w:rsid w:val="00995F5D"/>
    <w:rsid w:val="009A3F4D"/>
    <w:rsid w:val="009A6B03"/>
    <w:rsid w:val="009A7318"/>
    <w:rsid w:val="009A7C83"/>
    <w:rsid w:val="009B15AB"/>
    <w:rsid w:val="009C073E"/>
    <w:rsid w:val="009D0A4E"/>
    <w:rsid w:val="009D261F"/>
    <w:rsid w:val="009D271F"/>
    <w:rsid w:val="009D394D"/>
    <w:rsid w:val="009D7BEB"/>
    <w:rsid w:val="009E711E"/>
    <w:rsid w:val="009F3191"/>
    <w:rsid w:val="009F61B5"/>
    <w:rsid w:val="00A12563"/>
    <w:rsid w:val="00A1328E"/>
    <w:rsid w:val="00A15516"/>
    <w:rsid w:val="00A211D2"/>
    <w:rsid w:val="00A22756"/>
    <w:rsid w:val="00A2373C"/>
    <w:rsid w:val="00A30225"/>
    <w:rsid w:val="00A30A37"/>
    <w:rsid w:val="00A358EC"/>
    <w:rsid w:val="00A41B35"/>
    <w:rsid w:val="00A44588"/>
    <w:rsid w:val="00A44E27"/>
    <w:rsid w:val="00A45D50"/>
    <w:rsid w:val="00A4789D"/>
    <w:rsid w:val="00A53DC0"/>
    <w:rsid w:val="00A55B00"/>
    <w:rsid w:val="00A611FC"/>
    <w:rsid w:val="00A64080"/>
    <w:rsid w:val="00A658E3"/>
    <w:rsid w:val="00A76F32"/>
    <w:rsid w:val="00A808C2"/>
    <w:rsid w:val="00A809C1"/>
    <w:rsid w:val="00A8199D"/>
    <w:rsid w:val="00A836B2"/>
    <w:rsid w:val="00A83F69"/>
    <w:rsid w:val="00A92917"/>
    <w:rsid w:val="00A93A96"/>
    <w:rsid w:val="00A93D80"/>
    <w:rsid w:val="00A957AE"/>
    <w:rsid w:val="00A97D79"/>
    <w:rsid w:val="00AA3FF2"/>
    <w:rsid w:val="00AA42D7"/>
    <w:rsid w:val="00AA7184"/>
    <w:rsid w:val="00AB2191"/>
    <w:rsid w:val="00AB28BE"/>
    <w:rsid w:val="00AB308D"/>
    <w:rsid w:val="00AB6B1F"/>
    <w:rsid w:val="00AB783D"/>
    <w:rsid w:val="00AB78CF"/>
    <w:rsid w:val="00AC0A50"/>
    <w:rsid w:val="00AC162C"/>
    <w:rsid w:val="00AC360A"/>
    <w:rsid w:val="00AF1C7C"/>
    <w:rsid w:val="00AF55E4"/>
    <w:rsid w:val="00AF72B5"/>
    <w:rsid w:val="00B00377"/>
    <w:rsid w:val="00B006B2"/>
    <w:rsid w:val="00B20C46"/>
    <w:rsid w:val="00B220DE"/>
    <w:rsid w:val="00B224FA"/>
    <w:rsid w:val="00B23163"/>
    <w:rsid w:val="00B34658"/>
    <w:rsid w:val="00B37D56"/>
    <w:rsid w:val="00B43B53"/>
    <w:rsid w:val="00B44BA2"/>
    <w:rsid w:val="00B53F7F"/>
    <w:rsid w:val="00B5589B"/>
    <w:rsid w:val="00B5654C"/>
    <w:rsid w:val="00B57603"/>
    <w:rsid w:val="00B61B06"/>
    <w:rsid w:val="00B64BB2"/>
    <w:rsid w:val="00B72D1E"/>
    <w:rsid w:val="00B73757"/>
    <w:rsid w:val="00B74C30"/>
    <w:rsid w:val="00B7508A"/>
    <w:rsid w:val="00B75E21"/>
    <w:rsid w:val="00B77C34"/>
    <w:rsid w:val="00B80834"/>
    <w:rsid w:val="00B815A9"/>
    <w:rsid w:val="00B831E8"/>
    <w:rsid w:val="00B851B1"/>
    <w:rsid w:val="00B85319"/>
    <w:rsid w:val="00B87160"/>
    <w:rsid w:val="00B87293"/>
    <w:rsid w:val="00B91D28"/>
    <w:rsid w:val="00B9460E"/>
    <w:rsid w:val="00B94CCB"/>
    <w:rsid w:val="00BA2238"/>
    <w:rsid w:val="00BA25B9"/>
    <w:rsid w:val="00BA7FC5"/>
    <w:rsid w:val="00BC0D30"/>
    <w:rsid w:val="00BC274F"/>
    <w:rsid w:val="00BC4E73"/>
    <w:rsid w:val="00BD2CFD"/>
    <w:rsid w:val="00BD2DCF"/>
    <w:rsid w:val="00BD2EE1"/>
    <w:rsid w:val="00BD6B92"/>
    <w:rsid w:val="00BE2A15"/>
    <w:rsid w:val="00BE5D9E"/>
    <w:rsid w:val="00BF21F5"/>
    <w:rsid w:val="00BF4347"/>
    <w:rsid w:val="00C00847"/>
    <w:rsid w:val="00C0110F"/>
    <w:rsid w:val="00C052A3"/>
    <w:rsid w:val="00C07F67"/>
    <w:rsid w:val="00C2084E"/>
    <w:rsid w:val="00C213B9"/>
    <w:rsid w:val="00C338EC"/>
    <w:rsid w:val="00C3423C"/>
    <w:rsid w:val="00C34A6E"/>
    <w:rsid w:val="00C374F0"/>
    <w:rsid w:val="00C37B9E"/>
    <w:rsid w:val="00C41230"/>
    <w:rsid w:val="00C45143"/>
    <w:rsid w:val="00C47939"/>
    <w:rsid w:val="00C51837"/>
    <w:rsid w:val="00C57939"/>
    <w:rsid w:val="00C622BB"/>
    <w:rsid w:val="00C63650"/>
    <w:rsid w:val="00C63D61"/>
    <w:rsid w:val="00C82AB2"/>
    <w:rsid w:val="00C84B7C"/>
    <w:rsid w:val="00C862F1"/>
    <w:rsid w:val="00C9171B"/>
    <w:rsid w:val="00CA09C0"/>
    <w:rsid w:val="00CA115A"/>
    <w:rsid w:val="00CA21BC"/>
    <w:rsid w:val="00CB78FB"/>
    <w:rsid w:val="00CE0F80"/>
    <w:rsid w:val="00CF1648"/>
    <w:rsid w:val="00CF460F"/>
    <w:rsid w:val="00CF7290"/>
    <w:rsid w:val="00D00FC5"/>
    <w:rsid w:val="00D01E39"/>
    <w:rsid w:val="00D05B9C"/>
    <w:rsid w:val="00D06342"/>
    <w:rsid w:val="00D0644F"/>
    <w:rsid w:val="00D11FC8"/>
    <w:rsid w:val="00D231C3"/>
    <w:rsid w:val="00D277DB"/>
    <w:rsid w:val="00D36E82"/>
    <w:rsid w:val="00D378D7"/>
    <w:rsid w:val="00D57383"/>
    <w:rsid w:val="00D62293"/>
    <w:rsid w:val="00D66D04"/>
    <w:rsid w:val="00D67D54"/>
    <w:rsid w:val="00D71C92"/>
    <w:rsid w:val="00D71E06"/>
    <w:rsid w:val="00D75A38"/>
    <w:rsid w:val="00D775F2"/>
    <w:rsid w:val="00D80704"/>
    <w:rsid w:val="00D9625A"/>
    <w:rsid w:val="00DA1B81"/>
    <w:rsid w:val="00DC00F1"/>
    <w:rsid w:val="00DC2085"/>
    <w:rsid w:val="00DD2341"/>
    <w:rsid w:val="00DD563C"/>
    <w:rsid w:val="00DD73E4"/>
    <w:rsid w:val="00DE0327"/>
    <w:rsid w:val="00DE184E"/>
    <w:rsid w:val="00DF03E1"/>
    <w:rsid w:val="00DF11A3"/>
    <w:rsid w:val="00E05840"/>
    <w:rsid w:val="00E11A64"/>
    <w:rsid w:val="00E14156"/>
    <w:rsid w:val="00E17A93"/>
    <w:rsid w:val="00E21545"/>
    <w:rsid w:val="00E22ED3"/>
    <w:rsid w:val="00E259E2"/>
    <w:rsid w:val="00E364F3"/>
    <w:rsid w:val="00E366FA"/>
    <w:rsid w:val="00E54C39"/>
    <w:rsid w:val="00E55DF8"/>
    <w:rsid w:val="00E56ABB"/>
    <w:rsid w:val="00E60F48"/>
    <w:rsid w:val="00E62C6C"/>
    <w:rsid w:val="00E64042"/>
    <w:rsid w:val="00E670F7"/>
    <w:rsid w:val="00E73F12"/>
    <w:rsid w:val="00E747AE"/>
    <w:rsid w:val="00E837E0"/>
    <w:rsid w:val="00E860E4"/>
    <w:rsid w:val="00E90D6E"/>
    <w:rsid w:val="00E90E9B"/>
    <w:rsid w:val="00E90FAB"/>
    <w:rsid w:val="00E915AD"/>
    <w:rsid w:val="00E94270"/>
    <w:rsid w:val="00E95BFA"/>
    <w:rsid w:val="00EB566C"/>
    <w:rsid w:val="00EB5675"/>
    <w:rsid w:val="00EC0F2A"/>
    <w:rsid w:val="00EC1322"/>
    <w:rsid w:val="00EC17CE"/>
    <w:rsid w:val="00EC19A3"/>
    <w:rsid w:val="00EC44F6"/>
    <w:rsid w:val="00EC57BA"/>
    <w:rsid w:val="00EC6AE3"/>
    <w:rsid w:val="00ED15DD"/>
    <w:rsid w:val="00ED2A65"/>
    <w:rsid w:val="00ED3DA3"/>
    <w:rsid w:val="00ED6F18"/>
    <w:rsid w:val="00ED7BA9"/>
    <w:rsid w:val="00EF5705"/>
    <w:rsid w:val="00F01B98"/>
    <w:rsid w:val="00F020BB"/>
    <w:rsid w:val="00F02655"/>
    <w:rsid w:val="00F0266F"/>
    <w:rsid w:val="00F03ADE"/>
    <w:rsid w:val="00F04C90"/>
    <w:rsid w:val="00F0562D"/>
    <w:rsid w:val="00F15259"/>
    <w:rsid w:val="00F210AC"/>
    <w:rsid w:val="00F317B1"/>
    <w:rsid w:val="00F36E95"/>
    <w:rsid w:val="00F370DE"/>
    <w:rsid w:val="00F50F55"/>
    <w:rsid w:val="00F5250B"/>
    <w:rsid w:val="00F533D1"/>
    <w:rsid w:val="00F654D5"/>
    <w:rsid w:val="00F6563A"/>
    <w:rsid w:val="00F65E26"/>
    <w:rsid w:val="00F666F5"/>
    <w:rsid w:val="00F66F0D"/>
    <w:rsid w:val="00F71299"/>
    <w:rsid w:val="00F842CF"/>
    <w:rsid w:val="00F97678"/>
    <w:rsid w:val="00FA0754"/>
    <w:rsid w:val="00FA58AC"/>
    <w:rsid w:val="00FA6904"/>
    <w:rsid w:val="00FC3E98"/>
    <w:rsid w:val="00FC5C2F"/>
    <w:rsid w:val="00FE1A08"/>
    <w:rsid w:val="00FE433C"/>
    <w:rsid w:val="00FE6F28"/>
    <w:rsid w:val="00FE79AB"/>
    <w:rsid w:val="00FF03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33AE1F0"/>
  <w15:chartTrackingRefBased/>
  <w15:docId w15:val="{A2DE0BD5-3D7F-4269-8A86-A8073B30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7E0"/>
    <w:pPr>
      <w:widowControl w:val="0"/>
      <w:tabs>
        <w:tab w:val="left" w:pos="851"/>
        <w:tab w:val="left" w:pos="1701"/>
        <w:tab w:val="left" w:pos="2835"/>
        <w:tab w:val="left" w:pos="3969"/>
        <w:tab w:val="left" w:pos="4706"/>
      </w:tabs>
      <w:spacing w:after="480" w:line="480" w:lineRule="auto"/>
      <w:jc w:val="both"/>
    </w:pPr>
    <w:rPr>
      <w:rFonts w:ascii="Arial" w:hAnsi="Arial"/>
      <w:kern w:val="25"/>
      <w:sz w:val="25"/>
      <w:lang w:val="en-GB" w:eastAsia="en-GB"/>
    </w:rPr>
  </w:style>
  <w:style w:type="paragraph" w:styleId="Heading1">
    <w:name w:val="heading 1"/>
    <w:basedOn w:val="Normal"/>
    <w:next w:val="Normal"/>
    <w:qFormat/>
    <w:rsid w:val="001E63F6"/>
    <w:pPr>
      <w:keepNext/>
      <w:widowControl/>
      <w:tabs>
        <w:tab w:val="clear" w:pos="851"/>
      </w:tabs>
      <w:spacing w:after="0" w:line="240" w:lineRule="auto"/>
      <w:jc w:val="left"/>
      <w:outlineLvl w:val="0"/>
    </w:pPr>
    <w:rPr>
      <w:rFonts w:cs="Arial"/>
      <w:b/>
      <w:bCs/>
      <w:color w:val="000000"/>
      <w:kern w:val="0"/>
      <w:sz w:val="18"/>
      <w:szCs w:val="18"/>
      <w:lang w:eastAsia="en-US"/>
    </w:rPr>
  </w:style>
  <w:style w:type="paragraph" w:styleId="Heading2">
    <w:name w:val="heading 2"/>
    <w:basedOn w:val="Normal"/>
    <w:next w:val="Normal"/>
    <w:qFormat/>
    <w:rsid w:val="001E63F6"/>
    <w:pPr>
      <w:keepNext/>
      <w:widowControl/>
      <w:tabs>
        <w:tab w:val="clear" w:pos="851"/>
      </w:tabs>
      <w:spacing w:after="0" w:line="240" w:lineRule="auto"/>
      <w:jc w:val="left"/>
      <w:outlineLvl w:val="1"/>
    </w:pPr>
    <w:rPr>
      <w:rFonts w:cs="Arial"/>
      <w:color w:val="000000"/>
      <w:kern w:val="0"/>
      <w:sz w:val="18"/>
      <w:szCs w:val="18"/>
      <w:u w:val="single"/>
      <w:lang w:eastAsia="en-US"/>
    </w:rPr>
  </w:style>
  <w:style w:type="paragraph" w:styleId="Heading3">
    <w:name w:val="heading 3"/>
    <w:basedOn w:val="Normal"/>
    <w:next w:val="Normal"/>
    <w:qFormat/>
    <w:rsid w:val="001E63F6"/>
    <w:pPr>
      <w:keepNext/>
      <w:widowControl/>
      <w:tabs>
        <w:tab w:val="clear" w:pos="851"/>
      </w:tabs>
      <w:spacing w:after="0" w:line="240" w:lineRule="auto"/>
      <w:ind w:right="692"/>
      <w:jc w:val="left"/>
      <w:outlineLvl w:val="2"/>
    </w:pPr>
    <w:rPr>
      <w:rFonts w:cs="Arial"/>
      <w:b/>
      <w:bCs/>
      <w:color w:val="FF6600"/>
      <w:kern w:val="0"/>
      <w:sz w:val="18"/>
      <w:szCs w:val="18"/>
      <w:lang w:eastAsia="en-US"/>
    </w:rPr>
  </w:style>
  <w:style w:type="paragraph" w:styleId="Heading4">
    <w:name w:val="heading 4"/>
    <w:basedOn w:val="Normal"/>
    <w:next w:val="Normal"/>
    <w:qFormat/>
    <w:rsid w:val="001E63F6"/>
    <w:pPr>
      <w:keepNext/>
      <w:widowControl/>
      <w:tabs>
        <w:tab w:val="clear" w:pos="851"/>
      </w:tabs>
      <w:spacing w:after="0" w:line="288" w:lineRule="auto"/>
      <w:ind w:left="-115"/>
      <w:jc w:val="left"/>
      <w:outlineLvl w:val="3"/>
    </w:pPr>
    <w:rPr>
      <w:rFonts w:ascii="Times New Roman" w:eastAsia="Times" w:hAnsi="Times New Roman"/>
      <w:b/>
      <w:bCs/>
      <w:color w:val="000000"/>
      <w:spacing w:val="24"/>
      <w:kern w:val="0"/>
      <w:sz w:val="15"/>
      <w:szCs w:val="15"/>
      <w:lang w:val="en-US" w:eastAsia="en-US"/>
    </w:rPr>
  </w:style>
  <w:style w:type="paragraph" w:styleId="Heading5">
    <w:name w:val="heading 5"/>
    <w:basedOn w:val="Heading4"/>
    <w:next w:val="Normal"/>
    <w:qFormat/>
    <w:rsid w:val="00815F0D"/>
    <w:pPr>
      <w:numPr>
        <w:ilvl w:val="4"/>
        <w:numId w:val="1"/>
      </w:numPr>
      <w:outlineLvl w:val="4"/>
    </w:pPr>
  </w:style>
  <w:style w:type="paragraph" w:styleId="Heading6">
    <w:name w:val="heading 6"/>
    <w:basedOn w:val="Normal"/>
    <w:next w:val="Normal"/>
    <w:qFormat/>
    <w:pPr>
      <w:keepNext/>
      <w:outlineLvl w:val="5"/>
    </w:pPr>
    <w:rPr>
      <w:u w:val="single"/>
    </w:rPr>
  </w:style>
  <w:style w:type="paragraph" w:styleId="Heading9">
    <w:name w:val="heading 9"/>
    <w:basedOn w:val="Normal"/>
    <w:next w:val="Normal"/>
    <w:qFormat/>
    <w:rsid w:val="00D80704"/>
    <w:pPr>
      <w:keepNext/>
      <w:jc w:val="right"/>
      <w:outlineLvl w:val="8"/>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1E63F6"/>
    <w:pPr>
      <w:widowControl/>
      <w:tabs>
        <w:tab w:val="clear" w:pos="851"/>
      </w:tabs>
      <w:spacing w:after="0" w:line="240" w:lineRule="auto"/>
      <w:jc w:val="left"/>
    </w:pPr>
    <w:rPr>
      <w:rFonts w:ascii="Tahoma" w:hAnsi="Tahoma" w:cs="Tahoma"/>
      <w:color w:val="000000"/>
      <w:kern w:val="0"/>
      <w:sz w:val="16"/>
      <w:szCs w:val="16"/>
      <w:lang w:eastAsia="en-US"/>
    </w:rPr>
  </w:style>
  <w:style w:type="paragraph" w:styleId="BodyText">
    <w:name w:val="Body Text"/>
    <w:basedOn w:val="Normal"/>
    <w:rsid w:val="001E63F6"/>
    <w:pPr>
      <w:widowControl/>
      <w:tabs>
        <w:tab w:val="clear" w:pos="851"/>
      </w:tabs>
      <w:spacing w:after="0" w:line="240" w:lineRule="auto"/>
      <w:jc w:val="left"/>
    </w:pPr>
    <w:rPr>
      <w:rFonts w:eastAsia="Times" w:cs="Arial"/>
      <w:color w:val="181512"/>
      <w:kern w:val="0"/>
      <w:sz w:val="16"/>
      <w:szCs w:val="16"/>
      <w:lang w:val="en-US" w:eastAsia="en-US"/>
    </w:rPr>
  </w:style>
  <w:style w:type="paragraph" w:styleId="BodyText2">
    <w:name w:val="Body Text 2"/>
    <w:basedOn w:val="Normal"/>
    <w:rsid w:val="001E63F6"/>
    <w:pPr>
      <w:tabs>
        <w:tab w:val="clear" w:pos="851"/>
      </w:tabs>
      <w:autoSpaceDE w:val="0"/>
      <w:autoSpaceDN w:val="0"/>
      <w:adjustRightInd w:val="0"/>
      <w:spacing w:after="0" w:line="270" w:lineRule="exact"/>
      <w:ind w:right="5805"/>
      <w:jc w:val="left"/>
    </w:pPr>
    <w:rPr>
      <w:rFonts w:ascii="Times New Roman" w:eastAsia="Times" w:hAnsi="Times New Roman"/>
      <w:color w:val="000000"/>
      <w:kern w:val="0"/>
      <w:sz w:val="18"/>
      <w:szCs w:val="18"/>
      <w:lang w:val="en-US" w:eastAsia="en-US"/>
    </w:rPr>
  </w:style>
  <w:style w:type="paragraph" w:customStyle="1" w:styleId="BridgeBodyText">
    <w:name w:val="Bridge Body Text"/>
    <w:basedOn w:val="Normal"/>
    <w:rsid w:val="001E63F6"/>
    <w:pPr>
      <w:tabs>
        <w:tab w:val="clear" w:pos="851"/>
      </w:tabs>
      <w:autoSpaceDE w:val="0"/>
      <w:autoSpaceDN w:val="0"/>
      <w:adjustRightInd w:val="0"/>
      <w:spacing w:after="0" w:line="320" w:lineRule="exact"/>
      <w:jc w:val="left"/>
    </w:pPr>
    <w:rPr>
      <w:rFonts w:ascii="Times New Roman" w:eastAsia="Times" w:hAnsi="Times New Roman"/>
      <w:color w:val="000000"/>
      <w:kern w:val="0"/>
      <w:sz w:val="18"/>
      <w:szCs w:val="18"/>
      <w:lang w:val="en-US" w:eastAsia="en-US"/>
    </w:rPr>
  </w:style>
  <w:style w:type="paragraph" w:customStyle="1" w:styleId="BridgeHeading">
    <w:name w:val="Bridge Heading"/>
    <w:basedOn w:val="BridgeBodyText"/>
    <w:rsid w:val="001E63F6"/>
    <w:rPr>
      <w:b/>
      <w:bCs/>
    </w:rPr>
  </w:style>
  <w:style w:type="paragraph" w:styleId="Caption">
    <w:name w:val="caption"/>
    <w:basedOn w:val="Normal"/>
    <w:next w:val="Normal"/>
    <w:qFormat/>
    <w:rsid w:val="001E63F6"/>
    <w:pPr>
      <w:widowControl/>
      <w:tabs>
        <w:tab w:val="clear" w:pos="851"/>
      </w:tabs>
      <w:spacing w:after="0" w:line="240" w:lineRule="auto"/>
      <w:jc w:val="left"/>
    </w:pPr>
    <w:rPr>
      <w:rFonts w:cs="Arial"/>
      <w:b/>
      <w:bCs/>
      <w:color w:val="000000"/>
      <w:kern w:val="0"/>
      <w:sz w:val="20"/>
      <w:lang w:eastAsia="en-US"/>
    </w:rPr>
  </w:style>
  <w:style w:type="character" w:styleId="CommentReference">
    <w:name w:val="annotation reference"/>
    <w:rsid w:val="001E63F6"/>
    <w:rPr>
      <w:sz w:val="16"/>
      <w:szCs w:val="16"/>
    </w:rPr>
  </w:style>
  <w:style w:type="paragraph" w:styleId="CommentText">
    <w:name w:val="annotation text"/>
    <w:basedOn w:val="Normal"/>
    <w:rsid w:val="001E63F6"/>
    <w:pPr>
      <w:widowControl/>
      <w:tabs>
        <w:tab w:val="clear" w:pos="851"/>
      </w:tabs>
      <w:spacing w:after="0" w:line="240" w:lineRule="auto"/>
      <w:jc w:val="left"/>
    </w:pPr>
    <w:rPr>
      <w:rFonts w:cs="Arial"/>
      <w:color w:val="000000"/>
      <w:kern w:val="0"/>
      <w:sz w:val="20"/>
      <w:lang w:eastAsia="en-US"/>
    </w:rPr>
  </w:style>
  <w:style w:type="paragraph" w:styleId="CommentSubject">
    <w:name w:val="annotation subject"/>
    <w:basedOn w:val="CommentText"/>
    <w:next w:val="CommentText"/>
    <w:rsid w:val="001E63F6"/>
    <w:rPr>
      <w:b/>
      <w:bCs/>
    </w:rPr>
  </w:style>
  <w:style w:type="paragraph" w:styleId="DocumentMap">
    <w:name w:val="Document Map"/>
    <w:basedOn w:val="Normal"/>
    <w:rsid w:val="001E63F6"/>
    <w:pPr>
      <w:widowControl/>
      <w:shd w:val="clear" w:color="auto" w:fill="000080"/>
      <w:tabs>
        <w:tab w:val="clear" w:pos="851"/>
      </w:tabs>
      <w:spacing w:after="0" w:line="240" w:lineRule="auto"/>
      <w:jc w:val="left"/>
    </w:pPr>
    <w:rPr>
      <w:rFonts w:ascii="Tahoma" w:hAnsi="Tahoma" w:cs="Tahoma"/>
      <w:color w:val="000000"/>
      <w:kern w:val="0"/>
      <w:sz w:val="20"/>
      <w:lang w:eastAsia="en-US"/>
    </w:rPr>
  </w:style>
  <w:style w:type="paragraph" w:customStyle="1" w:styleId="Documenttitle">
    <w:name w:val="Document title"/>
    <w:basedOn w:val="Normal"/>
    <w:rsid w:val="001E63F6"/>
    <w:pPr>
      <w:widowControl/>
      <w:tabs>
        <w:tab w:val="clear" w:pos="851"/>
      </w:tabs>
      <w:spacing w:after="0" w:line="240" w:lineRule="auto"/>
      <w:jc w:val="left"/>
    </w:pPr>
    <w:rPr>
      <w:rFonts w:cs="Arial"/>
      <w:b/>
      <w:bCs/>
      <w:kern w:val="0"/>
      <w:sz w:val="48"/>
      <w:szCs w:val="48"/>
      <w:lang w:eastAsia="en-US"/>
    </w:rPr>
  </w:style>
  <w:style w:type="character" w:styleId="EndnoteReference">
    <w:name w:val="endnote reference"/>
    <w:rsid w:val="001E63F6"/>
    <w:rPr>
      <w:vertAlign w:val="superscript"/>
    </w:rPr>
  </w:style>
  <w:style w:type="paragraph" w:styleId="EndnoteText">
    <w:name w:val="endnote text"/>
    <w:basedOn w:val="Normal"/>
    <w:rsid w:val="002650AF"/>
    <w:pPr>
      <w:widowControl/>
      <w:tabs>
        <w:tab w:val="clear" w:pos="851"/>
        <w:tab w:val="left" w:pos="567"/>
        <w:tab w:val="left" w:pos="1134"/>
      </w:tabs>
      <w:spacing w:after="0" w:line="240" w:lineRule="auto"/>
      <w:jc w:val="left"/>
    </w:pPr>
    <w:rPr>
      <w:rFonts w:cs="Arial"/>
      <w:color w:val="000000"/>
      <w:kern w:val="0"/>
      <w:sz w:val="20"/>
      <w:lang w:eastAsia="en-US"/>
    </w:rPr>
  </w:style>
  <w:style w:type="paragraph" w:styleId="Footer">
    <w:name w:val="footer"/>
    <w:basedOn w:val="Normal"/>
    <w:rsid w:val="001E63F6"/>
    <w:pPr>
      <w:widowControl/>
      <w:tabs>
        <w:tab w:val="clear" w:pos="851"/>
        <w:tab w:val="center" w:pos="4320"/>
        <w:tab w:val="right" w:pos="8640"/>
      </w:tabs>
      <w:spacing w:after="0" w:line="240" w:lineRule="auto"/>
      <w:jc w:val="left"/>
    </w:pPr>
    <w:rPr>
      <w:rFonts w:cs="Arial"/>
      <w:color w:val="000000"/>
      <w:kern w:val="0"/>
      <w:sz w:val="18"/>
      <w:szCs w:val="18"/>
      <w:lang w:eastAsia="en-US"/>
    </w:rPr>
  </w:style>
  <w:style w:type="character" w:styleId="FootnoteReference">
    <w:name w:val="footnote reference"/>
    <w:rsid w:val="00796D5D"/>
    <w:rPr>
      <w:color w:val="0000FF"/>
      <w:vertAlign w:val="superscript"/>
    </w:rPr>
  </w:style>
  <w:style w:type="paragraph" w:styleId="FootnoteText">
    <w:name w:val="footnote text"/>
    <w:basedOn w:val="Normal"/>
    <w:rsid w:val="005137DB"/>
    <w:pPr>
      <w:widowControl/>
      <w:tabs>
        <w:tab w:val="left" w:pos="284"/>
        <w:tab w:val="left" w:pos="567"/>
        <w:tab w:val="left" w:pos="1134"/>
      </w:tabs>
      <w:spacing w:after="120" w:line="240" w:lineRule="auto"/>
      <w:ind w:left="284" w:hanging="284"/>
      <w:jc w:val="left"/>
    </w:pPr>
    <w:rPr>
      <w:rFonts w:cs="Arial"/>
      <w:color w:val="000000"/>
      <w:kern w:val="0"/>
      <w:sz w:val="20"/>
      <w:lang w:eastAsia="en-US"/>
    </w:rPr>
  </w:style>
  <w:style w:type="paragraph" w:styleId="Header">
    <w:name w:val="header"/>
    <w:basedOn w:val="Normal"/>
    <w:rsid w:val="001E63F6"/>
    <w:pPr>
      <w:widowControl/>
      <w:tabs>
        <w:tab w:val="clear" w:pos="851"/>
        <w:tab w:val="center" w:pos="4320"/>
        <w:tab w:val="right" w:pos="8640"/>
      </w:tabs>
      <w:spacing w:after="0" w:line="240" w:lineRule="auto"/>
      <w:jc w:val="left"/>
    </w:pPr>
    <w:rPr>
      <w:rFonts w:cs="Arial"/>
      <w:color w:val="000000"/>
      <w:kern w:val="0"/>
      <w:sz w:val="18"/>
      <w:szCs w:val="18"/>
      <w:lang w:eastAsia="en-US"/>
    </w:rPr>
  </w:style>
  <w:style w:type="character" w:styleId="Hyperlink">
    <w:name w:val="Hyperlink"/>
    <w:rsid w:val="001E63F6"/>
    <w:rPr>
      <w:color w:val="0000FF"/>
      <w:u w:val="single"/>
    </w:rPr>
  </w:style>
  <w:style w:type="paragraph" w:styleId="Index1">
    <w:name w:val="index 1"/>
    <w:basedOn w:val="Normal"/>
    <w:next w:val="Normal"/>
    <w:autoRedefine/>
    <w:rsid w:val="001E63F6"/>
    <w:pPr>
      <w:widowControl/>
      <w:tabs>
        <w:tab w:val="clear" w:pos="851"/>
      </w:tabs>
      <w:spacing w:after="0" w:line="240" w:lineRule="auto"/>
      <w:ind w:left="180" w:hanging="180"/>
      <w:jc w:val="left"/>
    </w:pPr>
    <w:rPr>
      <w:rFonts w:cs="Arial"/>
      <w:color w:val="000000"/>
      <w:kern w:val="0"/>
      <w:sz w:val="18"/>
      <w:szCs w:val="18"/>
      <w:lang w:eastAsia="en-US"/>
    </w:rPr>
  </w:style>
  <w:style w:type="paragraph" w:styleId="Index2">
    <w:name w:val="index 2"/>
    <w:basedOn w:val="Normal"/>
    <w:next w:val="Normal"/>
    <w:autoRedefine/>
    <w:rsid w:val="001E63F6"/>
    <w:pPr>
      <w:widowControl/>
      <w:tabs>
        <w:tab w:val="clear" w:pos="851"/>
      </w:tabs>
      <w:spacing w:after="0" w:line="240" w:lineRule="auto"/>
      <w:ind w:left="360" w:hanging="180"/>
      <w:jc w:val="left"/>
    </w:pPr>
    <w:rPr>
      <w:rFonts w:cs="Arial"/>
      <w:color w:val="000000"/>
      <w:kern w:val="0"/>
      <w:sz w:val="18"/>
      <w:szCs w:val="18"/>
      <w:lang w:eastAsia="en-US"/>
    </w:rPr>
  </w:style>
  <w:style w:type="paragraph" w:styleId="Index3">
    <w:name w:val="index 3"/>
    <w:basedOn w:val="Normal"/>
    <w:next w:val="Normal"/>
    <w:autoRedefine/>
    <w:rsid w:val="001E63F6"/>
    <w:pPr>
      <w:widowControl/>
      <w:tabs>
        <w:tab w:val="clear" w:pos="851"/>
      </w:tabs>
      <w:spacing w:after="0" w:line="240" w:lineRule="auto"/>
      <w:ind w:left="540" w:hanging="180"/>
      <w:jc w:val="left"/>
    </w:pPr>
    <w:rPr>
      <w:rFonts w:cs="Arial"/>
      <w:color w:val="000000"/>
      <w:kern w:val="0"/>
      <w:sz w:val="18"/>
      <w:szCs w:val="18"/>
      <w:lang w:eastAsia="en-US"/>
    </w:rPr>
  </w:style>
  <w:style w:type="paragraph" w:styleId="Index4">
    <w:name w:val="index 4"/>
    <w:basedOn w:val="Normal"/>
    <w:next w:val="Normal"/>
    <w:autoRedefine/>
    <w:rsid w:val="001E63F6"/>
    <w:pPr>
      <w:widowControl/>
      <w:tabs>
        <w:tab w:val="clear" w:pos="851"/>
      </w:tabs>
      <w:spacing w:after="0" w:line="240" w:lineRule="auto"/>
      <w:ind w:left="720" w:hanging="180"/>
      <w:jc w:val="left"/>
    </w:pPr>
    <w:rPr>
      <w:rFonts w:cs="Arial"/>
      <w:color w:val="000000"/>
      <w:kern w:val="0"/>
      <w:sz w:val="18"/>
      <w:szCs w:val="18"/>
      <w:lang w:eastAsia="en-US"/>
    </w:rPr>
  </w:style>
  <w:style w:type="paragraph" w:styleId="Index5">
    <w:name w:val="index 5"/>
    <w:basedOn w:val="Normal"/>
    <w:next w:val="Normal"/>
    <w:autoRedefine/>
    <w:rsid w:val="001E63F6"/>
    <w:pPr>
      <w:widowControl/>
      <w:tabs>
        <w:tab w:val="clear" w:pos="851"/>
      </w:tabs>
      <w:spacing w:after="0" w:line="240" w:lineRule="auto"/>
      <w:ind w:left="900" w:hanging="180"/>
      <w:jc w:val="left"/>
    </w:pPr>
    <w:rPr>
      <w:rFonts w:cs="Arial"/>
      <w:color w:val="000000"/>
      <w:kern w:val="0"/>
      <w:sz w:val="18"/>
      <w:szCs w:val="18"/>
      <w:lang w:eastAsia="en-US"/>
    </w:rPr>
  </w:style>
  <w:style w:type="paragraph" w:styleId="Index6">
    <w:name w:val="index 6"/>
    <w:basedOn w:val="Normal"/>
    <w:next w:val="Normal"/>
    <w:autoRedefine/>
    <w:rsid w:val="001E63F6"/>
    <w:pPr>
      <w:widowControl/>
      <w:tabs>
        <w:tab w:val="clear" w:pos="851"/>
      </w:tabs>
      <w:spacing w:after="0" w:line="240" w:lineRule="auto"/>
      <w:ind w:left="1080" w:hanging="180"/>
      <w:jc w:val="left"/>
    </w:pPr>
    <w:rPr>
      <w:rFonts w:cs="Arial"/>
      <w:color w:val="000000"/>
      <w:kern w:val="0"/>
      <w:sz w:val="18"/>
      <w:szCs w:val="18"/>
      <w:lang w:eastAsia="en-US"/>
    </w:rPr>
  </w:style>
  <w:style w:type="paragraph" w:styleId="Index7">
    <w:name w:val="index 7"/>
    <w:basedOn w:val="Normal"/>
    <w:next w:val="Normal"/>
    <w:autoRedefine/>
    <w:rsid w:val="001E63F6"/>
    <w:pPr>
      <w:widowControl/>
      <w:tabs>
        <w:tab w:val="clear" w:pos="851"/>
      </w:tabs>
      <w:spacing w:after="0" w:line="240" w:lineRule="auto"/>
      <w:ind w:left="1260" w:hanging="180"/>
      <w:jc w:val="left"/>
    </w:pPr>
    <w:rPr>
      <w:rFonts w:cs="Arial"/>
      <w:color w:val="000000"/>
      <w:kern w:val="0"/>
      <w:sz w:val="18"/>
      <w:szCs w:val="18"/>
      <w:lang w:eastAsia="en-US"/>
    </w:rPr>
  </w:style>
  <w:style w:type="paragraph" w:styleId="Index8">
    <w:name w:val="index 8"/>
    <w:basedOn w:val="Normal"/>
    <w:next w:val="Normal"/>
    <w:autoRedefine/>
    <w:rsid w:val="001E63F6"/>
    <w:pPr>
      <w:widowControl/>
      <w:tabs>
        <w:tab w:val="clear" w:pos="851"/>
      </w:tabs>
      <w:spacing w:after="0" w:line="240" w:lineRule="auto"/>
      <w:ind w:left="1440" w:hanging="180"/>
      <w:jc w:val="left"/>
    </w:pPr>
    <w:rPr>
      <w:rFonts w:cs="Arial"/>
      <w:color w:val="000000"/>
      <w:kern w:val="0"/>
      <w:sz w:val="18"/>
      <w:szCs w:val="18"/>
      <w:lang w:eastAsia="en-US"/>
    </w:rPr>
  </w:style>
  <w:style w:type="paragraph" w:styleId="Index9">
    <w:name w:val="index 9"/>
    <w:basedOn w:val="Normal"/>
    <w:next w:val="Normal"/>
    <w:autoRedefine/>
    <w:rsid w:val="001E63F6"/>
    <w:pPr>
      <w:widowControl/>
      <w:tabs>
        <w:tab w:val="clear" w:pos="851"/>
      </w:tabs>
      <w:spacing w:after="0" w:line="240" w:lineRule="auto"/>
      <w:ind w:left="1620" w:hanging="180"/>
      <w:jc w:val="left"/>
    </w:pPr>
    <w:rPr>
      <w:rFonts w:cs="Arial"/>
      <w:color w:val="000000"/>
      <w:kern w:val="0"/>
      <w:sz w:val="18"/>
      <w:szCs w:val="18"/>
      <w:lang w:eastAsia="en-US"/>
    </w:rPr>
  </w:style>
  <w:style w:type="paragraph" w:styleId="IndexHeading">
    <w:name w:val="index heading"/>
    <w:basedOn w:val="Normal"/>
    <w:next w:val="Index1"/>
    <w:rsid w:val="001E63F6"/>
    <w:pPr>
      <w:widowControl/>
      <w:tabs>
        <w:tab w:val="clear" w:pos="851"/>
      </w:tabs>
      <w:spacing w:after="0" w:line="240" w:lineRule="auto"/>
      <w:jc w:val="left"/>
    </w:pPr>
    <w:rPr>
      <w:rFonts w:cs="Arial"/>
      <w:b/>
      <w:bCs/>
      <w:color w:val="000000"/>
      <w:kern w:val="0"/>
      <w:sz w:val="18"/>
      <w:szCs w:val="18"/>
      <w:lang w:eastAsia="en-US"/>
    </w:rPr>
  </w:style>
  <w:style w:type="paragraph" w:styleId="List">
    <w:name w:val="List"/>
    <w:basedOn w:val="Normal"/>
    <w:rsid w:val="001E63F6"/>
    <w:pPr>
      <w:widowControl/>
      <w:tabs>
        <w:tab w:val="clear" w:pos="851"/>
      </w:tabs>
      <w:spacing w:after="0" w:line="240" w:lineRule="auto"/>
      <w:ind w:left="283" w:hanging="283"/>
      <w:jc w:val="left"/>
    </w:pPr>
    <w:rPr>
      <w:rFonts w:cs="Arial"/>
      <w:color w:val="000000"/>
      <w:kern w:val="0"/>
      <w:sz w:val="18"/>
      <w:szCs w:val="18"/>
      <w:lang w:eastAsia="en-US"/>
    </w:rPr>
  </w:style>
  <w:style w:type="paragraph" w:styleId="MacroText">
    <w:name w:val="macro"/>
    <w:rsid w:val="001E63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en-GB" w:eastAsia="en-US"/>
    </w:rPr>
  </w:style>
  <w:style w:type="paragraph" w:customStyle="1" w:styleId="SRNMBodyCopy">
    <w:name w:val="SRNM Body Copy"/>
    <w:basedOn w:val="Normal"/>
    <w:autoRedefine/>
    <w:rsid w:val="001E63F6"/>
    <w:pPr>
      <w:ind w:right="18"/>
    </w:pPr>
  </w:style>
  <w:style w:type="paragraph" w:customStyle="1" w:styleId="SRNMDocumenttitle">
    <w:name w:val="SRNM Document title"/>
    <w:basedOn w:val="Normal"/>
    <w:rsid w:val="001E63F6"/>
    <w:rPr>
      <w:b/>
      <w:bCs/>
      <w:sz w:val="48"/>
      <w:szCs w:val="48"/>
    </w:rPr>
  </w:style>
  <w:style w:type="paragraph" w:customStyle="1" w:styleId="SRNMSubHeadings">
    <w:name w:val="SRNM Sub Headings"/>
    <w:basedOn w:val="SRNMDocumenttitle"/>
    <w:rsid w:val="001E63F6"/>
    <w:rPr>
      <w:color w:val="FF6600"/>
      <w:sz w:val="20"/>
      <w:szCs w:val="20"/>
    </w:rPr>
  </w:style>
  <w:style w:type="table" w:styleId="TableGrid">
    <w:name w:val="Table Grid"/>
    <w:basedOn w:val="TableNormal"/>
    <w:rsid w:val="001E63F6"/>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1E63F6"/>
    <w:pPr>
      <w:ind w:left="180" w:hanging="180"/>
    </w:pPr>
  </w:style>
  <w:style w:type="paragraph" w:styleId="TableofFigures">
    <w:name w:val="table of figures"/>
    <w:basedOn w:val="Normal"/>
    <w:next w:val="Normal"/>
    <w:rsid w:val="001E63F6"/>
  </w:style>
  <w:style w:type="paragraph" w:customStyle="1" w:styleId="timesnew">
    <w:name w:val="times new"/>
    <w:basedOn w:val="Normal"/>
    <w:rsid w:val="001E63F6"/>
    <w:rPr>
      <w:rFonts w:ascii="Sb 1Stone Serif Semibold" w:eastAsia="Times" w:hAnsi="Sb 1Stone Serif Semibold" w:cs="Sb 1Stone Serif Semibold"/>
      <w:spacing w:val="5"/>
      <w:sz w:val="15"/>
      <w:szCs w:val="15"/>
      <w:lang w:val="en-US"/>
    </w:rPr>
  </w:style>
  <w:style w:type="paragraph" w:styleId="TOAHeading">
    <w:name w:val="toa heading"/>
    <w:basedOn w:val="Normal"/>
    <w:next w:val="Normal"/>
    <w:rsid w:val="001E63F6"/>
    <w:pPr>
      <w:spacing w:before="120"/>
    </w:pPr>
    <w:rPr>
      <w:b/>
      <w:bCs/>
      <w:sz w:val="24"/>
      <w:szCs w:val="24"/>
    </w:rPr>
  </w:style>
  <w:style w:type="paragraph" w:styleId="TOC1">
    <w:name w:val="toc 1"/>
    <w:basedOn w:val="Normal"/>
    <w:next w:val="Normal"/>
    <w:autoRedefine/>
    <w:rsid w:val="001E63F6"/>
  </w:style>
  <w:style w:type="paragraph" w:styleId="TOC2">
    <w:name w:val="toc 2"/>
    <w:basedOn w:val="Normal"/>
    <w:next w:val="Normal"/>
    <w:autoRedefine/>
    <w:rsid w:val="001E63F6"/>
    <w:pPr>
      <w:ind w:left="180"/>
    </w:pPr>
  </w:style>
  <w:style w:type="paragraph" w:styleId="TOC3">
    <w:name w:val="toc 3"/>
    <w:basedOn w:val="Normal"/>
    <w:next w:val="Normal"/>
    <w:autoRedefine/>
    <w:rsid w:val="001E63F6"/>
    <w:pPr>
      <w:ind w:left="360"/>
    </w:pPr>
  </w:style>
  <w:style w:type="paragraph" w:styleId="TOC4">
    <w:name w:val="toc 4"/>
    <w:basedOn w:val="Normal"/>
    <w:next w:val="Normal"/>
    <w:autoRedefine/>
    <w:rsid w:val="001E63F6"/>
    <w:pPr>
      <w:ind w:left="540"/>
    </w:pPr>
  </w:style>
  <w:style w:type="paragraph" w:styleId="TOC5">
    <w:name w:val="toc 5"/>
    <w:basedOn w:val="Normal"/>
    <w:next w:val="Normal"/>
    <w:autoRedefine/>
    <w:rsid w:val="001E63F6"/>
    <w:pPr>
      <w:ind w:left="720"/>
    </w:pPr>
  </w:style>
  <w:style w:type="paragraph" w:styleId="TOC6">
    <w:name w:val="toc 6"/>
    <w:basedOn w:val="Normal"/>
    <w:next w:val="Normal"/>
    <w:autoRedefine/>
    <w:rsid w:val="001E63F6"/>
    <w:pPr>
      <w:ind w:left="900"/>
    </w:pPr>
  </w:style>
  <w:style w:type="paragraph" w:styleId="TOC7">
    <w:name w:val="toc 7"/>
    <w:basedOn w:val="Normal"/>
    <w:next w:val="Normal"/>
    <w:autoRedefine/>
    <w:rsid w:val="001E63F6"/>
    <w:pPr>
      <w:ind w:left="1080"/>
    </w:pPr>
  </w:style>
  <w:style w:type="paragraph" w:styleId="TOC8">
    <w:name w:val="toc 8"/>
    <w:basedOn w:val="Normal"/>
    <w:next w:val="Normal"/>
    <w:autoRedefine/>
    <w:rsid w:val="001E63F6"/>
    <w:pPr>
      <w:ind w:left="1260"/>
    </w:pPr>
  </w:style>
  <w:style w:type="paragraph" w:styleId="TOC9">
    <w:name w:val="toc 9"/>
    <w:basedOn w:val="Normal"/>
    <w:next w:val="Normal"/>
    <w:autoRedefine/>
    <w:rsid w:val="001E63F6"/>
    <w:pPr>
      <w:ind w:left="1440"/>
    </w:pPr>
  </w:style>
  <w:style w:type="paragraph" w:customStyle="1" w:styleId="StyleAuthorityAfter30pt">
    <w:name w:val="Style Authority + After:  30 pt"/>
    <w:basedOn w:val="Normal"/>
    <w:rsid w:val="008F3149"/>
    <w:pPr>
      <w:tabs>
        <w:tab w:val="clear" w:pos="851"/>
        <w:tab w:val="left" w:pos="862"/>
        <w:tab w:val="left" w:pos="1871"/>
        <w:tab w:val="left" w:pos="3022"/>
        <w:tab w:val="left" w:pos="4321"/>
        <w:tab w:val="left" w:pos="5761"/>
      </w:tabs>
      <w:spacing w:after="600"/>
      <w:ind w:left="1871" w:hanging="1009"/>
    </w:pPr>
    <w:rPr>
      <w:lang w:val="en-ZA"/>
    </w:rPr>
  </w:style>
  <w:style w:type="paragraph" w:customStyle="1" w:styleId="Indent">
    <w:name w:val="Indent"/>
    <w:basedOn w:val="Normal"/>
    <w:rsid w:val="008262C3"/>
    <w:pPr>
      <w:numPr>
        <w:numId w:val="4"/>
      </w:numPr>
      <w:tabs>
        <w:tab w:val="clear" w:pos="851"/>
        <w:tab w:val="clear" w:pos="1701"/>
        <w:tab w:val="clear" w:pos="2835"/>
        <w:tab w:val="clear" w:pos="3969"/>
        <w:tab w:val="clear" w:pos="4706"/>
      </w:tabs>
    </w:pPr>
  </w:style>
  <w:style w:type="paragraph" w:customStyle="1" w:styleId="Indent2">
    <w:name w:val="Indent2"/>
    <w:basedOn w:val="Indent"/>
    <w:next w:val="Normal"/>
    <w:rsid w:val="001C5ACA"/>
    <w:pPr>
      <w:numPr>
        <w:ilvl w:val="1"/>
        <w:numId w:val="2"/>
      </w:numPr>
    </w:pPr>
  </w:style>
  <w:style w:type="paragraph" w:customStyle="1" w:styleId="StyleAuthorityLeft15cmHanging104cm">
    <w:name w:val="Style Authority + Left:  15 cm Hanging:  104 cm"/>
    <w:basedOn w:val="Normal"/>
    <w:rsid w:val="00B72D1E"/>
    <w:pPr>
      <w:tabs>
        <w:tab w:val="clear" w:pos="851"/>
        <w:tab w:val="clear" w:pos="1701"/>
        <w:tab w:val="clear" w:pos="2835"/>
        <w:tab w:val="clear" w:pos="3969"/>
        <w:tab w:val="clear" w:pos="4706"/>
      </w:tabs>
      <w:spacing w:after="240" w:line="240" w:lineRule="auto"/>
      <w:ind w:left="1441" w:hanging="590"/>
    </w:pPr>
    <w:rPr>
      <w:bCs/>
      <w:szCs w:val="25"/>
    </w:rPr>
  </w:style>
  <w:style w:type="numbering" w:styleId="111111">
    <w:name w:val="Outline List 2"/>
    <w:basedOn w:val="NoList"/>
    <w:rsid w:val="00F370DE"/>
    <w:pPr>
      <w:numPr>
        <w:numId w:val="3"/>
      </w:numPr>
    </w:pPr>
  </w:style>
  <w:style w:type="paragraph" w:customStyle="1" w:styleId="Authority">
    <w:name w:val="Authority"/>
    <w:basedOn w:val="Indent"/>
    <w:rsid w:val="00B72D1E"/>
    <w:pPr>
      <w:numPr>
        <w:numId w:val="0"/>
      </w:numPr>
      <w:spacing w:after="240" w:line="240" w:lineRule="auto"/>
      <w:ind w:left="1441" w:hanging="590"/>
    </w:pPr>
    <w:rPr>
      <w:szCs w:val="25"/>
    </w:rPr>
  </w:style>
  <w:style w:type="paragraph" w:customStyle="1" w:styleId="AuthorityEnd">
    <w:name w:val="Authority End"/>
    <w:basedOn w:val="Authority"/>
    <w:rsid w:val="0001548A"/>
    <w:pPr>
      <w:spacing w:after="720"/>
    </w:pPr>
  </w:style>
  <w:style w:type="paragraph" w:customStyle="1" w:styleId="ai">
    <w:name w:val="(a)(i)"/>
    <w:basedOn w:val="Indent"/>
    <w:rsid w:val="00DC2085"/>
    <w:pPr>
      <w:numPr>
        <w:numId w:val="8"/>
      </w:numPr>
    </w:pPr>
    <w:rPr>
      <w:rFonts w:cs="Arial"/>
      <w:color w:val="000000"/>
      <w:kern w:val="0"/>
      <w:szCs w:val="18"/>
      <w:lang w:eastAsia="en-US"/>
    </w:rPr>
  </w:style>
  <w:style w:type="numbering" w:customStyle="1" w:styleId="Indentedai">
    <w:name w:val="Indented (a)(i)"/>
    <w:basedOn w:val="NoList"/>
    <w:rsid w:val="00825FB5"/>
    <w:pPr>
      <w:numPr>
        <w:numId w:val="5"/>
      </w:numPr>
    </w:pPr>
  </w:style>
  <w:style w:type="paragraph" w:customStyle="1" w:styleId="aSecondIndent">
    <w:name w:val="(a) Second Indent"/>
    <w:basedOn w:val="ai"/>
    <w:rsid w:val="00933A3D"/>
  </w:style>
  <w:style w:type="paragraph" w:customStyle="1" w:styleId="aThirdIndent">
    <w:name w:val="(a) Third Indent"/>
    <w:basedOn w:val="aSecondIndent"/>
    <w:rsid w:val="00933A3D"/>
    <w:pPr>
      <w:numPr>
        <w:numId w:val="6"/>
      </w:numPr>
    </w:pPr>
  </w:style>
  <w:style w:type="paragraph" w:customStyle="1" w:styleId="StyleAuthorityEndAfter36pt">
    <w:name w:val="Style Authority End + After:  36 pt"/>
    <w:basedOn w:val="AuthorityEnd"/>
    <w:rsid w:val="00480C82"/>
    <w:rPr>
      <w:szCs w:val="20"/>
    </w:rPr>
  </w:style>
  <w:style w:type="paragraph" w:customStyle="1" w:styleId="StyleAuthorityEndLeft3cm">
    <w:name w:val="Style Authority End + Left:  3 cm"/>
    <w:basedOn w:val="AuthorityEnd"/>
    <w:rsid w:val="008E7197"/>
    <w:pPr>
      <w:ind w:left="2291"/>
    </w:pPr>
    <w:rPr>
      <w:szCs w:val="20"/>
    </w:rPr>
  </w:style>
  <w:style w:type="paragraph" w:customStyle="1" w:styleId="StyleAuthorityEndFirstline046cm">
    <w:name w:val="Style Authority End + First line:  046 cm"/>
    <w:basedOn w:val="AuthorityEnd"/>
    <w:rsid w:val="006F7EA0"/>
    <w:pPr>
      <w:ind w:left="1440" w:firstLine="261"/>
    </w:pPr>
    <w:rPr>
      <w:szCs w:val="20"/>
    </w:rPr>
  </w:style>
  <w:style w:type="paragraph" w:customStyle="1" w:styleId="Amendment">
    <w:name w:val="Amendment"/>
    <w:basedOn w:val="Indent"/>
    <w:rsid w:val="00935972"/>
    <w:pPr>
      <w:numPr>
        <w:numId w:val="7"/>
      </w:numPr>
    </w:pPr>
    <w:rPr>
      <w:i/>
      <w:szCs w:val="25"/>
    </w:rPr>
  </w:style>
  <w:style w:type="numbering" w:customStyle="1" w:styleId="A111111">
    <w:name w:val="A / 1. / 1.1 / 1.1.1"/>
    <w:rsid w:val="00A93A96"/>
    <w:pPr>
      <w:numPr>
        <w:numId w:val="9"/>
      </w:numPr>
    </w:pPr>
  </w:style>
  <w:style w:type="paragraph" w:customStyle="1" w:styleId="Bold">
    <w:name w:val="Bold"/>
    <w:aliases w:val="underline &amp; Centre"/>
    <w:basedOn w:val="Normal"/>
    <w:rsid w:val="00645F54"/>
    <w:pPr>
      <w:jc w:val="center"/>
    </w:pPr>
    <w:rPr>
      <w:b/>
      <w:u w:val="single"/>
    </w:rPr>
  </w:style>
  <w:style w:type="paragraph" w:customStyle="1" w:styleId="StyleIndentLeft0cmFirstline0cm">
    <w:name w:val="Style Indent + Left:  0 cm First line:  0 cm"/>
    <w:basedOn w:val="Indent"/>
    <w:autoRedefine/>
    <w:rsid w:val="00AB78CF"/>
    <w:pPr>
      <w:numPr>
        <w:numId w:val="0"/>
      </w:numPr>
      <w:tabs>
        <w:tab w:val="num" w:pos="567"/>
      </w:tabs>
    </w:pPr>
  </w:style>
  <w:style w:type="paragraph" w:customStyle="1" w:styleId="QT-I">
    <w:name w:val="QT-I"/>
    <w:rsid w:val="00526297"/>
    <w:pPr>
      <w:widowControl w:val="0"/>
      <w:tabs>
        <w:tab w:val="left" w:pos="283"/>
        <w:tab w:val="left" w:pos="578"/>
        <w:tab w:val="left" w:pos="864"/>
        <w:tab w:val="left" w:pos="1440"/>
        <w:tab w:val="left" w:pos="2015"/>
        <w:tab w:val="left" w:pos="2591"/>
        <w:tab w:val="left" w:pos="3311"/>
      </w:tabs>
      <w:autoSpaceDE w:val="0"/>
      <w:autoSpaceDN w:val="0"/>
      <w:adjustRightInd w:val="0"/>
      <w:spacing w:after="181"/>
      <w:ind w:left="283" w:hanging="283"/>
    </w:pPr>
    <w:rPr>
      <w:rFonts w:ascii="Arial" w:hAnsi="Arial"/>
      <w:sz w:val="18"/>
      <w:szCs w:val="18"/>
      <w:lang w:val="en-US" w:eastAsia="en-US"/>
    </w:rPr>
  </w:style>
  <w:style w:type="character" w:customStyle="1" w:styleId="Mc">
    <w:name w:val="Mc"/>
    <w:rsid w:val="00526297"/>
    <w:rPr>
      <w:vanish/>
      <w:color w:val="000000"/>
      <w:sz w:val="16"/>
    </w:rPr>
  </w:style>
  <w:style w:type="paragraph" w:customStyle="1" w:styleId="Level-Iblue">
    <w:name w:val="Level-I blue"/>
    <w:rsid w:val="00A808C2"/>
    <w:pPr>
      <w:widowControl w:val="0"/>
      <w:tabs>
        <w:tab w:val="left" w:pos="578"/>
      </w:tabs>
      <w:autoSpaceDE w:val="0"/>
      <w:autoSpaceDN w:val="0"/>
      <w:adjustRightInd w:val="0"/>
      <w:ind w:left="578" w:hanging="578"/>
    </w:pPr>
    <w:rPr>
      <w:b/>
      <w:bCs/>
      <w:color w:val="008080"/>
      <w:sz w:val="24"/>
      <w:szCs w:val="24"/>
      <w:lang w:val="en-US" w:eastAsia="en-US"/>
    </w:rPr>
  </w:style>
  <w:style w:type="character" w:customStyle="1" w:styleId="Hidden-Grey-8">
    <w:name w:val="Hidden - Grey - 8"/>
    <w:rsid w:val="00A808C2"/>
    <w:rPr>
      <w:vanish/>
      <w:color w:val="C0C0C0"/>
      <w:sz w:val="16"/>
    </w:rPr>
  </w:style>
  <w:style w:type="paragraph" w:customStyle="1" w:styleId="Heading">
    <w:name w:val="Heading"/>
    <w:basedOn w:val="Normal"/>
    <w:next w:val="Indent"/>
    <w:rsid w:val="008262C3"/>
    <w:pPr>
      <w:keepNext/>
      <w:spacing w:after="720" w:line="240" w:lineRule="auto"/>
    </w:pPr>
    <w:rPr>
      <w:b/>
      <w:u w:val="single"/>
    </w:rPr>
  </w:style>
  <w:style w:type="paragraph" w:styleId="NormalWeb">
    <w:name w:val="Normal (Web)"/>
    <w:basedOn w:val="Normal"/>
    <w:rsid w:val="005524EE"/>
    <w:pPr>
      <w:widowControl/>
      <w:tabs>
        <w:tab w:val="clear" w:pos="851"/>
        <w:tab w:val="clear" w:pos="1701"/>
        <w:tab w:val="clear" w:pos="2835"/>
        <w:tab w:val="clear" w:pos="3969"/>
        <w:tab w:val="clear" w:pos="4706"/>
      </w:tabs>
      <w:spacing w:before="100" w:beforeAutospacing="1" w:after="100" w:afterAutospacing="1" w:line="240" w:lineRule="auto"/>
      <w:jc w:val="left"/>
    </w:pPr>
    <w:rPr>
      <w:rFonts w:ascii="Times New Roman" w:hAnsi="Times New Roman"/>
      <w:kern w:val="0"/>
      <w:sz w:val="24"/>
      <w:szCs w:val="24"/>
    </w:rPr>
  </w:style>
  <w:style w:type="paragraph" w:customStyle="1" w:styleId="western">
    <w:name w:val="western"/>
    <w:basedOn w:val="Normal"/>
    <w:rsid w:val="00444938"/>
    <w:pPr>
      <w:widowControl/>
      <w:tabs>
        <w:tab w:val="clear" w:pos="851"/>
        <w:tab w:val="clear" w:pos="1701"/>
        <w:tab w:val="clear" w:pos="2835"/>
        <w:tab w:val="clear" w:pos="3969"/>
        <w:tab w:val="clear" w:pos="4706"/>
      </w:tabs>
      <w:spacing w:before="100" w:beforeAutospacing="1" w:after="100" w:afterAutospacing="1" w:line="240" w:lineRule="auto"/>
      <w:jc w:val="left"/>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331">
      <w:bodyDiv w:val="1"/>
      <w:marLeft w:val="0"/>
      <w:marRight w:val="0"/>
      <w:marTop w:val="0"/>
      <w:marBottom w:val="0"/>
      <w:divBdr>
        <w:top w:val="none" w:sz="0" w:space="0" w:color="auto"/>
        <w:left w:val="none" w:sz="0" w:space="0" w:color="auto"/>
        <w:bottom w:val="none" w:sz="0" w:space="0" w:color="auto"/>
        <w:right w:val="none" w:sz="0" w:space="0" w:color="auto"/>
      </w:divBdr>
    </w:div>
    <w:div w:id="362217837">
      <w:bodyDiv w:val="1"/>
      <w:marLeft w:val="0"/>
      <w:marRight w:val="0"/>
      <w:marTop w:val="0"/>
      <w:marBottom w:val="0"/>
      <w:divBdr>
        <w:top w:val="none" w:sz="0" w:space="0" w:color="auto"/>
        <w:left w:val="none" w:sz="0" w:space="0" w:color="auto"/>
        <w:bottom w:val="none" w:sz="0" w:space="0" w:color="auto"/>
        <w:right w:val="none" w:sz="0" w:space="0" w:color="auto"/>
      </w:divBdr>
      <w:divsChild>
        <w:div w:id="24260642">
          <w:marLeft w:val="0"/>
          <w:marRight w:val="0"/>
          <w:marTop w:val="120"/>
          <w:marBottom w:val="0"/>
          <w:divBdr>
            <w:top w:val="none" w:sz="0" w:space="0" w:color="auto"/>
            <w:left w:val="none" w:sz="0" w:space="0" w:color="auto"/>
            <w:bottom w:val="none" w:sz="0" w:space="0" w:color="auto"/>
            <w:right w:val="none" w:sz="0" w:space="0" w:color="auto"/>
          </w:divBdr>
        </w:div>
        <w:div w:id="83570246">
          <w:marLeft w:val="1134"/>
          <w:marRight w:val="0"/>
          <w:marTop w:val="60"/>
          <w:marBottom w:val="0"/>
          <w:divBdr>
            <w:top w:val="none" w:sz="0" w:space="0" w:color="auto"/>
            <w:left w:val="none" w:sz="0" w:space="0" w:color="auto"/>
            <w:bottom w:val="none" w:sz="0" w:space="0" w:color="auto"/>
            <w:right w:val="none" w:sz="0" w:space="0" w:color="auto"/>
          </w:divBdr>
        </w:div>
        <w:div w:id="103236866">
          <w:marLeft w:val="1134"/>
          <w:marRight w:val="0"/>
          <w:marTop w:val="60"/>
          <w:marBottom w:val="0"/>
          <w:divBdr>
            <w:top w:val="none" w:sz="0" w:space="0" w:color="auto"/>
            <w:left w:val="none" w:sz="0" w:space="0" w:color="auto"/>
            <w:bottom w:val="none" w:sz="0" w:space="0" w:color="auto"/>
            <w:right w:val="none" w:sz="0" w:space="0" w:color="auto"/>
          </w:divBdr>
        </w:div>
        <w:div w:id="124157640">
          <w:marLeft w:val="1985"/>
          <w:marRight w:val="0"/>
          <w:marTop w:val="60"/>
          <w:marBottom w:val="0"/>
          <w:divBdr>
            <w:top w:val="none" w:sz="0" w:space="0" w:color="auto"/>
            <w:left w:val="none" w:sz="0" w:space="0" w:color="auto"/>
            <w:bottom w:val="none" w:sz="0" w:space="0" w:color="auto"/>
            <w:right w:val="none" w:sz="0" w:space="0" w:color="auto"/>
          </w:divBdr>
        </w:div>
        <w:div w:id="558246059">
          <w:marLeft w:val="1134"/>
          <w:marRight w:val="0"/>
          <w:marTop w:val="60"/>
          <w:marBottom w:val="0"/>
          <w:divBdr>
            <w:top w:val="none" w:sz="0" w:space="0" w:color="auto"/>
            <w:left w:val="none" w:sz="0" w:space="0" w:color="auto"/>
            <w:bottom w:val="none" w:sz="0" w:space="0" w:color="auto"/>
            <w:right w:val="none" w:sz="0" w:space="0" w:color="auto"/>
          </w:divBdr>
        </w:div>
        <w:div w:id="660622081">
          <w:marLeft w:val="0"/>
          <w:marRight w:val="0"/>
          <w:marTop w:val="120"/>
          <w:marBottom w:val="0"/>
          <w:divBdr>
            <w:top w:val="none" w:sz="0" w:space="0" w:color="auto"/>
            <w:left w:val="none" w:sz="0" w:space="0" w:color="auto"/>
            <w:bottom w:val="none" w:sz="0" w:space="0" w:color="auto"/>
            <w:right w:val="none" w:sz="0" w:space="0" w:color="auto"/>
          </w:divBdr>
        </w:div>
        <w:div w:id="685715249">
          <w:marLeft w:val="1134"/>
          <w:marRight w:val="0"/>
          <w:marTop w:val="60"/>
          <w:marBottom w:val="0"/>
          <w:divBdr>
            <w:top w:val="none" w:sz="0" w:space="0" w:color="auto"/>
            <w:left w:val="none" w:sz="0" w:space="0" w:color="auto"/>
            <w:bottom w:val="none" w:sz="0" w:space="0" w:color="auto"/>
            <w:right w:val="none" w:sz="0" w:space="0" w:color="auto"/>
          </w:divBdr>
        </w:div>
        <w:div w:id="712072323">
          <w:marLeft w:val="1134"/>
          <w:marRight w:val="0"/>
          <w:marTop w:val="60"/>
          <w:marBottom w:val="0"/>
          <w:divBdr>
            <w:top w:val="none" w:sz="0" w:space="0" w:color="auto"/>
            <w:left w:val="none" w:sz="0" w:space="0" w:color="auto"/>
            <w:bottom w:val="none" w:sz="0" w:space="0" w:color="auto"/>
            <w:right w:val="none" w:sz="0" w:space="0" w:color="auto"/>
          </w:divBdr>
        </w:div>
        <w:div w:id="857931963">
          <w:marLeft w:val="0"/>
          <w:marRight w:val="0"/>
          <w:marTop w:val="120"/>
          <w:marBottom w:val="0"/>
          <w:divBdr>
            <w:top w:val="none" w:sz="0" w:space="0" w:color="auto"/>
            <w:left w:val="none" w:sz="0" w:space="0" w:color="auto"/>
            <w:bottom w:val="none" w:sz="0" w:space="0" w:color="auto"/>
            <w:right w:val="none" w:sz="0" w:space="0" w:color="auto"/>
          </w:divBdr>
        </w:div>
        <w:div w:id="962081713">
          <w:marLeft w:val="1134"/>
          <w:marRight w:val="0"/>
          <w:marTop w:val="60"/>
          <w:marBottom w:val="0"/>
          <w:divBdr>
            <w:top w:val="none" w:sz="0" w:space="0" w:color="auto"/>
            <w:left w:val="none" w:sz="0" w:space="0" w:color="auto"/>
            <w:bottom w:val="none" w:sz="0" w:space="0" w:color="auto"/>
            <w:right w:val="none" w:sz="0" w:space="0" w:color="auto"/>
          </w:divBdr>
        </w:div>
        <w:div w:id="974145978">
          <w:marLeft w:val="1985"/>
          <w:marRight w:val="0"/>
          <w:marTop w:val="60"/>
          <w:marBottom w:val="0"/>
          <w:divBdr>
            <w:top w:val="none" w:sz="0" w:space="0" w:color="auto"/>
            <w:left w:val="none" w:sz="0" w:space="0" w:color="auto"/>
            <w:bottom w:val="none" w:sz="0" w:space="0" w:color="auto"/>
            <w:right w:val="none" w:sz="0" w:space="0" w:color="auto"/>
          </w:divBdr>
        </w:div>
        <w:div w:id="982276043">
          <w:marLeft w:val="0"/>
          <w:marRight w:val="0"/>
          <w:marTop w:val="120"/>
          <w:marBottom w:val="0"/>
          <w:divBdr>
            <w:top w:val="none" w:sz="0" w:space="0" w:color="auto"/>
            <w:left w:val="none" w:sz="0" w:space="0" w:color="auto"/>
            <w:bottom w:val="none" w:sz="0" w:space="0" w:color="auto"/>
            <w:right w:val="none" w:sz="0" w:space="0" w:color="auto"/>
          </w:divBdr>
        </w:div>
        <w:div w:id="1002784511">
          <w:marLeft w:val="1134"/>
          <w:marRight w:val="0"/>
          <w:marTop w:val="60"/>
          <w:marBottom w:val="0"/>
          <w:divBdr>
            <w:top w:val="none" w:sz="0" w:space="0" w:color="auto"/>
            <w:left w:val="none" w:sz="0" w:space="0" w:color="auto"/>
            <w:bottom w:val="none" w:sz="0" w:space="0" w:color="auto"/>
            <w:right w:val="none" w:sz="0" w:space="0" w:color="auto"/>
          </w:divBdr>
        </w:div>
        <w:div w:id="1030107928">
          <w:marLeft w:val="1134"/>
          <w:marRight w:val="0"/>
          <w:marTop w:val="60"/>
          <w:marBottom w:val="0"/>
          <w:divBdr>
            <w:top w:val="none" w:sz="0" w:space="0" w:color="auto"/>
            <w:left w:val="none" w:sz="0" w:space="0" w:color="auto"/>
            <w:bottom w:val="none" w:sz="0" w:space="0" w:color="auto"/>
            <w:right w:val="none" w:sz="0" w:space="0" w:color="auto"/>
          </w:divBdr>
        </w:div>
        <w:div w:id="1182864644">
          <w:marLeft w:val="1134"/>
          <w:marRight w:val="0"/>
          <w:marTop w:val="60"/>
          <w:marBottom w:val="0"/>
          <w:divBdr>
            <w:top w:val="none" w:sz="0" w:space="0" w:color="auto"/>
            <w:left w:val="none" w:sz="0" w:space="0" w:color="auto"/>
            <w:bottom w:val="none" w:sz="0" w:space="0" w:color="auto"/>
            <w:right w:val="none" w:sz="0" w:space="0" w:color="auto"/>
          </w:divBdr>
        </w:div>
        <w:div w:id="1192182558">
          <w:marLeft w:val="1134"/>
          <w:marRight w:val="0"/>
          <w:marTop w:val="60"/>
          <w:marBottom w:val="0"/>
          <w:divBdr>
            <w:top w:val="none" w:sz="0" w:space="0" w:color="auto"/>
            <w:left w:val="none" w:sz="0" w:space="0" w:color="auto"/>
            <w:bottom w:val="none" w:sz="0" w:space="0" w:color="auto"/>
            <w:right w:val="none" w:sz="0" w:space="0" w:color="auto"/>
          </w:divBdr>
        </w:div>
        <w:div w:id="1491748200">
          <w:marLeft w:val="0"/>
          <w:marRight w:val="0"/>
          <w:marTop w:val="120"/>
          <w:marBottom w:val="0"/>
          <w:divBdr>
            <w:top w:val="none" w:sz="0" w:space="0" w:color="auto"/>
            <w:left w:val="none" w:sz="0" w:space="0" w:color="auto"/>
            <w:bottom w:val="none" w:sz="0" w:space="0" w:color="auto"/>
            <w:right w:val="none" w:sz="0" w:space="0" w:color="auto"/>
          </w:divBdr>
        </w:div>
        <w:div w:id="1798451388">
          <w:marLeft w:val="0"/>
          <w:marRight w:val="0"/>
          <w:marTop w:val="120"/>
          <w:marBottom w:val="0"/>
          <w:divBdr>
            <w:top w:val="none" w:sz="0" w:space="0" w:color="auto"/>
            <w:left w:val="none" w:sz="0" w:space="0" w:color="auto"/>
            <w:bottom w:val="none" w:sz="0" w:space="0" w:color="auto"/>
            <w:right w:val="none" w:sz="0" w:space="0" w:color="auto"/>
          </w:divBdr>
        </w:div>
        <w:div w:id="2010282315">
          <w:marLeft w:val="1134"/>
          <w:marRight w:val="0"/>
          <w:marTop w:val="60"/>
          <w:marBottom w:val="0"/>
          <w:divBdr>
            <w:top w:val="none" w:sz="0" w:space="0" w:color="auto"/>
            <w:left w:val="none" w:sz="0" w:space="0" w:color="auto"/>
            <w:bottom w:val="none" w:sz="0" w:space="0" w:color="auto"/>
            <w:right w:val="none" w:sz="0" w:space="0" w:color="auto"/>
          </w:divBdr>
        </w:div>
        <w:div w:id="2036494415">
          <w:marLeft w:val="1134"/>
          <w:marRight w:val="0"/>
          <w:marTop w:val="60"/>
          <w:marBottom w:val="0"/>
          <w:divBdr>
            <w:top w:val="none" w:sz="0" w:space="0" w:color="auto"/>
            <w:left w:val="none" w:sz="0" w:space="0" w:color="auto"/>
            <w:bottom w:val="none" w:sz="0" w:space="0" w:color="auto"/>
            <w:right w:val="none" w:sz="0" w:space="0" w:color="auto"/>
          </w:divBdr>
        </w:div>
      </w:divsChild>
    </w:div>
    <w:div w:id="596984294">
      <w:bodyDiv w:val="1"/>
      <w:marLeft w:val="0"/>
      <w:marRight w:val="0"/>
      <w:marTop w:val="0"/>
      <w:marBottom w:val="0"/>
      <w:divBdr>
        <w:top w:val="none" w:sz="0" w:space="0" w:color="auto"/>
        <w:left w:val="none" w:sz="0" w:space="0" w:color="auto"/>
        <w:bottom w:val="none" w:sz="0" w:space="0" w:color="auto"/>
        <w:right w:val="none" w:sz="0" w:space="0" w:color="auto"/>
      </w:divBdr>
      <w:divsChild>
        <w:div w:id="6757222">
          <w:marLeft w:val="1134"/>
          <w:marRight w:val="0"/>
          <w:marTop w:val="60"/>
          <w:marBottom w:val="0"/>
          <w:divBdr>
            <w:top w:val="none" w:sz="0" w:space="0" w:color="auto"/>
            <w:left w:val="none" w:sz="0" w:space="0" w:color="auto"/>
            <w:bottom w:val="none" w:sz="0" w:space="0" w:color="auto"/>
            <w:right w:val="none" w:sz="0" w:space="0" w:color="auto"/>
          </w:divBdr>
        </w:div>
        <w:div w:id="34087556">
          <w:marLeft w:val="1134"/>
          <w:marRight w:val="0"/>
          <w:marTop w:val="60"/>
          <w:marBottom w:val="0"/>
          <w:divBdr>
            <w:top w:val="none" w:sz="0" w:space="0" w:color="auto"/>
            <w:left w:val="none" w:sz="0" w:space="0" w:color="auto"/>
            <w:bottom w:val="none" w:sz="0" w:space="0" w:color="auto"/>
            <w:right w:val="none" w:sz="0" w:space="0" w:color="auto"/>
          </w:divBdr>
        </w:div>
        <w:div w:id="120003963">
          <w:marLeft w:val="1985"/>
          <w:marRight w:val="0"/>
          <w:marTop w:val="60"/>
          <w:marBottom w:val="0"/>
          <w:divBdr>
            <w:top w:val="none" w:sz="0" w:space="0" w:color="auto"/>
            <w:left w:val="none" w:sz="0" w:space="0" w:color="auto"/>
            <w:bottom w:val="none" w:sz="0" w:space="0" w:color="auto"/>
            <w:right w:val="none" w:sz="0" w:space="0" w:color="auto"/>
          </w:divBdr>
        </w:div>
        <w:div w:id="287669063">
          <w:marLeft w:val="0"/>
          <w:marRight w:val="0"/>
          <w:marTop w:val="120"/>
          <w:marBottom w:val="0"/>
          <w:divBdr>
            <w:top w:val="none" w:sz="0" w:space="0" w:color="auto"/>
            <w:left w:val="none" w:sz="0" w:space="0" w:color="auto"/>
            <w:bottom w:val="none" w:sz="0" w:space="0" w:color="auto"/>
            <w:right w:val="none" w:sz="0" w:space="0" w:color="auto"/>
          </w:divBdr>
        </w:div>
        <w:div w:id="529687612">
          <w:marLeft w:val="1985"/>
          <w:marRight w:val="0"/>
          <w:marTop w:val="60"/>
          <w:marBottom w:val="0"/>
          <w:divBdr>
            <w:top w:val="none" w:sz="0" w:space="0" w:color="auto"/>
            <w:left w:val="none" w:sz="0" w:space="0" w:color="auto"/>
            <w:bottom w:val="none" w:sz="0" w:space="0" w:color="auto"/>
            <w:right w:val="none" w:sz="0" w:space="0" w:color="auto"/>
          </w:divBdr>
        </w:div>
        <w:div w:id="604653901">
          <w:marLeft w:val="1134"/>
          <w:marRight w:val="0"/>
          <w:marTop w:val="60"/>
          <w:marBottom w:val="0"/>
          <w:divBdr>
            <w:top w:val="none" w:sz="0" w:space="0" w:color="auto"/>
            <w:left w:val="none" w:sz="0" w:space="0" w:color="auto"/>
            <w:bottom w:val="none" w:sz="0" w:space="0" w:color="auto"/>
            <w:right w:val="none" w:sz="0" w:space="0" w:color="auto"/>
          </w:divBdr>
        </w:div>
        <w:div w:id="683289947">
          <w:marLeft w:val="1134"/>
          <w:marRight w:val="0"/>
          <w:marTop w:val="60"/>
          <w:marBottom w:val="0"/>
          <w:divBdr>
            <w:top w:val="none" w:sz="0" w:space="0" w:color="auto"/>
            <w:left w:val="none" w:sz="0" w:space="0" w:color="auto"/>
            <w:bottom w:val="none" w:sz="0" w:space="0" w:color="auto"/>
            <w:right w:val="none" w:sz="0" w:space="0" w:color="auto"/>
          </w:divBdr>
        </w:div>
        <w:div w:id="699550438">
          <w:marLeft w:val="1985"/>
          <w:marRight w:val="0"/>
          <w:marTop w:val="60"/>
          <w:marBottom w:val="0"/>
          <w:divBdr>
            <w:top w:val="none" w:sz="0" w:space="0" w:color="auto"/>
            <w:left w:val="none" w:sz="0" w:space="0" w:color="auto"/>
            <w:bottom w:val="none" w:sz="0" w:space="0" w:color="auto"/>
            <w:right w:val="none" w:sz="0" w:space="0" w:color="auto"/>
          </w:divBdr>
        </w:div>
        <w:div w:id="2045978838">
          <w:marLeft w:val="1985"/>
          <w:marRight w:val="0"/>
          <w:marTop w:val="60"/>
          <w:marBottom w:val="0"/>
          <w:divBdr>
            <w:top w:val="none" w:sz="0" w:space="0" w:color="auto"/>
            <w:left w:val="none" w:sz="0" w:space="0" w:color="auto"/>
            <w:bottom w:val="none" w:sz="0" w:space="0" w:color="auto"/>
            <w:right w:val="none" w:sz="0" w:space="0" w:color="auto"/>
          </w:divBdr>
        </w:div>
      </w:divsChild>
    </w:div>
    <w:div w:id="972635888">
      <w:bodyDiv w:val="1"/>
      <w:marLeft w:val="0"/>
      <w:marRight w:val="0"/>
      <w:marTop w:val="0"/>
      <w:marBottom w:val="0"/>
      <w:divBdr>
        <w:top w:val="none" w:sz="0" w:space="0" w:color="auto"/>
        <w:left w:val="none" w:sz="0" w:space="0" w:color="auto"/>
        <w:bottom w:val="none" w:sz="0" w:space="0" w:color="auto"/>
        <w:right w:val="none" w:sz="0" w:space="0" w:color="auto"/>
      </w:divBdr>
      <w:divsChild>
        <w:div w:id="895899286">
          <w:marLeft w:val="1134"/>
          <w:marRight w:val="0"/>
          <w:marTop w:val="60"/>
          <w:marBottom w:val="0"/>
          <w:divBdr>
            <w:top w:val="none" w:sz="0" w:space="0" w:color="auto"/>
            <w:left w:val="none" w:sz="0" w:space="0" w:color="auto"/>
            <w:bottom w:val="none" w:sz="0" w:space="0" w:color="auto"/>
            <w:right w:val="none" w:sz="0" w:space="0" w:color="auto"/>
          </w:divBdr>
        </w:div>
        <w:div w:id="907302259">
          <w:marLeft w:val="1134"/>
          <w:marRight w:val="0"/>
          <w:marTop w:val="60"/>
          <w:marBottom w:val="0"/>
          <w:divBdr>
            <w:top w:val="none" w:sz="0" w:space="0" w:color="auto"/>
            <w:left w:val="none" w:sz="0" w:space="0" w:color="auto"/>
            <w:bottom w:val="none" w:sz="0" w:space="0" w:color="auto"/>
            <w:right w:val="none" w:sz="0" w:space="0" w:color="auto"/>
          </w:divBdr>
        </w:div>
        <w:div w:id="1062563126">
          <w:marLeft w:val="0"/>
          <w:marRight w:val="0"/>
          <w:marTop w:val="120"/>
          <w:marBottom w:val="0"/>
          <w:divBdr>
            <w:top w:val="none" w:sz="0" w:space="0" w:color="auto"/>
            <w:left w:val="none" w:sz="0" w:space="0" w:color="auto"/>
            <w:bottom w:val="none" w:sz="0" w:space="0" w:color="auto"/>
            <w:right w:val="none" w:sz="0" w:space="0" w:color="auto"/>
          </w:divBdr>
        </w:div>
        <w:div w:id="1247110122">
          <w:marLeft w:val="1134"/>
          <w:marRight w:val="0"/>
          <w:marTop w:val="60"/>
          <w:marBottom w:val="0"/>
          <w:divBdr>
            <w:top w:val="none" w:sz="0" w:space="0" w:color="auto"/>
            <w:left w:val="none" w:sz="0" w:space="0" w:color="auto"/>
            <w:bottom w:val="none" w:sz="0" w:space="0" w:color="auto"/>
            <w:right w:val="none" w:sz="0" w:space="0" w:color="auto"/>
          </w:divBdr>
        </w:div>
        <w:div w:id="1281910633">
          <w:marLeft w:val="1134"/>
          <w:marRight w:val="0"/>
          <w:marTop w:val="60"/>
          <w:marBottom w:val="0"/>
          <w:divBdr>
            <w:top w:val="none" w:sz="0" w:space="0" w:color="auto"/>
            <w:left w:val="none" w:sz="0" w:space="0" w:color="auto"/>
            <w:bottom w:val="none" w:sz="0" w:space="0" w:color="auto"/>
            <w:right w:val="none" w:sz="0" w:space="0" w:color="auto"/>
          </w:divBdr>
        </w:div>
        <w:div w:id="1402868285">
          <w:marLeft w:val="1134"/>
          <w:marRight w:val="0"/>
          <w:marTop w:val="60"/>
          <w:marBottom w:val="0"/>
          <w:divBdr>
            <w:top w:val="none" w:sz="0" w:space="0" w:color="auto"/>
            <w:left w:val="none" w:sz="0" w:space="0" w:color="auto"/>
            <w:bottom w:val="none" w:sz="0" w:space="0" w:color="auto"/>
            <w:right w:val="none" w:sz="0" w:space="0" w:color="auto"/>
          </w:divBdr>
        </w:div>
      </w:divsChild>
    </w:div>
    <w:div w:id="1585384109">
      <w:bodyDiv w:val="1"/>
      <w:marLeft w:val="0"/>
      <w:marRight w:val="0"/>
      <w:marTop w:val="0"/>
      <w:marBottom w:val="0"/>
      <w:divBdr>
        <w:top w:val="none" w:sz="0" w:space="0" w:color="auto"/>
        <w:left w:val="none" w:sz="0" w:space="0" w:color="auto"/>
        <w:bottom w:val="none" w:sz="0" w:space="0" w:color="auto"/>
        <w:right w:val="none" w:sz="0" w:space="0" w:color="auto"/>
      </w:divBdr>
    </w:div>
    <w:div w:id="2029404259">
      <w:bodyDiv w:val="1"/>
      <w:marLeft w:val="0"/>
      <w:marRight w:val="0"/>
      <w:marTop w:val="0"/>
      <w:marBottom w:val="0"/>
      <w:divBdr>
        <w:top w:val="none" w:sz="0" w:space="0" w:color="auto"/>
        <w:left w:val="none" w:sz="0" w:space="0" w:color="auto"/>
        <w:bottom w:val="none" w:sz="0" w:space="0" w:color="auto"/>
        <w:right w:val="none" w:sz="0" w:space="0" w:color="auto"/>
      </w:divBdr>
      <w:divsChild>
        <w:div w:id="421268272">
          <w:marLeft w:val="0"/>
          <w:marRight w:val="0"/>
          <w:marTop w:val="120"/>
          <w:marBottom w:val="0"/>
          <w:divBdr>
            <w:top w:val="none" w:sz="0" w:space="0" w:color="auto"/>
            <w:left w:val="none" w:sz="0" w:space="0" w:color="auto"/>
            <w:bottom w:val="none" w:sz="0" w:space="0" w:color="auto"/>
            <w:right w:val="none" w:sz="0" w:space="0" w:color="auto"/>
          </w:divBdr>
        </w:div>
        <w:div w:id="1012148927">
          <w:marLeft w:val="1134"/>
          <w:marRight w:val="0"/>
          <w:marTop w:val="60"/>
          <w:marBottom w:val="0"/>
          <w:divBdr>
            <w:top w:val="none" w:sz="0" w:space="0" w:color="auto"/>
            <w:left w:val="none" w:sz="0" w:space="0" w:color="auto"/>
            <w:bottom w:val="none" w:sz="0" w:space="0" w:color="auto"/>
            <w:right w:val="none" w:sz="0" w:space="0" w:color="auto"/>
          </w:divBdr>
        </w:div>
        <w:div w:id="1014571025">
          <w:marLeft w:val="1134"/>
          <w:marRight w:val="0"/>
          <w:marTop w:val="60"/>
          <w:marBottom w:val="0"/>
          <w:divBdr>
            <w:top w:val="none" w:sz="0" w:space="0" w:color="auto"/>
            <w:left w:val="none" w:sz="0" w:space="0" w:color="auto"/>
            <w:bottom w:val="none" w:sz="0" w:space="0" w:color="auto"/>
            <w:right w:val="none" w:sz="0" w:space="0" w:color="auto"/>
          </w:divBdr>
        </w:div>
        <w:div w:id="1156922245">
          <w:marLeft w:val="1134"/>
          <w:marRight w:val="0"/>
          <w:marTop w:val="60"/>
          <w:marBottom w:val="0"/>
          <w:divBdr>
            <w:top w:val="none" w:sz="0" w:space="0" w:color="auto"/>
            <w:left w:val="none" w:sz="0" w:space="0" w:color="auto"/>
            <w:bottom w:val="none" w:sz="0" w:space="0" w:color="auto"/>
            <w:right w:val="none" w:sz="0" w:space="0" w:color="auto"/>
          </w:divBdr>
        </w:div>
        <w:div w:id="1824154679">
          <w:marLeft w:val="1134"/>
          <w:marRight w:val="0"/>
          <w:marTop w:val="60"/>
          <w:marBottom w:val="0"/>
          <w:divBdr>
            <w:top w:val="none" w:sz="0" w:space="0" w:color="auto"/>
            <w:left w:val="none" w:sz="0" w:space="0" w:color="auto"/>
            <w:bottom w:val="none" w:sz="0" w:space="0" w:color="auto"/>
            <w:right w:val="none" w:sz="0" w:space="0" w:color="auto"/>
          </w:divBdr>
        </w:div>
        <w:div w:id="1995718233">
          <w:marLeft w:val="113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e\AppData\Roaming\Microsoft\Templates\NewJudg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NewJudgment</Template>
  <TotalTime>1</TotalTime>
  <Pages>23</Pages>
  <Words>4347</Words>
  <Characters>24784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June Hein</Company>
  <LinksUpToDate>false</LinksUpToDate>
  <CharactersWithSpaces>29073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JH</dc:creator>
  <cp:keywords/>
  <dc:description/>
  <cp:lastModifiedBy>Mary Bruce</cp:lastModifiedBy>
  <cp:revision>3</cp:revision>
  <cp:lastPrinted>2020-01-22T07:49:00Z</cp:lastPrinted>
  <dcterms:created xsi:type="dcterms:W3CDTF">2023-03-15T05:48:00Z</dcterms:created>
  <dcterms:modified xsi:type="dcterms:W3CDTF">2023-04-14T04:09:00Z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