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1421" w14:textId="2274C6E7" w:rsidR="006C43D7" w:rsidRPr="006C43D7" w:rsidRDefault="009C58CC" w:rsidP="00C74E97">
      <w:pPr>
        <w:spacing w:after="120" w:line="360" w:lineRule="auto"/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 </w:t>
      </w:r>
      <w:r w:rsidR="006C43D7" w:rsidRPr="006C43D7">
        <w:rPr>
          <w:rFonts w:cs="Arial"/>
          <w:b/>
          <w:bCs/>
          <w:noProof/>
          <w:lang w:eastAsia="en-ZA"/>
        </w:rPr>
        <w:drawing>
          <wp:inline distT="0" distB="0" distL="0" distR="0" wp14:anchorId="533B6FEC" wp14:editId="2A4182C8">
            <wp:extent cx="1536065" cy="1536065"/>
            <wp:effectExtent l="0" t="0" r="6985" b="698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92062" w14:textId="77777777" w:rsidR="006C43D7" w:rsidRPr="00C74E97" w:rsidRDefault="006C43D7" w:rsidP="00C74E97">
      <w:pPr>
        <w:spacing w:line="360" w:lineRule="auto"/>
        <w:jc w:val="center"/>
        <w:rPr>
          <w:b/>
          <w:szCs w:val="22"/>
        </w:rPr>
      </w:pPr>
      <w:r w:rsidRPr="006C43D7">
        <w:rPr>
          <w:b/>
        </w:rPr>
        <w:t>I</w:t>
      </w:r>
      <w:r w:rsidRPr="00C74E97">
        <w:rPr>
          <w:b/>
          <w:szCs w:val="22"/>
        </w:rPr>
        <w:t xml:space="preserve">N THE HIGH COURT OF SOUTH AFRICA, </w:t>
      </w:r>
    </w:p>
    <w:p w14:paraId="566C4D1B" w14:textId="77777777" w:rsidR="006C43D7" w:rsidRPr="00C74E97" w:rsidRDefault="006C43D7" w:rsidP="00C74E97">
      <w:pPr>
        <w:spacing w:line="360" w:lineRule="auto"/>
        <w:jc w:val="center"/>
        <w:rPr>
          <w:b/>
          <w:szCs w:val="22"/>
        </w:rPr>
      </w:pPr>
      <w:r w:rsidRPr="00C74E97">
        <w:rPr>
          <w:b/>
          <w:szCs w:val="22"/>
        </w:rPr>
        <w:t>GAUTENG DIVISION, JOHANNESBURG</w:t>
      </w:r>
    </w:p>
    <w:p w14:paraId="13D6E83E" w14:textId="77777777" w:rsidR="006C43D7" w:rsidRPr="00C74E97" w:rsidRDefault="006C43D7" w:rsidP="00C74E97">
      <w:pPr>
        <w:spacing w:line="360" w:lineRule="auto"/>
        <w:jc w:val="both"/>
        <w:rPr>
          <w:b/>
          <w:szCs w:val="22"/>
        </w:rPr>
      </w:pPr>
    </w:p>
    <w:p w14:paraId="3698476C" w14:textId="3F325111" w:rsidR="006C43D7" w:rsidRPr="00C74E97" w:rsidRDefault="006C43D7" w:rsidP="00C74E97">
      <w:pPr>
        <w:spacing w:line="360" w:lineRule="auto"/>
        <w:jc w:val="right"/>
        <w:rPr>
          <w:b/>
          <w:szCs w:val="22"/>
        </w:rPr>
      </w:pPr>
      <w:r w:rsidRPr="00C74E97">
        <w:rPr>
          <w:b/>
          <w:szCs w:val="22"/>
        </w:rPr>
        <w:t xml:space="preserve">CASE NO: </w:t>
      </w:r>
      <w:r w:rsidR="00A27A51" w:rsidRPr="00C74E97">
        <w:rPr>
          <w:b/>
          <w:szCs w:val="22"/>
        </w:rPr>
        <w:t>20</w:t>
      </w:r>
      <w:r w:rsidR="00256F47">
        <w:rPr>
          <w:b/>
          <w:szCs w:val="22"/>
        </w:rPr>
        <w:t>21</w:t>
      </w:r>
      <w:r w:rsidR="00A27A51" w:rsidRPr="00C74E97">
        <w:rPr>
          <w:b/>
          <w:szCs w:val="22"/>
        </w:rPr>
        <w:t>/</w:t>
      </w:r>
      <w:r w:rsidR="009B240E">
        <w:rPr>
          <w:b/>
          <w:szCs w:val="22"/>
        </w:rPr>
        <w:t>18447</w:t>
      </w:r>
    </w:p>
    <w:p w14:paraId="0AF8DD38" w14:textId="77777777" w:rsidR="006C43D7" w:rsidRPr="00C74E97" w:rsidRDefault="006C43D7" w:rsidP="00C74E97">
      <w:pPr>
        <w:spacing w:line="360" w:lineRule="auto"/>
        <w:jc w:val="right"/>
        <w:rPr>
          <w:szCs w:val="22"/>
        </w:rPr>
      </w:pPr>
      <w:r w:rsidRPr="00C74E97">
        <w:rPr>
          <w:noProof/>
          <w:szCs w:val="22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30887" wp14:editId="55507A88">
                <wp:simplePos x="0" y="0"/>
                <wp:positionH relativeFrom="margin">
                  <wp:align>left</wp:align>
                </wp:positionH>
                <wp:positionV relativeFrom="paragraph">
                  <wp:posOffset>49304</wp:posOffset>
                </wp:positionV>
                <wp:extent cx="3314700" cy="1592825"/>
                <wp:effectExtent l="0" t="0" r="19050" b="266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9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B470" w14:textId="77777777" w:rsidR="00D645C6" w:rsidRPr="00913F95" w:rsidRDefault="00D645C6" w:rsidP="006C43D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FDAE28" w14:textId="5701890D" w:rsidR="00D645C6" w:rsidRDefault="00616F67" w:rsidP="00616F67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D645C6" w:rsidRPr="001D3C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REPORTABLE: </w:t>
                            </w:r>
                            <w:r w:rsidR="00256F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A4C7296" w14:textId="0A436836" w:rsidR="00D645C6" w:rsidRPr="001D3CC2" w:rsidRDefault="00616F67" w:rsidP="00616F67">
                            <w:pPr>
                              <w:tabs>
                                <w:tab w:val="left" w:pos="900"/>
                              </w:tabs>
                              <w:ind w:left="900" w:hanging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D3C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(2)</w:t>
                            </w:r>
                            <w:r w:rsidRPr="001D3C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D645C6" w:rsidRPr="001D3CC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</w:t>
                            </w:r>
                            <w:r w:rsidR="00D645C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56F4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21D4A71B" w14:textId="5B58BFC8" w:rsidR="00D645C6" w:rsidRPr="00913F95" w:rsidRDefault="00D645C6" w:rsidP="001D3CC2">
                            <w:pPr>
                              <w:ind w:left="18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61B7CA4" w14:textId="77777777" w:rsidR="00D645C6" w:rsidRDefault="00D645C6" w:rsidP="006C43D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C4BA5C" w14:textId="61945B0D" w:rsidR="00D645C6" w:rsidRPr="001D3CC2" w:rsidRDefault="00D645C6" w:rsidP="001D3CC2">
                            <w:pPr>
                              <w:keepNext/>
                              <w:tabs>
                                <w:tab w:val="right" w:pos="0"/>
                              </w:tabs>
                              <w:contextualSpacing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1D3CC2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1AD3C7B" w14:textId="4114C951" w:rsidR="00D645C6" w:rsidRPr="00084341" w:rsidRDefault="00D645C6" w:rsidP="001D3CC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8434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DATE</w:t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08434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308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.9pt;width:261pt;height:12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">
                <v:textbox>
                  <w:txbxContent>
                    <w:p w14:paraId="0EA4B470" w14:textId="77777777" w:rsidR="00D645C6" w:rsidRPr="00913F95" w:rsidRDefault="00D645C6" w:rsidP="006C43D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01FDAE28" w14:textId="5701890D" w:rsidR="00D645C6" w:rsidRDefault="00616F67" w:rsidP="00616F67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(1)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D645C6" w:rsidRPr="001D3CC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REPORTABLE: </w:t>
                      </w:r>
                      <w:r w:rsidR="00256F47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3A4C7296" w14:textId="0A436836" w:rsidR="00D645C6" w:rsidRPr="001D3CC2" w:rsidRDefault="00616F67" w:rsidP="00616F67">
                      <w:pPr>
                        <w:tabs>
                          <w:tab w:val="left" w:pos="900"/>
                        </w:tabs>
                        <w:ind w:left="900" w:hanging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D3CC2">
                        <w:rPr>
                          <w:rFonts w:ascii="Century Gothic" w:hAnsi="Century Gothic"/>
                          <w:sz w:val="20"/>
                          <w:szCs w:val="20"/>
                        </w:rPr>
                        <w:t>(2)</w:t>
                      </w:r>
                      <w:r w:rsidRPr="001D3CC2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D645C6" w:rsidRPr="001D3CC2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</w:t>
                      </w:r>
                      <w:r w:rsidR="00D645C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 w:rsidR="00256F47"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</w:p>
                    <w:p w14:paraId="21D4A71B" w14:textId="5B58BFC8" w:rsidR="00D645C6" w:rsidRPr="00913F95" w:rsidRDefault="00D645C6" w:rsidP="001D3CC2">
                      <w:pPr>
                        <w:ind w:left="18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61B7CA4" w14:textId="77777777" w:rsidR="00D645C6" w:rsidRDefault="00D645C6" w:rsidP="006C43D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0EC4BA5C" w14:textId="61945B0D" w:rsidR="00D645C6" w:rsidRPr="001D3CC2" w:rsidRDefault="00D645C6" w:rsidP="001D3CC2">
                      <w:pPr>
                        <w:keepNext/>
                        <w:tabs>
                          <w:tab w:val="right" w:pos="0"/>
                        </w:tabs>
                        <w:contextualSpacing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Pr="001D3CC2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1AD3C7B" w14:textId="4114C951" w:rsidR="00D645C6" w:rsidRPr="00084341" w:rsidRDefault="00D645C6" w:rsidP="001D3CC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84341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DATE</w:t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084341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B5ECD" w14:textId="77777777" w:rsidR="006C43D7" w:rsidRPr="00C74E97" w:rsidRDefault="006C43D7" w:rsidP="00C74E97">
      <w:pPr>
        <w:spacing w:line="360" w:lineRule="auto"/>
        <w:jc w:val="both"/>
        <w:rPr>
          <w:szCs w:val="22"/>
        </w:rPr>
      </w:pPr>
    </w:p>
    <w:p w14:paraId="4E808D74" w14:textId="77777777" w:rsidR="006C43D7" w:rsidRPr="00C74E97" w:rsidRDefault="006C43D7" w:rsidP="00C74E97">
      <w:pPr>
        <w:spacing w:line="360" w:lineRule="auto"/>
        <w:jc w:val="both"/>
        <w:rPr>
          <w:szCs w:val="22"/>
        </w:rPr>
      </w:pPr>
    </w:p>
    <w:p w14:paraId="34BF70B6" w14:textId="77777777" w:rsidR="006C43D7" w:rsidRPr="00C74E97" w:rsidRDefault="006C43D7" w:rsidP="00C74E97">
      <w:pPr>
        <w:spacing w:line="360" w:lineRule="auto"/>
        <w:jc w:val="both"/>
        <w:rPr>
          <w:szCs w:val="22"/>
        </w:rPr>
      </w:pPr>
    </w:p>
    <w:p w14:paraId="2F53BA3A" w14:textId="77777777" w:rsidR="006C43D7" w:rsidRPr="00C74E97" w:rsidRDefault="006C43D7" w:rsidP="00C74E97">
      <w:pPr>
        <w:spacing w:line="360" w:lineRule="auto"/>
        <w:jc w:val="both"/>
        <w:rPr>
          <w:szCs w:val="22"/>
        </w:rPr>
      </w:pPr>
    </w:p>
    <w:p w14:paraId="3A1C212E" w14:textId="77777777" w:rsidR="006C43D7" w:rsidRPr="00C74E97" w:rsidRDefault="006C43D7" w:rsidP="00C74E97">
      <w:pPr>
        <w:spacing w:line="360" w:lineRule="auto"/>
        <w:jc w:val="both"/>
        <w:rPr>
          <w:szCs w:val="22"/>
        </w:rPr>
      </w:pPr>
    </w:p>
    <w:p w14:paraId="04919B1B" w14:textId="77777777" w:rsidR="001D3CC2" w:rsidRPr="00C74E97" w:rsidRDefault="001D3CC2" w:rsidP="00C74E97">
      <w:pPr>
        <w:spacing w:line="360" w:lineRule="auto"/>
        <w:jc w:val="both"/>
        <w:rPr>
          <w:rFonts w:cs="Arial"/>
          <w:szCs w:val="22"/>
        </w:rPr>
      </w:pPr>
    </w:p>
    <w:p w14:paraId="11CD2AFD" w14:textId="77777777" w:rsidR="005376D6" w:rsidRDefault="005376D6" w:rsidP="00C74E97">
      <w:pPr>
        <w:spacing w:line="360" w:lineRule="auto"/>
        <w:jc w:val="both"/>
        <w:rPr>
          <w:rFonts w:cs="Arial"/>
          <w:szCs w:val="22"/>
        </w:rPr>
      </w:pPr>
    </w:p>
    <w:p w14:paraId="4A2670A4" w14:textId="77777777" w:rsidR="005376D6" w:rsidRDefault="005376D6" w:rsidP="00C74E97">
      <w:pPr>
        <w:spacing w:line="360" w:lineRule="auto"/>
        <w:jc w:val="both"/>
        <w:rPr>
          <w:rFonts w:cs="Arial"/>
          <w:szCs w:val="22"/>
        </w:rPr>
      </w:pPr>
    </w:p>
    <w:p w14:paraId="65EE98C6" w14:textId="06F6EE73" w:rsidR="00AA7A76" w:rsidRDefault="00AA7A76" w:rsidP="00C74E97">
      <w:pPr>
        <w:spacing w:line="360" w:lineRule="auto"/>
        <w:jc w:val="both"/>
        <w:rPr>
          <w:rFonts w:cs="Arial"/>
          <w:szCs w:val="22"/>
        </w:rPr>
      </w:pPr>
      <w:r w:rsidRPr="00C74E97">
        <w:rPr>
          <w:rFonts w:cs="Arial"/>
          <w:szCs w:val="22"/>
        </w:rPr>
        <w:t>In the matter between:</w:t>
      </w:r>
    </w:p>
    <w:p w14:paraId="559B1F55" w14:textId="77777777" w:rsidR="005376D6" w:rsidRDefault="005376D6" w:rsidP="00C74E97">
      <w:pPr>
        <w:spacing w:line="360" w:lineRule="auto"/>
        <w:jc w:val="both"/>
        <w:rPr>
          <w:rFonts w:cs="Arial"/>
          <w:szCs w:val="22"/>
        </w:rPr>
      </w:pPr>
    </w:p>
    <w:p w14:paraId="441EAE6E" w14:textId="3B0DD5D3" w:rsidR="005376D6" w:rsidRDefault="005376D6" w:rsidP="00C74E97">
      <w:pPr>
        <w:spacing w:line="360" w:lineRule="auto"/>
        <w:jc w:val="both"/>
        <w:rPr>
          <w:rFonts w:cs="Arial"/>
          <w:szCs w:val="22"/>
        </w:rPr>
      </w:pPr>
      <w:r w:rsidRPr="005376D6">
        <w:rPr>
          <w:rFonts w:cs="Arial"/>
          <w:noProof/>
          <w:szCs w:val="22"/>
          <w:lang w:eastAsia="en-ZA"/>
        </w:rPr>
        <w:drawing>
          <wp:inline distT="0" distB="0" distL="0" distR="0" wp14:anchorId="3D63057B" wp14:editId="7E6B7268">
            <wp:extent cx="5429885" cy="25323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0C03E" w14:textId="3DB910EA" w:rsidR="005376D6" w:rsidRDefault="001D47F0" w:rsidP="00C74E97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and</w:t>
      </w:r>
    </w:p>
    <w:p w14:paraId="6D73C32E" w14:textId="77777777" w:rsidR="005376D6" w:rsidRDefault="005376D6" w:rsidP="00C74E97">
      <w:pPr>
        <w:spacing w:line="360" w:lineRule="auto"/>
        <w:jc w:val="both"/>
        <w:rPr>
          <w:rFonts w:cs="Arial"/>
          <w:szCs w:val="22"/>
        </w:rPr>
      </w:pPr>
    </w:p>
    <w:p w14:paraId="185BA801" w14:textId="2BC406C9" w:rsidR="009B240E" w:rsidRDefault="005376D6" w:rsidP="00C74E97">
      <w:pPr>
        <w:spacing w:line="360" w:lineRule="auto"/>
        <w:jc w:val="both"/>
        <w:rPr>
          <w:rFonts w:cs="Arial"/>
          <w:szCs w:val="22"/>
        </w:rPr>
      </w:pPr>
      <w:r w:rsidRPr="005376D6">
        <w:rPr>
          <w:rFonts w:cs="Arial"/>
          <w:noProof/>
          <w:szCs w:val="22"/>
          <w:lang w:eastAsia="en-ZA"/>
        </w:rPr>
        <w:lastRenderedPageBreak/>
        <w:drawing>
          <wp:inline distT="0" distB="0" distL="0" distR="0" wp14:anchorId="052927F7" wp14:editId="6FFD3830">
            <wp:extent cx="5429885" cy="25304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FD117" w14:textId="77777777" w:rsidR="00CE6301" w:rsidRPr="00C74E97" w:rsidRDefault="00CE6301" w:rsidP="00C74E97">
      <w:pPr>
        <w:pBdr>
          <w:bottom w:val="single" w:sz="4" w:space="1" w:color="auto"/>
        </w:pBdr>
        <w:spacing w:line="360" w:lineRule="auto"/>
        <w:jc w:val="both"/>
        <w:rPr>
          <w:rFonts w:cs="Arial"/>
          <w:szCs w:val="22"/>
        </w:rPr>
      </w:pPr>
    </w:p>
    <w:p w14:paraId="58DE5549" w14:textId="77777777" w:rsidR="006C43D7" w:rsidRPr="00C74E97" w:rsidRDefault="006C43D7" w:rsidP="00C74E97">
      <w:pPr>
        <w:spacing w:line="360" w:lineRule="auto"/>
        <w:jc w:val="both"/>
        <w:rPr>
          <w:rFonts w:cs="Arial"/>
          <w:szCs w:val="22"/>
        </w:rPr>
      </w:pPr>
    </w:p>
    <w:p w14:paraId="647AB70C" w14:textId="77777777" w:rsidR="006C43D7" w:rsidRPr="00C74E97" w:rsidRDefault="006C43D7" w:rsidP="00C74E97">
      <w:pPr>
        <w:keepNext/>
        <w:spacing w:line="360" w:lineRule="auto"/>
        <w:jc w:val="center"/>
        <w:outlineLvl w:val="1"/>
        <w:rPr>
          <w:rFonts w:cs="Arial"/>
          <w:b/>
          <w:bCs/>
          <w:szCs w:val="22"/>
        </w:rPr>
      </w:pPr>
      <w:r w:rsidRPr="00C74E97">
        <w:rPr>
          <w:rFonts w:cs="Arial"/>
          <w:b/>
          <w:bCs/>
          <w:szCs w:val="22"/>
        </w:rPr>
        <w:t>JUDGMENT</w:t>
      </w:r>
    </w:p>
    <w:p w14:paraId="52CD25EB" w14:textId="77777777" w:rsidR="006C43D7" w:rsidRPr="00C74E97" w:rsidRDefault="006C43D7" w:rsidP="00C74E97">
      <w:pPr>
        <w:pBdr>
          <w:bottom w:val="single" w:sz="4" w:space="1" w:color="auto"/>
        </w:pBdr>
        <w:spacing w:line="360" w:lineRule="auto"/>
        <w:jc w:val="both"/>
        <w:rPr>
          <w:rFonts w:cs="Arial"/>
          <w:szCs w:val="22"/>
        </w:rPr>
      </w:pPr>
    </w:p>
    <w:p w14:paraId="0CA76DA1" w14:textId="77777777" w:rsidR="00DC621D" w:rsidRPr="00C74E97" w:rsidRDefault="00DC621D" w:rsidP="00C74E97">
      <w:pPr>
        <w:spacing w:line="360" w:lineRule="auto"/>
        <w:jc w:val="both"/>
        <w:rPr>
          <w:rFonts w:cs="Arial"/>
          <w:b/>
          <w:szCs w:val="22"/>
        </w:rPr>
      </w:pPr>
    </w:p>
    <w:p w14:paraId="5BD82EFE" w14:textId="0F8FBF70" w:rsidR="00BE6AB8" w:rsidRPr="00C74E97" w:rsidRDefault="00C676F3" w:rsidP="00C74E97">
      <w:pPr>
        <w:spacing w:after="480" w:line="360" w:lineRule="auto"/>
        <w:jc w:val="both"/>
        <w:rPr>
          <w:rFonts w:cs="Arial"/>
          <w:b/>
          <w:szCs w:val="22"/>
        </w:rPr>
      </w:pPr>
      <w:r w:rsidRPr="00C74E97">
        <w:rPr>
          <w:rFonts w:cs="Arial"/>
          <w:b/>
          <w:szCs w:val="22"/>
        </w:rPr>
        <w:t>MOORCROFT</w:t>
      </w:r>
      <w:r w:rsidR="006C43D7" w:rsidRPr="00C74E97">
        <w:rPr>
          <w:rFonts w:cs="Arial"/>
          <w:b/>
          <w:szCs w:val="22"/>
        </w:rPr>
        <w:t xml:space="preserve"> AJ:</w:t>
      </w:r>
    </w:p>
    <w:p w14:paraId="09239A78" w14:textId="16CF4472" w:rsidR="00C460A0" w:rsidRDefault="00C460A0" w:rsidP="00C74E97">
      <w:pPr>
        <w:keepNext/>
        <w:spacing w:after="480" w:line="360" w:lineRule="auto"/>
        <w:jc w:val="both"/>
        <w:rPr>
          <w:rFonts w:cs="Arial"/>
          <w:bCs/>
          <w:i/>
          <w:iCs/>
          <w:szCs w:val="22"/>
          <w:u w:val="single"/>
        </w:rPr>
      </w:pPr>
      <w:r w:rsidRPr="00632945">
        <w:rPr>
          <w:rFonts w:cs="Arial"/>
          <w:bCs/>
          <w:i/>
          <w:iCs/>
          <w:szCs w:val="22"/>
          <w:u w:val="single"/>
        </w:rPr>
        <w:t>Summary</w:t>
      </w:r>
    </w:p>
    <w:p w14:paraId="28817F4A" w14:textId="608F6FF7" w:rsidR="00657E35" w:rsidRDefault="00657E35" w:rsidP="00C74E97">
      <w:pPr>
        <w:keepNext/>
        <w:spacing w:after="480" w:line="360" w:lineRule="auto"/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>Application proceedings not appropriate when there are foreseeable disputes of fact- no case made out for relief sought – application dismissed</w:t>
      </w:r>
    </w:p>
    <w:p w14:paraId="79C744CC" w14:textId="1BA51521" w:rsidR="00657E35" w:rsidRDefault="001D47F0" w:rsidP="00C74E97">
      <w:pPr>
        <w:keepNext/>
        <w:spacing w:after="480" w:line="360" w:lineRule="auto"/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>Mis</w:t>
      </w:r>
      <w:r w:rsidR="00657E35">
        <w:rPr>
          <w:rFonts w:cs="Arial"/>
          <w:bCs/>
          <w:i/>
          <w:iCs/>
          <w:szCs w:val="22"/>
        </w:rPr>
        <w:t>joinder – joinder of respondent’s attorney</w:t>
      </w:r>
      <w:r>
        <w:rPr>
          <w:rFonts w:cs="Arial"/>
          <w:bCs/>
          <w:i/>
          <w:iCs/>
          <w:szCs w:val="22"/>
        </w:rPr>
        <w:t xml:space="preserve"> – no case made out for</w:t>
      </w:r>
    </w:p>
    <w:p w14:paraId="6E161356" w14:textId="5C5388B4" w:rsidR="00657E35" w:rsidRPr="00657E35" w:rsidRDefault="00657E35" w:rsidP="00C74E97">
      <w:pPr>
        <w:keepNext/>
        <w:spacing w:after="480" w:line="360" w:lineRule="auto"/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i/>
          <w:iCs/>
          <w:szCs w:val="22"/>
        </w:rPr>
        <w:t xml:space="preserve">Non-joinder – Minister of Home Affairs must be joined in application to seek registration of customary marriage in terms of section 4(7) of the Recognition of Customary Marriages Act, </w:t>
      </w:r>
      <w:r w:rsidR="001D47F0">
        <w:rPr>
          <w:rFonts w:cs="Arial"/>
          <w:bCs/>
          <w:i/>
          <w:iCs/>
          <w:szCs w:val="22"/>
        </w:rPr>
        <w:t>120 of 1998</w:t>
      </w:r>
    </w:p>
    <w:p w14:paraId="4EF9F0FC" w14:textId="77777777" w:rsidR="005376D6" w:rsidRDefault="005376D6" w:rsidP="00C74E97">
      <w:pPr>
        <w:keepNext/>
        <w:spacing w:after="480" w:line="360" w:lineRule="auto"/>
        <w:jc w:val="both"/>
        <w:rPr>
          <w:rFonts w:cs="Arial"/>
          <w:bCs/>
          <w:i/>
          <w:iCs/>
          <w:szCs w:val="22"/>
        </w:rPr>
      </w:pPr>
    </w:p>
    <w:p w14:paraId="18AFD427" w14:textId="0C4505BE" w:rsidR="00BE6AB8" w:rsidRPr="00C74E97" w:rsidRDefault="00BE6AB8" w:rsidP="00C74E97">
      <w:pPr>
        <w:keepNext/>
        <w:spacing w:after="480" w:line="360" w:lineRule="auto"/>
        <w:jc w:val="both"/>
        <w:rPr>
          <w:rFonts w:cs="Arial"/>
          <w:bCs/>
          <w:szCs w:val="22"/>
          <w:u w:val="single"/>
        </w:rPr>
      </w:pPr>
      <w:r w:rsidRPr="00C74E97">
        <w:rPr>
          <w:rFonts w:cs="Arial"/>
          <w:bCs/>
          <w:szCs w:val="22"/>
          <w:u w:val="single"/>
        </w:rPr>
        <w:t>Order</w:t>
      </w:r>
    </w:p>
    <w:p w14:paraId="25A66E53" w14:textId="33A2DEA0" w:rsidR="00DC6EF8" w:rsidRPr="00C74E97" w:rsidRDefault="00616F67" w:rsidP="00616F67">
      <w:pPr>
        <w:tabs>
          <w:tab w:val="left" w:pos="567"/>
        </w:tabs>
        <w:spacing w:after="480" w:line="360" w:lineRule="auto"/>
        <w:jc w:val="both"/>
        <w:rPr>
          <w:rFonts w:cs="Arial"/>
          <w:bCs/>
          <w:szCs w:val="22"/>
        </w:rPr>
      </w:pPr>
      <w:r w:rsidRPr="00C74E97">
        <w:rPr>
          <w:rFonts w:cs="Arial"/>
          <w:bCs/>
          <w:szCs w:val="22"/>
        </w:rPr>
        <w:t>[1]</w:t>
      </w:r>
      <w:r w:rsidRPr="00C74E97">
        <w:rPr>
          <w:rFonts w:cs="Arial"/>
          <w:bCs/>
          <w:szCs w:val="22"/>
        </w:rPr>
        <w:tab/>
      </w:r>
      <w:r w:rsidR="003B4100" w:rsidRPr="00C74E97">
        <w:rPr>
          <w:rFonts w:cs="Arial"/>
          <w:bCs/>
          <w:szCs w:val="22"/>
        </w:rPr>
        <w:t xml:space="preserve">In this </w:t>
      </w:r>
      <w:r w:rsidR="00B56906" w:rsidRPr="00C74E97">
        <w:rPr>
          <w:rFonts w:cs="Arial"/>
          <w:bCs/>
          <w:szCs w:val="22"/>
        </w:rPr>
        <w:t xml:space="preserve">matter </w:t>
      </w:r>
      <w:r w:rsidR="00C460A0" w:rsidRPr="00C74E97">
        <w:rPr>
          <w:rFonts w:cs="Arial"/>
          <w:bCs/>
          <w:szCs w:val="22"/>
        </w:rPr>
        <w:t>I ma</w:t>
      </w:r>
      <w:r w:rsidR="00DF5291" w:rsidRPr="00C74E97">
        <w:rPr>
          <w:rFonts w:cs="Arial"/>
          <w:bCs/>
          <w:szCs w:val="22"/>
        </w:rPr>
        <w:t>k</w:t>
      </w:r>
      <w:r w:rsidR="00DC6EF8" w:rsidRPr="00C74E97">
        <w:rPr>
          <w:rFonts w:cs="Arial"/>
          <w:bCs/>
          <w:szCs w:val="22"/>
        </w:rPr>
        <w:t>e</w:t>
      </w:r>
      <w:r w:rsidR="00C460A0" w:rsidRPr="00C74E97">
        <w:rPr>
          <w:rFonts w:cs="Arial"/>
          <w:bCs/>
          <w:szCs w:val="22"/>
        </w:rPr>
        <w:t xml:space="preserve"> the following order:</w:t>
      </w:r>
    </w:p>
    <w:p w14:paraId="65763CF8" w14:textId="5464A1E0" w:rsidR="00EF45BC" w:rsidRPr="00616F67" w:rsidRDefault="00616F67" w:rsidP="00616F67">
      <w:pPr>
        <w:spacing w:before="120" w:after="120" w:line="360" w:lineRule="auto"/>
        <w:ind w:left="360" w:hanging="360"/>
        <w:jc w:val="both"/>
        <w:rPr>
          <w:i/>
          <w:iCs/>
          <w:szCs w:val="22"/>
        </w:rPr>
      </w:pPr>
      <w:r>
        <w:rPr>
          <w:i/>
          <w:iCs/>
          <w:szCs w:val="22"/>
        </w:rPr>
        <w:lastRenderedPageBreak/>
        <w:t>1.</w:t>
      </w:r>
      <w:r>
        <w:rPr>
          <w:i/>
          <w:iCs/>
          <w:szCs w:val="22"/>
        </w:rPr>
        <w:tab/>
      </w:r>
      <w:r w:rsidR="005376D6" w:rsidRPr="00616F67">
        <w:rPr>
          <w:i/>
          <w:iCs/>
          <w:szCs w:val="22"/>
        </w:rPr>
        <w:t>The application is d</w:t>
      </w:r>
      <w:r w:rsidR="00EF45BC" w:rsidRPr="00616F67">
        <w:rPr>
          <w:i/>
          <w:iCs/>
          <w:szCs w:val="22"/>
        </w:rPr>
        <w:t>ismissed;</w:t>
      </w:r>
    </w:p>
    <w:p w14:paraId="2F020DCB" w14:textId="4E7878DD" w:rsidR="00EF45BC" w:rsidRPr="00616F67" w:rsidRDefault="00616F67" w:rsidP="00616F67">
      <w:pPr>
        <w:spacing w:before="120" w:after="120" w:line="360" w:lineRule="auto"/>
        <w:ind w:left="360" w:hanging="360"/>
        <w:jc w:val="both"/>
        <w:rPr>
          <w:i/>
          <w:iCs/>
          <w:szCs w:val="22"/>
        </w:rPr>
      </w:pPr>
      <w:r>
        <w:rPr>
          <w:i/>
          <w:iCs/>
          <w:szCs w:val="22"/>
        </w:rPr>
        <w:t>2.</w:t>
      </w:r>
      <w:r>
        <w:rPr>
          <w:i/>
          <w:iCs/>
          <w:szCs w:val="22"/>
        </w:rPr>
        <w:tab/>
      </w:r>
      <w:r w:rsidR="00EF45BC" w:rsidRPr="00616F67">
        <w:rPr>
          <w:i/>
          <w:iCs/>
          <w:szCs w:val="22"/>
        </w:rPr>
        <w:t>The applicants are ordered to pay the respondents’ costs, jointly and severally the one paying the other to be absolved;</w:t>
      </w:r>
    </w:p>
    <w:p w14:paraId="53CF4EF9" w14:textId="193339E1" w:rsidR="00EF45BC" w:rsidRPr="00616F67" w:rsidRDefault="00616F67" w:rsidP="00616F67">
      <w:pPr>
        <w:spacing w:before="120" w:after="120" w:line="360" w:lineRule="auto"/>
        <w:ind w:left="360" w:hanging="360"/>
        <w:jc w:val="both"/>
        <w:rPr>
          <w:i/>
          <w:iCs/>
          <w:szCs w:val="22"/>
        </w:rPr>
      </w:pPr>
      <w:r>
        <w:rPr>
          <w:i/>
          <w:iCs/>
          <w:szCs w:val="22"/>
        </w:rPr>
        <w:t>3.</w:t>
      </w:r>
      <w:r>
        <w:rPr>
          <w:i/>
          <w:iCs/>
          <w:szCs w:val="22"/>
        </w:rPr>
        <w:tab/>
      </w:r>
      <w:r w:rsidR="00EF45BC" w:rsidRPr="00616F67">
        <w:rPr>
          <w:i/>
          <w:iCs/>
          <w:szCs w:val="22"/>
        </w:rPr>
        <w:t>The counter-application by the 3</w:t>
      </w:r>
      <w:r w:rsidR="00EF45BC" w:rsidRPr="00616F67">
        <w:rPr>
          <w:i/>
          <w:iCs/>
          <w:szCs w:val="22"/>
          <w:vertAlign w:val="superscript"/>
        </w:rPr>
        <w:t>rd</w:t>
      </w:r>
      <w:r w:rsidR="00EF45BC" w:rsidRPr="00616F67">
        <w:rPr>
          <w:i/>
          <w:iCs/>
          <w:szCs w:val="22"/>
        </w:rPr>
        <w:t xml:space="preserve"> respondent </w:t>
      </w:r>
      <w:r w:rsidR="00A614BA" w:rsidRPr="00616F67">
        <w:rPr>
          <w:i/>
          <w:iCs/>
          <w:szCs w:val="22"/>
        </w:rPr>
        <w:t xml:space="preserve">(counter-applicant) </w:t>
      </w:r>
      <w:r w:rsidR="00EF45BC" w:rsidRPr="00616F67">
        <w:rPr>
          <w:i/>
          <w:iCs/>
          <w:szCs w:val="22"/>
        </w:rPr>
        <w:t>is</w:t>
      </w:r>
      <w:r w:rsidR="001D47F0" w:rsidRPr="00616F67">
        <w:rPr>
          <w:i/>
          <w:iCs/>
          <w:szCs w:val="22"/>
        </w:rPr>
        <w:t xml:space="preserve"> dismissed;</w:t>
      </w:r>
    </w:p>
    <w:p w14:paraId="08540072" w14:textId="59F747FA" w:rsidR="00C9310B" w:rsidRPr="00616F67" w:rsidRDefault="00616F67" w:rsidP="00616F67">
      <w:pPr>
        <w:spacing w:before="120" w:after="120" w:line="360" w:lineRule="auto"/>
        <w:ind w:left="360" w:hanging="360"/>
        <w:jc w:val="both"/>
        <w:rPr>
          <w:rFonts w:cs="Arial"/>
          <w:bCs/>
          <w:szCs w:val="22"/>
          <w:u w:val="single"/>
        </w:rPr>
      </w:pPr>
      <w:r w:rsidRPr="00C74E97">
        <w:rPr>
          <w:rFonts w:cs="Arial"/>
          <w:bCs/>
          <w:szCs w:val="22"/>
        </w:rPr>
        <w:t>4.</w:t>
      </w:r>
      <w:r w:rsidRPr="00C74E97">
        <w:rPr>
          <w:rFonts w:cs="Arial"/>
          <w:bCs/>
          <w:szCs w:val="22"/>
        </w:rPr>
        <w:tab/>
      </w:r>
      <w:r w:rsidR="001D47F0" w:rsidRPr="00616F67">
        <w:rPr>
          <w:i/>
          <w:iCs/>
          <w:szCs w:val="22"/>
        </w:rPr>
        <w:t>No cost order is made in respect of the counter-application.</w:t>
      </w:r>
    </w:p>
    <w:p w14:paraId="732405ED" w14:textId="530C9411" w:rsidR="00483703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[2]</w:t>
      </w:r>
      <w:r>
        <w:rPr>
          <w:rFonts w:cs="Arial"/>
          <w:bCs/>
          <w:szCs w:val="22"/>
        </w:rPr>
        <w:tab/>
      </w:r>
      <w:r w:rsidR="00483703">
        <w:rPr>
          <w:rFonts w:cs="Arial"/>
          <w:bCs/>
          <w:szCs w:val="22"/>
        </w:rPr>
        <w:t>The reasons for the order follow below.</w:t>
      </w:r>
    </w:p>
    <w:p w14:paraId="6D37AEC0" w14:textId="77777777" w:rsidR="001D47F0" w:rsidRDefault="001D47F0" w:rsidP="00483703">
      <w:pPr>
        <w:keepNext/>
        <w:widowControl w:val="0"/>
        <w:spacing w:before="480" w:after="480" w:line="360" w:lineRule="auto"/>
        <w:jc w:val="both"/>
        <w:rPr>
          <w:rFonts w:cs="Arial"/>
          <w:bCs/>
          <w:szCs w:val="22"/>
          <w:u w:val="single"/>
        </w:rPr>
      </w:pPr>
    </w:p>
    <w:p w14:paraId="1372C941" w14:textId="794BD502" w:rsidR="00483703" w:rsidRPr="00483703" w:rsidRDefault="00483703" w:rsidP="00483703">
      <w:pPr>
        <w:keepNext/>
        <w:widowControl w:val="0"/>
        <w:spacing w:before="480" w:after="480" w:line="360" w:lineRule="auto"/>
        <w:jc w:val="both"/>
        <w:rPr>
          <w:rFonts w:cs="Arial"/>
          <w:bCs/>
          <w:szCs w:val="22"/>
          <w:u w:val="single"/>
        </w:rPr>
      </w:pPr>
      <w:r w:rsidRPr="00483703">
        <w:rPr>
          <w:rFonts w:cs="Arial"/>
          <w:bCs/>
          <w:szCs w:val="22"/>
          <w:u w:val="single"/>
        </w:rPr>
        <w:t>Introduction</w:t>
      </w:r>
    </w:p>
    <w:p w14:paraId="11898151" w14:textId="1B5CD2B8" w:rsidR="00A614BA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[3]</w:t>
      </w:r>
      <w:r>
        <w:rPr>
          <w:rFonts w:cs="Arial"/>
          <w:bCs/>
          <w:szCs w:val="22"/>
        </w:rPr>
        <w:tab/>
      </w:r>
      <w:r w:rsidR="006540DE">
        <w:rPr>
          <w:rFonts w:cs="Arial"/>
          <w:bCs/>
          <w:szCs w:val="22"/>
        </w:rPr>
        <w:t>The applicants brought an application</w:t>
      </w:r>
      <w:r w:rsidR="00794DAA">
        <w:rPr>
          <w:rStyle w:val="FootnoteReference"/>
          <w:rFonts w:cs="Arial"/>
          <w:bCs/>
          <w:szCs w:val="22"/>
        </w:rPr>
        <w:footnoteReference w:id="1"/>
      </w:r>
      <w:r w:rsidR="006540DE">
        <w:rPr>
          <w:rFonts w:cs="Arial"/>
          <w:bCs/>
          <w:szCs w:val="22"/>
        </w:rPr>
        <w:t xml:space="preserve"> to compel the 1</w:t>
      </w:r>
      <w:r w:rsidR="006540DE" w:rsidRPr="006540DE">
        <w:rPr>
          <w:rFonts w:cs="Arial"/>
          <w:bCs/>
          <w:szCs w:val="22"/>
          <w:vertAlign w:val="superscript"/>
        </w:rPr>
        <w:t>st</w:t>
      </w:r>
      <w:r w:rsidR="006540DE">
        <w:rPr>
          <w:rFonts w:cs="Arial"/>
          <w:bCs/>
          <w:szCs w:val="22"/>
        </w:rPr>
        <w:t>, 2</w:t>
      </w:r>
      <w:r w:rsidR="006540DE" w:rsidRPr="006540DE">
        <w:rPr>
          <w:rFonts w:cs="Arial"/>
          <w:bCs/>
          <w:szCs w:val="22"/>
          <w:vertAlign w:val="superscript"/>
        </w:rPr>
        <w:t>nd</w:t>
      </w:r>
      <w:r w:rsidR="006540DE">
        <w:rPr>
          <w:rFonts w:cs="Arial"/>
          <w:bCs/>
          <w:szCs w:val="22"/>
        </w:rPr>
        <w:t xml:space="preserve"> and 3</w:t>
      </w:r>
      <w:r w:rsidR="006540DE" w:rsidRPr="006540DE">
        <w:rPr>
          <w:rFonts w:cs="Arial"/>
          <w:bCs/>
          <w:szCs w:val="22"/>
          <w:vertAlign w:val="superscript"/>
        </w:rPr>
        <w:t>rd</w:t>
      </w:r>
      <w:r w:rsidR="006540DE">
        <w:rPr>
          <w:rFonts w:cs="Arial"/>
          <w:bCs/>
          <w:szCs w:val="22"/>
        </w:rPr>
        <w:t xml:space="preserve"> respondents to file the will of the late Mr Ramakoka </w:t>
      </w:r>
      <w:r w:rsidR="0087320C">
        <w:rPr>
          <w:rFonts w:cs="Arial"/>
          <w:bCs/>
          <w:szCs w:val="22"/>
        </w:rPr>
        <w:t xml:space="preserve">(“the deceased”) </w:t>
      </w:r>
      <w:r w:rsidR="006540DE">
        <w:rPr>
          <w:rFonts w:cs="Arial"/>
          <w:bCs/>
          <w:szCs w:val="22"/>
        </w:rPr>
        <w:t>with the Master</w:t>
      </w:r>
      <w:r w:rsidR="0087320C">
        <w:rPr>
          <w:rFonts w:cs="Arial"/>
          <w:bCs/>
          <w:szCs w:val="22"/>
        </w:rPr>
        <w:t xml:space="preserve"> (the 4</w:t>
      </w:r>
      <w:r w:rsidR="0087320C" w:rsidRPr="0087320C">
        <w:rPr>
          <w:rFonts w:cs="Arial"/>
          <w:bCs/>
          <w:szCs w:val="22"/>
          <w:vertAlign w:val="superscript"/>
        </w:rPr>
        <w:t>th</w:t>
      </w:r>
      <w:r w:rsidR="0087320C">
        <w:rPr>
          <w:rFonts w:cs="Arial"/>
          <w:bCs/>
          <w:szCs w:val="22"/>
        </w:rPr>
        <w:t xml:space="preserve"> respondent)</w:t>
      </w:r>
      <w:r w:rsidR="006540DE">
        <w:rPr>
          <w:rFonts w:cs="Arial"/>
          <w:bCs/>
          <w:szCs w:val="22"/>
        </w:rPr>
        <w:t>, alternatively that the 1</w:t>
      </w:r>
      <w:r w:rsidR="006540DE" w:rsidRPr="006540DE">
        <w:rPr>
          <w:rFonts w:cs="Arial"/>
          <w:bCs/>
          <w:szCs w:val="22"/>
          <w:vertAlign w:val="superscript"/>
        </w:rPr>
        <w:t>st</w:t>
      </w:r>
      <w:r w:rsidR="006540DE">
        <w:rPr>
          <w:rFonts w:cs="Arial"/>
          <w:bCs/>
          <w:szCs w:val="22"/>
        </w:rPr>
        <w:t xml:space="preserve"> respondent be called before the Court to give oral evidence as to the whereabouts of the will</w:t>
      </w:r>
      <w:r w:rsidR="0087320C">
        <w:rPr>
          <w:rFonts w:cs="Arial"/>
          <w:bCs/>
          <w:szCs w:val="22"/>
        </w:rPr>
        <w:t>. They also sought an order interdicting the 5</w:t>
      </w:r>
      <w:r w:rsidR="0087320C" w:rsidRPr="0087320C">
        <w:rPr>
          <w:rFonts w:cs="Arial"/>
          <w:bCs/>
          <w:szCs w:val="22"/>
          <w:vertAlign w:val="superscript"/>
        </w:rPr>
        <w:t>th</w:t>
      </w:r>
      <w:r w:rsidR="0087320C">
        <w:rPr>
          <w:rFonts w:cs="Arial"/>
          <w:bCs/>
          <w:szCs w:val="22"/>
        </w:rPr>
        <w:t xml:space="preserve"> respondent from administering the estate of the deceased and an order that the Master withdraw the letters of executorship</w:t>
      </w:r>
      <w:r w:rsidR="00781433">
        <w:rPr>
          <w:rStyle w:val="FootnoteReference"/>
          <w:rFonts w:cs="Arial"/>
          <w:bCs/>
          <w:szCs w:val="22"/>
        </w:rPr>
        <w:footnoteReference w:id="2"/>
      </w:r>
      <w:r w:rsidR="0087320C">
        <w:rPr>
          <w:rFonts w:cs="Arial"/>
          <w:bCs/>
          <w:szCs w:val="22"/>
        </w:rPr>
        <w:t xml:space="preserve"> issued to the 3</w:t>
      </w:r>
      <w:r w:rsidR="0087320C" w:rsidRPr="0087320C">
        <w:rPr>
          <w:rFonts w:cs="Arial"/>
          <w:bCs/>
          <w:szCs w:val="22"/>
          <w:vertAlign w:val="superscript"/>
        </w:rPr>
        <w:t>rd</w:t>
      </w:r>
      <w:r w:rsidR="0087320C">
        <w:rPr>
          <w:rFonts w:cs="Arial"/>
          <w:bCs/>
          <w:szCs w:val="22"/>
        </w:rPr>
        <w:t xml:space="preserve"> respondent in respect of the estate of the deceased.</w:t>
      </w:r>
    </w:p>
    <w:p w14:paraId="2ED86C4D" w14:textId="0A4F32CF" w:rsidR="00A614BA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[4]</w:t>
      </w:r>
      <w:r>
        <w:rPr>
          <w:rFonts w:cs="Arial"/>
          <w:bCs/>
          <w:szCs w:val="22"/>
        </w:rPr>
        <w:tab/>
      </w:r>
      <w:r w:rsidR="00794DAA">
        <w:rPr>
          <w:rFonts w:cs="Arial"/>
          <w:bCs/>
          <w:szCs w:val="22"/>
        </w:rPr>
        <w:t>The alternative relief foreshadows a dispute of fact. The 1</w:t>
      </w:r>
      <w:r w:rsidR="00794DAA" w:rsidRPr="00794DAA">
        <w:rPr>
          <w:rFonts w:cs="Arial"/>
          <w:bCs/>
          <w:szCs w:val="22"/>
          <w:vertAlign w:val="superscript"/>
        </w:rPr>
        <w:t>st</w:t>
      </w:r>
      <w:r w:rsidR="00794DAA">
        <w:rPr>
          <w:rFonts w:cs="Arial"/>
          <w:bCs/>
          <w:szCs w:val="22"/>
        </w:rPr>
        <w:t xml:space="preserve"> respondent, against whom the alternative relief is sought, is cited as an </w:t>
      </w:r>
      <w:r w:rsidR="00DA4822">
        <w:rPr>
          <w:rFonts w:cs="Arial"/>
          <w:bCs/>
          <w:szCs w:val="22"/>
        </w:rPr>
        <w:t>employee of the 2</w:t>
      </w:r>
      <w:r w:rsidR="00DA4822" w:rsidRPr="00DA4822">
        <w:rPr>
          <w:rFonts w:cs="Arial"/>
          <w:bCs/>
          <w:szCs w:val="22"/>
          <w:vertAlign w:val="superscript"/>
        </w:rPr>
        <w:t>nd</w:t>
      </w:r>
      <w:r w:rsidR="00DA4822">
        <w:rPr>
          <w:rFonts w:cs="Arial"/>
          <w:bCs/>
          <w:szCs w:val="22"/>
        </w:rPr>
        <w:t xml:space="preserve"> respondent – a firm of attorneys. The 5</w:t>
      </w:r>
      <w:r w:rsidR="00DA4822" w:rsidRPr="00DA4822">
        <w:rPr>
          <w:rFonts w:cs="Arial"/>
          <w:bCs/>
          <w:szCs w:val="22"/>
          <w:vertAlign w:val="superscript"/>
        </w:rPr>
        <w:t>th</w:t>
      </w:r>
      <w:r w:rsidR="00DA4822">
        <w:rPr>
          <w:rFonts w:cs="Arial"/>
          <w:bCs/>
          <w:szCs w:val="22"/>
        </w:rPr>
        <w:t xml:space="preserve"> respondent is the attorney who is the principal of the 2</w:t>
      </w:r>
      <w:r w:rsidR="00DA4822" w:rsidRPr="00DA4822">
        <w:rPr>
          <w:rFonts w:cs="Arial"/>
          <w:bCs/>
          <w:szCs w:val="22"/>
          <w:vertAlign w:val="superscript"/>
        </w:rPr>
        <w:t>nd</w:t>
      </w:r>
      <w:r w:rsidR="00DA4822">
        <w:rPr>
          <w:rFonts w:cs="Arial"/>
          <w:bCs/>
          <w:szCs w:val="22"/>
        </w:rPr>
        <w:t xml:space="preserve"> respondent. The joinder of the 1</w:t>
      </w:r>
      <w:r w:rsidR="00DA4822" w:rsidRPr="00DA4822">
        <w:rPr>
          <w:rFonts w:cs="Arial"/>
          <w:bCs/>
          <w:szCs w:val="22"/>
          <w:vertAlign w:val="superscript"/>
        </w:rPr>
        <w:t>st</w:t>
      </w:r>
      <w:r w:rsidR="00DA4822">
        <w:rPr>
          <w:rFonts w:cs="Arial"/>
          <w:bCs/>
          <w:szCs w:val="22"/>
        </w:rPr>
        <w:t xml:space="preserve"> and 2</w:t>
      </w:r>
      <w:r w:rsidR="00DA4822" w:rsidRPr="00DA4822">
        <w:rPr>
          <w:rFonts w:cs="Arial"/>
          <w:bCs/>
          <w:szCs w:val="22"/>
          <w:vertAlign w:val="superscript"/>
        </w:rPr>
        <w:t>nd</w:t>
      </w:r>
      <w:r w:rsidR="00DA4822">
        <w:rPr>
          <w:rFonts w:cs="Arial"/>
          <w:bCs/>
          <w:szCs w:val="22"/>
        </w:rPr>
        <w:t xml:space="preserve"> respondents constitute a misjoinder</w:t>
      </w:r>
      <w:r w:rsidR="001D47F0">
        <w:rPr>
          <w:rFonts w:cs="Arial"/>
          <w:bCs/>
          <w:szCs w:val="22"/>
        </w:rPr>
        <w:t>:</w:t>
      </w:r>
      <w:r w:rsidR="00DA4822">
        <w:rPr>
          <w:rFonts w:cs="Arial"/>
          <w:bCs/>
          <w:szCs w:val="22"/>
        </w:rPr>
        <w:t xml:space="preserve"> They have no interest in the dispute between other parties to the litigation save for the fact that they represented </w:t>
      </w:r>
      <w:r w:rsidR="00841B92">
        <w:rPr>
          <w:rFonts w:cs="Arial"/>
          <w:bCs/>
          <w:szCs w:val="22"/>
        </w:rPr>
        <w:t>the 3</w:t>
      </w:r>
      <w:r w:rsidR="00841B92" w:rsidRPr="00841B92">
        <w:rPr>
          <w:rFonts w:cs="Arial"/>
          <w:bCs/>
          <w:szCs w:val="22"/>
          <w:vertAlign w:val="superscript"/>
        </w:rPr>
        <w:t>rd</w:t>
      </w:r>
      <w:r w:rsidR="00841B92">
        <w:rPr>
          <w:rFonts w:cs="Arial"/>
          <w:bCs/>
          <w:szCs w:val="22"/>
        </w:rPr>
        <w:t xml:space="preserve"> respondent (Ms Mhlongo)</w:t>
      </w:r>
      <w:r w:rsidR="00DA4822">
        <w:rPr>
          <w:rFonts w:cs="Arial"/>
          <w:bCs/>
          <w:szCs w:val="22"/>
        </w:rPr>
        <w:t xml:space="preserve"> as </w:t>
      </w:r>
      <w:r w:rsidR="00841B92">
        <w:rPr>
          <w:rFonts w:cs="Arial"/>
          <w:bCs/>
          <w:szCs w:val="22"/>
        </w:rPr>
        <w:t xml:space="preserve">her </w:t>
      </w:r>
      <w:r w:rsidR="00DA4822">
        <w:rPr>
          <w:rFonts w:cs="Arial"/>
          <w:bCs/>
          <w:szCs w:val="22"/>
        </w:rPr>
        <w:t>attorneys. Ms Mhlongo is the executor of the deceased estate appointed by the Master.</w:t>
      </w:r>
    </w:p>
    <w:p w14:paraId="6E5C44A2" w14:textId="77777777" w:rsidR="00A45E24" w:rsidRDefault="00A45E24" w:rsidP="00A45E24">
      <w:pPr>
        <w:widowControl w:val="0"/>
        <w:spacing w:before="480" w:after="480" w:line="360" w:lineRule="auto"/>
        <w:jc w:val="both"/>
        <w:rPr>
          <w:rFonts w:cs="Arial"/>
          <w:bCs/>
          <w:szCs w:val="22"/>
          <w:u w:val="single"/>
        </w:rPr>
      </w:pPr>
    </w:p>
    <w:p w14:paraId="760211C6" w14:textId="6BF342F3" w:rsidR="00A45E24" w:rsidRPr="00A45E24" w:rsidRDefault="00A45E24" w:rsidP="00A45E24">
      <w:pPr>
        <w:keepNext/>
        <w:widowControl w:val="0"/>
        <w:spacing w:before="480" w:after="480" w:line="360" w:lineRule="auto"/>
        <w:jc w:val="both"/>
        <w:rPr>
          <w:rFonts w:cs="Arial"/>
          <w:bCs/>
          <w:szCs w:val="22"/>
          <w:u w:val="single"/>
        </w:rPr>
      </w:pPr>
      <w:r w:rsidRPr="00A45E24">
        <w:rPr>
          <w:rFonts w:cs="Arial"/>
          <w:bCs/>
          <w:szCs w:val="22"/>
          <w:u w:val="single"/>
        </w:rPr>
        <w:lastRenderedPageBreak/>
        <w:t>The affidavits</w:t>
      </w:r>
    </w:p>
    <w:p w14:paraId="3496A96B" w14:textId="3E597E4D" w:rsidR="00A614BA" w:rsidRDefault="00616F67" w:rsidP="00616F67">
      <w:pPr>
        <w:keepNext/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[5]</w:t>
      </w:r>
      <w:r>
        <w:rPr>
          <w:rFonts w:cs="Arial"/>
          <w:bCs/>
          <w:szCs w:val="22"/>
        </w:rPr>
        <w:tab/>
      </w:r>
      <w:r w:rsidR="00DA4822">
        <w:rPr>
          <w:rFonts w:cs="Arial"/>
          <w:bCs/>
          <w:szCs w:val="22"/>
        </w:rPr>
        <w:t>The applicants are siblings and a nephew</w:t>
      </w:r>
      <w:r w:rsidR="00767080">
        <w:rPr>
          <w:rFonts w:cs="Arial"/>
          <w:bCs/>
          <w:szCs w:val="22"/>
        </w:rPr>
        <w:t xml:space="preserve"> (also alleged to be an adopted child)</w:t>
      </w:r>
      <w:r w:rsidR="00DA4822">
        <w:rPr>
          <w:rFonts w:cs="Arial"/>
          <w:bCs/>
          <w:szCs w:val="22"/>
        </w:rPr>
        <w:t xml:space="preserve"> of the deceased. They say that the deceased died intestate and that he </w:t>
      </w:r>
      <w:r w:rsidR="00767080">
        <w:rPr>
          <w:rFonts w:cs="Arial"/>
          <w:bCs/>
          <w:szCs w:val="22"/>
        </w:rPr>
        <w:t xml:space="preserve">was not survived by any parents, spouses or descendants. </w:t>
      </w:r>
      <w:r w:rsidR="00ED0534">
        <w:rPr>
          <w:rFonts w:cs="Arial"/>
          <w:bCs/>
          <w:szCs w:val="22"/>
        </w:rPr>
        <w:t xml:space="preserve"> The deceased nominated</w:t>
      </w:r>
      <w:r w:rsidR="00781433">
        <w:rPr>
          <w:rStyle w:val="FootnoteReference"/>
          <w:rFonts w:cs="Arial"/>
          <w:bCs/>
          <w:szCs w:val="22"/>
        </w:rPr>
        <w:footnoteReference w:id="3"/>
      </w:r>
      <w:r w:rsidR="00ED0534">
        <w:rPr>
          <w:rFonts w:cs="Arial"/>
          <w:bCs/>
          <w:szCs w:val="22"/>
        </w:rPr>
        <w:t xml:space="preserve"> them as the beneficiaries of his provident scheme.</w:t>
      </w:r>
    </w:p>
    <w:p w14:paraId="580B9C44" w14:textId="6E39E6D5" w:rsidR="00A614BA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[6]</w:t>
      </w:r>
      <w:r>
        <w:rPr>
          <w:rFonts w:cs="Arial"/>
          <w:bCs/>
          <w:szCs w:val="22"/>
        </w:rPr>
        <w:tab/>
      </w:r>
      <w:r w:rsidR="00ED0534">
        <w:rPr>
          <w:rFonts w:cs="Arial"/>
          <w:bCs/>
          <w:szCs w:val="22"/>
        </w:rPr>
        <w:t>In 2013 there were lobola negotiations</w:t>
      </w:r>
      <w:r w:rsidR="00AC17C2">
        <w:rPr>
          <w:rStyle w:val="FootnoteReference"/>
          <w:rFonts w:cs="Arial"/>
          <w:bCs/>
          <w:szCs w:val="22"/>
        </w:rPr>
        <w:footnoteReference w:id="4"/>
      </w:r>
      <w:r w:rsidR="00ED0534">
        <w:rPr>
          <w:rFonts w:cs="Arial"/>
          <w:bCs/>
          <w:szCs w:val="22"/>
        </w:rPr>
        <w:t xml:space="preserve"> between the Ramakoka family and the family of Ms Mhlongo. The question whether a customary marriage was concluded </w:t>
      </w:r>
      <w:r w:rsidR="00DC1B14">
        <w:rPr>
          <w:rFonts w:cs="Arial"/>
          <w:bCs/>
          <w:szCs w:val="22"/>
        </w:rPr>
        <w:t xml:space="preserve">between the deceased and Ms Mhlongo </w:t>
      </w:r>
      <w:r w:rsidR="00ED0534">
        <w:rPr>
          <w:rFonts w:cs="Arial"/>
          <w:bCs/>
          <w:szCs w:val="22"/>
        </w:rPr>
        <w:t>is disputed</w:t>
      </w:r>
      <w:r w:rsidR="001D47F0">
        <w:rPr>
          <w:rFonts w:cs="Arial"/>
          <w:bCs/>
          <w:szCs w:val="22"/>
        </w:rPr>
        <w:t xml:space="preserve"> and is the subject of the 3</w:t>
      </w:r>
      <w:r w:rsidR="001D47F0" w:rsidRPr="001D47F0">
        <w:rPr>
          <w:rFonts w:cs="Arial"/>
          <w:bCs/>
          <w:szCs w:val="22"/>
          <w:vertAlign w:val="superscript"/>
        </w:rPr>
        <w:t>rd</w:t>
      </w:r>
      <w:r w:rsidR="001D47F0">
        <w:rPr>
          <w:rFonts w:cs="Arial"/>
          <w:bCs/>
          <w:szCs w:val="22"/>
        </w:rPr>
        <w:t xml:space="preserve"> respondent’s counter - application</w:t>
      </w:r>
      <w:r w:rsidR="00ED0534">
        <w:rPr>
          <w:rFonts w:cs="Arial"/>
          <w:bCs/>
          <w:szCs w:val="22"/>
        </w:rPr>
        <w:t>. His marital status was reflected as single at the Provident Fund.</w:t>
      </w:r>
      <w:r w:rsidR="00F82B7C">
        <w:rPr>
          <w:rStyle w:val="FootnoteReference"/>
          <w:rFonts w:cs="Arial"/>
          <w:bCs/>
          <w:szCs w:val="22"/>
        </w:rPr>
        <w:footnoteReference w:id="5"/>
      </w:r>
      <w:r w:rsidR="00ED0534">
        <w:rPr>
          <w:rFonts w:cs="Arial"/>
          <w:bCs/>
          <w:szCs w:val="22"/>
        </w:rPr>
        <w:t xml:space="preserve"> </w:t>
      </w:r>
    </w:p>
    <w:p w14:paraId="5C817F57" w14:textId="37A2739C" w:rsidR="00841B92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[7]</w:t>
      </w:r>
      <w:r>
        <w:rPr>
          <w:rFonts w:cs="Arial"/>
          <w:bCs/>
          <w:szCs w:val="22"/>
        </w:rPr>
        <w:tab/>
      </w:r>
      <w:r w:rsidR="00ED0534">
        <w:rPr>
          <w:rFonts w:cs="Arial"/>
          <w:bCs/>
          <w:szCs w:val="22"/>
        </w:rPr>
        <w:t xml:space="preserve">Before he died in 2019 he </w:t>
      </w:r>
      <w:r w:rsidR="001D47F0">
        <w:rPr>
          <w:rFonts w:cs="Arial"/>
          <w:bCs/>
          <w:szCs w:val="22"/>
        </w:rPr>
        <w:t xml:space="preserve">allegedly </w:t>
      </w:r>
      <w:r w:rsidR="00ED0534">
        <w:rPr>
          <w:rFonts w:cs="Arial"/>
          <w:bCs/>
          <w:szCs w:val="22"/>
        </w:rPr>
        <w:t xml:space="preserve">told the deponent </w:t>
      </w:r>
      <w:r w:rsidR="00781433">
        <w:rPr>
          <w:rFonts w:cs="Arial"/>
          <w:bCs/>
          <w:szCs w:val="22"/>
        </w:rPr>
        <w:t xml:space="preserve">to the founding affidavit (Ms Maphatsoe) </w:t>
      </w:r>
      <w:r w:rsidR="00ED0534">
        <w:rPr>
          <w:rFonts w:cs="Arial"/>
          <w:bCs/>
          <w:szCs w:val="22"/>
        </w:rPr>
        <w:t xml:space="preserve">that he had </w:t>
      </w:r>
      <w:r w:rsidR="00CF1E12">
        <w:rPr>
          <w:rFonts w:cs="Arial"/>
          <w:bCs/>
          <w:szCs w:val="22"/>
        </w:rPr>
        <w:t xml:space="preserve">a </w:t>
      </w:r>
      <w:r w:rsidR="00ED0534">
        <w:rPr>
          <w:rFonts w:cs="Arial"/>
          <w:bCs/>
          <w:szCs w:val="22"/>
        </w:rPr>
        <w:t>will that was with the 2</w:t>
      </w:r>
      <w:r w:rsidR="00ED0534" w:rsidRPr="00ED0534">
        <w:rPr>
          <w:rFonts w:cs="Arial"/>
          <w:bCs/>
          <w:szCs w:val="22"/>
          <w:vertAlign w:val="superscript"/>
        </w:rPr>
        <w:t>nd</w:t>
      </w:r>
      <w:r w:rsidR="00ED0534">
        <w:rPr>
          <w:rFonts w:cs="Arial"/>
          <w:bCs/>
          <w:szCs w:val="22"/>
        </w:rPr>
        <w:t xml:space="preserve"> respondent, the firm of attorneys. Th</w:t>
      </w:r>
      <w:r w:rsidR="00841B92">
        <w:rPr>
          <w:rFonts w:cs="Arial"/>
          <w:bCs/>
          <w:szCs w:val="22"/>
        </w:rPr>
        <w:t xml:space="preserve">e applicant say this that this </w:t>
      </w:r>
      <w:r w:rsidR="00ED0534">
        <w:rPr>
          <w:rFonts w:cs="Arial"/>
          <w:bCs/>
          <w:szCs w:val="22"/>
        </w:rPr>
        <w:t>was confirmed by the 2</w:t>
      </w:r>
      <w:r w:rsidR="00ED0534" w:rsidRPr="00ED0534">
        <w:rPr>
          <w:rFonts w:cs="Arial"/>
          <w:bCs/>
          <w:szCs w:val="22"/>
          <w:vertAlign w:val="superscript"/>
        </w:rPr>
        <w:t>nd</w:t>
      </w:r>
      <w:r w:rsidR="00ED0534">
        <w:rPr>
          <w:rFonts w:cs="Arial"/>
          <w:bCs/>
          <w:szCs w:val="22"/>
        </w:rPr>
        <w:t xml:space="preserve"> respondent at a meeting after his funeral.</w:t>
      </w:r>
      <w:r w:rsidR="00ED0534">
        <w:rPr>
          <w:rStyle w:val="FootnoteReference"/>
          <w:rFonts w:cs="Arial"/>
          <w:bCs/>
          <w:szCs w:val="22"/>
        </w:rPr>
        <w:footnoteReference w:id="6"/>
      </w:r>
      <w:r w:rsidR="00ED0534">
        <w:rPr>
          <w:rFonts w:cs="Arial"/>
          <w:bCs/>
          <w:szCs w:val="22"/>
        </w:rPr>
        <w:t xml:space="preserve"> </w:t>
      </w:r>
      <w:r w:rsidR="00841B92">
        <w:rPr>
          <w:rFonts w:cs="Arial"/>
          <w:bCs/>
          <w:szCs w:val="22"/>
        </w:rPr>
        <w:t xml:space="preserve">This is disputed in the answering papers. </w:t>
      </w:r>
    </w:p>
    <w:p w14:paraId="4DDD479E" w14:textId="756ED306" w:rsidR="004D5D53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[8]</w:t>
      </w:r>
      <w:r>
        <w:rPr>
          <w:rFonts w:cs="Arial"/>
          <w:bCs/>
          <w:szCs w:val="22"/>
        </w:rPr>
        <w:tab/>
      </w:r>
      <w:r w:rsidR="00ED0534">
        <w:rPr>
          <w:rFonts w:cs="Arial"/>
          <w:bCs/>
          <w:szCs w:val="22"/>
        </w:rPr>
        <w:t>Early in 2020 the applicants’ attorney wrote</w:t>
      </w:r>
      <w:r w:rsidR="003D2ED6">
        <w:rPr>
          <w:rStyle w:val="FootnoteReference"/>
          <w:rFonts w:cs="Arial"/>
          <w:bCs/>
          <w:szCs w:val="22"/>
        </w:rPr>
        <w:footnoteReference w:id="7"/>
      </w:r>
      <w:r w:rsidR="00ED0534">
        <w:rPr>
          <w:rFonts w:cs="Arial"/>
          <w:bCs/>
          <w:szCs w:val="22"/>
        </w:rPr>
        <w:t xml:space="preserve"> to the 2</w:t>
      </w:r>
      <w:r w:rsidR="00ED0534" w:rsidRPr="00ED0534">
        <w:rPr>
          <w:rFonts w:cs="Arial"/>
          <w:bCs/>
          <w:szCs w:val="22"/>
          <w:vertAlign w:val="superscript"/>
        </w:rPr>
        <w:t>nd</w:t>
      </w:r>
      <w:r w:rsidR="00ED0534">
        <w:rPr>
          <w:rFonts w:cs="Arial"/>
          <w:bCs/>
          <w:szCs w:val="22"/>
        </w:rPr>
        <w:t xml:space="preserve"> respondent to enquire about the will but the 2</w:t>
      </w:r>
      <w:r w:rsidR="00ED0534" w:rsidRPr="00ED0534">
        <w:rPr>
          <w:rFonts w:cs="Arial"/>
          <w:bCs/>
          <w:szCs w:val="22"/>
          <w:vertAlign w:val="superscript"/>
        </w:rPr>
        <w:t>nd</w:t>
      </w:r>
      <w:r w:rsidR="00ED0534">
        <w:rPr>
          <w:rFonts w:cs="Arial"/>
          <w:bCs/>
          <w:szCs w:val="22"/>
        </w:rPr>
        <w:t xml:space="preserve"> respondent denied </w:t>
      </w:r>
      <w:r w:rsidR="00841B92">
        <w:rPr>
          <w:rFonts w:cs="Arial"/>
          <w:bCs/>
          <w:szCs w:val="22"/>
        </w:rPr>
        <w:t>that the</w:t>
      </w:r>
      <w:r w:rsidR="001D47F0">
        <w:rPr>
          <w:rFonts w:cs="Arial"/>
          <w:bCs/>
          <w:szCs w:val="22"/>
        </w:rPr>
        <w:t xml:space="preserve"> firm</w:t>
      </w:r>
      <w:r w:rsidR="00841B92">
        <w:rPr>
          <w:rFonts w:cs="Arial"/>
          <w:bCs/>
          <w:szCs w:val="22"/>
        </w:rPr>
        <w:t xml:space="preserve"> </w:t>
      </w:r>
      <w:r w:rsidR="001D47F0">
        <w:rPr>
          <w:rFonts w:cs="Arial"/>
          <w:bCs/>
          <w:szCs w:val="22"/>
        </w:rPr>
        <w:t>was</w:t>
      </w:r>
      <w:r w:rsidR="00841B92">
        <w:rPr>
          <w:rFonts w:cs="Arial"/>
          <w:bCs/>
          <w:szCs w:val="22"/>
        </w:rPr>
        <w:t xml:space="preserve"> in possession of a will.</w:t>
      </w:r>
      <w:r w:rsidR="00841B92">
        <w:rPr>
          <w:rStyle w:val="FootnoteReference"/>
          <w:rFonts w:cs="Arial"/>
          <w:bCs/>
          <w:szCs w:val="22"/>
        </w:rPr>
        <w:footnoteReference w:id="8"/>
      </w:r>
    </w:p>
    <w:p w14:paraId="7DAD0322" w14:textId="5F91BF90" w:rsidR="00DC1B14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[9]</w:t>
      </w:r>
      <w:r>
        <w:rPr>
          <w:rFonts w:cs="Arial"/>
          <w:bCs/>
          <w:szCs w:val="22"/>
        </w:rPr>
        <w:tab/>
      </w:r>
      <w:r w:rsidR="00DC1B14">
        <w:rPr>
          <w:rFonts w:cs="Arial"/>
          <w:bCs/>
          <w:szCs w:val="22"/>
        </w:rPr>
        <w:t>The applicants disputed</w:t>
      </w:r>
      <w:r w:rsidR="003D2ED6">
        <w:rPr>
          <w:rStyle w:val="FootnoteReference"/>
          <w:rFonts w:cs="Arial"/>
          <w:bCs/>
          <w:szCs w:val="22"/>
        </w:rPr>
        <w:footnoteReference w:id="9"/>
      </w:r>
      <w:r w:rsidR="00DC1B14">
        <w:rPr>
          <w:rFonts w:cs="Arial"/>
          <w:bCs/>
          <w:szCs w:val="22"/>
        </w:rPr>
        <w:t xml:space="preserve"> the Ms Mhlongo’s appointment as executrix and also disputed the existence of a customary marriage.</w:t>
      </w:r>
      <w:r w:rsidR="003D2ED6">
        <w:rPr>
          <w:rFonts w:cs="Arial"/>
          <w:bCs/>
          <w:szCs w:val="22"/>
        </w:rPr>
        <w:t xml:space="preserve"> In December 2020 a meeting</w:t>
      </w:r>
      <w:r w:rsidR="003D2ED6">
        <w:rPr>
          <w:rStyle w:val="FootnoteReference"/>
          <w:rFonts w:cs="Arial"/>
          <w:bCs/>
          <w:szCs w:val="22"/>
        </w:rPr>
        <w:footnoteReference w:id="10"/>
      </w:r>
      <w:r w:rsidR="003D2ED6">
        <w:rPr>
          <w:rFonts w:cs="Arial"/>
          <w:bCs/>
          <w:szCs w:val="22"/>
        </w:rPr>
        <w:t xml:space="preserve"> was held with the Master and the Master agreed to hold matters in abeyance until April 2021 to allow </w:t>
      </w:r>
      <w:r w:rsidR="00A45E24">
        <w:rPr>
          <w:rFonts w:cs="Arial"/>
          <w:bCs/>
          <w:szCs w:val="22"/>
        </w:rPr>
        <w:t xml:space="preserve">an </w:t>
      </w:r>
      <w:r w:rsidR="003D2ED6">
        <w:rPr>
          <w:rFonts w:cs="Arial"/>
          <w:bCs/>
          <w:szCs w:val="22"/>
        </w:rPr>
        <w:t xml:space="preserve">approach </w:t>
      </w:r>
      <w:r w:rsidR="00A45E24">
        <w:rPr>
          <w:rFonts w:cs="Arial"/>
          <w:bCs/>
          <w:szCs w:val="22"/>
        </w:rPr>
        <w:t xml:space="preserve">to the Department of </w:t>
      </w:r>
      <w:r w:rsidR="003D2ED6">
        <w:rPr>
          <w:rFonts w:cs="Arial"/>
          <w:bCs/>
          <w:szCs w:val="22"/>
        </w:rPr>
        <w:t>Home Affairs in connection with the</w:t>
      </w:r>
      <w:r w:rsidR="00CF1E12">
        <w:rPr>
          <w:rFonts w:cs="Arial"/>
          <w:bCs/>
          <w:szCs w:val="22"/>
        </w:rPr>
        <w:t xml:space="preserve"> possible existence of a</w:t>
      </w:r>
      <w:r w:rsidR="003D2ED6">
        <w:rPr>
          <w:rFonts w:cs="Arial"/>
          <w:bCs/>
          <w:szCs w:val="22"/>
        </w:rPr>
        <w:t xml:space="preserve"> customary marriage.</w:t>
      </w:r>
    </w:p>
    <w:p w14:paraId="074D66B0" w14:textId="180DAC25" w:rsidR="006025C0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[10]</w:t>
      </w:r>
      <w:r>
        <w:rPr>
          <w:rFonts w:cs="Arial"/>
          <w:bCs/>
          <w:szCs w:val="22"/>
        </w:rPr>
        <w:tab/>
      </w:r>
      <w:r w:rsidR="006025C0">
        <w:rPr>
          <w:rFonts w:cs="Arial"/>
          <w:bCs/>
          <w:szCs w:val="22"/>
        </w:rPr>
        <w:t>In their answering affidavit the 1</w:t>
      </w:r>
      <w:r w:rsidR="006025C0" w:rsidRPr="006025C0">
        <w:rPr>
          <w:rFonts w:cs="Arial"/>
          <w:bCs/>
          <w:szCs w:val="22"/>
          <w:vertAlign w:val="superscript"/>
        </w:rPr>
        <w:t>st</w:t>
      </w:r>
      <w:r w:rsidR="006025C0">
        <w:rPr>
          <w:rFonts w:cs="Arial"/>
          <w:bCs/>
          <w:szCs w:val="22"/>
        </w:rPr>
        <w:t>, 2</w:t>
      </w:r>
      <w:r w:rsidR="006025C0" w:rsidRPr="006025C0">
        <w:rPr>
          <w:rFonts w:cs="Arial"/>
          <w:bCs/>
          <w:szCs w:val="22"/>
          <w:vertAlign w:val="superscript"/>
        </w:rPr>
        <w:t>nd</w:t>
      </w:r>
      <w:r w:rsidR="006025C0">
        <w:rPr>
          <w:rFonts w:cs="Arial"/>
          <w:bCs/>
          <w:szCs w:val="22"/>
        </w:rPr>
        <w:t xml:space="preserve"> and 5</w:t>
      </w:r>
      <w:r w:rsidR="006025C0" w:rsidRPr="006025C0">
        <w:rPr>
          <w:rFonts w:cs="Arial"/>
          <w:bCs/>
          <w:szCs w:val="22"/>
          <w:vertAlign w:val="superscript"/>
        </w:rPr>
        <w:t>th</w:t>
      </w:r>
      <w:r w:rsidR="006025C0">
        <w:rPr>
          <w:rFonts w:cs="Arial"/>
          <w:bCs/>
          <w:szCs w:val="22"/>
        </w:rPr>
        <w:t xml:space="preserve"> respondents</w:t>
      </w:r>
      <w:r w:rsidR="00BF0B4F">
        <w:rPr>
          <w:rFonts w:cs="Arial"/>
          <w:bCs/>
          <w:szCs w:val="22"/>
        </w:rPr>
        <w:t xml:space="preserve"> </w:t>
      </w:r>
      <w:r w:rsidR="006025C0">
        <w:rPr>
          <w:rFonts w:cs="Arial"/>
          <w:bCs/>
          <w:szCs w:val="22"/>
        </w:rPr>
        <w:t>deny that the firm of attorneys had ever represented to the applicants that the deceased had a will.</w:t>
      </w:r>
      <w:r w:rsidR="00BF0B4F">
        <w:rPr>
          <w:rFonts w:cs="Arial"/>
          <w:bCs/>
          <w:szCs w:val="22"/>
        </w:rPr>
        <w:t xml:space="preserve"> </w:t>
      </w:r>
      <w:r w:rsidR="00881F16">
        <w:rPr>
          <w:rFonts w:cs="Arial"/>
          <w:bCs/>
          <w:szCs w:val="22"/>
        </w:rPr>
        <w:t xml:space="preserve">The firm </w:t>
      </w:r>
      <w:r w:rsidR="00881F16">
        <w:rPr>
          <w:rFonts w:cs="Arial"/>
          <w:bCs/>
          <w:szCs w:val="22"/>
        </w:rPr>
        <w:lastRenderedPageBreak/>
        <w:t xml:space="preserve">had never been told of or referred to a will. </w:t>
      </w:r>
      <w:r w:rsidR="00BF0B4F">
        <w:rPr>
          <w:rFonts w:cs="Arial"/>
          <w:bCs/>
          <w:szCs w:val="22"/>
        </w:rPr>
        <w:t>They never knew the deceased during his</w:t>
      </w:r>
      <w:r w:rsidR="00881F16">
        <w:rPr>
          <w:rFonts w:cs="Arial"/>
          <w:bCs/>
          <w:szCs w:val="22"/>
        </w:rPr>
        <w:t xml:space="preserve"> lifetime and their source of information was instructions from Ms Mhlongo</w:t>
      </w:r>
      <w:r w:rsidR="00786370">
        <w:rPr>
          <w:rFonts w:cs="Arial"/>
          <w:bCs/>
          <w:szCs w:val="22"/>
        </w:rPr>
        <w:t>.</w:t>
      </w:r>
    </w:p>
    <w:p w14:paraId="350C7AB8" w14:textId="77777777" w:rsidR="00CF1E12" w:rsidRDefault="00CF1E12" w:rsidP="00CF1E12">
      <w:pPr>
        <w:widowControl w:val="0"/>
        <w:spacing w:before="480" w:after="480" w:line="360" w:lineRule="auto"/>
        <w:jc w:val="both"/>
        <w:rPr>
          <w:rFonts w:cs="Arial"/>
          <w:bCs/>
          <w:szCs w:val="22"/>
          <w:u w:val="single"/>
        </w:rPr>
      </w:pPr>
    </w:p>
    <w:p w14:paraId="17AF4EB3" w14:textId="5C460997" w:rsidR="00E0794A" w:rsidRPr="00E0794A" w:rsidRDefault="00E0794A" w:rsidP="00E0794A">
      <w:pPr>
        <w:widowControl w:val="0"/>
        <w:spacing w:before="480" w:after="480" w:line="360" w:lineRule="auto"/>
        <w:jc w:val="both"/>
        <w:rPr>
          <w:rFonts w:cs="Arial"/>
          <w:bCs/>
          <w:szCs w:val="22"/>
          <w:u w:val="single"/>
        </w:rPr>
      </w:pPr>
      <w:r w:rsidRPr="00E0794A">
        <w:rPr>
          <w:rFonts w:cs="Arial"/>
          <w:bCs/>
          <w:szCs w:val="22"/>
          <w:u w:val="single"/>
        </w:rPr>
        <w:t>The application</w:t>
      </w:r>
    </w:p>
    <w:p w14:paraId="7A8950C5" w14:textId="7DDCBB62" w:rsidR="009344BF" w:rsidRPr="000E2D7F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0E2D7F">
        <w:rPr>
          <w:rFonts w:cs="Arial"/>
          <w:bCs/>
          <w:szCs w:val="22"/>
        </w:rPr>
        <w:t>[11]</w:t>
      </w:r>
      <w:r w:rsidRPr="000E2D7F">
        <w:rPr>
          <w:rFonts w:cs="Arial"/>
          <w:bCs/>
          <w:szCs w:val="22"/>
        </w:rPr>
        <w:tab/>
      </w:r>
      <w:r w:rsidR="000E2D7F">
        <w:t>The 1</w:t>
      </w:r>
      <w:r w:rsidR="000E2D7F" w:rsidRPr="000E2D7F">
        <w:rPr>
          <w:vertAlign w:val="superscript"/>
        </w:rPr>
        <w:t>st</w:t>
      </w:r>
      <w:r w:rsidR="000E2D7F">
        <w:t>, 2</w:t>
      </w:r>
      <w:r w:rsidR="000E2D7F" w:rsidRPr="000E2D7F">
        <w:rPr>
          <w:vertAlign w:val="superscript"/>
        </w:rPr>
        <w:t>nd</w:t>
      </w:r>
      <w:r w:rsidR="000E2D7F">
        <w:t>, and 5</w:t>
      </w:r>
      <w:r w:rsidR="000E2D7F" w:rsidRPr="000E2D7F">
        <w:rPr>
          <w:vertAlign w:val="superscript"/>
        </w:rPr>
        <w:t>th</w:t>
      </w:r>
      <w:r w:rsidR="000E2D7F">
        <w:t xml:space="preserve"> respondent</w:t>
      </w:r>
      <w:r w:rsidR="007B364F">
        <w:t>s</w:t>
      </w:r>
      <w:r w:rsidR="000E2D7F">
        <w:t xml:space="preserve"> have no </w:t>
      </w:r>
      <w:r w:rsidR="0050658B">
        <w:t xml:space="preserve">legal </w:t>
      </w:r>
      <w:r w:rsidR="000E2D7F">
        <w:t>interest in the</w:t>
      </w:r>
      <w:r w:rsidR="0050658B">
        <w:t xml:space="preserve"> application or in the </w:t>
      </w:r>
      <w:r w:rsidR="000E2D7F">
        <w:t xml:space="preserve"> counter application. Their joinder</w:t>
      </w:r>
      <w:r w:rsidR="0050658B">
        <w:t xml:space="preserve"> </w:t>
      </w:r>
      <w:r w:rsidR="000E2D7F">
        <w:t xml:space="preserve">constitutes a </w:t>
      </w:r>
      <w:r w:rsidR="001D47F0">
        <w:t>mis</w:t>
      </w:r>
      <w:r w:rsidR="000E2D7F">
        <w:t>joinder</w:t>
      </w:r>
      <w:r w:rsidR="001D47F0">
        <w:t xml:space="preserve"> and this was dealt with above</w:t>
      </w:r>
      <w:r w:rsidR="000E2D7F">
        <w:t>.</w:t>
      </w:r>
    </w:p>
    <w:p w14:paraId="77CA2F35" w14:textId="12B9D2E8" w:rsidR="000E2D7F" w:rsidRPr="00E0794A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E0794A">
        <w:rPr>
          <w:rFonts w:cs="Arial"/>
          <w:bCs/>
          <w:szCs w:val="22"/>
        </w:rPr>
        <w:t>[12]</w:t>
      </w:r>
      <w:r w:rsidRPr="00E0794A">
        <w:rPr>
          <w:rFonts w:cs="Arial"/>
          <w:bCs/>
          <w:szCs w:val="22"/>
        </w:rPr>
        <w:tab/>
      </w:r>
      <w:r w:rsidR="000E2D7F">
        <w:t xml:space="preserve">The </w:t>
      </w:r>
      <w:r w:rsidR="007B364F">
        <w:t>applicants should have known when they brought the application that disputes of fact were bound to arise.</w:t>
      </w:r>
      <w:r w:rsidR="00A45E24" w:rsidRPr="00A45E24">
        <w:rPr>
          <w:rStyle w:val="FootnoteReference"/>
        </w:rPr>
        <w:t xml:space="preserve"> </w:t>
      </w:r>
      <w:r w:rsidR="00A45E24">
        <w:rPr>
          <w:rStyle w:val="FootnoteReference"/>
        </w:rPr>
        <w:footnoteReference w:id="11"/>
      </w:r>
      <w:r w:rsidR="007B364F">
        <w:t xml:space="preserve"> They knew that the 1</w:t>
      </w:r>
      <w:r w:rsidR="007B364F" w:rsidRPr="007B364F">
        <w:rPr>
          <w:vertAlign w:val="superscript"/>
        </w:rPr>
        <w:t>st</w:t>
      </w:r>
      <w:r w:rsidR="007B364F">
        <w:t>, 2</w:t>
      </w:r>
      <w:r w:rsidR="007B364F" w:rsidRPr="007B364F">
        <w:rPr>
          <w:vertAlign w:val="superscript"/>
        </w:rPr>
        <w:t>nd</w:t>
      </w:r>
      <w:r w:rsidR="007B364F">
        <w:t>, and 5</w:t>
      </w:r>
      <w:r w:rsidR="007B364F" w:rsidRPr="007B364F">
        <w:rPr>
          <w:vertAlign w:val="superscript"/>
        </w:rPr>
        <w:t>th</w:t>
      </w:r>
      <w:r w:rsidR="007B364F">
        <w:t xml:space="preserve"> respondent who had no legal interest in the application had categorically denied that they were in possession of a will and that their denial were recorded in writing.  </w:t>
      </w:r>
      <w:r w:rsidR="001D47F0">
        <w:t xml:space="preserve">There were no objectively </w:t>
      </w:r>
      <w:r w:rsidR="00AF78DA">
        <w:t>verifiable</w:t>
      </w:r>
      <w:r w:rsidR="001D47F0">
        <w:t xml:space="preserve"> facts indicating that the 2</w:t>
      </w:r>
      <w:r w:rsidR="001D47F0" w:rsidRPr="001D47F0">
        <w:rPr>
          <w:vertAlign w:val="superscript"/>
        </w:rPr>
        <w:t>nd</w:t>
      </w:r>
      <w:r w:rsidR="001D47F0">
        <w:t xml:space="preserve"> respondent and its officers were in possession of a will. </w:t>
      </w:r>
      <w:r w:rsidR="00CF1E12">
        <w:t>The application must therefore be dismissed with costs.</w:t>
      </w:r>
    </w:p>
    <w:p w14:paraId="55CBB5E9" w14:textId="5020BB2F" w:rsidR="00E0794A" w:rsidRPr="00E0794A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E0794A">
        <w:rPr>
          <w:rFonts w:cs="Arial"/>
          <w:bCs/>
          <w:szCs w:val="22"/>
        </w:rPr>
        <w:t>[13]</w:t>
      </w:r>
      <w:r w:rsidRPr="00E0794A">
        <w:rPr>
          <w:rFonts w:cs="Arial"/>
          <w:bCs/>
          <w:szCs w:val="22"/>
        </w:rPr>
        <w:tab/>
      </w:r>
      <w:r w:rsidR="00E0794A">
        <w:t xml:space="preserve">In respect of the relief sought against the Master I was advised from the Bar an arrangement was in place with the Master in terms of which the matter is being held in abeyance. In any event, no case </w:t>
      </w:r>
      <w:r w:rsidR="00922A92">
        <w:t xml:space="preserve">was made </w:t>
      </w:r>
      <w:r w:rsidR="00E0794A">
        <w:t xml:space="preserve"> out for relief in terms of section </w:t>
      </w:r>
      <w:r w:rsidR="00922A92">
        <w:t>35(10) of the Administration of Estates Act, 66 of 1965.</w:t>
      </w:r>
    </w:p>
    <w:p w14:paraId="6AABD478" w14:textId="77777777" w:rsidR="00E0794A" w:rsidRDefault="00E0794A" w:rsidP="00E0794A">
      <w:pPr>
        <w:widowControl w:val="0"/>
        <w:spacing w:before="480" w:after="480" w:line="360" w:lineRule="auto"/>
        <w:jc w:val="both"/>
        <w:rPr>
          <w:rFonts w:cs="Arial"/>
          <w:bCs/>
          <w:szCs w:val="22"/>
          <w:u w:val="single"/>
        </w:rPr>
      </w:pPr>
    </w:p>
    <w:p w14:paraId="11F2ECA3" w14:textId="26962F93" w:rsidR="00E0794A" w:rsidRPr="00CF1E12" w:rsidRDefault="00E0794A" w:rsidP="00E0794A">
      <w:pPr>
        <w:widowControl w:val="0"/>
        <w:spacing w:before="480" w:after="480" w:line="360" w:lineRule="auto"/>
        <w:jc w:val="both"/>
        <w:rPr>
          <w:rFonts w:cs="Arial"/>
          <w:bCs/>
          <w:szCs w:val="22"/>
          <w:u w:val="single"/>
        </w:rPr>
      </w:pPr>
      <w:r w:rsidRPr="00CF1E12">
        <w:rPr>
          <w:rFonts w:cs="Arial"/>
          <w:bCs/>
          <w:szCs w:val="22"/>
          <w:u w:val="single"/>
        </w:rPr>
        <w:t>The counter- application by the 3</w:t>
      </w:r>
      <w:r w:rsidRPr="00CF1E12">
        <w:rPr>
          <w:rFonts w:cs="Arial"/>
          <w:bCs/>
          <w:szCs w:val="22"/>
          <w:u w:val="single"/>
          <w:vertAlign w:val="superscript"/>
        </w:rPr>
        <w:t>rd</w:t>
      </w:r>
      <w:r w:rsidRPr="00CF1E12">
        <w:rPr>
          <w:rFonts w:cs="Arial"/>
          <w:bCs/>
          <w:szCs w:val="22"/>
          <w:u w:val="single"/>
        </w:rPr>
        <w:t xml:space="preserve"> respondent</w:t>
      </w:r>
    </w:p>
    <w:p w14:paraId="2F6CF532" w14:textId="14670B14" w:rsidR="00E0794A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[14]</w:t>
      </w:r>
      <w:r>
        <w:rPr>
          <w:rFonts w:cs="Arial"/>
          <w:bCs/>
          <w:szCs w:val="22"/>
        </w:rPr>
        <w:tab/>
      </w:r>
      <w:r w:rsidR="00E0794A">
        <w:rPr>
          <w:rFonts w:cs="Arial"/>
          <w:bCs/>
          <w:szCs w:val="22"/>
        </w:rPr>
        <w:t>Ms Mhlongo filed her own answering affidavit and with it a counter-application. In the counter-application she seeks an order that the Director – General of Home Affairs be joined to the application as a respondent, that the customary marriage between herself and the deceased be declared valid, and that the Director-General be ordered to register the marriage.</w:t>
      </w:r>
    </w:p>
    <w:p w14:paraId="020739B0" w14:textId="010E15CD" w:rsidR="00E0794A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>[15]</w:t>
      </w:r>
      <w:r>
        <w:rPr>
          <w:rFonts w:cs="Arial"/>
          <w:bCs/>
          <w:szCs w:val="22"/>
        </w:rPr>
        <w:tab/>
      </w:r>
      <w:r w:rsidR="00E0794A">
        <w:t>Prayer 3 of the notice of motion in the counter – application requires the Director – General, the administrative head of the Department of Home Affairs to register a customary marriage.</w:t>
      </w:r>
      <w:r w:rsidR="00E0794A">
        <w:rPr>
          <w:rFonts w:cs="Arial"/>
          <w:bCs/>
          <w:szCs w:val="22"/>
        </w:rPr>
        <w:t xml:space="preserve"> </w:t>
      </w:r>
    </w:p>
    <w:p w14:paraId="6A3CC317" w14:textId="5B08F0E3" w:rsidR="00E0794A" w:rsidRPr="003C0520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3C0520">
        <w:rPr>
          <w:rFonts w:cs="Arial"/>
          <w:bCs/>
          <w:szCs w:val="22"/>
        </w:rPr>
        <w:t>[16]</w:t>
      </w:r>
      <w:r w:rsidRPr="003C0520">
        <w:rPr>
          <w:rFonts w:cs="Arial"/>
          <w:bCs/>
          <w:szCs w:val="22"/>
        </w:rPr>
        <w:tab/>
      </w:r>
      <w:r w:rsidR="00E0794A">
        <w:rPr>
          <w:rFonts w:cs="Arial"/>
          <w:bCs/>
          <w:szCs w:val="22"/>
        </w:rPr>
        <w:t xml:space="preserve">The application to join the Director-General was withdrawn at the hearing. The Director – General was in any event not the correct party to be joined as the Minister of Home Affairs, </w:t>
      </w:r>
      <w:r w:rsidR="00E0794A" w:rsidRPr="00CA5806">
        <w:rPr>
          <w:rFonts w:cs="Arial"/>
          <w:bCs/>
          <w:i/>
          <w:iCs/>
          <w:szCs w:val="22"/>
        </w:rPr>
        <w:t>N</w:t>
      </w:r>
      <w:r w:rsidR="00E0794A">
        <w:rPr>
          <w:rFonts w:cs="Arial"/>
          <w:bCs/>
          <w:i/>
          <w:iCs/>
          <w:szCs w:val="22"/>
        </w:rPr>
        <w:t xml:space="preserve"> </w:t>
      </w:r>
      <w:r w:rsidR="00E0794A" w:rsidRPr="00CA5806">
        <w:rPr>
          <w:rFonts w:cs="Arial"/>
          <w:bCs/>
          <w:i/>
          <w:iCs/>
          <w:szCs w:val="22"/>
        </w:rPr>
        <w:t>O</w:t>
      </w:r>
      <w:r w:rsidR="00E0794A">
        <w:rPr>
          <w:rFonts w:cs="Arial"/>
          <w:bCs/>
          <w:szCs w:val="22"/>
        </w:rPr>
        <w:t xml:space="preserve">, is the member of the Cabinet referred to in the </w:t>
      </w:r>
      <w:r w:rsidR="00E0794A" w:rsidRPr="0034380C">
        <w:t>Recognition of Customary Marriages Act, 120 of 1998</w:t>
      </w:r>
      <w:r w:rsidR="00E0794A">
        <w:t xml:space="preserve">. Section 4(7) of the Act provides that the Court </w:t>
      </w:r>
      <w:r w:rsidR="00E0794A" w:rsidRPr="00873865">
        <w:rPr>
          <w:i/>
          <w:iCs/>
        </w:rPr>
        <w:t>“</w:t>
      </w:r>
      <w:r w:rsidR="00E0794A" w:rsidRPr="0034380C">
        <w:rPr>
          <w:i/>
          <w:iCs/>
          <w:lang w:eastAsia="en-ZA"/>
        </w:rPr>
        <w:t>may, upon application made to that court and upon investigation instituted by that court, order</w:t>
      </w:r>
      <w:r w:rsidR="00E0794A" w:rsidRPr="00873865">
        <w:rPr>
          <w:i/>
          <w:iCs/>
          <w:lang w:eastAsia="en-ZA"/>
        </w:rPr>
        <w:t xml:space="preserve"> </w:t>
      </w:r>
      <w:r w:rsidR="00E0794A" w:rsidRPr="0034380C">
        <w:rPr>
          <w:i/>
          <w:iCs/>
          <w:lang w:eastAsia="en-ZA"/>
        </w:rPr>
        <w:t xml:space="preserve"> the registration of </w:t>
      </w:r>
      <w:r w:rsidR="00E0794A" w:rsidRPr="00873865">
        <w:rPr>
          <w:i/>
          <w:iCs/>
          <w:lang w:eastAsia="en-ZA"/>
        </w:rPr>
        <w:t>a</w:t>
      </w:r>
      <w:r w:rsidR="00E0794A" w:rsidRPr="0034380C">
        <w:rPr>
          <w:i/>
          <w:iCs/>
          <w:lang w:eastAsia="en-ZA"/>
        </w:rPr>
        <w:t xml:space="preserve"> customary marriage</w:t>
      </w:r>
      <w:r w:rsidR="00E0794A">
        <w:rPr>
          <w:i/>
          <w:iCs/>
          <w:lang w:eastAsia="en-ZA"/>
        </w:rPr>
        <w:t>.</w:t>
      </w:r>
      <w:r w:rsidR="00E0794A" w:rsidRPr="00873865">
        <w:rPr>
          <w:i/>
          <w:iCs/>
        </w:rPr>
        <w:t>”</w:t>
      </w:r>
      <w:r w:rsidR="00E0794A">
        <w:rPr>
          <w:i/>
          <w:iCs/>
        </w:rPr>
        <w:t xml:space="preserve"> </w:t>
      </w:r>
      <w:r w:rsidR="00E0794A">
        <w:t xml:space="preserve">The Minister is an interested party and the non-joinder of the Minister is fatal to the counter-application. </w:t>
      </w:r>
    </w:p>
    <w:p w14:paraId="3815455D" w14:textId="36F11D97" w:rsidR="00E0794A" w:rsidRPr="000E2D7F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 w:rsidRPr="000E2D7F">
        <w:rPr>
          <w:rFonts w:cs="Arial"/>
          <w:bCs/>
          <w:szCs w:val="22"/>
        </w:rPr>
        <w:t>[17]</w:t>
      </w:r>
      <w:r w:rsidRPr="000E2D7F">
        <w:rPr>
          <w:rFonts w:cs="Arial"/>
          <w:bCs/>
          <w:szCs w:val="22"/>
        </w:rPr>
        <w:tab/>
      </w:r>
      <w:r w:rsidR="00E0794A">
        <w:t>I therefore dismiss the counter-application without deciding the merits of the counter - application and whether the dispute between the 3</w:t>
      </w:r>
      <w:r w:rsidR="00E0794A" w:rsidRPr="0050658B">
        <w:rPr>
          <w:vertAlign w:val="superscript"/>
        </w:rPr>
        <w:t>rd</w:t>
      </w:r>
      <w:r w:rsidR="00E0794A">
        <w:t xml:space="preserve"> respondent and the applicants can be adjudicated in an application as opposed to a trial.</w:t>
      </w:r>
      <w:r w:rsidR="00E0794A" w:rsidRPr="002B7824">
        <w:rPr>
          <w:rStyle w:val="FootnoteReference"/>
          <w:rFonts w:cs="Arial"/>
          <w:i/>
          <w:iCs/>
          <w:szCs w:val="22"/>
        </w:rPr>
        <w:footnoteReference w:id="12"/>
      </w:r>
      <w:r w:rsidR="00E0794A" w:rsidRPr="002B7824">
        <w:rPr>
          <w:rFonts w:cs="Arial"/>
          <w:szCs w:val="22"/>
        </w:rPr>
        <w:t xml:space="preserve"> </w:t>
      </w:r>
    </w:p>
    <w:p w14:paraId="33279241" w14:textId="29BBA0A2" w:rsidR="00C07426" w:rsidRDefault="00616F67" w:rsidP="00616F67">
      <w:pPr>
        <w:widowControl w:val="0"/>
        <w:tabs>
          <w:tab w:val="left" w:pos="567"/>
        </w:tabs>
        <w:spacing w:before="480" w:after="480" w:line="360" w:lineRule="auto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[18]</w:t>
      </w:r>
      <w:r>
        <w:rPr>
          <w:rFonts w:cs="Arial"/>
          <w:bCs/>
          <w:szCs w:val="22"/>
        </w:rPr>
        <w:tab/>
      </w:r>
      <w:r w:rsidR="00EE6413">
        <w:rPr>
          <w:rFonts w:cs="Arial"/>
          <w:bCs/>
          <w:szCs w:val="22"/>
        </w:rPr>
        <w:t xml:space="preserve">For the reasons above </w:t>
      </w:r>
      <w:r w:rsidR="002864BD">
        <w:rPr>
          <w:rFonts w:cs="Arial"/>
          <w:bCs/>
          <w:szCs w:val="22"/>
        </w:rPr>
        <w:t>I grant the order above</w:t>
      </w:r>
      <w:r w:rsidR="004D5D53">
        <w:rPr>
          <w:rFonts w:cs="Arial"/>
          <w:bCs/>
          <w:szCs w:val="22"/>
        </w:rPr>
        <w:t>.</w:t>
      </w:r>
    </w:p>
    <w:p w14:paraId="08EFD7AD" w14:textId="77777777" w:rsidR="004D5D53" w:rsidRPr="00C07426" w:rsidRDefault="004D5D53" w:rsidP="00C07426">
      <w:pPr>
        <w:widowControl w:val="0"/>
        <w:spacing w:before="360" w:after="360" w:line="360" w:lineRule="auto"/>
        <w:ind w:left="2160"/>
        <w:jc w:val="both"/>
        <w:rPr>
          <w:rFonts w:cs="Arial"/>
          <w:bCs/>
          <w:i/>
          <w:iCs/>
          <w:szCs w:val="22"/>
        </w:rPr>
      </w:pPr>
    </w:p>
    <w:p w14:paraId="3E6BA7DA" w14:textId="43133B0D" w:rsidR="00AE287F" w:rsidRPr="00C74E97" w:rsidRDefault="00AE287F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</w:p>
    <w:p w14:paraId="53CD27EE" w14:textId="672559CF" w:rsidR="00AE287F" w:rsidRPr="00C74E97" w:rsidRDefault="00A649E6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  <w:r w:rsidRPr="00C74E97">
        <w:rPr>
          <w:rFonts w:cs="Arial"/>
          <w:b/>
          <w:szCs w:val="22"/>
        </w:rPr>
        <w:t>______________</w:t>
      </w:r>
    </w:p>
    <w:p w14:paraId="0CCB9BFE" w14:textId="7ABE564D" w:rsidR="006C43D7" w:rsidRPr="00C74E97" w:rsidRDefault="00C676F3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  <w:r w:rsidRPr="00C74E97">
        <w:rPr>
          <w:rFonts w:cs="Arial"/>
          <w:b/>
          <w:szCs w:val="22"/>
        </w:rPr>
        <w:t>J MOORCROFT</w:t>
      </w:r>
    </w:p>
    <w:p w14:paraId="7A2C1059" w14:textId="77777777" w:rsidR="006C43D7" w:rsidRPr="00C74E97" w:rsidRDefault="006C43D7" w:rsidP="006C43D7">
      <w:pPr>
        <w:tabs>
          <w:tab w:val="right" w:pos="0"/>
        </w:tabs>
        <w:spacing w:line="360" w:lineRule="auto"/>
        <w:contextualSpacing/>
        <w:jc w:val="right"/>
        <w:rPr>
          <w:rFonts w:cs="Arial"/>
          <w:b/>
          <w:szCs w:val="22"/>
        </w:rPr>
      </w:pPr>
      <w:r w:rsidRPr="00C74E97">
        <w:rPr>
          <w:rFonts w:cs="Arial"/>
          <w:b/>
          <w:szCs w:val="22"/>
        </w:rPr>
        <w:t>ACTING JUDGE OF THE HIGH COURT OF SOUTH AFRICA</w:t>
      </w:r>
    </w:p>
    <w:p w14:paraId="077C2590" w14:textId="7452355B" w:rsidR="006C43D7" w:rsidRPr="00C74E97" w:rsidRDefault="006C43D7" w:rsidP="006C43D7">
      <w:pPr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  <w:szCs w:val="22"/>
        </w:rPr>
      </w:pPr>
      <w:r w:rsidRPr="00C74E97">
        <w:rPr>
          <w:rFonts w:cs="Arial"/>
          <w:b/>
          <w:szCs w:val="22"/>
        </w:rPr>
        <w:t>GAUTENG DIVISION</w:t>
      </w:r>
    </w:p>
    <w:p w14:paraId="40B9C946" w14:textId="77777777" w:rsidR="006C43D7" w:rsidRPr="00C74E97" w:rsidRDefault="006C43D7" w:rsidP="006C43D7">
      <w:pPr>
        <w:tabs>
          <w:tab w:val="right" w:pos="0"/>
          <w:tab w:val="left" w:pos="4253"/>
        </w:tabs>
        <w:spacing w:line="360" w:lineRule="auto"/>
        <w:contextualSpacing/>
        <w:jc w:val="right"/>
        <w:rPr>
          <w:rFonts w:cs="Arial"/>
          <w:b/>
          <w:szCs w:val="22"/>
        </w:rPr>
      </w:pPr>
      <w:r w:rsidRPr="00C74E97">
        <w:rPr>
          <w:rFonts w:cs="Arial"/>
          <w:b/>
          <w:szCs w:val="22"/>
        </w:rPr>
        <w:t>JOHANNESBURG</w:t>
      </w:r>
    </w:p>
    <w:p w14:paraId="326B529B" w14:textId="77777777" w:rsidR="006C43D7" w:rsidRPr="00C74E97" w:rsidRDefault="006C43D7" w:rsidP="006C43D7">
      <w:pPr>
        <w:tabs>
          <w:tab w:val="right" w:pos="0"/>
          <w:tab w:val="left" w:pos="4253"/>
        </w:tabs>
        <w:spacing w:line="360" w:lineRule="auto"/>
        <w:contextualSpacing/>
        <w:jc w:val="center"/>
        <w:rPr>
          <w:rFonts w:cs="Arial"/>
          <w:b/>
          <w:szCs w:val="22"/>
        </w:rPr>
      </w:pPr>
    </w:p>
    <w:p w14:paraId="5A4CC56C" w14:textId="051C4E22" w:rsidR="006C43D7" w:rsidRPr="00C74E97" w:rsidRDefault="006C43D7" w:rsidP="006C43D7">
      <w:pPr>
        <w:spacing w:after="200" w:line="480" w:lineRule="auto"/>
        <w:contextualSpacing/>
        <w:jc w:val="right"/>
        <w:rPr>
          <w:rFonts w:cs="Arial"/>
          <w:b/>
          <w:i/>
          <w:iCs/>
          <w:szCs w:val="22"/>
        </w:rPr>
      </w:pPr>
      <w:r w:rsidRPr="00C74E97">
        <w:rPr>
          <w:rFonts w:cs="Arial"/>
          <w:b/>
          <w:i/>
          <w:iCs/>
          <w:szCs w:val="22"/>
        </w:rPr>
        <w:t>Electronically submitted</w:t>
      </w:r>
    </w:p>
    <w:p w14:paraId="4E3E9427" w14:textId="77777777" w:rsidR="006C43D7" w:rsidRPr="00C74E97" w:rsidRDefault="006C43D7" w:rsidP="006C43D7">
      <w:pPr>
        <w:spacing w:after="200" w:line="360" w:lineRule="auto"/>
        <w:contextualSpacing/>
        <w:jc w:val="both"/>
        <w:rPr>
          <w:rFonts w:eastAsia="Arial Unicode MS" w:cs="Arial"/>
          <w:bCs/>
          <w:szCs w:val="22"/>
        </w:rPr>
      </w:pPr>
    </w:p>
    <w:p w14:paraId="51C686CA" w14:textId="57E3FBA6" w:rsidR="006C43D7" w:rsidRPr="00C74E97" w:rsidRDefault="006C43D7" w:rsidP="006C43D7">
      <w:pPr>
        <w:spacing w:after="200" w:line="360" w:lineRule="auto"/>
        <w:contextualSpacing/>
        <w:jc w:val="both"/>
        <w:rPr>
          <w:rFonts w:eastAsia="Arial Unicode MS" w:cs="Arial"/>
          <w:bCs/>
          <w:szCs w:val="22"/>
        </w:rPr>
      </w:pPr>
      <w:r w:rsidRPr="00C74E97">
        <w:rPr>
          <w:rFonts w:eastAsia="Arial Unicode MS" w:cs="Arial"/>
          <w:bCs/>
          <w:szCs w:val="22"/>
        </w:rPr>
        <w:t>Delivered: This judgement was prepared and authored by the Acting Judge whose name is reflected and is handed down electronically by circulation to the Parties / their legal representatives by email and by uploading it to the electronic file of this matter on CaseLines. The date of the judgment is deemed to be</w:t>
      </w:r>
      <w:r w:rsidR="00C460A0" w:rsidRPr="00C74E97">
        <w:rPr>
          <w:rFonts w:eastAsia="Arial Unicode MS" w:cs="Arial"/>
          <w:bCs/>
          <w:szCs w:val="22"/>
        </w:rPr>
        <w:t xml:space="preserve"> </w:t>
      </w:r>
      <w:r w:rsidR="005A2D29">
        <w:rPr>
          <w:rFonts w:eastAsia="Arial Unicode MS" w:cs="Arial"/>
          <w:b/>
          <w:szCs w:val="22"/>
        </w:rPr>
        <w:t>10</w:t>
      </w:r>
      <w:r w:rsidR="00347E19">
        <w:rPr>
          <w:rFonts w:eastAsia="Arial Unicode MS" w:cs="Arial"/>
          <w:b/>
          <w:szCs w:val="22"/>
        </w:rPr>
        <w:t xml:space="preserve"> MARCH</w:t>
      </w:r>
      <w:r w:rsidR="00DC6EF8" w:rsidRPr="00C74E97">
        <w:rPr>
          <w:rFonts w:eastAsia="Arial Unicode MS" w:cs="Arial"/>
          <w:b/>
          <w:szCs w:val="22"/>
        </w:rPr>
        <w:t xml:space="preserve"> </w:t>
      </w:r>
      <w:r w:rsidR="00237FF9" w:rsidRPr="00C74E97">
        <w:rPr>
          <w:rFonts w:eastAsia="Arial Unicode MS" w:cs="Arial"/>
          <w:b/>
          <w:bCs/>
          <w:szCs w:val="22"/>
        </w:rPr>
        <w:t>202</w:t>
      </w:r>
      <w:r w:rsidR="00051A2B" w:rsidRPr="00C74E97">
        <w:rPr>
          <w:rFonts w:eastAsia="Arial Unicode MS" w:cs="Arial"/>
          <w:b/>
          <w:bCs/>
          <w:szCs w:val="22"/>
        </w:rPr>
        <w:t>3</w:t>
      </w:r>
      <w:r w:rsidR="00051A2B" w:rsidRPr="00C74E97">
        <w:rPr>
          <w:rFonts w:eastAsia="Arial Unicode MS" w:cs="Arial"/>
          <w:bCs/>
          <w:szCs w:val="22"/>
        </w:rPr>
        <w:t>.</w:t>
      </w:r>
    </w:p>
    <w:p w14:paraId="482DDF6E" w14:textId="77777777" w:rsidR="006C43D7" w:rsidRPr="00C74E97" w:rsidRDefault="006C43D7" w:rsidP="006C43D7">
      <w:pPr>
        <w:tabs>
          <w:tab w:val="right" w:pos="0"/>
          <w:tab w:val="left" w:pos="4253"/>
        </w:tabs>
        <w:spacing w:line="360" w:lineRule="auto"/>
        <w:contextualSpacing/>
        <w:jc w:val="center"/>
        <w:rPr>
          <w:rFonts w:cs="Arial"/>
          <w:b/>
          <w:szCs w:val="22"/>
        </w:rPr>
      </w:pPr>
    </w:p>
    <w:tbl>
      <w:tblPr>
        <w:tblStyle w:val="TableGrid"/>
        <w:tblW w:w="716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58"/>
      </w:tblGrid>
      <w:tr w:rsidR="009D35B5" w:rsidRPr="00C74E97" w14:paraId="493AF0D7" w14:textId="77777777" w:rsidTr="006C49F6">
        <w:tc>
          <w:tcPr>
            <w:tcW w:w="3402" w:type="dxa"/>
          </w:tcPr>
          <w:p w14:paraId="6A05541A" w14:textId="0A0FF265" w:rsidR="009D35B5" w:rsidRPr="00C74E97" w:rsidRDefault="006244C7" w:rsidP="006C49F6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ATTORNEY</w:t>
            </w:r>
            <w:r w:rsidR="009D35B5" w:rsidRPr="00C74E97">
              <w:rPr>
                <w:rFonts w:cs="Arial"/>
                <w:szCs w:val="22"/>
              </w:rPr>
              <w:t xml:space="preserve"> FOR THE </w:t>
            </w:r>
            <w:r w:rsidR="00FC6BD0">
              <w:rPr>
                <w:rFonts w:cs="Arial"/>
                <w:szCs w:val="22"/>
              </w:rPr>
              <w:t>APPLICANTS</w:t>
            </w:r>
            <w:r w:rsidR="009D35B5" w:rsidRPr="00C74E97">
              <w:rPr>
                <w:rFonts w:cs="Arial"/>
                <w:szCs w:val="22"/>
              </w:rPr>
              <w:t>:</w:t>
            </w:r>
          </w:p>
        </w:tc>
        <w:tc>
          <w:tcPr>
            <w:tcW w:w="3758" w:type="dxa"/>
          </w:tcPr>
          <w:p w14:paraId="69785AA9" w14:textId="720F107F" w:rsidR="00DC6EF8" w:rsidRPr="00C74E97" w:rsidRDefault="006244C7" w:rsidP="006C49F6">
            <w:pPr>
              <w:tabs>
                <w:tab w:val="right" w:pos="0"/>
                <w:tab w:val="left" w:pos="567"/>
                <w:tab w:val="right" w:pos="2727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 H GWEBU</w:t>
            </w:r>
          </w:p>
        </w:tc>
      </w:tr>
      <w:tr w:rsidR="009D35B5" w:rsidRPr="00C74E97" w14:paraId="183C176D" w14:textId="77777777" w:rsidTr="006C49F6">
        <w:tc>
          <w:tcPr>
            <w:tcW w:w="3402" w:type="dxa"/>
          </w:tcPr>
          <w:p w14:paraId="75365413" w14:textId="481747BC" w:rsidR="009D35B5" w:rsidRPr="00C74E97" w:rsidRDefault="009D35B5" w:rsidP="006C49F6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74E97">
              <w:rPr>
                <w:rFonts w:cs="Arial"/>
                <w:szCs w:val="22"/>
              </w:rPr>
              <w:t>INSTRUCTED BY:</w:t>
            </w:r>
          </w:p>
        </w:tc>
        <w:tc>
          <w:tcPr>
            <w:tcW w:w="3758" w:type="dxa"/>
          </w:tcPr>
          <w:p w14:paraId="4044534A" w14:textId="6BFCF74A" w:rsidR="00762178" w:rsidRPr="00C74E97" w:rsidRDefault="006244C7" w:rsidP="006C49F6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MADLELA GWEBU MASHAMBA INC</w:t>
            </w:r>
          </w:p>
        </w:tc>
      </w:tr>
      <w:tr w:rsidR="009D35B5" w:rsidRPr="00C74E97" w14:paraId="6E2BF966" w14:textId="77777777" w:rsidTr="006C49F6">
        <w:tc>
          <w:tcPr>
            <w:tcW w:w="3402" w:type="dxa"/>
          </w:tcPr>
          <w:p w14:paraId="545B6665" w14:textId="64F2B97A" w:rsidR="009D35B5" w:rsidRPr="00C74E97" w:rsidRDefault="009D35B5" w:rsidP="006C49F6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74E97">
              <w:rPr>
                <w:rFonts w:cs="Arial"/>
                <w:szCs w:val="22"/>
              </w:rPr>
              <w:t xml:space="preserve">COUNSEL FOR </w:t>
            </w:r>
            <w:r w:rsidR="00FC6BD0">
              <w:rPr>
                <w:rFonts w:cs="Arial"/>
                <w:szCs w:val="22"/>
              </w:rPr>
              <w:t>1</w:t>
            </w:r>
            <w:r w:rsidR="00FC6BD0" w:rsidRPr="00FC6BD0">
              <w:rPr>
                <w:rFonts w:cs="Arial"/>
                <w:szCs w:val="22"/>
                <w:vertAlign w:val="superscript"/>
              </w:rPr>
              <w:t>st</w:t>
            </w:r>
            <w:r w:rsidR="00FC6BD0">
              <w:rPr>
                <w:rFonts w:cs="Arial"/>
                <w:szCs w:val="22"/>
              </w:rPr>
              <w:t>, 2</w:t>
            </w:r>
            <w:r w:rsidR="00FC6BD0" w:rsidRPr="00FC6BD0">
              <w:rPr>
                <w:rFonts w:cs="Arial"/>
                <w:szCs w:val="22"/>
                <w:vertAlign w:val="superscript"/>
              </w:rPr>
              <w:t>nd</w:t>
            </w:r>
            <w:r w:rsidR="00FC6BD0">
              <w:rPr>
                <w:rFonts w:cs="Arial"/>
                <w:szCs w:val="22"/>
              </w:rPr>
              <w:t xml:space="preserve"> , &amp; 5</w:t>
            </w:r>
            <w:r w:rsidR="00FC6BD0" w:rsidRPr="00FC6BD0">
              <w:rPr>
                <w:rFonts w:cs="Arial"/>
                <w:szCs w:val="22"/>
                <w:vertAlign w:val="superscript"/>
              </w:rPr>
              <w:t>th</w:t>
            </w:r>
            <w:r w:rsidR="00FC6BD0">
              <w:rPr>
                <w:rFonts w:cs="Arial"/>
                <w:szCs w:val="22"/>
              </w:rPr>
              <w:t xml:space="preserve"> RESPONDENTS</w:t>
            </w:r>
            <w:r w:rsidRPr="00C74E97">
              <w:rPr>
                <w:rFonts w:cs="Arial"/>
                <w:szCs w:val="22"/>
              </w:rPr>
              <w:t>:</w:t>
            </w:r>
          </w:p>
        </w:tc>
        <w:tc>
          <w:tcPr>
            <w:tcW w:w="3758" w:type="dxa"/>
          </w:tcPr>
          <w:p w14:paraId="51741A90" w14:textId="42D1E720" w:rsidR="009D35B5" w:rsidRPr="00C74E97" w:rsidRDefault="006244C7" w:rsidP="006C49F6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 F WANNENBURG</w:t>
            </w:r>
          </w:p>
        </w:tc>
      </w:tr>
      <w:tr w:rsidR="00FC6BD0" w:rsidRPr="00C74E97" w14:paraId="567DFAE6" w14:textId="77777777" w:rsidTr="006C49F6">
        <w:tc>
          <w:tcPr>
            <w:tcW w:w="3402" w:type="dxa"/>
          </w:tcPr>
          <w:p w14:paraId="361D927B" w14:textId="396ECA26" w:rsidR="00FC6BD0" w:rsidRPr="00C74E97" w:rsidRDefault="00FC6BD0" w:rsidP="006C49F6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74E97">
              <w:rPr>
                <w:rFonts w:cs="Arial"/>
                <w:szCs w:val="22"/>
              </w:rPr>
              <w:t>INSTRUCTED BY:</w:t>
            </w:r>
          </w:p>
        </w:tc>
        <w:tc>
          <w:tcPr>
            <w:tcW w:w="3758" w:type="dxa"/>
          </w:tcPr>
          <w:p w14:paraId="278939DF" w14:textId="283CFCC6" w:rsidR="00FC6BD0" w:rsidRPr="00C74E97" w:rsidRDefault="006244C7" w:rsidP="006C49F6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ESTHE MULLER INC</w:t>
            </w:r>
          </w:p>
        </w:tc>
      </w:tr>
      <w:tr w:rsidR="00881F6C" w:rsidRPr="00C74E97" w14:paraId="5B2D4EBC" w14:textId="77777777" w:rsidTr="006C49F6">
        <w:tc>
          <w:tcPr>
            <w:tcW w:w="3402" w:type="dxa"/>
          </w:tcPr>
          <w:p w14:paraId="3F73F6B4" w14:textId="15BA871E" w:rsidR="00881F6C" w:rsidRPr="00C74E97" w:rsidRDefault="00881F6C" w:rsidP="006C49F6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COUNSEL FOR 3</w:t>
            </w:r>
            <w:r w:rsidRPr="00881F6C">
              <w:rPr>
                <w:rFonts w:cs="Arial"/>
                <w:szCs w:val="22"/>
                <w:vertAlign w:val="superscript"/>
              </w:rPr>
              <w:t>rd</w:t>
            </w:r>
            <w:r>
              <w:rPr>
                <w:rFonts w:cs="Arial"/>
                <w:szCs w:val="22"/>
              </w:rPr>
              <w:t xml:space="preserve"> RESPONDENT:</w:t>
            </w:r>
          </w:p>
        </w:tc>
        <w:tc>
          <w:tcPr>
            <w:tcW w:w="3758" w:type="dxa"/>
          </w:tcPr>
          <w:p w14:paraId="5ECC3580" w14:textId="3634EBFA" w:rsidR="00881F6C" w:rsidRPr="00C74E97" w:rsidRDefault="006244C7" w:rsidP="006C49F6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 TSHAVHUNGWE</w:t>
            </w:r>
          </w:p>
        </w:tc>
      </w:tr>
      <w:tr w:rsidR="009D35B5" w:rsidRPr="00C74E97" w14:paraId="1EC4105A" w14:textId="77777777" w:rsidTr="006C49F6">
        <w:tc>
          <w:tcPr>
            <w:tcW w:w="3402" w:type="dxa"/>
          </w:tcPr>
          <w:p w14:paraId="184EC2ED" w14:textId="1E42F28A" w:rsidR="009D35B5" w:rsidRPr="00C74E97" w:rsidRDefault="009D35B5" w:rsidP="006C49F6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74E97">
              <w:rPr>
                <w:rFonts w:cs="Arial"/>
                <w:szCs w:val="22"/>
              </w:rPr>
              <w:t>INSTRUCTED BY:</w:t>
            </w:r>
          </w:p>
        </w:tc>
        <w:tc>
          <w:tcPr>
            <w:tcW w:w="3758" w:type="dxa"/>
          </w:tcPr>
          <w:p w14:paraId="2098BE2A" w14:textId="0361B67E" w:rsidR="009D35B5" w:rsidRPr="00C74E97" w:rsidRDefault="006244C7" w:rsidP="006C49F6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MOLATI ATTORNEYS</w:t>
            </w:r>
          </w:p>
        </w:tc>
      </w:tr>
      <w:tr w:rsidR="009D35B5" w:rsidRPr="00C74E97" w14:paraId="2A3FE2B1" w14:textId="77777777" w:rsidTr="006C49F6">
        <w:tc>
          <w:tcPr>
            <w:tcW w:w="3402" w:type="dxa"/>
          </w:tcPr>
          <w:p w14:paraId="0767D0FE" w14:textId="48641DE0" w:rsidR="009D35B5" w:rsidRPr="00C74E97" w:rsidRDefault="009D35B5" w:rsidP="006C49F6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74E97">
              <w:rPr>
                <w:rFonts w:cs="Arial"/>
                <w:szCs w:val="22"/>
              </w:rPr>
              <w:t xml:space="preserve">DATE OF THE </w:t>
            </w:r>
            <w:r w:rsidR="00256F47">
              <w:rPr>
                <w:rFonts w:cs="Arial"/>
                <w:szCs w:val="22"/>
              </w:rPr>
              <w:t>HEARING</w:t>
            </w:r>
            <w:r w:rsidRPr="00C74E97">
              <w:rPr>
                <w:rFonts w:cs="Arial"/>
                <w:szCs w:val="22"/>
              </w:rPr>
              <w:t>:</w:t>
            </w:r>
          </w:p>
        </w:tc>
        <w:tc>
          <w:tcPr>
            <w:tcW w:w="3758" w:type="dxa"/>
          </w:tcPr>
          <w:p w14:paraId="34C95147" w14:textId="4C3229D4" w:rsidR="009D35B5" w:rsidRPr="00C74E97" w:rsidRDefault="00A614BA" w:rsidP="006C49F6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6 MARCH </w:t>
            </w:r>
            <w:r w:rsidR="00256F47">
              <w:rPr>
                <w:rFonts w:cs="Arial"/>
                <w:szCs w:val="22"/>
              </w:rPr>
              <w:t>2023</w:t>
            </w:r>
          </w:p>
        </w:tc>
      </w:tr>
      <w:tr w:rsidR="009D35B5" w:rsidRPr="00C74E97" w14:paraId="2AC11E46" w14:textId="77777777" w:rsidTr="006C49F6">
        <w:tc>
          <w:tcPr>
            <w:tcW w:w="3402" w:type="dxa"/>
          </w:tcPr>
          <w:p w14:paraId="1136CEE6" w14:textId="67FA0375" w:rsidR="009D35B5" w:rsidRPr="00C74E97" w:rsidRDefault="009D35B5" w:rsidP="006C49F6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74E97">
              <w:rPr>
                <w:rFonts w:cs="Arial"/>
                <w:szCs w:val="22"/>
              </w:rPr>
              <w:t>DATE OF ORDER:</w:t>
            </w:r>
          </w:p>
        </w:tc>
        <w:tc>
          <w:tcPr>
            <w:tcW w:w="3758" w:type="dxa"/>
          </w:tcPr>
          <w:p w14:paraId="7EAC157B" w14:textId="1E47D5CB" w:rsidR="009D35B5" w:rsidRPr="00C74E97" w:rsidRDefault="006244C7" w:rsidP="006C49F6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256F47">
              <w:rPr>
                <w:rFonts w:cs="Arial"/>
                <w:szCs w:val="22"/>
              </w:rPr>
              <w:t xml:space="preserve"> MARCH 2023</w:t>
            </w:r>
          </w:p>
        </w:tc>
      </w:tr>
      <w:tr w:rsidR="00256F47" w:rsidRPr="00C74E97" w14:paraId="757AA656" w14:textId="77777777" w:rsidTr="006C49F6">
        <w:tc>
          <w:tcPr>
            <w:tcW w:w="3402" w:type="dxa"/>
          </w:tcPr>
          <w:p w14:paraId="05387251" w14:textId="5A778948" w:rsidR="00256F47" w:rsidRPr="00C74E97" w:rsidRDefault="00256F47" w:rsidP="00256F47">
            <w:pPr>
              <w:tabs>
                <w:tab w:val="right" w:pos="0"/>
                <w:tab w:val="left" w:pos="4253"/>
              </w:tabs>
              <w:spacing w:before="120" w:after="120"/>
              <w:rPr>
                <w:rFonts w:cs="Arial"/>
                <w:szCs w:val="22"/>
              </w:rPr>
            </w:pPr>
            <w:r w:rsidRPr="00C74E97">
              <w:rPr>
                <w:rFonts w:cs="Arial"/>
                <w:szCs w:val="22"/>
              </w:rPr>
              <w:t>DATE OF JUDGMENT:</w:t>
            </w:r>
          </w:p>
        </w:tc>
        <w:tc>
          <w:tcPr>
            <w:tcW w:w="3758" w:type="dxa"/>
          </w:tcPr>
          <w:p w14:paraId="61863A62" w14:textId="49303BF3" w:rsidR="00256F47" w:rsidRPr="00C74E97" w:rsidRDefault="006244C7" w:rsidP="00256F47">
            <w:pPr>
              <w:tabs>
                <w:tab w:val="right" w:pos="0"/>
                <w:tab w:val="left" w:pos="4253"/>
              </w:tabs>
              <w:spacing w:before="120" w:after="12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256F47">
              <w:rPr>
                <w:rFonts w:cs="Arial"/>
                <w:szCs w:val="22"/>
              </w:rPr>
              <w:t xml:space="preserve"> MARCH 2023</w:t>
            </w:r>
          </w:p>
        </w:tc>
      </w:tr>
    </w:tbl>
    <w:p w14:paraId="1BD8F4EB" w14:textId="24205645" w:rsidR="00A402F6" w:rsidRPr="00C74E97" w:rsidRDefault="00A402F6" w:rsidP="00A402F6">
      <w:pPr>
        <w:tabs>
          <w:tab w:val="right" w:pos="8647"/>
        </w:tabs>
        <w:spacing w:line="360" w:lineRule="auto"/>
        <w:contextualSpacing/>
        <w:jc w:val="both"/>
        <w:rPr>
          <w:rFonts w:cs="Arial"/>
          <w:szCs w:val="22"/>
        </w:rPr>
      </w:pPr>
      <w:r w:rsidRPr="00C74E97">
        <w:rPr>
          <w:rFonts w:cs="Arial"/>
          <w:szCs w:val="22"/>
        </w:rPr>
        <w:tab/>
      </w:r>
    </w:p>
    <w:sectPr w:rsidR="00A402F6" w:rsidRPr="00C74E97" w:rsidSect="009869F2">
      <w:headerReference w:type="default" r:id="rId11"/>
      <w:pgSz w:w="11906" w:h="16838"/>
      <w:pgMar w:top="1440" w:right="1558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CF102" w14:textId="77777777" w:rsidR="007E4DF6" w:rsidRDefault="007E4DF6">
      <w:r>
        <w:separator/>
      </w:r>
    </w:p>
  </w:endnote>
  <w:endnote w:type="continuationSeparator" w:id="0">
    <w:p w14:paraId="2631F8DB" w14:textId="77777777" w:rsidR="007E4DF6" w:rsidRDefault="007E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E1F9" w14:textId="77777777" w:rsidR="007E4DF6" w:rsidRDefault="007E4DF6">
      <w:r>
        <w:separator/>
      </w:r>
    </w:p>
  </w:footnote>
  <w:footnote w:type="continuationSeparator" w:id="0">
    <w:p w14:paraId="54BB12B8" w14:textId="77777777" w:rsidR="007E4DF6" w:rsidRDefault="007E4DF6">
      <w:r>
        <w:continuationSeparator/>
      </w:r>
    </w:p>
  </w:footnote>
  <w:footnote w:id="1">
    <w:p w14:paraId="2C620817" w14:textId="72E21374" w:rsidR="00794DAA" w:rsidRDefault="00794D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CaseLines 001-1.</w:t>
      </w:r>
    </w:p>
  </w:footnote>
  <w:footnote w:id="2">
    <w:p w14:paraId="1368A897" w14:textId="148A1EA1" w:rsidR="00781433" w:rsidRDefault="007814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CaseLines 001-22.</w:t>
      </w:r>
    </w:p>
  </w:footnote>
  <w:footnote w:id="3">
    <w:p w14:paraId="15E12F54" w14:textId="56953317" w:rsidR="00781433" w:rsidRDefault="007814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CaseLines 001-35.</w:t>
      </w:r>
    </w:p>
  </w:footnote>
  <w:footnote w:id="4">
    <w:p w14:paraId="506AEC47" w14:textId="76B67D72" w:rsidR="00AC17C2" w:rsidRDefault="00AC17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CaseLines 001-37.</w:t>
      </w:r>
    </w:p>
  </w:footnote>
  <w:footnote w:id="5">
    <w:p w14:paraId="7DAFB6EF" w14:textId="6606BB2A" w:rsidR="00F82B7C" w:rsidRDefault="00F82B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CaseLines 001-39.</w:t>
      </w:r>
    </w:p>
  </w:footnote>
  <w:footnote w:id="6">
    <w:p w14:paraId="12E438C9" w14:textId="5E1DEF5B" w:rsidR="00ED0534" w:rsidRDefault="00ED05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CaseLines 001-13.</w:t>
      </w:r>
    </w:p>
  </w:footnote>
  <w:footnote w:id="7">
    <w:p w14:paraId="0E86BF19" w14:textId="78D7F2AC" w:rsidR="003D2ED6" w:rsidRDefault="003D2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CaseLines 001-44.</w:t>
      </w:r>
    </w:p>
  </w:footnote>
  <w:footnote w:id="8">
    <w:p w14:paraId="62711F70" w14:textId="7765EA3C" w:rsidR="00841B92" w:rsidRDefault="00841B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CaseLines 003-88.</w:t>
      </w:r>
    </w:p>
  </w:footnote>
  <w:footnote w:id="9">
    <w:p w14:paraId="18846E58" w14:textId="7D20FD7E" w:rsidR="003D2ED6" w:rsidRDefault="003D2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CaseLines 001-47.</w:t>
      </w:r>
    </w:p>
  </w:footnote>
  <w:footnote w:id="10">
    <w:p w14:paraId="1B2319FB" w14:textId="5ABCCBE6" w:rsidR="003D2ED6" w:rsidRDefault="003D2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CaseLines 001-49.</w:t>
      </w:r>
    </w:p>
  </w:footnote>
  <w:footnote w:id="11">
    <w:p w14:paraId="3C8FD665" w14:textId="77777777" w:rsidR="00A45E24" w:rsidRDefault="00A45E24" w:rsidP="00A45E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 w:rsidRPr="007B364F">
        <w:rPr>
          <w:i/>
          <w:iCs/>
          <w:color w:val="000000" w:themeColor="text1"/>
        </w:rPr>
        <w:t>Room Hire Co (Pty) Ltd v Jeppe Street Mansions (Pty) Ltd</w:t>
      </w:r>
      <w:r w:rsidRPr="00F2694E">
        <w:rPr>
          <w:color w:val="000000" w:themeColor="text1"/>
        </w:rPr>
        <w:t> </w:t>
      </w:r>
      <w:hyperlink r:id="rId1" w:anchor="y1949v3SApg1155" w:history="1">
        <w:r w:rsidRPr="00F2694E">
          <w:rPr>
            <w:rStyle w:val="Hyperlink"/>
            <w:color w:val="000000" w:themeColor="text1"/>
            <w:u w:val="none"/>
          </w:rPr>
          <w:t>1949 (3) SA 1155 (T)</w:t>
        </w:r>
      </w:hyperlink>
      <w:r w:rsidRPr="00F2694E">
        <w:rPr>
          <w:color w:val="000000" w:themeColor="text1"/>
        </w:rPr>
        <w:t>  1162 to 1168;  </w:t>
      </w:r>
      <w:r w:rsidRPr="007B364F">
        <w:rPr>
          <w:i/>
          <w:iCs/>
          <w:color w:val="000000" w:themeColor="text1"/>
        </w:rPr>
        <w:t>Gounder v Top Spec Investments (Pty) Ltd</w:t>
      </w:r>
      <w:r w:rsidRPr="00F2694E">
        <w:rPr>
          <w:color w:val="000000" w:themeColor="text1"/>
        </w:rPr>
        <w:t> </w:t>
      </w:r>
      <w:hyperlink r:id="rId2" w:anchor="y2008v5SApg151" w:history="1">
        <w:r w:rsidRPr="00F2694E">
          <w:rPr>
            <w:rStyle w:val="Hyperlink"/>
            <w:color w:val="000000" w:themeColor="text1"/>
            <w:u w:val="none"/>
          </w:rPr>
          <w:t>2008 (5) SA 151 (SCA)</w:t>
        </w:r>
      </w:hyperlink>
      <w:r w:rsidRPr="00F2694E">
        <w:rPr>
          <w:color w:val="000000" w:themeColor="text1"/>
        </w:rPr>
        <w:t>  154B–C</w:t>
      </w:r>
      <w:r>
        <w:rPr>
          <w:color w:val="000000" w:themeColor="text1"/>
        </w:rPr>
        <w:t>.</w:t>
      </w:r>
    </w:p>
  </w:footnote>
  <w:footnote w:id="12">
    <w:p w14:paraId="2312E2DE" w14:textId="77777777" w:rsidR="00E0794A" w:rsidRDefault="00E0794A" w:rsidP="00E079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also </w:t>
      </w:r>
      <w:r w:rsidRPr="00FD3D6E">
        <w:rPr>
          <w:rFonts w:cs="Arial"/>
          <w:i/>
          <w:iCs/>
        </w:rPr>
        <w:t>Mamadi and Another v Premier of Limpopo Province and Others</w:t>
      </w:r>
      <w:r w:rsidRPr="00FD3D6E">
        <w:rPr>
          <w:rFonts w:cs="Arial"/>
        </w:rPr>
        <w:t xml:space="preserve"> [2022] ZACC 26</w:t>
      </w:r>
      <w:r>
        <w:rPr>
          <w:rFonts w:cs="Arial"/>
        </w:rPr>
        <w:t xml:space="preserve"> par. 22 and </w:t>
      </w:r>
      <w:r w:rsidRPr="0048427B">
        <w:rPr>
          <w:i/>
        </w:rPr>
        <w:t>Lombaard v Droprop</w:t>
      </w:r>
      <w:r>
        <w:t xml:space="preserve"> </w:t>
      </w:r>
      <w:r w:rsidRPr="00AA4B1C">
        <w:rPr>
          <w:i/>
        </w:rPr>
        <w:t>CC</w:t>
      </w:r>
      <w:r>
        <w:t xml:space="preserve"> [2010] ZASCA 86; </w:t>
      </w:r>
      <w:r w:rsidRPr="0061341D">
        <w:t>2010 (5) SA 1 (SCA)</w:t>
      </w:r>
      <w:r>
        <w:t xml:space="preserve"> par. 26, last sentence</w:t>
      </w:r>
      <w:r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8A9B" w14:textId="7424B6BD" w:rsidR="00D645C6" w:rsidRPr="006C43D7" w:rsidRDefault="00D645C6" w:rsidP="004B21D9">
    <w:pPr>
      <w:tabs>
        <w:tab w:val="center" w:pos="4153"/>
        <w:tab w:val="right" w:pos="8306"/>
      </w:tabs>
      <w:spacing w:line="276" w:lineRule="auto"/>
      <w:rPr>
        <w:rFonts w:cs="Arial"/>
        <w:sz w:val="20"/>
        <w:szCs w:val="20"/>
        <w:lang w:val="en-GB"/>
      </w:rPr>
    </w:pPr>
    <w:r w:rsidRPr="006C43D7">
      <w:rPr>
        <w:rFonts w:cs="Arial"/>
        <w:sz w:val="20"/>
        <w:szCs w:val="20"/>
        <w:lang w:val="en-GB"/>
      </w:rPr>
      <w:fldChar w:fldCharType="begin"/>
    </w:r>
    <w:r w:rsidRPr="006C43D7">
      <w:rPr>
        <w:rFonts w:cs="Arial"/>
        <w:sz w:val="20"/>
        <w:szCs w:val="20"/>
        <w:lang w:val="en-GB"/>
      </w:rPr>
      <w:instrText xml:space="preserve"> PAGE </w:instrText>
    </w:r>
    <w:r w:rsidRPr="006C43D7">
      <w:rPr>
        <w:rFonts w:cs="Arial"/>
        <w:sz w:val="20"/>
        <w:szCs w:val="20"/>
        <w:lang w:val="en-GB"/>
      </w:rPr>
      <w:fldChar w:fldCharType="separate"/>
    </w:r>
    <w:r w:rsidR="00616F67">
      <w:rPr>
        <w:rFonts w:cs="Arial"/>
        <w:noProof/>
        <w:sz w:val="20"/>
        <w:szCs w:val="20"/>
        <w:lang w:val="en-GB"/>
      </w:rPr>
      <w:t>7</w:t>
    </w:r>
    <w:r w:rsidRPr="006C43D7">
      <w:rPr>
        <w:rFonts w:cs="Arial"/>
        <w:sz w:val="20"/>
        <w:szCs w:val="20"/>
        <w:lang w:val="en-GB"/>
      </w:rPr>
      <w:fldChar w:fldCharType="end"/>
    </w:r>
  </w:p>
  <w:p w14:paraId="08C008E5" w14:textId="77777777" w:rsidR="00D645C6" w:rsidRPr="006C43D7" w:rsidRDefault="00D645C6" w:rsidP="006C43D7">
    <w:pPr>
      <w:tabs>
        <w:tab w:val="center" w:pos="4153"/>
        <w:tab w:val="right" w:pos="8306"/>
      </w:tabs>
      <w:spacing w:line="276" w:lineRule="auto"/>
      <w:jc w:val="right"/>
      <w:rPr>
        <w:rFonts w:cs="Arial"/>
        <w:lang w:val="en-US"/>
      </w:rPr>
    </w:pPr>
  </w:p>
  <w:p w14:paraId="4A21EF97" w14:textId="77777777" w:rsidR="00D645C6" w:rsidRPr="006C43D7" w:rsidRDefault="00D645C6" w:rsidP="006C4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49B"/>
    <w:multiLevelType w:val="multilevel"/>
    <w:tmpl w:val="BB262BC0"/>
    <w:lvl w:ilvl="0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95632B"/>
    <w:multiLevelType w:val="multilevel"/>
    <w:tmpl w:val="18D4C7FC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8DD7D02"/>
    <w:multiLevelType w:val="multilevel"/>
    <w:tmpl w:val="DF0C55CC"/>
    <w:lvl w:ilvl="0">
      <w:start w:val="1"/>
      <w:numFmt w:val="decimal"/>
      <w:pStyle w:val="AFUaffidavitnumber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2FFC1874"/>
    <w:multiLevelType w:val="multilevel"/>
    <w:tmpl w:val="1228ED04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1CA61CD"/>
    <w:multiLevelType w:val="multilevel"/>
    <w:tmpl w:val="3058E7CA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84B5003"/>
    <w:multiLevelType w:val="multilevel"/>
    <w:tmpl w:val="BA7E077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" w15:restartNumberingAfterBreak="0">
    <w:nsid w:val="3F8F0C59"/>
    <w:multiLevelType w:val="hybridMultilevel"/>
    <w:tmpl w:val="FCCCA750"/>
    <w:lvl w:ilvl="0" w:tplc="F6887E70">
      <w:start w:val="1"/>
      <w:numFmt w:val="decimal"/>
      <w:lvlText w:val="%1."/>
      <w:lvlJc w:val="left"/>
      <w:pPr>
        <w:ind w:left="1650" w:hanging="564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6" w:hanging="360"/>
      </w:pPr>
    </w:lvl>
    <w:lvl w:ilvl="2" w:tplc="1C09001B" w:tentative="1">
      <w:start w:val="1"/>
      <w:numFmt w:val="lowerRoman"/>
      <w:lvlText w:val="%3."/>
      <w:lvlJc w:val="right"/>
      <w:pPr>
        <w:ind w:left="2886" w:hanging="180"/>
      </w:pPr>
    </w:lvl>
    <w:lvl w:ilvl="3" w:tplc="1C09000F" w:tentative="1">
      <w:start w:val="1"/>
      <w:numFmt w:val="decimal"/>
      <w:lvlText w:val="%4."/>
      <w:lvlJc w:val="left"/>
      <w:pPr>
        <w:ind w:left="3606" w:hanging="360"/>
      </w:pPr>
    </w:lvl>
    <w:lvl w:ilvl="4" w:tplc="1C090019" w:tentative="1">
      <w:start w:val="1"/>
      <w:numFmt w:val="lowerLetter"/>
      <w:lvlText w:val="%5."/>
      <w:lvlJc w:val="left"/>
      <w:pPr>
        <w:ind w:left="4326" w:hanging="360"/>
      </w:pPr>
    </w:lvl>
    <w:lvl w:ilvl="5" w:tplc="1C09001B" w:tentative="1">
      <w:start w:val="1"/>
      <w:numFmt w:val="lowerRoman"/>
      <w:lvlText w:val="%6."/>
      <w:lvlJc w:val="right"/>
      <w:pPr>
        <w:ind w:left="5046" w:hanging="180"/>
      </w:pPr>
    </w:lvl>
    <w:lvl w:ilvl="6" w:tplc="1C09000F" w:tentative="1">
      <w:start w:val="1"/>
      <w:numFmt w:val="decimal"/>
      <w:lvlText w:val="%7."/>
      <w:lvlJc w:val="left"/>
      <w:pPr>
        <w:ind w:left="5766" w:hanging="360"/>
      </w:pPr>
    </w:lvl>
    <w:lvl w:ilvl="7" w:tplc="1C090019" w:tentative="1">
      <w:start w:val="1"/>
      <w:numFmt w:val="lowerLetter"/>
      <w:lvlText w:val="%8."/>
      <w:lvlJc w:val="left"/>
      <w:pPr>
        <w:ind w:left="6486" w:hanging="360"/>
      </w:pPr>
    </w:lvl>
    <w:lvl w:ilvl="8" w:tplc="1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462F3097"/>
    <w:multiLevelType w:val="multilevel"/>
    <w:tmpl w:val="B54A59F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9950EA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4C2701"/>
    <w:multiLevelType w:val="multilevel"/>
    <w:tmpl w:val="B54A59F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8"/>
        </w:tabs>
        <w:ind w:left="243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00780E"/>
    <w:multiLevelType w:val="multilevel"/>
    <w:tmpl w:val="3058E7CA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77EE27A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3"/>
    <w:lvlOverride w:ilvl="0">
      <w:lvl w:ilvl="0">
        <w:start w:val="1"/>
        <w:numFmt w:val="decimal"/>
        <w:pStyle w:val="AFUaffidavitnumbering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18"/>
          </w:tabs>
          <w:ind w:left="1418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268"/>
          </w:tabs>
          <w:ind w:left="2268" w:hanging="85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1"/>
          </w:tabs>
          <w:ind w:left="2409" w:hanging="56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103" w:hanging="56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F3"/>
    <w:rsid w:val="000004A3"/>
    <w:rsid w:val="00000AFE"/>
    <w:rsid w:val="00001138"/>
    <w:rsid w:val="000019D2"/>
    <w:rsid w:val="00006113"/>
    <w:rsid w:val="0001111B"/>
    <w:rsid w:val="0001140A"/>
    <w:rsid w:val="00011522"/>
    <w:rsid w:val="00013B7F"/>
    <w:rsid w:val="00013F00"/>
    <w:rsid w:val="00014E64"/>
    <w:rsid w:val="0001593E"/>
    <w:rsid w:val="00015D74"/>
    <w:rsid w:val="00022ACD"/>
    <w:rsid w:val="00024A29"/>
    <w:rsid w:val="000262B3"/>
    <w:rsid w:val="00030A89"/>
    <w:rsid w:val="000325E2"/>
    <w:rsid w:val="00036508"/>
    <w:rsid w:val="00047F26"/>
    <w:rsid w:val="00050086"/>
    <w:rsid w:val="000504F1"/>
    <w:rsid w:val="00051A2B"/>
    <w:rsid w:val="00063F7B"/>
    <w:rsid w:val="00066971"/>
    <w:rsid w:val="000737E1"/>
    <w:rsid w:val="00073E30"/>
    <w:rsid w:val="00081716"/>
    <w:rsid w:val="00082EDC"/>
    <w:rsid w:val="000833BB"/>
    <w:rsid w:val="00087AE6"/>
    <w:rsid w:val="00092591"/>
    <w:rsid w:val="0009429D"/>
    <w:rsid w:val="0009488C"/>
    <w:rsid w:val="0009540B"/>
    <w:rsid w:val="00097968"/>
    <w:rsid w:val="000A452C"/>
    <w:rsid w:val="000A6AD8"/>
    <w:rsid w:val="000B21DA"/>
    <w:rsid w:val="000D415C"/>
    <w:rsid w:val="000D5760"/>
    <w:rsid w:val="000D71C5"/>
    <w:rsid w:val="000D7D6A"/>
    <w:rsid w:val="000E1EC8"/>
    <w:rsid w:val="000E2D7F"/>
    <w:rsid w:val="000E3EE8"/>
    <w:rsid w:val="000E5343"/>
    <w:rsid w:val="000F59F8"/>
    <w:rsid w:val="001025B5"/>
    <w:rsid w:val="00104142"/>
    <w:rsid w:val="00105F97"/>
    <w:rsid w:val="00106F51"/>
    <w:rsid w:val="001142D1"/>
    <w:rsid w:val="00120C79"/>
    <w:rsid w:val="00120FB1"/>
    <w:rsid w:val="00130253"/>
    <w:rsid w:val="00133E81"/>
    <w:rsid w:val="00140CED"/>
    <w:rsid w:val="00147FF5"/>
    <w:rsid w:val="00151DA9"/>
    <w:rsid w:val="00152899"/>
    <w:rsid w:val="00154961"/>
    <w:rsid w:val="00155A21"/>
    <w:rsid w:val="00161057"/>
    <w:rsid w:val="001671C1"/>
    <w:rsid w:val="00171182"/>
    <w:rsid w:val="0017124B"/>
    <w:rsid w:val="00171D7F"/>
    <w:rsid w:val="00172DDF"/>
    <w:rsid w:val="00180CB6"/>
    <w:rsid w:val="00183033"/>
    <w:rsid w:val="001838CC"/>
    <w:rsid w:val="00183EB6"/>
    <w:rsid w:val="00185ACF"/>
    <w:rsid w:val="00190579"/>
    <w:rsid w:val="001916C4"/>
    <w:rsid w:val="00192F78"/>
    <w:rsid w:val="00195810"/>
    <w:rsid w:val="00196E14"/>
    <w:rsid w:val="001A5145"/>
    <w:rsid w:val="001A522A"/>
    <w:rsid w:val="001A7904"/>
    <w:rsid w:val="001A7FA3"/>
    <w:rsid w:val="001B1D39"/>
    <w:rsid w:val="001B4217"/>
    <w:rsid w:val="001B4893"/>
    <w:rsid w:val="001B5D3E"/>
    <w:rsid w:val="001B606B"/>
    <w:rsid w:val="001C0755"/>
    <w:rsid w:val="001C2371"/>
    <w:rsid w:val="001C33E6"/>
    <w:rsid w:val="001C43BD"/>
    <w:rsid w:val="001C7048"/>
    <w:rsid w:val="001D3CC2"/>
    <w:rsid w:val="001D47F0"/>
    <w:rsid w:val="001E2EED"/>
    <w:rsid w:val="001E4691"/>
    <w:rsid w:val="001E518E"/>
    <w:rsid w:val="001F0A29"/>
    <w:rsid w:val="001F3DBD"/>
    <w:rsid w:val="001F648A"/>
    <w:rsid w:val="00201620"/>
    <w:rsid w:val="0020474A"/>
    <w:rsid w:val="00205392"/>
    <w:rsid w:val="00206919"/>
    <w:rsid w:val="002104BF"/>
    <w:rsid w:val="002108B6"/>
    <w:rsid w:val="00215824"/>
    <w:rsid w:val="00216BC8"/>
    <w:rsid w:val="002175BA"/>
    <w:rsid w:val="0022218D"/>
    <w:rsid w:val="00226926"/>
    <w:rsid w:val="00232528"/>
    <w:rsid w:val="00235D20"/>
    <w:rsid w:val="00237FF9"/>
    <w:rsid w:val="0024012B"/>
    <w:rsid w:val="00250164"/>
    <w:rsid w:val="00251668"/>
    <w:rsid w:val="00253F38"/>
    <w:rsid w:val="00253F72"/>
    <w:rsid w:val="00256F47"/>
    <w:rsid w:val="002625C5"/>
    <w:rsid w:val="00262819"/>
    <w:rsid w:val="00285040"/>
    <w:rsid w:val="00285062"/>
    <w:rsid w:val="002864BD"/>
    <w:rsid w:val="0029369B"/>
    <w:rsid w:val="002976B8"/>
    <w:rsid w:val="002A030C"/>
    <w:rsid w:val="002A4B7B"/>
    <w:rsid w:val="002C15AC"/>
    <w:rsid w:val="002C2E80"/>
    <w:rsid w:val="002C4687"/>
    <w:rsid w:val="002C623E"/>
    <w:rsid w:val="002D2842"/>
    <w:rsid w:val="002D47B3"/>
    <w:rsid w:val="002E5B57"/>
    <w:rsid w:val="002E6AD5"/>
    <w:rsid w:val="002E6CD7"/>
    <w:rsid w:val="002F1C4D"/>
    <w:rsid w:val="002F2881"/>
    <w:rsid w:val="002F508A"/>
    <w:rsid w:val="002F72D3"/>
    <w:rsid w:val="00302290"/>
    <w:rsid w:val="00302C31"/>
    <w:rsid w:val="00303919"/>
    <w:rsid w:val="003047C2"/>
    <w:rsid w:val="0030653F"/>
    <w:rsid w:val="003102C8"/>
    <w:rsid w:val="0031117B"/>
    <w:rsid w:val="00312EBC"/>
    <w:rsid w:val="00313056"/>
    <w:rsid w:val="003312BF"/>
    <w:rsid w:val="003313A2"/>
    <w:rsid w:val="00337135"/>
    <w:rsid w:val="0034147B"/>
    <w:rsid w:val="00342E02"/>
    <w:rsid w:val="003463D6"/>
    <w:rsid w:val="00346D31"/>
    <w:rsid w:val="00346DE6"/>
    <w:rsid w:val="00347E19"/>
    <w:rsid w:val="0035170A"/>
    <w:rsid w:val="003541F6"/>
    <w:rsid w:val="003543C5"/>
    <w:rsid w:val="00354EF2"/>
    <w:rsid w:val="00357081"/>
    <w:rsid w:val="00357D35"/>
    <w:rsid w:val="00363FCD"/>
    <w:rsid w:val="00364C43"/>
    <w:rsid w:val="00364E6A"/>
    <w:rsid w:val="00364E80"/>
    <w:rsid w:val="003676CF"/>
    <w:rsid w:val="00367720"/>
    <w:rsid w:val="00367778"/>
    <w:rsid w:val="0037029D"/>
    <w:rsid w:val="00372A48"/>
    <w:rsid w:val="00373181"/>
    <w:rsid w:val="003740B4"/>
    <w:rsid w:val="00377123"/>
    <w:rsid w:val="00381213"/>
    <w:rsid w:val="00381FDB"/>
    <w:rsid w:val="003832F7"/>
    <w:rsid w:val="003840EC"/>
    <w:rsid w:val="00390C3F"/>
    <w:rsid w:val="00393127"/>
    <w:rsid w:val="00395873"/>
    <w:rsid w:val="0039699C"/>
    <w:rsid w:val="003A6325"/>
    <w:rsid w:val="003A7864"/>
    <w:rsid w:val="003B4100"/>
    <w:rsid w:val="003C0520"/>
    <w:rsid w:val="003C1488"/>
    <w:rsid w:val="003C1A16"/>
    <w:rsid w:val="003C1E91"/>
    <w:rsid w:val="003C7FCC"/>
    <w:rsid w:val="003D19C3"/>
    <w:rsid w:val="003D2ED6"/>
    <w:rsid w:val="003D36F9"/>
    <w:rsid w:val="003D77F1"/>
    <w:rsid w:val="003E2560"/>
    <w:rsid w:val="003E449A"/>
    <w:rsid w:val="003E4A33"/>
    <w:rsid w:val="003E724B"/>
    <w:rsid w:val="003E7A60"/>
    <w:rsid w:val="003F1F49"/>
    <w:rsid w:val="003F4801"/>
    <w:rsid w:val="003F7448"/>
    <w:rsid w:val="003F78AE"/>
    <w:rsid w:val="00407F28"/>
    <w:rsid w:val="0041100A"/>
    <w:rsid w:val="00412C6B"/>
    <w:rsid w:val="004131C5"/>
    <w:rsid w:val="00413D9B"/>
    <w:rsid w:val="0042423E"/>
    <w:rsid w:val="00424BA6"/>
    <w:rsid w:val="004339E6"/>
    <w:rsid w:val="0043683A"/>
    <w:rsid w:val="00437EB1"/>
    <w:rsid w:val="00441422"/>
    <w:rsid w:val="00443D12"/>
    <w:rsid w:val="00444ED6"/>
    <w:rsid w:val="00445DCB"/>
    <w:rsid w:val="0045044C"/>
    <w:rsid w:val="00460495"/>
    <w:rsid w:val="00460EEA"/>
    <w:rsid w:val="004630B6"/>
    <w:rsid w:val="00463106"/>
    <w:rsid w:val="00474607"/>
    <w:rsid w:val="00474910"/>
    <w:rsid w:val="004749AF"/>
    <w:rsid w:val="00475410"/>
    <w:rsid w:val="004774FF"/>
    <w:rsid w:val="00483703"/>
    <w:rsid w:val="00484116"/>
    <w:rsid w:val="0048424E"/>
    <w:rsid w:val="00486F42"/>
    <w:rsid w:val="00487D14"/>
    <w:rsid w:val="00495F7C"/>
    <w:rsid w:val="004A1E3F"/>
    <w:rsid w:val="004A2C7E"/>
    <w:rsid w:val="004A6625"/>
    <w:rsid w:val="004A69D6"/>
    <w:rsid w:val="004A7DFE"/>
    <w:rsid w:val="004B0DBA"/>
    <w:rsid w:val="004B21D9"/>
    <w:rsid w:val="004C0CE3"/>
    <w:rsid w:val="004C368B"/>
    <w:rsid w:val="004D1A31"/>
    <w:rsid w:val="004D262A"/>
    <w:rsid w:val="004D2C6F"/>
    <w:rsid w:val="004D2E01"/>
    <w:rsid w:val="004D3237"/>
    <w:rsid w:val="004D5D53"/>
    <w:rsid w:val="004E0F3F"/>
    <w:rsid w:val="004E3305"/>
    <w:rsid w:val="004E568C"/>
    <w:rsid w:val="004E5AD8"/>
    <w:rsid w:val="004F0806"/>
    <w:rsid w:val="004F0933"/>
    <w:rsid w:val="004F12D8"/>
    <w:rsid w:val="004F22A6"/>
    <w:rsid w:val="004F4A37"/>
    <w:rsid w:val="00504B53"/>
    <w:rsid w:val="0050658B"/>
    <w:rsid w:val="0051015D"/>
    <w:rsid w:val="0051292D"/>
    <w:rsid w:val="0051442D"/>
    <w:rsid w:val="0051622D"/>
    <w:rsid w:val="005219EB"/>
    <w:rsid w:val="005262C2"/>
    <w:rsid w:val="0052705A"/>
    <w:rsid w:val="005376D6"/>
    <w:rsid w:val="00537A72"/>
    <w:rsid w:val="005405F8"/>
    <w:rsid w:val="00546878"/>
    <w:rsid w:val="005509BE"/>
    <w:rsid w:val="00560E18"/>
    <w:rsid w:val="005621E7"/>
    <w:rsid w:val="00571E81"/>
    <w:rsid w:val="00573FF9"/>
    <w:rsid w:val="00576B16"/>
    <w:rsid w:val="005949BC"/>
    <w:rsid w:val="005A2227"/>
    <w:rsid w:val="005A2D29"/>
    <w:rsid w:val="005A313A"/>
    <w:rsid w:val="005A35EB"/>
    <w:rsid w:val="005A680F"/>
    <w:rsid w:val="005A70F0"/>
    <w:rsid w:val="005B07CB"/>
    <w:rsid w:val="005B2FF9"/>
    <w:rsid w:val="005B696E"/>
    <w:rsid w:val="005B6D81"/>
    <w:rsid w:val="005B7767"/>
    <w:rsid w:val="005B7DD3"/>
    <w:rsid w:val="005C7FC2"/>
    <w:rsid w:val="005D1F92"/>
    <w:rsid w:val="005D2408"/>
    <w:rsid w:val="005D6122"/>
    <w:rsid w:val="005D6E80"/>
    <w:rsid w:val="005E0B20"/>
    <w:rsid w:val="005E2936"/>
    <w:rsid w:val="005E2F7B"/>
    <w:rsid w:val="005E3C94"/>
    <w:rsid w:val="005E5C01"/>
    <w:rsid w:val="005E7118"/>
    <w:rsid w:val="005E7E9F"/>
    <w:rsid w:val="005F1CDA"/>
    <w:rsid w:val="005F37A4"/>
    <w:rsid w:val="00602403"/>
    <w:rsid w:val="006025C0"/>
    <w:rsid w:val="00604168"/>
    <w:rsid w:val="006041A4"/>
    <w:rsid w:val="00606AC4"/>
    <w:rsid w:val="006109EC"/>
    <w:rsid w:val="00610F53"/>
    <w:rsid w:val="00611D8A"/>
    <w:rsid w:val="0061430D"/>
    <w:rsid w:val="006150CE"/>
    <w:rsid w:val="006165F4"/>
    <w:rsid w:val="00616F67"/>
    <w:rsid w:val="00617232"/>
    <w:rsid w:val="006244C7"/>
    <w:rsid w:val="006245EC"/>
    <w:rsid w:val="006309D5"/>
    <w:rsid w:val="00632945"/>
    <w:rsid w:val="00642664"/>
    <w:rsid w:val="00644BBE"/>
    <w:rsid w:val="006466DA"/>
    <w:rsid w:val="00646711"/>
    <w:rsid w:val="006479F9"/>
    <w:rsid w:val="00647DDD"/>
    <w:rsid w:val="006509E3"/>
    <w:rsid w:val="00650B40"/>
    <w:rsid w:val="00652A89"/>
    <w:rsid w:val="00653BA4"/>
    <w:rsid w:val="006540DE"/>
    <w:rsid w:val="00657478"/>
    <w:rsid w:val="00657E35"/>
    <w:rsid w:val="00657EDA"/>
    <w:rsid w:val="006609A2"/>
    <w:rsid w:val="00660C84"/>
    <w:rsid w:val="0066132D"/>
    <w:rsid w:val="0066194B"/>
    <w:rsid w:val="00661FC4"/>
    <w:rsid w:val="00666D4D"/>
    <w:rsid w:val="00672205"/>
    <w:rsid w:val="0067508C"/>
    <w:rsid w:val="00677059"/>
    <w:rsid w:val="00680072"/>
    <w:rsid w:val="006858DA"/>
    <w:rsid w:val="006902F1"/>
    <w:rsid w:val="006918E9"/>
    <w:rsid w:val="006951CE"/>
    <w:rsid w:val="00695B2C"/>
    <w:rsid w:val="006A1F2C"/>
    <w:rsid w:val="006A3B6B"/>
    <w:rsid w:val="006A438B"/>
    <w:rsid w:val="006A4F20"/>
    <w:rsid w:val="006B1E87"/>
    <w:rsid w:val="006B514A"/>
    <w:rsid w:val="006C2AB0"/>
    <w:rsid w:val="006C2B5F"/>
    <w:rsid w:val="006C31B7"/>
    <w:rsid w:val="006C4213"/>
    <w:rsid w:val="006C43D7"/>
    <w:rsid w:val="006C49F6"/>
    <w:rsid w:val="006C53ED"/>
    <w:rsid w:val="006C5694"/>
    <w:rsid w:val="006D11AD"/>
    <w:rsid w:val="006D29AA"/>
    <w:rsid w:val="006D4128"/>
    <w:rsid w:val="006D4C1B"/>
    <w:rsid w:val="006D5E57"/>
    <w:rsid w:val="006E2083"/>
    <w:rsid w:val="006E2725"/>
    <w:rsid w:val="006E3064"/>
    <w:rsid w:val="006E68E6"/>
    <w:rsid w:val="006F042A"/>
    <w:rsid w:val="006F0C74"/>
    <w:rsid w:val="006F1875"/>
    <w:rsid w:val="006F2187"/>
    <w:rsid w:val="006F25E5"/>
    <w:rsid w:val="006F2FCE"/>
    <w:rsid w:val="006F36B9"/>
    <w:rsid w:val="006F415C"/>
    <w:rsid w:val="006F4C41"/>
    <w:rsid w:val="0070560F"/>
    <w:rsid w:val="007112CA"/>
    <w:rsid w:val="007202BD"/>
    <w:rsid w:val="007205BF"/>
    <w:rsid w:val="007237D1"/>
    <w:rsid w:val="007241D4"/>
    <w:rsid w:val="00724D82"/>
    <w:rsid w:val="00730BF2"/>
    <w:rsid w:val="00732A6F"/>
    <w:rsid w:val="0074214D"/>
    <w:rsid w:val="00742764"/>
    <w:rsid w:val="00745456"/>
    <w:rsid w:val="00751452"/>
    <w:rsid w:val="0075156A"/>
    <w:rsid w:val="00751F90"/>
    <w:rsid w:val="007619C5"/>
    <w:rsid w:val="00761C35"/>
    <w:rsid w:val="00762178"/>
    <w:rsid w:val="00766026"/>
    <w:rsid w:val="00767080"/>
    <w:rsid w:val="00772025"/>
    <w:rsid w:val="00781433"/>
    <w:rsid w:val="00781AA0"/>
    <w:rsid w:val="00781CF7"/>
    <w:rsid w:val="00781D24"/>
    <w:rsid w:val="00782DE8"/>
    <w:rsid w:val="00786370"/>
    <w:rsid w:val="00792E10"/>
    <w:rsid w:val="00794DAA"/>
    <w:rsid w:val="007A1D60"/>
    <w:rsid w:val="007B165A"/>
    <w:rsid w:val="007B2DAD"/>
    <w:rsid w:val="007B364F"/>
    <w:rsid w:val="007B7246"/>
    <w:rsid w:val="007B78C2"/>
    <w:rsid w:val="007C23FF"/>
    <w:rsid w:val="007C416B"/>
    <w:rsid w:val="007C4CB7"/>
    <w:rsid w:val="007C5008"/>
    <w:rsid w:val="007C658B"/>
    <w:rsid w:val="007D1DED"/>
    <w:rsid w:val="007D1E79"/>
    <w:rsid w:val="007D27CF"/>
    <w:rsid w:val="007D4DAF"/>
    <w:rsid w:val="007E1175"/>
    <w:rsid w:val="007E220A"/>
    <w:rsid w:val="007E468A"/>
    <w:rsid w:val="007E4DF6"/>
    <w:rsid w:val="007E58FC"/>
    <w:rsid w:val="007F1517"/>
    <w:rsid w:val="007F207F"/>
    <w:rsid w:val="007F5B91"/>
    <w:rsid w:val="00803CEC"/>
    <w:rsid w:val="008076A4"/>
    <w:rsid w:val="00810CA3"/>
    <w:rsid w:val="008200A7"/>
    <w:rsid w:val="00822050"/>
    <w:rsid w:val="00830952"/>
    <w:rsid w:val="00830F84"/>
    <w:rsid w:val="008313C6"/>
    <w:rsid w:val="0083662D"/>
    <w:rsid w:val="00841B92"/>
    <w:rsid w:val="008443A9"/>
    <w:rsid w:val="008469B3"/>
    <w:rsid w:val="00860576"/>
    <w:rsid w:val="0086688C"/>
    <w:rsid w:val="008674AA"/>
    <w:rsid w:val="008675CC"/>
    <w:rsid w:val="0087320C"/>
    <w:rsid w:val="00873865"/>
    <w:rsid w:val="0087609B"/>
    <w:rsid w:val="0088094C"/>
    <w:rsid w:val="00881004"/>
    <w:rsid w:val="00881F16"/>
    <w:rsid w:val="00881F6C"/>
    <w:rsid w:val="00882C40"/>
    <w:rsid w:val="00885973"/>
    <w:rsid w:val="00892908"/>
    <w:rsid w:val="008942FC"/>
    <w:rsid w:val="0089562F"/>
    <w:rsid w:val="008A082A"/>
    <w:rsid w:val="008A4DF4"/>
    <w:rsid w:val="008B1DA9"/>
    <w:rsid w:val="008B44E5"/>
    <w:rsid w:val="008B6162"/>
    <w:rsid w:val="008C3EBC"/>
    <w:rsid w:val="008C56F6"/>
    <w:rsid w:val="008C57F6"/>
    <w:rsid w:val="008D33A3"/>
    <w:rsid w:val="008D4715"/>
    <w:rsid w:val="008D5B23"/>
    <w:rsid w:val="008D6F1D"/>
    <w:rsid w:val="008E2ACD"/>
    <w:rsid w:val="008E7F87"/>
    <w:rsid w:val="008F0CC7"/>
    <w:rsid w:val="008F11CF"/>
    <w:rsid w:val="008F189C"/>
    <w:rsid w:val="008F1FE1"/>
    <w:rsid w:val="008F32FF"/>
    <w:rsid w:val="008F4486"/>
    <w:rsid w:val="008F4FC6"/>
    <w:rsid w:val="008F72CD"/>
    <w:rsid w:val="00902179"/>
    <w:rsid w:val="00903877"/>
    <w:rsid w:val="0091544C"/>
    <w:rsid w:val="00921D03"/>
    <w:rsid w:val="00922A92"/>
    <w:rsid w:val="00922AF1"/>
    <w:rsid w:val="00925CD2"/>
    <w:rsid w:val="00933065"/>
    <w:rsid w:val="00933569"/>
    <w:rsid w:val="009344BF"/>
    <w:rsid w:val="009365B1"/>
    <w:rsid w:val="0093799C"/>
    <w:rsid w:val="009422A1"/>
    <w:rsid w:val="00944804"/>
    <w:rsid w:val="009449FB"/>
    <w:rsid w:val="0094634F"/>
    <w:rsid w:val="009473D8"/>
    <w:rsid w:val="00960ADF"/>
    <w:rsid w:val="00963A0C"/>
    <w:rsid w:val="00965C8E"/>
    <w:rsid w:val="009661B5"/>
    <w:rsid w:val="009735BA"/>
    <w:rsid w:val="00974A92"/>
    <w:rsid w:val="00975270"/>
    <w:rsid w:val="00975BA1"/>
    <w:rsid w:val="009809DD"/>
    <w:rsid w:val="009835E3"/>
    <w:rsid w:val="009837A6"/>
    <w:rsid w:val="009869F2"/>
    <w:rsid w:val="00987CDB"/>
    <w:rsid w:val="009977BC"/>
    <w:rsid w:val="009A2726"/>
    <w:rsid w:val="009A30E0"/>
    <w:rsid w:val="009A3619"/>
    <w:rsid w:val="009A66D0"/>
    <w:rsid w:val="009B08AF"/>
    <w:rsid w:val="009B240E"/>
    <w:rsid w:val="009B3DFC"/>
    <w:rsid w:val="009B793E"/>
    <w:rsid w:val="009C1EA6"/>
    <w:rsid w:val="009C37B9"/>
    <w:rsid w:val="009C38E7"/>
    <w:rsid w:val="009C58CC"/>
    <w:rsid w:val="009D32BD"/>
    <w:rsid w:val="009D33F1"/>
    <w:rsid w:val="009D35B5"/>
    <w:rsid w:val="009D4486"/>
    <w:rsid w:val="009D7128"/>
    <w:rsid w:val="009F211E"/>
    <w:rsid w:val="009F2572"/>
    <w:rsid w:val="009F294E"/>
    <w:rsid w:val="009F30F1"/>
    <w:rsid w:val="009F37C7"/>
    <w:rsid w:val="009F50AB"/>
    <w:rsid w:val="00A005F6"/>
    <w:rsid w:val="00A0424F"/>
    <w:rsid w:val="00A103FF"/>
    <w:rsid w:val="00A121B5"/>
    <w:rsid w:val="00A16C6E"/>
    <w:rsid w:val="00A17DB2"/>
    <w:rsid w:val="00A22A14"/>
    <w:rsid w:val="00A23A49"/>
    <w:rsid w:val="00A26214"/>
    <w:rsid w:val="00A26566"/>
    <w:rsid w:val="00A27A51"/>
    <w:rsid w:val="00A3310D"/>
    <w:rsid w:val="00A37BA4"/>
    <w:rsid w:val="00A402F6"/>
    <w:rsid w:val="00A42167"/>
    <w:rsid w:val="00A43739"/>
    <w:rsid w:val="00A45E24"/>
    <w:rsid w:val="00A47815"/>
    <w:rsid w:val="00A47A18"/>
    <w:rsid w:val="00A539CB"/>
    <w:rsid w:val="00A614BA"/>
    <w:rsid w:val="00A63709"/>
    <w:rsid w:val="00A649E6"/>
    <w:rsid w:val="00A660AF"/>
    <w:rsid w:val="00A70A95"/>
    <w:rsid w:val="00A70BDA"/>
    <w:rsid w:val="00A740B6"/>
    <w:rsid w:val="00A7621E"/>
    <w:rsid w:val="00A817D5"/>
    <w:rsid w:val="00A93351"/>
    <w:rsid w:val="00A95538"/>
    <w:rsid w:val="00A97215"/>
    <w:rsid w:val="00AA0013"/>
    <w:rsid w:val="00AA26FF"/>
    <w:rsid w:val="00AA6E8C"/>
    <w:rsid w:val="00AA6F19"/>
    <w:rsid w:val="00AA75E6"/>
    <w:rsid w:val="00AA79A8"/>
    <w:rsid w:val="00AA7A76"/>
    <w:rsid w:val="00AA7C2E"/>
    <w:rsid w:val="00AB0286"/>
    <w:rsid w:val="00AB4C6D"/>
    <w:rsid w:val="00AB53F2"/>
    <w:rsid w:val="00AB55F7"/>
    <w:rsid w:val="00AC17C2"/>
    <w:rsid w:val="00AC2995"/>
    <w:rsid w:val="00AC4165"/>
    <w:rsid w:val="00AC556A"/>
    <w:rsid w:val="00AC76EA"/>
    <w:rsid w:val="00AC7FB7"/>
    <w:rsid w:val="00AD25B6"/>
    <w:rsid w:val="00AD2631"/>
    <w:rsid w:val="00AE1220"/>
    <w:rsid w:val="00AE287F"/>
    <w:rsid w:val="00AE39F3"/>
    <w:rsid w:val="00AE63BD"/>
    <w:rsid w:val="00AF0B2B"/>
    <w:rsid w:val="00AF2914"/>
    <w:rsid w:val="00AF363F"/>
    <w:rsid w:val="00AF3E4F"/>
    <w:rsid w:val="00AF71E5"/>
    <w:rsid w:val="00AF78DA"/>
    <w:rsid w:val="00B04203"/>
    <w:rsid w:val="00B071FF"/>
    <w:rsid w:val="00B11505"/>
    <w:rsid w:val="00B11DC2"/>
    <w:rsid w:val="00B15142"/>
    <w:rsid w:val="00B16F69"/>
    <w:rsid w:val="00B1789D"/>
    <w:rsid w:val="00B223FE"/>
    <w:rsid w:val="00B3208F"/>
    <w:rsid w:val="00B42807"/>
    <w:rsid w:val="00B428A6"/>
    <w:rsid w:val="00B43340"/>
    <w:rsid w:val="00B4461C"/>
    <w:rsid w:val="00B53913"/>
    <w:rsid w:val="00B554D4"/>
    <w:rsid w:val="00B55F3A"/>
    <w:rsid w:val="00B56906"/>
    <w:rsid w:val="00B71CB5"/>
    <w:rsid w:val="00B72922"/>
    <w:rsid w:val="00B72A13"/>
    <w:rsid w:val="00B72ADA"/>
    <w:rsid w:val="00B75819"/>
    <w:rsid w:val="00B819E4"/>
    <w:rsid w:val="00B82C95"/>
    <w:rsid w:val="00B84042"/>
    <w:rsid w:val="00B84DD5"/>
    <w:rsid w:val="00B924B4"/>
    <w:rsid w:val="00B9487E"/>
    <w:rsid w:val="00B95910"/>
    <w:rsid w:val="00BA29E7"/>
    <w:rsid w:val="00BA3A4C"/>
    <w:rsid w:val="00BB0F20"/>
    <w:rsid w:val="00BB4BAD"/>
    <w:rsid w:val="00BB50D7"/>
    <w:rsid w:val="00BB7F08"/>
    <w:rsid w:val="00BC0623"/>
    <w:rsid w:val="00BC35CD"/>
    <w:rsid w:val="00BC415B"/>
    <w:rsid w:val="00BD2C66"/>
    <w:rsid w:val="00BD2CDE"/>
    <w:rsid w:val="00BD41CF"/>
    <w:rsid w:val="00BE0164"/>
    <w:rsid w:val="00BE12BD"/>
    <w:rsid w:val="00BE2ED7"/>
    <w:rsid w:val="00BE3498"/>
    <w:rsid w:val="00BE6AB8"/>
    <w:rsid w:val="00BF040B"/>
    <w:rsid w:val="00BF086D"/>
    <w:rsid w:val="00BF0B4F"/>
    <w:rsid w:val="00BF2167"/>
    <w:rsid w:val="00BF43BC"/>
    <w:rsid w:val="00BF4DDA"/>
    <w:rsid w:val="00BF55C7"/>
    <w:rsid w:val="00BF7ED8"/>
    <w:rsid w:val="00C0222C"/>
    <w:rsid w:val="00C04139"/>
    <w:rsid w:val="00C0572E"/>
    <w:rsid w:val="00C07426"/>
    <w:rsid w:val="00C15C65"/>
    <w:rsid w:val="00C171E8"/>
    <w:rsid w:val="00C21B3D"/>
    <w:rsid w:val="00C24267"/>
    <w:rsid w:val="00C243E6"/>
    <w:rsid w:val="00C2788D"/>
    <w:rsid w:val="00C31D37"/>
    <w:rsid w:val="00C33398"/>
    <w:rsid w:val="00C361F6"/>
    <w:rsid w:val="00C3669A"/>
    <w:rsid w:val="00C371D5"/>
    <w:rsid w:val="00C423E3"/>
    <w:rsid w:val="00C44BAC"/>
    <w:rsid w:val="00C45626"/>
    <w:rsid w:val="00C458AF"/>
    <w:rsid w:val="00C460A0"/>
    <w:rsid w:val="00C4720D"/>
    <w:rsid w:val="00C50068"/>
    <w:rsid w:val="00C549F4"/>
    <w:rsid w:val="00C610F2"/>
    <w:rsid w:val="00C676F3"/>
    <w:rsid w:val="00C703B4"/>
    <w:rsid w:val="00C71AB8"/>
    <w:rsid w:val="00C73E8B"/>
    <w:rsid w:val="00C74E97"/>
    <w:rsid w:val="00C75909"/>
    <w:rsid w:val="00C76294"/>
    <w:rsid w:val="00C767D5"/>
    <w:rsid w:val="00C77EFD"/>
    <w:rsid w:val="00C809AF"/>
    <w:rsid w:val="00C81A10"/>
    <w:rsid w:val="00C829DF"/>
    <w:rsid w:val="00C82F5A"/>
    <w:rsid w:val="00C84021"/>
    <w:rsid w:val="00C86AEA"/>
    <w:rsid w:val="00C875AE"/>
    <w:rsid w:val="00C9310B"/>
    <w:rsid w:val="00C937FB"/>
    <w:rsid w:val="00CA3ABE"/>
    <w:rsid w:val="00CA5806"/>
    <w:rsid w:val="00CA696D"/>
    <w:rsid w:val="00CA6B5A"/>
    <w:rsid w:val="00CB1536"/>
    <w:rsid w:val="00CB3907"/>
    <w:rsid w:val="00CB3C56"/>
    <w:rsid w:val="00CB6167"/>
    <w:rsid w:val="00CC0C54"/>
    <w:rsid w:val="00CC1016"/>
    <w:rsid w:val="00CD1673"/>
    <w:rsid w:val="00CD1721"/>
    <w:rsid w:val="00CD4DDC"/>
    <w:rsid w:val="00CE6301"/>
    <w:rsid w:val="00CF1E12"/>
    <w:rsid w:val="00CF2008"/>
    <w:rsid w:val="00CF3649"/>
    <w:rsid w:val="00CF4188"/>
    <w:rsid w:val="00CF4E9E"/>
    <w:rsid w:val="00CF7848"/>
    <w:rsid w:val="00D058FC"/>
    <w:rsid w:val="00D06213"/>
    <w:rsid w:val="00D10010"/>
    <w:rsid w:val="00D11510"/>
    <w:rsid w:val="00D12BB7"/>
    <w:rsid w:val="00D159D4"/>
    <w:rsid w:val="00D21601"/>
    <w:rsid w:val="00D22F1C"/>
    <w:rsid w:val="00D2613D"/>
    <w:rsid w:val="00D31882"/>
    <w:rsid w:val="00D31BAB"/>
    <w:rsid w:val="00D31D27"/>
    <w:rsid w:val="00D32109"/>
    <w:rsid w:val="00D34AFB"/>
    <w:rsid w:val="00D35A03"/>
    <w:rsid w:val="00D37377"/>
    <w:rsid w:val="00D41830"/>
    <w:rsid w:val="00D45B8C"/>
    <w:rsid w:val="00D56058"/>
    <w:rsid w:val="00D567E0"/>
    <w:rsid w:val="00D56A09"/>
    <w:rsid w:val="00D61F2D"/>
    <w:rsid w:val="00D630DE"/>
    <w:rsid w:val="00D645C6"/>
    <w:rsid w:val="00D65905"/>
    <w:rsid w:val="00D7327A"/>
    <w:rsid w:val="00D74EC8"/>
    <w:rsid w:val="00D81AC9"/>
    <w:rsid w:val="00D858CC"/>
    <w:rsid w:val="00D9086C"/>
    <w:rsid w:val="00D94745"/>
    <w:rsid w:val="00D95DFF"/>
    <w:rsid w:val="00D963D5"/>
    <w:rsid w:val="00DA41B2"/>
    <w:rsid w:val="00DA4822"/>
    <w:rsid w:val="00DA5D06"/>
    <w:rsid w:val="00DA7B20"/>
    <w:rsid w:val="00DB5727"/>
    <w:rsid w:val="00DC1B14"/>
    <w:rsid w:val="00DC52BC"/>
    <w:rsid w:val="00DC621D"/>
    <w:rsid w:val="00DC6A98"/>
    <w:rsid w:val="00DC6EF8"/>
    <w:rsid w:val="00DC7245"/>
    <w:rsid w:val="00DC730A"/>
    <w:rsid w:val="00DD12FC"/>
    <w:rsid w:val="00DD2B0D"/>
    <w:rsid w:val="00DE130A"/>
    <w:rsid w:val="00DE1F21"/>
    <w:rsid w:val="00DE38B2"/>
    <w:rsid w:val="00DF2C9A"/>
    <w:rsid w:val="00DF5291"/>
    <w:rsid w:val="00DF6AC1"/>
    <w:rsid w:val="00E010C4"/>
    <w:rsid w:val="00E05572"/>
    <w:rsid w:val="00E0794A"/>
    <w:rsid w:val="00E16292"/>
    <w:rsid w:val="00E166FD"/>
    <w:rsid w:val="00E20294"/>
    <w:rsid w:val="00E25706"/>
    <w:rsid w:val="00E264BB"/>
    <w:rsid w:val="00E276DF"/>
    <w:rsid w:val="00E30596"/>
    <w:rsid w:val="00E31FF9"/>
    <w:rsid w:val="00E33434"/>
    <w:rsid w:val="00E43C23"/>
    <w:rsid w:val="00E45E6A"/>
    <w:rsid w:val="00E469DE"/>
    <w:rsid w:val="00E50A42"/>
    <w:rsid w:val="00E54FA5"/>
    <w:rsid w:val="00E56D64"/>
    <w:rsid w:val="00E61081"/>
    <w:rsid w:val="00E65B18"/>
    <w:rsid w:val="00E65B9D"/>
    <w:rsid w:val="00E71CE6"/>
    <w:rsid w:val="00E71E16"/>
    <w:rsid w:val="00E728C6"/>
    <w:rsid w:val="00E76641"/>
    <w:rsid w:val="00E77AC7"/>
    <w:rsid w:val="00E851E8"/>
    <w:rsid w:val="00E86DF2"/>
    <w:rsid w:val="00E879EC"/>
    <w:rsid w:val="00E95703"/>
    <w:rsid w:val="00EA0297"/>
    <w:rsid w:val="00EA0716"/>
    <w:rsid w:val="00EA2C29"/>
    <w:rsid w:val="00EA3F05"/>
    <w:rsid w:val="00EA5E85"/>
    <w:rsid w:val="00EB0B07"/>
    <w:rsid w:val="00EB144E"/>
    <w:rsid w:val="00EB1B82"/>
    <w:rsid w:val="00EB462A"/>
    <w:rsid w:val="00EB4FC0"/>
    <w:rsid w:val="00EB635D"/>
    <w:rsid w:val="00EB6AA6"/>
    <w:rsid w:val="00EC0354"/>
    <w:rsid w:val="00EC5A70"/>
    <w:rsid w:val="00EC70BC"/>
    <w:rsid w:val="00ED018E"/>
    <w:rsid w:val="00ED044F"/>
    <w:rsid w:val="00ED0534"/>
    <w:rsid w:val="00ED07AD"/>
    <w:rsid w:val="00ED39D5"/>
    <w:rsid w:val="00ED3B36"/>
    <w:rsid w:val="00EE3CB3"/>
    <w:rsid w:val="00EE55F9"/>
    <w:rsid w:val="00EE62A5"/>
    <w:rsid w:val="00EE63DE"/>
    <w:rsid w:val="00EE6413"/>
    <w:rsid w:val="00EE743D"/>
    <w:rsid w:val="00EF00EA"/>
    <w:rsid w:val="00EF34E1"/>
    <w:rsid w:val="00EF36A0"/>
    <w:rsid w:val="00EF45BC"/>
    <w:rsid w:val="00EF5446"/>
    <w:rsid w:val="00F11454"/>
    <w:rsid w:val="00F12E5A"/>
    <w:rsid w:val="00F221FC"/>
    <w:rsid w:val="00F24025"/>
    <w:rsid w:val="00F35CAE"/>
    <w:rsid w:val="00F36EE7"/>
    <w:rsid w:val="00F41D9D"/>
    <w:rsid w:val="00F4468A"/>
    <w:rsid w:val="00F57AFC"/>
    <w:rsid w:val="00F627E4"/>
    <w:rsid w:val="00F65DBD"/>
    <w:rsid w:val="00F669B9"/>
    <w:rsid w:val="00F773E6"/>
    <w:rsid w:val="00F80A07"/>
    <w:rsid w:val="00F80CEE"/>
    <w:rsid w:val="00F810AC"/>
    <w:rsid w:val="00F81C18"/>
    <w:rsid w:val="00F81F36"/>
    <w:rsid w:val="00F82B7C"/>
    <w:rsid w:val="00F8493C"/>
    <w:rsid w:val="00F85468"/>
    <w:rsid w:val="00F86A45"/>
    <w:rsid w:val="00F86BC7"/>
    <w:rsid w:val="00F907D4"/>
    <w:rsid w:val="00F9202F"/>
    <w:rsid w:val="00F92AA4"/>
    <w:rsid w:val="00FA2519"/>
    <w:rsid w:val="00FA6B1E"/>
    <w:rsid w:val="00FB4165"/>
    <w:rsid w:val="00FB59A0"/>
    <w:rsid w:val="00FC1792"/>
    <w:rsid w:val="00FC3D9E"/>
    <w:rsid w:val="00FC42BD"/>
    <w:rsid w:val="00FC57DD"/>
    <w:rsid w:val="00FC6BD0"/>
    <w:rsid w:val="00FD2E9B"/>
    <w:rsid w:val="00FE065B"/>
    <w:rsid w:val="00FE17D2"/>
    <w:rsid w:val="00FE1C9A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0457696"/>
  <w15:docId w15:val="{E1F9935E-2E9F-4B13-8260-886E8E0B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9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9B08AF"/>
    <w:pPr>
      <w:keepNext/>
      <w:spacing w:after="480" w:line="480" w:lineRule="auto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4021"/>
    <w:pPr>
      <w:keepNext/>
      <w:widowControl w:val="0"/>
      <w:spacing w:before="360" w:after="240"/>
    </w:pPr>
    <w:rPr>
      <w:rFonts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Footer">
    <w:name w:val="footer"/>
    <w:basedOn w:val="Normal"/>
    <w:link w:val="FooterChar"/>
    <w:uiPriority w:val="99"/>
    <w:unhideWhenUsed/>
    <w:rsid w:val="008B1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DA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D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869F2"/>
    <w:pPr>
      <w:ind w:left="340" w:hanging="34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69F2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D26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4B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3065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3065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customStyle="1" w:styleId="lrpara">
    <w:name w:val="lrpara"/>
    <w:basedOn w:val="Normal"/>
    <w:rsid w:val="00EA3F05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paragraph" w:customStyle="1" w:styleId="pageno">
    <w:name w:val="pageno"/>
    <w:basedOn w:val="Normal"/>
    <w:rsid w:val="00EA3F05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paragraph" w:customStyle="1" w:styleId="lrjudgecont">
    <w:name w:val="lrjudgecont"/>
    <w:basedOn w:val="Normal"/>
    <w:rsid w:val="00EA3F05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EA3F05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character" w:customStyle="1" w:styleId="mc">
    <w:name w:val="mc"/>
    <w:basedOn w:val="DefaultParagraphFont"/>
    <w:rsid w:val="00EA3F05"/>
  </w:style>
  <w:style w:type="character" w:customStyle="1" w:styleId="italic">
    <w:name w:val="italic"/>
    <w:basedOn w:val="DefaultParagraphFont"/>
    <w:rsid w:val="008675CC"/>
  </w:style>
  <w:style w:type="character" w:styleId="Hyperlink">
    <w:name w:val="Hyperlink"/>
    <w:basedOn w:val="DefaultParagraphFont"/>
    <w:uiPriority w:val="99"/>
    <w:unhideWhenUsed/>
    <w:rsid w:val="008675CC"/>
    <w:rPr>
      <w:color w:val="0000FF"/>
      <w:u w:val="single"/>
    </w:rPr>
  </w:style>
  <w:style w:type="paragraph" w:customStyle="1" w:styleId="normaltext">
    <w:name w:val="normaltext"/>
    <w:basedOn w:val="Normal"/>
    <w:rsid w:val="002A030C"/>
    <w:pPr>
      <w:spacing w:before="100" w:beforeAutospacing="1" w:after="100" w:afterAutospacing="1"/>
    </w:pPr>
    <w:rPr>
      <w:rFonts w:ascii="Times New Roman" w:hAnsi="Times New Roman"/>
      <w:sz w:val="24"/>
      <w:lang w:eastAsia="en-ZA"/>
    </w:rPr>
  </w:style>
  <w:style w:type="table" w:styleId="TableGrid">
    <w:name w:val="Table Grid"/>
    <w:basedOn w:val="TableNormal"/>
    <w:uiPriority w:val="59"/>
    <w:rsid w:val="0021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30A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0A89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30A89"/>
    <w:rPr>
      <w:vertAlign w:val="superscript"/>
    </w:rPr>
  </w:style>
  <w:style w:type="character" w:customStyle="1" w:styleId="footnoteanchor">
    <w:name w:val="footnoteanchor"/>
    <w:basedOn w:val="DefaultParagraphFont"/>
    <w:rsid w:val="00BF7ED8"/>
  </w:style>
  <w:style w:type="character" w:customStyle="1" w:styleId="AFUBodytextCharChar">
    <w:name w:val="AFU Body text Char Char"/>
    <w:basedOn w:val="DefaultParagraphFont"/>
    <w:link w:val="AFUBodytext"/>
    <w:locked/>
    <w:rsid w:val="007A1D60"/>
    <w:rPr>
      <w:rFonts w:ascii="Arial" w:hAnsi="Arial" w:cs="Arial"/>
      <w:sz w:val="22"/>
      <w:szCs w:val="22"/>
      <w:lang w:eastAsia="en-GB"/>
    </w:rPr>
  </w:style>
  <w:style w:type="paragraph" w:customStyle="1" w:styleId="AFUBodytext">
    <w:name w:val="AFU Body text"/>
    <w:basedOn w:val="Normal"/>
    <w:link w:val="AFUBodytextCharChar"/>
    <w:rsid w:val="007A1D60"/>
    <w:pPr>
      <w:spacing w:before="120" w:after="120" w:line="480" w:lineRule="auto"/>
      <w:jc w:val="both"/>
    </w:pPr>
    <w:rPr>
      <w:rFonts w:cs="Arial"/>
      <w:szCs w:val="22"/>
      <w:lang w:eastAsia="en-GB"/>
    </w:rPr>
  </w:style>
  <w:style w:type="paragraph" w:customStyle="1" w:styleId="AFUaffidavitnumbering">
    <w:name w:val="AFU affidavit numbering"/>
    <w:basedOn w:val="Normal"/>
    <w:link w:val="AFUaffidavitnumberingCharChar"/>
    <w:uiPriority w:val="99"/>
    <w:qFormat/>
    <w:rsid w:val="00E61081"/>
    <w:pPr>
      <w:numPr>
        <w:numId w:val="12"/>
      </w:numPr>
      <w:spacing w:before="240" w:after="240" w:line="480" w:lineRule="auto"/>
      <w:jc w:val="both"/>
    </w:pPr>
    <w:rPr>
      <w:rFonts w:eastAsia="Calibri"/>
      <w:szCs w:val="22"/>
    </w:rPr>
  </w:style>
  <w:style w:type="character" w:customStyle="1" w:styleId="AFUaffidavitnumberingCharChar">
    <w:name w:val="AFU affidavit numbering Char Char"/>
    <w:basedOn w:val="DefaultParagraphFont"/>
    <w:link w:val="AFUaffidavitnumbering"/>
    <w:uiPriority w:val="99"/>
    <w:rsid w:val="00E61081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520">
          <w:marLeft w:val="567"/>
          <w:marRight w:val="567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1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021">
          <w:marLeft w:val="11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pp.jutastatevolve.co.za/y2008v5SApg151" TargetMode="External"/><Relationship Id="rId1" Type="http://schemas.openxmlformats.org/officeDocument/2006/relationships/hyperlink" Target="https://app.jutastatevolve.co.za/y1949v3SApg11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Judgment%20Ac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043B-6089-469F-9B5D-8BB425D2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Acting</Template>
  <TotalTime>0</TotalTime>
  <Pages>7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</vt:lpstr>
    </vt:vector>
  </TitlesOfParts>
  <Company>Group21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</dc:title>
  <dc:creator>JR TYPING SERVICES</dc:creator>
  <cp:keywords>JOHAN MOORCROFT</cp:keywords>
  <cp:lastModifiedBy>Mary Bruce</cp:lastModifiedBy>
  <cp:revision>3</cp:revision>
  <cp:lastPrinted>2023-03-08T17:40:00Z</cp:lastPrinted>
  <dcterms:created xsi:type="dcterms:W3CDTF">2023-03-13T09:07:00Z</dcterms:created>
  <dcterms:modified xsi:type="dcterms:W3CDTF">2023-04-14T04:17:00Z</dcterms:modified>
</cp:coreProperties>
</file>