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36BCB" w14:textId="77777777" w:rsidR="00F91B53" w:rsidRDefault="00F91B53" w:rsidP="00F91B53">
      <w:pPr>
        <w:rPr>
          <w:rFonts w:ascii="Courier New" w:hAnsi="Courier New"/>
          <w:color w:val="FF0000"/>
          <w:u w:val="single"/>
          <w:lang w:eastAsia="en-ZA"/>
        </w:rPr>
      </w:pPr>
      <w:r>
        <w:rPr>
          <w:rFonts w:cs="Arial"/>
          <w:color w:val="FF0000"/>
        </w:rPr>
        <w:t>Editorial note: Certain information has been redacted from this judgment in compliance with the law.</w:t>
      </w:r>
    </w:p>
    <w:p w14:paraId="0FC62300" w14:textId="77777777" w:rsidR="00F91B53" w:rsidRDefault="00F91B53" w:rsidP="00F91B53">
      <w:pPr>
        <w:rPr>
          <w:rFonts w:cs="Arial"/>
          <w:b/>
          <w:bCs/>
          <w:lang w:eastAsia="en-GB"/>
        </w:rPr>
      </w:pPr>
      <w:bookmarkStart w:id="0" w:name="_GoBack"/>
      <w:bookmarkEnd w:id="0"/>
    </w:p>
    <w:p w14:paraId="7EE1A879" w14:textId="64C5B538" w:rsidR="00300D09" w:rsidRPr="00822349" w:rsidRDefault="00300D09" w:rsidP="00300D09">
      <w:pPr>
        <w:jc w:val="center"/>
        <w:rPr>
          <w:rFonts w:cs="Arial"/>
          <w:b/>
          <w:bCs/>
          <w:lang w:eastAsia="en-GB"/>
        </w:rPr>
      </w:pPr>
      <w:r w:rsidRPr="00822349">
        <w:rPr>
          <w:rFonts w:cs="Arial"/>
          <w:b/>
          <w:bCs/>
          <w:lang w:eastAsia="en-GB"/>
        </w:rPr>
        <w:t>REPUBLIC OF SOUTH AFRICA</w:t>
      </w:r>
    </w:p>
    <w:p w14:paraId="32091CC0" w14:textId="77777777" w:rsidR="006E45F7" w:rsidRPr="00822349" w:rsidRDefault="006E45F7" w:rsidP="00300D09">
      <w:pPr>
        <w:jc w:val="center"/>
        <w:rPr>
          <w:rFonts w:cs="Arial"/>
          <w:lang w:eastAsia="en-GB"/>
        </w:rPr>
      </w:pPr>
    </w:p>
    <w:p w14:paraId="22A0AFB8" w14:textId="77777777" w:rsidR="00300D09" w:rsidRPr="00822349" w:rsidRDefault="00033914" w:rsidP="00300D09">
      <w:pPr>
        <w:jc w:val="center"/>
        <w:rPr>
          <w:rFonts w:cs="Arial"/>
          <w:lang w:eastAsia="en-GB"/>
        </w:rPr>
      </w:pPr>
      <w:r w:rsidRPr="00822349">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822349" w:rsidRDefault="006E45F7" w:rsidP="00300D09">
      <w:pPr>
        <w:jc w:val="center"/>
        <w:rPr>
          <w:rFonts w:cs="Arial"/>
          <w:lang w:eastAsia="en-GB"/>
        </w:rPr>
      </w:pPr>
    </w:p>
    <w:p w14:paraId="56BA021B"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38EFA21F" w14:textId="72FE071F" w:rsidR="00300D09" w:rsidRDefault="00300D09" w:rsidP="00300D09">
      <w:pPr>
        <w:jc w:val="center"/>
        <w:rPr>
          <w:rFonts w:cs="Arial"/>
          <w:b/>
          <w:bCs/>
          <w:lang w:eastAsia="en-GB"/>
        </w:rPr>
      </w:pPr>
      <w:r w:rsidRPr="00822349">
        <w:rPr>
          <w:rFonts w:cs="Arial"/>
          <w:b/>
          <w:bCs/>
          <w:lang w:eastAsia="en-GB"/>
        </w:rPr>
        <w:t xml:space="preserve">GAUTENG DIVISION, </w:t>
      </w:r>
      <w:r w:rsidR="00682D2A" w:rsidRPr="00822349">
        <w:rPr>
          <w:rFonts w:cs="Arial"/>
          <w:b/>
          <w:bCs/>
          <w:lang w:eastAsia="en-GB"/>
        </w:rPr>
        <w:t xml:space="preserve">JOHANNESBURG </w:t>
      </w:r>
    </w:p>
    <w:p w14:paraId="16641378" w14:textId="184BA8F4" w:rsidR="004D4DBF" w:rsidRDefault="004D4DBF" w:rsidP="00300D09">
      <w:pPr>
        <w:jc w:val="center"/>
        <w:rPr>
          <w:rFonts w:cs="Arial"/>
          <w:b/>
          <w:bCs/>
          <w:lang w:eastAsia="en-GB"/>
        </w:rPr>
      </w:pPr>
    </w:p>
    <w:p w14:paraId="299D619F" w14:textId="77777777" w:rsidR="004D4DBF" w:rsidRPr="00822349" w:rsidRDefault="004D4DBF" w:rsidP="00300D09">
      <w:pPr>
        <w:jc w:val="center"/>
        <w:rPr>
          <w:rFonts w:cs="Arial"/>
          <w:b/>
          <w:bCs/>
          <w:lang w:eastAsia="en-GB"/>
        </w:rPr>
      </w:pPr>
    </w:p>
    <w:p w14:paraId="74A6490A" w14:textId="00CCE274" w:rsidR="00066BC7" w:rsidRPr="00F73C09" w:rsidRDefault="00066BC7" w:rsidP="00066BC7">
      <w:pPr>
        <w:jc w:val="right"/>
      </w:pPr>
      <w:r w:rsidRPr="00F73C09">
        <w:t xml:space="preserve">Case No: </w:t>
      </w:r>
      <w:r w:rsidR="00E35FCC">
        <w:t>33982/2019</w:t>
      </w:r>
    </w:p>
    <w:p w14:paraId="2A4CED62" w14:textId="77777777" w:rsidR="00066BC7" w:rsidRPr="00F73C09" w:rsidRDefault="00066BC7" w:rsidP="00066BC7">
      <w:pPr>
        <w:jc w:val="right"/>
      </w:pPr>
      <w:r w:rsidRPr="00F73C09">
        <w:rPr>
          <w:noProof/>
          <w:lang w:val="en-ZA" w:eastAsia="en-ZA"/>
        </w:rPr>
        <mc:AlternateContent>
          <mc:Choice Requires="wps">
            <w:drawing>
              <wp:anchor distT="0" distB="0" distL="114300" distR="114300" simplePos="0" relativeHeight="251659264" behindDoc="0" locked="0" layoutInCell="1" allowOverlap="1" wp14:anchorId="50A79751" wp14:editId="4864D1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5CA1C0C9" w14:textId="77777777" w:rsidR="00066BC7" w:rsidRPr="004120A8" w:rsidRDefault="00066BC7" w:rsidP="00066BC7">
                            <w:pPr>
                              <w:jc w:val="center"/>
                              <w:rPr>
                                <w:rFonts w:ascii="Century Gothic" w:hAnsi="Century Gothic"/>
                                <w:b/>
                                <w:sz w:val="2"/>
                                <w:szCs w:val="18"/>
                              </w:rPr>
                            </w:pPr>
                          </w:p>
                          <w:p w14:paraId="446DC6CC" w14:textId="4E9AB974" w:rsidR="00066BC7" w:rsidRPr="00EE6CBE" w:rsidRDefault="00EC2F3B" w:rsidP="00EC2F3B">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B44E2">
                              <w:rPr>
                                <w:rFonts w:cs="Arial"/>
                                <w:sz w:val="18"/>
                                <w:szCs w:val="18"/>
                              </w:rPr>
                              <w:t>NO</w:t>
                            </w:r>
                          </w:p>
                          <w:p w14:paraId="4270498A" w14:textId="2A926E35" w:rsidR="00066BC7" w:rsidRPr="00EE6CBE" w:rsidRDefault="00EC2F3B" w:rsidP="00EC2F3B">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B44E2">
                              <w:rPr>
                                <w:rFonts w:cs="Arial"/>
                                <w:sz w:val="18"/>
                                <w:szCs w:val="18"/>
                              </w:rPr>
                              <w:t>NO</w:t>
                            </w:r>
                          </w:p>
                          <w:p w14:paraId="68C20D45" w14:textId="02AFBA80" w:rsidR="00066BC7" w:rsidRPr="00EE6CBE" w:rsidRDefault="00EC2F3B" w:rsidP="00EC2F3B">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79751"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5CA1C0C9" w14:textId="77777777" w:rsidR="00066BC7" w:rsidRPr="004120A8" w:rsidRDefault="00066BC7" w:rsidP="00066BC7">
                      <w:pPr>
                        <w:jc w:val="center"/>
                        <w:rPr>
                          <w:rFonts w:ascii="Century Gothic" w:hAnsi="Century Gothic"/>
                          <w:b/>
                          <w:sz w:val="2"/>
                          <w:szCs w:val="18"/>
                        </w:rPr>
                      </w:pPr>
                    </w:p>
                    <w:p w14:paraId="446DC6CC" w14:textId="4E9AB974" w:rsidR="00066BC7" w:rsidRPr="00EE6CBE" w:rsidRDefault="00EC2F3B" w:rsidP="00EC2F3B">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B44E2">
                        <w:rPr>
                          <w:rFonts w:cs="Arial"/>
                          <w:sz w:val="18"/>
                          <w:szCs w:val="18"/>
                        </w:rPr>
                        <w:t>NO</w:t>
                      </w:r>
                    </w:p>
                    <w:p w14:paraId="4270498A" w14:textId="2A926E35" w:rsidR="00066BC7" w:rsidRPr="00EE6CBE" w:rsidRDefault="00EC2F3B" w:rsidP="00EC2F3B">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B44E2">
                        <w:rPr>
                          <w:rFonts w:cs="Arial"/>
                          <w:sz w:val="18"/>
                          <w:szCs w:val="18"/>
                        </w:rPr>
                        <w:t>NO</w:t>
                      </w:r>
                    </w:p>
                    <w:p w14:paraId="68C20D45" w14:textId="02AFBA80" w:rsidR="00066BC7" w:rsidRPr="00EE6CBE" w:rsidRDefault="00EC2F3B" w:rsidP="00EC2F3B">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v:textbox>
              </v:shape>
            </w:pict>
          </mc:Fallback>
        </mc:AlternateContent>
      </w:r>
    </w:p>
    <w:p w14:paraId="643BA00A" w14:textId="77777777" w:rsidR="00066BC7" w:rsidRPr="00F73C09" w:rsidRDefault="00066BC7" w:rsidP="00066BC7">
      <w:pPr>
        <w:jc w:val="center"/>
        <w:rPr>
          <w:rFonts w:cs="Arial"/>
          <w:b/>
        </w:rPr>
      </w:pPr>
    </w:p>
    <w:p w14:paraId="5E779EDC" w14:textId="77777777" w:rsidR="00066BC7" w:rsidRPr="00F73C09" w:rsidRDefault="00066BC7" w:rsidP="00066BC7">
      <w:pPr>
        <w:jc w:val="right"/>
        <w:rPr>
          <w:rFonts w:cs="Arial"/>
          <w:b/>
        </w:rPr>
      </w:pPr>
      <w:bookmarkStart w:id="1" w:name="_Hlk88546104"/>
    </w:p>
    <w:p w14:paraId="2E164819" w14:textId="77777777" w:rsidR="00066BC7" w:rsidRPr="00F73C09" w:rsidRDefault="00066BC7" w:rsidP="00066BC7">
      <w:pPr>
        <w:jc w:val="left"/>
        <w:rPr>
          <w:rFonts w:cs="Arial"/>
          <w:u w:val="single"/>
        </w:rPr>
      </w:pPr>
    </w:p>
    <w:p w14:paraId="27D8A952" w14:textId="77777777" w:rsidR="00066BC7" w:rsidRPr="00F73C09" w:rsidRDefault="00066BC7" w:rsidP="00066BC7">
      <w:pPr>
        <w:jc w:val="left"/>
        <w:rPr>
          <w:rFonts w:cs="Arial"/>
          <w:u w:val="single"/>
        </w:rPr>
      </w:pPr>
    </w:p>
    <w:p w14:paraId="3DE47825" w14:textId="77777777" w:rsidR="00066BC7" w:rsidRPr="00F73C09" w:rsidRDefault="00066BC7" w:rsidP="00066BC7">
      <w:pPr>
        <w:jc w:val="left"/>
        <w:rPr>
          <w:rFonts w:cs="Arial"/>
          <w:u w:val="single"/>
        </w:rPr>
      </w:pPr>
    </w:p>
    <w:p w14:paraId="00E1F69E" w14:textId="77777777" w:rsidR="00066BC7" w:rsidRPr="00F73C09" w:rsidRDefault="00066BC7" w:rsidP="00066BC7">
      <w:pPr>
        <w:jc w:val="left"/>
        <w:rPr>
          <w:rFonts w:cs="Arial"/>
          <w:u w:val="single"/>
        </w:rPr>
      </w:pPr>
    </w:p>
    <w:bookmarkEnd w:id="1"/>
    <w:p w14:paraId="77BEB056" w14:textId="77777777" w:rsidR="00066BC7" w:rsidRPr="00F73C09" w:rsidRDefault="00066BC7" w:rsidP="00066BC7"/>
    <w:p w14:paraId="697FC223" w14:textId="77777777" w:rsidR="00066BC7" w:rsidRPr="00F73C09" w:rsidRDefault="00066BC7" w:rsidP="00066BC7">
      <w:pPr>
        <w:tabs>
          <w:tab w:val="left" w:pos="4917"/>
        </w:tabs>
        <w:jc w:val="right"/>
        <w:rPr>
          <w:rFonts w:cs="Arial"/>
          <w:b/>
          <w:sz w:val="28"/>
          <w:szCs w:val="28"/>
          <w:u w:val="single"/>
        </w:rPr>
      </w:pPr>
    </w:p>
    <w:p w14:paraId="6547977F" w14:textId="77777777" w:rsidR="00066BC7" w:rsidRPr="00F73C09" w:rsidRDefault="00066BC7" w:rsidP="00066BC7">
      <w:pPr>
        <w:jc w:val="right"/>
        <w:rPr>
          <w:rFonts w:cs="Arial"/>
          <w:b/>
          <w:bCs/>
        </w:rPr>
      </w:pPr>
    </w:p>
    <w:p w14:paraId="068BDABA" w14:textId="55D87BD2" w:rsidR="00066BC7" w:rsidRDefault="00066BC7" w:rsidP="00066BC7">
      <w:pPr>
        <w:rPr>
          <w:rFonts w:cs="Arial"/>
        </w:rPr>
      </w:pPr>
      <w:r w:rsidRPr="00F73C09">
        <w:rPr>
          <w:rFonts w:cs="Arial"/>
        </w:rPr>
        <w:t>In the matter between:</w:t>
      </w:r>
    </w:p>
    <w:p w14:paraId="6D13173B" w14:textId="106F1A83" w:rsidR="00E35FCC" w:rsidRDefault="00E35FCC" w:rsidP="00066BC7">
      <w:pPr>
        <w:rPr>
          <w:rFonts w:cs="Arial"/>
        </w:rPr>
      </w:pPr>
    </w:p>
    <w:p w14:paraId="179454EF" w14:textId="77777777" w:rsidR="00E35FCC" w:rsidRPr="005B63DB" w:rsidRDefault="00E35FCC" w:rsidP="00E35FCC">
      <w:pPr>
        <w:tabs>
          <w:tab w:val="right" w:pos="8931"/>
        </w:tabs>
        <w:spacing w:line="360" w:lineRule="auto"/>
        <w:ind w:right="-22"/>
        <w:rPr>
          <w:rFonts w:cs="Arial"/>
          <w:b/>
          <w:bCs/>
        </w:rPr>
      </w:pPr>
      <w:r w:rsidRPr="005B63DB">
        <w:rPr>
          <w:rFonts w:cs="Arial"/>
          <w:b/>
          <w:bCs/>
        </w:rPr>
        <w:t>TRANSNET SOC LIMITED t/a TRANSNET</w:t>
      </w:r>
    </w:p>
    <w:p w14:paraId="308B1963" w14:textId="77777777" w:rsidR="00E35FCC" w:rsidRPr="005B63DB" w:rsidRDefault="00E35FCC" w:rsidP="00E35FCC">
      <w:pPr>
        <w:tabs>
          <w:tab w:val="right" w:pos="8931"/>
        </w:tabs>
        <w:spacing w:line="360" w:lineRule="auto"/>
        <w:ind w:right="-22"/>
        <w:rPr>
          <w:rFonts w:cs="Arial"/>
        </w:rPr>
      </w:pPr>
      <w:r w:rsidRPr="005B63DB">
        <w:rPr>
          <w:rFonts w:cs="Arial"/>
          <w:b/>
          <w:bCs/>
        </w:rPr>
        <w:t>FREIGTH RAIL</w:t>
      </w:r>
      <w:proofErr w:type="gramStart"/>
      <w:r w:rsidRPr="005B63DB">
        <w:rPr>
          <w:rFonts w:cs="Arial"/>
          <w:b/>
          <w:bCs/>
        </w:rPr>
        <w:tab/>
        <w:t xml:space="preserve">  </w:t>
      </w:r>
      <w:r w:rsidRPr="005B63DB">
        <w:rPr>
          <w:rFonts w:cs="Arial"/>
        </w:rPr>
        <w:t>Plaintiff</w:t>
      </w:r>
      <w:proofErr w:type="gramEnd"/>
      <w:r w:rsidRPr="005B63DB">
        <w:rPr>
          <w:rFonts w:cs="Arial"/>
        </w:rPr>
        <w:t xml:space="preserve">/Applicant  </w:t>
      </w:r>
    </w:p>
    <w:p w14:paraId="6359A628" w14:textId="77777777" w:rsidR="00E35FCC" w:rsidRPr="005B63DB" w:rsidRDefault="00E35FCC" w:rsidP="00E35FCC">
      <w:pPr>
        <w:pStyle w:val="Header"/>
        <w:spacing w:line="360" w:lineRule="auto"/>
        <w:rPr>
          <w:rFonts w:cs="Arial"/>
        </w:rPr>
      </w:pPr>
    </w:p>
    <w:p w14:paraId="01483968" w14:textId="77777777" w:rsidR="00E35FCC" w:rsidRPr="005B63DB" w:rsidRDefault="00E35FCC" w:rsidP="00E35FCC">
      <w:pPr>
        <w:pStyle w:val="Header"/>
        <w:spacing w:line="360" w:lineRule="auto"/>
        <w:rPr>
          <w:rFonts w:cs="Arial"/>
        </w:rPr>
      </w:pPr>
      <w:r w:rsidRPr="005B63DB">
        <w:rPr>
          <w:rFonts w:cs="Arial"/>
        </w:rPr>
        <w:t>and</w:t>
      </w:r>
    </w:p>
    <w:p w14:paraId="4ACEFB56" w14:textId="77777777" w:rsidR="00E35FCC" w:rsidRPr="005B63DB" w:rsidRDefault="00E35FCC" w:rsidP="00E35FCC">
      <w:pPr>
        <w:pStyle w:val="Header"/>
        <w:spacing w:line="360" w:lineRule="auto"/>
        <w:rPr>
          <w:rFonts w:cs="Arial"/>
        </w:rPr>
      </w:pPr>
    </w:p>
    <w:p w14:paraId="1494D26D" w14:textId="176A9D09" w:rsidR="00E35FCC" w:rsidRPr="00E35FCC" w:rsidRDefault="00E35FCC" w:rsidP="00E35FCC">
      <w:pPr>
        <w:pStyle w:val="Heading1"/>
        <w:tabs>
          <w:tab w:val="right" w:pos="8931"/>
        </w:tabs>
        <w:ind w:right="-22"/>
        <w:rPr>
          <w:rFonts w:cs="Arial"/>
        </w:rPr>
      </w:pPr>
      <w:r w:rsidRPr="005B63DB">
        <w:rPr>
          <w:rFonts w:cs="Arial"/>
        </w:rPr>
        <w:t xml:space="preserve">TANKER SERVICES FUEL AND GAS </w:t>
      </w:r>
      <w:r w:rsidR="00BE136F">
        <w:rPr>
          <w:rFonts w:cs="Arial"/>
        </w:rPr>
        <w:t>(</w:t>
      </w:r>
      <w:r w:rsidRPr="005B63DB">
        <w:rPr>
          <w:rFonts w:cs="Arial"/>
        </w:rPr>
        <w:t>PTY) LTD</w:t>
      </w:r>
      <w:r w:rsidRPr="005B63DB">
        <w:rPr>
          <w:rFonts w:cs="Arial"/>
        </w:rPr>
        <w:tab/>
        <w:t xml:space="preserve"> </w:t>
      </w:r>
      <w:r>
        <w:rPr>
          <w:rFonts w:cs="Arial"/>
        </w:rPr>
        <w:t xml:space="preserve">   </w:t>
      </w:r>
      <w:r w:rsidRPr="005B63DB">
        <w:rPr>
          <w:rFonts w:cs="Arial"/>
          <w:b w:val="0"/>
        </w:rPr>
        <w:t xml:space="preserve">First </w:t>
      </w:r>
      <w:r w:rsidRPr="005B63DB">
        <w:rPr>
          <w:rFonts w:cs="Arial"/>
          <w:b w:val="0"/>
          <w:bCs w:val="0"/>
        </w:rPr>
        <w:t>Defendant/Respondent</w:t>
      </w:r>
    </w:p>
    <w:p w14:paraId="2C595732" w14:textId="3842D713" w:rsidR="00E35FCC" w:rsidRPr="005B63DB" w:rsidRDefault="00E35FCC" w:rsidP="00E35FCC">
      <w:pPr>
        <w:rPr>
          <w:rFonts w:cs="Arial"/>
          <w:b/>
        </w:rPr>
      </w:pPr>
      <w:r w:rsidRPr="005B63DB">
        <w:rPr>
          <w:rFonts w:cs="Arial"/>
          <w:b/>
          <w:bCs/>
        </w:rPr>
        <w:t>IMPERIAL LOGISTIC</w:t>
      </w:r>
      <w:r w:rsidRPr="005B63DB">
        <w:rPr>
          <w:rFonts w:cs="Arial"/>
          <w:b/>
          <w:bCs/>
        </w:rPr>
        <w:tab/>
      </w:r>
      <w:r w:rsidRPr="005B63DB">
        <w:rPr>
          <w:rFonts w:cs="Arial"/>
          <w:b/>
        </w:rPr>
        <w:t xml:space="preserve"> </w:t>
      </w:r>
      <w:r w:rsidRPr="005B63DB">
        <w:rPr>
          <w:rFonts w:cs="Arial"/>
          <w:b/>
        </w:rPr>
        <w:tab/>
      </w:r>
      <w:r w:rsidRPr="005B63DB">
        <w:rPr>
          <w:rFonts w:cs="Arial"/>
          <w:b/>
        </w:rPr>
        <w:tab/>
        <w:t xml:space="preserve">      </w:t>
      </w:r>
      <w:r>
        <w:rPr>
          <w:rFonts w:cs="Arial"/>
          <w:b/>
        </w:rPr>
        <w:t xml:space="preserve">             </w:t>
      </w:r>
      <w:r w:rsidRPr="005B63DB">
        <w:rPr>
          <w:rFonts w:cs="Arial"/>
        </w:rPr>
        <w:t>Second Defendant/Respondent</w:t>
      </w:r>
      <w:r w:rsidRPr="005B63DB">
        <w:rPr>
          <w:rFonts w:cs="Arial"/>
          <w:b/>
        </w:rPr>
        <w:t xml:space="preserve"> </w:t>
      </w:r>
    </w:p>
    <w:p w14:paraId="7A72F5F6" w14:textId="77777777" w:rsidR="00E35FCC" w:rsidRPr="005B63DB" w:rsidRDefault="00E35FCC" w:rsidP="00E35FCC">
      <w:pPr>
        <w:rPr>
          <w:rFonts w:cs="Arial"/>
          <w:b/>
        </w:rPr>
      </w:pPr>
    </w:p>
    <w:p w14:paraId="2752C9EE" w14:textId="393BFF21" w:rsidR="00E35FCC" w:rsidRPr="005B63DB" w:rsidRDefault="00E35FCC" w:rsidP="00E35FCC">
      <w:pPr>
        <w:rPr>
          <w:rFonts w:cs="Arial"/>
          <w:bCs/>
        </w:rPr>
      </w:pPr>
      <w:r w:rsidRPr="005B63DB">
        <w:rPr>
          <w:rFonts w:cs="Arial"/>
          <w:b/>
        </w:rPr>
        <w:t>TUMELO WELSH TSOTESI</w:t>
      </w:r>
      <w:r w:rsidRPr="005B63DB">
        <w:rPr>
          <w:rFonts w:cs="Arial"/>
          <w:b/>
        </w:rPr>
        <w:tab/>
      </w:r>
      <w:r w:rsidRPr="005B63DB">
        <w:rPr>
          <w:rFonts w:cs="Arial"/>
          <w:b/>
        </w:rPr>
        <w:tab/>
      </w:r>
      <w:r w:rsidRPr="005B63DB">
        <w:rPr>
          <w:rFonts w:cs="Arial"/>
          <w:b/>
        </w:rPr>
        <w:tab/>
        <w:t xml:space="preserve">  </w:t>
      </w:r>
      <w:r>
        <w:rPr>
          <w:rFonts w:cs="Arial"/>
          <w:b/>
        </w:rPr>
        <w:t xml:space="preserve">         </w:t>
      </w:r>
      <w:r w:rsidRPr="005B63DB">
        <w:rPr>
          <w:rFonts w:cs="Arial"/>
          <w:b/>
        </w:rPr>
        <w:t xml:space="preserve"> </w:t>
      </w:r>
      <w:r w:rsidRPr="005B63DB">
        <w:rPr>
          <w:rFonts w:cs="Arial"/>
          <w:bCs/>
        </w:rPr>
        <w:t>Third Defendant/Respondent</w:t>
      </w:r>
    </w:p>
    <w:p w14:paraId="1158D29C" w14:textId="77777777" w:rsidR="00E35FCC" w:rsidRPr="00F73C09" w:rsidRDefault="00E35FCC" w:rsidP="00066BC7">
      <w:pPr>
        <w:rPr>
          <w:rFonts w:cs="Arial"/>
        </w:rPr>
      </w:pPr>
    </w:p>
    <w:p w14:paraId="3E52C126" w14:textId="77777777" w:rsidR="00066BC7" w:rsidRPr="00F73C09" w:rsidRDefault="00066BC7" w:rsidP="00066BC7">
      <w:pPr>
        <w:rPr>
          <w:rFonts w:cs="Arial"/>
        </w:rPr>
      </w:pPr>
    </w:p>
    <w:p w14:paraId="29B0165D" w14:textId="2A8E6090" w:rsidR="00066BC7" w:rsidRPr="00F73C09" w:rsidRDefault="00066BC7" w:rsidP="00066BC7">
      <w:pPr>
        <w:rPr>
          <w:rFonts w:ascii="Times" w:hAnsi="Times"/>
          <w:color w:val="000000"/>
        </w:rPr>
      </w:pPr>
      <w:r w:rsidRPr="00F73C09">
        <w:rPr>
          <w:shd w:val="clear" w:color="auto" w:fill="FFFFFF"/>
        </w:rPr>
        <w:t xml:space="preserve">This judgment was handed down electronically by circulation to the parties’ legal representatives by email. The date and time for hand-down is deemed to be </w:t>
      </w:r>
      <w:r w:rsidR="000B1FB0">
        <w:rPr>
          <w:shd w:val="clear" w:color="auto" w:fill="FFFFFF"/>
        </w:rPr>
        <w:t xml:space="preserve">14h00 on 6 March </w:t>
      </w:r>
      <w:r w:rsidRPr="00F73C09">
        <w:rPr>
          <w:color w:val="000000"/>
          <w:shd w:val="clear" w:color="auto" w:fill="FFFFFF"/>
        </w:rPr>
        <w:t>202</w:t>
      </w:r>
      <w:r w:rsidR="00760A17">
        <w:rPr>
          <w:color w:val="000000"/>
          <w:shd w:val="clear" w:color="auto" w:fill="FFFFFF"/>
        </w:rPr>
        <w:t>3</w:t>
      </w:r>
    </w:p>
    <w:p w14:paraId="6356B8A3" w14:textId="77777777" w:rsidR="00066BC7" w:rsidRPr="00F73C09" w:rsidRDefault="00066BC7" w:rsidP="00066BC7">
      <w:pPr>
        <w:pStyle w:val="Parties"/>
      </w:pPr>
    </w:p>
    <w:p w14:paraId="10F630AA" w14:textId="77777777" w:rsidR="00066BC7" w:rsidRPr="00F73C09" w:rsidRDefault="00066BC7" w:rsidP="00066BC7">
      <w:pPr>
        <w:pStyle w:val="Parties"/>
      </w:pPr>
    </w:p>
    <w:p w14:paraId="4FB5AF5E" w14:textId="77777777" w:rsidR="00066BC7" w:rsidRPr="00F73C09" w:rsidRDefault="00066BC7" w:rsidP="00066BC7">
      <w:pPr>
        <w:pStyle w:val="Parties"/>
        <w:tabs>
          <w:tab w:val="center" w:pos="4111"/>
        </w:tabs>
      </w:pPr>
      <w:r w:rsidRPr="00F73C09">
        <w:tab/>
      </w:r>
    </w:p>
    <w:p w14:paraId="4E27FED7" w14:textId="0E8EB597" w:rsidR="00066BC7" w:rsidRPr="00F73C09" w:rsidRDefault="00066BC7" w:rsidP="002D3D18">
      <w:pPr>
        <w:pStyle w:val="TramLines"/>
      </w:pPr>
      <w:r w:rsidRPr="00F73C09">
        <w:lastRenderedPageBreak/>
        <w:t>JUDGMENT</w:t>
      </w:r>
    </w:p>
    <w:p w14:paraId="1F2C99C8" w14:textId="77777777" w:rsidR="002D3D18" w:rsidRDefault="00066BC7" w:rsidP="002D3D18">
      <w:pPr>
        <w:rPr>
          <w:b/>
          <w:bCs/>
        </w:rPr>
      </w:pPr>
      <w:r w:rsidRPr="00F73C09">
        <w:rPr>
          <w:b/>
          <w:bCs/>
        </w:rPr>
        <w:t>INGRID OPPERMAN J</w:t>
      </w:r>
      <w:r w:rsidR="005F108D">
        <w:rPr>
          <w:b/>
          <w:bCs/>
        </w:rPr>
        <w:t xml:space="preserve"> </w:t>
      </w:r>
    </w:p>
    <w:p w14:paraId="6128E7F2" w14:textId="7957157D" w:rsidR="002D3D18" w:rsidRPr="002D3D18" w:rsidRDefault="00066BC7" w:rsidP="002D3D18">
      <w:pPr>
        <w:rPr>
          <w:b/>
        </w:rPr>
      </w:pPr>
      <w:r w:rsidRPr="00F73C09">
        <w:t xml:space="preserve"> </w:t>
      </w:r>
    </w:p>
    <w:p w14:paraId="6F54BD3D" w14:textId="4A77634A" w:rsidR="002D3D18" w:rsidRPr="002D3D18" w:rsidRDefault="002D3D18" w:rsidP="002D3D18">
      <w:pPr>
        <w:pStyle w:val="1"/>
        <w:numPr>
          <w:ilvl w:val="0"/>
          <w:numId w:val="0"/>
        </w:numPr>
        <w:rPr>
          <w:b/>
          <w:bCs/>
        </w:rPr>
      </w:pPr>
      <w:r w:rsidRPr="002D3D18">
        <w:rPr>
          <w:b/>
          <w:bCs/>
        </w:rPr>
        <w:t>Introduction</w:t>
      </w:r>
    </w:p>
    <w:p w14:paraId="71A6DA87" w14:textId="7DF07964" w:rsidR="00E35FCC" w:rsidRDefault="00EC2F3B" w:rsidP="00EC2F3B">
      <w:pPr>
        <w:pStyle w:val="1"/>
        <w:numPr>
          <w:ilvl w:val="0"/>
          <w:numId w:val="0"/>
        </w:numPr>
        <w:tabs>
          <w:tab w:val="left" w:pos="0"/>
        </w:tabs>
      </w:pPr>
      <w:r>
        <w:t>[1]</w:t>
      </w:r>
      <w:r>
        <w:tab/>
      </w:r>
      <w:r w:rsidR="00E35FCC">
        <w:t xml:space="preserve">The Plaintiff instituted action against the First and Second Defendants in the alternative, based upon a collision which occurred between the Plaintiff’s train and a truck/trailer combination with registration numbers </w:t>
      </w:r>
      <w:r w:rsidR="00F91B53">
        <w:t>[…]</w:t>
      </w:r>
      <w:r w:rsidR="00E35FCC">
        <w:t xml:space="preserve"> GP and </w:t>
      </w:r>
      <w:r w:rsidR="00F91B53">
        <w:t>[…]</w:t>
      </w:r>
      <w:r w:rsidR="00E35FCC">
        <w:t xml:space="preserve"> GP (</w:t>
      </w:r>
      <w:r w:rsidR="002D3D18">
        <w:t>‘</w:t>
      </w:r>
      <w:r w:rsidR="00E35FCC" w:rsidRPr="002D3D18">
        <w:rPr>
          <w:i/>
          <w:iCs w:val="0"/>
        </w:rPr>
        <w:t>the truck</w:t>
      </w:r>
      <w:r w:rsidR="002D3D18">
        <w:rPr>
          <w:i/>
          <w:iCs w:val="0"/>
        </w:rPr>
        <w:t>/trailer</w:t>
      </w:r>
      <w:r w:rsidR="002D3D18" w:rsidRPr="002D3D18">
        <w:rPr>
          <w:i/>
          <w:iCs w:val="0"/>
        </w:rPr>
        <w:t>’</w:t>
      </w:r>
      <w:r w:rsidR="00E35FCC">
        <w:t>) driven by the Third Defendant.</w:t>
      </w:r>
    </w:p>
    <w:p w14:paraId="6A20C976" w14:textId="6B223E2D" w:rsidR="002D3D18" w:rsidRDefault="00EC2F3B" w:rsidP="00EC2F3B">
      <w:pPr>
        <w:pStyle w:val="1"/>
        <w:numPr>
          <w:ilvl w:val="0"/>
          <w:numId w:val="0"/>
        </w:numPr>
        <w:tabs>
          <w:tab w:val="left" w:pos="0"/>
        </w:tabs>
        <w:rPr>
          <w:lang w:eastAsia="x-none"/>
        </w:rPr>
      </w:pPr>
      <w:r>
        <w:rPr>
          <w:lang w:eastAsia="x-none"/>
        </w:rPr>
        <w:t>[2]</w:t>
      </w:r>
      <w:r>
        <w:rPr>
          <w:lang w:eastAsia="x-none"/>
        </w:rPr>
        <w:tab/>
      </w:r>
      <w:r w:rsidR="002D3D18">
        <w:t>This is an application in which the Plaintiff seeks to compel the Second Defendant to discover and to obtain better responses from the First and Second Defendants to two separate requests for further particulars</w:t>
      </w:r>
      <w:r w:rsidR="00F629A7">
        <w:t xml:space="preserve">. If those particulars are furnished they will assist in </w:t>
      </w:r>
      <w:r w:rsidR="002D3D18">
        <w:t xml:space="preserve">ascertaining the identity of the owner of the truck/trailer which in turn will assist the Plaintiff in </w:t>
      </w:r>
      <w:r w:rsidR="0072768F">
        <w:t xml:space="preserve">determining </w:t>
      </w:r>
      <w:r w:rsidR="00F629A7">
        <w:t xml:space="preserve">who is to be held liable for the damages suffered by </w:t>
      </w:r>
      <w:r w:rsidR="000B1FB0">
        <w:t>the P</w:t>
      </w:r>
      <w:r w:rsidR="00F629A7">
        <w:t xml:space="preserve">laintiff arising from the actions of </w:t>
      </w:r>
      <w:r w:rsidR="002D3D18">
        <w:t>the Third Defendant</w:t>
      </w:r>
      <w:r w:rsidR="00BE136F">
        <w:t>,</w:t>
      </w:r>
      <w:r w:rsidR="00782819">
        <w:t xml:space="preserve"> </w:t>
      </w:r>
      <w:r w:rsidR="00F629A7">
        <w:t xml:space="preserve">who is alleged </w:t>
      </w:r>
      <w:r w:rsidR="0072768F">
        <w:t>to have been the driver of the truck</w:t>
      </w:r>
      <w:r w:rsidR="000B1FB0">
        <w:t>/</w:t>
      </w:r>
      <w:r w:rsidR="0072768F">
        <w:t xml:space="preserve">trailer at the time of the collision with the train. </w:t>
      </w:r>
    </w:p>
    <w:p w14:paraId="70C4D205" w14:textId="2C0C338C" w:rsidR="00BE136F" w:rsidRDefault="00EC2F3B" w:rsidP="00EC2F3B">
      <w:pPr>
        <w:pStyle w:val="1"/>
        <w:numPr>
          <w:ilvl w:val="0"/>
          <w:numId w:val="0"/>
        </w:numPr>
        <w:tabs>
          <w:tab w:val="left" w:pos="0"/>
        </w:tabs>
        <w:rPr>
          <w:lang w:eastAsia="x-none"/>
        </w:rPr>
      </w:pPr>
      <w:r>
        <w:rPr>
          <w:lang w:eastAsia="x-none"/>
        </w:rPr>
        <w:t>[3]</w:t>
      </w:r>
      <w:r>
        <w:rPr>
          <w:lang w:eastAsia="x-none"/>
        </w:rPr>
        <w:tab/>
      </w:r>
      <w:r w:rsidR="00BE136F">
        <w:t>Botha’s Attorneys filed a notice of intention to oppose on behalf of all 3 Defendants. On 13 November 2019, they withdrew as attorneys of record on behalf of the Third Defendant because they asserted that they had never been instructed by the Third Defendant.  On the 15</w:t>
      </w:r>
      <w:r w:rsidR="00BE136F" w:rsidRPr="000B1FB0">
        <w:rPr>
          <w:vertAlign w:val="superscript"/>
        </w:rPr>
        <w:t>th</w:t>
      </w:r>
      <w:r w:rsidR="00BE136F">
        <w:t xml:space="preserve"> of November 2022, they withdrew as attorneys of record on behalf of the Second Defendant stating that there is no entity trading as </w:t>
      </w:r>
      <w:r w:rsidR="000B1FB0">
        <w:t>“</w:t>
      </w:r>
      <w:r w:rsidR="00BE136F">
        <w:t>Imperial Logistics</w:t>
      </w:r>
      <w:r w:rsidR="000B1FB0">
        <w:t>”</w:t>
      </w:r>
      <w:r w:rsidR="00BE136F">
        <w:t xml:space="preserve"> in existence as described in the summons and it never instructed Botha’s Attorneys to defend the action. </w:t>
      </w:r>
    </w:p>
    <w:p w14:paraId="3A13A53F" w14:textId="1635E12D" w:rsidR="00E35FCC" w:rsidRDefault="00EC2F3B" w:rsidP="00EC2F3B">
      <w:pPr>
        <w:pStyle w:val="1"/>
        <w:numPr>
          <w:ilvl w:val="0"/>
          <w:numId w:val="0"/>
        </w:numPr>
        <w:tabs>
          <w:tab w:val="left" w:pos="0"/>
        </w:tabs>
      </w:pPr>
      <w:r>
        <w:lastRenderedPageBreak/>
        <w:t>[4]</w:t>
      </w:r>
      <w:r>
        <w:tab/>
      </w:r>
      <w:r w:rsidR="00E35FCC">
        <w:t xml:space="preserve">The pleadings </w:t>
      </w:r>
      <w:r w:rsidR="00BE136F">
        <w:t xml:space="preserve">filed on behalf of the Defendants by Botha’s attorneys </w:t>
      </w:r>
      <w:r w:rsidR="00E35FCC">
        <w:t>deny that the Second Defendant is in existence</w:t>
      </w:r>
      <w:r w:rsidR="00BE136F">
        <w:t xml:space="preserve">, that it </w:t>
      </w:r>
      <w:r w:rsidR="00E35FCC">
        <w:t>is a legal entity and deny that both the First and Second Defendants are owners of the truck</w:t>
      </w:r>
      <w:r w:rsidR="002D3D18">
        <w:t>/trailer</w:t>
      </w:r>
      <w:r w:rsidR="00E35FCC">
        <w:t>.</w:t>
      </w:r>
    </w:p>
    <w:p w14:paraId="76362358" w14:textId="6A7B45E9" w:rsidR="00E35FCC" w:rsidRDefault="00EC2F3B" w:rsidP="00EC2F3B">
      <w:pPr>
        <w:pStyle w:val="1"/>
        <w:numPr>
          <w:ilvl w:val="0"/>
          <w:numId w:val="0"/>
        </w:numPr>
        <w:tabs>
          <w:tab w:val="left" w:pos="0"/>
        </w:tabs>
      </w:pPr>
      <w:r>
        <w:t>[5]</w:t>
      </w:r>
      <w:r>
        <w:tab/>
      </w:r>
      <w:r w:rsidR="00E35FCC">
        <w:t xml:space="preserve">In response to Plaintiff’s notice in terms of Rule 14(5), the Second Defendant indicated that it is not a firm, and that </w:t>
      </w:r>
      <w:r w:rsidR="000B1FB0">
        <w:t>“</w:t>
      </w:r>
      <w:r w:rsidR="00E35FCC">
        <w:t>Imperial Logistics</w:t>
      </w:r>
      <w:r w:rsidR="000B1FB0">
        <w:t>”</w:t>
      </w:r>
      <w:r w:rsidR="00E35FCC">
        <w:t xml:space="preserve"> is nothing more than a brand name.</w:t>
      </w:r>
      <w:r w:rsidR="00BE136F">
        <w:t xml:space="preserve"> Of what I do not know.</w:t>
      </w:r>
    </w:p>
    <w:p w14:paraId="0E8F1AE2" w14:textId="6D0B6DAC" w:rsidR="00E35FCC" w:rsidRDefault="00EC2F3B" w:rsidP="00EC2F3B">
      <w:pPr>
        <w:pStyle w:val="1"/>
        <w:numPr>
          <w:ilvl w:val="0"/>
          <w:numId w:val="0"/>
        </w:numPr>
        <w:tabs>
          <w:tab w:val="left" w:pos="0"/>
        </w:tabs>
      </w:pPr>
      <w:r>
        <w:t>[6]</w:t>
      </w:r>
      <w:r>
        <w:tab/>
      </w:r>
      <w:r w:rsidR="00E35FCC">
        <w:t>Initially</w:t>
      </w:r>
      <w:r w:rsidR="002D3D18">
        <w:t xml:space="preserve"> (and prior to the withdrawal of Botha’s Attorneys)</w:t>
      </w:r>
      <w:r w:rsidR="00E35FCC">
        <w:t xml:space="preserve"> a discovery affidavit was filed by the Defendants jointly.</w:t>
      </w:r>
      <w:r w:rsidR="002D3D18">
        <w:t xml:space="preserve"> </w:t>
      </w:r>
      <w:r w:rsidR="00E35FCC">
        <w:t xml:space="preserve">The discovery affidavit was deposed to by the legal adviser of </w:t>
      </w:r>
      <w:proofErr w:type="spellStart"/>
      <w:r w:rsidR="00E35FCC">
        <w:t>Hollard</w:t>
      </w:r>
      <w:proofErr w:type="spellEnd"/>
      <w:r w:rsidR="00E35FCC">
        <w:t xml:space="preserve"> Specialist Insurance Limited (</w:t>
      </w:r>
      <w:r w:rsidR="002D3D18">
        <w:t>‘</w:t>
      </w:r>
      <w:proofErr w:type="spellStart"/>
      <w:r w:rsidR="00E35FCC" w:rsidRPr="002D3D18">
        <w:rPr>
          <w:i/>
          <w:iCs w:val="0"/>
        </w:rPr>
        <w:t>Hollard</w:t>
      </w:r>
      <w:proofErr w:type="spellEnd"/>
      <w:r w:rsidR="002D3D18">
        <w:t>’</w:t>
      </w:r>
      <w:r w:rsidR="00E35FCC">
        <w:t>).</w:t>
      </w:r>
      <w:r w:rsidR="002D3D18">
        <w:t xml:space="preserve"> </w:t>
      </w:r>
      <w:proofErr w:type="spellStart"/>
      <w:r w:rsidR="00E35FCC">
        <w:t>Hollard</w:t>
      </w:r>
      <w:proofErr w:type="spellEnd"/>
      <w:r w:rsidR="00E35FCC">
        <w:t xml:space="preserve"> indicated that it was obliged to take over any action that might be instituted involving the truck</w:t>
      </w:r>
      <w:r w:rsidR="002D3D18">
        <w:t>/trailer</w:t>
      </w:r>
      <w:r w:rsidR="00E35FCC">
        <w:t>.</w:t>
      </w:r>
      <w:r w:rsidR="002D3D18">
        <w:t xml:space="preserve"> </w:t>
      </w:r>
      <w:r w:rsidR="00BE136F">
        <w:t xml:space="preserve">That necessarily implies that there is an insured, an insurance policy and an insurable interest in the truck/trailer. </w:t>
      </w:r>
      <w:r w:rsidR="00E35FCC">
        <w:t>Amongst the documents discovered w</w:t>
      </w:r>
      <w:r w:rsidR="002D3D18">
        <w:t>as</w:t>
      </w:r>
      <w:r w:rsidR="00E35FCC">
        <w:t xml:space="preserve"> the salary payment history of the Third Defendant, certificates of registration of the truck</w:t>
      </w:r>
      <w:r w:rsidR="002D3D18">
        <w:t>/trailer</w:t>
      </w:r>
      <w:r w:rsidR="00E35FCC">
        <w:t xml:space="preserve"> and licences of the truck</w:t>
      </w:r>
      <w:r w:rsidR="002D3D18">
        <w:t>/trailer</w:t>
      </w:r>
      <w:r w:rsidR="00E35FCC">
        <w:t>.</w:t>
      </w:r>
      <w:r w:rsidR="00782819">
        <w:t xml:space="preserve"> These documents did not</w:t>
      </w:r>
      <w:r w:rsidR="00BE136F">
        <w:t>,</w:t>
      </w:r>
      <w:r w:rsidR="00782819">
        <w:t xml:space="preserve"> however, cast light on the identity of the owner of the truck/trailer.</w:t>
      </w:r>
    </w:p>
    <w:p w14:paraId="1D6A99BB" w14:textId="47D90E6E" w:rsidR="00E35FCC" w:rsidRDefault="00EC2F3B" w:rsidP="00EC2F3B">
      <w:pPr>
        <w:pStyle w:val="1"/>
        <w:numPr>
          <w:ilvl w:val="0"/>
          <w:numId w:val="0"/>
        </w:numPr>
        <w:tabs>
          <w:tab w:val="left" w:pos="0"/>
        </w:tabs>
      </w:pPr>
      <w:r>
        <w:t>[7]</w:t>
      </w:r>
      <w:r>
        <w:tab/>
      </w:r>
      <w:r w:rsidR="002D3D18">
        <w:t>After</w:t>
      </w:r>
      <w:r w:rsidR="00E35FCC">
        <w:t xml:space="preserve"> </w:t>
      </w:r>
      <w:r w:rsidR="000B1FB0">
        <w:t xml:space="preserve">the </w:t>
      </w:r>
      <w:r w:rsidR="00E35FCC">
        <w:t xml:space="preserve">launching of this application, the First Defendant made discovery in its own name, however, has now failed to make discovery of the documents previously discovered.  </w:t>
      </w:r>
    </w:p>
    <w:p w14:paraId="5E04833D" w14:textId="3E7FCC9A" w:rsidR="00E35FCC" w:rsidRDefault="00EC2F3B" w:rsidP="00EC2F3B">
      <w:pPr>
        <w:pStyle w:val="1"/>
        <w:numPr>
          <w:ilvl w:val="0"/>
          <w:numId w:val="0"/>
        </w:numPr>
        <w:tabs>
          <w:tab w:val="left" w:pos="0"/>
        </w:tabs>
      </w:pPr>
      <w:r>
        <w:t>[8]</w:t>
      </w:r>
      <w:r>
        <w:tab/>
      </w:r>
      <w:r w:rsidR="00E35FCC">
        <w:t xml:space="preserve">No proper discovery affidavit has been filed by the Second Defendant and the discovery affidavit on behalf of </w:t>
      </w:r>
      <w:proofErr w:type="spellStart"/>
      <w:r w:rsidR="00E35FCC">
        <w:t>Hollard</w:t>
      </w:r>
      <w:proofErr w:type="spellEnd"/>
      <w:r w:rsidR="00BE136F">
        <w:t xml:space="preserve">, which is not a party but which is evidently the insurer of some person juristic or otherwise with an insurable interest in the truck/trailer, </w:t>
      </w:r>
      <w:r w:rsidR="002D3D18">
        <w:t>remains</w:t>
      </w:r>
      <w:r w:rsidR="00E35FCC">
        <w:t>.</w:t>
      </w:r>
    </w:p>
    <w:p w14:paraId="6E2BACE6" w14:textId="3BFB9B40" w:rsidR="00E35FCC" w:rsidRDefault="00EC2F3B" w:rsidP="00EC2F3B">
      <w:pPr>
        <w:pStyle w:val="1"/>
        <w:numPr>
          <w:ilvl w:val="0"/>
          <w:numId w:val="0"/>
        </w:numPr>
        <w:tabs>
          <w:tab w:val="left" w:pos="0"/>
        </w:tabs>
      </w:pPr>
      <w:r>
        <w:t>[9]</w:t>
      </w:r>
      <w:r>
        <w:tab/>
      </w:r>
      <w:r w:rsidR="00E35FCC">
        <w:t xml:space="preserve">In response to a request for further particulars, the Defendants indicated that </w:t>
      </w:r>
      <w:proofErr w:type="spellStart"/>
      <w:r w:rsidR="00E35FCC">
        <w:t>Hollard</w:t>
      </w:r>
      <w:proofErr w:type="spellEnd"/>
      <w:r w:rsidR="00E35FCC">
        <w:t xml:space="preserve"> gave an instruction to the Defendant’s attorneys to act on behalf of the Second Defendant.  </w:t>
      </w:r>
    </w:p>
    <w:p w14:paraId="1C94E96B" w14:textId="12F78024" w:rsidR="00E35FCC" w:rsidRDefault="00EC2F3B" w:rsidP="00EC2F3B">
      <w:pPr>
        <w:pStyle w:val="1"/>
        <w:numPr>
          <w:ilvl w:val="0"/>
          <w:numId w:val="0"/>
        </w:numPr>
        <w:tabs>
          <w:tab w:val="left" w:pos="0"/>
        </w:tabs>
      </w:pPr>
      <w:r>
        <w:lastRenderedPageBreak/>
        <w:t>[10]</w:t>
      </w:r>
      <w:r>
        <w:tab/>
      </w:r>
      <w:proofErr w:type="spellStart"/>
      <w:r w:rsidR="00E35FCC">
        <w:t>Hollard</w:t>
      </w:r>
      <w:proofErr w:type="spellEnd"/>
      <w:r w:rsidR="00E35FCC">
        <w:t xml:space="preserve"> </w:t>
      </w:r>
      <w:r w:rsidR="00782819">
        <w:t>appears to be</w:t>
      </w:r>
      <w:r w:rsidR="002D3D18">
        <w:t xml:space="preserve"> </w:t>
      </w:r>
      <w:r w:rsidR="00E35FCC">
        <w:t xml:space="preserve">acting </w:t>
      </w:r>
      <w:r w:rsidR="002D3D18">
        <w:t>for the owner of the truck/trailer</w:t>
      </w:r>
      <w:r w:rsidR="00E35FCC">
        <w:t xml:space="preserve"> </w:t>
      </w:r>
      <w:r w:rsidR="002D3D18">
        <w:t>whom it has insured</w:t>
      </w:r>
      <w:r w:rsidR="00BE136F">
        <w:t>, but it remains coy as to the identity of its client</w:t>
      </w:r>
      <w:r w:rsidR="002D3D18">
        <w:t>.</w:t>
      </w:r>
    </w:p>
    <w:p w14:paraId="3A1DB621" w14:textId="77777777" w:rsidR="002D3D18" w:rsidRDefault="002D3D18" w:rsidP="002D3D18">
      <w:pPr>
        <w:pStyle w:val="1"/>
        <w:numPr>
          <w:ilvl w:val="0"/>
          <w:numId w:val="0"/>
        </w:numPr>
      </w:pPr>
    </w:p>
    <w:p w14:paraId="61B2C6EC" w14:textId="2E9B5EB8" w:rsidR="002D3D18" w:rsidRPr="002D3D18" w:rsidRDefault="002D3D18" w:rsidP="002D3D18">
      <w:pPr>
        <w:pStyle w:val="1"/>
        <w:numPr>
          <w:ilvl w:val="0"/>
          <w:numId w:val="0"/>
        </w:numPr>
        <w:rPr>
          <w:b/>
          <w:bCs/>
        </w:rPr>
      </w:pPr>
      <w:r w:rsidRPr="002D3D18">
        <w:rPr>
          <w:b/>
          <w:bCs/>
        </w:rPr>
        <w:t>Who is the Second Defendant?</w:t>
      </w:r>
    </w:p>
    <w:p w14:paraId="067B7D3A" w14:textId="0CAE3A19" w:rsidR="00BE136F" w:rsidRDefault="00EC2F3B" w:rsidP="00EC2F3B">
      <w:pPr>
        <w:pStyle w:val="1"/>
        <w:numPr>
          <w:ilvl w:val="0"/>
          <w:numId w:val="0"/>
        </w:numPr>
        <w:tabs>
          <w:tab w:val="left" w:pos="0"/>
        </w:tabs>
      </w:pPr>
      <w:r>
        <w:t>[11]</w:t>
      </w:r>
      <w:r>
        <w:tab/>
      </w:r>
      <w:r w:rsidR="002D3D18">
        <w:t xml:space="preserve">Mr Botha of Botha’s Attorneys, deposed to the answering affidavit in opposition to this application to compel. In it he said that the Second Defendant does not exist. </w:t>
      </w:r>
      <w:r w:rsidR="00BE136F">
        <w:t xml:space="preserve">How an appearance to defend can be entered by a firm of attorneys on behalf of a non-existent entity is difficult to comprehend. </w:t>
      </w:r>
      <w:r w:rsidR="002D3D18">
        <w:t>He explained that the summons intended for the Second Defendant was served at an address which he defined as ‘</w:t>
      </w:r>
      <w:r w:rsidR="002D3D18" w:rsidRPr="002D3D18">
        <w:rPr>
          <w:i/>
          <w:iCs w:val="0"/>
        </w:rPr>
        <w:t>the premises’</w:t>
      </w:r>
      <w:r w:rsidR="002D3D18">
        <w:t xml:space="preserve">. </w:t>
      </w:r>
      <w:r w:rsidR="000B1FB0">
        <w:t>According to Mr Botha upon</w:t>
      </w:r>
      <w:r w:rsidR="002D3D18">
        <w:t xml:space="preserve"> receipt of the summons, the </w:t>
      </w:r>
      <w:r w:rsidR="00BE136F">
        <w:t xml:space="preserve">unnamed </w:t>
      </w:r>
      <w:r w:rsidR="002D3D18">
        <w:t>entity</w:t>
      </w:r>
      <w:r w:rsidR="000B1FB0">
        <w:t>,</w:t>
      </w:r>
      <w:r w:rsidR="002D3D18">
        <w:t xml:space="preserve"> which occupies the premises (</w:t>
      </w:r>
      <w:r w:rsidR="00BE136F">
        <w:t xml:space="preserve">which I shall hereafter refer to as </w:t>
      </w:r>
      <w:r w:rsidR="002D3D18">
        <w:t>‘</w:t>
      </w:r>
      <w:r w:rsidR="002D3D18" w:rsidRPr="002D3D18">
        <w:rPr>
          <w:i/>
          <w:iCs w:val="0"/>
        </w:rPr>
        <w:t>the Phantom’</w:t>
      </w:r>
      <w:r w:rsidR="002D3D18">
        <w:t>)</w:t>
      </w:r>
      <w:r w:rsidR="000B1FB0">
        <w:t>,</w:t>
      </w:r>
      <w:r w:rsidR="002D3D18">
        <w:t xml:space="preserve"> notified </w:t>
      </w:r>
      <w:proofErr w:type="spellStart"/>
      <w:r w:rsidR="002D3D18">
        <w:t>Hollard</w:t>
      </w:r>
      <w:proofErr w:type="spellEnd"/>
      <w:r w:rsidR="000B1FB0">
        <w:t xml:space="preserve"> </w:t>
      </w:r>
      <w:r w:rsidR="002D3D18">
        <w:t xml:space="preserve">as the Phantom was concerned that if judgment were granted against the non-existent Second Defendant, the Sheriff might attempt to attach the assets at the premises which are the assets of the Phantom. </w:t>
      </w:r>
    </w:p>
    <w:p w14:paraId="7FA9570D" w14:textId="19DB49E3" w:rsidR="00516D93" w:rsidRDefault="00EC2F3B" w:rsidP="00EC2F3B">
      <w:pPr>
        <w:pStyle w:val="1"/>
        <w:numPr>
          <w:ilvl w:val="0"/>
          <w:numId w:val="0"/>
        </w:numPr>
        <w:tabs>
          <w:tab w:val="left" w:pos="0"/>
        </w:tabs>
      </w:pPr>
      <w:r>
        <w:t>[12]</w:t>
      </w:r>
      <w:r>
        <w:tab/>
      </w:r>
      <w:r w:rsidR="002D3D18">
        <w:t xml:space="preserve">Mr Botha then repeated what was stated in paragraph 1.4 of the Plea being that: </w:t>
      </w:r>
    </w:p>
    <w:p w14:paraId="3CECFE43" w14:textId="77777777" w:rsidR="000B1FB0" w:rsidRDefault="000B1FB0" w:rsidP="000B1FB0">
      <w:pPr>
        <w:pStyle w:val="1"/>
        <w:numPr>
          <w:ilvl w:val="0"/>
          <w:numId w:val="0"/>
        </w:numPr>
        <w:tabs>
          <w:tab w:val="clear" w:pos="567"/>
        </w:tabs>
      </w:pPr>
    </w:p>
    <w:p w14:paraId="37D7062E" w14:textId="0F2619B7" w:rsidR="002D3D18" w:rsidRDefault="002D3D18" w:rsidP="002D3D18">
      <w:pPr>
        <w:pStyle w:val="1"/>
        <w:numPr>
          <w:ilvl w:val="0"/>
          <w:numId w:val="0"/>
        </w:numPr>
        <w:spacing w:line="360" w:lineRule="auto"/>
        <w:ind w:left="1134"/>
        <w:rPr>
          <w:sz w:val="22"/>
        </w:rPr>
      </w:pPr>
      <w:r w:rsidRPr="002D3D18">
        <w:rPr>
          <w:sz w:val="22"/>
        </w:rPr>
        <w:t>‘Botha</w:t>
      </w:r>
      <w:r w:rsidR="00BE136F">
        <w:rPr>
          <w:sz w:val="22"/>
        </w:rPr>
        <w:t>’</w:t>
      </w:r>
      <w:r w:rsidRPr="002D3D18">
        <w:rPr>
          <w:sz w:val="22"/>
        </w:rPr>
        <w:t>s Attorneys entered an appearance to defend on behalf of the Second Defendant on the understanding, and wrongfully so, that there is indeed such an entity as described in paragraph 3 of the Plaintiff’s particulars of claim and furthermore to protect the interest of such entity on which the summons was in fact served as far as it may be necessary.’</w:t>
      </w:r>
    </w:p>
    <w:p w14:paraId="206838FD" w14:textId="77777777" w:rsidR="002D3D18" w:rsidRPr="002D3D18" w:rsidRDefault="002D3D18" w:rsidP="002D3D18">
      <w:pPr>
        <w:pStyle w:val="1"/>
        <w:numPr>
          <w:ilvl w:val="0"/>
          <w:numId w:val="0"/>
        </w:numPr>
        <w:spacing w:line="360" w:lineRule="auto"/>
        <w:ind w:left="1134"/>
        <w:rPr>
          <w:sz w:val="22"/>
        </w:rPr>
      </w:pPr>
    </w:p>
    <w:p w14:paraId="5E455592" w14:textId="5D978BCE" w:rsidR="002D3D18" w:rsidRDefault="00EC2F3B" w:rsidP="00EC2F3B">
      <w:pPr>
        <w:pStyle w:val="1"/>
        <w:numPr>
          <w:ilvl w:val="0"/>
          <w:numId w:val="0"/>
        </w:numPr>
        <w:tabs>
          <w:tab w:val="left" w:pos="0"/>
        </w:tabs>
      </w:pPr>
      <w:r>
        <w:t>[13]</w:t>
      </w:r>
      <w:r>
        <w:tab/>
      </w:r>
      <w:r w:rsidR="002D3D18">
        <w:t xml:space="preserve">He </w:t>
      </w:r>
      <w:r w:rsidR="00516D93">
        <w:t xml:space="preserve">does not explain why he wanted to protect an entity that was not his client. Mr Botha </w:t>
      </w:r>
      <w:r w:rsidR="002D3D18">
        <w:t xml:space="preserve">also stated in the answering affidavit that the Plaintiff is now in possession of a discovery affidavit deposed to by a representative of the First Defendant and one deposed to by a representative of </w:t>
      </w:r>
      <w:proofErr w:type="spellStart"/>
      <w:r w:rsidR="002D3D18">
        <w:t>Hollard</w:t>
      </w:r>
      <w:proofErr w:type="spellEnd"/>
      <w:r w:rsidR="002D3D18">
        <w:t xml:space="preserve"> acting on instructions of the Phantom because, he repeated, there was nobody to depose to such affidavit on behalf on the </w:t>
      </w:r>
      <w:r w:rsidR="002D3D18">
        <w:lastRenderedPageBreak/>
        <w:t xml:space="preserve">non-existent Second Defendant as no such entity exists but that </w:t>
      </w:r>
      <w:proofErr w:type="spellStart"/>
      <w:r w:rsidR="002D3D18">
        <w:t>Hollard</w:t>
      </w:r>
      <w:proofErr w:type="spellEnd"/>
      <w:r w:rsidR="002D3D18">
        <w:t xml:space="preserve"> sought to protect the interests of the Phantom.</w:t>
      </w:r>
    </w:p>
    <w:p w14:paraId="73535EBE" w14:textId="4320D4FB" w:rsidR="0072768F" w:rsidRDefault="00EC2F3B" w:rsidP="00EC2F3B">
      <w:pPr>
        <w:pStyle w:val="1"/>
        <w:numPr>
          <w:ilvl w:val="0"/>
          <w:numId w:val="0"/>
        </w:numPr>
        <w:tabs>
          <w:tab w:val="left" w:pos="0"/>
        </w:tabs>
      </w:pPr>
      <w:r>
        <w:t>[14]</w:t>
      </w:r>
      <w:r>
        <w:tab/>
      </w:r>
      <w:r w:rsidR="002D3D18">
        <w:t xml:space="preserve"> Mr Dobie, representing the Plaintiff, argued that I should grant an order against th</w:t>
      </w:r>
      <w:r w:rsidR="00782819">
        <w:t>e non-existent Second Defendant</w:t>
      </w:r>
      <w:r w:rsidR="002D3D18">
        <w:t xml:space="preserve"> and that rule 14 caters for this very situation. Mr </w:t>
      </w:r>
      <w:proofErr w:type="spellStart"/>
      <w:r w:rsidR="002D3D18">
        <w:t>Bothma</w:t>
      </w:r>
      <w:proofErr w:type="spellEnd"/>
      <w:r w:rsidR="002D3D18">
        <w:t xml:space="preserve"> SC, representing the First Defendant</w:t>
      </w:r>
      <w:r w:rsidR="00516D93">
        <w:t>,</w:t>
      </w:r>
      <w:r w:rsidR="002D3D18">
        <w:t xml:space="preserve"> and conceding that he holds no brief for </w:t>
      </w:r>
      <w:r w:rsidR="00782819">
        <w:t>the non-existent Second Defendant</w:t>
      </w:r>
      <w:r w:rsidR="00516D93">
        <w:t>,</w:t>
      </w:r>
      <w:r w:rsidR="002D3D18">
        <w:t xml:space="preserve"> argued that the application of rule 14 in this manner would be incompetent. </w:t>
      </w:r>
    </w:p>
    <w:p w14:paraId="65905387" w14:textId="3F1FD450" w:rsidR="00782819" w:rsidRDefault="00EC2F3B" w:rsidP="00EC2F3B">
      <w:pPr>
        <w:pStyle w:val="1"/>
        <w:numPr>
          <w:ilvl w:val="0"/>
          <w:numId w:val="0"/>
        </w:numPr>
        <w:tabs>
          <w:tab w:val="left" w:pos="0"/>
        </w:tabs>
      </w:pPr>
      <w:r>
        <w:t>[15]</w:t>
      </w:r>
      <w:r>
        <w:tab/>
      </w:r>
      <w:r w:rsidR="00516D93">
        <w:t>Rule 14 provides:</w:t>
      </w:r>
    </w:p>
    <w:p w14:paraId="1947C730" w14:textId="4D47D4DF" w:rsidR="00516D93" w:rsidRPr="000B1FB0" w:rsidRDefault="00516D93" w:rsidP="000B1FB0">
      <w:pPr>
        <w:spacing w:before="100" w:beforeAutospacing="1" w:after="100" w:afterAutospacing="1" w:line="360" w:lineRule="auto"/>
        <w:rPr>
          <w:rFonts w:ascii="Times New Roman" w:hAnsi="Times New Roman"/>
          <w:sz w:val="22"/>
          <w:szCs w:val="22"/>
          <w:lang w:val="en-ZA" w:eastAsia="en-GB"/>
        </w:rPr>
      </w:pPr>
      <w:r w:rsidRPr="000B1FB0">
        <w:rPr>
          <w:rFonts w:cs="Arial"/>
          <w:b/>
          <w:bCs/>
          <w:sz w:val="22"/>
          <w:szCs w:val="22"/>
          <w:lang w:val="en-ZA" w:eastAsia="en-GB"/>
        </w:rPr>
        <w:t xml:space="preserve">“14. Proceedings by and against partnerships, firms and associations </w:t>
      </w:r>
    </w:p>
    <w:p w14:paraId="6D5AFC27" w14:textId="66A766CE" w:rsidR="00516D93" w:rsidRPr="00EC2F3B" w:rsidRDefault="00EC2F3B" w:rsidP="00EC2F3B">
      <w:pPr>
        <w:spacing w:before="100" w:beforeAutospacing="1" w:after="100" w:afterAutospacing="1"/>
        <w:ind w:left="1080" w:hanging="360"/>
        <w:rPr>
          <w:rFonts w:ascii="ArialMT" w:hAnsi="ArialMT"/>
          <w:szCs w:val="22"/>
          <w:lang w:val="en-ZA" w:eastAsia="en-GB"/>
        </w:rPr>
      </w:pPr>
      <w:r w:rsidRPr="000B1FB0">
        <w:rPr>
          <w:rFonts w:ascii="ArialMT" w:hAnsi="ArialMT"/>
          <w:sz w:val="22"/>
          <w:szCs w:val="22"/>
          <w:lang w:val="en-ZA" w:eastAsia="en-GB"/>
        </w:rPr>
        <w:t>(1)</w:t>
      </w:r>
      <w:r w:rsidRPr="000B1FB0">
        <w:rPr>
          <w:rFonts w:ascii="ArialMT" w:hAnsi="ArialMT"/>
          <w:sz w:val="22"/>
          <w:szCs w:val="22"/>
          <w:lang w:val="en-ZA" w:eastAsia="en-GB"/>
        </w:rPr>
        <w:tab/>
      </w:r>
      <w:r w:rsidR="00516D93" w:rsidRPr="00EC2F3B">
        <w:rPr>
          <w:rFonts w:ascii="ArialMT" w:hAnsi="ArialMT"/>
          <w:szCs w:val="22"/>
          <w:lang w:val="en-ZA" w:eastAsia="en-GB"/>
        </w:rPr>
        <w:t>In this rule—</w:t>
      </w:r>
    </w:p>
    <w:p w14:paraId="71B12CEA" w14:textId="3E160217" w:rsidR="00516D93" w:rsidRPr="000B1FB0" w:rsidRDefault="00516D93" w:rsidP="000B1FB0">
      <w:pPr>
        <w:pStyle w:val="ListParagraph"/>
        <w:numPr>
          <w:ilvl w:val="0"/>
          <w:numId w:val="0"/>
        </w:numPr>
        <w:spacing w:before="100" w:beforeAutospacing="1" w:after="100" w:afterAutospacing="1"/>
        <w:ind w:left="1080"/>
        <w:rPr>
          <w:rFonts w:ascii="Times New Roman" w:hAnsi="Times New Roman"/>
          <w:szCs w:val="22"/>
          <w:lang w:val="en-ZA" w:eastAsia="en-GB"/>
        </w:rPr>
      </w:pPr>
      <w:r w:rsidRPr="000B1FB0">
        <w:rPr>
          <w:rFonts w:ascii="ArialMT" w:hAnsi="ArialMT"/>
          <w:szCs w:val="22"/>
          <w:lang w:val="en-ZA" w:eastAsia="en-GB"/>
        </w:rPr>
        <w:t xml:space="preserve">“Association” means any unincorporated body of persons, not being a partnership. </w:t>
      </w:r>
    </w:p>
    <w:p w14:paraId="00E86221" w14:textId="6166536D" w:rsidR="00516D93" w:rsidRPr="000B1FB0" w:rsidRDefault="00516D93" w:rsidP="000B1FB0">
      <w:pPr>
        <w:spacing w:before="100" w:beforeAutospacing="1" w:after="100" w:afterAutospacing="1"/>
        <w:ind w:left="1080"/>
        <w:rPr>
          <w:rFonts w:ascii="Times New Roman" w:hAnsi="Times New Roman"/>
          <w:sz w:val="22"/>
          <w:szCs w:val="22"/>
          <w:lang w:val="en-ZA" w:eastAsia="en-GB"/>
        </w:rPr>
      </w:pPr>
      <w:r w:rsidRPr="000B1FB0">
        <w:rPr>
          <w:rFonts w:ascii="ArialMT" w:hAnsi="ArialMT"/>
          <w:sz w:val="22"/>
          <w:szCs w:val="22"/>
          <w:lang w:val="en-ZA" w:eastAsia="en-GB"/>
        </w:rPr>
        <w:t xml:space="preserve">“Firm” means a business, including a business carried on by a body corporate, carried on by the sole proprietor thereof under a name other than his own. </w:t>
      </w:r>
    </w:p>
    <w:p w14:paraId="355596A5" w14:textId="77777777" w:rsidR="00516D93" w:rsidRPr="000B1FB0" w:rsidRDefault="00516D93" w:rsidP="000B1FB0">
      <w:pPr>
        <w:spacing w:before="100" w:beforeAutospacing="1" w:after="100" w:afterAutospacing="1"/>
        <w:ind w:left="1080"/>
        <w:rPr>
          <w:rFonts w:ascii="ArialMT" w:hAnsi="ArialMT"/>
          <w:sz w:val="22"/>
          <w:szCs w:val="22"/>
          <w:lang w:val="en-ZA" w:eastAsia="en-GB"/>
        </w:rPr>
      </w:pPr>
      <w:r w:rsidRPr="000B1FB0">
        <w:rPr>
          <w:rFonts w:ascii="ArialMT" w:hAnsi="ArialMT"/>
          <w:sz w:val="22"/>
          <w:szCs w:val="22"/>
          <w:lang w:val="en-ZA" w:eastAsia="en-GB"/>
        </w:rPr>
        <w:t xml:space="preserve">“Plaintiff” and “Defendant” include applicant and respondent. </w:t>
      </w:r>
    </w:p>
    <w:p w14:paraId="2870425D" w14:textId="77777777" w:rsidR="00516D93" w:rsidRPr="000B1FB0" w:rsidRDefault="00516D93" w:rsidP="000B1FB0">
      <w:pPr>
        <w:spacing w:before="100" w:beforeAutospacing="1" w:after="100" w:afterAutospacing="1"/>
        <w:ind w:left="1080"/>
        <w:rPr>
          <w:rFonts w:ascii="ArialMT" w:hAnsi="ArialMT"/>
          <w:sz w:val="22"/>
          <w:szCs w:val="22"/>
          <w:lang w:val="en-ZA" w:eastAsia="en-GB"/>
        </w:rPr>
      </w:pPr>
      <w:r w:rsidRPr="000B1FB0">
        <w:rPr>
          <w:rFonts w:ascii="ArialMT" w:hAnsi="ArialMT"/>
          <w:sz w:val="22"/>
          <w:szCs w:val="22"/>
          <w:lang w:val="en-ZA" w:eastAsia="en-GB"/>
        </w:rPr>
        <w:t xml:space="preserve">“Relevant date” means the date of accrual of the cause of action. </w:t>
      </w:r>
    </w:p>
    <w:p w14:paraId="0605CF7D" w14:textId="22FD0859" w:rsidR="00516D93" w:rsidRPr="000B1FB0" w:rsidRDefault="00516D93" w:rsidP="000B1FB0">
      <w:pPr>
        <w:spacing w:before="100" w:beforeAutospacing="1" w:after="100" w:afterAutospacing="1"/>
        <w:ind w:left="1080"/>
        <w:rPr>
          <w:rFonts w:ascii="Times New Roman" w:hAnsi="Times New Roman"/>
          <w:sz w:val="22"/>
          <w:szCs w:val="22"/>
          <w:lang w:val="en-ZA" w:eastAsia="en-GB"/>
        </w:rPr>
      </w:pPr>
      <w:r w:rsidRPr="000B1FB0">
        <w:rPr>
          <w:rFonts w:ascii="ArialMT" w:hAnsi="ArialMT"/>
          <w:sz w:val="22"/>
          <w:szCs w:val="22"/>
          <w:lang w:val="en-ZA" w:eastAsia="en-GB"/>
        </w:rPr>
        <w:t xml:space="preserve">“Sue” and “sued” are used in relation to actions and applications. </w:t>
      </w:r>
    </w:p>
    <w:p w14:paraId="6F3F6066" w14:textId="002AD3A3"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 xml:space="preserve">(2)  A partnership, a firm or an association may sue or be sued in its name. </w:t>
      </w:r>
    </w:p>
    <w:p w14:paraId="6D620AAF" w14:textId="77777777"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 xml:space="preserve">(3)  A plaintiff suing a partnership need not allege the names of the partners. If he does, any error of omission or inclusion shall not afford a defence to the partnership. </w:t>
      </w:r>
    </w:p>
    <w:p w14:paraId="6540CF7D" w14:textId="77777777"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 xml:space="preserve">(4)  The previous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shall apply mutatis mutandis to a plaintiff suing a firm. </w:t>
      </w:r>
    </w:p>
    <w:p w14:paraId="6F6310EB" w14:textId="2FFD1BEB" w:rsidR="00516D93" w:rsidRPr="000B1FB0" w:rsidRDefault="00516D93" w:rsidP="000B1FB0">
      <w:pPr>
        <w:spacing w:before="100" w:beforeAutospacing="1" w:after="100" w:afterAutospacing="1"/>
        <w:ind w:left="1440" w:hanging="720"/>
        <w:rPr>
          <w:rFonts w:ascii="Times New Roman" w:hAnsi="Times New Roman"/>
          <w:sz w:val="22"/>
          <w:szCs w:val="22"/>
          <w:lang w:val="en-ZA" w:eastAsia="en-GB"/>
        </w:rPr>
      </w:pPr>
      <w:r w:rsidRPr="000B1FB0">
        <w:rPr>
          <w:rFonts w:ascii="ArialMT" w:hAnsi="ArialMT"/>
          <w:sz w:val="22"/>
          <w:szCs w:val="22"/>
          <w:lang w:val="en-ZA" w:eastAsia="en-GB"/>
        </w:rPr>
        <w:t>(5)</w:t>
      </w:r>
      <w:r w:rsidRPr="000B1FB0">
        <w:rPr>
          <w:rFonts w:ascii="ArialMT" w:hAnsi="ArialMT"/>
          <w:sz w:val="22"/>
          <w:szCs w:val="22"/>
          <w:lang w:val="en-ZA" w:eastAsia="en-GB"/>
        </w:rPr>
        <w:tab/>
        <w:t xml:space="preserve">(a) A plaintiff suing a firm or a partnership may at any time before or after judgment deliver to the defendant a notice calling for particulars as to the full name and residential address of the proprietor or of each partner, as the case may be, as at the relevant date. </w:t>
      </w:r>
    </w:p>
    <w:p w14:paraId="2B573BDB" w14:textId="6DAF5332" w:rsidR="00516D93" w:rsidRPr="000B1FB0" w:rsidRDefault="00516D93" w:rsidP="000B1FB0">
      <w:pPr>
        <w:spacing w:before="100" w:beforeAutospacing="1" w:after="100" w:afterAutospacing="1"/>
        <w:ind w:left="720" w:firstLine="720"/>
        <w:rPr>
          <w:rFonts w:ascii="Times New Roman" w:hAnsi="Times New Roman"/>
          <w:sz w:val="22"/>
          <w:szCs w:val="22"/>
          <w:lang w:val="en-ZA" w:eastAsia="en-GB"/>
        </w:rPr>
      </w:pPr>
      <w:r w:rsidRPr="000B1FB0">
        <w:rPr>
          <w:rFonts w:ascii="ArialMT" w:hAnsi="ArialMT"/>
          <w:sz w:val="22"/>
          <w:szCs w:val="22"/>
          <w:lang w:val="en-ZA" w:eastAsia="en-GB"/>
        </w:rPr>
        <w:t xml:space="preserve">(b)The defendant shall within 10 days deliver a notice containing such </w:t>
      </w:r>
      <w:r w:rsidR="000B1FB0">
        <w:rPr>
          <w:rFonts w:ascii="ArialMT" w:hAnsi="ArialMT"/>
          <w:sz w:val="22"/>
          <w:szCs w:val="22"/>
          <w:lang w:val="en-ZA" w:eastAsia="en-GB"/>
        </w:rPr>
        <w:t xml:space="preserve">           </w:t>
      </w:r>
      <w:r w:rsidRPr="000B1FB0">
        <w:rPr>
          <w:rFonts w:ascii="ArialMT" w:hAnsi="ArialMT"/>
          <w:sz w:val="22"/>
          <w:szCs w:val="22"/>
          <w:lang w:val="en-ZA" w:eastAsia="en-GB"/>
        </w:rPr>
        <w:t xml:space="preserve">information. </w:t>
      </w:r>
    </w:p>
    <w:p w14:paraId="31A954B0"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(c) Concurrently with the said statement the defendant shall serve upon the persons referred to in paragraph (a) a notice as near as may be mutatis mutandis, in accordance with Form 8 of the First Schedule and deliver proof by affidavit of such service. </w:t>
      </w:r>
    </w:p>
    <w:p w14:paraId="4822C4BF"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lastRenderedPageBreak/>
        <w:t xml:space="preserve">(d)  A plaintiff suing a firm or a partnership and alleging in the summons or notice of motion that any person was at the relevant date the proprietor or a partner, shall notify such person accordingly by delivering a notice as near as may be, mutatis mutandis, in accordance with Form 8 of the First Schedule. </w:t>
      </w:r>
    </w:p>
    <w:p w14:paraId="78E2A0EF"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(e)  Any person served with a notice in terms of paragraph (c) or (d) shall be deemed to be a party to the proceedings, with the rights and duties of a defendant. </w:t>
      </w:r>
    </w:p>
    <w:p w14:paraId="2944F0F4"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(f)  Any party to such proceedings may aver in the pleadings or affidavits that such person was at the relevant date the proprietor or a partner, or that he is estopped from denying such status. </w:t>
      </w:r>
    </w:p>
    <w:p w14:paraId="54DC8B7E"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(g)  If any party to such proceedings disputes such status, the court may at the hearing decide that issue </w:t>
      </w:r>
      <w:r w:rsidRPr="000B1FB0">
        <w:rPr>
          <w:rFonts w:cs="Arial"/>
          <w:i/>
          <w:iCs/>
          <w:sz w:val="22"/>
          <w:szCs w:val="22"/>
          <w:lang w:val="en-ZA" w:eastAsia="en-GB"/>
        </w:rPr>
        <w:t xml:space="preserve">in </w:t>
      </w:r>
      <w:proofErr w:type="spellStart"/>
      <w:r w:rsidRPr="000B1FB0">
        <w:rPr>
          <w:rFonts w:cs="Arial"/>
          <w:i/>
          <w:iCs/>
          <w:sz w:val="22"/>
          <w:szCs w:val="22"/>
          <w:lang w:val="en-ZA" w:eastAsia="en-GB"/>
        </w:rPr>
        <w:t>limine</w:t>
      </w:r>
      <w:proofErr w:type="spellEnd"/>
      <w:r w:rsidRPr="000B1FB0">
        <w:rPr>
          <w:rFonts w:ascii="ArialMT" w:hAnsi="ArialMT"/>
          <w:sz w:val="22"/>
          <w:szCs w:val="22"/>
          <w:lang w:val="en-ZA" w:eastAsia="en-GB"/>
        </w:rPr>
        <w:t xml:space="preserve">. </w:t>
      </w:r>
    </w:p>
    <w:p w14:paraId="2BE04C39"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(h)  Execution in respect of a judgment against a partnership shall first be levied against the assets thereof, and, after such excursion, against the private assets of any person held to be, or held to be estopped from denying his status as, a partner, as if judgment had been entered against him. </w:t>
      </w:r>
    </w:p>
    <w:p w14:paraId="56D8EC50" w14:textId="331EA47B"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 xml:space="preserve">(6)  The preceding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shall apply mutatis mutandis to a defendant sued by a firm or a</w:t>
      </w:r>
      <w:r w:rsidR="00F629A7" w:rsidRPr="000B1FB0">
        <w:rPr>
          <w:rFonts w:ascii="ArialMT" w:hAnsi="ArialMT"/>
          <w:sz w:val="22"/>
          <w:szCs w:val="22"/>
          <w:lang w:val="en-ZA" w:eastAsia="en-GB"/>
        </w:rPr>
        <w:t xml:space="preserve"> </w:t>
      </w:r>
      <w:r w:rsidRPr="000B1FB0">
        <w:rPr>
          <w:rFonts w:ascii="ArialMT" w:hAnsi="ArialMT"/>
          <w:sz w:val="22"/>
          <w:szCs w:val="22"/>
          <w:lang w:val="en-ZA" w:eastAsia="en-GB"/>
        </w:rPr>
        <w:t xml:space="preserve">partnership. </w:t>
      </w:r>
    </w:p>
    <w:p w14:paraId="5AEEAF73" w14:textId="77777777"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 xml:space="preserve">(7)  If a partnership is sued and it appears that since the relevant date it has been dissolved, the proceedings shall nevertheless continue against the persons alleged by the plaintiff or stated by the partnership to be partners, as if sued individually. </w:t>
      </w:r>
    </w:p>
    <w:p w14:paraId="11CDA852" w14:textId="77777777"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 xml:space="preserve">(8)  The preceding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shall apply mutatis mutandis where it appears that a firm has been discontinued. </w:t>
      </w:r>
    </w:p>
    <w:p w14:paraId="2FF5B5E0" w14:textId="55C5855E" w:rsidR="00516D93" w:rsidRPr="000B1FB0" w:rsidRDefault="00516D93" w:rsidP="000B1FB0">
      <w:pPr>
        <w:spacing w:before="100" w:beforeAutospacing="1" w:after="100" w:afterAutospacing="1"/>
        <w:ind w:left="1440" w:hanging="720"/>
        <w:rPr>
          <w:rFonts w:ascii="Times New Roman" w:hAnsi="Times New Roman"/>
          <w:sz w:val="22"/>
          <w:szCs w:val="22"/>
          <w:lang w:val="en-ZA" w:eastAsia="en-GB"/>
        </w:rPr>
      </w:pPr>
      <w:r w:rsidRPr="000B1FB0">
        <w:rPr>
          <w:rFonts w:ascii="ArialMT" w:hAnsi="ArialMT"/>
          <w:sz w:val="22"/>
          <w:szCs w:val="22"/>
          <w:lang w:val="en-ZA" w:eastAsia="en-GB"/>
        </w:rPr>
        <w:t>(9)</w:t>
      </w:r>
      <w:r w:rsidR="00F629A7" w:rsidRPr="000B1FB0">
        <w:rPr>
          <w:rFonts w:ascii="ArialMT" w:hAnsi="ArialMT"/>
          <w:sz w:val="22"/>
          <w:szCs w:val="22"/>
          <w:lang w:val="en-ZA" w:eastAsia="en-GB"/>
        </w:rPr>
        <w:tab/>
      </w:r>
      <w:r w:rsidRPr="000B1FB0">
        <w:rPr>
          <w:rFonts w:ascii="ArialMT" w:hAnsi="ArialMT"/>
          <w:sz w:val="22"/>
          <w:szCs w:val="22"/>
          <w:lang w:val="en-ZA" w:eastAsia="en-GB"/>
        </w:rPr>
        <w:t xml:space="preserve">(a) A plaintiff suing an association may at any time before or after judgment deliver a notice to the defendant calling for a true copy of its current constitution and a list of the names and addresses of the office bearers and their respective offices as at the relevant date. </w:t>
      </w:r>
    </w:p>
    <w:p w14:paraId="78600BA6" w14:textId="77777777" w:rsidR="00516D93" w:rsidRPr="000B1FB0" w:rsidRDefault="00516D93" w:rsidP="000B1FB0">
      <w:pPr>
        <w:spacing w:before="100" w:beforeAutospacing="1" w:after="100" w:afterAutospacing="1"/>
        <w:ind w:left="720" w:firstLine="720"/>
        <w:rPr>
          <w:rFonts w:ascii="Times New Roman" w:hAnsi="Times New Roman"/>
          <w:sz w:val="22"/>
          <w:szCs w:val="22"/>
          <w:lang w:val="en-ZA" w:eastAsia="en-GB"/>
        </w:rPr>
      </w:pPr>
      <w:r w:rsidRPr="000B1FB0">
        <w:rPr>
          <w:rFonts w:ascii="ArialMT" w:hAnsi="ArialMT"/>
          <w:sz w:val="22"/>
          <w:szCs w:val="22"/>
          <w:lang w:val="en-ZA" w:eastAsia="en-GB"/>
        </w:rPr>
        <w:t xml:space="preserve">(b) Such notice shall be complied with within 10 days. </w:t>
      </w:r>
    </w:p>
    <w:p w14:paraId="37991F23"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(c) Paragraphs (a) and (b) shall apply mutatis mutandis to a defendant sued by an association. </w:t>
      </w:r>
    </w:p>
    <w:p w14:paraId="084C4FA5" w14:textId="77777777" w:rsidR="00516D93" w:rsidRPr="000B1FB0" w:rsidRDefault="00516D93" w:rsidP="000B1FB0">
      <w:pPr>
        <w:spacing w:before="100" w:beforeAutospacing="1" w:after="100" w:afterAutospacing="1"/>
        <w:ind w:firstLine="720"/>
        <w:rPr>
          <w:rFonts w:ascii="Times New Roman" w:hAnsi="Times New Roman"/>
          <w:sz w:val="22"/>
          <w:szCs w:val="22"/>
          <w:lang w:val="en-ZA" w:eastAsia="en-GB"/>
        </w:rPr>
      </w:pPr>
      <w:r w:rsidRPr="000B1FB0">
        <w:rPr>
          <w:rFonts w:ascii="ArialMT" w:hAnsi="ArialMT"/>
          <w:sz w:val="22"/>
          <w:szCs w:val="22"/>
          <w:lang w:val="en-ZA" w:eastAsia="en-GB"/>
        </w:rPr>
        <w:t xml:space="preserve">(10)  Paragraphs (d) to (h) of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(5) shall apply mutatis mutandis when— </w:t>
      </w:r>
    </w:p>
    <w:p w14:paraId="72981CD1"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(a) a plaintiff alleges that any member, servant or agent of the defendant association is liable in law for its alleged debt; </w:t>
      </w:r>
    </w:p>
    <w:p w14:paraId="509680C0" w14:textId="77777777" w:rsidR="00516D93" w:rsidRPr="000B1FB0" w:rsidRDefault="00516D93" w:rsidP="000B1FB0">
      <w:pPr>
        <w:spacing w:before="100" w:beforeAutospacing="1" w:after="100" w:afterAutospacing="1"/>
        <w:ind w:left="1440"/>
        <w:rPr>
          <w:rFonts w:ascii="Times New Roman" w:hAnsi="Times New Roman"/>
          <w:sz w:val="22"/>
          <w:szCs w:val="22"/>
          <w:lang w:val="en-ZA" w:eastAsia="en-GB"/>
        </w:rPr>
      </w:pPr>
      <w:r w:rsidRPr="000B1FB0">
        <w:rPr>
          <w:rFonts w:ascii="ArialMT" w:hAnsi="ArialMT"/>
          <w:sz w:val="22"/>
          <w:szCs w:val="22"/>
          <w:lang w:val="en-ZA" w:eastAsia="en-GB"/>
        </w:rPr>
        <w:t xml:space="preserve">(b) a defendant alleges that any member, servant or agent of the plaintiff association will be responsible in law for the payment of any costs which may be awarded against the association. </w:t>
      </w:r>
    </w:p>
    <w:p w14:paraId="38D62549" w14:textId="77777777" w:rsidR="00516D93" w:rsidRPr="000B1FB0" w:rsidRDefault="00516D93" w:rsidP="000B1FB0">
      <w:pPr>
        <w:spacing w:before="100" w:beforeAutospacing="1" w:after="100" w:afterAutospacing="1"/>
        <w:ind w:left="720"/>
        <w:rPr>
          <w:rFonts w:ascii="Times New Roman" w:hAnsi="Times New Roman"/>
          <w:sz w:val="22"/>
          <w:szCs w:val="22"/>
          <w:lang w:val="en-ZA" w:eastAsia="en-GB"/>
        </w:rPr>
      </w:pPr>
      <w:r w:rsidRPr="000B1FB0">
        <w:rPr>
          <w:rFonts w:ascii="ArialMT" w:hAnsi="ArialMT"/>
          <w:sz w:val="22"/>
          <w:szCs w:val="22"/>
          <w:lang w:val="en-ZA" w:eastAsia="en-GB"/>
        </w:rPr>
        <w:t>(11)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(7) shall apply mutatis mutandis in regard to the continuance of the proceedings against any member, servant or agent referred to in paragraph (a) of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(10). </w:t>
      </w:r>
    </w:p>
    <w:p w14:paraId="39F61BF2" w14:textId="37A5A92B" w:rsidR="00F629A7" w:rsidRPr="000B1FB0" w:rsidRDefault="00516D93" w:rsidP="000B1FB0">
      <w:pPr>
        <w:spacing w:before="100" w:beforeAutospacing="1" w:after="100" w:afterAutospacing="1"/>
        <w:ind w:left="720"/>
        <w:rPr>
          <w:rFonts w:ascii="ArialMT" w:hAnsi="ArialMT"/>
          <w:sz w:val="22"/>
          <w:szCs w:val="22"/>
          <w:lang w:val="en-ZA" w:eastAsia="en-GB"/>
        </w:rPr>
      </w:pPr>
      <w:r w:rsidRPr="000B1FB0">
        <w:rPr>
          <w:rFonts w:ascii="ArialMT" w:hAnsi="ArialMT"/>
          <w:sz w:val="22"/>
          <w:szCs w:val="22"/>
          <w:lang w:val="en-ZA" w:eastAsia="en-GB"/>
        </w:rPr>
        <w:lastRenderedPageBreak/>
        <w:t>(12)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(4) of rule 21 shall apply mutatis mutandis in the circumstances set out in paragraphs (a) and (b) of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(5) and in </w:t>
      </w:r>
      <w:proofErr w:type="spellStart"/>
      <w:r w:rsidRPr="000B1FB0">
        <w:rPr>
          <w:rFonts w:ascii="ArialMT" w:hAnsi="ArialMT"/>
          <w:sz w:val="22"/>
          <w:szCs w:val="22"/>
          <w:lang w:val="en-ZA" w:eastAsia="en-GB"/>
        </w:rPr>
        <w:t>subrule</w:t>
      </w:r>
      <w:proofErr w:type="spellEnd"/>
      <w:r w:rsidRPr="000B1FB0">
        <w:rPr>
          <w:rFonts w:ascii="ArialMT" w:hAnsi="ArialMT"/>
          <w:sz w:val="22"/>
          <w:szCs w:val="22"/>
          <w:lang w:val="en-ZA" w:eastAsia="en-GB"/>
        </w:rPr>
        <w:t xml:space="preserve"> (9) hereof. </w:t>
      </w:r>
    </w:p>
    <w:p w14:paraId="198D7829" w14:textId="4A788829" w:rsidR="002D3D18" w:rsidRDefault="00EC2F3B" w:rsidP="00EC2F3B">
      <w:pPr>
        <w:pStyle w:val="1"/>
        <w:numPr>
          <w:ilvl w:val="0"/>
          <w:numId w:val="0"/>
        </w:numPr>
        <w:tabs>
          <w:tab w:val="left" w:pos="0"/>
        </w:tabs>
      </w:pPr>
      <w:r>
        <w:t>[16]</w:t>
      </w:r>
      <w:r>
        <w:tab/>
      </w:r>
      <w:r w:rsidR="002D3D18">
        <w:t xml:space="preserve">After the conclusion of the argument Mr Dobie and Mr </w:t>
      </w:r>
      <w:proofErr w:type="spellStart"/>
      <w:r w:rsidR="002D3D18">
        <w:t>Bothma</w:t>
      </w:r>
      <w:proofErr w:type="spellEnd"/>
      <w:r w:rsidR="002D3D18">
        <w:t xml:space="preserve"> </w:t>
      </w:r>
      <w:r w:rsidR="00782819">
        <w:t>referred me to</w:t>
      </w:r>
      <w:r w:rsidR="002D3D18">
        <w:t xml:space="preserve"> the judgment of </w:t>
      </w:r>
      <w:r w:rsidR="002D3D18" w:rsidRPr="002D3D18">
        <w:rPr>
          <w:i/>
          <w:iCs w:val="0"/>
        </w:rPr>
        <w:t>DF Scott (EP) (Pty) Ltd v Golden Valley</w:t>
      </w:r>
      <w:r w:rsidR="002D3D18">
        <w:t xml:space="preserve"> </w:t>
      </w:r>
      <w:r w:rsidR="002D3D18" w:rsidRPr="002D3D18">
        <w:rPr>
          <w:i/>
          <w:iCs w:val="0"/>
        </w:rPr>
        <w:t>Supermarket</w:t>
      </w:r>
      <w:r w:rsidR="002D3D18">
        <w:t>,</w:t>
      </w:r>
      <w:r w:rsidR="002D3D18">
        <w:rPr>
          <w:rStyle w:val="FootnoteReference"/>
        </w:rPr>
        <w:footnoteReference w:id="1"/>
      </w:r>
      <w:r w:rsidR="002D3D18">
        <w:t xml:space="preserve"> </w:t>
      </w:r>
      <w:r w:rsidR="00782819">
        <w:t xml:space="preserve">which reference they forwarded </w:t>
      </w:r>
      <w:r w:rsidR="002D3D18">
        <w:t xml:space="preserve">to my secretary. In my view, such judgment is dispositive of this point. The court, per Harms JA (with whom Cameron and Nugent JA concurred) held that Rule 54 of the Magistrates’ Courts Rules (the </w:t>
      </w:r>
      <w:r w:rsidR="00782819">
        <w:t>Magistrate’s Court equivalent</w:t>
      </w:r>
      <w:r w:rsidR="002D3D18">
        <w:t xml:space="preserve"> of </w:t>
      </w:r>
      <w:r w:rsidR="00782819">
        <w:t xml:space="preserve">High Court </w:t>
      </w:r>
      <w:r w:rsidR="002D3D18">
        <w:t>Rule 14) deals with procedure and not with substantive law. It does not turn a firm into a different entity or into a juristic person.</w:t>
      </w:r>
      <w:r w:rsidR="00782819">
        <w:t xml:space="preserve"> Crucially, ‘</w:t>
      </w:r>
      <w:r w:rsidR="00782819" w:rsidRPr="00782819">
        <w:rPr>
          <w:i/>
          <w:iCs w:val="0"/>
        </w:rPr>
        <w:t>legal proceedings cannot commence against any party unless that party is notified by means o</w:t>
      </w:r>
      <w:r w:rsidR="00782819">
        <w:rPr>
          <w:i/>
          <w:iCs w:val="0"/>
        </w:rPr>
        <w:t>f</w:t>
      </w:r>
      <w:r w:rsidR="00782819" w:rsidRPr="00782819">
        <w:rPr>
          <w:i/>
          <w:iCs w:val="0"/>
        </w:rPr>
        <w:t xml:space="preserve"> an initiating process; if not, the proceedings are null and void….’</w:t>
      </w:r>
      <w:r w:rsidR="00782819">
        <w:t xml:space="preserve"> </w:t>
      </w:r>
      <w:r w:rsidR="00782819">
        <w:rPr>
          <w:rStyle w:val="FootnoteReference"/>
        </w:rPr>
        <w:footnoteReference w:id="2"/>
      </w:r>
      <w:r w:rsidR="0013152C">
        <w:t xml:space="preserve"> The initiating process here was not served on the </w:t>
      </w:r>
      <w:r w:rsidR="000B1FB0">
        <w:t>S</w:t>
      </w:r>
      <w:r w:rsidR="0013152C">
        <w:t xml:space="preserve">econd </w:t>
      </w:r>
      <w:r w:rsidR="000B1FB0">
        <w:t>D</w:t>
      </w:r>
      <w:r w:rsidR="0013152C">
        <w:t>efendant but on the Phantom, i.e. an entity which denies that it has anything to do with the name “</w:t>
      </w:r>
      <w:r w:rsidR="0013152C" w:rsidRPr="0013152C">
        <w:rPr>
          <w:rFonts w:cs="Arial"/>
        </w:rPr>
        <w:t>Imperial Logistic</w:t>
      </w:r>
      <w:r w:rsidR="0013152C">
        <w:rPr>
          <w:rFonts w:cs="Arial"/>
          <w:b/>
          <w:bCs/>
        </w:rPr>
        <w:t>”.</w:t>
      </w:r>
      <w:r w:rsidR="0013152C">
        <w:t xml:space="preserve"> </w:t>
      </w:r>
    </w:p>
    <w:p w14:paraId="6809EB78" w14:textId="6DB19A1A" w:rsidR="002D3D18" w:rsidRDefault="00EC2F3B" w:rsidP="00EC2F3B">
      <w:pPr>
        <w:pStyle w:val="1"/>
        <w:numPr>
          <w:ilvl w:val="0"/>
          <w:numId w:val="0"/>
        </w:numPr>
        <w:tabs>
          <w:tab w:val="left" w:pos="0"/>
        </w:tabs>
      </w:pPr>
      <w:r>
        <w:t>[17]</w:t>
      </w:r>
      <w:r>
        <w:tab/>
      </w:r>
      <w:r w:rsidR="002D3D18">
        <w:t>The factual position</w:t>
      </w:r>
      <w:r w:rsidR="00F629A7">
        <w:t>,</w:t>
      </w:r>
      <w:r w:rsidR="002D3D18">
        <w:t xml:space="preserve"> as pleaded</w:t>
      </w:r>
      <w:r w:rsidR="00F629A7">
        <w:t>,</w:t>
      </w:r>
      <w:r w:rsidR="002D3D18">
        <w:t xml:space="preserve"> is that </w:t>
      </w:r>
      <w:r w:rsidR="0013152C">
        <w:t xml:space="preserve">no entity nor person associated with that name is at the address where the summons was served, </w:t>
      </w:r>
      <w:r w:rsidR="002D3D18">
        <w:t xml:space="preserve">that the Plaintiff does not know who its debtor is and that any order I grant against </w:t>
      </w:r>
      <w:r w:rsidR="00F629A7">
        <w:t xml:space="preserve">an entity bearing the name of </w:t>
      </w:r>
      <w:r w:rsidR="002D3D18">
        <w:t xml:space="preserve">the Second Defendant, </w:t>
      </w:r>
      <w:r w:rsidR="00782819">
        <w:t>might</w:t>
      </w:r>
      <w:r w:rsidR="002D3D18">
        <w:t xml:space="preserve"> be a </w:t>
      </w:r>
      <w:proofErr w:type="spellStart"/>
      <w:r w:rsidR="002D3D18" w:rsidRPr="002D3D18">
        <w:rPr>
          <w:i/>
          <w:iCs w:val="0"/>
        </w:rPr>
        <w:t>brutum</w:t>
      </w:r>
      <w:proofErr w:type="spellEnd"/>
      <w:r w:rsidR="002D3D18" w:rsidRPr="002D3D18">
        <w:rPr>
          <w:i/>
          <w:iCs w:val="0"/>
        </w:rPr>
        <w:t xml:space="preserve"> </w:t>
      </w:r>
      <w:proofErr w:type="spellStart"/>
      <w:r w:rsidR="002D3D18" w:rsidRPr="002D3D18">
        <w:rPr>
          <w:i/>
          <w:iCs w:val="0"/>
        </w:rPr>
        <w:t>fulmen</w:t>
      </w:r>
      <w:proofErr w:type="spellEnd"/>
      <w:r w:rsidR="002D3D18">
        <w:t xml:space="preserve"> – an ineffectual order.</w:t>
      </w:r>
      <w:r w:rsidR="00782819">
        <w:t xml:space="preserve"> The identity of the owner of the truck/trailer is </w:t>
      </w:r>
      <w:r w:rsidR="0013152C">
        <w:t xml:space="preserve">of course </w:t>
      </w:r>
      <w:r w:rsidR="00782819">
        <w:t xml:space="preserve">highly relevant </w:t>
      </w:r>
      <w:r w:rsidR="0013152C">
        <w:t xml:space="preserve">in the action </w:t>
      </w:r>
      <w:r w:rsidR="00782819">
        <w:t xml:space="preserve">as that is the entity the </w:t>
      </w:r>
      <w:r w:rsidR="000B1FB0">
        <w:t>P</w:t>
      </w:r>
      <w:r w:rsidR="00782819">
        <w:t>laintiff seeks to hold liable</w:t>
      </w:r>
      <w:r w:rsidR="0013152C">
        <w:t xml:space="preserve">, but can a Court grant an order compelling an entity which has not been served to deliver further particulars? Clearly not, </w:t>
      </w:r>
      <w:r w:rsidR="002D3D18">
        <w:t>I therefore decline to issue a</w:t>
      </w:r>
      <w:r w:rsidR="0013152C">
        <w:t>n</w:t>
      </w:r>
      <w:r w:rsidR="002D3D18">
        <w:t xml:space="preserve"> order </w:t>
      </w:r>
      <w:r w:rsidR="0013152C">
        <w:t>w</w:t>
      </w:r>
      <w:r w:rsidR="000B1FB0">
        <w:t>h</w:t>
      </w:r>
      <w:r w:rsidR="0013152C">
        <w:t xml:space="preserve">ich </w:t>
      </w:r>
      <w:r w:rsidR="000B1FB0">
        <w:t>the P</w:t>
      </w:r>
      <w:r w:rsidR="0013152C">
        <w:t xml:space="preserve">laintiff prays for against a mere name, the name ‘Imperial Logistic’ which has not been shown at this stage of the proceedings to have any person or entity behind it. Courts do not issue orders against mere names. </w:t>
      </w:r>
    </w:p>
    <w:p w14:paraId="3519C1FD" w14:textId="77777777" w:rsidR="000B1FB0" w:rsidRDefault="000B1FB0" w:rsidP="002D3D18">
      <w:pPr>
        <w:pStyle w:val="1"/>
        <w:numPr>
          <w:ilvl w:val="0"/>
          <w:numId w:val="0"/>
        </w:numPr>
        <w:rPr>
          <w:b/>
          <w:bCs/>
        </w:rPr>
      </w:pPr>
    </w:p>
    <w:p w14:paraId="4098BB0E" w14:textId="55082900" w:rsidR="002D3D18" w:rsidRPr="002D3D18" w:rsidRDefault="002D3D18" w:rsidP="002D3D18">
      <w:pPr>
        <w:pStyle w:val="1"/>
        <w:numPr>
          <w:ilvl w:val="0"/>
          <w:numId w:val="0"/>
        </w:numPr>
        <w:rPr>
          <w:b/>
          <w:bCs/>
        </w:rPr>
      </w:pPr>
      <w:r w:rsidRPr="002D3D18">
        <w:rPr>
          <w:b/>
          <w:bCs/>
        </w:rPr>
        <w:lastRenderedPageBreak/>
        <w:t>The First Defendant</w:t>
      </w:r>
    </w:p>
    <w:p w14:paraId="47FC865E" w14:textId="67561D5E" w:rsidR="002D3D18" w:rsidRDefault="00EC2F3B" w:rsidP="00EC2F3B">
      <w:pPr>
        <w:pStyle w:val="1"/>
        <w:numPr>
          <w:ilvl w:val="0"/>
          <w:numId w:val="0"/>
        </w:numPr>
        <w:tabs>
          <w:tab w:val="left" w:pos="0"/>
        </w:tabs>
      </w:pPr>
      <w:r>
        <w:t>[18]</w:t>
      </w:r>
      <w:r>
        <w:tab/>
      </w:r>
      <w:r w:rsidR="002D3D18">
        <w:t>The First Defendant has now discovered and says it doesn’t know who the owner of the truck/trailer is.</w:t>
      </w:r>
    </w:p>
    <w:p w14:paraId="0C317611" w14:textId="6C2BCCA1" w:rsidR="002D3D18" w:rsidRDefault="00EC2F3B" w:rsidP="00EC2F3B">
      <w:pPr>
        <w:pStyle w:val="1"/>
        <w:numPr>
          <w:ilvl w:val="0"/>
          <w:numId w:val="0"/>
        </w:numPr>
        <w:tabs>
          <w:tab w:val="left" w:pos="0"/>
        </w:tabs>
      </w:pPr>
      <w:r>
        <w:t>[19]</w:t>
      </w:r>
      <w:r>
        <w:tab/>
      </w:r>
      <w:r w:rsidR="002D3D18">
        <w:t xml:space="preserve">For now, this court </w:t>
      </w:r>
      <w:r w:rsidR="00782819">
        <w:t>must</w:t>
      </w:r>
      <w:r w:rsidR="002D3D18">
        <w:t xml:space="preserve"> accept the version on the affidavit and is precluded from going behind it</w:t>
      </w:r>
      <w:r w:rsidR="004433BF">
        <w:t xml:space="preserve"> unless it can be shown that the deponent was mistaken in their appre</w:t>
      </w:r>
      <w:r w:rsidR="000B1FB0">
        <w:t>ciation</w:t>
      </w:r>
      <w:r w:rsidR="004433BF">
        <w:t xml:space="preserve"> of what they were deposing to</w:t>
      </w:r>
      <w:r w:rsidR="002D3D18">
        <w:t>.</w:t>
      </w:r>
    </w:p>
    <w:p w14:paraId="275014D7" w14:textId="77777777" w:rsidR="002D3D18" w:rsidRPr="002D3D18" w:rsidRDefault="002D3D18" w:rsidP="002D3D18">
      <w:pPr>
        <w:pStyle w:val="1"/>
        <w:numPr>
          <w:ilvl w:val="0"/>
          <w:numId w:val="0"/>
        </w:numPr>
        <w:rPr>
          <w:b/>
          <w:bCs/>
        </w:rPr>
      </w:pPr>
      <w:r w:rsidRPr="002D3D18">
        <w:rPr>
          <w:b/>
          <w:bCs/>
        </w:rPr>
        <w:t>Costs</w:t>
      </w:r>
    </w:p>
    <w:p w14:paraId="5831C8AD" w14:textId="1E02CAD3" w:rsidR="004433BF" w:rsidRDefault="00EC2F3B" w:rsidP="00EC2F3B">
      <w:pPr>
        <w:pStyle w:val="1"/>
        <w:numPr>
          <w:ilvl w:val="0"/>
          <w:numId w:val="0"/>
        </w:numPr>
        <w:tabs>
          <w:tab w:val="left" w:pos="0"/>
        </w:tabs>
      </w:pPr>
      <w:r>
        <w:t>[20]</w:t>
      </w:r>
      <w:r>
        <w:tab/>
      </w:r>
      <w:proofErr w:type="spellStart"/>
      <w:r w:rsidR="002D3D18">
        <w:t>Hollard</w:t>
      </w:r>
      <w:proofErr w:type="spellEnd"/>
      <w:r w:rsidR="002D3D18">
        <w:t xml:space="preserve">, who is not a party to these proceedings and for now is not before the court, clearly knows who the owner of the truck/trailer is. It seems to this court that </w:t>
      </w:r>
      <w:proofErr w:type="spellStart"/>
      <w:r w:rsidR="004433BF">
        <w:t>Hollard</w:t>
      </w:r>
      <w:proofErr w:type="spellEnd"/>
      <w:r w:rsidR="004433BF">
        <w:t xml:space="preserve"> could be </w:t>
      </w:r>
      <w:r w:rsidR="002D3D18">
        <w:t>subpoena</w:t>
      </w:r>
      <w:r w:rsidR="004433BF">
        <w:t>ed</w:t>
      </w:r>
      <w:r w:rsidR="002D3D18">
        <w:t xml:space="preserve"> </w:t>
      </w:r>
      <w:r w:rsidR="004433BF">
        <w:t xml:space="preserve">to produce </w:t>
      </w:r>
      <w:r w:rsidR="002D3D18">
        <w:t>the insurance policy</w:t>
      </w:r>
      <w:r w:rsidR="004433BF">
        <w:t>(</w:t>
      </w:r>
      <w:proofErr w:type="spellStart"/>
      <w:r w:rsidR="004433BF">
        <w:t>ies</w:t>
      </w:r>
      <w:proofErr w:type="spellEnd"/>
      <w:r w:rsidR="004433BF">
        <w:t>)</w:t>
      </w:r>
      <w:r w:rsidR="002D3D18">
        <w:t xml:space="preserve"> in respect of the truck/trailer </w:t>
      </w:r>
      <w:r w:rsidR="004433BF">
        <w:t xml:space="preserve">which collided with </w:t>
      </w:r>
      <w:r w:rsidR="000B1FB0">
        <w:t>P</w:t>
      </w:r>
      <w:r w:rsidR="004433BF">
        <w:t xml:space="preserve">laintiff’s train, </w:t>
      </w:r>
      <w:r w:rsidR="002D3D18">
        <w:t xml:space="preserve">which policy </w:t>
      </w:r>
      <w:r w:rsidR="004433BF">
        <w:t xml:space="preserve">ought to </w:t>
      </w:r>
      <w:r w:rsidR="002D3D18">
        <w:t xml:space="preserve">reveal the identity of the owner of such truck/trailer. </w:t>
      </w:r>
      <w:r w:rsidR="004433BF">
        <w:t xml:space="preserve">The relationship between the occupant of the premises on which service was effected when Imperial Logistic was sought to be served, </w:t>
      </w:r>
      <w:r w:rsidR="002D3D18">
        <w:t xml:space="preserve">the Phantom, </w:t>
      </w:r>
      <w:r w:rsidR="004433BF">
        <w:t xml:space="preserve">the name ‘Imperial Logistic’ and the driver of the truck/ trailer, </w:t>
      </w:r>
      <w:r w:rsidR="000B1FB0">
        <w:t>T</w:t>
      </w:r>
      <w:r w:rsidR="004433BF">
        <w:t xml:space="preserve">hird </w:t>
      </w:r>
      <w:r w:rsidR="000B1FB0">
        <w:t>D</w:t>
      </w:r>
      <w:r w:rsidR="004433BF">
        <w:t>efendant, might then become more clear. T</w:t>
      </w:r>
      <w:r w:rsidR="002D3D18">
        <w:t xml:space="preserve">hen the </w:t>
      </w:r>
      <w:r w:rsidR="000B1FB0">
        <w:t>P</w:t>
      </w:r>
      <w:r w:rsidR="00782819">
        <w:t xml:space="preserve">laintiff will know what to do and a court hearing the matter in the </w:t>
      </w:r>
      <w:proofErr w:type="spellStart"/>
      <w:r w:rsidR="00782819">
        <w:t>fulness</w:t>
      </w:r>
      <w:proofErr w:type="spellEnd"/>
      <w:r w:rsidR="00782819">
        <w:t xml:space="preserve"> of time will no doubt express its dissatisfaction through an adverse costs order against the part</w:t>
      </w:r>
      <w:r w:rsidR="004433BF">
        <w:t xml:space="preserve">ies or legal representatives </w:t>
      </w:r>
      <w:r w:rsidR="00782819">
        <w:t>playing games</w:t>
      </w:r>
      <w:r w:rsidR="004433BF">
        <w:t xml:space="preserve"> with the Court</w:t>
      </w:r>
      <w:r w:rsidR="00782819">
        <w:t xml:space="preserve">, if that is what the facts reveal. </w:t>
      </w:r>
    </w:p>
    <w:p w14:paraId="2352B91B" w14:textId="3771A63A" w:rsidR="002D3D18" w:rsidRDefault="00EC2F3B" w:rsidP="00EC2F3B">
      <w:pPr>
        <w:pStyle w:val="1"/>
        <w:numPr>
          <w:ilvl w:val="0"/>
          <w:numId w:val="0"/>
        </w:numPr>
        <w:tabs>
          <w:tab w:val="left" w:pos="0"/>
        </w:tabs>
      </w:pPr>
      <w:r>
        <w:t>[21]</w:t>
      </w:r>
      <w:r>
        <w:tab/>
      </w:r>
      <w:r w:rsidR="002D3D18">
        <w:t xml:space="preserve">It is concerning that </w:t>
      </w:r>
      <w:proofErr w:type="spellStart"/>
      <w:r w:rsidR="002D3D18">
        <w:t>Hollard</w:t>
      </w:r>
      <w:proofErr w:type="spellEnd"/>
      <w:r w:rsidR="002D3D18">
        <w:t xml:space="preserve"> </w:t>
      </w:r>
      <w:r w:rsidR="004433BF">
        <w:t xml:space="preserve">and its legal representatives </w:t>
      </w:r>
      <w:r w:rsidR="00782819">
        <w:t xml:space="preserve">appear to </w:t>
      </w:r>
      <w:r w:rsidR="002D3D18">
        <w:t>ha</w:t>
      </w:r>
      <w:r w:rsidR="00782819">
        <w:t>ve</w:t>
      </w:r>
      <w:r w:rsidR="002D3D18">
        <w:t xml:space="preserve"> taken such a cloak</w:t>
      </w:r>
      <w:r w:rsidR="004433BF">
        <w:t>-</w:t>
      </w:r>
      <w:r w:rsidR="002D3D18">
        <w:t>and</w:t>
      </w:r>
      <w:r w:rsidR="004433BF">
        <w:t>-</w:t>
      </w:r>
      <w:r w:rsidR="002D3D18">
        <w:t>dagger approach</w:t>
      </w:r>
      <w:r w:rsidR="004433BF">
        <w:t>,</w:t>
      </w:r>
      <w:r w:rsidR="002D3D18">
        <w:t xml:space="preserve"> particularly against a state owned entity where public funds are at play. </w:t>
      </w:r>
      <w:r w:rsidR="00782819">
        <w:t xml:space="preserve">I have not heard them on this issue and there may well be a perfectly innocent explanation </w:t>
      </w:r>
      <w:r w:rsidR="004433BF">
        <w:t xml:space="preserve">for </w:t>
      </w:r>
      <w:r w:rsidR="00782819">
        <w:t xml:space="preserve">all of this. </w:t>
      </w:r>
      <w:r w:rsidR="002D3D18">
        <w:t>B</w:t>
      </w:r>
      <w:r w:rsidR="00782819">
        <w:t xml:space="preserve">ecause </w:t>
      </w:r>
      <w:r w:rsidR="004433BF">
        <w:t xml:space="preserve">even </w:t>
      </w:r>
      <w:r w:rsidR="00782819">
        <w:t xml:space="preserve">the most </w:t>
      </w:r>
      <w:r w:rsidR="004433BF">
        <w:t>‘</w:t>
      </w:r>
      <w:r w:rsidR="00782819">
        <w:t>open and shut</w:t>
      </w:r>
      <w:r w:rsidR="004433BF">
        <w:t>’</w:t>
      </w:r>
      <w:r w:rsidR="00782819">
        <w:t xml:space="preserve"> cases have proven not be so when </w:t>
      </w:r>
      <w:r w:rsidR="004433BF">
        <w:t xml:space="preserve">a full explanation </w:t>
      </w:r>
      <w:r w:rsidR="00782819">
        <w:t xml:space="preserve">is heard, </w:t>
      </w:r>
      <w:r w:rsidR="002D3D18">
        <w:t xml:space="preserve">I intend reserving the costs of this interlocutory application as a </w:t>
      </w:r>
      <w:r w:rsidR="004433BF">
        <w:t>C</w:t>
      </w:r>
      <w:r w:rsidR="002D3D18">
        <w:t>ourt in the fullness of time will be able to assess who was playing their cards to</w:t>
      </w:r>
      <w:r w:rsidR="00782819">
        <w:t>o</w:t>
      </w:r>
      <w:r w:rsidR="002D3D18">
        <w:t xml:space="preserve"> close to their chest</w:t>
      </w:r>
      <w:r w:rsidR="004433BF">
        <w:t>,</w:t>
      </w:r>
      <w:r w:rsidR="00782819">
        <w:t xml:space="preserve"> if at all</w:t>
      </w:r>
      <w:r w:rsidR="004433BF">
        <w:t>, and why</w:t>
      </w:r>
      <w:r w:rsidR="00782819">
        <w:t>.</w:t>
      </w:r>
      <w:r w:rsidR="002D3D18">
        <w:t xml:space="preserve"> </w:t>
      </w:r>
    </w:p>
    <w:p w14:paraId="2A0409E5" w14:textId="6FD0C710" w:rsidR="00782819" w:rsidRDefault="00EC2F3B" w:rsidP="00EC2F3B">
      <w:pPr>
        <w:pStyle w:val="1"/>
        <w:numPr>
          <w:ilvl w:val="0"/>
          <w:numId w:val="0"/>
        </w:numPr>
        <w:tabs>
          <w:tab w:val="left" w:pos="0"/>
        </w:tabs>
      </w:pPr>
      <w:r>
        <w:lastRenderedPageBreak/>
        <w:t>[22]</w:t>
      </w:r>
      <w:r>
        <w:tab/>
      </w:r>
      <w:r w:rsidR="00782819">
        <w:t xml:space="preserve">This is of course an interlocutory application </w:t>
      </w:r>
      <w:r w:rsidR="004433BF">
        <w:t xml:space="preserve">so </w:t>
      </w:r>
      <w:r w:rsidR="00782819">
        <w:t xml:space="preserve">nothing would preclude the </w:t>
      </w:r>
      <w:r w:rsidR="000B1FB0">
        <w:t>P</w:t>
      </w:r>
      <w:r w:rsidR="00782819">
        <w:t>laintiff from launching another application when it has new or better information to hand</w:t>
      </w:r>
      <w:r w:rsidR="004433BF">
        <w:t xml:space="preserve"> but at this stage I do not have enough information to grant the orders prayed for in the light of the authority cited</w:t>
      </w:r>
      <w:r w:rsidR="00782819">
        <w:t>.</w:t>
      </w:r>
    </w:p>
    <w:p w14:paraId="14CA349C" w14:textId="382D9A1A" w:rsidR="00782819" w:rsidRPr="00782819" w:rsidRDefault="00782819" w:rsidP="00782819">
      <w:pPr>
        <w:pStyle w:val="1"/>
        <w:numPr>
          <w:ilvl w:val="0"/>
          <w:numId w:val="0"/>
        </w:numPr>
        <w:rPr>
          <w:b/>
          <w:bCs/>
        </w:rPr>
      </w:pPr>
      <w:r w:rsidRPr="00782819">
        <w:rPr>
          <w:b/>
          <w:bCs/>
        </w:rPr>
        <w:t>Order</w:t>
      </w:r>
    </w:p>
    <w:p w14:paraId="487D9DE1" w14:textId="428B29D6" w:rsidR="00782819" w:rsidRDefault="00EC2F3B" w:rsidP="00EC2F3B">
      <w:pPr>
        <w:pStyle w:val="1"/>
        <w:numPr>
          <w:ilvl w:val="0"/>
          <w:numId w:val="0"/>
        </w:numPr>
        <w:tabs>
          <w:tab w:val="left" w:pos="0"/>
        </w:tabs>
      </w:pPr>
      <w:r>
        <w:t>[23]</w:t>
      </w:r>
      <w:r>
        <w:tab/>
      </w:r>
      <w:r w:rsidR="00782819">
        <w:t>I accordingly grant the following order:</w:t>
      </w:r>
    </w:p>
    <w:p w14:paraId="70217313" w14:textId="507DF49B" w:rsidR="00782819" w:rsidRDefault="00782819" w:rsidP="00782819">
      <w:pPr>
        <w:pStyle w:val="1"/>
        <w:numPr>
          <w:ilvl w:val="0"/>
          <w:numId w:val="0"/>
        </w:numPr>
      </w:pPr>
      <w:r>
        <w:t>The application is dismissed and the costs are reserved for determination in the action.</w:t>
      </w:r>
    </w:p>
    <w:p w14:paraId="07581A24" w14:textId="77777777" w:rsidR="005F108D" w:rsidRPr="007E1369" w:rsidRDefault="005F108D" w:rsidP="003C6270">
      <w:pPr>
        <w:pStyle w:val="2"/>
        <w:numPr>
          <w:ilvl w:val="0"/>
          <w:numId w:val="0"/>
        </w:numPr>
        <w:tabs>
          <w:tab w:val="num" w:pos="567"/>
        </w:tabs>
        <w:ind w:left="567"/>
      </w:pPr>
    </w:p>
    <w:p w14:paraId="1028A034" w14:textId="1167BE5D" w:rsidR="00066BC7" w:rsidRPr="002A090B" w:rsidRDefault="00066BC7" w:rsidP="00A714B4">
      <w:pPr>
        <w:rPr>
          <w:b/>
          <w:bCs/>
          <w:szCs w:val="28"/>
        </w:rPr>
      </w:pPr>
    </w:p>
    <w:p w14:paraId="0196A4E4" w14:textId="77777777" w:rsidR="00066BC7" w:rsidRPr="00F73C09" w:rsidRDefault="00066BC7" w:rsidP="00A714B4">
      <w:pPr>
        <w:tabs>
          <w:tab w:val="left" w:pos="851"/>
          <w:tab w:val="left" w:pos="1701"/>
          <w:tab w:val="left" w:pos="2835"/>
          <w:tab w:val="left" w:pos="3969"/>
          <w:tab w:val="right" w:pos="8222"/>
        </w:tabs>
        <w:ind w:left="691"/>
        <w:contextualSpacing/>
        <w:jc w:val="right"/>
        <w:rPr>
          <w:rFonts w:cs="Arial"/>
        </w:rPr>
      </w:pPr>
      <w:r w:rsidRPr="00F73C09">
        <w:rPr>
          <w:rFonts w:cs="Arial"/>
        </w:rPr>
        <w:t>___________________________</w:t>
      </w:r>
    </w:p>
    <w:p w14:paraId="0B406293" w14:textId="77777777" w:rsidR="00066BC7" w:rsidRPr="00F73C09" w:rsidRDefault="00066BC7" w:rsidP="00A714B4">
      <w:pPr>
        <w:ind w:left="691"/>
        <w:jc w:val="right"/>
        <w:outlineLvl w:val="0"/>
        <w:rPr>
          <w:rFonts w:cs="Arial"/>
        </w:rPr>
      </w:pPr>
      <w:r w:rsidRPr="00F73C09">
        <w:rPr>
          <w:rFonts w:cs="Arial"/>
        </w:rPr>
        <w:t>I OPPERMAN</w:t>
      </w:r>
    </w:p>
    <w:p w14:paraId="4012472B" w14:textId="77777777" w:rsidR="00066BC7" w:rsidRPr="00F73C09" w:rsidRDefault="00066BC7" w:rsidP="00A714B4">
      <w:pPr>
        <w:ind w:left="691"/>
        <w:jc w:val="right"/>
        <w:rPr>
          <w:rFonts w:cs="Arial"/>
        </w:rPr>
      </w:pPr>
      <w:r w:rsidRPr="00F73C09">
        <w:rPr>
          <w:rFonts w:cs="Arial"/>
        </w:rPr>
        <w:t>Judge of the High Court</w:t>
      </w:r>
    </w:p>
    <w:p w14:paraId="18411095" w14:textId="08172D5D" w:rsidR="00066BC7" w:rsidRDefault="00066BC7" w:rsidP="00A714B4">
      <w:pPr>
        <w:ind w:left="691"/>
        <w:jc w:val="right"/>
        <w:rPr>
          <w:rFonts w:cs="Arial"/>
        </w:rPr>
      </w:pPr>
      <w:r w:rsidRPr="00F73C09">
        <w:rPr>
          <w:rFonts w:cs="Arial"/>
        </w:rPr>
        <w:t>Gauteng Division, Johannesburg</w:t>
      </w:r>
    </w:p>
    <w:p w14:paraId="219EF4D2" w14:textId="77777777" w:rsidR="004D4265" w:rsidRDefault="004D4265" w:rsidP="00A714B4">
      <w:pPr>
        <w:pStyle w:val="BodyText"/>
        <w:tabs>
          <w:tab w:val="left" w:pos="567"/>
        </w:tabs>
        <w:spacing w:before="120"/>
        <w:jc w:val="both"/>
        <w:outlineLvl w:val="0"/>
        <w:rPr>
          <w:rFonts w:cs="Arial"/>
          <w:sz w:val="22"/>
          <w:szCs w:val="22"/>
        </w:rPr>
      </w:pPr>
    </w:p>
    <w:p w14:paraId="1B13FB50" w14:textId="77777777" w:rsidR="00557022" w:rsidRDefault="00557022" w:rsidP="005F108D">
      <w:pPr>
        <w:pStyle w:val="BodyText"/>
        <w:tabs>
          <w:tab w:val="left" w:pos="567"/>
        </w:tabs>
        <w:spacing w:before="120"/>
        <w:jc w:val="both"/>
        <w:outlineLvl w:val="0"/>
        <w:rPr>
          <w:rFonts w:cs="Arial"/>
          <w:sz w:val="22"/>
          <w:szCs w:val="22"/>
        </w:rPr>
      </w:pPr>
    </w:p>
    <w:p w14:paraId="6893FC22" w14:textId="77777777" w:rsidR="00557022" w:rsidRDefault="00557022" w:rsidP="005F108D">
      <w:pPr>
        <w:pStyle w:val="BodyText"/>
        <w:tabs>
          <w:tab w:val="left" w:pos="567"/>
        </w:tabs>
        <w:spacing w:before="120"/>
        <w:jc w:val="both"/>
        <w:outlineLvl w:val="0"/>
        <w:rPr>
          <w:rFonts w:cs="Arial"/>
          <w:sz w:val="22"/>
          <w:szCs w:val="22"/>
        </w:rPr>
      </w:pPr>
    </w:p>
    <w:p w14:paraId="6C8A50E6" w14:textId="689CF5F1" w:rsidR="00AC0476" w:rsidRPr="00F73C09" w:rsidRDefault="00066BC7" w:rsidP="005F108D">
      <w:pPr>
        <w:pStyle w:val="BodyText"/>
        <w:tabs>
          <w:tab w:val="left" w:pos="567"/>
        </w:tabs>
        <w:spacing w:before="120"/>
        <w:jc w:val="both"/>
        <w:outlineLvl w:val="0"/>
        <w:rPr>
          <w:rFonts w:cs="Arial"/>
          <w:sz w:val="22"/>
          <w:szCs w:val="22"/>
        </w:rPr>
      </w:pPr>
      <w:r w:rsidRPr="00F73C09">
        <w:rPr>
          <w:rFonts w:cs="Arial"/>
          <w:sz w:val="22"/>
          <w:szCs w:val="22"/>
        </w:rPr>
        <w:t xml:space="preserve">Counsel for the </w:t>
      </w:r>
      <w:r w:rsidR="00557022">
        <w:rPr>
          <w:rFonts w:cs="Arial"/>
          <w:sz w:val="22"/>
          <w:szCs w:val="22"/>
        </w:rPr>
        <w:t xml:space="preserve">Plaintiff  </w:t>
      </w:r>
      <w:r w:rsidR="00782819">
        <w:rPr>
          <w:rFonts w:cs="Arial"/>
          <w:sz w:val="22"/>
          <w:szCs w:val="22"/>
        </w:rPr>
        <w:t xml:space="preserve">    </w:t>
      </w:r>
      <w:r w:rsidR="00557022">
        <w:rPr>
          <w:rFonts w:cs="Arial"/>
          <w:sz w:val="22"/>
          <w:szCs w:val="22"/>
        </w:rPr>
        <w:t xml:space="preserve">   </w:t>
      </w:r>
      <w:proofErr w:type="gramStart"/>
      <w:r w:rsidR="00557022">
        <w:rPr>
          <w:rFonts w:cs="Arial"/>
          <w:sz w:val="22"/>
          <w:szCs w:val="22"/>
        </w:rPr>
        <w:t xml:space="preserve">  </w:t>
      </w:r>
      <w:r w:rsidR="00782819">
        <w:rPr>
          <w:rFonts w:cs="Arial"/>
          <w:sz w:val="22"/>
          <w:szCs w:val="22"/>
        </w:rPr>
        <w:t>:</w:t>
      </w:r>
      <w:proofErr w:type="gramEnd"/>
      <w:r w:rsidR="00782819">
        <w:rPr>
          <w:rFonts w:cs="Arial"/>
          <w:sz w:val="22"/>
          <w:szCs w:val="22"/>
        </w:rPr>
        <w:t xml:space="preserve"> </w:t>
      </w:r>
      <w:proofErr w:type="spellStart"/>
      <w:r w:rsidR="00782819">
        <w:rPr>
          <w:rFonts w:cs="Arial"/>
          <w:sz w:val="22"/>
          <w:szCs w:val="22"/>
        </w:rPr>
        <w:t>Adv</w:t>
      </w:r>
      <w:proofErr w:type="spellEnd"/>
      <w:r w:rsidR="00782819">
        <w:rPr>
          <w:rFonts w:cs="Arial"/>
          <w:sz w:val="22"/>
          <w:szCs w:val="22"/>
        </w:rPr>
        <w:t xml:space="preserve"> JG Dobie</w:t>
      </w:r>
      <w:r w:rsidR="00AC0476">
        <w:rPr>
          <w:rFonts w:cs="Arial"/>
          <w:sz w:val="22"/>
          <w:szCs w:val="22"/>
        </w:rPr>
        <w:t xml:space="preserve">                                          </w:t>
      </w:r>
    </w:p>
    <w:p w14:paraId="28454FC7" w14:textId="4C649F3E" w:rsidR="00066BC7" w:rsidRPr="00F73C09" w:rsidRDefault="00066BC7" w:rsidP="005F108D">
      <w:pPr>
        <w:pStyle w:val="BodyText"/>
        <w:tabs>
          <w:tab w:val="left" w:pos="567"/>
        </w:tabs>
        <w:spacing w:before="120"/>
        <w:jc w:val="both"/>
        <w:rPr>
          <w:rFonts w:cs="Arial"/>
          <w:sz w:val="22"/>
          <w:szCs w:val="22"/>
        </w:rPr>
      </w:pPr>
      <w:r w:rsidRPr="00F73C09">
        <w:rPr>
          <w:rFonts w:cs="Arial"/>
          <w:sz w:val="22"/>
          <w:szCs w:val="22"/>
        </w:rPr>
        <w:t>Instructed by</w:t>
      </w:r>
      <w:r w:rsidR="00F51EE3">
        <w:rPr>
          <w:rFonts w:cs="Arial"/>
          <w:sz w:val="22"/>
          <w:szCs w:val="22"/>
        </w:rPr>
        <w:t xml:space="preserve">                      </w:t>
      </w:r>
      <w:r w:rsidR="005F108D">
        <w:rPr>
          <w:rFonts w:cs="Arial"/>
          <w:sz w:val="22"/>
          <w:szCs w:val="22"/>
        </w:rPr>
        <w:t xml:space="preserve"> </w:t>
      </w:r>
      <w:r w:rsidR="00557022">
        <w:rPr>
          <w:rFonts w:cs="Arial"/>
          <w:sz w:val="22"/>
          <w:szCs w:val="22"/>
        </w:rPr>
        <w:t xml:space="preserve">  </w:t>
      </w:r>
      <w:proofErr w:type="gramStart"/>
      <w:r w:rsidR="00557022">
        <w:rPr>
          <w:rFonts w:cs="Arial"/>
          <w:sz w:val="22"/>
          <w:szCs w:val="22"/>
        </w:rPr>
        <w:t xml:space="preserve">  </w:t>
      </w:r>
      <w:r w:rsidRPr="00F73C09">
        <w:rPr>
          <w:rFonts w:cs="Arial"/>
          <w:sz w:val="22"/>
          <w:szCs w:val="22"/>
        </w:rPr>
        <w:t>:</w:t>
      </w:r>
      <w:proofErr w:type="gramEnd"/>
      <w:r w:rsidR="000B1FB0">
        <w:rPr>
          <w:rFonts w:cs="Arial"/>
          <w:sz w:val="22"/>
          <w:szCs w:val="22"/>
        </w:rPr>
        <w:t xml:space="preserve"> Lindsay Keller Attorneys</w:t>
      </w:r>
    </w:p>
    <w:p w14:paraId="06124F40" w14:textId="46746AFC" w:rsidR="00066BC7" w:rsidRPr="00F73C09" w:rsidRDefault="00066BC7" w:rsidP="005F108D">
      <w:pPr>
        <w:pStyle w:val="BodyText"/>
        <w:tabs>
          <w:tab w:val="left" w:pos="567"/>
        </w:tabs>
        <w:spacing w:before="120"/>
        <w:jc w:val="both"/>
        <w:rPr>
          <w:rFonts w:cs="Arial"/>
          <w:sz w:val="22"/>
          <w:szCs w:val="22"/>
        </w:rPr>
      </w:pPr>
      <w:r w:rsidRPr="00F73C09">
        <w:rPr>
          <w:rFonts w:cs="Arial"/>
          <w:sz w:val="22"/>
          <w:szCs w:val="22"/>
        </w:rPr>
        <w:t xml:space="preserve">Counsel for the </w:t>
      </w:r>
      <w:r w:rsidR="00557022">
        <w:rPr>
          <w:rFonts w:cs="Arial"/>
          <w:sz w:val="22"/>
          <w:szCs w:val="22"/>
        </w:rPr>
        <w:t>1</w:t>
      </w:r>
      <w:r w:rsidR="00557022" w:rsidRPr="00557022">
        <w:rPr>
          <w:rFonts w:cs="Arial"/>
          <w:sz w:val="22"/>
          <w:szCs w:val="22"/>
          <w:vertAlign w:val="superscript"/>
        </w:rPr>
        <w:t>st</w:t>
      </w:r>
      <w:r w:rsidR="00557022">
        <w:rPr>
          <w:rFonts w:cs="Arial"/>
          <w:sz w:val="22"/>
          <w:szCs w:val="22"/>
        </w:rPr>
        <w:t xml:space="preserve"> </w:t>
      </w:r>
      <w:proofErr w:type="gramStart"/>
      <w:r w:rsidR="00557022">
        <w:rPr>
          <w:rFonts w:cs="Arial"/>
          <w:sz w:val="22"/>
          <w:szCs w:val="22"/>
        </w:rPr>
        <w:t xml:space="preserve">Defendant </w:t>
      </w:r>
      <w:r w:rsidRPr="00F73C09">
        <w:rPr>
          <w:rFonts w:cs="Arial"/>
          <w:sz w:val="22"/>
          <w:szCs w:val="22"/>
        </w:rPr>
        <w:t>:</w:t>
      </w:r>
      <w:proofErr w:type="gramEnd"/>
      <w:r w:rsidRPr="00F73C09">
        <w:rPr>
          <w:rFonts w:cs="Arial"/>
          <w:sz w:val="22"/>
          <w:szCs w:val="22"/>
        </w:rPr>
        <w:t xml:space="preserve"> </w:t>
      </w:r>
      <w:proofErr w:type="spellStart"/>
      <w:r w:rsidR="00AC0476">
        <w:rPr>
          <w:rFonts w:cs="Arial"/>
          <w:sz w:val="22"/>
          <w:szCs w:val="22"/>
        </w:rPr>
        <w:t>Adv</w:t>
      </w:r>
      <w:proofErr w:type="spellEnd"/>
      <w:r w:rsidR="00AC0476">
        <w:rPr>
          <w:rFonts w:cs="Arial"/>
          <w:sz w:val="22"/>
          <w:szCs w:val="22"/>
        </w:rPr>
        <w:t xml:space="preserve"> </w:t>
      </w:r>
      <w:r w:rsidR="00782819">
        <w:rPr>
          <w:rFonts w:cs="Arial"/>
          <w:sz w:val="22"/>
          <w:szCs w:val="22"/>
        </w:rPr>
        <w:t xml:space="preserve">C </w:t>
      </w:r>
      <w:proofErr w:type="spellStart"/>
      <w:r w:rsidR="00782819">
        <w:rPr>
          <w:rFonts w:cs="Arial"/>
          <w:sz w:val="22"/>
          <w:szCs w:val="22"/>
        </w:rPr>
        <w:t>Bothma</w:t>
      </w:r>
      <w:proofErr w:type="spellEnd"/>
      <w:r w:rsidR="00782819">
        <w:rPr>
          <w:rFonts w:cs="Arial"/>
          <w:sz w:val="22"/>
          <w:szCs w:val="22"/>
        </w:rPr>
        <w:t xml:space="preserve"> SC</w:t>
      </w:r>
    </w:p>
    <w:p w14:paraId="7C8BA7BF" w14:textId="1E0CE0B8" w:rsidR="00066BC7" w:rsidRDefault="00066BC7" w:rsidP="005F108D">
      <w:pPr>
        <w:pStyle w:val="BodyText"/>
        <w:tabs>
          <w:tab w:val="left" w:pos="567"/>
        </w:tabs>
        <w:spacing w:before="120"/>
        <w:jc w:val="both"/>
        <w:rPr>
          <w:rFonts w:cs="Arial"/>
          <w:sz w:val="22"/>
          <w:szCs w:val="22"/>
        </w:rPr>
      </w:pPr>
      <w:r w:rsidRPr="00F73C09">
        <w:rPr>
          <w:rFonts w:cs="Arial"/>
          <w:sz w:val="22"/>
          <w:szCs w:val="22"/>
        </w:rPr>
        <w:t>Instructed by</w:t>
      </w:r>
      <w:r w:rsidR="00F51EE3">
        <w:rPr>
          <w:rFonts w:cs="Arial"/>
          <w:sz w:val="22"/>
          <w:szCs w:val="22"/>
        </w:rPr>
        <w:t xml:space="preserve">                       </w:t>
      </w:r>
      <w:r w:rsidR="00557022">
        <w:rPr>
          <w:rFonts w:cs="Arial"/>
          <w:sz w:val="22"/>
          <w:szCs w:val="22"/>
        </w:rPr>
        <w:t xml:space="preserve">  </w:t>
      </w:r>
      <w:proofErr w:type="gramStart"/>
      <w:r w:rsidR="00557022">
        <w:rPr>
          <w:rFonts w:cs="Arial"/>
          <w:sz w:val="22"/>
          <w:szCs w:val="22"/>
        </w:rPr>
        <w:t xml:space="preserve">  </w:t>
      </w:r>
      <w:r w:rsidRPr="00F73C09">
        <w:rPr>
          <w:rFonts w:cs="Arial"/>
          <w:sz w:val="22"/>
          <w:szCs w:val="22"/>
        </w:rPr>
        <w:t>:</w:t>
      </w:r>
      <w:proofErr w:type="gramEnd"/>
      <w:r w:rsidRPr="00F73C09">
        <w:rPr>
          <w:rFonts w:cs="Arial"/>
          <w:sz w:val="22"/>
          <w:szCs w:val="22"/>
        </w:rPr>
        <w:t xml:space="preserve"> </w:t>
      </w:r>
      <w:proofErr w:type="spellStart"/>
      <w:r w:rsidR="000B1FB0">
        <w:rPr>
          <w:rFonts w:cs="Arial"/>
          <w:sz w:val="22"/>
          <w:szCs w:val="22"/>
        </w:rPr>
        <w:t>Bothas</w:t>
      </w:r>
      <w:proofErr w:type="spellEnd"/>
      <w:r w:rsidR="000B1FB0">
        <w:rPr>
          <w:rFonts w:cs="Arial"/>
          <w:sz w:val="22"/>
          <w:szCs w:val="22"/>
        </w:rPr>
        <w:t xml:space="preserve"> Attorneys</w:t>
      </w:r>
    </w:p>
    <w:p w14:paraId="6F15AABD" w14:textId="103C9F89" w:rsidR="00557022" w:rsidRDefault="00557022" w:rsidP="005F108D">
      <w:pPr>
        <w:pStyle w:val="BodyText"/>
        <w:tabs>
          <w:tab w:val="left" w:pos="567"/>
        </w:tabs>
        <w:spacing w:before="120"/>
        <w:jc w:val="both"/>
        <w:rPr>
          <w:rFonts w:cs="Arial"/>
          <w:sz w:val="22"/>
          <w:szCs w:val="22"/>
        </w:rPr>
      </w:pPr>
      <w:r>
        <w:rPr>
          <w:rFonts w:cs="Arial"/>
          <w:sz w:val="22"/>
          <w:szCs w:val="22"/>
        </w:rPr>
        <w:t>No appearances for the 2</w:t>
      </w:r>
      <w:r w:rsidRPr="00557022">
        <w:rPr>
          <w:rFonts w:cs="Arial"/>
          <w:sz w:val="22"/>
          <w:szCs w:val="22"/>
          <w:vertAlign w:val="superscript"/>
        </w:rPr>
        <w:t>nd</w:t>
      </w:r>
      <w:r>
        <w:rPr>
          <w:rFonts w:cs="Arial"/>
          <w:sz w:val="22"/>
          <w:szCs w:val="22"/>
        </w:rPr>
        <w:t xml:space="preserve"> and 3</w:t>
      </w:r>
      <w:r w:rsidRPr="00557022">
        <w:rPr>
          <w:rFonts w:cs="Arial"/>
          <w:sz w:val="22"/>
          <w:szCs w:val="22"/>
          <w:vertAlign w:val="superscript"/>
        </w:rPr>
        <w:t>rd</w:t>
      </w:r>
      <w:r>
        <w:rPr>
          <w:rFonts w:cs="Arial"/>
          <w:sz w:val="22"/>
          <w:szCs w:val="22"/>
        </w:rPr>
        <w:t xml:space="preserve"> Defendants</w:t>
      </w:r>
    </w:p>
    <w:p w14:paraId="00C115ED" w14:textId="77777777" w:rsidR="00557022" w:rsidRPr="00F73C09" w:rsidRDefault="00557022" w:rsidP="005F108D">
      <w:pPr>
        <w:pStyle w:val="BodyText"/>
        <w:tabs>
          <w:tab w:val="left" w:pos="567"/>
        </w:tabs>
        <w:spacing w:before="120"/>
        <w:jc w:val="both"/>
        <w:rPr>
          <w:rFonts w:cs="Arial"/>
          <w:sz w:val="22"/>
          <w:szCs w:val="22"/>
        </w:rPr>
      </w:pPr>
    </w:p>
    <w:p w14:paraId="14AF3C48" w14:textId="224FB1EC" w:rsidR="00066BC7" w:rsidRPr="00F73C09" w:rsidRDefault="00066BC7" w:rsidP="005F108D">
      <w:pPr>
        <w:pStyle w:val="BodyText"/>
        <w:tabs>
          <w:tab w:val="left" w:pos="567"/>
        </w:tabs>
        <w:spacing w:before="120"/>
        <w:jc w:val="both"/>
        <w:rPr>
          <w:rFonts w:cs="Arial"/>
          <w:sz w:val="22"/>
          <w:szCs w:val="22"/>
        </w:rPr>
      </w:pPr>
      <w:r w:rsidRPr="00F73C09">
        <w:rPr>
          <w:rFonts w:cs="Arial"/>
          <w:sz w:val="22"/>
          <w:szCs w:val="22"/>
        </w:rPr>
        <w:t>Date of hearing</w:t>
      </w:r>
      <w:r w:rsidR="005F108D">
        <w:rPr>
          <w:rFonts w:cs="Arial"/>
          <w:sz w:val="22"/>
          <w:szCs w:val="22"/>
        </w:rPr>
        <w:t xml:space="preserve">                   </w:t>
      </w:r>
      <w:r w:rsidR="00557022">
        <w:rPr>
          <w:rFonts w:cs="Arial"/>
          <w:sz w:val="22"/>
          <w:szCs w:val="22"/>
        </w:rPr>
        <w:t xml:space="preserve">  </w:t>
      </w:r>
      <w:proofErr w:type="gramStart"/>
      <w:r w:rsidR="00557022">
        <w:rPr>
          <w:rFonts w:cs="Arial"/>
          <w:sz w:val="22"/>
          <w:szCs w:val="22"/>
        </w:rPr>
        <w:t xml:space="preserve">  </w:t>
      </w:r>
      <w:r w:rsidRPr="00F73C09">
        <w:rPr>
          <w:rFonts w:cs="Arial"/>
          <w:sz w:val="22"/>
          <w:szCs w:val="22"/>
        </w:rPr>
        <w:t>:</w:t>
      </w:r>
      <w:proofErr w:type="gramEnd"/>
      <w:r w:rsidRPr="00F73C09">
        <w:rPr>
          <w:rFonts w:cs="Arial"/>
          <w:sz w:val="22"/>
          <w:szCs w:val="22"/>
        </w:rPr>
        <w:t xml:space="preserve"> </w:t>
      </w:r>
      <w:r w:rsidR="00AC0476">
        <w:rPr>
          <w:rFonts w:cs="Arial"/>
          <w:sz w:val="22"/>
          <w:szCs w:val="22"/>
        </w:rPr>
        <w:t xml:space="preserve"> </w:t>
      </w:r>
      <w:r w:rsidR="000B1FB0">
        <w:rPr>
          <w:rFonts w:cs="Arial"/>
          <w:sz w:val="22"/>
          <w:szCs w:val="22"/>
        </w:rPr>
        <w:t xml:space="preserve">23 </w:t>
      </w:r>
      <w:r w:rsidR="00AC0476">
        <w:rPr>
          <w:rFonts w:cs="Arial"/>
          <w:sz w:val="22"/>
          <w:szCs w:val="22"/>
        </w:rPr>
        <w:t>February 2023</w:t>
      </w:r>
    </w:p>
    <w:p w14:paraId="5C2B50B5" w14:textId="235C1135" w:rsidR="00300D09" w:rsidRPr="00822349" w:rsidRDefault="00066BC7" w:rsidP="005F108D">
      <w:pPr>
        <w:tabs>
          <w:tab w:val="left" w:pos="4917"/>
        </w:tabs>
        <w:rPr>
          <w:rFonts w:cs="Arial"/>
          <w:b/>
          <w:sz w:val="28"/>
          <w:szCs w:val="28"/>
          <w:u w:val="single"/>
        </w:rPr>
      </w:pPr>
      <w:r w:rsidRPr="00F73C09">
        <w:rPr>
          <w:rFonts w:cs="Arial"/>
          <w:sz w:val="22"/>
          <w:szCs w:val="22"/>
        </w:rPr>
        <w:t>Date of Judgment</w:t>
      </w:r>
      <w:r w:rsidR="005F108D">
        <w:rPr>
          <w:rFonts w:cs="Arial"/>
          <w:sz w:val="22"/>
          <w:szCs w:val="22"/>
        </w:rPr>
        <w:t xml:space="preserve">              </w:t>
      </w:r>
      <w:r w:rsidR="00557022">
        <w:rPr>
          <w:rFonts w:cs="Arial"/>
          <w:sz w:val="22"/>
          <w:szCs w:val="22"/>
        </w:rPr>
        <w:t xml:space="preserve">    </w:t>
      </w:r>
      <w:proofErr w:type="gramStart"/>
      <w:r w:rsidR="00557022">
        <w:rPr>
          <w:rFonts w:cs="Arial"/>
          <w:sz w:val="22"/>
          <w:szCs w:val="22"/>
        </w:rPr>
        <w:t xml:space="preserve"> </w:t>
      </w:r>
      <w:r w:rsidR="005F108D">
        <w:rPr>
          <w:rFonts w:cs="Arial"/>
          <w:sz w:val="22"/>
          <w:szCs w:val="22"/>
        </w:rPr>
        <w:t xml:space="preserve"> </w:t>
      </w:r>
      <w:r w:rsidRPr="00F73C09">
        <w:rPr>
          <w:rFonts w:cs="Arial"/>
          <w:sz w:val="22"/>
          <w:szCs w:val="22"/>
        </w:rPr>
        <w:t>:</w:t>
      </w:r>
      <w:proofErr w:type="gramEnd"/>
      <w:r w:rsidR="00AC0476">
        <w:rPr>
          <w:rFonts w:cs="Arial"/>
          <w:sz w:val="22"/>
          <w:szCs w:val="22"/>
        </w:rPr>
        <w:t xml:space="preserve"> </w:t>
      </w:r>
      <w:r w:rsidR="000B1FB0">
        <w:rPr>
          <w:rFonts w:cs="Arial"/>
          <w:sz w:val="22"/>
          <w:szCs w:val="22"/>
        </w:rPr>
        <w:t xml:space="preserve"> 6 March 2023</w:t>
      </w:r>
    </w:p>
    <w:sectPr w:rsidR="00300D09" w:rsidRPr="00822349" w:rsidSect="00C95C0D">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504E" w14:textId="77777777" w:rsidR="002A4A25" w:rsidRDefault="002A4A25" w:rsidP="00115245">
      <w:r>
        <w:separator/>
      </w:r>
    </w:p>
  </w:endnote>
  <w:endnote w:type="continuationSeparator" w:id="0">
    <w:p w14:paraId="4B20E583" w14:textId="77777777" w:rsidR="002A4A25" w:rsidRDefault="002A4A2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E28B" w14:textId="77777777" w:rsidR="002A4A25" w:rsidRDefault="002A4A25" w:rsidP="00115245">
      <w:r>
        <w:separator/>
      </w:r>
    </w:p>
  </w:footnote>
  <w:footnote w:type="continuationSeparator" w:id="0">
    <w:p w14:paraId="022EDD53" w14:textId="77777777" w:rsidR="002A4A25" w:rsidRDefault="002A4A25" w:rsidP="00115245">
      <w:r>
        <w:continuationSeparator/>
      </w:r>
    </w:p>
  </w:footnote>
  <w:footnote w:id="1">
    <w:p w14:paraId="4F23CDA0" w14:textId="74C724CB" w:rsidR="002D3D18" w:rsidRPr="002D3D18" w:rsidRDefault="002D3D18">
      <w:pPr>
        <w:pStyle w:val="FootnoteText"/>
        <w:rPr>
          <w:lang w:val="en-US"/>
        </w:rPr>
      </w:pPr>
      <w:r>
        <w:rPr>
          <w:rStyle w:val="FootnoteReference"/>
        </w:rPr>
        <w:footnoteRef/>
      </w:r>
      <w:r>
        <w:t xml:space="preserve"> </w:t>
      </w:r>
      <w:r>
        <w:rPr>
          <w:lang w:val="en-US"/>
        </w:rPr>
        <w:t>2002 (6) SA 297 (SCA)</w:t>
      </w:r>
    </w:p>
  </w:footnote>
  <w:footnote w:id="2">
    <w:p w14:paraId="22C2A0D9" w14:textId="0303D6D1" w:rsidR="00782819" w:rsidRPr="00782819" w:rsidRDefault="00782819">
      <w:pPr>
        <w:pStyle w:val="FootnoteText"/>
        <w:rPr>
          <w:lang w:val="en-US"/>
        </w:rPr>
      </w:pPr>
      <w:r>
        <w:rPr>
          <w:rStyle w:val="FootnoteReference"/>
        </w:rPr>
        <w:footnoteRef/>
      </w:r>
      <w:r>
        <w:t xml:space="preserve"> </w:t>
      </w:r>
      <w:r>
        <w:rPr>
          <w:lang w:val="en-US"/>
        </w:rPr>
        <w:t>At 301J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068096CD" w:rsidR="0011705A" w:rsidRDefault="0011705A">
    <w:pPr>
      <w:pStyle w:val="Header"/>
      <w:jc w:val="right"/>
    </w:pPr>
    <w:r>
      <w:fldChar w:fldCharType="begin"/>
    </w:r>
    <w:r>
      <w:instrText xml:space="preserve"> PAGE   \* MERGEFORMAT </w:instrText>
    </w:r>
    <w:r>
      <w:fldChar w:fldCharType="separate"/>
    </w:r>
    <w:r w:rsidR="00F91B53">
      <w:rPr>
        <w:noProof/>
      </w:rPr>
      <w:t>9</w:t>
    </w:r>
    <w:r>
      <w:rPr>
        <w:noProof/>
      </w:rPr>
      <w:fldChar w:fldCharType="end"/>
    </w:r>
  </w:p>
  <w:p w14:paraId="7C19FFE2" w14:textId="77777777" w:rsidR="0011705A" w:rsidRDefault="0011705A">
    <w:pPr>
      <w:pStyle w:val="Header"/>
    </w:pPr>
  </w:p>
  <w:p w14:paraId="29B71341" w14:textId="77777777" w:rsidR="005226CA" w:rsidRDefault="005226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A952986"/>
    <w:multiLevelType w:val="multilevel"/>
    <w:tmpl w:val="54A0E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34532"/>
    <w:multiLevelType w:val="hybridMultilevel"/>
    <w:tmpl w:val="96EA2086"/>
    <w:lvl w:ilvl="0" w:tplc="FAFC354A">
      <w:start w:val="1"/>
      <w:numFmt w:val="decimal"/>
      <w:lvlText w:val="%1."/>
      <w:lvlJc w:val="left"/>
      <w:pPr>
        <w:ind w:hanging="851"/>
      </w:pPr>
      <w:rPr>
        <w:rFonts w:ascii="Times New Roman" w:eastAsia="Times New Roman" w:hAnsi="Times New Roman" w:hint="default"/>
        <w:w w:val="99"/>
        <w:sz w:val="22"/>
        <w:szCs w:val="22"/>
      </w:rPr>
    </w:lvl>
    <w:lvl w:ilvl="1" w:tplc="E5FA4F14">
      <w:start w:val="1"/>
      <w:numFmt w:val="decimal"/>
      <w:lvlText w:val="%2."/>
      <w:lvlJc w:val="left"/>
      <w:pPr>
        <w:ind w:hanging="331"/>
        <w:jc w:val="right"/>
      </w:pPr>
      <w:rPr>
        <w:rFonts w:ascii="Times New Roman" w:eastAsia="Times New Roman" w:hAnsi="Times New Roman" w:hint="default"/>
        <w:b/>
        <w:bCs/>
        <w:w w:val="99"/>
        <w:sz w:val="22"/>
        <w:szCs w:val="22"/>
      </w:rPr>
    </w:lvl>
    <w:lvl w:ilvl="2" w:tplc="098463BC">
      <w:start w:val="1"/>
      <w:numFmt w:val="lowerLetter"/>
      <w:lvlText w:val="(%3)"/>
      <w:lvlJc w:val="left"/>
      <w:pPr>
        <w:ind w:hanging="681"/>
      </w:pPr>
      <w:rPr>
        <w:rFonts w:ascii="Times New Roman" w:eastAsia="Times New Roman" w:hAnsi="Times New Roman" w:hint="default"/>
        <w:w w:val="99"/>
        <w:sz w:val="22"/>
        <w:szCs w:val="22"/>
      </w:rPr>
    </w:lvl>
    <w:lvl w:ilvl="3" w:tplc="7E305968">
      <w:start w:val="1"/>
      <w:numFmt w:val="lowerRoman"/>
      <w:lvlText w:val="(%4)"/>
      <w:lvlJc w:val="left"/>
      <w:pPr>
        <w:ind w:hanging="322"/>
        <w:jc w:val="right"/>
      </w:pPr>
      <w:rPr>
        <w:rFonts w:ascii="Times New Roman" w:eastAsia="Times New Roman" w:hAnsi="Times New Roman" w:hint="default"/>
        <w:w w:val="99"/>
        <w:sz w:val="22"/>
        <w:szCs w:val="22"/>
      </w:rPr>
    </w:lvl>
    <w:lvl w:ilvl="4" w:tplc="53D43F1E">
      <w:start w:val="1"/>
      <w:numFmt w:val="bullet"/>
      <w:lvlText w:val="•"/>
      <w:lvlJc w:val="left"/>
      <w:rPr>
        <w:rFonts w:hint="default"/>
      </w:rPr>
    </w:lvl>
    <w:lvl w:ilvl="5" w:tplc="F780A19E">
      <w:start w:val="1"/>
      <w:numFmt w:val="bullet"/>
      <w:lvlText w:val="•"/>
      <w:lvlJc w:val="left"/>
      <w:rPr>
        <w:rFonts w:hint="default"/>
      </w:rPr>
    </w:lvl>
    <w:lvl w:ilvl="6" w:tplc="C9B23CB6">
      <w:start w:val="1"/>
      <w:numFmt w:val="bullet"/>
      <w:lvlText w:val="•"/>
      <w:lvlJc w:val="left"/>
      <w:rPr>
        <w:rFonts w:hint="default"/>
      </w:rPr>
    </w:lvl>
    <w:lvl w:ilvl="7" w:tplc="A25AFD0A">
      <w:start w:val="1"/>
      <w:numFmt w:val="bullet"/>
      <w:lvlText w:val="•"/>
      <w:lvlJc w:val="left"/>
      <w:rPr>
        <w:rFonts w:hint="default"/>
      </w:rPr>
    </w:lvl>
    <w:lvl w:ilvl="8" w:tplc="EDBC083E">
      <w:start w:val="1"/>
      <w:numFmt w:val="bullet"/>
      <w:lvlText w:val="•"/>
      <w:lvlJc w:val="left"/>
      <w:rPr>
        <w:rFonts w:hint="default"/>
      </w:rPr>
    </w:lvl>
  </w:abstractNum>
  <w:abstractNum w:abstractNumId="7" w15:restartNumberingAfterBreak="0">
    <w:nsid w:val="173A5035"/>
    <w:multiLevelType w:val="hybridMultilevel"/>
    <w:tmpl w:val="F8545C8A"/>
    <w:lvl w:ilvl="0" w:tplc="1C09000F">
      <w:start w:val="1"/>
      <w:numFmt w:val="decimal"/>
      <w:lvlText w:val="%1."/>
      <w:lvlJc w:val="left"/>
      <w:pPr>
        <w:ind w:left="720" w:hanging="360"/>
      </w:pPr>
      <w:rPr>
        <w:rFonts w:hint="default"/>
      </w:rPr>
    </w:lvl>
    <w:lvl w:ilvl="1" w:tplc="AA168284">
      <w:start w:val="1"/>
      <w:numFmt w:val="lowerLetter"/>
      <w:lvlText w:val="%2."/>
      <w:lvlJc w:val="left"/>
      <w:pPr>
        <w:ind w:left="1440" w:hanging="360"/>
      </w:pPr>
      <w:rPr>
        <w:rFonts w:ascii="Arial" w:eastAsia="Times New Roman"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42BF6"/>
    <w:multiLevelType w:val="multilevel"/>
    <w:tmpl w:val="7C3A48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63C7E"/>
    <w:multiLevelType w:val="multilevel"/>
    <w:tmpl w:val="F2868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32EAB"/>
    <w:multiLevelType w:val="multilevel"/>
    <w:tmpl w:val="718A36B0"/>
    <w:lvl w:ilvl="0">
      <w:start w:val="1"/>
      <w:numFmt w:val="decimal"/>
      <w:pStyle w:val="1"/>
      <w:lvlText w:val="[%1]"/>
      <w:lvlJc w:val="left"/>
      <w:pPr>
        <w:tabs>
          <w:tab w:val="num" w:pos="0"/>
        </w:tabs>
        <w:ind w:left="0" w:firstLine="0"/>
      </w:pPr>
      <w:rPr>
        <w:rFonts w:hint="default"/>
        <w:b w:val="0"/>
        <w:i w:val="0"/>
      </w:rPr>
    </w:lvl>
    <w:lvl w:ilvl="1">
      <w:start w:val="1"/>
      <w:numFmt w:val="decimal"/>
      <w:pStyle w:val="2"/>
      <w:lvlText w:val="%2."/>
      <w:lvlJc w:val="left"/>
      <w:pPr>
        <w:tabs>
          <w:tab w:val="num" w:pos="1844"/>
        </w:tabs>
        <w:ind w:left="1844" w:hanging="1134"/>
      </w:pPr>
      <w:rPr>
        <w:rFonts w:ascii="Arial" w:eastAsia="Times New Roman" w:hAnsi="Arial" w:cs="Arial"/>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2" w15:restartNumberingAfterBreak="0">
    <w:nsid w:val="30BA0BB1"/>
    <w:multiLevelType w:val="multilevel"/>
    <w:tmpl w:val="726E56EC"/>
    <w:lvl w:ilvl="0">
      <w:start w:val="1"/>
      <w:numFmt w:val="decimal"/>
      <w:lvlText w:val="%1."/>
      <w:lvlJc w:val="left"/>
      <w:pPr>
        <w:ind w:hanging="852"/>
        <w:jc w:val="right"/>
      </w:pPr>
      <w:rPr>
        <w:rFonts w:ascii="Arial" w:eastAsia="Arial" w:hAnsi="Arial" w:hint="default"/>
        <w:sz w:val="24"/>
        <w:szCs w:val="24"/>
      </w:rPr>
    </w:lvl>
    <w:lvl w:ilvl="1">
      <w:start w:val="1"/>
      <w:numFmt w:val="decimal"/>
      <w:lvlText w:val="%1.%2"/>
      <w:lvlJc w:val="left"/>
      <w:pPr>
        <w:ind w:hanging="850"/>
        <w:jc w:val="right"/>
      </w:pPr>
      <w:rPr>
        <w:rFonts w:ascii="Arial" w:eastAsia="Arial" w:hAnsi="Arial" w:hint="default"/>
        <w:sz w:val="24"/>
        <w:szCs w:val="24"/>
      </w:rPr>
    </w:lvl>
    <w:lvl w:ilvl="2">
      <w:start w:val="1"/>
      <w:numFmt w:val="decimal"/>
      <w:lvlText w:val="%1.%2.%3"/>
      <w:lvlJc w:val="left"/>
      <w:pPr>
        <w:ind w:hanging="1134"/>
        <w:jc w:val="right"/>
      </w:pPr>
      <w:rPr>
        <w:rFonts w:ascii="Arial" w:eastAsia="Arial" w:hAnsi="Arial" w:hint="default"/>
        <w:sz w:val="24"/>
        <w:szCs w:val="24"/>
      </w:rPr>
    </w:lvl>
    <w:lvl w:ilvl="3">
      <w:start w:val="1"/>
      <w:numFmt w:val="decimal"/>
      <w:lvlText w:val="%1.%2.%3.%4"/>
      <w:lvlJc w:val="left"/>
      <w:pPr>
        <w:ind w:hanging="1203"/>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6"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7"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8"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9"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1" w15:restartNumberingAfterBreak="0">
    <w:nsid w:val="644F0392"/>
    <w:multiLevelType w:val="multilevel"/>
    <w:tmpl w:val="434A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8390A"/>
    <w:multiLevelType w:val="hybridMultilevel"/>
    <w:tmpl w:val="D2768A2A"/>
    <w:lvl w:ilvl="0" w:tplc="0812FB22">
      <w:start w:val="1"/>
      <w:numFmt w:val="decimal"/>
      <w:lvlText w:val="(%1)"/>
      <w:lvlJc w:val="left"/>
      <w:pPr>
        <w:ind w:hanging="367"/>
        <w:jc w:val="right"/>
      </w:pPr>
      <w:rPr>
        <w:rFonts w:ascii="Arial" w:eastAsia="Times New Roman" w:hAnsi="Arial" w:cs="Arial" w:hint="default"/>
        <w:w w:val="99"/>
        <w:sz w:val="22"/>
        <w:szCs w:val="22"/>
      </w:rPr>
    </w:lvl>
    <w:lvl w:ilvl="1" w:tplc="9AC60B44">
      <w:start w:val="1"/>
      <w:numFmt w:val="lowerLetter"/>
      <w:lvlText w:val="(%2)"/>
      <w:lvlJc w:val="left"/>
      <w:pPr>
        <w:ind w:hanging="681"/>
      </w:pPr>
      <w:rPr>
        <w:rFonts w:ascii="Arial" w:eastAsia="Times New Roman" w:hAnsi="Arial" w:cs="Arial" w:hint="default"/>
        <w:w w:val="99"/>
        <w:sz w:val="22"/>
        <w:szCs w:val="22"/>
      </w:rPr>
    </w:lvl>
    <w:lvl w:ilvl="2" w:tplc="A1B89ECC">
      <w:start w:val="1"/>
      <w:numFmt w:val="bullet"/>
      <w:lvlText w:val="•"/>
      <w:lvlJc w:val="left"/>
      <w:rPr>
        <w:rFonts w:hint="default"/>
      </w:rPr>
    </w:lvl>
    <w:lvl w:ilvl="3" w:tplc="91E43DEE">
      <w:start w:val="1"/>
      <w:numFmt w:val="bullet"/>
      <w:lvlText w:val="•"/>
      <w:lvlJc w:val="left"/>
      <w:rPr>
        <w:rFonts w:hint="default"/>
      </w:rPr>
    </w:lvl>
    <w:lvl w:ilvl="4" w:tplc="64602AB6">
      <w:start w:val="1"/>
      <w:numFmt w:val="bullet"/>
      <w:lvlText w:val="•"/>
      <w:lvlJc w:val="left"/>
      <w:rPr>
        <w:rFonts w:hint="default"/>
      </w:rPr>
    </w:lvl>
    <w:lvl w:ilvl="5" w:tplc="EE828444">
      <w:start w:val="1"/>
      <w:numFmt w:val="bullet"/>
      <w:lvlText w:val="•"/>
      <w:lvlJc w:val="left"/>
      <w:rPr>
        <w:rFonts w:hint="default"/>
      </w:rPr>
    </w:lvl>
    <w:lvl w:ilvl="6" w:tplc="BC3CDE56">
      <w:start w:val="1"/>
      <w:numFmt w:val="bullet"/>
      <w:lvlText w:val="•"/>
      <w:lvlJc w:val="left"/>
      <w:rPr>
        <w:rFonts w:hint="default"/>
      </w:rPr>
    </w:lvl>
    <w:lvl w:ilvl="7" w:tplc="26F86D82">
      <w:start w:val="1"/>
      <w:numFmt w:val="bullet"/>
      <w:lvlText w:val="•"/>
      <w:lvlJc w:val="left"/>
      <w:rPr>
        <w:rFonts w:hint="default"/>
      </w:rPr>
    </w:lvl>
    <w:lvl w:ilvl="8" w:tplc="9DB6E6B8">
      <w:start w:val="1"/>
      <w:numFmt w:val="bullet"/>
      <w:lvlText w:val="•"/>
      <w:lvlJc w:val="left"/>
      <w:rPr>
        <w:rFonts w:hint="default"/>
      </w:rPr>
    </w:lvl>
  </w:abstractNum>
  <w:abstractNum w:abstractNumId="23" w15:restartNumberingAfterBreak="0">
    <w:nsid w:val="6CEA2C09"/>
    <w:multiLevelType w:val="hybridMultilevel"/>
    <w:tmpl w:val="517C7AF0"/>
    <w:lvl w:ilvl="0" w:tplc="480C64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6"/>
  </w:num>
  <w:num w:numId="12">
    <w:abstractNumId w:val="15"/>
  </w:num>
  <w:num w:numId="13">
    <w:abstractNumId w:val="13"/>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7"/>
  </w:num>
  <w:num w:numId="19">
    <w:abstractNumId w:val="12"/>
  </w:num>
  <w:num w:numId="20">
    <w:abstractNumId w:val="22"/>
  </w:num>
  <w:num w:numId="21">
    <w:abstractNumId w:val="6"/>
  </w:num>
  <w:num w:numId="22">
    <w:abstractNumId w:val="20"/>
  </w:num>
  <w:num w:numId="23">
    <w:abstractNumId w:val="21"/>
  </w:num>
  <w:num w:numId="24">
    <w:abstractNumId w:val="5"/>
  </w:num>
  <w:num w:numId="25">
    <w:abstractNumId w:val="10"/>
  </w:num>
  <w:num w:numId="26">
    <w:abstractNumId w:val="9"/>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1F3"/>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187B"/>
    <w:rsid w:val="000526FC"/>
    <w:rsid w:val="00053DD2"/>
    <w:rsid w:val="000541F4"/>
    <w:rsid w:val="00054540"/>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1B70"/>
    <w:rsid w:val="000B1FB0"/>
    <w:rsid w:val="000B2B54"/>
    <w:rsid w:val="000B2C72"/>
    <w:rsid w:val="000B2E1A"/>
    <w:rsid w:val="000B3A8F"/>
    <w:rsid w:val="000B44E2"/>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E7C3E"/>
    <w:rsid w:val="000F0069"/>
    <w:rsid w:val="000F04AB"/>
    <w:rsid w:val="000F0FDF"/>
    <w:rsid w:val="000F12F3"/>
    <w:rsid w:val="000F1B35"/>
    <w:rsid w:val="000F1FCB"/>
    <w:rsid w:val="000F201C"/>
    <w:rsid w:val="000F2614"/>
    <w:rsid w:val="000F390B"/>
    <w:rsid w:val="000F4FE4"/>
    <w:rsid w:val="000F58E7"/>
    <w:rsid w:val="000F6E19"/>
    <w:rsid w:val="000F71BA"/>
    <w:rsid w:val="00100355"/>
    <w:rsid w:val="00100912"/>
    <w:rsid w:val="00101A4E"/>
    <w:rsid w:val="00103F18"/>
    <w:rsid w:val="00104A24"/>
    <w:rsid w:val="001055C2"/>
    <w:rsid w:val="00105F2D"/>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52C"/>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C71"/>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CF6"/>
    <w:rsid w:val="001A4D24"/>
    <w:rsid w:val="001A614B"/>
    <w:rsid w:val="001A6457"/>
    <w:rsid w:val="001A7558"/>
    <w:rsid w:val="001A7D24"/>
    <w:rsid w:val="001B053D"/>
    <w:rsid w:val="001B0765"/>
    <w:rsid w:val="001B091A"/>
    <w:rsid w:val="001B09A6"/>
    <w:rsid w:val="001B09DA"/>
    <w:rsid w:val="001B0E3A"/>
    <w:rsid w:val="001B1309"/>
    <w:rsid w:val="001B2D50"/>
    <w:rsid w:val="001B65A6"/>
    <w:rsid w:val="001B6EC7"/>
    <w:rsid w:val="001B7418"/>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561"/>
    <w:rsid w:val="001F7976"/>
    <w:rsid w:val="001F7FC2"/>
    <w:rsid w:val="0020161E"/>
    <w:rsid w:val="00201C5C"/>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928"/>
    <w:rsid w:val="00223968"/>
    <w:rsid w:val="00223AC3"/>
    <w:rsid w:val="0022426E"/>
    <w:rsid w:val="00227680"/>
    <w:rsid w:val="00230D61"/>
    <w:rsid w:val="00231145"/>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90B"/>
    <w:rsid w:val="002A0B6B"/>
    <w:rsid w:val="002A155E"/>
    <w:rsid w:val="002A1642"/>
    <w:rsid w:val="002A20ED"/>
    <w:rsid w:val="002A218B"/>
    <w:rsid w:val="002A27C9"/>
    <w:rsid w:val="002A29CB"/>
    <w:rsid w:val="002A3E4C"/>
    <w:rsid w:val="002A414E"/>
    <w:rsid w:val="002A41E2"/>
    <w:rsid w:val="002A42E3"/>
    <w:rsid w:val="002A4A25"/>
    <w:rsid w:val="002A4D60"/>
    <w:rsid w:val="002A53A6"/>
    <w:rsid w:val="002A5F21"/>
    <w:rsid w:val="002A6480"/>
    <w:rsid w:val="002A72E7"/>
    <w:rsid w:val="002B04FF"/>
    <w:rsid w:val="002B1672"/>
    <w:rsid w:val="002B2A38"/>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3D18"/>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3F96"/>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3F31"/>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3FD0"/>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270"/>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6F8F"/>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2E1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1694D"/>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33BF"/>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3DA"/>
    <w:rsid w:val="00456FFD"/>
    <w:rsid w:val="00457466"/>
    <w:rsid w:val="004574B7"/>
    <w:rsid w:val="00457DD8"/>
    <w:rsid w:val="004609DA"/>
    <w:rsid w:val="0046101D"/>
    <w:rsid w:val="00461699"/>
    <w:rsid w:val="00461849"/>
    <w:rsid w:val="00461C68"/>
    <w:rsid w:val="004621D4"/>
    <w:rsid w:val="00462590"/>
    <w:rsid w:val="004643C0"/>
    <w:rsid w:val="00464948"/>
    <w:rsid w:val="0046495C"/>
    <w:rsid w:val="004651B8"/>
    <w:rsid w:val="00465206"/>
    <w:rsid w:val="004661F8"/>
    <w:rsid w:val="00466EED"/>
    <w:rsid w:val="00467E72"/>
    <w:rsid w:val="0047035C"/>
    <w:rsid w:val="00470636"/>
    <w:rsid w:val="004711BE"/>
    <w:rsid w:val="004712CC"/>
    <w:rsid w:val="00471CD6"/>
    <w:rsid w:val="00471DAE"/>
    <w:rsid w:val="004724C4"/>
    <w:rsid w:val="004730CF"/>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77"/>
    <w:rsid w:val="004D10BA"/>
    <w:rsid w:val="004D1892"/>
    <w:rsid w:val="004D1B97"/>
    <w:rsid w:val="004D1C16"/>
    <w:rsid w:val="004D27EB"/>
    <w:rsid w:val="004D2A60"/>
    <w:rsid w:val="004D37A4"/>
    <w:rsid w:val="004D3988"/>
    <w:rsid w:val="004D3B5E"/>
    <w:rsid w:val="004D4143"/>
    <w:rsid w:val="004D4265"/>
    <w:rsid w:val="004D452A"/>
    <w:rsid w:val="004D457C"/>
    <w:rsid w:val="004D4DBF"/>
    <w:rsid w:val="004D5215"/>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6D93"/>
    <w:rsid w:val="00517ABC"/>
    <w:rsid w:val="005203C2"/>
    <w:rsid w:val="00520868"/>
    <w:rsid w:val="005209FD"/>
    <w:rsid w:val="00520E50"/>
    <w:rsid w:val="00522162"/>
    <w:rsid w:val="005222C1"/>
    <w:rsid w:val="005223A3"/>
    <w:rsid w:val="005226CA"/>
    <w:rsid w:val="005252B6"/>
    <w:rsid w:val="00525D24"/>
    <w:rsid w:val="00530D60"/>
    <w:rsid w:val="00530E68"/>
    <w:rsid w:val="0053146C"/>
    <w:rsid w:val="005314DD"/>
    <w:rsid w:val="00531925"/>
    <w:rsid w:val="00532D77"/>
    <w:rsid w:val="005332D4"/>
    <w:rsid w:val="005344E4"/>
    <w:rsid w:val="00534716"/>
    <w:rsid w:val="00535879"/>
    <w:rsid w:val="005373A1"/>
    <w:rsid w:val="0054290D"/>
    <w:rsid w:val="00543D3A"/>
    <w:rsid w:val="00544141"/>
    <w:rsid w:val="00545B27"/>
    <w:rsid w:val="00546262"/>
    <w:rsid w:val="00546717"/>
    <w:rsid w:val="0054707B"/>
    <w:rsid w:val="0054767E"/>
    <w:rsid w:val="00547FD4"/>
    <w:rsid w:val="005507D0"/>
    <w:rsid w:val="00550EAC"/>
    <w:rsid w:val="00551A73"/>
    <w:rsid w:val="00552147"/>
    <w:rsid w:val="00553B27"/>
    <w:rsid w:val="00553E08"/>
    <w:rsid w:val="00554224"/>
    <w:rsid w:val="00554CD7"/>
    <w:rsid w:val="00554EF8"/>
    <w:rsid w:val="00555F21"/>
    <w:rsid w:val="00557022"/>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4751"/>
    <w:rsid w:val="00595AAE"/>
    <w:rsid w:val="005960DB"/>
    <w:rsid w:val="005A147A"/>
    <w:rsid w:val="005A32FD"/>
    <w:rsid w:val="005A33A3"/>
    <w:rsid w:val="005A3500"/>
    <w:rsid w:val="005A3D8D"/>
    <w:rsid w:val="005A4303"/>
    <w:rsid w:val="005A486A"/>
    <w:rsid w:val="005A4E6B"/>
    <w:rsid w:val="005A4F6A"/>
    <w:rsid w:val="005A505D"/>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08D"/>
    <w:rsid w:val="005F11AB"/>
    <w:rsid w:val="005F137A"/>
    <w:rsid w:val="005F15F6"/>
    <w:rsid w:val="005F3F0C"/>
    <w:rsid w:val="005F445F"/>
    <w:rsid w:val="005F44AE"/>
    <w:rsid w:val="005F4AA8"/>
    <w:rsid w:val="005F530F"/>
    <w:rsid w:val="005F53A4"/>
    <w:rsid w:val="005F61A0"/>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A3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78A9"/>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249D"/>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3C3"/>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68F"/>
    <w:rsid w:val="007277E3"/>
    <w:rsid w:val="00727D45"/>
    <w:rsid w:val="00730D43"/>
    <w:rsid w:val="00731466"/>
    <w:rsid w:val="007319C3"/>
    <w:rsid w:val="00732DA4"/>
    <w:rsid w:val="00733185"/>
    <w:rsid w:val="00734401"/>
    <w:rsid w:val="00734865"/>
    <w:rsid w:val="00734EE3"/>
    <w:rsid w:val="00735525"/>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3A4"/>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F93"/>
    <w:rsid w:val="00781041"/>
    <w:rsid w:val="00781091"/>
    <w:rsid w:val="0078122A"/>
    <w:rsid w:val="00782819"/>
    <w:rsid w:val="00785920"/>
    <w:rsid w:val="00785A5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6B90"/>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2D3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1369"/>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349"/>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47CF5"/>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6DD7"/>
    <w:rsid w:val="00877A07"/>
    <w:rsid w:val="00880B44"/>
    <w:rsid w:val="008821AD"/>
    <w:rsid w:val="00882FB4"/>
    <w:rsid w:val="00884004"/>
    <w:rsid w:val="008842FC"/>
    <w:rsid w:val="008850FF"/>
    <w:rsid w:val="0088586C"/>
    <w:rsid w:val="00885A5C"/>
    <w:rsid w:val="00886B20"/>
    <w:rsid w:val="00890FB1"/>
    <w:rsid w:val="00891869"/>
    <w:rsid w:val="00891EA3"/>
    <w:rsid w:val="008926CC"/>
    <w:rsid w:val="00892BE1"/>
    <w:rsid w:val="00893049"/>
    <w:rsid w:val="0089310B"/>
    <w:rsid w:val="00893168"/>
    <w:rsid w:val="008959C6"/>
    <w:rsid w:val="00895B8D"/>
    <w:rsid w:val="0089608E"/>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A5D"/>
    <w:rsid w:val="008E0CEC"/>
    <w:rsid w:val="008E0E6C"/>
    <w:rsid w:val="008E1986"/>
    <w:rsid w:val="008E26B2"/>
    <w:rsid w:val="008E36FB"/>
    <w:rsid w:val="008E3EBB"/>
    <w:rsid w:val="008E4383"/>
    <w:rsid w:val="008E49F1"/>
    <w:rsid w:val="008E4ADD"/>
    <w:rsid w:val="008E4DFA"/>
    <w:rsid w:val="008E5751"/>
    <w:rsid w:val="008E5DCC"/>
    <w:rsid w:val="008E5FD4"/>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8D2"/>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A59"/>
    <w:rsid w:val="00A64AB2"/>
    <w:rsid w:val="00A65FDE"/>
    <w:rsid w:val="00A714B4"/>
    <w:rsid w:val="00A72319"/>
    <w:rsid w:val="00A7270E"/>
    <w:rsid w:val="00A727F1"/>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11C"/>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FB3"/>
    <w:rsid w:val="00AB4AA7"/>
    <w:rsid w:val="00AB4EF7"/>
    <w:rsid w:val="00AB6EEA"/>
    <w:rsid w:val="00AC0476"/>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091B"/>
    <w:rsid w:val="00AF113D"/>
    <w:rsid w:val="00AF1A00"/>
    <w:rsid w:val="00AF3CEB"/>
    <w:rsid w:val="00AF3EB7"/>
    <w:rsid w:val="00AF4849"/>
    <w:rsid w:val="00AF4B9E"/>
    <w:rsid w:val="00AF4D70"/>
    <w:rsid w:val="00AF5521"/>
    <w:rsid w:val="00AF60FB"/>
    <w:rsid w:val="00AF7C12"/>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575"/>
    <w:rsid w:val="00B4275E"/>
    <w:rsid w:val="00B42C26"/>
    <w:rsid w:val="00B43CD0"/>
    <w:rsid w:val="00B43DFF"/>
    <w:rsid w:val="00B43EBB"/>
    <w:rsid w:val="00B44267"/>
    <w:rsid w:val="00B45A37"/>
    <w:rsid w:val="00B462ED"/>
    <w:rsid w:val="00B46537"/>
    <w:rsid w:val="00B5029A"/>
    <w:rsid w:val="00B507B2"/>
    <w:rsid w:val="00B51E2D"/>
    <w:rsid w:val="00B53BDD"/>
    <w:rsid w:val="00B55BA1"/>
    <w:rsid w:val="00B55C52"/>
    <w:rsid w:val="00B5601E"/>
    <w:rsid w:val="00B56360"/>
    <w:rsid w:val="00B564D4"/>
    <w:rsid w:val="00B56EFE"/>
    <w:rsid w:val="00B60F2B"/>
    <w:rsid w:val="00B60FB6"/>
    <w:rsid w:val="00B6157C"/>
    <w:rsid w:val="00B61DBC"/>
    <w:rsid w:val="00B61DC2"/>
    <w:rsid w:val="00B622EE"/>
    <w:rsid w:val="00B625FF"/>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A62"/>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51A8"/>
    <w:rsid w:val="00BD6168"/>
    <w:rsid w:val="00BD61A3"/>
    <w:rsid w:val="00BD67F8"/>
    <w:rsid w:val="00BD6B8C"/>
    <w:rsid w:val="00BD6DDB"/>
    <w:rsid w:val="00BE136F"/>
    <w:rsid w:val="00BE2B70"/>
    <w:rsid w:val="00BE3C7F"/>
    <w:rsid w:val="00BE7551"/>
    <w:rsid w:val="00BF005C"/>
    <w:rsid w:val="00BF0801"/>
    <w:rsid w:val="00BF0A6B"/>
    <w:rsid w:val="00BF0C0E"/>
    <w:rsid w:val="00BF0E01"/>
    <w:rsid w:val="00BF15BC"/>
    <w:rsid w:val="00BF15C6"/>
    <w:rsid w:val="00BF1C93"/>
    <w:rsid w:val="00BF283E"/>
    <w:rsid w:val="00BF2A64"/>
    <w:rsid w:val="00BF2D48"/>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59"/>
    <w:rsid w:val="00C118E8"/>
    <w:rsid w:val="00C11DAC"/>
    <w:rsid w:val="00C1209F"/>
    <w:rsid w:val="00C126A0"/>
    <w:rsid w:val="00C127A8"/>
    <w:rsid w:val="00C12A1C"/>
    <w:rsid w:val="00C12D89"/>
    <w:rsid w:val="00C141AF"/>
    <w:rsid w:val="00C142C3"/>
    <w:rsid w:val="00C14926"/>
    <w:rsid w:val="00C16C0F"/>
    <w:rsid w:val="00C16CAD"/>
    <w:rsid w:val="00C17CE2"/>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221"/>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5C0D"/>
    <w:rsid w:val="00C96627"/>
    <w:rsid w:val="00C96D93"/>
    <w:rsid w:val="00C9783D"/>
    <w:rsid w:val="00C97AAA"/>
    <w:rsid w:val="00C97B5F"/>
    <w:rsid w:val="00C97FDB"/>
    <w:rsid w:val="00CA0354"/>
    <w:rsid w:val="00CA041E"/>
    <w:rsid w:val="00CA0791"/>
    <w:rsid w:val="00CA085D"/>
    <w:rsid w:val="00CA14CE"/>
    <w:rsid w:val="00CA1DB5"/>
    <w:rsid w:val="00CA1EFC"/>
    <w:rsid w:val="00CA27ED"/>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1D59"/>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2ECC"/>
    <w:rsid w:val="00D93976"/>
    <w:rsid w:val="00D942E4"/>
    <w:rsid w:val="00D9528F"/>
    <w:rsid w:val="00D95662"/>
    <w:rsid w:val="00D957F8"/>
    <w:rsid w:val="00D96BE5"/>
    <w:rsid w:val="00D96C8D"/>
    <w:rsid w:val="00D9718A"/>
    <w:rsid w:val="00D97E1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2BBD"/>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159C"/>
    <w:rsid w:val="00E32342"/>
    <w:rsid w:val="00E333EC"/>
    <w:rsid w:val="00E3397C"/>
    <w:rsid w:val="00E33F98"/>
    <w:rsid w:val="00E33FAF"/>
    <w:rsid w:val="00E3547F"/>
    <w:rsid w:val="00E35FCC"/>
    <w:rsid w:val="00E366D2"/>
    <w:rsid w:val="00E37146"/>
    <w:rsid w:val="00E37D71"/>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08A"/>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2F3B"/>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1EE3"/>
    <w:rsid w:val="00F5220C"/>
    <w:rsid w:val="00F52BE6"/>
    <w:rsid w:val="00F53995"/>
    <w:rsid w:val="00F53A2C"/>
    <w:rsid w:val="00F546AE"/>
    <w:rsid w:val="00F567F4"/>
    <w:rsid w:val="00F574BB"/>
    <w:rsid w:val="00F579DE"/>
    <w:rsid w:val="00F60C31"/>
    <w:rsid w:val="00F60F89"/>
    <w:rsid w:val="00F61531"/>
    <w:rsid w:val="00F629A7"/>
    <w:rsid w:val="00F644C2"/>
    <w:rsid w:val="00F648D6"/>
    <w:rsid w:val="00F64B26"/>
    <w:rsid w:val="00F668D4"/>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1B53"/>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C07C94"/>
    <w:pPr>
      <w:numPr>
        <w:numId w:val="1"/>
      </w:numPr>
      <w:tabs>
        <w:tab w:val="num" w:pos="567"/>
      </w:tabs>
      <w:spacing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tabs>
        <w:tab w:val="clear" w:pos="1844"/>
        <w:tab w:val="num" w:pos="567"/>
        <w:tab w:val="num" w:pos="1701"/>
      </w:tabs>
      <w:ind w:left="1701"/>
    </w:pPr>
  </w:style>
  <w:style w:type="paragraph" w:customStyle="1" w:styleId="3">
    <w:name w:val="3"/>
    <w:basedOn w:val="2"/>
    <w:qFormat/>
    <w:rsid w:val="004D4DBF"/>
    <w:pPr>
      <w:numPr>
        <w:ilvl w:val="2"/>
      </w:numPr>
      <w:tabs>
        <w:tab w:val="num" w:pos="1701"/>
      </w:tabs>
    </w:pPr>
  </w:style>
  <w:style w:type="paragraph" w:customStyle="1" w:styleId="4">
    <w:name w:val="4"/>
    <w:basedOn w:val="2"/>
    <w:qFormat/>
    <w:rsid w:val="00300D09"/>
    <w:pPr>
      <w:numPr>
        <w:ilvl w:val="3"/>
      </w:numPr>
      <w:tabs>
        <w:tab w:val="num" w:pos="1701"/>
      </w:tabs>
    </w:pPr>
    <w:rPr>
      <w:iCs w:val="0"/>
    </w:rPr>
  </w:style>
  <w:style w:type="paragraph" w:customStyle="1" w:styleId="5">
    <w:name w:val="5"/>
    <w:basedOn w:val="4"/>
    <w:qFormat/>
    <w:rsid w:val="00300D09"/>
    <w:pPr>
      <w:numPr>
        <w:ilvl w:val="4"/>
      </w:numPr>
      <w:tabs>
        <w:tab w:val="num" w:pos="4536"/>
      </w:tabs>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C07C94"/>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styleId="Revision">
    <w:name w:val="Revision"/>
    <w:hidden/>
    <w:uiPriority w:val="99"/>
    <w:semiHidden/>
    <w:rsid w:val="00891869"/>
    <w:rPr>
      <w:rFonts w:ascii="Arial" w:hAnsi="Arial"/>
      <w:sz w:val="24"/>
      <w:szCs w:val="24"/>
      <w:lang w:eastAsia="en-US"/>
    </w:rPr>
  </w:style>
  <w:style w:type="paragraph" w:customStyle="1" w:styleId="Indent">
    <w:name w:val="Indent"/>
    <w:basedOn w:val="Normal"/>
    <w:rsid w:val="00E35FCC"/>
    <w:pPr>
      <w:widowControl w:val="0"/>
      <w:numPr>
        <w:numId w:val="22"/>
      </w:numPr>
      <w:spacing w:after="480" w:line="480" w:lineRule="auto"/>
    </w:pPr>
    <w:rPr>
      <w:kern w:val="25"/>
      <w:sz w:val="25"/>
      <w:szCs w:val="20"/>
      <w:lang w:eastAsia="en-GB"/>
    </w:rPr>
  </w:style>
  <w:style w:type="paragraph" w:customStyle="1" w:styleId="Heading">
    <w:name w:val="Heading"/>
    <w:basedOn w:val="Normal"/>
    <w:next w:val="Indent"/>
    <w:rsid w:val="00E35FCC"/>
    <w:pPr>
      <w:keepNext/>
      <w:widowControl w:val="0"/>
      <w:tabs>
        <w:tab w:val="left" w:pos="851"/>
        <w:tab w:val="left" w:pos="1701"/>
        <w:tab w:val="left" w:pos="2835"/>
        <w:tab w:val="left" w:pos="3969"/>
        <w:tab w:val="left" w:pos="4706"/>
      </w:tabs>
      <w:spacing w:after="720"/>
    </w:pPr>
    <w:rPr>
      <w:b/>
      <w:kern w:val="25"/>
      <w:sz w:val="25"/>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7338">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79718691">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75806223">
      <w:bodyDiv w:val="1"/>
      <w:marLeft w:val="0"/>
      <w:marRight w:val="0"/>
      <w:marTop w:val="0"/>
      <w:marBottom w:val="0"/>
      <w:divBdr>
        <w:top w:val="none" w:sz="0" w:space="0" w:color="auto"/>
        <w:left w:val="none" w:sz="0" w:space="0" w:color="auto"/>
        <w:bottom w:val="none" w:sz="0" w:space="0" w:color="auto"/>
        <w:right w:val="none" w:sz="0" w:space="0" w:color="auto"/>
      </w:divBdr>
      <w:divsChild>
        <w:div w:id="514195774">
          <w:marLeft w:val="0"/>
          <w:marRight w:val="0"/>
          <w:marTop w:val="120"/>
          <w:marBottom w:val="0"/>
          <w:divBdr>
            <w:top w:val="none" w:sz="0" w:space="0" w:color="auto"/>
            <w:left w:val="none" w:sz="0" w:space="0" w:color="auto"/>
            <w:bottom w:val="none" w:sz="0" w:space="0" w:color="auto"/>
            <w:right w:val="none" w:sz="0" w:space="0" w:color="auto"/>
          </w:divBdr>
        </w:div>
        <w:div w:id="977876963">
          <w:marLeft w:val="0"/>
          <w:marRight w:val="0"/>
          <w:marTop w:val="120"/>
          <w:marBottom w:val="0"/>
          <w:divBdr>
            <w:top w:val="none" w:sz="0" w:space="0" w:color="auto"/>
            <w:left w:val="none" w:sz="0" w:space="0" w:color="auto"/>
            <w:bottom w:val="none" w:sz="0" w:space="0" w:color="auto"/>
            <w:right w:val="none" w:sz="0" w:space="0" w:color="auto"/>
          </w:divBdr>
        </w:div>
        <w:div w:id="197671579">
          <w:marLeft w:val="0"/>
          <w:marRight w:val="0"/>
          <w:marTop w:val="120"/>
          <w:marBottom w:val="0"/>
          <w:divBdr>
            <w:top w:val="none" w:sz="0" w:space="0" w:color="auto"/>
            <w:left w:val="none" w:sz="0" w:space="0" w:color="auto"/>
            <w:bottom w:val="none" w:sz="0" w:space="0" w:color="auto"/>
            <w:right w:val="none" w:sz="0" w:space="0" w:color="auto"/>
          </w:divBdr>
        </w:div>
        <w:div w:id="1426534097">
          <w:marLeft w:val="0"/>
          <w:marRight w:val="0"/>
          <w:marTop w:val="240"/>
          <w:marBottom w:val="24"/>
          <w:divBdr>
            <w:top w:val="single" w:sz="8" w:space="2" w:color="808080"/>
            <w:left w:val="none" w:sz="0" w:space="0" w:color="auto"/>
            <w:bottom w:val="none" w:sz="0" w:space="0" w:color="auto"/>
            <w:right w:val="none" w:sz="0" w:space="0" w:color="auto"/>
          </w:divBdr>
        </w:div>
        <w:div w:id="579868778">
          <w:marLeft w:val="0"/>
          <w:marRight w:val="0"/>
          <w:marTop w:val="120"/>
          <w:marBottom w:val="0"/>
          <w:divBdr>
            <w:top w:val="none" w:sz="0" w:space="0" w:color="auto"/>
            <w:left w:val="none" w:sz="0" w:space="0" w:color="auto"/>
            <w:bottom w:val="none" w:sz="0" w:space="0" w:color="auto"/>
            <w:right w:val="none" w:sz="0" w:space="0" w:color="auto"/>
          </w:divBdr>
        </w:div>
        <w:div w:id="667706745">
          <w:marLeft w:val="0"/>
          <w:marRight w:val="0"/>
          <w:marTop w:val="120"/>
          <w:marBottom w:val="0"/>
          <w:divBdr>
            <w:top w:val="none" w:sz="0" w:space="0" w:color="auto"/>
            <w:left w:val="none" w:sz="0" w:space="0" w:color="auto"/>
            <w:bottom w:val="none" w:sz="0" w:space="0" w:color="auto"/>
            <w:right w:val="none" w:sz="0" w:space="0" w:color="auto"/>
          </w:divBdr>
        </w:div>
        <w:div w:id="1971353834">
          <w:marLeft w:val="0"/>
          <w:marRight w:val="0"/>
          <w:marTop w:val="120"/>
          <w:marBottom w:val="0"/>
          <w:divBdr>
            <w:top w:val="none" w:sz="0" w:space="0" w:color="auto"/>
            <w:left w:val="none" w:sz="0" w:space="0" w:color="auto"/>
            <w:bottom w:val="none" w:sz="0" w:space="0" w:color="auto"/>
            <w:right w:val="none" w:sz="0" w:space="0" w:color="auto"/>
          </w:divBdr>
        </w:div>
        <w:div w:id="1346399368">
          <w:marLeft w:val="0"/>
          <w:marRight w:val="0"/>
          <w:marTop w:val="120"/>
          <w:marBottom w:val="0"/>
          <w:divBdr>
            <w:top w:val="none" w:sz="0" w:space="0" w:color="auto"/>
            <w:left w:val="none" w:sz="0" w:space="0" w:color="auto"/>
            <w:bottom w:val="none" w:sz="0" w:space="0" w:color="auto"/>
            <w:right w:val="none" w:sz="0" w:space="0" w:color="auto"/>
          </w:divBdr>
        </w:div>
        <w:div w:id="871110168">
          <w:marLeft w:val="0"/>
          <w:marRight w:val="0"/>
          <w:marTop w:val="120"/>
          <w:marBottom w:val="0"/>
          <w:divBdr>
            <w:top w:val="none" w:sz="0" w:space="0" w:color="auto"/>
            <w:left w:val="none" w:sz="0" w:space="0" w:color="auto"/>
            <w:bottom w:val="none" w:sz="0" w:space="0" w:color="auto"/>
            <w:right w:val="none" w:sz="0" w:space="0" w:color="auto"/>
          </w:divBdr>
        </w:div>
        <w:div w:id="587427842">
          <w:marLeft w:val="0"/>
          <w:marRight w:val="0"/>
          <w:marTop w:val="120"/>
          <w:marBottom w:val="0"/>
          <w:divBdr>
            <w:top w:val="none" w:sz="0" w:space="0" w:color="auto"/>
            <w:left w:val="none" w:sz="0" w:space="0" w:color="auto"/>
            <w:bottom w:val="none" w:sz="0" w:space="0" w:color="auto"/>
            <w:right w:val="none" w:sz="0" w:space="0" w:color="auto"/>
          </w:divBdr>
        </w:div>
      </w:divsChild>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94789895">
      <w:bodyDiv w:val="1"/>
      <w:marLeft w:val="0"/>
      <w:marRight w:val="0"/>
      <w:marTop w:val="0"/>
      <w:marBottom w:val="0"/>
      <w:divBdr>
        <w:top w:val="none" w:sz="0" w:space="0" w:color="auto"/>
        <w:left w:val="none" w:sz="0" w:space="0" w:color="auto"/>
        <w:bottom w:val="none" w:sz="0" w:space="0" w:color="auto"/>
        <w:right w:val="none" w:sz="0" w:space="0" w:color="auto"/>
      </w:divBdr>
      <w:divsChild>
        <w:div w:id="569460434">
          <w:marLeft w:val="0"/>
          <w:marRight w:val="0"/>
          <w:marTop w:val="0"/>
          <w:marBottom w:val="0"/>
          <w:divBdr>
            <w:top w:val="none" w:sz="0" w:space="0" w:color="auto"/>
            <w:left w:val="none" w:sz="0" w:space="0" w:color="auto"/>
            <w:bottom w:val="none" w:sz="0" w:space="0" w:color="auto"/>
            <w:right w:val="none" w:sz="0" w:space="0" w:color="auto"/>
          </w:divBdr>
          <w:divsChild>
            <w:div w:id="1907370715">
              <w:marLeft w:val="0"/>
              <w:marRight w:val="0"/>
              <w:marTop w:val="0"/>
              <w:marBottom w:val="0"/>
              <w:divBdr>
                <w:top w:val="none" w:sz="0" w:space="0" w:color="auto"/>
                <w:left w:val="none" w:sz="0" w:space="0" w:color="auto"/>
                <w:bottom w:val="none" w:sz="0" w:space="0" w:color="auto"/>
                <w:right w:val="none" w:sz="0" w:space="0" w:color="auto"/>
              </w:divBdr>
              <w:divsChild>
                <w:div w:id="5201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2036">
          <w:marLeft w:val="0"/>
          <w:marRight w:val="0"/>
          <w:marTop w:val="0"/>
          <w:marBottom w:val="0"/>
          <w:divBdr>
            <w:top w:val="none" w:sz="0" w:space="0" w:color="auto"/>
            <w:left w:val="none" w:sz="0" w:space="0" w:color="auto"/>
            <w:bottom w:val="none" w:sz="0" w:space="0" w:color="auto"/>
            <w:right w:val="none" w:sz="0" w:space="0" w:color="auto"/>
          </w:divBdr>
          <w:divsChild>
            <w:div w:id="1682658218">
              <w:marLeft w:val="0"/>
              <w:marRight w:val="0"/>
              <w:marTop w:val="0"/>
              <w:marBottom w:val="0"/>
              <w:divBdr>
                <w:top w:val="none" w:sz="0" w:space="0" w:color="auto"/>
                <w:left w:val="none" w:sz="0" w:space="0" w:color="auto"/>
                <w:bottom w:val="none" w:sz="0" w:space="0" w:color="auto"/>
                <w:right w:val="none" w:sz="0" w:space="0" w:color="auto"/>
              </w:divBdr>
              <w:divsChild>
                <w:div w:id="64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9790">
          <w:marLeft w:val="0"/>
          <w:marRight w:val="0"/>
          <w:marTop w:val="0"/>
          <w:marBottom w:val="0"/>
          <w:divBdr>
            <w:top w:val="none" w:sz="0" w:space="0" w:color="auto"/>
            <w:left w:val="none" w:sz="0" w:space="0" w:color="auto"/>
            <w:bottom w:val="none" w:sz="0" w:space="0" w:color="auto"/>
            <w:right w:val="none" w:sz="0" w:space="0" w:color="auto"/>
          </w:divBdr>
          <w:divsChild>
            <w:div w:id="574585731">
              <w:marLeft w:val="0"/>
              <w:marRight w:val="0"/>
              <w:marTop w:val="0"/>
              <w:marBottom w:val="0"/>
              <w:divBdr>
                <w:top w:val="none" w:sz="0" w:space="0" w:color="auto"/>
                <w:left w:val="none" w:sz="0" w:space="0" w:color="auto"/>
                <w:bottom w:val="none" w:sz="0" w:space="0" w:color="auto"/>
                <w:right w:val="none" w:sz="0" w:space="0" w:color="auto"/>
              </w:divBdr>
              <w:divsChild>
                <w:div w:id="5144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146237665">
      <w:bodyDiv w:val="1"/>
      <w:marLeft w:val="0"/>
      <w:marRight w:val="0"/>
      <w:marTop w:val="0"/>
      <w:marBottom w:val="0"/>
      <w:divBdr>
        <w:top w:val="none" w:sz="0" w:space="0" w:color="auto"/>
        <w:left w:val="none" w:sz="0" w:space="0" w:color="auto"/>
        <w:bottom w:val="none" w:sz="0" w:space="0" w:color="auto"/>
        <w:right w:val="none" w:sz="0" w:space="0" w:color="auto"/>
      </w:divBdr>
      <w:divsChild>
        <w:div w:id="480000842">
          <w:marLeft w:val="0"/>
          <w:marRight w:val="0"/>
          <w:marTop w:val="0"/>
          <w:marBottom w:val="0"/>
          <w:divBdr>
            <w:top w:val="none" w:sz="0" w:space="0" w:color="auto"/>
            <w:left w:val="none" w:sz="0" w:space="0" w:color="auto"/>
            <w:bottom w:val="none" w:sz="0" w:space="0" w:color="auto"/>
            <w:right w:val="none" w:sz="0" w:space="0" w:color="auto"/>
          </w:divBdr>
          <w:divsChild>
            <w:div w:id="805700452">
              <w:marLeft w:val="0"/>
              <w:marRight w:val="0"/>
              <w:marTop w:val="0"/>
              <w:marBottom w:val="0"/>
              <w:divBdr>
                <w:top w:val="none" w:sz="0" w:space="0" w:color="auto"/>
                <w:left w:val="none" w:sz="0" w:space="0" w:color="auto"/>
                <w:bottom w:val="none" w:sz="0" w:space="0" w:color="auto"/>
                <w:right w:val="none" w:sz="0" w:space="0" w:color="auto"/>
              </w:divBdr>
              <w:divsChild>
                <w:div w:id="1700666194">
                  <w:marLeft w:val="0"/>
                  <w:marRight w:val="0"/>
                  <w:marTop w:val="0"/>
                  <w:marBottom w:val="0"/>
                  <w:divBdr>
                    <w:top w:val="none" w:sz="0" w:space="0" w:color="auto"/>
                    <w:left w:val="none" w:sz="0" w:space="0" w:color="auto"/>
                    <w:bottom w:val="none" w:sz="0" w:space="0" w:color="auto"/>
                    <w:right w:val="none" w:sz="0" w:space="0" w:color="auto"/>
                  </w:divBdr>
                  <w:divsChild>
                    <w:div w:id="1421829833">
                      <w:marLeft w:val="0"/>
                      <w:marRight w:val="0"/>
                      <w:marTop w:val="0"/>
                      <w:marBottom w:val="0"/>
                      <w:divBdr>
                        <w:top w:val="none" w:sz="0" w:space="0" w:color="auto"/>
                        <w:left w:val="none" w:sz="0" w:space="0" w:color="auto"/>
                        <w:bottom w:val="none" w:sz="0" w:space="0" w:color="auto"/>
                        <w:right w:val="none" w:sz="0" w:space="0" w:color="auto"/>
                      </w:divBdr>
                    </w:div>
                  </w:divsChild>
                </w:div>
                <w:div w:id="341474507">
                  <w:marLeft w:val="0"/>
                  <w:marRight w:val="0"/>
                  <w:marTop w:val="0"/>
                  <w:marBottom w:val="0"/>
                  <w:divBdr>
                    <w:top w:val="none" w:sz="0" w:space="0" w:color="auto"/>
                    <w:left w:val="none" w:sz="0" w:space="0" w:color="auto"/>
                    <w:bottom w:val="none" w:sz="0" w:space="0" w:color="auto"/>
                    <w:right w:val="none" w:sz="0" w:space="0" w:color="auto"/>
                  </w:divBdr>
                  <w:divsChild>
                    <w:div w:id="678655897">
                      <w:marLeft w:val="0"/>
                      <w:marRight w:val="0"/>
                      <w:marTop w:val="0"/>
                      <w:marBottom w:val="0"/>
                      <w:divBdr>
                        <w:top w:val="none" w:sz="0" w:space="0" w:color="auto"/>
                        <w:left w:val="none" w:sz="0" w:space="0" w:color="auto"/>
                        <w:bottom w:val="none" w:sz="0" w:space="0" w:color="auto"/>
                        <w:right w:val="none" w:sz="0" w:space="0" w:color="auto"/>
                      </w:divBdr>
                    </w:div>
                    <w:div w:id="1698267039">
                      <w:marLeft w:val="0"/>
                      <w:marRight w:val="0"/>
                      <w:marTop w:val="0"/>
                      <w:marBottom w:val="0"/>
                      <w:divBdr>
                        <w:top w:val="none" w:sz="0" w:space="0" w:color="auto"/>
                        <w:left w:val="none" w:sz="0" w:space="0" w:color="auto"/>
                        <w:bottom w:val="none" w:sz="0" w:space="0" w:color="auto"/>
                        <w:right w:val="none" w:sz="0" w:space="0" w:color="auto"/>
                      </w:divBdr>
                    </w:div>
                  </w:divsChild>
                </w:div>
                <w:div w:id="671028295">
                  <w:marLeft w:val="0"/>
                  <w:marRight w:val="0"/>
                  <w:marTop w:val="0"/>
                  <w:marBottom w:val="0"/>
                  <w:divBdr>
                    <w:top w:val="none" w:sz="0" w:space="0" w:color="auto"/>
                    <w:left w:val="none" w:sz="0" w:space="0" w:color="auto"/>
                    <w:bottom w:val="none" w:sz="0" w:space="0" w:color="auto"/>
                    <w:right w:val="none" w:sz="0" w:space="0" w:color="auto"/>
                  </w:divBdr>
                  <w:divsChild>
                    <w:div w:id="865364824">
                      <w:marLeft w:val="0"/>
                      <w:marRight w:val="0"/>
                      <w:marTop w:val="0"/>
                      <w:marBottom w:val="0"/>
                      <w:divBdr>
                        <w:top w:val="none" w:sz="0" w:space="0" w:color="auto"/>
                        <w:left w:val="none" w:sz="0" w:space="0" w:color="auto"/>
                        <w:bottom w:val="none" w:sz="0" w:space="0" w:color="auto"/>
                        <w:right w:val="none" w:sz="0" w:space="0" w:color="auto"/>
                      </w:divBdr>
                    </w:div>
                  </w:divsChild>
                </w:div>
                <w:div w:id="931621118">
                  <w:marLeft w:val="0"/>
                  <w:marRight w:val="0"/>
                  <w:marTop w:val="0"/>
                  <w:marBottom w:val="0"/>
                  <w:divBdr>
                    <w:top w:val="none" w:sz="0" w:space="0" w:color="auto"/>
                    <w:left w:val="none" w:sz="0" w:space="0" w:color="auto"/>
                    <w:bottom w:val="none" w:sz="0" w:space="0" w:color="auto"/>
                    <w:right w:val="none" w:sz="0" w:space="0" w:color="auto"/>
                  </w:divBdr>
                  <w:divsChild>
                    <w:div w:id="1437407582">
                      <w:marLeft w:val="0"/>
                      <w:marRight w:val="0"/>
                      <w:marTop w:val="0"/>
                      <w:marBottom w:val="0"/>
                      <w:divBdr>
                        <w:top w:val="none" w:sz="0" w:space="0" w:color="auto"/>
                        <w:left w:val="none" w:sz="0" w:space="0" w:color="auto"/>
                        <w:bottom w:val="none" w:sz="0" w:space="0" w:color="auto"/>
                        <w:right w:val="none" w:sz="0" w:space="0" w:color="auto"/>
                      </w:divBdr>
                    </w:div>
                  </w:divsChild>
                </w:div>
                <w:div w:id="906307838">
                  <w:marLeft w:val="0"/>
                  <w:marRight w:val="0"/>
                  <w:marTop w:val="0"/>
                  <w:marBottom w:val="0"/>
                  <w:divBdr>
                    <w:top w:val="none" w:sz="0" w:space="0" w:color="auto"/>
                    <w:left w:val="none" w:sz="0" w:space="0" w:color="auto"/>
                    <w:bottom w:val="none" w:sz="0" w:space="0" w:color="auto"/>
                    <w:right w:val="none" w:sz="0" w:space="0" w:color="auto"/>
                  </w:divBdr>
                  <w:divsChild>
                    <w:div w:id="109783888">
                      <w:marLeft w:val="0"/>
                      <w:marRight w:val="0"/>
                      <w:marTop w:val="0"/>
                      <w:marBottom w:val="0"/>
                      <w:divBdr>
                        <w:top w:val="none" w:sz="0" w:space="0" w:color="auto"/>
                        <w:left w:val="none" w:sz="0" w:space="0" w:color="auto"/>
                        <w:bottom w:val="none" w:sz="0" w:space="0" w:color="auto"/>
                        <w:right w:val="none" w:sz="0" w:space="0" w:color="auto"/>
                      </w:divBdr>
                    </w:div>
                  </w:divsChild>
                </w:div>
                <w:div w:id="1723551869">
                  <w:marLeft w:val="0"/>
                  <w:marRight w:val="0"/>
                  <w:marTop w:val="0"/>
                  <w:marBottom w:val="0"/>
                  <w:divBdr>
                    <w:top w:val="none" w:sz="0" w:space="0" w:color="auto"/>
                    <w:left w:val="none" w:sz="0" w:space="0" w:color="auto"/>
                    <w:bottom w:val="none" w:sz="0" w:space="0" w:color="auto"/>
                    <w:right w:val="none" w:sz="0" w:space="0" w:color="auto"/>
                  </w:divBdr>
                  <w:divsChild>
                    <w:div w:id="443689703">
                      <w:marLeft w:val="0"/>
                      <w:marRight w:val="0"/>
                      <w:marTop w:val="0"/>
                      <w:marBottom w:val="0"/>
                      <w:divBdr>
                        <w:top w:val="none" w:sz="0" w:space="0" w:color="auto"/>
                        <w:left w:val="none" w:sz="0" w:space="0" w:color="auto"/>
                        <w:bottom w:val="none" w:sz="0" w:space="0" w:color="auto"/>
                        <w:right w:val="none" w:sz="0" w:space="0" w:color="auto"/>
                      </w:divBdr>
                    </w:div>
                  </w:divsChild>
                </w:div>
                <w:div w:id="253055667">
                  <w:marLeft w:val="0"/>
                  <w:marRight w:val="0"/>
                  <w:marTop w:val="0"/>
                  <w:marBottom w:val="0"/>
                  <w:divBdr>
                    <w:top w:val="none" w:sz="0" w:space="0" w:color="auto"/>
                    <w:left w:val="none" w:sz="0" w:space="0" w:color="auto"/>
                    <w:bottom w:val="none" w:sz="0" w:space="0" w:color="auto"/>
                    <w:right w:val="none" w:sz="0" w:space="0" w:color="auto"/>
                  </w:divBdr>
                  <w:divsChild>
                    <w:div w:id="2112898518">
                      <w:marLeft w:val="0"/>
                      <w:marRight w:val="0"/>
                      <w:marTop w:val="0"/>
                      <w:marBottom w:val="0"/>
                      <w:divBdr>
                        <w:top w:val="none" w:sz="0" w:space="0" w:color="auto"/>
                        <w:left w:val="none" w:sz="0" w:space="0" w:color="auto"/>
                        <w:bottom w:val="none" w:sz="0" w:space="0" w:color="auto"/>
                        <w:right w:val="none" w:sz="0" w:space="0" w:color="auto"/>
                      </w:divBdr>
                    </w:div>
                    <w:div w:id="1152716348">
                      <w:marLeft w:val="0"/>
                      <w:marRight w:val="0"/>
                      <w:marTop w:val="0"/>
                      <w:marBottom w:val="0"/>
                      <w:divBdr>
                        <w:top w:val="none" w:sz="0" w:space="0" w:color="auto"/>
                        <w:left w:val="none" w:sz="0" w:space="0" w:color="auto"/>
                        <w:bottom w:val="none" w:sz="0" w:space="0" w:color="auto"/>
                        <w:right w:val="none" w:sz="0" w:space="0" w:color="auto"/>
                      </w:divBdr>
                    </w:div>
                  </w:divsChild>
                </w:div>
                <w:div w:id="598761186">
                  <w:marLeft w:val="0"/>
                  <w:marRight w:val="0"/>
                  <w:marTop w:val="0"/>
                  <w:marBottom w:val="0"/>
                  <w:divBdr>
                    <w:top w:val="none" w:sz="0" w:space="0" w:color="auto"/>
                    <w:left w:val="none" w:sz="0" w:space="0" w:color="auto"/>
                    <w:bottom w:val="none" w:sz="0" w:space="0" w:color="auto"/>
                    <w:right w:val="none" w:sz="0" w:space="0" w:color="auto"/>
                  </w:divBdr>
                  <w:divsChild>
                    <w:div w:id="1108889757">
                      <w:marLeft w:val="0"/>
                      <w:marRight w:val="0"/>
                      <w:marTop w:val="0"/>
                      <w:marBottom w:val="0"/>
                      <w:divBdr>
                        <w:top w:val="none" w:sz="0" w:space="0" w:color="auto"/>
                        <w:left w:val="none" w:sz="0" w:space="0" w:color="auto"/>
                        <w:bottom w:val="none" w:sz="0" w:space="0" w:color="auto"/>
                        <w:right w:val="none" w:sz="0" w:space="0" w:color="auto"/>
                      </w:divBdr>
                    </w:div>
                    <w:div w:id="1221986315">
                      <w:marLeft w:val="0"/>
                      <w:marRight w:val="0"/>
                      <w:marTop w:val="0"/>
                      <w:marBottom w:val="0"/>
                      <w:divBdr>
                        <w:top w:val="none" w:sz="0" w:space="0" w:color="auto"/>
                        <w:left w:val="none" w:sz="0" w:space="0" w:color="auto"/>
                        <w:bottom w:val="none" w:sz="0" w:space="0" w:color="auto"/>
                        <w:right w:val="none" w:sz="0" w:space="0" w:color="auto"/>
                      </w:divBdr>
                    </w:div>
                  </w:divsChild>
                </w:div>
                <w:div w:id="1790080393">
                  <w:marLeft w:val="0"/>
                  <w:marRight w:val="0"/>
                  <w:marTop w:val="0"/>
                  <w:marBottom w:val="0"/>
                  <w:divBdr>
                    <w:top w:val="none" w:sz="0" w:space="0" w:color="auto"/>
                    <w:left w:val="none" w:sz="0" w:space="0" w:color="auto"/>
                    <w:bottom w:val="none" w:sz="0" w:space="0" w:color="auto"/>
                    <w:right w:val="none" w:sz="0" w:space="0" w:color="auto"/>
                  </w:divBdr>
                  <w:divsChild>
                    <w:div w:id="624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9373">
          <w:marLeft w:val="0"/>
          <w:marRight w:val="0"/>
          <w:marTop w:val="0"/>
          <w:marBottom w:val="0"/>
          <w:divBdr>
            <w:top w:val="none" w:sz="0" w:space="0" w:color="auto"/>
            <w:left w:val="none" w:sz="0" w:space="0" w:color="auto"/>
            <w:bottom w:val="none" w:sz="0" w:space="0" w:color="auto"/>
            <w:right w:val="none" w:sz="0" w:space="0" w:color="auto"/>
          </w:divBdr>
          <w:divsChild>
            <w:div w:id="1800104238">
              <w:marLeft w:val="0"/>
              <w:marRight w:val="0"/>
              <w:marTop w:val="0"/>
              <w:marBottom w:val="0"/>
              <w:divBdr>
                <w:top w:val="none" w:sz="0" w:space="0" w:color="auto"/>
                <w:left w:val="none" w:sz="0" w:space="0" w:color="auto"/>
                <w:bottom w:val="none" w:sz="0" w:space="0" w:color="auto"/>
                <w:right w:val="none" w:sz="0" w:space="0" w:color="auto"/>
              </w:divBdr>
              <w:divsChild>
                <w:div w:id="1149059626">
                  <w:marLeft w:val="0"/>
                  <w:marRight w:val="0"/>
                  <w:marTop w:val="0"/>
                  <w:marBottom w:val="0"/>
                  <w:divBdr>
                    <w:top w:val="none" w:sz="0" w:space="0" w:color="auto"/>
                    <w:left w:val="none" w:sz="0" w:space="0" w:color="auto"/>
                    <w:bottom w:val="none" w:sz="0" w:space="0" w:color="auto"/>
                    <w:right w:val="none" w:sz="0" w:space="0" w:color="auto"/>
                  </w:divBdr>
                  <w:divsChild>
                    <w:div w:id="364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700230562">
      <w:bodyDiv w:val="1"/>
      <w:marLeft w:val="0"/>
      <w:marRight w:val="0"/>
      <w:marTop w:val="0"/>
      <w:marBottom w:val="0"/>
      <w:divBdr>
        <w:top w:val="none" w:sz="0" w:space="0" w:color="auto"/>
        <w:left w:val="none" w:sz="0" w:space="0" w:color="auto"/>
        <w:bottom w:val="none" w:sz="0" w:space="0" w:color="auto"/>
        <w:right w:val="none" w:sz="0" w:space="0" w:color="auto"/>
      </w:divBdr>
    </w:div>
    <w:div w:id="1715547010">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4387-C70C-4EF5-8F36-348B4B62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12</TotalTime>
  <Pages>9</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Mary Bruce</cp:lastModifiedBy>
  <cp:revision>5</cp:revision>
  <cp:lastPrinted>2023-02-26T07:32:00Z</cp:lastPrinted>
  <dcterms:created xsi:type="dcterms:W3CDTF">2023-03-08T13:12:00Z</dcterms:created>
  <dcterms:modified xsi:type="dcterms:W3CDTF">2023-04-14T05:15:00Z</dcterms:modified>
</cp:coreProperties>
</file>