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4D" w:rsidRPr="009F3722" w:rsidRDefault="009F134D" w:rsidP="00F6039F">
      <w:pPr>
        <w:spacing w:line="360" w:lineRule="auto"/>
        <w:jc w:val="both"/>
        <w:rPr>
          <w:rFonts w:ascii="Arial" w:hAnsi="Arial" w:cs="Arial"/>
          <w:sz w:val="24"/>
          <w:szCs w:val="24"/>
        </w:rPr>
      </w:pPr>
      <w:bookmarkStart w:id="0" w:name="_GoBack"/>
      <w:bookmarkEnd w:id="0"/>
    </w:p>
    <w:p w:rsidR="009F134D" w:rsidRPr="009F3722" w:rsidRDefault="009F134D" w:rsidP="009F134D">
      <w:pPr>
        <w:spacing w:line="360" w:lineRule="auto"/>
        <w:rPr>
          <w:rFonts w:ascii="Arial" w:eastAsia="Arial" w:hAnsi="Arial" w:cs="Arial"/>
          <w:b/>
          <w:sz w:val="24"/>
          <w:szCs w:val="24"/>
          <w:lang w:val="en-GB"/>
        </w:rPr>
      </w:pPr>
      <w:r w:rsidRPr="009F3722">
        <w:rPr>
          <w:rFonts w:ascii="Arial" w:eastAsia="Arial" w:hAnsi="Arial" w:cs="Arial"/>
          <w:b/>
          <w:sz w:val="24"/>
          <w:szCs w:val="24"/>
          <w:lang w:val="en-GB"/>
        </w:rPr>
        <w:t xml:space="preserve">                                          REPUBLIC OF SOUTH AFRICA</w:t>
      </w:r>
    </w:p>
    <w:p w:rsidR="009F134D" w:rsidRPr="009F3722" w:rsidRDefault="009F134D" w:rsidP="009F134D">
      <w:pPr>
        <w:spacing w:line="360" w:lineRule="auto"/>
        <w:jc w:val="center"/>
        <w:rPr>
          <w:rFonts w:ascii="Arial" w:eastAsia="Arial Black" w:hAnsi="Arial" w:cs="Arial"/>
          <w:b/>
          <w:sz w:val="24"/>
          <w:szCs w:val="24"/>
          <w:lang w:val="en-GB"/>
        </w:rPr>
      </w:pPr>
      <w:r w:rsidRPr="009F3722">
        <w:rPr>
          <w:rFonts w:ascii="Arial" w:eastAsia="Arial Black" w:hAnsi="Arial" w:cs="Arial"/>
          <w:b/>
          <w:noProof/>
          <w:sz w:val="24"/>
          <w:szCs w:val="24"/>
          <w:lang w:val="en-US"/>
        </w:rPr>
        <w:drawing>
          <wp:inline distT="0" distB="0" distL="0" distR="0" wp14:anchorId="7FB154A9" wp14:editId="5109CBD5">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62075" cy="1362075"/>
                    </a:xfrm>
                    <a:prstGeom prst="rect">
                      <a:avLst/>
                    </a:prstGeom>
                    <a:ln/>
                  </pic:spPr>
                </pic:pic>
              </a:graphicData>
            </a:graphic>
          </wp:inline>
        </w:drawing>
      </w:r>
    </w:p>
    <w:p w:rsidR="009F134D" w:rsidRPr="009F3722" w:rsidRDefault="009F134D" w:rsidP="009F134D">
      <w:pPr>
        <w:spacing w:line="360" w:lineRule="auto"/>
        <w:jc w:val="center"/>
        <w:rPr>
          <w:rFonts w:ascii="Arial" w:eastAsia="Arial" w:hAnsi="Arial" w:cs="Arial"/>
          <w:b/>
          <w:sz w:val="24"/>
          <w:szCs w:val="24"/>
          <w:lang w:val="en-GB"/>
        </w:rPr>
      </w:pPr>
      <w:r w:rsidRPr="009F3722">
        <w:rPr>
          <w:rFonts w:ascii="Arial" w:eastAsia="Arial" w:hAnsi="Arial" w:cs="Arial"/>
          <w:b/>
          <w:sz w:val="24"/>
          <w:szCs w:val="24"/>
          <w:lang w:val="en-GB"/>
        </w:rPr>
        <w:t xml:space="preserve">IN THE HIGH COURT OF SOUTH AFRICA, </w:t>
      </w:r>
    </w:p>
    <w:p w:rsidR="009F134D" w:rsidRPr="009F3722" w:rsidRDefault="009F134D" w:rsidP="009F134D">
      <w:pPr>
        <w:spacing w:line="360" w:lineRule="auto"/>
        <w:rPr>
          <w:rFonts w:ascii="Arial" w:eastAsia="Arial" w:hAnsi="Arial" w:cs="Arial"/>
          <w:b/>
          <w:sz w:val="24"/>
          <w:szCs w:val="24"/>
          <w:lang w:val="en-GB"/>
        </w:rPr>
      </w:pPr>
      <w:r w:rsidRPr="009F3722">
        <w:rPr>
          <w:rFonts w:ascii="Arial" w:eastAsia="Arial" w:hAnsi="Arial" w:cs="Arial"/>
          <w:b/>
          <w:sz w:val="24"/>
          <w:szCs w:val="24"/>
          <w:lang w:val="en-GB"/>
        </w:rPr>
        <w:t xml:space="preserve">                                 GAUTENG DIVISION, JOHANNESBURG                                              </w:t>
      </w:r>
    </w:p>
    <w:p w:rsidR="009F134D" w:rsidRPr="009F3722" w:rsidRDefault="009F134D" w:rsidP="009F134D">
      <w:pPr>
        <w:spacing w:after="0" w:line="360" w:lineRule="auto"/>
        <w:jc w:val="right"/>
        <w:rPr>
          <w:rFonts w:ascii="Arial" w:eastAsia="Arial" w:hAnsi="Arial" w:cs="Arial"/>
          <w:b/>
          <w:smallCaps/>
          <w:sz w:val="24"/>
          <w:szCs w:val="24"/>
          <w:lang w:val="en-GB"/>
        </w:rPr>
      </w:pPr>
      <w:r w:rsidRPr="009F3722">
        <w:rPr>
          <w:rFonts w:ascii="Arial" w:eastAsia="Arial Black" w:hAnsi="Arial" w:cs="Arial"/>
          <w:b/>
          <w:sz w:val="24"/>
          <w:szCs w:val="24"/>
          <w:lang w:val="en-GB"/>
        </w:rPr>
        <w:t xml:space="preserve">                                                                                        </w:t>
      </w:r>
      <w:r w:rsidR="00595631">
        <w:rPr>
          <w:rFonts w:ascii="Arial" w:eastAsia="Arial Black" w:hAnsi="Arial" w:cs="Arial"/>
          <w:b/>
          <w:sz w:val="24"/>
          <w:szCs w:val="24"/>
          <w:lang w:val="en-GB"/>
        </w:rPr>
        <w:t xml:space="preserve">         </w:t>
      </w:r>
      <w:r w:rsidRPr="009F3722">
        <w:rPr>
          <w:rFonts w:ascii="Arial" w:eastAsia="Arial" w:hAnsi="Arial" w:cs="Arial"/>
          <w:b/>
          <w:sz w:val="24"/>
          <w:szCs w:val="24"/>
          <w:lang w:val="en-GB"/>
        </w:rPr>
        <w:t>CASE NO:</w:t>
      </w:r>
      <w:r w:rsidRPr="009F3722">
        <w:rPr>
          <w:rFonts w:ascii="Arial" w:eastAsia="Arial" w:hAnsi="Arial" w:cs="Arial"/>
          <w:b/>
          <w:smallCaps/>
          <w:sz w:val="24"/>
          <w:szCs w:val="24"/>
          <w:lang w:val="en-GB"/>
        </w:rPr>
        <w:t xml:space="preserve"> </w:t>
      </w:r>
      <w:r w:rsidR="00595631" w:rsidRPr="00595631">
        <w:rPr>
          <w:rFonts w:ascii="Arial" w:eastAsia="Arial" w:hAnsi="Arial" w:cs="Arial"/>
          <w:b/>
          <w:smallCaps/>
          <w:sz w:val="24"/>
          <w:szCs w:val="24"/>
        </w:rPr>
        <w:t>55408/2021</w:t>
      </w:r>
    </w:p>
    <w:p w:rsidR="009F134D" w:rsidRPr="009F3722" w:rsidRDefault="009F134D" w:rsidP="009F134D">
      <w:pPr>
        <w:spacing w:after="0" w:line="360" w:lineRule="auto"/>
        <w:jc w:val="right"/>
        <w:rPr>
          <w:rFonts w:ascii="Arial" w:eastAsia="Arial" w:hAnsi="Arial" w:cs="Arial"/>
          <w:b/>
          <w:smallCaps/>
          <w:sz w:val="24"/>
          <w:szCs w:val="24"/>
          <w:lang w:val="en-GB"/>
        </w:rPr>
      </w:pPr>
      <w:r w:rsidRPr="009F3722">
        <w:rPr>
          <w:rFonts w:ascii="Arial" w:eastAsia="Arial" w:hAnsi="Arial" w:cs="Arial"/>
          <w:b/>
          <w:smallCaps/>
          <w:sz w:val="24"/>
          <w:szCs w:val="24"/>
          <w:lang w:val="en-GB"/>
        </w:rPr>
        <w:t xml:space="preserve"> </w:t>
      </w:r>
    </w:p>
    <w:p w:rsidR="009F134D" w:rsidRPr="009F3722" w:rsidRDefault="009F134D" w:rsidP="009F134D">
      <w:pPr>
        <w:spacing w:line="360" w:lineRule="auto"/>
        <w:jc w:val="both"/>
        <w:rPr>
          <w:rFonts w:ascii="Arial" w:eastAsia="Arial" w:hAnsi="Arial" w:cs="Arial"/>
          <w:b/>
          <w:sz w:val="24"/>
          <w:szCs w:val="24"/>
          <w:lang w:val="en-GB"/>
        </w:rPr>
      </w:pPr>
      <w:r w:rsidRPr="009F3722">
        <w:rPr>
          <w:rFonts w:ascii="Arial" w:eastAsia="Calibri" w:hAnsi="Arial" w:cs="Arial"/>
          <w:noProof/>
          <w:sz w:val="24"/>
          <w:szCs w:val="24"/>
          <w:lang w:val="en-US"/>
        </w:rPr>
        <mc:AlternateContent>
          <mc:Choice Requires="wps">
            <w:drawing>
              <wp:anchor distT="0" distB="0" distL="114300" distR="114300" simplePos="0" relativeHeight="251659264" behindDoc="0" locked="0" layoutInCell="1" allowOverlap="1" wp14:anchorId="7FDD8EB4" wp14:editId="71B897E8">
                <wp:simplePos x="0" y="0"/>
                <wp:positionH relativeFrom="column">
                  <wp:posOffset>0</wp:posOffset>
                </wp:positionH>
                <wp:positionV relativeFrom="paragraph">
                  <wp:posOffset>35312</wp:posOffset>
                </wp:positionV>
                <wp:extent cx="3061252" cy="1073426"/>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1073426"/>
                        </a:xfrm>
                        <a:prstGeom prst="rect">
                          <a:avLst/>
                        </a:prstGeom>
                        <a:solidFill>
                          <a:srgbClr val="FFFFFF"/>
                        </a:solidFill>
                        <a:ln w="9525">
                          <a:solidFill>
                            <a:srgbClr val="000000"/>
                          </a:solidFill>
                          <a:miter lim="800000"/>
                          <a:headEnd/>
                          <a:tailEnd/>
                        </a:ln>
                      </wps:spPr>
                      <wps:txbx>
                        <w:txbxContent>
                          <w:p w:rsidR="009F134D" w:rsidRPr="002A7321" w:rsidRDefault="009F134D" w:rsidP="009F134D">
                            <w:pPr>
                              <w:jc w:val="center"/>
                              <w:rPr>
                                <w:rFonts w:ascii="Arial Black" w:hAnsi="Arial Black"/>
                                <w:b/>
                                <w:sz w:val="24"/>
                                <w:szCs w:val="24"/>
                              </w:rPr>
                            </w:pPr>
                          </w:p>
                          <w:p w:rsidR="009F134D" w:rsidRDefault="009F134D" w:rsidP="009F134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9F134D" w:rsidRPr="00913F95" w:rsidRDefault="009F134D" w:rsidP="009F134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rsidR="009F134D" w:rsidRDefault="009F134D" w:rsidP="009F134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rsidR="009F134D" w:rsidRPr="00913F95" w:rsidRDefault="009F134D" w:rsidP="009F134D">
                            <w:pPr>
                              <w:spacing w:after="0" w:line="240" w:lineRule="auto"/>
                              <w:ind w:left="900"/>
                              <w:rPr>
                                <w:rFonts w:ascii="Century Gothic" w:hAnsi="Century Gothic"/>
                                <w:sz w:val="20"/>
                                <w:szCs w:val="20"/>
                              </w:rPr>
                            </w:pPr>
                          </w:p>
                          <w:p w:rsidR="009F134D" w:rsidRDefault="009F134D" w:rsidP="009F134D">
                            <w:pPr>
                              <w:rPr>
                                <w:rFonts w:ascii="Century Gothic" w:hAnsi="Century Gothic"/>
                                <w:b/>
                                <w:sz w:val="18"/>
                                <w:szCs w:val="18"/>
                              </w:rPr>
                            </w:pPr>
                            <w:r>
                              <w:rPr>
                                <w:rFonts w:ascii="Century Gothic" w:hAnsi="Century Gothic"/>
                                <w:b/>
                                <w:sz w:val="18"/>
                                <w:szCs w:val="18"/>
                              </w:rPr>
                              <w:t xml:space="preserve">                            _______________________</w:t>
                            </w:r>
                          </w:p>
                          <w:p w:rsidR="009F134D" w:rsidRDefault="009F134D" w:rsidP="009F134D">
                            <w:pPr>
                              <w:rPr>
                                <w:rFonts w:ascii="Century Gothic" w:hAnsi="Century Gothic"/>
                                <w:b/>
                                <w:sz w:val="18"/>
                                <w:szCs w:val="18"/>
                              </w:rPr>
                            </w:pPr>
                            <w:r>
                              <w:rPr>
                                <w:rFonts w:ascii="Century Gothic" w:hAnsi="Century Gothic"/>
                                <w:b/>
                                <w:sz w:val="18"/>
                                <w:szCs w:val="18"/>
                              </w:rPr>
                              <w:t xml:space="preserve">                                                        </w:t>
                            </w: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r>
                              <w:rPr>
                                <w:rFonts w:ascii="Century Gothic" w:hAnsi="Century Gothic"/>
                                <w:b/>
                                <w:sz w:val="18"/>
                                <w:szCs w:val="18"/>
                              </w:rPr>
                              <w:t>______________                                _____________________</w:t>
                            </w: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p>
                          <w:p w:rsidR="009F134D" w:rsidRPr="00084341" w:rsidRDefault="009F134D" w:rsidP="009F134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9F134D" w:rsidRPr="00084341" w:rsidRDefault="009F134D" w:rsidP="009F134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DD8EB4" id="_x0000_t202" coordsize="21600,21600" o:spt="202" path="m,l,21600r21600,l21600,xe">
                <v:stroke joinstyle="miter"/>
                <v:path gradientshapeok="t" o:connecttype="rect"/>
              </v:shapetype>
              <v:shape id="Text Box 1" o:spid="_x0000_s1026" type="#_x0000_t202" style="position:absolute;left:0;text-align:left;margin-left:0;margin-top:2.8pt;width:241.0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">
                <v:textbox>
                  <w:txbxContent>
                    <w:p w:rsidR="009F134D" w:rsidRPr="002A7321" w:rsidRDefault="009F134D" w:rsidP="009F134D">
                      <w:pPr>
                        <w:jc w:val="center"/>
                        <w:rPr>
                          <w:rFonts w:ascii="Arial Black" w:hAnsi="Arial Black"/>
                          <w:b/>
                          <w:sz w:val="24"/>
                          <w:szCs w:val="24"/>
                        </w:rPr>
                      </w:pPr>
                    </w:p>
                    <w:p w:rsidR="009F134D" w:rsidRDefault="009F134D" w:rsidP="009F134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9F134D" w:rsidRPr="00913F95" w:rsidRDefault="009F134D" w:rsidP="009F134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rsidR="009F134D" w:rsidRDefault="009F134D" w:rsidP="009F134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rsidR="009F134D" w:rsidRPr="00913F95" w:rsidRDefault="009F134D" w:rsidP="009F134D">
                      <w:pPr>
                        <w:spacing w:after="0" w:line="240" w:lineRule="auto"/>
                        <w:ind w:left="900"/>
                        <w:rPr>
                          <w:rFonts w:ascii="Century Gothic" w:hAnsi="Century Gothic"/>
                          <w:sz w:val="20"/>
                          <w:szCs w:val="20"/>
                        </w:rPr>
                      </w:pPr>
                    </w:p>
                    <w:p w:rsidR="009F134D" w:rsidRDefault="009F134D" w:rsidP="009F134D">
                      <w:pPr>
                        <w:rPr>
                          <w:rFonts w:ascii="Century Gothic" w:hAnsi="Century Gothic"/>
                          <w:b/>
                          <w:sz w:val="18"/>
                          <w:szCs w:val="18"/>
                        </w:rPr>
                      </w:pPr>
                      <w:r>
                        <w:rPr>
                          <w:rFonts w:ascii="Century Gothic" w:hAnsi="Century Gothic"/>
                          <w:b/>
                          <w:sz w:val="18"/>
                          <w:szCs w:val="18"/>
                        </w:rPr>
                        <w:t xml:space="preserve">                            _______________________</w:t>
                      </w:r>
                    </w:p>
                    <w:p w:rsidR="009F134D" w:rsidRDefault="009F134D" w:rsidP="009F134D">
                      <w:pPr>
                        <w:rPr>
                          <w:rFonts w:ascii="Century Gothic" w:hAnsi="Century Gothic"/>
                          <w:b/>
                          <w:sz w:val="18"/>
                          <w:szCs w:val="18"/>
                        </w:rPr>
                      </w:pPr>
                      <w:r>
                        <w:rPr>
                          <w:rFonts w:ascii="Century Gothic" w:hAnsi="Century Gothic"/>
                          <w:b/>
                          <w:sz w:val="18"/>
                          <w:szCs w:val="18"/>
                        </w:rPr>
                        <w:t xml:space="preserve">                                                        </w:t>
                      </w: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r>
                        <w:rPr>
                          <w:rFonts w:ascii="Century Gothic" w:hAnsi="Century Gothic"/>
                          <w:b/>
                          <w:sz w:val="18"/>
                          <w:szCs w:val="18"/>
                        </w:rPr>
                        <w:t>______________                                _____________________</w:t>
                      </w:r>
                    </w:p>
                    <w:p w:rsidR="009F134D" w:rsidRDefault="009F134D" w:rsidP="009F134D">
                      <w:pPr>
                        <w:rPr>
                          <w:rFonts w:ascii="Century Gothic" w:hAnsi="Century Gothic"/>
                          <w:b/>
                          <w:sz w:val="18"/>
                          <w:szCs w:val="18"/>
                        </w:rPr>
                      </w:pPr>
                    </w:p>
                    <w:p w:rsidR="009F134D" w:rsidRDefault="009F134D" w:rsidP="009F134D">
                      <w:pPr>
                        <w:rPr>
                          <w:rFonts w:ascii="Century Gothic" w:hAnsi="Century Gothic"/>
                          <w:b/>
                          <w:sz w:val="18"/>
                          <w:szCs w:val="18"/>
                        </w:rPr>
                      </w:pPr>
                    </w:p>
                    <w:p w:rsidR="009F134D" w:rsidRPr="00084341" w:rsidRDefault="009F134D" w:rsidP="009F134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9F134D" w:rsidRPr="00084341" w:rsidRDefault="009F134D" w:rsidP="009F134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9F134D" w:rsidRPr="009F3722" w:rsidRDefault="009F134D" w:rsidP="009F134D">
      <w:pPr>
        <w:spacing w:after="0" w:line="360" w:lineRule="auto"/>
        <w:jc w:val="center"/>
        <w:rPr>
          <w:rFonts w:ascii="Arial" w:eastAsia="Arial" w:hAnsi="Arial" w:cs="Arial"/>
          <w:b/>
          <w:sz w:val="24"/>
          <w:szCs w:val="24"/>
          <w:lang w:val="en-GB"/>
        </w:rPr>
      </w:pPr>
    </w:p>
    <w:p w:rsidR="009F134D" w:rsidRPr="009F3722" w:rsidRDefault="009F134D" w:rsidP="009F134D">
      <w:pPr>
        <w:spacing w:after="0" w:line="360" w:lineRule="auto"/>
        <w:jc w:val="center"/>
        <w:rPr>
          <w:rFonts w:ascii="Arial" w:eastAsia="Arial" w:hAnsi="Arial" w:cs="Arial"/>
          <w:b/>
          <w:sz w:val="24"/>
          <w:szCs w:val="24"/>
          <w:lang w:val="en-GB"/>
        </w:rPr>
      </w:pPr>
    </w:p>
    <w:p w:rsidR="009F134D" w:rsidRPr="009F3722" w:rsidRDefault="009F134D" w:rsidP="009F134D">
      <w:pPr>
        <w:spacing w:after="0" w:line="360" w:lineRule="auto"/>
        <w:jc w:val="center"/>
        <w:rPr>
          <w:rFonts w:ascii="Arial" w:eastAsia="Arial" w:hAnsi="Arial" w:cs="Arial"/>
          <w:b/>
          <w:sz w:val="24"/>
          <w:szCs w:val="24"/>
          <w:lang w:val="en-GB"/>
        </w:rPr>
      </w:pPr>
    </w:p>
    <w:p w:rsidR="009F134D" w:rsidRPr="009F3722" w:rsidRDefault="009F134D" w:rsidP="009F134D">
      <w:pPr>
        <w:spacing w:after="0" w:line="360" w:lineRule="auto"/>
        <w:jc w:val="center"/>
        <w:rPr>
          <w:rFonts w:ascii="Arial" w:eastAsia="Arial" w:hAnsi="Arial" w:cs="Arial"/>
          <w:b/>
          <w:sz w:val="24"/>
          <w:szCs w:val="24"/>
          <w:lang w:val="en-GB"/>
        </w:rPr>
      </w:pPr>
    </w:p>
    <w:p w:rsidR="009F134D" w:rsidRPr="009F3722" w:rsidRDefault="009F134D" w:rsidP="009F134D">
      <w:pPr>
        <w:spacing w:after="0" w:line="360" w:lineRule="auto"/>
        <w:rPr>
          <w:rFonts w:ascii="Arial" w:eastAsia="Arial" w:hAnsi="Arial" w:cs="Arial"/>
          <w:sz w:val="24"/>
          <w:szCs w:val="24"/>
          <w:lang w:val="en-GB"/>
        </w:rPr>
      </w:pPr>
      <w:r w:rsidRPr="009F3722">
        <w:rPr>
          <w:rFonts w:ascii="Arial" w:eastAsia="Arial" w:hAnsi="Arial" w:cs="Arial"/>
          <w:sz w:val="24"/>
          <w:szCs w:val="24"/>
          <w:lang w:val="en-GB"/>
        </w:rPr>
        <w:t>In the matter between:</w:t>
      </w:r>
    </w:p>
    <w:p w:rsidR="00595631" w:rsidRDefault="00595631" w:rsidP="009F134D">
      <w:pPr>
        <w:spacing w:after="0" w:line="360" w:lineRule="auto"/>
        <w:rPr>
          <w:rFonts w:ascii="Arial" w:eastAsia="Arial" w:hAnsi="Arial" w:cs="Arial"/>
          <w:sz w:val="24"/>
          <w:szCs w:val="24"/>
        </w:rPr>
      </w:pPr>
    </w:p>
    <w:p w:rsidR="00ED1521" w:rsidRPr="009F3722" w:rsidRDefault="00ED1521" w:rsidP="00ED1521">
      <w:pPr>
        <w:spacing w:after="0" w:line="360" w:lineRule="auto"/>
        <w:rPr>
          <w:rFonts w:ascii="Arial" w:eastAsia="Arial" w:hAnsi="Arial" w:cs="Arial"/>
          <w:sz w:val="24"/>
          <w:szCs w:val="24"/>
          <w:lang w:val="en-GB"/>
        </w:rPr>
      </w:pPr>
      <w:r w:rsidRPr="00595631">
        <w:rPr>
          <w:rFonts w:ascii="Arial" w:eastAsia="Arial" w:hAnsi="Arial" w:cs="Arial"/>
          <w:b/>
          <w:sz w:val="24"/>
          <w:szCs w:val="24"/>
        </w:rPr>
        <w:t>ISIBONELO PROPERTY SERVICES (PTY) LTD</w:t>
      </w:r>
      <w:r w:rsidRPr="00595631">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sidRPr="00595631">
        <w:rPr>
          <w:rFonts w:ascii="Arial" w:eastAsia="Arial" w:hAnsi="Arial" w:cs="Arial"/>
          <w:sz w:val="24"/>
          <w:szCs w:val="24"/>
        </w:rPr>
        <w:t>Plaintiff</w:t>
      </w:r>
    </w:p>
    <w:p w:rsidR="00ED1521" w:rsidRPr="00ED1521" w:rsidRDefault="00ED1521" w:rsidP="009F134D">
      <w:pPr>
        <w:spacing w:after="0" w:line="360" w:lineRule="auto"/>
        <w:rPr>
          <w:rFonts w:ascii="Arial" w:eastAsia="Arial" w:hAnsi="Arial" w:cs="Arial"/>
          <w:sz w:val="24"/>
          <w:szCs w:val="24"/>
        </w:rPr>
      </w:pPr>
    </w:p>
    <w:p w:rsidR="00ED1521" w:rsidRPr="00ED1521" w:rsidRDefault="00ED1521" w:rsidP="009F134D">
      <w:pPr>
        <w:spacing w:after="0" w:line="360" w:lineRule="auto"/>
        <w:rPr>
          <w:rFonts w:ascii="Arial" w:eastAsia="Arial" w:hAnsi="Arial" w:cs="Arial"/>
          <w:sz w:val="24"/>
          <w:szCs w:val="24"/>
        </w:rPr>
      </w:pPr>
      <w:r>
        <w:rPr>
          <w:rFonts w:ascii="Arial" w:eastAsia="Arial" w:hAnsi="Arial" w:cs="Arial"/>
          <w:sz w:val="24"/>
          <w:szCs w:val="24"/>
        </w:rPr>
        <w:t>a</w:t>
      </w:r>
      <w:r w:rsidRPr="00ED1521">
        <w:rPr>
          <w:rFonts w:ascii="Arial" w:eastAsia="Arial" w:hAnsi="Arial" w:cs="Arial"/>
          <w:sz w:val="24"/>
          <w:szCs w:val="24"/>
        </w:rPr>
        <w:t xml:space="preserve">nd </w:t>
      </w:r>
    </w:p>
    <w:p w:rsidR="00ED1521" w:rsidRDefault="00ED1521" w:rsidP="009F134D">
      <w:pPr>
        <w:spacing w:after="0" w:line="360" w:lineRule="auto"/>
        <w:rPr>
          <w:rFonts w:ascii="Arial" w:eastAsia="Arial" w:hAnsi="Arial" w:cs="Arial"/>
          <w:b/>
          <w:sz w:val="24"/>
          <w:szCs w:val="24"/>
        </w:rPr>
      </w:pPr>
    </w:p>
    <w:p w:rsidR="00595631" w:rsidRPr="00595631" w:rsidRDefault="00595631" w:rsidP="009F134D">
      <w:pPr>
        <w:spacing w:after="0" w:line="360" w:lineRule="auto"/>
        <w:rPr>
          <w:rFonts w:ascii="Arial" w:eastAsia="Arial" w:hAnsi="Arial" w:cs="Arial"/>
          <w:b/>
          <w:sz w:val="24"/>
          <w:szCs w:val="24"/>
        </w:rPr>
      </w:pPr>
      <w:r w:rsidRPr="00595631">
        <w:rPr>
          <w:rFonts w:ascii="Arial" w:eastAsia="Arial" w:hAnsi="Arial" w:cs="Arial"/>
          <w:b/>
          <w:sz w:val="24"/>
          <w:szCs w:val="24"/>
        </w:rPr>
        <w:t xml:space="preserve">UCHEMEK WORLD CARGO LINK FREIGHT CC </w:t>
      </w:r>
    </w:p>
    <w:p w:rsidR="00595631" w:rsidRPr="00595631" w:rsidRDefault="00595631" w:rsidP="009F134D">
      <w:pPr>
        <w:spacing w:after="0" w:line="360" w:lineRule="auto"/>
        <w:rPr>
          <w:rFonts w:ascii="Arial" w:eastAsia="Arial" w:hAnsi="Arial" w:cs="Arial"/>
          <w:b/>
          <w:sz w:val="24"/>
          <w:szCs w:val="24"/>
        </w:rPr>
      </w:pPr>
      <w:r w:rsidRPr="00595631">
        <w:rPr>
          <w:rFonts w:ascii="Arial" w:eastAsia="Arial" w:hAnsi="Arial" w:cs="Arial"/>
          <w:b/>
          <w:sz w:val="24"/>
          <w:szCs w:val="24"/>
        </w:rPr>
        <w:t xml:space="preserve">t/a THE FISH AND CHIPS COMPANY </w:t>
      </w:r>
    </w:p>
    <w:p w:rsidR="00595631" w:rsidRDefault="00595631" w:rsidP="009F134D">
      <w:pPr>
        <w:spacing w:after="0" w:line="360" w:lineRule="auto"/>
        <w:rPr>
          <w:rFonts w:ascii="Arial" w:eastAsia="Arial" w:hAnsi="Arial" w:cs="Arial"/>
          <w:sz w:val="24"/>
          <w:szCs w:val="24"/>
        </w:rPr>
      </w:pPr>
      <w:r w:rsidRPr="00595631">
        <w:rPr>
          <w:rFonts w:ascii="Arial" w:eastAsia="Arial" w:hAnsi="Arial" w:cs="Arial"/>
          <w:b/>
          <w:sz w:val="24"/>
          <w:szCs w:val="24"/>
        </w:rPr>
        <w:t>(Registration no: 2010/167505/23)</w:t>
      </w:r>
      <w:r w:rsidRPr="00595631">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sidR="00ED1521">
        <w:rPr>
          <w:rFonts w:ascii="Arial" w:eastAsia="Arial" w:hAnsi="Arial" w:cs="Arial"/>
          <w:sz w:val="24"/>
          <w:szCs w:val="24"/>
        </w:rPr>
        <w:tab/>
      </w:r>
      <w:r w:rsidR="00ED1521">
        <w:rPr>
          <w:rFonts w:ascii="Arial" w:eastAsia="Arial" w:hAnsi="Arial" w:cs="Arial"/>
          <w:sz w:val="24"/>
          <w:szCs w:val="24"/>
        </w:rPr>
        <w:tab/>
        <w:t xml:space="preserve">  </w:t>
      </w:r>
      <w:r w:rsidRPr="00595631">
        <w:rPr>
          <w:rFonts w:ascii="Arial" w:eastAsia="Arial" w:hAnsi="Arial" w:cs="Arial"/>
          <w:sz w:val="24"/>
          <w:szCs w:val="24"/>
        </w:rPr>
        <w:t xml:space="preserve">First Defendant </w:t>
      </w:r>
    </w:p>
    <w:p w:rsidR="00595631" w:rsidRDefault="00595631" w:rsidP="009F134D">
      <w:pPr>
        <w:spacing w:after="0" w:line="360" w:lineRule="auto"/>
        <w:rPr>
          <w:rFonts w:ascii="Arial" w:eastAsia="Arial" w:hAnsi="Arial" w:cs="Arial"/>
          <w:sz w:val="24"/>
          <w:szCs w:val="24"/>
        </w:rPr>
      </w:pPr>
    </w:p>
    <w:p w:rsidR="00595631" w:rsidRDefault="00595631" w:rsidP="009F134D">
      <w:pPr>
        <w:spacing w:after="0" w:line="360" w:lineRule="auto"/>
        <w:rPr>
          <w:rFonts w:ascii="Arial" w:eastAsia="Arial" w:hAnsi="Arial" w:cs="Arial"/>
          <w:sz w:val="24"/>
          <w:szCs w:val="24"/>
        </w:rPr>
      </w:pPr>
      <w:r w:rsidRPr="00595631">
        <w:rPr>
          <w:rFonts w:ascii="Arial" w:eastAsia="Arial" w:hAnsi="Arial" w:cs="Arial"/>
          <w:b/>
          <w:sz w:val="24"/>
          <w:szCs w:val="24"/>
        </w:rPr>
        <w:t>EMEKA, PB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595631">
        <w:rPr>
          <w:rFonts w:ascii="Arial" w:eastAsia="Arial" w:hAnsi="Arial" w:cs="Arial"/>
          <w:sz w:val="24"/>
          <w:szCs w:val="24"/>
        </w:rPr>
        <w:t xml:space="preserve"> </w:t>
      </w:r>
      <w:r>
        <w:rPr>
          <w:rFonts w:ascii="Arial" w:eastAsia="Arial" w:hAnsi="Arial" w:cs="Arial"/>
          <w:sz w:val="24"/>
          <w:szCs w:val="24"/>
        </w:rPr>
        <w:t xml:space="preserve"> </w:t>
      </w:r>
      <w:r w:rsidR="00ED1521">
        <w:rPr>
          <w:rFonts w:ascii="Arial" w:eastAsia="Arial" w:hAnsi="Arial" w:cs="Arial"/>
          <w:sz w:val="24"/>
          <w:szCs w:val="24"/>
        </w:rPr>
        <w:tab/>
        <w:t xml:space="preserve">        </w:t>
      </w:r>
      <w:r>
        <w:rPr>
          <w:rFonts w:ascii="Arial" w:eastAsia="Arial" w:hAnsi="Arial" w:cs="Arial"/>
          <w:sz w:val="24"/>
          <w:szCs w:val="24"/>
        </w:rPr>
        <w:t>Second Defendant</w:t>
      </w:r>
    </w:p>
    <w:p w:rsidR="00595631" w:rsidRDefault="00595631" w:rsidP="009F134D">
      <w:pPr>
        <w:spacing w:after="0" w:line="360" w:lineRule="auto"/>
        <w:rPr>
          <w:rFonts w:ascii="Arial" w:eastAsia="Arial" w:hAnsi="Arial" w:cs="Arial"/>
          <w:sz w:val="24"/>
          <w:szCs w:val="24"/>
        </w:rPr>
      </w:pPr>
    </w:p>
    <w:p w:rsidR="00595631" w:rsidRDefault="00595631" w:rsidP="009F134D">
      <w:pPr>
        <w:spacing w:after="0" w:line="360" w:lineRule="auto"/>
        <w:rPr>
          <w:rFonts w:ascii="Arial" w:eastAsia="Arial" w:hAnsi="Arial" w:cs="Arial"/>
          <w:sz w:val="24"/>
          <w:szCs w:val="24"/>
        </w:rPr>
      </w:pPr>
    </w:p>
    <w:p w:rsidR="00595631" w:rsidRDefault="00595631" w:rsidP="009F134D">
      <w:pPr>
        <w:spacing w:after="0" w:line="360" w:lineRule="auto"/>
        <w:rPr>
          <w:rFonts w:ascii="Arial" w:eastAsia="Arial" w:hAnsi="Arial" w:cs="Arial"/>
          <w:sz w:val="24"/>
          <w:szCs w:val="24"/>
          <w:lang w:val="en-GB"/>
        </w:rPr>
      </w:pPr>
    </w:p>
    <w:p w:rsidR="009F134D" w:rsidRPr="009F3722" w:rsidRDefault="00595631" w:rsidP="009F134D">
      <w:pPr>
        <w:spacing w:after="0" w:line="360" w:lineRule="auto"/>
        <w:rPr>
          <w:rFonts w:ascii="Arial" w:eastAsia="Arial" w:hAnsi="Arial" w:cs="Arial"/>
          <w:sz w:val="24"/>
          <w:szCs w:val="24"/>
          <w:lang w:val="en-GB"/>
        </w:rPr>
      </w:pPr>
      <w:r>
        <w:rPr>
          <w:rFonts w:ascii="Arial" w:eastAsia="Arial" w:hAnsi="Arial" w:cs="Arial"/>
          <w:sz w:val="24"/>
          <w:szCs w:val="24"/>
          <w:lang w:val="en-GB"/>
        </w:rPr>
        <w:lastRenderedPageBreak/>
        <w:t>___________________________________________________________________</w:t>
      </w:r>
    </w:p>
    <w:p w:rsidR="00595631" w:rsidRDefault="00595631" w:rsidP="009F134D">
      <w:pPr>
        <w:spacing w:after="0" w:line="360" w:lineRule="auto"/>
        <w:jc w:val="center"/>
        <w:rPr>
          <w:rFonts w:ascii="Arial" w:eastAsia="Arial" w:hAnsi="Arial" w:cs="Arial"/>
          <w:b/>
          <w:smallCaps/>
          <w:sz w:val="24"/>
          <w:szCs w:val="24"/>
          <w:lang w:val="en-GB"/>
        </w:rPr>
      </w:pPr>
    </w:p>
    <w:p w:rsidR="009F134D" w:rsidRPr="009F3722" w:rsidRDefault="009F134D" w:rsidP="009F134D">
      <w:pPr>
        <w:spacing w:after="0" w:line="360" w:lineRule="auto"/>
        <w:jc w:val="center"/>
        <w:rPr>
          <w:rFonts w:ascii="Arial" w:eastAsia="Arial" w:hAnsi="Arial" w:cs="Arial"/>
          <w:b/>
          <w:smallCaps/>
          <w:sz w:val="24"/>
          <w:szCs w:val="24"/>
          <w:lang w:val="en-GB"/>
        </w:rPr>
      </w:pPr>
      <w:r w:rsidRPr="009F3722">
        <w:rPr>
          <w:rFonts w:ascii="Arial" w:eastAsia="Arial" w:hAnsi="Arial" w:cs="Arial"/>
          <w:b/>
          <w:smallCaps/>
          <w:sz w:val="24"/>
          <w:szCs w:val="24"/>
          <w:lang w:val="en-GB"/>
        </w:rPr>
        <w:t>JUDGMENT</w:t>
      </w:r>
    </w:p>
    <w:p w:rsidR="009F134D" w:rsidRPr="009F3722" w:rsidRDefault="009F134D" w:rsidP="009F134D">
      <w:pPr>
        <w:spacing w:after="0" w:line="360" w:lineRule="auto"/>
        <w:rPr>
          <w:rFonts w:ascii="Arial" w:eastAsia="Arial" w:hAnsi="Arial" w:cs="Arial"/>
          <w:sz w:val="24"/>
          <w:szCs w:val="24"/>
          <w:lang w:val="en-GB"/>
        </w:rPr>
      </w:pPr>
      <w:r w:rsidRPr="009F3722">
        <w:rPr>
          <w:rFonts w:ascii="Arial" w:eastAsia="Arial" w:hAnsi="Arial" w:cs="Arial"/>
          <w:sz w:val="24"/>
          <w:szCs w:val="24"/>
          <w:lang w:val="en-GB"/>
        </w:rPr>
        <w:t>___________________________________________________________________</w:t>
      </w:r>
    </w:p>
    <w:p w:rsidR="005A281E" w:rsidRPr="009F3722" w:rsidRDefault="005A281E" w:rsidP="005A281E">
      <w:pPr>
        <w:spacing w:line="360" w:lineRule="auto"/>
        <w:jc w:val="both"/>
        <w:rPr>
          <w:rFonts w:ascii="Arial" w:hAnsi="Arial" w:cs="Arial"/>
          <w:sz w:val="24"/>
          <w:szCs w:val="24"/>
        </w:rPr>
      </w:pPr>
      <w:r w:rsidRPr="009F3722">
        <w:rPr>
          <w:rFonts w:ascii="Arial" w:hAnsi="Arial" w:cs="Arial"/>
          <w:sz w:val="24"/>
          <w:szCs w:val="24"/>
        </w:rPr>
        <w:t>This judgment was handed down electronically by circulation to the parties and/or parties’ representatives by email and by upload to CaseLines. The date and time for hand-down is deemed to be 1</w:t>
      </w:r>
      <w:r w:rsidR="00595631">
        <w:rPr>
          <w:rFonts w:ascii="Arial" w:hAnsi="Arial" w:cs="Arial"/>
          <w:sz w:val="24"/>
          <w:szCs w:val="24"/>
        </w:rPr>
        <w:t>6</w:t>
      </w:r>
      <w:r w:rsidRPr="009F3722">
        <w:rPr>
          <w:rFonts w:ascii="Arial" w:hAnsi="Arial" w:cs="Arial"/>
          <w:sz w:val="24"/>
          <w:szCs w:val="24"/>
        </w:rPr>
        <w:t>h00 on 1</w:t>
      </w:r>
      <w:r w:rsidR="00595631">
        <w:rPr>
          <w:rFonts w:ascii="Arial" w:hAnsi="Arial" w:cs="Arial"/>
          <w:sz w:val="24"/>
          <w:szCs w:val="24"/>
        </w:rPr>
        <w:t>7</w:t>
      </w:r>
      <w:r w:rsidRPr="009F3722">
        <w:rPr>
          <w:rFonts w:ascii="Arial" w:hAnsi="Arial" w:cs="Arial"/>
          <w:sz w:val="24"/>
          <w:szCs w:val="24"/>
        </w:rPr>
        <w:t xml:space="preserve"> February 2023.</w:t>
      </w:r>
    </w:p>
    <w:p w:rsidR="009F134D" w:rsidRPr="009F3722" w:rsidRDefault="009F134D" w:rsidP="00F6039F">
      <w:pPr>
        <w:spacing w:line="360" w:lineRule="auto"/>
        <w:jc w:val="both"/>
        <w:rPr>
          <w:rFonts w:ascii="Arial" w:hAnsi="Arial" w:cs="Arial"/>
          <w:sz w:val="24"/>
          <w:szCs w:val="24"/>
        </w:rPr>
      </w:pPr>
    </w:p>
    <w:p w:rsidR="004F2E01" w:rsidRPr="009F3722" w:rsidRDefault="000A79FF" w:rsidP="00F6039F">
      <w:pPr>
        <w:spacing w:line="360" w:lineRule="auto"/>
        <w:jc w:val="both"/>
        <w:rPr>
          <w:rFonts w:ascii="Arial" w:hAnsi="Arial" w:cs="Arial"/>
          <w:b/>
          <w:sz w:val="24"/>
          <w:szCs w:val="24"/>
        </w:rPr>
      </w:pPr>
      <w:r w:rsidRPr="009F3722">
        <w:rPr>
          <w:rFonts w:ascii="Arial" w:hAnsi="Arial" w:cs="Arial"/>
          <w:b/>
          <w:sz w:val="24"/>
          <w:szCs w:val="24"/>
        </w:rPr>
        <w:t xml:space="preserve">OLIVIER, AJ: </w:t>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[1] The defendants</w:t>
      </w:r>
      <w:r w:rsidR="009A254F">
        <w:rPr>
          <w:rFonts w:ascii="Arial" w:hAnsi="Arial" w:cs="Arial"/>
          <w:sz w:val="24"/>
          <w:szCs w:val="24"/>
        </w:rPr>
        <w:t xml:space="preserve"> (excipients)</w:t>
      </w:r>
      <w:r w:rsidRPr="009F3722">
        <w:rPr>
          <w:rFonts w:ascii="Arial" w:hAnsi="Arial" w:cs="Arial"/>
          <w:sz w:val="24"/>
          <w:szCs w:val="24"/>
        </w:rPr>
        <w:t xml:space="preserve"> </w:t>
      </w:r>
      <w:r w:rsidR="00007BED">
        <w:rPr>
          <w:rFonts w:ascii="Arial" w:hAnsi="Arial" w:cs="Arial"/>
          <w:sz w:val="24"/>
          <w:szCs w:val="24"/>
        </w:rPr>
        <w:t>e</w:t>
      </w:r>
      <w:r w:rsidR="00D7770F">
        <w:rPr>
          <w:rFonts w:ascii="Arial" w:hAnsi="Arial" w:cs="Arial"/>
          <w:sz w:val="24"/>
          <w:szCs w:val="24"/>
        </w:rPr>
        <w:t xml:space="preserve">xcept to </w:t>
      </w:r>
      <w:r w:rsidRPr="009F3722">
        <w:rPr>
          <w:rFonts w:ascii="Arial" w:hAnsi="Arial" w:cs="Arial"/>
          <w:sz w:val="24"/>
          <w:szCs w:val="24"/>
        </w:rPr>
        <w:t>the plaintiff’s</w:t>
      </w:r>
      <w:r w:rsidR="009A254F">
        <w:rPr>
          <w:rFonts w:ascii="Arial" w:hAnsi="Arial" w:cs="Arial"/>
          <w:sz w:val="24"/>
          <w:szCs w:val="24"/>
        </w:rPr>
        <w:t xml:space="preserve"> (respondent’s)</w:t>
      </w:r>
      <w:r w:rsidRPr="009F3722">
        <w:rPr>
          <w:rFonts w:ascii="Arial" w:hAnsi="Arial" w:cs="Arial"/>
          <w:sz w:val="24"/>
          <w:szCs w:val="24"/>
        </w:rPr>
        <w:t xml:space="preserve"> particulars of claim. They allege that this Court lacks jurisdiction. The defendants seek that the exception be upheld and that the plaintiff’s claim against the defendants be dismissed; alternatively, that the plaintiff be granted 14 (fourteen) days within which to amend its particulars of claim, failing which the plaintiff’s action be dismissed with costs. </w:t>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 xml:space="preserve">[2] Although lack of jurisdiction is </w:t>
      </w:r>
      <w:r w:rsidR="00595631">
        <w:rPr>
          <w:rFonts w:ascii="Arial" w:hAnsi="Arial" w:cs="Arial"/>
          <w:sz w:val="24"/>
          <w:szCs w:val="24"/>
        </w:rPr>
        <w:t xml:space="preserve">generally </w:t>
      </w:r>
      <w:r w:rsidRPr="009F3722">
        <w:rPr>
          <w:rFonts w:ascii="Arial" w:hAnsi="Arial" w:cs="Arial"/>
          <w:sz w:val="24"/>
          <w:szCs w:val="24"/>
        </w:rPr>
        <w:t xml:space="preserve">raised as a special plea, the exception route may be followed where it is apparent </w:t>
      </w:r>
      <w:r w:rsidRPr="00595631">
        <w:rPr>
          <w:rFonts w:ascii="Arial" w:hAnsi="Arial" w:cs="Arial"/>
          <w:i/>
          <w:sz w:val="24"/>
          <w:szCs w:val="24"/>
        </w:rPr>
        <w:t>ex facie</w:t>
      </w:r>
      <w:r w:rsidRPr="009F3722">
        <w:rPr>
          <w:rFonts w:ascii="Arial" w:hAnsi="Arial" w:cs="Arial"/>
          <w:sz w:val="24"/>
          <w:szCs w:val="24"/>
        </w:rPr>
        <w:t xml:space="preserve"> the particulars of claim that</w:t>
      </w:r>
      <w:r w:rsidR="00ED22BE" w:rsidRPr="009F3722">
        <w:rPr>
          <w:rFonts w:ascii="Arial" w:hAnsi="Arial" w:cs="Arial"/>
          <w:sz w:val="24"/>
          <w:szCs w:val="24"/>
        </w:rPr>
        <w:t xml:space="preserve"> the court lacks jurisdiction.</w:t>
      </w:r>
      <w:r w:rsidR="00ED22BE" w:rsidRPr="009F3722">
        <w:rPr>
          <w:rStyle w:val="FootnoteReference"/>
          <w:rFonts w:ascii="Arial" w:hAnsi="Arial" w:cs="Arial"/>
          <w:sz w:val="24"/>
          <w:szCs w:val="24"/>
        </w:rPr>
        <w:footnoteReference w:id="1"/>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 xml:space="preserve">[3] The plaintiff and the first defendant entered into a lease agreement in Pretoria, which become operational on 20 August 2019. The agreement was signed by a representative of the </w:t>
      </w:r>
      <w:r w:rsidR="00595631">
        <w:rPr>
          <w:rFonts w:ascii="Arial" w:hAnsi="Arial" w:cs="Arial"/>
          <w:sz w:val="24"/>
          <w:szCs w:val="24"/>
        </w:rPr>
        <w:t>first defendant on 10 July 2019</w:t>
      </w:r>
      <w:r w:rsidRPr="009F3722">
        <w:rPr>
          <w:rFonts w:ascii="Arial" w:hAnsi="Arial" w:cs="Arial"/>
          <w:sz w:val="24"/>
          <w:szCs w:val="24"/>
        </w:rPr>
        <w:t xml:space="preserve"> and </w:t>
      </w:r>
      <w:r w:rsidR="009F3722">
        <w:rPr>
          <w:rFonts w:ascii="Arial" w:hAnsi="Arial" w:cs="Arial"/>
          <w:sz w:val="24"/>
          <w:szCs w:val="24"/>
        </w:rPr>
        <w:t xml:space="preserve">by </w:t>
      </w:r>
      <w:r w:rsidRPr="009F3722">
        <w:rPr>
          <w:rFonts w:ascii="Arial" w:hAnsi="Arial" w:cs="Arial"/>
          <w:sz w:val="24"/>
          <w:szCs w:val="24"/>
        </w:rPr>
        <w:t xml:space="preserve">a representative of the plaintiff on 8 August 2019. The second defendant is not a signatory to the main lease agreement, but signed a separate agreement binding herself as surety and co-principal debtor on 10 July 2019. </w:t>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 xml:space="preserve">[4] Following an alleged breach of the </w:t>
      </w:r>
      <w:r w:rsidR="009A254F">
        <w:rPr>
          <w:rFonts w:ascii="Arial" w:hAnsi="Arial" w:cs="Arial"/>
          <w:sz w:val="24"/>
          <w:szCs w:val="24"/>
        </w:rPr>
        <w:t xml:space="preserve">main </w:t>
      </w:r>
      <w:r w:rsidRPr="009F3722">
        <w:rPr>
          <w:rFonts w:ascii="Arial" w:hAnsi="Arial" w:cs="Arial"/>
          <w:sz w:val="24"/>
          <w:szCs w:val="24"/>
        </w:rPr>
        <w:t>agreeme</w:t>
      </w:r>
      <w:r w:rsidR="00791A15" w:rsidRPr="009F3722">
        <w:rPr>
          <w:rFonts w:ascii="Arial" w:hAnsi="Arial" w:cs="Arial"/>
          <w:sz w:val="24"/>
          <w:szCs w:val="24"/>
        </w:rPr>
        <w:t>nt by the first defendant – non-</w:t>
      </w:r>
      <w:r w:rsidRPr="009F3722">
        <w:rPr>
          <w:rFonts w:ascii="Arial" w:hAnsi="Arial" w:cs="Arial"/>
          <w:sz w:val="24"/>
          <w:szCs w:val="24"/>
        </w:rPr>
        <w:t>payment of rental and other costs – the plaintiff issued summons in the Gauteng Division of the High Court, Johannesburg (‘the Johannesburg seat’), claiming a to</w:t>
      </w:r>
      <w:r w:rsidR="009F3722">
        <w:rPr>
          <w:rFonts w:ascii="Arial" w:hAnsi="Arial" w:cs="Arial"/>
          <w:sz w:val="24"/>
          <w:szCs w:val="24"/>
        </w:rPr>
        <w:t>tal amount of R 1,378,595.17.</w:t>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lastRenderedPageBreak/>
        <w:t xml:space="preserve">[5] The exception is based on two grounds: first, that the Johannesburg seat lacks jurisdiction; second, that </w:t>
      </w:r>
      <w:r w:rsidR="00007BED">
        <w:rPr>
          <w:rFonts w:ascii="Arial" w:hAnsi="Arial" w:cs="Arial"/>
          <w:sz w:val="24"/>
          <w:szCs w:val="24"/>
        </w:rPr>
        <w:t xml:space="preserve">the Magistrates’ Court is the </w:t>
      </w:r>
      <w:r w:rsidR="00255603">
        <w:rPr>
          <w:rFonts w:ascii="Arial" w:hAnsi="Arial" w:cs="Arial"/>
          <w:sz w:val="24"/>
          <w:szCs w:val="24"/>
        </w:rPr>
        <w:t>appropriate</w:t>
      </w:r>
      <w:r w:rsidR="00007BED">
        <w:rPr>
          <w:rFonts w:ascii="Arial" w:hAnsi="Arial" w:cs="Arial"/>
          <w:sz w:val="24"/>
          <w:szCs w:val="24"/>
        </w:rPr>
        <w:t xml:space="preserve"> forum as </w:t>
      </w:r>
      <w:r w:rsidRPr="009F3722">
        <w:rPr>
          <w:rFonts w:ascii="Arial" w:hAnsi="Arial" w:cs="Arial"/>
          <w:sz w:val="24"/>
          <w:szCs w:val="24"/>
        </w:rPr>
        <w:t>the parties</w:t>
      </w:r>
      <w:r w:rsidR="00255603">
        <w:rPr>
          <w:rFonts w:ascii="Arial" w:hAnsi="Arial" w:cs="Arial"/>
          <w:sz w:val="24"/>
          <w:szCs w:val="24"/>
        </w:rPr>
        <w:t xml:space="preserve"> had agreed to its jurisdiction in the lease agreement.</w:t>
      </w:r>
    </w:p>
    <w:p w:rsidR="00791A15" w:rsidRPr="009F3722" w:rsidRDefault="00791A15" w:rsidP="00F6039F">
      <w:pPr>
        <w:spacing w:line="360" w:lineRule="auto"/>
        <w:jc w:val="both"/>
        <w:rPr>
          <w:rFonts w:ascii="Arial" w:hAnsi="Arial" w:cs="Arial"/>
          <w:b/>
          <w:sz w:val="24"/>
          <w:szCs w:val="24"/>
        </w:rPr>
      </w:pPr>
    </w:p>
    <w:p w:rsidR="000A79FF" w:rsidRPr="009F3722" w:rsidRDefault="000A79FF" w:rsidP="00F6039F">
      <w:pPr>
        <w:spacing w:line="360" w:lineRule="auto"/>
        <w:jc w:val="both"/>
        <w:rPr>
          <w:rFonts w:ascii="Arial" w:hAnsi="Arial" w:cs="Arial"/>
          <w:b/>
          <w:sz w:val="24"/>
          <w:szCs w:val="24"/>
        </w:rPr>
      </w:pPr>
      <w:r w:rsidRPr="009F3722">
        <w:rPr>
          <w:rFonts w:ascii="Arial" w:hAnsi="Arial" w:cs="Arial"/>
          <w:b/>
          <w:sz w:val="24"/>
          <w:szCs w:val="24"/>
        </w:rPr>
        <w:t xml:space="preserve">First ground </w:t>
      </w:r>
    </w:p>
    <w:p w:rsidR="00595631" w:rsidRDefault="00AE54FC" w:rsidP="00F6039F">
      <w:pPr>
        <w:spacing w:line="360" w:lineRule="auto"/>
        <w:jc w:val="both"/>
        <w:rPr>
          <w:rFonts w:ascii="Arial" w:hAnsi="Arial" w:cs="Arial"/>
          <w:sz w:val="24"/>
          <w:szCs w:val="24"/>
        </w:rPr>
      </w:pPr>
      <w:r>
        <w:rPr>
          <w:rFonts w:ascii="Arial" w:hAnsi="Arial" w:cs="Arial"/>
          <w:sz w:val="24"/>
          <w:szCs w:val="24"/>
        </w:rPr>
        <w:t xml:space="preserve">[6] </w:t>
      </w:r>
      <w:r w:rsidRPr="009F3722">
        <w:rPr>
          <w:rFonts w:ascii="Arial" w:hAnsi="Arial" w:cs="Arial"/>
          <w:sz w:val="24"/>
          <w:szCs w:val="24"/>
        </w:rPr>
        <w:t xml:space="preserve">The defendants submit that summons should have been issued in Pretoria where all the jurisdictional </w:t>
      </w:r>
      <w:r w:rsidR="009A254F">
        <w:rPr>
          <w:rFonts w:ascii="Arial" w:hAnsi="Arial" w:cs="Arial"/>
          <w:sz w:val="24"/>
          <w:szCs w:val="24"/>
        </w:rPr>
        <w:t>facts</w:t>
      </w:r>
      <w:r w:rsidRPr="009F3722">
        <w:rPr>
          <w:rFonts w:ascii="Arial" w:hAnsi="Arial" w:cs="Arial"/>
          <w:sz w:val="24"/>
          <w:szCs w:val="24"/>
        </w:rPr>
        <w:t xml:space="preserve"> are present. It is common cause that the business and residential addresses, the </w:t>
      </w:r>
      <w:r w:rsidRPr="00595631">
        <w:rPr>
          <w:rFonts w:ascii="Arial" w:hAnsi="Arial" w:cs="Arial"/>
          <w:i/>
          <w:sz w:val="24"/>
          <w:szCs w:val="24"/>
        </w:rPr>
        <w:t>domicilium citandi</w:t>
      </w:r>
      <w:r w:rsidRPr="009F3722">
        <w:rPr>
          <w:rFonts w:ascii="Arial" w:hAnsi="Arial" w:cs="Arial"/>
          <w:sz w:val="24"/>
          <w:szCs w:val="24"/>
        </w:rPr>
        <w:t xml:space="preserve"> of the defendants, as well as the leased premises, are in Pretoria. It is also where the cause of action arose. </w:t>
      </w:r>
    </w:p>
    <w:p w:rsidR="00595631" w:rsidRPr="009F3722" w:rsidRDefault="00595631" w:rsidP="00595631">
      <w:pPr>
        <w:spacing w:line="360" w:lineRule="auto"/>
        <w:jc w:val="both"/>
        <w:rPr>
          <w:rFonts w:ascii="Arial" w:hAnsi="Arial" w:cs="Arial"/>
          <w:sz w:val="24"/>
          <w:szCs w:val="24"/>
        </w:rPr>
      </w:pPr>
      <w:r w:rsidRPr="009F3722">
        <w:rPr>
          <w:rFonts w:ascii="Arial" w:hAnsi="Arial" w:cs="Arial"/>
          <w:sz w:val="24"/>
          <w:szCs w:val="24"/>
        </w:rPr>
        <w:t>[7] Section 21(1) of the Superior Courts Act 10 of 2013</w:t>
      </w:r>
      <w:r w:rsidR="00AA6C63">
        <w:rPr>
          <w:rFonts w:ascii="Arial" w:hAnsi="Arial" w:cs="Arial"/>
          <w:sz w:val="24"/>
          <w:szCs w:val="24"/>
        </w:rPr>
        <w:t xml:space="preserve"> (‘the Act’</w:t>
      </w:r>
      <w:r>
        <w:rPr>
          <w:rFonts w:ascii="Arial" w:hAnsi="Arial" w:cs="Arial"/>
          <w:sz w:val="24"/>
          <w:szCs w:val="24"/>
        </w:rPr>
        <w:t>)</w:t>
      </w:r>
      <w:r w:rsidRPr="009F3722">
        <w:rPr>
          <w:rFonts w:ascii="Arial" w:hAnsi="Arial" w:cs="Arial"/>
          <w:sz w:val="24"/>
          <w:szCs w:val="24"/>
        </w:rPr>
        <w:t xml:space="preserve"> provides that a division has jurisdiction over all persons residing or being in, and in relation to all causes arising and all offences triable within, its area of jurisdiction. </w:t>
      </w:r>
    </w:p>
    <w:p w:rsidR="00595631" w:rsidRDefault="000A79FF" w:rsidP="00F6039F">
      <w:pPr>
        <w:spacing w:line="360" w:lineRule="auto"/>
        <w:jc w:val="both"/>
        <w:rPr>
          <w:rFonts w:ascii="Arial" w:hAnsi="Arial" w:cs="Arial"/>
          <w:sz w:val="24"/>
          <w:szCs w:val="24"/>
        </w:rPr>
      </w:pPr>
      <w:r w:rsidRPr="009F3722">
        <w:rPr>
          <w:rFonts w:ascii="Arial" w:hAnsi="Arial" w:cs="Arial"/>
          <w:sz w:val="24"/>
          <w:szCs w:val="24"/>
        </w:rPr>
        <w:t>[</w:t>
      </w:r>
      <w:r w:rsidR="00595631">
        <w:rPr>
          <w:rFonts w:ascii="Arial" w:hAnsi="Arial" w:cs="Arial"/>
          <w:sz w:val="24"/>
          <w:szCs w:val="24"/>
        </w:rPr>
        <w:t>8</w:t>
      </w:r>
      <w:r w:rsidRPr="009F3722">
        <w:rPr>
          <w:rFonts w:ascii="Arial" w:hAnsi="Arial" w:cs="Arial"/>
          <w:sz w:val="24"/>
          <w:szCs w:val="24"/>
        </w:rPr>
        <w:t>] There are two seats of the High Court in the Gauteng Province: the main seat in Pretoria, and the local seat in Johannesburg. The plaintiff’s argument is that the Johannesburg seat has concurrent jurisdiction with the Pretoria seat</w:t>
      </w:r>
      <w:r w:rsidR="00595631">
        <w:rPr>
          <w:rFonts w:ascii="Arial" w:hAnsi="Arial" w:cs="Arial"/>
          <w:sz w:val="24"/>
          <w:szCs w:val="24"/>
        </w:rPr>
        <w:t xml:space="preserve">. </w:t>
      </w:r>
    </w:p>
    <w:p w:rsidR="000A79FF" w:rsidRPr="009F3722" w:rsidRDefault="00595631" w:rsidP="00F6039F">
      <w:pPr>
        <w:spacing w:line="360" w:lineRule="auto"/>
        <w:jc w:val="both"/>
        <w:rPr>
          <w:rFonts w:ascii="Arial" w:hAnsi="Arial" w:cs="Arial"/>
          <w:sz w:val="24"/>
          <w:szCs w:val="24"/>
        </w:rPr>
      </w:pPr>
      <w:r>
        <w:rPr>
          <w:rFonts w:ascii="Arial" w:hAnsi="Arial" w:cs="Arial"/>
          <w:sz w:val="24"/>
          <w:szCs w:val="24"/>
        </w:rPr>
        <w:t xml:space="preserve">[9] </w:t>
      </w:r>
      <w:r w:rsidR="000A79FF" w:rsidRPr="009F3722">
        <w:rPr>
          <w:rFonts w:ascii="Arial" w:hAnsi="Arial" w:cs="Arial"/>
          <w:sz w:val="24"/>
          <w:szCs w:val="24"/>
        </w:rPr>
        <w:t xml:space="preserve">The Johannesburg seat is no longer known as a local division. In </w:t>
      </w:r>
      <w:r w:rsidR="000A79FF" w:rsidRPr="009F3722">
        <w:rPr>
          <w:rFonts w:ascii="Arial" w:hAnsi="Arial" w:cs="Arial"/>
          <w:i/>
          <w:sz w:val="24"/>
          <w:szCs w:val="24"/>
        </w:rPr>
        <w:t xml:space="preserve">Murray NO v African Global Holdings (Pty) Ltd </w:t>
      </w:r>
      <w:r w:rsidR="000A79FF" w:rsidRPr="009F3722">
        <w:rPr>
          <w:rFonts w:ascii="Arial" w:hAnsi="Arial" w:cs="Arial"/>
          <w:sz w:val="24"/>
          <w:szCs w:val="24"/>
        </w:rPr>
        <w:t>the Supreme Court of Appeal explained, in respect of ‘local divisions’, that they are ‘not separate courts and it is no longer appropriate to refer to them as such or to des</w:t>
      </w:r>
      <w:r w:rsidR="00ED22BE" w:rsidRPr="009F3722">
        <w:rPr>
          <w:rFonts w:ascii="Arial" w:hAnsi="Arial" w:cs="Arial"/>
          <w:sz w:val="24"/>
          <w:szCs w:val="24"/>
        </w:rPr>
        <w:t>cribe them as local divisions.’</w:t>
      </w:r>
      <w:r w:rsidR="00ED22BE" w:rsidRPr="009F3722">
        <w:rPr>
          <w:rStyle w:val="FootnoteReference"/>
          <w:rFonts w:ascii="Arial" w:hAnsi="Arial" w:cs="Arial"/>
          <w:sz w:val="24"/>
          <w:szCs w:val="24"/>
        </w:rPr>
        <w:footnoteReference w:id="2"/>
      </w:r>
      <w:r w:rsidR="000A79FF" w:rsidRPr="009F3722">
        <w:rPr>
          <w:rFonts w:ascii="Arial" w:hAnsi="Arial" w:cs="Arial"/>
          <w:sz w:val="24"/>
          <w:szCs w:val="24"/>
        </w:rPr>
        <w:t xml:space="preserve"> </w:t>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w:t>
      </w:r>
      <w:r w:rsidR="00595631">
        <w:rPr>
          <w:rFonts w:ascii="Arial" w:hAnsi="Arial" w:cs="Arial"/>
          <w:sz w:val="24"/>
          <w:szCs w:val="24"/>
        </w:rPr>
        <w:t>10</w:t>
      </w:r>
      <w:r w:rsidRPr="009F3722">
        <w:rPr>
          <w:rFonts w:ascii="Arial" w:hAnsi="Arial" w:cs="Arial"/>
          <w:sz w:val="24"/>
          <w:szCs w:val="24"/>
        </w:rPr>
        <w:t xml:space="preserve">] Section 6(3) of the Act provides that the ‘Minister [of Justice] must, after consultation with the Judicial Service Commission, by notice in the Gazette, determine the area under the jurisdiction of a Division, and may in the same manner amend or withdraw such a notice.’ </w:t>
      </w:r>
    </w:p>
    <w:p w:rsidR="000A79FF" w:rsidRPr="009F3722" w:rsidRDefault="00CA64C8" w:rsidP="00F6039F">
      <w:pPr>
        <w:spacing w:line="360" w:lineRule="auto"/>
        <w:jc w:val="both"/>
        <w:rPr>
          <w:rFonts w:ascii="Arial" w:hAnsi="Arial" w:cs="Arial"/>
          <w:sz w:val="24"/>
          <w:szCs w:val="24"/>
        </w:rPr>
      </w:pPr>
      <w:r>
        <w:rPr>
          <w:rFonts w:ascii="Arial" w:hAnsi="Arial" w:cs="Arial"/>
          <w:sz w:val="24"/>
          <w:szCs w:val="24"/>
        </w:rPr>
        <w:t>[11</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 xml:space="preserve">The Minister made regulations in January 2016 in terms of which Johannesburg, as a local seat, ‘has concurrent jurisdiction with </w:t>
      </w:r>
      <w:r w:rsidR="00ED22BE" w:rsidRPr="009F3722">
        <w:rPr>
          <w:rFonts w:ascii="Arial" w:hAnsi="Arial" w:cs="Arial"/>
          <w:sz w:val="24"/>
          <w:szCs w:val="24"/>
        </w:rPr>
        <w:t xml:space="preserve">the main seat [Pretoria] until </w:t>
      </w:r>
      <w:r w:rsidR="000A79FF" w:rsidRPr="009F3722">
        <w:rPr>
          <w:rFonts w:ascii="Arial" w:hAnsi="Arial" w:cs="Arial"/>
          <w:sz w:val="24"/>
          <w:szCs w:val="24"/>
        </w:rPr>
        <w:t xml:space="preserve">such time that the area of jurisdiction of the local seat is determined in terms </w:t>
      </w:r>
      <w:r w:rsidR="00ED22BE" w:rsidRPr="009F3722">
        <w:rPr>
          <w:rFonts w:ascii="Arial" w:hAnsi="Arial" w:cs="Arial"/>
          <w:sz w:val="24"/>
          <w:szCs w:val="24"/>
        </w:rPr>
        <w:t>of section 6(3)(c) of the Act.</w:t>
      </w:r>
      <w:r>
        <w:rPr>
          <w:rFonts w:ascii="Arial" w:hAnsi="Arial" w:cs="Arial"/>
          <w:sz w:val="24"/>
          <w:szCs w:val="24"/>
        </w:rPr>
        <w:t>’</w:t>
      </w:r>
      <w:r w:rsidR="00ED22BE" w:rsidRPr="009F3722">
        <w:rPr>
          <w:rStyle w:val="FootnoteReference"/>
          <w:rFonts w:ascii="Arial" w:hAnsi="Arial" w:cs="Arial"/>
          <w:sz w:val="24"/>
          <w:szCs w:val="24"/>
        </w:rPr>
        <w:footnoteReference w:id="3"/>
      </w:r>
      <w:r w:rsidR="000A79FF" w:rsidRPr="009F3722">
        <w:rPr>
          <w:rFonts w:ascii="Arial" w:hAnsi="Arial" w:cs="Arial"/>
          <w:sz w:val="24"/>
          <w:szCs w:val="24"/>
        </w:rPr>
        <w:t xml:space="preserve"> Regulations promulgated only a month earlier, in December 2015, made concurrent jurisdiction even clearer, describing the areas of jurisdiction of the local </w:t>
      </w:r>
      <w:r w:rsidR="000A79FF" w:rsidRPr="009F3722">
        <w:rPr>
          <w:rFonts w:ascii="Arial" w:hAnsi="Arial" w:cs="Arial"/>
          <w:sz w:val="24"/>
          <w:szCs w:val="24"/>
        </w:rPr>
        <w:lastRenderedPageBreak/>
        <w:t>seat [Johannesburg] as the ‘same as [the] main seat [in Pretoria] until such ti</w:t>
      </w:r>
      <w:r w:rsidR="00ED22BE" w:rsidRPr="009F3722">
        <w:rPr>
          <w:rFonts w:ascii="Arial" w:hAnsi="Arial" w:cs="Arial"/>
          <w:sz w:val="24"/>
          <w:szCs w:val="24"/>
        </w:rPr>
        <w:t>me that it is re-determined.’</w:t>
      </w:r>
      <w:r w:rsidR="00ED22BE" w:rsidRPr="009F3722">
        <w:rPr>
          <w:rStyle w:val="FootnoteReference"/>
          <w:rFonts w:ascii="Arial" w:hAnsi="Arial" w:cs="Arial"/>
          <w:sz w:val="24"/>
          <w:szCs w:val="24"/>
        </w:rPr>
        <w:footnoteReference w:id="4"/>
      </w:r>
      <w:r w:rsidR="000A79FF" w:rsidRPr="009F3722">
        <w:rPr>
          <w:rFonts w:ascii="Arial" w:hAnsi="Arial" w:cs="Arial"/>
          <w:sz w:val="24"/>
          <w:szCs w:val="24"/>
        </w:rPr>
        <w:t xml:space="preserve"> </w:t>
      </w:r>
    </w:p>
    <w:p w:rsidR="00A26BD0" w:rsidRPr="009F3722" w:rsidRDefault="00CA64C8" w:rsidP="00F6039F">
      <w:pPr>
        <w:spacing w:line="360" w:lineRule="auto"/>
        <w:jc w:val="both"/>
        <w:rPr>
          <w:rFonts w:ascii="Arial" w:hAnsi="Arial" w:cs="Arial"/>
          <w:sz w:val="24"/>
          <w:szCs w:val="24"/>
        </w:rPr>
      </w:pPr>
      <w:r>
        <w:rPr>
          <w:rFonts w:ascii="Arial" w:hAnsi="Arial" w:cs="Arial"/>
          <w:sz w:val="24"/>
          <w:szCs w:val="24"/>
        </w:rPr>
        <w:t>[12</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 xml:space="preserve">The defendants maintain, however, that only the main seat of the Division has concurrent jurisdiction – in other words, the main seat may hear cases falling within the area of the local seat, but not </w:t>
      </w:r>
      <w:r w:rsidR="000A79FF" w:rsidRPr="00CA64C8">
        <w:rPr>
          <w:rFonts w:ascii="Arial" w:hAnsi="Arial" w:cs="Arial"/>
          <w:i/>
          <w:sz w:val="24"/>
          <w:szCs w:val="24"/>
        </w:rPr>
        <w:t>vice versa</w:t>
      </w:r>
      <w:r w:rsidR="000A79FF" w:rsidRPr="009F3722">
        <w:rPr>
          <w:rFonts w:ascii="Arial" w:hAnsi="Arial" w:cs="Arial"/>
          <w:sz w:val="24"/>
          <w:szCs w:val="24"/>
        </w:rPr>
        <w:t xml:space="preserve">. So, if all the jurisdictional facts are present in Pretoria, only the main seat has jurisdiction, not the Johannesburg seat. This is </w:t>
      </w:r>
      <w:r>
        <w:rPr>
          <w:rFonts w:ascii="Arial" w:hAnsi="Arial" w:cs="Arial"/>
          <w:sz w:val="24"/>
          <w:szCs w:val="24"/>
        </w:rPr>
        <w:t>incorrect</w:t>
      </w:r>
      <w:r w:rsidR="000A79FF" w:rsidRPr="009F3722">
        <w:rPr>
          <w:rFonts w:ascii="Arial" w:hAnsi="Arial" w:cs="Arial"/>
          <w:sz w:val="24"/>
          <w:szCs w:val="24"/>
        </w:rPr>
        <w:t>.</w:t>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[1</w:t>
      </w:r>
      <w:r w:rsidR="00CA64C8">
        <w:rPr>
          <w:rFonts w:ascii="Arial" w:hAnsi="Arial" w:cs="Arial"/>
          <w:sz w:val="24"/>
          <w:szCs w:val="24"/>
        </w:rPr>
        <w:t>3</w:t>
      </w:r>
      <w:r w:rsidRPr="009F3722">
        <w:rPr>
          <w:rFonts w:ascii="Arial" w:hAnsi="Arial" w:cs="Arial"/>
          <w:sz w:val="24"/>
          <w:szCs w:val="24"/>
        </w:rPr>
        <w:t>]</w:t>
      </w:r>
      <w:r w:rsidR="006E1B9B">
        <w:rPr>
          <w:rFonts w:ascii="Arial" w:hAnsi="Arial" w:cs="Arial"/>
          <w:sz w:val="24"/>
          <w:szCs w:val="24"/>
        </w:rPr>
        <w:t xml:space="preserve"> </w:t>
      </w:r>
      <w:r w:rsidRPr="009F3722">
        <w:rPr>
          <w:rFonts w:ascii="Arial" w:hAnsi="Arial" w:cs="Arial"/>
          <w:sz w:val="24"/>
          <w:szCs w:val="24"/>
        </w:rPr>
        <w:t xml:space="preserve">The wording of the regulations is clear and should be given its ordinary meaning: the local seat and the main seat share </w:t>
      </w:r>
      <w:r w:rsidR="003D5A8D">
        <w:rPr>
          <w:rFonts w:ascii="Arial" w:hAnsi="Arial" w:cs="Arial"/>
          <w:sz w:val="24"/>
          <w:szCs w:val="24"/>
        </w:rPr>
        <w:t xml:space="preserve">geographical </w:t>
      </w:r>
      <w:r w:rsidRPr="009F3722">
        <w:rPr>
          <w:rFonts w:ascii="Arial" w:hAnsi="Arial" w:cs="Arial"/>
          <w:sz w:val="24"/>
          <w:szCs w:val="24"/>
        </w:rPr>
        <w:t xml:space="preserve">jurisdiction over the entire Gauteng Province. </w:t>
      </w:r>
      <w:r w:rsidRPr="000A2AF5">
        <w:rPr>
          <w:rFonts w:ascii="Arial" w:hAnsi="Arial" w:cs="Arial"/>
          <w:sz w:val="24"/>
          <w:szCs w:val="24"/>
        </w:rPr>
        <w:t xml:space="preserve">The </w:t>
      </w:r>
      <w:r w:rsidR="000A2AF5" w:rsidRPr="000A2AF5">
        <w:rPr>
          <w:rFonts w:ascii="Arial" w:hAnsi="Arial" w:cs="Arial"/>
          <w:sz w:val="24"/>
          <w:szCs w:val="24"/>
        </w:rPr>
        <w:t>jurisdiction of the Johannesburg se</w:t>
      </w:r>
      <w:r w:rsidR="00526FC6">
        <w:rPr>
          <w:rFonts w:ascii="Arial" w:hAnsi="Arial" w:cs="Arial"/>
          <w:sz w:val="24"/>
          <w:szCs w:val="24"/>
        </w:rPr>
        <w:t>at is no longer limited to only some</w:t>
      </w:r>
      <w:r w:rsidR="000A2AF5" w:rsidRPr="000A2AF5">
        <w:rPr>
          <w:rFonts w:ascii="Arial" w:hAnsi="Arial" w:cs="Arial"/>
          <w:sz w:val="24"/>
          <w:szCs w:val="24"/>
        </w:rPr>
        <w:t xml:space="preserve"> </w:t>
      </w:r>
      <w:r w:rsidR="00526FC6">
        <w:rPr>
          <w:rFonts w:ascii="Arial" w:hAnsi="Arial" w:cs="Arial"/>
          <w:sz w:val="24"/>
          <w:szCs w:val="24"/>
        </w:rPr>
        <w:t xml:space="preserve">parts of Gauteng.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[14</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 xml:space="preserve">This interpretation is in line with that of Senyatsi J in </w:t>
      </w:r>
      <w:r w:rsidR="000A79FF" w:rsidRPr="009F3722">
        <w:rPr>
          <w:rFonts w:ascii="Arial" w:hAnsi="Arial" w:cs="Arial"/>
          <w:i/>
          <w:sz w:val="24"/>
          <w:szCs w:val="24"/>
        </w:rPr>
        <w:t>AV v YV</w:t>
      </w:r>
      <w:r w:rsidR="000A79FF" w:rsidRPr="009F3722">
        <w:rPr>
          <w:rFonts w:ascii="Arial" w:hAnsi="Arial" w:cs="Arial"/>
          <w:sz w:val="24"/>
          <w:szCs w:val="24"/>
        </w:rPr>
        <w:t>, where the learned judge dismissed a de</w:t>
      </w:r>
      <w:r w:rsidR="00ED22BE" w:rsidRPr="009F3722">
        <w:rPr>
          <w:rFonts w:ascii="Arial" w:hAnsi="Arial" w:cs="Arial"/>
          <w:sz w:val="24"/>
          <w:szCs w:val="24"/>
        </w:rPr>
        <w:t>fence of lack of jurisdiction.</w:t>
      </w:r>
      <w:r w:rsidR="00ED22BE" w:rsidRPr="009F3722">
        <w:rPr>
          <w:rStyle w:val="FootnoteReference"/>
          <w:rFonts w:ascii="Arial" w:hAnsi="Arial" w:cs="Arial"/>
          <w:sz w:val="24"/>
          <w:szCs w:val="24"/>
        </w:rPr>
        <w:footnoteReference w:id="5"/>
      </w:r>
      <w:r w:rsidR="00791A15" w:rsidRPr="009F3722">
        <w:rPr>
          <w:rFonts w:ascii="Arial" w:hAnsi="Arial" w:cs="Arial"/>
          <w:sz w:val="24"/>
          <w:szCs w:val="24"/>
        </w:rPr>
        <w:t xml:space="preserve"> </w:t>
      </w:r>
      <w:r w:rsidR="000A79FF" w:rsidRPr="009F3722">
        <w:rPr>
          <w:rFonts w:ascii="Arial" w:hAnsi="Arial" w:cs="Arial"/>
          <w:sz w:val="24"/>
          <w:szCs w:val="24"/>
        </w:rPr>
        <w:t xml:space="preserve">Similarly, in </w:t>
      </w:r>
      <w:r w:rsidR="000A79FF" w:rsidRPr="009F3722">
        <w:rPr>
          <w:rFonts w:ascii="Arial" w:hAnsi="Arial" w:cs="Arial"/>
          <w:i/>
          <w:sz w:val="24"/>
          <w:szCs w:val="24"/>
        </w:rPr>
        <w:t>Petersen v Bochum Foods (Pty) Lim</w:t>
      </w:r>
      <w:r w:rsidR="00ED22BE" w:rsidRPr="009F3722">
        <w:rPr>
          <w:rFonts w:ascii="Arial" w:hAnsi="Arial" w:cs="Arial"/>
          <w:i/>
          <w:sz w:val="24"/>
          <w:szCs w:val="24"/>
        </w:rPr>
        <w:t>ited t/a Roman's Pizza Bochum</w:t>
      </w:r>
      <w:r w:rsidR="00F6039F" w:rsidRPr="009F3722">
        <w:rPr>
          <w:rFonts w:ascii="Arial" w:hAnsi="Arial" w:cs="Arial"/>
          <w:sz w:val="24"/>
          <w:szCs w:val="24"/>
        </w:rPr>
        <w:t>,</w:t>
      </w:r>
      <w:r w:rsidR="00ED22BE" w:rsidRPr="009F3722">
        <w:rPr>
          <w:rStyle w:val="FootnoteReference"/>
          <w:rFonts w:ascii="Arial" w:hAnsi="Arial" w:cs="Arial"/>
          <w:sz w:val="24"/>
          <w:szCs w:val="24"/>
        </w:rPr>
        <w:footnoteReference w:id="6"/>
      </w:r>
      <w:r w:rsidR="00F6039F" w:rsidRPr="009F3722">
        <w:rPr>
          <w:rFonts w:ascii="Arial" w:hAnsi="Arial" w:cs="Arial"/>
          <w:sz w:val="24"/>
          <w:szCs w:val="24"/>
        </w:rPr>
        <w:t xml:space="preserve"> </w:t>
      </w:r>
      <w:r w:rsidR="000A79FF" w:rsidRPr="009F3722">
        <w:rPr>
          <w:rFonts w:ascii="Arial" w:hAnsi="Arial" w:cs="Arial"/>
          <w:sz w:val="24"/>
          <w:szCs w:val="24"/>
        </w:rPr>
        <w:t xml:space="preserve">the Court dismissed an objection to the jurisdiction of the Johannesburg seat. In that case plaintiffs’ counsel argued that local and main seats hold concurrent jurisdiction in respect of Centurion. </w:t>
      </w:r>
      <w:r w:rsidR="00526FC6">
        <w:rPr>
          <w:rFonts w:ascii="Arial" w:hAnsi="Arial" w:cs="Arial"/>
          <w:sz w:val="24"/>
          <w:szCs w:val="24"/>
        </w:rPr>
        <w:t>T</w:t>
      </w:r>
      <w:r w:rsidR="000A79FF" w:rsidRPr="009F3722">
        <w:rPr>
          <w:rFonts w:ascii="Arial" w:hAnsi="Arial" w:cs="Arial"/>
          <w:sz w:val="24"/>
          <w:szCs w:val="24"/>
        </w:rPr>
        <w:t xml:space="preserve">he Court accepted that such concurrent jurisdiction existed.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[15</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Neither counsel has brought to my attention any subsequent re-determination of the geographical jurisdiction of the local seat by the Minister</w:t>
      </w:r>
      <w:r w:rsidR="00ED22BE" w:rsidRPr="009F3722">
        <w:rPr>
          <w:rFonts w:ascii="Arial" w:hAnsi="Arial" w:cs="Arial"/>
          <w:sz w:val="24"/>
          <w:szCs w:val="24"/>
        </w:rPr>
        <w:t>.</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[16</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 xml:space="preserve">The defendants submit that the Minister exceeded his powers and that the regulations are against the wording and purpose of the Act, causing them to be of no force or effect. Therefore, the Minister of Justice had </w:t>
      </w:r>
      <w:r w:rsidR="00526FC6">
        <w:rPr>
          <w:rFonts w:ascii="Arial" w:hAnsi="Arial" w:cs="Arial"/>
          <w:sz w:val="24"/>
          <w:szCs w:val="24"/>
        </w:rPr>
        <w:t xml:space="preserve">acted </w:t>
      </w:r>
      <w:r w:rsidR="00526FC6" w:rsidRPr="00526FC6">
        <w:rPr>
          <w:rFonts w:ascii="Arial" w:hAnsi="Arial" w:cs="Arial"/>
          <w:i/>
          <w:sz w:val="24"/>
          <w:szCs w:val="24"/>
        </w:rPr>
        <w:t>ultra vires</w:t>
      </w:r>
      <w:r w:rsidR="00526FC6">
        <w:rPr>
          <w:rFonts w:ascii="Arial" w:hAnsi="Arial" w:cs="Arial"/>
          <w:sz w:val="24"/>
          <w:szCs w:val="24"/>
        </w:rPr>
        <w:t xml:space="preserve">.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[17</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The defendants’</w:t>
      </w:r>
      <w:r w:rsidR="001440B2">
        <w:rPr>
          <w:rFonts w:ascii="Arial" w:hAnsi="Arial" w:cs="Arial"/>
          <w:sz w:val="24"/>
          <w:szCs w:val="24"/>
        </w:rPr>
        <w:t xml:space="preserve"> reliance on this</w:t>
      </w:r>
      <w:r w:rsidR="000A79FF" w:rsidRPr="009F3722">
        <w:rPr>
          <w:rFonts w:ascii="Arial" w:hAnsi="Arial" w:cs="Arial"/>
          <w:sz w:val="24"/>
          <w:szCs w:val="24"/>
        </w:rPr>
        <w:t xml:space="preserve"> argument is misconceived. The Minister has not been joined in these proceedings, and </w:t>
      </w:r>
      <w:r w:rsidR="001440B2">
        <w:rPr>
          <w:rFonts w:ascii="Arial" w:hAnsi="Arial" w:cs="Arial"/>
          <w:sz w:val="24"/>
          <w:szCs w:val="24"/>
        </w:rPr>
        <w:t>the s</w:t>
      </w:r>
      <w:r w:rsidR="000A79FF" w:rsidRPr="009F3722">
        <w:rPr>
          <w:rFonts w:ascii="Arial" w:hAnsi="Arial" w:cs="Arial"/>
          <w:sz w:val="24"/>
          <w:szCs w:val="24"/>
        </w:rPr>
        <w:t>etting aside of the regulations</w:t>
      </w:r>
      <w:r w:rsidR="001440B2">
        <w:rPr>
          <w:rFonts w:ascii="Arial" w:hAnsi="Arial" w:cs="Arial"/>
          <w:sz w:val="24"/>
          <w:szCs w:val="24"/>
        </w:rPr>
        <w:t xml:space="preserve"> is</w:t>
      </w:r>
      <w:r w:rsidR="009A254F">
        <w:rPr>
          <w:rFonts w:ascii="Arial" w:hAnsi="Arial" w:cs="Arial"/>
          <w:sz w:val="24"/>
          <w:szCs w:val="24"/>
        </w:rPr>
        <w:t xml:space="preserve"> not</w:t>
      </w:r>
      <w:r w:rsidR="001440B2">
        <w:rPr>
          <w:rFonts w:ascii="Arial" w:hAnsi="Arial" w:cs="Arial"/>
          <w:sz w:val="24"/>
          <w:szCs w:val="24"/>
        </w:rPr>
        <w:t xml:space="preserve"> part of the relief sought. In any event, an exception is not the appropriate vehicle to challeng</w:t>
      </w:r>
      <w:r w:rsidR="00795D0B">
        <w:rPr>
          <w:rFonts w:ascii="Arial" w:hAnsi="Arial" w:cs="Arial"/>
          <w:sz w:val="24"/>
          <w:szCs w:val="24"/>
        </w:rPr>
        <w:t>e the lawfulness of regulations</w:t>
      </w:r>
      <w:r w:rsidR="001440B2">
        <w:rPr>
          <w:rFonts w:ascii="Arial" w:hAnsi="Arial" w:cs="Arial"/>
          <w:sz w:val="24"/>
          <w:szCs w:val="24"/>
        </w:rPr>
        <w:t xml:space="preserve"> or the exercise of a minister’s </w:t>
      </w:r>
      <w:r w:rsidR="00F67371">
        <w:rPr>
          <w:rFonts w:ascii="Arial" w:hAnsi="Arial" w:cs="Arial"/>
          <w:sz w:val="24"/>
          <w:szCs w:val="24"/>
        </w:rPr>
        <w:t xml:space="preserve">power in making those regulations.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lastRenderedPageBreak/>
        <w:t>[18</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 xml:space="preserve">The present concurrent jurisdiction arrangement could potentially be abused by a plaintiff or applicant, ultimately disadvantaging a defendant or respondent. In </w:t>
      </w:r>
      <w:r w:rsidR="000A79FF" w:rsidRPr="009F3722">
        <w:rPr>
          <w:rFonts w:ascii="Arial" w:hAnsi="Arial" w:cs="Arial"/>
          <w:i/>
          <w:sz w:val="24"/>
          <w:szCs w:val="24"/>
        </w:rPr>
        <w:t>Nedbank v Thobejane</w:t>
      </w:r>
      <w:r w:rsidR="000A79FF" w:rsidRPr="009F3722">
        <w:rPr>
          <w:rFonts w:ascii="Arial" w:hAnsi="Arial" w:cs="Arial"/>
          <w:sz w:val="24"/>
          <w:szCs w:val="24"/>
        </w:rPr>
        <w:t xml:space="preserve"> a full bench of the Pretoria seat</w:t>
      </w:r>
      <w:r w:rsidR="00F67371">
        <w:rPr>
          <w:rFonts w:ascii="Arial" w:hAnsi="Arial" w:cs="Arial"/>
          <w:sz w:val="24"/>
          <w:szCs w:val="24"/>
        </w:rPr>
        <w:t xml:space="preserve"> (‘</w:t>
      </w:r>
      <w:r w:rsidR="00F67371" w:rsidRPr="00F67371">
        <w:rPr>
          <w:rFonts w:ascii="Arial" w:hAnsi="Arial" w:cs="Arial"/>
          <w:i/>
          <w:sz w:val="24"/>
          <w:szCs w:val="24"/>
        </w:rPr>
        <w:t>Thobejane</w:t>
      </w:r>
      <w:r w:rsidR="00F67371">
        <w:rPr>
          <w:rFonts w:ascii="Arial" w:hAnsi="Arial" w:cs="Arial"/>
          <w:sz w:val="24"/>
          <w:szCs w:val="24"/>
        </w:rPr>
        <w:t xml:space="preserve"> a quo’)</w:t>
      </w:r>
      <w:r w:rsidR="000A79FF" w:rsidRPr="009F3722">
        <w:rPr>
          <w:rFonts w:ascii="Arial" w:hAnsi="Arial" w:cs="Arial"/>
          <w:sz w:val="24"/>
          <w:szCs w:val="24"/>
        </w:rPr>
        <w:t xml:space="preserve"> expressed concern about cases being enrolled in Pretoria, even though </w:t>
      </w:r>
      <w:r w:rsidR="00F67371">
        <w:rPr>
          <w:rFonts w:ascii="Arial" w:hAnsi="Arial" w:cs="Arial"/>
          <w:sz w:val="24"/>
          <w:szCs w:val="24"/>
        </w:rPr>
        <w:t>they</w:t>
      </w:r>
      <w:r w:rsidR="000A79FF" w:rsidRPr="009F3722">
        <w:rPr>
          <w:rFonts w:ascii="Arial" w:hAnsi="Arial" w:cs="Arial"/>
          <w:sz w:val="24"/>
          <w:szCs w:val="24"/>
        </w:rPr>
        <w:t xml:space="preserve"> involved parties who fell within the jurisdic</w:t>
      </w:r>
      <w:r w:rsidR="00ED22BE" w:rsidRPr="009F3722">
        <w:rPr>
          <w:rFonts w:ascii="Arial" w:hAnsi="Arial" w:cs="Arial"/>
          <w:sz w:val="24"/>
          <w:szCs w:val="24"/>
        </w:rPr>
        <w:t>tion of the Johannesburg seat.</w:t>
      </w:r>
      <w:r w:rsidR="00ED22BE" w:rsidRPr="009F3722">
        <w:rPr>
          <w:rStyle w:val="FootnoteReference"/>
          <w:rFonts w:ascii="Arial" w:hAnsi="Arial" w:cs="Arial"/>
          <w:sz w:val="24"/>
          <w:szCs w:val="24"/>
        </w:rPr>
        <w:footnoteReference w:id="7"/>
      </w:r>
      <w:r w:rsidR="00F67371">
        <w:rPr>
          <w:rFonts w:ascii="Arial" w:hAnsi="Arial" w:cs="Arial"/>
          <w:sz w:val="24"/>
          <w:szCs w:val="24"/>
        </w:rPr>
        <w:t xml:space="preserve"> </w:t>
      </w:r>
      <w:r w:rsidR="000A79FF" w:rsidRPr="009F3722">
        <w:rPr>
          <w:rFonts w:ascii="Arial" w:hAnsi="Arial" w:cs="Arial"/>
          <w:sz w:val="24"/>
          <w:szCs w:val="24"/>
        </w:rPr>
        <w:t xml:space="preserve">The court went so far as to state quite sweepingly that it was an abuse of process to allow a matter which could be decided in a ‘Local Division’ to be heard in the ‘Provincial Division’ simply because </w:t>
      </w:r>
      <w:r w:rsidR="00791A15" w:rsidRPr="009F3722">
        <w:rPr>
          <w:rFonts w:ascii="Arial" w:hAnsi="Arial" w:cs="Arial"/>
          <w:sz w:val="24"/>
          <w:szCs w:val="24"/>
        </w:rPr>
        <w:t>it had concurrent jurisdiction.</w:t>
      </w:r>
      <w:r w:rsidR="00ED22BE" w:rsidRPr="009F3722">
        <w:rPr>
          <w:rStyle w:val="FootnoteReference"/>
          <w:rFonts w:ascii="Arial" w:hAnsi="Arial" w:cs="Arial"/>
          <w:sz w:val="24"/>
          <w:szCs w:val="24"/>
        </w:rPr>
        <w:footnoteReference w:id="8"/>
      </w:r>
      <w:r w:rsidR="000A79FF" w:rsidRPr="009F3722">
        <w:rPr>
          <w:rFonts w:ascii="Arial" w:hAnsi="Arial" w:cs="Arial"/>
          <w:sz w:val="24"/>
          <w:szCs w:val="24"/>
        </w:rPr>
        <w:t xml:space="preserve"> This view of the court </w:t>
      </w:r>
      <w:r w:rsidR="000A79FF" w:rsidRPr="00F67371">
        <w:rPr>
          <w:rFonts w:ascii="Arial" w:hAnsi="Arial" w:cs="Arial"/>
          <w:i/>
          <w:sz w:val="24"/>
          <w:szCs w:val="24"/>
        </w:rPr>
        <w:t>a quo</w:t>
      </w:r>
      <w:r w:rsidR="000A79FF" w:rsidRPr="009F3722">
        <w:rPr>
          <w:rFonts w:ascii="Arial" w:hAnsi="Arial" w:cs="Arial"/>
          <w:sz w:val="24"/>
          <w:szCs w:val="24"/>
        </w:rPr>
        <w:t xml:space="preserve"> was rejected </w:t>
      </w:r>
      <w:r w:rsidR="00D5478C">
        <w:rPr>
          <w:rFonts w:ascii="Arial" w:hAnsi="Arial" w:cs="Arial"/>
          <w:sz w:val="24"/>
          <w:szCs w:val="24"/>
        </w:rPr>
        <w:t xml:space="preserve">soundly </w:t>
      </w:r>
      <w:r w:rsidR="00F67371">
        <w:rPr>
          <w:rFonts w:ascii="Arial" w:hAnsi="Arial" w:cs="Arial"/>
          <w:sz w:val="24"/>
          <w:szCs w:val="24"/>
        </w:rPr>
        <w:t xml:space="preserve">on appeal. The </w:t>
      </w:r>
      <w:r w:rsidR="000A79FF" w:rsidRPr="009F3722">
        <w:rPr>
          <w:rFonts w:ascii="Arial" w:hAnsi="Arial" w:cs="Arial"/>
          <w:sz w:val="24"/>
          <w:szCs w:val="24"/>
        </w:rPr>
        <w:t>Supreme Court of Appeal</w:t>
      </w:r>
      <w:r w:rsidR="00F67371">
        <w:rPr>
          <w:rFonts w:ascii="Arial" w:hAnsi="Arial" w:cs="Arial"/>
          <w:sz w:val="24"/>
          <w:szCs w:val="24"/>
        </w:rPr>
        <w:t xml:space="preserve"> </w:t>
      </w:r>
      <w:r w:rsidR="000A79FF" w:rsidRPr="000A2AF5">
        <w:rPr>
          <w:rFonts w:ascii="Arial" w:hAnsi="Arial" w:cs="Arial"/>
          <w:sz w:val="24"/>
          <w:szCs w:val="24"/>
        </w:rPr>
        <w:t>affirmed</w:t>
      </w:r>
      <w:r w:rsidR="000A79FF" w:rsidRPr="009F3722">
        <w:rPr>
          <w:rFonts w:ascii="Arial" w:hAnsi="Arial" w:cs="Arial"/>
          <w:sz w:val="24"/>
          <w:szCs w:val="24"/>
        </w:rPr>
        <w:t xml:space="preserve"> </w:t>
      </w:r>
      <w:r w:rsidR="000A2AF5">
        <w:rPr>
          <w:rFonts w:ascii="Arial" w:hAnsi="Arial" w:cs="Arial"/>
          <w:sz w:val="24"/>
          <w:szCs w:val="24"/>
        </w:rPr>
        <w:t xml:space="preserve">the legal position </w:t>
      </w:r>
      <w:r w:rsidR="000A79FF" w:rsidRPr="009F3722">
        <w:rPr>
          <w:rFonts w:ascii="Arial" w:hAnsi="Arial" w:cs="Arial"/>
          <w:sz w:val="24"/>
          <w:szCs w:val="24"/>
        </w:rPr>
        <w:t>that abuse of process is a matter which needs to be determined by the circumstances of each case.</w:t>
      </w:r>
      <w:r w:rsidR="00ED22BE" w:rsidRPr="009F3722">
        <w:rPr>
          <w:rStyle w:val="FootnoteReference"/>
          <w:rFonts w:ascii="Arial" w:hAnsi="Arial" w:cs="Arial"/>
          <w:sz w:val="24"/>
          <w:szCs w:val="24"/>
        </w:rPr>
        <w:footnoteReference w:id="9"/>
      </w:r>
      <w:r w:rsidR="000A79FF" w:rsidRPr="009F3722">
        <w:rPr>
          <w:rFonts w:ascii="Arial" w:hAnsi="Arial" w:cs="Arial"/>
          <w:sz w:val="24"/>
          <w:szCs w:val="24"/>
        </w:rPr>
        <w:t xml:space="preserve"> </w:t>
      </w:r>
    </w:p>
    <w:p w:rsidR="00F67371" w:rsidRDefault="00CC54C9" w:rsidP="00F6039F">
      <w:pPr>
        <w:spacing w:line="360" w:lineRule="auto"/>
        <w:jc w:val="both"/>
        <w:rPr>
          <w:rFonts w:ascii="Arial" w:hAnsi="Arial" w:cs="Arial"/>
          <w:sz w:val="24"/>
          <w:szCs w:val="24"/>
        </w:rPr>
      </w:pPr>
      <w:r>
        <w:rPr>
          <w:rFonts w:ascii="Arial" w:hAnsi="Arial" w:cs="Arial"/>
          <w:sz w:val="24"/>
          <w:szCs w:val="24"/>
        </w:rPr>
        <w:t>[19</w:t>
      </w:r>
      <w:r w:rsidR="000A79FF" w:rsidRPr="009F3722">
        <w:rPr>
          <w:rFonts w:ascii="Arial" w:hAnsi="Arial" w:cs="Arial"/>
          <w:sz w:val="24"/>
          <w:szCs w:val="24"/>
        </w:rPr>
        <w:t xml:space="preserve">] </w:t>
      </w:r>
      <w:r w:rsidR="00B14A8D">
        <w:rPr>
          <w:rFonts w:ascii="Arial" w:hAnsi="Arial" w:cs="Arial"/>
          <w:sz w:val="24"/>
          <w:szCs w:val="24"/>
        </w:rPr>
        <w:t>Should the defendants consider themselves to be prejudiced or inconvenienced by the choice of forum, they may avail themselves of s</w:t>
      </w:r>
      <w:r w:rsidR="000A79FF" w:rsidRPr="009F3722">
        <w:rPr>
          <w:rFonts w:ascii="Arial" w:hAnsi="Arial" w:cs="Arial"/>
          <w:sz w:val="24"/>
          <w:szCs w:val="24"/>
        </w:rPr>
        <w:t xml:space="preserve"> 27(1)(b) </w:t>
      </w:r>
      <w:r w:rsidR="00B14A8D">
        <w:rPr>
          <w:rFonts w:ascii="Arial" w:hAnsi="Arial" w:cs="Arial"/>
          <w:sz w:val="24"/>
          <w:szCs w:val="24"/>
        </w:rPr>
        <w:t>of the Act, which p</w:t>
      </w:r>
      <w:r w:rsidR="000A79FF" w:rsidRPr="009F3722">
        <w:rPr>
          <w:rFonts w:ascii="Arial" w:hAnsi="Arial" w:cs="Arial"/>
          <w:sz w:val="24"/>
          <w:szCs w:val="24"/>
        </w:rPr>
        <w:t xml:space="preserve">rovides </w:t>
      </w:r>
      <w:r w:rsidR="00B14A8D">
        <w:rPr>
          <w:rFonts w:ascii="Arial" w:hAnsi="Arial" w:cs="Arial"/>
          <w:sz w:val="24"/>
          <w:szCs w:val="24"/>
        </w:rPr>
        <w:t>for a change of venue</w:t>
      </w:r>
      <w:r w:rsidR="000A79FF" w:rsidRPr="009F3722">
        <w:rPr>
          <w:rFonts w:ascii="Arial" w:hAnsi="Arial" w:cs="Arial"/>
          <w:sz w:val="24"/>
          <w:szCs w:val="24"/>
        </w:rPr>
        <w:t xml:space="preserve">: </w:t>
      </w:r>
    </w:p>
    <w:p w:rsidR="000A79FF" w:rsidRPr="00F67371" w:rsidRDefault="000A79FF" w:rsidP="00F67371">
      <w:pPr>
        <w:spacing w:line="360" w:lineRule="auto"/>
        <w:ind w:left="1440"/>
        <w:jc w:val="both"/>
        <w:rPr>
          <w:rFonts w:ascii="Arial" w:hAnsi="Arial" w:cs="Arial"/>
        </w:rPr>
      </w:pPr>
      <w:r w:rsidRPr="00F67371">
        <w:rPr>
          <w:rFonts w:ascii="Arial" w:hAnsi="Arial" w:cs="Arial"/>
        </w:rPr>
        <w:t>If any proceedings have been instituted in a Division or at a seat of a Division, and it appears to the court that such proceedings (a) should have been instituted in another Division or at another seat of that Division; or (b) would be more conveniently or more appropriately heard or determine</w:t>
      </w:r>
      <w:r w:rsidR="00F67371" w:rsidRPr="00F67371">
        <w:rPr>
          <w:rFonts w:ascii="Arial" w:hAnsi="Arial" w:cs="Arial"/>
        </w:rPr>
        <w:t xml:space="preserve">d – (i) at another seat of  … </w:t>
      </w:r>
      <w:r w:rsidRPr="00F67371">
        <w:rPr>
          <w:rFonts w:ascii="Arial" w:hAnsi="Arial" w:cs="Arial"/>
        </w:rPr>
        <w:t xml:space="preserve"> that Division; or (ii) by another Division, that court may, upon application by any party thereto and after hearing all parties thereto, order such proceedings to be removed to that other Division or seat, as the case may be.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[2</w:t>
      </w:r>
      <w:r w:rsidR="00B14A8D">
        <w:rPr>
          <w:rFonts w:ascii="Arial" w:hAnsi="Arial" w:cs="Arial"/>
          <w:sz w:val="24"/>
          <w:szCs w:val="24"/>
        </w:rPr>
        <w:t>0</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The first ground of exception is accordingly dismissed.</w:t>
      </w:r>
    </w:p>
    <w:p w:rsidR="00732984" w:rsidRDefault="00732984" w:rsidP="00F6039F">
      <w:pPr>
        <w:spacing w:line="360" w:lineRule="auto"/>
        <w:jc w:val="both"/>
        <w:rPr>
          <w:rFonts w:ascii="Arial" w:hAnsi="Arial" w:cs="Arial"/>
          <w:b/>
          <w:sz w:val="24"/>
          <w:szCs w:val="24"/>
        </w:rPr>
      </w:pPr>
    </w:p>
    <w:p w:rsidR="000A79FF" w:rsidRPr="009F3722" w:rsidRDefault="000A79FF" w:rsidP="00F6039F">
      <w:pPr>
        <w:spacing w:line="360" w:lineRule="auto"/>
        <w:jc w:val="both"/>
        <w:rPr>
          <w:rFonts w:ascii="Arial" w:hAnsi="Arial" w:cs="Arial"/>
          <w:sz w:val="24"/>
          <w:szCs w:val="24"/>
        </w:rPr>
      </w:pPr>
      <w:r w:rsidRPr="009F3722">
        <w:rPr>
          <w:rFonts w:ascii="Arial" w:hAnsi="Arial" w:cs="Arial"/>
          <w:b/>
          <w:sz w:val="24"/>
          <w:szCs w:val="24"/>
        </w:rPr>
        <w:t>Second ground</w:t>
      </w:r>
    </w:p>
    <w:p w:rsidR="00F67371" w:rsidRDefault="00CC54C9" w:rsidP="00F6039F">
      <w:pPr>
        <w:spacing w:line="360" w:lineRule="auto"/>
        <w:jc w:val="both"/>
        <w:rPr>
          <w:rFonts w:ascii="Arial" w:hAnsi="Arial" w:cs="Arial"/>
          <w:sz w:val="24"/>
          <w:szCs w:val="24"/>
        </w:rPr>
      </w:pPr>
      <w:r>
        <w:rPr>
          <w:rFonts w:ascii="Arial" w:hAnsi="Arial" w:cs="Arial"/>
          <w:sz w:val="24"/>
          <w:szCs w:val="24"/>
        </w:rPr>
        <w:t>[2</w:t>
      </w:r>
      <w:r w:rsidR="00B14A8D">
        <w:rPr>
          <w:rFonts w:ascii="Arial" w:hAnsi="Arial" w:cs="Arial"/>
          <w:sz w:val="24"/>
          <w:szCs w:val="24"/>
        </w:rPr>
        <w:t>1</w:t>
      </w:r>
      <w:r w:rsidR="000A79FF" w:rsidRPr="009F3722">
        <w:rPr>
          <w:rFonts w:ascii="Arial" w:hAnsi="Arial" w:cs="Arial"/>
          <w:sz w:val="24"/>
          <w:szCs w:val="24"/>
        </w:rPr>
        <w:t>]</w:t>
      </w:r>
      <w:r w:rsidR="00F67371">
        <w:rPr>
          <w:rFonts w:ascii="Arial" w:hAnsi="Arial" w:cs="Arial"/>
          <w:sz w:val="24"/>
          <w:szCs w:val="24"/>
        </w:rPr>
        <w:t xml:space="preserve"> </w:t>
      </w:r>
      <w:r w:rsidR="000A79FF" w:rsidRPr="009F3722">
        <w:rPr>
          <w:rFonts w:ascii="Arial" w:hAnsi="Arial" w:cs="Arial"/>
          <w:sz w:val="24"/>
          <w:szCs w:val="24"/>
        </w:rPr>
        <w:t xml:space="preserve">The defendants submit that s 45 of the Magistrates’ Court Act 32 of 1944 applies, as the parties had consented in writing to the jurisdiction of the Magistrates’ Court in the event of a dispute. </w:t>
      </w:r>
    </w:p>
    <w:p w:rsidR="00F67371" w:rsidRDefault="00CC54C9" w:rsidP="00F6039F">
      <w:pPr>
        <w:spacing w:line="360" w:lineRule="auto"/>
        <w:jc w:val="both"/>
        <w:rPr>
          <w:rFonts w:ascii="Arial" w:hAnsi="Arial" w:cs="Arial"/>
          <w:sz w:val="24"/>
          <w:szCs w:val="24"/>
        </w:rPr>
      </w:pPr>
      <w:r>
        <w:rPr>
          <w:rFonts w:ascii="Arial" w:hAnsi="Arial" w:cs="Arial"/>
          <w:sz w:val="24"/>
          <w:szCs w:val="24"/>
        </w:rPr>
        <w:t>[2</w:t>
      </w:r>
      <w:r w:rsidR="00B14A8D">
        <w:rPr>
          <w:rFonts w:ascii="Arial" w:hAnsi="Arial" w:cs="Arial"/>
          <w:sz w:val="24"/>
          <w:szCs w:val="24"/>
        </w:rPr>
        <w:t>2</w:t>
      </w:r>
      <w:r w:rsidR="00F67371">
        <w:rPr>
          <w:rFonts w:ascii="Arial" w:hAnsi="Arial" w:cs="Arial"/>
          <w:sz w:val="24"/>
          <w:szCs w:val="24"/>
        </w:rPr>
        <w:t xml:space="preserve">] </w:t>
      </w:r>
      <w:r w:rsidR="000A79FF" w:rsidRPr="009F3722">
        <w:rPr>
          <w:rFonts w:ascii="Arial" w:hAnsi="Arial" w:cs="Arial"/>
          <w:sz w:val="24"/>
          <w:szCs w:val="24"/>
        </w:rPr>
        <w:t xml:space="preserve">Clause 25.9 of the lease agreement reads as follows: </w:t>
      </w:r>
    </w:p>
    <w:p w:rsidR="000A79FF" w:rsidRPr="00F67371" w:rsidRDefault="000A79FF" w:rsidP="00F67371">
      <w:pPr>
        <w:spacing w:line="360" w:lineRule="auto"/>
        <w:ind w:left="1440"/>
        <w:jc w:val="both"/>
        <w:rPr>
          <w:rFonts w:ascii="Arial" w:hAnsi="Arial" w:cs="Arial"/>
        </w:rPr>
      </w:pPr>
      <w:r w:rsidRPr="00F67371">
        <w:rPr>
          <w:rFonts w:ascii="Arial" w:hAnsi="Arial" w:cs="Arial"/>
        </w:rPr>
        <w:lastRenderedPageBreak/>
        <w:t xml:space="preserve">The TENANT and LANDLORD hereby consents to the jurisdiction of the Magistrate’s Court (including District and Regional Court) having jurisdiction over the TENANT for any proceedings arising out of or in connection with this Lease, even if for a cause of action otherwise beyond the jurisdiction of that court.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[2</w:t>
      </w:r>
      <w:r w:rsidR="00B14A8D">
        <w:rPr>
          <w:rFonts w:ascii="Arial" w:hAnsi="Arial" w:cs="Arial"/>
          <w:sz w:val="24"/>
          <w:szCs w:val="24"/>
        </w:rPr>
        <w:t>3</w:t>
      </w:r>
      <w:r w:rsidR="000A79FF" w:rsidRPr="009F3722">
        <w:rPr>
          <w:rFonts w:ascii="Arial" w:hAnsi="Arial" w:cs="Arial"/>
          <w:sz w:val="24"/>
          <w:szCs w:val="24"/>
        </w:rPr>
        <w:t>]</w:t>
      </w:r>
      <w:r w:rsidR="00F67371">
        <w:rPr>
          <w:rFonts w:ascii="Arial" w:hAnsi="Arial" w:cs="Arial"/>
          <w:sz w:val="24"/>
          <w:szCs w:val="24"/>
        </w:rPr>
        <w:t xml:space="preserve"> </w:t>
      </w:r>
      <w:r w:rsidR="000A79FF" w:rsidRPr="009F3722">
        <w:rPr>
          <w:rFonts w:ascii="Arial" w:hAnsi="Arial" w:cs="Arial"/>
          <w:sz w:val="24"/>
          <w:szCs w:val="24"/>
        </w:rPr>
        <w:t xml:space="preserve">A term in a commercial agreement in terms of which the parties consent to the jurisdiction of the Magistrates’ Court is not unusual. It is often a practical arrangement to limit litigation costs and time as it is generally not advisable from a cost point of view to pursue a defendant in the High Court for insignificant sums of money. In </w:t>
      </w:r>
      <w:r w:rsidR="000A79FF" w:rsidRPr="00F67371">
        <w:rPr>
          <w:rFonts w:ascii="Arial" w:hAnsi="Arial" w:cs="Arial"/>
          <w:i/>
          <w:sz w:val="24"/>
          <w:szCs w:val="24"/>
        </w:rPr>
        <w:t>casu</w:t>
      </w:r>
      <w:r w:rsidR="000A79FF" w:rsidRPr="009F3722">
        <w:rPr>
          <w:rFonts w:ascii="Arial" w:hAnsi="Arial" w:cs="Arial"/>
          <w:sz w:val="24"/>
          <w:szCs w:val="24"/>
        </w:rPr>
        <w:t xml:space="preserve">, the claims exceed the monetary jurisdiction of the </w:t>
      </w:r>
      <w:r w:rsidR="00D23AFA">
        <w:rPr>
          <w:rFonts w:ascii="Arial" w:hAnsi="Arial" w:cs="Arial"/>
          <w:sz w:val="24"/>
          <w:szCs w:val="24"/>
        </w:rPr>
        <w:t>M</w:t>
      </w:r>
      <w:r w:rsidR="000A79FF" w:rsidRPr="009F3722">
        <w:rPr>
          <w:rFonts w:ascii="Arial" w:hAnsi="Arial" w:cs="Arial"/>
          <w:sz w:val="24"/>
          <w:szCs w:val="24"/>
        </w:rPr>
        <w:t xml:space="preserve">agistrates’ </w:t>
      </w:r>
      <w:r w:rsidR="00D23AFA">
        <w:rPr>
          <w:rFonts w:ascii="Arial" w:hAnsi="Arial" w:cs="Arial"/>
          <w:sz w:val="24"/>
          <w:szCs w:val="24"/>
        </w:rPr>
        <w:t>C</w:t>
      </w:r>
      <w:r w:rsidR="000A79FF" w:rsidRPr="009F3722">
        <w:rPr>
          <w:rFonts w:ascii="Arial" w:hAnsi="Arial" w:cs="Arial"/>
          <w:sz w:val="24"/>
          <w:szCs w:val="24"/>
        </w:rPr>
        <w:t>ourt</w:t>
      </w:r>
      <w:r w:rsidR="00D23AFA">
        <w:rPr>
          <w:rFonts w:ascii="Arial" w:hAnsi="Arial" w:cs="Arial"/>
          <w:sz w:val="24"/>
          <w:szCs w:val="24"/>
        </w:rPr>
        <w:t xml:space="preserve"> by some margin</w:t>
      </w:r>
      <w:r w:rsidR="000A79FF" w:rsidRPr="009F3722">
        <w:rPr>
          <w:rFonts w:ascii="Arial" w:hAnsi="Arial" w:cs="Arial"/>
          <w:sz w:val="24"/>
          <w:szCs w:val="24"/>
        </w:rPr>
        <w:t xml:space="preserve">: R 816,120.71 (claim 1) and R 562,474.46 (claim 2).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[2</w:t>
      </w:r>
      <w:r w:rsidR="00B14A8D">
        <w:rPr>
          <w:rFonts w:ascii="Arial" w:hAnsi="Arial" w:cs="Arial"/>
          <w:sz w:val="24"/>
          <w:szCs w:val="24"/>
        </w:rPr>
        <w:t>4</w:t>
      </w:r>
      <w:r w:rsidR="000A79FF" w:rsidRPr="009F3722">
        <w:rPr>
          <w:rFonts w:ascii="Arial" w:hAnsi="Arial" w:cs="Arial"/>
          <w:sz w:val="24"/>
          <w:szCs w:val="24"/>
        </w:rPr>
        <w:t>]</w:t>
      </w:r>
      <w:r w:rsidR="006E1B9B">
        <w:rPr>
          <w:rFonts w:ascii="Arial" w:hAnsi="Arial" w:cs="Arial"/>
          <w:sz w:val="24"/>
          <w:szCs w:val="24"/>
        </w:rPr>
        <w:t xml:space="preserve"> </w:t>
      </w:r>
      <w:r w:rsidR="000A79FF" w:rsidRPr="009F3722">
        <w:rPr>
          <w:rFonts w:ascii="Arial" w:hAnsi="Arial" w:cs="Arial"/>
          <w:sz w:val="24"/>
          <w:szCs w:val="24"/>
        </w:rPr>
        <w:t xml:space="preserve">Plaintiff’s counsel argued that the provision does not mean that the plaintiff is compelled to launch proceedings in the Magistrates’ Court. All the provision does is to vest the Magistrates’ Court with jurisdiction, but this does not limit or exclude the jurisdiction of the High Court or the plaintiff’s choice of forum. </w:t>
      </w:r>
    </w:p>
    <w:p w:rsidR="00791A15" w:rsidRPr="009F3722" w:rsidRDefault="00CC54C9" w:rsidP="004F2E01">
      <w:pPr>
        <w:spacing w:line="360" w:lineRule="auto"/>
        <w:jc w:val="both"/>
        <w:rPr>
          <w:rFonts w:ascii="Arial" w:hAnsi="Arial" w:cs="Arial"/>
          <w:sz w:val="24"/>
          <w:szCs w:val="24"/>
        </w:rPr>
      </w:pPr>
      <w:r>
        <w:rPr>
          <w:rFonts w:ascii="Arial" w:hAnsi="Arial" w:cs="Arial"/>
          <w:sz w:val="24"/>
          <w:szCs w:val="24"/>
        </w:rPr>
        <w:t>[2</w:t>
      </w:r>
      <w:r w:rsidR="00B14A8D">
        <w:rPr>
          <w:rFonts w:ascii="Arial" w:hAnsi="Arial" w:cs="Arial"/>
          <w:sz w:val="24"/>
          <w:szCs w:val="24"/>
        </w:rPr>
        <w:t>5</w:t>
      </w:r>
      <w:r w:rsidR="000A79FF" w:rsidRPr="009F3722">
        <w:rPr>
          <w:rFonts w:ascii="Arial" w:hAnsi="Arial" w:cs="Arial"/>
          <w:sz w:val="24"/>
          <w:szCs w:val="24"/>
        </w:rPr>
        <w:t>]</w:t>
      </w:r>
      <w:r w:rsidR="00993F0D">
        <w:rPr>
          <w:rFonts w:ascii="Arial" w:hAnsi="Arial" w:cs="Arial"/>
          <w:sz w:val="24"/>
          <w:szCs w:val="24"/>
        </w:rPr>
        <w:t xml:space="preserve"> </w:t>
      </w:r>
      <w:r w:rsidR="000A79FF" w:rsidRPr="009F3722">
        <w:rPr>
          <w:rFonts w:ascii="Arial" w:hAnsi="Arial" w:cs="Arial"/>
          <w:sz w:val="24"/>
          <w:szCs w:val="24"/>
        </w:rPr>
        <w:t xml:space="preserve">It is well established in terms of the common law that where different courts have concurrent jurisdiction, the party who launches proceedings, </w:t>
      </w:r>
      <w:r w:rsidR="000A79FF" w:rsidRPr="009F3722">
        <w:rPr>
          <w:rFonts w:ascii="Arial" w:hAnsi="Arial" w:cs="Arial"/>
          <w:i/>
          <w:sz w:val="24"/>
          <w:szCs w:val="24"/>
        </w:rPr>
        <w:t>as dominus litis</w:t>
      </w:r>
      <w:r w:rsidR="000A79FF" w:rsidRPr="009F3722">
        <w:rPr>
          <w:rFonts w:ascii="Arial" w:hAnsi="Arial" w:cs="Arial"/>
          <w:sz w:val="24"/>
          <w:szCs w:val="24"/>
        </w:rPr>
        <w:t xml:space="preserve">, may choose the forum. The court </w:t>
      </w:r>
      <w:r w:rsidR="000A79FF" w:rsidRPr="00F67371">
        <w:rPr>
          <w:rFonts w:ascii="Arial" w:hAnsi="Arial" w:cs="Arial"/>
          <w:i/>
          <w:sz w:val="24"/>
          <w:szCs w:val="24"/>
        </w:rPr>
        <w:t>a quo</w:t>
      </w:r>
      <w:r w:rsidR="000A79FF" w:rsidRPr="009F3722">
        <w:rPr>
          <w:rFonts w:ascii="Arial" w:hAnsi="Arial" w:cs="Arial"/>
          <w:sz w:val="24"/>
          <w:szCs w:val="24"/>
        </w:rPr>
        <w:t xml:space="preserve"> in </w:t>
      </w:r>
      <w:r w:rsidR="000A79FF" w:rsidRPr="009F3722">
        <w:rPr>
          <w:rFonts w:ascii="Arial" w:hAnsi="Arial" w:cs="Arial"/>
          <w:i/>
          <w:sz w:val="24"/>
          <w:szCs w:val="24"/>
        </w:rPr>
        <w:t>Thobejane</w:t>
      </w:r>
      <w:r w:rsidR="000A79FF" w:rsidRPr="009F3722">
        <w:rPr>
          <w:rFonts w:ascii="Arial" w:hAnsi="Arial" w:cs="Arial"/>
          <w:sz w:val="24"/>
          <w:szCs w:val="24"/>
        </w:rPr>
        <w:t xml:space="preserve"> called this principle ‘at best outdated’ and observed that it loses sight of the deep seated inequalities in our society and the constitutional imperative of access to justice.</w:t>
      </w:r>
      <w:r w:rsidR="0020098C" w:rsidRPr="009F3722">
        <w:rPr>
          <w:rStyle w:val="FootnoteReference"/>
          <w:rFonts w:ascii="Arial" w:hAnsi="Arial" w:cs="Arial"/>
          <w:sz w:val="24"/>
          <w:szCs w:val="24"/>
        </w:rPr>
        <w:footnoteReference w:id="10"/>
      </w:r>
      <w:r w:rsidR="000A79FF" w:rsidRPr="009F3722">
        <w:rPr>
          <w:rFonts w:ascii="Arial" w:hAnsi="Arial" w:cs="Arial"/>
          <w:sz w:val="24"/>
          <w:szCs w:val="24"/>
        </w:rPr>
        <w:t xml:space="preserve"> However, the principle was explicitly confirmed by the Supreme Court of Appeal</w:t>
      </w:r>
      <w:r w:rsidR="00F67371">
        <w:rPr>
          <w:rFonts w:ascii="Arial" w:hAnsi="Arial" w:cs="Arial"/>
          <w:sz w:val="24"/>
          <w:szCs w:val="24"/>
        </w:rPr>
        <w:t xml:space="preserve"> (per Sutherland AJA)</w:t>
      </w:r>
      <w:r w:rsidR="000A79FF" w:rsidRPr="009F3722">
        <w:rPr>
          <w:rFonts w:ascii="Arial" w:hAnsi="Arial" w:cs="Arial"/>
          <w:sz w:val="24"/>
          <w:szCs w:val="24"/>
        </w:rPr>
        <w:t xml:space="preserve">: </w:t>
      </w:r>
    </w:p>
    <w:p w:rsidR="000A79FF" w:rsidRPr="00F67371" w:rsidRDefault="000A79FF" w:rsidP="005A281E">
      <w:pPr>
        <w:spacing w:after="0" w:line="360" w:lineRule="auto"/>
        <w:ind w:left="1440"/>
        <w:jc w:val="both"/>
        <w:rPr>
          <w:rFonts w:ascii="Arial" w:hAnsi="Arial" w:cs="Arial"/>
        </w:rPr>
      </w:pPr>
      <w:r w:rsidRPr="00F67371">
        <w:rPr>
          <w:rFonts w:ascii="Arial" w:hAnsi="Arial" w:cs="Arial"/>
        </w:rPr>
        <w:t xml:space="preserve">Self-evidently, litigation begins by a plaintiff initiating a claim. Axiomatically, it must be the plaintiff who chooses a court of competent jurisdiction in just the same way that a game of cricket must begin by a ball being bowled. The batsman cannot begin. This elementary fact is recognised as a rule of the common law, founded, as it is, </w:t>
      </w:r>
      <w:r w:rsidR="0020098C" w:rsidRPr="00F67371">
        <w:rPr>
          <w:rFonts w:ascii="Arial" w:hAnsi="Arial" w:cs="Arial"/>
        </w:rPr>
        <w:t>on common sense.</w:t>
      </w:r>
      <w:r w:rsidR="00861756" w:rsidRPr="00F67371">
        <w:rPr>
          <w:rStyle w:val="FootnoteReference"/>
          <w:rFonts w:ascii="Arial" w:hAnsi="Arial" w:cs="Arial"/>
        </w:rPr>
        <w:footnoteReference w:id="11"/>
      </w:r>
      <w:r w:rsidRPr="00F67371">
        <w:rPr>
          <w:rFonts w:ascii="Arial" w:hAnsi="Arial" w:cs="Arial"/>
        </w:rPr>
        <w:t xml:space="preserve"> </w:t>
      </w:r>
    </w:p>
    <w:p w:rsidR="00791A15" w:rsidRPr="009F3722" w:rsidRDefault="00791A15" w:rsidP="00791A15">
      <w:pPr>
        <w:spacing w:after="0" w:line="360" w:lineRule="auto"/>
        <w:ind w:left="1440"/>
        <w:jc w:val="both"/>
        <w:rPr>
          <w:rFonts w:ascii="Arial" w:hAnsi="Arial" w:cs="Arial"/>
          <w:sz w:val="24"/>
          <w:szCs w:val="24"/>
        </w:rPr>
      </w:pP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[2</w:t>
      </w:r>
      <w:r w:rsidR="00B14A8D">
        <w:rPr>
          <w:rFonts w:ascii="Arial" w:hAnsi="Arial" w:cs="Arial"/>
          <w:sz w:val="24"/>
          <w:szCs w:val="24"/>
        </w:rPr>
        <w:t>6</w:t>
      </w:r>
      <w:r w:rsidR="000A79FF" w:rsidRPr="009F3722">
        <w:rPr>
          <w:rFonts w:ascii="Arial" w:hAnsi="Arial" w:cs="Arial"/>
          <w:sz w:val="24"/>
          <w:szCs w:val="24"/>
        </w:rPr>
        <w:t>]</w:t>
      </w:r>
      <w:r w:rsidR="00511330">
        <w:rPr>
          <w:rFonts w:ascii="Arial" w:hAnsi="Arial" w:cs="Arial"/>
          <w:sz w:val="24"/>
          <w:szCs w:val="24"/>
        </w:rPr>
        <w:t xml:space="preserve"> </w:t>
      </w:r>
      <w:r w:rsidR="00063DB4">
        <w:rPr>
          <w:rFonts w:ascii="Arial" w:hAnsi="Arial" w:cs="Arial"/>
          <w:sz w:val="24"/>
          <w:szCs w:val="24"/>
        </w:rPr>
        <w:t>S</w:t>
      </w:r>
      <w:r w:rsidR="00511330">
        <w:rPr>
          <w:rFonts w:ascii="Arial" w:hAnsi="Arial" w:cs="Arial"/>
          <w:sz w:val="24"/>
          <w:szCs w:val="24"/>
        </w:rPr>
        <w:t xml:space="preserve">ome older </w:t>
      </w:r>
      <w:r w:rsidR="00063DB4">
        <w:rPr>
          <w:rFonts w:ascii="Arial" w:hAnsi="Arial" w:cs="Arial"/>
          <w:sz w:val="24"/>
          <w:szCs w:val="24"/>
        </w:rPr>
        <w:t>authorities suggest</w:t>
      </w:r>
      <w:r w:rsidR="000A79FF" w:rsidRPr="009F3722">
        <w:rPr>
          <w:rFonts w:ascii="Arial" w:hAnsi="Arial" w:cs="Arial"/>
          <w:sz w:val="24"/>
          <w:szCs w:val="24"/>
        </w:rPr>
        <w:t xml:space="preserve"> that the jurisdiction of the High Court </w:t>
      </w:r>
      <w:r w:rsidR="00511330">
        <w:rPr>
          <w:rFonts w:ascii="Arial" w:hAnsi="Arial" w:cs="Arial"/>
          <w:sz w:val="24"/>
          <w:szCs w:val="24"/>
        </w:rPr>
        <w:t>may</w:t>
      </w:r>
      <w:r w:rsidR="000A79FF" w:rsidRPr="009F3722">
        <w:rPr>
          <w:rFonts w:ascii="Arial" w:hAnsi="Arial" w:cs="Arial"/>
          <w:sz w:val="24"/>
          <w:szCs w:val="24"/>
        </w:rPr>
        <w:t xml:space="preserve"> be excluded in certain circumstances – where there is a clear intention to make the </w:t>
      </w:r>
      <w:r w:rsidR="00330790">
        <w:rPr>
          <w:rFonts w:ascii="Arial" w:hAnsi="Arial" w:cs="Arial"/>
          <w:sz w:val="24"/>
          <w:szCs w:val="24"/>
        </w:rPr>
        <w:lastRenderedPageBreak/>
        <w:t>M</w:t>
      </w:r>
      <w:r w:rsidR="000A79FF" w:rsidRPr="009F3722">
        <w:rPr>
          <w:rFonts w:ascii="Arial" w:hAnsi="Arial" w:cs="Arial"/>
          <w:sz w:val="24"/>
          <w:szCs w:val="24"/>
        </w:rPr>
        <w:t>agistra</w:t>
      </w:r>
      <w:r w:rsidR="00167247" w:rsidRPr="009F3722">
        <w:rPr>
          <w:rFonts w:ascii="Arial" w:hAnsi="Arial" w:cs="Arial"/>
          <w:sz w:val="24"/>
          <w:szCs w:val="24"/>
        </w:rPr>
        <w:t xml:space="preserve">tes’ </w:t>
      </w:r>
      <w:r w:rsidR="00330790">
        <w:rPr>
          <w:rFonts w:ascii="Arial" w:hAnsi="Arial" w:cs="Arial"/>
          <w:sz w:val="24"/>
          <w:szCs w:val="24"/>
        </w:rPr>
        <w:t>C</w:t>
      </w:r>
      <w:r w:rsidR="00167247" w:rsidRPr="009F3722">
        <w:rPr>
          <w:rFonts w:ascii="Arial" w:hAnsi="Arial" w:cs="Arial"/>
          <w:sz w:val="24"/>
          <w:szCs w:val="24"/>
        </w:rPr>
        <w:t>ourt the exclusive forum,</w:t>
      </w:r>
      <w:r w:rsidR="00ED22BE" w:rsidRPr="009F3722">
        <w:rPr>
          <w:rStyle w:val="FootnoteReference"/>
          <w:rFonts w:ascii="Arial" w:hAnsi="Arial" w:cs="Arial"/>
          <w:sz w:val="24"/>
          <w:szCs w:val="24"/>
        </w:rPr>
        <w:footnoteReference w:id="12"/>
      </w:r>
      <w:r w:rsidR="000A79FF" w:rsidRPr="009F3722">
        <w:rPr>
          <w:rFonts w:ascii="Arial" w:hAnsi="Arial" w:cs="Arial"/>
          <w:sz w:val="24"/>
          <w:szCs w:val="24"/>
        </w:rPr>
        <w:t xml:space="preserve"> or if there is clear agreement debarring a plaintiff from doing so.</w:t>
      </w:r>
      <w:r w:rsidR="00ED22BE" w:rsidRPr="009F3722">
        <w:rPr>
          <w:rStyle w:val="FootnoteReference"/>
          <w:rFonts w:ascii="Arial" w:hAnsi="Arial" w:cs="Arial"/>
          <w:sz w:val="24"/>
          <w:szCs w:val="24"/>
        </w:rPr>
        <w:footnoteReference w:id="13"/>
      </w:r>
      <w:r w:rsidR="00736CB9">
        <w:rPr>
          <w:rFonts w:ascii="Arial" w:hAnsi="Arial" w:cs="Arial"/>
          <w:sz w:val="24"/>
          <w:szCs w:val="24"/>
        </w:rPr>
        <w:t xml:space="preserve"> </w:t>
      </w:r>
      <w:r w:rsidR="000A79FF" w:rsidRPr="009F3722">
        <w:rPr>
          <w:rFonts w:ascii="Arial" w:hAnsi="Arial" w:cs="Arial"/>
          <w:sz w:val="24"/>
          <w:szCs w:val="24"/>
        </w:rPr>
        <w:t xml:space="preserve">In practice, </w:t>
      </w:r>
      <w:r w:rsidR="00736CB9">
        <w:rPr>
          <w:rFonts w:ascii="Arial" w:hAnsi="Arial" w:cs="Arial"/>
          <w:sz w:val="24"/>
          <w:szCs w:val="24"/>
        </w:rPr>
        <w:t xml:space="preserve">though, </w:t>
      </w:r>
      <w:r w:rsidR="000A79FF" w:rsidRPr="009F3722">
        <w:rPr>
          <w:rFonts w:ascii="Arial" w:hAnsi="Arial" w:cs="Arial"/>
          <w:sz w:val="24"/>
          <w:szCs w:val="24"/>
        </w:rPr>
        <w:t xml:space="preserve">where the agreement is intended for the benefit of the plaintiff, as is almost certainly the case here, a defendant essentially consents to be bound by the plaintiff’s selection to sue in the </w:t>
      </w:r>
      <w:r w:rsidR="00330790">
        <w:rPr>
          <w:rFonts w:ascii="Arial" w:hAnsi="Arial" w:cs="Arial"/>
          <w:sz w:val="24"/>
          <w:szCs w:val="24"/>
        </w:rPr>
        <w:t>M</w:t>
      </w:r>
      <w:r w:rsidR="000A79FF" w:rsidRPr="009F3722">
        <w:rPr>
          <w:rFonts w:ascii="Arial" w:hAnsi="Arial" w:cs="Arial"/>
          <w:sz w:val="24"/>
          <w:szCs w:val="24"/>
        </w:rPr>
        <w:t xml:space="preserve">agistrates’ </w:t>
      </w:r>
      <w:r w:rsidR="00330790">
        <w:rPr>
          <w:rFonts w:ascii="Arial" w:hAnsi="Arial" w:cs="Arial"/>
          <w:sz w:val="24"/>
          <w:szCs w:val="24"/>
        </w:rPr>
        <w:t>C</w:t>
      </w:r>
      <w:r w:rsidR="000A79FF" w:rsidRPr="009F3722">
        <w:rPr>
          <w:rFonts w:ascii="Arial" w:hAnsi="Arial" w:cs="Arial"/>
          <w:sz w:val="24"/>
          <w:szCs w:val="24"/>
        </w:rPr>
        <w:t>ourt, but the jurisdiction of the High Court is not excluded</w:t>
      </w:r>
      <w:r w:rsidR="00E24C3C">
        <w:rPr>
          <w:rFonts w:ascii="Arial" w:hAnsi="Arial" w:cs="Arial"/>
          <w:sz w:val="24"/>
          <w:szCs w:val="24"/>
        </w:rPr>
        <w:t xml:space="preserve"> should the plaintiff decide to follow that route</w:t>
      </w:r>
      <w:r w:rsidR="000A79FF" w:rsidRPr="009F3722">
        <w:rPr>
          <w:rFonts w:ascii="Arial" w:hAnsi="Arial" w:cs="Arial"/>
          <w:sz w:val="24"/>
          <w:szCs w:val="24"/>
        </w:rPr>
        <w:t>.</w:t>
      </w:r>
      <w:r w:rsidR="004A0DFB" w:rsidRPr="009F3722">
        <w:rPr>
          <w:rStyle w:val="FootnoteReference"/>
          <w:rFonts w:ascii="Arial" w:hAnsi="Arial" w:cs="Arial"/>
          <w:sz w:val="24"/>
          <w:szCs w:val="24"/>
        </w:rPr>
        <w:footnoteReference w:id="14"/>
      </w:r>
    </w:p>
    <w:p w:rsidR="00852B67" w:rsidRPr="009F3722" w:rsidRDefault="00CC54C9" w:rsidP="00F6039F">
      <w:pPr>
        <w:spacing w:line="360" w:lineRule="auto"/>
        <w:jc w:val="both"/>
        <w:rPr>
          <w:rFonts w:ascii="Arial" w:hAnsi="Arial" w:cs="Arial"/>
          <w:sz w:val="24"/>
          <w:szCs w:val="24"/>
        </w:rPr>
      </w:pPr>
      <w:r>
        <w:rPr>
          <w:rFonts w:ascii="Arial" w:hAnsi="Arial" w:cs="Arial"/>
          <w:sz w:val="24"/>
          <w:szCs w:val="24"/>
        </w:rPr>
        <w:t>[2</w:t>
      </w:r>
      <w:r w:rsidR="00732984">
        <w:rPr>
          <w:rFonts w:ascii="Arial" w:hAnsi="Arial" w:cs="Arial"/>
          <w:sz w:val="24"/>
          <w:szCs w:val="24"/>
        </w:rPr>
        <w:t>7</w:t>
      </w:r>
      <w:r w:rsidR="000A79FF" w:rsidRPr="009F3722">
        <w:rPr>
          <w:rFonts w:ascii="Arial" w:hAnsi="Arial" w:cs="Arial"/>
          <w:sz w:val="24"/>
          <w:szCs w:val="24"/>
        </w:rPr>
        <w:t>]</w:t>
      </w:r>
      <w:r w:rsidR="00F10DF5">
        <w:rPr>
          <w:rFonts w:ascii="Arial" w:hAnsi="Arial" w:cs="Arial"/>
          <w:sz w:val="24"/>
          <w:szCs w:val="24"/>
        </w:rPr>
        <w:t xml:space="preserve"> </w:t>
      </w:r>
      <w:r w:rsidR="000A79FF" w:rsidRPr="009F3722">
        <w:rPr>
          <w:rFonts w:ascii="Arial" w:hAnsi="Arial" w:cs="Arial"/>
          <w:sz w:val="24"/>
          <w:szCs w:val="24"/>
        </w:rPr>
        <w:t xml:space="preserve">The legal position now appears settled following Sutherland AJA’s judgment in </w:t>
      </w:r>
      <w:r w:rsidR="000A79FF" w:rsidRPr="009F3722">
        <w:rPr>
          <w:rFonts w:ascii="Arial" w:hAnsi="Arial" w:cs="Arial"/>
          <w:i/>
          <w:sz w:val="24"/>
          <w:szCs w:val="24"/>
        </w:rPr>
        <w:t>Thobejane</w:t>
      </w:r>
      <w:r w:rsidR="000A79FF" w:rsidRPr="009F3722">
        <w:rPr>
          <w:rFonts w:ascii="Arial" w:hAnsi="Arial" w:cs="Arial"/>
          <w:sz w:val="24"/>
          <w:szCs w:val="24"/>
        </w:rPr>
        <w:t xml:space="preserve">: </w:t>
      </w:r>
    </w:p>
    <w:p w:rsidR="000A79FF" w:rsidRPr="00330790" w:rsidRDefault="000A79FF" w:rsidP="00852B67">
      <w:pPr>
        <w:spacing w:line="360" w:lineRule="auto"/>
        <w:ind w:left="720"/>
        <w:jc w:val="both"/>
        <w:rPr>
          <w:rFonts w:ascii="Arial" w:hAnsi="Arial" w:cs="Arial"/>
        </w:rPr>
      </w:pPr>
      <w:r w:rsidRPr="00330790">
        <w:rPr>
          <w:rFonts w:ascii="Arial" w:hAnsi="Arial" w:cs="Arial"/>
        </w:rPr>
        <w:t>It is also law of long standing that when a High Court has a matter before it that could have been brought in a Magistrates’ Court, it has no power to refuse to hear the matter.</w:t>
      </w:r>
      <w:r w:rsidR="004A0DFB" w:rsidRPr="00330790">
        <w:rPr>
          <w:rStyle w:val="FootnoteReference"/>
          <w:rFonts w:ascii="Arial" w:hAnsi="Arial" w:cs="Arial"/>
        </w:rPr>
        <w:footnoteReference w:id="15"/>
      </w:r>
      <w:r w:rsidRPr="00330790">
        <w:rPr>
          <w:rFonts w:ascii="Arial" w:hAnsi="Arial" w:cs="Arial"/>
        </w:rPr>
        <w:t xml:space="preserve">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t>[</w:t>
      </w:r>
      <w:r w:rsidR="00732984">
        <w:rPr>
          <w:rFonts w:ascii="Arial" w:hAnsi="Arial" w:cs="Arial"/>
          <w:sz w:val="24"/>
          <w:szCs w:val="24"/>
        </w:rPr>
        <w:t>28</w:t>
      </w:r>
      <w:r w:rsidR="000A79FF" w:rsidRPr="009F3722">
        <w:rPr>
          <w:rFonts w:ascii="Arial" w:hAnsi="Arial" w:cs="Arial"/>
          <w:sz w:val="24"/>
          <w:szCs w:val="24"/>
        </w:rPr>
        <w:t>]</w:t>
      </w:r>
      <w:r w:rsidR="00736CB9">
        <w:rPr>
          <w:rFonts w:ascii="Arial" w:hAnsi="Arial" w:cs="Arial"/>
          <w:sz w:val="24"/>
          <w:szCs w:val="24"/>
        </w:rPr>
        <w:t xml:space="preserve"> </w:t>
      </w:r>
      <w:r w:rsidR="000A79FF" w:rsidRPr="009F3722">
        <w:rPr>
          <w:rFonts w:ascii="Arial" w:hAnsi="Arial" w:cs="Arial"/>
          <w:sz w:val="24"/>
          <w:szCs w:val="24"/>
        </w:rPr>
        <w:t xml:space="preserve">Sutherland AJA also affirmed the finding of the Supreme Court of Appeal in </w:t>
      </w:r>
      <w:r w:rsidR="000A79FF" w:rsidRPr="00736CB9">
        <w:rPr>
          <w:rFonts w:ascii="Arial" w:hAnsi="Arial" w:cs="Arial"/>
          <w:i/>
          <w:sz w:val="24"/>
          <w:szCs w:val="24"/>
        </w:rPr>
        <w:t>Agri Wire (Pty) Ltd v Commissioner, Competition Commissioner</w:t>
      </w:r>
      <w:r w:rsidR="005F76D1" w:rsidRPr="009F3722">
        <w:rPr>
          <w:rStyle w:val="FootnoteReference"/>
          <w:rFonts w:ascii="Arial" w:hAnsi="Arial" w:cs="Arial"/>
          <w:sz w:val="24"/>
          <w:szCs w:val="24"/>
        </w:rPr>
        <w:footnoteReference w:id="16"/>
      </w:r>
      <w:r w:rsidR="000A79FF" w:rsidRPr="009F3722">
        <w:rPr>
          <w:rFonts w:ascii="Arial" w:hAnsi="Arial" w:cs="Arial"/>
          <w:sz w:val="24"/>
          <w:szCs w:val="24"/>
        </w:rPr>
        <w:t xml:space="preserve"> that the doctrine of </w:t>
      </w:r>
      <w:r w:rsidR="000A79FF" w:rsidRPr="009F3722">
        <w:rPr>
          <w:rFonts w:ascii="Arial" w:hAnsi="Arial" w:cs="Arial"/>
          <w:i/>
          <w:sz w:val="24"/>
          <w:szCs w:val="24"/>
        </w:rPr>
        <w:t>forum non conveniens</w:t>
      </w:r>
      <w:r w:rsidR="000A79FF" w:rsidRPr="009F3722">
        <w:rPr>
          <w:rFonts w:ascii="Arial" w:hAnsi="Arial" w:cs="Arial"/>
          <w:sz w:val="24"/>
          <w:szCs w:val="24"/>
        </w:rPr>
        <w:t xml:space="preserve"> (‘inconvenient forum’) does not apply in South Africa: ‘courts are not entitled to decline to hear cases properly brought before them in the exe</w:t>
      </w:r>
      <w:r w:rsidR="005F76D1" w:rsidRPr="009F3722">
        <w:rPr>
          <w:rFonts w:ascii="Arial" w:hAnsi="Arial" w:cs="Arial"/>
          <w:sz w:val="24"/>
          <w:szCs w:val="24"/>
        </w:rPr>
        <w:t>rcise of their jurisdiction.’</w:t>
      </w:r>
      <w:r w:rsidR="005F76D1" w:rsidRPr="009F3722">
        <w:rPr>
          <w:rStyle w:val="FootnoteReference"/>
          <w:rFonts w:ascii="Arial" w:hAnsi="Arial" w:cs="Arial"/>
          <w:sz w:val="24"/>
          <w:szCs w:val="24"/>
        </w:rPr>
        <w:footnoteReference w:id="17"/>
      </w:r>
    </w:p>
    <w:p w:rsidR="000A79FF" w:rsidRPr="009F3722" w:rsidRDefault="00732984" w:rsidP="00736CB9">
      <w:pPr>
        <w:spacing w:line="360" w:lineRule="auto"/>
        <w:jc w:val="both"/>
        <w:rPr>
          <w:rFonts w:ascii="Arial" w:hAnsi="Arial" w:cs="Arial"/>
          <w:sz w:val="24"/>
          <w:szCs w:val="24"/>
        </w:rPr>
      </w:pPr>
      <w:r>
        <w:rPr>
          <w:rFonts w:ascii="Arial" w:hAnsi="Arial" w:cs="Arial"/>
          <w:sz w:val="24"/>
          <w:szCs w:val="24"/>
        </w:rPr>
        <w:t>[29</w:t>
      </w:r>
      <w:r w:rsidR="000A79FF" w:rsidRPr="009F3722">
        <w:rPr>
          <w:rFonts w:ascii="Arial" w:hAnsi="Arial" w:cs="Arial"/>
          <w:sz w:val="24"/>
          <w:szCs w:val="24"/>
        </w:rPr>
        <w:t>]</w:t>
      </w:r>
      <w:r w:rsidR="00736CB9">
        <w:rPr>
          <w:rFonts w:ascii="Arial" w:hAnsi="Arial" w:cs="Arial"/>
          <w:sz w:val="24"/>
          <w:szCs w:val="24"/>
        </w:rPr>
        <w:t xml:space="preserve"> </w:t>
      </w:r>
      <w:r w:rsidR="000A79FF" w:rsidRPr="009F3722">
        <w:rPr>
          <w:rFonts w:ascii="Arial" w:hAnsi="Arial" w:cs="Arial"/>
          <w:sz w:val="24"/>
          <w:szCs w:val="24"/>
        </w:rPr>
        <w:t xml:space="preserve">In </w:t>
      </w:r>
      <w:r w:rsidR="000A79FF" w:rsidRPr="009F3722">
        <w:rPr>
          <w:rFonts w:ascii="Arial" w:hAnsi="Arial" w:cs="Arial"/>
          <w:i/>
          <w:sz w:val="24"/>
          <w:szCs w:val="24"/>
        </w:rPr>
        <w:t>Allied Value Investors (Pty) Ltd v Lebitse</w:t>
      </w:r>
      <w:r w:rsidR="005F76D1" w:rsidRPr="009F3722">
        <w:rPr>
          <w:rStyle w:val="FootnoteReference"/>
          <w:rFonts w:ascii="Arial" w:hAnsi="Arial" w:cs="Arial"/>
          <w:sz w:val="24"/>
          <w:szCs w:val="24"/>
        </w:rPr>
        <w:footnoteReference w:id="18"/>
      </w:r>
      <w:r w:rsidR="000A79FF" w:rsidRPr="009F3722">
        <w:rPr>
          <w:rFonts w:ascii="Arial" w:hAnsi="Arial" w:cs="Arial"/>
          <w:sz w:val="24"/>
          <w:szCs w:val="24"/>
        </w:rPr>
        <w:t xml:space="preserve"> the </w:t>
      </w:r>
      <w:r w:rsidR="00736CB9">
        <w:rPr>
          <w:rFonts w:ascii="Arial" w:hAnsi="Arial" w:cs="Arial"/>
          <w:sz w:val="24"/>
          <w:szCs w:val="24"/>
        </w:rPr>
        <w:t>C</w:t>
      </w:r>
      <w:r w:rsidR="000A79FF" w:rsidRPr="009F3722">
        <w:rPr>
          <w:rFonts w:ascii="Arial" w:hAnsi="Arial" w:cs="Arial"/>
          <w:sz w:val="24"/>
          <w:szCs w:val="24"/>
        </w:rPr>
        <w:t xml:space="preserve">ourt was faced with a broadly similar scenario where the parties had agreed that the </w:t>
      </w:r>
      <w:r w:rsidR="00736CB9">
        <w:rPr>
          <w:rFonts w:ascii="Arial" w:hAnsi="Arial" w:cs="Arial"/>
          <w:sz w:val="24"/>
          <w:szCs w:val="24"/>
        </w:rPr>
        <w:t>M</w:t>
      </w:r>
      <w:r w:rsidR="000A79FF" w:rsidRPr="009F3722">
        <w:rPr>
          <w:rFonts w:ascii="Arial" w:hAnsi="Arial" w:cs="Arial"/>
          <w:sz w:val="24"/>
          <w:szCs w:val="24"/>
        </w:rPr>
        <w:t xml:space="preserve">agistrates’ </w:t>
      </w:r>
      <w:r w:rsidR="00736CB9">
        <w:rPr>
          <w:rFonts w:ascii="Arial" w:hAnsi="Arial" w:cs="Arial"/>
          <w:sz w:val="24"/>
          <w:szCs w:val="24"/>
        </w:rPr>
        <w:t>C</w:t>
      </w:r>
      <w:r w:rsidR="000A79FF" w:rsidRPr="009F3722">
        <w:rPr>
          <w:rFonts w:ascii="Arial" w:hAnsi="Arial" w:cs="Arial"/>
          <w:sz w:val="24"/>
          <w:szCs w:val="24"/>
        </w:rPr>
        <w:t xml:space="preserve">ourt would have jurisdiction over disputes. With reference to </w:t>
      </w:r>
      <w:r w:rsidR="000A79FF" w:rsidRPr="009F3722">
        <w:rPr>
          <w:rFonts w:ascii="Arial" w:hAnsi="Arial" w:cs="Arial"/>
          <w:i/>
          <w:sz w:val="24"/>
          <w:szCs w:val="24"/>
        </w:rPr>
        <w:t>Thobejane</w:t>
      </w:r>
      <w:r w:rsidR="000A79FF" w:rsidRPr="009F3722">
        <w:rPr>
          <w:rFonts w:ascii="Arial" w:hAnsi="Arial" w:cs="Arial"/>
          <w:sz w:val="24"/>
          <w:szCs w:val="24"/>
        </w:rPr>
        <w:t xml:space="preserve">, the </w:t>
      </w:r>
      <w:r w:rsidR="00736CB9">
        <w:rPr>
          <w:rFonts w:ascii="Arial" w:hAnsi="Arial" w:cs="Arial"/>
          <w:sz w:val="24"/>
          <w:szCs w:val="24"/>
        </w:rPr>
        <w:t>C</w:t>
      </w:r>
      <w:r w:rsidR="000A79FF" w:rsidRPr="009F3722">
        <w:rPr>
          <w:rFonts w:ascii="Arial" w:hAnsi="Arial" w:cs="Arial"/>
          <w:sz w:val="24"/>
          <w:szCs w:val="24"/>
        </w:rPr>
        <w:t xml:space="preserve">ourt found that the High Court enjoyed concurrent jurisdiction with the Magistrates’ Court, despite the jurisdiction clause. </w:t>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[3</w:t>
      </w:r>
      <w:r w:rsidR="00732984">
        <w:rPr>
          <w:rFonts w:ascii="Arial" w:hAnsi="Arial" w:cs="Arial"/>
          <w:sz w:val="24"/>
          <w:szCs w:val="24"/>
        </w:rPr>
        <w:t>0</w:t>
      </w:r>
      <w:r w:rsidRPr="009F3722">
        <w:rPr>
          <w:rFonts w:ascii="Arial" w:hAnsi="Arial" w:cs="Arial"/>
          <w:sz w:val="24"/>
          <w:szCs w:val="24"/>
        </w:rPr>
        <w:t>]</w:t>
      </w:r>
      <w:r w:rsidR="00F10DF5">
        <w:rPr>
          <w:rFonts w:ascii="Arial" w:hAnsi="Arial" w:cs="Arial"/>
          <w:sz w:val="24"/>
          <w:szCs w:val="24"/>
        </w:rPr>
        <w:t xml:space="preserve"> </w:t>
      </w:r>
      <w:r w:rsidRPr="009F3722">
        <w:rPr>
          <w:rFonts w:ascii="Arial" w:hAnsi="Arial" w:cs="Arial"/>
          <w:sz w:val="24"/>
          <w:szCs w:val="24"/>
        </w:rPr>
        <w:t xml:space="preserve">In the result, both grounds of exception must fail. </w:t>
      </w:r>
    </w:p>
    <w:p w:rsidR="000A79FF" w:rsidRPr="009F3722" w:rsidRDefault="00CC54C9" w:rsidP="00F6039F">
      <w:pPr>
        <w:spacing w:line="360" w:lineRule="auto"/>
        <w:jc w:val="both"/>
        <w:rPr>
          <w:rFonts w:ascii="Arial" w:hAnsi="Arial" w:cs="Arial"/>
          <w:sz w:val="24"/>
          <w:szCs w:val="24"/>
        </w:rPr>
      </w:pPr>
      <w:r>
        <w:rPr>
          <w:rFonts w:ascii="Arial" w:hAnsi="Arial" w:cs="Arial"/>
          <w:sz w:val="24"/>
          <w:szCs w:val="24"/>
        </w:rPr>
        <w:lastRenderedPageBreak/>
        <w:t>[3</w:t>
      </w:r>
      <w:r w:rsidR="00732984">
        <w:rPr>
          <w:rFonts w:ascii="Arial" w:hAnsi="Arial" w:cs="Arial"/>
          <w:sz w:val="24"/>
          <w:szCs w:val="24"/>
        </w:rPr>
        <w:t>1</w:t>
      </w:r>
      <w:r w:rsidR="000A79FF" w:rsidRPr="009F3722">
        <w:rPr>
          <w:rFonts w:ascii="Arial" w:hAnsi="Arial" w:cs="Arial"/>
          <w:sz w:val="24"/>
          <w:szCs w:val="24"/>
        </w:rPr>
        <w:t>]</w:t>
      </w:r>
      <w:r w:rsidR="00F10DF5">
        <w:rPr>
          <w:rFonts w:ascii="Arial" w:hAnsi="Arial" w:cs="Arial"/>
          <w:sz w:val="24"/>
          <w:szCs w:val="24"/>
        </w:rPr>
        <w:t xml:space="preserve"> </w:t>
      </w:r>
      <w:r w:rsidR="000A79FF" w:rsidRPr="009F3722">
        <w:rPr>
          <w:rFonts w:ascii="Arial" w:hAnsi="Arial" w:cs="Arial"/>
          <w:sz w:val="24"/>
          <w:szCs w:val="24"/>
        </w:rPr>
        <w:t xml:space="preserve">The plaintiff argues that this application is an abuse of process which justifies a punitive costs order. I disagree. The plaintiff is entitled to costs, but not on a punitive scale. </w:t>
      </w:r>
    </w:p>
    <w:p w:rsidR="000A79FF" w:rsidRPr="009F3722" w:rsidRDefault="000A79FF" w:rsidP="00F6039F">
      <w:pPr>
        <w:spacing w:line="360" w:lineRule="auto"/>
        <w:jc w:val="both"/>
        <w:rPr>
          <w:rFonts w:ascii="Arial" w:hAnsi="Arial" w:cs="Arial"/>
          <w:sz w:val="24"/>
          <w:szCs w:val="24"/>
        </w:rPr>
      </w:pP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 xml:space="preserve">I MAKE THE FOLLOWING ORDER: </w:t>
      </w:r>
    </w:p>
    <w:p w:rsidR="000A79FF" w:rsidRPr="009F3722" w:rsidRDefault="000A79FF" w:rsidP="00F6039F">
      <w:pPr>
        <w:spacing w:line="360" w:lineRule="auto"/>
        <w:jc w:val="both"/>
        <w:rPr>
          <w:rFonts w:ascii="Arial" w:hAnsi="Arial" w:cs="Arial"/>
          <w:sz w:val="24"/>
          <w:szCs w:val="24"/>
        </w:rPr>
      </w:pPr>
      <w:r w:rsidRPr="009F3722">
        <w:rPr>
          <w:rFonts w:ascii="Arial" w:hAnsi="Arial" w:cs="Arial"/>
          <w:sz w:val="24"/>
          <w:szCs w:val="24"/>
        </w:rPr>
        <w:t>The exception is dismissed with costs.</w:t>
      </w:r>
    </w:p>
    <w:p w:rsidR="009F134D" w:rsidRPr="009F3722" w:rsidRDefault="005A281E" w:rsidP="005A281E">
      <w:pPr>
        <w:spacing w:line="360" w:lineRule="auto"/>
        <w:jc w:val="right"/>
        <w:rPr>
          <w:rFonts w:ascii="Arial" w:hAnsi="Arial" w:cs="Arial"/>
          <w:sz w:val="24"/>
          <w:szCs w:val="24"/>
        </w:rPr>
      </w:pPr>
      <w:r w:rsidRPr="009F3722">
        <w:rPr>
          <w:rFonts w:ascii="Arial" w:hAnsi="Arial" w:cs="Arial"/>
          <w:noProof/>
          <w:sz w:val="24"/>
          <w:szCs w:val="24"/>
          <w:lang w:val="en-US"/>
        </w:rPr>
        <w:drawing>
          <wp:inline distT="0" distB="0" distL="0" distR="0" wp14:anchorId="51A89DAF" wp14:editId="4CB62CE6">
            <wp:extent cx="2762624" cy="140053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1403245"/>
                    </a:xfrm>
                    <a:prstGeom prst="rect">
                      <a:avLst/>
                    </a:prstGeom>
                    <a:noFill/>
                  </pic:spPr>
                </pic:pic>
              </a:graphicData>
            </a:graphic>
          </wp:inline>
        </w:drawing>
      </w:r>
    </w:p>
    <w:p w:rsidR="009F134D" w:rsidRPr="009F3722" w:rsidRDefault="009F134D" w:rsidP="005A281E">
      <w:pPr>
        <w:tabs>
          <w:tab w:val="left" w:pos="7039"/>
        </w:tabs>
        <w:spacing w:line="360" w:lineRule="auto"/>
        <w:jc w:val="right"/>
        <w:rPr>
          <w:rFonts w:ascii="Arial" w:hAnsi="Arial" w:cs="Arial"/>
          <w:sz w:val="24"/>
          <w:szCs w:val="24"/>
        </w:rPr>
      </w:pPr>
      <w:r w:rsidRPr="009F3722">
        <w:rPr>
          <w:rFonts w:ascii="Arial" w:hAnsi="Arial" w:cs="Arial"/>
          <w:sz w:val="24"/>
          <w:szCs w:val="24"/>
        </w:rPr>
        <w:t xml:space="preserve">             </w:t>
      </w:r>
      <w:r w:rsidR="005A281E" w:rsidRPr="009F3722">
        <w:rPr>
          <w:rFonts w:ascii="Arial" w:hAnsi="Arial" w:cs="Arial"/>
          <w:sz w:val="24"/>
          <w:szCs w:val="24"/>
        </w:rPr>
        <w:t xml:space="preserve">                       </w:t>
      </w:r>
      <w:r w:rsidRPr="009F3722">
        <w:rPr>
          <w:rFonts w:ascii="Arial" w:hAnsi="Arial" w:cs="Arial"/>
          <w:sz w:val="24"/>
          <w:szCs w:val="24"/>
        </w:rPr>
        <w:t xml:space="preserve">                                                                                           _____________________</w:t>
      </w:r>
    </w:p>
    <w:p w:rsidR="009F134D" w:rsidRPr="009F3722" w:rsidRDefault="009F134D" w:rsidP="005A281E">
      <w:pPr>
        <w:spacing w:line="240" w:lineRule="auto"/>
        <w:jc w:val="right"/>
        <w:rPr>
          <w:rFonts w:ascii="Arial" w:hAnsi="Arial" w:cs="Arial"/>
          <w:sz w:val="24"/>
          <w:szCs w:val="24"/>
        </w:rPr>
      </w:pPr>
      <w:r w:rsidRPr="009F3722">
        <w:rPr>
          <w:rFonts w:ascii="Arial" w:hAnsi="Arial" w:cs="Arial"/>
          <w:sz w:val="24"/>
          <w:szCs w:val="24"/>
        </w:rPr>
        <w:t xml:space="preserve">                                                                                                                         M Olivier </w:t>
      </w:r>
    </w:p>
    <w:p w:rsidR="009F134D" w:rsidRPr="009F3722" w:rsidRDefault="009F134D" w:rsidP="005A281E">
      <w:pPr>
        <w:spacing w:line="240" w:lineRule="auto"/>
        <w:jc w:val="right"/>
        <w:rPr>
          <w:rFonts w:ascii="Arial" w:hAnsi="Arial" w:cs="Arial"/>
          <w:sz w:val="24"/>
          <w:szCs w:val="24"/>
        </w:rPr>
      </w:pPr>
      <w:r w:rsidRPr="009F3722">
        <w:rPr>
          <w:rFonts w:ascii="Arial" w:hAnsi="Arial" w:cs="Arial"/>
          <w:sz w:val="24"/>
          <w:szCs w:val="24"/>
        </w:rPr>
        <w:t xml:space="preserve">                                                                                      Acting Judge of the High Court                                                                               Gauteng Division, Johannesburg</w:t>
      </w:r>
    </w:p>
    <w:p w:rsidR="009F134D" w:rsidRPr="009F3722" w:rsidRDefault="009F134D" w:rsidP="009F134D">
      <w:pPr>
        <w:spacing w:line="360" w:lineRule="auto"/>
        <w:jc w:val="both"/>
        <w:rPr>
          <w:rFonts w:ascii="Arial" w:hAnsi="Arial" w:cs="Arial"/>
          <w:sz w:val="24"/>
          <w:szCs w:val="24"/>
        </w:rPr>
      </w:pPr>
    </w:p>
    <w:p w:rsidR="009F134D" w:rsidRPr="009F3722" w:rsidRDefault="009F134D" w:rsidP="009F134D">
      <w:pPr>
        <w:spacing w:line="360" w:lineRule="auto"/>
        <w:jc w:val="both"/>
        <w:rPr>
          <w:rFonts w:ascii="Arial" w:hAnsi="Arial" w:cs="Arial"/>
          <w:sz w:val="24"/>
          <w:szCs w:val="24"/>
        </w:rPr>
      </w:pPr>
      <w:r w:rsidRPr="009F3722">
        <w:rPr>
          <w:rFonts w:ascii="Arial" w:hAnsi="Arial" w:cs="Arial"/>
          <w:sz w:val="24"/>
          <w:szCs w:val="24"/>
        </w:rPr>
        <w:t xml:space="preserve">                                                                                       </w:t>
      </w:r>
    </w:p>
    <w:p w:rsidR="009F134D" w:rsidRPr="009F3722" w:rsidRDefault="009F134D" w:rsidP="009F134D">
      <w:pPr>
        <w:spacing w:line="360" w:lineRule="auto"/>
        <w:jc w:val="both"/>
        <w:rPr>
          <w:rFonts w:ascii="Arial" w:hAnsi="Arial" w:cs="Arial"/>
          <w:sz w:val="24"/>
          <w:szCs w:val="24"/>
        </w:rPr>
      </w:pPr>
      <w:r w:rsidRPr="009F3722">
        <w:rPr>
          <w:rFonts w:ascii="Arial" w:hAnsi="Arial" w:cs="Arial"/>
          <w:sz w:val="24"/>
          <w:szCs w:val="24"/>
        </w:rPr>
        <w:t xml:space="preserve">Date of hearing: </w:t>
      </w:r>
      <w:r w:rsidR="00F72AAC">
        <w:rPr>
          <w:rFonts w:ascii="Arial" w:hAnsi="Arial" w:cs="Arial"/>
          <w:sz w:val="24"/>
          <w:szCs w:val="24"/>
        </w:rPr>
        <w:tab/>
        <w:t xml:space="preserve">24 </w:t>
      </w:r>
      <w:r w:rsidR="005A281E" w:rsidRPr="009F3722">
        <w:rPr>
          <w:rFonts w:ascii="Arial" w:hAnsi="Arial" w:cs="Arial"/>
          <w:sz w:val="24"/>
          <w:szCs w:val="24"/>
        </w:rPr>
        <w:t>October</w:t>
      </w:r>
      <w:r w:rsidRPr="009F3722">
        <w:rPr>
          <w:rFonts w:ascii="Arial" w:hAnsi="Arial" w:cs="Arial"/>
          <w:sz w:val="24"/>
          <w:szCs w:val="24"/>
        </w:rPr>
        <w:t xml:space="preserve"> 2022</w:t>
      </w:r>
    </w:p>
    <w:p w:rsidR="009F134D" w:rsidRPr="009F3722" w:rsidRDefault="009F134D" w:rsidP="009F134D">
      <w:pPr>
        <w:spacing w:line="360" w:lineRule="auto"/>
        <w:jc w:val="both"/>
        <w:rPr>
          <w:rFonts w:ascii="Arial" w:hAnsi="Arial" w:cs="Arial"/>
          <w:sz w:val="24"/>
          <w:szCs w:val="24"/>
        </w:rPr>
      </w:pPr>
      <w:r w:rsidRPr="009F3722">
        <w:rPr>
          <w:rFonts w:ascii="Arial" w:hAnsi="Arial" w:cs="Arial"/>
          <w:sz w:val="24"/>
          <w:szCs w:val="24"/>
        </w:rPr>
        <w:t xml:space="preserve">Date of judgment: </w:t>
      </w:r>
      <w:r w:rsidR="00F72AAC">
        <w:rPr>
          <w:rFonts w:ascii="Arial" w:hAnsi="Arial" w:cs="Arial"/>
          <w:sz w:val="24"/>
          <w:szCs w:val="24"/>
        </w:rPr>
        <w:tab/>
      </w:r>
      <w:r w:rsidR="00516026">
        <w:rPr>
          <w:rFonts w:ascii="Arial" w:hAnsi="Arial" w:cs="Arial"/>
          <w:sz w:val="24"/>
          <w:szCs w:val="24"/>
        </w:rPr>
        <w:t>17</w:t>
      </w:r>
      <w:r w:rsidRPr="009F3722">
        <w:rPr>
          <w:rFonts w:ascii="Arial" w:hAnsi="Arial" w:cs="Arial"/>
          <w:sz w:val="24"/>
          <w:szCs w:val="24"/>
        </w:rPr>
        <w:t xml:space="preserve"> </w:t>
      </w:r>
      <w:r w:rsidR="005A281E" w:rsidRPr="009F3722">
        <w:rPr>
          <w:rFonts w:ascii="Arial" w:hAnsi="Arial" w:cs="Arial"/>
          <w:sz w:val="24"/>
          <w:szCs w:val="24"/>
        </w:rPr>
        <w:t>February</w:t>
      </w:r>
      <w:r w:rsidRPr="009F3722">
        <w:rPr>
          <w:rFonts w:ascii="Arial" w:hAnsi="Arial" w:cs="Arial"/>
          <w:sz w:val="24"/>
          <w:szCs w:val="24"/>
        </w:rPr>
        <w:t xml:space="preserve"> 202</w:t>
      </w:r>
      <w:r w:rsidR="005A281E" w:rsidRPr="009F3722">
        <w:rPr>
          <w:rFonts w:ascii="Arial" w:hAnsi="Arial" w:cs="Arial"/>
          <w:sz w:val="24"/>
          <w:szCs w:val="24"/>
        </w:rPr>
        <w:t>3</w:t>
      </w:r>
    </w:p>
    <w:p w:rsidR="009F134D" w:rsidRPr="009F3722" w:rsidRDefault="009F134D" w:rsidP="009F134D">
      <w:pPr>
        <w:spacing w:line="360" w:lineRule="auto"/>
        <w:jc w:val="both"/>
        <w:rPr>
          <w:rFonts w:ascii="Arial" w:hAnsi="Arial" w:cs="Arial"/>
          <w:sz w:val="24"/>
          <w:szCs w:val="24"/>
        </w:rPr>
      </w:pPr>
    </w:p>
    <w:p w:rsidR="009F134D" w:rsidRPr="009F3722" w:rsidRDefault="009F134D" w:rsidP="000A2AF5">
      <w:pPr>
        <w:jc w:val="both"/>
        <w:rPr>
          <w:rFonts w:ascii="Arial" w:hAnsi="Arial" w:cs="Arial"/>
          <w:sz w:val="24"/>
          <w:szCs w:val="24"/>
        </w:rPr>
      </w:pPr>
      <w:r w:rsidRPr="009F3722">
        <w:rPr>
          <w:rFonts w:ascii="Arial" w:hAnsi="Arial" w:cs="Arial"/>
          <w:sz w:val="24"/>
          <w:szCs w:val="24"/>
        </w:rPr>
        <w:t xml:space="preserve">On behalf of Defendants/Excipients: </w:t>
      </w:r>
      <w:r w:rsidR="00F72AAC">
        <w:rPr>
          <w:rFonts w:ascii="Arial" w:hAnsi="Arial" w:cs="Arial"/>
          <w:sz w:val="24"/>
          <w:szCs w:val="24"/>
        </w:rPr>
        <w:tab/>
        <w:t>A. Granova (Ms)</w:t>
      </w:r>
    </w:p>
    <w:p w:rsidR="009F134D" w:rsidRPr="009F3722" w:rsidRDefault="009F134D" w:rsidP="000A2AF5">
      <w:pPr>
        <w:jc w:val="both"/>
        <w:rPr>
          <w:rFonts w:ascii="Arial" w:hAnsi="Arial" w:cs="Arial"/>
          <w:sz w:val="24"/>
          <w:szCs w:val="24"/>
        </w:rPr>
      </w:pPr>
      <w:r w:rsidRPr="009F3722">
        <w:rPr>
          <w:rFonts w:ascii="Arial" w:hAnsi="Arial" w:cs="Arial"/>
          <w:sz w:val="24"/>
          <w:szCs w:val="24"/>
        </w:rPr>
        <w:t xml:space="preserve">Instructed by: </w:t>
      </w:r>
      <w:r w:rsidR="00F72AAC">
        <w:rPr>
          <w:rFonts w:ascii="Arial" w:hAnsi="Arial" w:cs="Arial"/>
          <w:sz w:val="24"/>
          <w:szCs w:val="24"/>
        </w:rPr>
        <w:tab/>
      </w:r>
      <w:r w:rsidR="00F72AAC">
        <w:rPr>
          <w:rFonts w:ascii="Arial" w:hAnsi="Arial" w:cs="Arial"/>
          <w:sz w:val="24"/>
          <w:szCs w:val="24"/>
        </w:rPr>
        <w:tab/>
      </w:r>
      <w:r w:rsidR="00F72AAC">
        <w:rPr>
          <w:rFonts w:ascii="Arial" w:hAnsi="Arial" w:cs="Arial"/>
          <w:sz w:val="24"/>
          <w:szCs w:val="24"/>
        </w:rPr>
        <w:tab/>
      </w:r>
      <w:r w:rsidR="00F72AAC">
        <w:rPr>
          <w:rFonts w:ascii="Arial" w:hAnsi="Arial" w:cs="Arial"/>
          <w:sz w:val="24"/>
          <w:szCs w:val="24"/>
        </w:rPr>
        <w:tab/>
        <w:t>Nwobi</w:t>
      </w:r>
      <w:r w:rsidRPr="009F3722">
        <w:rPr>
          <w:rFonts w:ascii="Arial" w:hAnsi="Arial" w:cs="Arial"/>
          <w:sz w:val="24"/>
          <w:szCs w:val="24"/>
        </w:rPr>
        <w:t xml:space="preserve"> Attorneys </w:t>
      </w:r>
    </w:p>
    <w:p w:rsidR="00F72AAC" w:rsidRDefault="00F72AAC" w:rsidP="000A2AF5">
      <w:pPr>
        <w:jc w:val="both"/>
        <w:rPr>
          <w:rFonts w:ascii="Arial" w:hAnsi="Arial" w:cs="Arial"/>
          <w:sz w:val="24"/>
          <w:szCs w:val="24"/>
        </w:rPr>
      </w:pPr>
    </w:p>
    <w:p w:rsidR="009F134D" w:rsidRPr="009F3722" w:rsidRDefault="009F134D" w:rsidP="000A2AF5">
      <w:pPr>
        <w:jc w:val="both"/>
        <w:rPr>
          <w:rFonts w:ascii="Arial" w:hAnsi="Arial" w:cs="Arial"/>
          <w:sz w:val="24"/>
          <w:szCs w:val="24"/>
        </w:rPr>
      </w:pPr>
      <w:r w:rsidRPr="009F3722">
        <w:rPr>
          <w:rFonts w:ascii="Arial" w:hAnsi="Arial" w:cs="Arial"/>
          <w:sz w:val="24"/>
          <w:szCs w:val="24"/>
        </w:rPr>
        <w:t xml:space="preserve">On behalf of Plaintiff/Respondent: </w:t>
      </w:r>
      <w:r w:rsidR="00F72AAC">
        <w:rPr>
          <w:rFonts w:ascii="Arial" w:hAnsi="Arial" w:cs="Arial"/>
          <w:sz w:val="24"/>
          <w:szCs w:val="24"/>
        </w:rPr>
        <w:tab/>
        <w:t xml:space="preserve">J.G. </w:t>
      </w:r>
      <w:r w:rsidR="005A281E" w:rsidRPr="009F3722">
        <w:rPr>
          <w:rFonts w:ascii="Arial" w:hAnsi="Arial" w:cs="Arial"/>
          <w:sz w:val="24"/>
          <w:szCs w:val="24"/>
        </w:rPr>
        <w:t>Dobie</w:t>
      </w:r>
    </w:p>
    <w:p w:rsidR="009F134D" w:rsidRPr="009F3722" w:rsidRDefault="009F134D" w:rsidP="008B4CDB">
      <w:pPr>
        <w:jc w:val="both"/>
        <w:rPr>
          <w:rFonts w:ascii="Arial" w:hAnsi="Arial" w:cs="Arial"/>
          <w:sz w:val="24"/>
          <w:szCs w:val="24"/>
        </w:rPr>
      </w:pPr>
      <w:r w:rsidRPr="009F3722">
        <w:rPr>
          <w:rFonts w:ascii="Arial" w:hAnsi="Arial" w:cs="Arial"/>
          <w:sz w:val="24"/>
          <w:szCs w:val="24"/>
        </w:rPr>
        <w:t xml:space="preserve">Instructed </w:t>
      </w:r>
      <w:r w:rsidR="005A281E" w:rsidRPr="009F3722">
        <w:rPr>
          <w:rFonts w:ascii="Arial" w:hAnsi="Arial" w:cs="Arial"/>
          <w:sz w:val="24"/>
          <w:szCs w:val="24"/>
        </w:rPr>
        <w:t xml:space="preserve">by:  </w:t>
      </w:r>
      <w:r w:rsidR="00F72AAC">
        <w:rPr>
          <w:rFonts w:ascii="Arial" w:hAnsi="Arial" w:cs="Arial"/>
          <w:sz w:val="24"/>
          <w:szCs w:val="24"/>
        </w:rPr>
        <w:tab/>
      </w:r>
      <w:r w:rsidR="00F72AAC">
        <w:rPr>
          <w:rFonts w:ascii="Arial" w:hAnsi="Arial" w:cs="Arial"/>
          <w:sz w:val="24"/>
          <w:szCs w:val="24"/>
        </w:rPr>
        <w:tab/>
      </w:r>
      <w:r w:rsidR="00F72AAC">
        <w:rPr>
          <w:rFonts w:ascii="Arial" w:hAnsi="Arial" w:cs="Arial"/>
          <w:sz w:val="24"/>
          <w:szCs w:val="24"/>
        </w:rPr>
        <w:tab/>
      </w:r>
      <w:r w:rsidR="00F72AAC">
        <w:rPr>
          <w:rFonts w:ascii="Arial" w:hAnsi="Arial" w:cs="Arial"/>
          <w:sz w:val="24"/>
          <w:szCs w:val="24"/>
        </w:rPr>
        <w:tab/>
      </w:r>
      <w:r w:rsidR="005A281E" w:rsidRPr="009F3722">
        <w:rPr>
          <w:rFonts w:ascii="Arial" w:hAnsi="Arial" w:cs="Arial"/>
          <w:sz w:val="24"/>
          <w:szCs w:val="24"/>
        </w:rPr>
        <w:t xml:space="preserve">Reaan </w:t>
      </w:r>
      <w:r w:rsidR="00F72AAC">
        <w:rPr>
          <w:rFonts w:ascii="Arial" w:hAnsi="Arial" w:cs="Arial"/>
          <w:sz w:val="24"/>
          <w:szCs w:val="24"/>
        </w:rPr>
        <w:t>Swanepoel Attorneys</w:t>
      </w:r>
    </w:p>
    <w:sectPr w:rsidR="009F134D" w:rsidRPr="009F3722" w:rsidSect="000A2AF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56" w:rsidRDefault="003B3456" w:rsidP="00ED22BE">
      <w:pPr>
        <w:spacing w:after="0" w:line="240" w:lineRule="auto"/>
      </w:pPr>
      <w:r>
        <w:separator/>
      </w:r>
    </w:p>
  </w:endnote>
  <w:endnote w:type="continuationSeparator" w:id="0">
    <w:p w:rsidR="003B3456" w:rsidRDefault="003B3456" w:rsidP="00ED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18341"/>
      <w:docPartObj>
        <w:docPartGallery w:val="Page Numbers (Bottom of Page)"/>
        <w:docPartUnique/>
      </w:docPartObj>
    </w:sdtPr>
    <w:sdtEndPr>
      <w:rPr>
        <w:noProof/>
      </w:rPr>
    </w:sdtEndPr>
    <w:sdtContent>
      <w:p w:rsidR="000A2AF5" w:rsidRDefault="000A2AF5">
        <w:pPr>
          <w:pStyle w:val="Footer"/>
          <w:jc w:val="center"/>
        </w:pPr>
        <w:r>
          <w:fldChar w:fldCharType="begin"/>
        </w:r>
        <w:r>
          <w:instrText xml:space="preserve"> PAGE   \* MERGEFORMAT </w:instrText>
        </w:r>
        <w:r>
          <w:fldChar w:fldCharType="separate"/>
        </w:r>
        <w:r w:rsidR="00780D2D">
          <w:rPr>
            <w:noProof/>
          </w:rPr>
          <w:t>3</w:t>
        </w:r>
        <w:r>
          <w:rPr>
            <w:noProof/>
          </w:rPr>
          <w:fldChar w:fldCharType="end"/>
        </w:r>
      </w:p>
    </w:sdtContent>
  </w:sdt>
  <w:p w:rsidR="000A2AF5" w:rsidRDefault="000A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56" w:rsidRDefault="003B3456" w:rsidP="00ED22BE">
      <w:pPr>
        <w:spacing w:after="0" w:line="240" w:lineRule="auto"/>
      </w:pPr>
      <w:r>
        <w:separator/>
      </w:r>
    </w:p>
  </w:footnote>
  <w:footnote w:type="continuationSeparator" w:id="0">
    <w:p w:rsidR="003B3456" w:rsidRDefault="003B3456" w:rsidP="00ED22BE">
      <w:pPr>
        <w:spacing w:after="0" w:line="240" w:lineRule="auto"/>
      </w:pPr>
      <w:r>
        <w:continuationSeparator/>
      </w:r>
    </w:p>
  </w:footnote>
  <w:footnote w:id="1">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Pr="009F3722">
        <w:rPr>
          <w:rFonts w:ascii="Arial" w:hAnsi="Arial" w:cs="Arial"/>
          <w:i/>
        </w:rPr>
        <w:t>Curoscore (Pty) Ltd v Nxumalo</w:t>
      </w:r>
      <w:r w:rsidRPr="009F3722">
        <w:rPr>
          <w:rFonts w:ascii="Arial" w:hAnsi="Arial" w:cs="Arial"/>
        </w:rPr>
        <w:t xml:space="preserve"> (1619/2020) [2021] ZAECBHC 6 (23 March 2021) at para 8. See Cilliers et al </w:t>
      </w:r>
      <w:r w:rsidRPr="009F3722">
        <w:rPr>
          <w:rFonts w:ascii="Arial" w:hAnsi="Arial" w:cs="Arial"/>
          <w:i/>
        </w:rPr>
        <w:t>Herbstein &amp; Van Winsen - The Civil Practice of the High Courts of South Africa</w:t>
      </w:r>
      <w:r w:rsidR="00F6039F" w:rsidRPr="009F3722">
        <w:rPr>
          <w:rFonts w:ascii="Arial" w:hAnsi="Arial" w:cs="Arial"/>
        </w:rPr>
        <w:t xml:space="preserve"> (2017) 5</w:t>
      </w:r>
      <w:r w:rsidRPr="009F3722">
        <w:rPr>
          <w:rFonts w:ascii="Arial" w:hAnsi="Arial" w:cs="Arial"/>
        </w:rPr>
        <w:t>ed at 633—634.</w:t>
      </w:r>
    </w:p>
  </w:footnote>
  <w:footnote w:id="2">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See </w:t>
      </w:r>
      <w:r w:rsidRPr="009F3722">
        <w:rPr>
          <w:rFonts w:ascii="Arial" w:hAnsi="Arial" w:cs="Arial"/>
          <w:i/>
        </w:rPr>
        <w:t>Murray NO and Others v African Global Holdings (Pty) Ltd and Others</w:t>
      </w:r>
      <w:r w:rsidRPr="009F3722">
        <w:rPr>
          <w:rFonts w:ascii="Arial" w:hAnsi="Arial" w:cs="Arial"/>
        </w:rPr>
        <w:t xml:space="preserve"> 2020 (2) SA 93 (SCA).</w:t>
      </w:r>
    </w:p>
  </w:footnote>
  <w:footnote w:id="3">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GN 30 in</w:t>
      </w:r>
      <w:r w:rsidRPr="009F3722">
        <w:rPr>
          <w:rFonts w:ascii="Arial" w:hAnsi="Arial" w:cs="Arial"/>
          <w:i/>
        </w:rPr>
        <w:t xml:space="preserve"> GG</w:t>
      </w:r>
      <w:r w:rsidRPr="009F3722">
        <w:rPr>
          <w:rFonts w:ascii="Arial" w:hAnsi="Arial" w:cs="Arial"/>
        </w:rPr>
        <w:t xml:space="preserve"> 39601 (15 January 2016)</w:t>
      </w:r>
      <w:r w:rsidR="004F2E01">
        <w:rPr>
          <w:rFonts w:ascii="Arial" w:hAnsi="Arial" w:cs="Arial"/>
        </w:rPr>
        <w:t>.</w:t>
      </w:r>
    </w:p>
  </w:footnote>
  <w:footnote w:id="4">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GN 1266 in </w:t>
      </w:r>
      <w:r w:rsidRPr="009F3722">
        <w:rPr>
          <w:rFonts w:ascii="Arial" w:hAnsi="Arial" w:cs="Arial"/>
          <w:i/>
        </w:rPr>
        <w:t>GG</w:t>
      </w:r>
      <w:r w:rsidRPr="009F3722">
        <w:rPr>
          <w:rFonts w:ascii="Arial" w:hAnsi="Arial" w:cs="Arial"/>
        </w:rPr>
        <w:t xml:space="preserve"> 39540 (21 December 2015).</w:t>
      </w:r>
    </w:p>
  </w:footnote>
  <w:footnote w:id="5">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Pr="009F3722">
        <w:rPr>
          <w:rFonts w:ascii="Arial" w:hAnsi="Arial" w:cs="Arial"/>
          <w:i/>
        </w:rPr>
        <w:t>AV v YV</w:t>
      </w:r>
      <w:r w:rsidRPr="009F3722">
        <w:rPr>
          <w:rFonts w:ascii="Arial" w:hAnsi="Arial" w:cs="Arial"/>
        </w:rPr>
        <w:t xml:space="preserve"> (39813/2019) [2021] ZAGPJHC 865 (1 July 2021)</w:t>
      </w:r>
      <w:r w:rsidR="004F2E01">
        <w:rPr>
          <w:rFonts w:ascii="Arial" w:hAnsi="Arial" w:cs="Arial"/>
        </w:rPr>
        <w:t>.</w:t>
      </w:r>
    </w:p>
  </w:footnote>
  <w:footnote w:id="6">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Pr="009F3722">
        <w:rPr>
          <w:rFonts w:ascii="Arial" w:hAnsi="Arial" w:cs="Arial"/>
          <w:i/>
        </w:rPr>
        <w:t>Petersen and Others v Bochum Foods (Pty) Limited t/a Roman's Pizza Bochum and Another</w:t>
      </w:r>
      <w:r w:rsidRPr="009F3722">
        <w:rPr>
          <w:rFonts w:ascii="Arial" w:hAnsi="Arial" w:cs="Arial"/>
        </w:rPr>
        <w:t xml:space="preserve"> (2020/18058) [2021] ZAGPJHC 64</w:t>
      </w:r>
      <w:r w:rsidR="0020098C" w:rsidRPr="009F3722">
        <w:rPr>
          <w:rFonts w:ascii="Arial" w:hAnsi="Arial" w:cs="Arial"/>
        </w:rPr>
        <w:t>4 (18 August 2021) at para 19.</w:t>
      </w:r>
    </w:p>
  </w:footnote>
  <w:footnote w:id="7">
    <w:p w:rsidR="00ED22BE" w:rsidRPr="009F3722" w:rsidRDefault="00ED22BE">
      <w:pPr>
        <w:pStyle w:val="FootnoteText"/>
        <w:rPr>
          <w:rFonts w:ascii="Arial" w:hAnsi="Arial" w:cs="Arial"/>
        </w:rPr>
      </w:pPr>
      <w:r w:rsidRPr="009F3722">
        <w:rPr>
          <w:rStyle w:val="FootnoteReference"/>
          <w:rFonts w:ascii="Arial" w:hAnsi="Arial" w:cs="Arial"/>
        </w:rPr>
        <w:footnoteRef/>
      </w:r>
      <w:r w:rsidR="00F6039F" w:rsidRPr="009F3722">
        <w:rPr>
          <w:rFonts w:ascii="Arial" w:hAnsi="Arial" w:cs="Arial"/>
        </w:rPr>
        <w:t xml:space="preserve"> </w:t>
      </w:r>
      <w:r w:rsidRPr="009F3722">
        <w:rPr>
          <w:rFonts w:ascii="Arial" w:hAnsi="Arial" w:cs="Arial"/>
          <w:i/>
        </w:rPr>
        <w:t>Nedbank Limited v Thobejane</w:t>
      </w:r>
      <w:r w:rsidRPr="009F3722">
        <w:rPr>
          <w:rFonts w:ascii="Arial" w:hAnsi="Arial" w:cs="Arial"/>
        </w:rPr>
        <w:t xml:space="preserve"> 2019 (1) SA 594 (GP) at para 1.</w:t>
      </w:r>
    </w:p>
  </w:footnote>
  <w:footnote w:id="8">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004A0DFB" w:rsidRPr="009F3722">
        <w:rPr>
          <w:rFonts w:ascii="Arial" w:hAnsi="Arial" w:cs="Arial"/>
        </w:rPr>
        <w:t>At para 76</w:t>
      </w:r>
      <w:r w:rsidR="004F2E01">
        <w:rPr>
          <w:rFonts w:ascii="Arial" w:hAnsi="Arial" w:cs="Arial"/>
        </w:rPr>
        <w:t>.</w:t>
      </w:r>
    </w:p>
  </w:footnote>
  <w:footnote w:id="9">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004A0DFB" w:rsidRPr="009F3722">
        <w:rPr>
          <w:rFonts w:ascii="Arial" w:hAnsi="Arial" w:cs="Arial"/>
          <w:i/>
        </w:rPr>
        <w:t>Standard Bank of SA Ltd and Others v Thobejane and Others; Stan</w:t>
      </w:r>
      <w:r w:rsidR="004F2E01">
        <w:rPr>
          <w:rFonts w:ascii="Arial" w:hAnsi="Arial" w:cs="Arial"/>
          <w:i/>
        </w:rPr>
        <w:t>dard Bank of SA Ltd v Gqirana N</w:t>
      </w:r>
      <w:r w:rsidR="004A0DFB" w:rsidRPr="009F3722">
        <w:rPr>
          <w:rFonts w:ascii="Arial" w:hAnsi="Arial" w:cs="Arial"/>
          <w:i/>
        </w:rPr>
        <w:t>O and Another</w:t>
      </w:r>
      <w:r w:rsidR="004A0DFB" w:rsidRPr="009F3722">
        <w:rPr>
          <w:rFonts w:ascii="Arial" w:hAnsi="Arial" w:cs="Arial"/>
        </w:rPr>
        <w:t xml:space="preserve"> 2021 (6) SA 403 (SCA) at para 47</w:t>
      </w:r>
      <w:r w:rsidR="004F2E01">
        <w:rPr>
          <w:rFonts w:ascii="Arial" w:hAnsi="Arial" w:cs="Arial"/>
        </w:rPr>
        <w:t xml:space="preserve">. </w:t>
      </w:r>
    </w:p>
  </w:footnote>
  <w:footnote w:id="10">
    <w:p w:rsidR="0020098C" w:rsidRPr="009F3722" w:rsidRDefault="0020098C">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Pr="009F3722">
        <w:rPr>
          <w:rFonts w:ascii="Arial" w:hAnsi="Arial" w:cs="Arial"/>
          <w:i/>
        </w:rPr>
        <w:t xml:space="preserve">Nedbank v Thobejane supra </w:t>
      </w:r>
      <w:r w:rsidRPr="009F3722">
        <w:rPr>
          <w:rFonts w:ascii="Arial" w:hAnsi="Arial" w:cs="Arial"/>
        </w:rPr>
        <w:t>at para 79</w:t>
      </w:r>
      <w:r w:rsidR="004F2E01">
        <w:rPr>
          <w:rFonts w:ascii="Arial" w:hAnsi="Arial" w:cs="Arial"/>
        </w:rPr>
        <w:t>.</w:t>
      </w:r>
    </w:p>
  </w:footnote>
  <w:footnote w:id="11">
    <w:p w:rsidR="00861756" w:rsidRPr="009F3722" w:rsidRDefault="00861756">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Pr="009F3722">
        <w:rPr>
          <w:rFonts w:ascii="Arial" w:hAnsi="Arial" w:cs="Arial"/>
          <w:i/>
        </w:rPr>
        <w:t>Standard Bank v Thobejane supra</w:t>
      </w:r>
      <w:r w:rsidRPr="009F3722">
        <w:rPr>
          <w:rFonts w:ascii="Arial" w:hAnsi="Arial" w:cs="Arial"/>
        </w:rPr>
        <w:t xml:space="preserve"> at para 25. See too </w:t>
      </w:r>
      <w:r w:rsidRPr="009F3722">
        <w:rPr>
          <w:rFonts w:ascii="Arial" w:hAnsi="Arial" w:cs="Arial"/>
          <w:i/>
        </w:rPr>
        <w:t>Moosa NO v Moosa</w:t>
      </w:r>
      <w:r w:rsidRPr="009F3722">
        <w:rPr>
          <w:rFonts w:ascii="Arial" w:hAnsi="Arial" w:cs="Arial"/>
        </w:rPr>
        <w:t xml:space="preserve"> 2014 JDR 2194 GP at para 19</w:t>
      </w:r>
      <w:r w:rsidR="0068552C">
        <w:rPr>
          <w:rFonts w:ascii="Arial" w:hAnsi="Arial" w:cs="Arial"/>
        </w:rPr>
        <w:t>.</w:t>
      </w:r>
    </w:p>
  </w:footnote>
  <w:footnote w:id="12">
    <w:p w:rsidR="00ED22BE" w:rsidRPr="009F3722" w:rsidRDefault="00ED22BE">
      <w:pPr>
        <w:pStyle w:val="FootnoteText"/>
        <w:rPr>
          <w:rFonts w:ascii="Arial" w:hAnsi="Arial" w:cs="Arial"/>
        </w:rPr>
      </w:pPr>
      <w:r w:rsidRPr="009F3722">
        <w:rPr>
          <w:rStyle w:val="FootnoteReference"/>
          <w:rFonts w:ascii="Arial" w:hAnsi="Arial" w:cs="Arial"/>
        </w:rPr>
        <w:footnoteRef/>
      </w:r>
      <w:r w:rsidR="00F6039F" w:rsidRPr="009F3722">
        <w:rPr>
          <w:rFonts w:ascii="Arial" w:hAnsi="Arial" w:cs="Arial"/>
        </w:rPr>
        <w:t xml:space="preserve"> </w:t>
      </w:r>
      <w:r w:rsidR="00861756" w:rsidRPr="009F3722">
        <w:rPr>
          <w:rFonts w:ascii="Arial" w:hAnsi="Arial" w:cs="Arial"/>
        </w:rPr>
        <w:t xml:space="preserve">D E Van Loggerenberg </w:t>
      </w:r>
      <w:r w:rsidR="00861756" w:rsidRPr="009F3722">
        <w:rPr>
          <w:rFonts w:ascii="Arial" w:hAnsi="Arial" w:cs="Arial"/>
          <w:i/>
        </w:rPr>
        <w:t xml:space="preserve">Jones &amp; Buckle: The Civil Practice of the Magistrates’ Courts in South Africa </w:t>
      </w:r>
      <w:r w:rsidR="0068552C">
        <w:rPr>
          <w:rFonts w:ascii="Arial" w:hAnsi="Arial" w:cs="Arial"/>
        </w:rPr>
        <w:t>10</w:t>
      </w:r>
      <w:r w:rsidR="00861756" w:rsidRPr="009F3722">
        <w:rPr>
          <w:rFonts w:ascii="Arial" w:hAnsi="Arial" w:cs="Arial"/>
        </w:rPr>
        <w:t>ed [Service 16, 2018] Vol ‘The Act’ at 296.</w:t>
      </w:r>
    </w:p>
  </w:footnote>
  <w:footnote w:id="13">
    <w:p w:rsidR="00ED22BE" w:rsidRPr="009F3722" w:rsidRDefault="00ED22BE">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00861756" w:rsidRPr="0068552C">
        <w:rPr>
          <w:rFonts w:ascii="Arial" w:hAnsi="Arial" w:cs="Arial"/>
          <w:i/>
        </w:rPr>
        <w:t>Id</w:t>
      </w:r>
      <w:r w:rsidR="00861756" w:rsidRPr="009F3722">
        <w:rPr>
          <w:rFonts w:ascii="Arial" w:hAnsi="Arial" w:cs="Arial"/>
        </w:rPr>
        <w:t xml:space="preserve">. See </w:t>
      </w:r>
      <w:r w:rsidR="0068552C">
        <w:rPr>
          <w:rFonts w:ascii="Arial" w:hAnsi="Arial" w:cs="Arial"/>
        </w:rPr>
        <w:t>eg</w:t>
      </w:r>
      <w:r w:rsidR="00861756" w:rsidRPr="009F3722">
        <w:rPr>
          <w:rFonts w:ascii="Arial" w:hAnsi="Arial" w:cs="Arial"/>
        </w:rPr>
        <w:t xml:space="preserve"> </w:t>
      </w:r>
      <w:r w:rsidR="00861756" w:rsidRPr="009F3722">
        <w:rPr>
          <w:rFonts w:ascii="Arial" w:hAnsi="Arial" w:cs="Arial"/>
          <w:i/>
        </w:rPr>
        <w:t xml:space="preserve">Union Cities Agency &amp; Trust Co (Pty) Ltd v Makubo; Union City Agency &amp; Trust Co (Pty) Ltd v Faskude </w:t>
      </w:r>
      <w:r w:rsidR="00861756" w:rsidRPr="009F3722">
        <w:rPr>
          <w:rFonts w:ascii="Arial" w:hAnsi="Arial" w:cs="Arial"/>
        </w:rPr>
        <w:t>1942 WLD 261</w:t>
      </w:r>
      <w:r w:rsidR="0068552C">
        <w:rPr>
          <w:rFonts w:ascii="Arial" w:hAnsi="Arial" w:cs="Arial"/>
        </w:rPr>
        <w:t>.</w:t>
      </w:r>
    </w:p>
  </w:footnote>
  <w:footnote w:id="14">
    <w:p w:rsidR="004A0DFB" w:rsidRPr="009F3722" w:rsidRDefault="004A0DFB">
      <w:pPr>
        <w:pStyle w:val="FootnoteText"/>
        <w:rPr>
          <w:rFonts w:ascii="Arial" w:hAnsi="Arial" w:cs="Arial"/>
        </w:rPr>
      </w:pPr>
      <w:r w:rsidRPr="009F3722">
        <w:rPr>
          <w:rStyle w:val="FootnoteReference"/>
          <w:rFonts w:ascii="Arial" w:hAnsi="Arial" w:cs="Arial"/>
        </w:rPr>
        <w:footnoteRef/>
      </w:r>
      <w:r w:rsidR="00F6039F" w:rsidRPr="009F3722">
        <w:rPr>
          <w:rFonts w:ascii="Arial" w:hAnsi="Arial" w:cs="Arial"/>
          <w:sz w:val="22"/>
          <w:szCs w:val="22"/>
        </w:rPr>
        <w:t xml:space="preserve"> </w:t>
      </w:r>
      <w:r w:rsidR="00F6039F" w:rsidRPr="009F3722">
        <w:rPr>
          <w:rFonts w:ascii="Arial" w:hAnsi="Arial" w:cs="Arial"/>
          <w:i/>
        </w:rPr>
        <w:t>Jones &amp; Buckle</w:t>
      </w:r>
      <w:r w:rsidR="00F6039F" w:rsidRPr="009F3722">
        <w:rPr>
          <w:rFonts w:ascii="Arial" w:hAnsi="Arial" w:cs="Arial"/>
        </w:rPr>
        <w:t xml:space="preserve"> at 296. See the cases mentioned there: </w:t>
      </w:r>
      <w:r w:rsidR="00F6039F" w:rsidRPr="00736CB9">
        <w:rPr>
          <w:rFonts w:ascii="Arial" w:hAnsi="Arial" w:cs="Arial"/>
          <w:i/>
        </w:rPr>
        <w:t>Union Cities supra</w:t>
      </w:r>
      <w:r w:rsidR="00F6039F" w:rsidRPr="009F3722">
        <w:rPr>
          <w:rFonts w:ascii="Arial" w:hAnsi="Arial" w:cs="Arial"/>
        </w:rPr>
        <w:t xml:space="preserve">; </w:t>
      </w:r>
      <w:r w:rsidR="00F6039F" w:rsidRPr="00736CB9">
        <w:rPr>
          <w:rFonts w:ascii="Arial" w:hAnsi="Arial" w:cs="Arial"/>
          <w:i/>
        </w:rPr>
        <w:t>Standard Bank of SA Ltd v Pretorius</w:t>
      </w:r>
      <w:r w:rsidR="00F6039F" w:rsidRPr="009F3722">
        <w:rPr>
          <w:rFonts w:ascii="Arial" w:hAnsi="Arial" w:cs="Arial"/>
        </w:rPr>
        <w:t xml:space="preserve"> 1977 (4) SA 395 (T).</w:t>
      </w:r>
    </w:p>
  </w:footnote>
  <w:footnote w:id="15">
    <w:p w:rsidR="004A0DFB" w:rsidRPr="009F3722" w:rsidRDefault="004A0DFB">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005F76D1" w:rsidRPr="009F3722">
        <w:rPr>
          <w:rFonts w:ascii="Arial" w:hAnsi="Arial" w:cs="Arial"/>
          <w:i/>
        </w:rPr>
        <w:t>Standard Bank v Thobejane supra</w:t>
      </w:r>
      <w:r w:rsidR="005F76D1" w:rsidRPr="009F3722">
        <w:rPr>
          <w:rFonts w:ascii="Arial" w:hAnsi="Arial" w:cs="Arial"/>
        </w:rPr>
        <w:t xml:space="preserve"> </w:t>
      </w:r>
      <w:r w:rsidR="00F6039F" w:rsidRPr="009F3722">
        <w:rPr>
          <w:rFonts w:ascii="Arial" w:hAnsi="Arial" w:cs="Arial"/>
        </w:rPr>
        <w:t xml:space="preserve">at </w:t>
      </w:r>
      <w:r w:rsidR="005F76D1" w:rsidRPr="009F3722">
        <w:rPr>
          <w:rFonts w:ascii="Arial" w:hAnsi="Arial" w:cs="Arial"/>
        </w:rPr>
        <w:t>para 27</w:t>
      </w:r>
      <w:r w:rsidR="0068552C">
        <w:rPr>
          <w:rFonts w:ascii="Arial" w:hAnsi="Arial" w:cs="Arial"/>
        </w:rPr>
        <w:t>.</w:t>
      </w:r>
    </w:p>
  </w:footnote>
  <w:footnote w:id="16">
    <w:p w:rsidR="005F76D1" w:rsidRPr="009F3722" w:rsidRDefault="005F76D1">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Pr="009F3722">
        <w:rPr>
          <w:rFonts w:ascii="Arial" w:hAnsi="Arial" w:cs="Arial"/>
          <w:i/>
        </w:rPr>
        <w:t>Agri Wire (Pty) Ltd v Commissioner, Competition Commission and Others</w:t>
      </w:r>
      <w:r w:rsidRPr="009F3722">
        <w:rPr>
          <w:rFonts w:ascii="Arial" w:hAnsi="Arial" w:cs="Arial"/>
        </w:rPr>
        <w:t xml:space="preserve"> 2013 (5) SA 484 (SCA) at para 19</w:t>
      </w:r>
      <w:r w:rsidR="00F6039F" w:rsidRPr="009F3722">
        <w:rPr>
          <w:rFonts w:ascii="Arial" w:hAnsi="Arial" w:cs="Arial"/>
        </w:rPr>
        <w:t>.</w:t>
      </w:r>
    </w:p>
  </w:footnote>
  <w:footnote w:id="17">
    <w:p w:rsidR="005F76D1" w:rsidRPr="009F3722" w:rsidRDefault="005F76D1">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Pr="009F3722">
        <w:rPr>
          <w:rFonts w:ascii="Arial" w:hAnsi="Arial" w:cs="Arial"/>
          <w:i/>
        </w:rPr>
        <w:t>Standard Ban</w:t>
      </w:r>
      <w:r w:rsidR="0020098C" w:rsidRPr="009F3722">
        <w:rPr>
          <w:rFonts w:ascii="Arial" w:hAnsi="Arial" w:cs="Arial"/>
          <w:i/>
        </w:rPr>
        <w:t>k v Thobejane supra</w:t>
      </w:r>
      <w:r w:rsidR="0020098C" w:rsidRPr="009F3722">
        <w:rPr>
          <w:rFonts w:ascii="Arial" w:hAnsi="Arial" w:cs="Arial"/>
        </w:rPr>
        <w:t xml:space="preserve"> at para 31.</w:t>
      </w:r>
    </w:p>
  </w:footnote>
  <w:footnote w:id="18">
    <w:p w:rsidR="005F76D1" w:rsidRPr="009F3722" w:rsidRDefault="005F76D1">
      <w:pPr>
        <w:pStyle w:val="FootnoteText"/>
        <w:rPr>
          <w:rFonts w:ascii="Arial" w:hAnsi="Arial" w:cs="Arial"/>
        </w:rPr>
      </w:pPr>
      <w:r w:rsidRPr="009F3722">
        <w:rPr>
          <w:rStyle w:val="FootnoteReference"/>
          <w:rFonts w:ascii="Arial" w:hAnsi="Arial" w:cs="Arial"/>
        </w:rPr>
        <w:footnoteRef/>
      </w:r>
      <w:r w:rsidRPr="009F3722">
        <w:rPr>
          <w:rFonts w:ascii="Arial" w:hAnsi="Arial" w:cs="Arial"/>
        </w:rPr>
        <w:t xml:space="preserve"> </w:t>
      </w:r>
      <w:r w:rsidRPr="009F3722">
        <w:rPr>
          <w:rFonts w:ascii="Arial" w:hAnsi="Arial" w:cs="Arial"/>
          <w:i/>
        </w:rPr>
        <w:t>Allied Value Investors (Pty) Ltd v Lebitse and Others</w:t>
      </w:r>
      <w:r w:rsidRPr="009F3722">
        <w:rPr>
          <w:rFonts w:ascii="Arial" w:hAnsi="Arial" w:cs="Arial"/>
        </w:rPr>
        <w:t xml:space="preserve"> (28859/2020) [2022] ZAGPJHC 828 (20 October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FF"/>
    <w:rsid w:val="00007BED"/>
    <w:rsid w:val="00063DB4"/>
    <w:rsid w:val="000A2AF5"/>
    <w:rsid w:val="000A79FF"/>
    <w:rsid w:val="00134493"/>
    <w:rsid w:val="001440B2"/>
    <w:rsid w:val="00167247"/>
    <w:rsid w:val="00197508"/>
    <w:rsid w:val="0020098C"/>
    <w:rsid w:val="00255603"/>
    <w:rsid w:val="00330790"/>
    <w:rsid w:val="003B3456"/>
    <w:rsid w:val="003D5A8D"/>
    <w:rsid w:val="00453BB5"/>
    <w:rsid w:val="004A0DFB"/>
    <w:rsid w:val="004F2E01"/>
    <w:rsid w:val="00511330"/>
    <w:rsid w:val="00516026"/>
    <w:rsid w:val="00520DF1"/>
    <w:rsid w:val="00526FC6"/>
    <w:rsid w:val="00595631"/>
    <w:rsid w:val="005A281E"/>
    <w:rsid w:val="005B26A1"/>
    <w:rsid w:val="005F49D4"/>
    <w:rsid w:val="005F76D1"/>
    <w:rsid w:val="005F77A4"/>
    <w:rsid w:val="0068552C"/>
    <w:rsid w:val="006E1B9B"/>
    <w:rsid w:val="00732984"/>
    <w:rsid w:val="00736CB9"/>
    <w:rsid w:val="00780D2D"/>
    <w:rsid w:val="00791A15"/>
    <w:rsid w:val="00795D0B"/>
    <w:rsid w:val="007B2B22"/>
    <w:rsid w:val="00852B67"/>
    <w:rsid w:val="00861756"/>
    <w:rsid w:val="008B4CDB"/>
    <w:rsid w:val="00993F0D"/>
    <w:rsid w:val="009A254F"/>
    <w:rsid w:val="009F134D"/>
    <w:rsid w:val="009F3722"/>
    <w:rsid w:val="00AA6C63"/>
    <w:rsid w:val="00AE54FC"/>
    <w:rsid w:val="00B14A8D"/>
    <w:rsid w:val="00BA390D"/>
    <w:rsid w:val="00C94784"/>
    <w:rsid w:val="00CA64C8"/>
    <w:rsid w:val="00CC54C9"/>
    <w:rsid w:val="00D23AFA"/>
    <w:rsid w:val="00D5478C"/>
    <w:rsid w:val="00D7770F"/>
    <w:rsid w:val="00DD5E3D"/>
    <w:rsid w:val="00DE0303"/>
    <w:rsid w:val="00E24C3C"/>
    <w:rsid w:val="00ED1521"/>
    <w:rsid w:val="00ED22BE"/>
    <w:rsid w:val="00F10DF5"/>
    <w:rsid w:val="00F6039F"/>
    <w:rsid w:val="00F67371"/>
    <w:rsid w:val="00F72AAC"/>
    <w:rsid w:val="00FF6B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423D0-FDF0-4BA6-9C77-FC923C8B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2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2BE"/>
    <w:rPr>
      <w:sz w:val="20"/>
      <w:szCs w:val="20"/>
    </w:rPr>
  </w:style>
  <w:style w:type="character" w:styleId="FootnoteReference">
    <w:name w:val="footnote reference"/>
    <w:basedOn w:val="DefaultParagraphFont"/>
    <w:uiPriority w:val="99"/>
    <w:semiHidden/>
    <w:unhideWhenUsed/>
    <w:rsid w:val="00ED22BE"/>
    <w:rPr>
      <w:vertAlign w:val="superscript"/>
    </w:rPr>
  </w:style>
  <w:style w:type="paragraph" w:styleId="Header">
    <w:name w:val="header"/>
    <w:basedOn w:val="Normal"/>
    <w:link w:val="HeaderChar"/>
    <w:uiPriority w:val="99"/>
    <w:unhideWhenUsed/>
    <w:rsid w:val="00ED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BE"/>
  </w:style>
  <w:style w:type="paragraph" w:styleId="Footer">
    <w:name w:val="footer"/>
    <w:basedOn w:val="Normal"/>
    <w:link w:val="FooterChar"/>
    <w:uiPriority w:val="99"/>
    <w:unhideWhenUsed/>
    <w:rsid w:val="00ED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BE"/>
  </w:style>
  <w:style w:type="paragraph" w:styleId="BalloonText">
    <w:name w:val="Balloon Text"/>
    <w:basedOn w:val="Normal"/>
    <w:link w:val="BalloonTextChar"/>
    <w:uiPriority w:val="99"/>
    <w:semiHidden/>
    <w:unhideWhenUsed/>
    <w:rsid w:val="009F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Souter</dc:creator>
  <cp:lastModifiedBy>Mokone</cp:lastModifiedBy>
  <cp:revision>2</cp:revision>
  <cp:lastPrinted>2023-02-17T11:08:00Z</cp:lastPrinted>
  <dcterms:created xsi:type="dcterms:W3CDTF">2023-04-14T08:00:00Z</dcterms:created>
  <dcterms:modified xsi:type="dcterms:W3CDTF">2023-04-14T08:00:00Z</dcterms:modified>
</cp:coreProperties>
</file>