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6ACB" w14:textId="77777777" w:rsidR="00AC1F0D" w:rsidRPr="00DB2A06" w:rsidRDefault="00AC1F0D" w:rsidP="00AC1F0D">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18032F25" w14:textId="77777777" w:rsidR="00AC1F0D" w:rsidRDefault="00AC1F0D" w:rsidP="00012EBA">
      <w:pPr>
        <w:spacing w:line="360" w:lineRule="auto"/>
        <w:ind w:left="306" w:hangingChars="127" w:hanging="306"/>
        <w:jc w:val="center"/>
        <w:rPr>
          <w:rFonts w:eastAsia="MS Mincho"/>
          <w:b/>
          <w:noProof/>
          <w:lang w:val="en-US"/>
        </w:rPr>
      </w:pPr>
    </w:p>
    <w:p w14:paraId="57879417" w14:textId="4596CF26" w:rsidR="00012EBA" w:rsidRPr="00073955" w:rsidRDefault="00012EBA" w:rsidP="00012EBA">
      <w:pPr>
        <w:spacing w:line="360" w:lineRule="auto"/>
        <w:ind w:left="306" w:hangingChars="127" w:hanging="306"/>
        <w:jc w:val="center"/>
        <w:rPr>
          <w:b/>
          <w:lang w:eastAsia="en-GB"/>
        </w:rPr>
      </w:pPr>
      <w:r w:rsidRPr="00073955">
        <w:rPr>
          <w:rFonts w:eastAsia="MS Mincho"/>
          <w:b/>
          <w:noProof/>
          <w:lang w:val="en-US"/>
        </w:rPr>
        <w:drawing>
          <wp:inline distT="0" distB="0" distL="0" distR="0" wp14:anchorId="6CC9C8DE" wp14:editId="142BE177">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074917EA" w14:textId="77777777" w:rsidR="00012EBA" w:rsidRPr="00073955" w:rsidRDefault="00012EBA" w:rsidP="00012EBA">
      <w:pPr>
        <w:spacing w:line="360" w:lineRule="auto"/>
        <w:ind w:left="306" w:hangingChars="127" w:hanging="306"/>
        <w:jc w:val="center"/>
        <w:rPr>
          <w:b/>
          <w:lang w:eastAsia="en-GB"/>
        </w:rPr>
      </w:pPr>
      <w:r w:rsidRPr="00073955">
        <w:rPr>
          <w:b/>
          <w:lang w:eastAsia="en-GB"/>
        </w:rPr>
        <w:t>IN THE HIGH COURT OF SOUTH AFRICA</w:t>
      </w:r>
    </w:p>
    <w:p w14:paraId="1A273285" w14:textId="77777777" w:rsidR="00012EBA" w:rsidRPr="00073955" w:rsidRDefault="00012EBA" w:rsidP="00012EBA">
      <w:pPr>
        <w:spacing w:line="360" w:lineRule="auto"/>
        <w:ind w:left="306" w:hangingChars="127" w:hanging="306"/>
        <w:jc w:val="center"/>
        <w:rPr>
          <w:b/>
          <w:lang w:eastAsia="en-GB"/>
        </w:rPr>
      </w:pPr>
      <w:r w:rsidRPr="00073955">
        <w:rPr>
          <w:b/>
          <w:lang w:eastAsia="en-GB"/>
        </w:rPr>
        <w:t>GAUTENG LOCAL DIVISION, JOHANNESBURG</w:t>
      </w:r>
    </w:p>
    <w:p w14:paraId="12EEF049" w14:textId="3A61E7BF" w:rsidR="00012EBA" w:rsidRDefault="00012EBA" w:rsidP="00012EBA">
      <w:pPr>
        <w:spacing w:line="360" w:lineRule="auto"/>
        <w:rPr>
          <w:b/>
          <w:bCs/>
          <w:u w:val="single"/>
        </w:rPr>
      </w:pPr>
    </w:p>
    <w:p w14:paraId="5A3BB2F5" w14:textId="66B04E0C" w:rsidR="00012EBA" w:rsidRPr="00073955" w:rsidRDefault="00012EBA" w:rsidP="00012EBA">
      <w:pPr>
        <w:spacing w:line="360" w:lineRule="auto"/>
        <w:ind w:left="306" w:hangingChars="127" w:hanging="306"/>
        <w:jc w:val="right"/>
        <w:rPr>
          <w:b/>
          <w:kern w:val="25"/>
          <w:lang w:val="en-GB" w:eastAsia="en-GB"/>
        </w:rPr>
      </w:pPr>
      <w:r w:rsidRPr="00073955">
        <w:rPr>
          <w:b/>
          <w:lang w:eastAsia="en-GB"/>
        </w:rPr>
        <w:tab/>
      </w:r>
      <w:r w:rsidRPr="00073955">
        <w:rPr>
          <w:b/>
          <w:lang w:eastAsia="en-GB"/>
        </w:rPr>
        <w:tab/>
      </w:r>
      <w:r w:rsidRPr="00073955">
        <w:rPr>
          <w:b/>
          <w:lang w:eastAsia="en-GB"/>
        </w:rPr>
        <w:tab/>
      </w:r>
      <w:r w:rsidRPr="00073955">
        <w:rPr>
          <w:b/>
          <w:lang w:eastAsia="en-GB"/>
        </w:rPr>
        <w:tab/>
      </w:r>
      <w:r w:rsidRPr="00073955">
        <w:rPr>
          <w:b/>
          <w:lang w:eastAsia="en-GB"/>
        </w:rPr>
        <w:tab/>
        <w:t>CASE NO:</w:t>
      </w:r>
      <w:r w:rsidRPr="00073955">
        <w:rPr>
          <w:b/>
          <w:kern w:val="25"/>
          <w:lang w:val="en-GB" w:eastAsia="en-GB"/>
        </w:rPr>
        <w:t xml:space="preserve"> </w:t>
      </w:r>
      <w:r>
        <w:rPr>
          <w:b/>
          <w:bCs/>
          <w:kern w:val="25"/>
          <w:lang w:eastAsia="en-GB"/>
        </w:rPr>
        <w:t>06609/2020</w:t>
      </w:r>
    </w:p>
    <w:p w14:paraId="3F4D3CCB" w14:textId="77777777" w:rsidR="00012EBA" w:rsidRPr="00073955" w:rsidRDefault="00012EBA" w:rsidP="00012EBA">
      <w:pPr>
        <w:spacing w:line="360" w:lineRule="auto"/>
        <w:ind w:left="305" w:hangingChars="127" w:hanging="305"/>
        <w:rPr>
          <w:u w:val="single"/>
          <w:lang w:val="en-GB" w:eastAsia="en-GB"/>
        </w:rPr>
      </w:pPr>
      <w:r w:rsidRPr="00073955">
        <w:rPr>
          <w:rFonts w:eastAsia="MS Mincho"/>
          <w:noProof/>
          <w:lang w:val="en-US"/>
        </w:rPr>
        <mc:AlternateContent>
          <mc:Choice Requires="wps">
            <w:drawing>
              <wp:anchor distT="0" distB="0" distL="114300" distR="114300" simplePos="0" relativeHeight="251659264" behindDoc="0" locked="0" layoutInCell="1" allowOverlap="1" wp14:anchorId="532720D2" wp14:editId="4641786E">
                <wp:simplePos x="0" y="0"/>
                <wp:positionH relativeFrom="margin">
                  <wp:align>left</wp:align>
                </wp:positionH>
                <wp:positionV relativeFrom="paragraph">
                  <wp:posOffset>35560</wp:posOffset>
                </wp:positionV>
                <wp:extent cx="3314700" cy="17335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33550"/>
                        </a:xfrm>
                        <a:prstGeom prst="rect">
                          <a:avLst/>
                        </a:prstGeom>
                        <a:solidFill>
                          <a:srgbClr val="FFFFFF"/>
                        </a:solidFill>
                        <a:ln w="9525">
                          <a:solidFill>
                            <a:srgbClr val="000000"/>
                          </a:solidFill>
                          <a:miter lim="800000"/>
                          <a:headEnd/>
                          <a:tailEnd/>
                        </a:ln>
                      </wps:spPr>
                      <wps:txbx>
                        <w:txbxContent>
                          <w:p w14:paraId="18CDDA9D" w14:textId="77777777" w:rsidR="00012EBA" w:rsidRPr="004120A8" w:rsidRDefault="00012EBA" w:rsidP="00012EBA">
                            <w:pPr>
                              <w:jc w:val="center"/>
                              <w:rPr>
                                <w:rFonts w:ascii="Century Gothic" w:hAnsi="Century Gothic"/>
                                <w:b/>
                                <w:sz w:val="2"/>
                                <w:szCs w:val="18"/>
                              </w:rPr>
                            </w:pPr>
                          </w:p>
                          <w:p w14:paraId="2C486518" w14:textId="1BB69A33" w:rsidR="00012EBA" w:rsidRPr="004120A8" w:rsidRDefault="00250A50" w:rsidP="00250A50">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12EBA">
                              <w:rPr>
                                <w:rFonts w:ascii="Century Gothic" w:hAnsi="Century Gothic"/>
                                <w:sz w:val="18"/>
                                <w:szCs w:val="18"/>
                              </w:rPr>
                              <w:t>REPORTABLE: YES</w:t>
                            </w:r>
                          </w:p>
                          <w:p w14:paraId="705B1C10" w14:textId="03602D4D" w:rsidR="00012EBA" w:rsidRPr="004120A8" w:rsidRDefault="00250A50" w:rsidP="00250A50">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12EBA" w:rsidRPr="004120A8">
                              <w:rPr>
                                <w:rFonts w:ascii="Century Gothic" w:hAnsi="Century Gothic"/>
                                <w:sz w:val="18"/>
                                <w:szCs w:val="18"/>
                              </w:rPr>
                              <w:t>O</w:t>
                            </w:r>
                            <w:r w:rsidR="00012EBA">
                              <w:rPr>
                                <w:rFonts w:ascii="Century Gothic" w:hAnsi="Century Gothic"/>
                                <w:sz w:val="18"/>
                                <w:szCs w:val="18"/>
                              </w:rPr>
                              <w:t>F INTEREST TO OTHER JUDGES:</w:t>
                            </w:r>
                            <w:r w:rsidR="00012EBA" w:rsidRPr="004120A8">
                              <w:rPr>
                                <w:rFonts w:ascii="Century Gothic" w:hAnsi="Century Gothic"/>
                                <w:sz w:val="18"/>
                                <w:szCs w:val="18"/>
                              </w:rPr>
                              <w:t xml:space="preserve"> </w:t>
                            </w:r>
                            <w:r w:rsidR="00012EBA">
                              <w:rPr>
                                <w:rFonts w:ascii="Century Gothic" w:hAnsi="Century Gothic"/>
                                <w:sz w:val="18"/>
                                <w:szCs w:val="18"/>
                              </w:rPr>
                              <w:t>YES</w:t>
                            </w:r>
                          </w:p>
                          <w:p w14:paraId="7250838D" w14:textId="66AC8466" w:rsidR="00012EBA" w:rsidRDefault="00250A50" w:rsidP="00250A50">
                            <w:pPr>
                              <w:tabs>
                                <w:tab w:val="left" w:pos="900"/>
                              </w:tabs>
                              <w:spacing w:line="240" w:lineRule="auto"/>
                              <w:ind w:left="900" w:hanging="720"/>
                              <w:jc w:val="left"/>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012EBA">
                              <w:rPr>
                                <w:rFonts w:ascii="Century Gothic" w:hAnsi="Century Gothic"/>
                                <w:sz w:val="18"/>
                                <w:szCs w:val="18"/>
                              </w:rPr>
                              <w:t>REVISED: NO</w:t>
                            </w:r>
                          </w:p>
                          <w:p w14:paraId="15D3AE3D" w14:textId="77777777" w:rsidR="00012EBA" w:rsidRDefault="00012EBA" w:rsidP="00012EBA">
                            <w:pPr>
                              <w:ind w:left="900"/>
                              <w:rPr>
                                <w:rFonts w:ascii="Century Gothic" w:hAnsi="Century Gothic"/>
                                <w:sz w:val="18"/>
                                <w:szCs w:val="18"/>
                              </w:rPr>
                            </w:pPr>
                          </w:p>
                          <w:p w14:paraId="6D267232" w14:textId="49591E80" w:rsidR="00012EBA" w:rsidRPr="004120A8" w:rsidRDefault="00AD3936" w:rsidP="00012EBA">
                            <w:pPr>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Pr="00AD3936">
                              <w:rPr>
                                <w:rFonts w:ascii="Century Gothic" w:hAnsi="Century Gothic"/>
                                <w:b/>
                                <w:sz w:val="18"/>
                                <w:szCs w:val="18"/>
                              </w:rPr>
                              <w:t>14/04/2023</w:t>
                            </w:r>
                          </w:p>
                          <w:p w14:paraId="76F7CC31" w14:textId="77777777" w:rsidR="00012EBA" w:rsidRPr="004120A8" w:rsidRDefault="00012EBA" w:rsidP="00012EBA">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B616086" w14:textId="77777777" w:rsidR="00012EBA" w:rsidRPr="004120A8" w:rsidRDefault="00012EBA" w:rsidP="00012EB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720D2" id="_x0000_t202" coordsize="21600,21600" o:spt="202" path="m,l,21600r21600,l21600,xe">
                <v:stroke joinstyle="miter"/>
                <v:path gradientshapeok="t" o:connecttype="rect"/>
              </v:shapetype>
              <v:shape id="Text Box 9" o:spid="_x0000_s1026" type="#_x0000_t202" style="position:absolute;left:0;text-align:left;margin-left:0;margin-top:2.8pt;width:261pt;height:1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aKgIAAFE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">
                <v:textbox>
                  <w:txbxContent>
                    <w:p w14:paraId="18CDDA9D" w14:textId="77777777" w:rsidR="00012EBA" w:rsidRPr="004120A8" w:rsidRDefault="00012EBA" w:rsidP="00012EBA">
                      <w:pPr>
                        <w:jc w:val="center"/>
                        <w:rPr>
                          <w:rFonts w:ascii="Century Gothic" w:hAnsi="Century Gothic"/>
                          <w:b/>
                          <w:sz w:val="2"/>
                          <w:szCs w:val="18"/>
                        </w:rPr>
                      </w:pPr>
                    </w:p>
                    <w:p w14:paraId="2C486518" w14:textId="1BB69A33" w:rsidR="00012EBA" w:rsidRPr="004120A8" w:rsidRDefault="00250A50" w:rsidP="00250A50">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12EBA">
                        <w:rPr>
                          <w:rFonts w:ascii="Century Gothic" w:hAnsi="Century Gothic"/>
                          <w:sz w:val="18"/>
                          <w:szCs w:val="18"/>
                        </w:rPr>
                        <w:t>REPORTABLE: YES</w:t>
                      </w:r>
                    </w:p>
                    <w:p w14:paraId="705B1C10" w14:textId="03602D4D" w:rsidR="00012EBA" w:rsidRPr="004120A8" w:rsidRDefault="00250A50" w:rsidP="00250A50">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12EBA" w:rsidRPr="004120A8">
                        <w:rPr>
                          <w:rFonts w:ascii="Century Gothic" w:hAnsi="Century Gothic"/>
                          <w:sz w:val="18"/>
                          <w:szCs w:val="18"/>
                        </w:rPr>
                        <w:t>O</w:t>
                      </w:r>
                      <w:r w:rsidR="00012EBA">
                        <w:rPr>
                          <w:rFonts w:ascii="Century Gothic" w:hAnsi="Century Gothic"/>
                          <w:sz w:val="18"/>
                          <w:szCs w:val="18"/>
                        </w:rPr>
                        <w:t>F INTEREST TO OTHER JUDGES:</w:t>
                      </w:r>
                      <w:r w:rsidR="00012EBA" w:rsidRPr="004120A8">
                        <w:rPr>
                          <w:rFonts w:ascii="Century Gothic" w:hAnsi="Century Gothic"/>
                          <w:sz w:val="18"/>
                          <w:szCs w:val="18"/>
                        </w:rPr>
                        <w:t xml:space="preserve"> </w:t>
                      </w:r>
                      <w:r w:rsidR="00012EBA">
                        <w:rPr>
                          <w:rFonts w:ascii="Century Gothic" w:hAnsi="Century Gothic"/>
                          <w:sz w:val="18"/>
                          <w:szCs w:val="18"/>
                        </w:rPr>
                        <w:t>YES</w:t>
                      </w:r>
                    </w:p>
                    <w:p w14:paraId="7250838D" w14:textId="66AC8466" w:rsidR="00012EBA" w:rsidRDefault="00250A50" w:rsidP="00250A50">
                      <w:pPr>
                        <w:tabs>
                          <w:tab w:val="left" w:pos="900"/>
                        </w:tabs>
                        <w:spacing w:line="240" w:lineRule="auto"/>
                        <w:ind w:left="900" w:hanging="720"/>
                        <w:jc w:val="left"/>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012EBA">
                        <w:rPr>
                          <w:rFonts w:ascii="Century Gothic" w:hAnsi="Century Gothic"/>
                          <w:sz w:val="18"/>
                          <w:szCs w:val="18"/>
                        </w:rPr>
                        <w:t>REVISED: NO</w:t>
                      </w:r>
                    </w:p>
                    <w:p w14:paraId="15D3AE3D" w14:textId="77777777" w:rsidR="00012EBA" w:rsidRDefault="00012EBA" w:rsidP="00012EBA">
                      <w:pPr>
                        <w:ind w:left="900"/>
                        <w:rPr>
                          <w:rFonts w:ascii="Century Gothic" w:hAnsi="Century Gothic"/>
                          <w:sz w:val="18"/>
                          <w:szCs w:val="18"/>
                        </w:rPr>
                      </w:pPr>
                    </w:p>
                    <w:p w14:paraId="6D267232" w14:textId="49591E80" w:rsidR="00012EBA" w:rsidRPr="004120A8" w:rsidRDefault="00AD3936" w:rsidP="00012EBA">
                      <w:pPr>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001406A0">
                        <w:rPr>
                          <w:rFonts w:ascii="Century Gothic" w:hAnsi="Century Gothic"/>
                          <w:b/>
                          <w:sz w:val="18"/>
                          <w:szCs w:val="18"/>
                        </w:rPr>
                        <w:tab/>
                      </w:r>
                      <w:r w:rsidRPr="00AD3936">
                        <w:rPr>
                          <w:rFonts w:ascii="Century Gothic" w:hAnsi="Century Gothic"/>
                          <w:b/>
                          <w:sz w:val="18"/>
                          <w:szCs w:val="18"/>
                        </w:rPr>
                        <w:t>14/04/2023</w:t>
                      </w:r>
                    </w:p>
                    <w:p w14:paraId="76F7CC31" w14:textId="77777777" w:rsidR="00012EBA" w:rsidRPr="004120A8" w:rsidRDefault="00012EBA" w:rsidP="00012EBA">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B616086" w14:textId="77777777" w:rsidR="00012EBA" w:rsidRPr="004120A8" w:rsidRDefault="00012EBA" w:rsidP="00012EBA">
                      <w:pPr>
                        <w:rPr>
                          <w:rFonts w:ascii="Century Gothic" w:hAnsi="Century Gothic"/>
                          <w:b/>
                          <w:sz w:val="2"/>
                          <w:szCs w:val="18"/>
                        </w:rPr>
                      </w:pPr>
                    </w:p>
                  </w:txbxContent>
                </v:textbox>
                <w10:wrap anchorx="margin"/>
              </v:shape>
            </w:pict>
          </mc:Fallback>
        </mc:AlternateContent>
      </w:r>
    </w:p>
    <w:p w14:paraId="112215C9" w14:textId="77777777" w:rsidR="00012EBA" w:rsidRPr="00073955" w:rsidRDefault="00012EBA" w:rsidP="00012EBA">
      <w:pPr>
        <w:spacing w:line="360" w:lineRule="auto"/>
        <w:ind w:left="305" w:hangingChars="127" w:hanging="305"/>
        <w:rPr>
          <w:u w:val="single"/>
          <w:lang w:val="en-GB" w:eastAsia="en-GB"/>
        </w:rPr>
      </w:pPr>
    </w:p>
    <w:p w14:paraId="63AA71EC" w14:textId="77777777" w:rsidR="00012EBA" w:rsidRPr="00073955" w:rsidRDefault="00012EBA" w:rsidP="00012EBA">
      <w:pPr>
        <w:spacing w:line="360" w:lineRule="auto"/>
        <w:ind w:left="305" w:hangingChars="127" w:hanging="305"/>
        <w:rPr>
          <w:u w:val="single"/>
          <w:lang w:val="en-GB" w:eastAsia="en-GB"/>
        </w:rPr>
      </w:pPr>
    </w:p>
    <w:p w14:paraId="1CE14387" w14:textId="77777777" w:rsidR="00012EBA" w:rsidRPr="00073955" w:rsidRDefault="00012EBA" w:rsidP="00012EBA">
      <w:pPr>
        <w:spacing w:line="360" w:lineRule="auto"/>
        <w:ind w:left="305" w:hangingChars="127" w:hanging="305"/>
        <w:rPr>
          <w:rFonts w:eastAsia="Calibri"/>
        </w:rPr>
      </w:pPr>
    </w:p>
    <w:p w14:paraId="08E84EE3" w14:textId="77777777" w:rsidR="00012EBA" w:rsidRPr="00073955" w:rsidRDefault="00012EBA" w:rsidP="00012EBA">
      <w:pPr>
        <w:widowControl w:val="0"/>
        <w:autoSpaceDE w:val="0"/>
        <w:autoSpaceDN w:val="0"/>
        <w:adjustRightInd w:val="0"/>
        <w:spacing w:line="600" w:lineRule="auto"/>
        <w:rPr>
          <w:rFonts w:eastAsia="MS Mincho"/>
          <w:color w:val="1B1919"/>
          <w:lang w:val="en-GB" w:eastAsia="ja-JP"/>
        </w:rPr>
      </w:pPr>
    </w:p>
    <w:p w14:paraId="33A39D85" w14:textId="77777777" w:rsidR="00012EBA" w:rsidRPr="00FC24F4" w:rsidRDefault="00012EBA" w:rsidP="0068653E">
      <w:pPr>
        <w:spacing w:line="360" w:lineRule="auto"/>
        <w:jc w:val="center"/>
        <w:rPr>
          <w:b/>
          <w:bCs/>
          <w:lang w:val="en-GB"/>
        </w:rPr>
      </w:pPr>
    </w:p>
    <w:p w14:paraId="548CAB1E" w14:textId="77777777" w:rsidR="00346379" w:rsidRPr="00FC24F4" w:rsidRDefault="00346379" w:rsidP="00CA55AF">
      <w:pPr>
        <w:rPr>
          <w:lang w:val="en-US"/>
        </w:rPr>
      </w:pPr>
    </w:p>
    <w:p w14:paraId="7AFB65FF" w14:textId="77777777" w:rsidR="00F67D61" w:rsidRDefault="00F67D61" w:rsidP="00F67D61">
      <w:pPr>
        <w:tabs>
          <w:tab w:val="right" w:pos="8931"/>
        </w:tabs>
        <w:spacing w:line="360" w:lineRule="auto"/>
      </w:pPr>
      <w:r>
        <w:t xml:space="preserve">In the matter between: </w:t>
      </w:r>
    </w:p>
    <w:p w14:paraId="1984D449" w14:textId="77777777" w:rsidR="00F67D61" w:rsidRDefault="00F67D61" w:rsidP="00F67D61">
      <w:pPr>
        <w:tabs>
          <w:tab w:val="right" w:pos="8931"/>
        </w:tabs>
        <w:spacing w:line="360" w:lineRule="auto"/>
      </w:pPr>
    </w:p>
    <w:p w14:paraId="17D0B6AF" w14:textId="7A69B47B" w:rsidR="00F67D61" w:rsidRDefault="00EC4349" w:rsidP="00F67D61">
      <w:pPr>
        <w:tabs>
          <w:tab w:val="right" w:pos="8931"/>
        </w:tabs>
        <w:spacing w:line="240" w:lineRule="auto"/>
        <w:rPr>
          <w:b/>
          <w:spacing w:val="-3"/>
        </w:rPr>
      </w:pPr>
      <w:r>
        <w:rPr>
          <w:b/>
          <w:spacing w:val="-3"/>
        </w:rPr>
        <w:t>SASOL SOUTH AFRICA t/a SASOL CHEMICALS</w:t>
      </w:r>
      <w:r w:rsidR="00F67D61">
        <w:rPr>
          <w:b/>
          <w:spacing w:val="-3"/>
        </w:rPr>
        <w:tab/>
      </w:r>
      <w:r w:rsidR="00334206">
        <w:rPr>
          <w:bCs/>
          <w:spacing w:val="-3"/>
        </w:rPr>
        <w:t>Plaintiff</w:t>
      </w:r>
    </w:p>
    <w:p w14:paraId="54D9C9A8" w14:textId="77777777" w:rsidR="00F67D61" w:rsidRDefault="00F67D61" w:rsidP="00F67D61">
      <w:pPr>
        <w:tabs>
          <w:tab w:val="right" w:pos="8931"/>
        </w:tabs>
        <w:spacing w:line="360" w:lineRule="auto"/>
        <w:rPr>
          <w:bCs/>
          <w:spacing w:val="-3"/>
        </w:rPr>
      </w:pPr>
    </w:p>
    <w:p w14:paraId="421A2353" w14:textId="77777777" w:rsidR="00F67D61" w:rsidRDefault="00F67D61" w:rsidP="00F67D61">
      <w:pPr>
        <w:tabs>
          <w:tab w:val="right" w:pos="8931"/>
        </w:tabs>
        <w:spacing w:line="360" w:lineRule="auto"/>
        <w:rPr>
          <w:bCs/>
          <w:spacing w:val="-3"/>
        </w:rPr>
      </w:pPr>
      <w:r>
        <w:rPr>
          <w:bCs/>
          <w:spacing w:val="-3"/>
        </w:rPr>
        <w:t>and</w:t>
      </w:r>
    </w:p>
    <w:p w14:paraId="7FC9F333" w14:textId="77777777" w:rsidR="00F67D61" w:rsidRDefault="00F67D61" w:rsidP="00F67D61">
      <w:pPr>
        <w:tabs>
          <w:tab w:val="right" w:pos="8931"/>
        </w:tabs>
        <w:spacing w:line="360" w:lineRule="auto"/>
        <w:rPr>
          <w:bCs/>
          <w:spacing w:val="-3"/>
        </w:rPr>
      </w:pPr>
    </w:p>
    <w:p w14:paraId="742E9A39" w14:textId="77777777" w:rsidR="00EC4349" w:rsidRDefault="00EC4349" w:rsidP="00F67D61">
      <w:pPr>
        <w:tabs>
          <w:tab w:val="right" w:pos="8931"/>
        </w:tabs>
        <w:spacing w:line="240" w:lineRule="auto"/>
        <w:rPr>
          <w:b/>
          <w:spacing w:val="-3"/>
        </w:rPr>
      </w:pPr>
      <w:r>
        <w:rPr>
          <w:b/>
          <w:spacing w:val="-3"/>
        </w:rPr>
        <w:t>GAVIN J PENKIN</w:t>
      </w:r>
    </w:p>
    <w:p w14:paraId="0183F9BF" w14:textId="4BF784AC" w:rsidR="00F67D61" w:rsidRDefault="00AC1F0D" w:rsidP="00F67D61">
      <w:pPr>
        <w:tabs>
          <w:tab w:val="right" w:pos="8931"/>
        </w:tabs>
        <w:spacing w:line="240" w:lineRule="auto"/>
        <w:rPr>
          <w:bCs/>
          <w:spacing w:val="-3"/>
        </w:rPr>
      </w:pPr>
      <w:r>
        <w:rPr>
          <w:bCs/>
          <w:spacing w:val="-3"/>
        </w:rPr>
        <w:t>[Identity Number: […]</w:t>
      </w:r>
      <w:r w:rsidR="00EC4349">
        <w:rPr>
          <w:bCs/>
          <w:spacing w:val="-3"/>
        </w:rPr>
        <w:t>]</w:t>
      </w:r>
      <w:r w:rsidR="00F67D61">
        <w:rPr>
          <w:bCs/>
          <w:spacing w:val="-3"/>
        </w:rPr>
        <w:tab/>
      </w:r>
      <w:r w:rsidR="00334206">
        <w:rPr>
          <w:bCs/>
          <w:spacing w:val="-3"/>
        </w:rPr>
        <w:t>Defendant</w:t>
      </w:r>
    </w:p>
    <w:p w14:paraId="46BC3F6C" w14:textId="292B4439" w:rsidR="006F37D0" w:rsidRDefault="006F37D0" w:rsidP="00F67D61">
      <w:pPr>
        <w:tabs>
          <w:tab w:val="right" w:pos="8931"/>
        </w:tabs>
        <w:spacing w:line="240" w:lineRule="auto"/>
        <w:rPr>
          <w:bCs/>
          <w:spacing w:val="-3"/>
        </w:rPr>
      </w:pPr>
    </w:p>
    <w:p w14:paraId="6D51C005" w14:textId="0C08612A" w:rsidR="006F37D0" w:rsidRDefault="006F37D0" w:rsidP="00F67D61">
      <w:pPr>
        <w:tabs>
          <w:tab w:val="right" w:pos="8931"/>
        </w:tabs>
        <w:spacing w:line="240" w:lineRule="auto"/>
        <w:rPr>
          <w:bCs/>
          <w:spacing w:val="-3"/>
        </w:rPr>
      </w:pPr>
    </w:p>
    <w:p w14:paraId="38844A32" w14:textId="1EF71C09" w:rsidR="006F37D0" w:rsidRDefault="006F37D0" w:rsidP="006F37D0">
      <w:pPr>
        <w:tabs>
          <w:tab w:val="right" w:pos="8931"/>
        </w:tabs>
        <w:spacing w:line="276" w:lineRule="auto"/>
        <w:rPr>
          <w:bCs/>
          <w:spacing w:val="-3"/>
          <w:sz w:val="22"/>
          <w:szCs w:val="22"/>
        </w:rPr>
      </w:pPr>
      <w:r w:rsidRPr="006F37D0">
        <w:rPr>
          <w:b/>
          <w:bCs/>
          <w:spacing w:val="-3"/>
          <w:sz w:val="22"/>
          <w:szCs w:val="22"/>
        </w:rPr>
        <w:t>Neutral Citation</w:t>
      </w:r>
      <w:r w:rsidRPr="006F37D0">
        <w:rPr>
          <w:bCs/>
          <w:spacing w:val="-3"/>
          <w:sz w:val="22"/>
          <w:szCs w:val="22"/>
        </w:rPr>
        <w:t xml:space="preserve">: </w:t>
      </w:r>
      <w:r w:rsidRPr="006F37D0">
        <w:rPr>
          <w:bCs/>
          <w:i/>
          <w:spacing w:val="-3"/>
          <w:sz w:val="22"/>
          <w:szCs w:val="22"/>
        </w:rPr>
        <w:t>SASOL South Africa t/a SASOL Chemicals v Gavin J Penkin</w:t>
      </w:r>
      <w:r w:rsidRPr="006F37D0">
        <w:rPr>
          <w:bCs/>
          <w:spacing w:val="-3"/>
          <w:sz w:val="22"/>
          <w:szCs w:val="22"/>
        </w:rPr>
        <w:t xml:space="preserve"> (Case No: 06609/2020) [2023] ZAGPJHC 329 (14 April 2023)</w:t>
      </w:r>
    </w:p>
    <w:p w14:paraId="08FB4723" w14:textId="7C9ACC8D" w:rsidR="006F37D0" w:rsidRDefault="006F37D0" w:rsidP="006F37D0">
      <w:pPr>
        <w:tabs>
          <w:tab w:val="right" w:pos="8931"/>
        </w:tabs>
        <w:spacing w:line="276" w:lineRule="auto"/>
        <w:rPr>
          <w:bCs/>
          <w:spacing w:val="-3"/>
          <w:sz w:val="22"/>
          <w:szCs w:val="22"/>
        </w:rPr>
      </w:pPr>
    </w:p>
    <w:p w14:paraId="625A201A" w14:textId="21A46AAA" w:rsidR="006F37D0" w:rsidRPr="006F37D0" w:rsidRDefault="006F37D0" w:rsidP="006F37D0">
      <w:pPr>
        <w:tabs>
          <w:tab w:val="right" w:pos="8931"/>
        </w:tabs>
        <w:spacing w:line="276" w:lineRule="auto"/>
        <w:rPr>
          <w:bCs/>
          <w:spacing w:val="-3"/>
          <w:sz w:val="22"/>
          <w:szCs w:val="22"/>
        </w:rPr>
      </w:pPr>
    </w:p>
    <w:p w14:paraId="006BCB00" w14:textId="77777777" w:rsidR="007B154B" w:rsidRDefault="007B154B" w:rsidP="00F67D61">
      <w:pPr>
        <w:tabs>
          <w:tab w:val="right" w:pos="8931"/>
        </w:tabs>
        <w:spacing w:line="360" w:lineRule="auto"/>
        <w:rPr>
          <w:lang w:val="en-GB"/>
        </w:rPr>
      </w:pPr>
    </w:p>
    <w:p w14:paraId="4257636A" w14:textId="77777777" w:rsidR="0049440F" w:rsidRPr="001B1F9D" w:rsidRDefault="0049440F" w:rsidP="00F67D61">
      <w:pPr>
        <w:pBdr>
          <w:top w:val="single" w:sz="4" w:space="1" w:color="auto"/>
        </w:pBdr>
        <w:spacing w:line="240" w:lineRule="auto"/>
      </w:pPr>
    </w:p>
    <w:p w14:paraId="2D8DBDFD" w14:textId="78E04D13" w:rsidR="0049440F" w:rsidRPr="003D1D1F" w:rsidRDefault="00334206" w:rsidP="00F67D61">
      <w:pPr>
        <w:spacing w:line="240" w:lineRule="auto"/>
        <w:jc w:val="center"/>
      </w:pPr>
      <w:r>
        <w:rPr>
          <w:b/>
        </w:rPr>
        <w:lastRenderedPageBreak/>
        <w:t>JUDGMENT</w:t>
      </w:r>
    </w:p>
    <w:p w14:paraId="31BE681B" w14:textId="77777777" w:rsidR="0049440F" w:rsidRPr="001B1F9D" w:rsidRDefault="0049440F" w:rsidP="00F67D61">
      <w:pPr>
        <w:pBdr>
          <w:bottom w:val="single" w:sz="4" w:space="1" w:color="auto"/>
        </w:pBdr>
        <w:spacing w:line="240" w:lineRule="auto"/>
      </w:pPr>
    </w:p>
    <w:p w14:paraId="70AC9B70" w14:textId="6CDF380A" w:rsidR="0049440F" w:rsidRDefault="0049440F" w:rsidP="0049440F"/>
    <w:p w14:paraId="4A75DC1B" w14:textId="4F263C93" w:rsidR="00334206" w:rsidRDefault="00EC4349" w:rsidP="004F061C">
      <w:pPr>
        <w:rPr>
          <w:b/>
          <w:bCs/>
        </w:rPr>
      </w:pPr>
      <w:r w:rsidRPr="00227C65">
        <w:rPr>
          <w:b/>
          <w:bCs/>
        </w:rPr>
        <w:t>PULLINGER</w:t>
      </w:r>
      <w:r w:rsidR="00BA09FA" w:rsidRPr="00227C65">
        <w:rPr>
          <w:b/>
          <w:bCs/>
        </w:rPr>
        <w:t>,</w:t>
      </w:r>
      <w:r w:rsidRPr="00227C65">
        <w:rPr>
          <w:b/>
          <w:bCs/>
        </w:rPr>
        <w:t xml:space="preserve"> AJ</w:t>
      </w:r>
    </w:p>
    <w:p w14:paraId="4C34BB0A" w14:textId="77777777" w:rsidR="008E7B22" w:rsidRDefault="008E7B22" w:rsidP="004F061C">
      <w:pPr>
        <w:rPr>
          <w:b/>
          <w:bCs/>
        </w:rPr>
      </w:pPr>
    </w:p>
    <w:p w14:paraId="0E31F7CB" w14:textId="77777777" w:rsidR="008E7B22" w:rsidRDefault="008E7B22" w:rsidP="004F061C">
      <w:pPr>
        <w:tabs>
          <w:tab w:val="right" w:pos="8931"/>
        </w:tabs>
        <w:rPr>
          <w:b/>
          <w:bCs/>
          <w:lang w:val="en-GB"/>
        </w:rPr>
      </w:pPr>
      <w:r>
        <w:rPr>
          <w:b/>
          <w:bCs/>
          <w:lang w:val="en-GB"/>
        </w:rPr>
        <w:t>SUMMARY</w:t>
      </w:r>
    </w:p>
    <w:p w14:paraId="2DFBDDBF" w14:textId="77777777" w:rsidR="008E7B22" w:rsidRDefault="008E7B22" w:rsidP="004F061C">
      <w:pPr>
        <w:tabs>
          <w:tab w:val="right" w:pos="8931"/>
        </w:tabs>
        <w:rPr>
          <w:b/>
          <w:bCs/>
          <w:lang w:val="en-GB"/>
        </w:rPr>
      </w:pPr>
    </w:p>
    <w:p w14:paraId="68C94D30" w14:textId="7B2C59B7" w:rsidR="007F14F9" w:rsidRDefault="007F14F9" w:rsidP="008E7B22">
      <w:pPr>
        <w:pStyle w:val="NUM1"/>
        <w:numPr>
          <w:ilvl w:val="0"/>
          <w:numId w:val="0"/>
        </w:numPr>
        <w:spacing w:line="360" w:lineRule="auto"/>
        <w:rPr>
          <w:i/>
          <w:iCs/>
          <w:sz w:val="20"/>
          <w:szCs w:val="20"/>
          <w:lang w:val="en-GB"/>
        </w:rPr>
      </w:pPr>
      <w:r w:rsidRPr="007F14F9">
        <w:rPr>
          <w:b/>
          <w:bCs/>
          <w:i/>
          <w:iCs/>
          <w:sz w:val="20"/>
          <w:szCs w:val="20"/>
          <w:lang w:val="en-GB"/>
        </w:rPr>
        <w:t>Civil Procedure</w:t>
      </w:r>
      <w:r>
        <w:rPr>
          <w:i/>
          <w:iCs/>
          <w:sz w:val="20"/>
          <w:szCs w:val="20"/>
          <w:lang w:val="en-GB"/>
        </w:rPr>
        <w:t xml:space="preserve"> </w:t>
      </w:r>
      <w:r w:rsidR="001B618E">
        <w:rPr>
          <w:i/>
          <w:iCs/>
          <w:sz w:val="20"/>
          <w:szCs w:val="20"/>
          <w:lang w:val="en-GB"/>
        </w:rPr>
        <w:t>–</w:t>
      </w:r>
      <w:r>
        <w:rPr>
          <w:i/>
          <w:iCs/>
          <w:sz w:val="20"/>
          <w:szCs w:val="20"/>
          <w:lang w:val="en-GB"/>
        </w:rPr>
        <w:t xml:space="preserve"> t</w:t>
      </w:r>
      <w:r w:rsidR="008E7B22" w:rsidRPr="008E7B22">
        <w:rPr>
          <w:i/>
          <w:iCs/>
          <w:sz w:val="20"/>
          <w:szCs w:val="20"/>
          <w:lang w:val="en-GB"/>
        </w:rPr>
        <w:t>his application concerns a less than perfect procedural step taken by the respondent, the defendant in an action.</w:t>
      </w:r>
      <w:r w:rsidR="001B618E">
        <w:rPr>
          <w:i/>
          <w:iCs/>
          <w:sz w:val="20"/>
          <w:szCs w:val="20"/>
          <w:lang w:val="en-GB"/>
        </w:rPr>
        <w:t xml:space="preserve"> </w:t>
      </w:r>
      <w:r w:rsidR="008E7B22" w:rsidRPr="008E7B22">
        <w:rPr>
          <w:i/>
          <w:iCs/>
          <w:sz w:val="20"/>
          <w:szCs w:val="20"/>
          <w:lang w:val="en-GB"/>
        </w:rPr>
        <w:t xml:space="preserve"> The defendant is an unsophisticated lay person who sought to amend his plea. </w:t>
      </w:r>
      <w:r w:rsidR="001B618E">
        <w:rPr>
          <w:i/>
          <w:iCs/>
          <w:sz w:val="20"/>
          <w:szCs w:val="20"/>
          <w:lang w:val="en-GB"/>
        </w:rPr>
        <w:t xml:space="preserve"> </w:t>
      </w:r>
      <w:r w:rsidR="008E7B22" w:rsidRPr="008E7B22">
        <w:rPr>
          <w:i/>
          <w:iCs/>
          <w:sz w:val="20"/>
          <w:szCs w:val="20"/>
          <w:lang w:val="en-GB"/>
        </w:rPr>
        <w:t>The applicant, the plaintiff in the acti</w:t>
      </w:r>
      <w:r w:rsidR="001B618E">
        <w:rPr>
          <w:i/>
          <w:iCs/>
          <w:sz w:val="20"/>
          <w:szCs w:val="20"/>
          <w:lang w:val="en-GB"/>
        </w:rPr>
        <w:t>o</w:t>
      </w:r>
      <w:r w:rsidR="008E7B22" w:rsidRPr="008E7B22">
        <w:rPr>
          <w:i/>
          <w:iCs/>
          <w:sz w:val="20"/>
          <w:szCs w:val="20"/>
          <w:lang w:val="en-GB"/>
        </w:rPr>
        <w:t xml:space="preserve">n, considers the notice of amendment to be irregular because the aforesaid notice does not advise the applicant, who is represented by an attorney and counsel, ten (10) days' notice to object to the proposed amendment nor does it contain a tender for costs. </w:t>
      </w:r>
      <w:r w:rsidR="001B618E">
        <w:rPr>
          <w:i/>
          <w:iCs/>
          <w:sz w:val="20"/>
          <w:szCs w:val="20"/>
          <w:lang w:val="en-GB"/>
        </w:rPr>
        <w:t xml:space="preserve"> </w:t>
      </w:r>
      <w:r w:rsidR="008E7B22" w:rsidRPr="008E7B22">
        <w:rPr>
          <w:i/>
          <w:iCs/>
          <w:sz w:val="20"/>
          <w:szCs w:val="20"/>
          <w:lang w:val="en-GB"/>
        </w:rPr>
        <w:t>The applicant did not object to the proposed amendment in terms of Rule 28</w:t>
      </w:r>
      <w:r w:rsidR="001D79D6">
        <w:rPr>
          <w:i/>
          <w:iCs/>
          <w:sz w:val="20"/>
          <w:szCs w:val="20"/>
          <w:lang w:val="en-GB"/>
        </w:rPr>
        <w:t>(3)</w:t>
      </w:r>
      <w:r w:rsidR="001B618E">
        <w:rPr>
          <w:i/>
          <w:iCs/>
          <w:sz w:val="20"/>
          <w:szCs w:val="20"/>
          <w:lang w:val="en-GB"/>
        </w:rPr>
        <w:t>,</w:t>
      </w:r>
      <w:r w:rsidR="008E7B22" w:rsidRPr="008E7B22">
        <w:rPr>
          <w:i/>
          <w:iCs/>
          <w:sz w:val="20"/>
          <w:szCs w:val="20"/>
          <w:lang w:val="en-GB"/>
        </w:rPr>
        <w:t xml:space="preserve"> but elected to deliver a notice in terms of Rule 30</w:t>
      </w:r>
      <w:r w:rsidR="000A5948">
        <w:rPr>
          <w:i/>
          <w:iCs/>
          <w:sz w:val="20"/>
          <w:szCs w:val="20"/>
          <w:lang w:val="en-GB"/>
        </w:rPr>
        <w:t>(2)(b)</w:t>
      </w:r>
      <w:r w:rsidR="008E7B22" w:rsidRPr="008E7B22">
        <w:rPr>
          <w:i/>
          <w:iCs/>
          <w:sz w:val="20"/>
          <w:szCs w:val="20"/>
          <w:lang w:val="en-GB"/>
        </w:rPr>
        <w:t xml:space="preserve"> complaining that the notice</w:t>
      </w:r>
      <w:r w:rsidR="000A5948">
        <w:rPr>
          <w:i/>
          <w:iCs/>
          <w:sz w:val="20"/>
          <w:szCs w:val="20"/>
          <w:lang w:val="en-GB"/>
        </w:rPr>
        <w:t xml:space="preserve"> of amendment</w:t>
      </w:r>
      <w:r w:rsidR="008E7B22" w:rsidRPr="008E7B22">
        <w:rPr>
          <w:i/>
          <w:iCs/>
          <w:sz w:val="20"/>
          <w:szCs w:val="20"/>
          <w:lang w:val="en-GB"/>
        </w:rPr>
        <w:t xml:space="preserve"> was irregular. </w:t>
      </w:r>
    </w:p>
    <w:p w14:paraId="118BF2D8" w14:textId="77777777" w:rsidR="000A5948" w:rsidRPr="000A5948" w:rsidRDefault="000A5948" w:rsidP="000A5948">
      <w:pPr>
        <w:rPr>
          <w:lang w:val="en-GB"/>
        </w:rPr>
      </w:pPr>
    </w:p>
    <w:p w14:paraId="3276A84D" w14:textId="04E385B2" w:rsidR="008E7B22" w:rsidRPr="008E7B22" w:rsidRDefault="007F14F9" w:rsidP="008E7B22">
      <w:pPr>
        <w:pStyle w:val="NUM1"/>
        <w:numPr>
          <w:ilvl w:val="0"/>
          <w:numId w:val="0"/>
        </w:numPr>
        <w:spacing w:line="360" w:lineRule="auto"/>
        <w:rPr>
          <w:i/>
          <w:iCs/>
          <w:sz w:val="20"/>
          <w:szCs w:val="20"/>
          <w:lang w:val="en-GB"/>
        </w:rPr>
      </w:pPr>
      <w:r w:rsidRPr="007F14F9">
        <w:rPr>
          <w:b/>
          <w:bCs/>
          <w:i/>
          <w:iCs/>
          <w:sz w:val="20"/>
          <w:szCs w:val="20"/>
          <w:lang w:val="en-GB"/>
        </w:rPr>
        <w:t>Proper administration of justice and interests of justice</w:t>
      </w:r>
      <w:r>
        <w:rPr>
          <w:i/>
          <w:iCs/>
          <w:sz w:val="20"/>
          <w:szCs w:val="20"/>
          <w:lang w:val="en-GB"/>
        </w:rPr>
        <w:t xml:space="preserve"> </w:t>
      </w:r>
      <w:r w:rsidR="004F061C">
        <w:rPr>
          <w:i/>
          <w:iCs/>
          <w:sz w:val="20"/>
          <w:szCs w:val="20"/>
          <w:lang w:val="en-GB"/>
        </w:rPr>
        <w:t>–</w:t>
      </w:r>
      <w:r>
        <w:rPr>
          <w:i/>
          <w:iCs/>
          <w:sz w:val="20"/>
          <w:szCs w:val="20"/>
          <w:lang w:val="en-GB"/>
        </w:rPr>
        <w:t xml:space="preserve"> </w:t>
      </w:r>
      <w:r w:rsidR="000A5948">
        <w:rPr>
          <w:i/>
          <w:iCs/>
          <w:sz w:val="20"/>
          <w:szCs w:val="20"/>
          <w:lang w:val="en-GB"/>
        </w:rPr>
        <w:t>t</w:t>
      </w:r>
      <w:r w:rsidR="000A5948" w:rsidRPr="008E7B22">
        <w:rPr>
          <w:i/>
          <w:iCs/>
          <w:sz w:val="20"/>
          <w:szCs w:val="20"/>
          <w:lang w:val="en-GB"/>
        </w:rPr>
        <w:t xml:space="preserve">his is an instance where there is no real prejudice to the applicant. </w:t>
      </w:r>
      <w:r w:rsidR="004F061C">
        <w:rPr>
          <w:i/>
          <w:iCs/>
          <w:sz w:val="20"/>
          <w:szCs w:val="20"/>
          <w:lang w:val="en-GB"/>
        </w:rPr>
        <w:t xml:space="preserve"> </w:t>
      </w:r>
      <w:r w:rsidR="000A5948">
        <w:rPr>
          <w:i/>
          <w:iCs/>
          <w:sz w:val="20"/>
          <w:szCs w:val="20"/>
          <w:lang w:val="en-GB"/>
        </w:rPr>
        <w:t>T</w:t>
      </w:r>
      <w:r w:rsidR="008E7B22" w:rsidRPr="008E7B22">
        <w:rPr>
          <w:i/>
          <w:iCs/>
          <w:sz w:val="20"/>
          <w:szCs w:val="20"/>
          <w:lang w:val="en-GB"/>
        </w:rPr>
        <w:t xml:space="preserve">he </w:t>
      </w:r>
      <w:r w:rsidR="00411979">
        <w:rPr>
          <w:i/>
          <w:iCs/>
          <w:sz w:val="20"/>
          <w:szCs w:val="20"/>
          <w:lang w:val="en-GB"/>
        </w:rPr>
        <w:t>correct</w:t>
      </w:r>
      <w:r w:rsidR="008E7B22" w:rsidRPr="008E7B22">
        <w:rPr>
          <w:i/>
          <w:iCs/>
          <w:sz w:val="20"/>
          <w:szCs w:val="20"/>
          <w:lang w:val="en-GB"/>
        </w:rPr>
        <w:t xml:space="preserve"> approach to less than perfect procedural steps is to consider them in the context of prejudice and the interests of justice. </w:t>
      </w:r>
      <w:r w:rsidR="004F061C">
        <w:rPr>
          <w:i/>
          <w:iCs/>
          <w:sz w:val="20"/>
          <w:szCs w:val="20"/>
          <w:lang w:val="en-GB"/>
        </w:rPr>
        <w:t xml:space="preserve"> </w:t>
      </w:r>
      <w:r w:rsidR="008E7B22" w:rsidRPr="008E7B22">
        <w:rPr>
          <w:i/>
          <w:iCs/>
          <w:sz w:val="20"/>
          <w:szCs w:val="20"/>
          <w:lang w:val="en-GB"/>
        </w:rPr>
        <w:t xml:space="preserve">The interests of justice </w:t>
      </w:r>
      <w:r w:rsidR="00620108">
        <w:rPr>
          <w:i/>
          <w:iCs/>
          <w:sz w:val="20"/>
          <w:szCs w:val="20"/>
          <w:lang w:val="en-GB"/>
        </w:rPr>
        <w:t xml:space="preserve">is the yardstick for the court’s discretion </w:t>
      </w:r>
      <w:r w:rsidR="008E7B22" w:rsidRPr="008E7B22">
        <w:rPr>
          <w:i/>
          <w:iCs/>
          <w:sz w:val="20"/>
          <w:szCs w:val="20"/>
          <w:lang w:val="en-GB"/>
        </w:rPr>
        <w:t>to overlook such steps where objections</w:t>
      </w:r>
      <w:r w:rsidR="002111BB">
        <w:rPr>
          <w:i/>
          <w:iCs/>
          <w:sz w:val="20"/>
          <w:szCs w:val="20"/>
          <w:lang w:val="en-GB"/>
        </w:rPr>
        <w:t xml:space="preserve"> thereto</w:t>
      </w:r>
      <w:r w:rsidR="008E7B22" w:rsidRPr="008E7B22">
        <w:rPr>
          <w:i/>
          <w:iCs/>
          <w:sz w:val="20"/>
          <w:szCs w:val="20"/>
          <w:lang w:val="en-GB"/>
        </w:rPr>
        <w:t xml:space="preserve"> would have no effect other than to f</w:t>
      </w:r>
      <w:r w:rsidR="00911AB3">
        <w:rPr>
          <w:i/>
          <w:iCs/>
          <w:sz w:val="20"/>
          <w:szCs w:val="20"/>
          <w:lang w:val="en-GB"/>
        </w:rPr>
        <w:t>o</w:t>
      </w:r>
      <w:r w:rsidR="008E7B22" w:rsidRPr="008E7B22">
        <w:rPr>
          <w:i/>
          <w:iCs/>
          <w:sz w:val="20"/>
          <w:szCs w:val="20"/>
          <w:lang w:val="en-GB"/>
        </w:rPr>
        <w:t>ment delay and increase costs</w:t>
      </w:r>
      <w:r w:rsidR="002111BB">
        <w:rPr>
          <w:i/>
          <w:iCs/>
          <w:sz w:val="20"/>
          <w:szCs w:val="20"/>
          <w:lang w:val="en-GB"/>
        </w:rPr>
        <w:t>.</w:t>
      </w:r>
      <w:r w:rsidR="004F061C">
        <w:rPr>
          <w:i/>
          <w:iCs/>
          <w:sz w:val="20"/>
          <w:szCs w:val="20"/>
          <w:lang w:val="en-GB"/>
        </w:rPr>
        <w:t xml:space="preserve"> </w:t>
      </w:r>
      <w:r w:rsidR="008E7B22" w:rsidRPr="008E7B22">
        <w:rPr>
          <w:i/>
          <w:iCs/>
          <w:sz w:val="20"/>
          <w:szCs w:val="20"/>
          <w:lang w:val="en-GB"/>
        </w:rPr>
        <w:t xml:space="preserve"> The rules of civil procedure exist to ensure that every litigant has an opportunity to place its case before the Court so that a proper ventilation of the dispute between </w:t>
      </w:r>
      <w:r w:rsidR="00620108">
        <w:rPr>
          <w:i/>
          <w:iCs/>
          <w:sz w:val="20"/>
          <w:szCs w:val="20"/>
          <w:lang w:val="en-GB"/>
        </w:rPr>
        <w:t>can take place</w:t>
      </w:r>
      <w:r w:rsidR="008E7B22" w:rsidRPr="008E7B22">
        <w:rPr>
          <w:i/>
          <w:iCs/>
          <w:sz w:val="20"/>
          <w:szCs w:val="20"/>
          <w:lang w:val="en-GB"/>
        </w:rPr>
        <w:t>.</w:t>
      </w:r>
      <w:r w:rsidR="004F061C">
        <w:rPr>
          <w:i/>
          <w:iCs/>
          <w:sz w:val="20"/>
          <w:szCs w:val="20"/>
          <w:lang w:val="en-GB"/>
        </w:rPr>
        <w:t xml:space="preserve"> </w:t>
      </w:r>
      <w:r w:rsidR="008E7B22" w:rsidRPr="008E7B22">
        <w:rPr>
          <w:i/>
          <w:iCs/>
          <w:sz w:val="20"/>
          <w:szCs w:val="20"/>
          <w:lang w:val="en-GB"/>
        </w:rPr>
        <w:t xml:space="preserve"> Where a litigant takes steps to prevent this from happening, this undermines the right in section 34 of the Constitution, the proper administration of justice and </w:t>
      </w:r>
      <w:r w:rsidR="00911AB3">
        <w:rPr>
          <w:i/>
          <w:iCs/>
          <w:sz w:val="20"/>
          <w:szCs w:val="20"/>
          <w:lang w:val="en-GB"/>
        </w:rPr>
        <w:t>results in</w:t>
      </w:r>
      <w:r w:rsidR="008E7B22" w:rsidRPr="008E7B22">
        <w:rPr>
          <w:i/>
          <w:iCs/>
          <w:sz w:val="20"/>
          <w:szCs w:val="20"/>
          <w:lang w:val="en-GB"/>
        </w:rPr>
        <w:t xml:space="preserve"> unnecessary delays and increase</w:t>
      </w:r>
      <w:r w:rsidR="00911AB3">
        <w:rPr>
          <w:i/>
          <w:iCs/>
          <w:sz w:val="20"/>
          <w:szCs w:val="20"/>
          <w:lang w:val="en-GB"/>
        </w:rPr>
        <w:t>d</w:t>
      </w:r>
      <w:r w:rsidR="008E7B22" w:rsidRPr="008E7B22">
        <w:rPr>
          <w:i/>
          <w:iCs/>
          <w:sz w:val="20"/>
          <w:szCs w:val="20"/>
          <w:lang w:val="en-GB"/>
        </w:rPr>
        <w:t xml:space="preserve"> costs. </w:t>
      </w:r>
      <w:r w:rsidR="004F061C">
        <w:rPr>
          <w:i/>
          <w:iCs/>
          <w:sz w:val="20"/>
          <w:szCs w:val="20"/>
          <w:lang w:val="en-GB"/>
        </w:rPr>
        <w:t xml:space="preserve"> </w:t>
      </w:r>
      <w:r w:rsidR="008E7B22" w:rsidRPr="008E7B22">
        <w:rPr>
          <w:i/>
          <w:iCs/>
          <w:sz w:val="20"/>
          <w:szCs w:val="20"/>
          <w:lang w:val="en-GB"/>
        </w:rPr>
        <w:t>In the absence of real prejudice, this conduct should not be permitted</w:t>
      </w:r>
      <w:r w:rsidR="004F061C">
        <w:rPr>
          <w:i/>
          <w:iCs/>
          <w:sz w:val="20"/>
          <w:szCs w:val="20"/>
          <w:lang w:val="en-GB"/>
        </w:rPr>
        <w:t>,</w:t>
      </w:r>
      <w:r w:rsidR="008E7B22" w:rsidRPr="008E7B22">
        <w:rPr>
          <w:i/>
          <w:iCs/>
          <w:sz w:val="20"/>
          <w:szCs w:val="20"/>
          <w:lang w:val="en-GB"/>
        </w:rPr>
        <w:t xml:space="preserve"> and ought to meet with strong censure from the Court. </w:t>
      </w:r>
    </w:p>
    <w:p w14:paraId="0D23697E" w14:textId="77777777" w:rsidR="008E7B22" w:rsidRPr="00336669" w:rsidRDefault="008E7B22" w:rsidP="008E7B22">
      <w:pPr>
        <w:spacing w:line="360" w:lineRule="auto"/>
        <w:rPr>
          <w:b/>
          <w:bCs/>
          <w:i/>
          <w:iCs/>
          <w:sz w:val="20"/>
          <w:szCs w:val="20"/>
          <w:lang w:val="en-GB"/>
        </w:rPr>
      </w:pPr>
    </w:p>
    <w:p w14:paraId="7A4B2060" w14:textId="2EABD29C" w:rsidR="008E7B22" w:rsidRPr="008E7B22" w:rsidRDefault="00411979" w:rsidP="008E7B22">
      <w:pPr>
        <w:pStyle w:val="NUM1"/>
        <w:numPr>
          <w:ilvl w:val="0"/>
          <w:numId w:val="0"/>
        </w:numPr>
        <w:spacing w:line="360" w:lineRule="auto"/>
        <w:rPr>
          <w:i/>
          <w:iCs/>
          <w:sz w:val="20"/>
          <w:szCs w:val="20"/>
          <w:lang w:val="en-GB"/>
        </w:rPr>
      </w:pPr>
      <w:r w:rsidRPr="00336669">
        <w:rPr>
          <w:b/>
          <w:bCs/>
          <w:i/>
          <w:iCs/>
          <w:sz w:val="20"/>
          <w:szCs w:val="20"/>
          <w:lang w:val="en-GB"/>
        </w:rPr>
        <w:t>Failure to deliver amended pages with</w:t>
      </w:r>
      <w:r w:rsidR="004F061C">
        <w:rPr>
          <w:b/>
          <w:bCs/>
          <w:i/>
          <w:iCs/>
          <w:sz w:val="20"/>
          <w:szCs w:val="20"/>
          <w:lang w:val="en-GB"/>
        </w:rPr>
        <w:t>in</w:t>
      </w:r>
      <w:r w:rsidRPr="00336669">
        <w:rPr>
          <w:b/>
          <w:bCs/>
          <w:i/>
          <w:iCs/>
          <w:sz w:val="20"/>
          <w:szCs w:val="20"/>
          <w:lang w:val="en-GB"/>
        </w:rPr>
        <w:t xml:space="preserve"> the time period permitted in Rule 28</w:t>
      </w:r>
      <w:r w:rsidR="00FA3E6C">
        <w:rPr>
          <w:b/>
          <w:bCs/>
          <w:i/>
          <w:iCs/>
          <w:sz w:val="20"/>
          <w:szCs w:val="20"/>
          <w:lang w:val="en-GB"/>
        </w:rPr>
        <w:t>(5) and (7)</w:t>
      </w:r>
      <w:r w:rsidR="00336669">
        <w:rPr>
          <w:i/>
          <w:iCs/>
          <w:sz w:val="20"/>
          <w:szCs w:val="20"/>
          <w:lang w:val="en-GB"/>
        </w:rPr>
        <w:t xml:space="preserve"> </w:t>
      </w:r>
      <w:r w:rsidR="004F061C">
        <w:rPr>
          <w:i/>
          <w:iCs/>
          <w:sz w:val="20"/>
          <w:szCs w:val="20"/>
          <w:lang w:val="en-GB"/>
        </w:rPr>
        <w:t>–</w:t>
      </w:r>
      <w:r>
        <w:rPr>
          <w:i/>
          <w:iCs/>
          <w:sz w:val="20"/>
          <w:szCs w:val="20"/>
          <w:lang w:val="en-GB"/>
        </w:rPr>
        <w:t xml:space="preserve"> </w:t>
      </w:r>
      <w:r w:rsidR="008E7B22" w:rsidRPr="008E7B22">
        <w:rPr>
          <w:i/>
          <w:iCs/>
          <w:sz w:val="20"/>
          <w:szCs w:val="20"/>
          <w:lang w:val="en-GB"/>
        </w:rPr>
        <w:t xml:space="preserve">By the time this application was launched, the respondent had not delivered amended pages as contemplated in Rule 28. </w:t>
      </w:r>
      <w:r w:rsidR="004F061C">
        <w:rPr>
          <w:i/>
          <w:iCs/>
          <w:sz w:val="20"/>
          <w:szCs w:val="20"/>
          <w:lang w:val="en-GB"/>
        </w:rPr>
        <w:t xml:space="preserve"> </w:t>
      </w:r>
      <w:r w:rsidR="008E7B22" w:rsidRPr="008E7B22">
        <w:rPr>
          <w:i/>
          <w:iCs/>
          <w:sz w:val="20"/>
          <w:szCs w:val="20"/>
          <w:lang w:val="en-GB"/>
        </w:rPr>
        <w:t xml:space="preserve">There was, thus, no extant notice of intention to amend because the notice had lapsed </w:t>
      </w:r>
      <w:r w:rsidR="00FA3E6C">
        <w:rPr>
          <w:i/>
          <w:iCs/>
          <w:sz w:val="20"/>
          <w:szCs w:val="20"/>
          <w:lang w:val="en-GB"/>
        </w:rPr>
        <w:t>when</w:t>
      </w:r>
      <w:r w:rsidR="008E7B22" w:rsidRPr="008E7B22">
        <w:rPr>
          <w:i/>
          <w:iCs/>
          <w:sz w:val="20"/>
          <w:szCs w:val="20"/>
          <w:lang w:val="en-GB"/>
        </w:rPr>
        <w:t xml:space="preserve"> the amended pages </w:t>
      </w:r>
      <w:r w:rsidR="00FA3E6C">
        <w:rPr>
          <w:i/>
          <w:iCs/>
          <w:sz w:val="20"/>
          <w:szCs w:val="20"/>
          <w:lang w:val="en-GB"/>
        </w:rPr>
        <w:t>were not</w:t>
      </w:r>
      <w:r w:rsidR="008E7B22" w:rsidRPr="008E7B22">
        <w:rPr>
          <w:i/>
          <w:iCs/>
          <w:sz w:val="20"/>
          <w:szCs w:val="20"/>
          <w:lang w:val="en-GB"/>
        </w:rPr>
        <w:t xml:space="preserve"> delivered within the time permitted by the Rules. </w:t>
      </w:r>
      <w:r w:rsidR="004F061C">
        <w:rPr>
          <w:i/>
          <w:iCs/>
          <w:sz w:val="20"/>
          <w:szCs w:val="20"/>
          <w:lang w:val="en-GB"/>
        </w:rPr>
        <w:t xml:space="preserve"> </w:t>
      </w:r>
      <w:r w:rsidR="008E7B22" w:rsidRPr="008E7B22">
        <w:rPr>
          <w:i/>
          <w:iCs/>
          <w:sz w:val="20"/>
          <w:szCs w:val="20"/>
          <w:lang w:val="en-GB"/>
        </w:rPr>
        <w:t xml:space="preserve">Accordingly, there was no offensive notice capable of occasioning prejudice to the applicant, even if the contentions of prejudice </w:t>
      </w:r>
      <w:r w:rsidR="00896A3F">
        <w:rPr>
          <w:i/>
          <w:iCs/>
          <w:sz w:val="20"/>
          <w:szCs w:val="20"/>
          <w:lang w:val="en-GB"/>
        </w:rPr>
        <w:t xml:space="preserve">were </w:t>
      </w:r>
      <w:r w:rsidR="00896A3F" w:rsidRPr="008E7B22">
        <w:rPr>
          <w:i/>
          <w:iCs/>
          <w:sz w:val="20"/>
          <w:szCs w:val="20"/>
          <w:lang w:val="en-GB"/>
        </w:rPr>
        <w:t>sustainable</w:t>
      </w:r>
      <w:r w:rsidR="008E7B22" w:rsidRPr="008E7B22">
        <w:rPr>
          <w:i/>
          <w:iCs/>
          <w:sz w:val="20"/>
          <w:szCs w:val="20"/>
          <w:lang w:val="en-GB"/>
        </w:rPr>
        <w:t xml:space="preserve">. </w:t>
      </w:r>
    </w:p>
    <w:p w14:paraId="2F25EF26" w14:textId="77777777" w:rsidR="008E7B22" w:rsidRPr="008E7B22" w:rsidRDefault="008E7B22" w:rsidP="008E7B22">
      <w:pPr>
        <w:spacing w:line="360" w:lineRule="auto"/>
        <w:rPr>
          <w:b/>
          <w:bCs/>
          <w:sz w:val="20"/>
          <w:szCs w:val="20"/>
          <w:lang w:val="en-GB"/>
        </w:rPr>
      </w:pPr>
    </w:p>
    <w:p w14:paraId="5D544A69" w14:textId="64A2CEEA" w:rsidR="008E7B22" w:rsidRPr="008E7B22" w:rsidRDefault="00336669" w:rsidP="008E7B22">
      <w:pPr>
        <w:pStyle w:val="NUM1"/>
        <w:numPr>
          <w:ilvl w:val="0"/>
          <w:numId w:val="0"/>
        </w:numPr>
        <w:spacing w:line="360" w:lineRule="auto"/>
        <w:rPr>
          <w:i/>
          <w:iCs/>
          <w:sz w:val="20"/>
          <w:szCs w:val="20"/>
          <w:lang w:val="en-GB"/>
        </w:rPr>
      </w:pPr>
      <w:r w:rsidRPr="00336669">
        <w:rPr>
          <w:b/>
          <w:bCs/>
          <w:i/>
          <w:iCs/>
          <w:sz w:val="20"/>
          <w:szCs w:val="20"/>
          <w:lang w:val="en-GB"/>
        </w:rPr>
        <w:t>Costs</w:t>
      </w:r>
      <w:r>
        <w:rPr>
          <w:i/>
          <w:iCs/>
          <w:sz w:val="20"/>
          <w:szCs w:val="20"/>
          <w:lang w:val="en-GB"/>
        </w:rPr>
        <w:t xml:space="preserve"> </w:t>
      </w:r>
      <w:r w:rsidR="00C7542A">
        <w:rPr>
          <w:i/>
          <w:iCs/>
          <w:sz w:val="20"/>
          <w:szCs w:val="20"/>
          <w:lang w:val="en-GB"/>
        </w:rPr>
        <w:t>–</w:t>
      </w:r>
      <w:r>
        <w:rPr>
          <w:i/>
          <w:iCs/>
          <w:sz w:val="20"/>
          <w:szCs w:val="20"/>
          <w:lang w:val="en-GB"/>
        </w:rPr>
        <w:t xml:space="preserve"> </w:t>
      </w:r>
      <w:r w:rsidR="008E7B22" w:rsidRPr="008E7B22">
        <w:rPr>
          <w:i/>
          <w:iCs/>
          <w:sz w:val="20"/>
          <w:szCs w:val="20"/>
          <w:lang w:val="en-GB"/>
        </w:rPr>
        <w:t xml:space="preserve">The conduct of the applicant is wholly directed at preventing the proper ventilation of </w:t>
      </w:r>
      <w:r w:rsidR="00896A3F">
        <w:rPr>
          <w:i/>
          <w:iCs/>
          <w:sz w:val="20"/>
          <w:szCs w:val="20"/>
          <w:lang w:val="en-GB"/>
        </w:rPr>
        <w:t xml:space="preserve">the </w:t>
      </w:r>
      <w:r w:rsidR="008E7B22" w:rsidRPr="008E7B22">
        <w:rPr>
          <w:i/>
          <w:iCs/>
          <w:sz w:val="20"/>
          <w:szCs w:val="20"/>
          <w:lang w:val="en-GB"/>
        </w:rPr>
        <w:t>disputes</w:t>
      </w:r>
      <w:r w:rsidR="00896A3F">
        <w:rPr>
          <w:i/>
          <w:iCs/>
          <w:sz w:val="20"/>
          <w:szCs w:val="20"/>
          <w:lang w:val="en-GB"/>
        </w:rPr>
        <w:t xml:space="preserve"> between the parties</w:t>
      </w:r>
      <w:r w:rsidR="008E7B22" w:rsidRPr="008E7B22">
        <w:rPr>
          <w:i/>
          <w:iCs/>
          <w:sz w:val="20"/>
          <w:szCs w:val="20"/>
          <w:lang w:val="en-GB"/>
        </w:rPr>
        <w:t>.</w:t>
      </w:r>
      <w:r w:rsidR="00C7542A">
        <w:rPr>
          <w:i/>
          <w:iCs/>
          <w:sz w:val="20"/>
          <w:szCs w:val="20"/>
          <w:lang w:val="en-GB"/>
        </w:rPr>
        <w:t xml:space="preserve"> </w:t>
      </w:r>
      <w:r w:rsidR="008E7B22" w:rsidRPr="008E7B22">
        <w:rPr>
          <w:i/>
          <w:iCs/>
          <w:sz w:val="20"/>
          <w:szCs w:val="20"/>
          <w:lang w:val="en-GB"/>
        </w:rPr>
        <w:t xml:space="preserve"> </w:t>
      </w:r>
      <w:r w:rsidR="008F5E59">
        <w:rPr>
          <w:i/>
          <w:iCs/>
          <w:sz w:val="20"/>
          <w:szCs w:val="20"/>
          <w:lang w:val="en-GB"/>
        </w:rPr>
        <w:t>But for the novel issue on which no apparent authority exists, the</w:t>
      </w:r>
      <w:r w:rsidR="008E7B22" w:rsidRPr="008E7B22">
        <w:rPr>
          <w:i/>
          <w:iCs/>
          <w:sz w:val="20"/>
          <w:szCs w:val="20"/>
          <w:lang w:val="en-GB"/>
        </w:rPr>
        <w:t xml:space="preserve"> applicant's attorneys </w:t>
      </w:r>
      <w:r w:rsidR="008F5E59">
        <w:rPr>
          <w:i/>
          <w:iCs/>
          <w:sz w:val="20"/>
          <w:szCs w:val="20"/>
          <w:lang w:val="en-GB"/>
        </w:rPr>
        <w:t>and its</w:t>
      </w:r>
      <w:r w:rsidR="008E7B22" w:rsidRPr="008E7B22">
        <w:rPr>
          <w:i/>
          <w:iCs/>
          <w:sz w:val="20"/>
          <w:szCs w:val="20"/>
          <w:lang w:val="en-GB"/>
        </w:rPr>
        <w:t xml:space="preserve"> counsel </w:t>
      </w:r>
      <w:r w:rsidR="008F5E59">
        <w:rPr>
          <w:i/>
          <w:iCs/>
          <w:sz w:val="20"/>
          <w:szCs w:val="20"/>
          <w:lang w:val="en-GB"/>
        </w:rPr>
        <w:t>would have been precluded from recovering any costs from the applicant.</w:t>
      </w:r>
      <w:r w:rsidR="008E7B22" w:rsidRPr="008E7B22">
        <w:rPr>
          <w:i/>
          <w:iCs/>
          <w:sz w:val="20"/>
          <w:szCs w:val="20"/>
          <w:lang w:val="en-GB"/>
        </w:rPr>
        <w:t xml:space="preserve"> </w:t>
      </w:r>
    </w:p>
    <w:p w14:paraId="26C786B8" w14:textId="4445A2BE" w:rsidR="00EC4349" w:rsidRDefault="00EC4349" w:rsidP="00870A5A"/>
    <w:p w14:paraId="3E813BEC" w14:textId="30D87A16" w:rsidR="00980598" w:rsidRPr="00A124AF" w:rsidRDefault="00980598" w:rsidP="00870A5A">
      <w:pPr>
        <w:rPr>
          <w:b/>
          <w:bCs/>
        </w:rPr>
      </w:pPr>
      <w:r w:rsidRPr="00A124AF">
        <w:rPr>
          <w:b/>
          <w:bCs/>
        </w:rPr>
        <w:t>INTRODUCTION</w:t>
      </w:r>
    </w:p>
    <w:p w14:paraId="268C136B" w14:textId="77777777" w:rsidR="00980598" w:rsidRDefault="00980598" w:rsidP="00870A5A"/>
    <w:p w14:paraId="27E2DF69" w14:textId="0592AABB" w:rsidR="00AA7E9B" w:rsidRDefault="00250A50" w:rsidP="00250A50">
      <w:pPr>
        <w:pStyle w:val="NUM1"/>
        <w:numPr>
          <w:ilvl w:val="0"/>
          <w:numId w:val="0"/>
        </w:numPr>
        <w:tabs>
          <w:tab w:val="left" w:pos="720"/>
        </w:tabs>
        <w:ind w:left="720" w:hanging="720"/>
      </w:pPr>
      <w:r>
        <w:rPr>
          <w:caps/>
        </w:rPr>
        <w:t>[1]</w:t>
      </w:r>
      <w:r>
        <w:rPr>
          <w:caps/>
        </w:rPr>
        <w:tab/>
      </w:r>
      <w:r w:rsidR="00AA7E9B">
        <w:t>This is an application that ought never to have come before Court.</w:t>
      </w:r>
      <w:r w:rsidR="00CD57EF">
        <w:t xml:space="preserve">  But, because this matter raises an issue that has come before me at least once before, and </w:t>
      </w:r>
      <w:r w:rsidR="003C7CC4">
        <w:t xml:space="preserve">because </w:t>
      </w:r>
      <w:r w:rsidR="00CD57EF">
        <w:t>there is no apparent judicial pronouncement thereon, this judgment is necessary.</w:t>
      </w:r>
      <w:r w:rsidR="00D90EE0">
        <w:t xml:space="preserve"> </w:t>
      </w:r>
    </w:p>
    <w:p w14:paraId="515AA444" w14:textId="1D5CAFEE" w:rsidR="00AA7E9B" w:rsidRDefault="00AA7E9B" w:rsidP="00AA7E9B"/>
    <w:p w14:paraId="07D5EE2B" w14:textId="79427515" w:rsidR="00AA7E9B" w:rsidRDefault="00250A50" w:rsidP="00250A50">
      <w:pPr>
        <w:pStyle w:val="NUM1"/>
        <w:numPr>
          <w:ilvl w:val="0"/>
          <w:numId w:val="0"/>
        </w:numPr>
        <w:tabs>
          <w:tab w:val="left" w:pos="720"/>
        </w:tabs>
        <w:ind w:left="720" w:hanging="720"/>
      </w:pPr>
      <w:r>
        <w:rPr>
          <w:caps/>
        </w:rPr>
        <w:t>[2]</w:t>
      </w:r>
      <w:r>
        <w:rPr>
          <w:caps/>
        </w:rPr>
        <w:tab/>
      </w:r>
      <w:r w:rsidR="00AA7E9B">
        <w:t>This application, an interlocutory application, is one brought in terms of Rule 30 of the Uniform Rules of Court</w:t>
      </w:r>
      <w:r w:rsidR="00F612E4">
        <w:t xml:space="preserve">. </w:t>
      </w:r>
      <w:r w:rsidR="00E42D66">
        <w:t xml:space="preserve"> </w:t>
      </w:r>
      <w:r w:rsidR="00F612E4">
        <w:t>The applicant conten</w:t>
      </w:r>
      <w:r w:rsidR="00E42D66">
        <w:t>d</w:t>
      </w:r>
      <w:r w:rsidR="00F612E4">
        <w:t>s that a notice delivered by the respondent styled "</w:t>
      </w:r>
      <w:r w:rsidR="00F612E4" w:rsidRPr="005C6415">
        <w:rPr>
          <w:i/>
          <w:iCs/>
        </w:rPr>
        <w:t>Notice to Amend Plea</w:t>
      </w:r>
      <w:r w:rsidR="00F612E4">
        <w:t>" offends against the provisions of Rule 28 because it does not comply with two sub</w:t>
      </w:r>
      <w:r w:rsidR="005C6415">
        <w:t>-</w:t>
      </w:r>
      <w:r w:rsidR="00F612E4">
        <w:t xml:space="preserve">rules, being that, a notice of intention to amend as contemplated in the Rule must contain a provision </w:t>
      </w:r>
      <w:r w:rsidR="00A8312B">
        <w:t xml:space="preserve">notifying </w:t>
      </w:r>
      <w:r w:rsidR="00F612E4">
        <w:t xml:space="preserve">the recipient </w:t>
      </w:r>
      <w:r w:rsidR="00A8312B">
        <w:t>thereof of its</w:t>
      </w:r>
      <w:r w:rsidR="00F612E4">
        <w:t xml:space="preserve"> to object</w:t>
      </w:r>
      <w:r w:rsidR="00234626">
        <w:rPr>
          <w:rStyle w:val="FootnoteReference"/>
        </w:rPr>
        <w:footnoteReference w:id="1"/>
      </w:r>
      <w:r w:rsidR="00863970">
        <w:t xml:space="preserve">, </w:t>
      </w:r>
      <w:r w:rsidR="00F612E4">
        <w:t>and must contain a tender for the costs occasioned thereby.</w:t>
      </w:r>
      <w:r w:rsidR="00234626">
        <w:rPr>
          <w:rStyle w:val="FootnoteReference"/>
        </w:rPr>
        <w:footnoteReference w:id="2"/>
      </w:r>
      <w:r w:rsidR="00863970">
        <w:t xml:space="preserve"> </w:t>
      </w:r>
    </w:p>
    <w:p w14:paraId="1EAE2CD0" w14:textId="1AF9E60E" w:rsidR="00F612E4" w:rsidRDefault="00F612E4" w:rsidP="00F612E4"/>
    <w:p w14:paraId="7FFB6D4A" w14:textId="6D127C96" w:rsidR="00F612E4" w:rsidRDefault="00250A50" w:rsidP="00250A50">
      <w:pPr>
        <w:pStyle w:val="NUM1"/>
        <w:numPr>
          <w:ilvl w:val="0"/>
          <w:numId w:val="0"/>
        </w:numPr>
        <w:tabs>
          <w:tab w:val="left" w:pos="720"/>
        </w:tabs>
        <w:ind w:left="720" w:hanging="720"/>
      </w:pPr>
      <w:r>
        <w:rPr>
          <w:caps/>
        </w:rPr>
        <w:t>[3]</w:t>
      </w:r>
      <w:r>
        <w:rPr>
          <w:caps/>
        </w:rPr>
        <w:tab/>
      </w:r>
      <w:r w:rsidR="00F612E4">
        <w:t xml:space="preserve">Thus, the applicant contends that it was prejudiced because it was not informed of these </w:t>
      </w:r>
      <w:r w:rsidR="00A8312B">
        <w:t xml:space="preserve">procedural </w:t>
      </w:r>
      <w:r w:rsidR="00F612E4">
        <w:t xml:space="preserve">rights. </w:t>
      </w:r>
    </w:p>
    <w:p w14:paraId="64B62D70" w14:textId="3BF9FD40" w:rsidR="00F612E4" w:rsidRDefault="00F612E4" w:rsidP="00F612E4"/>
    <w:p w14:paraId="491F822F" w14:textId="58FFEC20" w:rsidR="00BA09FA" w:rsidRDefault="00250A50" w:rsidP="00250A50">
      <w:pPr>
        <w:pStyle w:val="NUM1"/>
        <w:numPr>
          <w:ilvl w:val="0"/>
          <w:numId w:val="0"/>
        </w:numPr>
        <w:tabs>
          <w:tab w:val="left" w:pos="720"/>
        </w:tabs>
        <w:ind w:left="720" w:hanging="720"/>
      </w:pPr>
      <w:r>
        <w:rPr>
          <w:caps/>
        </w:rPr>
        <w:t>[4]</w:t>
      </w:r>
      <w:r>
        <w:rPr>
          <w:caps/>
        </w:rPr>
        <w:tab/>
      </w:r>
      <w:r w:rsidR="00BA09FA">
        <w:t>For each of these reasons, the applicant contends that the “</w:t>
      </w:r>
      <w:r w:rsidR="00BA09FA" w:rsidRPr="00FF43CA">
        <w:rPr>
          <w:i/>
          <w:iCs/>
        </w:rPr>
        <w:t>Notice to Amend Plea</w:t>
      </w:r>
      <w:r w:rsidR="00BA09FA">
        <w:t>” is an irregular step</w:t>
      </w:r>
      <w:r w:rsidR="00234626">
        <w:t xml:space="preserve"> as contemplated in Rule 30</w:t>
      </w:r>
      <w:r w:rsidR="00BA09FA">
        <w:t xml:space="preserve">. </w:t>
      </w:r>
    </w:p>
    <w:p w14:paraId="067E0478" w14:textId="2B7E2EC3" w:rsidR="00980598" w:rsidRDefault="00980598" w:rsidP="00980598"/>
    <w:p w14:paraId="22D4A70A" w14:textId="4E9429ED" w:rsidR="00980598" w:rsidRPr="00A124AF" w:rsidRDefault="008464ED" w:rsidP="00980598">
      <w:pPr>
        <w:rPr>
          <w:b/>
          <w:bCs/>
        </w:rPr>
      </w:pPr>
      <w:r>
        <w:rPr>
          <w:b/>
          <w:bCs/>
        </w:rPr>
        <w:t>THE LAW OF CIVIL PROCEDURE</w:t>
      </w:r>
    </w:p>
    <w:p w14:paraId="048BE090" w14:textId="77777777" w:rsidR="00BA09FA" w:rsidRPr="00BA09FA" w:rsidRDefault="00BA09FA" w:rsidP="00BA09FA"/>
    <w:p w14:paraId="007558BF" w14:textId="6C92DB9C" w:rsidR="00F612E4" w:rsidRDefault="00250A50" w:rsidP="00250A50">
      <w:pPr>
        <w:pStyle w:val="NUM1"/>
        <w:numPr>
          <w:ilvl w:val="0"/>
          <w:numId w:val="0"/>
        </w:numPr>
        <w:tabs>
          <w:tab w:val="left" w:pos="720"/>
        </w:tabs>
        <w:ind w:left="720" w:hanging="720"/>
      </w:pPr>
      <w:r>
        <w:rPr>
          <w:caps/>
        </w:rPr>
        <w:t>[5]</w:t>
      </w:r>
      <w:r>
        <w:rPr>
          <w:caps/>
        </w:rPr>
        <w:tab/>
      </w:r>
      <w:r w:rsidR="00F612E4">
        <w:t>The applicant, which is the plaintiff in a pending action under the above case number</w:t>
      </w:r>
      <w:r w:rsidR="00CF1AB9">
        <w:t>,</w:t>
      </w:r>
      <w:r w:rsidR="00F612E4">
        <w:t xml:space="preserve"> is represented by attorneys and counsel.</w:t>
      </w:r>
      <w:r w:rsidR="00CF1AB9">
        <w:t xml:space="preserve"> </w:t>
      </w:r>
      <w:r w:rsidR="00F612E4">
        <w:t xml:space="preserve"> The respondent, the defendant in the action, is a lay person and has no representation.</w:t>
      </w:r>
      <w:r w:rsidR="00CF1AB9">
        <w:t xml:space="preserve"> </w:t>
      </w:r>
      <w:r w:rsidR="00F612E4">
        <w:t xml:space="preserve"> As appears from the pleadings delivered by the respondent and his responses to the notices delivered by the applicant, he is an unsophisticated litigant who bears very little knowledge of the rules of civil procedure much less the Rules of Court.</w:t>
      </w:r>
    </w:p>
    <w:p w14:paraId="78D30582" w14:textId="528734AD" w:rsidR="00F612E4" w:rsidRDefault="00F612E4" w:rsidP="00F612E4"/>
    <w:p w14:paraId="27FCB2C8" w14:textId="10782793" w:rsidR="00F612E4" w:rsidRDefault="00250A50" w:rsidP="00250A50">
      <w:pPr>
        <w:pStyle w:val="NUM1"/>
        <w:numPr>
          <w:ilvl w:val="0"/>
          <w:numId w:val="0"/>
        </w:numPr>
        <w:tabs>
          <w:tab w:val="left" w:pos="720"/>
        </w:tabs>
        <w:ind w:left="720" w:hanging="720"/>
      </w:pPr>
      <w:r>
        <w:rPr>
          <w:caps/>
        </w:rPr>
        <w:t>[6]</w:t>
      </w:r>
      <w:r>
        <w:rPr>
          <w:caps/>
        </w:rPr>
        <w:tab/>
      </w:r>
      <w:r w:rsidR="00F612E4">
        <w:t xml:space="preserve">Section 34 of the Constitution guarantees </w:t>
      </w:r>
      <w:r w:rsidR="00D0604C">
        <w:t xml:space="preserve">a </w:t>
      </w:r>
      <w:r w:rsidR="00F612E4">
        <w:t>litigant</w:t>
      </w:r>
      <w:r w:rsidR="00D0604C">
        <w:t>’</w:t>
      </w:r>
      <w:r w:rsidR="00F612E4">
        <w:t>s right of access to Court</w:t>
      </w:r>
      <w:r w:rsidR="00D0604C">
        <w:t xml:space="preserve"> for purposes of resolving a dispute</w:t>
      </w:r>
      <w:r w:rsidR="00F612E4">
        <w:t>.</w:t>
      </w:r>
      <w:r w:rsidR="00517FCF">
        <w:rPr>
          <w:rStyle w:val="FootnoteReference"/>
        </w:rPr>
        <w:footnoteReference w:id="3"/>
      </w:r>
      <w:r w:rsidR="00F612E4">
        <w:t xml:space="preserve"> </w:t>
      </w:r>
      <w:r w:rsidR="00CF1AB9">
        <w:t xml:space="preserve"> </w:t>
      </w:r>
      <w:r w:rsidR="00F612E4">
        <w:t>This right is an embodiment of an ancient common law principle that a person has a right to a proper and fair hearing</w:t>
      </w:r>
      <w:r w:rsidR="00517FCF">
        <w:t>, which has, at its core</w:t>
      </w:r>
      <w:r w:rsidR="005151CA">
        <w:t>,</w:t>
      </w:r>
      <w:r w:rsidR="00517FCF">
        <w:t xml:space="preserve"> the right to a litigant to tell his or her side</w:t>
      </w:r>
      <w:r w:rsidR="00D0604C">
        <w:rPr>
          <w:rStyle w:val="FootnoteReference"/>
        </w:rPr>
        <w:footnoteReference w:id="4"/>
      </w:r>
      <w:r w:rsidR="005151CA">
        <w:t>,</w:t>
      </w:r>
      <w:r w:rsidR="00F612E4">
        <w:t xml:space="preserve"> before an impartial presiding officer</w:t>
      </w:r>
      <w:r w:rsidR="00517FCF">
        <w:rPr>
          <w:rStyle w:val="FootnoteReference"/>
        </w:rPr>
        <w:footnoteReference w:id="5"/>
      </w:r>
      <w:r w:rsidR="005151CA">
        <w:t>,</w:t>
      </w:r>
      <w:r w:rsidR="00D0604C">
        <w:t xml:space="preserve"> albeit that this right is subject to limitation.</w:t>
      </w:r>
      <w:r w:rsidR="00D0604C">
        <w:rPr>
          <w:rStyle w:val="FootnoteReference"/>
        </w:rPr>
        <w:footnoteReference w:id="6"/>
      </w:r>
      <w:r w:rsidR="00F612E4">
        <w:t xml:space="preserve"> </w:t>
      </w:r>
    </w:p>
    <w:p w14:paraId="11A465B9" w14:textId="6ADF19DC" w:rsidR="00F612E4" w:rsidRDefault="00F612E4" w:rsidP="00F612E4"/>
    <w:p w14:paraId="525746EC" w14:textId="1B9078D4" w:rsidR="003D7674" w:rsidRDefault="00250A50" w:rsidP="00250A50">
      <w:pPr>
        <w:pStyle w:val="NUM1"/>
        <w:numPr>
          <w:ilvl w:val="0"/>
          <w:numId w:val="0"/>
        </w:numPr>
        <w:tabs>
          <w:tab w:val="left" w:pos="720"/>
        </w:tabs>
        <w:ind w:left="720" w:hanging="720"/>
      </w:pPr>
      <w:r>
        <w:rPr>
          <w:caps/>
        </w:rPr>
        <w:t>[7]</w:t>
      </w:r>
      <w:r>
        <w:rPr>
          <w:caps/>
        </w:rPr>
        <w:tab/>
      </w:r>
      <w:r w:rsidR="00F612E4">
        <w:t xml:space="preserve">It is for this reason that our rules of civil procedure exist. </w:t>
      </w:r>
      <w:r w:rsidR="002C5E2D">
        <w:t xml:space="preserve"> </w:t>
      </w:r>
      <w:r w:rsidR="00F612E4">
        <w:t>These rules are, to a large extent, codified in the Uniform Rules of Court which govern the manner in which proceedings take place so that every litigant's rights</w:t>
      </w:r>
      <w:r w:rsidR="003D7674">
        <w:t xml:space="preserve"> to a fair trial</w:t>
      </w:r>
      <w:r w:rsidR="00F612E4">
        <w:t xml:space="preserve"> may</w:t>
      </w:r>
      <w:r w:rsidR="003D7674">
        <w:t xml:space="preserve"> </w:t>
      </w:r>
      <w:r w:rsidR="00F612E4">
        <w:t>be realised</w:t>
      </w:r>
      <w:r w:rsidR="00917149">
        <w:t xml:space="preserve">. </w:t>
      </w:r>
    </w:p>
    <w:p w14:paraId="72FC2A76" w14:textId="77777777" w:rsidR="003D7674" w:rsidRPr="003D7674" w:rsidRDefault="003D7674" w:rsidP="003D7674"/>
    <w:p w14:paraId="0BEFFAD8" w14:textId="55042872" w:rsidR="00F612E4" w:rsidRDefault="00250A50" w:rsidP="00250A50">
      <w:pPr>
        <w:pStyle w:val="NUM1"/>
        <w:numPr>
          <w:ilvl w:val="0"/>
          <w:numId w:val="0"/>
        </w:numPr>
        <w:tabs>
          <w:tab w:val="left" w:pos="720"/>
        </w:tabs>
        <w:ind w:left="720" w:hanging="720"/>
      </w:pPr>
      <w:r>
        <w:rPr>
          <w:caps/>
        </w:rPr>
        <w:t>[8]</w:t>
      </w:r>
      <w:r>
        <w:rPr>
          <w:caps/>
        </w:rPr>
        <w:tab/>
      </w:r>
      <w:r w:rsidR="00917149">
        <w:t>But this does not mean that the Rules are to be applied rigidly, inflexibly or without du</w:t>
      </w:r>
      <w:bookmarkStart w:id="0" w:name="_GoBack"/>
      <w:bookmarkEnd w:id="0"/>
      <w:r w:rsidR="00917149">
        <w:t>e regard to the exigencies of a particular case.</w:t>
      </w:r>
      <w:r w:rsidR="00F97CF9">
        <w:t xml:space="preserve"> </w:t>
      </w:r>
    </w:p>
    <w:p w14:paraId="4DD8DF0C" w14:textId="13F1A947" w:rsidR="00F17BC2" w:rsidRDefault="00F17BC2" w:rsidP="00F17BC2"/>
    <w:p w14:paraId="3ADBC49E" w14:textId="2B1162B3" w:rsidR="0061609A" w:rsidRDefault="00250A50" w:rsidP="00250A50">
      <w:pPr>
        <w:pStyle w:val="NUM1"/>
        <w:numPr>
          <w:ilvl w:val="0"/>
          <w:numId w:val="0"/>
        </w:numPr>
        <w:tabs>
          <w:tab w:val="left" w:pos="720"/>
        </w:tabs>
        <w:ind w:left="720" w:hanging="720"/>
      </w:pPr>
      <w:r>
        <w:rPr>
          <w:caps/>
        </w:rPr>
        <w:t>[9]</w:t>
      </w:r>
      <w:r>
        <w:rPr>
          <w:caps/>
        </w:rPr>
        <w:tab/>
      </w:r>
      <w:r w:rsidR="00932A6A">
        <w:t xml:space="preserve">Support for this proposition may be found in the Constitutional Court’s judgment in </w:t>
      </w:r>
      <w:r w:rsidR="00932A6A" w:rsidRPr="00932A6A">
        <w:rPr>
          <w:b/>
          <w:bCs/>
        </w:rPr>
        <w:t>Eke</w:t>
      </w:r>
      <w:r w:rsidR="00932A6A">
        <w:rPr>
          <w:rStyle w:val="FootnoteReference"/>
        </w:rPr>
        <w:footnoteReference w:id="7"/>
      </w:r>
      <w:r w:rsidR="00932A6A">
        <w:rPr>
          <w:b/>
          <w:bCs/>
        </w:rPr>
        <w:t xml:space="preserve"> </w:t>
      </w:r>
      <w:r w:rsidR="00932A6A" w:rsidRPr="00932A6A">
        <w:t>where it was said that</w:t>
      </w:r>
      <w:r w:rsidR="00D61889">
        <w:t xml:space="preserve">: </w:t>
      </w:r>
    </w:p>
    <w:p w14:paraId="6743A5D1" w14:textId="293D4275" w:rsidR="00932A6A" w:rsidRDefault="00932A6A" w:rsidP="00932A6A"/>
    <w:p w14:paraId="12243E77" w14:textId="707E3A44" w:rsidR="00932A6A" w:rsidRPr="00CD57EF" w:rsidRDefault="00932A6A" w:rsidP="00D61889">
      <w:pPr>
        <w:tabs>
          <w:tab w:val="left" w:pos="1276"/>
        </w:tabs>
        <w:spacing w:line="360" w:lineRule="auto"/>
        <w:ind w:left="1276" w:hanging="567"/>
        <w:rPr>
          <w:color w:val="000000"/>
          <w:sz w:val="20"/>
          <w:szCs w:val="20"/>
        </w:rPr>
      </w:pPr>
      <w:r w:rsidRPr="00CD57EF">
        <w:rPr>
          <w:sz w:val="20"/>
          <w:szCs w:val="20"/>
        </w:rPr>
        <w:t>“</w:t>
      </w:r>
      <w:r w:rsidRPr="00CD57EF">
        <w:rPr>
          <w:color w:val="000000"/>
          <w:sz w:val="20"/>
          <w:szCs w:val="20"/>
        </w:rPr>
        <w:t xml:space="preserve">[39] </w:t>
      </w:r>
      <w:r w:rsidR="00D61889">
        <w:rPr>
          <w:color w:val="000000"/>
          <w:sz w:val="20"/>
          <w:szCs w:val="20"/>
        </w:rPr>
        <w:tab/>
      </w:r>
      <w:r w:rsidRPr="00CD57EF">
        <w:rPr>
          <w:color w:val="000000"/>
          <w:sz w:val="20"/>
          <w:szCs w:val="20"/>
        </w:rPr>
        <w:t>This issue concerns Mr Eke's complaint that the re-enrolled summary judgment application</w:t>
      </w:r>
      <w:bookmarkStart w:id="1" w:name="0-0-0-171993"/>
      <w:bookmarkEnd w:id="1"/>
      <w:r w:rsidR="00D61889">
        <w:rPr>
          <w:color w:val="000000"/>
          <w:sz w:val="20"/>
          <w:szCs w:val="20"/>
        </w:rPr>
        <w:t xml:space="preserve"> </w:t>
      </w:r>
      <w:r w:rsidRPr="00CD57EF">
        <w:rPr>
          <w:color w:val="000000"/>
          <w:sz w:val="20"/>
          <w:szCs w:val="20"/>
        </w:rPr>
        <w:t xml:space="preserve">was legally incompetent; this because rule 32 of the Uniform Rules allows the filing of only one summary judgment application. </w:t>
      </w:r>
      <w:r w:rsidR="00D61889">
        <w:rPr>
          <w:color w:val="000000"/>
          <w:sz w:val="20"/>
          <w:szCs w:val="20"/>
        </w:rPr>
        <w:t xml:space="preserve"> </w:t>
      </w:r>
      <w:r w:rsidRPr="00CD57EF">
        <w:rPr>
          <w:color w:val="000000"/>
          <w:sz w:val="20"/>
          <w:szCs w:val="20"/>
        </w:rPr>
        <w:t>Mr Eke argues that the causa for the re-enrolled summary</w:t>
      </w:r>
      <w:r w:rsidR="00D61889">
        <w:rPr>
          <w:color w:val="000000"/>
          <w:sz w:val="20"/>
          <w:szCs w:val="20"/>
        </w:rPr>
        <w:t xml:space="preserve"> </w:t>
      </w:r>
      <w:r w:rsidRPr="00CD57EF">
        <w:rPr>
          <w:color w:val="000000"/>
          <w:sz w:val="20"/>
          <w:szCs w:val="20"/>
        </w:rPr>
        <w:t xml:space="preserve">judgment application was not the same as that of the earlier summary judgment application. </w:t>
      </w:r>
      <w:r w:rsidR="00D61889">
        <w:rPr>
          <w:color w:val="000000"/>
          <w:sz w:val="20"/>
          <w:szCs w:val="20"/>
        </w:rPr>
        <w:t xml:space="preserve"> </w:t>
      </w:r>
      <w:r w:rsidRPr="00CD57EF">
        <w:rPr>
          <w:color w:val="000000"/>
          <w:sz w:val="20"/>
          <w:szCs w:val="20"/>
        </w:rPr>
        <w:t xml:space="preserve">As a result, he continues, the re-enrolled application was essentially a second summary judgment application. </w:t>
      </w:r>
      <w:r w:rsidR="00D61889">
        <w:rPr>
          <w:color w:val="000000"/>
          <w:sz w:val="20"/>
          <w:szCs w:val="20"/>
        </w:rPr>
        <w:t xml:space="preserve"> </w:t>
      </w:r>
      <w:r w:rsidRPr="00CD57EF">
        <w:rPr>
          <w:color w:val="000000"/>
          <w:sz w:val="20"/>
          <w:szCs w:val="20"/>
        </w:rPr>
        <w:t>Without doubt, rules governing the court process cannot be disregarded.</w:t>
      </w:r>
      <w:r w:rsidR="00D61889">
        <w:rPr>
          <w:color w:val="000000"/>
          <w:sz w:val="20"/>
          <w:szCs w:val="20"/>
        </w:rPr>
        <w:t xml:space="preserve">  </w:t>
      </w:r>
      <w:r w:rsidRPr="00CD57EF">
        <w:rPr>
          <w:b/>
          <w:bCs/>
          <w:color w:val="000000"/>
          <w:sz w:val="20"/>
          <w:szCs w:val="20"/>
        </w:rPr>
        <w:t xml:space="preserve">That, however, does not mean that courts should be detained by the rules to a point where they are hamstrung in the performance of the core function of dispensing justice. </w:t>
      </w:r>
      <w:r w:rsidR="00D61889">
        <w:rPr>
          <w:b/>
          <w:bCs/>
          <w:color w:val="000000"/>
          <w:sz w:val="20"/>
          <w:szCs w:val="20"/>
        </w:rPr>
        <w:t xml:space="preserve"> </w:t>
      </w:r>
      <w:r w:rsidRPr="00CD57EF">
        <w:rPr>
          <w:b/>
          <w:bCs/>
          <w:color w:val="000000"/>
          <w:sz w:val="20"/>
          <w:szCs w:val="20"/>
        </w:rPr>
        <w:t xml:space="preserve">Put differently, rules should not be observed for their own sake. </w:t>
      </w:r>
      <w:r w:rsidR="00D61889">
        <w:rPr>
          <w:b/>
          <w:bCs/>
          <w:color w:val="000000"/>
          <w:sz w:val="20"/>
          <w:szCs w:val="20"/>
        </w:rPr>
        <w:t xml:space="preserve"> </w:t>
      </w:r>
      <w:r w:rsidRPr="00CD57EF">
        <w:rPr>
          <w:b/>
          <w:bCs/>
          <w:color w:val="000000"/>
          <w:sz w:val="20"/>
          <w:szCs w:val="20"/>
        </w:rPr>
        <w:t>Where the interests of justice so dictate, courts may depart from a strict</w:t>
      </w:r>
      <w:r w:rsidR="00D61889">
        <w:rPr>
          <w:b/>
          <w:bCs/>
          <w:color w:val="000000"/>
          <w:sz w:val="20"/>
          <w:szCs w:val="20"/>
        </w:rPr>
        <w:t xml:space="preserve"> </w:t>
      </w:r>
      <w:r w:rsidRPr="00CD57EF">
        <w:rPr>
          <w:b/>
          <w:bCs/>
          <w:color w:val="000000"/>
          <w:sz w:val="20"/>
          <w:szCs w:val="20"/>
        </w:rPr>
        <w:t xml:space="preserve">observance of the rules. </w:t>
      </w:r>
      <w:r w:rsidR="00D61889">
        <w:rPr>
          <w:b/>
          <w:bCs/>
          <w:color w:val="000000"/>
          <w:sz w:val="20"/>
          <w:szCs w:val="20"/>
        </w:rPr>
        <w:t xml:space="preserve"> </w:t>
      </w:r>
      <w:r w:rsidRPr="00CD57EF">
        <w:rPr>
          <w:b/>
          <w:bCs/>
          <w:color w:val="000000"/>
          <w:sz w:val="20"/>
          <w:szCs w:val="20"/>
        </w:rPr>
        <w:t>That, even where one of the litigants is insistent that there be adherence to the rules.</w:t>
      </w:r>
      <w:bookmarkStart w:id="2" w:name="0-0-0-171997"/>
      <w:bookmarkEnd w:id="2"/>
      <w:r w:rsidR="00D61889">
        <w:rPr>
          <w:rStyle w:val="apple-converted-space"/>
          <w:b/>
          <w:bCs/>
          <w:color w:val="000000"/>
          <w:sz w:val="20"/>
          <w:szCs w:val="20"/>
        </w:rPr>
        <w:t xml:space="preserve"> </w:t>
      </w:r>
      <w:r w:rsidRPr="00CD57EF">
        <w:rPr>
          <w:b/>
          <w:bCs/>
          <w:color w:val="000000"/>
          <w:sz w:val="20"/>
          <w:szCs w:val="20"/>
        </w:rPr>
        <w:t xml:space="preserve"> Not surprisingly, courts have often said '(i)t is trite that the rules exist for the courts, and not the courts for the rules'.</w:t>
      </w:r>
      <w:bookmarkStart w:id="3" w:name="0-0-0-172001"/>
      <w:bookmarkEnd w:id="3"/>
      <w:r w:rsidRPr="00CD57EF">
        <w:rPr>
          <w:color w:val="000000"/>
          <w:sz w:val="20"/>
          <w:szCs w:val="20"/>
        </w:rPr>
        <w:t xml:space="preserve"> </w:t>
      </w:r>
    </w:p>
    <w:p w14:paraId="42B55E0E" w14:textId="77777777" w:rsidR="00932A6A" w:rsidRPr="00CD57EF" w:rsidRDefault="00932A6A" w:rsidP="00CD57EF">
      <w:pPr>
        <w:spacing w:line="360" w:lineRule="auto"/>
        <w:ind w:left="1276" w:hanging="567"/>
        <w:rPr>
          <w:color w:val="000000"/>
          <w:sz w:val="20"/>
          <w:szCs w:val="20"/>
        </w:rPr>
      </w:pPr>
    </w:p>
    <w:p w14:paraId="137D203E" w14:textId="2044196F" w:rsidR="00932A6A" w:rsidRPr="00CD57EF" w:rsidRDefault="00932A6A" w:rsidP="00CD57EF">
      <w:pPr>
        <w:spacing w:line="360" w:lineRule="auto"/>
        <w:ind w:left="1276" w:hanging="567"/>
        <w:rPr>
          <w:color w:val="000000"/>
          <w:sz w:val="20"/>
          <w:szCs w:val="20"/>
        </w:rPr>
      </w:pPr>
      <w:r w:rsidRPr="00CD57EF">
        <w:rPr>
          <w:color w:val="000000"/>
          <w:sz w:val="20"/>
          <w:szCs w:val="20"/>
        </w:rPr>
        <w:t xml:space="preserve">[40] </w:t>
      </w:r>
      <w:r w:rsidR="00CD57EF">
        <w:rPr>
          <w:color w:val="000000"/>
          <w:sz w:val="20"/>
          <w:szCs w:val="20"/>
        </w:rPr>
        <w:tab/>
      </w:r>
      <w:r w:rsidRPr="00CD57EF">
        <w:rPr>
          <w:b/>
          <w:bCs/>
          <w:color w:val="000000"/>
          <w:sz w:val="20"/>
          <w:szCs w:val="20"/>
        </w:rPr>
        <w:t>Under our constitutional dispensation the object of court rules is</w:t>
      </w:r>
      <w:r w:rsidR="00176108">
        <w:rPr>
          <w:b/>
          <w:bCs/>
          <w:color w:val="000000"/>
          <w:sz w:val="20"/>
          <w:szCs w:val="20"/>
        </w:rPr>
        <w:t xml:space="preserve"> </w:t>
      </w:r>
      <w:r w:rsidRPr="00CD57EF">
        <w:rPr>
          <w:b/>
          <w:bCs/>
          <w:color w:val="000000"/>
          <w:sz w:val="20"/>
          <w:szCs w:val="20"/>
        </w:rPr>
        <w:t xml:space="preserve">twofold. </w:t>
      </w:r>
      <w:r w:rsidR="00176108">
        <w:rPr>
          <w:b/>
          <w:bCs/>
          <w:color w:val="000000"/>
          <w:sz w:val="20"/>
          <w:szCs w:val="20"/>
        </w:rPr>
        <w:t xml:space="preserve"> </w:t>
      </w:r>
      <w:r w:rsidRPr="00CD57EF">
        <w:rPr>
          <w:b/>
          <w:bCs/>
          <w:color w:val="000000"/>
          <w:sz w:val="20"/>
          <w:szCs w:val="20"/>
        </w:rPr>
        <w:t>The first is to ensure a fair trial or hearing.</w:t>
      </w:r>
      <w:bookmarkStart w:id="4" w:name="0-0-0-172005"/>
      <w:bookmarkEnd w:id="4"/>
      <w:r w:rsidR="00176108">
        <w:rPr>
          <w:rStyle w:val="apple-converted-space"/>
          <w:b/>
          <w:bCs/>
          <w:color w:val="000000"/>
          <w:sz w:val="20"/>
          <w:szCs w:val="20"/>
        </w:rPr>
        <w:t xml:space="preserve"> </w:t>
      </w:r>
      <w:r w:rsidRPr="00CD57EF">
        <w:rPr>
          <w:b/>
          <w:bCs/>
          <w:color w:val="000000"/>
          <w:sz w:val="20"/>
          <w:szCs w:val="20"/>
        </w:rPr>
        <w:t xml:space="preserve"> The second is to 'secure the inexpensive and expeditious completion of litigation and ... to further the administration of justice'</w:t>
      </w:r>
      <w:r w:rsidRPr="00CD57EF">
        <w:rPr>
          <w:color w:val="000000"/>
          <w:sz w:val="20"/>
          <w:szCs w:val="20"/>
        </w:rPr>
        <w:t>.</w:t>
      </w:r>
      <w:bookmarkStart w:id="5" w:name="0-0-0-172009"/>
      <w:bookmarkEnd w:id="5"/>
      <w:r w:rsidR="00176108">
        <w:rPr>
          <w:color w:val="000000"/>
          <w:sz w:val="20"/>
          <w:szCs w:val="20"/>
        </w:rPr>
        <w:t xml:space="preserve"> </w:t>
      </w:r>
      <w:r w:rsidRPr="00CD57EF">
        <w:rPr>
          <w:color w:val="000000"/>
          <w:sz w:val="20"/>
          <w:szCs w:val="20"/>
        </w:rPr>
        <w:t xml:space="preserve"> I have already touched on the inherent jurisdiction vested in the superior courts in South Africa.</w:t>
      </w:r>
      <w:bookmarkStart w:id="6" w:name="0-0-0-172013"/>
      <w:bookmarkEnd w:id="6"/>
      <w:r w:rsidR="00342FB2">
        <w:rPr>
          <w:rStyle w:val="apple-converted-space"/>
          <w:color w:val="000000"/>
          <w:sz w:val="20"/>
          <w:szCs w:val="20"/>
        </w:rPr>
        <w:t xml:space="preserve"> </w:t>
      </w:r>
      <w:r w:rsidRPr="00CD57EF">
        <w:rPr>
          <w:color w:val="000000"/>
          <w:sz w:val="20"/>
          <w:szCs w:val="20"/>
        </w:rPr>
        <w:t xml:space="preserve"> In terms of this power the High Court has always been able to regulate its own proceedings for a number of reasons,</w:t>
      </w:r>
      <w:bookmarkStart w:id="7" w:name="0-0-0-172017"/>
      <w:bookmarkEnd w:id="7"/>
      <w:r w:rsidRPr="00CD57EF">
        <w:rPr>
          <w:color w:val="000000"/>
          <w:sz w:val="20"/>
          <w:szCs w:val="20"/>
        </w:rPr>
        <w:t xml:space="preserve"> including catering for</w:t>
      </w:r>
      <w:r w:rsidR="00342FB2">
        <w:rPr>
          <w:color w:val="000000"/>
          <w:sz w:val="20"/>
          <w:szCs w:val="20"/>
        </w:rPr>
        <w:t xml:space="preserve"> </w:t>
      </w:r>
      <w:r w:rsidRPr="00CD57EF">
        <w:rPr>
          <w:color w:val="000000"/>
          <w:sz w:val="20"/>
          <w:szCs w:val="20"/>
        </w:rPr>
        <w:t>circumstances not adequately covered by the Uniform Rules,</w:t>
      </w:r>
      <w:bookmarkStart w:id="8" w:name="0-0-0-172021"/>
      <w:bookmarkEnd w:id="8"/>
      <w:r w:rsidRPr="00CD57EF">
        <w:rPr>
          <w:color w:val="000000"/>
          <w:sz w:val="20"/>
          <w:szCs w:val="20"/>
        </w:rPr>
        <w:t xml:space="preserve"> and generally ensuring the efficient administration of the courts' judicial functions.</w:t>
      </w:r>
      <w:bookmarkStart w:id="9" w:name="0-0-0-172025"/>
      <w:bookmarkEnd w:id="9"/>
      <w:r w:rsidRPr="00CD57EF">
        <w:rPr>
          <w:rStyle w:val="apple-converted-space"/>
          <w:color w:val="000000"/>
          <w:sz w:val="20"/>
          <w:szCs w:val="20"/>
        </w:rPr>
        <w:t>”</w:t>
      </w:r>
      <w:r w:rsidR="00176108">
        <w:rPr>
          <w:rStyle w:val="apple-converted-space"/>
          <w:color w:val="000000"/>
          <w:sz w:val="20"/>
          <w:szCs w:val="20"/>
        </w:rPr>
        <w:t xml:space="preserve"> </w:t>
      </w:r>
      <w:r w:rsidRPr="00CD57EF">
        <w:rPr>
          <w:color w:val="000000"/>
          <w:sz w:val="20"/>
          <w:szCs w:val="20"/>
        </w:rPr>
        <w:t xml:space="preserve"> </w:t>
      </w:r>
      <w:r w:rsidR="00CD57EF">
        <w:rPr>
          <w:color w:val="000000"/>
          <w:sz w:val="20"/>
          <w:szCs w:val="20"/>
        </w:rPr>
        <w:t>(</w:t>
      </w:r>
      <w:r w:rsidR="00176108">
        <w:rPr>
          <w:color w:val="000000"/>
          <w:sz w:val="20"/>
          <w:szCs w:val="20"/>
        </w:rPr>
        <w:t xml:space="preserve">Emphasis </w:t>
      </w:r>
      <w:r w:rsidR="00CD57EF">
        <w:rPr>
          <w:color w:val="000000"/>
          <w:sz w:val="20"/>
          <w:szCs w:val="20"/>
        </w:rPr>
        <w:t>added)</w:t>
      </w:r>
      <w:r w:rsidR="00176108">
        <w:rPr>
          <w:color w:val="000000"/>
          <w:sz w:val="20"/>
          <w:szCs w:val="20"/>
        </w:rPr>
        <w:t xml:space="preserve"> </w:t>
      </w:r>
    </w:p>
    <w:p w14:paraId="1600470C" w14:textId="77777777" w:rsidR="00932A6A" w:rsidRPr="00932A6A" w:rsidRDefault="00932A6A" w:rsidP="00932A6A"/>
    <w:p w14:paraId="4447CE78" w14:textId="6D06705C" w:rsidR="00BA09FA" w:rsidRDefault="00250A50" w:rsidP="00250A50">
      <w:pPr>
        <w:pStyle w:val="NUM1"/>
        <w:numPr>
          <w:ilvl w:val="0"/>
          <w:numId w:val="0"/>
        </w:numPr>
        <w:tabs>
          <w:tab w:val="left" w:pos="720"/>
        </w:tabs>
        <w:ind w:left="720" w:hanging="720"/>
      </w:pPr>
      <w:r>
        <w:rPr>
          <w:caps/>
        </w:rPr>
        <w:t>[10]</w:t>
      </w:r>
      <w:r>
        <w:rPr>
          <w:caps/>
        </w:rPr>
        <w:tab/>
      </w:r>
      <w:r w:rsidR="00F17BC2">
        <w:t xml:space="preserve">In the context of summary judgment, for example, the </w:t>
      </w:r>
      <w:r w:rsidR="0006580E">
        <w:t>i</w:t>
      </w:r>
      <w:r w:rsidR="00DF06EB">
        <w:t xml:space="preserve">t has </w:t>
      </w:r>
      <w:r w:rsidR="0006580E">
        <w:t xml:space="preserve">frequently </w:t>
      </w:r>
      <w:r w:rsidR="00DF06EB">
        <w:t xml:space="preserve">been pointed out that less than perfect papers or less than perfect procedural steps are not a basis upon which to punish a litigant. </w:t>
      </w:r>
    </w:p>
    <w:p w14:paraId="5B570822" w14:textId="77777777" w:rsidR="00BA09FA" w:rsidRPr="00BA09FA" w:rsidRDefault="00BA09FA" w:rsidP="00BA09FA"/>
    <w:p w14:paraId="334958E5" w14:textId="76246367" w:rsidR="00275D66" w:rsidRDefault="00250A50" w:rsidP="00250A50">
      <w:pPr>
        <w:pStyle w:val="NUM1"/>
        <w:numPr>
          <w:ilvl w:val="0"/>
          <w:numId w:val="0"/>
        </w:numPr>
        <w:tabs>
          <w:tab w:val="left" w:pos="720"/>
        </w:tabs>
        <w:ind w:left="720" w:hanging="720"/>
      </w:pPr>
      <w:r>
        <w:rPr>
          <w:caps/>
        </w:rPr>
        <w:lastRenderedPageBreak/>
        <w:t>[11]</w:t>
      </w:r>
      <w:r>
        <w:rPr>
          <w:caps/>
        </w:rPr>
        <w:tab/>
      </w:r>
      <w:r w:rsidR="00C177AB">
        <w:t xml:space="preserve">A </w:t>
      </w:r>
      <w:r w:rsidR="00CD57EF">
        <w:t xml:space="preserve">brief </w:t>
      </w:r>
      <w:r w:rsidR="00C177AB">
        <w:t xml:space="preserve">survey of the authorities </w:t>
      </w:r>
      <w:r w:rsidR="00C930D1">
        <w:t>demonstrates it is deeply entrenched in our law that</w:t>
      </w:r>
      <w:r w:rsidR="00475207">
        <w:t>, when</w:t>
      </w:r>
      <w:r w:rsidR="00C177AB">
        <w:t xml:space="preserve"> dealing with less than perfect procedural steps</w:t>
      </w:r>
      <w:r w:rsidR="00475207">
        <w:t>, the correct approach</w:t>
      </w:r>
      <w:r w:rsidR="00C177AB">
        <w:t xml:space="preserve"> is to evaluate them on the basis of prejudice and the interests of justice.</w:t>
      </w:r>
      <w:r w:rsidR="00F53DB5">
        <w:t xml:space="preserve"> </w:t>
      </w:r>
      <w:r w:rsidR="00C177AB">
        <w:t xml:space="preserve"> </w:t>
      </w:r>
    </w:p>
    <w:p w14:paraId="0F34AF2B" w14:textId="77777777" w:rsidR="00275D66" w:rsidRPr="00275D66" w:rsidRDefault="00275D66" w:rsidP="00275D66"/>
    <w:p w14:paraId="663DE655" w14:textId="3EE1C3E1" w:rsidR="00CD57EF" w:rsidRDefault="00250A50" w:rsidP="00250A50">
      <w:pPr>
        <w:pStyle w:val="NUM1"/>
        <w:numPr>
          <w:ilvl w:val="0"/>
          <w:numId w:val="0"/>
        </w:numPr>
        <w:tabs>
          <w:tab w:val="left" w:pos="720"/>
        </w:tabs>
        <w:ind w:left="720" w:hanging="720"/>
      </w:pPr>
      <w:r>
        <w:rPr>
          <w:caps/>
        </w:rPr>
        <w:t>[12]</w:t>
      </w:r>
      <w:r>
        <w:rPr>
          <w:caps/>
        </w:rPr>
        <w:tab/>
      </w:r>
      <w:r w:rsidR="001402C9">
        <w:t xml:space="preserve">Indeed, in </w:t>
      </w:r>
      <w:r w:rsidR="001402C9" w:rsidRPr="001402C9">
        <w:rPr>
          <w:b/>
          <w:bCs/>
        </w:rPr>
        <w:t>Matjhabeng</w:t>
      </w:r>
      <w:r w:rsidR="001402C9" w:rsidRPr="00F53DB5">
        <w:rPr>
          <w:rStyle w:val="FootnoteReference"/>
        </w:rPr>
        <w:footnoteReference w:id="8"/>
      </w:r>
      <w:r w:rsidR="001402C9" w:rsidRPr="00F53DB5">
        <w:t xml:space="preserve"> </w:t>
      </w:r>
      <w:r w:rsidR="001402C9" w:rsidRPr="001402C9">
        <w:t>the</w:t>
      </w:r>
      <w:r w:rsidR="001402C9">
        <w:t xml:space="preserve"> Constitutional Court considered the interests of justice as paramount in a condonation application where delay (an element of ‘good cause’</w:t>
      </w:r>
      <w:r w:rsidR="00D0604C">
        <w:rPr>
          <w:rStyle w:val="FootnoteReference"/>
        </w:rPr>
        <w:footnoteReference w:id="9"/>
      </w:r>
      <w:r w:rsidR="001402C9">
        <w:t>) had not properly been made out</w:t>
      </w:r>
      <w:r w:rsidR="00F53DB5">
        <w:t>,</w:t>
      </w:r>
      <w:r w:rsidR="001402C9">
        <w:t xml:space="preserve"> and no prejudice had been suffered by the opposing party.</w:t>
      </w:r>
      <w:r w:rsidR="00F53DB5">
        <w:t xml:space="preserve"> </w:t>
      </w:r>
    </w:p>
    <w:p w14:paraId="57EAE14B" w14:textId="77777777" w:rsidR="00CD57EF" w:rsidRPr="00CD57EF" w:rsidRDefault="00CD57EF" w:rsidP="00CD57EF"/>
    <w:p w14:paraId="557459A5" w14:textId="082642EA" w:rsidR="00CD57EF" w:rsidRDefault="00250A50" w:rsidP="00250A50">
      <w:pPr>
        <w:pStyle w:val="NUM1"/>
        <w:numPr>
          <w:ilvl w:val="0"/>
          <w:numId w:val="0"/>
        </w:numPr>
        <w:tabs>
          <w:tab w:val="left" w:pos="720"/>
        </w:tabs>
        <w:ind w:left="720" w:hanging="720"/>
      </w:pPr>
      <w:r>
        <w:rPr>
          <w:caps/>
        </w:rPr>
        <w:t>[13]</w:t>
      </w:r>
      <w:r>
        <w:rPr>
          <w:caps/>
        </w:rPr>
        <w:tab/>
      </w:r>
      <w:r w:rsidR="00C177AB">
        <w:t xml:space="preserve">One can readily understand why this approach has been adopted. </w:t>
      </w:r>
      <w:r w:rsidR="00F53DB5">
        <w:t xml:space="preserve"> </w:t>
      </w:r>
      <w:r w:rsidR="00C177AB">
        <w:t>In the absence of prejudice</w:t>
      </w:r>
      <w:r w:rsidR="00D0604C">
        <w:t>,</w:t>
      </w:r>
      <w:r w:rsidR="00C177AB">
        <w:t xml:space="preserve"> rigid adherence to the Rules of Court </w:t>
      </w:r>
      <w:r w:rsidR="003D7674">
        <w:t>is a catalyst for</w:t>
      </w:r>
      <w:r w:rsidR="00C177AB">
        <w:t xml:space="preserve"> delay and further costs. </w:t>
      </w:r>
    </w:p>
    <w:p w14:paraId="7294FC99" w14:textId="77777777" w:rsidR="00CD57EF" w:rsidRPr="00CD57EF" w:rsidRDefault="00CD57EF" w:rsidP="00CD57EF"/>
    <w:p w14:paraId="30E1D406" w14:textId="647F7131" w:rsidR="00C177AB" w:rsidRDefault="00250A50" w:rsidP="00250A50">
      <w:pPr>
        <w:pStyle w:val="NUM1"/>
        <w:numPr>
          <w:ilvl w:val="0"/>
          <w:numId w:val="0"/>
        </w:numPr>
        <w:tabs>
          <w:tab w:val="left" w:pos="720"/>
        </w:tabs>
        <w:ind w:left="720" w:hanging="720"/>
      </w:pPr>
      <w:r>
        <w:rPr>
          <w:caps/>
        </w:rPr>
        <w:t>[14]</w:t>
      </w:r>
      <w:r>
        <w:rPr>
          <w:caps/>
        </w:rPr>
        <w:tab/>
      </w:r>
      <w:r w:rsidR="00C177AB">
        <w:t>The introduction of consideration</w:t>
      </w:r>
      <w:r w:rsidR="003D7674">
        <w:t>s</w:t>
      </w:r>
      <w:r w:rsidR="00C177AB">
        <w:t xml:space="preserve"> of the interests of justice broadens the Court's discretionary powers to prevent unnecessary delays and the </w:t>
      </w:r>
      <w:r w:rsidR="001402C9">
        <w:t xml:space="preserve">concomitant and </w:t>
      </w:r>
      <w:r w:rsidR="00C177AB">
        <w:t>unnecessary incurrence of legal costs</w:t>
      </w:r>
      <w:r w:rsidR="001402C9">
        <w:t>, at the one end of the scale, or the depravation of a legal remedy at the other end of the scale.</w:t>
      </w:r>
      <w:r w:rsidR="00E31BBA">
        <w:t xml:space="preserve"> </w:t>
      </w:r>
    </w:p>
    <w:p w14:paraId="628FBC86" w14:textId="77777777" w:rsidR="00C177AB" w:rsidRDefault="00C177AB" w:rsidP="00C177AB"/>
    <w:p w14:paraId="4DF45820" w14:textId="389FC619" w:rsidR="00CD57EF" w:rsidRDefault="00250A50" w:rsidP="00250A50">
      <w:pPr>
        <w:pStyle w:val="NUM1"/>
        <w:numPr>
          <w:ilvl w:val="0"/>
          <w:numId w:val="0"/>
        </w:numPr>
        <w:tabs>
          <w:tab w:val="left" w:pos="720"/>
        </w:tabs>
        <w:ind w:left="720" w:hanging="720"/>
      </w:pPr>
      <w:r>
        <w:rPr>
          <w:caps/>
        </w:rPr>
        <w:t>[15]</w:t>
      </w:r>
      <w:r>
        <w:rPr>
          <w:caps/>
        </w:rPr>
        <w:tab/>
      </w:r>
      <w:r w:rsidR="00932A6A">
        <w:t xml:space="preserve">But </w:t>
      </w:r>
      <w:r w:rsidR="00CD57EF">
        <w:t>resistance to the</w:t>
      </w:r>
      <w:r w:rsidR="00932A6A">
        <w:t xml:space="preserve"> rigid adherence to the Rules of Court </w:t>
      </w:r>
      <w:r w:rsidR="00CD57EF">
        <w:t xml:space="preserve">where no real prejudice ensues </w:t>
      </w:r>
      <w:r w:rsidR="00932A6A">
        <w:t xml:space="preserve">is not new. </w:t>
      </w:r>
    </w:p>
    <w:p w14:paraId="4F4CE19F" w14:textId="77777777" w:rsidR="00CD57EF" w:rsidRPr="00CD57EF" w:rsidRDefault="00CD57EF" w:rsidP="00CD57EF"/>
    <w:p w14:paraId="11C4B6C9" w14:textId="52EBBC33" w:rsidR="00E451CF" w:rsidRDefault="00250A50" w:rsidP="00250A50">
      <w:pPr>
        <w:pStyle w:val="NUM1"/>
        <w:numPr>
          <w:ilvl w:val="0"/>
          <w:numId w:val="0"/>
        </w:numPr>
        <w:tabs>
          <w:tab w:val="left" w:pos="720"/>
        </w:tabs>
        <w:ind w:left="720" w:hanging="720"/>
        <w:rPr>
          <w:lang w:val="en-GB"/>
        </w:rPr>
      </w:pPr>
      <w:r>
        <w:rPr>
          <w:caps/>
          <w:lang w:val="en-GB"/>
        </w:rPr>
        <w:t>[16]</w:t>
      </w:r>
      <w:r>
        <w:rPr>
          <w:caps/>
          <w:lang w:val="en-GB"/>
        </w:rPr>
        <w:tab/>
      </w:r>
      <w:r w:rsidR="00DF57CC" w:rsidRPr="007E63C7">
        <w:rPr>
          <w:lang w:val="en-GB"/>
        </w:rPr>
        <w:t xml:space="preserve">Already in 1956, the Appellate Division expressed that, while litigants and their attorneys should not be encouraged to become slack in their approach to </w:t>
      </w:r>
      <w:r w:rsidR="00DF57CC" w:rsidRPr="007E63C7">
        <w:rPr>
          <w:lang w:val="en-GB"/>
        </w:rPr>
        <w:lastRenderedPageBreak/>
        <w:t>litigation, less than perfect procedural steps should not be permitted to get in the way of the proper ventilation of disputes</w:t>
      </w:r>
      <w:r w:rsidR="007E63C7" w:rsidRPr="007E63C7">
        <w:rPr>
          <w:lang w:val="en-GB"/>
        </w:rPr>
        <w:t xml:space="preserve">. </w:t>
      </w:r>
      <w:r w:rsidR="00DF57CC" w:rsidRPr="007E63C7">
        <w:rPr>
          <w:lang w:val="en-GB"/>
        </w:rPr>
        <w:t xml:space="preserve"> </w:t>
      </w:r>
    </w:p>
    <w:p w14:paraId="5DD72ACA" w14:textId="77777777" w:rsidR="007E63C7" w:rsidRPr="007E63C7" w:rsidRDefault="007E63C7" w:rsidP="007E63C7">
      <w:pPr>
        <w:rPr>
          <w:lang w:val="en-GB"/>
        </w:rPr>
      </w:pPr>
    </w:p>
    <w:p w14:paraId="21AE86B5" w14:textId="4D18FE97" w:rsidR="00DF57CC" w:rsidRDefault="00250A50" w:rsidP="00250A50">
      <w:pPr>
        <w:pStyle w:val="NUM1"/>
        <w:numPr>
          <w:ilvl w:val="0"/>
          <w:numId w:val="0"/>
        </w:numPr>
        <w:tabs>
          <w:tab w:val="left" w:pos="720"/>
        </w:tabs>
        <w:ind w:left="720" w:hanging="720"/>
        <w:rPr>
          <w:lang w:val="en-GB"/>
        </w:rPr>
      </w:pPr>
      <w:r>
        <w:rPr>
          <w:caps/>
          <w:lang w:val="en-GB"/>
        </w:rPr>
        <w:t>[17]</w:t>
      </w:r>
      <w:r>
        <w:rPr>
          <w:caps/>
          <w:lang w:val="en-GB"/>
        </w:rPr>
        <w:tab/>
      </w:r>
      <w:r w:rsidR="00DF57CC">
        <w:rPr>
          <w:lang w:val="en-GB"/>
        </w:rPr>
        <w:t>The Appellate Division pointed out that "</w:t>
      </w:r>
      <w:r w:rsidR="00DF57CC" w:rsidRPr="00B875B7">
        <w:rPr>
          <w:i/>
          <w:iCs/>
          <w:lang w:val="en-GB"/>
        </w:rPr>
        <w:t>in the absence of prejudice to interfere with the expeditious and, if possible, inexpensive decision of cases on their real merits</w:t>
      </w:r>
      <w:r w:rsidR="00DF57CC">
        <w:rPr>
          <w:lang w:val="en-GB"/>
        </w:rPr>
        <w:t>" should not be permitted.</w:t>
      </w:r>
      <w:r w:rsidR="00DF57CC">
        <w:rPr>
          <w:rStyle w:val="FootnoteReference"/>
          <w:lang w:val="en-GB"/>
        </w:rPr>
        <w:footnoteReference w:id="10"/>
      </w:r>
      <w:r w:rsidR="00DF57CC">
        <w:rPr>
          <w:lang w:val="en-GB"/>
        </w:rPr>
        <w:t xml:space="preserve"> </w:t>
      </w:r>
      <w:r w:rsidR="00E31BBA">
        <w:rPr>
          <w:lang w:val="en-GB"/>
        </w:rPr>
        <w:t xml:space="preserve"> </w:t>
      </w:r>
      <w:r w:rsidR="00DF57CC">
        <w:rPr>
          <w:lang w:val="en-GB"/>
        </w:rPr>
        <w:t xml:space="preserve">I think it is correct that </w:t>
      </w:r>
      <w:r w:rsidR="00E451CF">
        <w:rPr>
          <w:lang w:val="en-GB"/>
        </w:rPr>
        <w:t>“</w:t>
      </w:r>
      <w:r w:rsidR="00DF57CC" w:rsidRPr="00E31BBA">
        <w:rPr>
          <w:i/>
          <w:iCs/>
          <w:lang w:val="en-GB"/>
        </w:rPr>
        <w:t>the proper administration of justice</w:t>
      </w:r>
      <w:r w:rsidR="00E451CF">
        <w:rPr>
          <w:lang w:val="en-GB"/>
        </w:rPr>
        <w:t>”</w:t>
      </w:r>
      <w:r w:rsidR="00DF57CC">
        <w:rPr>
          <w:lang w:val="en-GB"/>
        </w:rPr>
        <w:t xml:space="preserve"> as expressed by the Appellate Division</w:t>
      </w:r>
      <w:r w:rsidR="00E31BBA">
        <w:rPr>
          <w:lang w:val="en-GB"/>
        </w:rPr>
        <w:t>,</w:t>
      </w:r>
      <w:r w:rsidR="00DF57CC">
        <w:rPr>
          <w:lang w:val="en-GB"/>
        </w:rPr>
        <w:t xml:space="preserve"> and the concept of "</w:t>
      </w:r>
      <w:r w:rsidR="00DF57CC" w:rsidRPr="00E31BBA">
        <w:rPr>
          <w:i/>
          <w:iCs/>
          <w:lang w:val="en-GB"/>
        </w:rPr>
        <w:t>interests of justice</w:t>
      </w:r>
      <w:r w:rsidR="00DF57CC">
        <w:rPr>
          <w:lang w:val="en-GB"/>
        </w:rPr>
        <w:t xml:space="preserve">" </w:t>
      </w:r>
      <w:r w:rsidR="00E451CF">
        <w:rPr>
          <w:lang w:val="en-GB"/>
        </w:rPr>
        <w:t>as is emerging in our constitutional jurisprudence</w:t>
      </w:r>
      <w:r w:rsidR="00E31BBA">
        <w:rPr>
          <w:lang w:val="en-GB"/>
        </w:rPr>
        <w:t>,</w:t>
      </w:r>
      <w:r w:rsidR="00E451CF">
        <w:rPr>
          <w:lang w:val="en-GB"/>
        </w:rPr>
        <w:t xml:space="preserve"> </w:t>
      </w:r>
      <w:r w:rsidR="00DF57CC">
        <w:rPr>
          <w:lang w:val="en-GB"/>
        </w:rPr>
        <w:t>are synonymous in that they both have the purpose, proper and fair resolution of disputes between litigants.</w:t>
      </w:r>
      <w:r w:rsidR="00E31BBA">
        <w:rPr>
          <w:lang w:val="en-GB"/>
        </w:rPr>
        <w:t xml:space="preserve"> </w:t>
      </w:r>
    </w:p>
    <w:p w14:paraId="75DEDD8B" w14:textId="77777777" w:rsidR="00DF57CC" w:rsidRDefault="00DF57CC" w:rsidP="00E451CF">
      <w:pPr>
        <w:pStyle w:val="NUM1"/>
        <w:numPr>
          <w:ilvl w:val="0"/>
          <w:numId w:val="0"/>
        </w:numPr>
        <w:ind w:left="720"/>
      </w:pPr>
    </w:p>
    <w:p w14:paraId="2BE42320" w14:textId="2920097E" w:rsidR="007A7577" w:rsidRDefault="00250A50" w:rsidP="00250A50">
      <w:pPr>
        <w:pStyle w:val="NUM1"/>
        <w:numPr>
          <w:ilvl w:val="0"/>
          <w:numId w:val="0"/>
        </w:numPr>
        <w:tabs>
          <w:tab w:val="left" w:pos="720"/>
        </w:tabs>
        <w:ind w:left="720" w:hanging="720"/>
      </w:pPr>
      <w:r>
        <w:rPr>
          <w:caps/>
        </w:rPr>
        <w:t>[18]</w:t>
      </w:r>
      <w:r>
        <w:rPr>
          <w:caps/>
        </w:rPr>
        <w:tab/>
      </w:r>
      <w:r w:rsidR="00932A6A">
        <w:t>In the oft</w:t>
      </w:r>
      <w:r w:rsidR="00932A6A">
        <w:noBreakHyphen/>
        <w:t xml:space="preserve">quoted judgment of </w:t>
      </w:r>
      <w:r w:rsidR="00932A6A" w:rsidRPr="00EF7014">
        <w:rPr>
          <w:b/>
          <w:bCs/>
        </w:rPr>
        <w:t>Maharaj</w:t>
      </w:r>
      <w:r w:rsidR="00932A6A">
        <w:rPr>
          <w:rStyle w:val="FootnoteReference"/>
        </w:rPr>
        <w:footnoteReference w:id="11"/>
      </w:r>
      <w:r w:rsidR="00E31BBA">
        <w:t>,</w:t>
      </w:r>
      <w:r w:rsidR="00932A6A">
        <w:t xml:space="preserve"> Corbett</w:t>
      </w:r>
      <w:r w:rsidR="00E31BBA">
        <w:t> </w:t>
      </w:r>
      <w:r w:rsidR="00932A6A">
        <w:t>JA, as he then was, held</w:t>
      </w:r>
      <w:r w:rsidR="00D0604C">
        <w:t>, in the context of an application for summary judgment,</w:t>
      </w:r>
      <w:r w:rsidR="00932A6A">
        <w:t xml:space="preserve"> that the rigid adherence to the Rules of Court should be eschewed</w:t>
      </w:r>
      <w:r w:rsidR="00D0604C">
        <w:t xml:space="preserve"> in the absence of prejudice</w:t>
      </w:r>
      <w:r w:rsidR="00932A6A">
        <w:t>.</w:t>
      </w:r>
      <w:r w:rsidR="00CD57EF">
        <w:rPr>
          <w:rStyle w:val="FootnoteReference"/>
        </w:rPr>
        <w:footnoteReference w:id="12"/>
      </w:r>
      <w:r w:rsidR="00E31BBA">
        <w:t xml:space="preserve"> </w:t>
      </w:r>
    </w:p>
    <w:p w14:paraId="0FAB9687" w14:textId="77777777" w:rsidR="007A7577" w:rsidRPr="007A7577" w:rsidRDefault="007A7577" w:rsidP="007A7577"/>
    <w:p w14:paraId="3EDC3C3F" w14:textId="52B5F25F" w:rsidR="007A7577" w:rsidRDefault="00250A50" w:rsidP="00250A50">
      <w:pPr>
        <w:pStyle w:val="NUM1"/>
        <w:numPr>
          <w:ilvl w:val="0"/>
          <w:numId w:val="0"/>
        </w:numPr>
        <w:tabs>
          <w:tab w:val="left" w:pos="720"/>
        </w:tabs>
        <w:ind w:left="720" w:hanging="720"/>
        <w:rPr>
          <w:lang w:val="en-GB"/>
        </w:rPr>
      </w:pPr>
      <w:r>
        <w:rPr>
          <w:caps/>
          <w:lang w:val="en-GB"/>
        </w:rPr>
        <w:t>[19]</w:t>
      </w:r>
      <w:r>
        <w:rPr>
          <w:caps/>
          <w:lang w:val="en-GB"/>
        </w:rPr>
        <w:tab/>
      </w:r>
      <w:r w:rsidR="007A7577" w:rsidRPr="007A7577">
        <w:rPr>
          <w:lang w:val="en-GB"/>
        </w:rPr>
        <w:t xml:space="preserve">In </w:t>
      </w:r>
      <w:r w:rsidR="007A7577" w:rsidRPr="007A7577">
        <w:rPr>
          <w:b/>
          <w:bCs/>
          <w:lang w:val="en-GB"/>
        </w:rPr>
        <w:t>Roestof</w:t>
      </w:r>
      <w:r w:rsidR="007A7577">
        <w:rPr>
          <w:rStyle w:val="FootnoteReference"/>
          <w:lang w:val="en-GB"/>
        </w:rPr>
        <w:footnoteReference w:id="13"/>
      </w:r>
      <w:r w:rsidR="00E31BBA">
        <w:rPr>
          <w:lang w:val="en-GB"/>
        </w:rPr>
        <w:t>,</w:t>
      </w:r>
      <w:r w:rsidR="007A7577" w:rsidRPr="007A7577">
        <w:rPr>
          <w:lang w:val="en-GB"/>
        </w:rPr>
        <w:t xml:space="preserve"> Blieden J was confronted with an application for summary judgment where the defendant, </w:t>
      </w:r>
      <w:r w:rsidR="007A7577" w:rsidRPr="007A7577">
        <w:rPr>
          <w:i/>
          <w:iCs/>
          <w:lang w:val="en-GB"/>
        </w:rPr>
        <w:t>in limine</w:t>
      </w:r>
      <w:r w:rsidR="007A7577" w:rsidRPr="007A7577">
        <w:rPr>
          <w:lang w:val="en-GB"/>
        </w:rPr>
        <w:t xml:space="preserve">, raised the objection that the affidavit in support of summary judgment was defective because it referred to defendants (plural) as opposed to defendant (singular). </w:t>
      </w:r>
    </w:p>
    <w:p w14:paraId="799FA1CA" w14:textId="77777777" w:rsidR="007A7577" w:rsidRPr="007A7577" w:rsidRDefault="007A7577" w:rsidP="007A7577">
      <w:pPr>
        <w:rPr>
          <w:lang w:val="en-GB"/>
        </w:rPr>
      </w:pPr>
    </w:p>
    <w:p w14:paraId="5C3D9265" w14:textId="216249CD" w:rsidR="007A7577" w:rsidRPr="007A7577" w:rsidRDefault="00250A50" w:rsidP="00250A50">
      <w:pPr>
        <w:pStyle w:val="NUM1"/>
        <w:numPr>
          <w:ilvl w:val="0"/>
          <w:numId w:val="0"/>
        </w:numPr>
        <w:tabs>
          <w:tab w:val="left" w:pos="720"/>
        </w:tabs>
        <w:ind w:left="720" w:hanging="720"/>
      </w:pPr>
      <w:r w:rsidRPr="007A7577">
        <w:rPr>
          <w:caps/>
        </w:rPr>
        <w:t>[20]</w:t>
      </w:r>
      <w:r w:rsidRPr="007A7577">
        <w:rPr>
          <w:caps/>
        </w:rPr>
        <w:tab/>
      </w:r>
      <w:r w:rsidR="007A7577" w:rsidRPr="007A7577">
        <w:rPr>
          <w:lang w:val="en-GB"/>
        </w:rPr>
        <w:t>The learned Judge</w:t>
      </w:r>
      <w:r w:rsidR="00E31BBA">
        <w:rPr>
          <w:lang w:val="en-GB"/>
        </w:rPr>
        <w:t>,</w:t>
      </w:r>
      <w:r w:rsidR="007A7577" w:rsidRPr="007A7577">
        <w:rPr>
          <w:lang w:val="en-GB"/>
        </w:rPr>
        <w:t xml:space="preserve"> after analysing various earlier decisions</w:t>
      </w:r>
      <w:r w:rsidR="00E31BBA">
        <w:rPr>
          <w:lang w:val="en-GB"/>
        </w:rPr>
        <w:t>,</w:t>
      </w:r>
      <w:r w:rsidR="007A7577" w:rsidRPr="007A7577">
        <w:rPr>
          <w:lang w:val="en-GB"/>
        </w:rPr>
        <w:t xml:space="preserve"> held that if papers are not technically correct due to some obvious and manifest error which </w:t>
      </w:r>
      <w:r w:rsidR="007A7577" w:rsidRPr="007A7577">
        <w:rPr>
          <w:lang w:val="en-GB"/>
        </w:rPr>
        <w:lastRenderedPageBreak/>
        <w:t xml:space="preserve">causes no prejudice, it is difficult to justify an approach that prevents the adjudication of a matter on its true issues. </w:t>
      </w:r>
    </w:p>
    <w:p w14:paraId="6C620F3B" w14:textId="77777777" w:rsidR="007A7577" w:rsidRPr="007A7577" w:rsidRDefault="007A7577" w:rsidP="007A7577">
      <w:pPr>
        <w:pStyle w:val="NUM1"/>
        <w:numPr>
          <w:ilvl w:val="0"/>
          <w:numId w:val="0"/>
        </w:numPr>
        <w:ind w:left="720"/>
      </w:pPr>
    </w:p>
    <w:p w14:paraId="5A40D850" w14:textId="3BB81DF6" w:rsidR="007A7577" w:rsidRDefault="00250A50" w:rsidP="00250A50">
      <w:pPr>
        <w:pStyle w:val="NUM1"/>
        <w:numPr>
          <w:ilvl w:val="0"/>
          <w:numId w:val="0"/>
        </w:numPr>
        <w:tabs>
          <w:tab w:val="left" w:pos="720"/>
        </w:tabs>
        <w:ind w:left="720" w:hanging="720"/>
        <w:rPr>
          <w:lang w:val="en-GB"/>
        </w:rPr>
      </w:pPr>
      <w:r>
        <w:rPr>
          <w:caps/>
          <w:lang w:val="en-GB"/>
        </w:rPr>
        <w:t>[21]</w:t>
      </w:r>
      <w:r>
        <w:rPr>
          <w:caps/>
          <w:lang w:val="en-GB"/>
        </w:rPr>
        <w:tab/>
      </w:r>
      <w:r w:rsidR="007A7577" w:rsidRPr="007A7577">
        <w:rPr>
          <w:lang w:val="en-GB"/>
        </w:rPr>
        <w:t xml:space="preserve">The learned Judge considered the defence raised by the defendant and, having found it not to be a </w:t>
      </w:r>
      <w:r w:rsidR="007A7577" w:rsidRPr="007A7577">
        <w:rPr>
          <w:i/>
          <w:iCs/>
          <w:lang w:val="en-GB"/>
        </w:rPr>
        <w:t>bona fide</w:t>
      </w:r>
      <w:r w:rsidR="007A7577" w:rsidRPr="007A7577">
        <w:rPr>
          <w:lang w:val="en-GB"/>
        </w:rPr>
        <w:t xml:space="preserve"> defence, good in law, granted summary judgment. </w:t>
      </w:r>
    </w:p>
    <w:p w14:paraId="08325BE5" w14:textId="77777777" w:rsidR="007A7577" w:rsidRPr="007A7577" w:rsidRDefault="007A7577" w:rsidP="007A7577">
      <w:pPr>
        <w:rPr>
          <w:lang w:val="en-GB"/>
        </w:rPr>
      </w:pPr>
    </w:p>
    <w:p w14:paraId="375EDAE3" w14:textId="17CA01EA" w:rsidR="007A7577" w:rsidRPr="007A7577" w:rsidRDefault="00250A50" w:rsidP="00250A50">
      <w:pPr>
        <w:pStyle w:val="NUM1"/>
        <w:numPr>
          <w:ilvl w:val="0"/>
          <w:numId w:val="0"/>
        </w:numPr>
        <w:tabs>
          <w:tab w:val="left" w:pos="720"/>
        </w:tabs>
        <w:ind w:left="720" w:hanging="720"/>
      </w:pPr>
      <w:r w:rsidRPr="007A7577">
        <w:rPr>
          <w:caps/>
        </w:rPr>
        <w:t>[22]</w:t>
      </w:r>
      <w:r w:rsidRPr="007A7577">
        <w:rPr>
          <w:caps/>
        </w:rPr>
        <w:tab/>
      </w:r>
      <w:r w:rsidR="007A7577" w:rsidRPr="007A7577">
        <w:rPr>
          <w:lang w:val="en-GB"/>
        </w:rPr>
        <w:t>The learned Judge was no doubt alive to the fact that upholding a very technical objection in circumstances where there was no doubt what the plaintiff's case was, would merely result in the plaintiff's rights being delayed</w:t>
      </w:r>
      <w:r w:rsidR="00E31BBA">
        <w:rPr>
          <w:lang w:val="en-GB"/>
        </w:rPr>
        <w:t>,</w:t>
      </w:r>
      <w:r w:rsidR="007A7577" w:rsidRPr="007A7577">
        <w:rPr>
          <w:lang w:val="en-GB"/>
        </w:rPr>
        <w:t xml:space="preserve"> and a concomitant and substantial increase in costs that would be occasioned by an inevitable trial.</w:t>
      </w:r>
      <w:r w:rsidR="00E31BBA">
        <w:rPr>
          <w:lang w:val="en-GB"/>
        </w:rPr>
        <w:t xml:space="preserve"> </w:t>
      </w:r>
    </w:p>
    <w:p w14:paraId="6857A803" w14:textId="77777777" w:rsidR="00932A6A" w:rsidRDefault="00932A6A" w:rsidP="00932A6A">
      <w:pPr>
        <w:pStyle w:val="NUM1"/>
        <w:numPr>
          <w:ilvl w:val="0"/>
          <w:numId w:val="0"/>
        </w:numPr>
        <w:ind w:left="720"/>
      </w:pPr>
    </w:p>
    <w:p w14:paraId="71191DA2" w14:textId="3E993D1B" w:rsidR="00C40B8D" w:rsidRDefault="00250A50" w:rsidP="00250A50">
      <w:pPr>
        <w:pStyle w:val="NUM1"/>
        <w:numPr>
          <w:ilvl w:val="0"/>
          <w:numId w:val="0"/>
        </w:numPr>
        <w:tabs>
          <w:tab w:val="left" w:pos="720"/>
        </w:tabs>
        <w:ind w:left="720" w:hanging="720"/>
      </w:pPr>
      <w:r>
        <w:rPr>
          <w:caps/>
        </w:rPr>
        <w:t>[23]</w:t>
      </w:r>
      <w:r>
        <w:rPr>
          <w:caps/>
        </w:rPr>
        <w:tab/>
      </w:r>
      <w:r w:rsidR="00C177AB">
        <w:t xml:space="preserve">In </w:t>
      </w:r>
      <w:r w:rsidR="00C177AB" w:rsidRPr="00EF7014">
        <w:rPr>
          <w:b/>
          <w:bCs/>
        </w:rPr>
        <w:t>Pangbourne Properties</w:t>
      </w:r>
      <w:r w:rsidR="00C177AB">
        <w:rPr>
          <w:rStyle w:val="FootnoteReference"/>
        </w:rPr>
        <w:footnoteReference w:id="14"/>
      </w:r>
      <w:r w:rsidR="00E31BBA">
        <w:t>,</w:t>
      </w:r>
      <w:r w:rsidR="00C177AB">
        <w:t xml:space="preserve"> </w:t>
      </w:r>
      <w:r w:rsidR="00C177AB" w:rsidRPr="00AF07C7">
        <w:t>Wepener</w:t>
      </w:r>
      <w:r w:rsidR="00E31BBA">
        <w:t> </w:t>
      </w:r>
      <w:r w:rsidR="00C177AB" w:rsidRPr="00AF07C7">
        <w:t>J</w:t>
      </w:r>
      <w:r w:rsidR="00C177AB">
        <w:t xml:space="preserve"> dealt with the question of condonation in the context where an opposed application before him was ripe for hearing</w:t>
      </w:r>
      <w:r w:rsidR="00E31BBA">
        <w:t>,</w:t>
      </w:r>
      <w:r w:rsidR="00C177AB">
        <w:t xml:space="preserve"> but the respondent took the point that the replying affidavit was delivered out of time. </w:t>
      </w:r>
      <w:r w:rsidR="00E31BBA">
        <w:t xml:space="preserve"> </w:t>
      </w:r>
    </w:p>
    <w:p w14:paraId="776D3BA0" w14:textId="77777777" w:rsidR="00C40B8D" w:rsidRPr="00C40B8D" w:rsidRDefault="00C40B8D" w:rsidP="00C40B8D"/>
    <w:p w14:paraId="6CA8FE5A" w14:textId="20D24B23" w:rsidR="00CD57EF" w:rsidRDefault="00250A50" w:rsidP="00250A50">
      <w:pPr>
        <w:pStyle w:val="NUM1"/>
        <w:numPr>
          <w:ilvl w:val="0"/>
          <w:numId w:val="0"/>
        </w:numPr>
        <w:tabs>
          <w:tab w:val="left" w:pos="720"/>
        </w:tabs>
        <w:ind w:left="720" w:hanging="720"/>
      </w:pPr>
      <w:r>
        <w:rPr>
          <w:caps/>
        </w:rPr>
        <w:t>[24]</w:t>
      </w:r>
      <w:r>
        <w:rPr>
          <w:caps/>
        </w:rPr>
        <w:tab/>
      </w:r>
      <w:r w:rsidR="00C177AB">
        <w:t>The learned Judge pointed out that both the answering and the replying affidavits had been delivered out of time, the matter was ripe for hearing and there was clearly no prejudice to either of the parties.</w:t>
      </w:r>
      <w:r w:rsidR="00B860EA">
        <w:t xml:space="preserve"> </w:t>
      </w:r>
      <w:r w:rsidR="00E31BBA">
        <w:t xml:space="preserve"> </w:t>
      </w:r>
    </w:p>
    <w:p w14:paraId="273D4DD1" w14:textId="77777777" w:rsidR="00C40B8D" w:rsidRPr="00C40B8D" w:rsidRDefault="00C40B8D" w:rsidP="00C40B8D"/>
    <w:p w14:paraId="292670C8" w14:textId="2C9665F6" w:rsidR="007A7577" w:rsidRDefault="00250A50" w:rsidP="00250A50">
      <w:pPr>
        <w:pStyle w:val="NUM1"/>
        <w:numPr>
          <w:ilvl w:val="0"/>
          <w:numId w:val="0"/>
        </w:numPr>
        <w:tabs>
          <w:tab w:val="left" w:pos="720"/>
        </w:tabs>
        <w:ind w:left="720" w:hanging="720"/>
        <w:rPr>
          <w:lang w:val="en-GB"/>
        </w:rPr>
      </w:pPr>
      <w:r>
        <w:rPr>
          <w:caps/>
          <w:lang w:val="en-GB"/>
        </w:rPr>
        <w:t>[25]</w:t>
      </w:r>
      <w:r>
        <w:rPr>
          <w:caps/>
          <w:lang w:val="en-GB"/>
        </w:rPr>
        <w:tab/>
      </w:r>
      <w:r w:rsidR="007A7577">
        <w:rPr>
          <w:lang w:val="en-GB"/>
        </w:rPr>
        <w:t xml:space="preserve">The learned Judge held that even late affidavits can validly be before the Court if the interests of justice require it. </w:t>
      </w:r>
      <w:r w:rsidR="00B56C8B">
        <w:rPr>
          <w:lang w:val="en-GB"/>
        </w:rPr>
        <w:t xml:space="preserve"> </w:t>
      </w:r>
      <w:r w:rsidR="00B860EA">
        <w:rPr>
          <w:lang w:val="en-GB"/>
        </w:rPr>
        <w:t xml:space="preserve">He </w:t>
      </w:r>
      <w:r w:rsidR="007A7577">
        <w:rPr>
          <w:lang w:val="en-GB"/>
        </w:rPr>
        <w:t>cited numerous</w:t>
      </w:r>
      <w:r w:rsidR="00B860EA">
        <w:rPr>
          <w:lang w:val="en-GB"/>
        </w:rPr>
        <w:t>,</w:t>
      </w:r>
      <w:r w:rsidR="007A7577">
        <w:rPr>
          <w:lang w:val="en-GB"/>
        </w:rPr>
        <w:t xml:space="preserve"> weighty authorities</w:t>
      </w:r>
      <w:r w:rsidR="009147C4">
        <w:rPr>
          <w:lang w:val="en-GB"/>
        </w:rPr>
        <w:t>,</w:t>
      </w:r>
      <w:r w:rsidR="007A7577">
        <w:rPr>
          <w:lang w:val="en-GB"/>
        </w:rPr>
        <w:t xml:space="preserve"> each </w:t>
      </w:r>
      <w:r w:rsidR="007A7577">
        <w:rPr>
          <w:lang w:val="en-GB"/>
        </w:rPr>
        <w:lastRenderedPageBreak/>
        <w:t xml:space="preserve">of which make the point that the Rules of Court are designed to secure the inexpensive and expeditious completion of litigation, </w:t>
      </w:r>
      <w:r w:rsidR="00FA3373">
        <w:rPr>
          <w:lang w:val="en-GB"/>
        </w:rPr>
        <w:t xml:space="preserve">that </w:t>
      </w:r>
      <w:r w:rsidR="007A7577">
        <w:rPr>
          <w:lang w:val="en-GB"/>
        </w:rPr>
        <w:t>the Rules of Court must not be abused</w:t>
      </w:r>
      <w:r w:rsidR="00FA3373">
        <w:rPr>
          <w:lang w:val="en-GB"/>
        </w:rPr>
        <w:t>,</w:t>
      </w:r>
      <w:r w:rsidR="007A7577">
        <w:rPr>
          <w:lang w:val="en-GB"/>
        </w:rPr>
        <w:t xml:space="preserve"> particularly through the making of unnecessary procedurally related applications that prevent the speedy resolution of litigation</w:t>
      </w:r>
      <w:r w:rsidR="00B56C8B">
        <w:rPr>
          <w:lang w:val="en-GB"/>
        </w:rPr>
        <w:t>,</w:t>
      </w:r>
      <w:r w:rsidR="007A7577">
        <w:rPr>
          <w:lang w:val="en-GB"/>
        </w:rPr>
        <w:t xml:space="preserve"> or are used for an undue or ulterior purpose</w:t>
      </w:r>
      <w:r w:rsidR="00B56C8B">
        <w:rPr>
          <w:lang w:val="en-GB"/>
        </w:rPr>
        <w:t>,</w:t>
      </w:r>
      <w:r w:rsidR="007A7577">
        <w:rPr>
          <w:lang w:val="en-GB"/>
        </w:rPr>
        <w:t xml:space="preserve"> or where the upholding of an objection to a technical defect would only result in a pointless waste of time</w:t>
      </w:r>
      <w:r w:rsidR="00285C95">
        <w:rPr>
          <w:lang w:val="en-GB"/>
        </w:rPr>
        <w:t>,</w:t>
      </w:r>
      <w:r w:rsidR="007A7577">
        <w:rPr>
          <w:lang w:val="en-GB"/>
        </w:rPr>
        <w:t xml:space="preserve"> or costs would result </w:t>
      </w:r>
      <w:r w:rsidR="00B56C8B">
        <w:rPr>
          <w:lang w:val="en-GB"/>
        </w:rPr>
        <w:t xml:space="preserve">in </w:t>
      </w:r>
      <w:r w:rsidR="007A7577">
        <w:rPr>
          <w:lang w:val="en-GB"/>
        </w:rPr>
        <w:t xml:space="preserve">the highly unsatisfactory result that the parties to the proceedings would be required to commence them </w:t>
      </w:r>
      <w:r w:rsidR="007A7577" w:rsidRPr="001F0D94">
        <w:rPr>
          <w:i/>
          <w:iCs/>
          <w:lang w:val="en-GB"/>
        </w:rPr>
        <w:t>de novo</w:t>
      </w:r>
      <w:r w:rsidR="007A7577">
        <w:rPr>
          <w:lang w:val="en-GB"/>
        </w:rPr>
        <w:t xml:space="preserve"> and on the same facts.</w:t>
      </w:r>
      <w:r w:rsidR="00B56C8B">
        <w:rPr>
          <w:lang w:val="en-GB"/>
        </w:rPr>
        <w:t xml:space="preserve"> </w:t>
      </w:r>
    </w:p>
    <w:p w14:paraId="0B927063" w14:textId="77777777" w:rsidR="00C40B8D" w:rsidRDefault="00C40B8D" w:rsidP="00C40B8D">
      <w:pPr>
        <w:rPr>
          <w:lang w:val="en-GB"/>
        </w:rPr>
      </w:pPr>
    </w:p>
    <w:p w14:paraId="1E27B8C4" w14:textId="68234837" w:rsidR="00C40B8D" w:rsidRDefault="00250A50" w:rsidP="00250A50">
      <w:pPr>
        <w:pStyle w:val="NUM1"/>
        <w:numPr>
          <w:ilvl w:val="0"/>
          <w:numId w:val="0"/>
        </w:numPr>
        <w:tabs>
          <w:tab w:val="left" w:pos="720"/>
        </w:tabs>
        <w:ind w:left="720" w:hanging="720"/>
      </w:pPr>
      <w:r>
        <w:rPr>
          <w:caps/>
        </w:rPr>
        <w:t>[26]</w:t>
      </w:r>
      <w:r>
        <w:rPr>
          <w:caps/>
        </w:rPr>
        <w:tab/>
      </w:r>
      <w:r w:rsidR="00C40B8D">
        <w:t xml:space="preserve">The learned Judge concluded that, in the absence of prejudice to either of the parties, there was no basis upon which a condonation application must be brought. </w:t>
      </w:r>
    </w:p>
    <w:p w14:paraId="42C1620D" w14:textId="77777777" w:rsidR="007A7577" w:rsidRDefault="007A7577" w:rsidP="007A7577">
      <w:pPr>
        <w:rPr>
          <w:lang w:val="en-GB"/>
        </w:rPr>
      </w:pPr>
    </w:p>
    <w:p w14:paraId="0FDB6BCF" w14:textId="296022C9" w:rsidR="007A7577" w:rsidRDefault="00250A50" w:rsidP="00250A50">
      <w:pPr>
        <w:pStyle w:val="NUM1"/>
        <w:numPr>
          <w:ilvl w:val="0"/>
          <w:numId w:val="0"/>
        </w:numPr>
        <w:tabs>
          <w:tab w:val="left" w:pos="720"/>
        </w:tabs>
        <w:ind w:left="720" w:hanging="720"/>
        <w:rPr>
          <w:lang w:val="en-GB"/>
        </w:rPr>
      </w:pPr>
      <w:r>
        <w:rPr>
          <w:caps/>
          <w:lang w:val="en-GB"/>
        </w:rPr>
        <w:t>[27]</w:t>
      </w:r>
      <w:r>
        <w:rPr>
          <w:caps/>
          <w:lang w:val="en-GB"/>
        </w:rPr>
        <w:tab/>
      </w:r>
      <w:r w:rsidR="007A7577">
        <w:rPr>
          <w:lang w:val="en-GB"/>
        </w:rPr>
        <w:t xml:space="preserve">This progressive movement away from rigid formulism and slavish adherence to a codification that is intended to be facilitative and not obstructive has become so </w:t>
      </w:r>
      <w:r w:rsidR="00CB0FF9">
        <w:rPr>
          <w:lang w:val="en-GB"/>
        </w:rPr>
        <w:t>e</w:t>
      </w:r>
      <w:r w:rsidR="007A7577">
        <w:rPr>
          <w:lang w:val="en-GB"/>
        </w:rPr>
        <w:t>ntrenched in our law that the Constitutional Court has remarked, in the context of amendments, the modern approach</w:t>
      </w:r>
      <w:r w:rsidR="002D38DE">
        <w:rPr>
          <w:lang w:val="en-GB"/>
        </w:rPr>
        <w:t>, predicated on the interests of justice,</w:t>
      </w:r>
      <w:r w:rsidR="007A7577">
        <w:rPr>
          <w:lang w:val="en-GB"/>
        </w:rPr>
        <w:t xml:space="preserve"> is to permit amendments unless they will cause real </w:t>
      </w:r>
      <w:r w:rsidR="009147C4">
        <w:rPr>
          <w:lang w:val="en-GB"/>
        </w:rPr>
        <w:t xml:space="preserve">and </w:t>
      </w:r>
      <w:r w:rsidR="007A7577">
        <w:rPr>
          <w:lang w:val="en-GB"/>
        </w:rPr>
        <w:t>substantial prejudice to a party.</w:t>
      </w:r>
      <w:r w:rsidR="007A7577">
        <w:rPr>
          <w:rStyle w:val="FootnoteReference"/>
          <w:lang w:val="en-GB"/>
        </w:rPr>
        <w:footnoteReference w:id="15"/>
      </w:r>
      <w:r w:rsidR="00CB0FF9">
        <w:rPr>
          <w:lang w:val="en-GB"/>
        </w:rPr>
        <w:t xml:space="preserve"> </w:t>
      </w:r>
    </w:p>
    <w:p w14:paraId="22EA6014" w14:textId="77777777" w:rsidR="00FA3373" w:rsidRDefault="00FA3373" w:rsidP="00FA3373">
      <w:pPr>
        <w:pStyle w:val="NUM1"/>
        <w:numPr>
          <w:ilvl w:val="0"/>
          <w:numId w:val="0"/>
        </w:numPr>
      </w:pPr>
    </w:p>
    <w:p w14:paraId="6D3ACC5D" w14:textId="25F7AACC" w:rsidR="007A7577" w:rsidRDefault="00250A50" w:rsidP="00250A50">
      <w:pPr>
        <w:pStyle w:val="NUM1"/>
        <w:numPr>
          <w:ilvl w:val="0"/>
          <w:numId w:val="0"/>
        </w:numPr>
        <w:tabs>
          <w:tab w:val="left" w:pos="720"/>
        </w:tabs>
        <w:ind w:left="720" w:hanging="720"/>
      </w:pPr>
      <w:r>
        <w:rPr>
          <w:caps/>
        </w:rPr>
        <w:t>[28]</w:t>
      </w:r>
      <w:r>
        <w:rPr>
          <w:caps/>
        </w:rPr>
        <w:tab/>
      </w:r>
      <w:r w:rsidR="00DF06EB">
        <w:t xml:space="preserve">The Rules are to be applied sensibly and pragmatically to bring about the ultimate ventilation of the true issues between the parties. </w:t>
      </w:r>
    </w:p>
    <w:p w14:paraId="518C8E0E" w14:textId="77777777" w:rsidR="007A7577" w:rsidRPr="007A7577" w:rsidRDefault="007A7577" w:rsidP="007A7577"/>
    <w:p w14:paraId="6368982A" w14:textId="40E4D622" w:rsidR="008464ED" w:rsidRDefault="00250A50" w:rsidP="00250A50">
      <w:pPr>
        <w:pStyle w:val="NUM1"/>
        <w:numPr>
          <w:ilvl w:val="0"/>
          <w:numId w:val="0"/>
        </w:numPr>
        <w:tabs>
          <w:tab w:val="left" w:pos="720"/>
        </w:tabs>
        <w:ind w:left="720" w:hanging="720"/>
      </w:pPr>
      <w:r>
        <w:rPr>
          <w:caps/>
        </w:rPr>
        <w:lastRenderedPageBreak/>
        <w:t>[29]</w:t>
      </w:r>
      <w:r>
        <w:rPr>
          <w:caps/>
        </w:rPr>
        <w:tab/>
      </w:r>
      <w:r w:rsidR="00D0604C">
        <w:t xml:space="preserve">In </w:t>
      </w:r>
      <w:r w:rsidR="00D0604C" w:rsidRPr="00D0604C">
        <w:rPr>
          <w:b/>
          <w:bCs/>
        </w:rPr>
        <w:t>Ferreiras</w:t>
      </w:r>
      <w:r w:rsidR="00D0604C" w:rsidRPr="009D0D85">
        <w:rPr>
          <w:rStyle w:val="FootnoteReference"/>
        </w:rPr>
        <w:footnoteReference w:id="16"/>
      </w:r>
      <w:r w:rsidR="009D0D85">
        <w:t xml:space="preserve">, </w:t>
      </w:r>
      <w:r w:rsidR="00D0604C">
        <w:t>De Villiers</w:t>
      </w:r>
      <w:r w:rsidR="009D0D85">
        <w:t> </w:t>
      </w:r>
      <w:r w:rsidR="00D0604C">
        <w:t>AJ, dealing with a Rule 30 application where the issue was whether a default judgment ought to be rescinded on the basis that a late answering affidavit was not considered, said in regard to a rigid and formalistic approach to litigation, that</w:t>
      </w:r>
      <w:r w:rsidR="009D0D85">
        <w:t xml:space="preserve">: </w:t>
      </w:r>
    </w:p>
    <w:p w14:paraId="70454B2D" w14:textId="2D61EDF8" w:rsidR="00D0604C" w:rsidRDefault="00D0604C" w:rsidP="00D0604C"/>
    <w:p w14:paraId="47B62101" w14:textId="7352D800" w:rsidR="00D0604C" w:rsidRPr="00D0604C" w:rsidRDefault="00D0604C" w:rsidP="00E6457C">
      <w:pPr>
        <w:tabs>
          <w:tab w:val="left" w:pos="1276"/>
        </w:tabs>
        <w:spacing w:line="360" w:lineRule="auto"/>
        <w:ind w:left="1276" w:hanging="567"/>
        <w:rPr>
          <w:color w:val="000000"/>
          <w:sz w:val="20"/>
          <w:szCs w:val="20"/>
          <w:lang w:eastAsia="en-GB"/>
        </w:rPr>
      </w:pPr>
      <w:r w:rsidRPr="00D0604C">
        <w:rPr>
          <w:sz w:val="20"/>
          <w:szCs w:val="20"/>
        </w:rPr>
        <w:t>“</w:t>
      </w:r>
      <w:r w:rsidRPr="00D0604C">
        <w:rPr>
          <w:color w:val="000000"/>
          <w:sz w:val="20"/>
          <w:szCs w:val="20"/>
          <w:lang w:eastAsia="en-GB"/>
        </w:rPr>
        <w:t xml:space="preserve">[20] </w:t>
      </w:r>
      <w:r>
        <w:rPr>
          <w:color w:val="000000"/>
          <w:sz w:val="20"/>
          <w:szCs w:val="20"/>
          <w:lang w:eastAsia="en-GB"/>
        </w:rPr>
        <w:tab/>
      </w:r>
      <w:r w:rsidRPr="00D0604C">
        <w:rPr>
          <w:color w:val="000000"/>
          <w:sz w:val="20"/>
          <w:szCs w:val="20"/>
          <w:lang w:eastAsia="en-GB"/>
        </w:rPr>
        <w:t xml:space="preserve">The formalistic approach of the applicant comes at a great cost to bringing the matter to finality. </w:t>
      </w:r>
      <w:r w:rsidR="00511A44">
        <w:rPr>
          <w:color w:val="000000"/>
          <w:sz w:val="20"/>
          <w:szCs w:val="20"/>
          <w:lang w:eastAsia="en-GB"/>
        </w:rPr>
        <w:t xml:space="preserve"> </w:t>
      </w:r>
      <w:r w:rsidRPr="00D0604C">
        <w:rPr>
          <w:color w:val="000000"/>
          <w:sz w:val="20"/>
          <w:szCs w:val="20"/>
          <w:lang w:eastAsia="en-GB"/>
        </w:rPr>
        <w:t>Many litigants would have had the matter removed from the unopposed roll before Louw</w:t>
      </w:r>
      <w:r w:rsidR="00C50986">
        <w:rPr>
          <w:color w:val="000000"/>
          <w:sz w:val="20"/>
          <w:szCs w:val="20"/>
          <w:lang w:eastAsia="en-GB"/>
        </w:rPr>
        <w:t> </w:t>
      </w:r>
      <w:r w:rsidRPr="00D0604C">
        <w:rPr>
          <w:color w:val="000000"/>
          <w:sz w:val="20"/>
          <w:szCs w:val="20"/>
          <w:lang w:eastAsia="en-GB"/>
        </w:rPr>
        <w:t xml:space="preserve">J at the respondents' cost, delivered a replying affidavit, and the matter would have been finalised by now. </w:t>
      </w:r>
      <w:r w:rsidR="00DB2306">
        <w:rPr>
          <w:color w:val="000000"/>
          <w:sz w:val="20"/>
          <w:szCs w:val="20"/>
          <w:lang w:eastAsia="en-GB"/>
        </w:rPr>
        <w:t xml:space="preserve"> </w:t>
      </w:r>
      <w:r w:rsidRPr="00D0604C">
        <w:rPr>
          <w:color w:val="000000"/>
          <w:sz w:val="20"/>
          <w:szCs w:val="20"/>
          <w:lang w:eastAsia="en-GB"/>
        </w:rPr>
        <w:t>Many others would simply have answered the rescission application, and the matter would have been finalised by now.</w:t>
      </w:r>
      <w:r w:rsidR="00DB2306">
        <w:rPr>
          <w:color w:val="000000"/>
          <w:sz w:val="20"/>
          <w:szCs w:val="20"/>
          <w:lang w:eastAsia="en-GB"/>
        </w:rPr>
        <w:t xml:space="preserve"> </w:t>
      </w:r>
      <w:r w:rsidRPr="00D0604C">
        <w:rPr>
          <w:color w:val="000000"/>
          <w:sz w:val="20"/>
          <w:szCs w:val="20"/>
          <w:lang w:eastAsia="en-GB"/>
        </w:rPr>
        <w:t xml:space="preserve"> The formalistic approach of the applicant will continue to involve the parties in much expense. </w:t>
      </w:r>
      <w:r w:rsidR="00DB2306">
        <w:rPr>
          <w:color w:val="000000"/>
          <w:sz w:val="20"/>
          <w:szCs w:val="20"/>
          <w:lang w:eastAsia="en-GB"/>
        </w:rPr>
        <w:t xml:space="preserve"> </w:t>
      </w:r>
      <w:r w:rsidRPr="00D0604C">
        <w:rPr>
          <w:color w:val="000000"/>
          <w:sz w:val="20"/>
          <w:szCs w:val="20"/>
          <w:lang w:eastAsia="en-GB"/>
        </w:rPr>
        <w:t xml:space="preserve">If I were to decide the matter against the applicant (as I do), at least the rescission application would have to be answered, replied to, and argued (if my judgment is not appealed against). </w:t>
      </w:r>
      <w:r w:rsidR="00DB2306">
        <w:rPr>
          <w:color w:val="000000"/>
          <w:sz w:val="20"/>
          <w:szCs w:val="20"/>
          <w:lang w:eastAsia="en-GB"/>
        </w:rPr>
        <w:t xml:space="preserve"> </w:t>
      </w:r>
      <w:r w:rsidRPr="00D0604C">
        <w:rPr>
          <w:color w:val="000000"/>
          <w:sz w:val="20"/>
          <w:szCs w:val="20"/>
          <w:lang w:eastAsia="en-GB"/>
        </w:rPr>
        <w:t>If the rescission application were to succeed (and no attempts were made to seek leave to appeal that decision), the application for payment would have to be replied to and argued.</w:t>
      </w:r>
      <w:r w:rsidR="00DB2306">
        <w:rPr>
          <w:color w:val="000000"/>
          <w:sz w:val="20"/>
          <w:szCs w:val="20"/>
          <w:lang w:eastAsia="en-GB"/>
        </w:rPr>
        <w:t xml:space="preserve"> </w:t>
      </w:r>
    </w:p>
    <w:p w14:paraId="42E99F60" w14:textId="77777777" w:rsidR="00D0604C" w:rsidRPr="00D0604C" w:rsidRDefault="00D0604C" w:rsidP="00D0604C">
      <w:pPr>
        <w:spacing w:line="360" w:lineRule="auto"/>
        <w:ind w:left="1418" w:hanging="709"/>
        <w:rPr>
          <w:color w:val="000000"/>
          <w:sz w:val="20"/>
          <w:szCs w:val="20"/>
          <w:lang w:eastAsia="en-GB"/>
        </w:rPr>
      </w:pPr>
    </w:p>
    <w:p w14:paraId="311D02AC" w14:textId="30DE0303" w:rsidR="00D0604C" w:rsidRPr="00D0604C" w:rsidRDefault="00D0604C" w:rsidP="00E6457C">
      <w:pPr>
        <w:spacing w:line="360" w:lineRule="auto"/>
        <w:ind w:left="1276" w:hanging="567"/>
        <w:rPr>
          <w:color w:val="000000"/>
          <w:sz w:val="20"/>
          <w:szCs w:val="20"/>
          <w:lang w:eastAsia="en-GB"/>
        </w:rPr>
      </w:pPr>
      <w:r w:rsidRPr="00D0604C">
        <w:rPr>
          <w:color w:val="000000"/>
          <w:sz w:val="20"/>
          <w:szCs w:val="20"/>
          <w:lang w:eastAsia="en-GB"/>
        </w:rPr>
        <w:t xml:space="preserve">[21] </w:t>
      </w:r>
      <w:r>
        <w:rPr>
          <w:color w:val="000000"/>
          <w:sz w:val="20"/>
          <w:szCs w:val="20"/>
          <w:lang w:eastAsia="en-GB"/>
        </w:rPr>
        <w:tab/>
      </w:r>
      <w:r w:rsidRPr="00D0604C">
        <w:rPr>
          <w:color w:val="000000"/>
          <w:sz w:val="20"/>
          <w:szCs w:val="20"/>
          <w:lang w:eastAsia="en-GB"/>
        </w:rPr>
        <w:t>An applicant, prima facie desirous to be paid, has embarked on this technical, time-wasting route that may tie it and the respondents up in litigation for years to come, and tie it up in matters that take the matter potentially not one step closer to finality.”</w:t>
      </w:r>
      <w:r w:rsidR="00C50986">
        <w:rPr>
          <w:color w:val="000000"/>
          <w:sz w:val="20"/>
          <w:szCs w:val="20"/>
          <w:lang w:eastAsia="en-GB"/>
        </w:rPr>
        <w:t xml:space="preserve"> </w:t>
      </w:r>
    </w:p>
    <w:p w14:paraId="761996E8" w14:textId="77777777" w:rsidR="008464ED" w:rsidRPr="008464ED" w:rsidRDefault="008464ED" w:rsidP="008464ED"/>
    <w:p w14:paraId="2DF4E684" w14:textId="507C0551" w:rsidR="00D0604C" w:rsidRDefault="00250A50" w:rsidP="00250A50">
      <w:pPr>
        <w:pStyle w:val="NUM1"/>
        <w:numPr>
          <w:ilvl w:val="0"/>
          <w:numId w:val="0"/>
        </w:numPr>
        <w:tabs>
          <w:tab w:val="left" w:pos="720"/>
        </w:tabs>
        <w:ind w:left="720" w:hanging="720"/>
      </w:pPr>
      <w:r>
        <w:rPr>
          <w:caps/>
        </w:rPr>
        <w:t>[30]</w:t>
      </w:r>
      <w:r>
        <w:rPr>
          <w:caps/>
        </w:rPr>
        <w:tab/>
      </w:r>
      <w:r w:rsidR="00D0604C">
        <w:t>The learned judge went on find that the Rule 30 application had no merit and found that it should never have been brought.</w:t>
      </w:r>
      <w:r w:rsidR="00C50986">
        <w:t xml:space="preserve"> </w:t>
      </w:r>
    </w:p>
    <w:p w14:paraId="72C1E8F4" w14:textId="77777777" w:rsidR="00D0604C" w:rsidRPr="00D0604C" w:rsidRDefault="00D0604C" w:rsidP="00D0604C"/>
    <w:p w14:paraId="38F7BB12" w14:textId="45365587" w:rsidR="00F17BC2" w:rsidRDefault="00250A50" w:rsidP="00250A50">
      <w:pPr>
        <w:pStyle w:val="NUM1"/>
        <w:numPr>
          <w:ilvl w:val="0"/>
          <w:numId w:val="0"/>
        </w:numPr>
        <w:tabs>
          <w:tab w:val="left" w:pos="720"/>
        </w:tabs>
        <w:ind w:left="720" w:hanging="720"/>
      </w:pPr>
      <w:r>
        <w:rPr>
          <w:caps/>
        </w:rPr>
        <w:t>[31]</w:t>
      </w:r>
      <w:r>
        <w:rPr>
          <w:caps/>
        </w:rPr>
        <w:tab/>
      </w:r>
      <w:r w:rsidR="00D0604C">
        <w:t>It is thus clear that</w:t>
      </w:r>
      <w:r w:rsidR="00DF06EB">
        <w:t xml:space="preserve"> where the Rules of Court are invoked to prevent, </w:t>
      </w:r>
      <w:r w:rsidR="00D40647">
        <w:t>stymie</w:t>
      </w:r>
      <w:r w:rsidR="00DF06EB">
        <w:t xml:space="preserve"> or </w:t>
      </w:r>
      <w:r w:rsidR="00D40647">
        <w:t xml:space="preserve">obfuscate the true issues, the Court should not permit such conduct. </w:t>
      </w:r>
    </w:p>
    <w:p w14:paraId="47DC9960" w14:textId="74F4E425" w:rsidR="00D40647" w:rsidRDefault="00D40647" w:rsidP="00D40647"/>
    <w:p w14:paraId="71E14B56" w14:textId="33C5C57F" w:rsidR="00D40647" w:rsidRDefault="00250A50" w:rsidP="00250A50">
      <w:pPr>
        <w:pStyle w:val="NUM1"/>
        <w:numPr>
          <w:ilvl w:val="0"/>
          <w:numId w:val="0"/>
        </w:numPr>
        <w:tabs>
          <w:tab w:val="left" w:pos="720"/>
        </w:tabs>
        <w:ind w:left="720" w:hanging="720"/>
      </w:pPr>
      <w:r>
        <w:rPr>
          <w:caps/>
        </w:rPr>
        <w:t>[32]</w:t>
      </w:r>
      <w:r>
        <w:rPr>
          <w:caps/>
        </w:rPr>
        <w:tab/>
      </w:r>
      <w:r w:rsidR="00D40647">
        <w:t xml:space="preserve">Before addressing the substance of the applicant's complaint, a brief chronology of the steps taken in this litigation is necessary. </w:t>
      </w:r>
    </w:p>
    <w:p w14:paraId="424CB7F3" w14:textId="77777777" w:rsidR="00CD57EF" w:rsidRDefault="00CD57EF" w:rsidP="008464ED"/>
    <w:p w14:paraId="6E97EDEB" w14:textId="0D83821B" w:rsidR="008464ED" w:rsidRPr="008464ED" w:rsidRDefault="008464ED" w:rsidP="008464ED">
      <w:pPr>
        <w:rPr>
          <w:b/>
          <w:bCs/>
        </w:rPr>
      </w:pPr>
      <w:r w:rsidRPr="008464ED">
        <w:rPr>
          <w:b/>
          <w:bCs/>
        </w:rPr>
        <w:t>THE FACTS</w:t>
      </w:r>
    </w:p>
    <w:p w14:paraId="7DCE0750" w14:textId="63FB862A" w:rsidR="00D40647" w:rsidRDefault="00D40647" w:rsidP="00D40647"/>
    <w:p w14:paraId="4356EE12" w14:textId="608A46AA" w:rsidR="00D40647" w:rsidRDefault="00250A50" w:rsidP="00250A50">
      <w:pPr>
        <w:pStyle w:val="NUM1"/>
        <w:numPr>
          <w:ilvl w:val="0"/>
          <w:numId w:val="0"/>
        </w:numPr>
        <w:tabs>
          <w:tab w:val="left" w:pos="720"/>
        </w:tabs>
        <w:ind w:left="720" w:hanging="720"/>
      </w:pPr>
      <w:r>
        <w:rPr>
          <w:caps/>
        </w:rPr>
        <w:t>[33]</w:t>
      </w:r>
      <w:r>
        <w:rPr>
          <w:caps/>
        </w:rPr>
        <w:tab/>
      </w:r>
      <w:r w:rsidR="00D40647">
        <w:t>On 26 May 2020</w:t>
      </w:r>
      <w:r w:rsidR="00C50986">
        <w:t>,</w:t>
      </w:r>
      <w:r w:rsidR="00D40647">
        <w:t xml:space="preserve"> personal service of the applicant's summons was effected on the respondent at an address in Constantia Kloof.</w:t>
      </w:r>
      <w:r w:rsidR="00C50986">
        <w:t xml:space="preserve"> </w:t>
      </w:r>
      <w:r w:rsidR="00D40647">
        <w:t xml:space="preserve"> On 1 </w:t>
      </w:r>
      <w:r w:rsidR="00C50986">
        <w:t xml:space="preserve">June </w:t>
      </w:r>
      <w:r w:rsidR="00D40647">
        <w:t>2020</w:t>
      </w:r>
      <w:r w:rsidR="00C50986">
        <w:t>,</w:t>
      </w:r>
      <w:r w:rsidR="00D40647">
        <w:t xml:space="preserve"> the respondent gave notice of his intention to defend the action</w:t>
      </w:r>
      <w:r w:rsidR="00C50986">
        <w:t>,</w:t>
      </w:r>
      <w:r w:rsidR="00D40647">
        <w:t xml:space="preserve"> but failed to deliver a plea </w:t>
      </w:r>
      <w:r w:rsidR="00BA09FA">
        <w:t>thereanent</w:t>
      </w:r>
      <w:r w:rsidR="00AB36D7">
        <w:t xml:space="preserve">. </w:t>
      </w:r>
      <w:r w:rsidR="00C50986">
        <w:t xml:space="preserve"> </w:t>
      </w:r>
      <w:r w:rsidR="00AB36D7">
        <w:t>This occasioned the delivery of a notice of bar on 22 </w:t>
      </w:r>
      <w:r w:rsidR="00C50986">
        <w:t>June </w:t>
      </w:r>
      <w:r w:rsidR="00AB36D7">
        <w:t>2020.</w:t>
      </w:r>
      <w:r w:rsidR="00C50986">
        <w:t xml:space="preserve"> </w:t>
      </w:r>
      <w:r w:rsidR="00AB36D7">
        <w:t xml:space="preserve"> A plea was subsequently delivered on </w:t>
      </w:r>
      <w:r w:rsidR="00510DB1">
        <w:t>25 June 2020</w:t>
      </w:r>
      <w:r w:rsidR="00AB36D7">
        <w:t xml:space="preserve">. </w:t>
      </w:r>
      <w:r w:rsidR="00C50986">
        <w:t xml:space="preserve"> </w:t>
      </w:r>
      <w:r w:rsidR="00AB36D7">
        <w:t xml:space="preserve">In this plea the respondent takes issue with this Court's jurisdiction. </w:t>
      </w:r>
      <w:r w:rsidR="00C50986">
        <w:t xml:space="preserve"> </w:t>
      </w:r>
      <w:r w:rsidR="00AB36D7">
        <w:t>It was an issue</w:t>
      </w:r>
      <w:r w:rsidR="001C01E0">
        <w:t xml:space="preserve"> that</w:t>
      </w:r>
      <w:r w:rsidR="00AB36D7">
        <w:t xml:space="preserve"> is tangential to this application</w:t>
      </w:r>
      <w:r w:rsidR="00BA09FA">
        <w:t xml:space="preserve"> which was debated in the hearing before me</w:t>
      </w:r>
      <w:r w:rsidR="00B072A2">
        <w:t>,</w:t>
      </w:r>
      <w:r w:rsidR="00AB36D7">
        <w:t xml:space="preserve"> and I return to it below.</w:t>
      </w:r>
      <w:r w:rsidR="00C50986">
        <w:t xml:space="preserve"> </w:t>
      </w:r>
    </w:p>
    <w:p w14:paraId="17556119" w14:textId="417ABACC" w:rsidR="00AB36D7" w:rsidRDefault="00AB36D7" w:rsidP="00AB36D7"/>
    <w:p w14:paraId="1C5CFF3A" w14:textId="73CED33A" w:rsidR="00AB36D7" w:rsidRDefault="00250A50" w:rsidP="00250A50">
      <w:pPr>
        <w:pStyle w:val="NUM1"/>
        <w:numPr>
          <w:ilvl w:val="0"/>
          <w:numId w:val="0"/>
        </w:numPr>
        <w:tabs>
          <w:tab w:val="left" w:pos="720"/>
        </w:tabs>
        <w:ind w:left="720" w:hanging="720"/>
      </w:pPr>
      <w:r>
        <w:rPr>
          <w:caps/>
        </w:rPr>
        <w:t>[34]</w:t>
      </w:r>
      <w:r>
        <w:rPr>
          <w:caps/>
        </w:rPr>
        <w:tab/>
      </w:r>
      <w:r w:rsidR="00AB36D7">
        <w:t>On 21 October 2021</w:t>
      </w:r>
      <w:r w:rsidR="00B072A2">
        <w:t>,</w:t>
      </w:r>
      <w:r w:rsidR="00AB36D7">
        <w:t xml:space="preserve"> the respondent delivered the offending notice.</w:t>
      </w:r>
      <w:r w:rsidR="00B072A2">
        <w:t xml:space="preserve"> </w:t>
      </w:r>
      <w:r w:rsidR="00AB36D7">
        <w:t xml:space="preserve"> There is nothing before me which indicates what took place from 21 October 2021 until 3 November 2021</w:t>
      </w:r>
      <w:r w:rsidR="00A3175B">
        <w:t>,</w:t>
      </w:r>
      <w:r w:rsidR="00AB36D7">
        <w:t xml:space="preserve"> when the applicant delivered a notice in terms of Rule 30(2)(b).</w:t>
      </w:r>
      <w:r w:rsidR="00B072A2">
        <w:t xml:space="preserve"> </w:t>
      </w:r>
    </w:p>
    <w:p w14:paraId="67EEDA55" w14:textId="513ACE56" w:rsidR="00AB36D7" w:rsidRDefault="00AB36D7" w:rsidP="00AB36D7"/>
    <w:p w14:paraId="3EE434C4" w14:textId="342E6B15" w:rsidR="00CC187E" w:rsidRDefault="00250A50" w:rsidP="00250A50">
      <w:pPr>
        <w:pStyle w:val="NUM1"/>
        <w:numPr>
          <w:ilvl w:val="0"/>
          <w:numId w:val="0"/>
        </w:numPr>
        <w:tabs>
          <w:tab w:val="left" w:pos="720"/>
        </w:tabs>
        <w:ind w:left="720" w:hanging="720"/>
      </w:pPr>
      <w:r>
        <w:rPr>
          <w:caps/>
        </w:rPr>
        <w:t>[35]</w:t>
      </w:r>
      <w:r>
        <w:rPr>
          <w:caps/>
        </w:rPr>
        <w:tab/>
      </w:r>
      <w:r w:rsidR="00AB36D7">
        <w:t xml:space="preserve">The </w:t>
      </w:r>
      <w:r w:rsidR="008464ED">
        <w:t xml:space="preserve">Rule 30(2)(b) </w:t>
      </w:r>
      <w:r w:rsidR="00AB36D7">
        <w:t xml:space="preserve">notice is in two parts. </w:t>
      </w:r>
      <w:r w:rsidR="00A3175B">
        <w:t xml:space="preserve"> </w:t>
      </w:r>
      <w:r w:rsidR="00AB36D7">
        <w:t>First, it takes issue with the omission on the part of the respondent to advise the applicant of its procedural rights in terms of Rule 28.</w:t>
      </w:r>
      <w:r w:rsidR="00A3175B">
        <w:t xml:space="preserve"> </w:t>
      </w:r>
      <w:r w:rsidR="00AB36D7">
        <w:t xml:space="preserve"> The applicant does not suggest it is unaware of these rights</w:t>
      </w:r>
      <w:r w:rsidR="00A3175B">
        <w:t>,</w:t>
      </w:r>
      <w:r w:rsidR="00D0604C">
        <w:t xml:space="preserve"> or would be prejudiced by having not been appraised thereof</w:t>
      </w:r>
      <w:r w:rsidR="00AB36D7">
        <w:t>.</w:t>
      </w:r>
      <w:r w:rsidR="00A3175B">
        <w:t xml:space="preserve"> </w:t>
      </w:r>
      <w:r w:rsidR="00AB36D7">
        <w:t xml:space="preserve"> Second, the notice complains that the "</w:t>
      </w:r>
      <w:r w:rsidR="00AB36D7" w:rsidRPr="00A3175B">
        <w:rPr>
          <w:i/>
          <w:iCs/>
        </w:rPr>
        <w:t>notice to amend</w:t>
      </w:r>
      <w:r w:rsidR="00AB36D7">
        <w:t>" could be ex</w:t>
      </w:r>
      <w:r w:rsidR="0034011D">
        <w:t>ci</w:t>
      </w:r>
      <w:r w:rsidR="00AB36D7">
        <w:t xml:space="preserve">piable for various reasons. </w:t>
      </w:r>
    </w:p>
    <w:p w14:paraId="6588BF5F" w14:textId="77777777" w:rsidR="00CC187E" w:rsidRPr="00CC187E" w:rsidRDefault="00CC187E" w:rsidP="00CC187E"/>
    <w:p w14:paraId="1BEACC67" w14:textId="2748F010" w:rsidR="008464ED" w:rsidRDefault="00250A50" w:rsidP="00250A50">
      <w:pPr>
        <w:pStyle w:val="NUM1"/>
        <w:numPr>
          <w:ilvl w:val="0"/>
          <w:numId w:val="0"/>
        </w:numPr>
        <w:tabs>
          <w:tab w:val="left" w:pos="720"/>
        </w:tabs>
        <w:ind w:left="720" w:hanging="720"/>
      </w:pPr>
      <w:r>
        <w:rPr>
          <w:caps/>
        </w:rPr>
        <w:lastRenderedPageBreak/>
        <w:t>[36]</w:t>
      </w:r>
      <w:r>
        <w:rPr>
          <w:caps/>
        </w:rPr>
        <w:tab/>
      </w:r>
      <w:r w:rsidR="00CD57EF" w:rsidRPr="00CD57EF">
        <w:rPr>
          <w:i/>
          <w:iCs/>
        </w:rPr>
        <w:t>En passant</w:t>
      </w:r>
      <w:r w:rsidR="00CD57EF">
        <w:t>, Rule 30 deals with issues of form and not substance.  This, on a ri</w:t>
      </w:r>
      <w:r w:rsidR="00C44304">
        <w:t>gi</w:t>
      </w:r>
      <w:r w:rsidR="00CD57EF">
        <w:t xml:space="preserve">d application of the Rules, would make the Rule 30(2)(b) irregular in and of itself. </w:t>
      </w:r>
    </w:p>
    <w:p w14:paraId="1CE4C0C6" w14:textId="77777777" w:rsidR="008464ED" w:rsidRPr="008464ED" w:rsidRDefault="008464ED" w:rsidP="008464ED"/>
    <w:p w14:paraId="77517BA0" w14:textId="2FA6A65C" w:rsidR="00BA09FA" w:rsidRDefault="00250A50" w:rsidP="00250A50">
      <w:pPr>
        <w:pStyle w:val="NUM1"/>
        <w:numPr>
          <w:ilvl w:val="0"/>
          <w:numId w:val="0"/>
        </w:numPr>
        <w:tabs>
          <w:tab w:val="left" w:pos="720"/>
        </w:tabs>
        <w:ind w:left="720" w:hanging="720"/>
      </w:pPr>
      <w:r>
        <w:rPr>
          <w:caps/>
        </w:rPr>
        <w:t>[37]</w:t>
      </w:r>
      <w:r>
        <w:rPr>
          <w:caps/>
        </w:rPr>
        <w:tab/>
      </w:r>
      <w:r w:rsidR="00AB36D7">
        <w:t>The applicant did not, however, deliver a notice as contemplated in Rule </w:t>
      </w:r>
      <w:r w:rsidR="00BA09FA">
        <w:t>2</w:t>
      </w:r>
      <w:r w:rsidR="00AB36D7">
        <w:t>8(</w:t>
      </w:r>
      <w:r w:rsidR="00BA09FA">
        <w:t>3</w:t>
      </w:r>
      <w:r w:rsidR="00AB36D7">
        <w:t>)</w:t>
      </w:r>
      <w:r w:rsidR="00A7395D">
        <w:t xml:space="preserve"> objecting to the </w:t>
      </w:r>
      <w:r w:rsidR="00CD57EF">
        <w:t xml:space="preserve">offending </w:t>
      </w:r>
      <w:r w:rsidR="00A7395D">
        <w:t>notice</w:t>
      </w:r>
      <w:r w:rsidR="00CD57EF">
        <w:t xml:space="preserve"> notwithstanding its alleged prejudice.</w:t>
      </w:r>
      <w:r w:rsidR="00D14A26">
        <w:t xml:space="preserve"> </w:t>
      </w:r>
    </w:p>
    <w:p w14:paraId="2138DE4C" w14:textId="1DB4C1A8" w:rsidR="00A7395D" w:rsidRDefault="00A7395D" w:rsidP="00A7395D"/>
    <w:p w14:paraId="3A761EC7" w14:textId="22E1131B" w:rsidR="00A7395D" w:rsidRDefault="00250A50" w:rsidP="00250A50">
      <w:pPr>
        <w:pStyle w:val="NUM1"/>
        <w:numPr>
          <w:ilvl w:val="0"/>
          <w:numId w:val="0"/>
        </w:numPr>
        <w:tabs>
          <w:tab w:val="left" w:pos="720"/>
        </w:tabs>
        <w:ind w:left="720" w:hanging="720"/>
      </w:pPr>
      <w:r>
        <w:rPr>
          <w:caps/>
        </w:rPr>
        <w:t>[38]</w:t>
      </w:r>
      <w:r>
        <w:rPr>
          <w:caps/>
        </w:rPr>
        <w:tab/>
      </w:r>
      <w:r w:rsidR="00A7395D">
        <w:t>On 16 November 2021</w:t>
      </w:r>
      <w:r w:rsidR="00D14A26">
        <w:t>,</w:t>
      </w:r>
      <w:r w:rsidR="00A7395D">
        <w:t xml:space="preserve"> the respondent delivered a notice in response to the applicant's Rule 30(2)(b) notice. </w:t>
      </w:r>
      <w:r w:rsidR="00D14A26">
        <w:t xml:space="preserve"> </w:t>
      </w:r>
      <w:r w:rsidR="00A7395D">
        <w:t>The response provides:</w:t>
      </w:r>
      <w:r w:rsidR="00D14A26">
        <w:t xml:space="preserve"> </w:t>
      </w:r>
    </w:p>
    <w:p w14:paraId="3382315D" w14:textId="24AC8518" w:rsidR="00A7395D" w:rsidRDefault="00A7395D" w:rsidP="00A7395D"/>
    <w:p w14:paraId="38369CC2" w14:textId="77777777" w:rsidR="00D14A26" w:rsidRDefault="00A7395D" w:rsidP="00D14A26">
      <w:pPr>
        <w:spacing w:line="360" w:lineRule="auto"/>
        <w:ind w:left="1276"/>
        <w:rPr>
          <w:sz w:val="20"/>
          <w:szCs w:val="20"/>
        </w:rPr>
      </w:pPr>
      <w:r w:rsidRPr="002F01B4">
        <w:rPr>
          <w:sz w:val="20"/>
          <w:szCs w:val="20"/>
        </w:rPr>
        <w:t>"</w:t>
      </w:r>
      <w:r w:rsidRPr="002F01B4">
        <w:rPr>
          <w:b/>
          <w:bCs/>
          <w:sz w:val="20"/>
          <w:szCs w:val="20"/>
        </w:rPr>
        <w:t>TAKE NOTICE THAT</w:t>
      </w:r>
      <w:r w:rsidRPr="002F01B4">
        <w:rPr>
          <w:sz w:val="20"/>
          <w:szCs w:val="20"/>
        </w:rPr>
        <w:t xml:space="preserve"> the Defendant is not an attorney and has not been trained in the Court Rules. </w:t>
      </w:r>
      <w:r w:rsidR="00D14A26">
        <w:rPr>
          <w:sz w:val="20"/>
          <w:szCs w:val="20"/>
        </w:rPr>
        <w:t xml:space="preserve"> </w:t>
      </w:r>
      <w:r w:rsidRPr="002F01B4">
        <w:rPr>
          <w:sz w:val="20"/>
          <w:szCs w:val="20"/>
        </w:rPr>
        <w:t>The Defendant does not have the funds to secure the services of an attorney.</w:t>
      </w:r>
      <w:r w:rsidR="00D14A26">
        <w:rPr>
          <w:sz w:val="20"/>
          <w:szCs w:val="20"/>
        </w:rPr>
        <w:t xml:space="preserve"> </w:t>
      </w:r>
    </w:p>
    <w:p w14:paraId="0B11C579" w14:textId="77777777" w:rsidR="00D14A26" w:rsidRDefault="00D14A26" w:rsidP="00D14A26">
      <w:pPr>
        <w:spacing w:line="360" w:lineRule="auto"/>
        <w:ind w:left="1276"/>
        <w:rPr>
          <w:sz w:val="20"/>
          <w:szCs w:val="20"/>
        </w:rPr>
      </w:pPr>
    </w:p>
    <w:p w14:paraId="09690146" w14:textId="77777777" w:rsidR="00D14A26" w:rsidRDefault="00A7395D" w:rsidP="00D14A26">
      <w:pPr>
        <w:spacing w:line="360" w:lineRule="auto"/>
        <w:ind w:left="1276"/>
        <w:rPr>
          <w:sz w:val="20"/>
          <w:szCs w:val="20"/>
        </w:rPr>
      </w:pPr>
      <w:r w:rsidRPr="002F01B4">
        <w:rPr>
          <w:sz w:val="20"/>
          <w:szCs w:val="20"/>
        </w:rPr>
        <w:t>The Defendant apologies to the court for any rules which have not been adhered to.</w:t>
      </w:r>
      <w:r w:rsidR="00D14A26">
        <w:rPr>
          <w:sz w:val="20"/>
          <w:szCs w:val="20"/>
        </w:rPr>
        <w:t xml:space="preserve"> </w:t>
      </w:r>
    </w:p>
    <w:p w14:paraId="0AA8DD71" w14:textId="77777777" w:rsidR="00D14A26" w:rsidRDefault="00D14A26" w:rsidP="00D14A26">
      <w:pPr>
        <w:spacing w:line="360" w:lineRule="auto"/>
        <w:ind w:left="1276"/>
        <w:rPr>
          <w:sz w:val="20"/>
          <w:szCs w:val="20"/>
        </w:rPr>
      </w:pPr>
    </w:p>
    <w:p w14:paraId="51680BF7" w14:textId="14A1CE1A" w:rsidR="00A7395D" w:rsidRPr="002F01B4" w:rsidRDefault="00A7395D" w:rsidP="00D14A26">
      <w:pPr>
        <w:spacing w:line="360" w:lineRule="auto"/>
        <w:ind w:left="1276"/>
        <w:rPr>
          <w:sz w:val="20"/>
          <w:szCs w:val="20"/>
        </w:rPr>
      </w:pPr>
      <w:r w:rsidRPr="002F01B4">
        <w:rPr>
          <w:sz w:val="20"/>
          <w:szCs w:val="20"/>
        </w:rPr>
        <w:t>The defendant will not remove the clauses [sic] of the complaint as the issues raised are valid inapplicable in this matter.</w:t>
      </w:r>
      <w:r w:rsidR="007C2556">
        <w:rPr>
          <w:sz w:val="20"/>
          <w:szCs w:val="20"/>
        </w:rPr>
        <w:t xml:space="preserve"> </w:t>
      </w:r>
    </w:p>
    <w:p w14:paraId="5DCED79E" w14:textId="6332C2E8" w:rsidR="00A7395D" w:rsidRPr="002F01B4" w:rsidRDefault="00A7395D" w:rsidP="007C2556">
      <w:pPr>
        <w:spacing w:line="360" w:lineRule="auto"/>
        <w:ind w:left="1276"/>
        <w:rPr>
          <w:sz w:val="20"/>
          <w:szCs w:val="20"/>
        </w:rPr>
      </w:pPr>
    </w:p>
    <w:p w14:paraId="2D6C1773" w14:textId="46181659" w:rsidR="00A7395D" w:rsidRPr="002F01B4" w:rsidRDefault="00A7395D" w:rsidP="007C2556">
      <w:pPr>
        <w:spacing w:line="360" w:lineRule="auto"/>
        <w:ind w:left="1276"/>
        <w:rPr>
          <w:sz w:val="20"/>
          <w:szCs w:val="20"/>
        </w:rPr>
      </w:pPr>
      <w:r w:rsidRPr="002F01B4">
        <w:rPr>
          <w:sz w:val="20"/>
          <w:szCs w:val="20"/>
        </w:rPr>
        <w:t>The Plaintiff further confirms that the debt was paid by Coface and therefore this legal proceeding is an attempt for the Plaintiff to "Double Dip" (Be paid twice for the same debt).</w:t>
      </w:r>
      <w:r w:rsidR="007C2556">
        <w:rPr>
          <w:sz w:val="20"/>
          <w:szCs w:val="20"/>
        </w:rPr>
        <w:t xml:space="preserve"> </w:t>
      </w:r>
    </w:p>
    <w:p w14:paraId="61FD1E8E" w14:textId="468A0DCB" w:rsidR="00A7395D" w:rsidRPr="002F01B4" w:rsidRDefault="00A7395D" w:rsidP="007C2556">
      <w:pPr>
        <w:spacing w:line="360" w:lineRule="auto"/>
        <w:ind w:left="1276"/>
        <w:rPr>
          <w:sz w:val="20"/>
          <w:szCs w:val="20"/>
        </w:rPr>
      </w:pPr>
    </w:p>
    <w:p w14:paraId="39400747" w14:textId="5670F29B" w:rsidR="00A7395D" w:rsidRPr="002F01B4" w:rsidRDefault="00A7395D" w:rsidP="007C2556">
      <w:pPr>
        <w:spacing w:line="360" w:lineRule="auto"/>
        <w:ind w:left="1276"/>
        <w:rPr>
          <w:sz w:val="20"/>
          <w:szCs w:val="20"/>
        </w:rPr>
      </w:pPr>
      <w:r w:rsidRPr="002F01B4">
        <w:rPr>
          <w:sz w:val="20"/>
          <w:szCs w:val="20"/>
        </w:rPr>
        <w:t>Coface has not subrogated the rights to the Plaintiff as suggested by the Plaintiff.</w:t>
      </w:r>
      <w:r w:rsidR="00236D3F">
        <w:rPr>
          <w:sz w:val="20"/>
          <w:szCs w:val="20"/>
        </w:rPr>
        <w:t xml:space="preserve"> </w:t>
      </w:r>
    </w:p>
    <w:p w14:paraId="3429EDAD" w14:textId="478FD5F2" w:rsidR="00A7395D" w:rsidRPr="002F01B4" w:rsidRDefault="00A7395D" w:rsidP="007C2556">
      <w:pPr>
        <w:spacing w:line="360" w:lineRule="auto"/>
        <w:ind w:left="1276"/>
        <w:rPr>
          <w:sz w:val="20"/>
          <w:szCs w:val="20"/>
        </w:rPr>
      </w:pPr>
    </w:p>
    <w:p w14:paraId="740F856B" w14:textId="5DCE13D6" w:rsidR="00A7395D" w:rsidRPr="002F01B4" w:rsidRDefault="00A7395D" w:rsidP="007C2556">
      <w:pPr>
        <w:spacing w:line="360" w:lineRule="auto"/>
        <w:ind w:left="1276"/>
        <w:rPr>
          <w:sz w:val="20"/>
          <w:szCs w:val="20"/>
        </w:rPr>
      </w:pPr>
      <w:r w:rsidRPr="002F01B4">
        <w:rPr>
          <w:sz w:val="20"/>
          <w:szCs w:val="20"/>
        </w:rPr>
        <w:t xml:space="preserve">The amendment says to </w:t>
      </w:r>
      <w:r w:rsidR="002F01B4" w:rsidRPr="002F01B4">
        <w:rPr>
          <w:sz w:val="20"/>
          <w:szCs w:val="20"/>
        </w:rPr>
        <w:t xml:space="preserve">clarify the points already made in the Plea and the Discovery documents. </w:t>
      </w:r>
      <w:r w:rsidR="00236D3F">
        <w:rPr>
          <w:sz w:val="20"/>
          <w:szCs w:val="20"/>
        </w:rPr>
        <w:t xml:space="preserve"> </w:t>
      </w:r>
      <w:r w:rsidR="002F01B4" w:rsidRPr="002F01B4">
        <w:rPr>
          <w:sz w:val="20"/>
          <w:szCs w:val="20"/>
        </w:rPr>
        <w:t xml:space="preserve">No new points were mentioned in the "Notice to amend Plea". </w:t>
      </w:r>
      <w:r w:rsidR="00236D3F">
        <w:rPr>
          <w:sz w:val="20"/>
          <w:szCs w:val="20"/>
        </w:rPr>
        <w:t xml:space="preserve"> </w:t>
      </w:r>
      <w:r w:rsidR="002F01B4" w:rsidRPr="002F01B4">
        <w:rPr>
          <w:sz w:val="20"/>
          <w:szCs w:val="20"/>
        </w:rPr>
        <w:t>This document clarified the issues [sic] are already pointed out.</w:t>
      </w:r>
      <w:r w:rsidR="00236D3F">
        <w:rPr>
          <w:sz w:val="20"/>
          <w:szCs w:val="20"/>
        </w:rPr>
        <w:t xml:space="preserve"> </w:t>
      </w:r>
    </w:p>
    <w:p w14:paraId="50D3651B" w14:textId="58DAA555" w:rsidR="002F01B4" w:rsidRPr="002F01B4" w:rsidRDefault="002F01B4" w:rsidP="007C2556">
      <w:pPr>
        <w:spacing w:line="360" w:lineRule="auto"/>
        <w:ind w:left="1276"/>
        <w:rPr>
          <w:sz w:val="20"/>
          <w:szCs w:val="20"/>
        </w:rPr>
      </w:pPr>
    </w:p>
    <w:p w14:paraId="570596A1" w14:textId="1F962BD9" w:rsidR="002F01B4" w:rsidRPr="002F01B4" w:rsidRDefault="002F01B4" w:rsidP="007C2556">
      <w:pPr>
        <w:spacing w:line="360" w:lineRule="auto"/>
        <w:ind w:left="1276"/>
        <w:rPr>
          <w:sz w:val="20"/>
          <w:szCs w:val="20"/>
        </w:rPr>
      </w:pPr>
      <w:r w:rsidRPr="002F01B4">
        <w:rPr>
          <w:sz w:val="20"/>
          <w:szCs w:val="20"/>
        </w:rPr>
        <w:t>The Defendant acknowledges that the Plaintiff has not been afforded an opportunity to object to the amendment as the Defendant was not aware that reference needed to be made.</w:t>
      </w:r>
      <w:r w:rsidR="00236D3F">
        <w:rPr>
          <w:sz w:val="20"/>
          <w:szCs w:val="20"/>
        </w:rPr>
        <w:t xml:space="preserve"> </w:t>
      </w:r>
    </w:p>
    <w:p w14:paraId="0A8CE37D" w14:textId="59FFF565" w:rsidR="002F01B4" w:rsidRPr="002F01B4" w:rsidRDefault="002F01B4" w:rsidP="007C2556">
      <w:pPr>
        <w:spacing w:line="360" w:lineRule="auto"/>
        <w:ind w:left="1276"/>
        <w:rPr>
          <w:sz w:val="20"/>
          <w:szCs w:val="20"/>
        </w:rPr>
      </w:pPr>
    </w:p>
    <w:p w14:paraId="4B760C5E" w14:textId="5F1CEEAF" w:rsidR="002F01B4" w:rsidRPr="002F01B4" w:rsidRDefault="00BA09FA" w:rsidP="007C2556">
      <w:pPr>
        <w:spacing w:line="360" w:lineRule="auto"/>
        <w:ind w:left="1276"/>
        <w:rPr>
          <w:sz w:val="20"/>
          <w:szCs w:val="20"/>
        </w:rPr>
      </w:pPr>
      <w:r w:rsidRPr="00BA09FA">
        <w:rPr>
          <w:sz w:val="20"/>
          <w:szCs w:val="20"/>
        </w:rPr>
        <w:lastRenderedPageBreak/>
        <w:t>Take notice further</w:t>
      </w:r>
      <w:r w:rsidR="002F01B4" w:rsidRPr="002F01B4">
        <w:rPr>
          <w:b/>
          <w:bCs/>
          <w:sz w:val="20"/>
          <w:szCs w:val="20"/>
        </w:rPr>
        <w:t xml:space="preserve"> </w:t>
      </w:r>
      <w:r w:rsidR="002F01B4" w:rsidRPr="002F01B4">
        <w:rPr>
          <w:sz w:val="20"/>
          <w:szCs w:val="20"/>
        </w:rPr>
        <w:t>that any party objecting to this amendment, must within 10 days of receipt of this notice, deliver its objection in writing, together with the statement of the grounds upon which it is based, failing which the amendment will be effected.</w:t>
      </w:r>
      <w:r w:rsidR="00236D3F">
        <w:rPr>
          <w:sz w:val="20"/>
          <w:szCs w:val="20"/>
        </w:rPr>
        <w:t xml:space="preserve"> </w:t>
      </w:r>
      <w:r w:rsidR="002F01B4" w:rsidRPr="002F01B4">
        <w:rPr>
          <w:sz w:val="20"/>
          <w:szCs w:val="20"/>
        </w:rPr>
        <w:t xml:space="preserve"> The Defendant does however give the Plaintiff opportunity to object to the amendment within 10 days of this notice."</w:t>
      </w:r>
      <w:r w:rsidR="00D14A26">
        <w:rPr>
          <w:sz w:val="20"/>
          <w:szCs w:val="20"/>
        </w:rPr>
        <w:t xml:space="preserve"> </w:t>
      </w:r>
    </w:p>
    <w:p w14:paraId="6AC01143" w14:textId="10713539" w:rsidR="00AA7E9B" w:rsidRDefault="00AA7E9B" w:rsidP="00AA7E9B"/>
    <w:p w14:paraId="04E02E95" w14:textId="5C722ACE" w:rsidR="004B1123" w:rsidRDefault="00250A50" w:rsidP="00250A50">
      <w:pPr>
        <w:pStyle w:val="NUM1"/>
        <w:numPr>
          <w:ilvl w:val="0"/>
          <w:numId w:val="0"/>
        </w:numPr>
        <w:tabs>
          <w:tab w:val="left" w:pos="720"/>
        </w:tabs>
        <w:ind w:left="720" w:hanging="720"/>
      </w:pPr>
      <w:r>
        <w:rPr>
          <w:caps/>
        </w:rPr>
        <w:t>[39]</w:t>
      </w:r>
      <w:r>
        <w:rPr>
          <w:caps/>
        </w:rPr>
        <w:tab/>
      </w:r>
      <w:r w:rsidR="004B1123">
        <w:t>It is plain that the respondent has endeavoured, through the notice of amendment, to place his defence to the applicant’s action before the court in more precise terms.</w:t>
      </w:r>
      <w:r w:rsidR="00911F88">
        <w:t xml:space="preserve"> </w:t>
      </w:r>
    </w:p>
    <w:p w14:paraId="744A1719" w14:textId="25BDF3F6" w:rsidR="00CA061E" w:rsidRDefault="00CA061E" w:rsidP="004B1123">
      <w:pPr>
        <w:pStyle w:val="NUM1"/>
        <w:numPr>
          <w:ilvl w:val="0"/>
          <w:numId w:val="0"/>
        </w:numPr>
        <w:ind w:left="720"/>
      </w:pPr>
    </w:p>
    <w:p w14:paraId="4FE7CBBE" w14:textId="0B371D78" w:rsidR="004B1123" w:rsidRDefault="00250A50" w:rsidP="00250A50">
      <w:pPr>
        <w:pStyle w:val="NUM1"/>
        <w:numPr>
          <w:ilvl w:val="0"/>
          <w:numId w:val="0"/>
        </w:numPr>
        <w:tabs>
          <w:tab w:val="left" w:pos="720"/>
        </w:tabs>
        <w:ind w:left="720" w:hanging="720"/>
      </w:pPr>
      <w:r>
        <w:rPr>
          <w:caps/>
        </w:rPr>
        <w:t>[40]</w:t>
      </w:r>
      <w:r>
        <w:rPr>
          <w:caps/>
        </w:rPr>
        <w:tab/>
      </w:r>
      <w:r w:rsidR="004B1123">
        <w:t>As ine</w:t>
      </w:r>
      <w:r w:rsidR="00803AD2">
        <w:t xml:space="preserve">legant as the notice wherein he attempted to do so may have been, the attempt to stymie the formulation and ventilation of the dispute between the parties runs contrary to the </w:t>
      </w:r>
      <w:r w:rsidR="00384680">
        <w:t>proper administration of justice</w:t>
      </w:r>
      <w:r w:rsidR="00911F88">
        <w:t>,</w:t>
      </w:r>
      <w:r w:rsidR="00384680">
        <w:t xml:space="preserve"> and </w:t>
      </w:r>
      <w:r w:rsidR="00762918">
        <w:t>is not</w:t>
      </w:r>
      <w:r w:rsidR="00384680">
        <w:t xml:space="preserve"> in the interests of justice.</w:t>
      </w:r>
      <w:r w:rsidR="00911F88">
        <w:t xml:space="preserve"> </w:t>
      </w:r>
    </w:p>
    <w:p w14:paraId="64E8113E" w14:textId="77777777" w:rsidR="00803AD2" w:rsidRPr="00803AD2" w:rsidRDefault="00803AD2" w:rsidP="00803AD2"/>
    <w:p w14:paraId="5578C89A" w14:textId="4D4FD8A5" w:rsidR="00521A16" w:rsidRDefault="00250A50" w:rsidP="00250A50">
      <w:pPr>
        <w:pStyle w:val="NUM1"/>
        <w:numPr>
          <w:ilvl w:val="0"/>
          <w:numId w:val="0"/>
        </w:numPr>
        <w:tabs>
          <w:tab w:val="left" w:pos="720"/>
        </w:tabs>
        <w:ind w:left="720" w:hanging="720"/>
      </w:pPr>
      <w:r>
        <w:rPr>
          <w:caps/>
        </w:rPr>
        <w:t>[41]</w:t>
      </w:r>
      <w:r>
        <w:rPr>
          <w:caps/>
        </w:rPr>
        <w:tab/>
      </w:r>
      <w:r w:rsidR="002F01B4">
        <w:t>I do not comment any further on the content of this document as there is no application for leave to amend before me</w:t>
      </w:r>
      <w:r w:rsidR="00BA09FA">
        <w:t xml:space="preserve">. </w:t>
      </w:r>
    </w:p>
    <w:p w14:paraId="18AE634B" w14:textId="77777777" w:rsidR="00BA09FA" w:rsidRPr="00BA09FA" w:rsidRDefault="00BA09FA" w:rsidP="00BA09FA"/>
    <w:p w14:paraId="57D1F03F" w14:textId="6D7F7246" w:rsidR="00BA09FA" w:rsidRDefault="00250A50" w:rsidP="00250A50">
      <w:pPr>
        <w:pStyle w:val="NUM1"/>
        <w:numPr>
          <w:ilvl w:val="0"/>
          <w:numId w:val="0"/>
        </w:numPr>
        <w:tabs>
          <w:tab w:val="left" w:pos="720"/>
        </w:tabs>
        <w:ind w:left="720" w:hanging="720"/>
      </w:pPr>
      <w:r>
        <w:rPr>
          <w:caps/>
        </w:rPr>
        <w:t>[42]</w:t>
      </w:r>
      <w:r>
        <w:rPr>
          <w:caps/>
        </w:rPr>
        <w:tab/>
      </w:r>
      <w:r w:rsidR="00BA09FA">
        <w:t xml:space="preserve">Notwithstanding the lapse of ten days, the respondent did not deliver amended pages as required by Rule 28(5). </w:t>
      </w:r>
    </w:p>
    <w:p w14:paraId="7DB1338C" w14:textId="77777777" w:rsidR="00BA09FA" w:rsidRDefault="00BA09FA" w:rsidP="00BA09FA">
      <w:pPr>
        <w:pStyle w:val="NUM1"/>
        <w:numPr>
          <w:ilvl w:val="0"/>
          <w:numId w:val="0"/>
        </w:numPr>
        <w:ind w:left="720"/>
      </w:pPr>
    </w:p>
    <w:p w14:paraId="7D9CAAEE" w14:textId="7CA1FD4D" w:rsidR="00CD57EF" w:rsidRDefault="00250A50" w:rsidP="00250A50">
      <w:pPr>
        <w:pStyle w:val="NUM1"/>
        <w:numPr>
          <w:ilvl w:val="0"/>
          <w:numId w:val="0"/>
        </w:numPr>
        <w:tabs>
          <w:tab w:val="left" w:pos="720"/>
        </w:tabs>
        <w:ind w:left="720" w:hanging="720"/>
      </w:pPr>
      <w:r>
        <w:rPr>
          <w:caps/>
        </w:rPr>
        <w:t>[43]</w:t>
      </w:r>
      <w:r>
        <w:rPr>
          <w:caps/>
        </w:rPr>
        <w:tab/>
      </w:r>
      <w:r w:rsidR="00384680">
        <w:t>Now, i</w:t>
      </w:r>
      <w:r w:rsidR="00CD57EF">
        <w:t>t appears</w:t>
      </w:r>
      <w:r w:rsidR="00384680">
        <w:t xml:space="preserve"> to me</w:t>
      </w:r>
      <w:r w:rsidR="00CD57EF">
        <w:t xml:space="preserve"> that, as a matter of practice, the</w:t>
      </w:r>
      <w:r w:rsidR="00384680">
        <w:t xml:space="preserve"> </w:t>
      </w:r>
      <w:r w:rsidR="00F65AB3">
        <w:t>respondent’s</w:t>
      </w:r>
      <w:r w:rsidR="00CD57EF">
        <w:t xml:space="preserve"> proposed amendment lapse</w:t>
      </w:r>
      <w:r w:rsidR="00F65AB3">
        <w:t>d when he failed to file amended pages.  The notice of amendment is</w:t>
      </w:r>
      <w:r w:rsidR="00CD57EF">
        <w:t xml:space="preserve"> </w:t>
      </w:r>
      <w:r w:rsidR="00F65AB3">
        <w:t>thus</w:t>
      </w:r>
      <w:r w:rsidR="00CD57EF">
        <w:t xml:space="preserve"> of no force or effect.  In these circumstances, notice of the proposed amendment would be given afresh</w:t>
      </w:r>
      <w:r w:rsidR="00C03EFC">
        <w:t>,</w:t>
      </w:r>
      <w:r w:rsidR="00CD57EF">
        <w:t xml:space="preserve"> and the process prescribed by Rule</w:t>
      </w:r>
      <w:r w:rsidR="003E0A30">
        <w:t> </w:t>
      </w:r>
      <w:r w:rsidR="00CD57EF">
        <w:t xml:space="preserve">28 would then follow. </w:t>
      </w:r>
      <w:r w:rsidR="003E0A30">
        <w:t xml:space="preserve"> </w:t>
      </w:r>
      <w:r w:rsidR="00CD57EF">
        <w:t xml:space="preserve">I could not find any authority, one way or another, </w:t>
      </w:r>
      <w:r w:rsidR="00CD57EF">
        <w:lastRenderedPageBreak/>
        <w:t>on this issue.  But there seems to me that there is no good reason to meddle with long</w:t>
      </w:r>
      <w:r w:rsidR="003E0A30">
        <w:t>-</w:t>
      </w:r>
      <w:r w:rsidR="00CD57EF">
        <w:t xml:space="preserve">standing practice. </w:t>
      </w:r>
    </w:p>
    <w:p w14:paraId="6C8F4DDD" w14:textId="77777777" w:rsidR="00CD57EF" w:rsidRPr="00CD57EF" w:rsidRDefault="00CD57EF" w:rsidP="00CD57EF"/>
    <w:p w14:paraId="1059A46D" w14:textId="36D3F670" w:rsidR="00BA09FA" w:rsidRDefault="00250A50" w:rsidP="00250A50">
      <w:pPr>
        <w:pStyle w:val="NUM1"/>
        <w:numPr>
          <w:ilvl w:val="0"/>
          <w:numId w:val="0"/>
        </w:numPr>
        <w:tabs>
          <w:tab w:val="left" w:pos="720"/>
        </w:tabs>
        <w:ind w:left="720" w:hanging="720"/>
      </w:pPr>
      <w:r>
        <w:rPr>
          <w:caps/>
        </w:rPr>
        <w:t>[44]</w:t>
      </w:r>
      <w:r>
        <w:rPr>
          <w:caps/>
        </w:rPr>
        <w:tab/>
      </w:r>
      <w:r w:rsidR="00CD57EF">
        <w:t>On this basis, and o</w:t>
      </w:r>
      <w:r w:rsidR="00BA09FA">
        <w:t>n 23</w:t>
      </w:r>
      <w:r w:rsidR="00C03EFC">
        <w:t> </w:t>
      </w:r>
      <w:r w:rsidR="00BA09FA">
        <w:t xml:space="preserve">November 2021 </w:t>
      </w:r>
      <w:r w:rsidR="00CD57EF">
        <w:t xml:space="preserve">when </w:t>
      </w:r>
      <w:r w:rsidR="00BA09FA">
        <w:t>the applicant delivered a notice in terms of Rule 30(1)</w:t>
      </w:r>
      <w:r w:rsidR="00C03EFC">
        <w:t>,</w:t>
      </w:r>
      <w:r w:rsidR="00CD57EF">
        <w:t xml:space="preserve"> </w:t>
      </w:r>
      <w:r w:rsidR="008464ED">
        <w:t>there was no extant “</w:t>
      </w:r>
      <w:r w:rsidR="008464ED" w:rsidRPr="00C03EFC">
        <w:rPr>
          <w:i/>
          <w:iCs/>
        </w:rPr>
        <w:t>notice of intention to amend</w:t>
      </w:r>
      <w:r w:rsidR="008464ED">
        <w:t>” as contemplated in Rule 28(1), it having lapsed for want of either the delivery of amended pages</w:t>
      </w:r>
      <w:r w:rsidR="00C03EFC">
        <w:t>,</w:t>
      </w:r>
      <w:r w:rsidR="008464ED">
        <w:t xml:space="preserve"> or for want of an application for leave to amend, assuming the Rule</w:t>
      </w:r>
      <w:r w:rsidR="00C03EFC">
        <w:t> </w:t>
      </w:r>
      <w:r w:rsidR="008464ED">
        <w:t>30(2)(b) notice had the same effect as a Rule 28(2) notice.</w:t>
      </w:r>
      <w:r w:rsidR="00C03EFC">
        <w:t xml:space="preserve"> </w:t>
      </w:r>
    </w:p>
    <w:p w14:paraId="4279CC4C" w14:textId="71E70EFE" w:rsidR="00BA09FA" w:rsidRDefault="00BA09FA" w:rsidP="00BA09FA">
      <w:pPr>
        <w:pStyle w:val="NUM1"/>
        <w:numPr>
          <w:ilvl w:val="0"/>
          <w:numId w:val="0"/>
        </w:numPr>
        <w:ind w:left="720"/>
      </w:pPr>
    </w:p>
    <w:p w14:paraId="131362FC" w14:textId="4787910A" w:rsidR="00CD57EF" w:rsidRPr="00CD57EF" w:rsidRDefault="00250A50" w:rsidP="00250A50">
      <w:pPr>
        <w:pStyle w:val="NUM1"/>
        <w:numPr>
          <w:ilvl w:val="0"/>
          <w:numId w:val="0"/>
        </w:numPr>
        <w:tabs>
          <w:tab w:val="left" w:pos="720"/>
        </w:tabs>
        <w:ind w:left="720" w:hanging="720"/>
      </w:pPr>
      <w:r w:rsidRPr="00CD57EF">
        <w:rPr>
          <w:caps/>
        </w:rPr>
        <w:t>[45]</w:t>
      </w:r>
      <w:r w:rsidRPr="00CD57EF">
        <w:rPr>
          <w:caps/>
        </w:rPr>
        <w:tab/>
      </w:r>
      <w:r w:rsidR="00521A16">
        <w:t xml:space="preserve">Thus, by the time that this application came before me, it was much to do about nothing. </w:t>
      </w:r>
    </w:p>
    <w:p w14:paraId="1C6E48B8" w14:textId="77777777" w:rsidR="008464ED" w:rsidRPr="008464ED" w:rsidRDefault="008464ED" w:rsidP="008464ED"/>
    <w:p w14:paraId="188FF9D3" w14:textId="7F0D97DA" w:rsidR="00CD57EF" w:rsidRPr="00C03EFC" w:rsidRDefault="00250A50" w:rsidP="00250A50">
      <w:pPr>
        <w:pStyle w:val="NUM1"/>
        <w:numPr>
          <w:ilvl w:val="0"/>
          <w:numId w:val="0"/>
        </w:numPr>
        <w:tabs>
          <w:tab w:val="left" w:pos="720"/>
        </w:tabs>
        <w:ind w:left="720" w:hanging="720"/>
        <w:rPr>
          <w:color w:val="000000"/>
        </w:rPr>
      </w:pPr>
      <w:r w:rsidRPr="00C03EFC">
        <w:rPr>
          <w:caps/>
          <w:color w:val="000000"/>
        </w:rPr>
        <w:t>[46]</w:t>
      </w:r>
      <w:r w:rsidRPr="00C03EFC">
        <w:rPr>
          <w:caps/>
          <w:color w:val="000000"/>
        </w:rPr>
        <w:tab/>
      </w:r>
      <w:r w:rsidR="00CD57EF">
        <w:t>It is in this context that Fleming</w:t>
      </w:r>
      <w:r w:rsidR="00C03EFC">
        <w:t> </w:t>
      </w:r>
      <w:r w:rsidR="00CD57EF">
        <w:t xml:space="preserve">J’s observation in </w:t>
      </w:r>
      <w:r w:rsidR="00CD57EF" w:rsidRPr="00CD57EF">
        <w:rPr>
          <w:b/>
          <w:bCs/>
          <w:color w:val="000000"/>
        </w:rPr>
        <w:t>SA Metropolitan Lewensversekeringsmaatskappy Bpk</w:t>
      </w:r>
      <w:r w:rsidR="00CD57EF" w:rsidRPr="00C03EFC">
        <w:rPr>
          <w:rStyle w:val="FootnoteReference"/>
          <w:color w:val="000000"/>
        </w:rPr>
        <w:footnoteReference w:id="17"/>
      </w:r>
      <w:r w:rsidR="00CD57EF" w:rsidRPr="00C03EFC">
        <w:rPr>
          <w:color w:val="000000"/>
        </w:rPr>
        <w:t xml:space="preserve"> is apposite.  The learned </w:t>
      </w:r>
      <w:r w:rsidR="00C03EFC" w:rsidRPr="00C03EFC">
        <w:rPr>
          <w:color w:val="000000"/>
        </w:rPr>
        <w:t xml:space="preserve">Judge </w:t>
      </w:r>
      <w:r w:rsidR="00CD57EF" w:rsidRPr="00C03EFC">
        <w:rPr>
          <w:color w:val="000000"/>
        </w:rPr>
        <w:t>said</w:t>
      </w:r>
      <w:r w:rsidR="00C03EFC">
        <w:rPr>
          <w:color w:val="000000"/>
        </w:rPr>
        <w:t xml:space="preserve">: </w:t>
      </w:r>
    </w:p>
    <w:p w14:paraId="5D97A874" w14:textId="1E2657C3" w:rsidR="00CD57EF" w:rsidRDefault="00CD57EF" w:rsidP="00CD57EF"/>
    <w:p w14:paraId="4001A3B7" w14:textId="4DA04DB5" w:rsidR="00CD57EF" w:rsidRPr="00CD57EF" w:rsidRDefault="00CD57EF" w:rsidP="009F2929">
      <w:pPr>
        <w:ind w:left="1276"/>
        <w:rPr>
          <w:sz w:val="20"/>
          <w:szCs w:val="20"/>
        </w:rPr>
      </w:pPr>
      <w:r w:rsidRPr="00CD57EF">
        <w:rPr>
          <w:sz w:val="20"/>
          <w:szCs w:val="20"/>
        </w:rPr>
        <w:t>“</w:t>
      </w:r>
      <w:r w:rsidRPr="00CD57EF">
        <w:rPr>
          <w:color w:val="000000"/>
          <w:sz w:val="20"/>
          <w:szCs w:val="20"/>
        </w:rPr>
        <w:t>I have no doubt that Rule 30(1) was intended as a procedure whereby a hindrance to the future conducting of the litigation, whether it is created by a non-observance of what the Rules of Court intended or otherwise, is removed.”</w:t>
      </w:r>
      <w:r w:rsidR="009F2929">
        <w:rPr>
          <w:color w:val="000000"/>
          <w:sz w:val="20"/>
          <w:szCs w:val="20"/>
        </w:rPr>
        <w:t xml:space="preserve"> </w:t>
      </w:r>
    </w:p>
    <w:p w14:paraId="5C710D33" w14:textId="77777777" w:rsidR="00CD57EF" w:rsidRPr="00CD57EF" w:rsidRDefault="00CD57EF" w:rsidP="00CD57EF"/>
    <w:p w14:paraId="629C72ED" w14:textId="20628824" w:rsidR="00CD57EF" w:rsidRDefault="00250A50" w:rsidP="00250A50">
      <w:pPr>
        <w:pStyle w:val="NUM1"/>
        <w:numPr>
          <w:ilvl w:val="0"/>
          <w:numId w:val="0"/>
        </w:numPr>
        <w:tabs>
          <w:tab w:val="left" w:pos="720"/>
        </w:tabs>
        <w:ind w:left="720" w:hanging="720"/>
      </w:pPr>
      <w:r>
        <w:rPr>
          <w:caps/>
        </w:rPr>
        <w:t>[47]</w:t>
      </w:r>
      <w:r>
        <w:rPr>
          <w:caps/>
        </w:rPr>
        <w:tab/>
      </w:r>
      <w:r w:rsidR="00CD57EF">
        <w:t>It is clear there was no hindrance to the action proceeding when this application was brought.</w:t>
      </w:r>
      <w:r w:rsidR="009F2929">
        <w:t xml:space="preserve"> </w:t>
      </w:r>
    </w:p>
    <w:p w14:paraId="52E6A466" w14:textId="77777777" w:rsidR="00CD57EF" w:rsidRPr="00CD57EF" w:rsidRDefault="00CD57EF" w:rsidP="00CD57EF"/>
    <w:p w14:paraId="5B9AF81C" w14:textId="1812B2D0" w:rsidR="00521A16" w:rsidRPr="00521A16" w:rsidRDefault="00250A50" w:rsidP="00250A50">
      <w:pPr>
        <w:pStyle w:val="NUM1"/>
        <w:numPr>
          <w:ilvl w:val="0"/>
          <w:numId w:val="0"/>
        </w:numPr>
        <w:tabs>
          <w:tab w:val="left" w:pos="720"/>
        </w:tabs>
        <w:ind w:left="720" w:hanging="720"/>
      </w:pPr>
      <w:r w:rsidRPr="00521A16">
        <w:rPr>
          <w:caps/>
        </w:rPr>
        <w:lastRenderedPageBreak/>
        <w:t>[48]</w:t>
      </w:r>
      <w:r w:rsidRPr="00521A16">
        <w:rPr>
          <w:caps/>
        </w:rPr>
        <w:tab/>
      </w:r>
      <w:r w:rsidR="00521A16">
        <w:t xml:space="preserve">Nonetheless, the applicant's counsel persisted in argument before me that the applicant was prejudiced because the status of the document was unclear and uncertain. </w:t>
      </w:r>
    </w:p>
    <w:p w14:paraId="274BA438" w14:textId="6241D8D3" w:rsidR="00AA7E9B" w:rsidRDefault="00AA7E9B" w:rsidP="00AA7E9B"/>
    <w:p w14:paraId="62E24D2E" w14:textId="7C9916F5" w:rsidR="00BC1CEA" w:rsidRDefault="00250A50" w:rsidP="00250A50">
      <w:pPr>
        <w:pStyle w:val="NUM1"/>
        <w:numPr>
          <w:ilvl w:val="0"/>
          <w:numId w:val="0"/>
        </w:numPr>
        <w:tabs>
          <w:tab w:val="left" w:pos="720"/>
        </w:tabs>
        <w:ind w:left="720" w:hanging="720"/>
      </w:pPr>
      <w:r>
        <w:rPr>
          <w:caps/>
        </w:rPr>
        <w:t>[49]</w:t>
      </w:r>
      <w:r>
        <w:rPr>
          <w:caps/>
        </w:rPr>
        <w:tab/>
      </w:r>
      <w:r w:rsidR="00256321">
        <w:t xml:space="preserve">Aside from this </w:t>
      </w:r>
      <w:r w:rsidR="000D0CC4">
        <w:t>point not being an issue raised in the Rule 30 notice, t</w:t>
      </w:r>
      <w:r w:rsidR="00BC1CEA">
        <w:t>he assertion is not based on fact or principle</w:t>
      </w:r>
      <w:r w:rsidR="00AD6A60">
        <w:t xml:space="preserve">. </w:t>
      </w:r>
      <w:r w:rsidR="00BC1CEA">
        <w:t xml:space="preserve"> </w:t>
      </w:r>
      <w:r w:rsidR="00AD6A60">
        <w:t>T</w:t>
      </w:r>
      <w:r w:rsidR="00BC1CEA">
        <w:t>he notice was no more tha</w:t>
      </w:r>
      <w:r w:rsidR="00AD6A60">
        <w:t>n</w:t>
      </w:r>
      <w:r w:rsidR="00BC1CEA">
        <w:t xml:space="preserve"> the respondent's notice of his intention to supplement his plea</w:t>
      </w:r>
      <w:r w:rsidR="00AD6A60">
        <w:t>,</w:t>
      </w:r>
      <w:r w:rsidR="00BC1CEA">
        <w:t xml:space="preserve"> but he did not do so</w:t>
      </w:r>
      <w:r w:rsidR="00256321">
        <w:t xml:space="preserve"> by filing amended pages</w:t>
      </w:r>
      <w:r w:rsidR="00BC1CEA">
        <w:t>.</w:t>
      </w:r>
      <w:r w:rsidR="00256321">
        <w:t xml:space="preserve">  Whether this was by design or through ignorance of the process matters not.</w:t>
      </w:r>
      <w:r w:rsidR="00BC1CEA">
        <w:t xml:space="preserve"> </w:t>
      </w:r>
      <w:r w:rsidR="00AD6A60">
        <w:t xml:space="preserve"> </w:t>
      </w:r>
      <w:r w:rsidR="00CD57EF">
        <w:t>The offending notice had lapsed and does not form part of the pleadings.</w:t>
      </w:r>
      <w:r w:rsidR="00AD6A60">
        <w:t xml:space="preserve"> </w:t>
      </w:r>
    </w:p>
    <w:p w14:paraId="470A13BE" w14:textId="77777777" w:rsidR="008464ED" w:rsidRPr="008464ED" w:rsidRDefault="008464ED" w:rsidP="008464ED"/>
    <w:p w14:paraId="60498353" w14:textId="7E82D7AD" w:rsidR="00CD57EF" w:rsidRDefault="00250A50" w:rsidP="00250A50">
      <w:pPr>
        <w:pStyle w:val="NUM1"/>
        <w:numPr>
          <w:ilvl w:val="0"/>
          <w:numId w:val="0"/>
        </w:numPr>
        <w:tabs>
          <w:tab w:val="left" w:pos="720"/>
        </w:tabs>
        <w:ind w:left="720" w:hanging="720"/>
      </w:pPr>
      <w:r>
        <w:rPr>
          <w:caps/>
        </w:rPr>
        <w:t>[50]</w:t>
      </w:r>
      <w:r>
        <w:rPr>
          <w:caps/>
        </w:rPr>
        <w:tab/>
      </w:r>
      <w:r w:rsidR="00CD57EF">
        <w:t>The substantive prejudice asserted by the applicant is more imagined than real.</w:t>
      </w:r>
      <w:r w:rsidR="00F42488">
        <w:t xml:space="preserve"> </w:t>
      </w:r>
    </w:p>
    <w:p w14:paraId="5159F42B" w14:textId="77777777" w:rsidR="00CD57EF" w:rsidRPr="00CD57EF" w:rsidRDefault="00CD57EF" w:rsidP="00CD57EF"/>
    <w:p w14:paraId="221B9E25" w14:textId="297B6949" w:rsidR="00CD57EF" w:rsidRDefault="00250A50" w:rsidP="00250A50">
      <w:pPr>
        <w:pStyle w:val="NUM1"/>
        <w:numPr>
          <w:ilvl w:val="0"/>
          <w:numId w:val="0"/>
        </w:numPr>
        <w:tabs>
          <w:tab w:val="left" w:pos="720"/>
        </w:tabs>
        <w:ind w:left="720" w:hanging="720"/>
      </w:pPr>
      <w:r>
        <w:rPr>
          <w:caps/>
        </w:rPr>
        <w:t>[51]</w:t>
      </w:r>
      <w:r>
        <w:rPr>
          <w:caps/>
        </w:rPr>
        <w:tab/>
      </w:r>
      <w:r w:rsidR="00CD57EF">
        <w:t>Rule 28 affords a person wishing to object to a proposed amendment 10 days in which to do so.  I cannot fathom how the absence of a statement to that effect deprives the person receiving a notice of intention to amend from exercising that procedural right</w:t>
      </w:r>
      <w:r w:rsidR="00F42488">
        <w:t>,</w:t>
      </w:r>
      <w:r w:rsidR="00CD57EF">
        <w:t xml:space="preserve"> much less creates the sort of prejudice that Rule</w:t>
      </w:r>
      <w:r w:rsidR="00F42488">
        <w:t> </w:t>
      </w:r>
      <w:r w:rsidR="00CD57EF">
        <w:t>30 is intended to overcome.</w:t>
      </w:r>
      <w:r w:rsidR="00CD57EF">
        <w:rPr>
          <w:rStyle w:val="FootnoteReference"/>
        </w:rPr>
        <w:footnoteReference w:id="18"/>
      </w:r>
      <w:r w:rsidR="00CD57EF">
        <w:t xml:space="preserve"> </w:t>
      </w:r>
    </w:p>
    <w:p w14:paraId="1DB36E7F" w14:textId="77777777" w:rsidR="00CD57EF" w:rsidRPr="00CD57EF" w:rsidRDefault="00CD57EF" w:rsidP="00CD57EF"/>
    <w:p w14:paraId="31AC5731" w14:textId="5BECE0DD" w:rsidR="00CD57EF" w:rsidRDefault="00250A50" w:rsidP="00250A50">
      <w:pPr>
        <w:pStyle w:val="NUM1"/>
        <w:numPr>
          <w:ilvl w:val="0"/>
          <w:numId w:val="0"/>
        </w:numPr>
        <w:tabs>
          <w:tab w:val="left" w:pos="720"/>
        </w:tabs>
        <w:ind w:left="720" w:hanging="720"/>
      </w:pPr>
      <w:r>
        <w:rPr>
          <w:caps/>
        </w:rPr>
        <w:t>[52]</w:t>
      </w:r>
      <w:r>
        <w:rPr>
          <w:caps/>
        </w:rPr>
        <w:tab/>
      </w:r>
      <w:r w:rsidR="00CD57EF">
        <w:t>Rule 28(9) is clear in its terms.  It provides</w:t>
      </w:r>
      <w:r w:rsidR="00F42488">
        <w:t xml:space="preserve">: </w:t>
      </w:r>
    </w:p>
    <w:p w14:paraId="31543CBA" w14:textId="07AA6DD0" w:rsidR="00CD57EF" w:rsidRDefault="00CD57EF" w:rsidP="00CD57EF"/>
    <w:p w14:paraId="3043678E" w14:textId="1EE04F49" w:rsidR="00CD57EF" w:rsidRDefault="00CD57EF" w:rsidP="00F42488">
      <w:pPr>
        <w:ind w:left="1276"/>
        <w:rPr>
          <w:color w:val="000000"/>
          <w:sz w:val="20"/>
          <w:szCs w:val="20"/>
        </w:rPr>
      </w:pPr>
      <w:r w:rsidRPr="00CD57EF">
        <w:rPr>
          <w:sz w:val="20"/>
          <w:szCs w:val="20"/>
        </w:rPr>
        <w:t>“</w:t>
      </w:r>
      <w:r w:rsidRPr="00CD57EF">
        <w:rPr>
          <w:color w:val="000000"/>
          <w:sz w:val="20"/>
          <w:szCs w:val="20"/>
        </w:rPr>
        <w:t>A party giving notice of amendment in terms of subrule (1) shall, unless the court otherwise directs, be liable for the costs thereby occasioned to any other party.”</w:t>
      </w:r>
      <w:r w:rsidR="00F42488">
        <w:rPr>
          <w:color w:val="000000"/>
          <w:sz w:val="20"/>
          <w:szCs w:val="20"/>
        </w:rPr>
        <w:t xml:space="preserve"> </w:t>
      </w:r>
    </w:p>
    <w:p w14:paraId="2D8CC250" w14:textId="0C0746DD" w:rsidR="00CD57EF" w:rsidRDefault="00CD57EF" w:rsidP="00CD57EF">
      <w:pPr>
        <w:ind w:left="709"/>
        <w:rPr>
          <w:color w:val="000000"/>
          <w:sz w:val="20"/>
          <w:szCs w:val="20"/>
        </w:rPr>
      </w:pPr>
    </w:p>
    <w:p w14:paraId="240990D8" w14:textId="081D0246" w:rsidR="00CD57EF" w:rsidRDefault="00250A50" w:rsidP="00250A50">
      <w:pPr>
        <w:pStyle w:val="NUM1"/>
        <w:numPr>
          <w:ilvl w:val="0"/>
          <w:numId w:val="0"/>
        </w:numPr>
        <w:tabs>
          <w:tab w:val="left" w:pos="720"/>
        </w:tabs>
        <w:ind w:left="720" w:hanging="720"/>
      </w:pPr>
      <w:r>
        <w:rPr>
          <w:caps/>
        </w:rPr>
        <w:lastRenderedPageBreak/>
        <w:t>[53]</w:t>
      </w:r>
      <w:r>
        <w:rPr>
          <w:caps/>
        </w:rPr>
        <w:tab/>
      </w:r>
      <w:r w:rsidR="00CD57EF">
        <w:t>There is no obligation on a party giving notice of intention to amend in terms of Rule</w:t>
      </w:r>
      <w:r w:rsidR="00722187">
        <w:t> </w:t>
      </w:r>
      <w:r w:rsidR="00CD57EF">
        <w:t xml:space="preserve">28(1) to make a tender for the costs occasioned by the amendment.  I was unable to find any authority for the proposition that the absence of a tender for costs renders the notice defective or irregular. </w:t>
      </w:r>
    </w:p>
    <w:p w14:paraId="5F19F8A1" w14:textId="77777777" w:rsidR="00CD57EF" w:rsidRPr="00CD57EF" w:rsidRDefault="00CD57EF" w:rsidP="00CD57EF"/>
    <w:p w14:paraId="091AAD1F" w14:textId="73C92F00" w:rsidR="00BC1CEA" w:rsidRDefault="00250A50" w:rsidP="00250A50">
      <w:pPr>
        <w:pStyle w:val="NUM1"/>
        <w:numPr>
          <w:ilvl w:val="0"/>
          <w:numId w:val="0"/>
        </w:numPr>
        <w:tabs>
          <w:tab w:val="left" w:pos="720"/>
        </w:tabs>
        <w:ind w:left="720" w:hanging="720"/>
      </w:pPr>
      <w:r>
        <w:rPr>
          <w:caps/>
        </w:rPr>
        <w:t>[54]</w:t>
      </w:r>
      <w:r>
        <w:rPr>
          <w:caps/>
        </w:rPr>
        <w:tab/>
      </w:r>
      <w:r w:rsidR="00BC1CEA">
        <w:t>Earlier in this judgment</w:t>
      </w:r>
      <w:r w:rsidR="00722187">
        <w:t>,</w:t>
      </w:r>
      <w:r w:rsidR="00BC1CEA">
        <w:t xml:space="preserve"> I mentioned the tangential issue of the respondent's objection to this Court's jurisdiction. </w:t>
      </w:r>
      <w:r w:rsidR="00722187">
        <w:t xml:space="preserve"> </w:t>
      </w:r>
      <w:r w:rsidR="00234626">
        <w:t>This issue</w:t>
      </w:r>
      <w:r w:rsidR="00BC1CEA">
        <w:t xml:space="preserve"> has not been decided and was not before me to decide.</w:t>
      </w:r>
      <w:r w:rsidR="00722187">
        <w:t xml:space="preserve"> </w:t>
      </w:r>
      <w:r w:rsidR="00BC1CEA">
        <w:t xml:space="preserve"> The respondent's special plea may or may not be bad</w:t>
      </w:r>
      <w:r w:rsidR="00722187">
        <w:t>,</w:t>
      </w:r>
      <w:r w:rsidR="00BC1CEA">
        <w:t xml:space="preserve"> but if it is upheld in due course</w:t>
      </w:r>
      <w:r w:rsidR="00563576">
        <w:t>,</w:t>
      </w:r>
      <w:r w:rsidR="00BC1CEA">
        <w:t xml:space="preserve"> orders made in any interlocutory proceedings and which may have a material effect on any trial in </w:t>
      </w:r>
      <w:r w:rsidR="000773F6">
        <w:t>due course, may well have been erroneously sought or granted.</w:t>
      </w:r>
      <w:r w:rsidR="00722187">
        <w:t xml:space="preserve"> </w:t>
      </w:r>
      <w:r w:rsidR="000773F6">
        <w:t xml:space="preserve"> </w:t>
      </w:r>
      <w:r w:rsidR="00CD57EF">
        <w:t>F</w:t>
      </w:r>
      <w:r w:rsidR="000773F6">
        <w:t>ortunately</w:t>
      </w:r>
      <w:r w:rsidR="00722187">
        <w:t>,</w:t>
      </w:r>
      <w:r w:rsidR="000773F6">
        <w:t xml:space="preserve"> and by reason of the approach which I have taken above, this is not an issue that requires further comment.</w:t>
      </w:r>
      <w:r w:rsidR="00722187">
        <w:t xml:space="preserve"> </w:t>
      </w:r>
    </w:p>
    <w:p w14:paraId="5849DBAA" w14:textId="247CF794" w:rsidR="000773F6" w:rsidRDefault="000773F6" w:rsidP="000773F6"/>
    <w:p w14:paraId="50886540" w14:textId="6781A5F9" w:rsidR="00D0604C" w:rsidRDefault="00250A50" w:rsidP="00250A50">
      <w:pPr>
        <w:pStyle w:val="NUM1"/>
        <w:numPr>
          <w:ilvl w:val="0"/>
          <w:numId w:val="0"/>
        </w:numPr>
        <w:tabs>
          <w:tab w:val="left" w:pos="720"/>
        </w:tabs>
        <w:ind w:left="720" w:hanging="720"/>
      </w:pPr>
      <w:r>
        <w:rPr>
          <w:caps/>
        </w:rPr>
        <w:t>[55]</w:t>
      </w:r>
      <w:r>
        <w:rPr>
          <w:caps/>
        </w:rPr>
        <w:tab/>
      </w:r>
      <w:r w:rsidR="000773F6">
        <w:t xml:space="preserve">That which does require further comment is the applicant's approach to this case. </w:t>
      </w:r>
      <w:r w:rsidR="00563576">
        <w:t xml:space="preserve"> </w:t>
      </w:r>
      <w:r w:rsidR="000773F6">
        <w:t xml:space="preserve">It is no doubt anxious to prosecute its action and recover monies that it alleges </w:t>
      </w:r>
      <w:r w:rsidR="00563576">
        <w:t>are</w:t>
      </w:r>
      <w:r w:rsidR="000773F6">
        <w:t xml:space="preserve"> due to it from the respondent. </w:t>
      </w:r>
      <w:r w:rsidR="00563576">
        <w:t xml:space="preserve"> </w:t>
      </w:r>
      <w:r w:rsidR="00D0604C">
        <w:t>This is part and parcel of its right in terms of section</w:t>
      </w:r>
      <w:r w:rsidR="00563576">
        <w:t> </w:t>
      </w:r>
      <w:r w:rsidR="00D0604C">
        <w:t>34 of the Constitution.</w:t>
      </w:r>
      <w:r w:rsidR="00D0604C">
        <w:rPr>
          <w:rStyle w:val="FootnoteReference"/>
        </w:rPr>
        <w:footnoteReference w:id="19"/>
      </w:r>
      <w:r w:rsidR="00D0604C">
        <w:t xml:space="preserve"> </w:t>
      </w:r>
      <w:r w:rsidR="00563576">
        <w:t xml:space="preserve"> </w:t>
      </w:r>
      <w:r w:rsidR="000773F6">
        <w:t xml:space="preserve">To achieve this, however, </w:t>
      </w:r>
      <w:r w:rsidR="00132A96">
        <w:t xml:space="preserve">in </w:t>
      </w:r>
      <w:r w:rsidR="000773F6">
        <w:t xml:space="preserve">circumstances where the respondent is </w:t>
      </w:r>
      <w:r w:rsidR="00D0604C">
        <w:t>an</w:t>
      </w:r>
      <w:r w:rsidR="000773F6">
        <w:t xml:space="preserve"> </w:t>
      </w:r>
      <w:r w:rsidR="00D0604C">
        <w:t>un</w:t>
      </w:r>
      <w:r w:rsidR="000773F6">
        <w:t xml:space="preserve">sophisticated lay litigant, its approach ought to be facilitative and not obstructive. </w:t>
      </w:r>
    </w:p>
    <w:p w14:paraId="0F580186" w14:textId="77777777" w:rsidR="00D0604C" w:rsidRPr="00D0604C" w:rsidRDefault="00D0604C" w:rsidP="00D0604C"/>
    <w:p w14:paraId="339FADC9" w14:textId="08D4D1CF" w:rsidR="00517FCF" w:rsidRDefault="00250A50" w:rsidP="00250A50">
      <w:pPr>
        <w:pStyle w:val="NUM1"/>
        <w:numPr>
          <w:ilvl w:val="0"/>
          <w:numId w:val="0"/>
        </w:numPr>
        <w:tabs>
          <w:tab w:val="left" w:pos="720"/>
        </w:tabs>
        <w:ind w:left="720" w:hanging="720"/>
      </w:pPr>
      <w:r>
        <w:rPr>
          <w:caps/>
        </w:rPr>
        <w:t>[56]</w:t>
      </w:r>
      <w:r>
        <w:rPr>
          <w:caps/>
        </w:rPr>
        <w:tab/>
      </w:r>
      <w:r w:rsidR="00517FCF">
        <w:t>It may be fairly said of the applicant herein that this application was either not intended</w:t>
      </w:r>
      <w:r w:rsidR="00132A96">
        <w:t>,</w:t>
      </w:r>
      <w:r w:rsidR="00517FCF">
        <w:t xml:space="preserve"> or did not have the effect of removing any hindrance to the prosecution of the action.</w:t>
      </w:r>
      <w:r w:rsidR="00D0604C">
        <w:t xml:space="preserve"> </w:t>
      </w:r>
    </w:p>
    <w:p w14:paraId="58419BA3" w14:textId="77777777" w:rsidR="00517FCF" w:rsidRPr="00517FCF" w:rsidRDefault="00517FCF" w:rsidP="00517FCF"/>
    <w:p w14:paraId="5C1E55B8" w14:textId="75B70201" w:rsidR="008D228C" w:rsidRDefault="00250A50" w:rsidP="00250A50">
      <w:pPr>
        <w:pStyle w:val="NUM1"/>
        <w:numPr>
          <w:ilvl w:val="0"/>
          <w:numId w:val="0"/>
        </w:numPr>
        <w:tabs>
          <w:tab w:val="left" w:pos="720"/>
        </w:tabs>
        <w:ind w:left="720" w:hanging="720"/>
      </w:pPr>
      <w:r>
        <w:rPr>
          <w:caps/>
        </w:rPr>
        <w:t>[57]</w:t>
      </w:r>
      <w:r>
        <w:rPr>
          <w:caps/>
        </w:rPr>
        <w:tab/>
      </w:r>
      <w:r w:rsidR="000773F6">
        <w:t xml:space="preserve">I am able to do little more than quote the eloquent exposition of the proper functioning of the rules of civil procedure and the Rules of Court made by </w:t>
      </w:r>
      <w:r w:rsidR="000773F6" w:rsidRPr="00234626">
        <w:t>Slomo</w:t>
      </w:r>
      <w:r w:rsidR="00234626" w:rsidRPr="00234626">
        <w:t>w</w:t>
      </w:r>
      <w:r w:rsidR="000773F6" w:rsidRPr="00234626">
        <w:t>itz</w:t>
      </w:r>
      <w:r w:rsidR="000773F6">
        <w:t xml:space="preserve"> AJ in </w:t>
      </w:r>
      <w:r w:rsidR="000773F6" w:rsidRPr="008D228C">
        <w:rPr>
          <w:b/>
          <w:bCs/>
        </w:rPr>
        <w:t>Khuno</w:t>
      </w:r>
      <w:r w:rsidR="008E52CF">
        <w:rPr>
          <w:b/>
          <w:bCs/>
        </w:rPr>
        <w:t>u</w:t>
      </w:r>
      <w:r w:rsidR="00CD57EF" w:rsidRPr="006F0B8F">
        <w:rPr>
          <w:rStyle w:val="FootnoteReference"/>
        </w:rPr>
        <w:footnoteReference w:id="20"/>
      </w:r>
      <w:r w:rsidR="008D228C" w:rsidRPr="006F0B8F">
        <w:t xml:space="preserve"> </w:t>
      </w:r>
      <w:r w:rsidR="006F0B8F" w:rsidRPr="006F0B8F">
        <w:t>,</w:t>
      </w:r>
      <w:r w:rsidR="006F0B8F">
        <w:t xml:space="preserve"> </w:t>
      </w:r>
      <w:r w:rsidR="008D228C">
        <w:t>where the learned acting judge said:</w:t>
      </w:r>
      <w:r w:rsidR="006F0B8F">
        <w:t xml:space="preserve"> </w:t>
      </w:r>
    </w:p>
    <w:p w14:paraId="27DC4C65" w14:textId="77777777" w:rsidR="006F0B8F" w:rsidRPr="006F0B8F" w:rsidRDefault="006F0B8F" w:rsidP="006F0B8F"/>
    <w:p w14:paraId="63BAAAE7" w14:textId="76266CBC" w:rsidR="00CD57EF" w:rsidRPr="00CD57EF" w:rsidRDefault="008D228C" w:rsidP="006F0B8F">
      <w:pPr>
        <w:pStyle w:val="NormalWeb"/>
        <w:spacing w:line="360" w:lineRule="auto"/>
        <w:ind w:left="1276"/>
        <w:jc w:val="both"/>
        <w:rPr>
          <w:rFonts w:ascii="Arial" w:hAnsi="Arial" w:cs="Arial"/>
          <w:sz w:val="20"/>
          <w:szCs w:val="20"/>
          <w:lang w:eastAsia="en-GB"/>
        </w:rPr>
      </w:pPr>
      <w:r w:rsidRPr="00CD57EF">
        <w:rPr>
          <w:rFonts w:ascii="Arial" w:hAnsi="Arial" w:cs="Arial"/>
          <w:sz w:val="20"/>
          <w:szCs w:val="20"/>
        </w:rPr>
        <w:t>"</w:t>
      </w:r>
      <w:r w:rsidR="00CD57EF" w:rsidRPr="00CD57EF">
        <w:rPr>
          <w:rFonts w:ascii="Arial" w:hAnsi="Arial" w:cs="Arial"/>
          <w:sz w:val="20"/>
          <w:szCs w:val="20"/>
          <w:lang w:eastAsia="en-GB"/>
        </w:rPr>
        <w:t xml:space="preserve">The proper function of a Court is to try disputes between litigants who have real grievances and so see to it that justice is done. </w:t>
      </w:r>
      <w:r w:rsidR="00BD3581">
        <w:rPr>
          <w:rFonts w:ascii="Arial" w:hAnsi="Arial" w:cs="Arial"/>
          <w:sz w:val="20"/>
          <w:szCs w:val="20"/>
          <w:lang w:eastAsia="en-GB"/>
        </w:rPr>
        <w:t xml:space="preserve"> </w:t>
      </w:r>
      <w:r w:rsidR="00CD57EF" w:rsidRPr="00CD57EF">
        <w:rPr>
          <w:rFonts w:ascii="Arial" w:hAnsi="Arial" w:cs="Arial"/>
          <w:sz w:val="20"/>
          <w:szCs w:val="20"/>
          <w:lang w:eastAsia="en-GB"/>
        </w:rPr>
        <w:t xml:space="preserve">The rules of civil procedure exist in order to enable Courts to perform this duty with which, in turn, the orderly functioning, and indeed the very existence, of society is inextricably interwoven. </w:t>
      </w:r>
      <w:r w:rsidR="00BD3581">
        <w:rPr>
          <w:rFonts w:ascii="Arial" w:hAnsi="Arial" w:cs="Arial"/>
          <w:sz w:val="20"/>
          <w:szCs w:val="20"/>
          <w:lang w:eastAsia="en-GB"/>
        </w:rPr>
        <w:t xml:space="preserve"> </w:t>
      </w:r>
      <w:r w:rsidR="00CD57EF" w:rsidRPr="00CD57EF">
        <w:rPr>
          <w:rFonts w:ascii="Arial" w:hAnsi="Arial" w:cs="Arial"/>
          <w:sz w:val="20"/>
          <w:szCs w:val="20"/>
          <w:lang w:eastAsia="en-GB"/>
        </w:rPr>
        <w:t xml:space="preserve">The Rules of Court are in a sense merely a refinement of the general rules of civil procedure. </w:t>
      </w:r>
      <w:r w:rsidR="00BD3581">
        <w:rPr>
          <w:rFonts w:ascii="Arial" w:hAnsi="Arial" w:cs="Arial"/>
          <w:sz w:val="20"/>
          <w:szCs w:val="20"/>
          <w:lang w:eastAsia="en-GB"/>
        </w:rPr>
        <w:t xml:space="preserve"> </w:t>
      </w:r>
      <w:r w:rsidR="00CD57EF" w:rsidRPr="00CD57EF">
        <w:rPr>
          <w:rFonts w:ascii="Arial" w:hAnsi="Arial" w:cs="Arial"/>
          <w:sz w:val="20"/>
          <w:szCs w:val="20"/>
          <w:lang w:eastAsia="en-GB"/>
        </w:rPr>
        <w:t xml:space="preserve">They are designed not only to allow litigants to come to grips as expeditiously and as inexpensively as possible with the real issues between them, but also to ensure that the Courts dispense justice uniformly and fairly, and that the true issues which I have mentioned are clarified and tried in a just manner. </w:t>
      </w:r>
    </w:p>
    <w:p w14:paraId="0B3B3989" w14:textId="5AFF14D9" w:rsidR="00CD57EF" w:rsidRPr="00CD57EF" w:rsidRDefault="00CD57EF" w:rsidP="00BD3581">
      <w:pPr>
        <w:spacing w:before="100" w:beforeAutospacing="1" w:after="100" w:afterAutospacing="1" w:line="360" w:lineRule="auto"/>
        <w:ind w:left="1276"/>
        <w:rPr>
          <w:sz w:val="20"/>
          <w:szCs w:val="20"/>
          <w:lang w:eastAsia="en-GB"/>
        </w:rPr>
      </w:pPr>
      <w:r w:rsidRPr="00CD57EF">
        <w:rPr>
          <w:sz w:val="20"/>
          <w:szCs w:val="20"/>
          <w:lang w:eastAsia="en-GB"/>
        </w:rPr>
        <w:t xml:space="preserve">Of course the Rules of Court, like any set of rules, cannot in their very nature provide for every procedural situation that arises. </w:t>
      </w:r>
      <w:r w:rsidR="00BD3581">
        <w:rPr>
          <w:sz w:val="20"/>
          <w:szCs w:val="20"/>
          <w:lang w:eastAsia="en-GB"/>
        </w:rPr>
        <w:t xml:space="preserve"> </w:t>
      </w:r>
      <w:r w:rsidRPr="00CD57EF">
        <w:rPr>
          <w:sz w:val="20"/>
          <w:szCs w:val="20"/>
          <w:lang w:eastAsia="en-GB"/>
        </w:rPr>
        <w:t>They are not exhaustive and moreover are sometimes not appropriate to specific cases.</w:t>
      </w:r>
      <w:r w:rsidR="00BD3581">
        <w:rPr>
          <w:sz w:val="20"/>
          <w:szCs w:val="20"/>
          <w:lang w:eastAsia="en-GB"/>
        </w:rPr>
        <w:t xml:space="preserve"> </w:t>
      </w:r>
      <w:r w:rsidRPr="00CD57EF">
        <w:rPr>
          <w:sz w:val="20"/>
          <w:szCs w:val="20"/>
          <w:lang w:eastAsia="en-GB"/>
        </w:rPr>
        <w:t xml:space="preserve"> Accordingly</w:t>
      </w:r>
      <w:r w:rsidR="00E6457C">
        <w:rPr>
          <w:sz w:val="20"/>
          <w:szCs w:val="20"/>
          <w:lang w:eastAsia="en-GB"/>
        </w:rPr>
        <w:t>,</w:t>
      </w:r>
      <w:r w:rsidRPr="00CD57EF">
        <w:rPr>
          <w:sz w:val="20"/>
          <w:szCs w:val="20"/>
          <w:lang w:eastAsia="en-GB"/>
        </w:rPr>
        <w:t xml:space="preserve"> the Superior Courts retain an inherent power exercisable within certain limits to regulate their own procedure and adapt it, and, if needs be, the Rules of Court, according to the circumstances. </w:t>
      </w:r>
    </w:p>
    <w:p w14:paraId="77E3E285" w14:textId="2DFE4231" w:rsidR="00CD57EF" w:rsidRPr="00CD57EF" w:rsidRDefault="00CD57EF" w:rsidP="00BD3581">
      <w:pPr>
        <w:spacing w:before="100" w:beforeAutospacing="1" w:after="100" w:afterAutospacing="1" w:line="360" w:lineRule="auto"/>
        <w:ind w:left="1276"/>
        <w:rPr>
          <w:sz w:val="20"/>
          <w:szCs w:val="20"/>
          <w:lang w:eastAsia="en-GB"/>
        </w:rPr>
      </w:pPr>
      <w:r w:rsidRPr="00CD57EF">
        <w:rPr>
          <w:sz w:val="20"/>
          <w:szCs w:val="20"/>
          <w:lang w:eastAsia="en-GB"/>
        </w:rPr>
        <w:t>This power is enshrined in s 43 of the Supreme Court Act 59 of 1959.</w:t>
      </w:r>
      <w:r w:rsidR="00BD3581">
        <w:rPr>
          <w:sz w:val="20"/>
          <w:szCs w:val="20"/>
          <w:lang w:eastAsia="en-GB"/>
        </w:rPr>
        <w:t xml:space="preserve"> </w:t>
      </w:r>
    </w:p>
    <w:p w14:paraId="7C75FBED" w14:textId="5628FF65" w:rsidR="00CD57EF" w:rsidRPr="00CD57EF" w:rsidRDefault="00CD57EF" w:rsidP="00903EF0">
      <w:pPr>
        <w:spacing w:before="100" w:beforeAutospacing="1" w:after="100" w:afterAutospacing="1" w:line="360" w:lineRule="auto"/>
        <w:ind w:left="1276"/>
        <w:rPr>
          <w:sz w:val="20"/>
          <w:szCs w:val="20"/>
          <w:lang w:eastAsia="en-GB"/>
        </w:rPr>
      </w:pPr>
      <w:r w:rsidRPr="00CD57EF">
        <w:rPr>
          <w:sz w:val="20"/>
          <w:szCs w:val="20"/>
          <w:lang w:eastAsia="en-GB"/>
        </w:rPr>
        <w:t xml:space="preserve">It follows that the principles of adjectival law, whether expressed in the Rules of Court or otherwise, are necessarily flexible. </w:t>
      </w:r>
      <w:r w:rsidR="00903EF0">
        <w:rPr>
          <w:sz w:val="20"/>
          <w:szCs w:val="20"/>
          <w:lang w:eastAsia="en-GB"/>
        </w:rPr>
        <w:t xml:space="preserve"> </w:t>
      </w:r>
      <w:r w:rsidRPr="00CD57EF">
        <w:rPr>
          <w:sz w:val="20"/>
          <w:szCs w:val="20"/>
          <w:lang w:eastAsia="en-GB"/>
        </w:rPr>
        <w:t xml:space="preserve">Unfortunately this concomitant brings in its train the opportunity for unscrupulous litigants and those who would wish to delay </w:t>
      </w:r>
      <w:r w:rsidRPr="00CD57EF">
        <w:rPr>
          <w:b/>
          <w:bCs/>
          <w:sz w:val="20"/>
          <w:szCs w:val="20"/>
          <w:lang w:eastAsia="en-GB"/>
        </w:rPr>
        <w:t xml:space="preserve">or deny justice to so manipulate the Courts' procedures that their true purpose is frustrated. </w:t>
      </w:r>
      <w:r w:rsidR="00903EF0">
        <w:rPr>
          <w:b/>
          <w:bCs/>
          <w:sz w:val="20"/>
          <w:szCs w:val="20"/>
          <w:lang w:eastAsia="en-GB"/>
        </w:rPr>
        <w:t xml:space="preserve"> </w:t>
      </w:r>
      <w:r w:rsidRPr="00CD57EF">
        <w:rPr>
          <w:b/>
          <w:bCs/>
          <w:sz w:val="20"/>
          <w:szCs w:val="20"/>
          <w:lang w:eastAsia="en-GB"/>
        </w:rPr>
        <w:t>Courts must be ever vigilant against this and other types of abuse.</w:t>
      </w:r>
      <w:r w:rsidR="00903EF0">
        <w:rPr>
          <w:b/>
          <w:bCs/>
          <w:sz w:val="20"/>
          <w:szCs w:val="20"/>
          <w:lang w:eastAsia="en-GB"/>
        </w:rPr>
        <w:t xml:space="preserve"> </w:t>
      </w:r>
      <w:r w:rsidRPr="00CD57EF">
        <w:rPr>
          <w:b/>
          <w:bCs/>
          <w:sz w:val="20"/>
          <w:szCs w:val="20"/>
          <w:lang w:eastAsia="en-GB"/>
        </w:rPr>
        <w:t xml:space="preserve"> What is more important is that the Court's officers, and especially its attorneys, have an equally sacred duty.</w:t>
      </w:r>
      <w:r w:rsidRPr="00CD57EF">
        <w:rPr>
          <w:sz w:val="20"/>
          <w:szCs w:val="20"/>
          <w:lang w:eastAsia="en-GB"/>
        </w:rPr>
        <w:t xml:space="preserve"> </w:t>
      </w:r>
      <w:r w:rsidR="00903EF0">
        <w:rPr>
          <w:sz w:val="20"/>
          <w:szCs w:val="20"/>
          <w:lang w:eastAsia="en-GB"/>
        </w:rPr>
        <w:t xml:space="preserve"> </w:t>
      </w:r>
      <w:r w:rsidRPr="00CD57EF">
        <w:rPr>
          <w:sz w:val="20"/>
          <w:szCs w:val="20"/>
          <w:lang w:eastAsia="en-GB"/>
        </w:rPr>
        <w:t xml:space="preserve">Whatever the temptation or provocation, they must not lend themselves to the propagation of this evil, and so allow the administration of justice to fall into disrepute. </w:t>
      </w:r>
      <w:r w:rsidR="00903EF0">
        <w:rPr>
          <w:sz w:val="20"/>
          <w:szCs w:val="20"/>
          <w:lang w:eastAsia="en-GB"/>
        </w:rPr>
        <w:t xml:space="preserve"> </w:t>
      </w:r>
      <w:r w:rsidRPr="00CD57EF">
        <w:rPr>
          <w:sz w:val="20"/>
          <w:szCs w:val="20"/>
          <w:lang w:eastAsia="en-GB"/>
        </w:rPr>
        <w:t xml:space="preserve">Nothing less is expected of them, and if they do not measure up a Court will mark its disapproval either by an appropriate order as to costs against the defaulting practitioner </w:t>
      </w:r>
      <w:r w:rsidRPr="00CD57EF">
        <w:rPr>
          <w:sz w:val="20"/>
          <w:szCs w:val="20"/>
          <w:lang w:eastAsia="en-GB"/>
        </w:rPr>
        <w:lastRenderedPageBreak/>
        <w:t xml:space="preserve">or, in a proper case, by referring the matter to the Law Society for disciplinary action.” </w:t>
      </w:r>
      <w:r>
        <w:rPr>
          <w:sz w:val="20"/>
          <w:szCs w:val="20"/>
          <w:lang w:eastAsia="en-GB"/>
        </w:rPr>
        <w:t xml:space="preserve"> (</w:t>
      </w:r>
      <w:r w:rsidR="00903EF0">
        <w:rPr>
          <w:sz w:val="20"/>
          <w:szCs w:val="20"/>
          <w:lang w:eastAsia="en-GB"/>
        </w:rPr>
        <w:t xml:space="preserve">Emphasis </w:t>
      </w:r>
      <w:r>
        <w:rPr>
          <w:sz w:val="20"/>
          <w:szCs w:val="20"/>
          <w:lang w:eastAsia="en-GB"/>
        </w:rPr>
        <w:t>added)</w:t>
      </w:r>
      <w:r w:rsidR="00903EF0">
        <w:rPr>
          <w:sz w:val="20"/>
          <w:szCs w:val="20"/>
          <w:lang w:eastAsia="en-GB"/>
        </w:rPr>
        <w:t xml:space="preserve"> </w:t>
      </w:r>
    </w:p>
    <w:p w14:paraId="704496A0" w14:textId="13286D98" w:rsidR="008C5DC6" w:rsidRDefault="008C5DC6" w:rsidP="008C5DC6"/>
    <w:p w14:paraId="133480FE" w14:textId="51E5BE01" w:rsidR="00234626" w:rsidRDefault="00250A50" w:rsidP="00250A50">
      <w:pPr>
        <w:pStyle w:val="NUM1"/>
        <w:numPr>
          <w:ilvl w:val="0"/>
          <w:numId w:val="0"/>
        </w:numPr>
        <w:tabs>
          <w:tab w:val="left" w:pos="720"/>
        </w:tabs>
        <w:ind w:left="720" w:hanging="720"/>
      </w:pPr>
      <w:r>
        <w:rPr>
          <w:caps/>
        </w:rPr>
        <w:t>[58]</w:t>
      </w:r>
      <w:r>
        <w:rPr>
          <w:caps/>
        </w:rPr>
        <w:tab/>
      </w:r>
      <w:r w:rsidR="008D228C">
        <w:t>All that remains to be said is to record the fact of the respondent's non</w:t>
      </w:r>
      <w:r w:rsidR="008D228C">
        <w:noBreakHyphen/>
        <w:t xml:space="preserve">appearance on the day this matter was called before me. </w:t>
      </w:r>
    </w:p>
    <w:p w14:paraId="5DFF9A81" w14:textId="77777777" w:rsidR="00234626" w:rsidRPr="00234626" w:rsidRDefault="00234626" w:rsidP="00234626"/>
    <w:p w14:paraId="279DCD94" w14:textId="29237FAC" w:rsidR="00234626" w:rsidRDefault="00250A50" w:rsidP="00250A50">
      <w:pPr>
        <w:pStyle w:val="NUM1"/>
        <w:numPr>
          <w:ilvl w:val="0"/>
          <w:numId w:val="0"/>
        </w:numPr>
        <w:tabs>
          <w:tab w:val="left" w:pos="720"/>
        </w:tabs>
        <w:ind w:left="720" w:hanging="720"/>
      </w:pPr>
      <w:r>
        <w:rPr>
          <w:caps/>
        </w:rPr>
        <w:t>[59]</w:t>
      </w:r>
      <w:r>
        <w:rPr>
          <w:caps/>
        </w:rPr>
        <w:tab/>
      </w:r>
      <w:r w:rsidR="008D228C">
        <w:t xml:space="preserve">In this Division, applications are set down for hearing on the Monday and will be allocated for hearing to a day in the week. </w:t>
      </w:r>
      <w:r w:rsidR="0029436E">
        <w:t xml:space="preserve"> </w:t>
      </w:r>
      <w:r w:rsidR="008D228C">
        <w:t>It so happens that on the Monday of this week</w:t>
      </w:r>
      <w:r w:rsidR="008242BA">
        <w:t>,</w:t>
      </w:r>
      <w:r w:rsidR="008D228C">
        <w:t xml:space="preserve"> I heard an opposed application from out of town counsel</w:t>
      </w:r>
      <w:r w:rsidR="008242BA">
        <w:t>,</w:t>
      </w:r>
      <w:r w:rsidR="008D228C">
        <w:t xml:space="preserve"> and gave more than a week's notice to counsel (and the respondent) appearing in all other matters allocated to me for the week </w:t>
      </w:r>
      <w:r w:rsidR="002C24A2">
        <w:t xml:space="preserve">when their matters would be heard. </w:t>
      </w:r>
      <w:r w:rsidR="0029436E">
        <w:t xml:space="preserve"> </w:t>
      </w:r>
      <w:r w:rsidR="002C24A2">
        <w:t xml:space="preserve">Notice was given that this matter would be heard on the Tuesday. </w:t>
      </w:r>
    </w:p>
    <w:p w14:paraId="3540ED59" w14:textId="77777777" w:rsidR="00234626" w:rsidRPr="00234626" w:rsidRDefault="00234626" w:rsidP="00234626"/>
    <w:p w14:paraId="11010FBA" w14:textId="10445953" w:rsidR="008D228C" w:rsidRDefault="00250A50" w:rsidP="00250A50">
      <w:pPr>
        <w:pStyle w:val="NUM1"/>
        <w:numPr>
          <w:ilvl w:val="0"/>
          <w:numId w:val="0"/>
        </w:numPr>
        <w:tabs>
          <w:tab w:val="left" w:pos="720"/>
        </w:tabs>
        <w:ind w:left="720" w:hanging="720"/>
      </w:pPr>
      <w:r>
        <w:rPr>
          <w:caps/>
        </w:rPr>
        <w:t>[60]</w:t>
      </w:r>
      <w:r>
        <w:rPr>
          <w:caps/>
        </w:rPr>
        <w:tab/>
      </w:r>
      <w:r w:rsidR="002C24A2">
        <w:t>The respondent, in correspondence to my Registrar, contended that insufficient notice had been given to him that attending at court on the Tuesday was inconvenient</w:t>
      </w:r>
      <w:r w:rsidR="008242BA">
        <w:t>,</w:t>
      </w:r>
      <w:r w:rsidR="002C24A2">
        <w:t xml:space="preserve"> and that </w:t>
      </w:r>
      <w:r w:rsidR="008242BA">
        <w:t>h</w:t>
      </w:r>
      <w:r w:rsidR="002C24A2">
        <w:t xml:space="preserve">e would not be in attendance. </w:t>
      </w:r>
      <w:r w:rsidR="008242BA">
        <w:t xml:space="preserve"> </w:t>
      </w:r>
      <w:r w:rsidR="002C24A2">
        <w:t>As such</w:t>
      </w:r>
      <w:r w:rsidR="008242BA">
        <w:t>,</w:t>
      </w:r>
      <w:r w:rsidR="002C24A2">
        <w:t xml:space="preserve"> the proceedings proceeded in his absence. </w:t>
      </w:r>
      <w:r w:rsidR="008242BA">
        <w:t xml:space="preserve"> </w:t>
      </w:r>
      <w:r w:rsidR="002C24A2">
        <w:t xml:space="preserve">This sort of conduct is discourteous to a court, to opponents, and has a detrimental effect on the proper administration of justice. </w:t>
      </w:r>
      <w:r w:rsidR="008242BA">
        <w:t xml:space="preserve"> </w:t>
      </w:r>
      <w:r w:rsidR="002C24A2">
        <w:t xml:space="preserve">It stands to be </w:t>
      </w:r>
      <w:r w:rsidR="002C24A2" w:rsidRPr="002C24A2">
        <w:t>deprecate</w:t>
      </w:r>
      <w:r w:rsidR="00E17F98">
        <w:t>d</w:t>
      </w:r>
      <w:r w:rsidR="002C24A2" w:rsidRPr="002C24A2">
        <w:t xml:space="preserve"> </w:t>
      </w:r>
      <w:r w:rsidR="002C24A2">
        <w:t>in the strongest possible way.</w:t>
      </w:r>
      <w:r w:rsidR="008242BA">
        <w:t xml:space="preserve"> </w:t>
      </w:r>
    </w:p>
    <w:p w14:paraId="2C72DC37" w14:textId="4D76E33A" w:rsidR="002C24A2" w:rsidRDefault="002C24A2" w:rsidP="002C24A2"/>
    <w:p w14:paraId="58C03EBF" w14:textId="65873D37" w:rsidR="0025125A" w:rsidRPr="00B636BD" w:rsidRDefault="00250A50" w:rsidP="00250A50">
      <w:pPr>
        <w:pStyle w:val="NUM1"/>
        <w:numPr>
          <w:ilvl w:val="0"/>
          <w:numId w:val="0"/>
        </w:numPr>
        <w:tabs>
          <w:tab w:val="left" w:pos="720"/>
        </w:tabs>
        <w:ind w:left="720" w:hanging="720"/>
        <w:rPr>
          <w:lang w:val="en-GB"/>
        </w:rPr>
      </w:pPr>
      <w:r w:rsidRPr="00B636BD">
        <w:rPr>
          <w:caps/>
          <w:lang w:val="en-GB"/>
        </w:rPr>
        <w:t>[61]</w:t>
      </w:r>
      <w:r w:rsidRPr="00B636BD">
        <w:rPr>
          <w:caps/>
          <w:lang w:val="en-GB"/>
        </w:rPr>
        <w:tab/>
      </w:r>
      <w:r w:rsidR="0025125A">
        <w:rPr>
          <w:lang w:val="en-GB"/>
        </w:rPr>
        <w:t xml:space="preserve">In the context of the aforegoing, this application is a textbook example of what Gardener JP considered to be vexatious litigation in </w:t>
      </w:r>
      <w:r w:rsidR="0025125A" w:rsidRPr="00B636BD">
        <w:rPr>
          <w:b/>
          <w:bCs/>
          <w:lang w:val="en-GB"/>
        </w:rPr>
        <w:t>Alluvial Creek</w:t>
      </w:r>
      <w:r w:rsidR="0025125A">
        <w:rPr>
          <w:lang w:val="en-GB"/>
        </w:rPr>
        <w:t>.</w:t>
      </w:r>
      <w:r w:rsidR="0025125A">
        <w:rPr>
          <w:rStyle w:val="FootnoteReference"/>
          <w:lang w:val="en-GB"/>
        </w:rPr>
        <w:footnoteReference w:id="21"/>
      </w:r>
      <w:r w:rsidR="0025125A">
        <w:rPr>
          <w:lang w:val="en-GB"/>
        </w:rPr>
        <w:t xml:space="preserve"> </w:t>
      </w:r>
      <w:r w:rsidR="00903F81">
        <w:rPr>
          <w:lang w:val="en-GB"/>
        </w:rPr>
        <w:t xml:space="preserve"> </w:t>
      </w:r>
      <w:r w:rsidR="0025125A">
        <w:rPr>
          <w:lang w:val="en-GB"/>
        </w:rPr>
        <w:t xml:space="preserve">Although I am minded to make a costs order depriving the applicant's attorneys and counsel </w:t>
      </w:r>
      <w:r w:rsidR="00903F81">
        <w:rPr>
          <w:lang w:val="en-GB"/>
        </w:rPr>
        <w:t>from</w:t>
      </w:r>
      <w:r w:rsidR="0025125A">
        <w:rPr>
          <w:lang w:val="en-GB"/>
        </w:rPr>
        <w:t xml:space="preserve"> </w:t>
      </w:r>
      <w:r w:rsidR="00ED623F">
        <w:rPr>
          <w:lang w:val="en-GB"/>
        </w:rPr>
        <w:t>c</w:t>
      </w:r>
      <w:r w:rsidR="0025125A">
        <w:rPr>
          <w:lang w:val="en-GB"/>
        </w:rPr>
        <w:t>ha</w:t>
      </w:r>
      <w:r w:rsidR="00ED623F">
        <w:rPr>
          <w:lang w:val="en-GB"/>
        </w:rPr>
        <w:t>rging</w:t>
      </w:r>
      <w:r w:rsidR="0025125A">
        <w:rPr>
          <w:lang w:val="en-GB"/>
        </w:rPr>
        <w:t xml:space="preserve"> any fees in this case, it did raise the important issue on </w:t>
      </w:r>
      <w:r w:rsidR="0025125A">
        <w:rPr>
          <w:lang w:val="en-GB"/>
        </w:rPr>
        <w:lastRenderedPageBreak/>
        <w:t>which no authority exists, that being, the effect of a notice of amendment which is not objected to in accordance with the Rule, and the amended pages are not filed.</w:t>
      </w:r>
      <w:r w:rsidR="00903F81">
        <w:rPr>
          <w:lang w:val="en-GB"/>
        </w:rPr>
        <w:t xml:space="preserve"> </w:t>
      </w:r>
      <w:r w:rsidR="0025125A">
        <w:rPr>
          <w:lang w:val="en-GB"/>
        </w:rPr>
        <w:t xml:space="preserve"> But for the novelty of this issue, I would have made such a costs order.</w:t>
      </w:r>
      <w:r w:rsidR="00903F81">
        <w:rPr>
          <w:lang w:val="en-GB"/>
        </w:rPr>
        <w:t xml:space="preserve"> </w:t>
      </w:r>
    </w:p>
    <w:p w14:paraId="5B048DC9" w14:textId="77777777" w:rsidR="0025125A" w:rsidRDefault="0025125A" w:rsidP="0025125A">
      <w:pPr>
        <w:pStyle w:val="NUM1"/>
        <w:keepNext/>
        <w:numPr>
          <w:ilvl w:val="0"/>
          <w:numId w:val="0"/>
        </w:numPr>
        <w:ind w:left="720"/>
      </w:pPr>
    </w:p>
    <w:p w14:paraId="5F77FE7F" w14:textId="47776DE6" w:rsidR="00A737DA" w:rsidRDefault="00250A50" w:rsidP="00250A50">
      <w:pPr>
        <w:pStyle w:val="NUM1"/>
        <w:keepNext/>
        <w:numPr>
          <w:ilvl w:val="0"/>
          <w:numId w:val="0"/>
        </w:numPr>
        <w:tabs>
          <w:tab w:val="left" w:pos="720"/>
        </w:tabs>
        <w:ind w:left="720" w:hanging="720"/>
      </w:pPr>
      <w:r>
        <w:rPr>
          <w:caps/>
        </w:rPr>
        <w:t>[62]</w:t>
      </w:r>
      <w:r>
        <w:rPr>
          <w:caps/>
        </w:rPr>
        <w:tab/>
      </w:r>
      <w:r w:rsidR="002C24A2">
        <w:t>In the result</w:t>
      </w:r>
      <w:r w:rsidR="00903F81">
        <w:t>,</w:t>
      </w:r>
      <w:r w:rsidR="002C24A2">
        <w:t xml:space="preserve"> </w:t>
      </w:r>
      <w:r w:rsidR="00510DB1">
        <w:t xml:space="preserve">I make the following </w:t>
      </w:r>
      <w:r w:rsidR="002C24A2">
        <w:t>order</w:t>
      </w:r>
      <w:r w:rsidR="00510DB1">
        <w:t>:</w:t>
      </w:r>
      <w:r w:rsidR="002C24A2">
        <w:t xml:space="preserve"> </w:t>
      </w:r>
    </w:p>
    <w:p w14:paraId="1FB3DCE5" w14:textId="77777777" w:rsidR="00510DB1" w:rsidRPr="00510DB1" w:rsidRDefault="00510DB1" w:rsidP="00510DB1"/>
    <w:p w14:paraId="501DBE85" w14:textId="74942D1C" w:rsidR="002C24A2" w:rsidRDefault="002C24A2" w:rsidP="00903F81">
      <w:pPr>
        <w:keepNext/>
        <w:ind w:left="1276"/>
      </w:pPr>
      <w:r w:rsidRPr="00510DB1">
        <w:t>The application is dismissed</w:t>
      </w:r>
      <w:r w:rsidR="00903F81">
        <w:t xml:space="preserve">. </w:t>
      </w:r>
    </w:p>
    <w:p w14:paraId="20E67573" w14:textId="77777777" w:rsidR="008C5DC6" w:rsidRDefault="008C5DC6" w:rsidP="00A737DA"/>
    <w:p w14:paraId="1E4A1E1A" w14:textId="27C6FD51" w:rsidR="00797C7C" w:rsidRPr="00A737DA" w:rsidRDefault="000D0CC4" w:rsidP="000D0CC4">
      <w:pPr>
        <w:keepNext/>
        <w:shd w:val="clear" w:color="auto" w:fill="FFFFFF"/>
        <w:spacing w:line="240" w:lineRule="auto"/>
        <w:ind w:left="3600" w:firstLine="720"/>
        <w:rPr>
          <w:rFonts w:ascii="Verdana" w:hAnsi="Verdana" w:cs="Times New Roman"/>
          <w:color w:val="242121"/>
          <w:sz w:val="27"/>
          <w:szCs w:val="27"/>
          <w:lang w:eastAsia="en-ZA"/>
        </w:rPr>
      </w:pPr>
      <w:r>
        <w:rPr>
          <w:color w:val="242121"/>
          <w:lang w:eastAsia="en-ZA"/>
        </w:rPr>
        <w:t xml:space="preserve">   </w:t>
      </w:r>
      <w:r>
        <w:rPr>
          <w:noProof/>
          <w:color w:val="242121"/>
          <w:lang w:val="en-US"/>
        </w:rPr>
        <w:drawing>
          <wp:inline distT="0" distB="0" distL="0" distR="0" wp14:anchorId="46F4FCA7" wp14:editId="1B535E7B">
            <wp:extent cx="2808931" cy="700256"/>
            <wp:effectExtent l="0" t="0" r="0" b="0"/>
            <wp:docPr id="1277081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81374" name="Picture 1277081374"/>
                    <pic:cNvPicPr/>
                  </pic:nvPicPr>
                  <pic:blipFill>
                    <a:blip r:embed="rId10"/>
                    <a:stretch>
                      <a:fillRect/>
                    </a:stretch>
                  </pic:blipFill>
                  <pic:spPr>
                    <a:xfrm>
                      <a:off x="0" y="0"/>
                      <a:ext cx="2994542" cy="746528"/>
                    </a:xfrm>
                    <a:prstGeom prst="rect">
                      <a:avLst/>
                    </a:prstGeom>
                  </pic:spPr>
                </pic:pic>
              </a:graphicData>
            </a:graphic>
          </wp:inline>
        </w:drawing>
      </w:r>
    </w:p>
    <w:p w14:paraId="1C7187C4" w14:textId="77777777" w:rsidR="00797C7C" w:rsidRPr="00A737DA" w:rsidRDefault="00797C7C" w:rsidP="009C20E0">
      <w:pPr>
        <w:keepNext/>
        <w:shd w:val="clear" w:color="auto" w:fill="FFFFFF"/>
        <w:spacing w:line="240" w:lineRule="auto"/>
        <w:jc w:val="right"/>
        <w:rPr>
          <w:rFonts w:ascii="Verdana" w:hAnsi="Verdana" w:cs="Times New Roman"/>
          <w:color w:val="242121"/>
          <w:sz w:val="27"/>
          <w:szCs w:val="27"/>
          <w:lang w:eastAsia="en-ZA"/>
        </w:rPr>
      </w:pPr>
      <w:r>
        <w:rPr>
          <w:b/>
          <w:bCs/>
          <w:color w:val="242121"/>
          <w:lang w:eastAsia="en-ZA"/>
        </w:rPr>
        <w:t>A W PULLINGER</w:t>
      </w:r>
    </w:p>
    <w:p w14:paraId="4A722625" w14:textId="77777777" w:rsidR="00797C7C" w:rsidRPr="00A737DA" w:rsidRDefault="00797C7C" w:rsidP="009C20E0">
      <w:pPr>
        <w:keepNext/>
        <w:shd w:val="clear" w:color="auto" w:fill="FFFFFF"/>
        <w:spacing w:line="24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182E3F46" w14:textId="77777777" w:rsidR="00797C7C" w:rsidRPr="00A737DA" w:rsidRDefault="00797C7C" w:rsidP="009C20E0">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GAUTENG DIVISION, JOHANNESBURG</w:t>
      </w:r>
    </w:p>
    <w:p w14:paraId="413E0E23" w14:textId="77777777" w:rsidR="00797C7C" w:rsidRPr="00A737DA" w:rsidRDefault="00797C7C" w:rsidP="00797C7C">
      <w:pPr>
        <w:rPr>
          <w:lang w:eastAsia="en-ZA"/>
        </w:rPr>
      </w:pPr>
    </w:p>
    <w:p w14:paraId="04B126EA" w14:textId="30636D2B"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CaseLines. </w:t>
      </w:r>
      <w:r w:rsidR="009C20E0">
        <w:rPr>
          <w:i/>
          <w:iCs/>
          <w:color w:val="242121"/>
          <w:lang w:eastAsia="en-ZA"/>
        </w:rPr>
        <w:t xml:space="preserve"> </w:t>
      </w:r>
      <w:r w:rsidRPr="00A737DA">
        <w:rPr>
          <w:i/>
          <w:iCs/>
          <w:color w:val="242121"/>
          <w:lang w:eastAsia="en-ZA"/>
        </w:rPr>
        <w:t xml:space="preserve">The date and time for hand-down is deemed to </w:t>
      </w:r>
      <w:r w:rsidRPr="009D7E4D">
        <w:rPr>
          <w:i/>
          <w:iCs/>
          <w:color w:val="242121"/>
          <w:lang w:eastAsia="en-ZA"/>
        </w:rPr>
        <w:t xml:space="preserve">be </w:t>
      </w:r>
      <w:r w:rsidR="00CE5E20">
        <w:rPr>
          <w:i/>
          <w:iCs/>
        </w:rPr>
        <w:t>12h00</w:t>
      </w:r>
      <w:r w:rsidRPr="009D7E4D">
        <w:rPr>
          <w:i/>
          <w:iCs/>
          <w:color w:val="242121"/>
          <w:lang w:eastAsia="en-ZA"/>
        </w:rPr>
        <w:t xml:space="preserve"> on </w:t>
      </w:r>
      <w:r w:rsidR="00CE5E20">
        <w:rPr>
          <w:i/>
          <w:iCs/>
        </w:rPr>
        <w:t>14 April 2023</w:t>
      </w:r>
      <w:r w:rsidRPr="009D7E4D">
        <w:rPr>
          <w:i/>
          <w:iCs/>
          <w:color w:val="242121"/>
          <w:lang w:eastAsia="en-ZA"/>
        </w:rPr>
        <w:t>.</w:t>
      </w:r>
      <w:r w:rsidR="009C20E0">
        <w:rPr>
          <w:i/>
          <w:iCs/>
          <w:color w:val="242121"/>
          <w:lang w:eastAsia="en-ZA"/>
        </w:rPr>
        <w:t xml:space="preserve"> </w:t>
      </w:r>
    </w:p>
    <w:p w14:paraId="1B2E9C74" w14:textId="77777777" w:rsidR="00797C7C" w:rsidRPr="009D7E4D" w:rsidRDefault="00797C7C" w:rsidP="00797C7C">
      <w:pPr>
        <w:rPr>
          <w:lang w:eastAsia="en-ZA"/>
        </w:rPr>
      </w:pPr>
    </w:p>
    <w:p w14:paraId="6634BF84" w14:textId="38C3CC9E"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716BD4">
        <w:rPr>
          <w:b/>
          <w:bCs/>
        </w:rPr>
        <w:t>28 February 2023</w:t>
      </w:r>
    </w:p>
    <w:p w14:paraId="10A41FB2" w14:textId="715FCD88"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CE5E20">
        <w:rPr>
          <w:b/>
          <w:bCs/>
        </w:rPr>
        <w:t>14 April 2023</w:t>
      </w:r>
      <w:r w:rsidR="009C20E0">
        <w:rPr>
          <w:b/>
          <w:bCs/>
        </w:rPr>
        <w:t xml:space="preserve"> </w:t>
      </w:r>
    </w:p>
    <w:p w14:paraId="0360A2FE" w14:textId="77777777" w:rsidR="00797C7C" w:rsidRPr="009D7E4D" w:rsidRDefault="00797C7C" w:rsidP="00797C7C">
      <w:pPr>
        <w:rPr>
          <w:lang w:eastAsia="en-ZA"/>
        </w:rPr>
      </w:pPr>
    </w:p>
    <w:p w14:paraId="2D59AE03" w14:textId="035CBC1E"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APPEARANCES:</w:t>
      </w:r>
      <w:r w:rsidR="009C20E0">
        <w:rPr>
          <w:b/>
          <w:bCs/>
          <w:color w:val="242121"/>
          <w:lang w:eastAsia="en-ZA"/>
        </w:rPr>
        <w:t xml:space="preserve"> </w:t>
      </w:r>
    </w:p>
    <w:p w14:paraId="6475645B" w14:textId="467E86C4"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COUNSEL FOR THE PLAINTIFF:</w:t>
      </w:r>
      <w:r w:rsidRPr="008C5DC6">
        <w:rPr>
          <w:b/>
          <w:bCs/>
          <w:color w:val="242121"/>
          <w:lang w:eastAsia="en-ZA"/>
        </w:rPr>
        <w:tab/>
      </w:r>
      <w:r w:rsidR="00510DB1">
        <w:rPr>
          <w:b/>
          <w:bCs/>
        </w:rPr>
        <w:t>Adv J A Du Plessis</w:t>
      </w:r>
    </w:p>
    <w:p w14:paraId="0697EAE7" w14:textId="1119FB08"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ATTORNEY FOR THE PLAINTIFF:</w:t>
      </w:r>
      <w:r w:rsidRPr="008C5DC6">
        <w:rPr>
          <w:b/>
          <w:bCs/>
          <w:color w:val="242121"/>
          <w:lang w:eastAsia="en-ZA"/>
        </w:rPr>
        <w:tab/>
      </w:r>
      <w:r w:rsidR="00510DB1">
        <w:rPr>
          <w:b/>
          <w:bCs/>
        </w:rPr>
        <w:t>Gerrit Coetzee Attorneys</w:t>
      </w:r>
    </w:p>
    <w:p w14:paraId="0D1B4C5B" w14:textId="42508881"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COUNSEL FOR THE DEFENDANT:</w:t>
      </w:r>
      <w:r w:rsidRPr="008C5DC6">
        <w:rPr>
          <w:b/>
          <w:bCs/>
          <w:color w:val="242121"/>
          <w:lang w:eastAsia="en-ZA"/>
        </w:rPr>
        <w:tab/>
      </w:r>
      <w:r w:rsidR="00932A6A">
        <w:rPr>
          <w:b/>
          <w:bCs/>
        </w:rPr>
        <w:t>In person</w:t>
      </w:r>
      <w:r w:rsidR="009C20E0">
        <w:rPr>
          <w:b/>
          <w:bCs/>
        </w:rPr>
        <w:t xml:space="preserve"> </w:t>
      </w:r>
      <w:r w:rsidR="00932A6A">
        <w:rPr>
          <w:b/>
          <w:bCs/>
        </w:rPr>
        <w:t>/ no appearance</w:t>
      </w:r>
    </w:p>
    <w:p w14:paraId="7C60D52A" w14:textId="3207DE1F" w:rsidR="00A737DA" w:rsidRDefault="008C5DC6" w:rsidP="008C5DC6">
      <w:pPr>
        <w:tabs>
          <w:tab w:val="left" w:pos="4253"/>
        </w:tabs>
      </w:pPr>
      <w:r w:rsidRPr="008C5DC6">
        <w:rPr>
          <w:b/>
          <w:bCs/>
          <w:color w:val="242121"/>
          <w:lang w:eastAsia="en-ZA"/>
        </w:rPr>
        <w:t>ATTORNEY FOR THE DEFENDANT:</w:t>
      </w:r>
      <w:r>
        <w:rPr>
          <w:b/>
          <w:bCs/>
          <w:color w:val="242121"/>
          <w:lang w:eastAsia="en-ZA"/>
        </w:rPr>
        <w:tab/>
      </w:r>
      <w:r w:rsidR="00932A6A">
        <w:rPr>
          <w:b/>
          <w:bCs/>
        </w:rPr>
        <w:t>N/A</w:t>
      </w:r>
      <w:r w:rsidR="009C20E0">
        <w:t xml:space="preserve"> </w:t>
      </w:r>
    </w:p>
    <w:p w14:paraId="72E124E0" w14:textId="77777777" w:rsidR="009C20E0" w:rsidRPr="009C20E0" w:rsidRDefault="009C20E0" w:rsidP="008C5DC6">
      <w:pPr>
        <w:tabs>
          <w:tab w:val="left" w:pos="4253"/>
        </w:tabs>
      </w:pPr>
    </w:p>
    <w:sectPr w:rsidR="009C20E0" w:rsidRPr="009C20E0" w:rsidSect="00391BBA">
      <w:headerReference w:type="default" r:id="rId11"/>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toolbars>
    <wne:acdManifest>
      <wne:acdEntry wne:acdName="acd0"/>
    </wne:acdManifest>
  </wne:toolbars>
  <wne:acds>
    <wne:acd wne:argValue="AgBOAFUATQAx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3666C" w14:textId="77777777" w:rsidR="000A6F3D" w:rsidRDefault="000A6F3D" w:rsidP="00AA34D9">
      <w:pPr>
        <w:spacing w:line="240" w:lineRule="auto"/>
      </w:pPr>
      <w:r>
        <w:separator/>
      </w:r>
    </w:p>
  </w:endnote>
  <w:endnote w:type="continuationSeparator" w:id="0">
    <w:p w14:paraId="1032B6D6" w14:textId="77777777" w:rsidR="000A6F3D" w:rsidRDefault="000A6F3D"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6866" w14:textId="77777777" w:rsidR="000A6F3D" w:rsidRDefault="000A6F3D" w:rsidP="00AA34D9">
      <w:pPr>
        <w:spacing w:line="240" w:lineRule="auto"/>
      </w:pPr>
      <w:r>
        <w:separator/>
      </w:r>
    </w:p>
  </w:footnote>
  <w:footnote w:type="continuationSeparator" w:id="0">
    <w:p w14:paraId="1985886A" w14:textId="77777777" w:rsidR="000A6F3D" w:rsidRDefault="000A6F3D" w:rsidP="00AA34D9">
      <w:pPr>
        <w:spacing w:line="240" w:lineRule="auto"/>
      </w:pPr>
      <w:r>
        <w:continuationSeparator/>
      </w:r>
    </w:p>
  </w:footnote>
  <w:footnote w:id="1">
    <w:p w14:paraId="20416419" w14:textId="7AD92036" w:rsidR="00234626" w:rsidRDefault="00234626">
      <w:pPr>
        <w:pStyle w:val="FootnoteText"/>
      </w:pPr>
      <w:r>
        <w:rPr>
          <w:rStyle w:val="FootnoteReference"/>
        </w:rPr>
        <w:footnoteRef/>
      </w:r>
      <w:r>
        <w:t xml:space="preserve"> </w:t>
      </w:r>
      <w:r>
        <w:tab/>
        <w:t>Rule 28(2)</w:t>
      </w:r>
      <w:r w:rsidR="00C51850">
        <w:t xml:space="preserve"> </w:t>
      </w:r>
    </w:p>
  </w:footnote>
  <w:footnote w:id="2">
    <w:p w14:paraId="645C9EC2" w14:textId="76B5A1CA" w:rsidR="00234626" w:rsidRDefault="00234626">
      <w:pPr>
        <w:pStyle w:val="FootnoteText"/>
      </w:pPr>
      <w:r>
        <w:rPr>
          <w:rStyle w:val="FootnoteReference"/>
        </w:rPr>
        <w:footnoteRef/>
      </w:r>
      <w:r>
        <w:t xml:space="preserve"> </w:t>
      </w:r>
      <w:r>
        <w:tab/>
        <w:t>Rule 28(9)</w:t>
      </w:r>
      <w:r w:rsidR="00C51850">
        <w:t xml:space="preserve"> </w:t>
      </w:r>
    </w:p>
  </w:footnote>
  <w:footnote w:id="3">
    <w:p w14:paraId="4B8F4F34" w14:textId="310CAB0F" w:rsidR="00517FCF" w:rsidRDefault="00517FCF">
      <w:pPr>
        <w:pStyle w:val="FootnoteText"/>
      </w:pPr>
      <w:r>
        <w:rPr>
          <w:rStyle w:val="FootnoteReference"/>
        </w:rPr>
        <w:footnoteRef/>
      </w:r>
      <w:r>
        <w:t xml:space="preserve"> </w:t>
      </w:r>
      <w:r w:rsidR="00D0604C">
        <w:tab/>
      </w:r>
      <w:r w:rsidR="00D0604C" w:rsidRPr="00D0604C">
        <w:rPr>
          <w:b/>
          <w:bCs/>
        </w:rPr>
        <w:t>Off-beat Holiday Club and Another v Sanbonani Holiday Spa Shareblock Ltd and others</w:t>
      </w:r>
      <w:r w:rsidR="00D0604C">
        <w:t xml:space="preserve"> 2017 (5) SA 9 (CC) at [61] to [64]</w:t>
      </w:r>
      <w:r w:rsidR="00C51850">
        <w:t xml:space="preserve"> </w:t>
      </w:r>
    </w:p>
  </w:footnote>
  <w:footnote w:id="4">
    <w:p w14:paraId="01ED5EE8" w14:textId="0EFD3607" w:rsidR="00D0604C" w:rsidRDefault="00D0604C">
      <w:pPr>
        <w:pStyle w:val="FootnoteText"/>
      </w:pPr>
      <w:r>
        <w:rPr>
          <w:rStyle w:val="FootnoteReference"/>
        </w:rPr>
        <w:footnoteRef/>
      </w:r>
      <w:r>
        <w:t xml:space="preserve"> </w:t>
      </w:r>
      <w:r>
        <w:tab/>
      </w:r>
      <w:r w:rsidRPr="00D0604C">
        <w:rPr>
          <w:b/>
          <w:bCs/>
        </w:rPr>
        <w:t>Attorney-General, Eastern Cape v Blom and others</w:t>
      </w:r>
      <w:r>
        <w:t xml:space="preserve"> 1988 (4) SA 645 (A) at 660 F </w:t>
      </w:r>
      <w:r w:rsidR="00E866D2">
        <w:t>–</w:t>
      </w:r>
      <w:r>
        <w:t xml:space="preserve"> J</w:t>
      </w:r>
      <w:r w:rsidR="00E866D2">
        <w:t xml:space="preserve"> </w:t>
      </w:r>
    </w:p>
  </w:footnote>
  <w:footnote w:id="5">
    <w:p w14:paraId="23B2C16C" w14:textId="7B216710" w:rsidR="00517FCF" w:rsidRDefault="00517FCF">
      <w:pPr>
        <w:pStyle w:val="FootnoteText"/>
      </w:pPr>
      <w:r>
        <w:rPr>
          <w:rStyle w:val="FootnoteReference"/>
        </w:rPr>
        <w:footnoteRef/>
      </w:r>
      <w:r>
        <w:t xml:space="preserve"> </w:t>
      </w:r>
      <w:r w:rsidR="00D0604C">
        <w:tab/>
        <w:t xml:space="preserve">Section 165(2) of the Constitution; </w:t>
      </w:r>
      <w:r w:rsidR="000A17B3" w:rsidRPr="0052292D">
        <w:rPr>
          <w:b/>
          <w:bCs/>
        </w:rPr>
        <w:t xml:space="preserve">President of the </w:t>
      </w:r>
      <w:r w:rsidR="0052292D">
        <w:rPr>
          <w:b/>
          <w:bCs/>
        </w:rPr>
        <w:t>R</w:t>
      </w:r>
      <w:r w:rsidR="000A17B3" w:rsidRPr="0052292D">
        <w:rPr>
          <w:b/>
          <w:bCs/>
        </w:rPr>
        <w:t xml:space="preserve">epublic of South Africa and Others v South African </w:t>
      </w:r>
      <w:r w:rsidR="00E866D2" w:rsidRPr="0052292D">
        <w:rPr>
          <w:b/>
          <w:bCs/>
        </w:rPr>
        <w:t xml:space="preserve">Rugby </w:t>
      </w:r>
      <w:r w:rsidR="000A17B3" w:rsidRPr="0052292D">
        <w:rPr>
          <w:b/>
          <w:bCs/>
        </w:rPr>
        <w:t xml:space="preserve">Football </w:t>
      </w:r>
      <w:r w:rsidR="0052292D" w:rsidRPr="0052292D">
        <w:rPr>
          <w:b/>
          <w:bCs/>
        </w:rPr>
        <w:t>Union</w:t>
      </w:r>
      <w:r w:rsidR="000A17B3" w:rsidRPr="0052292D">
        <w:rPr>
          <w:b/>
          <w:bCs/>
        </w:rPr>
        <w:t xml:space="preserve"> and Others</w:t>
      </w:r>
      <w:r w:rsidR="0052292D">
        <w:t xml:space="preserve"> 1999 (4) SA 147 (CC) at [35]; </w:t>
      </w:r>
      <w:r w:rsidR="0052292D" w:rsidRPr="006936AB">
        <w:rPr>
          <w:b/>
          <w:bCs/>
        </w:rPr>
        <w:t>Berne</w:t>
      </w:r>
      <w:r w:rsidR="006936AB" w:rsidRPr="006936AB">
        <w:rPr>
          <w:b/>
          <w:bCs/>
        </w:rPr>
        <w:t>rt v Absa Bank Ltd</w:t>
      </w:r>
      <w:r w:rsidR="006936AB">
        <w:t xml:space="preserve"> 2011 (3) SA 92 (CC) at 102 D-E</w:t>
      </w:r>
      <w:r w:rsidR="00866079">
        <w:t xml:space="preserve"> and </w:t>
      </w:r>
      <w:r w:rsidR="00485AA3">
        <w:t xml:space="preserve">at 102 </w:t>
      </w:r>
      <w:r w:rsidR="00227C65">
        <w:t>G</w:t>
      </w:r>
      <w:r w:rsidR="00E866D2">
        <w:t xml:space="preserve"> </w:t>
      </w:r>
    </w:p>
  </w:footnote>
  <w:footnote w:id="6">
    <w:p w14:paraId="728D739D" w14:textId="4B7BCEEB" w:rsidR="00D0604C" w:rsidRDefault="00D0604C">
      <w:pPr>
        <w:pStyle w:val="FootnoteText"/>
      </w:pPr>
      <w:r>
        <w:rPr>
          <w:rStyle w:val="FootnoteReference"/>
        </w:rPr>
        <w:footnoteRef/>
      </w:r>
      <w:r>
        <w:t xml:space="preserve"> </w:t>
      </w:r>
      <w:r w:rsidR="00B868C5">
        <w:tab/>
        <w:t xml:space="preserve">Consider: </w:t>
      </w:r>
      <w:r w:rsidR="00B868C5" w:rsidRPr="00FB0254">
        <w:rPr>
          <w:b/>
          <w:bCs/>
        </w:rPr>
        <w:t xml:space="preserve">Beinash and </w:t>
      </w:r>
      <w:r w:rsidR="0052292D">
        <w:rPr>
          <w:b/>
          <w:bCs/>
        </w:rPr>
        <w:t>A</w:t>
      </w:r>
      <w:r w:rsidR="00B868C5" w:rsidRPr="00FB0254">
        <w:rPr>
          <w:b/>
          <w:bCs/>
        </w:rPr>
        <w:t>nother v Ernst</w:t>
      </w:r>
      <w:r w:rsidR="00FB0254" w:rsidRPr="00FB0254">
        <w:rPr>
          <w:b/>
          <w:bCs/>
        </w:rPr>
        <w:t xml:space="preserve"> &amp; Young and </w:t>
      </w:r>
      <w:r w:rsidR="0052292D">
        <w:rPr>
          <w:b/>
          <w:bCs/>
        </w:rPr>
        <w:t>O</w:t>
      </w:r>
      <w:r w:rsidR="00FB0254" w:rsidRPr="00FB0254">
        <w:rPr>
          <w:b/>
          <w:bCs/>
        </w:rPr>
        <w:t>thers</w:t>
      </w:r>
      <w:r w:rsidR="00FB0254">
        <w:t xml:space="preserve"> 1999 (2) SA 116 (CC)</w:t>
      </w:r>
      <w:r w:rsidR="00E866D2">
        <w:t xml:space="preserve"> </w:t>
      </w:r>
    </w:p>
  </w:footnote>
  <w:footnote w:id="7">
    <w:p w14:paraId="2FE401F4" w14:textId="67BDDBD2" w:rsidR="00932A6A" w:rsidRDefault="00932A6A">
      <w:pPr>
        <w:pStyle w:val="FootnoteText"/>
      </w:pPr>
      <w:r>
        <w:rPr>
          <w:rStyle w:val="FootnoteReference"/>
        </w:rPr>
        <w:footnoteRef/>
      </w:r>
      <w:r>
        <w:t xml:space="preserve"> </w:t>
      </w:r>
      <w:r>
        <w:tab/>
      </w:r>
      <w:r w:rsidRPr="00932A6A">
        <w:rPr>
          <w:b/>
          <w:bCs/>
        </w:rPr>
        <w:t>Eke v Parsons</w:t>
      </w:r>
      <w:r>
        <w:t xml:space="preserve"> 2016 (3) SA 27 (CC)</w:t>
      </w:r>
      <w:r w:rsidR="00E866D2">
        <w:t xml:space="preserve"> </w:t>
      </w:r>
    </w:p>
  </w:footnote>
  <w:footnote w:id="8">
    <w:p w14:paraId="203C69B6" w14:textId="531464AF" w:rsidR="001402C9" w:rsidRDefault="001402C9">
      <w:pPr>
        <w:pStyle w:val="FootnoteText"/>
      </w:pPr>
      <w:r>
        <w:rPr>
          <w:rStyle w:val="FootnoteReference"/>
        </w:rPr>
        <w:footnoteRef/>
      </w:r>
      <w:r>
        <w:t xml:space="preserve"> </w:t>
      </w:r>
      <w:r>
        <w:tab/>
      </w:r>
      <w:r w:rsidRPr="001402C9">
        <w:rPr>
          <w:b/>
          <w:bCs/>
        </w:rPr>
        <w:t xml:space="preserve">Matjhabeng Local Municipality v Eskom Holdings Limited and others; Mkonto and others v Compensation </w:t>
      </w:r>
      <w:r>
        <w:rPr>
          <w:b/>
          <w:bCs/>
        </w:rPr>
        <w:t>S</w:t>
      </w:r>
      <w:r w:rsidRPr="001402C9">
        <w:rPr>
          <w:b/>
          <w:bCs/>
        </w:rPr>
        <w:t>olutions (Pty) Ltd</w:t>
      </w:r>
      <w:r>
        <w:t xml:space="preserve"> 2018 (1) SA 1 (CC) at [72]</w:t>
      </w:r>
      <w:r w:rsidR="00F53DB5">
        <w:t xml:space="preserve"> </w:t>
      </w:r>
    </w:p>
  </w:footnote>
  <w:footnote w:id="9">
    <w:p w14:paraId="17B514DF" w14:textId="5067641E" w:rsidR="00D0604C" w:rsidRDefault="00D0604C">
      <w:pPr>
        <w:pStyle w:val="FootnoteText"/>
      </w:pPr>
      <w:r>
        <w:rPr>
          <w:rStyle w:val="FootnoteReference"/>
        </w:rPr>
        <w:footnoteRef/>
      </w:r>
      <w:r>
        <w:t xml:space="preserve"> </w:t>
      </w:r>
      <w:r>
        <w:tab/>
      </w:r>
      <w:r w:rsidRPr="00D0604C">
        <w:rPr>
          <w:b/>
          <w:bCs/>
        </w:rPr>
        <w:t>Ferris and another v Firstrand Bank Ltd</w:t>
      </w:r>
      <w:r>
        <w:t xml:space="preserve"> 2014 (3) SA 39 (CC) at [10] and [24]</w:t>
      </w:r>
      <w:r w:rsidR="00F53DB5">
        <w:t xml:space="preserve"> </w:t>
      </w:r>
    </w:p>
  </w:footnote>
  <w:footnote w:id="10">
    <w:p w14:paraId="3F7291B7" w14:textId="77777777" w:rsidR="00DF57CC" w:rsidRPr="00D24DB2" w:rsidRDefault="00DF57CC" w:rsidP="00DF57CC">
      <w:pPr>
        <w:pStyle w:val="FootnoteText"/>
        <w:rPr>
          <w:lang w:val="en-ZA"/>
        </w:rPr>
      </w:pPr>
      <w:r>
        <w:rPr>
          <w:rStyle w:val="FootnoteReference"/>
        </w:rPr>
        <w:footnoteRef/>
      </w:r>
      <w:r>
        <w:t xml:space="preserve"> </w:t>
      </w:r>
      <w:r>
        <w:rPr>
          <w:lang w:val="en-ZA"/>
        </w:rPr>
        <w:tab/>
      </w:r>
      <w:r w:rsidRPr="00D24DB2">
        <w:rPr>
          <w:b/>
          <w:bCs/>
          <w:lang w:val="en-ZA"/>
        </w:rPr>
        <w:t>Trans-African Insurance Co Ltd v Maluleka</w:t>
      </w:r>
      <w:r w:rsidRPr="00D24DB2">
        <w:rPr>
          <w:lang w:val="en-ZA"/>
        </w:rPr>
        <w:t xml:space="preserve"> 1956 (2) SA 273 (A) at 278</w:t>
      </w:r>
      <w:r>
        <w:rPr>
          <w:lang w:val="en-ZA"/>
        </w:rPr>
        <w:t xml:space="preserve"> </w:t>
      </w:r>
      <w:r w:rsidRPr="00D24DB2">
        <w:rPr>
          <w:lang w:val="en-ZA"/>
        </w:rPr>
        <w:t>E-G</w:t>
      </w:r>
    </w:p>
  </w:footnote>
  <w:footnote w:id="11">
    <w:p w14:paraId="3492D2AA" w14:textId="5D06E967" w:rsidR="00932A6A" w:rsidRPr="00EF7014" w:rsidRDefault="00932A6A" w:rsidP="00932A6A">
      <w:pPr>
        <w:pStyle w:val="FootnoteText"/>
        <w:rPr>
          <w:lang w:val="en-ZA"/>
        </w:rPr>
      </w:pPr>
      <w:r>
        <w:rPr>
          <w:rStyle w:val="FootnoteReference"/>
        </w:rPr>
        <w:footnoteRef/>
      </w:r>
      <w:r>
        <w:t xml:space="preserve"> </w:t>
      </w:r>
      <w:r>
        <w:rPr>
          <w:lang w:val="en-ZA"/>
        </w:rPr>
        <w:tab/>
      </w:r>
      <w:r w:rsidRPr="00EF7014">
        <w:rPr>
          <w:b/>
          <w:bCs/>
          <w:lang w:val="en-ZA"/>
        </w:rPr>
        <w:t>Maharaj v Barclays National Bank Ltd</w:t>
      </w:r>
      <w:r w:rsidRPr="00EF7014">
        <w:rPr>
          <w:lang w:val="en-ZA"/>
        </w:rPr>
        <w:t xml:space="preserve"> 1976 (1) SA 481 (A)</w:t>
      </w:r>
      <w:r w:rsidR="00E31BBA">
        <w:rPr>
          <w:lang w:val="en-ZA"/>
        </w:rPr>
        <w:t xml:space="preserve"> </w:t>
      </w:r>
    </w:p>
  </w:footnote>
  <w:footnote w:id="12">
    <w:p w14:paraId="1832935A" w14:textId="6D34F3E0" w:rsidR="00CD57EF" w:rsidRDefault="00CD57EF">
      <w:pPr>
        <w:pStyle w:val="FootnoteText"/>
      </w:pPr>
      <w:r>
        <w:rPr>
          <w:rStyle w:val="FootnoteReference"/>
        </w:rPr>
        <w:footnoteRef/>
      </w:r>
      <w:r>
        <w:t xml:space="preserve"> </w:t>
      </w:r>
      <w:r>
        <w:tab/>
        <w:t>At</w:t>
      </w:r>
      <w:r w:rsidR="00D0604C">
        <w:t xml:space="preserve"> 423 F</w:t>
      </w:r>
      <w:r w:rsidR="00E31BBA">
        <w:t xml:space="preserve"> </w:t>
      </w:r>
    </w:p>
  </w:footnote>
  <w:footnote w:id="13">
    <w:p w14:paraId="4D001459" w14:textId="237CC1F3" w:rsidR="007A7577" w:rsidRPr="00CC7A19" w:rsidRDefault="007A7577" w:rsidP="007A7577">
      <w:pPr>
        <w:pStyle w:val="FootnoteText"/>
        <w:rPr>
          <w:lang w:val="en-ZA"/>
        </w:rPr>
      </w:pPr>
      <w:r>
        <w:rPr>
          <w:rStyle w:val="FootnoteReference"/>
        </w:rPr>
        <w:footnoteRef/>
      </w:r>
      <w:r>
        <w:t xml:space="preserve"> </w:t>
      </w:r>
      <w:r>
        <w:rPr>
          <w:lang w:val="en-ZA"/>
        </w:rPr>
        <w:tab/>
      </w:r>
      <w:r w:rsidRPr="00CC7A19">
        <w:rPr>
          <w:b/>
          <w:bCs/>
          <w:lang w:val="en-ZA"/>
        </w:rPr>
        <w:t xml:space="preserve">Standard Bank of South Africa v Roestof </w:t>
      </w:r>
      <w:r w:rsidRPr="00CC7A19">
        <w:rPr>
          <w:lang w:val="en-ZA"/>
        </w:rPr>
        <w:t xml:space="preserve">2004 (2) SA 492 (W) at 496 </w:t>
      </w:r>
      <w:r>
        <w:rPr>
          <w:lang w:val="en-ZA"/>
        </w:rPr>
        <w:t>G</w:t>
      </w:r>
      <w:r w:rsidRPr="00CC7A19">
        <w:rPr>
          <w:lang w:val="en-ZA"/>
        </w:rPr>
        <w:t>-</w:t>
      </w:r>
      <w:r>
        <w:rPr>
          <w:lang w:val="en-ZA"/>
        </w:rPr>
        <w:t>I</w:t>
      </w:r>
      <w:r w:rsidR="00E31BBA">
        <w:rPr>
          <w:lang w:val="en-ZA"/>
        </w:rPr>
        <w:t xml:space="preserve"> </w:t>
      </w:r>
    </w:p>
  </w:footnote>
  <w:footnote w:id="14">
    <w:p w14:paraId="599F2D49" w14:textId="3DDAAA02" w:rsidR="00C177AB" w:rsidRPr="00AF07C7" w:rsidRDefault="00C177AB" w:rsidP="00C177AB">
      <w:pPr>
        <w:pStyle w:val="FootnoteText"/>
        <w:rPr>
          <w:lang w:val="en-ZA"/>
        </w:rPr>
      </w:pPr>
      <w:r>
        <w:rPr>
          <w:rStyle w:val="FootnoteReference"/>
        </w:rPr>
        <w:footnoteRef/>
      </w:r>
      <w:r>
        <w:t xml:space="preserve"> </w:t>
      </w:r>
      <w:r>
        <w:rPr>
          <w:lang w:val="en-ZA"/>
        </w:rPr>
        <w:tab/>
      </w:r>
      <w:r w:rsidRPr="00AF07C7">
        <w:rPr>
          <w:b/>
          <w:bCs/>
          <w:lang w:val="en-ZA"/>
        </w:rPr>
        <w:t>Pangbourne Properties Ltd v Pulse Moving CC and Another</w:t>
      </w:r>
      <w:r>
        <w:rPr>
          <w:lang w:val="en-ZA"/>
        </w:rPr>
        <w:t xml:space="preserve"> </w:t>
      </w:r>
      <w:r w:rsidRPr="00AF07C7">
        <w:rPr>
          <w:lang w:val="en-ZA"/>
        </w:rPr>
        <w:t>2013 (3) SA 140 (GSJ)</w:t>
      </w:r>
      <w:r w:rsidR="00D0604C">
        <w:rPr>
          <w:lang w:val="en-ZA"/>
        </w:rPr>
        <w:t xml:space="preserve"> at [13] to [19] and the authorities therein cited</w:t>
      </w:r>
      <w:r w:rsidR="00285C95">
        <w:rPr>
          <w:lang w:val="en-ZA"/>
        </w:rPr>
        <w:t xml:space="preserve"> </w:t>
      </w:r>
    </w:p>
  </w:footnote>
  <w:footnote w:id="15">
    <w:p w14:paraId="6FC3AAEE" w14:textId="4C357CB3" w:rsidR="007A7577" w:rsidRPr="00E758DC" w:rsidRDefault="007A7577" w:rsidP="007A7577">
      <w:pPr>
        <w:pStyle w:val="FootnoteText"/>
        <w:rPr>
          <w:lang w:val="en-ZA"/>
        </w:rPr>
      </w:pPr>
      <w:r>
        <w:rPr>
          <w:rStyle w:val="FootnoteReference"/>
        </w:rPr>
        <w:footnoteRef/>
      </w:r>
      <w:r>
        <w:t xml:space="preserve"> </w:t>
      </w:r>
      <w:r>
        <w:rPr>
          <w:lang w:val="en-ZA"/>
        </w:rPr>
        <w:tab/>
      </w:r>
      <w:r w:rsidR="00E758DC">
        <w:rPr>
          <w:b/>
          <w:bCs/>
          <w:lang w:val="en-ZA"/>
        </w:rPr>
        <w:t xml:space="preserve">Affordable Medicines Trust v Minister of Health </w:t>
      </w:r>
      <w:r w:rsidR="00E758DC" w:rsidRPr="00E758DC">
        <w:rPr>
          <w:lang w:val="en-ZA"/>
        </w:rPr>
        <w:t xml:space="preserve">2006 (3) SA 247 (CC) </w:t>
      </w:r>
      <w:r w:rsidR="00837229">
        <w:rPr>
          <w:lang w:val="en-ZA"/>
        </w:rPr>
        <w:t>at [10]</w:t>
      </w:r>
      <w:r w:rsidR="00C50986">
        <w:rPr>
          <w:lang w:val="en-ZA"/>
        </w:rPr>
        <w:t xml:space="preserve"> </w:t>
      </w:r>
    </w:p>
  </w:footnote>
  <w:footnote w:id="16">
    <w:p w14:paraId="777A2636" w14:textId="3AFDACE1" w:rsidR="00D0604C" w:rsidRDefault="00D0604C">
      <w:pPr>
        <w:pStyle w:val="FootnoteText"/>
      </w:pPr>
      <w:r>
        <w:rPr>
          <w:rStyle w:val="FootnoteReference"/>
        </w:rPr>
        <w:footnoteRef/>
      </w:r>
      <w:r>
        <w:t xml:space="preserve"> </w:t>
      </w:r>
      <w:r>
        <w:tab/>
      </w:r>
      <w:r w:rsidRPr="00D0604C">
        <w:rPr>
          <w:b/>
          <w:bCs/>
        </w:rPr>
        <w:t>Ferreiras (Pty) Ltd v Naidoo and another</w:t>
      </w:r>
      <w:r>
        <w:t xml:space="preserve"> 2022 (1) SA 201 (GJ)</w:t>
      </w:r>
      <w:r w:rsidR="00C50986">
        <w:t xml:space="preserve"> </w:t>
      </w:r>
    </w:p>
  </w:footnote>
  <w:footnote w:id="17">
    <w:p w14:paraId="7012E347" w14:textId="32B07B87" w:rsidR="00CD57EF" w:rsidRPr="00517FCF" w:rsidRDefault="00CD57EF">
      <w:pPr>
        <w:pStyle w:val="FootnoteText"/>
      </w:pPr>
      <w:r>
        <w:rPr>
          <w:rStyle w:val="FootnoteReference"/>
        </w:rPr>
        <w:footnoteRef/>
      </w:r>
      <w:r>
        <w:t xml:space="preserve"> </w:t>
      </w:r>
      <w:r>
        <w:tab/>
      </w:r>
      <w:r w:rsidRPr="00CD57EF">
        <w:rPr>
          <w:b/>
          <w:bCs/>
          <w:color w:val="000000"/>
        </w:rPr>
        <w:t>SA Metropolitan Lewensversekeringsmaatskappy Bpk v Louw NO</w:t>
      </w:r>
      <w:r w:rsidR="00517FCF">
        <w:rPr>
          <w:b/>
          <w:bCs/>
          <w:color w:val="000000"/>
        </w:rPr>
        <w:t xml:space="preserve"> </w:t>
      </w:r>
      <w:hyperlink r:id="rId1" w:tgtFrame="main" w:history="1">
        <w:r w:rsidR="00517FCF" w:rsidRPr="00517FCF">
          <w:rPr>
            <w:rStyle w:val="Hyperlink"/>
            <w:color w:val="auto"/>
            <w:u w:val="none"/>
          </w:rPr>
          <w:t>1981 (4) SA 329 (O)</w:t>
        </w:r>
      </w:hyperlink>
      <w:r w:rsidR="00517FCF" w:rsidRPr="00517FCF">
        <w:t> at 333</w:t>
      </w:r>
      <w:r w:rsidR="00D0604C">
        <w:t xml:space="preserve"> </w:t>
      </w:r>
      <w:r w:rsidR="00517FCF" w:rsidRPr="00517FCF">
        <w:t>G–H</w:t>
      </w:r>
      <w:r w:rsidR="00795E23">
        <w:t xml:space="preserve"> </w:t>
      </w:r>
    </w:p>
  </w:footnote>
  <w:footnote w:id="18">
    <w:p w14:paraId="271C60F2" w14:textId="5C5A67C7" w:rsidR="00CD57EF" w:rsidRDefault="00CD57EF">
      <w:pPr>
        <w:pStyle w:val="FootnoteText"/>
      </w:pPr>
      <w:r>
        <w:rPr>
          <w:rStyle w:val="FootnoteReference"/>
        </w:rPr>
        <w:footnoteRef/>
      </w:r>
      <w:r>
        <w:t xml:space="preserve"> </w:t>
      </w:r>
      <w:r>
        <w:tab/>
      </w:r>
      <w:r w:rsidRPr="00CD57EF">
        <w:rPr>
          <w:b/>
          <w:bCs/>
          <w:color w:val="000000"/>
        </w:rPr>
        <w:t>SA Metropolitan Lewensversekeringsmaatskappy Bpk</w:t>
      </w:r>
      <w:r w:rsidRPr="00CD57EF">
        <w:rPr>
          <w:i/>
          <w:iCs/>
          <w:color w:val="000000"/>
        </w:rPr>
        <w:t xml:space="preserve"> (supra)</w:t>
      </w:r>
      <w:r w:rsidR="00F42488">
        <w:rPr>
          <w:i/>
          <w:iCs/>
          <w:color w:val="000000"/>
        </w:rPr>
        <w:t xml:space="preserve"> </w:t>
      </w:r>
    </w:p>
  </w:footnote>
  <w:footnote w:id="19">
    <w:p w14:paraId="42DF9500" w14:textId="3E83F790" w:rsidR="00D0604C" w:rsidRDefault="00D0604C" w:rsidP="000D0CC4">
      <w:pPr>
        <w:pStyle w:val="FootnoteText"/>
      </w:pPr>
      <w:r>
        <w:rPr>
          <w:rStyle w:val="FootnoteReference"/>
        </w:rPr>
        <w:footnoteRef/>
      </w:r>
      <w:r>
        <w:t xml:space="preserve"> </w:t>
      </w:r>
      <w:r>
        <w:tab/>
      </w:r>
      <w:r w:rsidR="00510DB1" w:rsidRPr="00D0604C">
        <w:rPr>
          <w:b/>
          <w:bCs/>
        </w:rPr>
        <w:t>Off-beat Holiday Club</w:t>
      </w:r>
      <w:r w:rsidR="00510DB1">
        <w:rPr>
          <w:b/>
          <w:bCs/>
        </w:rPr>
        <w:t xml:space="preserve"> </w:t>
      </w:r>
      <w:r w:rsidR="00510DB1" w:rsidRPr="00510DB1">
        <w:t>(</w:t>
      </w:r>
      <w:r w:rsidR="00510DB1" w:rsidRPr="00510DB1">
        <w:rPr>
          <w:i/>
          <w:iCs/>
        </w:rPr>
        <w:t>supra</w:t>
      </w:r>
      <w:r w:rsidR="00510DB1" w:rsidRPr="00510DB1">
        <w:t>)</w:t>
      </w:r>
      <w:r w:rsidR="00563576">
        <w:t xml:space="preserve"> </w:t>
      </w:r>
    </w:p>
  </w:footnote>
  <w:footnote w:id="20">
    <w:p w14:paraId="5EA8DD1E" w14:textId="2AA0E0D9" w:rsidR="00CD57EF" w:rsidRDefault="00CD57EF" w:rsidP="000D0CC4">
      <w:pPr>
        <w:pStyle w:val="NormalWeb"/>
        <w:ind w:left="284" w:hanging="284"/>
        <w:rPr>
          <w:lang w:eastAsia="en-GB"/>
        </w:rPr>
      </w:pPr>
      <w:r>
        <w:rPr>
          <w:rStyle w:val="FootnoteReference"/>
        </w:rPr>
        <w:footnoteRef/>
      </w:r>
      <w:r>
        <w:t xml:space="preserve"> </w:t>
      </w:r>
      <w:r>
        <w:tab/>
      </w:r>
      <w:r w:rsidR="00517FCF">
        <w:rPr>
          <w:rFonts w:ascii="Arial" w:hAnsi="Arial" w:cs="Arial"/>
          <w:b/>
          <w:bCs/>
          <w:sz w:val="20"/>
          <w:szCs w:val="20"/>
          <w:lang w:eastAsia="en-GB"/>
        </w:rPr>
        <w:t>K</w:t>
      </w:r>
      <w:r w:rsidR="00517FCF" w:rsidRPr="00517FCF">
        <w:rPr>
          <w:rFonts w:ascii="Arial" w:hAnsi="Arial" w:cs="Arial"/>
          <w:b/>
          <w:bCs/>
          <w:sz w:val="20"/>
          <w:szCs w:val="20"/>
          <w:lang w:eastAsia="en-GB"/>
        </w:rPr>
        <w:t xml:space="preserve">hunou and others v </w:t>
      </w:r>
      <w:r w:rsidR="00517FCF">
        <w:rPr>
          <w:rFonts w:ascii="Arial" w:hAnsi="Arial" w:cs="Arial"/>
          <w:b/>
          <w:bCs/>
          <w:sz w:val="20"/>
          <w:szCs w:val="20"/>
          <w:lang w:eastAsia="en-GB"/>
        </w:rPr>
        <w:t>M</w:t>
      </w:r>
      <w:r w:rsidR="00517FCF" w:rsidRPr="00517FCF">
        <w:rPr>
          <w:rFonts w:ascii="Arial" w:hAnsi="Arial" w:cs="Arial"/>
          <w:b/>
          <w:bCs/>
          <w:sz w:val="20"/>
          <w:szCs w:val="20"/>
          <w:lang w:eastAsia="en-GB"/>
        </w:rPr>
        <w:t xml:space="preserve"> </w:t>
      </w:r>
      <w:r w:rsidR="00517FCF">
        <w:rPr>
          <w:rFonts w:ascii="Arial" w:hAnsi="Arial" w:cs="Arial"/>
          <w:b/>
          <w:bCs/>
          <w:sz w:val="20"/>
          <w:szCs w:val="20"/>
          <w:lang w:eastAsia="en-GB"/>
        </w:rPr>
        <w:t>F</w:t>
      </w:r>
      <w:r w:rsidR="00517FCF" w:rsidRPr="00517FCF">
        <w:rPr>
          <w:rFonts w:ascii="Arial" w:hAnsi="Arial" w:cs="Arial"/>
          <w:b/>
          <w:bCs/>
          <w:sz w:val="20"/>
          <w:szCs w:val="20"/>
          <w:lang w:eastAsia="en-GB"/>
        </w:rPr>
        <w:t>ihrer &amp; son (</w:t>
      </w:r>
      <w:r w:rsidR="00517FCF">
        <w:rPr>
          <w:rFonts w:ascii="Arial" w:hAnsi="Arial" w:cs="Arial"/>
          <w:b/>
          <w:bCs/>
          <w:sz w:val="20"/>
          <w:szCs w:val="20"/>
          <w:lang w:eastAsia="en-GB"/>
        </w:rPr>
        <w:t>P</w:t>
      </w:r>
      <w:r w:rsidR="00517FCF" w:rsidRPr="00517FCF">
        <w:rPr>
          <w:rFonts w:ascii="Arial" w:hAnsi="Arial" w:cs="Arial"/>
          <w:b/>
          <w:bCs/>
          <w:sz w:val="20"/>
          <w:szCs w:val="20"/>
          <w:lang w:eastAsia="en-GB"/>
        </w:rPr>
        <w:t xml:space="preserve">ty) </w:t>
      </w:r>
      <w:r w:rsidR="00517FCF">
        <w:rPr>
          <w:rFonts w:ascii="Arial" w:hAnsi="Arial" w:cs="Arial"/>
          <w:b/>
          <w:bCs/>
          <w:sz w:val="20"/>
          <w:szCs w:val="20"/>
          <w:lang w:eastAsia="en-GB"/>
        </w:rPr>
        <w:t>L</w:t>
      </w:r>
      <w:r w:rsidR="00517FCF" w:rsidRPr="00517FCF">
        <w:rPr>
          <w:rFonts w:ascii="Arial" w:hAnsi="Arial" w:cs="Arial"/>
          <w:b/>
          <w:bCs/>
          <w:sz w:val="20"/>
          <w:szCs w:val="20"/>
          <w:lang w:eastAsia="en-GB"/>
        </w:rPr>
        <w:t xml:space="preserve">td and others </w:t>
      </w:r>
      <w:r w:rsidR="00AD5ECF">
        <w:rPr>
          <w:rFonts w:ascii="Arial" w:hAnsi="Arial" w:cs="Arial"/>
          <w:sz w:val="20"/>
          <w:szCs w:val="20"/>
          <w:lang w:eastAsia="en-GB"/>
        </w:rPr>
        <w:t>1982 (3) SA 353 (W) 355 G – 356 C</w:t>
      </w:r>
      <w:r w:rsidR="00D0604C">
        <w:rPr>
          <w:rFonts w:ascii="Verdana" w:hAnsi="Verdana"/>
          <w:sz w:val="18"/>
          <w:szCs w:val="18"/>
          <w:lang w:eastAsia="en-GB"/>
        </w:rPr>
        <w:t xml:space="preserve"> </w:t>
      </w:r>
    </w:p>
  </w:footnote>
  <w:footnote w:id="21">
    <w:p w14:paraId="62340059" w14:textId="17A978FB" w:rsidR="0025125A" w:rsidRPr="00B636BD" w:rsidRDefault="0025125A" w:rsidP="0025125A">
      <w:pPr>
        <w:pStyle w:val="FootnoteText"/>
        <w:rPr>
          <w:lang w:val="en-ZA"/>
        </w:rPr>
      </w:pPr>
      <w:r>
        <w:rPr>
          <w:rStyle w:val="FootnoteReference"/>
        </w:rPr>
        <w:footnoteRef/>
      </w:r>
      <w:r>
        <w:t xml:space="preserve"> </w:t>
      </w:r>
      <w:r>
        <w:rPr>
          <w:lang w:val="en-ZA"/>
        </w:rPr>
        <w:tab/>
      </w:r>
      <w:r w:rsidRPr="00AD5ECF">
        <w:rPr>
          <w:b/>
          <w:bCs/>
          <w:i/>
          <w:iCs/>
          <w:lang w:val="en-ZA"/>
        </w:rPr>
        <w:t>In re</w:t>
      </w:r>
      <w:r w:rsidRPr="00B636BD">
        <w:rPr>
          <w:b/>
          <w:bCs/>
          <w:lang w:val="en-ZA"/>
        </w:rPr>
        <w:t xml:space="preserve"> Alluvial Creek Ltd</w:t>
      </w:r>
      <w:r w:rsidRPr="00B636BD">
        <w:rPr>
          <w:lang w:val="en-ZA"/>
        </w:rPr>
        <w:t xml:space="preserve"> 1929 CPD 532</w:t>
      </w:r>
      <w:r w:rsidR="00ED623F">
        <w:rPr>
          <w:lang w:val="en-ZA"/>
        </w:rPr>
        <w:t xml:space="preserve"> at 535</w:t>
      </w:r>
      <w:r w:rsidR="009C20E0">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F435" w14:textId="5C076850" w:rsidR="00645AF1" w:rsidRPr="00427437" w:rsidRDefault="000A6F3D"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250A50">
          <w:rPr>
            <w:b w:val="0"/>
            <w:noProof/>
          </w:rPr>
          <w:t>5</w:t>
        </w:r>
        <w:r w:rsidR="00645AF1" w:rsidRPr="00427437">
          <w:rPr>
            <w:b w:val="0"/>
            <w:noProof/>
          </w:rPr>
          <w:fldChar w:fldCharType="end"/>
        </w:r>
      </w:sdtContent>
    </w:sdt>
  </w:p>
  <w:p w14:paraId="0EE28832" w14:textId="77777777" w:rsidR="00645AF1" w:rsidRPr="00A441B2" w:rsidRDefault="00645AF1" w:rsidP="00391BBA">
    <w:pPr>
      <w:pStyle w:val="Header"/>
      <w:spacing w:line="240" w:lineRule="auto"/>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6"/>
    <w:rsid w:val="00004382"/>
    <w:rsid w:val="0000717C"/>
    <w:rsid w:val="000108B1"/>
    <w:rsid w:val="00010B6C"/>
    <w:rsid w:val="00012668"/>
    <w:rsid w:val="00012EBA"/>
    <w:rsid w:val="0001309B"/>
    <w:rsid w:val="000137EE"/>
    <w:rsid w:val="00014402"/>
    <w:rsid w:val="00016F06"/>
    <w:rsid w:val="00017D19"/>
    <w:rsid w:val="0002084A"/>
    <w:rsid w:val="00020E0A"/>
    <w:rsid w:val="000217F5"/>
    <w:rsid w:val="00024AAC"/>
    <w:rsid w:val="000322BE"/>
    <w:rsid w:val="000330E5"/>
    <w:rsid w:val="000376BD"/>
    <w:rsid w:val="00041D3F"/>
    <w:rsid w:val="000422F3"/>
    <w:rsid w:val="00043CBF"/>
    <w:rsid w:val="00045022"/>
    <w:rsid w:val="00045486"/>
    <w:rsid w:val="00051893"/>
    <w:rsid w:val="00057133"/>
    <w:rsid w:val="00057D22"/>
    <w:rsid w:val="00061515"/>
    <w:rsid w:val="0006213B"/>
    <w:rsid w:val="00063384"/>
    <w:rsid w:val="00064D3F"/>
    <w:rsid w:val="0006580E"/>
    <w:rsid w:val="00067F98"/>
    <w:rsid w:val="0007238B"/>
    <w:rsid w:val="0007593F"/>
    <w:rsid w:val="000773F6"/>
    <w:rsid w:val="000824F2"/>
    <w:rsid w:val="00083A12"/>
    <w:rsid w:val="00084015"/>
    <w:rsid w:val="00084671"/>
    <w:rsid w:val="0008540E"/>
    <w:rsid w:val="000913B2"/>
    <w:rsid w:val="000932D7"/>
    <w:rsid w:val="00093C96"/>
    <w:rsid w:val="000A17B3"/>
    <w:rsid w:val="000A5948"/>
    <w:rsid w:val="000A6F3D"/>
    <w:rsid w:val="000B03B8"/>
    <w:rsid w:val="000B18B8"/>
    <w:rsid w:val="000B23EE"/>
    <w:rsid w:val="000B2E91"/>
    <w:rsid w:val="000B49CA"/>
    <w:rsid w:val="000B70CA"/>
    <w:rsid w:val="000B720E"/>
    <w:rsid w:val="000C2254"/>
    <w:rsid w:val="000C2810"/>
    <w:rsid w:val="000D0C94"/>
    <w:rsid w:val="000D0CC4"/>
    <w:rsid w:val="000D5890"/>
    <w:rsid w:val="000E0DCC"/>
    <w:rsid w:val="000E1DE7"/>
    <w:rsid w:val="000E228E"/>
    <w:rsid w:val="000E339C"/>
    <w:rsid w:val="000E3E31"/>
    <w:rsid w:val="000F3132"/>
    <w:rsid w:val="000F5DDB"/>
    <w:rsid w:val="000F7588"/>
    <w:rsid w:val="001056ED"/>
    <w:rsid w:val="00106D1E"/>
    <w:rsid w:val="00113FB5"/>
    <w:rsid w:val="001148A5"/>
    <w:rsid w:val="00115721"/>
    <w:rsid w:val="001159FC"/>
    <w:rsid w:val="00115FD1"/>
    <w:rsid w:val="00116E54"/>
    <w:rsid w:val="00123489"/>
    <w:rsid w:val="00123890"/>
    <w:rsid w:val="00125E01"/>
    <w:rsid w:val="001264D8"/>
    <w:rsid w:val="00127864"/>
    <w:rsid w:val="00130CD4"/>
    <w:rsid w:val="00130ED0"/>
    <w:rsid w:val="00132677"/>
    <w:rsid w:val="00132A96"/>
    <w:rsid w:val="00134D0E"/>
    <w:rsid w:val="001355DF"/>
    <w:rsid w:val="001402C9"/>
    <w:rsid w:val="001406A0"/>
    <w:rsid w:val="00147FB6"/>
    <w:rsid w:val="0015180E"/>
    <w:rsid w:val="00151966"/>
    <w:rsid w:val="00152B72"/>
    <w:rsid w:val="001579AC"/>
    <w:rsid w:val="0016008C"/>
    <w:rsid w:val="00160E39"/>
    <w:rsid w:val="001616D0"/>
    <w:rsid w:val="00176108"/>
    <w:rsid w:val="00176F60"/>
    <w:rsid w:val="00177F30"/>
    <w:rsid w:val="001804ED"/>
    <w:rsid w:val="00180FB2"/>
    <w:rsid w:val="001816E6"/>
    <w:rsid w:val="0018328E"/>
    <w:rsid w:val="001856D3"/>
    <w:rsid w:val="00192E51"/>
    <w:rsid w:val="001933B2"/>
    <w:rsid w:val="0019388E"/>
    <w:rsid w:val="00194F89"/>
    <w:rsid w:val="00196357"/>
    <w:rsid w:val="001A2118"/>
    <w:rsid w:val="001A315F"/>
    <w:rsid w:val="001A40B3"/>
    <w:rsid w:val="001A41C3"/>
    <w:rsid w:val="001A480C"/>
    <w:rsid w:val="001B00C8"/>
    <w:rsid w:val="001B174C"/>
    <w:rsid w:val="001B1F9D"/>
    <w:rsid w:val="001B1FD2"/>
    <w:rsid w:val="001B618E"/>
    <w:rsid w:val="001B6E1C"/>
    <w:rsid w:val="001B6F4B"/>
    <w:rsid w:val="001C01E0"/>
    <w:rsid w:val="001C73A2"/>
    <w:rsid w:val="001C7A55"/>
    <w:rsid w:val="001D79D6"/>
    <w:rsid w:val="001E4A33"/>
    <w:rsid w:val="001E5998"/>
    <w:rsid w:val="001E7F67"/>
    <w:rsid w:val="001F72BA"/>
    <w:rsid w:val="001F72DA"/>
    <w:rsid w:val="001F7C7D"/>
    <w:rsid w:val="002111BB"/>
    <w:rsid w:val="00214A1C"/>
    <w:rsid w:val="0021742E"/>
    <w:rsid w:val="00217FC3"/>
    <w:rsid w:val="00221452"/>
    <w:rsid w:val="00225A4A"/>
    <w:rsid w:val="00227C65"/>
    <w:rsid w:val="00230289"/>
    <w:rsid w:val="0023039E"/>
    <w:rsid w:val="00231F84"/>
    <w:rsid w:val="00232EF7"/>
    <w:rsid w:val="0023455B"/>
    <w:rsid w:val="00234626"/>
    <w:rsid w:val="00236D3F"/>
    <w:rsid w:val="00237F6E"/>
    <w:rsid w:val="00241084"/>
    <w:rsid w:val="00246E20"/>
    <w:rsid w:val="00250A50"/>
    <w:rsid w:val="0025125A"/>
    <w:rsid w:val="00252665"/>
    <w:rsid w:val="002537CD"/>
    <w:rsid w:val="00255244"/>
    <w:rsid w:val="002555DF"/>
    <w:rsid w:val="002560A3"/>
    <w:rsid w:val="00256321"/>
    <w:rsid w:val="00256D6F"/>
    <w:rsid w:val="002609A5"/>
    <w:rsid w:val="0026537A"/>
    <w:rsid w:val="00267695"/>
    <w:rsid w:val="00272DD5"/>
    <w:rsid w:val="00275D66"/>
    <w:rsid w:val="00277A39"/>
    <w:rsid w:val="002806E3"/>
    <w:rsid w:val="00280B90"/>
    <w:rsid w:val="00285C95"/>
    <w:rsid w:val="00286B9D"/>
    <w:rsid w:val="0029248A"/>
    <w:rsid w:val="0029300B"/>
    <w:rsid w:val="0029436E"/>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24A2"/>
    <w:rsid w:val="002C49A3"/>
    <w:rsid w:val="002C5E2D"/>
    <w:rsid w:val="002D0D34"/>
    <w:rsid w:val="002D30CE"/>
    <w:rsid w:val="002D38DE"/>
    <w:rsid w:val="002D3CB4"/>
    <w:rsid w:val="002D6963"/>
    <w:rsid w:val="002D7CF4"/>
    <w:rsid w:val="002E25E7"/>
    <w:rsid w:val="002E2D25"/>
    <w:rsid w:val="002E41F1"/>
    <w:rsid w:val="002E4272"/>
    <w:rsid w:val="002E4308"/>
    <w:rsid w:val="002F004F"/>
    <w:rsid w:val="002F01B4"/>
    <w:rsid w:val="002F68D6"/>
    <w:rsid w:val="002F6B54"/>
    <w:rsid w:val="00301C24"/>
    <w:rsid w:val="00302976"/>
    <w:rsid w:val="003046A0"/>
    <w:rsid w:val="00305208"/>
    <w:rsid w:val="00305E38"/>
    <w:rsid w:val="0031090F"/>
    <w:rsid w:val="00312187"/>
    <w:rsid w:val="00312EF1"/>
    <w:rsid w:val="003159AC"/>
    <w:rsid w:val="00325172"/>
    <w:rsid w:val="00325A97"/>
    <w:rsid w:val="00325D06"/>
    <w:rsid w:val="00334206"/>
    <w:rsid w:val="00336669"/>
    <w:rsid w:val="0034011D"/>
    <w:rsid w:val="00341688"/>
    <w:rsid w:val="003421EC"/>
    <w:rsid w:val="00342FB2"/>
    <w:rsid w:val="00346379"/>
    <w:rsid w:val="003469F1"/>
    <w:rsid w:val="0035021C"/>
    <w:rsid w:val="003530D9"/>
    <w:rsid w:val="00353D7B"/>
    <w:rsid w:val="00354755"/>
    <w:rsid w:val="003547DA"/>
    <w:rsid w:val="00357221"/>
    <w:rsid w:val="00361CF3"/>
    <w:rsid w:val="0036596D"/>
    <w:rsid w:val="0036768B"/>
    <w:rsid w:val="003712EA"/>
    <w:rsid w:val="00371D8A"/>
    <w:rsid w:val="00374344"/>
    <w:rsid w:val="003760C9"/>
    <w:rsid w:val="003777E2"/>
    <w:rsid w:val="003808EE"/>
    <w:rsid w:val="0038133B"/>
    <w:rsid w:val="00381B61"/>
    <w:rsid w:val="00382A47"/>
    <w:rsid w:val="00384680"/>
    <w:rsid w:val="0038564A"/>
    <w:rsid w:val="0038738E"/>
    <w:rsid w:val="003907E4"/>
    <w:rsid w:val="003910F0"/>
    <w:rsid w:val="00391BBA"/>
    <w:rsid w:val="00392325"/>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C35EA"/>
    <w:rsid w:val="003C5402"/>
    <w:rsid w:val="003C5F0B"/>
    <w:rsid w:val="003C7CC4"/>
    <w:rsid w:val="003D0CA4"/>
    <w:rsid w:val="003D0E86"/>
    <w:rsid w:val="003D134D"/>
    <w:rsid w:val="003D1D1F"/>
    <w:rsid w:val="003D6338"/>
    <w:rsid w:val="003D6933"/>
    <w:rsid w:val="003D6BD7"/>
    <w:rsid w:val="003D6E52"/>
    <w:rsid w:val="003D7674"/>
    <w:rsid w:val="003E09F0"/>
    <w:rsid w:val="003E0A30"/>
    <w:rsid w:val="003E0DDC"/>
    <w:rsid w:val="003E2088"/>
    <w:rsid w:val="003E5DFA"/>
    <w:rsid w:val="003F098C"/>
    <w:rsid w:val="003F2B0A"/>
    <w:rsid w:val="003F2C85"/>
    <w:rsid w:val="00400951"/>
    <w:rsid w:val="00403C41"/>
    <w:rsid w:val="00405028"/>
    <w:rsid w:val="00405C24"/>
    <w:rsid w:val="00405E60"/>
    <w:rsid w:val="004065F7"/>
    <w:rsid w:val="004079CD"/>
    <w:rsid w:val="00411979"/>
    <w:rsid w:val="004132F8"/>
    <w:rsid w:val="00413658"/>
    <w:rsid w:val="004139B4"/>
    <w:rsid w:val="00414DB8"/>
    <w:rsid w:val="00416AA2"/>
    <w:rsid w:val="00417305"/>
    <w:rsid w:val="00420711"/>
    <w:rsid w:val="00422C4A"/>
    <w:rsid w:val="00426682"/>
    <w:rsid w:val="00427437"/>
    <w:rsid w:val="00430701"/>
    <w:rsid w:val="00433703"/>
    <w:rsid w:val="0043572B"/>
    <w:rsid w:val="00435C12"/>
    <w:rsid w:val="004407C6"/>
    <w:rsid w:val="00441E5B"/>
    <w:rsid w:val="00443C59"/>
    <w:rsid w:val="00445C40"/>
    <w:rsid w:val="00454576"/>
    <w:rsid w:val="00461D1B"/>
    <w:rsid w:val="00462598"/>
    <w:rsid w:val="004651ED"/>
    <w:rsid w:val="00467DBE"/>
    <w:rsid w:val="00467DFB"/>
    <w:rsid w:val="00470BE0"/>
    <w:rsid w:val="0047194E"/>
    <w:rsid w:val="004725CF"/>
    <w:rsid w:val="00472CED"/>
    <w:rsid w:val="004742CA"/>
    <w:rsid w:val="00474815"/>
    <w:rsid w:val="00475207"/>
    <w:rsid w:val="00475E08"/>
    <w:rsid w:val="00476B43"/>
    <w:rsid w:val="00481133"/>
    <w:rsid w:val="00484042"/>
    <w:rsid w:val="004842EC"/>
    <w:rsid w:val="00485AA3"/>
    <w:rsid w:val="0049440F"/>
    <w:rsid w:val="004A136C"/>
    <w:rsid w:val="004A3DCE"/>
    <w:rsid w:val="004A4DD7"/>
    <w:rsid w:val="004A602F"/>
    <w:rsid w:val="004A63BD"/>
    <w:rsid w:val="004B0FB9"/>
    <w:rsid w:val="004B1123"/>
    <w:rsid w:val="004B1B5E"/>
    <w:rsid w:val="004B34FA"/>
    <w:rsid w:val="004B53A9"/>
    <w:rsid w:val="004C24C6"/>
    <w:rsid w:val="004C45E9"/>
    <w:rsid w:val="004C7D2F"/>
    <w:rsid w:val="004D0937"/>
    <w:rsid w:val="004D1117"/>
    <w:rsid w:val="004D1E79"/>
    <w:rsid w:val="004D2610"/>
    <w:rsid w:val="004D2D89"/>
    <w:rsid w:val="004D429B"/>
    <w:rsid w:val="004D6E6A"/>
    <w:rsid w:val="004D723A"/>
    <w:rsid w:val="004E215C"/>
    <w:rsid w:val="004E2BCB"/>
    <w:rsid w:val="004E48A2"/>
    <w:rsid w:val="004E7A8C"/>
    <w:rsid w:val="004F061C"/>
    <w:rsid w:val="004F0B6A"/>
    <w:rsid w:val="004F1906"/>
    <w:rsid w:val="004F2F7A"/>
    <w:rsid w:val="004F4B64"/>
    <w:rsid w:val="00502685"/>
    <w:rsid w:val="00503414"/>
    <w:rsid w:val="0050344B"/>
    <w:rsid w:val="005061B7"/>
    <w:rsid w:val="005076C7"/>
    <w:rsid w:val="00510DB1"/>
    <w:rsid w:val="00511A44"/>
    <w:rsid w:val="00514487"/>
    <w:rsid w:val="0051495F"/>
    <w:rsid w:val="005151CA"/>
    <w:rsid w:val="00517606"/>
    <w:rsid w:val="005178E8"/>
    <w:rsid w:val="00517962"/>
    <w:rsid w:val="00517FCF"/>
    <w:rsid w:val="00520ECE"/>
    <w:rsid w:val="00521A16"/>
    <w:rsid w:val="0052292D"/>
    <w:rsid w:val="00522DC0"/>
    <w:rsid w:val="00524EED"/>
    <w:rsid w:val="00526252"/>
    <w:rsid w:val="0053158D"/>
    <w:rsid w:val="00537C30"/>
    <w:rsid w:val="005404E9"/>
    <w:rsid w:val="00540E59"/>
    <w:rsid w:val="005471A8"/>
    <w:rsid w:val="0055439E"/>
    <w:rsid w:val="00557C17"/>
    <w:rsid w:val="005611C6"/>
    <w:rsid w:val="00562C90"/>
    <w:rsid w:val="00563576"/>
    <w:rsid w:val="00565A25"/>
    <w:rsid w:val="00567FEB"/>
    <w:rsid w:val="00571FA4"/>
    <w:rsid w:val="005727DB"/>
    <w:rsid w:val="00574363"/>
    <w:rsid w:val="00575611"/>
    <w:rsid w:val="00576547"/>
    <w:rsid w:val="0058433D"/>
    <w:rsid w:val="0058658A"/>
    <w:rsid w:val="00587A87"/>
    <w:rsid w:val="005949F9"/>
    <w:rsid w:val="00594A91"/>
    <w:rsid w:val="00596A83"/>
    <w:rsid w:val="00596F06"/>
    <w:rsid w:val="005B2A70"/>
    <w:rsid w:val="005B3B95"/>
    <w:rsid w:val="005C0338"/>
    <w:rsid w:val="005C10C8"/>
    <w:rsid w:val="005C4167"/>
    <w:rsid w:val="005C6415"/>
    <w:rsid w:val="005C721F"/>
    <w:rsid w:val="005D6D12"/>
    <w:rsid w:val="005E1924"/>
    <w:rsid w:val="005E1D81"/>
    <w:rsid w:val="005E3FCD"/>
    <w:rsid w:val="005E57B7"/>
    <w:rsid w:val="005E77D7"/>
    <w:rsid w:val="005F1925"/>
    <w:rsid w:val="005F228B"/>
    <w:rsid w:val="005F4A3F"/>
    <w:rsid w:val="005F6826"/>
    <w:rsid w:val="00600744"/>
    <w:rsid w:val="006051F1"/>
    <w:rsid w:val="00605914"/>
    <w:rsid w:val="00610A05"/>
    <w:rsid w:val="00611CD7"/>
    <w:rsid w:val="0061374E"/>
    <w:rsid w:val="0061609A"/>
    <w:rsid w:val="006175C2"/>
    <w:rsid w:val="00620108"/>
    <w:rsid w:val="00620D1D"/>
    <w:rsid w:val="00621903"/>
    <w:rsid w:val="00622331"/>
    <w:rsid w:val="00626126"/>
    <w:rsid w:val="00627123"/>
    <w:rsid w:val="00627A33"/>
    <w:rsid w:val="00627D74"/>
    <w:rsid w:val="00627E0A"/>
    <w:rsid w:val="006314C1"/>
    <w:rsid w:val="00636360"/>
    <w:rsid w:val="006365CA"/>
    <w:rsid w:val="0064034A"/>
    <w:rsid w:val="00640E4A"/>
    <w:rsid w:val="00641BF8"/>
    <w:rsid w:val="00645AF1"/>
    <w:rsid w:val="006552C4"/>
    <w:rsid w:val="00664D99"/>
    <w:rsid w:val="00665411"/>
    <w:rsid w:val="00665602"/>
    <w:rsid w:val="00666508"/>
    <w:rsid w:val="00672369"/>
    <w:rsid w:val="0067472C"/>
    <w:rsid w:val="00683BFE"/>
    <w:rsid w:val="0068653E"/>
    <w:rsid w:val="006922A9"/>
    <w:rsid w:val="00693033"/>
    <w:rsid w:val="006930A9"/>
    <w:rsid w:val="00693144"/>
    <w:rsid w:val="006936AB"/>
    <w:rsid w:val="00696BAA"/>
    <w:rsid w:val="00697781"/>
    <w:rsid w:val="006A1287"/>
    <w:rsid w:val="006A440A"/>
    <w:rsid w:val="006A557C"/>
    <w:rsid w:val="006B0505"/>
    <w:rsid w:val="006B4F86"/>
    <w:rsid w:val="006C12A3"/>
    <w:rsid w:val="006C2A21"/>
    <w:rsid w:val="006C2A58"/>
    <w:rsid w:val="006C7759"/>
    <w:rsid w:val="006D0418"/>
    <w:rsid w:val="006D390A"/>
    <w:rsid w:val="006D4BBA"/>
    <w:rsid w:val="006D5815"/>
    <w:rsid w:val="006D7319"/>
    <w:rsid w:val="006D7BFF"/>
    <w:rsid w:val="006E110E"/>
    <w:rsid w:val="006E20F4"/>
    <w:rsid w:val="006E29FF"/>
    <w:rsid w:val="006E2C87"/>
    <w:rsid w:val="006E5E4B"/>
    <w:rsid w:val="006E6DF6"/>
    <w:rsid w:val="006F0B8F"/>
    <w:rsid w:val="006F0C96"/>
    <w:rsid w:val="006F10B5"/>
    <w:rsid w:val="006F37D0"/>
    <w:rsid w:val="006F3F8D"/>
    <w:rsid w:val="00701D37"/>
    <w:rsid w:val="00702914"/>
    <w:rsid w:val="0070338D"/>
    <w:rsid w:val="007048C1"/>
    <w:rsid w:val="00704FD0"/>
    <w:rsid w:val="007051FD"/>
    <w:rsid w:val="00705274"/>
    <w:rsid w:val="00710B45"/>
    <w:rsid w:val="00710E7C"/>
    <w:rsid w:val="007142C2"/>
    <w:rsid w:val="00716BD4"/>
    <w:rsid w:val="00722187"/>
    <w:rsid w:val="00722473"/>
    <w:rsid w:val="00723753"/>
    <w:rsid w:val="00726A8C"/>
    <w:rsid w:val="00732251"/>
    <w:rsid w:val="00733F47"/>
    <w:rsid w:val="007342C6"/>
    <w:rsid w:val="00741690"/>
    <w:rsid w:val="00743B13"/>
    <w:rsid w:val="007447B0"/>
    <w:rsid w:val="007474B8"/>
    <w:rsid w:val="00750B6D"/>
    <w:rsid w:val="00752A37"/>
    <w:rsid w:val="00752F7B"/>
    <w:rsid w:val="00753779"/>
    <w:rsid w:val="00753FCF"/>
    <w:rsid w:val="00757F7C"/>
    <w:rsid w:val="00760590"/>
    <w:rsid w:val="00760DD2"/>
    <w:rsid w:val="007616C5"/>
    <w:rsid w:val="00762918"/>
    <w:rsid w:val="00762FBB"/>
    <w:rsid w:val="00764EDA"/>
    <w:rsid w:val="00772C5F"/>
    <w:rsid w:val="00773CD1"/>
    <w:rsid w:val="00776E8F"/>
    <w:rsid w:val="00777AF8"/>
    <w:rsid w:val="00785D20"/>
    <w:rsid w:val="00787CC2"/>
    <w:rsid w:val="007915A4"/>
    <w:rsid w:val="00792C12"/>
    <w:rsid w:val="00793BB8"/>
    <w:rsid w:val="00793FC1"/>
    <w:rsid w:val="00795E23"/>
    <w:rsid w:val="00797C7C"/>
    <w:rsid w:val="007A0BD9"/>
    <w:rsid w:val="007A73DD"/>
    <w:rsid w:val="007A7577"/>
    <w:rsid w:val="007B154B"/>
    <w:rsid w:val="007B15FC"/>
    <w:rsid w:val="007B4047"/>
    <w:rsid w:val="007B5A47"/>
    <w:rsid w:val="007C2556"/>
    <w:rsid w:val="007C2BC5"/>
    <w:rsid w:val="007C3283"/>
    <w:rsid w:val="007C5B4C"/>
    <w:rsid w:val="007D46BD"/>
    <w:rsid w:val="007D5078"/>
    <w:rsid w:val="007D5C0D"/>
    <w:rsid w:val="007D6C2F"/>
    <w:rsid w:val="007E0146"/>
    <w:rsid w:val="007E1F7C"/>
    <w:rsid w:val="007E21FC"/>
    <w:rsid w:val="007E2942"/>
    <w:rsid w:val="007E365F"/>
    <w:rsid w:val="007E544C"/>
    <w:rsid w:val="007E63C7"/>
    <w:rsid w:val="007F050F"/>
    <w:rsid w:val="007F14F9"/>
    <w:rsid w:val="007F254E"/>
    <w:rsid w:val="007F3734"/>
    <w:rsid w:val="007F7DD2"/>
    <w:rsid w:val="0080185E"/>
    <w:rsid w:val="00803AD2"/>
    <w:rsid w:val="00803C74"/>
    <w:rsid w:val="00805393"/>
    <w:rsid w:val="00805E82"/>
    <w:rsid w:val="008070A0"/>
    <w:rsid w:val="00811137"/>
    <w:rsid w:val="00814CD2"/>
    <w:rsid w:val="008173A1"/>
    <w:rsid w:val="008242BA"/>
    <w:rsid w:val="00827FAC"/>
    <w:rsid w:val="0083289C"/>
    <w:rsid w:val="00833B60"/>
    <w:rsid w:val="00835E30"/>
    <w:rsid w:val="0083606B"/>
    <w:rsid w:val="00837229"/>
    <w:rsid w:val="008464ED"/>
    <w:rsid w:val="00847639"/>
    <w:rsid w:val="00863970"/>
    <w:rsid w:val="00866079"/>
    <w:rsid w:val="00866880"/>
    <w:rsid w:val="00870A5A"/>
    <w:rsid w:val="00873DA0"/>
    <w:rsid w:val="00874AFB"/>
    <w:rsid w:val="00875EB2"/>
    <w:rsid w:val="0088033E"/>
    <w:rsid w:val="00880F68"/>
    <w:rsid w:val="0088235B"/>
    <w:rsid w:val="00883179"/>
    <w:rsid w:val="00883B75"/>
    <w:rsid w:val="00885016"/>
    <w:rsid w:val="00885BD4"/>
    <w:rsid w:val="0088659F"/>
    <w:rsid w:val="00896A3F"/>
    <w:rsid w:val="008B1136"/>
    <w:rsid w:val="008B1B46"/>
    <w:rsid w:val="008B5FA1"/>
    <w:rsid w:val="008B7680"/>
    <w:rsid w:val="008C294E"/>
    <w:rsid w:val="008C2B55"/>
    <w:rsid w:val="008C2F3A"/>
    <w:rsid w:val="008C503C"/>
    <w:rsid w:val="008C59CF"/>
    <w:rsid w:val="008C5DC6"/>
    <w:rsid w:val="008D0BB5"/>
    <w:rsid w:val="008D228C"/>
    <w:rsid w:val="008D2A40"/>
    <w:rsid w:val="008D689A"/>
    <w:rsid w:val="008D787A"/>
    <w:rsid w:val="008E45D8"/>
    <w:rsid w:val="008E52CF"/>
    <w:rsid w:val="008E6555"/>
    <w:rsid w:val="008E7403"/>
    <w:rsid w:val="008E7B22"/>
    <w:rsid w:val="008F156E"/>
    <w:rsid w:val="008F286B"/>
    <w:rsid w:val="008F5817"/>
    <w:rsid w:val="008F5E59"/>
    <w:rsid w:val="008F6858"/>
    <w:rsid w:val="00901DB5"/>
    <w:rsid w:val="00903EF0"/>
    <w:rsid w:val="00903F81"/>
    <w:rsid w:val="0091103A"/>
    <w:rsid w:val="00911AB3"/>
    <w:rsid w:val="00911F88"/>
    <w:rsid w:val="009123D7"/>
    <w:rsid w:val="00912574"/>
    <w:rsid w:val="00913F3D"/>
    <w:rsid w:val="009147C4"/>
    <w:rsid w:val="00917149"/>
    <w:rsid w:val="009237BA"/>
    <w:rsid w:val="00927F64"/>
    <w:rsid w:val="0093106D"/>
    <w:rsid w:val="00932A6A"/>
    <w:rsid w:val="00937EF3"/>
    <w:rsid w:val="00941525"/>
    <w:rsid w:val="00943839"/>
    <w:rsid w:val="0094464F"/>
    <w:rsid w:val="00944DB9"/>
    <w:rsid w:val="00954A85"/>
    <w:rsid w:val="00954C3B"/>
    <w:rsid w:val="0096339F"/>
    <w:rsid w:val="0096537E"/>
    <w:rsid w:val="00965F11"/>
    <w:rsid w:val="0097177C"/>
    <w:rsid w:val="009755C2"/>
    <w:rsid w:val="00977C04"/>
    <w:rsid w:val="00980598"/>
    <w:rsid w:val="0098147E"/>
    <w:rsid w:val="009821F4"/>
    <w:rsid w:val="0099584D"/>
    <w:rsid w:val="009A2344"/>
    <w:rsid w:val="009B1D57"/>
    <w:rsid w:val="009B262E"/>
    <w:rsid w:val="009C0ADE"/>
    <w:rsid w:val="009C20E0"/>
    <w:rsid w:val="009C3782"/>
    <w:rsid w:val="009C4BE9"/>
    <w:rsid w:val="009D0D85"/>
    <w:rsid w:val="009D2BE6"/>
    <w:rsid w:val="009D7E4D"/>
    <w:rsid w:val="009E0C58"/>
    <w:rsid w:val="009E14A5"/>
    <w:rsid w:val="009E1A9C"/>
    <w:rsid w:val="009E5528"/>
    <w:rsid w:val="009E69D4"/>
    <w:rsid w:val="009E7E60"/>
    <w:rsid w:val="009F1E4D"/>
    <w:rsid w:val="009F2929"/>
    <w:rsid w:val="009F7DD9"/>
    <w:rsid w:val="009F7F90"/>
    <w:rsid w:val="00A00020"/>
    <w:rsid w:val="00A124AF"/>
    <w:rsid w:val="00A148DC"/>
    <w:rsid w:val="00A14A36"/>
    <w:rsid w:val="00A21C1C"/>
    <w:rsid w:val="00A26A47"/>
    <w:rsid w:val="00A3175B"/>
    <w:rsid w:val="00A33B49"/>
    <w:rsid w:val="00A40886"/>
    <w:rsid w:val="00A415AB"/>
    <w:rsid w:val="00A422FD"/>
    <w:rsid w:val="00A43554"/>
    <w:rsid w:val="00A43B5A"/>
    <w:rsid w:val="00A43C40"/>
    <w:rsid w:val="00A441B2"/>
    <w:rsid w:val="00A44855"/>
    <w:rsid w:val="00A54613"/>
    <w:rsid w:val="00A61035"/>
    <w:rsid w:val="00A65FD3"/>
    <w:rsid w:val="00A665EB"/>
    <w:rsid w:val="00A669F8"/>
    <w:rsid w:val="00A66D3D"/>
    <w:rsid w:val="00A67EB3"/>
    <w:rsid w:val="00A67F38"/>
    <w:rsid w:val="00A737DA"/>
    <w:rsid w:val="00A7395D"/>
    <w:rsid w:val="00A74C3B"/>
    <w:rsid w:val="00A74F93"/>
    <w:rsid w:val="00A76412"/>
    <w:rsid w:val="00A82BEB"/>
    <w:rsid w:val="00A8312B"/>
    <w:rsid w:val="00A87438"/>
    <w:rsid w:val="00A9184E"/>
    <w:rsid w:val="00A91ACD"/>
    <w:rsid w:val="00A91CE9"/>
    <w:rsid w:val="00A94AC0"/>
    <w:rsid w:val="00A95A49"/>
    <w:rsid w:val="00AA34D9"/>
    <w:rsid w:val="00AA3FB8"/>
    <w:rsid w:val="00AA51EA"/>
    <w:rsid w:val="00AA6656"/>
    <w:rsid w:val="00AA7E9B"/>
    <w:rsid w:val="00AB36D7"/>
    <w:rsid w:val="00AC0008"/>
    <w:rsid w:val="00AC1DDA"/>
    <w:rsid w:val="00AC1F0D"/>
    <w:rsid w:val="00AC1FA0"/>
    <w:rsid w:val="00AC5393"/>
    <w:rsid w:val="00AD213F"/>
    <w:rsid w:val="00AD387F"/>
    <w:rsid w:val="00AD3936"/>
    <w:rsid w:val="00AD55AB"/>
    <w:rsid w:val="00AD59E7"/>
    <w:rsid w:val="00AD5ECF"/>
    <w:rsid w:val="00AD6A60"/>
    <w:rsid w:val="00AD6B56"/>
    <w:rsid w:val="00AD7731"/>
    <w:rsid w:val="00AD7E45"/>
    <w:rsid w:val="00AE24FA"/>
    <w:rsid w:val="00AE372A"/>
    <w:rsid w:val="00AE65AB"/>
    <w:rsid w:val="00AF45FE"/>
    <w:rsid w:val="00AF5039"/>
    <w:rsid w:val="00AF5867"/>
    <w:rsid w:val="00AF5C72"/>
    <w:rsid w:val="00AF5F30"/>
    <w:rsid w:val="00AF7461"/>
    <w:rsid w:val="00AF78B1"/>
    <w:rsid w:val="00B010CD"/>
    <w:rsid w:val="00B01B63"/>
    <w:rsid w:val="00B048FF"/>
    <w:rsid w:val="00B04D12"/>
    <w:rsid w:val="00B05021"/>
    <w:rsid w:val="00B072A2"/>
    <w:rsid w:val="00B10A1D"/>
    <w:rsid w:val="00B10A98"/>
    <w:rsid w:val="00B10E50"/>
    <w:rsid w:val="00B12DE0"/>
    <w:rsid w:val="00B13AFF"/>
    <w:rsid w:val="00B14318"/>
    <w:rsid w:val="00B14DC5"/>
    <w:rsid w:val="00B213B7"/>
    <w:rsid w:val="00B23846"/>
    <w:rsid w:val="00B23CE7"/>
    <w:rsid w:val="00B32840"/>
    <w:rsid w:val="00B32A0C"/>
    <w:rsid w:val="00B3502E"/>
    <w:rsid w:val="00B35F47"/>
    <w:rsid w:val="00B370D2"/>
    <w:rsid w:val="00B41AE1"/>
    <w:rsid w:val="00B43E59"/>
    <w:rsid w:val="00B509B0"/>
    <w:rsid w:val="00B56C8B"/>
    <w:rsid w:val="00B57418"/>
    <w:rsid w:val="00B619AA"/>
    <w:rsid w:val="00B66164"/>
    <w:rsid w:val="00B72549"/>
    <w:rsid w:val="00B7286C"/>
    <w:rsid w:val="00B72E8A"/>
    <w:rsid w:val="00B73C51"/>
    <w:rsid w:val="00B77C62"/>
    <w:rsid w:val="00B80201"/>
    <w:rsid w:val="00B84F6F"/>
    <w:rsid w:val="00B85C7F"/>
    <w:rsid w:val="00B860EA"/>
    <w:rsid w:val="00B868C5"/>
    <w:rsid w:val="00B90C58"/>
    <w:rsid w:val="00B93810"/>
    <w:rsid w:val="00B942CC"/>
    <w:rsid w:val="00BA09FA"/>
    <w:rsid w:val="00BA171D"/>
    <w:rsid w:val="00BA66D1"/>
    <w:rsid w:val="00BA7DA5"/>
    <w:rsid w:val="00BB02F7"/>
    <w:rsid w:val="00BB4A33"/>
    <w:rsid w:val="00BB5F1E"/>
    <w:rsid w:val="00BC10C4"/>
    <w:rsid w:val="00BC1CEA"/>
    <w:rsid w:val="00BC746B"/>
    <w:rsid w:val="00BC7B3A"/>
    <w:rsid w:val="00BD1DDF"/>
    <w:rsid w:val="00BD2CB5"/>
    <w:rsid w:val="00BD3581"/>
    <w:rsid w:val="00BE07B2"/>
    <w:rsid w:val="00BE07CD"/>
    <w:rsid w:val="00BE0936"/>
    <w:rsid w:val="00BE3115"/>
    <w:rsid w:val="00BE461A"/>
    <w:rsid w:val="00BE570D"/>
    <w:rsid w:val="00BE5F62"/>
    <w:rsid w:val="00BF6FCF"/>
    <w:rsid w:val="00BF744F"/>
    <w:rsid w:val="00C00736"/>
    <w:rsid w:val="00C03EFC"/>
    <w:rsid w:val="00C06BDE"/>
    <w:rsid w:val="00C1441A"/>
    <w:rsid w:val="00C14FFC"/>
    <w:rsid w:val="00C164FD"/>
    <w:rsid w:val="00C16B5C"/>
    <w:rsid w:val="00C16FC7"/>
    <w:rsid w:val="00C177AB"/>
    <w:rsid w:val="00C20F4A"/>
    <w:rsid w:val="00C210A2"/>
    <w:rsid w:val="00C21BF2"/>
    <w:rsid w:val="00C2515D"/>
    <w:rsid w:val="00C35775"/>
    <w:rsid w:val="00C36A6A"/>
    <w:rsid w:val="00C37E59"/>
    <w:rsid w:val="00C40B8D"/>
    <w:rsid w:val="00C41BFF"/>
    <w:rsid w:val="00C430F3"/>
    <w:rsid w:val="00C43AE5"/>
    <w:rsid w:val="00C44304"/>
    <w:rsid w:val="00C50986"/>
    <w:rsid w:val="00C51850"/>
    <w:rsid w:val="00C52D15"/>
    <w:rsid w:val="00C6106C"/>
    <w:rsid w:val="00C61E61"/>
    <w:rsid w:val="00C7242B"/>
    <w:rsid w:val="00C73444"/>
    <w:rsid w:val="00C7542A"/>
    <w:rsid w:val="00C76104"/>
    <w:rsid w:val="00C7772E"/>
    <w:rsid w:val="00C80EDE"/>
    <w:rsid w:val="00C81700"/>
    <w:rsid w:val="00C930D1"/>
    <w:rsid w:val="00C9477D"/>
    <w:rsid w:val="00C94DCC"/>
    <w:rsid w:val="00C95401"/>
    <w:rsid w:val="00C9687D"/>
    <w:rsid w:val="00C97449"/>
    <w:rsid w:val="00C97D37"/>
    <w:rsid w:val="00CA061E"/>
    <w:rsid w:val="00CA3EC8"/>
    <w:rsid w:val="00CA49A0"/>
    <w:rsid w:val="00CA55AF"/>
    <w:rsid w:val="00CA756A"/>
    <w:rsid w:val="00CB0FF9"/>
    <w:rsid w:val="00CB3C3F"/>
    <w:rsid w:val="00CB3EF7"/>
    <w:rsid w:val="00CB54CE"/>
    <w:rsid w:val="00CC187E"/>
    <w:rsid w:val="00CC3BBB"/>
    <w:rsid w:val="00CC3DDA"/>
    <w:rsid w:val="00CC4C09"/>
    <w:rsid w:val="00CC4CF6"/>
    <w:rsid w:val="00CC4D8C"/>
    <w:rsid w:val="00CC6632"/>
    <w:rsid w:val="00CD57EF"/>
    <w:rsid w:val="00CD5EAF"/>
    <w:rsid w:val="00CE16B7"/>
    <w:rsid w:val="00CE5E20"/>
    <w:rsid w:val="00CE7877"/>
    <w:rsid w:val="00CF0D17"/>
    <w:rsid w:val="00CF187E"/>
    <w:rsid w:val="00CF1AB9"/>
    <w:rsid w:val="00CF3551"/>
    <w:rsid w:val="00CF65DF"/>
    <w:rsid w:val="00D011AE"/>
    <w:rsid w:val="00D0571C"/>
    <w:rsid w:val="00D0604C"/>
    <w:rsid w:val="00D06995"/>
    <w:rsid w:val="00D13F8E"/>
    <w:rsid w:val="00D14A26"/>
    <w:rsid w:val="00D15F87"/>
    <w:rsid w:val="00D17011"/>
    <w:rsid w:val="00D17469"/>
    <w:rsid w:val="00D2199C"/>
    <w:rsid w:val="00D21FF6"/>
    <w:rsid w:val="00D258DD"/>
    <w:rsid w:val="00D3393D"/>
    <w:rsid w:val="00D361A6"/>
    <w:rsid w:val="00D36574"/>
    <w:rsid w:val="00D40647"/>
    <w:rsid w:val="00D420D6"/>
    <w:rsid w:val="00D422FD"/>
    <w:rsid w:val="00D42C1F"/>
    <w:rsid w:val="00D45096"/>
    <w:rsid w:val="00D45BAE"/>
    <w:rsid w:val="00D45C77"/>
    <w:rsid w:val="00D47BCF"/>
    <w:rsid w:val="00D47CF2"/>
    <w:rsid w:val="00D57FF0"/>
    <w:rsid w:val="00D60AE1"/>
    <w:rsid w:val="00D61889"/>
    <w:rsid w:val="00D61FD4"/>
    <w:rsid w:val="00D623E1"/>
    <w:rsid w:val="00D649FF"/>
    <w:rsid w:val="00D64FB3"/>
    <w:rsid w:val="00D71D9A"/>
    <w:rsid w:val="00D72648"/>
    <w:rsid w:val="00D7395C"/>
    <w:rsid w:val="00D74B8C"/>
    <w:rsid w:val="00D768A5"/>
    <w:rsid w:val="00D77D59"/>
    <w:rsid w:val="00D84F0A"/>
    <w:rsid w:val="00D86657"/>
    <w:rsid w:val="00D87EBD"/>
    <w:rsid w:val="00D90EE0"/>
    <w:rsid w:val="00D9151F"/>
    <w:rsid w:val="00D91FE0"/>
    <w:rsid w:val="00D924E8"/>
    <w:rsid w:val="00DA21D3"/>
    <w:rsid w:val="00DA21DC"/>
    <w:rsid w:val="00DA4229"/>
    <w:rsid w:val="00DA5D50"/>
    <w:rsid w:val="00DA74F4"/>
    <w:rsid w:val="00DB1591"/>
    <w:rsid w:val="00DB2306"/>
    <w:rsid w:val="00DB2A2F"/>
    <w:rsid w:val="00DB4B99"/>
    <w:rsid w:val="00DB73E3"/>
    <w:rsid w:val="00DC0490"/>
    <w:rsid w:val="00DC19A2"/>
    <w:rsid w:val="00DC1F8D"/>
    <w:rsid w:val="00DC3770"/>
    <w:rsid w:val="00DC42DE"/>
    <w:rsid w:val="00DC496B"/>
    <w:rsid w:val="00DD336D"/>
    <w:rsid w:val="00DD5E8A"/>
    <w:rsid w:val="00DE27C8"/>
    <w:rsid w:val="00DE3501"/>
    <w:rsid w:val="00DE51BD"/>
    <w:rsid w:val="00DE5FF8"/>
    <w:rsid w:val="00DF00B4"/>
    <w:rsid w:val="00DF06EB"/>
    <w:rsid w:val="00DF1D6A"/>
    <w:rsid w:val="00DF3564"/>
    <w:rsid w:val="00DF57CC"/>
    <w:rsid w:val="00DF5941"/>
    <w:rsid w:val="00DF6238"/>
    <w:rsid w:val="00DF6827"/>
    <w:rsid w:val="00E0111E"/>
    <w:rsid w:val="00E047D4"/>
    <w:rsid w:val="00E0570F"/>
    <w:rsid w:val="00E10642"/>
    <w:rsid w:val="00E10E2B"/>
    <w:rsid w:val="00E1396A"/>
    <w:rsid w:val="00E15955"/>
    <w:rsid w:val="00E178F2"/>
    <w:rsid w:val="00E179A5"/>
    <w:rsid w:val="00E17F98"/>
    <w:rsid w:val="00E22C75"/>
    <w:rsid w:val="00E24269"/>
    <w:rsid w:val="00E24EAD"/>
    <w:rsid w:val="00E31BBA"/>
    <w:rsid w:val="00E32133"/>
    <w:rsid w:val="00E32E33"/>
    <w:rsid w:val="00E33563"/>
    <w:rsid w:val="00E33991"/>
    <w:rsid w:val="00E346C6"/>
    <w:rsid w:val="00E37247"/>
    <w:rsid w:val="00E400E6"/>
    <w:rsid w:val="00E41A0D"/>
    <w:rsid w:val="00E42D66"/>
    <w:rsid w:val="00E44350"/>
    <w:rsid w:val="00E451CF"/>
    <w:rsid w:val="00E45E84"/>
    <w:rsid w:val="00E53B14"/>
    <w:rsid w:val="00E55AAB"/>
    <w:rsid w:val="00E56F78"/>
    <w:rsid w:val="00E57AC0"/>
    <w:rsid w:val="00E60D95"/>
    <w:rsid w:val="00E61A27"/>
    <w:rsid w:val="00E62E21"/>
    <w:rsid w:val="00E63B96"/>
    <w:rsid w:val="00E6457C"/>
    <w:rsid w:val="00E67697"/>
    <w:rsid w:val="00E7047F"/>
    <w:rsid w:val="00E70F9A"/>
    <w:rsid w:val="00E73066"/>
    <w:rsid w:val="00E737AA"/>
    <w:rsid w:val="00E7549B"/>
    <w:rsid w:val="00E758DC"/>
    <w:rsid w:val="00E80FE8"/>
    <w:rsid w:val="00E82AD8"/>
    <w:rsid w:val="00E866D2"/>
    <w:rsid w:val="00E91639"/>
    <w:rsid w:val="00E94583"/>
    <w:rsid w:val="00E954BC"/>
    <w:rsid w:val="00E9779A"/>
    <w:rsid w:val="00EA09D3"/>
    <w:rsid w:val="00EA0FE5"/>
    <w:rsid w:val="00EA289E"/>
    <w:rsid w:val="00EA4B57"/>
    <w:rsid w:val="00EA63BF"/>
    <w:rsid w:val="00EB15FB"/>
    <w:rsid w:val="00EB2B58"/>
    <w:rsid w:val="00EB59CD"/>
    <w:rsid w:val="00EB6C2B"/>
    <w:rsid w:val="00EB731A"/>
    <w:rsid w:val="00EB76DD"/>
    <w:rsid w:val="00EC041D"/>
    <w:rsid w:val="00EC28B8"/>
    <w:rsid w:val="00EC3AB1"/>
    <w:rsid w:val="00EC4349"/>
    <w:rsid w:val="00EC4E32"/>
    <w:rsid w:val="00ED0110"/>
    <w:rsid w:val="00ED2111"/>
    <w:rsid w:val="00ED5098"/>
    <w:rsid w:val="00ED623F"/>
    <w:rsid w:val="00ED7BD1"/>
    <w:rsid w:val="00EE12EB"/>
    <w:rsid w:val="00EE1E16"/>
    <w:rsid w:val="00EE3262"/>
    <w:rsid w:val="00EE477A"/>
    <w:rsid w:val="00EE4CD5"/>
    <w:rsid w:val="00EE509C"/>
    <w:rsid w:val="00EE5B83"/>
    <w:rsid w:val="00EE734E"/>
    <w:rsid w:val="00EE7C4E"/>
    <w:rsid w:val="00EF1A9F"/>
    <w:rsid w:val="00EF2207"/>
    <w:rsid w:val="00F033D0"/>
    <w:rsid w:val="00F0457B"/>
    <w:rsid w:val="00F17989"/>
    <w:rsid w:val="00F17BC2"/>
    <w:rsid w:val="00F2525D"/>
    <w:rsid w:val="00F3000B"/>
    <w:rsid w:val="00F30BE9"/>
    <w:rsid w:val="00F312B2"/>
    <w:rsid w:val="00F378DA"/>
    <w:rsid w:val="00F41351"/>
    <w:rsid w:val="00F42488"/>
    <w:rsid w:val="00F500D5"/>
    <w:rsid w:val="00F50288"/>
    <w:rsid w:val="00F53007"/>
    <w:rsid w:val="00F53B76"/>
    <w:rsid w:val="00F53DB5"/>
    <w:rsid w:val="00F5433A"/>
    <w:rsid w:val="00F5460F"/>
    <w:rsid w:val="00F563E7"/>
    <w:rsid w:val="00F56E56"/>
    <w:rsid w:val="00F612E4"/>
    <w:rsid w:val="00F65AB3"/>
    <w:rsid w:val="00F672E8"/>
    <w:rsid w:val="00F67D61"/>
    <w:rsid w:val="00F701C0"/>
    <w:rsid w:val="00F80C6C"/>
    <w:rsid w:val="00F9178E"/>
    <w:rsid w:val="00F941C6"/>
    <w:rsid w:val="00F96E24"/>
    <w:rsid w:val="00F97CF9"/>
    <w:rsid w:val="00FA2D56"/>
    <w:rsid w:val="00FA3373"/>
    <w:rsid w:val="00FA3B22"/>
    <w:rsid w:val="00FA3E6C"/>
    <w:rsid w:val="00FA5015"/>
    <w:rsid w:val="00FA5F41"/>
    <w:rsid w:val="00FB0254"/>
    <w:rsid w:val="00FB0EA2"/>
    <w:rsid w:val="00FB437E"/>
    <w:rsid w:val="00FB4802"/>
    <w:rsid w:val="00FC09B8"/>
    <w:rsid w:val="00FC24F4"/>
    <w:rsid w:val="00FC78C3"/>
    <w:rsid w:val="00FC7D70"/>
    <w:rsid w:val="00FD066A"/>
    <w:rsid w:val="00FD7DE7"/>
    <w:rsid w:val="00FE28E3"/>
    <w:rsid w:val="00FE3F62"/>
    <w:rsid w:val="00FE4C85"/>
    <w:rsid w:val="00FE671F"/>
    <w:rsid w:val="00FF43CA"/>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F5B26"/>
  <w15:docId w15:val="{35952247-AE83-4AA3-9C44-C022B60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apple-converted-space">
    <w:name w:val="apple-converted-space"/>
    <w:basedOn w:val="DefaultParagraphFont"/>
    <w:rsid w:val="00932A6A"/>
  </w:style>
  <w:style w:type="character" w:customStyle="1" w:styleId="mc">
    <w:name w:val="mc"/>
    <w:basedOn w:val="DefaultParagraphFont"/>
    <w:rsid w:val="00932A6A"/>
  </w:style>
  <w:style w:type="character" w:customStyle="1" w:styleId="g1">
    <w:name w:val="g1"/>
    <w:basedOn w:val="DefaultParagraphFont"/>
    <w:rsid w:val="0093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38103145">
      <w:bodyDiv w:val="1"/>
      <w:marLeft w:val="0"/>
      <w:marRight w:val="0"/>
      <w:marTop w:val="0"/>
      <w:marBottom w:val="0"/>
      <w:divBdr>
        <w:top w:val="none" w:sz="0" w:space="0" w:color="auto"/>
        <w:left w:val="none" w:sz="0" w:space="0" w:color="auto"/>
        <w:bottom w:val="none" w:sz="0" w:space="0" w:color="auto"/>
        <w:right w:val="none" w:sz="0" w:space="0" w:color="auto"/>
      </w:divBdr>
      <w:divsChild>
        <w:div w:id="1124542950">
          <w:marLeft w:val="0"/>
          <w:marRight w:val="0"/>
          <w:marTop w:val="120"/>
          <w:marBottom w:val="0"/>
          <w:divBdr>
            <w:top w:val="none" w:sz="0" w:space="0" w:color="auto"/>
            <w:left w:val="none" w:sz="0" w:space="0" w:color="auto"/>
            <w:bottom w:val="none" w:sz="0" w:space="0" w:color="auto"/>
            <w:right w:val="none" w:sz="0" w:space="0" w:color="auto"/>
          </w:divBdr>
        </w:div>
        <w:div w:id="54741254">
          <w:marLeft w:val="0"/>
          <w:marRight w:val="0"/>
          <w:marTop w:val="240"/>
          <w:marBottom w:val="24"/>
          <w:divBdr>
            <w:top w:val="single" w:sz="8" w:space="2" w:color="808080"/>
            <w:left w:val="none" w:sz="0" w:space="0" w:color="auto"/>
            <w:bottom w:val="none" w:sz="0" w:space="0" w:color="auto"/>
            <w:right w:val="none" w:sz="0" w:space="0" w:color="auto"/>
          </w:divBdr>
        </w:div>
        <w:div w:id="377702776">
          <w:marLeft w:val="0"/>
          <w:marRight w:val="0"/>
          <w:marTop w:val="120"/>
          <w:marBottom w:val="0"/>
          <w:divBdr>
            <w:top w:val="none" w:sz="0" w:space="0" w:color="auto"/>
            <w:left w:val="none" w:sz="0" w:space="0" w:color="auto"/>
            <w:bottom w:val="none" w:sz="0" w:space="0" w:color="auto"/>
            <w:right w:val="none" w:sz="0" w:space="0" w:color="auto"/>
          </w:divBdr>
        </w:div>
        <w:div w:id="198125264">
          <w:marLeft w:val="0"/>
          <w:marRight w:val="0"/>
          <w:marTop w:val="120"/>
          <w:marBottom w:val="0"/>
          <w:divBdr>
            <w:top w:val="none" w:sz="0" w:space="0" w:color="auto"/>
            <w:left w:val="none" w:sz="0" w:space="0" w:color="auto"/>
            <w:bottom w:val="none" w:sz="0" w:space="0" w:color="auto"/>
            <w:right w:val="none" w:sz="0" w:space="0" w:color="auto"/>
          </w:divBdr>
        </w:div>
      </w:divsChild>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33847575">
      <w:bodyDiv w:val="1"/>
      <w:marLeft w:val="0"/>
      <w:marRight w:val="0"/>
      <w:marTop w:val="0"/>
      <w:marBottom w:val="0"/>
      <w:divBdr>
        <w:top w:val="none" w:sz="0" w:space="0" w:color="auto"/>
        <w:left w:val="none" w:sz="0" w:space="0" w:color="auto"/>
        <w:bottom w:val="none" w:sz="0" w:space="0" w:color="auto"/>
        <w:right w:val="none" w:sz="0" w:space="0" w:color="auto"/>
      </w:divBdr>
      <w:divsChild>
        <w:div w:id="1988583768">
          <w:marLeft w:val="0"/>
          <w:marRight w:val="0"/>
          <w:marTop w:val="0"/>
          <w:marBottom w:val="0"/>
          <w:divBdr>
            <w:top w:val="none" w:sz="0" w:space="0" w:color="auto"/>
            <w:left w:val="none" w:sz="0" w:space="0" w:color="auto"/>
            <w:bottom w:val="none" w:sz="0" w:space="0" w:color="auto"/>
            <w:right w:val="none" w:sz="0" w:space="0" w:color="auto"/>
          </w:divBdr>
          <w:divsChild>
            <w:div w:id="1727299209">
              <w:marLeft w:val="0"/>
              <w:marRight w:val="0"/>
              <w:marTop w:val="0"/>
              <w:marBottom w:val="0"/>
              <w:divBdr>
                <w:top w:val="none" w:sz="0" w:space="0" w:color="auto"/>
                <w:left w:val="none" w:sz="0" w:space="0" w:color="auto"/>
                <w:bottom w:val="none" w:sz="0" w:space="0" w:color="auto"/>
                <w:right w:val="none" w:sz="0" w:space="0" w:color="auto"/>
              </w:divBdr>
              <w:divsChild>
                <w:div w:id="627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535586809">
      <w:bodyDiv w:val="1"/>
      <w:marLeft w:val="0"/>
      <w:marRight w:val="0"/>
      <w:marTop w:val="0"/>
      <w:marBottom w:val="0"/>
      <w:divBdr>
        <w:top w:val="none" w:sz="0" w:space="0" w:color="auto"/>
        <w:left w:val="none" w:sz="0" w:space="0" w:color="auto"/>
        <w:bottom w:val="none" w:sz="0" w:space="0" w:color="auto"/>
        <w:right w:val="none" w:sz="0" w:space="0" w:color="auto"/>
      </w:divBdr>
      <w:divsChild>
        <w:div w:id="627711626">
          <w:marLeft w:val="0"/>
          <w:marRight w:val="0"/>
          <w:marTop w:val="120"/>
          <w:marBottom w:val="0"/>
          <w:divBdr>
            <w:top w:val="none" w:sz="0" w:space="0" w:color="auto"/>
            <w:left w:val="none" w:sz="0" w:space="0" w:color="auto"/>
            <w:bottom w:val="none" w:sz="0" w:space="0" w:color="auto"/>
            <w:right w:val="none" w:sz="0" w:space="0" w:color="auto"/>
          </w:divBdr>
        </w:div>
        <w:div w:id="459541476">
          <w:marLeft w:val="0"/>
          <w:marRight w:val="0"/>
          <w:marTop w:val="240"/>
          <w:marBottom w:val="24"/>
          <w:divBdr>
            <w:top w:val="single" w:sz="8" w:space="2" w:color="808080"/>
            <w:left w:val="none" w:sz="0" w:space="0" w:color="auto"/>
            <w:bottom w:val="none" w:sz="0" w:space="0" w:color="auto"/>
            <w:right w:val="none" w:sz="0" w:space="0" w:color="auto"/>
          </w:divBdr>
        </w:div>
        <w:div w:id="861750125">
          <w:marLeft w:val="0"/>
          <w:marRight w:val="0"/>
          <w:marTop w:val="120"/>
          <w:marBottom w:val="0"/>
          <w:divBdr>
            <w:top w:val="none" w:sz="0" w:space="0" w:color="auto"/>
            <w:left w:val="none" w:sz="0" w:space="0" w:color="auto"/>
            <w:bottom w:val="none" w:sz="0" w:space="0" w:color="auto"/>
            <w:right w:val="none" w:sz="0" w:space="0" w:color="auto"/>
          </w:divBdr>
        </w:div>
        <w:div w:id="1520394008">
          <w:marLeft w:val="0"/>
          <w:marRight w:val="0"/>
          <w:marTop w:val="120"/>
          <w:marBottom w:val="0"/>
          <w:divBdr>
            <w:top w:val="none" w:sz="0" w:space="0" w:color="auto"/>
            <w:left w:val="none" w:sz="0" w:space="0" w:color="auto"/>
            <w:bottom w:val="none" w:sz="0" w:space="0" w:color="auto"/>
            <w:right w:val="none" w:sz="0" w:space="0" w:color="auto"/>
          </w:divBdr>
        </w:div>
        <w:div w:id="1016349471">
          <w:marLeft w:val="0"/>
          <w:marRight w:val="0"/>
          <w:marTop w:val="120"/>
          <w:marBottom w:val="0"/>
          <w:divBdr>
            <w:top w:val="none" w:sz="0" w:space="0" w:color="auto"/>
            <w:left w:val="none" w:sz="0" w:space="0" w:color="auto"/>
            <w:bottom w:val="none" w:sz="0" w:space="0" w:color="auto"/>
            <w:right w:val="none" w:sz="0" w:space="0" w:color="auto"/>
          </w:divBdr>
        </w:div>
      </w:divsChild>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11221348">
      <w:bodyDiv w:val="1"/>
      <w:marLeft w:val="0"/>
      <w:marRight w:val="0"/>
      <w:marTop w:val="0"/>
      <w:marBottom w:val="0"/>
      <w:divBdr>
        <w:top w:val="none" w:sz="0" w:space="0" w:color="auto"/>
        <w:left w:val="none" w:sz="0" w:space="0" w:color="auto"/>
        <w:bottom w:val="none" w:sz="0" w:space="0" w:color="auto"/>
        <w:right w:val="none" w:sz="0" w:space="0" w:color="auto"/>
      </w:divBdr>
      <w:divsChild>
        <w:div w:id="1503660139">
          <w:marLeft w:val="0"/>
          <w:marRight w:val="0"/>
          <w:marTop w:val="120"/>
          <w:marBottom w:val="0"/>
          <w:divBdr>
            <w:top w:val="none" w:sz="0" w:space="0" w:color="auto"/>
            <w:left w:val="none" w:sz="0" w:space="0" w:color="auto"/>
            <w:bottom w:val="none" w:sz="0" w:space="0" w:color="auto"/>
            <w:right w:val="none" w:sz="0" w:space="0" w:color="auto"/>
          </w:divBdr>
        </w:div>
        <w:div w:id="39092038">
          <w:marLeft w:val="0"/>
          <w:marRight w:val="0"/>
          <w:marTop w:val="120"/>
          <w:marBottom w:val="0"/>
          <w:divBdr>
            <w:top w:val="none" w:sz="0" w:space="0" w:color="auto"/>
            <w:left w:val="none" w:sz="0" w:space="0" w:color="auto"/>
            <w:bottom w:val="none" w:sz="0" w:space="0" w:color="auto"/>
            <w:right w:val="none" w:sz="0" w:space="0" w:color="auto"/>
          </w:divBdr>
        </w:div>
      </w:divsChild>
    </w:div>
    <w:div w:id="1066226983">
      <w:bodyDiv w:val="1"/>
      <w:marLeft w:val="0"/>
      <w:marRight w:val="0"/>
      <w:marTop w:val="0"/>
      <w:marBottom w:val="0"/>
      <w:divBdr>
        <w:top w:val="none" w:sz="0" w:space="0" w:color="auto"/>
        <w:left w:val="none" w:sz="0" w:space="0" w:color="auto"/>
        <w:bottom w:val="none" w:sz="0" w:space="0" w:color="auto"/>
        <w:right w:val="none" w:sz="0" w:space="0" w:color="auto"/>
      </w:divBdr>
      <w:divsChild>
        <w:div w:id="1752703734">
          <w:marLeft w:val="0"/>
          <w:marRight w:val="0"/>
          <w:marTop w:val="0"/>
          <w:marBottom w:val="0"/>
          <w:divBdr>
            <w:top w:val="none" w:sz="0" w:space="0" w:color="auto"/>
            <w:left w:val="none" w:sz="0" w:space="0" w:color="auto"/>
            <w:bottom w:val="none" w:sz="0" w:space="0" w:color="auto"/>
            <w:right w:val="none" w:sz="0" w:space="0" w:color="auto"/>
          </w:divBdr>
          <w:divsChild>
            <w:div w:id="780027301">
              <w:marLeft w:val="0"/>
              <w:marRight w:val="0"/>
              <w:marTop w:val="0"/>
              <w:marBottom w:val="0"/>
              <w:divBdr>
                <w:top w:val="none" w:sz="0" w:space="0" w:color="auto"/>
                <w:left w:val="none" w:sz="0" w:space="0" w:color="auto"/>
                <w:bottom w:val="none" w:sz="0" w:space="0" w:color="auto"/>
                <w:right w:val="none" w:sz="0" w:space="0" w:color="auto"/>
              </w:divBdr>
              <w:divsChild>
                <w:div w:id="4534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nxt/foliolinks.asp%3ff=xhitlist&amp;xhitlist_x=Advanced&amp;xhitlist_vpc=first&amp;xhitlist_xsl=querylink.xsl&amp;xhitlist_sel=title;path;content-type;home-title&amp;xhitlist_d=%7bscpr%7d&amp;xhitlist_q=%5bfield%20folio-destination-name:'SCPR_y1981v4SApg329'%5d&amp;xhitlist_md=target-id=0-0-0-313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H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5D42-E08D-46F9-B83E-FE6E73B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HOA</Template>
  <TotalTime>2</TotalTime>
  <Pages>19</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Mokone</cp:lastModifiedBy>
  <cp:revision>3</cp:revision>
  <cp:lastPrinted>2023-04-14T10:28:00Z</cp:lastPrinted>
  <dcterms:created xsi:type="dcterms:W3CDTF">2023-04-15T08:52:00Z</dcterms:created>
  <dcterms:modified xsi:type="dcterms:W3CDTF">2023-04-15T08:53:00Z</dcterms:modified>
</cp:coreProperties>
</file>