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F350F" w14:textId="77777777" w:rsidR="001E2697" w:rsidRPr="002C3752" w:rsidRDefault="001E2697" w:rsidP="001E2697">
      <w:pPr>
        <w:spacing w:line="360" w:lineRule="auto"/>
        <w:ind w:leftChars="-38" w:left="-91"/>
        <w:jc w:val="center"/>
        <w:rPr>
          <w:rFonts w:cs="Arial"/>
          <w:b/>
        </w:rPr>
      </w:pPr>
      <w:r w:rsidRPr="002C3752">
        <w:rPr>
          <w:rFonts w:cs="Arial"/>
          <w:b/>
        </w:rPr>
        <w:t>REPUBLIC OF SOUTH AFRICA</w:t>
      </w:r>
    </w:p>
    <w:p w14:paraId="2BD32E3B" w14:textId="77777777" w:rsidR="001E2697" w:rsidRPr="002C3752" w:rsidRDefault="001E2697" w:rsidP="001E2697">
      <w:pPr>
        <w:spacing w:line="360" w:lineRule="auto"/>
        <w:ind w:leftChars="-38" w:left="-91"/>
        <w:jc w:val="center"/>
        <w:rPr>
          <w:rFonts w:cs="Arial"/>
          <w:b/>
        </w:rPr>
      </w:pPr>
      <w:r w:rsidRPr="002C3752">
        <w:rPr>
          <w:rFonts w:cs="Arial"/>
          <w:b/>
          <w:noProof/>
          <w:lang w:val="en-US" w:eastAsia="en-US"/>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2C3752" w:rsidRDefault="001E2697" w:rsidP="001E2697">
      <w:pPr>
        <w:spacing w:line="360" w:lineRule="auto"/>
        <w:ind w:leftChars="-38" w:left="-91"/>
        <w:jc w:val="center"/>
        <w:rPr>
          <w:rFonts w:cs="Arial"/>
          <w:b/>
        </w:rPr>
      </w:pPr>
      <w:r w:rsidRPr="002C3752">
        <w:rPr>
          <w:rFonts w:cs="Arial"/>
          <w:b/>
        </w:rPr>
        <w:t>IN THE HIGH COURT OF SOUTH AFRICA</w:t>
      </w:r>
    </w:p>
    <w:p w14:paraId="4DE9DB44" w14:textId="0619354B" w:rsidR="001E2697" w:rsidRPr="002C3752" w:rsidRDefault="001E2697" w:rsidP="001E2697">
      <w:pPr>
        <w:spacing w:line="360" w:lineRule="auto"/>
        <w:ind w:leftChars="-38" w:left="-91"/>
        <w:jc w:val="center"/>
        <w:rPr>
          <w:rFonts w:cs="Arial"/>
          <w:b/>
        </w:rPr>
      </w:pPr>
      <w:r w:rsidRPr="002C3752">
        <w:rPr>
          <w:rFonts w:cs="Arial"/>
          <w:b/>
        </w:rPr>
        <w:t>GAUTENG DIVISION, JOHANNESBURG</w:t>
      </w:r>
    </w:p>
    <w:p w14:paraId="1F8D97D2" w14:textId="77777777" w:rsidR="001E2697" w:rsidRPr="002C3752" w:rsidRDefault="001E2697" w:rsidP="001E2697">
      <w:pPr>
        <w:widowControl w:val="0"/>
        <w:jc w:val="center"/>
        <w:rPr>
          <w:rFonts w:cs="Arial"/>
        </w:rPr>
      </w:pPr>
    </w:p>
    <w:p w14:paraId="16061E25" w14:textId="77777777" w:rsidR="001E2697" w:rsidRPr="002C3752" w:rsidRDefault="001E2697" w:rsidP="001E2697">
      <w:pPr>
        <w:widowControl w:val="0"/>
        <w:jc w:val="center"/>
        <w:rPr>
          <w:rFonts w:cs="Arial"/>
        </w:rPr>
      </w:pPr>
    </w:p>
    <w:p w14:paraId="03BF3688" w14:textId="3FC5DCBE" w:rsidR="001E2697" w:rsidRPr="002C3752" w:rsidRDefault="006524B7" w:rsidP="001E2697">
      <w:pPr>
        <w:tabs>
          <w:tab w:val="left" w:pos="-720"/>
        </w:tabs>
        <w:suppressAutoHyphens/>
        <w:jc w:val="right"/>
        <w:rPr>
          <w:rFonts w:cs="Arial"/>
          <w:b/>
          <w:bCs/>
          <w:spacing w:val="-3"/>
        </w:rPr>
      </w:pPr>
      <w:r>
        <w:rPr>
          <w:rFonts w:cs="Arial"/>
          <w:b/>
          <w:bCs/>
          <w:spacing w:val="-3"/>
        </w:rPr>
        <w:t xml:space="preserve">  </w:t>
      </w:r>
      <w:r>
        <w:rPr>
          <w:rFonts w:cs="Arial"/>
          <w:b/>
          <w:bCs/>
          <w:spacing w:val="-3"/>
        </w:rPr>
        <w:tab/>
      </w:r>
      <w:r w:rsidR="001E2697" w:rsidRPr="002C3752">
        <w:rPr>
          <w:rFonts w:cs="Arial"/>
          <w:b/>
          <w:bCs/>
          <w:spacing w:val="-3"/>
        </w:rPr>
        <w:t>CASE NUMBER:</w:t>
      </w:r>
      <w:r>
        <w:rPr>
          <w:rFonts w:cs="Arial"/>
          <w:b/>
          <w:bCs/>
          <w:spacing w:val="-3"/>
        </w:rPr>
        <w:t xml:space="preserve">  027069/23</w:t>
      </w:r>
    </w:p>
    <w:p w14:paraId="599B9EA6" w14:textId="77777777" w:rsidR="001E2697" w:rsidRPr="002C3752"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2C3752" w14:paraId="3ABF34AB" w14:textId="77777777" w:rsidTr="00376027">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2C3752" w:rsidRDefault="001E2697" w:rsidP="00376027">
            <w:pPr>
              <w:jc w:val="both"/>
              <w:rPr>
                <w:rFonts w:cs="Arial"/>
                <w:sz w:val="16"/>
                <w:szCs w:val="16"/>
              </w:rPr>
            </w:pPr>
          </w:p>
          <w:p w14:paraId="367F2BD7" w14:textId="77777777" w:rsidR="001E2697" w:rsidRPr="002C3752" w:rsidRDefault="001E2697" w:rsidP="00376027">
            <w:pPr>
              <w:ind w:left="180"/>
              <w:jc w:val="center"/>
              <w:rPr>
                <w:rFonts w:cs="Arial"/>
                <w:b/>
                <w:bCs/>
                <w:color w:val="FF0000"/>
                <w:sz w:val="18"/>
                <w:szCs w:val="18"/>
                <w:u w:val="single"/>
              </w:rPr>
            </w:pPr>
            <w:r w:rsidRPr="002C3752">
              <w:rPr>
                <w:rFonts w:cs="Arial"/>
                <w:b/>
                <w:bCs/>
                <w:color w:val="FF0000"/>
                <w:sz w:val="18"/>
                <w:szCs w:val="18"/>
                <w:u w:val="single"/>
              </w:rPr>
              <w:t>DELETE WHICHEVER IS NOT APPLICABLE</w:t>
            </w:r>
          </w:p>
          <w:p w14:paraId="47C1B344" w14:textId="77777777" w:rsidR="001E2697" w:rsidRPr="002C3752" w:rsidRDefault="001E2697" w:rsidP="00376027">
            <w:pPr>
              <w:ind w:left="180"/>
              <w:jc w:val="center"/>
              <w:rPr>
                <w:rFonts w:cs="Arial"/>
                <w:b/>
                <w:bCs/>
                <w:color w:val="FF0000"/>
                <w:sz w:val="18"/>
                <w:szCs w:val="18"/>
                <w:u w:val="single"/>
              </w:rPr>
            </w:pPr>
          </w:p>
          <w:p w14:paraId="6D072193" w14:textId="0A23FC4A" w:rsidR="001E2697" w:rsidRPr="002C3752" w:rsidRDefault="006524B7" w:rsidP="00376027">
            <w:pPr>
              <w:spacing w:line="480" w:lineRule="auto"/>
              <w:ind w:left="180"/>
              <w:jc w:val="both"/>
              <w:rPr>
                <w:rFonts w:cs="Arial"/>
                <w:bCs/>
                <w:color w:val="FF0000"/>
                <w:sz w:val="18"/>
                <w:szCs w:val="18"/>
              </w:rPr>
            </w:pPr>
            <w:r>
              <w:rPr>
                <w:rFonts w:cs="Arial"/>
                <w:bCs/>
                <w:color w:val="FF0000"/>
                <w:sz w:val="18"/>
                <w:szCs w:val="18"/>
              </w:rPr>
              <w:t>1.REPORTABLE: NO</w:t>
            </w:r>
            <w:r w:rsidR="001E2697" w:rsidRPr="002C3752">
              <w:rPr>
                <w:rFonts w:cs="Arial"/>
                <w:bCs/>
                <w:color w:val="FF0000"/>
                <w:sz w:val="18"/>
                <w:szCs w:val="18"/>
              </w:rPr>
              <w:t xml:space="preserve">                                                                 </w:t>
            </w:r>
          </w:p>
          <w:p w14:paraId="459FF77E" w14:textId="4D85C087" w:rsidR="001E2697" w:rsidRPr="002C3752" w:rsidRDefault="001E2697" w:rsidP="00376027">
            <w:pPr>
              <w:spacing w:line="480" w:lineRule="auto"/>
              <w:ind w:left="180"/>
              <w:jc w:val="both"/>
              <w:rPr>
                <w:rFonts w:cs="Arial"/>
                <w:bCs/>
                <w:color w:val="FF0000"/>
                <w:sz w:val="18"/>
                <w:szCs w:val="18"/>
              </w:rPr>
            </w:pPr>
            <w:r w:rsidRPr="002C3752">
              <w:rPr>
                <w:rFonts w:cs="Arial"/>
                <w:bCs/>
                <w:color w:val="FF0000"/>
                <w:sz w:val="18"/>
                <w:szCs w:val="18"/>
              </w:rPr>
              <w:t>2.OF INTEREST TO OTHER JUDGES:</w:t>
            </w:r>
            <w:r w:rsidR="006524B7">
              <w:rPr>
                <w:rFonts w:cs="Arial"/>
                <w:bCs/>
                <w:color w:val="FF0000"/>
                <w:sz w:val="18"/>
                <w:szCs w:val="18"/>
              </w:rPr>
              <w:t xml:space="preserve"> NO</w:t>
            </w:r>
            <w:r w:rsidRPr="002C3752">
              <w:rPr>
                <w:rFonts w:cs="Arial"/>
                <w:bCs/>
                <w:color w:val="FF0000"/>
                <w:sz w:val="18"/>
                <w:szCs w:val="18"/>
              </w:rPr>
              <w:t xml:space="preserve">                                </w:t>
            </w:r>
          </w:p>
          <w:p w14:paraId="24E6769D" w14:textId="2B0358B0" w:rsidR="001E2697" w:rsidRPr="002C3752" w:rsidRDefault="006524B7" w:rsidP="00376027">
            <w:pPr>
              <w:spacing w:line="480" w:lineRule="auto"/>
              <w:ind w:left="180"/>
              <w:jc w:val="both"/>
              <w:rPr>
                <w:rFonts w:cs="Arial"/>
                <w:bCs/>
                <w:color w:val="FF0000"/>
                <w:sz w:val="18"/>
                <w:szCs w:val="18"/>
              </w:rPr>
            </w:pPr>
            <w:r>
              <w:rPr>
                <w:rFonts w:cs="Arial"/>
                <w:bCs/>
                <w:color w:val="FF0000"/>
                <w:sz w:val="18"/>
                <w:szCs w:val="18"/>
              </w:rPr>
              <w:t>3.REVISED: NO</w:t>
            </w:r>
            <w:r w:rsidR="001E2697" w:rsidRPr="002C3752">
              <w:rPr>
                <w:rFonts w:cs="Arial"/>
                <w:bCs/>
                <w:color w:val="FF0000"/>
                <w:sz w:val="18"/>
                <w:szCs w:val="18"/>
              </w:rPr>
              <w:t xml:space="preserve">                                                                           </w:t>
            </w:r>
          </w:p>
          <w:p w14:paraId="386136B5" w14:textId="77777777" w:rsidR="001E2697" w:rsidRPr="002C3752" w:rsidRDefault="001E2697" w:rsidP="00376027">
            <w:pPr>
              <w:spacing w:line="360" w:lineRule="auto"/>
              <w:ind w:left="180"/>
              <w:jc w:val="both"/>
              <w:rPr>
                <w:rFonts w:cs="Arial"/>
                <w:bCs/>
                <w:color w:val="FF0000"/>
                <w:sz w:val="18"/>
                <w:szCs w:val="18"/>
              </w:rPr>
            </w:pPr>
          </w:p>
          <w:p w14:paraId="047C9726" w14:textId="77777777" w:rsidR="001E2697" w:rsidRPr="002C3752" w:rsidRDefault="001E2697" w:rsidP="00376027">
            <w:pPr>
              <w:spacing w:line="360" w:lineRule="auto"/>
              <w:ind w:left="180"/>
              <w:jc w:val="both"/>
              <w:rPr>
                <w:rFonts w:cs="Arial"/>
                <w:sz w:val="16"/>
                <w:szCs w:val="16"/>
              </w:rPr>
            </w:pPr>
            <w:r w:rsidRPr="002C3752">
              <w:rPr>
                <w:rFonts w:cs="Arial"/>
                <w:b/>
                <w:bCs/>
                <w:color w:val="FF0000"/>
                <w:sz w:val="18"/>
                <w:szCs w:val="18"/>
              </w:rPr>
              <w:t xml:space="preserve">                                                                   Judge Dippenaar</w:t>
            </w:r>
          </w:p>
        </w:tc>
      </w:tr>
    </w:tbl>
    <w:p w14:paraId="54544FDF" w14:textId="77777777" w:rsidR="001E2697" w:rsidRPr="002C3752" w:rsidRDefault="001E2697" w:rsidP="001E2697">
      <w:pPr>
        <w:tabs>
          <w:tab w:val="left" w:pos="-720"/>
        </w:tabs>
        <w:suppressAutoHyphens/>
        <w:rPr>
          <w:rFonts w:cs="Arial"/>
          <w:bCs/>
          <w:spacing w:val="-3"/>
        </w:rPr>
      </w:pPr>
    </w:p>
    <w:p w14:paraId="4189105A" w14:textId="77777777" w:rsidR="001E2697" w:rsidRPr="002C3752" w:rsidRDefault="001E2697" w:rsidP="001E2697">
      <w:pPr>
        <w:tabs>
          <w:tab w:val="left" w:pos="-720"/>
        </w:tabs>
        <w:suppressAutoHyphens/>
        <w:rPr>
          <w:rFonts w:cs="Arial"/>
          <w:bCs/>
          <w:spacing w:val="-3"/>
        </w:rPr>
      </w:pPr>
    </w:p>
    <w:p w14:paraId="42452D94" w14:textId="77777777" w:rsidR="001E2697" w:rsidRPr="002C3752" w:rsidRDefault="001E2697" w:rsidP="001E2697">
      <w:pPr>
        <w:tabs>
          <w:tab w:val="left" w:pos="-720"/>
        </w:tabs>
        <w:suppressAutoHyphens/>
        <w:rPr>
          <w:rFonts w:cs="Arial"/>
          <w:bCs/>
          <w:spacing w:val="-3"/>
        </w:rPr>
      </w:pPr>
    </w:p>
    <w:p w14:paraId="72F25B48" w14:textId="77777777" w:rsidR="001E2697" w:rsidRPr="002C3752" w:rsidRDefault="001E2697" w:rsidP="001E2697">
      <w:pPr>
        <w:tabs>
          <w:tab w:val="left" w:pos="-720"/>
        </w:tabs>
        <w:suppressAutoHyphens/>
        <w:rPr>
          <w:rFonts w:cs="Arial"/>
          <w:bCs/>
          <w:spacing w:val="-3"/>
        </w:rPr>
      </w:pPr>
      <w:r w:rsidRPr="002C3752">
        <w:rPr>
          <w:rFonts w:cs="Arial"/>
          <w:bCs/>
          <w:spacing w:val="-3"/>
        </w:rPr>
        <w:t>In the matter between:</w:t>
      </w:r>
    </w:p>
    <w:p w14:paraId="0C92776A" w14:textId="77777777" w:rsidR="001E2697" w:rsidRPr="002C3752" w:rsidRDefault="001E2697" w:rsidP="001E2697">
      <w:pPr>
        <w:widowControl w:val="0"/>
        <w:tabs>
          <w:tab w:val="right" w:pos="9356"/>
        </w:tabs>
        <w:jc w:val="both"/>
        <w:rPr>
          <w:rFonts w:cs="Arial"/>
          <w:b/>
        </w:rPr>
      </w:pPr>
    </w:p>
    <w:p w14:paraId="2CF11450" w14:textId="77777777" w:rsidR="00FE6250" w:rsidRDefault="00FE6250" w:rsidP="00582B78">
      <w:pPr>
        <w:widowControl w:val="0"/>
        <w:tabs>
          <w:tab w:val="right" w:pos="9356"/>
        </w:tabs>
        <w:jc w:val="both"/>
        <w:rPr>
          <w:rFonts w:cs="Arial"/>
        </w:rPr>
      </w:pPr>
      <w:bookmarkStart w:id="0" w:name="_Hlk67557019"/>
    </w:p>
    <w:p w14:paraId="5A6579E2" w14:textId="011167D1" w:rsidR="00582B78" w:rsidRPr="002C3752" w:rsidRDefault="006524B7" w:rsidP="00582B78">
      <w:pPr>
        <w:widowControl w:val="0"/>
        <w:tabs>
          <w:tab w:val="right" w:pos="9356"/>
        </w:tabs>
        <w:jc w:val="both"/>
        <w:rPr>
          <w:rFonts w:eastAsia="Calibri" w:cs="Arial"/>
          <w:b/>
          <w:bCs/>
          <w:lang w:val="en-US"/>
        </w:rPr>
      </w:pPr>
      <w:r>
        <w:rPr>
          <w:rFonts w:cs="Arial"/>
          <w:b/>
        </w:rPr>
        <w:t xml:space="preserve">DIAGEO SOUTH AFRICA (PTY) LTD </w:t>
      </w:r>
      <w:r w:rsidR="00FE6250">
        <w:rPr>
          <w:rFonts w:cs="Arial"/>
        </w:rPr>
        <w:tab/>
      </w:r>
      <w:r>
        <w:rPr>
          <w:rFonts w:eastAsia="Calibri" w:cs="Arial"/>
          <w:b/>
          <w:bCs/>
          <w:lang w:val="en-US"/>
        </w:rPr>
        <w:t xml:space="preserve">APPLICANT </w:t>
      </w:r>
    </w:p>
    <w:p w14:paraId="08950B1D" w14:textId="04A8C28D" w:rsidR="005A0267" w:rsidRPr="002C3752" w:rsidRDefault="00582B78" w:rsidP="001E2697">
      <w:pPr>
        <w:widowControl w:val="0"/>
        <w:tabs>
          <w:tab w:val="right" w:pos="9356"/>
        </w:tabs>
        <w:jc w:val="both"/>
        <w:rPr>
          <w:rFonts w:eastAsia="Calibri" w:cs="Arial"/>
          <w:b/>
          <w:bCs/>
          <w:lang w:val="en-US"/>
        </w:rPr>
      </w:pPr>
      <w:r w:rsidRPr="002C3752">
        <w:rPr>
          <w:rFonts w:eastAsia="Calibri" w:cs="Arial"/>
          <w:b/>
          <w:bCs/>
          <w:lang w:val="en-US"/>
        </w:rPr>
        <w:tab/>
      </w:r>
    </w:p>
    <w:p w14:paraId="2293F5A1" w14:textId="2142E753" w:rsidR="005A0267" w:rsidRPr="002C3752" w:rsidRDefault="005A0267" w:rsidP="001E2697">
      <w:pPr>
        <w:widowControl w:val="0"/>
        <w:tabs>
          <w:tab w:val="right" w:pos="9356"/>
        </w:tabs>
        <w:jc w:val="both"/>
        <w:rPr>
          <w:rFonts w:cs="Arial"/>
          <w:b/>
        </w:rPr>
      </w:pPr>
    </w:p>
    <w:p w14:paraId="39FAFA59" w14:textId="1F4F4F3C" w:rsidR="001E2697" w:rsidRPr="002C3752" w:rsidRDefault="005A0267" w:rsidP="001E2697">
      <w:pPr>
        <w:widowControl w:val="0"/>
        <w:tabs>
          <w:tab w:val="right" w:pos="9356"/>
        </w:tabs>
        <w:jc w:val="both"/>
        <w:rPr>
          <w:rFonts w:cs="Arial"/>
          <w:b/>
        </w:rPr>
      </w:pPr>
      <w:r w:rsidRPr="002C3752">
        <w:rPr>
          <w:rFonts w:cs="Arial"/>
          <w:b/>
        </w:rPr>
        <w:tab/>
      </w:r>
    </w:p>
    <w:p w14:paraId="6C62F3C8" w14:textId="77777777" w:rsidR="001E2697" w:rsidRPr="002C3752" w:rsidRDefault="001E2697" w:rsidP="001E2697">
      <w:pPr>
        <w:widowControl w:val="0"/>
        <w:tabs>
          <w:tab w:val="right" w:pos="9356"/>
        </w:tabs>
        <w:jc w:val="both"/>
        <w:rPr>
          <w:rFonts w:cs="Arial"/>
          <w:b/>
        </w:rPr>
      </w:pPr>
      <w:r w:rsidRPr="002C3752">
        <w:rPr>
          <w:rFonts w:cs="Arial"/>
          <w:b/>
        </w:rPr>
        <w:t>AND</w:t>
      </w:r>
    </w:p>
    <w:p w14:paraId="2B2F3C7D" w14:textId="77777777" w:rsidR="001E2697" w:rsidRPr="002C3752" w:rsidRDefault="001E2697" w:rsidP="001E2697">
      <w:pPr>
        <w:widowControl w:val="0"/>
        <w:tabs>
          <w:tab w:val="right" w:pos="9356"/>
        </w:tabs>
        <w:jc w:val="both"/>
        <w:rPr>
          <w:rFonts w:cs="Arial"/>
          <w:b/>
        </w:rPr>
      </w:pPr>
    </w:p>
    <w:p w14:paraId="2C44FD59" w14:textId="77777777" w:rsidR="006524B7" w:rsidRDefault="006524B7" w:rsidP="006524B7">
      <w:pPr>
        <w:widowControl w:val="0"/>
        <w:tabs>
          <w:tab w:val="right" w:pos="9356"/>
        </w:tabs>
        <w:jc w:val="both"/>
        <w:rPr>
          <w:rFonts w:eastAsia="Calibri" w:cs="Arial"/>
          <w:b/>
          <w:bCs/>
          <w:lang w:val="en-US"/>
        </w:rPr>
      </w:pPr>
    </w:p>
    <w:p w14:paraId="2505AD20" w14:textId="52F12ABD" w:rsidR="00BB3897" w:rsidRPr="002C3752" w:rsidRDefault="006524B7" w:rsidP="006524B7">
      <w:pPr>
        <w:widowControl w:val="0"/>
        <w:tabs>
          <w:tab w:val="right" w:pos="9356"/>
        </w:tabs>
        <w:jc w:val="both"/>
        <w:rPr>
          <w:rFonts w:eastAsia="Calibri" w:cs="Arial"/>
          <w:b/>
          <w:bCs/>
          <w:lang w:val="en-US"/>
        </w:rPr>
      </w:pPr>
      <w:r>
        <w:rPr>
          <w:rFonts w:eastAsia="Calibri" w:cs="Arial"/>
          <w:b/>
          <w:bCs/>
          <w:lang w:val="en-US"/>
        </w:rPr>
        <w:t xml:space="preserve">TTG COMMUNICATIONS GROUP (PTY) LTD t/a </w:t>
      </w:r>
      <w:r w:rsidR="009C0601">
        <w:rPr>
          <w:rFonts w:eastAsia="Calibri" w:cs="Arial"/>
          <w:b/>
          <w:bCs/>
          <w:lang w:val="en-US"/>
        </w:rPr>
        <w:tab/>
        <w:t>RESPONDENT</w:t>
      </w:r>
    </w:p>
    <w:p w14:paraId="57321B6D" w14:textId="502CF4F0" w:rsidR="00BE334B" w:rsidRPr="002C3752" w:rsidRDefault="006524B7" w:rsidP="009948E9">
      <w:pPr>
        <w:widowControl w:val="0"/>
        <w:tabs>
          <w:tab w:val="right" w:pos="9356"/>
        </w:tabs>
        <w:jc w:val="both"/>
        <w:rPr>
          <w:rFonts w:eastAsia="Calibri" w:cs="Arial"/>
          <w:b/>
          <w:bCs/>
          <w:lang w:val="en-US"/>
        </w:rPr>
      </w:pPr>
      <w:r>
        <w:rPr>
          <w:rFonts w:eastAsia="Calibri" w:cs="Arial"/>
          <w:b/>
          <w:bCs/>
          <w:lang w:val="en-US"/>
        </w:rPr>
        <w:t xml:space="preserve">TWO TONE GLOBAL </w:t>
      </w:r>
    </w:p>
    <w:p w14:paraId="7F4606D5" w14:textId="21F5F076" w:rsidR="003D0282" w:rsidRDefault="003D0282" w:rsidP="009948E9">
      <w:pPr>
        <w:widowControl w:val="0"/>
        <w:tabs>
          <w:tab w:val="right" w:pos="9356"/>
        </w:tabs>
        <w:jc w:val="both"/>
        <w:rPr>
          <w:rFonts w:cs="Arial"/>
          <w:b/>
        </w:rPr>
      </w:pPr>
    </w:p>
    <w:p w14:paraId="3BD5737E" w14:textId="74FD3CC1" w:rsidR="001E2697" w:rsidRPr="002C3752" w:rsidRDefault="001E2697" w:rsidP="001E2697">
      <w:pPr>
        <w:widowControl w:val="0"/>
        <w:tabs>
          <w:tab w:val="right" w:pos="9356"/>
        </w:tabs>
        <w:jc w:val="both"/>
        <w:rPr>
          <w:rFonts w:cs="Arial"/>
          <w:b/>
        </w:rPr>
      </w:pPr>
    </w:p>
    <w:p w14:paraId="5F4DABC6" w14:textId="20F912A5" w:rsidR="005A0267" w:rsidRPr="002C3752" w:rsidRDefault="005A0267" w:rsidP="001E2697">
      <w:pPr>
        <w:widowControl w:val="0"/>
        <w:tabs>
          <w:tab w:val="right" w:pos="9356"/>
        </w:tabs>
        <w:jc w:val="both"/>
        <w:rPr>
          <w:rFonts w:cs="Arial"/>
          <w:b/>
        </w:rPr>
      </w:pPr>
      <w:r w:rsidRPr="002C3752">
        <w:rPr>
          <w:rFonts w:cs="Arial"/>
          <w:b/>
        </w:rPr>
        <w:t xml:space="preserve"> </w:t>
      </w:r>
    </w:p>
    <w:p w14:paraId="4B504373" w14:textId="01EF3B11" w:rsidR="00307A40" w:rsidRPr="002C3752" w:rsidRDefault="00061E8F" w:rsidP="00307A40">
      <w:pPr>
        <w:widowControl w:val="0"/>
        <w:tabs>
          <w:tab w:val="right" w:pos="9356"/>
        </w:tabs>
        <w:jc w:val="both"/>
        <w:rPr>
          <w:rFonts w:eastAsia="Calibri" w:cs="Arial"/>
          <w:b/>
          <w:bCs/>
          <w:lang w:val="en-US"/>
        </w:rPr>
      </w:pPr>
      <w:r>
        <w:rPr>
          <w:rFonts w:cs="Arial"/>
          <w:b/>
        </w:rPr>
        <w:t>Neutral Citation</w:t>
      </w:r>
      <w:bookmarkStart w:id="1" w:name="_GoBack"/>
      <w:r>
        <w:rPr>
          <w:rFonts w:cs="Arial"/>
          <w:b/>
        </w:rPr>
        <w:t>:</w:t>
      </w:r>
      <w:r w:rsidR="00307A40" w:rsidRPr="00307A40">
        <w:rPr>
          <w:rFonts w:eastAsia="Calibri" w:cs="Arial"/>
          <w:bCs/>
          <w:i/>
          <w:lang w:val="en-US"/>
        </w:rPr>
        <w:t xml:space="preserve"> </w:t>
      </w:r>
      <w:r w:rsidR="00307A40" w:rsidRPr="00AB6570">
        <w:rPr>
          <w:rFonts w:eastAsia="Calibri" w:cs="Arial"/>
          <w:bCs/>
          <w:i/>
          <w:lang w:val="en-US"/>
        </w:rPr>
        <w:t>Diageo South Africa (Pty) Ltd v TTG Communications Group (Pty) Ltd t/a Two Tone Globa</w:t>
      </w:r>
      <w:r w:rsidR="00307A40">
        <w:rPr>
          <w:rFonts w:eastAsia="Calibri" w:cs="Arial"/>
          <w:bCs/>
          <w:i/>
          <w:lang w:val="en-US"/>
        </w:rPr>
        <w:t>l</w:t>
      </w:r>
      <w:r w:rsidR="00307A40" w:rsidRPr="00AB6570">
        <w:rPr>
          <w:rFonts w:eastAsia="Calibri" w:cs="Arial"/>
          <w:bCs/>
          <w:i/>
          <w:lang w:val="en-US"/>
        </w:rPr>
        <w:t xml:space="preserve"> </w:t>
      </w:r>
      <w:bookmarkEnd w:id="1"/>
      <w:r w:rsidR="00307A40" w:rsidRPr="00AB6570">
        <w:rPr>
          <w:rFonts w:eastAsia="Calibri" w:cs="Arial"/>
          <w:bCs/>
          <w:lang w:val="en-US"/>
        </w:rPr>
        <w:t xml:space="preserve">(Case No: 027069/23) [2023] </w:t>
      </w:r>
      <w:r w:rsidR="00307A40">
        <w:rPr>
          <w:rFonts w:eastAsia="Calibri" w:cs="Arial"/>
          <w:bCs/>
          <w:lang w:val="en-US"/>
        </w:rPr>
        <w:t>ZAGPJHC 322 (17</w:t>
      </w:r>
      <w:r w:rsidR="00307A40" w:rsidRPr="00AB6570">
        <w:rPr>
          <w:rFonts w:eastAsia="Calibri" w:cs="Arial"/>
          <w:bCs/>
          <w:lang w:val="en-US"/>
        </w:rPr>
        <w:t xml:space="preserve"> April 2023)</w:t>
      </w:r>
    </w:p>
    <w:p w14:paraId="7D52C21D" w14:textId="277C3895" w:rsidR="00061E8F" w:rsidRDefault="00061E8F" w:rsidP="00061E8F">
      <w:pPr>
        <w:widowControl w:val="0"/>
        <w:tabs>
          <w:tab w:val="right" w:pos="9356"/>
        </w:tabs>
        <w:jc w:val="both"/>
        <w:rPr>
          <w:rFonts w:cs="Arial"/>
          <w:b/>
        </w:rPr>
      </w:pPr>
      <w:r>
        <w:rPr>
          <w:rFonts w:cs="Arial"/>
          <w:b/>
        </w:rPr>
        <w:lastRenderedPageBreak/>
        <w:tab/>
      </w:r>
      <w:r>
        <w:rPr>
          <w:rFonts w:cs="Arial"/>
          <w:b/>
        </w:rPr>
        <w:tab/>
        <w:t xml:space="preserve">   </w:t>
      </w:r>
    </w:p>
    <w:p w14:paraId="21CF8FA0" w14:textId="5E0AD0B2" w:rsidR="001E2697" w:rsidRPr="002C3752" w:rsidRDefault="00A337BD" w:rsidP="001E2697">
      <w:pPr>
        <w:widowControl w:val="0"/>
        <w:tabs>
          <w:tab w:val="right" w:pos="9356"/>
        </w:tabs>
        <w:jc w:val="both"/>
        <w:rPr>
          <w:rFonts w:cs="Arial"/>
          <w:b/>
        </w:rPr>
      </w:pPr>
      <w:r>
        <w:rPr>
          <w:rFonts w:cs="Arial"/>
          <w:b/>
          <w:lang w:val="en-GB"/>
        </w:rPr>
        <w:t xml:space="preserve"> </w:t>
      </w:r>
      <w:bookmarkEnd w:id="0"/>
      <w:r w:rsidR="001E2697" w:rsidRPr="002C3752">
        <w:rPr>
          <w:rFonts w:cs="Arial"/>
          <w:b/>
        </w:rPr>
        <w:t xml:space="preserve">   </w:t>
      </w:r>
    </w:p>
    <w:p w14:paraId="32C5C398" w14:textId="3814087F" w:rsidR="001E2697" w:rsidRPr="002C3752" w:rsidRDefault="00113742" w:rsidP="001E2697">
      <w:pPr>
        <w:pStyle w:val="Tramlines"/>
        <w:rPr>
          <w:rFonts w:cs="Arial"/>
          <w:lang w:val="en-US"/>
        </w:rPr>
      </w:pPr>
      <w:r w:rsidRPr="002C3752">
        <w:rPr>
          <w:rFonts w:cs="Arial"/>
          <w:lang w:val="en-US"/>
        </w:rPr>
        <w:t xml:space="preserve">JUDGMENT </w:t>
      </w:r>
    </w:p>
    <w:p w14:paraId="67ED6938" w14:textId="77777777" w:rsidR="001E2697" w:rsidRPr="002C3752" w:rsidRDefault="001E2697" w:rsidP="001E2697">
      <w:pPr>
        <w:tabs>
          <w:tab w:val="left" w:pos="-720"/>
        </w:tabs>
        <w:suppressAutoHyphens/>
        <w:spacing w:line="360" w:lineRule="auto"/>
        <w:jc w:val="both"/>
        <w:rPr>
          <w:rFonts w:cs="Arial"/>
          <w:b/>
          <w:bCs/>
          <w:spacing w:val="-3"/>
        </w:rPr>
      </w:pPr>
    </w:p>
    <w:p w14:paraId="19EA82BB" w14:textId="000752DF" w:rsidR="001E2697" w:rsidRPr="002C3752" w:rsidRDefault="001E2697" w:rsidP="001E2697">
      <w:pPr>
        <w:ind w:left="1440" w:hanging="1440"/>
        <w:jc w:val="both"/>
        <w:rPr>
          <w:rFonts w:cs="Arial"/>
          <w:kern w:val="0"/>
          <w:lang w:eastAsia="en-US"/>
        </w:rPr>
      </w:pPr>
      <w:r w:rsidRPr="002C3752">
        <w:rPr>
          <w:rFonts w:cs="Arial"/>
          <w:b/>
        </w:rPr>
        <w:t>Delivered:</w:t>
      </w:r>
      <w:r w:rsidRPr="002C3752">
        <w:rPr>
          <w:rFonts w:cs="Arial"/>
          <w:b/>
        </w:rPr>
        <w:tab/>
      </w:r>
      <w:r w:rsidRPr="002C3752">
        <w:rPr>
          <w:rFonts w:cs="Arial"/>
        </w:rPr>
        <w:t xml:space="preserve">This judgment was handed down electronically by circulation to the parties’ legal representatives by e-mail. The date and time for hand-down is deemed to be 10h00 on the </w:t>
      </w:r>
      <w:r w:rsidR="00733BEC">
        <w:rPr>
          <w:rFonts w:cs="Arial"/>
        </w:rPr>
        <w:t>1</w:t>
      </w:r>
      <w:r w:rsidR="00A337BD">
        <w:rPr>
          <w:rFonts w:cs="Arial"/>
        </w:rPr>
        <w:t>7</w:t>
      </w:r>
      <w:r w:rsidR="0039420D" w:rsidRPr="002C3752">
        <w:rPr>
          <w:rFonts w:cs="Arial"/>
          <w:vertAlign w:val="superscript"/>
        </w:rPr>
        <w:t>th</w:t>
      </w:r>
      <w:r w:rsidR="00383D1C" w:rsidRPr="002C3752">
        <w:rPr>
          <w:rFonts w:cs="Arial"/>
        </w:rPr>
        <w:t xml:space="preserve"> </w:t>
      </w:r>
      <w:r w:rsidRPr="002C3752">
        <w:rPr>
          <w:rFonts w:cs="Arial"/>
        </w:rPr>
        <w:t xml:space="preserve">of </w:t>
      </w:r>
      <w:r w:rsidR="006524B7">
        <w:rPr>
          <w:rFonts w:cs="Arial"/>
        </w:rPr>
        <w:t>APRIL</w:t>
      </w:r>
      <w:r w:rsidRPr="002C3752">
        <w:rPr>
          <w:rFonts w:cs="Arial"/>
        </w:rPr>
        <w:t xml:space="preserve"> 202</w:t>
      </w:r>
      <w:r w:rsidR="005A2434" w:rsidRPr="002C3752">
        <w:rPr>
          <w:rFonts w:cs="Arial"/>
        </w:rPr>
        <w:t>3</w:t>
      </w:r>
      <w:r w:rsidRPr="002C3752">
        <w:rPr>
          <w:rFonts w:cs="Arial"/>
        </w:rPr>
        <w:t>.</w:t>
      </w:r>
    </w:p>
    <w:p w14:paraId="54A5FD4D" w14:textId="77777777" w:rsidR="001E2697" w:rsidRPr="002C3752" w:rsidRDefault="001E2697" w:rsidP="001E2697">
      <w:pPr>
        <w:tabs>
          <w:tab w:val="left" w:pos="-720"/>
        </w:tabs>
        <w:suppressAutoHyphens/>
        <w:spacing w:line="360" w:lineRule="auto"/>
        <w:jc w:val="both"/>
        <w:rPr>
          <w:rFonts w:cs="Arial"/>
          <w:b/>
          <w:bCs/>
          <w:spacing w:val="-3"/>
          <w:u w:val="single"/>
        </w:rPr>
      </w:pPr>
    </w:p>
    <w:p w14:paraId="7EF343BE" w14:textId="77777777" w:rsidR="001E2697" w:rsidRPr="002C3752" w:rsidRDefault="001E2697" w:rsidP="001E2697">
      <w:pPr>
        <w:tabs>
          <w:tab w:val="left" w:pos="-720"/>
        </w:tabs>
        <w:suppressAutoHyphens/>
        <w:spacing w:line="360" w:lineRule="auto"/>
        <w:jc w:val="both"/>
        <w:rPr>
          <w:rFonts w:cs="Arial"/>
          <w:b/>
          <w:bCs/>
          <w:spacing w:val="-3"/>
          <w:u w:val="single"/>
        </w:rPr>
      </w:pPr>
    </w:p>
    <w:p w14:paraId="210BEE89" w14:textId="287968A7" w:rsidR="0039420D" w:rsidRDefault="001E2697" w:rsidP="00EC7CEF">
      <w:pPr>
        <w:tabs>
          <w:tab w:val="left" w:pos="-720"/>
        </w:tabs>
        <w:suppressAutoHyphens/>
        <w:spacing w:line="360" w:lineRule="auto"/>
        <w:jc w:val="both"/>
        <w:rPr>
          <w:rFonts w:cs="Arial"/>
          <w:b/>
          <w:bCs/>
          <w:spacing w:val="-3"/>
        </w:rPr>
      </w:pPr>
      <w:r w:rsidRPr="002C3752">
        <w:rPr>
          <w:rFonts w:cs="Arial"/>
          <w:b/>
          <w:bCs/>
          <w:spacing w:val="-3"/>
          <w:u w:val="single"/>
        </w:rPr>
        <w:t>DIPPENAAR J</w:t>
      </w:r>
      <w:r w:rsidRPr="002C3752">
        <w:rPr>
          <w:rFonts w:cs="Arial"/>
          <w:b/>
          <w:bCs/>
          <w:spacing w:val="-3"/>
        </w:rPr>
        <w:t>:</w:t>
      </w:r>
    </w:p>
    <w:p w14:paraId="54B0927A" w14:textId="77777777" w:rsidR="00EC7CEF" w:rsidRPr="00EC7CEF" w:rsidRDefault="00EC7CEF" w:rsidP="00EC7CEF">
      <w:pPr>
        <w:tabs>
          <w:tab w:val="left" w:pos="-720"/>
        </w:tabs>
        <w:suppressAutoHyphens/>
        <w:spacing w:line="360" w:lineRule="auto"/>
        <w:jc w:val="both"/>
        <w:rPr>
          <w:rFonts w:cs="Arial"/>
          <w:b/>
          <w:bCs/>
          <w:spacing w:val="-3"/>
        </w:rPr>
      </w:pPr>
    </w:p>
    <w:p w14:paraId="731F1917" w14:textId="655CC619" w:rsidR="00C62159" w:rsidRDefault="00ED51A5" w:rsidP="00ED51A5">
      <w:pPr>
        <w:pStyle w:val="level11"/>
        <w:numPr>
          <w:ilvl w:val="0"/>
          <w:numId w:val="0"/>
        </w:numPr>
        <w:spacing w:after="480" w:line="360" w:lineRule="auto"/>
        <w:jc w:val="both"/>
        <w:rPr>
          <w:rFonts w:cs="Arial"/>
          <w:lang w:val="en-US"/>
        </w:rPr>
      </w:pPr>
      <w:r>
        <w:rPr>
          <w:rFonts w:cs="Arial"/>
          <w:lang w:val="en-US"/>
        </w:rPr>
        <w:t>[1]</w:t>
      </w:r>
      <w:r>
        <w:rPr>
          <w:rFonts w:cs="Arial"/>
          <w:lang w:val="en-US"/>
        </w:rPr>
        <w:tab/>
      </w:r>
      <w:r w:rsidR="00BE334B" w:rsidRPr="0004679F">
        <w:rPr>
          <w:rFonts w:cs="Arial"/>
          <w:lang w:val="en-US"/>
        </w:rPr>
        <w:t>T</w:t>
      </w:r>
      <w:r w:rsidR="00C54770" w:rsidRPr="0004679F">
        <w:rPr>
          <w:rFonts w:cs="Arial"/>
          <w:lang w:val="en-US"/>
        </w:rPr>
        <w:t>he applicant</w:t>
      </w:r>
      <w:r w:rsidR="00FE0D77" w:rsidRPr="0004679F">
        <w:rPr>
          <w:rFonts w:cs="Arial"/>
          <w:lang w:val="en-US"/>
        </w:rPr>
        <w:t xml:space="preserve">, </w:t>
      </w:r>
      <w:r w:rsidR="0004679F" w:rsidRPr="0004679F">
        <w:rPr>
          <w:rFonts w:cs="Arial"/>
          <w:lang w:val="en-US"/>
        </w:rPr>
        <w:t>which operates in the</w:t>
      </w:r>
      <w:r w:rsidR="00FE0D77" w:rsidRPr="0004679F">
        <w:rPr>
          <w:rFonts w:cs="Arial"/>
          <w:lang w:val="en-US"/>
        </w:rPr>
        <w:t xml:space="preserve"> </w:t>
      </w:r>
      <w:r w:rsidR="00A337BD">
        <w:rPr>
          <w:rFonts w:cs="Arial"/>
          <w:lang w:val="en-US"/>
        </w:rPr>
        <w:t xml:space="preserve">alcohol </w:t>
      </w:r>
      <w:r w:rsidR="00FE0D77" w:rsidRPr="0004679F">
        <w:rPr>
          <w:rFonts w:cs="Arial"/>
          <w:lang w:val="en-US"/>
        </w:rPr>
        <w:t xml:space="preserve">beverage </w:t>
      </w:r>
      <w:r w:rsidR="0004679F" w:rsidRPr="0004679F">
        <w:rPr>
          <w:rFonts w:cs="Arial"/>
          <w:lang w:val="en-US"/>
        </w:rPr>
        <w:t>industry</w:t>
      </w:r>
      <w:r w:rsidR="00FE0D77" w:rsidRPr="0004679F">
        <w:rPr>
          <w:rFonts w:cs="Arial"/>
          <w:lang w:val="en-US"/>
        </w:rPr>
        <w:t>,</w:t>
      </w:r>
      <w:r w:rsidR="00C54770" w:rsidRPr="0004679F">
        <w:rPr>
          <w:rFonts w:cs="Arial"/>
          <w:lang w:val="en-US"/>
        </w:rPr>
        <w:t xml:space="preserve"> seeks a final interdict against the respondent on an urgent basis</w:t>
      </w:r>
      <w:r w:rsidR="00733BEC" w:rsidRPr="0004679F">
        <w:rPr>
          <w:rFonts w:cs="Arial"/>
          <w:lang w:val="en-US"/>
        </w:rPr>
        <w:t xml:space="preserve"> for the return of its </w:t>
      </w:r>
      <w:r w:rsidR="00DD3EC6" w:rsidRPr="0004679F">
        <w:rPr>
          <w:rFonts w:cs="Arial"/>
          <w:lang w:val="en-US"/>
        </w:rPr>
        <w:t>intellectual property (“the assets”)</w:t>
      </w:r>
      <w:r w:rsidR="00733BEC" w:rsidRPr="0004679F">
        <w:rPr>
          <w:rFonts w:cs="Arial"/>
          <w:lang w:val="en-US"/>
        </w:rPr>
        <w:t xml:space="preserve">, pursuant to the </w:t>
      </w:r>
      <w:r w:rsidR="00F32732">
        <w:rPr>
          <w:rFonts w:cs="Arial"/>
          <w:lang w:val="en-US"/>
        </w:rPr>
        <w:t>termination</w:t>
      </w:r>
      <w:r w:rsidR="00733BEC" w:rsidRPr="0004679F">
        <w:rPr>
          <w:rFonts w:cs="Arial"/>
          <w:lang w:val="en-US"/>
        </w:rPr>
        <w:t xml:space="preserve"> of a written creative services agreement (“the agreement”) concluded between the parties</w:t>
      </w:r>
      <w:r w:rsidR="00DD3EC6" w:rsidRPr="0004679F">
        <w:rPr>
          <w:rFonts w:cs="Arial"/>
          <w:lang w:val="en-US"/>
        </w:rPr>
        <w:t xml:space="preserve"> </w:t>
      </w:r>
      <w:r w:rsidR="00E65470" w:rsidRPr="0004679F">
        <w:rPr>
          <w:rFonts w:cs="Arial"/>
          <w:lang w:val="en-US"/>
        </w:rPr>
        <w:t xml:space="preserve">on 1 September 2022 </w:t>
      </w:r>
      <w:r w:rsidR="00DD3EC6" w:rsidRPr="0004679F">
        <w:rPr>
          <w:rFonts w:cs="Arial"/>
          <w:lang w:val="en-US"/>
        </w:rPr>
        <w:t>i</w:t>
      </w:r>
      <w:r w:rsidR="00733BEC" w:rsidRPr="0004679F">
        <w:rPr>
          <w:rFonts w:cs="Arial"/>
          <w:lang w:val="en-US"/>
        </w:rPr>
        <w:t>n terms whereof the respondent performed certain advertising and related services for the applicant.</w:t>
      </w:r>
      <w:r w:rsidR="0004679F" w:rsidRPr="0004679F">
        <w:rPr>
          <w:rFonts w:cs="Arial"/>
          <w:lang w:val="en-US"/>
        </w:rPr>
        <w:t xml:space="preserve"> </w:t>
      </w:r>
    </w:p>
    <w:p w14:paraId="4F787B9C" w14:textId="54EEB9DA" w:rsidR="00F32732" w:rsidRDefault="00ED51A5" w:rsidP="00ED51A5">
      <w:pPr>
        <w:pStyle w:val="level11"/>
        <w:numPr>
          <w:ilvl w:val="0"/>
          <w:numId w:val="0"/>
        </w:numPr>
        <w:spacing w:after="480" w:line="360" w:lineRule="auto"/>
        <w:jc w:val="both"/>
        <w:rPr>
          <w:rFonts w:cs="Arial"/>
          <w:lang w:val="en-US"/>
        </w:rPr>
      </w:pPr>
      <w:r>
        <w:rPr>
          <w:rFonts w:cs="Arial"/>
          <w:lang w:val="en-US"/>
        </w:rPr>
        <w:t>[2]</w:t>
      </w:r>
      <w:r>
        <w:rPr>
          <w:rFonts w:cs="Arial"/>
          <w:lang w:val="en-US"/>
        </w:rPr>
        <w:tab/>
      </w:r>
      <w:r w:rsidR="008A790B">
        <w:rPr>
          <w:rFonts w:cs="Arial"/>
          <w:lang w:val="en-US"/>
        </w:rPr>
        <w:t>The re</w:t>
      </w:r>
      <w:r w:rsidR="00F32732">
        <w:rPr>
          <w:rFonts w:cs="Arial"/>
          <w:lang w:val="en-US"/>
        </w:rPr>
        <w:t>sp</w:t>
      </w:r>
      <w:r w:rsidR="008A790B">
        <w:rPr>
          <w:rFonts w:cs="Arial"/>
          <w:lang w:val="en-US"/>
        </w:rPr>
        <w:t>ondent opposes the urgency</w:t>
      </w:r>
      <w:r w:rsidR="00F32732">
        <w:rPr>
          <w:rFonts w:cs="Arial"/>
          <w:lang w:val="en-US"/>
        </w:rPr>
        <w:t xml:space="preserve"> of the application on the basis that it is self- created. It seeks dismissal of the application with a punitive costs order on the basis that the applicant failed to establish any of the requirements for final interdictory relief. Central to its opposition is its contention that it has a lien over the assets until payment is made by the applicant of all outstanding invoices.</w:t>
      </w:r>
    </w:p>
    <w:p w14:paraId="07D3F020" w14:textId="2F1F020B" w:rsidR="00B415BE" w:rsidRPr="00B415BE" w:rsidRDefault="00B415BE" w:rsidP="00B415BE">
      <w:pPr>
        <w:pStyle w:val="level11"/>
        <w:numPr>
          <w:ilvl w:val="0"/>
          <w:numId w:val="0"/>
        </w:numPr>
        <w:spacing w:after="480" w:line="360" w:lineRule="auto"/>
        <w:jc w:val="both"/>
        <w:rPr>
          <w:rFonts w:cs="Arial"/>
          <w:i/>
          <w:lang w:val="en-US"/>
        </w:rPr>
      </w:pPr>
      <w:r w:rsidRPr="00B415BE">
        <w:rPr>
          <w:rFonts w:cs="Arial"/>
          <w:i/>
          <w:lang w:val="en-US"/>
        </w:rPr>
        <w:t>Urgency</w:t>
      </w:r>
    </w:p>
    <w:p w14:paraId="0B371FF9" w14:textId="556D15EB" w:rsidR="00F32732" w:rsidRDefault="00ED51A5" w:rsidP="00ED51A5">
      <w:pPr>
        <w:pStyle w:val="level11"/>
        <w:numPr>
          <w:ilvl w:val="0"/>
          <w:numId w:val="0"/>
        </w:numPr>
        <w:spacing w:after="480" w:line="360" w:lineRule="auto"/>
        <w:jc w:val="both"/>
        <w:rPr>
          <w:rFonts w:cs="Arial"/>
          <w:lang w:val="en-US"/>
        </w:rPr>
      </w:pPr>
      <w:r>
        <w:rPr>
          <w:rFonts w:cs="Arial"/>
          <w:lang w:val="en-US"/>
        </w:rPr>
        <w:t>[3]</w:t>
      </w:r>
      <w:r>
        <w:rPr>
          <w:rFonts w:cs="Arial"/>
          <w:lang w:val="en-US"/>
        </w:rPr>
        <w:tab/>
      </w:r>
      <w:r w:rsidR="00F32732">
        <w:rPr>
          <w:rFonts w:cs="Arial"/>
          <w:lang w:val="en-US"/>
        </w:rPr>
        <w:t>In support of the argument</w:t>
      </w:r>
      <w:r w:rsidR="00691222">
        <w:rPr>
          <w:rFonts w:cs="Arial"/>
          <w:lang w:val="en-US"/>
        </w:rPr>
        <w:t xml:space="preserve"> that the urgency contended for by the applicant</w:t>
      </w:r>
      <w:r w:rsidR="00F32732">
        <w:rPr>
          <w:rFonts w:cs="Arial"/>
          <w:lang w:val="en-US"/>
        </w:rPr>
        <w:t xml:space="preserve"> is self- created</w:t>
      </w:r>
      <w:r w:rsidR="000672D3">
        <w:rPr>
          <w:rFonts w:cs="Arial"/>
          <w:lang w:val="en-US"/>
        </w:rPr>
        <w:t>,</w:t>
      </w:r>
      <w:r w:rsidR="00691222">
        <w:rPr>
          <w:rFonts w:cs="Arial"/>
          <w:lang w:val="en-US"/>
        </w:rPr>
        <w:t xml:space="preserve"> t</w:t>
      </w:r>
      <w:r w:rsidR="009B5B48">
        <w:rPr>
          <w:rFonts w:cs="Arial"/>
          <w:lang w:val="en-US"/>
        </w:rPr>
        <w:t>he respondent</w:t>
      </w:r>
      <w:r w:rsidR="00691222">
        <w:rPr>
          <w:rFonts w:cs="Arial"/>
          <w:lang w:val="en-US"/>
        </w:rPr>
        <w:t xml:space="preserve"> contends that the applicant should have </w:t>
      </w:r>
      <w:r w:rsidR="000672D3">
        <w:rPr>
          <w:rFonts w:cs="Arial"/>
          <w:lang w:val="en-US"/>
        </w:rPr>
        <w:t>terminated the agreement sooner and on an immediate basis under</w:t>
      </w:r>
      <w:r w:rsidR="00691222">
        <w:rPr>
          <w:rFonts w:cs="Arial"/>
          <w:lang w:val="en-US"/>
        </w:rPr>
        <w:t xml:space="preserve"> </w:t>
      </w:r>
      <w:r w:rsidR="00F32732">
        <w:rPr>
          <w:rFonts w:cs="Arial"/>
          <w:lang w:val="en-US"/>
        </w:rPr>
        <w:t>clause 22.1</w:t>
      </w:r>
      <w:r w:rsidR="009B5B48">
        <w:rPr>
          <w:rFonts w:cs="Arial"/>
          <w:lang w:val="en-US"/>
        </w:rPr>
        <w:t xml:space="preserve"> of the agreement</w:t>
      </w:r>
      <w:r w:rsidR="000672D3">
        <w:rPr>
          <w:rFonts w:cs="Arial"/>
          <w:lang w:val="en-US"/>
        </w:rPr>
        <w:t>.</w:t>
      </w:r>
      <w:r w:rsidR="00691222">
        <w:rPr>
          <w:rFonts w:cs="Arial"/>
          <w:lang w:val="en-US"/>
        </w:rPr>
        <w:t xml:space="preserve"> </w:t>
      </w:r>
      <w:r w:rsidR="000672D3">
        <w:rPr>
          <w:rFonts w:cs="Arial"/>
          <w:lang w:val="en-US"/>
        </w:rPr>
        <w:t xml:space="preserve">According to the respondent, </w:t>
      </w:r>
      <w:r w:rsidR="00691222">
        <w:rPr>
          <w:rFonts w:cs="Arial"/>
          <w:lang w:val="en-US"/>
        </w:rPr>
        <w:t>it</w:t>
      </w:r>
      <w:r w:rsidR="00F32732">
        <w:rPr>
          <w:rFonts w:cs="Arial"/>
          <w:lang w:val="en-US"/>
        </w:rPr>
        <w:t xml:space="preserve"> </w:t>
      </w:r>
      <w:r w:rsidR="00691222">
        <w:rPr>
          <w:rFonts w:cs="Arial"/>
          <w:lang w:val="en-US"/>
        </w:rPr>
        <w:t xml:space="preserve">has a </w:t>
      </w:r>
      <w:r w:rsidR="00F32732">
        <w:rPr>
          <w:rFonts w:cs="Arial"/>
          <w:lang w:val="en-US"/>
        </w:rPr>
        <w:t xml:space="preserve">reasonable belief </w:t>
      </w:r>
      <w:r w:rsidR="00691222">
        <w:rPr>
          <w:rFonts w:cs="Arial"/>
          <w:lang w:val="en-US"/>
        </w:rPr>
        <w:t xml:space="preserve">that the </w:t>
      </w:r>
      <w:r w:rsidR="00F32732">
        <w:rPr>
          <w:rFonts w:cs="Arial"/>
          <w:lang w:val="en-US"/>
        </w:rPr>
        <w:t xml:space="preserve">applicant acted in </w:t>
      </w:r>
      <w:r w:rsidR="00F32732" w:rsidRPr="00691222">
        <w:rPr>
          <w:rFonts w:cs="Arial"/>
          <w:i/>
          <w:lang w:val="en-US"/>
        </w:rPr>
        <w:t>mala fide</w:t>
      </w:r>
      <w:r w:rsidR="00F32732">
        <w:rPr>
          <w:rFonts w:cs="Arial"/>
          <w:lang w:val="en-US"/>
        </w:rPr>
        <w:t xml:space="preserve"> manner and contrived a plan for the sole purposes of terminating the agreement</w:t>
      </w:r>
      <w:r w:rsidR="000D573D">
        <w:rPr>
          <w:rFonts w:cs="Arial"/>
          <w:lang w:val="en-US"/>
        </w:rPr>
        <w:t>,</w:t>
      </w:r>
      <w:r w:rsidR="00F32732">
        <w:rPr>
          <w:rFonts w:cs="Arial"/>
          <w:lang w:val="en-US"/>
        </w:rPr>
        <w:t xml:space="preserve"> </w:t>
      </w:r>
      <w:r w:rsidR="00691222">
        <w:rPr>
          <w:rFonts w:cs="Arial"/>
          <w:lang w:val="en-US"/>
        </w:rPr>
        <w:t>which would</w:t>
      </w:r>
      <w:r w:rsidR="00F32732">
        <w:rPr>
          <w:rFonts w:cs="Arial"/>
          <w:lang w:val="en-US"/>
        </w:rPr>
        <w:t xml:space="preserve"> allow </w:t>
      </w:r>
      <w:r w:rsidR="00691222">
        <w:rPr>
          <w:rFonts w:cs="Arial"/>
          <w:lang w:val="en-US"/>
        </w:rPr>
        <w:t>it</w:t>
      </w:r>
      <w:r w:rsidR="00F32732">
        <w:rPr>
          <w:rFonts w:cs="Arial"/>
          <w:lang w:val="en-US"/>
        </w:rPr>
        <w:t xml:space="preserve"> recourse to withhold in full or in part amounts owing to </w:t>
      </w:r>
      <w:r w:rsidR="00691222">
        <w:rPr>
          <w:rFonts w:cs="Arial"/>
          <w:lang w:val="en-US"/>
        </w:rPr>
        <w:t xml:space="preserve">the </w:t>
      </w:r>
      <w:r w:rsidR="00F32732">
        <w:rPr>
          <w:rFonts w:cs="Arial"/>
          <w:lang w:val="en-US"/>
        </w:rPr>
        <w:t xml:space="preserve">respondent </w:t>
      </w:r>
      <w:r w:rsidR="00691222">
        <w:rPr>
          <w:rFonts w:cs="Arial"/>
          <w:lang w:val="en-US"/>
        </w:rPr>
        <w:lastRenderedPageBreak/>
        <w:t>in terms of its outstanding invoices. It further argued that the</w:t>
      </w:r>
      <w:r w:rsidR="00F32732">
        <w:rPr>
          <w:rFonts w:cs="Arial"/>
          <w:lang w:val="en-US"/>
        </w:rPr>
        <w:t xml:space="preserve"> </w:t>
      </w:r>
      <w:r w:rsidR="00691222">
        <w:rPr>
          <w:rFonts w:cs="Arial"/>
          <w:lang w:val="en-US"/>
        </w:rPr>
        <w:t>a</w:t>
      </w:r>
      <w:r w:rsidR="00F32732">
        <w:rPr>
          <w:rFonts w:cs="Arial"/>
          <w:lang w:val="en-US"/>
        </w:rPr>
        <w:t xml:space="preserve">pplicant should also reasonably have requested return </w:t>
      </w:r>
      <w:r w:rsidR="009B5B48">
        <w:rPr>
          <w:rFonts w:cs="Arial"/>
          <w:lang w:val="en-US"/>
        </w:rPr>
        <w:t xml:space="preserve">of the </w:t>
      </w:r>
      <w:r w:rsidR="00F32732">
        <w:rPr>
          <w:rFonts w:cs="Arial"/>
          <w:lang w:val="en-US"/>
        </w:rPr>
        <w:t xml:space="preserve">assets at </w:t>
      </w:r>
      <w:r w:rsidR="009B5B48">
        <w:rPr>
          <w:rFonts w:cs="Arial"/>
          <w:lang w:val="en-US"/>
        </w:rPr>
        <w:t xml:space="preserve">the </w:t>
      </w:r>
      <w:r w:rsidR="00F32732">
        <w:rPr>
          <w:rFonts w:cs="Arial"/>
          <w:lang w:val="en-US"/>
        </w:rPr>
        <w:t>fir</w:t>
      </w:r>
      <w:r w:rsidR="00691222">
        <w:rPr>
          <w:rFonts w:cs="Arial"/>
          <w:lang w:val="en-US"/>
        </w:rPr>
        <w:t>s</w:t>
      </w:r>
      <w:r w:rsidR="00F32732">
        <w:rPr>
          <w:rFonts w:cs="Arial"/>
          <w:lang w:val="en-US"/>
        </w:rPr>
        <w:t xml:space="preserve">t </w:t>
      </w:r>
      <w:r w:rsidR="009B5B48">
        <w:rPr>
          <w:rFonts w:cs="Arial"/>
          <w:lang w:val="en-US"/>
        </w:rPr>
        <w:t xml:space="preserve">available </w:t>
      </w:r>
      <w:r w:rsidR="00F32732">
        <w:rPr>
          <w:rFonts w:cs="Arial"/>
          <w:lang w:val="en-US"/>
        </w:rPr>
        <w:t xml:space="preserve">opportunity. </w:t>
      </w:r>
    </w:p>
    <w:p w14:paraId="6AB7E405" w14:textId="371C581D" w:rsidR="008B6C77" w:rsidRDefault="00ED51A5" w:rsidP="00ED51A5">
      <w:pPr>
        <w:pStyle w:val="level11"/>
        <w:numPr>
          <w:ilvl w:val="0"/>
          <w:numId w:val="0"/>
        </w:numPr>
        <w:spacing w:after="480" w:line="360" w:lineRule="auto"/>
        <w:jc w:val="both"/>
        <w:rPr>
          <w:rFonts w:cs="Arial"/>
          <w:lang w:val="en-US"/>
        </w:rPr>
      </w:pPr>
      <w:r>
        <w:rPr>
          <w:rFonts w:cs="Arial"/>
          <w:lang w:val="en-US"/>
        </w:rPr>
        <w:t>[4]</w:t>
      </w:r>
      <w:r>
        <w:rPr>
          <w:rFonts w:cs="Arial"/>
          <w:lang w:val="en-US"/>
        </w:rPr>
        <w:tab/>
      </w:r>
      <w:r w:rsidR="00F32732" w:rsidRPr="00691222">
        <w:rPr>
          <w:rFonts w:cs="Arial"/>
          <w:lang w:val="en-US"/>
        </w:rPr>
        <w:t>Th</w:t>
      </w:r>
      <w:r w:rsidR="009B5B48">
        <w:rPr>
          <w:rFonts w:cs="Arial"/>
          <w:lang w:val="en-US"/>
        </w:rPr>
        <w:t>e</w:t>
      </w:r>
      <w:r w:rsidR="00691222" w:rsidRPr="00691222">
        <w:rPr>
          <w:rFonts w:cs="Arial"/>
          <w:lang w:val="en-US"/>
        </w:rPr>
        <w:t>s</w:t>
      </w:r>
      <w:r w:rsidR="009B5B48">
        <w:rPr>
          <w:rFonts w:cs="Arial"/>
          <w:lang w:val="en-US"/>
        </w:rPr>
        <w:t>e</w:t>
      </w:r>
      <w:r w:rsidR="00691222" w:rsidRPr="00691222">
        <w:rPr>
          <w:rFonts w:cs="Arial"/>
          <w:lang w:val="en-US"/>
        </w:rPr>
        <w:t xml:space="preserve"> </w:t>
      </w:r>
      <w:r w:rsidR="00F32732" w:rsidRPr="00691222">
        <w:rPr>
          <w:rFonts w:cs="Arial"/>
          <w:lang w:val="en-US"/>
        </w:rPr>
        <w:t xml:space="preserve">arguments </w:t>
      </w:r>
      <w:r w:rsidR="009B5B48">
        <w:rPr>
          <w:rFonts w:cs="Arial"/>
          <w:lang w:val="en-US"/>
        </w:rPr>
        <w:t xml:space="preserve">are </w:t>
      </w:r>
      <w:r w:rsidR="00F32732" w:rsidRPr="00691222">
        <w:rPr>
          <w:rFonts w:cs="Arial"/>
          <w:lang w:val="en-US"/>
        </w:rPr>
        <w:t>artificial and</w:t>
      </w:r>
      <w:r w:rsidR="000D573D">
        <w:rPr>
          <w:rFonts w:cs="Arial"/>
          <w:lang w:val="en-US"/>
        </w:rPr>
        <w:t xml:space="preserve"> are </w:t>
      </w:r>
      <w:r w:rsidR="00F32732" w:rsidRPr="00691222">
        <w:rPr>
          <w:rFonts w:cs="Arial"/>
          <w:lang w:val="en-US"/>
        </w:rPr>
        <w:t xml:space="preserve">based on speculation rather than </w:t>
      </w:r>
      <w:r w:rsidR="008B6C77">
        <w:rPr>
          <w:rFonts w:cs="Arial"/>
          <w:lang w:val="en-US"/>
        </w:rPr>
        <w:t xml:space="preserve">on primary </w:t>
      </w:r>
      <w:r w:rsidR="00F32732" w:rsidRPr="00691222">
        <w:rPr>
          <w:rFonts w:cs="Arial"/>
          <w:lang w:val="en-US"/>
        </w:rPr>
        <w:t>fact</w:t>
      </w:r>
      <w:r w:rsidR="008B6C77">
        <w:rPr>
          <w:rFonts w:cs="Arial"/>
          <w:lang w:val="en-US"/>
        </w:rPr>
        <w:t>s justifying the inferences sought to be drawn</w:t>
      </w:r>
      <w:r w:rsidR="00F32732" w:rsidRPr="00691222">
        <w:rPr>
          <w:rFonts w:cs="Arial"/>
          <w:lang w:val="en-US"/>
        </w:rPr>
        <w:t xml:space="preserve">. It also disregards </w:t>
      </w:r>
      <w:r w:rsidR="009B5B48">
        <w:rPr>
          <w:rFonts w:cs="Arial"/>
          <w:lang w:val="en-US"/>
        </w:rPr>
        <w:t xml:space="preserve">the fact </w:t>
      </w:r>
      <w:r w:rsidR="00F32732" w:rsidRPr="00691222">
        <w:rPr>
          <w:rFonts w:cs="Arial"/>
          <w:lang w:val="en-US"/>
        </w:rPr>
        <w:t>that the applicant was at liberty to exercise whatever contractual remedies w</w:t>
      </w:r>
      <w:r w:rsidR="00A965A7">
        <w:rPr>
          <w:rFonts w:cs="Arial"/>
          <w:lang w:val="en-US"/>
        </w:rPr>
        <w:t>ere</w:t>
      </w:r>
      <w:r w:rsidR="00F32732" w:rsidRPr="00691222">
        <w:rPr>
          <w:rFonts w:cs="Arial"/>
          <w:lang w:val="en-US"/>
        </w:rPr>
        <w:t xml:space="preserve"> available to it</w:t>
      </w:r>
      <w:r w:rsidR="00A965A7">
        <w:rPr>
          <w:rFonts w:cs="Arial"/>
          <w:lang w:val="en-US"/>
        </w:rPr>
        <w:t xml:space="preserve"> and </w:t>
      </w:r>
      <w:r w:rsidR="000D573D">
        <w:rPr>
          <w:rFonts w:cs="Arial"/>
          <w:lang w:val="en-US"/>
        </w:rPr>
        <w:t xml:space="preserve">to </w:t>
      </w:r>
      <w:r w:rsidR="00A965A7">
        <w:rPr>
          <w:rFonts w:cs="Arial"/>
          <w:lang w:val="en-US"/>
        </w:rPr>
        <w:t>elect which to pursue</w:t>
      </w:r>
      <w:r w:rsidR="00F32732" w:rsidRPr="00691222">
        <w:rPr>
          <w:rFonts w:cs="Arial"/>
          <w:lang w:val="en-US"/>
        </w:rPr>
        <w:t>.</w:t>
      </w:r>
      <w:r w:rsidR="00691222">
        <w:rPr>
          <w:rFonts w:cs="Arial"/>
          <w:lang w:val="en-US"/>
        </w:rPr>
        <w:t xml:space="preserve"> </w:t>
      </w:r>
    </w:p>
    <w:p w14:paraId="0B765F4D" w14:textId="617DEDE5" w:rsidR="00F32732" w:rsidRPr="00691222" w:rsidRDefault="00ED51A5" w:rsidP="00ED51A5">
      <w:pPr>
        <w:pStyle w:val="level11"/>
        <w:numPr>
          <w:ilvl w:val="0"/>
          <w:numId w:val="0"/>
        </w:numPr>
        <w:spacing w:after="480" w:line="360" w:lineRule="auto"/>
        <w:jc w:val="both"/>
        <w:rPr>
          <w:rFonts w:cs="Arial"/>
          <w:lang w:val="en-US"/>
        </w:rPr>
      </w:pPr>
      <w:r w:rsidRPr="00691222">
        <w:rPr>
          <w:rFonts w:cs="Arial"/>
          <w:lang w:val="en-US"/>
        </w:rPr>
        <w:t>[5]</w:t>
      </w:r>
      <w:r w:rsidRPr="00691222">
        <w:rPr>
          <w:rFonts w:cs="Arial"/>
          <w:lang w:val="en-US"/>
        </w:rPr>
        <w:tab/>
      </w:r>
      <w:r w:rsidR="00F32732" w:rsidRPr="00691222">
        <w:rPr>
          <w:rFonts w:cs="Arial"/>
          <w:lang w:val="en-US"/>
        </w:rPr>
        <w:t xml:space="preserve">I am </w:t>
      </w:r>
      <w:r w:rsidR="00691222">
        <w:rPr>
          <w:rFonts w:cs="Arial"/>
          <w:lang w:val="en-US"/>
        </w:rPr>
        <w:t xml:space="preserve">further </w:t>
      </w:r>
      <w:r w:rsidR="00F32732" w:rsidRPr="00691222">
        <w:rPr>
          <w:rFonts w:cs="Arial"/>
          <w:lang w:val="en-US"/>
        </w:rPr>
        <w:t xml:space="preserve">not persuaded that </w:t>
      </w:r>
      <w:r w:rsidR="00691222">
        <w:rPr>
          <w:rFonts w:cs="Arial"/>
          <w:lang w:val="en-US"/>
        </w:rPr>
        <w:t xml:space="preserve">the applicant’s </w:t>
      </w:r>
      <w:r w:rsidR="00F32732" w:rsidRPr="00691222">
        <w:rPr>
          <w:rFonts w:cs="Arial"/>
          <w:lang w:val="en-US"/>
        </w:rPr>
        <w:t>attempt</w:t>
      </w:r>
      <w:r w:rsidR="00691222">
        <w:rPr>
          <w:rFonts w:cs="Arial"/>
          <w:lang w:val="en-US"/>
        </w:rPr>
        <w:t>s</w:t>
      </w:r>
      <w:r w:rsidR="00F32732" w:rsidRPr="00691222">
        <w:rPr>
          <w:rFonts w:cs="Arial"/>
          <w:lang w:val="en-US"/>
        </w:rPr>
        <w:t xml:space="preserve"> to persuade the respondent to surrender the assets prior to the launching of the application is fatal to its urgency</w:t>
      </w:r>
      <w:r w:rsidR="00A965A7">
        <w:rPr>
          <w:rFonts w:cs="Arial"/>
          <w:lang w:val="en-US"/>
        </w:rPr>
        <w:t xml:space="preserve"> or renders the urgency of the application self-created.</w:t>
      </w:r>
    </w:p>
    <w:p w14:paraId="5732B4FC" w14:textId="7B9A1754" w:rsidR="00F32732" w:rsidRPr="008B6C77" w:rsidRDefault="00ED51A5" w:rsidP="00ED51A5">
      <w:pPr>
        <w:pStyle w:val="level11"/>
        <w:numPr>
          <w:ilvl w:val="0"/>
          <w:numId w:val="0"/>
        </w:numPr>
        <w:spacing w:after="480" w:line="360" w:lineRule="auto"/>
        <w:jc w:val="both"/>
        <w:rPr>
          <w:rFonts w:cs="Arial"/>
          <w:lang w:val="en-US"/>
        </w:rPr>
      </w:pPr>
      <w:r w:rsidRPr="008B6C77">
        <w:rPr>
          <w:rFonts w:cs="Arial"/>
          <w:lang w:val="en-US"/>
        </w:rPr>
        <w:t>[6]</w:t>
      </w:r>
      <w:r w:rsidRPr="008B6C77">
        <w:rPr>
          <w:rFonts w:cs="Arial"/>
          <w:lang w:val="en-US"/>
        </w:rPr>
        <w:tab/>
      </w:r>
      <w:r w:rsidR="00F32732" w:rsidRPr="008B6C77">
        <w:rPr>
          <w:rFonts w:cs="Arial"/>
          <w:lang w:val="en-US"/>
        </w:rPr>
        <w:t>Considering the facts, I am persuaded that the applicant has set out sufficient facts to establish commercial urgency</w:t>
      </w:r>
      <w:r w:rsidR="00F32732">
        <w:rPr>
          <w:rStyle w:val="FootnoteReference"/>
          <w:rFonts w:cs="Arial"/>
          <w:lang w:val="en-US"/>
        </w:rPr>
        <w:footnoteReference w:id="1"/>
      </w:r>
      <w:r w:rsidR="00F32732" w:rsidRPr="008B6C77">
        <w:rPr>
          <w:rFonts w:cs="Arial"/>
          <w:lang w:val="en-US"/>
        </w:rPr>
        <w:t xml:space="preserve"> and that it will not obtain substantial redress at a hearing in due</w:t>
      </w:r>
      <w:r w:rsidR="00CB1701" w:rsidRPr="008B6C77">
        <w:rPr>
          <w:rFonts w:cs="Arial"/>
          <w:lang w:val="en-US"/>
        </w:rPr>
        <w:t xml:space="preserve"> </w:t>
      </w:r>
      <w:r w:rsidR="00F32732" w:rsidRPr="008B6C77">
        <w:rPr>
          <w:rFonts w:cs="Arial"/>
          <w:lang w:val="en-US"/>
        </w:rPr>
        <w:t>course</w:t>
      </w:r>
      <w:r w:rsidR="004344F9">
        <w:rPr>
          <w:rFonts w:cs="Arial"/>
          <w:lang w:val="en-US"/>
        </w:rPr>
        <w:t>,</w:t>
      </w:r>
      <w:r w:rsidR="00F32732">
        <w:rPr>
          <w:rStyle w:val="FootnoteReference"/>
          <w:rFonts w:cs="Arial"/>
          <w:lang w:val="en-US"/>
        </w:rPr>
        <w:footnoteReference w:id="2"/>
      </w:r>
      <w:r w:rsidR="00F32732" w:rsidRPr="008B6C77">
        <w:rPr>
          <w:rFonts w:cs="Arial"/>
          <w:lang w:val="en-US"/>
        </w:rPr>
        <w:t xml:space="preserve"> considering the risk of ongoing harm in the face of the respondents’ unequivocal stance that it will not deliver the assets to the applicant until it has been paid what respondent contends is owing to it. </w:t>
      </w:r>
    </w:p>
    <w:p w14:paraId="3F907E63" w14:textId="328035BB" w:rsidR="00A965A7" w:rsidRDefault="00ED51A5" w:rsidP="00ED51A5">
      <w:pPr>
        <w:pStyle w:val="level11"/>
        <w:numPr>
          <w:ilvl w:val="0"/>
          <w:numId w:val="0"/>
        </w:numPr>
        <w:spacing w:after="480" w:line="360" w:lineRule="auto"/>
        <w:jc w:val="both"/>
        <w:rPr>
          <w:rFonts w:cs="Arial"/>
          <w:lang w:val="en-US"/>
        </w:rPr>
      </w:pPr>
      <w:r>
        <w:rPr>
          <w:rFonts w:cs="Arial"/>
          <w:lang w:val="en-US"/>
        </w:rPr>
        <w:t>[7]</w:t>
      </w:r>
      <w:r>
        <w:rPr>
          <w:rFonts w:cs="Arial"/>
          <w:lang w:val="en-US"/>
        </w:rPr>
        <w:tab/>
      </w:r>
      <w:r w:rsidR="00A965A7">
        <w:rPr>
          <w:rFonts w:cs="Arial"/>
          <w:lang w:val="en-US"/>
        </w:rPr>
        <w:t>I conclude that the applicant has established urgency and that the application must be determined on its merits.</w:t>
      </w:r>
    </w:p>
    <w:p w14:paraId="028F041A" w14:textId="0DCF651F" w:rsidR="00B415BE" w:rsidRPr="00B415BE" w:rsidRDefault="00B415BE" w:rsidP="00B415BE">
      <w:pPr>
        <w:pStyle w:val="level11"/>
        <w:numPr>
          <w:ilvl w:val="0"/>
          <w:numId w:val="0"/>
        </w:numPr>
        <w:spacing w:after="480" w:line="360" w:lineRule="auto"/>
        <w:jc w:val="both"/>
        <w:rPr>
          <w:rFonts w:cs="Arial"/>
          <w:i/>
          <w:lang w:val="en-US"/>
        </w:rPr>
      </w:pPr>
      <w:r w:rsidRPr="00B415BE">
        <w:rPr>
          <w:rFonts w:cs="Arial"/>
          <w:i/>
          <w:lang w:val="en-US"/>
        </w:rPr>
        <w:t>Merits</w:t>
      </w:r>
    </w:p>
    <w:p w14:paraId="3C8EB89D" w14:textId="6155C555" w:rsidR="006D23C4" w:rsidRDefault="00ED51A5" w:rsidP="00ED51A5">
      <w:pPr>
        <w:pStyle w:val="level11"/>
        <w:numPr>
          <w:ilvl w:val="0"/>
          <w:numId w:val="0"/>
        </w:numPr>
        <w:spacing w:after="480" w:line="360" w:lineRule="auto"/>
        <w:jc w:val="both"/>
        <w:rPr>
          <w:rFonts w:cs="Arial"/>
          <w:lang w:val="en-US"/>
        </w:rPr>
      </w:pPr>
      <w:r>
        <w:rPr>
          <w:rFonts w:cs="Arial"/>
          <w:lang w:val="en-US"/>
        </w:rPr>
        <w:t>[8]</w:t>
      </w:r>
      <w:r>
        <w:rPr>
          <w:rFonts w:cs="Arial"/>
          <w:lang w:val="en-US"/>
        </w:rPr>
        <w:tab/>
      </w:r>
      <w:r w:rsidR="00A965A7">
        <w:rPr>
          <w:rFonts w:cs="Arial"/>
          <w:lang w:val="en-US"/>
        </w:rPr>
        <w:t xml:space="preserve">The background facts are not contentious. The disputes which exist on the papers pertaining to </w:t>
      </w:r>
      <w:r w:rsidR="00BA493D">
        <w:rPr>
          <w:rFonts w:cs="Arial"/>
          <w:lang w:val="en-US"/>
        </w:rPr>
        <w:t xml:space="preserve">alleged unremedied </w:t>
      </w:r>
      <w:r w:rsidR="00A965A7">
        <w:rPr>
          <w:rFonts w:cs="Arial"/>
          <w:lang w:val="en-US"/>
        </w:rPr>
        <w:t xml:space="preserve">breaches of the agreement </w:t>
      </w:r>
      <w:r w:rsidR="00BA493D">
        <w:rPr>
          <w:rFonts w:cs="Arial"/>
          <w:lang w:val="en-US"/>
        </w:rPr>
        <w:t xml:space="preserve">by the respondent </w:t>
      </w:r>
      <w:r w:rsidR="00A965A7">
        <w:rPr>
          <w:rFonts w:cs="Arial"/>
          <w:lang w:val="en-US"/>
        </w:rPr>
        <w:t>are not relevant to the determination of this application</w:t>
      </w:r>
      <w:r w:rsidR="009B5B48">
        <w:rPr>
          <w:rFonts w:cs="Arial"/>
          <w:lang w:val="en-US"/>
        </w:rPr>
        <w:t>. I</w:t>
      </w:r>
      <w:r w:rsidR="00BA493D">
        <w:rPr>
          <w:rFonts w:cs="Arial"/>
          <w:lang w:val="en-US"/>
        </w:rPr>
        <w:t>t is not necessary</w:t>
      </w:r>
      <w:r w:rsidR="006D23C4">
        <w:rPr>
          <w:rFonts w:cs="Arial"/>
          <w:lang w:val="en-US"/>
        </w:rPr>
        <w:t xml:space="preserve"> to delve into those disputes, given that it is undisputed that the applicant </w:t>
      </w:r>
      <w:r w:rsidR="00BA493D">
        <w:rPr>
          <w:rFonts w:cs="Arial"/>
          <w:lang w:val="en-US"/>
        </w:rPr>
        <w:t xml:space="preserve">lawfully </w:t>
      </w:r>
      <w:r w:rsidR="006D23C4">
        <w:rPr>
          <w:rFonts w:cs="Arial"/>
          <w:lang w:val="en-US"/>
        </w:rPr>
        <w:t xml:space="preserve">terminated the agreement </w:t>
      </w:r>
      <w:r w:rsidR="00BA493D">
        <w:rPr>
          <w:rFonts w:cs="Arial"/>
          <w:lang w:val="en-US"/>
        </w:rPr>
        <w:lastRenderedPageBreak/>
        <w:t xml:space="preserve">in terms of the agreement </w:t>
      </w:r>
      <w:r w:rsidR="006D23C4">
        <w:rPr>
          <w:rFonts w:cs="Arial"/>
          <w:lang w:val="en-US"/>
        </w:rPr>
        <w:t>by giving two months</w:t>
      </w:r>
      <w:r w:rsidR="008B6C77">
        <w:rPr>
          <w:rFonts w:cs="Arial"/>
          <w:lang w:val="en-US"/>
        </w:rPr>
        <w:t>’</w:t>
      </w:r>
      <w:r w:rsidR="006D23C4">
        <w:rPr>
          <w:rFonts w:cs="Arial"/>
          <w:lang w:val="en-US"/>
        </w:rPr>
        <w:t xml:space="preserve"> </w:t>
      </w:r>
      <w:r w:rsidR="00BA493D">
        <w:rPr>
          <w:rFonts w:cs="Arial"/>
          <w:lang w:val="en-US"/>
        </w:rPr>
        <w:t xml:space="preserve">written </w:t>
      </w:r>
      <w:r w:rsidR="006D23C4">
        <w:rPr>
          <w:rFonts w:cs="Arial"/>
          <w:lang w:val="en-US"/>
        </w:rPr>
        <w:t>notice and did not rely on the alleged breaches in doing so.</w:t>
      </w:r>
    </w:p>
    <w:p w14:paraId="00179B68" w14:textId="3351B9E8" w:rsidR="008B6C77" w:rsidRDefault="00ED51A5" w:rsidP="00ED51A5">
      <w:pPr>
        <w:pStyle w:val="level11"/>
        <w:numPr>
          <w:ilvl w:val="0"/>
          <w:numId w:val="0"/>
        </w:numPr>
        <w:spacing w:after="480" w:line="360" w:lineRule="auto"/>
        <w:jc w:val="both"/>
        <w:rPr>
          <w:rFonts w:cs="Arial"/>
          <w:lang w:val="en-US"/>
        </w:rPr>
      </w:pPr>
      <w:r>
        <w:rPr>
          <w:rFonts w:cs="Arial"/>
          <w:lang w:val="en-US"/>
        </w:rPr>
        <w:t>[9]</w:t>
      </w:r>
      <w:r>
        <w:rPr>
          <w:rFonts w:cs="Arial"/>
          <w:lang w:val="en-US"/>
        </w:rPr>
        <w:tab/>
      </w:r>
      <w:r w:rsidR="00A965A7" w:rsidRPr="00BA493D">
        <w:rPr>
          <w:rFonts w:cs="Arial"/>
          <w:lang w:val="en-US"/>
        </w:rPr>
        <w:t xml:space="preserve"> It is undisputed that c</w:t>
      </w:r>
      <w:r w:rsidR="00F32732" w:rsidRPr="00BA493D">
        <w:rPr>
          <w:rFonts w:cs="Arial"/>
          <w:lang w:val="en-US"/>
        </w:rPr>
        <w:t xml:space="preserve">ertain accounting issues arose between the parties during November 2022. The agreement and its terms are common cause. It is common cause that the agreement between the parties terminated on 19 February 2023, pursuant to the applicant exercising its discretionary power under the agreement </w:t>
      </w:r>
      <w:r w:rsidR="008B6C77">
        <w:rPr>
          <w:rFonts w:cs="Arial"/>
          <w:lang w:val="en-US"/>
        </w:rPr>
        <w:t xml:space="preserve">on 19 December 2022 </w:t>
      </w:r>
      <w:r w:rsidR="00F32732" w:rsidRPr="00BA493D">
        <w:rPr>
          <w:rFonts w:cs="Arial"/>
          <w:lang w:val="en-US"/>
        </w:rPr>
        <w:t xml:space="preserve">to terminate it on two month’s written notice. </w:t>
      </w:r>
    </w:p>
    <w:p w14:paraId="2F6D594E" w14:textId="54008741" w:rsidR="00F32732" w:rsidRPr="00BA493D" w:rsidRDefault="00ED51A5" w:rsidP="00ED51A5">
      <w:pPr>
        <w:pStyle w:val="level11"/>
        <w:numPr>
          <w:ilvl w:val="0"/>
          <w:numId w:val="0"/>
        </w:numPr>
        <w:spacing w:after="480" w:line="360" w:lineRule="auto"/>
        <w:jc w:val="both"/>
        <w:rPr>
          <w:rFonts w:cs="Arial"/>
          <w:lang w:val="en-US"/>
        </w:rPr>
      </w:pPr>
      <w:r w:rsidRPr="00BA493D">
        <w:rPr>
          <w:rFonts w:cs="Arial"/>
          <w:lang w:val="en-US"/>
        </w:rPr>
        <w:t>[10]</w:t>
      </w:r>
      <w:r w:rsidRPr="00BA493D">
        <w:rPr>
          <w:rFonts w:cs="Arial"/>
          <w:lang w:val="en-US"/>
        </w:rPr>
        <w:tab/>
      </w:r>
      <w:r w:rsidR="00F32732" w:rsidRPr="00BA493D">
        <w:rPr>
          <w:rFonts w:cs="Arial"/>
          <w:lang w:val="en-US"/>
        </w:rPr>
        <w:t xml:space="preserve">It is further common cause that the respondent enjoys no rights to the assets, save as allowed by the agreement and that the applicant exclusively owns the assets. In terms of the agreement, any assets in the custody or control of the respondent are held in trust on behalf of and for the benefit of the applicant. </w:t>
      </w:r>
      <w:r w:rsidR="006D23C4" w:rsidRPr="00BA493D">
        <w:rPr>
          <w:rFonts w:cs="Arial"/>
          <w:lang w:val="en-US"/>
        </w:rPr>
        <w:t>It is further undisputed that the</w:t>
      </w:r>
      <w:r w:rsidR="000D573D">
        <w:rPr>
          <w:rFonts w:cs="Arial"/>
          <w:lang w:val="en-US"/>
        </w:rPr>
        <w:t xml:space="preserve"> respondent issued various </w:t>
      </w:r>
      <w:r w:rsidR="006D23C4" w:rsidRPr="00BA493D">
        <w:rPr>
          <w:rFonts w:cs="Arial"/>
          <w:lang w:val="en-US"/>
        </w:rPr>
        <w:t>invoices</w:t>
      </w:r>
      <w:r w:rsidR="000D573D">
        <w:rPr>
          <w:rFonts w:cs="Arial"/>
          <w:lang w:val="en-US"/>
        </w:rPr>
        <w:t xml:space="preserve"> dated</w:t>
      </w:r>
      <w:r w:rsidR="009B5B48">
        <w:rPr>
          <w:rFonts w:cs="Arial"/>
          <w:lang w:val="en-US"/>
        </w:rPr>
        <w:t xml:space="preserve"> 1, 2 and 6 February 2023 and 1 March 2023</w:t>
      </w:r>
      <w:r w:rsidR="000D573D">
        <w:rPr>
          <w:rFonts w:cs="Arial"/>
          <w:lang w:val="en-US"/>
        </w:rPr>
        <w:t xml:space="preserve"> respectively</w:t>
      </w:r>
      <w:r w:rsidR="009B5B48">
        <w:rPr>
          <w:rFonts w:cs="Arial"/>
          <w:lang w:val="en-US"/>
        </w:rPr>
        <w:t>.</w:t>
      </w:r>
    </w:p>
    <w:p w14:paraId="7931A319" w14:textId="28B66B89" w:rsidR="00961897" w:rsidRPr="00961897" w:rsidRDefault="00961897" w:rsidP="00961897">
      <w:pPr>
        <w:pStyle w:val="level11"/>
        <w:numPr>
          <w:ilvl w:val="0"/>
          <w:numId w:val="0"/>
        </w:numPr>
        <w:spacing w:after="480" w:line="360" w:lineRule="auto"/>
        <w:jc w:val="both"/>
        <w:rPr>
          <w:rFonts w:cs="Arial"/>
          <w:i/>
          <w:lang w:val="en-US"/>
        </w:rPr>
      </w:pPr>
      <w:r w:rsidRPr="00961897">
        <w:rPr>
          <w:rFonts w:cs="Arial"/>
          <w:i/>
          <w:lang w:val="en-US"/>
        </w:rPr>
        <w:t>The parties’ respective cases</w:t>
      </w:r>
    </w:p>
    <w:p w14:paraId="3C042F8C" w14:textId="1D36A264" w:rsidR="006F20E3" w:rsidRDefault="00ED51A5" w:rsidP="00ED51A5">
      <w:pPr>
        <w:pStyle w:val="level11"/>
        <w:numPr>
          <w:ilvl w:val="0"/>
          <w:numId w:val="0"/>
        </w:numPr>
        <w:spacing w:after="480" w:line="360" w:lineRule="auto"/>
        <w:jc w:val="both"/>
        <w:rPr>
          <w:rFonts w:cs="Arial"/>
          <w:lang w:val="en-US"/>
        </w:rPr>
      </w:pPr>
      <w:r>
        <w:rPr>
          <w:rFonts w:cs="Arial"/>
          <w:lang w:val="en-US"/>
        </w:rPr>
        <w:t>[11]</w:t>
      </w:r>
      <w:r>
        <w:rPr>
          <w:rFonts w:cs="Arial"/>
          <w:lang w:val="en-US"/>
        </w:rPr>
        <w:tab/>
      </w:r>
      <w:r w:rsidR="00BA493D" w:rsidRPr="00DD3EC6">
        <w:rPr>
          <w:rFonts w:cs="Arial"/>
          <w:lang w:val="en-US"/>
        </w:rPr>
        <w:t>In sum</w:t>
      </w:r>
      <w:r w:rsidR="00BA493D">
        <w:rPr>
          <w:rFonts w:cs="Arial"/>
          <w:lang w:val="en-US"/>
        </w:rPr>
        <w:t xml:space="preserve">, the applicant’s </w:t>
      </w:r>
      <w:r w:rsidR="00BA493D" w:rsidRPr="00DD3EC6">
        <w:rPr>
          <w:rFonts w:cs="Arial"/>
          <w:lang w:val="en-US"/>
        </w:rPr>
        <w:t>case is that it has clear contractual</w:t>
      </w:r>
      <w:r w:rsidR="00BE4B3A">
        <w:rPr>
          <w:rFonts w:cs="Arial"/>
          <w:lang w:val="en-US"/>
        </w:rPr>
        <w:t>,</w:t>
      </w:r>
      <w:r w:rsidR="00BA493D" w:rsidRPr="00DD3EC6">
        <w:rPr>
          <w:rFonts w:cs="Arial"/>
          <w:lang w:val="en-US"/>
        </w:rPr>
        <w:t xml:space="preserve"> property and constitution</w:t>
      </w:r>
      <w:r w:rsidR="00BA493D">
        <w:rPr>
          <w:rFonts w:cs="Arial"/>
          <w:lang w:val="en-US"/>
        </w:rPr>
        <w:t>a</w:t>
      </w:r>
      <w:r w:rsidR="00BA493D" w:rsidRPr="00DD3EC6">
        <w:rPr>
          <w:rFonts w:cs="Arial"/>
          <w:lang w:val="en-US"/>
        </w:rPr>
        <w:t xml:space="preserve">l rights </w:t>
      </w:r>
      <w:r w:rsidR="00BA493D">
        <w:rPr>
          <w:rFonts w:cs="Arial"/>
          <w:lang w:val="en-US"/>
        </w:rPr>
        <w:t>under s</w:t>
      </w:r>
      <w:r w:rsidR="009B5B48">
        <w:rPr>
          <w:rFonts w:cs="Arial"/>
          <w:lang w:val="en-US"/>
        </w:rPr>
        <w:t xml:space="preserve"> </w:t>
      </w:r>
      <w:r w:rsidR="00BA493D">
        <w:rPr>
          <w:rFonts w:cs="Arial"/>
          <w:lang w:val="en-US"/>
        </w:rPr>
        <w:t>25 of the Constitution</w:t>
      </w:r>
      <w:r w:rsidR="006F20E3">
        <w:rPr>
          <w:rFonts w:cs="Arial"/>
          <w:lang w:val="en-US"/>
        </w:rPr>
        <w:t>, which includes intellectual property rights</w:t>
      </w:r>
      <w:r w:rsidR="004344F9">
        <w:rPr>
          <w:rFonts w:cs="Arial"/>
          <w:lang w:val="en-US"/>
        </w:rPr>
        <w:t>,</w:t>
      </w:r>
      <w:r w:rsidR="006F20E3">
        <w:rPr>
          <w:rStyle w:val="FootnoteReference"/>
          <w:rFonts w:cs="Arial"/>
          <w:lang w:val="en-US"/>
        </w:rPr>
        <w:footnoteReference w:id="3"/>
      </w:r>
      <w:r w:rsidR="009B5B48">
        <w:rPr>
          <w:rFonts w:cs="Arial"/>
          <w:lang w:val="en-US"/>
        </w:rPr>
        <w:t xml:space="preserve"> and is entitled</w:t>
      </w:r>
      <w:r w:rsidR="00BA493D">
        <w:rPr>
          <w:rFonts w:cs="Arial"/>
          <w:lang w:val="en-US"/>
        </w:rPr>
        <w:t xml:space="preserve"> </w:t>
      </w:r>
      <w:r w:rsidR="00BA493D" w:rsidRPr="00DD3EC6">
        <w:rPr>
          <w:rFonts w:cs="Arial"/>
          <w:lang w:val="en-US"/>
        </w:rPr>
        <w:t xml:space="preserve">to the surrender of the assets by the respondent, pursuant to the </w:t>
      </w:r>
      <w:r w:rsidR="00BA493D">
        <w:rPr>
          <w:rFonts w:cs="Arial"/>
          <w:lang w:val="en-US"/>
        </w:rPr>
        <w:t xml:space="preserve">termination of </w:t>
      </w:r>
      <w:r w:rsidR="00BA493D" w:rsidRPr="00DD3EC6">
        <w:rPr>
          <w:rFonts w:cs="Arial"/>
          <w:lang w:val="en-US"/>
        </w:rPr>
        <w:t>the agreement</w:t>
      </w:r>
      <w:r w:rsidR="009B5B48">
        <w:rPr>
          <w:rFonts w:cs="Arial"/>
          <w:lang w:val="en-US"/>
        </w:rPr>
        <w:t>.</w:t>
      </w:r>
      <w:r w:rsidR="006F20E3" w:rsidRPr="006F20E3">
        <w:rPr>
          <w:rFonts w:cs="Arial"/>
          <w:lang w:val="en-US"/>
        </w:rPr>
        <w:t xml:space="preserve"> </w:t>
      </w:r>
      <w:r w:rsidR="000160C4">
        <w:rPr>
          <w:rFonts w:cs="Arial"/>
          <w:lang w:val="en-US"/>
        </w:rPr>
        <w:t xml:space="preserve">It contends for a clear contractual right to specific performance </w:t>
      </w:r>
      <w:r w:rsidR="000D573D">
        <w:rPr>
          <w:rFonts w:cs="Arial"/>
          <w:lang w:val="en-US"/>
        </w:rPr>
        <w:t xml:space="preserve">and the return </w:t>
      </w:r>
      <w:r w:rsidR="000160C4">
        <w:rPr>
          <w:rFonts w:cs="Arial"/>
          <w:lang w:val="en-US"/>
        </w:rPr>
        <w:t xml:space="preserve">of its assets and the right to their return under the </w:t>
      </w:r>
      <w:r w:rsidR="000160C4" w:rsidRPr="000160C4">
        <w:rPr>
          <w:rFonts w:cs="Arial"/>
          <w:i/>
          <w:lang w:val="en-US"/>
        </w:rPr>
        <w:t>rei vindicatio</w:t>
      </w:r>
      <w:r w:rsidR="004344F9">
        <w:rPr>
          <w:rFonts w:cs="Arial"/>
          <w:i/>
          <w:lang w:val="en-US"/>
        </w:rPr>
        <w:t>.</w:t>
      </w:r>
      <w:r w:rsidR="000160C4">
        <w:rPr>
          <w:rStyle w:val="FootnoteReference"/>
          <w:rFonts w:cs="Arial"/>
          <w:lang w:val="en-US"/>
        </w:rPr>
        <w:footnoteReference w:id="4"/>
      </w:r>
      <w:r w:rsidR="000160C4">
        <w:rPr>
          <w:rFonts w:cs="Arial"/>
          <w:i/>
          <w:lang w:val="en-US"/>
        </w:rPr>
        <w:t xml:space="preserve"> </w:t>
      </w:r>
      <w:r w:rsidR="006F20E3">
        <w:rPr>
          <w:rFonts w:cs="Arial"/>
          <w:lang w:val="en-US"/>
        </w:rPr>
        <w:t>It is argued that there is no law which permits the respondent to retain possession of the assets and unconstitutionally deprive the applicant of the bundle of rights that make up its ownership of the assets</w:t>
      </w:r>
      <w:r w:rsidR="004344F9">
        <w:rPr>
          <w:rFonts w:cs="Arial"/>
          <w:lang w:val="en-US"/>
        </w:rPr>
        <w:t>.</w:t>
      </w:r>
      <w:r w:rsidR="006F20E3">
        <w:rPr>
          <w:rStyle w:val="FootnoteReference"/>
          <w:rFonts w:cs="Arial"/>
          <w:lang w:val="en-US"/>
        </w:rPr>
        <w:footnoteReference w:id="5"/>
      </w:r>
      <w:r w:rsidR="009B5B48">
        <w:rPr>
          <w:rFonts w:cs="Arial"/>
          <w:lang w:val="en-US"/>
        </w:rPr>
        <w:t xml:space="preserve"> It further contends that it has established the requirements for a final interdict. The applicant has tendered, both in its affidavits and </w:t>
      </w:r>
      <w:r w:rsidR="009B5B48">
        <w:rPr>
          <w:rFonts w:cs="Arial"/>
          <w:lang w:val="en-US"/>
        </w:rPr>
        <w:lastRenderedPageBreak/>
        <w:t>in the correspondence exchanged between the parties to pay the outstanding invoices within 60 days in accordance with the payment terms agreed between the parties.</w:t>
      </w:r>
    </w:p>
    <w:p w14:paraId="0DEE7E98" w14:textId="75496F10" w:rsidR="008B6C77" w:rsidRDefault="00ED51A5" w:rsidP="00ED51A5">
      <w:pPr>
        <w:pStyle w:val="level11"/>
        <w:numPr>
          <w:ilvl w:val="0"/>
          <w:numId w:val="0"/>
        </w:numPr>
        <w:spacing w:after="480" w:line="360" w:lineRule="auto"/>
        <w:jc w:val="both"/>
        <w:rPr>
          <w:rFonts w:cs="Arial"/>
          <w:lang w:val="en-US"/>
        </w:rPr>
      </w:pPr>
      <w:r>
        <w:rPr>
          <w:rFonts w:cs="Arial"/>
          <w:lang w:val="en-US"/>
        </w:rPr>
        <w:t>[12]</w:t>
      </w:r>
      <w:r>
        <w:rPr>
          <w:rFonts w:cs="Arial"/>
          <w:lang w:val="en-US"/>
        </w:rPr>
        <w:tab/>
      </w:r>
      <w:r w:rsidR="006F20E3" w:rsidRPr="00B149AE">
        <w:rPr>
          <w:rFonts w:cs="Arial"/>
          <w:lang w:val="en-US"/>
        </w:rPr>
        <w:t xml:space="preserve">The respondent’s case on the other hand is that </w:t>
      </w:r>
      <w:r w:rsidR="00961897">
        <w:rPr>
          <w:rFonts w:cs="Arial"/>
          <w:lang w:val="en-US"/>
        </w:rPr>
        <w:t xml:space="preserve">the applicant has not met any of the requirements for final interdictory relief. It contends that </w:t>
      </w:r>
      <w:r w:rsidR="006F20E3" w:rsidRPr="00B149AE">
        <w:rPr>
          <w:rFonts w:cs="Arial"/>
          <w:lang w:val="en-US"/>
        </w:rPr>
        <w:t xml:space="preserve">it has a </w:t>
      </w:r>
      <w:r w:rsidR="000160C4">
        <w:rPr>
          <w:rFonts w:cs="Arial"/>
          <w:lang w:val="en-US"/>
        </w:rPr>
        <w:t xml:space="preserve">debtor and </w:t>
      </w:r>
      <w:r w:rsidR="006F20E3" w:rsidRPr="00B149AE">
        <w:rPr>
          <w:rFonts w:cs="Arial"/>
          <w:lang w:val="en-US"/>
        </w:rPr>
        <w:t>creditor lien over the applicant’s assets until such time as its undisputed unpaid invoices have been paid.</w:t>
      </w:r>
      <w:r w:rsidR="00B149AE">
        <w:rPr>
          <w:rFonts w:cs="Arial"/>
          <w:lang w:val="en-US"/>
        </w:rPr>
        <w:t xml:space="preserve"> </w:t>
      </w:r>
    </w:p>
    <w:p w14:paraId="322347D2" w14:textId="1C293E58" w:rsidR="00BA493D" w:rsidRDefault="00ED51A5" w:rsidP="00ED51A5">
      <w:pPr>
        <w:pStyle w:val="level11"/>
        <w:numPr>
          <w:ilvl w:val="0"/>
          <w:numId w:val="0"/>
        </w:numPr>
        <w:spacing w:after="480" w:line="360" w:lineRule="auto"/>
        <w:jc w:val="both"/>
        <w:rPr>
          <w:rFonts w:cs="Arial"/>
          <w:lang w:val="en-US"/>
        </w:rPr>
      </w:pPr>
      <w:r>
        <w:rPr>
          <w:rFonts w:cs="Arial"/>
          <w:lang w:val="en-US"/>
        </w:rPr>
        <w:t>[13]</w:t>
      </w:r>
      <w:r>
        <w:rPr>
          <w:rFonts w:cs="Arial"/>
          <w:lang w:val="en-US"/>
        </w:rPr>
        <w:tab/>
      </w:r>
      <w:r w:rsidR="006F20E3" w:rsidRPr="00B149AE">
        <w:rPr>
          <w:rFonts w:cs="Arial"/>
          <w:lang w:val="en-US"/>
        </w:rPr>
        <w:t xml:space="preserve">According to the respondent, the applicant in terms of clause 24.1.1 of the agreement was obliged to pay the outstanding invoices within 21 business days of termination of the agreement, i.e. before 20 March 2023. It </w:t>
      </w:r>
      <w:r w:rsidR="00961897">
        <w:rPr>
          <w:rFonts w:cs="Arial"/>
          <w:lang w:val="en-US"/>
        </w:rPr>
        <w:t xml:space="preserve">further </w:t>
      </w:r>
      <w:r w:rsidR="006F20E3" w:rsidRPr="00B149AE">
        <w:rPr>
          <w:rFonts w:cs="Arial"/>
          <w:lang w:val="en-US"/>
        </w:rPr>
        <w:t>contends that there is no timeline stipulated whereby the re</w:t>
      </w:r>
      <w:r w:rsidR="00B149AE">
        <w:rPr>
          <w:rFonts w:cs="Arial"/>
          <w:lang w:val="en-US"/>
        </w:rPr>
        <w:t>s</w:t>
      </w:r>
      <w:r w:rsidR="006F20E3" w:rsidRPr="00B149AE">
        <w:rPr>
          <w:rFonts w:cs="Arial"/>
          <w:lang w:val="en-US"/>
        </w:rPr>
        <w:t xml:space="preserve">pondent had to arrange the surrender of the assets and that it has arranged for the surrender as it repeatedly informed the applicant that it would surrender the assets on receipt of payment of the outstanding invoices. </w:t>
      </w:r>
    </w:p>
    <w:p w14:paraId="592391A3" w14:textId="2D93DA44" w:rsidR="00B149AE" w:rsidRPr="00B149AE" w:rsidRDefault="00ED51A5" w:rsidP="00ED51A5">
      <w:pPr>
        <w:pStyle w:val="level11"/>
        <w:numPr>
          <w:ilvl w:val="0"/>
          <w:numId w:val="0"/>
        </w:numPr>
        <w:spacing w:after="480" w:line="360" w:lineRule="auto"/>
        <w:jc w:val="both"/>
        <w:rPr>
          <w:rFonts w:cs="Arial"/>
          <w:lang w:val="en-US"/>
        </w:rPr>
      </w:pPr>
      <w:r w:rsidRPr="00B149AE">
        <w:rPr>
          <w:rFonts w:cs="Arial"/>
          <w:lang w:val="en-US"/>
        </w:rPr>
        <w:t>[14]</w:t>
      </w:r>
      <w:r w:rsidRPr="00B149AE">
        <w:rPr>
          <w:rFonts w:cs="Arial"/>
          <w:lang w:val="en-US"/>
        </w:rPr>
        <w:tab/>
      </w:r>
      <w:r w:rsidR="00B149AE" w:rsidRPr="00B149AE">
        <w:rPr>
          <w:rFonts w:cs="Arial"/>
          <w:lang w:val="en-US"/>
        </w:rPr>
        <w:t xml:space="preserve">The respondent contends that </w:t>
      </w:r>
      <w:r w:rsidR="000D573D">
        <w:rPr>
          <w:rFonts w:cs="Arial"/>
          <w:lang w:val="en-US"/>
        </w:rPr>
        <w:t>i</w:t>
      </w:r>
      <w:r w:rsidR="00B149AE" w:rsidRPr="00B149AE">
        <w:rPr>
          <w:rFonts w:cs="Arial"/>
          <w:lang w:val="en-US"/>
        </w:rPr>
        <w:t xml:space="preserve">t has to protect its interests as its concerns are of a serious nature, well-grounded and stems from the mistrust created by the applicant’s </w:t>
      </w:r>
      <w:r w:rsidR="00B149AE" w:rsidRPr="009B5B48">
        <w:rPr>
          <w:rFonts w:cs="Arial"/>
          <w:i/>
          <w:lang w:val="en-US"/>
        </w:rPr>
        <w:t>mala fide</w:t>
      </w:r>
      <w:r w:rsidR="00B149AE" w:rsidRPr="00B149AE">
        <w:rPr>
          <w:rFonts w:cs="Arial"/>
          <w:lang w:val="en-US"/>
        </w:rPr>
        <w:t xml:space="preserve"> conduct in relation to how it terminated the agreement and its failure to make payment of the outstanding invoices before 20 March 2023.</w:t>
      </w:r>
    </w:p>
    <w:p w14:paraId="5DD04A87" w14:textId="7BD4CB9A" w:rsidR="00961897" w:rsidRDefault="00ED51A5" w:rsidP="00ED51A5">
      <w:pPr>
        <w:pStyle w:val="level11"/>
        <w:numPr>
          <w:ilvl w:val="0"/>
          <w:numId w:val="0"/>
        </w:numPr>
        <w:spacing w:after="480" w:line="360" w:lineRule="auto"/>
        <w:jc w:val="both"/>
        <w:rPr>
          <w:rFonts w:cs="Arial"/>
          <w:lang w:val="en-US"/>
        </w:rPr>
      </w:pPr>
      <w:r>
        <w:rPr>
          <w:rFonts w:cs="Arial"/>
          <w:lang w:val="en-US"/>
        </w:rPr>
        <w:t>[15]</w:t>
      </w:r>
      <w:r>
        <w:rPr>
          <w:rFonts w:cs="Arial"/>
          <w:lang w:val="en-US"/>
        </w:rPr>
        <w:tab/>
      </w:r>
      <w:r w:rsidR="00B149AE">
        <w:rPr>
          <w:rFonts w:cs="Arial"/>
          <w:lang w:val="en-US"/>
        </w:rPr>
        <w:t>The respondent in its heads of argument and in oral argument sought to rely on an alleged failure by the applicant to comply with</w:t>
      </w:r>
      <w:r w:rsidR="000160C4">
        <w:rPr>
          <w:rFonts w:cs="Arial"/>
          <w:lang w:val="en-US"/>
        </w:rPr>
        <w:t xml:space="preserve"> i</w:t>
      </w:r>
      <w:r w:rsidR="00B149AE">
        <w:rPr>
          <w:rFonts w:cs="Arial"/>
          <w:lang w:val="en-US"/>
        </w:rPr>
        <w:t>t</w:t>
      </w:r>
      <w:r w:rsidR="000160C4">
        <w:rPr>
          <w:rFonts w:cs="Arial"/>
          <w:lang w:val="en-US"/>
        </w:rPr>
        <w:t>s</w:t>
      </w:r>
      <w:r w:rsidR="00B149AE">
        <w:rPr>
          <w:rFonts w:cs="Arial"/>
          <w:lang w:val="en-US"/>
        </w:rPr>
        <w:t xml:space="preserve"> undertaking</w:t>
      </w:r>
      <w:r w:rsidR="000160C4">
        <w:rPr>
          <w:rFonts w:cs="Arial"/>
          <w:lang w:val="en-US"/>
        </w:rPr>
        <w:t xml:space="preserve"> to make payment within 60 days of the date of each invoice</w:t>
      </w:r>
      <w:r w:rsidR="00B149AE">
        <w:rPr>
          <w:rFonts w:cs="Arial"/>
          <w:lang w:val="en-US"/>
        </w:rPr>
        <w:t xml:space="preserve">. That </w:t>
      </w:r>
      <w:r w:rsidR="00B415BE">
        <w:rPr>
          <w:rFonts w:cs="Arial"/>
          <w:lang w:val="en-US"/>
        </w:rPr>
        <w:t xml:space="preserve">contention was not however addressed in the respondent’s affidavits and it is impermissible for </w:t>
      </w:r>
      <w:r w:rsidR="009B5B48">
        <w:rPr>
          <w:rFonts w:cs="Arial"/>
          <w:lang w:val="en-US"/>
        </w:rPr>
        <w:t xml:space="preserve">evidence on the issue </w:t>
      </w:r>
      <w:r w:rsidR="00B415BE">
        <w:rPr>
          <w:rFonts w:cs="Arial"/>
          <w:lang w:val="en-US"/>
        </w:rPr>
        <w:t>to be advanced informally from the bar</w:t>
      </w:r>
      <w:r w:rsidR="00C843F6">
        <w:rPr>
          <w:rFonts w:cs="Arial"/>
          <w:lang w:val="en-US"/>
        </w:rPr>
        <w:t xml:space="preserve"> at the hearing</w:t>
      </w:r>
      <w:r w:rsidR="00B415BE">
        <w:rPr>
          <w:rFonts w:cs="Arial"/>
          <w:lang w:val="en-US"/>
        </w:rPr>
        <w:t>.</w:t>
      </w:r>
    </w:p>
    <w:p w14:paraId="42C3167B" w14:textId="49C09304" w:rsidR="00C843F6" w:rsidRDefault="00ED51A5" w:rsidP="00ED51A5">
      <w:pPr>
        <w:pStyle w:val="level11"/>
        <w:numPr>
          <w:ilvl w:val="0"/>
          <w:numId w:val="0"/>
        </w:numPr>
        <w:spacing w:after="480" w:line="360" w:lineRule="auto"/>
        <w:jc w:val="both"/>
        <w:rPr>
          <w:rFonts w:cs="Arial"/>
          <w:lang w:val="en-US"/>
        </w:rPr>
      </w:pPr>
      <w:r>
        <w:rPr>
          <w:rFonts w:cs="Arial"/>
          <w:lang w:val="en-US"/>
        </w:rPr>
        <w:t>[16]</w:t>
      </w:r>
      <w:r>
        <w:rPr>
          <w:rFonts w:cs="Arial"/>
          <w:lang w:val="en-US"/>
        </w:rPr>
        <w:tab/>
      </w:r>
      <w:r w:rsidR="00961897">
        <w:rPr>
          <w:rFonts w:cs="Arial"/>
          <w:lang w:val="en-US"/>
        </w:rPr>
        <w:t>In re</w:t>
      </w:r>
      <w:r w:rsidR="008B6C77">
        <w:rPr>
          <w:rFonts w:cs="Arial"/>
          <w:lang w:val="en-US"/>
        </w:rPr>
        <w:t>sponse</w:t>
      </w:r>
      <w:r w:rsidR="00961897">
        <w:rPr>
          <w:rFonts w:cs="Arial"/>
          <w:lang w:val="en-US"/>
        </w:rPr>
        <w:t xml:space="preserve"> to the respondent’s reliance on a creditors’ lien, the applicant argues that the terms of the agreement</w:t>
      </w:r>
      <w:r w:rsidR="00961897" w:rsidRPr="00DD3EC6">
        <w:rPr>
          <w:rFonts w:cs="Arial"/>
          <w:lang w:val="en-US"/>
        </w:rPr>
        <w:t xml:space="preserve"> </w:t>
      </w:r>
      <w:r w:rsidR="00961897">
        <w:rPr>
          <w:rFonts w:cs="Arial"/>
          <w:lang w:val="en-US"/>
        </w:rPr>
        <w:t xml:space="preserve">do not permit the respondent to have a </w:t>
      </w:r>
      <w:r w:rsidR="008B6C77">
        <w:rPr>
          <w:rFonts w:cs="Arial"/>
          <w:lang w:val="en-US"/>
        </w:rPr>
        <w:t xml:space="preserve">debtor and </w:t>
      </w:r>
      <w:r w:rsidR="00961897">
        <w:rPr>
          <w:rFonts w:cs="Arial"/>
          <w:lang w:val="en-US"/>
        </w:rPr>
        <w:t xml:space="preserve">creditor lien as it expressly provides that the respondent has no rights, title or interest in any intellectual property of the applicant except as allowed by the agreement. </w:t>
      </w:r>
    </w:p>
    <w:p w14:paraId="37336A90" w14:textId="76D44DFB" w:rsidR="00961897" w:rsidRPr="00DD3EC6" w:rsidRDefault="00ED51A5" w:rsidP="00ED51A5">
      <w:pPr>
        <w:pStyle w:val="level11"/>
        <w:numPr>
          <w:ilvl w:val="0"/>
          <w:numId w:val="0"/>
        </w:numPr>
        <w:spacing w:after="480" w:line="360" w:lineRule="auto"/>
        <w:jc w:val="both"/>
        <w:rPr>
          <w:rFonts w:cs="Arial"/>
          <w:lang w:val="en-US"/>
        </w:rPr>
      </w:pPr>
      <w:r w:rsidRPr="00DD3EC6">
        <w:rPr>
          <w:rFonts w:cs="Arial"/>
          <w:lang w:val="en-US"/>
        </w:rPr>
        <w:lastRenderedPageBreak/>
        <w:t>[17]</w:t>
      </w:r>
      <w:r w:rsidRPr="00DD3EC6">
        <w:rPr>
          <w:rFonts w:cs="Arial"/>
          <w:lang w:val="en-US"/>
        </w:rPr>
        <w:tab/>
      </w:r>
      <w:r w:rsidR="00961897">
        <w:rPr>
          <w:rFonts w:cs="Arial"/>
          <w:lang w:val="en-US"/>
        </w:rPr>
        <w:t xml:space="preserve">It is further argued the agreement is </w:t>
      </w:r>
      <w:r w:rsidR="00961897" w:rsidRPr="00DD3EC6">
        <w:rPr>
          <w:rFonts w:cs="Arial"/>
          <w:lang w:val="en-US"/>
        </w:rPr>
        <w:t xml:space="preserve">inconsistent with the lien contended for by the </w:t>
      </w:r>
      <w:r w:rsidR="00961897">
        <w:rPr>
          <w:rFonts w:cs="Arial"/>
          <w:lang w:val="en-US"/>
        </w:rPr>
        <w:t>r</w:t>
      </w:r>
      <w:r w:rsidR="00961897" w:rsidRPr="00DD3EC6">
        <w:rPr>
          <w:rFonts w:cs="Arial"/>
          <w:lang w:val="en-US"/>
        </w:rPr>
        <w:t>espondent</w:t>
      </w:r>
      <w:r w:rsidR="00961897">
        <w:rPr>
          <w:rFonts w:cs="Arial"/>
          <w:lang w:val="en-US"/>
        </w:rPr>
        <w:t xml:space="preserve"> as the agreement requires the respondent to deliver the assets to the application on termination of the agreement regardless of any dispute between the parties</w:t>
      </w:r>
      <w:r w:rsidR="00961897" w:rsidRPr="00DD3EC6">
        <w:rPr>
          <w:rFonts w:cs="Arial"/>
          <w:lang w:val="en-US"/>
        </w:rPr>
        <w:t>.</w:t>
      </w:r>
      <w:r w:rsidR="00961897">
        <w:rPr>
          <w:rFonts w:cs="Arial"/>
          <w:lang w:val="en-US"/>
        </w:rPr>
        <w:t xml:space="preserve"> </w:t>
      </w:r>
      <w:r w:rsidR="00961897" w:rsidRPr="00DD3EC6">
        <w:rPr>
          <w:rFonts w:cs="Arial"/>
          <w:lang w:val="en-US"/>
        </w:rPr>
        <w:t xml:space="preserve"> </w:t>
      </w:r>
    </w:p>
    <w:p w14:paraId="7BB322F2" w14:textId="63275427" w:rsidR="00C843F6" w:rsidRDefault="00ED51A5" w:rsidP="00ED51A5">
      <w:pPr>
        <w:pStyle w:val="level11"/>
        <w:numPr>
          <w:ilvl w:val="0"/>
          <w:numId w:val="0"/>
        </w:numPr>
        <w:spacing w:after="480" w:line="360" w:lineRule="auto"/>
        <w:jc w:val="both"/>
        <w:rPr>
          <w:rFonts w:cs="Arial"/>
          <w:lang w:val="en-US"/>
        </w:rPr>
      </w:pPr>
      <w:r>
        <w:rPr>
          <w:rFonts w:cs="Arial"/>
          <w:lang w:val="en-US"/>
        </w:rPr>
        <w:t>[18]</w:t>
      </w:r>
      <w:r>
        <w:rPr>
          <w:rFonts w:cs="Arial"/>
          <w:lang w:val="en-US"/>
        </w:rPr>
        <w:tab/>
      </w:r>
      <w:r w:rsidR="00961897">
        <w:rPr>
          <w:rFonts w:cs="Arial"/>
          <w:lang w:val="en-US"/>
        </w:rPr>
        <w:t xml:space="preserve">After the hearing, </w:t>
      </w:r>
      <w:r w:rsidR="008B6C77">
        <w:rPr>
          <w:rFonts w:cs="Arial"/>
          <w:lang w:val="en-US"/>
        </w:rPr>
        <w:t xml:space="preserve">without seeking or obtaining the court’s or the applicant’s consent, </w:t>
      </w:r>
      <w:r w:rsidR="00961897">
        <w:rPr>
          <w:rFonts w:cs="Arial"/>
          <w:lang w:val="en-US"/>
        </w:rPr>
        <w:t xml:space="preserve">the respondent delivered supplementary written submissions dealing with the applicant’s contention that the lien relied on was inconsistent with the agreement, purportedly on the basis that the applicant at the hearing sought and obtained leave to refer to additional authorities. </w:t>
      </w:r>
    </w:p>
    <w:p w14:paraId="79F295F3" w14:textId="3A86DF0A" w:rsidR="00B149AE" w:rsidRDefault="00ED51A5" w:rsidP="00ED51A5">
      <w:pPr>
        <w:pStyle w:val="level11"/>
        <w:numPr>
          <w:ilvl w:val="0"/>
          <w:numId w:val="0"/>
        </w:numPr>
        <w:spacing w:after="480" w:line="360" w:lineRule="auto"/>
        <w:jc w:val="both"/>
        <w:rPr>
          <w:rFonts w:cs="Arial"/>
          <w:lang w:val="en-US"/>
        </w:rPr>
      </w:pPr>
      <w:r>
        <w:rPr>
          <w:rFonts w:cs="Arial"/>
          <w:lang w:val="en-US"/>
        </w:rPr>
        <w:t>[19]</w:t>
      </w:r>
      <w:r>
        <w:rPr>
          <w:rFonts w:cs="Arial"/>
          <w:lang w:val="en-US"/>
        </w:rPr>
        <w:tab/>
      </w:r>
      <w:r w:rsidR="00961897">
        <w:rPr>
          <w:rFonts w:cs="Arial"/>
          <w:lang w:val="en-US"/>
        </w:rPr>
        <w:t>The applicant’s argument pertaining to the inconsistency with the lien with the agreement was however already squarely raised in its heads of argument</w:t>
      </w:r>
      <w:r w:rsidR="00D23C22" w:rsidRPr="00D23C22">
        <w:rPr>
          <w:rFonts w:cs="Arial"/>
          <w:lang w:val="en-US"/>
        </w:rPr>
        <w:t xml:space="preserve"> </w:t>
      </w:r>
      <w:r w:rsidR="00D23C22">
        <w:rPr>
          <w:rFonts w:cs="Arial"/>
          <w:lang w:val="en-US"/>
        </w:rPr>
        <w:t>and the approach adopted by the respondent is inappropriate</w:t>
      </w:r>
      <w:r w:rsidR="00961897">
        <w:rPr>
          <w:rFonts w:cs="Arial"/>
          <w:lang w:val="en-US"/>
        </w:rPr>
        <w:t>. Inasmuch as reference was made to a clause of the agreement, the agreement should be considered as a whole.</w:t>
      </w:r>
      <w:r w:rsidR="00B415BE">
        <w:rPr>
          <w:rFonts w:cs="Arial"/>
          <w:lang w:val="en-US"/>
        </w:rPr>
        <w:t xml:space="preserve">  </w:t>
      </w:r>
      <w:r w:rsidR="00B149AE">
        <w:rPr>
          <w:rFonts w:cs="Arial"/>
          <w:lang w:val="en-US"/>
        </w:rPr>
        <w:t xml:space="preserve"> </w:t>
      </w:r>
    </w:p>
    <w:p w14:paraId="2D8A80A4" w14:textId="4AC31EF1" w:rsidR="00BA493D" w:rsidRDefault="00ED51A5" w:rsidP="00ED51A5">
      <w:pPr>
        <w:pStyle w:val="level11"/>
        <w:numPr>
          <w:ilvl w:val="0"/>
          <w:numId w:val="0"/>
        </w:numPr>
        <w:spacing w:after="480" w:line="360" w:lineRule="auto"/>
        <w:jc w:val="both"/>
        <w:rPr>
          <w:rFonts w:cs="Arial"/>
          <w:lang w:val="en-US"/>
        </w:rPr>
      </w:pPr>
      <w:r>
        <w:rPr>
          <w:rFonts w:cs="Arial"/>
          <w:lang w:val="en-US"/>
        </w:rPr>
        <w:t>[20]</w:t>
      </w:r>
      <w:r>
        <w:rPr>
          <w:rFonts w:cs="Arial"/>
          <w:lang w:val="en-US"/>
        </w:rPr>
        <w:tab/>
      </w:r>
      <w:r w:rsidR="008B6C77">
        <w:rPr>
          <w:lang w:val="en-US"/>
        </w:rPr>
        <w:t xml:space="preserve">It is apposite to refer to certain principles before dealing with the merits. </w:t>
      </w:r>
      <w:r w:rsidR="00BA493D">
        <w:rPr>
          <w:lang w:val="en-US"/>
        </w:rPr>
        <w:t xml:space="preserve">As the applicants seek final relief, the so called </w:t>
      </w:r>
      <w:r w:rsidR="00BA493D" w:rsidRPr="006F20E3">
        <w:rPr>
          <w:i/>
          <w:lang w:val="en-US"/>
        </w:rPr>
        <w:t>Plascon Evans</w:t>
      </w:r>
      <w:r w:rsidR="00BA493D">
        <w:rPr>
          <w:lang w:val="en-US"/>
        </w:rPr>
        <w:t xml:space="preserve"> test must be applied. It requires a consideration of whether the applicants are entitled to relief on the admitted facts in the applicant’s affidavit together with the version of the respondents, unless the latter version is so palpably false or untenable that it can be rejected on the papers</w:t>
      </w:r>
      <w:r w:rsidR="004344F9">
        <w:rPr>
          <w:lang w:val="en-US"/>
        </w:rPr>
        <w:t>.</w:t>
      </w:r>
      <w:r w:rsidR="00BA493D">
        <w:rPr>
          <w:rStyle w:val="FootnoteReference"/>
          <w:lang w:val="en-US"/>
        </w:rPr>
        <w:footnoteReference w:id="6"/>
      </w:r>
    </w:p>
    <w:p w14:paraId="53D00D61" w14:textId="2B67DE2D" w:rsidR="00B149AE" w:rsidRPr="00EE78B5" w:rsidRDefault="00ED51A5" w:rsidP="00ED51A5">
      <w:pPr>
        <w:pStyle w:val="level11"/>
        <w:numPr>
          <w:ilvl w:val="0"/>
          <w:numId w:val="0"/>
        </w:numPr>
        <w:spacing w:after="480" w:line="360" w:lineRule="auto"/>
        <w:jc w:val="both"/>
      </w:pPr>
      <w:r w:rsidRPr="00EE78B5">
        <w:t>[21]</w:t>
      </w:r>
      <w:r w:rsidRPr="00EE78B5">
        <w:tab/>
      </w:r>
      <w:r w:rsidR="00B149AE" w:rsidRPr="00C843F6">
        <w:rPr>
          <w:lang w:val="en-US"/>
        </w:rPr>
        <w:t>The requirements for final interdictory relief are trite.</w:t>
      </w:r>
      <w:r w:rsidR="00B149AE">
        <w:rPr>
          <w:rStyle w:val="FootnoteReference"/>
          <w:lang w:val="en-US"/>
        </w:rPr>
        <w:footnoteReference w:id="7"/>
      </w:r>
      <w:r w:rsidR="00B149AE" w:rsidRPr="00C843F6">
        <w:rPr>
          <w:lang w:val="en-US"/>
        </w:rPr>
        <w:t xml:space="preserve"> </w:t>
      </w:r>
      <w:r w:rsidR="00C843F6">
        <w:rPr>
          <w:lang w:val="en-US"/>
        </w:rPr>
        <w:t>T</w:t>
      </w:r>
      <w:r w:rsidR="00B149AE" w:rsidRPr="00C843F6">
        <w:rPr>
          <w:lang w:val="en-US"/>
        </w:rPr>
        <w:t>hey are: (i) a clear right on the part of the applicant; (ii) an injury actually committed or reasonably apprehended; and (iii) the absence of any other satisfactory remedy.</w:t>
      </w:r>
    </w:p>
    <w:p w14:paraId="6F9E19C0" w14:textId="2CCFF6BF" w:rsidR="00B149AE" w:rsidRDefault="00B149AE" w:rsidP="00CB1701">
      <w:pPr>
        <w:pStyle w:val="level11"/>
        <w:numPr>
          <w:ilvl w:val="0"/>
          <w:numId w:val="0"/>
        </w:numPr>
        <w:spacing w:after="480" w:line="360" w:lineRule="auto"/>
        <w:jc w:val="both"/>
        <w:rPr>
          <w:rFonts w:cs="Arial"/>
          <w:i/>
          <w:lang w:val="en-US"/>
        </w:rPr>
      </w:pPr>
      <w:r w:rsidRPr="003D7207">
        <w:rPr>
          <w:rFonts w:cs="Arial"/>
          <w:i/>
          <w:lang w:val="en-US"/>
        </w:rPr>
        <w:lastRenderedPageBreak/>
        <w:t>Has the applicant established a clear right?</w:t>
      </w:r>
    </w:p>
    <w:p w14:paraId="4F243AD0" w14:textId="1CF984C9" w:rsidR="00B61BE4" w:rsidRPr="00DF70FA" w:rsidRDefault="00ED51A5" w:rsidP="00ED51A5">
      <w:pPr>
        <w:pStyle w:val="level11"/>
        <w:numPr>
          <w:ilvl w:val="0"/>
          <w:numId w:val="0"/>
        </w:numPr>
        <w:spacing w:after="480" w:line="360" w:lineRule="auto"/>
        <w:jc w:val="both"/>
        <w:rPr>
          <w:rFonts w:cs="Arial"/>
          <w:lang w:val="en-US"/>
        </w:rPr>
      </w:pPr>
      <w:r w:rsidRPr="00DF70FA">
        <w:rPr>
          <w:rFonts w:cs="Arial"/>
          <w:lang w:val="en-US"/>
        </w:rPr>
        <w:t>[22]</w:t>
      </w:r>
      <w:r w:rsidRPr="00DF70FA">
        <w:rPr>
          <w:rFonts w:cs="Arial"/>
          <w:lang w:val="en-US"/>
        </w:rPr>
        <w:tab/>
      </w:r>
      <w:r w:rsidR="00B61BE4" w:rsidRPr="00DF70FA">
        <w:rPr>
          <w:rFonts w:cs="Arial"/>
          <w:lang w:val="en-US"/>
        </w:rPr>
        <w:t xml:space="preserve">It is trite that in considering the agreement it is necessary to </w:t>
      </w:r>
      <w:r w:rsidR="00B61BE4" w:rsidRPr="00DF70FA">
        <w:rPr>
          <w:lang w:val="en-US"/>
        </w:rPr>
        <w:t>adopt a linguistic, contextual and purposive approach</w:t>
      </w:r>
      <w:r w:rsidR="004344F9">
        <w:rPr>
          <w:lang w:val="en-US"/>
        </w:rPr>
        <w:t>.</w:t>
      </w:r>
      <w:r w:rsidR="00B61BE4">
        <w:rPr>
          <w:rStyle w:val="FootnoteReference"/>
          <w:lang w:val="en-US"/>
        </w:rPr>
        <w:footnoteReference w:id="8"/>
      </w:r>
      <w:r w:rsidR="00B61BE4">
        <w:rPr>
          <w:lang w:val="en-US"/>
        </w:rPr>
        <w:t xml:space="preserve"> </w:t>
      </w:r>
      <w:r w:rsidR="00B61BE4" w:rsidRPr="00DF70FA">
        <w:rPr>
          <w:rFonts w:cs="Arial"/>
          <w:lang w:val="en-US"/>
        </w:rPr>
        <w:t xml:space="preserve">As explained by </w:t>
      </w:r>
      <w:r w:rsidR="00B61BE4">
        <w:rPr>
          <w:rFonts w:cs="Arial"/>
          <w:lang w:val="en-US"/>
        </w:rPr>
        <w:t>the Supreme Court of Appeal</w:t>
      </w:r>
      <w:r w:rsidR="00B61BE4" w:rsidRPr="00DF70FA">
        <w:rPr>
          <w:rFonts w:cs="Arial"/>
          <w:lang w:val="en-US"/>
        </w:rPr>
        <w:t xml:space="preserve"> in </w:t>
      </w:r>
      <w:r w:rsidR="00B61BE4" w:rsidRPr="00B61BE4">
        <w:rPr>
          <w:rFonts w:cs="Arial"/>
          <w:i/>
          <w:lang w:val="en-US"/>
        </w:rPr>
        <w:t>Coral Lagoon</w:t>
      </w:r>
      <w:r w:rsidR="004344F9">
        <w:rPr>
          <w:rFonts w:cs="Arial"/>
          <w:i/>
          <w:lang w:val="en-US"/>
        </w:rPr>
        <w:t>:</w:t>
      </w:r>
      <w:r w:rsidR="00B61BE4" w:rsidRPr="00DF70FA">
        <w:rPr>
          <w:rFonts w:cs="Arial"/>
          <w:i/>
          <w:vertAlign w:val="superscript"/>
          <w:lang w:val="en-US"/>
        </w:rPr>
        <w:footnoteReference w:id="9"/>
      </w:r>
    </w:p>
    <w:p w14:paraId="3BF125F0" w14:textId="77777777" w:rsidR="00B61BE4" w:rsidRPr="00DF70FA" w:rsidRDefault="00B61BE4" w:rsidP="00B61BE4">
      <w:pPr>
        <w:pStyle w:val="level11"/>
        <w:numPr>
          <w:ilvl w:val="0"/>
          <w:numId w:val="0"/>
        </w:numPr>
        <w:spacing w:after="480"/>
        <w:ind w:left="360"/>
        <w:jc w:val="both"/>
        <w:rPr>
          <w:rFonts w:cs="Arial"/>
          <w:i/>
          <w:sz w:val="20"/>
          <w:szCs w:val="20"/>
          <w:lang w:val="en-US"/>
        </w:rPr>
      </w:pPr>
      <w:r>
        <w:rPr>
          <w:rFonts w:cs="Arial"/>
          <w:lang w:val="en-US"/>
        </w:rPr>
        <w:t>“</w:t>
      </w:r>
      <w:r w:rsidRPr="00DF70FA">
        <w:rPr>
          <w:rFonts w:cs="Arial"/>
          <w:i/>
          <w:sz w:val="20"/>
          <w:szCs w:val="20"/>
          <w:lang w:val="en-US"/>
        </w:rPr>
        <w:t>The interpretation of the words used in the agreement must be approached by considering the language used, understood in the context in which it is used and having regard to the purpose of the provision that constitutes the unitary exercise of interpretation. The triad of text, context and purpose should not be used in a mechanical fashion, but with consideration of the relationship between the words used, the concepts expressed by those words and the place of the contested provision within the scheme of the agreement as a whole. The inevitable point of departure is the language of the provision itself.</w:t>
      </w:r>
    </w:p>
    <w:p w14:paraId="2D494301" w14:textId="6883A262" w:rsidR="00B61BE4" w:rsidRPr="00D21585" w:rsidRDefault="00ED51A5" w:rsidP="00ED51A5">
      <w:pPr>
        <w:pStyle w:val="level11"/>
        <w:numPr>
          <w:ilvl w:val="0"/>
          <w:numId w:val="0"/>
        </w:numPr>
        <w:spacing w:after="480" w:line="360" w:lineRule="auto"/>
        <w:jc w:val="both"/>
        <w:rPr>
          <w:rFonts w:cs="Arial"/>
          <w:lang w:val="en-US"/>
        </w:rPr>
      </w:pPr>
      <w:r w:rsidRPr="00D21585">
        <w:rPr>
          <w:rFonts w:cs="Arial"/>
          <w:lang w:val="en-US"/>
        </w:rPr>
        <w:t>[23]</w:t>
      </w:r>
      <w:r w:rsidRPr="00D21585">
        <w:rPr>
          <w:rFonts w:cs="Arial"/>
          <w:lang w:val="en-US"/>
        </w:rPr>
        <w:tab/>
      </w:r>
      <w:r w:rsidR="00B61BE4">
        <w:rPr>
          <w:rFonts w:cs="Arial"/>
          <w:lang w:val="en-US"/>
        </w:rPr>
        <w:t xml:space="preserve">As further held in </w:t>
      </w:r>
      <w:r w:rsidR="00B61BE4" w:rsidRPr="00D47217">
        <w:rPr>
          <w:rFonts w:cs="Arial"/>
          <w:i/>
          <w:lang w:val="en-US"/>
        </w:rPr>
        <w:t>C</w:t>
      </w:r>
      <w:r w:rsidR="00B61BE4">
        <w:rPr>
          <w:rFonts w:cs="Arial"/>
          <w:i/>
          <w:lang w:val="en-US"/>
        </w:rPr>
        <w:t>oral Lagoon</w:t>
      </w:r>
      <w:r w:rsidR="004344F9">
        <w:rPr>
          <w:rFonts w:cs="Arial"/>
          <w:i/>
          <w:lang w:val="en-US"/>
        </w:rPr>
        <w:t>,</w:t>
      </w:r>
      <w:r w:rsidR="00B61BE4">
        <w:rPr>
          <w:rStyle w:val="FootnoteReference"/>
          <w:rFonts w:cs="Arial"/>
          <w:lang w:val="en-US"/>
        </w:rPr>
        <w:footnoteReference w:id="10"/>
      </w:r>
      <w:r w:rsidR="004344F9">
        <w:rPr>
          <w:rFonts w:cs="Arial"/>
          <w:i/>
          <w:lang w:val="en-US"/>
        </w:rPr>
        <w:t xml:space="preserve"> </w:t>
      </w:r>
      <w:r w:rsidR="008B6C77" w:rsidRPr="008B6C77">
        <w:rPr>
          <w:rFonts w:cs="Arial"/>
          <w:lang w:val="en-US"/>
        </w:rPr>
        <w:t xml:space="preserve">in considering </w:t>
      </w:r>
      <w:r w:rsidR="00B61BE4">
        <w:rPr>
          <w:rFonts w:cs="Arial"/>
          <w:i/>
          <w:lang w:val="en-US"/>
        </w:rPr>
        <w:t xml:space="preserve"> </w:t>
      </w:r>
      <w:r w:rsidR="00B61BE4">
        <w:rPr>
          <w:rFonts w:cs="Arial"/>
          <w:lang w:val="en-US"/>
        </w:rPr>
        <w:t>the meaning of a contested term in a contract</w:t>
      </w:r>
      <w:r w:rsidR="008B6C77">
        <w:rPr>
          <w:rFonts w:cs="Arial"/>
          <w:lang w:val="en-US"/>
        </w:rPr>
        <w:t>,</w:t>
      </w:r>
      <w:r w:rsidR="00B61BE4">
        <w:rPr>
          <w:rFonts w:cs="Arial"/>
          <w:lang w:val="en-US"/>
        </w:rPr>
        <w:t xml:space="preserve"> it is also necessary to</w:t>
      </w:r>
      <w:r w:rsidR="00B61BE4" w:rsidRPr="00D21585">
        <w:rPr>
          <w:rFonts w:cs="Arial"/>
          <w:lang w:val="en-US"/>
        </w:rPr>
        <w:t xml:space="preserve"> consider what the design is of the agreement and how its architects chose words and concepts to give effect to that design. </w:t>
      </w:r>
    </w:p>
    <w:p w14:paraId="6E9C3688" w14:textId="19BC5132" w:rsidR="00B61BE4" w:rsidRDefault="00ED51A5" w:rsidP="00ED51A5">
      <w:pPr>
        <w:pStyle w:val="level11"/>
        <w:numPr>
          <w:ilvl w:val="0"/>
          <w:numId w:val="0"/>
        </w:numPr>
        <w:spacing w:after="480" w:line="360" w:lineRule="auto"/>
        <w:jc w:val="both"/>
        <w:rPr>
          <w:rFonts w:cs="Arial"/>
          <w:lang w:val="en-US"/>
        </w:rPr>
      </w:pPr>
      <w:r>
        <w:rPr>
          <w:rFonts w:cs="Arial"/>
          <w:lang w:val="en-US"/>
        </w:rPr>
        <w:t>[24]</w:t>
      </w:r>
      <w:r>
        <w:rPr>
          <w:rFonts w:cs="Arial"/>
          <w:lang w:val="en-US"/>
        </w:rPr>
        <w:tab/>
      </w:r>
      <w:r w:rsidR="00B61BE4" w:rsidRPr="00D8095A">
        <w:rPr>
          <w:rFonts w:cs="Arial"/>
          <w:lang w:val="en-US"/>
        </w:rPr>
        <w:t>In applying those principles to the agreement, the exercise as to proper interpretation cannot be l</w:t>
      </w:r>
      <w:r w:rsidR="00B61BE4">
        <w:rPr>
          <w:rFonts w:cs="Arial"/>
          <w:lang w:val="en-US"/>
        </w:rPr>
        <w:t>imi</w:t>
      </w:r>
      <w:r w:rsidR="00B61BE4" w:rsidRPr="00D8095A">
        <w:rPr>
          <w:rFonts w:cs="Arial"/>
          <w:lang w:val="en-US"/>
        </w:rPr>
        <w:t xml:space="preserve">ted to </w:t>
      </w:r>
      <w:r w:rsidR="00B61BE4">
        <w:rPr>
          <w:rFonts w:cs="Arial"/>
          <w:lang w:val="en-US"/>
        </w:rPr>
        <w:t xml:space="preserve">a narrow interpretation of </w:t>
      </w:r>
      <w:r w:rsidR="00B61BE4" w:rsidRPr="00D8095A">
        <w:rPr>
          <w:rFonts w:cs="Arial"/>
          <w:lang w:val="en-US"/>
        </w:rPr>
        <w:t>the text only</w:t>
      </w:r>
      <w:r w:rsidR="00B61BE4">
        <w:rPr>
          <w:rFonts w:cs="Arial"/>
          <w:lang w:val="en-US"/>
        </w:rPr>
        <w:t>. A consideration of the words used in clauses 24.1.1 and 30.2</w:t>
      </w:r>
      <w:r w:rsidR="008B6C77">
        <w:rPr>
          <w:rFonts w:cs="Arial"/>
          <w:lang w:val="en-US"/>
        </w:rPr>
        <w:t>,</w:t>
      </w:r>
      <w:r w:rsidR="00B61BE4">
        <w:rPr>
          <w:rFonts w:cs="Arial"/>
          <w:lang w:val="en-US"/>
        </w:rPr>
        <w:t xml:space="preserve"> relied on heavily by the respondent</w:t>
      </w:r>
      <w:r w:rsidR="008B6C77">
        <w:rPr>
          <w:rFonts w:cs="Arial"/>
          <w:lang w:val="en-US"/>
        </w:rPr>
        <w:t>,</w:t>
      </w:r>
      <w:r w:rsidR="00B61BE4">
        <w:rPr>
          <w:rFonts w:cs="Arial"/>
          <w:lang w:val="en-US"/>
        </w:rPr>
        <w:t xml:space="preserve"> in isolation without considering context, is worthless</w:t>
      </w:r>
      <w:r w:rsidR="004344F9">
        <w:rPr>
          <w:rFonts w:cs="Arial"/>
          <w:lang w:val="en-US"/>
        </w:rPr>
        <w:t>.</w:t>
      </w:r>
      <w:r w:rsidR="00B61BE4">
        <w:rPr>
          <w:rStyle w:val="FootnoteReference"/>
          <w:rFonts w:cs="Arial"/>
          <w:lang w:val="en-US"/>
        </w:rPr>
        <w:footnoteReference w:id="11"/>
      </w:r>
      <w:r w:rsidR="00B61BE4">
        <w:rPr>
          <w:rFonts w:cs="Arial"/>
          <w:lang w:val="en-US"/>
        </w:rPr>
        <w:t xml:space="preserve"> However, the express wording of an agreement on the other hand also cannot simply be ignored in the interpretation exercise.</w:t>
      </w:r>
    </w:p>
    <w:p w14:paraId="1D470A53" w14:textId="7FF29EA0" w:rsidR="00800424" w:rsidRDefault="00ED51A5" w:rsidP="00ED51A5">
      <w:pPr>
        <w:pStyle w:val="level11"/>
        <w:numPr>
          <w:ilvl w:val="0"/>
          <w:numId w:val="0"/>
        </w:numPr>
        <w:spacing w:after="480" w:line="360" w:lineRule="auto"/>
        <w:jc w:val="both"/>
        <w:rPr>
          <w:rFonts w:cs="Arial"/>
          <w:lang w:val="en-US"/>
        </w:rPr>
      </w:pPr>
      <w:r>
        <w:rPr>
          <w:rFonts w:cs="Arial"/>
          <w:lang w:val="en-US"/>
        </w:rPr>
        <w:t>[25]</w:t>
      </w:r>
      <w:r>
        <w:rPr>
          <w:rFonts w:cs="Arial"/>
          <w:lang w:val="en-US"/>
        </w:rPr>
        <w:tab/>
      </w:r>
      <w:r w:rsidR="00800424">
        <w:rPr>
          <w:rFonts w:cs="Arial"/>
          <w:lang w:val="en-US"/>
        </w:rPr>
        <w:t xml:space="preserve">In arguing that the applicant has failed to illustrate a clear right, the respondent relies on clause 24.1.1 of the agreement. It argues that the clause does not stipulate a timeline for the surrender and that it was arranged for surrender of the assets against payment of the invoices. It is argued that the applicant does not have the right to have </w:t>
      </w:r>
      <w:r w:rsidR="00800424">
        <w:rPr>
          <w:rFonts w:cs="Arial"/>
          <w:lang w:val="en-US"/>
        </w:rPr>
        <w:lastRenderedPageBreak/>
        <w:t xml:space="preserve">the assets surrendered without payment and only has the right that arrangements be made to surrender the assets. </w:t>
      </w:r>
      <w:r w:rsidR="00CB1701">
        <w:rPr>
          <w:rFonts w:cs="Arial"/>
          <w:lang w:val="en-US"/>
        </w:rPr>
        <w:t>T</w:t>
      </w:r>
      <w:r w:rsidR="00800424">
        <w:rPr>
          <w:rFonts w:cs="Arial"/>
          <w:lang w:val="en-US"/>
        </w:rPr>
        <w:t xml:space="preserve">he respondent </w:t>
      </w:r>
      <w:r w:rsidR="00CB1701">
        <w:rPr>
          <w:rFonts w:cs="Arial"/>
          <w:lang w:val="en-US"/>
        </w:rPr>
        <w:t xml:space="preserve">further </w:t>
      </w:r>
      <w:r w:rsidR="000D573D">
        <w:rPr>
          <w:rFonts w:cs="Arial"/>
          <w:lang w:val="en-US"/>
        </w:rPr>
        <w:t>contended</w:t>
      </w:r>
      <w:r w:rsidR="00800424">
        <w:rPr>
          <w:rFonts w:cs="Arial"/>
          <w:lang w:val="en-US"/>
        </w:rPr>
        <w:t xml:space="preserve"> that it has provided the assets </w:t>
      </w:r>
      <w:r w:rsidR="000D573D">
        <w:rPr>
          <w:rFonts w:cs="Arial"/>
          <w:lang w:val="en-US"/>
        </w:rPr>
        <w:t xml:space="preserve">to the applicant </w:t>
      </w:r>
      <w:r w:rsidR="00800424">
        <w:rPr>
          <w:rFonts w:cs="Arial"/>
          <w:lang w:val="en-US"/>
        </w:rPr>
        <w:t xml:space="preserve">in the form of monthly contact calenders. </w:t>
      </w:r>
    </w:p>
    <w:p w14:paraId="2B095BC0" w14:textId="74EB3F91" w:rsidR="00800424" w:rsidRDefault="00ED51A5" w:rsidP="00ED51A5">
      <w:pPr>
        <w:pStyle w:val="level11"/>
        <w:numPr>
          <w:ilvl w:val="0"/>
          <w:numId w:val="0"/>
        </w:numPr>
        <w:spacing w:after="480" w:line="360" w:lineRule="auto"/>
        <w:jc w:val="both"/>
        <w:rPr>
          <w:rFonts w:cs="Arial"/>
          <w:lang w:val="en-US"/>
        </w:rPr>
      </w:pPr>
      <w:r>
        <w:rPr>
          <w:rFonts w:cs="Arial"/>
          <w:lang w:val="en-US"/>
        </w:rPr>
        <w:t>[26]</w:t>
      </w:r>
      <w:r>
        <w:rPr>
          <w:rFonts w:cs="Arial"/>
          <w:lang w:val="en-US"/>
        </w:rPr>
        <w:tab/>
      </w:r>
      <w:r w:rsidR="00800424">
        <w:rPr>
          <w:rFonts w:cs="Arial"/>
          <w:lang w:val="en-US"/>
        </w:rPr>
        <w:t>In my view, these arguments do not bear scrutiny.</w:t>
      </w:r>
      <w:r w:rsidR="003C1577">
        <w:rPr>
          <w:rFonts w:cs="Arial"/>
          <w:lang w:val="en-US"/>
        </w:rPr>
        <w:t xml:space="preserve"> Clause 24.1.1 cannot be read in isolation, as the respondent seeks to do. </w:t>
      </w:r>
      <w:r w:rsidR="00800424">
        <w:rPr>
          <w:rFonts w:cs="Arial"/>
          <w:lang w:val="en-US"/>
        </w:rPr>
        <w:t xml:space="preserve"> Read in context </w:t>
      </w:r>
      <w:r w:rsidR="005200ED">
        <w:rPr>
          <w:rFonts w:cs="Arial"/>
          <w:lang w:val="en-US"/>
        </w:rPr>
        <w:t>and taking consideration of</w:t>
      </w:r>
      <w:r w:rsidR="003C1577">
        <w:rPr>
          <w:rFonts w:cs="Arial"/>
          <w:lang w:val="en-US"/>
        </w:rPr>
        <w:t xml:space="preserve"> clause 15.3.1, </w:t>
      </w:r>
      <w:r w:rsidR="00800424">
        <w:rPr>
          <w:rFonts w:cs="Arial"/>
          <w:lang w:val="en-US"/>
        </w:rPr>
        <w:t xml:space="preserve">the agreement places the obligation on the respondent to surrender the assets to the applicant on </w:t>
      </w:r>
      <w:r w:rsidR="003C1577">
        <w:rPr>
          <w:rFonts w:cs="Arial"/>
          <w:lang w:val="en-US"/>
        </w:rPr>
        <w:t>request</w:t>
      </w:r>
      <w:r w:rsidR="00800424">
        <w:rPr>
          <w:rFonts w:cs="Arial"/>
          <w:lang w:val="en-US"/>
        </w:rPr>
        <w:t xml:space="preserve">, </w:t>
      </w:r>
      <w:r w:rsidR="003C1577">
        <w:rPr>
          <w:rFonts w:cs="Arial"/>
          <w:lang w:val="en-US"/>
        </w:rPr>
        <w:t xml:space="preserve">in any event within 10 business days of termination of the agreement. Under clause 16, the applicant can </w:t>
      </w:r>
      <w:r w:rsidR="000D573D">
        <w:rPr>
          <w:rFonts w:cs="Arial"/>
          <w:lang w:val="en-US"/>
        </w:rPr>
        <w:t xml:space="preserve">further </w:t>
      </w:r>
      <w:r w:rsidR="003C1577">
        <w:rPr>
          <w:rFonts w:cs="Arial"/>
          <w:lang w:val="en-US"/>
        </w:rPr>
        <w:t>request the assets within 5 business days</w:t>
      </w:r>
      <w:r w:rsidR="00B61BE4">
        <w:rPr>
          <w:rFonts w:cs="Arial"/>
          <w:lang w:val="en-US"/>
        </w:rPr>
        <w:t xml:space="preserve"> during the currency of the agreement and the respondent is obliged to provide them</w:t>
      </w:r>
      <w:r w:rsidR="003C1577">
        <w:rPr>
          <w:rFonts w:cs="Arial"/>
          <w:lang w:val="en-US"/>
        </w:rPr>
        <w:t>.</w:t>
      </w:r>
      <w:r w:rsidR="00800424">
        <w:rPr>
          <w:rFonts w:cs="Arial"/>
          <w:lang w:val="en-US"/>
        </w:rPr>
        <w:t xml:space="preserve"> The applicant is </w:t>
      </w:r>
      <w:r w:rsidR="004910FA">
        <w:rPr>
          <w:rFonts w:cs="Arial"/>
          <w:lang w:val="en-US"/>
        </w:rPr>
        <w:t xml:space="preserve">further </w:t>
      </w:r>
      <w:r w:rsidR="00800424">
        <w:rPr>
          <w:rFonts w:cs="Arial"/>
          <w:lang w:val="en-US"/>
        </w:rPr>
        <w:t>entitled</w:t>
      </w:r>
      <w:r w:rsidR="004910FA">
        <w:rPr>
          <w:rFonts w:cs="Arial"/>
          <w:lang w:val="en-US"/>
        </w:rPr>
        <w:t xml:space="preserve"> to receive its materials in an appropriate format. The provision of monthly contact calenders does not comply with that obligation.</w:t>
      </w:r>
    </w:p>
    <w:p w14:paraId="68C79EF8" w14:textId="6283CA0D" w:rsidR="004910FA" w:rsidRDefault="00ED51A5" w:rsidP="00ED51A5">
      <w:pPr>
        <w:pStyle w:val="level11"/>
        <w:numPr>
          <w:ilvl w:val="0"/>
          <w:numId w:val="0"/>
        </w:numPr>
        <w:spacing w:after="480" w:line="360" w:lineRule="auto"/>
        <w:jc w:val="both"/>
        <w:rPr>
          <w:rFonts w:cs="Arial"/>
          <w:lang w:val="en-US"/>
        </w:rPr>
      </w:pPr>
      <w:r>
        <w:rPr>
          <w:rFonts w:cs="Arial"/>
          <w:lang w:val="en-US"/>
        </w:rPr>
        <w:t>[27]</w:t>
      </w:r>
      <w:r>
        <w:rPr>
          <w:rFonts w:cs="Arial"/>
          <w:lang w:val="en-US"/>
        </w:rPr>
        <w:tab/>
      </w:r>
      <w:r w:rsidR="004910FA" w:rsidRPr="004910FA">
        <w:rPr>
          <w:rFonts w:cs="Arial"/>
          <w:lang w:val="en-US"/>
        </w:rPr>
        <w:t>The respondent further c</w:t>
      </w:r>
      <w:r w:rsidR="004910FA">
        <w:rPr>
          <w:rFonts w:cs="Arial"/>
          <w:lang w:val="en-US"/>
        </w:rPr>
        <w:t>ontends</w:t>
      </w:r>
      <w:r w:rsidR="004910FA" w:rsidRPr="004910FA">
        <w:rPr>
          <w:rFonts w:cs="Arial"/>
          <w:lang w:val="en-US"/>
        </w:rPr>
        <w:t xml:space="preserve"> that under clause 24.1.1 it has the right to receive payment of its outstanding days within 21 days of termination of the agreement.</w:t>
      </w:r>
      <w:r w:rsidR="004910FA">
        <w:rPr>
          <w:rFonts w:cs="Arial"/>
          <w:lang w:val="en-US"/>
        </w:rPr>
        <w:t xml:space="preserve"> </w:t>
      </w:r>
      <w:r w:rsidR="00CB1701">
        <w:rPr>
          <w:rFonts w:cs="Arial"/>
          <w:lang w:val="en-US"/>
        </w:rPr>
        <w:t xml:space="preserve">Its case is that </w:t>
      </w:r>
      <w:r w:rsidR="004910FA">
        <w:rPr>
          <w:rFonts w:cs="Arial"/>
          <w:lang w:val="en-US"/>
        </w:rPr>
        <w:t>that the applicant has reneged</w:t>
      </w:r>
      <w:r w:rsidR="00CB1701">
        <w:rPr>
          <w:rFonts w:cs="Arial"/>
          <w:lang w:val="en-US"/>
        </w:rPr>
        <w:t>, without justification,</w:t>
      </w:r>
      <w:r w:rsidR="004910FA">
        <w:rPr>
          <w:rFonts w:cs="Arial"/>
          <w:lang w:val="en-US"/>
        </w:rPr>
        <w:t xml:space="preserve"> on its payment obligations to it by failing to make payment before 20 March 2023</w:t>
      </w:r>
      <w:r w:rsidR="00CB1701">
        <w:rPr>
          <w:rFonts w:cs="Arial"/>
          <w:lang w:val="en-US"/>
        </w:rPr>
        <w:t xml:space="preserve"> and that it has no intention or is unable to make payment of the outstanding invoices. On this basis it is argued that the respondent has a debtor and creditor lien over the assets and is entitled to retain them until payment is received. </w:t>
      </w:r>
    </w:p>
    <w:p w14:paraId="0169F2E8" w14:textId="5AB4BB56" w:rsidR="004910FA" w:rsidRPr="004910FA" w:rsidRDefault="00ED51A5" w:rsidP="00ED51A5">
      <w:pPr>
        <w:pStyle w:val="level11"/>
        <w:numPr>
          <w:ilvl w:val="0"/>
          <w:numId w:val="0"/>
        </w:numPr>
        <w:spacing w:after="480" w:line="360" w:lineRule="auto"/>
        <w:jc w:val="both"/>
        <w:rPr>
          <w:rFonts w:cs="Arial"/>
          <w:lang w:val="en-US"/>
        </w:rPr>
      </w:pPr>
      <w:r w:rsidRPr="004910FA">
        <w:rPr>
          <w:rFonts w:cs="Arial"/>
          <w:lang w:val="en-US"/>
        </w:rPr>
        <w:t>[28]</w:t>
      </w:r>
      <w:r w:rsidRPr="004910FA">
        <w:rPr>
          <w:rFonts w:cs="Arial"/>
          <w:lang w:val="en-US"/>
        </w:rPr>
        <w:tab/>
      </w:r>
      <w:r w:rsidR="00CB1701">
        <w:rPr>
          <w:rFonts w:cs="Arial"/>
          <w:lang w:val="en-US"/>
        </w:rPr>
        <w:t>C</w:t>
      </w:r>
      <w:r w:rsidR="004910FA" w:rsidRPr="004910FA">
        <w:rPr>
          <w:rFonts w:cs="Arial"/>
          <w:lang w:val="en-US"/>
        </w:rPr>
        <w:t xml:space="preserve">lause </w:t>
      </w:r>
      <w:r w:rsidR="00CB1701">
        <w:rPr>
          <w:rFonts w:cs="Arial"/>
          <w:lang w:val="en-US"/>
        </w:rPr>
        <w:t xml:space="preserve">24.1.1 </w:t>
      </w:r>
      <w:r w:rsidR="004910FA" w:rsidRPr="004910FA">
        <w:rPr>
          <w:rFonts w:cs="Arial"/>
          <w:lang w:val="en-US"/>
        </w:rPr>
        <w:t>provides:</w:t>
      </w:r>
    </w:p>
    <w:p w14:paraId="58985325" w14:textId="77777777" w:rsidR="004910FA" w:rsidRDefault="004910FA" w:rsidP="004910FA">
      <w:pPr>
        <w:pStyle w:val="level11"/>
        <w:numPr>
          <w:ilvl w:val="0"/>
          <w:numId w:val="0"/>
        </w:numPr>
        <w:ind w:left="360"/>
        <w:rPr>
          <w:i/>
          <w:sz w:val="20"/>
          <w:szCs w:val="20"/>
          <w:lang w:val="en-US"/>
        </w:rPr>
      </w:pPr>
      <w:r w:rsidRPr="000C3C64">
        <w:rPr>
          <w:i/>
          <w:sz w:val="20"/>
          <w:szCs w:val="20"/>
          <w:lang w:val="en-US"/>
        </w:rPr>
        <w:t>“</w:t>
      </w:r>
      <w:r>
        <w:rPr>
          <w:i/>
          <w:sz w:val="20"/>
          <w:szCs w:val="20"/>
          <w:lang w:val="en-US"/>
        </w:rPr>
        <w:t>E</w:t>
      </w:r>
      <w:r w:rsidRPr="000C3C64">
        <w:rPr>
          <w:i/>
          <w:sz w:val="20"/>
          <w:szCs w:val="20"/>
          <w:lang w:val="en-US"/>
        </w:rPr>
        <w:t>ach affected Party to this Agreement shall pay all outstanding and undisputed amounts due to the other affected Party or parties within 21 (twenty one) business days (or when valid invoices would ordinarily be issued and payable (if later) in respect of Third Party Fees or other work started or completed at the date of termination) but Diageo shall not have any obligation to make any further payments to the Agency, save where it has requested the Agency to continue to provide Services pursuant to clause 24.2 in respect thereof;</w:t>
      </w:r>
    </w:p>
    <w:p w14:paraId="66BA9A5E" w14:textId="77777777" w:rsidR="004910FA" w:rsidRDefault="004910FA" w:rsidP="004910FA">
      <w:pPr>
        <w:pStyle w:val="level11"/>
        <w:numPr>
          <w:ilvl w:val="0"/>
          <w:numId w:val="0"/>
        </w:numPr>
        <w:ind w:left="360"/>
        <w:rPr>
          <w:i/>
          <w:sz w:val="20"/>
          <w:szCs w:val="20"/>
          <w:lang w:val="en-US"/>
        </w:rPr>
      </w:pPr>
    </w:p>
    <w:p w14:paraId="1FC0EAFB" w14:textId="77777777" w:rsidR="004910FA" w:rsidRPr="000C3C64" w:rsidRDefault="004910FA" w:rsidP="004910FA">
      <w:pPr>
        <w:pStyle w:val="level11"/>
        <w:numPr>
          <w:ilvl w:val="0"/>
          <w:numId w:val="0"/>
        </w:numPr>
        <w:ind w:left="360"/>
        <w:rPr>
          <w:i/>
          <w:sz w:val="20"/>
          <w:szCs w:val="20"/>
          <w:lang w:val="en-US"/>
        </w:rPr>
      </w:pPr>
    </w:p>
    <w:p w14:paraId="47036910" w14:textId="7E2E8BC3" w:rsidR="004910FA" w:rsidRDefault="00ED51A5" w:rsidP="00ED51A5">
      <w:pPr>
        <w:pStyle w:val="level11"/>
        <w:numPr>
          <w:ilvl w:val="0"/>
          <w:numId w:val="0"/>
        </w:numPr>
        <w:spacing w:after="480" w:line="360" w:lineRule="auto"/>
        <w:jc w:val="both"/>
        <w:rPr>
          <w:rFonts w:cs="Arial"/>
          <w:lang w:val="en-US"/>
        </w:rPr>
      </w:pPr>
      <w:r>
        <w:rPr>
          <w:rFonts w:cs="Arial"/>
          <w:lang w:val="en-US"/>
        </w:rPr>
        <w:t>[29]</w:t>
      </w:r>
      <w:r>
        <w:rPr>
          <w:rFonts w:cs="Arial"/>
          <w:lang w:val="en-US"/>
        </w:rPr>
        <w:tab/>
      </w:r>
      <w:r w:rsidR="004910FA">
        <w:rPr>
          <w:rFonts w:cs="Arial"/>
          <w:lang w:val="en-US"/>
        </w:rPr>
        <w:t xml:space="preserve">The respondent’s interpretation </w:t>
      </w:r>
      <w:r w:rsidR="00F82BE9">
        <w:rPr>
          <w:rFonts w:cs="Arial"/>
          <w:lang w:val="en-US"/>
        </w:rPr>
        <w:t xml:space="preserve">however </w:t>
      </w:r>
      <w:r w:rsidR="004910FA">
        <w:rPr>
          <w:rFonts w:cs="Arial"/>
          <w:lang w:val="en-US"/>
        </w:rPr>
        <w:t xml:space="preserve">focusses only on the first portion of the clause and ignores the remainder thereof which expressly refers to when valid invoices would be ordinarily payable. A plain grammatical reading of the clause thus does not </w:t>
      </w:r>
      <w:r w:rsidR="004910FA">
        <w:rPr>
          <w:rFonts w:cs="Arial"/>
          <w:lang w:val="en-US"/>
        </w:rPr>
        <w:lastRenderedPageBreak/>
        <w:t>favour the interpretation proffered by the respondent, neither does a contextual and purposive interpretation thereof</w:t>
      </w:r>
      <w:r w:rsidR="003C1577">
        <w:rPr>
          <w:rFonts w:cs="Arial"/>
          <w:lang w:val="en-US"/>
        </w:rPr>
        <w:t>, considering the agreement as a whole</w:t>
      </w:r>
      <w:r w:rsidR="004910FA">
        <w:rPr>
          <w:rFonts w:cs="Arial"/>
          <w:lang w:val="en-US"/>
        </w:rPr>
        <w:t xml:space="preserve">. </w:t>
      </w:r>
    </w:p>
    <w:p w14:paraId="0413E438" w14:textId="3236DFA5" w:rsidR="005200ED" w:rsidRDefault="00ED51A5" w:rsidP="00ED51A5">
      <w:pPr>
        <w:pStyle w:val="level11"/>
        <w:numPr>
          <w:ilvl w:val="0"/>
          <w:numId w:val="0"/>
        </w:numPr>
        <w:spacing w:after="480" w:line="360" w:lineRule="auto"/>
        <w:jc w:val="both"/>
        <w:rPr>
          <w:rFonts w:cs="Arial"/>
          <w:lang w:val="en-US"/>
        </w:rPr>
      </w:pPr>
      <w:r>
        <w:rPr>
          <w:rFonts w:cs="Arial"/>
          <w:lang w:val="en-US"/>
        </w:rPr>
        <w:t>[30]</w:t>
      </w:r>
      <w:r>
        <w:rPr>
          <w:rFonts w:cs="Arial"/>
          <w:lang w:val="en-US"/>
        </w:rPr>
        <w:tab/>
      </w:r>
      <w:r w:rsidR="004910FA">
        <w:rPr>
          <w:rFonts w:cs="Arial"/>
          <w:lang w:val="en-US"/>
        </w:rPr>
        <w:t>Moreover, the applicant’s evidence that the payment terms agreed upon between the parties was 60 days from invoice was not strenuously contested, nor was any countervailing evidence presented</w:t>
      </w:r>
      <w:r w:rsidR="005200ED">
        <w:rPr>
          <w:rFonts w:cs="Arial"/>
          <w:lang w:val="en-US"/>
        </w:rPr>
        <w:t xml:space="preserve"> by the respondent</w:t>
      </w:r>
      <w:r w:rsidR="004910FA">
        <w:rPr>
          <w:rFonts w:cs="Arial"/>
          <w:lang w:val="en-US"/>
        </w:rPr>
        <w:t xml:space="preserve">. The very unpaid invoices relied upon by the respondent all reflect the payment terms as being 60 days. This </w:t>
      </w:r>
      <w:r w:rsidR="000D573D">
        <w:rPr>
          <w:rFonts w:cs="Arial"/>
          <w:lang w:val="en-US"/>
        </w:rPr>
        <w:t>constitutes</w:t>
      </w:r>
      <w:r w:rsidR="004910FA">
        <w:rPr>
          <w:rFonts w:cs="Arial"/>
          <w:lang w:val="en-US"/>
        </w:rPr>
        <w:t xml:space="preserve"> documentary support for the applicant’s contentions. </w:t>
      </w:r>
      <w:r w:rsidR="00CB1701">
        <w:rPr>
          <w:rFonts w:cs="Arial"/>
          <w:lang w:val="en-US"/>
        </w:rPr>
        <w:t xml:space="preserve"> </w:t>
      </w:r>
    </w:p>
    <w:p w14:paraId="0F602A80" w14:textId="1E0EA0AD" w:rsidR="00BA014A" w:rsidRPr="005200ED" w:rsidRDefault="00ED51A5" w:rsidP="00ED51A5">
      <w:pPr>
        <w:pStyle w:val="level11"/>
        <w:numPr>
          <w:ilvl w:val="0"/>
          <w:numId w:val="0"/>
        </w:numPr>
        <w:spacing w:after="480" w:line="360" w:lineRule="auto"/>
        <w:jc w:val="both"/>
        <w:rPr>
          <w:rFonts w:cs="Arial"/>
          <w:lang w:val="en-US"/>
        </w:rPr>
      </w:pPr>
      <w:r w:rsidRPr="005200ED">
        <w:rPr>
          <w:rFonts w:cs="Arial"/>
          <w:lang w:val="en-US"/>
        </w:rPr>
        <w:t>[31]</w:t>
      </w:r>
      <w:r w:rsidRPr="005200ED">
        <w:rPr>
          <w:rFonts w:cs="Arial"/>
          <w:lang w:val="en-US"/>
        </w:rPr>
        <w:tab/>
      </w:r>
      <w:r w:rsidR="00CB1701" w:rsidRPr="005200ED">
        <w:rPr>
          <w:rFonts w:cs="Arial"/>
          <w:lang w:val="en-US"/>
        </w:rPr>
        <w:t>The argument further disregards the tender made repeatedly by the applicants to make payment of the invoices within 60 days.</w:t>
      </w:r>
      <w:r w:rsidR="005200ED">
        <w:rPr>
          <w:rFonts w:cs="Arial"/>
          <w:lang w:val="en-US"/>
        </w:rPr>
        <w:t xml:space="preserve"> It</w:t>
      </w:r>
      <w:r w:rsidR="00BA014A" w:rsidRPr="005200ED">
        <w:rPr>
          <w:rFonts w:cs="Arial"/>
          <w:lang w:val="en-US"/>
        </w:rPr>
        <w:t xml:space="preserve"> is further inconsistent with the stance adopted by its attorneys of record in their letter of 24 February 2023, wherein the payment terms </w:t>
      </w:r>
      <w:r w:rsidR="005200ED">
        <w:rPr>
          <w:rFonts w:cs="Arial"/>
          <w:lang w:val="en-US"/>
        </w:rPr>
        <w:t xml:space="preserve">of 60 days </w:t>
      </w:r>
      <w:r w:rsidR="00BA014A" w:rsidRPr="005200ED">
        <w:rPr>
          <w:rFonts w:cs="Arial"/>
          <w:lang w:val="en-US"/>
        </w:rPr>
        <w:t xml:space="preserve">were conceded. In relevant part, the letter provides: </w:t>
      </w:r>
    </w:p>
    <w:p w14:paraId="24F8EE8F" w14:textId="6E95B037" w:rsidR="00BA014A" w:rsidRPr="00F058AE" w:rsidRDefault="00BA014A" w:rsidP="00F058AE">
      <w:pPr>
        <w:pStyle w:val="level11"/>
        <w:numPr>
          <w:ilvl w:val="0"/>
          <w:numId w:val="0"/>
        </w:numPr>
        <w:spacing w:after="480"/>
        <w:ind w:left="360"/>
        <w:jc w:val="both"/>
        <w:rPr>
          <w:rFonts w:cs="Arial"/>
          <w:i/>
          <w:sz w:val="20"/>
          <w:szCs w:val="20"/>
          <w:lang w:val="en-US"/>
        </w:rPr>
      </w:pPr>
      <w:r w:rsidRPr="00F058AE">
        <w:rPr>
          <w:rFonts w:cs="Arial"/>
          <w:i/>
          <w:sz w:val="20"/>
          <w:szCs w:val="20"/>
          <w:lang w:val="en-US"/>
        </w:rPr>
        <w:t>“</w:t>
      </w:r>
      <w:r w:rsidR="00F058AE">
        <w:rPr>
          <w:rFonts w:cs="Arial"/>
          <w:i/>
          <w:sz w:val="20"/>
          <w:szCs w:val="20"/>
          <w:lang w:val="en-US"/>
        </w:rPr>
        <w:t xml:space="preserve">….our client </w:t>
      </w:r>
      <w:r w:rsidRPr="00F058AE">
        <w:rPr>
          <w:rFonts w:cs="Arial"/>
          <w:i/>
          <w:sz w:val="20"/>
          <w:szCs w:val="20"/>
          <w:lang w:val="en-US"/>
        </w:rPr>
        <w:t>is not forcing your offices to settle all the outstanding invoices immediately but merely requesting that an undertaking be provided that such invoices will be paid timeously in accordance with the previously agreed time periods of 60 days from receipt of such invoice, whereafter and upon receipt of payment, client shall release the open files. Should you require the open files prior to the date of final payment of our client’s invoices, which is currently the end of April 2023, your offices are more than welcome to pay the invoices prematurely in order to secure same.”</w:t>
      </w:r>
    </w:p>
    <w:p w14:paraId="445DBC2B" w14:textId="79BB35DF" w:rsidR="00800424" w:rsidRDefault="00ED51A5" w:rsidP="00ED51A5">
      <w:pPr>
        <w:pStyle w:val="level11"/>
        <w:numPr>
          <w:ilvl w:val="0"/>
          <w:numId w:val="0"/>
        </w:numPr>
        <w:spacing w:after="480" w:line="360" w:lineRule="auto"/>
        <w:jc w:val="both"/>
        <w:rPr>
          <w:rFonts w:cs="Arial"/>
          <w:lang w:val="en-US"/>
        </w:rPr>
      </w:pPr>
      <w:r>
        <w:rPr>
          <w:rFonts w:cs="Arial"/>
          <w:lang w:val="en-US"/>
        </w:rPr>
        <w:t>[32]</w:t>
      </w:r>
      <w:r>
        <w:rPr>
          <w:rFonts w:cs="Arial"/>
          <w:lang w:val="en-US"/>
        </w:rPr>
        <w:tab/>
      </w:r>
      <w:r w:rsidR="00F058AE">
        <w:rPr>
          <w:rFonts w:cs="Arial"/>
          <w:lang w:val="en-US"/>
        </w:rPr>
        <w:t xml:space="preserve">For these reasons, </w:t>
      </w:r>
      <w:r w:rsidR="004910FA">
        <w:rPr>
          <w:rFonts w:cs="Arial"/>
          <w:lang w:val="en-US"/>
        </w:rPr>
        <w:t>the respondent’s contentions do not pass muster.</w:t>
      </w:r>
    </w:p>
    <w:p w14:paraId="32FA54FD" w14:textId="42DB7F9B" w:rsidR="00CB1701" w:rsidRDefault="00ED51A5" w:rsidP="00ED51A5">
      <w:pPr>
        <w:pStyle w:val="level11"/>
        <w:numPr>
          <w:ilvl w:val="0"/>
          <w:numId w:val="0"/>
        </w:numPr>
        <w:spacing w:after="480" w:line="360" w:lineRule="auto"/>
        <w:jc w:val="both"/>
        <w:rPr>
          <w:rFonts w:cs="Arial"/>
          <w:lang w:val="en-US"/>
        </w:rPr>
      </w:pPr>
      <w:r>
        <w:rPr>
          <w:rFonts w:cs="Arial"/>
          <w:lang w:val="en-US"/>
        </w:rPr>
        <w:t>[33]</w:t>
      </w:r>
      <w:r>
        <w:rPr>
          <w:rFonts w:cs="Arial"/>
          <w:lang w:val="en-US"/>
        </w:rPr>
        <w:tab/>
      </w:r>
      <w:r w:rsidR="00CB1701">
        <w:rPr>
          <w:rFonts w:cs="Arial"/>
          <w:lang w:val="en-US"/>
        </w:rPr>
        <w:t xml:space="preserve">The applicant argues that the existence of a debtor and creditor lien is excluded by the agreement and that the respondent has given up any rights to the assets. It further argues that the existence of such lien is inconsistent with the terms of the agreement, which regulates the relationship between the parties. Reliance is </w:t>
      </w:r>
      <w:r w:rsidR="00CB1701" w:rsidRPr="00430348">
        <w:rPr>
          <w:rFonts w:cs="Arial"/>
          <w:i/>
          <w:lang w:val="en-US"/>
        </w:rPr>
        <w:t>inter alia</w:t>
      </w:r>
      <w:r w:rsidR="00CB1701">
        <w:rPr>
          <w:rFonts w:cs="Arial"/>
          <w:lang w:val="en-US"/>
        </w:rPr>
        <w:t xml:space="preserve"> placed on clauses 17.1, 17.9, </w:t>
      </w:r>
      <w:r w:rsidR="003C1577">
        <w:rPr>
          <w:rFonts w:cs="Arial"/>
          <w:lang w:val="en-US"/>
        </w:rPr>
        <w:t xml:space="preserve">17.10, </w:t>
      </w:r>
      <w:r w:rsidR="00CB1701">
        <w:rPr>
          <w:rFonts w:cs="Arial"/>
          <w:lang w:val="en-US"/>
        </w:rPr>
        <w:t>17.11, 18.1, 18.4, 19.5, 24.1.1</w:t>
      </w:r>
      <w:r w:rsidR="00D23C22">
        <w:rPr>
          <w:rFonts w:cs="Arial"/>
          <w:lang w:val="en-US"/>
        </w:rPr>
        <w:t xml:space="preserve"> and</w:t>
      </w:r>
      <w:r w:rsidR="00CB1701">
        <w:rPr>
          <w:rFonts w:cs="Arial"/>
          <w:lang w:val="en-US"/>
        </w:rPr>
        <w:t xml:space="preserve"> 24.4</w:t>
      </w:r>
      <w:r w:rsidR="00F82BE9">
        <w:rPr>
          <w:rFonts w:cs="Arial"/>
          <w:lang w:val="en-US"/>
        </w:rPr>
        <w:t xml:space="preserve"> of the agreement</w:t>
      </w:r>
      <w:r w:rsidR="00CB1701">
        <w:rPr>
          <w:rFonts w:cs="Arial"/>
          <w:lang w:val="en-US"/>
        </w:rPr>
        <w:t>.</w:t>
      </w:r>
      <w:r w:rsidR="003C1577">
        <w:rPr>
          <w:rFonts w:cs="Arial"/>
          <w:lang w:val="en-US"/>
        </w:rPr>
        <w:t xml:space="preserve"> To avoid prolixity the</w:t>
      </w:r>
      <w:r w:rsidR="00D23C22">
        <w:rPr>
          <w:rFonts w:cs="Arial"/>
          <w:lang w:val="en-US"/>
        </w:rPr>
        <w:t>s</w:t>
      </w:r>
      <w:r w:rsidR="003C1577">
        <w:rPr>
          <w:rFonts w:cs="Arial"/>
          <w:lang w:val="en-US"/>
        </w:rPr>
        <w:t xml:space="preserve">e clauses are not </w:t>
      </w:r>
      <w:r w:rsidR="00D23C22">
        <w:rPr>
          <w:rFonts w:cs="Arial"/>
          <w:lang w:val="en-US"/>
        </w:rPr>
        <w:t xml:space="preserve">all </w:t>
      </w:r>
      <w:r w:rsidR="003C1577">
        <w:rPr>
          <w:rFonts w:cs="Arial"/>
          <w:lang w:val="en-US"/>
        </w:rPr>
        <w:t>reproduced.</w:t>
      </w:r>
    </w:p>
    <w:p w14:paraId="78D1A842" w14:textId="5E356E76" w:rsidR="00D23C22" w:rsidRDefault="00ED51A5" w:rsidP="00ED51A5">
      <w:pPr>
        <w:pStyle w:val="level11"/>
        <w:numPr>
          <w:ilvl w:val="0"/>
          <w:numId w:val="0"/>
        </w:numPr>
        <w:spacing w:after="480" w:line="360" w:lineRule="auto"/>
        <w:jc w:val="both"/>
        <w:rPr>
          <w:rFonts w:cs="Arial"/>
          <w:lang w:val="en-US"/>
        </w:rPr>
      </w:pPr>
      <w:r>
        <w:rPr>
          <w:rFonts w:cs="Arial"/>
          <w:lang w:val="en-US"/>
        </w:rPr>
        <w:t>[34]</w:t>
      </w:r>
      <w:r>
        <w:rPr>
          <w:rFonts w:cs="Arial"/>
          <w:lang w:val="en-US"/>
        </w:rPr>
        <w:tab/>
      </w:r>
      <w:r w:rsidR="00D23C22">
        <w:rPr>
          <w:rFonts w:cs="Arial"/>
          <w:lang w:val="en-US"/>
        </w:rPr>
        <w:t xml:space="preserve">In terms of </w:t>
      </w:r>
      <w:r w:rsidR="003C1577" w:rsidRPr="003C1577">
        <w:rPr>
          <w:rFonts w:cs="Arial"/>
          <w:lang w:val="en-US"/>
        </w:rPr>
        <w:t>clause 17.11 the respondent agrees that except as allowed by th</w:t>
      </w:r>
      <w:r w:rsidR="00D23C22">
        <w:rPr>
          <w:rFonts w:cs="Arial"/>
          <w:lang w:val="en-US"/>
        </w:rPr>
        <w:t>e</w:t>
      </w:r>
      <w:r w:rsidR="003C1577" w:rsidRPr="003C1577">
        <w:rPr>
          <w:rFonts w:cs="Arial"/>
          <w:lang w:val="en-US"/>
        </w:rPr>
        <w:t xml:space="preserve"> agreement, it has no right, title or interest in and to any intellectual property of the applicant.</w:t>
      </w:r>
      <w:r w:rsidR="003C1577">
        <w:rPr>
          <w:rFonts w:cs="Arial"/>
          <w:lang w:val="en-US"/>
        </w:rPr>
        <w:t xml:space="preserve"> </w:t>
      </w:r>
      <w:r w:rsidR="00D23C22">
        <w:rPr>
          <w:rFonts w:cs="Arial"/>
          <w:lang w:val="en-US"/>
        </w:rPr>
        <w:t xml:space="preserve">Clause 18 deals with ownership of the assets which at all times vests in the </w:t>
      </w:r>
      <w:r w:rsidR="00D23C22">
        <w:rPr>
          <w:rFonts w:cs="Arial"/>
          <w:lang w:val="en-US"/>
        </w:rPr>
        <w:lastRenderedPageBreak/>
        <w:t xml:space="preserve">applicant. </w:t>
      </w:r>
      <w:r w:rsidR="00CB1701" w:rsidRPr="003C1577">
        <w:rPr>
          <w:rFonts w:cs="Arial"/>
          <w:lang w:val="en-US"/>
        </w:rPr>
        <w:t xml:space="preserve">In terms of clause 18.1 the assets are held in trust by the respondent on behalf of and for the benefit of the applicant. </w:t>
      </w:r>
      <w:r w:rsidR="00F82BE9">
        <w:rPr>
          <w:rFonts w:cs="Arial"/>
          <w:lang w:val="en-US"/>
        </w:rPr>
        <w:t>As the assets are held in trust by the respondent, t</w:t>
      </w:r>
      <w:r w:rsidR="00D23C22">
        <w:rPr>
          <w:rFonts w:cs="Arial"/>
          <w:lang w:val="en-US"/>
        </w:rPr>
        <w:t>his imposes fiduciary duties on the respondent, including a duty of good faith and a duty to avoid a conflict of interest</w:t>
      </w:r>
      <w:r w:rsidR="004B6600">
        <w:rPr>
          <w:rStyle w:val="FootnoteReference"/>
          <w:rFonts w:cs="Arial"/>
          <w:lang w:val="en-US"/>
        </w:rPr>
        <w:footnoteReference w:id="12"/>
      </w:r>
      <w:r w:rsidR="00D23C22">
        <w:rPr>
          <w:rFonts w:cs="Arial"/>
          <w:lang w:val="en-US"/>
        </w:rPr>
        <w:t xml:space="preserve">. </w:t>
      </w:r>
    </w:p>
    <w:p w14:paraId="04876BAE" w14:textId="768B6F30" w:rsidR="00CB1701" w:rsidRPr="003C1577" w:rsidRDefault="00ED51A5" w:rsidP="00ED51A5">
      <w:pPr>
        <w:pStyle w:val="level11"/>
        <w:numPr>
          <w:ilvl w:val="0"/>
          <w:numId w:val="0"/>
        </w:numPr>
        <w:spacing w:after="480" w:line="360" w:lineRule="auto"/>
        <w:jc w:val="both"/>
        <w:rPr>
          <w:rFonts w:cs="Arial"/>
          <w:lang w:val="en-US"/>
        </w:rPr>
      </w:pPr>
      <w:r w:rsidRPr="003C1577">
        <w:rPr>
          <w:rFonts w:cs="Arial"/>
          <w:lang w:val="en-US"/>
        </w:rPr>
        <w:t>[35]</w:t>
      </w:r>
      <w:r w:rsidRPr="003C1577">
        <w:rPr>
          <w:rFonts w:cs="Arial"/>
          <w:lang w:val="en-US"/>
        </w:rPr>
        <w:tab/>
      </w:r>
      <w:r w:rsidR="00CB1701" w:rsidRPr="003C1577">
        <w:rPr>
          <w:rFonts w:cs="Arial"/>
          <w:lang w:val="en-US"/>
        </w:rPr>
        <w:t>In terms of clause 18.4, on termination of the agreement</w:t>
      </w:r>
      <w:r w:rsidR="00D23C22">
        <w:rPr>
          <w:rFonts w:cs="Arial"/>
          <w:lang w:val="en-US"/>
        </w:rPr>
        <w:t>:</w:t>
      </w:r>
      <w:r w:rsidR="00CB1701" w:rsidRPr="003C1577">
        <w:rPr>
          <w:rFonts w:cs="Arial"/>
          <w:lang w:val="en-US"/>
        </w:rPr>
        <w:t xml:space="preserve"> </w:t>
      </w:r>
    </w:p>
    <w:p w14:paraId="186BB1AC" w14:textId="28C6943B" w:rsidR="00CB1701" w:rsidRPr="00430348" w:rsidRDefault="00CB1701" w:rsidP="00D23C22">
      <w:pPr>
        <w:pStyle w:val="level11"/>
        <w:numPr>
          <w:ilvl w:val="0"/>
          <w:numId w:val="0"/>
        </w:numPr>
        <w:spacing w:after="480"/>
        <w:ind w:left="360"/>
        <w:jc w:val="both"/>
        <w:rPr>
          <w:rFonts w:cs="Arial"/>
          <w:lang w:val="en-US"/>
        </w:rPr>
      </w:pPr>
      <w:r w:rsidRPr="00430348">
        <w:rPr>
          <w:rFonts w:cs="Arial"/>
          <w:i/>
          <w:sz w:val="20"/>
          <w:szCs w:val="20"/>
          <w:lang w:val="en-US"/>
        </w:rPr>
        <w:t>“</w:t>
      </w:r>
      <w:r w:rsidR="00F82BE9">
        <w:rPr>
          <w:rFonts w:cs="Arial"/>
          <w:i/>
          <w:sz w:val="20"/>
          <w:szCs w:val="20"/>
          <w:lang w:val="en-US"/>
        </w:rPr>
        <w:t>…</w:t>
      </w:r>
      <w:r w:rsidRPr="00430348">
        <w:rPr>
          <w:rFonts w:cs="Arial"/>
          <w:i/>
          <w:sz w:val="20"/>
          <w:szCs w:val="20"/>
          <w:lang w:val="en-US"/>
        </w:rPr>
        <w:t>irrespective of any dispute in respect of the said termination or any other aspect of the Agreement, all Materials and all unused, uncompleted or unpublished Media plans prepared by (the respondent) for (the applicant shall remain or become the (a</w:t>
      </w:r>
      <w:r w:rsidR="00D23C22">
        <w:rPr>
          <w:rFonts w:cs="Arial"/>
          <w:i/>
          <w:sz w:val="20"/>
          <w:szCs w:val="20"/>
          <w:lang w:val="en-US"/>
        </w:rPr>
        <w:t>p</w:t>
      </w:r>
      <w:r w:rsidRPr="00430348">
        <w:rPr>
          <w:rFonts w:cs="Arial"/>
          <w:i/>
          <w:sz w:val="20"/>
          <w:szCs w:val="20"/>
          <w:lang w:val="en-US"/>
        </w:rPr>
        <w:t xml:space="preserve">plicant’s) sole and exclusive property to enjoy or make use of as it deems appropriate and shall not thereafter be used by (the respondent). </w:t>
      </w:r>
    </w:p>
    <w:p w14:paraId="0D38DEE5" w14:textId="198AA292" w:rsidR="00CB1701" w:rsidRDefault="00ED51A5" w:rsidP="00ED51A5">
      <w:pPr>
        <w:pStyle w:val="level11"/>
        <w:numPr>
          <w:ilvl w:val="0"/>
          <w:numId w:val="0"/>
        </w:numPr>
        <w:spacing w:after="480" w:line="360" w:lineRule="auto"/>
        <w:jc w:val="both"/>
        <w:rPr>
          <w:rFonts w:cs="Arial"/>
          <w:lang w:val="en-US"/>
        </w:rPr>
      </w:pPr>
      <w:r>
        <w:rPr>
          <w:rFonts w:cs="Arial"/>
          <w:lang w:val="en-US"/>
        </w:rPr>
        <w:t>[36]</w:t>
      </w:r>
      <w:r>
        <w:rPr>
          <w:rFonts w:cs="Arial"/>
          <w:lang w:val="en-US"/>
        </w:rPr>
        <w:tab/>
      </w:r>
      <w:r w:rsidR="00CB1701">
        <w:rPr>
          <w:rFonts w:cs="Arial"/>
          <w:lang w:val="en-US"/>
        </w:rPr>
        <w:t>Clause 30.2 provides:</w:t>
      </w:r>
    </w:p>
    <w:p w14:paraId="59CB9F6D" w14:textId="02C53DDE" w:rsidR="00CB1701" w:rsidRPr="000E4757" w:rsidRDefault="00CB1701" w:rsidP="00CB1701">
      <w:pPr>
        <w:pStyle w:val="level11"/>
        <w:numPr>
          <w:ilvl w:val="0"/>
          <w:numId w:val="0"/>
        </w:numPr>
        <w:spacing w:after="480"/>
        <w:ind w:left="360"/>
        <w:jc w:val="both"/>
        <w:rPr>
          <w:rFonts w:cs="Arial"/>
          <w:i/>
          <w:sz w:val="20"/>
          <w:szCs w:val="20"/>
          <w:lang w:val="en-US"/>
        </w:rPr>
      </w:pPr>
      <w:r w:rsidRPr="000E4757">
        <w:rPr>
          <w:rFonts w:cs="Arial"/>
          <w:i/>
          <w:sz w:val="20"/>
          <w:szCs w:val="20"/>
          <w:lang w:val="en-US"/>
        </w:rPr>
        <w:t>“Subject to payment of the Fees, the Agency hereby waives any and all liens (however they may arise) over any materials or documentation connected with the Services</w:t>
      </w:r>
      <w:r w:rsidR="00F82BE9">
        <w:rPr>
          <w:rFonts w:cs="Arial"/>
          <w:i/>
          <w:sz w:val="20"/>
          <w:szCs w:val="20"/>
          <w:lang w:val="en-US"/>
        </w:rPr>
        <w:t xml:space="preserve"> over any materials or documents connected with the services and agrees that, where necessary, it shall execute as Diageo may be) (sic) may reasonably require it to execute to ensure that such waiver is effective</w:t>
      </w:r>
      <w:r w:rsidRPr="000E4757">
        <w:rPr>
          <w:rFonts w:cs="Arial"/>
          <w:i/>
          <w:sz w:val="20"/>
          <w:szCs w:val="20"/>
          <w:lang w:val="en-US"/>
        </w:rPr>
        <w:t xml:space="preserve">”. </w:t>
      </w:r>
    </w:p>
    <w:p w14:paraId="572E8602" w14:textId="1378BA2A" w:rsidR="00F82BE9" w:rsidRDefault="00ED51A5" w:rsidP="00ED51A5">
      <w:pPr>
        <w:pStyle w:val="level11"/>
        <w:numPr>
          <w:ilvl w:val="0"/>
          <w:numId w:val="0"/>
        </w:numPr>
        <w:spacing w:after="480" w:line="360" w:lineRule="auto"/>
        <w:jc w:val="both"/>
        <w:rPr>
          <w:rFonts w:cs="Arial"/>
          <w:lang w:val="en-US"/>
        </w:rPr>
      </w:pPr>
      <w:r>
        <w:rPr>
          <w:rFonts w:cs="Arial"/>
          <w:lang w:val="en-US"/>
        </w:rPr>
        <w:t>[37]</w:t>
      </w:r>
      <w:r>
        <w:rPr>
          <w:rFonts w:cs="Arial"/>
          <w:lang w:val="en-US"/>
        </w:rPr>
        <w:tab/>
      </w:r>
      <w:r w:rsidR="00F82BE9">
        <w:rPr>
          <w:rFonts w:cs="Arial"/>
          <w:lang w:val="en-US"/>
        </w:rPr>
        <w:t>A debtor and creditor lien affords a creditor personal security rights. It is a contractual remedy and is only enforceable by one party to a contract against the other</w:t>
      </w:r>
      <w:r w:rsidR="00F82BE9">
        <w:rPr>
          <w:rStyle w:val="FootnoteReference"/>
          <w:rFonts w:cs="Arial"/>
          <w:lang w:val="en-US"/>
        </w:rPr>
        <w:footnoteReference w:id="13"/>
      </w:r>
      <w:r w:rsidR="00F82BE9">
        <w:rPr>
          <w:rFonts w:cs="Arial"/>
          <w:lang w:val="en-US"/>
        </w:rPr>
        <w:t xml:space="preserve"> because a contractual obligation exists between the parties</w:t>
      </w:r>
      <w:r w:rsidR="00385103">
        <w:rPr>
          <w:rFonts w:cs="Arial"/>
          <w:lang w:val="en-US"/>
        </w:rPr>
        <w:t>.</w:t>
      </w:r>
      <w:r w:rsidR="00F82BE9">
        <w:rPr>
          <w:rStyle w:val="FootnoteReference"/>
          <w:rFonts w:cs="Arial"/>
          <w:lang w:val="en-US"/>
        </w:rPr>
        <w:footnoteReference w:id="14"/>
      </w:r>
      <w:r w:rsidR="00F82BE9">
        <w:rPr>
          <w:rFonts w:cs="Arial"/>
          <w:lang w:val="en-US"/>
        </w:rPr>
        <w:t xml:space="preserve"> The respondent cannot rely on any alleged contractual right not expressly contained in the agreement</w:t>
      </w:r>
      <w:r w:rsidR="00385103">
        <w:rPr>
          <w:rFonts w:cs="Arial"/>
          <w:lang w:val="en-US"/>
        </w:rPr>
        <w:t>.</w:t>
      </w:r>
      <w:r w:rsidR="00F82BE9">
        <w:rPr>
          <w:rStyle w:val="FootnoteReference"/>
          <w:rFonts w:cs="Arial"/>
          <w:lang w:val="en-US"/>
        </w:rPr>
        <w:footnoteReference w:id="15"/>
      </w:r>
    </w:p>
    <w:p w14:paraId="42DE9C2A" w14:textId="47D00C68" w:rsidR="00BA014A" w:rsidRDefault="00ED51A5" w:rsidP="00ED51A5">
      <w:pPr>
        <w:pStyle w:val="level11"/>
        <w:numPr>
          <w:ilvl w:val="0"/>
          <w:numId w:val="0"/>
        </w:numPr>
        <w:spacing w:after="480" w:line="360" w:lineRule="auto"/>
        <w:jc w:val="both"/>
        <w:rPr>
          <w:rFonts w:cs="Arial"/>
          <w:lang w:val="en-US"/>
        </w:rPr>
      </w:pPr>
      <w:r>
        <w:rPr>
          <w:rFonts w:cs="Arial"/>
          <w:lang w:val="en-US"/>
        </w:rPr>
        <w:t>[38]</w:t>
      </w:r>
      <w:r>
        <w:rPr>
          <w:rFonts w:cs="Arial"/>
          <w:lang w:val="en-US"/>
        </w:rPr>
        <w:tab/>
      </w:r>
      <w:r w:rsidR="00F82BE9">
        <w:rPr>
          <w:rFonts w:cs="Arial"/>
          <w:lang w:val="en-US"/>
        </w:rPr>
        <w:t xml:space="preserve">Applying the principles enunciated in </w:t>
      </w:r>
      <w:r w:rsidR="00F82BE9" w:rsidRPr="000D573D">
        <w:rPr>
          <w:rFonts w:cs="Arial"/>
          <w:i/>
          <w:lang w:val="en-US"/>
        </w:rPr>
        <w:t>Coral Lagoon</w:t>
      </w:r>
      <w:r w:rsidR="00F82BE9">
        <w:rPr>
          <w:rFonts w:cs="Arial"/>
          <w:lang w:val="en-US"/>
        </w:rPr>
        <w:t>, it cannot in my view be concluded that on a linguistic, contextual and purposive interpretation the agreement affords the right of a debtor and creditor lien to the respondent. The agreement doe</w:t>
      </w:r>
      <w:r w:rsidR="00B24CC4">
        <w:rPr>
          <w:rFonts w:cs="Arial"/>
          <w:lang w:val="en-US"/>
        </w:rPr>
        <w:t>s</w:t>
      </w:r>
      <w:r w:rsidR="00F82BE9">
        <w:rPr>
          <w:rFonts w:cs="Arial"/>
          <w:lang w:val="en-US"/>
        </w:rPr>
        <w:t xml:space="preserve"> not</w:t>
      </w:r>
      <w:r w:rsidR="00B24CC4" w:rsidRPr="00B24CC4">
        <w:rPr>
          <w:rFonts w:cs="Arial"/>
          <w:lang w:val="en-US"/>
        </w:rPr>
        <w:t xml:space="preserve"> </w:t>
      </w:r>
      <w:r w:rsidR="00B24CC4">
        <w:rPr>
          <w:rFonts w:cs="Arial"/>
          <w:lang w:val="en-US"/>
        </w:rPr>
        <w:t xml:space="preserve">provide the respondent with an express contractual right to exercise a lien over the assets in the absence of payment of fees. At best for the respondent, the provisions of clause </w:t>
      </w:r>
      <w:r w:rsidR="00B24CC4">
        <w:rPr>
          <w:rFonts w:cs="Arial"/>
          <w:lang w:val="en-US"/>
        </w:rPr>
        <w:lastRenderedPageBreak/>
        <w:t>30.2 does not expressly constitute an unconditional waiver of all liens. It does not, however conversely expressly provide the respondent with a debtor and creditor lien.</w:t>
      </w:r>
    </w:p>
    <w:p w14:paraId="001F8CF1" w14:textId="4596DE04" w:rsidR="00BA014A" w:rsidRDefault="00ED51A5" w:rsidP="00ED51A5">
      <w:pPr>
        <w:pStyle w:val="level11"/>
        <w:numPr>
          <w:ilvl w:val="0"/>
          <w:numId w:val="0"/>
        </w:numPr>
        <w:spacing w:after="480" w:line="360" w:lineRule="auto"/>
        <w:jc w:val="both"/>
        <w:rPr>
          <w:rFonts w:cs="Arial"/>
          <w:lang w:val="en-US"/>
        </w:rPr>
      </w:pPr>
      <w:r>
        <w:rPr>
          <w:rFonts w:cs="Arial"/>
          <w:lang w:val="en-US"/>
        </w:rPr>
        <w:t>[39]</w:t>
      </w:r>
      <w:r>
        <w:rPr>
          <w:rFonts w:cs="Arial"/>
          <w:lang w:val="en-US"/>
        </w:rPr>
        <w:tab/>
      </w:r>
      <w:r w:rsidR="00BA014A">
        <w:rPr>
          <w:rFonts w:cs="Arial"/>
          <w:lang w:val="en-US"/>
        </w:rPr>
        <w:t xml:space="preserve">As held in </w:t>
      </w:r>
      <w:r w:rsidR="00BA014A" w:rsidRPr="00722B1F">
        <w:rPr>
          <w:rFonts w:cs="Arial"/>
          <w:i/>
          <w:lang w:val="en-US"/>
        </w:rPr>
        <w:t>Coral Lagoon</w:t>
      </w:r>
      <w:r w:rsidR="00385103">
        <w:rPr>
          <w:rFonts w:cs="Arial"/>
          <w:i/>
          <w:lang w:val="en-US"/>
        </w:rPr>
        <w:t>:</w:t>
      </w:r>
      <w:r w:rsidR="00BA014A">
        <w:rPr>
          <w:rStyle w:val="FootnoteReference"/>
          <w:rFonts w:cs="Arial"/>
          <w:lang w:val="en-US"/>
        </w:rPr>
        <w:footnoteReference w:id="16"/>
      </w:r>
      <w:r w:rsidR="00BA014A">
        <w:rPr>
          <w:rFonts w:cs="Arial"/>
          <w:lang w:val="en-US"/>
        </w:rPr>
        <w:t xml:space="preserve"> </w:t>
      </w:r>
    </w:p>
    <w:p w14:paraId="556EBB1D" w14:textId="77777777" w:rsidR="00BA014A" w:rsidRPr="00B47773" w:rsidRDefault="00BA014A" w:rsidP="00BA014A">
      <w:pPr>
        <w:pStyle w:val="level11"/>
        <w:numPr>
          <w:ilvl w:val="0"/>
          <w:numId w:val="0"/>
        </w:numPr>
        <w:spacing w:after="480"/>
        <w:ind w:left="720"/>
        <w:jc w:val="both"/>
        <w:rPr>
          <w:rFonts w:cs="Arial"/>
          <w:i/>
          <w:sz w:val="20"/>
          <w:szCs w:val="20"/>
          <w:lang w:val="en-US"/>
        </w:rPr>
      </w:pPr>
      <w:r w:rsidRPr="00B47773">
        <w:rPr>
          <w:rFonts w:cs="Arial"/>
          <w:i/>
          <w:sz w:val="20"/>
          <w:szCs w:val="20"/>
          <w:lang w:val="en-US"/>
        </w:rPr>
        <w:t>“The proposition that context is everything is not a licence to contend for meani</w:t>
      </w:r>
      <w:r>
        <w:rPr>
          <w:rFonts w:cs="Arial"/>
          <w:i/>
          <w:sz w:val="20"/>
          <w:szCs w:val="20"/>
          <w:lang w:val="en-US"/>
        </w:rPr>
        <w:t>n</w:t>
      </w:r>
      <w:r w:rsidRPr="00B47773">
        <w:rPr>
          <w:rFonts w:cs="Arial"/>
          <w:i/>
          <w:sz w:val="20"/>
          <w:szCs w:val="20"/>
          <w:lang w:val="en-US"/>
        </w:rPr>
        <w:t xml:space="preserve">gs unmoored in the text and its structure. Rather, context and purpose may be used to elucidate the text”. </w:t>
      </w:r>
    </w:p>
    <w:p w14:paraId="63790DA1" w14:textId="76EB8D41" w:rsidR="00F82BE9" w:rsidRDefault="00ED51A5" w:rsidP="00ED51A5">
      <w:pPr>
        <w:pStyle w:val="level11"/>
        <w:numPr>
          <w:ilvl w:val="0"/>
          <w:numId w:val="0"/>
        </w:numPr>
        <w:spacing w:after="480" w:line="360" w:lineRule="auto"/>
        <w:jc w:val="both"/>
        <w:rPr>
          <w:rFonts w:cs="Arial"/>
          <w:lang w:val="en-US"/>
        </w:rPr>
      </w:pPr>
      <w:r>
        <w:rPr>
          <w:rFonts w:cs="Arial"/>
          <w:lang w:val="en-US"/>
        </w:rPr>
        <w:t>[40]</w:t>
      </w:r>
      <w:r>
        <w:rPr>
          <w:rFonts w:cs="Arial"/>
          <w:lang w:val="en-US"/>
        </w:rPr>
        <w:tab/>
      </w:r>
      <w:r w:rsidR="00B24CC4">
        <w:rPr>
          <w:rFonts w:cs="Arial"/>
          <w:lang w:val="en-US"/>
        </w:rPr>
        <w:t xml:space="preserve">Various clauses of the agreement such as clause 18.4, </w:t>
      </w:r>
      <w:r w:rsidR="00F82BE9">
        <w:rPr>
          <w:rFonts w:cs="Arial"/>
          <w:lang w:val="en-US"/>
        </w:rPr>
        <w:t xml:space="preserve">militate against </w:t>
      </w:r>
      <w:r w:rsidR="00B24CC4">
        <w:rPr>
          <w:rFonts w:cs="Arial"/>
          <w:lang w:val="en-US"/>
        </w:rPr>
        <w:t xml:space="preserve">the respondent’s </w:t>
      </w:r>
      <w:r w:rsidR="00F82BE9">
        <w:rPr>
          <w:rFonts w:cs="Arial"/>
          <w:lang w:val="en-US"/>
        </w:rPr>
        <w:t xml:space="preserve">interpretation. </w:t>
      </w:r>
      <w:r w:rsidR="00BA014A">
        <w:rPr>
          <w:rFonts w:cs="Arial"/>
          <w:lang w:val="en-US"/>
        </w:rPr>
        <w:t>Seen as a whole, the design of the agreement and the words and concepts used, militate against the respondent being afforded the contractual right to a lien.</w:t>
      </w:r>
      <w:r w:rsidR="005200ED">
        <w:rPr>
          <w:rFonts w:cs="Arial"/>
          <w:lang w:val="en-US"/>
        </w:rPr>
        <w:t xml:space="preserve"> The provisions of the agreement are inconsistent with the right to a lien, such as clause 18.4 which imposes an obligation on the respondent to return the assets irrespective of any disputes between the parties.</w:t>
      </w:r>
    </w:p>
    <w:p w14:paraId="74B72A99" w14:textId="10B1252B" w:rsidR="00CB1701" w:rsidRPr="00B24CC4" w:rsidRDefault="00ED51A5" w:rsidP="00ED51A5">
      <w:pPr>
        <w:pStyle w:val="level11"/>
        <w:numPr>
          <w:ilvl w:val="0"/>
          <w:numId w:val="0"/>
        </w:numPr>
        <w:spacing w:after="480" w:line="360" w:lineRule="auto"/>
        <w:jc w:val="both"/>
        <w:rPr>
          <w:rFonts w:cs="Arial"/>
          <w:lang w:val="en-US"/>
        </w:rPr>
      </w:pPr>
      <w:r w:rsidRPr="00B24CC4">
        <w:rPr>
          <w:rFonts w:cs="Arial"/>
          <w:lang w:val="en-US"/>
        </w:rPr>
        <w:t>[41]</w:t>
      </w:r>
      <w:r w:rsidRPr="00B24CC4">
        <w:rPr>
          <w:rFonts w:cs="Arial"/>
          <w:lang w:val="en-US"/>
        </w:rPr>
        <w:tab/>
      </w:r>
      <w:r w:rsidR="00CB1701" w:rsidRPr="00B24CC4">
        <w:rPr>
          <w:rFonts w:cs="Arial"/>
          <w:lang w:val="en-US"/>
        </w:rPr>
        <w:t xml:space="preserve">In addition, on a factual level, the respondent has not </w:t>
      </w:r>
      <w:r w:rsidR="00B24CC4">
        <w:rPr>
          <w:rFonts w:cs="Arial"/>
          <w:lang w:val="en-US"/>
        </w:rPr>
        <w:t xml:space="preserve">on its papers </w:t>
      </w:r>
      <w:r w:rsidR="00CB1701" w:rsidRPr="00B24CC4">
        <w:rPr>
          <w:rFonts w:cs="Arial"/>
          <w:lang w:val="en-US"/>
        </w:rPr>
        <w:t>established that the applicant is in default of its payment obligations</w:t>
      </w:r>
      <w:r w:rsidR="00BA014A">
        <w:rPr>
          <w:rFonts w:cs="Arial"/>
          <w:lang w:val="en-US"/>
        </w:rPr>
        <w:t>, for the reasons already provided</w:t>
      </w:r>
      <w:r w:rsidR="00CB1701" w:rsidRPr="00B24CC4">
        <w:rPr>
          <w:rFonts w:cs="Arial"/>
          <w:lang w:val="en-US"/>
        </w:rPr>
        <w:t xml:space="preserve">. </w:t>
      </w:r>
    </w:p>
    <w:p w14:paraId="4275E600" w14:textId="4BBC4508" w:rsidR="00BA014A" w:rsidRPr="0004211E" w:rsidRDefault="00ED51A5" w:rsidP="00ED51A5">
      <w:pPr>
        <w:pStyle w:val="level11"/>
        <w:numPr>
          <w:ilvl w:val="0"/>
          <w:numId w:val="0"/>
        </w:numPr>
        <w:spacing w:after="480" w:line="360" w:lineRule="auto"/>
        <w:jc w:val="both"/>
        <w:rPr>
          <w:rFonts w:cs="Arial"/>
          <w:lang w:val="en-US"/>
        </w:rPr>
      </w:pPr>
      <w:r w:rsidRPr="0004211E">
        <w:rPr>
          <w:rFonts w:cs="Arial"/>
          <w:lang w:val="en-US"/>
        </w:rPr>
        <w:t>[42]</w:t>
      </w:r>
      <w:r w:rsidRPr="0004211E">
        <w:rPr>
          <w:rFonts w:cs="Arial"/>
          <w:lang w:val="en-US"/>
        </w:rPr>
        <w:tab/>
      </w:r>
      <w:r w:rsidR="00BA014A" w:rsidRPr="0004211E">
        <w:rPr>
          <w:rFonts w:cs="Arial"/>
          <w:lang w:val="en-US"/>
        </w:rPr>
        <w:t>Contracts freely concluded between parties</w:t>
      </w:r>
      <w:r w:rsidR="00BA014A">
        <w:rPr>
          <w:rFonts w:cs="Arial"/>
          <w:lang w:val="en-US"/>
        </w:rPr>
        <w:t xml:space="preserve"> </w:t>
      </w:r>
      <w:r w:rsidR="00BA014A" w:rsidRPr="0004211E">
        <w:rPr>
          <w:rFonts w:cs="Arial"/>
          <w:lang w:val="en-US"/>
        </w:rPr>
        <w:t xml:space="preserve">should be enforced in accordance with the </w:t>
      </w:r>
      <w:r w:rsidR="00BA014A" w:rsidRPr="0004211E">
        <w:rPr>
          <w:rFonts w:cs="Arial"/>
          <w:i/>
          <w:lang w:val="en-US"/>
        </w:rPr>
        <w:t>pacta sunt servanda</w:t>
      </w:r>
      <w:r w:rsidR="00BA014A" w:rsidRPr="0004211E">
        <w:rPr>
          <w:rFonts w:cs="Arial"/>
          <w:lang w:val="en-US"/>
        </w:rPr>
        <w:t xml:space="preserve"> principle, as confirmed by the Constitutional Court in </w:t>
      </w:r>
      <w:r w:rsidR="00BA014A" w:rsidRPr="0004211E">
        <w:rPr>
          <w:i/>
          <w:lang w:val="en-US"/>
        </w:rPr>
        <w:t>Baedica</w:t>
      </w:r>
      <w:r w:rsidR="00385103">
        <w:rPr>
          <w:i/>
          <w:lang w:val="en-US"/>
        </w:rPr>
        <w:t>.</w:t>
      </w:r>
      <w:r w:rsidR="00BA014A">
        <w:rPr>
          <w:rStyle w:val="FootnoteReference"/>
          <w:lang w:val="en-US"/>
        </w:rPr>
        <w:footnoteReference w:id="17"/>
      </w:r>
    </w:p>
    <w:p w14:paraId="08109F85" w14:textId="328FA511" w:rsidR="00800424" w:rsidRDefault="00ED51A5" w:rsidP="00ED51A5">
      <w:pPr>
        <w:pStyle w:val="level11"/>
        <w:numPr>
          <w:ilvl w:val="0"/>
          <w:numId w:val="0"/>
        </w:numPr>
        <w:spacing w:after="480" w:line="360" w:lineRule="auto"/>
        <w:jc w:val="both"/>
        <w:rPr>
          <w:rFonts w:cs="Arial"/>
          <w:lang w:val="en-US"/>
        </w:rPr>
      </w:pPr>
      <w:r>
        <w:rPr>
          <w:rFonts w:cs="Arial"/>
          <w:lang w:val="en-US"/>
        </w:rPr>
        <w:t>[43]</w:t>
      </w:r>
      <w:r>
        <w:rPr>
          <w:rFonts w:cs="Arial"/>
          <w:lang w:val="en-US"/>
        </w:rPr>
        <w:tab/>
      </w:r>
      <w:r w:rsidR="00BA014A">
        <w:rPr>
          <w:rFonts w:cs="Arial"/>
          <w:lang w:val="en-US"/>
        </w:rPr>
        <w:t>I conclude that the respondent has failed to establish the existence of a debtor and creditor lien or that it is entitled to exercise any such lien in the circumstances. The respondent has not discharged its onus or established any impediment to the applicant exercising its contractual and other rights to the assets</w:t>
      </w:r>
      <w:r w:rsidR="00385103">
        <w:rPr>
          <w:rFonts w:cs="Arial"/>
          <w:lang w:val="en-US"/>
        </w:rPr>
        <w:t>.</w:t>
      </w:r>
      <w:r w:rsidR="00BA014A">
        <w:rPr>
          <w:rStyle w:val="FootnoteReference"/>
          <w:rFonts w:cs="Arial"/>
          <w:lang w:val="en-US"/>
        </w:rPr>
        <w:footnoteReference w:id="18"/>
      </w:r>
    </w:p>
    <w:p w14:paraId="58E72E9C" w14:textId="2BD557A2" w:rsidR="00622741" w:rsidRDefault="00ED51A5" w:rsidP="00ED51A5">
      <w:pPr>
        <w:pStyle w:val="level11"/>
        <w:numPr>
          <w:ilvl w:val="0"/>
          <w:numId w:val="0"/>
        </w:numPr>
        <w:spacing w:after="480" w:line="360" w:lineRule="auto"/>
        <w:jc w:val="both"/>
        <w:rPr>
          <w:rFonts w:cs="Arial"/>
          <w:lang w:val="en-US"/>
        </w:rPr>
      </w:pPr>
      <w:r>
        <w:rPr>
          <w:rFonts w:cs="Arial"/>
          <w:lang w:val="en-US"/>
        </w:rPr>
        <w:lastRenderedPageBreak/>
        <w:t>[44]</w:t>
      </w:r>
      <w:r>
        <w:rPr>
          <w:rFonts w:cs="Arial"/>
          <w:lang w:val="en-US"/>
        </w:rPr>
        <w:tab/>
      </w:r>
      <w:r w:rsidR="00622741">
        <w:rPr>
          <w:rFonts w:cs="Arial"/>
          <w:lang w:val="en-US"/>
        </w:rPr>
        <w:t xml:space="preserve">I </w:t>
      </w:r>
      <w:r w:rsidR="00BA014A">
        <w:rPr>
          <w:rFonts w:cs="Arial"/>
          <w:lang w:val="en-US"/>
        </w:rPr>
        <w:t xml:space="preserve">further </w:t>
      </w:r>
      <w:r w:rsidR="00622741">
        <w:rPr>
          <w:rFonts w:cs="Arial"/>
          <w:lang w:val="en-US"/>
        </w:rPr>
        <w:t xml:space="preserve">conclude that </w:t>
      </w:r>
      <w:r w:rsidR="000D573D">
        <w:rPr>
          <w:rFonts w:cs="Arial"/>
          <w:lang w:val="en-US"/>
        </w:rPr>
        <w:t>t</w:t>
      </w:r>
      <w:r w:rsidR="00622741">
        <w:rPr>
          <w:rFonts w:cs="Arial"/>
          <w:lang w:val="en-US"/>
        </w:rPr>
        <w:t>he applicant has established a clear right to return of its assets</w:t>
      </w:r>
      <w:r w:rsidR="00BE4B3A">
        <w:rPr>
          <w:rFonts w:cs="Arial"/>
          <w:lang w:val="en-US"/>
        </w:rPr>
        <w:t xml:space="preserve"> and has illustrated that it has the right to specific performance of its clear contractual right to obtain the assets</w:t>
      </w:r>
      <w:r w:rsidR="00BE4B3A">
        <w:rPr>
          <w:rStyle w:val="FootnoteReference"/>
          <w:rFonts w:cs="Arial"/>
          <w:lang w:val="en-US"/>
        </w:rPr>
        <w:footnoteReference w:id="19"/>
      </w:r>
      <w:r w:rsidR="00622741">
        <w:rPr>
          <w:rFonts w:cs="Arial"/>
          <w:lang w:val="en-US"/>
        </w:rPr>
        <w:t>.</w:t>
      </w:r>
      <w:r w:rsidR="00BE4B3A">
        <w:rPr>
          <w:rFonts w:cs="Arial"/>
          <w:lang w:val="en-US"/>
        </w:rPr>
        <w:t xml:space="preserve"> Its right as owner of the assets is not contested.</w:t>
      </w:r>
    </w:p>
    <w:p w14:paraId="06BD1121" w14:textId="3B0BF5D7" w:rsidR="00733BEC" w:rsidRDefault="00733BEC" w:rsidP="00F058AE">
      <w:pPr>
        <w:pStyle w:val="level11"/>
        <w:numPr>
          <w:ilvl w:val="0"/>
          <w:numId w:val="0"/>
        </w:numPr>
        <w:spacing w:after="480" w:line="360" w:lineRule="auto"/>
        <w:jc w:val="both"/>
        <w:rPr>
          <w:rFonts w:cs="Arial"/>
          <w:i/>
          <w:lang w:val="en-US"/>
        </w:rPr>
      </w:pPr>
      <w:r w:rsidRPr="00CA35B3">
        <w:rPr>
          <w:rFonts w:cs="Arial"/>
          <w:i/>
          <w:lang w:val="en-US"/>
        </w:rPr>
        <w:t>Has the applicant illustrated</w:t>
      </w:r>
      <w:r w:rsidR="00CA35B3">
        <w:rPr>
          <w:rFonts w:cs="Arial"/>
          <w:i/>
          <w:lang w:val="en-US"/>
        </w:rPr>
        <w:t xml:space="preserve"> </w:t>
      </w:r>
      <w:r w:rsidR="00CA35B3" w:rsidRPr="00CA35B3">
        <w:rPr>
          <w:rFonts w:cs="Arial"/>
          <w:i/>
          <w:lang w:val="en-US"/>
        </w:rPr>
        <w:t>that an injury is being committed or is reasonably apprehended</w:t>
      </w:r>
      <w:r w:rsidRPr="00CA35B3">
        <w:rPr>
          <w:rFonts w:cs="Arial"/>
          <w:i/>
          <w:lang w:val="en-US"/>
        </w:rPr>
        <w:t>?</w:t>
      </w:r>
    </w:p>
    <w:p w14:paraId="54E31D6F" w14:textId="0244FE1D" w:rsidR="00B74332" w:rsidRPr="00BE721E" w:rsidRDefault="00ED51A5" w:rsidP="00ED51A5">
      <w:pPr>
        <w:pStyle w:val="level11"/>
        <w:numPr>
          <w:ilvl w:val="0"/>
          <w:numId w:val="0"/>
        </w:numPr>
        <w:spacing w:after="480" w:line="360" w:lineRule="auto"/>
        <w:jc w:val="both"/>
        <w:rPr>
          <w:rFonts w:cs="Arial"/>
          <w:i/>
          <w:lang w:val="en-US"/>
        </w:rPr>
      </w:pPr>
      <w:r w:rsidRPr="00BE721E">
        <w:rPr>
          <w:rFonts w:cs="Arial"/>
          <w:lang w:val="en-US"/>
        </w:rPr>
        <w:t>[45]</w:t>
      </w:r>
      <w:r w:rsidRPr="00BE721E">
        <w:rPr>
          <w:rFonts w:cs="Arial"/>
          <w:lang w:val="en-US"/>
        </w:rPr>
        <w:tab/>
      </w:r>
      <w:r w:rsidR="00B74332">
        <w:rPr>
          <w:rFonts w:cs="Arial"/>
          <w:lang w:val="en-US"/>
        </w:rPr>
        <w:t xml:space="preserve">The applicant contends that </w:t>
      </w:r>
      <w:r w:rsidR="00622741">
        <w:rPr>
          <w:rFonts w:cs="Arial"/>
          <w:lang w:val="en-US"/>
        </w:rPr>
        <w:t xml:space="preserve">the </w:t>
      </w:r>
      <w:r w:rsidR="00B74332">
        <w:rPr>
          <w:rFonts w:cs="Arial"/>
          <w:lang w:val="en-US"/>
        </w:rPr>
        <w:t>respondent</w:t>
      </w:r>
      <w:r w:rsidR="00622741">
        <w:rPr>
          <w:rFonts w:cs="Arial"/>
          <w:lang w:val="en-US"/>
        </w:rPr>
        <w:t>’</w:t>
      </w:r>
      <w:r w:rsidR="00B74332">
        <w:rPr>
          <w:rFonts w:cs="Arial"/>
          <w:lang w:val="en-US"/>
        </w:rPr>
        <w:t xml:space="preserve">s refusal to surrender </w:t>
      </w:r>
      <w:r w:rsidR="00622741">
        <w:rPr>
          <w:rFonts w:cs="Arial"/>
          <w:lang w:val="en-US"/>
        </w:rPr>
        <w:t xml:space="preserve">the </w:t>
      </w:r>
      <w:r w:rsidR="00B74332">
        <w:rPr>
          <w:rFonts w:cs="Arial"/>
          <w:lang w:val="en-US"/>
        </w:rPr>
        <w:t xml:space="preserve">assets has injured its contractual and constitutional rights with resultant prejudice. </w:t>
      </w:r>
      <w:r w:rsidR="00622741">
        <w:rPr>
          <w:rFonts w:cs="Arial"/>
          <w:lang w:val="en-US"/>
        </w:rPr>
        <w:t xml:space="preserve">In terms of </w:t>
      </w:r>
      <w:r w:rsidR="00B74332">
        <w:rPr>
          <w:rFonts w:cs="Arial"/>
          <w:lang w:val="en-US"/>
        </w:rPr>
        <w:t xml:space="preserve">clause 18.1 </w:t>
      </w:r>
      <w:r w:rsidR="00622741">
        <w:rPr>
          <w:rFonts w:cs="Arial"/>
          <w:lang w:val="en-US"/>
        </w:rPr>
        <w:t xml:space="preserve">of the agreement, the respondent has the </w:t>
      </w:r>
      <w:r w:rsidR="00B74332">
        <w:rPr>
          <w:rFonts w:cs="Arial"/>
          <w:lang w:val="en-US"/>
        </w:rPr>
        <w:t xml:space="preserve">duty to act in </w:t>
      </w:r>
      <w:r w:rsidR="00622741">
        <w:rPr>
          <w:rFonts w:cs="Arial"/>
          <w:lang w:val="en-US"/>
        </w:rPr>
        <w:t xml:space="preserve">the </w:t>
      </w:r>
      <w:r w:rsidR="00B74332">
        <w:rPr>
          <w:rFonts w:cs="Arial"/>
          <w:lang w:val="en-US"/>
        </w:rPr>
        <w:t xml:space="preserve">utmost good faith, </w:t>
      </w:r>
      <w:r w:rsidR="00622741">
        <w:rPr>
          <w:rFonts w:cs="Arial"/>
          <w:lang w:val="en-US"/>
        </w:rPr>
        <w:t xml:space="preserve">to </w:t>
      </w:r>
      <w:r w:rsidR="00B74332">
        <w:rPr>
          <w:rFonts w:cs="Arial"/>
          <w:lang w:val="en-US"/>
        </w:rPr>
        <w:t>avoid allowing conflicts of interests to arise where it will be confronted with a choice between its pr</w:t>
      </w:r>
      <w:r w:rsidR="00622741">
        <w:rPr>
          <w:rFonts w:cs="Arial"/>
          <w:lang w:val="en-US"/>
        </w:rPr>
        <w:t>i</w:t>
      </w:r>
      <w:r w:rsidR="00B74332">
        <w:rPr>
          <w:rFonts w:cs="Arial"/>
          <w:lang w:val="en-US"/>
        </w:rPr>
        <w:t>vate inter</w:t>
      </w:r>
      <w:r w:rsidR="00622741">
        <w:rPr>
          <w:rFonts w:cs="Arial"/>
          <w:lang w:val="en-US"/>
        </w:rPr>
        <w:t>e</w:t>
      </w:r>
      <w:r w:rsidR="00B74332">
        <w:rPr>
          <w:rFonts w:cs="Arial"/>
          <w:lang w:val="en-US"/>
        </w:rPr>
        <w:t xml:space="preserve">sts and those of applicant in respect of the assets, </w:t>
      </w:r>
      <w:r w:rsidR="00622741">
        <w:rPr>
          <w:rFonts w:cs="Arial"/>
          <w:lang w:val="en-US"/>
        </w:rPr>
        <w:t xml:space="preserve">to </w:t>
      </w:r>
      <w:r w:rsidR="00B74332">
        <w:rPr>
          <w:rFonts w:cs="Arial"/>
          <w:lang w:val="en-US"/>
        </w:rPr>
        <w:t xml:space="preserve">act in </w:t>
      </w:r>
      <w:r w:rsidR="00622741">
        <w:rPr>
          <w:rFonts w:cs="Arial"/>
          <w:lang w:val="en-US"/>
        </w:rPr>
        <w:t xml:space="preserve">the </w:t>
      </w:r>
      <w:r w:rsidR="00B74332">
        <w:rPr>
          <w:rFonts w:cs="Arial"/>
          <w:lang w:val="en-US"/>
        </w:rPr>
        <w:t>applicant’s best inter</w:t>
      </w:r>
      <w:r w:rsidR="00622741">
        <w:rPr>
          <w:rFonts w:cs="Arial"/>
          <w:lang w:val="en-US"/>
        </w:rPr>
        <w:t>e</w:t>
      </w:r>
      <w:r w:rsidR="00B74332">
        <w:rPr>
          <w:rFonts w:cs="Arial"/>
          <w:lang w:val="en-US"/>
        </w:rPr>
        <w:t>sts in dea</w:t>
      </w:r>
      <w:r w:rsidR="00622741">
        <w:rPr>
          <w:rFonts w:cs="Arial"/>
          <w:lang w:val="en-US"/>
        </w:rPr>
        <w:t>l</w:t>
      </w:r>
      <w:r w:rsidR="00B74332">
        <w:rPr>
          <w:rFonts w:cs="Arial"/>
          <w:lang w:val="en-US"/>
        </w:rPr>
        <w:t xml:space="preserve">ing with the assets and </w:t>
      </w:r>
      <w:r w:rsidR="00622741">
        <w:rPr>
          <w:rFonts w:cs="Arial"/>
          <w:lang w:val="en-US"/>
        </w:rPr>
        <w:t xml:space="preserve">to </w:t>
      </w:r>
      <w:r w:rsidR="00B74332">
        <w:rPr>
          <w:rFonts w:cs="Arial"/>
          <w:lang w:val="en-US"/>
        </w:rPr>
        <w:t>refrain from deriving personal benefits by virtue of its position of trust without lawful reason.</w:t>
      </w:r>
    </w:p>
    <w:p w14:paraId="3230F78E" w14:textId="45D472CD" w:rsidR="00F058AE" w:rsidRPr="00F058AE" w:rsidRDefault="00ED51A5" w:rsidP="00ED51A5">
      <w:pPr>
        <w:pStyle w:val="level11"/>
        <w:numPr>
          <w:ilvl w:val="0"/>
          <w:numId w:val="0"/>
        </w:numPr>
        <w:spacing w:after="480" w:line="360" w:lineRule="auto"/>
        <w:jc w:val="both"/>
        <w:rPr>
          <w:rFonts w:cs="Arial"/>
          <w:i/>
          <w:lang w:val="en-US"/>
        </w:rPr>
      </w:pPr>
      <w:r w:rsidRPr="00F058AE">
        <w:rPr>
          <w:rFonts w:cs="Arial"/>
          <w:lang w:val="en-US"/>
        </w:rPr>
        <w:t>[46]</w:t>
      </w:r>
      <w:r w:rsidRPr="00F058AE">
        <w:rPr>
          <w:rFonts w:cs="Arial"/>
          <w:lang w:val="en-US"/>
        </w:rPr>
        <w:tab/>
      </w:r>
      <w:r w:rsidR="00BE721E">
        <w:rPr>
          <w:rFonts w:cs="Arial"/>
          <w:lang w:val="en-US"/>
        </w:rPr>
        <w:t>According to the re</w:t>
      </w:r>
      <w:r w:rsidR="00622741">
        <w:rPr>
          <w:rFonts w:cs="Arial"/>
          <w:lang w:val="en-US"/>
        </w:rPr>
        <w:t>s</w:t>
      </w:r>
      <w:r w:rsidR="00BE721E">
        <w:rPr>
          <w:rFonts w:cs="Arial"/>
          <w:lang w:val="en-US"/>
        </w:rPr>
        <w:t xml:space="preserve">pondent, </w:t>
      </w:r>
      <w:r w:rsidR="00622741">
        <w:rPr>
          <w:rFonts w:cs="Arial"/>
          <w:lang w:val="en-US"/>
        </w:rPr>
        <w:t xml:space="preserve">it was required to protect its interests and the </w:t>
      </w:r>
      <w:r w:rsidR="00622741" w:rsidRPr="000D573D">
        <w:rPr>
          <w:rFonts w:cs="Arial"/>
          <w:i/>
          <w:lang w:val="en-US"/>
        </w:rPr>
        <w:t>mala fide</w:t>
      </w:r>
      <w:r w:rsidR="00622741">
        <w:rPr>
          <w:rFonts w:cs="Arial"/>
          <w:lang w:val="en-US"/>
        </w:rPr>
        <w:t xml:space="preserve"> conduct of the applicant made it reasonably fear that the applicant would not make payment of the outstanding invoices and the applicant approaches the court with unclean hands. </w:t>
      </w:r>
    </w:p>
    <w:p w14:paraId="1560F198" w14:textId="70BE0BB8" w:rsidR="00BE721E" w:rsidRPr="00CA35B3" w:rsidRDefault="00ED51A5" w:rsidP="00ED51A5">
      <w:pPr>
        <w:pStyle w:val="level11"/>
        <w:numPr>
          <w:ilvl w:val="0"/>
          <w:numId w:val="0"/>
        </w:numPr>
        <w:spacing w:after="480" w:line="360" w:lineRule="auto"/>
        <w:jc w:val="both"/>
        <w:rPr>
          <w:rFonts w:cs="Arial"/>
          <w:i/>
          <w:lang w:val="en-US"/>
        </w:rPr>
      </w:pPr>
      <w:r w:rsidRPr="00CA35B3">
        <w:rPr>
          <w:rFonts w:cs="Arial"/>
          <w:lang w:val="en-US"/>
        </w:rPr>
        <w:t>[47]</w:t>
      </w:r>
      <w:r w:rsidRPr="00CA35B3">
        <w:rPr>
          <w:rFonts w:cs="Arial"/>
          <w:lang w:val="en-US"/>
        </w:rPr>
        <w:tab/>
      </w:r>
      <w:r w:rsidR="00622741">
        <w:rPr>
          <w:rFonts w:cs="Arial"/>
          <w:lang w:val="en-US"/>
        </w:rPr>
        <w:t xml:space="preserve">I have already concluded that the allegations of </w:t>
      </w:r>
      <w:r w:rsidR="00622741" w:rsidRPr="000D573D">
        <w:rPr>
          <w:rFonts w:cs="Arial"/>
          <w:i/>
          <w:lang w:val="en-US"/>
        </w:rPr>
        <w:t>mala fide</w:t>
      </w:r>
      <w:r w:rsidR="00622741">
        <w:rPr>
          <w:rFonts w:cs="Arial"/>
          <w:lang w:val="en-US"/>
        </w:rPr>
        <w:t xml:space="preserve"> conduct on the part of the applicant are based on speculation and conjecture rather than cogent primary facts. </w:t>
      </w:r>
    </w:p>
    <w:p w14:paraId="1FCEB98B" w14:textId="49D0F7C5" w:rsidR="00AD3F83" w:rsidRPr="00AD3F83" w:rsidRDefault="00ED51A5" w:rsidP="00ED51A5">
      <w:pPr>
        <w:pStyle w:val="level11"/>
        <w:numPr>
          <w:ilvl w:val="0"/>
          <w:numId w:val="0"/>
        </w:numPr>
        <w:spacing w:after="480" w:line="360" w:lineRule="auto"/>
        <w:jc w:val="both"/>
        <w:rPr>
          <w:rFonts w:cs="Arial"/>
          <w:b/>
          <w:lang w:val="en-US"/>
        </w:rPr>
      </w:pPr>
      <w:r w:rsidRPr="00AD3F83">
        <w:rPr>
          <w:rFonts w:cs="Arial"/>
          <w:lang w:val="en-US"/>
        </w:rPr>
        <w:t>[48]</w:t>
      </w:r>
      <w:r w:rsidRPr="00AD3F83">
        <w:rPr>
          <w:rFonts w:cs="Arial"/>
          <w:lang w:val="en-US"/>
        </w:rPr>
        <w:tab/>
      </w:r>
      <w:r w:rsidR="00AD3F83">
        <w:t xml:space="preserve">As explained by the Constitutional Court in </w:t>
      </w:r>
      <w:r w:rsidR="00AD3F83" w:rsidRPr="00AD3F83">
        <w:rPr>
          <w:i/>
        </w:rPr>
        <w:t>Commercial Stevedoring Agricultural and Allied Workers' Union</w:t>
      </w:r>
      <w:r w:rsidR="00385103">
        <w:rPr>
          <w:i/>
        </w:rPr>
        <w:t>:</w:t>
      </w:r>
      <w:r w:rsidR="00AD3F83">
        <w:rPr>
          <w:rStyle w:val="FootnoteReference"/>
        </w:rPr>
        <w:footnoteReference w:id="20"/>
      </w:r>
    </w:p>
    <w:p w14:paraId="15AB6A16" w14:textId="78924E32" w:rsidR="00AD3F83" w:rsidRPr="00AD3F83" w:rsidRDefault="00AD3F83" w:rsidP="00AD3F83">
      <w:pPr>
        <w:pStyle w:val="level11"/>
        <w:numPr>
          <w:ilvl w:val="0"/>
          <w:numId w:val="0"/>
        </w:numPr>
        <w:spacing w:after="480"/>
        <w:ind w:left="360"/>
        <w:jc w:val="both"/>
        <w:rPr>
          <w:rFonts w:cs="Arial"/>
          <w:b/>
          <w:i/>
          <w:sz w:val="20"/>
          <w:szCs w:val="20"/>
          <w:lang w:val="en-US"/>
        </w:rPr>
      </w:pPr>
      <w:r>
        <w:t xml:space="preserve"> </w:t>
      </w:r>
      <w:r w:rsidRPr="00AD3F83">
        <w:rPr>
          <w:i/>
          <w:sz w:val="20"/>
          <w:szCs w:val="20"/>
        </w:rPr>
        <w:t xml:space="preserve">“An interdict is intended to protect an applicant from the actual or threatened unlawful conduct of the person sought to be interdicted. Thus, for an interdict to be granted, it must be shown, on a balance of probabilities (taking into account the Plascon-Evans rule, where final relief is sought on motion), that </w:t>
      </w:r>
      <w:r w:rsidRPr="00AD3F83">
        <w:rPr>
          <w:i/>
          <w:sz w:val="20"/>
          <w:szCs w:val="20"/>
        </w:rPr>
        <w:lastRenderedPageBreak/>
        <w:t>unless restrained by an interdict, the respondent will continue committing an injury against the applicant or that it is reasonably apprehended that the respondent will cause such an injury.”</w:t>
      </w:r>
    </w:p>
    <w:p w14:paraId="225919B5" w14:textId="714A489F" w:rsidR="00AD3F83" w:rsidRPr="00CA58DE" w:rsidRDefault="00ED51A5" w:rsidP="00ED51A5">
      <w:pPr>
        <w:pStyle w:val="level11"/>
        <w:numPr>
          <w:ilvl w:val="0"/>
          <w:numId w:val="0"/>
        </w:numPr>
        <w:spacing w:after="480" w:line="360" w:lineRule="auto"/>
        <w:jc w:val="both"/>
        <w:rPr>
          <w:rFonts w:cs="Arial"/>
          <w:b/>
          <w:lang w:val="en-US"/>
        </w:rPr>
      </w:pPr>
      <w:r w:rsidRPr="00CA58DE">
        <w:rPr>
          <w:rFonts w:cs="Arial"/>
          <w:lang w:val="en-US"/>
        </w:rPr>
        <w:t>[49]</w:t>
      </w:r>
      <w:r w:rsidRPr="00CA58DE">
        <w:rPr>
          <w:rFonts w:cs="Arial"/>
          <w:lang w:val="en-US"/>
        </w:rPr>
        <w:tab/>
      </w:r>
      <w:r w:rsidR="00AD3F83">
        <w:t xml:space="preserve">It is also apposite to refer to </w:t>
      </w:r>
      <w:r w:rsidR="00AD3F83" w:rsidRPr="00AD3F83">
        <w:rPr>
          <w:i/>
        </w:rPr>
        <w:t>Hotz</w:t>
      </w:r>
      <w:r w:rsidR="00385103">
        <w:rPr>
          <w:i/>
        </w:rPr>
        <w:t>,</w:t>
      </w:r>
      <w:r w:rsidR="00AD3F83">
        <w:rPr>
          <w:rStyle w:val="FootnoteReference"/>
        </w:rPr>
        <w:footnoteReference w:id="21"/>
      </w:r>
      <w:r w:rsidR="00AD3F83">
        <w:t xml:space="preserve"> wherein the Supreme Court of Appeal held that by granting an interdict, a court enforces </w:t>
      </w:r>
      <w:r w:rsidR="00AD3F83" w:rsidRPr="00AD3F83">
        <w:rPr>
          <w:i/>
        </w:rPr>
        <w:t>“the principle of legality that obliges courts to give effect to legally recognised rights”.</w:t>
      </w:r>
      <w:r w:rsidR="00AD3F83">
        <w:t xml:space="preserve"> The purpose of injunctive relief is to </w:t>
      </w:r>
      <w:r w:rsidR="00AD3F83" w:rsidRPr="00AD3F83">
        <w:rPr>
          <w:i/>
        </w:rPr>
        <w:t>“put an end to conduct in breach of the applicant’s rights”</w:t>
      </w:r>
      <w:r w:rsidR="00AD3F83">
        <w:t>.</w:t>
      </w:r>
    </w:p>
    <w:p w14:paraId="57148255" w14:textId="62C66CD6" w:rsidR="009A65CE" w:rsidRDefault="00ED51A5" w:rsidP="00ED51A5">
      <w:pPr>
        <w:pStyle w:val="level11"/>
        <w:numPr>
          <w:ilvl w:val="0"/>
          <w:numId w:val="0"/>
        </w:numPr>
        <w:spacing w:after="480" w:line="360" w:lineRule="auto"/>
        <w:jc w:val="both"/>
        <w:rPr>
          <w:rFonts w:cs="Arial"/>
          <w:lang w:val="en-US"/>
        </w:rPr>
      </w:pPr>
      <w:r>
        <w:rPr>
          <w:rFonts w:cs="Arial"/>
          <w:lang w:val="en-US"/>
        </w:rPr>
        <w:t>[50]</w:t>
      </w:r>
      <w:r>
        <w:rPr>
          <w:rFonts w:cs="Arial"/>
          <w:lang w:val="en-US"/>
        </w:rPr>
        <w:tab/>
      </w:r>
      <w:r w:rsidR="00CA35B3">
        <w:rPr>
          <w:rFonts w:cs="Arial"/>
          <w:lang w:val="en-US"/>
        </w:rPr>
        <w:t>The respondent</w:t>
      </w:r>
      <w:r w:rsidR="009A65CE">
        <w:rPr>
          <w:rFonts w:cs="Arial"/>
          <w:lang w:val="en-US"/>
        </w:rPr>
        <w:t xml:space="preserve">’s unequivocal stance that it will not release the assets until payment is made in full is in my view dispositive of the issue and it is not necessary to delve into the arguments raised in any detail. Given the </w:t>
      </w:r>
      <w:r w:rsidR="009C4A5B">
        <w:rPr>
          <w:rFonts w:cs="Arial"/>
          <w:lang w:val="en-US"/>
        </w:rPr>
        <w:t xml:space="preserve">particularised </w:t>
      </w:r>
      <w:r w:rsidR="009A65CE">
        <w:rPr>
          <w:rFonts w:cs="Arial"/>
          <w:lang w:val="en-US"/>
        </w:rPr>
        <w:t xml:space="preserve">facts </w:t>
      </w:r>
      <w:r w:rsidR="009C4A5B">
        <w:rPr>
          <w:rFonts w:cs="Arial"/>
          <w:lang w:val="en-US"/>
        </w:rPr>
        <w:t xml:space="preserve">provided by the applicant pertaining to ongoing harm which it may suffer </w:t>
      </w:r>
      <w:r w:rsidR="00C843F6">
        <w:rPr>
          <w:rFonts w:cs="Arial"/>
          <w:lang w:val="en-US"/>
        </w:rPr>
        <w:t xml:space="preserve">and </w:t>
      </w:r>
      <w:r w:rsidR="009C4A5B">
        <w:rPr>
          <w:rFonts w:cs="Arial"/>
          <w:lang w:val="en-US"/>
        </w:rPr>
        <w:t xml:space="preserve">the </w:t>
      </w:r>
      <w:r w:rsidR="00C843F6">
        <w:rPr>
          <w:rFonts w:cs="Arial"/>
          <w:lang w:val="en-US"/>
        </w:rPr>
        <w:t xml:space="preserve">fact </w:t>
      </w:r>
      <w:r w:rsidR="009A65CE">
        <w:rPr>
          <w:rFonts w:cs="Arial"/>
          <w:lang w:val="en-US"/>
        </w:rPr>
        <w:t>that the respondent refuses to release the assets, despite the repeated undertakings provided by the applicant</w:t>
      </w:r>
      <w:r w:rsidR="00C843F6">
        <w:rPr>
          <w:rFonts w:cs="Arial"/>
          <w:lang w:val="en-US"/>
        </w:rPr>
        <w:t>,</w:t>
      </w:r>
      <w:r w:rsidR="009A65CE">
        <w:rPr>
          <w:rFonts w:cs="Arial"/>
          <w:lang w:val="en-US"/>
        </w:rPr>
        <w:t xml:space="preserve"> in my view illustrates a sufficient risk </w:t>
      </w:r>
      <w:r w:rsidR="00314436">
        <w:rPr>
          <w:rFonts w:cs="Arial"/>
          <w:lang w:val="en-US"/>
        </w:rPr>
        <w:t xml:space="preserve">of harm to meet this requirement. </w:t>
      </w:r>
      <w:r w:rsidR="009A65CE">
        <w:rPr>
          <w:rFonts w:cs="Arial"/>
          <w:lang w:val="en-US"/>
        </w:rPr>
        <w:t xml:space="preserve"> </w:t>
      </w:r>
    </w:p>
    <w:p w14:paraId="0BF3A145" w14:textId="43BA7279" w:rsidR="00CA35B3" w:rsidRDefault="00ED51A5" w:rsidP="00ED51A5">
      <w:pPr>
        <w:pStyle w:val="level11"/>
        <w:numPr>
          <w:ilvl w:val="0"/>
          <w:numId w:val="0"/>
        </w:numPr>
        <w:spacing w:after="480" w:line="360" w:lineRule="auto"/>
        <w:jc w:val="both"/>
        <w:rPr>
          <w:rFonts w:cs="Arial"/>
          <w:lang w:val="en-US"/>
        </w:rPr>
      </w:pPr>
      <w:r>
        <w:rPr>
          <w:rFonts w:cs="Arial"/>
          <w:lang w:val="en-US"/>
        </w:rPr>
        <w:t>[51]</w:t>
      </w:r>
      <w:r>
        <w:rPr>
          <w:rFonts w:cs="Arial"/>
          <w:lang w:val="en-US"/>
        </w:rPr>
        <w:tab/>
      </w:r>
      <w:r w:rsidR="00CA35B3">
        <w:rPr>
          <w:rFonts w:cs="Arial"/>
          <w:lang w:val="en-US"/>
        </w:rPr>
        <w:t xml:space="preserve"> </w:t>
      </w:r>
      <w:r w:rsidR="00314436">
        <w:rPr>
          <w:rFonts w:cs="Arial"/>
          <w:lang w:val="en-US"/>
        </w:rPr>
        <w:t xml:space="preserve">I am not persuaded by the respondent’s arguments that the applicant has addressed this issue </w:t>
      </w:r>
      <w:r w:rsidR="00CA35B3">
        <w:rPr>
          <w:rFonts w:cs="Arial"/>
          <w:lang w:val="en-US"/>
        </w:rPr>
        <w:t xml:space="preserve">in vague terms </w:t>
      </w:r>
      <w:r w:rsidR="00314436">
        <w:rPr>
          <w:rFonts w:cs="Arial"/>
          <w:lang w:val="en-US"/>
        </w:rPr>
        <w:t xml:space="preserve">and is the author of its own misfortune as it did not pay the invoices by 20 March 2023, nor by the argument that </w:t>
      </w:r>
      <w:r w:rsidR="00CA35B3">
        <w:rPr>
          <w:rFonts w:cs="Arial"/>
          <w:lang w:val="en-US"/>
        </w:rPr>
        <w:t xml:space="preserve">the link between </w:t>
      </w:r>
      <w:r w:rsidR="00314436">
        <w:rPr>
          <w:rFonts w:cs="Arial"/>
          <w:lang w:val="en-US"/>
        </w:rPr>
        <w:t xml:space="preserve">the respondent’s </w:t>
      </w:r>
      <w:r w:rsidR="00CA35B3">
        <w:rPr>
          <w:rFonts w:cs="Arial"/>
          <w:lang w:val="en-US"/>
        </w:rPr>
        <w:t>ret</w:t>
      </w:r>
      <w:r w:rsidR="00314436">
        <w:rPr>
          <w:rFonts w:cs="Arial"/>
          <w:lang w:val="en-US"/>
        </w:rPr>
        <w:t xml:space="preserve">ention of the </w:t>
      </w:r>
      <w:r w:rsidR="00CA35B3">
        <w:rPr>
          <w:rFonts w:cs="Arial"/>
          <w:lang w:val="en-US"/>
        </w:rPr>
        <w:t>assets pending payment and the injuries that may likely be suffered h</w:t>
      </w:r>
      <w:r w:rsidR="00385103">
        <w:rPr>
          <w:rFonts w:cs="Arial"/>
          <w:lang w:val="en-US"/>
        </w:rPr>
        <w:t>a</w:t>
      </w:r>
      <w:r w:rsidR="00CA35B3">
        <w:rPr>
          <w:rFonts w:cs="Arial"/>
          <w:lang w:val="en-US"/>
        </w:rPr>
        <w:t xml:space="preserve">s not been addressed. </w:t>
      </w:r>
    </w:p>
    <w:p w14:paraId="11FCFA30" w14:textId="598AFA8A" w:rsidR="00314436" w:rsidRDefault="00ED51A5" w:rsidP="00ED51A5">
      <w:pPr>
        <w:pStyle w:val="level11"/>
        <w:numPr>
          <w:ilvl w:val="0"/>
          <w:numId w:val="0"/>
        </w:numPr>
        <w:spacing w:after="480" w:line="360" w:lineRule="auto"/>
        <w:jc w:val="both"/>
        <w:rPr>
          <w:rFonts w:cs="Arial"/>
          <w:lang w:val="en-US"/>
        </w:rPr>
      </w:pPr>
      <w:r>
        <w:rPr>
          <w:rFonts w:cs="Arial"/>
          <w:lang w:val="en-US"/>
        </w:rPr>
        <w:t>[52]</w:t>
      </w:r>
      <w:r>
        <w:rPr>
          <w:rFonts w:cs="Arial"/>
          <w:lang w:val="en-US"/>
        </w:rPr>
        <w:tab/>
      </w:r>
      <w:r w:rsidR="00314436">
        <w:rPr>
          <w:rFonts w:cs="Arial"/>
          <w:lang w:val="en-US"/>
        </w:rPr>
        <w:t>I conclude that the applicant has established this requirement.</w:t>
      </w:r>
    </w:p>
    <w:p w14:paraId="0C28E872" w14:textId="3A6D3E16" w:rsidR="00733BEC" w:rsidRPr="009A65CE" w:rsidRDefault="00733BEC" w:rsidP="004B6600">
      <w:pPr>
        <w:pStyle w:val="level11"/>
        <w:numPr>
          <w:ilvl w:val="0"/>
          <w:numId w:val="0"/>
        </w:numPr>
        <w:spacing w:after="480" w:line="360" w:lineRule="auto"/>
        <w:jc w:val="both"/>
        <w:rPr>
          <w:rFonts w:cs="Arial"/>
          <w:i/>
          <w:lang w:val="en-US"/>
        </w:rPr>
      </w:pPr>
      <w:r w:rsidRPr="009A65CE">
        <w:rPr>
          <w:rFonts w:cs="Arial"/>
          <w:i/>
          <w:lang w:val="en-US"/>
        </w:rPr>
        <w:t>Does the applicant have a suitable alternative remedy?</w:t>
      </w:r>
    </w:p>
    <w:p w14:paraId="38D5BE7B" w14:textId="5AB12951" w:rsidR="00A20F7E" w:rsidRPr="00314436" w:rsidRDefault="00ED51A5" w:rsidP="00ED51A5">
      <w:pPr>
        <w:pStyle w:val="level11"/>
        <w:numPr>
          <w:ilvl w:val="0"/>
          <w:numId w:val="0"/>
        </w:numPr>
        <w:spacing w:after="480" w:line="360" w:lineRule="auto"/>
        <w:jc w:val="both"/>
        <w:rPr>
          <w:rFonts w:cs="Arial"/>
          <w:lang w:val="en-US"/>
        </w:rPr>
      </w:pPr>
      <w:r w:rsidRPr="00314436">
        <w:rPr>
          <w:rFonts w:cs="Arial"/>
          <w:lang w:val="en-US"/>
        </w:rPr>
        <w:t>[53]</w:t>
      </w:r>
      <w:r w:rsidRPr="00314436">
        <w:rPr>
          <w:rFonts w:cs="Arial"/>
          <w:lang w:val="en-US"/>
        </w:rPr>
        <w:tab/>
      </w:r>
      <w:r w:rsidR="00BE334B" w:rsidRPr="00314436">
        <w:rPr>
          <w:rFonts w:cs="Arial"/>
          <w:lang w:val="en-US"/>
        </w:rPr>
        <w:t>T</w:t>
      </w:r>
      <w:r w:rsidR="00CA35B3" w:rsidRPr="00314436">
        <w:rPr>
          <w:rFonts w:cs="Arial"/>
          <w:lang w:val="en-US"/>
        </w:rPr>
        <w:t xml:space="preserve">he respondent </w:t>
      </w:r>
      <w:r w:rsidR="00314436" w:rsidRPr="00314436">
        <w:rPr>
          <w:rFonts w:cs="Arial"/>
          <w:lang w:val="en-US"/>
        </w:rPr>
        <w:t>argues that as the applicant has not raised any disputes pertaining to the outstanding invoices it should accept the respondent’s repeated undertaking to release the assets once payment is received.</w:t>
      </w:r>
      <w:r w:rsidR="00AB45C7" w:rsidRPr="00314436">
        <w:rPr>
          <w:rFonts w:cs="Arial"/>
          <w:lang w:val="en-US"/>
        </w:rPr>
        <w:t xml:space="preserve"> It is further argued the applicant has failed to show it has exhausted all other remedies</w:t>
      </w:r>
      <w:r w:rsidR="00A20F7E" w:rsidRPr="00314436">
        <w:rPr>
          <w:rFonts w:cs="Arial"/>
          <w:lang w:val="en-US"/>
        </w:rPr>
        <w:t xml:space="preserve"> as it had the remedy of paying the outstanding </w:t>
      </w:r>
      <w:r w:rsidR="00A20F7E" w:rsidRPr="00314436">
        <w:rPr>
          <w:rFonts w:cs="Arial"/>
          <w:lang w:val="en-US"/>
        </w:rPr>
        <w:lastRenderedPageBreak/>
        <w:t>invoices.</w:t>
      </w:r>
      <w:r w:rsidR="00314436">
        <w:rPr>
          <w:rFonts w:cs="Arial"/>
          <w:lang w:val="en-US"/>
        </w:rPr>
        <w:t xml:space="preserve"> Payment </w:t>
      </w:r>
      <w:r w:rsidR="00A20F7E" w:rsidRPr="00314436">
        <w:rPr>
          <w:rFonts w:cs="Arial"/>
          <w:lang w:val="en-US"/>
        </w:rPr>
        <w:t>is however not a legal remedy</w:t>
      </w:r>
      <w:r w:rsidR="00C843F6">
        <w:rPr>
          <w:rFonts w:cs="Arial"/>
          <w:lang w:val="en-US"/>
        </w:rPr>
        <w:t xml:space="preserve"> and I am not persuaded that the respondent has proposed any suitable alternative</w:t>
      </w:r>
      <w:r w:rsidR="00314436">
        <w:rPr>
          <w:rFonts w:cs="Arial"/>
          <w:lang w:val="en-US"/>
        </w:rPr>
        <w:t xml:space="preserve"> remed</w:t>
      </w:r>
      <w:r w:rsidR="00C843F6">
        <w:rPr>
          <w:rFonts w:cs="Arial"/>
          <w:lang w:val="en-US"/>
        </w:rPr>
        <w:t>y</w:t>
      </w:r>
      <w:r w:rsidR="00314436">
        <w:rPr>
          <w:rFonts w:cs="Arial"/>
          <w:lang w:val="en-US"/>
        </w:rPr>
        <w:t xml:space="preserve">. </w:t>
      </w:r>
    </w:p>
    <w:p w14:paraId="4FFEDCAD" w14:textId="7FDCF508" w:rsidR="00EA7F71" w:rsidRPr="00377A22" w:rsidRDefault="00ED51A5" w:rsidP="00ED51A5">
      <w:pPr>
        <w:pStyle w:val="level11"/>
        <w:numPr>
          <w:ilvl w:val="0"/>
          <w:numId w:val="0"/>
        </w:numPr>
        <w:spacing w:after="480" w:line="360" w:lineRule="auto"/>
        <w:jc w:val="both"/>
        <w:rPr>
          <w:rFonts w:cs="Arial"/>
          <w:lang w:val="en-US"/>
        </w:rPr>
      </w:pPr>
      <w:r w:rsidRPr="00377A22">
        <w:rPr>
          <w:rFonts w:cs="Arial"/>
          <w:lang w:val="en-US"/>
        </w:rPr>
        <w:t>[54]</w:t>
      </w:r>
      <w:r w:rsidRPr="00377A22">
        <w:rPr>
          <w:rFonts w:cs="Arial"/>
          <w:lang w:val="en-US"/>
        </w:rPr>
        <w:tab/>
      </w:r>
      <w:r w:rsidR="00EA7F71">
        <w:rPr>
          <w:rFonts w:cs="Arial"/>
          <w:lang w:val="en-US"/>
        </w:rPr>
        <w:t xml:space="preserve">On the facts, I </w:t>
      </w:r>
      <w:r w:rsidR="00C843F6">
        <w:rPr>
          <w:rFonts w:cs="Arial"/>
          <w:lang w:val="en-US"/>
        </w:rPr>
        <w:t>conclude</w:t>
      </w:r>
      <w:r w:rsidR="00EA7F71">
        <w:rPr>
          <w:rFonts w:cs="Arial"/>
          <w:lang w:val="en-US"/>
        </w:rPr>
        <w:t xml:space="preserve"> that the applicant has established that it has no alternative remedy. </w:t>
      </w:r>
      <w:r w:rsidR="00EA7F71" w:rsidRPr="00377A22">
        <w:rPr>
          <w:rFonts w:cs="Arial"/>
          <w:lang w:val="en-US"/>
        </w:rPr>
        <w:t>The applicant</w:t>
      </w:r>
      <w:r w:rsidR="00EA7F71">
        <w:rPr>
          <w:rFonts w:cs="Arial"/>
          <w:lang w:val="en-US"/>
        </w:rPr>
        <w:t xml:space="preserve"> i</w:t>
      </w:r>
      <w:r w:rsidR="00EA7F71" w:rsidRPr="00377A22">
        <w:rPr>
          <w:rFonts w:cs="Arial"/>
          <w:lang w:val="en-US"/>
        </w:rPr>
        <w:t>s not compelled to wait for damages to be incurred and sue afterwards for compensation</w:t>
      </w:r>
      <w:r w:rsidR="00EA7F71">
        <w:rPr>
          <w:rStyle w:val="FootnoteReference"/>
          <w:rFonts w:cs="Arial"/>
          <w:lang w:val="en-US"/>
        </w:rPr>
        <w:footnoteReference w:id="22"/>
      </w:r>
      <w:r w:rsidR="00EA7F71">
        <w:rPr>
          <w:rFonts w:cs="Arial"/>
          <w:lang w:val="en-US"/>
        </w:rPr>
        <w:t xml:space="preserve"> in order to protect its interests</w:t>
      </w:r>
      <w:r w:rsidR="00EA7F71" w:rsidRPr="00377A22">
        <w:rPr>
          <w:rFonts w:cs="Arial"/>
          <w:lang w:val="en-US"/>
        </w:rPr>
        <w:t>.</w:t>
      </w:r>
    </w:p>
    <w:p w14:paraId="238E03B7" w14:textId="64864FB6" w:rsidR="0022049D" w:rsidRPr="0022049D" w:rsidRDefault="0022049D" w:rsidP="0022049D">
      <w:pPr>
        <w:pStyle w:val="level11"/>
        <w:numPr>
          <w:ilvl w:val="0"/>
          <w:numId w:val="0"/>
        </w:numPr>
        <w:spacing w:after="480" w:line="360" w:lineRule="auto"/>
        <w:jc w:val="both"/>
        <w:rPr>
          <w:rFonts w:cs="Arial"/>
          <w:i/>
          <w:lang w:val="en-US"/>
        </w:rPr>
      </w:pPr>
      <w:r w:rsidRPr="0022049D">
        <w:rPr>
          <w:rFonts w:cs="Arial"/>
          <w:i/>
          <w:lang w:val="en-US"/>
        </w:rPr>
        <w:t>Conclusion and costs</w:t>
      </w:r>
    </w:p>
    <w:p w14:paraId="655E26F1" w14:textId="70DA402D" w:rsidR="00BE334B" w:rsidRPr="002C3752" w:rsidRDefault="00ED51A5" w:rsidP="00ED51A5">
      <w:pPr>
        <w:pStyle w:val="level11"/>
        <w:numPr>
          <w:ilvl w:val="0"/>
          <w:numId w:val="0"/>
        </w:numPr>
        <w:spacing w:after="480" w:line="360" w:lineRule="auto"/>
        <w:jc w:val="both"/>
        <w:rPr>
          <w:rFonts w:cs="Arial"/>
          <w:lang w:val="en-US"/>
        </w:rPr>
      </w:pPr>
      <w:r w:rsidRPr="002C3752">
        <w:rPr>
          <w:rFonts w:cs="Arial"/>
          <w:lang w:val="en-US"/>
        </w:rPr>
        <w:t>[55]</w:t>
      </w:r>
      <w:r w:rsidRPr="002C3752">
        <w:rPr>
          <w:rFonts w:cs="Arial"/>
          <w:lang w:val="en-US"/>
        </w:rPr>
        <w:tab/>
      </w:r>
      <w:r w:rsidR="00EA7F71">
        <w:rPr>
          <w:rFonts w:cs="Arial"/>
          <w:lang w:val="en-US"/>
        </w:rPr>
        <w:t>It follows that the applicant is entitled to the interdictory relief sought.</w:t>
      </w:r>
    </w:p>
    <w:p w14:paraId="276444EC" w14:textId="1D701B76" w:rsidR="00CB5094" w:rsidRDefault="00ED51A5" w:rsidP="00ED51A5">
      <w:pPr>
        <w:pStyle w:val="level11"/>
        <w:numPr>
          <w:ilvl w:val="0"/>
          <w:numId w:val="0"/>
        </w:numPr>
        <w:spacing w:after="480" w:line="360" w:lineRule="auto"/>
        <w:jc w:val="both"/>
        <w:rPr>
          <w:rFonts w:cs="Arial"/>
          <w:lang w:val="en-US"/>
        </w:rPr>
      </w:pPr>
      <w:r>
        <w:rPr>
          <w:rFonts w:cs="Arial"/>
          <w:lang w:val="en-US"/>
        </w:rPr>
        <w:t>[56]</w:t>
      </w:r>
      <w:r>
        <w:rPr>
          <w:rFonts w:cs="Arial"/>
          <w:lang w:val="en-US"/>
        </w:rPr>
        <w:tab/>
      </w:r>
      <w:r w:rsidR="00EA7F71">
        <w:rPr>
          <w:rFonts w:cs="Arial"/>
          <w:lang w:val="en-US"/>
        </w:rPr>
        <w:t xml:space="preserve">There is no reason to deviate from the normal principle that costs follow the result. </w:t>
      </w:r>
      <w:r w:rsidR="00CB5094">
        <w:rPr>
          <w:rFonts w:cs="Arial"/>
          <w:lang w:val="en-US"/>
        </w:rPr>
        <w:t>Although the notice of motion did not expressly seek a costs order, the notice of motion and founding affidavit must be read together</w:t>
      </w:r>
      <w:r w:rsidR="00385103">
        <w:rPr>
          <w:rFonts w:cs="Arial"/>
          <w:lang w:val="en-US"/>
        </w:rPr>
        <w:t>.</w:t>
      </w:r>
      <w:r w:rsidR="000E4757">
        <w:rPr>
          <w:rStyle w:val="FootnoteReference"/>
          <w:rFonts w:cs="Arial"/>
          <w:lang w:val="en-US"/>
        </w:rPr>
        <w:footnoteReference w:id="23"/>
      </w:r>
      <w:r w:rsidR="00CB5094">
        <w:rPr>
          <w:rFonts w:cs="Arial"/>
          <w:lang w:val="en-US"/>
        </w:rPr>
        <w:t xml:space="preserve"> </w:t>
      </w:r>
      <w:r w:rsidR="000E4757">
        <w:rPr>
          <w:rFonts w:cs="Arial"/>
          <w:lang w:val="en-US"/>
        </w:rPr>
        <w:t>The issue of costs was expressly addressed in the founding affidavit. It would be overly formalistic to ignore the founding affidavit as the respondent seeks to do by relying on the absence of a prayer for costs in the notice of motion.</w:t>
      </w:r>
    </w:p>
    <w:p w14:paraId="5AD82F6D" w14:textId="09CD20CD" w:rsidR="00A9355F" w:rsidRDefault="00ED51A5" w:rsidP="00ED51A5">
      <w:pPr>
        <w:pStyle w:val="level11"/>
        <w:numPr>
          <w:ilvl w:val="0"/>
          <w:numId w:val="0"/>
        </w:numPr>
        <w:spacing w:after="480" w:line="360" w:lineRule="auto"/>
        <w:jc w:val="both"/>
        <w:rPr>
          <w:rFonts w:cs="Arial"/>
          <w:lang w:val="en-US"/>
        </w:rPr>
      </w:pPr>
      <w:r>
        <w:rPr>
          <w:rFonts w:cs="Arial"/>
          <w:lang w:val="en-US"/>
        </w:rPr>
        <w:t>[57]</w:t>
      </w:r>
      <w:r>
        <w:rPr>
          <w:rFonts w:cs="Arial"/>
          <w:lang w:val="en-US"/>
        </w:rPr>
        <w:tab/>
      </w:r>
      <w:r w:rsidR="00DD415D">
        <w:rPr>
          <w:rFonts w:cs="Arial"/>
          <w:lang w:val="en-US"/>
        </w:rPr>
        <w:t>The applicant seeks an order on the scale as between attorney and client.</w:t>
      </w:r>
      <w:r w:rsidR="006D4CB5">
        <w:rPr>
          <w:rFonts w:cs="Arial"/>
          <w:lang w:val="en-US"/>
        </w:rPr>
        <w:t xml:space="preserve"> </w:t>
      </w:r>
      <w:r w:rsidR="00B61BE4">
        <w:rPr>
          <w:rFonts w:cs="Arial"/>
          <w:lang w:val="en-US"/>
        </w:rPr>
        <w:t xml:space="preserve">Such costs order is catered for in the agreement, although reliance was not </w:t>
      </w:r>
      <w:r w:rsidR="00C843F6">
        <w:rPr>
          <w:rFonts w:cs="Arial"/>
          <w:lang w:val="en-US"/>
        </w:rPr>
        <w:t xml:space="preserve">expressly </w:t>
      </w:r>
      <w:r w:rsidR="00385103">
        <w:rPr>
          <w:rFonts w:cs="Arial"/>
          <w:lang w:val="en-US"/>
        </w:rPr>
        <w:t>placed thereon in argument.</w:t>
      </w:r>
      <w:r w:rsidR="00B61BE4">
        <w:rPr>
          <w:rStyle w:val="FootnoteReference"/>
          <w:rFonts w:cs="Arial"/>
          <w:lang w:val="en-US"/>
        </w:rPr>
        <w:footnoteReference w:id="24"/>
      </w:r>
      <w:r w:rsidR="009D252A">
        <w:rPr>
          <w:rFonts w:cs="Arial"/>
          <w:lang w:val="en-US"/>
        </w:rPr>
        <w:t xml:space="preserve"> T</w:t>
      </w:r>
      <w:r w:rsidR="00C843F6">
        <w:rPr>
          <w:rFonts w:cs="Arial"/>
          <w:lang w:val="en-US"/>
        </w:rPr>
        <w:t>he applicant</w:t>
      </w:r>
      <w:r w:rsidR="006D4CB5">
        <w:rPr>
          <w:rFonts w:cs="Arial"/>
          <w:lang w:val="en-US"/>
        </w:rPr>
        <w:t xml:space="preserve"> argued that a punitive costs order would be justified in light of the reprehensible behaviour of the respondent in knowingly flouting its clear contractual obligations to the applicant and seeking to unlawfully abuse its possession of the assets, given that the assets are held in trust under clause 18.1 of the agreement, imposing a duty of utmost good faith on the respondent.</w:t>
      </w:r>
      <w:r w:rsidR="00A337BD">
        <w:rPr>
          <w:rFonts w:cs="Arial"/>
          <w:lang w:val="en-US"/>
        </w:rPr>
        <w:t xml:space="preserve"> </w:t>
      </w:r>
    </w:p>
    <w:p w14:paraId="77257BF4" w14:textId="7FF47A39" w:rsidR="00A9355F" w:rsidRDefault="00ED51A5" w:rsidP="00ED51A5">
      <w:pPr>
        <w:pStyle w:val="level11"/>
        <w:numPr>
          <w:ilvl w:val="0"/>
          <w:numId w:val="0"/>
        </w:numPr>
        <w:spacing w:after="480" w:line="360" w:lineRule="auto"/>
        <w:jc w:val="both"/>
        <w:rPr>
          <w:rFonts w:cs="Arial"/>
          <w:lang w:val="en-US"/>
        </w:rPr>
      </w:pPr>
      <w:r>
        <w:rPr>
          <w:rFonts w:cs="Arial"/>
          <w:lang w:val="en-US"/>
        </w:rPr>
        <w:lastRenderedPageBreak/>
        <w:t>[58]</w:t>
      </w:r>
      <w:r>
        <w:rPr>
          <w:rFonts w:cs="Arial"/>
          <w:lang w:val="en-US"/>
        </w:rPr>
        <w:tab/>
      </w:r>
      <w:r w:rsidR="00A9355F">
        <w:rPr>
          <w:rFonts w:cs="Arial"/>
          <w:lang w:val="en-US"/>
        </w:rPr>
        <w:t>C</w:t>
      </w:r>
      <w:r w:rsidR="00B61BE4">
        <w:rPr>
          <w:rFonts w:cs="Arial"/>
          <w:lang w:val="en-US"/>
        </w:rPr>
        <w:t xml:space="preserve">onsidering all the facts, the respondent’s conduct in relation to the matter and the litigation, including a lengthy portion of the answering affidavit being dedicated to irrelevant matter, </w:t>
      </w:r>
      <w:r w:rsidR="00C843F6">
        <w:rPr>
          <w:rFonts w:cs="Arial"/>
          <w:lang w:val="en-US"/>
        </w:rPr>
        <w:t>justifies</w:t>
      </w:r>
      <w:r w:rsidR="00B61BE4">
        <w:rPr>
          <w:rFonts w:cs="Arial"/>
          <w:lang w:val="en-US"/>
        </w:rPr>
        <w:t xml:space="preserve"> the granting of such an order.</w:t>
      </w:r>
      <w:r w:rsidR="00A9355F">
        <w:rPr>
          <w:rFonts w:cs="Arial"/>
          <w:lang w:val="en-US"/>
        </w:rPr>
        <w:t xml:space="preserve"> </w:t>
      </w:r>
    </w:p>
    <w:p w14:paraId="61682D33" w14:textId="388C0D6F" w:rsidR="008B6C77" w:rsidRPr="008B6C77" w:rsidRDefault="008B6C77" w:rsidP="008B6C77">
      <w:pPr>
        <w:pStyle w:val="level11"/>
        <w:numPr>
          <w:ilvl w:val="0"/>
          <w:numId w:val="0"/>
        </w:numPr>
        <w:spacing w:after="480" w:line="360" w:lineRule="auto"/>
        <w:jc w:val="both"/>
        <w:rPr>
          <w:rFonts w:cs="Arial"/>
          <w:i/>
          <w:lang w:val="en-US"/>
        </w:rPr>
      </w:pPr>
      <w:r w:rsidRPr="008B6C77">
        <w:rPr>
          <w:rFonts w:cs="Arial"/>
          <w:i/>
          <w:lang w:val="en-US"/>
        </w:rPr>
        <w:t>Order</w:t>
      </w:r>
    </w:p>
    <w:p w14:paraId="2474F5B7" w14:textId="71164F7E" w:rsidR="00FE7271" w:rsidRDefault="00ED51A5" w:rsidP="00ED51A5">
      <w:pPr>
        <w:pStyle w:val="level11"/>
        <w:numPr>
          <w:ilvl w:val="0"/>
          <w:numId w:val="0"/>
        </w:numPr>
        <w:spacing w:after="480" w:line="360" w:lineRule="auto"/>
        <w:jc w:val="both"/>
        <w:rPr>
          <w:rFonts w:cs="Arial"/>
          <w:lang w:val="en-US"/>
        </w:rPr>
      </w:pPr>
      <w:r>
        <w:rPr>
          <w:rFonts w:cs="Arial"/>
          <w:lang w:val="en-US"/>
        </w:rPr>
        <w:t>[59]</w:t>
      </w:r>
      <w:r>
        <w:rPr>
          <w:rFonts w:cs="Arial"/>
          <w:lang w:val="en-US"/>
        </w:rPr>
        <w:tab/>
      </w:r>
      <w:r w:rsidR="003D7207">
        <w:rPr>
          <w:rFonts w:cs="Arial"/>
          <w:lang w:val="en-US"/>
        </w:rPr>
        <w:t xml:space="preserve">I grant </w:t>
      </w:r>
      <w:r w:rsidR="00FE7271">
        <w:rPr>
          <w:rFonts w:cs="Arial"/>
          <w:lang w:val="en-US"/>
        </w:rPr>
        <w:t>the following</w:t>
      </w:r>
      <w:r w:rsidR="003D7207">
        <w:rPr>
          <w:rFonts w:cs="Arial"/>
          <w:lang w:val="en-US"/>
        </w:rPr>
        <w:t xml:space="preserve"> order</w:t>
      </w:r>
      <w:r w:rsidR="00B61BE4">
        <w:rPr>
          <w:rFonts w:cs="Arial"/>
          <w:lang w:val="en-US"/>
        </w:rPr>
        <w:t>:</w:t>
      </w:r>
    </w:p>
    <w:p w14:paraId="7F195BAA" w14:textId="7D6F0A67" w:rsidR="00DD415D" w:rsidRDefault="00FE7271" w:rsidP="00DD415D">
      <w:pPr>
        <w:pStyle w:val="level11"/>
        <w:numPr>
          <w:ilvl w:val="0"/>
          <w:numId w:val="0"/>
        </w:numPr>
        <w:spacing w:after="480" w:line="360" w:lineRule="auto"/>
        <w:jc w:val="both"/>
      </w:pPr>
      <w:r>
        <w:rPr>
          <w:rFonts w:cs="Arial"/>
          <w:lang w:val="en-US"/>
        </w:rPr>
        <w:t>[</w:t>
      </w:r>
      <w:r w:rsidR="00DD415D">
        <w:rPr>
          <w:rFonts w:cs="Arial"/>
          <w:lang w:val="en-US"/>
        </w:rPr>
        <w:t>1</w:t>
      </w:r>
      <w:r>
        <w:rPr>
          <w:rFonts w:cs="Arial"/>
          <w:lang w:val="en-US"/>
        </w:rPr>
        <w:t>]</w:t>
      </w:r>
      <w:r w:rsidR="00DD415D">
        <w:rPr>
          <w:rFonts w:cs="Arial"/>
          <w:lang w:val="en-US"/>
        </w:rPr>
        <w:tab/>
      </w:r>
      <w:r w:rsidR="00DD415D">
        <w:t xml:space="preserve">The applicant’s non-compliance with the Uniform Rules of Court relating to forms, service and time periods is condoned and this application is dealt with as a matter of urgency under Uniform Rule 6(12). </w:t>
      </w:r>
    </w:p>
    <w:p w14:paraId="0ADE933B" w14:textId="5CFEAB77" w:rsidR="00DD415D" w:rsidRDefault="00DD415D" w:rsidP="00DD415D">
      <w:pPr>
        <w:pStyle w:val="level11"/>
        <w:numPr>
          <w:ilvl w:val="0"/>
          <w:numId w:val="0"/>
        </w:numPr>
        <w:spacing w:after="480" w:line="360" w:lineRule="auto"/>
        <w:jc w:val="both"/>
      </w:pPr>
      <w:r>
        <w:t xml:space="preserve">[2] </w:t>
      </w:r>
      <w:r>
        <w:tab/>
        <w:t xml:space="preserve">The respondent is </w:t>
      </w:r>
      <w:r w:rsidR="004B6600">
        <w:t>directed</w:t>
      </w:r>
      <w:r>
        <w:t xml:space="preserve"> to surrender to the applicant within 24 hours of this </w:t>
      </w:r>
      <w:r w:rsidR="004B6600">
        <w:t>o</w:t>
      </w:r>
      <w:r>
        <w:t>rder:</w:t>
      </w:r>
      <w:r w:rsidR="005200ED">
        <w:t xml:space="preserve"> </w:t>
      </w:r>
    </w:p>
    <w:p w14:paraId="17C2E553" w14:textId="41DD26BF" w:rsidR="00DD415D" w:rsidRDefault="00DD415D" w:rsidP="00DD415D">
      <w:pPr>
        <w:pStyle w:val="level11"/>
        <w:numPr>
          <w:ilvl w:val="0"/>
          <w:numId w:val="0"/>
        </w:numPr>
        <w:spacing w:after="480" w:line="360" w:lineRule="auto"/>
        <w:jc w:val="both"/>
      </w:pPr>
      <w:r>
        <w:t xml:space="preserve">[2.1] </w:t>
      </w:r>
      <w:r>
        <w:tab/>
        <w:t xml:space="preserve">all </w:t>
      </w:r>
      <w:r w:rsidR="004B6600">
        <w:t>m</w:t>
      </w:r>
      <w:r>
        <w:t xml:space="preserve">aterials as defined in clause 1.2.18 of the written </w:t>
      </w:r>
      <w:r w:rsidR="004B6600">
        <w:t>c</w:t>
      </w:r>
      <w:r>
        <w:t xml:space="preserve">reative </w:t>
      </w:r>
      <w:r w:rsidR="004B6600">
        <w:t>a</w:t>
      </w:r>
      <w:r>
        <w:t xml:space="preserve">gency </w:t>
      </w:r>
      <w:r w:rsidR="004B6600">
        <w:t>s</w:t>
      </w:r>
      <w:r>
        <w:t xml:space="preserve">ervices </w:t>
      </w:r>
      <w:r w:rsidR="004B6600">
        <w:t>a</w:t>
      </w:r>
      <w:r>
        <w:t xml:space="preserve">greement entered into between the applicant and respondent, </w:t>
      </w:r>
      <w:r w:rsidRPr="00DD415D">
        <w:t xml:space="preserve">“FA1” </w:t>
      </w:r>
      <w:r w:rsidR="004B6600">
        <w:t>to the founding affidavit</w:t>
      </w:r>
      <w:r w:rsidRPr="00DD415D">
        <w:t>;</w:t>
      </w:r>
      <w:r>
        <w:t xml:space="preserve"> </w:t>
      </w:r>
    </w:p>
    <w:p w14:paraId="2AE45F0B" w14:textId="5A597C57" w:rsidR="00DD415D" w:rsidRDefault="00DD415D" w:rsidP="00DD415D">
      <w:pPr>
        <w:pStyle w:val="level11"/>
        <w:numPr>
          <w:ilvl w:val="0"/>
          <w:numId w:val="0"/>
        </w:numPr>
        <w:spacing w:after="480" w:line="360" w:lineRule="auto"/>
        <w:jc w:val="both"/>
      </w:pPr>
      <w:r>
        <w:t xml:space="preserve">[2.2] </w:t>
      </w:r>
      <w:r>
        <w:tab/>
        <w:t xml:space="preserve">all </w:t>
      </w:r>
      <w:r w:rsidR="004B6600">
        <w:t>w</w:t>
      </w:r>
      <w:r>
        <w:t xml:space="preserve">orks as defined in clause 1.2.33 of the Agreement </w:t>
      </w:r>
      <w:r w:rsidRPr="00DD415D">
        <w:t>(“Works”);</w:t>
      </w:r>
      <w:r>
        <w:t xml:space="preserve"> </w:t>
      </w:r>
    </w:p>
    <w:p w14:paraId="161F0430" w14:textId="1608AA67" w:rsidR="00DD415D" w:rsidRDefault="00DD415D" w:rsidP="00DD415D">
      <w:pPr>
        <w:pStyle w:val="level11"/>
        <w:numPr>
          <w:ilvl w:val="0"/>
          <w:numId w:val="0"/>
        </w:numPr>
        <w:spacing w:after="480" w:line="360" w:lineRule="auto"/>
        <w:jc w:val="both"/>
      </w:pPr>
      <w:r>
        <w:t>[2.3]</w:t>
      </w:r>
      <w:r>
        <w:tab/>
        <w:t xml:space="preserve"> all </w:t>
      </w:r>
      <w:r w:rsidR="004B6600">
        <w:t>i</w:t>
      </w:r>
      <w:r>
        <w:t xml:space="preserve">ntellectual </w:t>
      </w:r>
      <w:r w:rsidR="004B6600">
        <w:t>p</w:t>
      </w:r>
      <w:r>
        <w:t xml:space="preserve">roperty, as defined in clause 1.2.15 of the Agreement, in all Works; </w:t>
      </w:r>
    </w:p>
    <w:p w14:paraId="3EF05B16" w14:textId="3C9ABD81" w:rsidR="00DD415D" w:rsidRDefault="00DD415D" w:rsidP="00DD415D">
      <w:pPr>
        <w:pStyle w:val="level11"/>
        <w:numPr>
          <w:ilvl w:val="0"/>
          <w:numId w:val="0"/>
        </w:numPr>
        <w:spacing w:after="480" w:line="360" w:lineRule="auto"/>
        <w:jc w:val="both"/>
      </w:pPr>
      <w:r>
        <w:t xml:space="preserve">[2.4] </w:t>
      </w:r>
      <w:r>
        <w:tab/>
        <w:t xml:space="preserve">all unused, uncompleted or unpublished </w:t>
      </w:r>
      <w:r w:rsidR="004B6600">
        <w:t>m</w:t>
      </w:r>
      <w:r>
        <w:t xml:space="preserve">edia </w:t>
      </w:r>
      <w:r w:rsidR="004B6600">
        <w:t>p</w:t>
      </w:r>
      <w:r>
        <w:t xml:space="preserve">lans as defined in clause 1.2.20 of the </w:t>
      </w:r>
      <w:r w:rsidR="004B6600">
        <w:t>a</w:t>
      </w:r>
      <w:r>
        <w:t xml:space="preserve">greement that were prepared by the respondent for the applicant; and </w:t>
      </w:r>
    </w:p>
    <w:p w14:paraId="25E336EE" w14:textId="3C0B6A8B" w:rsidR="00DD415D" w:rsidRDefault="00DD415D" w:rsidP="00DD415D">
      <w:pPr>
        <w:pStyle w:val="level11"/>
        <w:numPr>
          <w:ilvl w:val="0"/>
          <w:numId w:val="0"/>
        </w:numPr>
        <w:spacing w:after="480" w:line="360" w:lineRule="auto"/>
        <w:jc w:val="both"/>
      </w:pPr>
      <w:r>
        <w:t xml:space="preserve">[2.5] </w:t>
      </w:r>
      <w:r>
        <w:tab/>
        <w:t xml:space="preserve">without in any way limiting the respondent’s obligations in paragraphs 2.1 to 2.4 above, the assets included in the itemised list of assets which is attached hereto as </w:t>
      </w:r>
      <w:r w:rsidRPr="00DD415D">
        <w:t>“A”</w:t>
      </w:r>
      <w:r>
        <w:t>;</w:t>
      </w:r>
    </w:p>
    <w:p w14:paraId="18BF1D6F" w14:textId="2F564B23" w:rsidR="00DD415D" w:rsidRDefault="00DD415D" w:rsidP="00DD415D">
      <w:pPr>
        <w:pStyle w:val="level11"/>
        <w:numPr>
          <w:ilvl w:val="0"/>
          <w:numId w:val="0"/>
        </w:numPr>
        <w:spacing w:after="480" w:line="360" w:lineRule="auto"/>
        <w:jc w:val="both"/>
      </w:pPr>
      <w:r>
        <w:lastRenderedPageBreak/>
        <w:t xml:space="preserve">[3] </w:t>
      </w:r>
      <w:r>
        <w:tab/>
        <w:t>All the information specified in paragraph 2 above which the respondent is required to surrender to the applicant must be surrendered on a hard drive or other appropriate electronic transfer mechanism.</w:t>
      </w:r>
    </w:p>
    <w:p w14:paraId="76D8DE0C" w14:textId="05922A94" w:rsidR="00DD415D" w:rsidRPr="003E28FB" w:rsidRDefault="00DD415D" w:rsidP="00DD415D">
      <w:pPr>
        <w:pStyle w:val="level11"/>
        <w:numPr>
          <w:ilvl w:val="0"/>
          <w:numId w:val="0"/>
        </w:numPr>
        <w:spacing w:after="480" w:line="360" w:lineRule="auto"/>
        <w:jc w:val="both"/>
      </w:pPr>
      <w:r>
        <w:t>[4]</w:t>
      </w:r>
      <w:r>
        <w:tab/>
        <w:t xml:space="preserve">The respondent is </w:t>
      </w:r>
      <w:r w:rsidR="00A337BD">
        <w:t xml:space="preserve">directed </w:t>
      </w:r>
      <w:r>
        <w:t>to pay the costs of the application</w:t>
      </w:r>
      <w:r w:rsidR="00B61BE4">
        <w:t xml:space="preserve"> on the scale as between attorney and client</w:t>
      </w:r>
      <w:r>
        <w:t>.</w:t>
      </w:r>
    </w:p>
    <w:p w14:paraId="45E689A3" w14:textId="1A2CE3BD" w:rsidR="001E2697" w:rsidRDefault="001E2697" w:rsidP="001E2697">
      <w:pPr>
        <w:pStyle w:val="level11"/>
        <w:numPr>
          <w:ilvl w:val="0"/>
          <w:numId w:val="0"/>
        </w:numPr>
        <w:spacing w:after="480" w:line="360" w:lineRule="auto"/>
        <w:ind w:left="720"/>
        <w:jc w:val="both"/>
        <w:rPr>
          <w:rFonts w:cs="Arial"/>
          <w:lang w:val="en-US"/>
        </w:rPr>
      </w:pPr>
    </w:p>
    <w:p w14:paraId="47297724" w14:textId="77777777" w:rsidR="004B6600" w:rsidRPr="002C3752" w:rsidRDefault="004B6600" w:rsidP="001E2697">
      <w:pPr>
        <w:pStyle w:val="level11"/>
        <w:numPr>
          <w:ilvl w:val="0"/>
          <w:numId w:val="0"/>
        </w:numPr>
        <w:spacing w:after="480" w:line="360" w:lineRule="auto"/>
        <w:ind w:left="720"/>
        <w:jc w:val="both"/>
        <w:rPr>
          <w:rFonts w:cs="Arial"/>
          <w:lang w:val="en-US"/>
        </w:rPr>
      </w:pPr>
    </w:p>
    <w:p w14:paraId="383AFE0B" w14:textId="77777777" w:rsidR="001E2697" w:rsidRPr="002C3752" w:rsidRDefault="001E2697" w:rsidP="001E2697">
      <w:pPr>
        <w:spacing w:line="360" w:lineRule="auto"/>
        <w:ind w:left="2880" w:firstLine="720"/>
        <w:rPr>
          <w:rFonts w:cs="Arial"/>
        </w:rPr>
      </w:pPr>
      <w:r w:rsidRPr="002C3752">
        <w:rPr>
          <w:rFonts w:cs="Arial"/>
        </w:rPr>
        <w:tab/>
        <w:t>_____________________________________</w:t>
      </w:r>
    </w:p>
    <w:p w14:paraId="4A30BEF1" w14:textId="77777777" w:rsidR="001E2697" w:rsidRPr="002C3752" w:rsidRDefault="001E2697" w:rsidP="001E2697">
      <w:pPr>
        <w:ind w:left="4395"/>
        <w:rPr>
          <w:rFonts w:cs="Arial"/>
          <w:b/>
        </w:rPr>
      </w:pPr>
      <w:r w:rsidRPr="002C3752">
        <w:rPr>
          <w:rFonts w:cs="Arial"/>
          <w:b/>
        </w:rPr>
        <w:t>EF DIPPENAAR</w:t>
      </w:r>
      <w:r w:rsidRPr="002C3752">
        <w:rPr>
          <w:rFonts w:cs="Arial"/>
        </w:rPr>
        <w:t xml:space="preserve">                        </w:t>
      </w:r>
    </w:p>
    <w:p w14:paraId="4B1A0050" w14:textId="77777777" w:rsidR="001E2697" w:rsidRPr="002C3752" w:rsidRDefault="001E2697" w:rsidP="001E2697">
      <w:pPr>
        <w:ind w:left="4395"/>
        <w:rPr>
          <w:rFonts w:cs="Arial"/>
          <w:b/>
        </w:rPr>
      </w:pPr>
      <w:r w:rsidRPr="002C3752">
        <w:rPr>
          <w:rFonts w:cs="Arial"/>
          <w:b/>
        </w:rPr>
        <w:t>JUDGE OF THE HIGH COURT JOHANNESBURG</w:t>
      </w:r>
    </w:p>
    <w:p w14:paraId="3F8AD1F5" w14:textId="044A1692" w:rsidR="001E2697" w:rsidRPr="002C3752" w:rsidRDefault="001E2697" w:rsidP="001E2697">
      <w:pPr>
        <w:rPr>
          <w:rFonts w:cs="Arial"/>
          <w:b/>
          <w:u w:val="single"/>
        </w:rPr>
      </w:pPr>
    </w:p>
    <w:p w14:paraId="2950822F" w14:textId="7B71B23C" w:rsidR="00BE334B" w:rsidRPr="002C3752" w:rsidRDefault="00BE334B" w:rsidP="001E2697">
      <w:pPr>
        <w:rPr>
          <w:rFonts w:cs="Arial"/>
          <w:b/>
          <w:u w:val="single"/>
        </w:rPr>
      </w:pPr>
    </w:p>
    <w:p w14:paraId="53CF8FDF" w14:textId="77777777" w:rsidR="00BE334B" w:rsidRPr="002C3752" w:rsidRDefault="00BE334B" w:rsidP="001E2697">
      <w:pPr>
        <w:rPr>
          <w:rFonts w:cs="Arial"/>
          <w:b/>
          <w:u w:val="single"/>
        </w:rPr>
      </w:pPr>
    </w:p>
    <w:p w14:paraId="61375C0E" w14:textId="77777777" w:rsidR="00113EEB" w:rsidRPr="002C3752" w:rsidRDefault="00113EEB" w:rsidP="001E2697">
      <w:pPr>
        <w:rPr>
          <w:rFonts w:cs="Arial"/>
          <w:b/>
          <w:u w:val="single"/>
        </w:rPr>
      </w:pPr>
    </w:p>
    <w:p w14:paraId="25B18677" w14:textId="7C4B6619" w:rsidR="001E2697" w:rsidRPr="002C3752" w:rsidRDefault="001E2697" w:rsidP="001E2697">
      <w:pPr>
        <w:rPr>
          <w:rFonts w:cs="Arial"/>
          <w:b/>
          <w:u w:val="single"/>
        </w:rPr>
      </w:pPr>
      <w:r w:rsidRPr="002C3752">
        <w:rPr>
          <w:rFonts w:cs="Arial"/>
          <w:b/>
          <w:u w:val="single"/>
        </w:rPr>
        <w:t xml:space="preserve">APPEARANCES </w:t>
      </w:r>
    </w:p>
    <w:p w14:paraId="268038BB" w14:textId="77777777" w:rsidR="001E2697" w:rsidRPr="002C3752" w:rsidRDefault="001E2697" w:rsidP="001E2697">
      <w:pPr>
        <w:pStyle w:val="ListParagraph"/>
        <w:spacing w:after="0" w:line="240" w:lineRule="auto"/>
        <w:ind w:left="0"/>
        <w:rPr>
          <w:rFonts w:cs="Arial"/>
        </w:rPr>
      </w:pPr>
    </w:p>
    <w:p w14:paraId="200D2BF0" w14:textId="4D124AE2" w:rsidR="001E2697" w:rsidRPr="002C3752" w:rsidRDefault="001E2697" w:rsidP="001E2697">
      <w:pPr>
        <w:rPr>
          <w:rFonts w:cs="Arial"/>
        </w:rPr>
      </w:pPr>
      <w:r w:rsidRPr="002C3752">
        <w:rPr>
          <w:rFonts w:cs="Arial"/>
          <w:b/>
        </w:rPr>
        <w:t>DATE OF HEARING</w:t>
      </w:r>
      <w:r w:rsidRPr="002C3752">
        <w:rPr>
          <w:rFonts w:cs="Arial"/>
          <w:b/>
        </w:rPr>
        <w:tab/>
        <w:t xml:space="preserve"> </w:t>
      </w:r>
      <w:r w:rsidRPr="002C3752">
        <w:rPr>
          <w:rFonts w:cs="Arial"/>
          <w:b/>
        </w:rPr>
        <w:tab/>
      </w:r>
      <w:r w:rsidRPr="002C3752">
        <w:rPr>
          <w:rFonts w:cs="Arial"/>
          <w:b/>
        </w:rPr>
        <w:tab/>
        <w:t xml:space="preserve"> </w:t>
      </w:r>
      <w:r w:rsidRPr="002C3752">
        <w:rPr>
          <w:rFonts w:cs="Arial"/>
          <w:b/>
        </w:rPr>
        <w:tab/>
      </w:r>
      <w:r w:rsidRPr="002C3752">
        <w:rPr>
          <w:rFonts w:cs="Arial"/>
        </w:rPr>
        <w:t xml:space="preserve">: </w:t>
      </w:r>
      <w:r w:rsidR="0022049D">
        <w:rPr>
          <w:rFonts w:cs="Arial"/>
        </w:rPr>
        <w:t>0</w:t>
      </w:r>
      <w:r w:rsidR="00C54770">
        <w:rPr>
          <w:rFonts w:cs="Arial"/>
        </w:rPr>
        <w:t>5</w:t>
      </w:r>
      <w:r w:rsidR="006524B7">
        <w:rPr>
          <w:rFonts w:cs="Arial"/>
        </w:rPr>
        <w:t xml:space="preserve"> APRIL</w:t>
      </w:r>
      <w:r w:rsidR="00EC7CEF">
        <w:rPr>
          <w:rFonts w:cs="Arial"/>
        </w:rPr>
        <w:t xml:space="preserve"> 2023</w:t>
      </w:r>
    </w:p>
    <w:p w14:paraId="345B4D09" w14:textId="77777777" w:rsidR="001E2697" w:rsidRPr="002C3752" w:rsidRDefault="001E2697" w:rsidP="001E2697">
      <w:pPr>
        <w:rPr>
          <w:rFonts w:cs="Arial"/>
          <w:b/>
        </w:rPr>
      </w:pPr>
    </w:p>
    <w:p w14:paraId="2DA72A9D" w14:textId="3D4C815C" w:rsidR="001E2697" w:rsidRPr="002C3752" w:rsidRDefault="001E2697" w:rsidP="001E2697">
      <w:pPr>
        <w:rPr>
          <w:rFonts w:cs="Arial"/>
          <w:b/>
        </w:rPr>
      </w:pPr>
      <w:r w:rsidRPr="002C3752">
        <w:rPr>
          <w:rFonts w:cs="Arial"/>
          <w:b/>
        </w:rPr>
        <w:t xml:space="preserve">DATE OF JUDGMENT </w:t>
      </w:r>
      <w:r w:rsidRPr="002C3752">
        <w:rPr>
          <w:rFonts w:cs="Arial"/>
          <w:b/>
        </w:rPr>
        <w:tab/>
      </w:r>
      <w:r w:rsidRPr="002C3752">
        <w:rPr>
          <w:rFonts w:cs="Arial"/>
          <w:b/>
        </w:rPr>
        <w:tab/>
      </w:r>
      <w:r w:rsidRPr="002C3752">
        <w:rPr>
          <w:rFonts w:cs="Arial"/>
          <w:b/>
        </w:rPr>
        <w:tab/>
        <w:t xml:space="preserve"> </w:t>
      </w:r>
      <w:r w:rsidRPr="002C3752">
        <w:rPr>
          <w:rFonts w:cs="Arial"/>
          <w:b/>
        </w:rPr>
        <w:tab/>
      </w:r>
      <w:r w:rsidRPr="002C3752">
        <w:rPr>
          <w:rFonts w:cs="Arial"/>
        </w:rPr>
        <w:t xml:space="preserve">: </w:t>
      </w:r>
      <w:r w:rsidR="00C54770">
        <w:rPr>
          <w:rFonts w:cs="Arial"/>
        </w:rPr>
        <w:t>1</w:t>
      </w:r>
      <w:r w:rsidR="00A337BD">
        <w:rPr>
          <w:rFonts w:cs="Arial"/>
        </w:rPr>
        <w:t>7</w:t>
      </w:r>
      <w:r w:rsidR="006524B7">
        <w:rPr>
          <w:rFonts w:cs="Arial"/>
        </w:rPr>
        <w:t xml:space="preserve"> APRIL </w:t>
      </w:r>
      <w:r w:rsidR="000513BF" w:rsidRPr="002C3752">
        <w:rPr>
          <w:rFonts w:cs="Arial"/>
        </w:rPr>
        <w:t>2023</w:t>
      </w:r>
    </w:p>
    <w:p w14:paraId="011A826F" w14:textId="77777777" w:rsidR="001E2697" w:rsidRPr="002C3752" w:rsidRDefault="001E2697" w:rsidP="001E2697">
      <w:pPr>
        <w:rPr>
          <w:rFonts w:cs="Arial"/>
          <w:b/>
        </w:rPr>
      </w:pPr>
      <w:r w:rsidRPr="002C3752">
        <w:rPr>
          <w:rFonts w:cs="Arial"/>
          <w:b/>
        </w:rPr>
        <w:tab/>
      </w:r>
      <w:r w:rsidRPr="002C3752">
        <w:rPr>
          <w:rFonts w:cs="Arial"/>
          <w:b/>
        </w:rPr>
        <w:tab/>
      </w:r>
      <w:r w:rsidRPr="002C3752">
        <w:rPr>
          <w:rFonts w:cs="Arial"/>
          <w:b/>
        </w:rPr>
        <w:tab/>
      </w:r>
      <w:r w:rsidRPr="002C3752">
        <w:rPr>
          <w:rFonts w:cs="Arial"/>
          <w:b/>
        </w:rPr>
        <w:tab/>
      </w:r>
    </w:p>
    <w:p w14:paraId="1DFCDF2D" w14:textId="39849313" w:rsidR="009948E9" w:rsidRPr="002C3752" w:rsidRDefault="006524B7" w:rsidP="009948E9">
      <w:pPr>
        <w:spacing w:after="200"/>
        <w:contextualSpacing/>
        <w:rPr>
          <w:rFonts w:eastAsia="Calibri" w:cs="Arial"/>
        </w:rPr>
      </w:pPr>
      <w:bookmarkStart w:id="2" w:name="_Hlk67555944"/>
      <w:r>
        <w:rPr>
          <w:rFonts w:eastAsia="Calibri" w:cs="Arial"/>
          <w:b/>
        </w:rPr>
        <w:t xml:space="preserve">APPLICANT’S </w:t>
      </w:r>
      <w:r w:rsidR="009948E9" w:rsidRPr="002C3752">
        <w:rPr>
          <w:rFonts w:eastAsia="Calibri" w:cs="Arial"/>
          <w:b/>
        </w:rPr>
        <w:t>COUNSEL</w:t>
      </w:r>
      <w:r>
        <w:rPr>
          <w:rFonts w:eastAsia="Calibri" w:cs="Arial"/>
          <w:b/>
        </w:rPr>
        <w:tab/>
      </w:r>
      <w:r>
        <w:rPr>
          <w:rFonts w:eastAsia="Calibri" w:cs="Arial"/>
          <w:b/>
        </w:rPr>
        <w:tab/>
      </w:r>
      <w:r w:rsidR="009948E9" w:rsidRPr="002C3752">
        <w:rPr>
          <w:rFonts w:eastAsia="Calibri" w:cs="Arial"/>
          <w:b/>
        </w:rPr>
        <w:tab/>
      </w:r>
      <w:r w:rsidR="009948E9" w:rsidRPr="002C3752">
        <w:rPr>
          <w:rFonts w:eastAsia="Calibri" w:cs="Arial"/>
          <w:b/>
        </w:rPr>
        <w:tab/>
      </w:r>
      <w:r w:rsidR="009948E9" w:rsidRPr="002C3752">
        <w:rPr>
          <w:rFonts w:eastAsia="Calibri" w:cs="Arial"/>
        </w:rPr>
        <w:t xml:space="preserve">:  </w:t>
      </w:r>
      <w:r w:rsidR="00EC7CEF">
        <w:rPr>
          <w:rFonts w:eastAsia="Calibri" w:cs="Arial"/>
        </w:rPr>
        <w:t>A</w:t>
      </w:r>
      <w:r w:rsidR="00FE6250">
        <w:rPr>
          <w:rFonts w:eastAsia="Calibri" w:cs="Arial"/>
        </w:rPr>
        <w:t>dv.</w:t>
      </w:r>
      <w:r w:rsidR="00BF672B">
        <w:rPr>
          <w:rFonts w:eastAsia="Calibri" w:cs="Arial"/>
        </w:rPr>
        <w:t xml:space="preserve"> </w:t>
      </w:r>
      <w:r>
        <w:rPr>
          <w:rFonts w:eastAsia="Calibri" w:cs="Arial"/>
        </w:rPr>
        <w:t xml:space="preserve">D. Sive </w:t>
      </w:r>
    </w:p>
    <w:p w14:paraId="090A719B" w14:textId="77777777" w:rsidR="009948E9" w:rsidRPr="002C3752" w:rsidRDefault="009948E9" w:rsidP="009948E9">
      <w:pPr>
        <w:spacing w:after="200"/>
        <w:contextualSpacing/>
        <w:rPr>
          <w:rFonts w:eastAsia="Calibri" w:cs="Arial"/>
          <w:b/>
          <w:bCs/>
        </w:rPr>
      </w:pPr>
    </w:p>
    <w:p w14:paraId="70B4F9E2" w14:textId="1AFB50E5" w:rsidR="009948E9" w:rsidRPr="002C3752" w:rsidRDefault="006524B7" w:rsidP="009948E9">
      <w:pPr>
        <w:spacing w:after="200"/>
        <w:contextualSpacing/>
        <w:rPr>
          <w:rFonts w:eastAsia="Calibri" w:cs="Arial"/>
        </w:rPr>
      </w:pPr>
      <w:r>
        <w:rPr>
          <w:rFonts w:eastAsia="Calibri" w:cs="Arial"/>
          <w:b/>
          <w:bCs/>
        </w:rPr>
        <w:t xml:space="preserve">APPLICANT’S </w:t>
      </w:r>
      <w:r w:rsidR="009948E9" w:rsidRPr="002C3752">
        <w:rPr>
          <w:rFonts w:eastAsia="Calibri" w:cs="Arial"/>
          <w:b/>
          <w:bCs/>
        </w:rPr>
        <w:t>ATTORNEYS</w:t>
      </w:r>
      <w:r>
        <w:rPr>
          <w:rFonts w:eastAsia="Calibri" w:cs="Arial"/>
          <w:b/>
          <w:bCs/>
        </w:rPr>
        <w:tab/>
      </w:r>
      <w:r w:rsidR="00BB3897">
        <w:rPr>
          <w:rFonts w:eastAsia="Calibri" w:cs="Arial"/>
        </w:rPr>
        <w:tab/>
      </w:r>
      <w:r w:rsidR="00BB3897">
        <w:rPr>
          <w:rFonts w:eastAsia="Calibri" w:cs="Arial"/>
        </w:rPr>
        <w:tab/>
      </w:r>
      <w:r w:rsidR="00FE6250">
        <w:rPr>
          <w:rFonts w:eastAsia="Calibri" w:cs="Arial"/>
        </w:rPr>
        <w:t xml:space="preserve">:  </w:t>
      </w:r>
      <w:r>
        <w:rPr>
          <w:rFonts w:eastAsia="Calibri" w:cs="Arial"/>
        </w:rPr>
        <w:t>Mkhabela Huntley Attorneys Inc.</w:t>
      </w:r>
    </w:p>
    <w:p w14:paraId="69E3443E" w14:textId="77777777" w:rsidR="009948E9" w:rsidRPr="002C3752" w:rsidRDefault="009948E9" w:rsidP="009948E9">
      <w:pPr>
        <w:spacing w:after="200"/>
        <w:contextualSpacing/>
        <w:rPr>
          <w:rFonts w:eastAsia="Calibri" w:cs="Arial"/>
        </w:rPr>
      </w:pP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t xml:space="preserve">  </w:t>
      </w:r>
      <w:bookmarkStart w:id="3" w:name="_Hlk44520146"/>
    </w:p>
    <w:bookmarkEnd w:id="3"/>
    <w:p w14:paraId="4EBDE327" w14:textId="1C8B40A3" w:rsidR="009948E9" w:rsidRPr="006524B7" w:rsidRDefault="00A173DA" w:rsidP="009948E9">
      <w:pPr>
        <w:spacing w:after="200"/>
        <w:contextualSpacing/>
        <w:rPr>
          <w:rFonts w:eastAsia="Calibri" w:cs="Arial"/>
          <w:b/>
        </w:rPr>
      </w:pPr>
      <w:r>
        <w:rPr>
          <w:rFonts w:eastAsia="Calibri" w:cs="Arial"/>
          <w:b/>
        </w:rPr>
        <w:t>RESPONDENT’S</w:t>
      </w:r>
      <w:r w:rsidR="006524B7">
        <w:rPr>
          <w:rFonts w:eastAsia="Calibri" w:cs="Arial"/>
          <w:b/>
        </w:rPr>
        <w:t xml:space="preserve"> COUNSEL</w:t>
      </w:r>
      <w:r w:rsidR="006524B7">
        <w:rPr>
          <w:rFonts w:eastAsia="Calibri" w:cs="Arial"/>
          <w:b/>
        </w:rPr>
        <w:tab/>
      </w:r>
      <w:r w:rsidR="006524B7">
        <w:rPr>
          <w:rFonts w:eastAsia="Calibri" w:cs="Arial"/>
          <w:b/>
        </w:rPr>
        <w:tab/>
      </w:r>
      <w:r w:rsidR="006524B7">
        <w:rPr>
          <w:rFonts w:eastAsia="Calibri" w:cs="Arial"/>
          <w:b/>
        </w:rPr>
        <w:tab/>
      </w:r>
      <w:r w:rsidR="009948E9" w:rsidRPr="002C3752">
        <w:rPr>
          <w:rFonts w:eastAsia="Calibri" w:cs="Arial"/>
        </w:rPr>
        <w:t xml:space="preserve">: </w:t>
      </w:r>
      <w:r w:rsidR="00FE6250">
        <w:rPr>
          <w:rFonts w:eastAsia="Calibri" w:cs="Arial"/>
        </w:rPr>
        <w:t>Adv.</w:t>
      </w:r>
      <w:r w:rsidR="00BF672B">
        <w:rPr>
          <w:rFonts w:eastAsia="Calibri" w:cs="Arial"/>
        </w:rPr>
        <w:t xml:space="preserve"> </w:t>
      </w:r>
      <w:r w:rsidR="00C54770">
        <w:rPr>
          <w:rFonts w:eastAsia="Calibri" w:cs="Arial"/>
        </w:rPr>
        <w:t>C Denichaud</w:t>
      </w:r>
    </w:p>
    <w:p w14:paraId="65C026D5" w14:textId="77777777" w:rsidR="009948E9" w:rsidRPr="002C3752" w:rsidRDefault="009948E9" w:rsidP="009948E9">
      <w:pPr>
        <w:spacing w:after="200"/>
        <w:contextualSpacing/>
        <w:rPr>
          <w:rFonts w:eastAsia="Calibri" w:cs="Arial"/>
          <w:bCs/>
        </w:rPr>
      </w:pPr>
    </w:p>
    <w:p w14:paraId="179EA727" w14:textId="2BE20578" w:rsidR="009948E9" w:rsidRPr="006524B7" w:rsidRDefault="00A173DA" w:rsidP="009948E9">
      <w:pPr>
        <w:spacing w:after="200"/>
        <w:contextualSpacing/>
        <w:rPr>
          <w:rFonts w:eastAsia="Calibri" w:cs="Arial"/>
          <w:b/>
        </w:rPr>
      </w:pPr>
      <w:r>
        <w:rPr>
          <w:rFonts w:eastAsia="Calibri" w:cs="Arial"/>
          <w:b/>
        </w:rPr>
        <w:t>RESPONDENT’S</w:t>
      </w:r>
      <w:r w:rsidR="00BF672B">
        <w:rPr>
          <w:rFonts w:eastAsia="Calibri" w:cs="Arial"/>
          <w:b/>
        </w:rPr>
        <w:t xml:space="preserve"> </w:t>
      </w:r>
      <w:r w:rsidR="009948E9" w:rsidRPr="002C3752">
        <w:rPr>
          <w:rFonts w:eastAsia="Calibri" w:cs="Arial"/>
          <w:b/>
        </w:rPr>
        <w:t>ATTORNEYS</w:t>
      </w:r>
      <w:r w:rsidR="00BF672B">
        <w:rPr>
          <w:rFonts w:eastAsia="Calibri" w:cs="Arial"/>
          <w:b/>
        </w:rPr>
        <w:tab/>
      </w:r>
      <w:r w:rsidR="00BF672B">
        <w:rPr>
          <w:rFonts w:eastAsia="Calibri" w:cs="Arial"/>
          <w:b/>
        </w:rPr>
        <w:tab/>
      </w:r>
      <w:r w:rsidR="009948E9" w:rsidRPr="002C3752">
        <w:rPr>
          <w:rFonts w:eastAsia="Calibri" w:cs="Arial"/>
          <w:b/>
        </w:rPr>
        <w:tab/>
      </w:r>
      <w:r w:rsidR="009948E9" w:rsidRPr="002C3752">
        <w:rPr>
          <w:rFonts w:eastAsia="Calibri" w:cs="Arial"/>
        </w:rPr>
        <w:t xml:space="preserve">: </w:t>
      </w:r>
      <w:r w:rsidR="006524B7">
        <w:rPr>
          <w:rFonts w:eastAsia="Calibri" w:cs="Arial"/>
        </w:rPr>
        <w:t xml:space="preserve">APA Africa Attorneys </w:t>
      </w:r>
      <w:bookmarkEnd w:id="2"/>
    </w:p>
    <w:sectPr w:rsidR="009948E9" w:rsidRPr="006524B7" w:rsidSect="00376027">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A6C8" w14:textId="77777777" w:rsidR="00C27251" w:rsidRDefault="00C27251">
      <w:r>
        <w:separator/>
      </w:r>
    </w:p>
  </w:endnote>
  <w:endnote w:type="continuationSeparator" w:id="0">
    <w:p w14:paraId="3C296764" w14:textId="77777777" w:rsidR="00C27251" w:rsidRDefault="00C2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WenQuanYi Micro Hei">
    <w:altName w:val="Times New Roman"/>
    <w:charset w:val="00"/>
    <w:family w:val="auto"/>
    <w:pitch w:val="variable"/>
  </w:font>
  <w:font w:name="Lohit Hindi">
    <w:altName w:val="Times New Roman"/>
    <w:charset w:val="00"/>
    <w:family w:val="auto"/>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4B6C" w14:textId="77777777" w:rsidR="00C27251" w:rsidRDefault="00C27251">
      <w:r>
        <w:separator/>
      </w:r>
    </w:p>
  </w:footnote>
  <w:footnote w:type="continuationSeparator" w:id="0">
    <w:p w14:paraId="0688D4D6" w14:textId="77777777" w:rsidR="00C27251" w:rsidRDefault="00C27251">
      <w:r>
        <w:continuationSeparator/>
      </w:r>
    </w:p>
  </w:footnote>
  <w:footnote w:id="1">
    <w:p w14:paraId="4F56013C" w14:textId="77777777" w:rsidR="00800424" w:rsidRDefault="00800424" w:rsidP="00F32732">
      <w:pPr>
        <w:pStyle w:val="FootnoteText"/>
      </w:pPr>
      <w:r>
        <w:rPr>
          <w:rStyle w:val="FootnoteReference"/>
        </w:rPr>
        <w:footnoteRef/>
      </w:r>
      <w:r>
        <w:t xml:space="preserve"> Twentieth Century Fox Film Corporation and Another v Anthony Black Films (Pty) Ltd 1982 (3) SA 582 (W) at 586E-H</w:t>
      </w:r>
    </w:p>
  </w:footnote>
  <w:footnote w:id="2">
    <w:p w14:paraId="317A44E6" w14:textId="1233F319" w:rsidR="00800424" w:rsidRDefault="00800424" w:rsidP="00F32732">
      <w:pPr>
        <w:pStyle w:val="FootnoteText"/>
      </w:pPr>
      <w:r>
        <w:rPr>
          <w:rStyle w:val="FootnoteReference"/>
        </w:rPr>
        <w:footnoteRef/>
      </w:r>
      <w:r>
        <w:t xml:space="preserve"> East Rock Trading 7 (Pty) Ltd and Another v Eagle Valley Granite (Pty) Ltd and Others (11/33767) [2011] ZAGPJHC 196 (23 September 2011) paras [6]-[7]</w:t>
      </w:r>
    </w:p>
  </w:footnote>
  <w:footnote w:id="3">
    <w:p w14:paraId="37E34F3B" w14:textId="77777777" w:rsidR="00800424" w:rsidRDefault="00800424" w:rsidP="006F20E3">
      <w:pPr>
        <w:pStyle w:val="FootnoteText"/>
      </w:pPr>
      <w:r>
        <w:rPr>
          <w:rStyle w:val="FootnoteReference"/>
        </w:rPr>
        <w:footnoteRef/>
      </w:r>
      <w:r>
        <w:t xml:space="preserve"> Laugh it Off Promotions KH v SAB International Finance BV 2006 (1) SA 144 (CC) para [17]</w:t>
      </w:r>
    </w:p>
  </w:footnote>
  <w:footnote w:id="4">
    <w:p w14:paraId="607C5F16" w14:textId="7CA75BD9" w:rsidR="00800424" w:rsidRDefault="00800424">
      <w:pPr>
        <w:pStyle w:val="FootnoteText"/>
      </w:pPr>
      <w:r>
        <w:rPr>
          <w:rStyle w:val="FootnoteReference"/>
        </w:rPr>
        <w:footnoteRef/>
      </w:r>
      <w:r>
        <w:t xml:space="preserve"> </w:t>
      </w:r>
      <w:r w:rsidR="004B6600">
        <w:t>V</w:t>
      </w:r>
      <w:r>
        <w:t xml:space="preserve">an </w:t>
      </w:r>
      <w:r w:rsidR="004B6600">
        <w:t>D</w:t>
      </w:r>
      <w:r>
        <w:t xml:space="preserve">er Merwe v </w:t>
      </w:r>
      <w:r w:rsidR="004B6600">
        <w:t>T</w:t>
      </w:r>
      <w:r>
        <w:t>aylor NO 2008 (1) SA (CC) par [14]; AB and Another v Pridwin Preparatory School 2020 (5) SA 327 (CC) fn 155</w:t>
      </w:r>
    </w:p>
  </w:footnote>
  <w:footnote w:id="5">
    <w:p w14:paraId="24292672" w14:textId="77777777" w:rsidR="00800424" w:rsidRDefault="00800424" w:rsidP="006F20E3">
      <w:pPr>
        <w:pStyle w:val="FootnoteText"/>
      </w:pPr>
      <w:r>
        <w:rPr>
          <w:rStyle w:val="FootnoteReference"/>
        </w:rPr>
        <w:footnoteRef/>
      </w:r>
      <w:r>
        <w:t xml:space="preserve"> Ngqukumba v Minister of Safety and Security 2014 (5) SA 112 (CC) par 18; Geyser v Msunduzi Municipality 2003 (3) BCLR 235 (N) para 37</w:t>
      </w:r>
    </w:p>
  </w:footnote>
  <w:footnote w:id="6">
    <w:p w14:paraId="763CC1CF" w14:textId="3FC86AAA" w:rsidR="00800424" w:rsidRDefault="00800424" w:rsidP="00BA493D">
      <w:pPr>
        <w:pStyle w:val="FootnoteText"/>
      </w:pPr>
      <w:r>
        <w:rPr>
          <w:rStyle w:val="FootnoteReference"/>
        </w:rPr>
        <w:footnoteRef/>
      </w:r>
      <w:r>
        <w:t xml:space="preserve"> Plascon Evans Paints (Pty) Ltd v van Riebeeck Paints (Pty) Ltd 1984 (3) SA 623 (A) at 634E-635B; National Director Public Prosecutions v Zuma 2009 (2) SA 277 (SCA) para [26]; JW Wightman (Pty) Ltd v Headfour (Pty) Ltd 2008 (3) SA 371 (SCA) para </w:t>
      </w:r>
      <w:r w:rsidR="004B6600">
        <w:t>[12]-[13]</w:t>
      </w:r>
    </w:p>
  </w:footnote>
  <w:footnote w:id="7">
    <w:p w14:paraId="1F4EE0F3" w14:textId="77777777" w:rsidR="00800424" w:rsidRPr="00AD75A9" w:rsidRDefault="00800424" w:rsidP="00B149AE">
      <w:pPr>
        <w:pStyle w:val="FootnoteText"/>
        <w:rPr>
          <w:lang w:val="en-US"/>
        </w:rPr>
      </w:pPr>
      <w:r>
        <w:rPr>
          <w:rStyle w:val="FootnoteReference"/>
        </w:rPr>
        <w:footnoteRef/>
      </w:r>
      <w:r w:rsidRPr="00C405BA">
        <w:rPr>
          <w:rFonts w:cs="Arial"/>
        </w:rPr>
        <w:t xml:space="preserve"> </w:t>
      </w:r>
      <w:r>
        <w:rPr>
          <w:rFonts w:cs="Arial"/>
        </w:rPr>
        <w:t>Setlogelo v Setlogelo 1914 AD 221</w:t>
      </w:r>
    </w:p>
  </w:footnote>
  <w:footnote w:id="8">
    <w:p w14:paraId="79E4EFF2" w14:textId="77777777" w:rsidR="00B61BE4" w:rsidRPr="002D3634" w:rsidRDefault="00B61BE4" w:rsidP="00B61BE4">
      <w:pPr>
        <w:pStyle w:val="FootnoteText"/>
        <w:rPr>
          <w:lang w:val="en-GB"/>
        </w:rPr>
      </w:pPr>
      <w:r w:rsidRPr="00BB50A0">
        <w:rPr>
          <w:rStyle w:val="FootnoteReference"/>
          <w:rFonts w:cs="Arial"/>
        </w:rPr>
        <w:footnoteRef/>
      </w:r>
      <w:r w:rsidRPr="00BB50A0">
        <w:rPr>
          <w:rFonts w:cs="Arial"/>
        </w:rPr>
        <w:t xml:space="preserve"> </w:t>
      </w:r>
      <w:r w:rsidRPr="00CE59B0">
        <w:rPr>
          <w:rFonts w:cs="Arial"/>
          <w:lang w:val="en-US"/>
        </w:rPr>
        <w:t>Natal Joint Municipal Pension Fund v Endumeni Municipality</w:t>
      </w:r>
      <w:r w:rsidRPr="00CE59B0">
        <w:rPr>
          <w:rFonts w:cs="Arial"/>
          <w:lang w:val="en-GB"/>
        </w:rPr>
        <w:t xml:space="preserve"> </w:t>
      </w:r>
      <w:r w:rsidRPr="00BB50A0">
        <w:rPr>
          <w:rFonts w:cs="Arial"/>
          <w:lang w:val="en-GB"/>
        </w:rPr>
        <w:t>2012 (4) SA 593 (SCA) paras [18]-[19] at 603E-605B</w:t>
      </w:r>
    </w:p>
  </w:footnote>
  <w:footnote w:id="9">
    <w:p w14:paraId="5ED61085" w14:textId="12E8CFF9" w:rsidR="00B61BE4" w:rsidRDefault="00B61BE4" w:rsidP="00B61BE4">
      <w:pPr>
        <w:pStyle w:val="FootnoteText"/>
      </w:pPr>
      <w:r>
        <w:rPr>
          <w:rStyle w:val="FootnoteReference"/>
        </w:rPr>
        <w:footnoteRef/>
      </w:r>
      <w:r>
        <w:t xml:space="preserve">  Capitec Bank Holdings Ltd and Another v Coral Lagoon Investments 194 (Pty) Ltd and Others 2022 (1) SA 100 (SCA) (“Coral Lagoon”) at para [25]; </w:t>
      </w:r>
      <w:r w:rsidRPr="00D21585">
        <w:rPr>
          <w:rFonts w:cs="Arial"/>
          <w:lang w:val="en-US"/>
        </w:rPr>
        <w:t>Natal Joint Municipal Pension Fund v Endumeni Municipality</w:t>
      </w:r>
      <w:r w:rsidRPr="00D21585">
        <w:rPr>
          <w:rFonts w:cs="Arial"/>
          <w:lang w:val="en-GB"/>
        </w:rPr>
        <w:t xml:space="preserve"> </w:t>
      </w:r>
      <w:r w:rsidRPr="00BB50A0">
        <w:rPr>
          <w:rFonts w:cs="Arial"/>
          <w:lang w:val="en-GB"/>
        </w:rPr>
        <w:t>2012 (4) SA 593 (SCA) paras [18]-[19] at 603E-605B</w:t>
      </w:r>
    </w:p>
  </w:footnote>
  <w:footnote w:id="10">
    <w:p w14:paraId="5544B706" w14:textId="77777777" w:rsidR="00B61BE4" w:rsidRDefault="00B61BE4" w:rsidP="00B61BE4">
      <w:pPr>
        <w:pStyle w:val="FootnoteText"/>
      </w:pPr>
      <w:r>
        <w:rPr>
          <w:rStyle w:val="FootnoteReference"/>
        </w:rPr>
        <w:footnoteRef/>
      </w:r>
      <w:r>
        <w:t xml:space="preserve"> Coral Lagoon supra paras [47], [50] and [51]</w:t>
      </w:r>
    </w:p>
  </w:footnote>
  <w:footnote w:id="11">
    <w:p w14:paraId="482E52EC" w14:textId="77777777" w:rsidR="00B61BE4" w:rsidRDefault="00B61BE4" w:rsidP="00B61BE4">
      <w:pPr>
        <w:pStyle w:val="FootnoteText"/>
      </w:pPr>
      <w:r>
        <w:rPr>
          <w:rStyle w:val="FootnoteReference"/>
        </w:rPr>
        <w:footnoteRef/>
      </w:r>
      <w:r>
        <w:t xml:space="preserve"> Novartis v Maphil 2016 (1) SA 518 (SCA) para [28]</w:t>
      </w:r>
    </w:p>
  </w:footnote>
  <w:footnote w:id="12">
    <w:p w14:paraId="232F81A5" w14:textId="32965CAD" w:rsidR="004B6600" w:rsidRDefault="004B6600">
      <w:pPr>
        <w:pStyle w:val="FootnoteText"/>
      </w:pPr>
      <w:r>
        <w:rPr>
          <w:rStyle w:val="FootnoteReference"/>
        </w:rPr>
        <w:footnoteRef/>
      </w:r>
      <w:r>
        <w:t xml:space="preserve"> Phillips v Fieldstone Africa (Pty) Ltd [204] 1 All SA 150 SCA</w:t>
      </w:r>
    </w:p>
  </w:footnote>
  <w:footnote w:id="13">
    <w:p w14:paraId="2ED7CCD9" w14:textId="0F3A7D02" w:rsidR="00F82BE9" w:rsidRDefault="00F82BE9" w:rsidP="00F82BE9">
      <w:pPr>
        <w:pStyle w:val="FootnoteText"/>
      </w:pPr>
      <w:r>
        <w:rPr>
          <w:rStyle w:val="FootnoteReference"/>
        </w:rPr>
        <w:footnoteRef/>
      </w:r>
      <w:r>
        <w:t xml:space="preserve"> Goudini Chrome (Pty) </w:t>
      </w:r>
      <w:r w:rsidR="004B6600">
        <w:t>L</w:t>
      </w:r>
      <w:r>
        <w:t>td v MCC Contracts (Pty) Ltd 1993 (1) SA 77 (AD) para [21]</w:t>
      </w:r>
    </w:p>
  </w:footnote>
  <w:footnote w:id="14">
    <w:p w14:paraId="27DA7DAC" w14:textId="77777777" w:rsidR="00F82BE9" w:rsidRDefault="00F82BE9" w:rsidP="00F82BE9">
      <w:pPr>
        <w:pStyle w:val="FootnoteText"/>
      </w:pPr>
      <w:r>
        <w:rPr>
          <w:rStyle w:val="FootnoteReference"/>
        </w:rPr>
        <w:footnoteRef/>
      </w:r>
      <w:r>
        <w:t xml:space="preserve"> Pheiffer v Van Wyk and Others 2015 (5) SA 464 (SCA) paras 11-12</w:t>
      </w:r>
    </w:p>
  </w:footnote>
  <w:footnote w:id="15">
    <w:p w14:paraId="0413E4FD" w14:textId="77777777" w:rsidR="00F82BE9" w:rsidRDefault="00F82BE9" w:rsidP="00F82BE9">
      <w:pPr>
        <w:pStyle w:val="FootnoteText"/>
      </w:pPr>
      <w:r>
        <w:rPr>
          <w:rStyle w:val="FootnoteReference"/>
        </w:rPr>
        <w:footnoteRef/>
      </w:r>
      <w:r>
        <w:t xml:space="preserve"> Clause 30.6</w:t>
      </w:r>
    </w:p>
  </w:footnote>
  <w:footnote w:id="16">
    <w:p w14:paraId="140D1EE8" w14:textId="77777777" w:rsidR="00BA014A" w:rsidRDefault="00BA014A" w:rsidP="00BA014A">
      <w:pPr>
        <w:pStyle w:val="FootnoteText"/>
      </w:pPr>
      <w:r>
        <w:rPr>
          <w:rStyle w:val="FootnoteReference"/>
        </w:rPr>
        <w:footnoteRef/>
      </w:r>
      <w:r>
        <w:t xml:space="preserve"> Para[51]</w:t>
      </w:r>
    </w:p>
  </w:footnote>
  <w:footnote w:id="17">
    <w:p w14:paraId="40056CDC" w14:textId="77777777" w:rsidR="00BA014A" w:rsidRDefault="00BA014A" w:rsidP="00BA014A">
      <w:pPr>
        <w:pStyle w:val="FootnoteText"/>
      </w:pPr>
      <w:r>
        <w:rPr>
          <w:rStyle w:val="FootnoteReference"/>
        </w:rPr>
        <w:footnoteRef/>
      </w:r>
      <w:r>
        <w:t xml:space="preserve"> Baedica 231 CC and Others v Trustees for the time being of the Oregon Trust and Others 2020 (5) SA 247 (CC) </w:t>
      </w:r>
    </w:p>
  </w:footnote>
  <w:footnote w:id="18">
    <w:p w14:paraId="72AF2202" w14:textId="77777777" w:rsidR="00BA014A" w:rsidRDefault="00BA014A" w:rsidP="00BA014A">
      <w:pPr>
        <w:pStyle w:val="FootnoteText"/>
      </w:pPr>
      <w:r>
        <w:rPr>
          <w:rStyle w:val="FootnoteReference"/>
        </w:rPr>
        <w:footnoteRef/>
      </w:r>
      <w:r>
        <w:t xml:space="preserve"> Gauteng MEC for Health v 3P Consulting (Pty) Ltd 2012 (2) SA 542 (SCA) para [33]; Tamarillo (Pty) Ltd v BN Aitken (Pty) Ltd 1982 (1) SA 398 (A) at 442H-443B</w:t>
      </w:r>
    </w:p>
  </w:footnote>
  <w:footnote w:id="19">
    <w:p w14:paraId="40F1F5B8" w14:textId="29346004" w:rsidR="00800424" w:rsidRDefault="00800424">
      <w:pPr>
        <w:pStyle w:val="FootnoteText"/>
      </w:pPr>
      <w:r>
        <w:rPr>
          <w:rStyle w:val="FootnoteReference"/>
        </w:rPr>
        <w:footnoteRef/>
      </w:r>
      <w:r>
        <w:t xml:space="preserve"> Botha v Rich NO 2014 (4) SA 124 (CC) at para [37]</w:t>
      </w:r>
    </w:p>
  </w:footnote>
  <w:footnote w:id="20">
    <w:p w14:paraId="0BF2F555" w14:textId="77777777" w:rsidR="00800424" w:rsidRPr="00CA58DE" w:rsidRDefault="00800424" w:rsidP="00AD3F83">
      <w:pPr>
        <w:pStyle w:val="FootnoteText"/>
        <w:rPr>
          <w:lang w:val="en-GB"/>
        </w:rPr>
      </w:pPr>
      <w:r>
        <w:rPr>
          <w:rStyle w:val="FootnoteReference"/>
        </w:rPr>
        <w:footnoteRef/>
      </w:r>
      <w:r>
        <w:t xml:space="preserve"> Commercial Stevedoring Agricultural and Allied Workers' Union v Oak Valley Estates (Pty) Ltd 2022 (5) SA 18 (CC) at para 19.</w:t>
      </w:r>
    </w:p>
  </w:footnote>
  <w:footnote w:id="21">
    <w:p w14:paraId="6D2EEDA4" w14:textId="77777777" w:rsidR="00800424" w:rsidRPr="00CA58DE" w:rsidRDefault="00800424" w:rsidP="00AD3F83">
      <w:pPr>
        <w:pStyle w:val="FootnoteText"/>
        <w:rPr>
          <w:lang w:val="en-GB"/>
        </w:rPr>
      </w:pPr>
      <w:r>
        <w:rPr>
          <w:rStyle w:val="FootnoteReference"/>
        </w:rPr>
        <w:footnoteRef/>
      </w:r>
      <w:r>
        <w:t xml:space="preserve"> Hotz v University of Cape Town 2017 (2) SA 485 (SCA) at para 39</w:t>
      </w:r>
    </w:p>
  </w:footnote>
  <w:footnote w:id="22">
    <w:p w14:paraId="7F64A87E" w14:textId="77777777" w:rsidR="00800424" w:rsidRDefault="00800424" w:rsidP="00EA7F71">
      <w:pPr>
        <w:pStyle w:val="FootnoteText"/>
      </w:pPr>
      <w:r>
        <w:rPr>
          <w:rStyle w:val="FootnoteReference"/>
        </w:rPr>
        <w:footnoteRef/>
      </w:r>
      <w:r>
        <w:t xml:space="preserve"> Buthalezi v Poorter &amp; Others 1974 (4) SA 831 (W)</w:t>
      </w:r>
    </w:p>
  </w:footnote>
  <w:footnote w:id="23">
    <w:p w14:paraId="14469501" w14:textId="532D8B13" w:rsidR="00800424" w:rsidRDefault="00800424">
      <w:pPr>
        <w:pStyle w:val="FootnoteText"/>
      </w:pPr>
      <w:r>
        <w:rPr>
          <w:rStyle w:val="FootnoteReference"/>
        </w:rPr>
        <w:footnoteRef/>
      </w:r>
      <w:r w:rsidR="009D252A">
        <w:t xml:space="preserve"> </w:t>
      </w:r>
      <w:r>
        <w:t>Betlane v Shelly Court CC [2015] JOL 34003 CC par 29</w:t>
      </w:r>
    </w:p>
  </w:footnote>
  <w:footnote w:id="24">
    <w:p w14:paraId="5D0D81D7" w14:textId="5B4AB111" w:rsidR="00B61BE4" w:rsidRDefault="00B61BE4">
      <w:pPr>
        <w:pStyle w:val="FootnoteText"/>
      </w:pPr>
      <w:r>
        <w:rPr>
          <w:rStyle w:val="FootnoteReference"/>
        </w:rPr>
        <w:footnoteRef/>
      </w:r>
      <w:r>
        <w:t xml:space="preserve"> Clause 29.2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EC40" w14:textId="1DD80F68" w:rsidR="00800424" w:rsidRDefault="00800424">
    <w:pPr>
      <w:pStyle w:val="Header"/>
      <w:jc w:val="right"/>
    </w:pPr>
    <w:r>
      <w:t xml:space="preserve">Page </w:t>
    </w:r>
    <w:r>
      <w:fldChar w:fldCharType="begin"/>
    </w:r>
    <w:r>
      <w:instrText xml:space="preserve"> PAGE   \* MERGEFORMAT </w:instrText>
    </w:r>
    <w:r>
      <w:fldChar w:fldCharType="separate"/>
    </w:r>
    <w:r w:rsidR="00ED51A5">
      <w:rPr>
        <w:noProof/>
      </w:rPr>
      <w:t>16</w:t>
    </w:r>
    <w:r>
      <w:rPr>
        <w:noProof/>
      </w:rPr>
      <w:fldChar w:fldCharType="end"/>
    </w:r>
  </w:p>
  <w:p w14:paraId="0BA12F91" w14:textId="77777777" w:rsidR="00800424" w:rsidRDefault="00800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4A851AE"/>
    <w:lvl w:ilvl="0">
      <w:start w:val="1"/>
      <w:numFmt w:val="decimal"/>
      <w:pStyle w:val="Heading1"/>
      <w:lvlText w:val="%1."/>
      <w:lvlJc w:val="left"/>
      <w:pPr>
        <w:tabs>
          <w:tab w:val="num" w:pos="0"/>
        </w:tabs>
        <w:ind w:left="720" w:hanging="720"/>
      </w:pPr>
      <w:rPr>
        <w:rFonts w:ascii="Arial" w:hAnsi="Arial" w:hint="default"/>
        <w:b w:val="0"/>
        <w:i w:val="0"/>
        <w:sz w:val="24"/>
        <w:szCs w:val="24"/>
      </w:rPr>
    </w:lvl>
    <w:lvl w:ilvl="1">
      <w:start w:val="1"/>
      <w:numFmt w:val="decimal"/>
      <w:pStyle w:val="Heading2"/>
      <w:lvlText w:val="%1.%2"/>
      <w:lvlJc w:val="left"/>
      <w:pPr>
        <w:tabs>
          <w:tab w:val="num" w:pos="1644"/>
        </w:tabs>
        <w:ind w:left="1644" w:hanging="924"/>
      </w:pPr>
      <w:rPr>
        <w:rFonts w:ascii="Arial" w:hAnsi="Arial" w:hint="default"/>
        <w:b w:val="0"/>
        <w:i w:val="0"/>
        <w:sz w:val="24"/>
        <w:szCs w:val="24"/>
      </w:rPr>
    </w:lvl>
    <w:lvl w:ilvl="2">
      <w:start w:val="1"/>
      <w:numFmt w:val="decimal"/>
      <w:pStyle w:val="Heading3"/>
      <w:lvlText w:val="%1.%2.%3"/>
      <w:lvlJc w:val="left"/>
      <w:pPr>
        <w:tabs>
          <w:tab w:val="num" w:pos="2608"/>
        </w:tabs>
        <w:ind w:left="2608" w:hanging="1020"/>
      </w:pPr>
      <w:rPr>
        <w:rFonts w:ascii="Arial" w:hAnsi="Arial" w:hint="default"/>
        <w:b w:val="0"/>
        <w:i w:val="0"/>
        <w:sz w:val="24"/>
        <w:szCs w:val="24"/>
      </w:rPr>
    </w:lvl>
    <w:lvl w:ilvl="3">
      <w:start w:val="1"/>
      <w:numFmt w:val="decimal"/>
      <w:pStyle w:val="Heading4"/>
      <w:lvlText w:val="%1.%2.%3.%4"/>
      <w:lvlJc w:val="left"/>
      <w:pPr>
        <w:tabs>
          <w:tab w:val="num" w:pos="3402"/>
        </w:tabs>
        <w:ind w:left="3402" w:hanging="850"/>
      </w:pPr>
      <w:rPr>
        <w:rFonts w:ascii="Arial" w:hAnsi="Arial" w:hint="default"/>
        <w:b w:val="0"/>
        <w:i w:val="0"/>
        <w:sz w:val="24"/>
        <w:szCs w:val="24"/>
      </w:rPr>
    </w:lvl>
    <w:lvl w:ilvl="4">
      <w:start w:val="1"/>
      <w:numFmt w:val="decimal"/>
      <w:pStyle w:val="Heading5"/>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5C2C20"/>
    <w:multiLevelType w:val="multilevel"/>
    <w:tmpl w:val="8978462E"/>
    <w:lvl w:ilvl="0">
      <w:start w:val="1"/>
      <w:numFmt w:val="decimal"/>
      <w:pStyle w:val="Level1"/>
      <w:lvlText w:val="%1."/>
      <w:lvlJc w:val="left"/>
      <w:pPr>
        <w:ind w:left="567" w:hanging="567"/>
      </w:pPr>
      <w:rPr>
        <w:rFonts w:asciiTheme="majorHAnsi" w:hAnsiTheme="majorHAnsi" w:cstheme="majorHAnsi" w:hint="default"/>
        <w:b w:val="0"/>
        <w:i w:val="0"/>
        <w:sz w:val="26"/>
        <w:szCs w:val="26"/>
      </w:rPr>
    </w:lvl>
    <w:lvl w:ilvl="1">
      <w:start w:val="1"/>
      <w:numFmt w:val="decimal"/>
      <w:pStyle w:val="Level2"/>
      <w:lvlText w:val="%1.%2."/>
      <w:lvlJc w:val="left"/>
      <w:pPr>
        <w:ind w:left="1134" w:hanging="1134"/>
      </w:pPr>
      <w:rPr>
        <w:rFonts w:asciiTheme="majorHAnsi" w:hAnsiTheme="majorHAnsi" w:cstheme="majorHAnsi" w:hint="default"/>
        <w:b w:val="0"/>
        <w:sz w:val="26"/>
        <w:szCs w:val="26"/>
      </w:rPr>
    </w:lvl>
    <w:lvl w:ilvl="2">
      <w:start w:val="1"/>
      <w:numFmt w:val="decimal"/>
      <w:pStyle w:val="Level3"/>
      <w:lvlText w:val="%1.%2.%3."/>
      <w:lvlJc w:val="left"/>
      <w:pPr>
        <w:ind w:left="1701" w:hanging="1701"/>
      </w:pPr>
      <w:rPr>
        <w:b w:val="0"/>
        <w:i w:val="0"/>
        <w:sz w:val="20"/>
        <w:szCs w:val="20"/>
      </w:rPr>
    </w:lvl>
    <w:lvl w:ilvl="3">
      <w:start w:val="1"/>
      <w:numFmt w:val="decimal"/>
      <w:pStyle w:val="Level4"/>
      <w:lvlText w:val="%1.%2.%3.%4."/>
      <w:lvlJc w:val="left"/>
      <w:pPr>
        <w:ind w:left="1440" w:hanging="1080"/>
      </w:pPr>
      <w:rPr>
        <w:sz w:val="20"/>
        <w:szCs w:val="20"/>
      </w:rPr>
    </w:lvl>
    <w:lvl w:ilvl="4">
      <w:start w:val="1"/>
      <w:numFmt w:val="lowerLetter"/>
      <w:lvlText w:val="%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C32EAB"/>
    <w:multiLevelType w:val="multilevel"/>
    <w:tmpl w:val="C9BCDF2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247"/>
        </w:tabs>
        <w:ind w:left="1247" w:hanging="680"/>
      </w:pPr>
      <w:rPr>
        <w:rFonts w:hint="default"/>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7C532D5"/>
    <w:multiLevelType w:val="multilevel"/>
    <w:tmpl w:val="98440AF0"/>
    <w:lvl w:ilvl="0">
      <w:start w:val="1"/>
      <w:numFmt w:val="decimal"/>
      <w:lvlText w:val="%1."/>
      <w:lvlJc w:val="left"/>
      <w:pPr>
        <w:ind w:left="360" w:hanging="360"/>
      </w:pPr>
      <w:rPr>
        <w:i w:val="0"/>
        <w:iCs w:val="0"/>
      </w:rPr>
    </w:lvl>
    <w:lvl w:ilvl="1">
      <w:start w:val="1"/>
      <w:numFmt w:val="decimal"/>
      <w:pStyle w:val="level20"/>
      <w:lvlText w:val="%1.%2."/>
      <w:lvlJc w:val="left"/>
      <w:pPr>
        <w:ind w:left="792" w:hanging="432"/>
      </w:pPr>
      <w:rPr>
        <w:b w:val="0"/>
        <w:i w:val="0"/>
        <w:iCs w:val="0"/>
      </w:rPr>
    </w:lvl>
    <w:lvl w:ilvl="2">
      <w:start w:val="1"/>
      <w:numFmt w:val="decimal"/>
      <w:pStyle w:val="level40"/>
      <w:lvlText w:val="%1.%2.%3."/>
      <w:lvlJc w:val="left"/>
      <w:pPr>
        <w:ind w:left="1224" w:hanging="504"/>
      </w:pPr>
      <w:rPr>
        <w:b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9">
    <w:nsid w:val="58A73A84"/>
    <w:multiLevelType w:val="multilevel"/>
    <w:tmpl w:val="D99844A6"/>
    <w:lvl w:ilvl="0">
      <w:start w:val="1"/>
      <w:numFmt w:val="decimal"/>
      <w:pStyle w:val="level10"/>
      <w:lvlText w:val="%1."/>
      <w:lvlJc w:val="left"/>
      <w:pPr>
        <w:tabs>
          <w:tab w:val="num" w:pos="720"/>
        </w:tabs>
        <w:ind w:left="720" w:hanging="720"/>
      </w:pPr>
    </w:lvl>
    <w:lvl w:ilvl="1">
      <w:start w:val="1"/>
      <w:numFmt w:val="decimal"/>
      <w:lvlText w:val="%1.%2"/>
      <w:lvlJc w:val="left"/>
      <w:pPr>
        <w:tabs>
          <w:tab w:val="num" w:pos="1440"/>
        </w:tabs>
        <w:ind w:left="1440" w:hanging="1440"/>
      </w:pPr>
    </w:lvl>
    <w:lvl w:ilvl="2">
      <w:start w:val="1"/>
      <w:numFmt w:val="decimal"/>
      <w:pStyle w:val="level30"/>
      <w:lvlText w:val="%1.%2.%3"/>
      <w:lvlJc w:val="left"/>
      <w:pPr>
        <w:tabs>
          <w:tab w:val="num" w:pos="2160"/>
        </w:tabs>
        <w:ind w:left="2160" w:hanging="2160"/>
      </w:pPr>
    </w:lvl>
    <w:lvl w:ilvl="3">
      <w:start w:val="1"/>
      <w:numFmt w:val="decimal"/>
      <w:lvlText w:val="%1.%2.%3.%4"/>
      <w:lvlJc w:val="left"/>
      <w:pPr>
        <w:tabs>
          <w:tab w:val="num" w:pos="2880"/>
        </w:tabs>
        <w:ind w:left="2880" w:hanging="2880"/>
      </w:pPr>
    </w:lvl>
    <w:lvl w:ilvl="4">
      <w:start w:val="1"/>
      <w:numFmt w:val="decimal"/>
      <w:pStyle w:val="level5"/>
      <w:lvlText w:val="%1.%2.%3.%4.%5"/>
      <w:lvlJc w:val="left"/>
      <w:pPr>
        <w:tabs>
          <w:tab w:val="num" w:pos="3600"/>
        </w:tabs>
        <w:ind w:left="3600" w:hanging="3600"/>
      </w:pPr>
    </w:lvl>
    <w:lvl w:ilvl="5">
      <w:start w:val="1"/>
      <w:numFmt w:val="decimal"/>
      <w:pStyle w:val="level6"/>
      <w:lvlText w:val="%1.%2.%3.%4.%5.%6"/>
      <w:lvlJc w:val="left"/>
      <w:pPr>
        <w:tabs>
          <w:tab w:val="num" w:pos="4320"/>
        </w:tabs>
        <w:ind w:left="4320" w:hanging="4320"/>
      </w:pPr>
    </w:lvl>
    <w:lvl w:ilvl="6">
      <w:start w:val="1"/>
      <w:numFmt w:val="decimal"/>
      <w:pStyle w:val="level7"/>
      <w:lvlText w:val="%1.%2.%3.%4.%5.%6.%7"/>
      <w:lvlJc w:val="left"/>
      <w:pPr>
        <w:tabs>
          <w:tab w:val="num" w:pos="5040"/>
        </w:tabs>
        <w:ind w:left="5040" w:hanging="5040"/>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abstractNum w:abstractNumId="10">
    <w:nsid w:val="5E077CF7"/>
    <w:multiLevelType w:val="hybridMultilevel"/>
    <w:tmpl w:val="D5F813FA"/>
    <w:lvl w:ilvl="0" w:tplc="826CEC10">
      <w:start w:val="1"/>
      <w:numFmt w:val="upperLetter"/>
      <w:pStyle w:val="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A61A9B"/>
    <w:multiLevelType w:val="multilevel"/>
    <w:tmpl w:val="EE40C358"/>
    <w:lvl w:ilvl="0">
      <w:start w:val="1"/>
      <w:numFmt w:val="upperLetter"/>
      <w:lvlText w:val="%1."/>
      <w:lvlJc w:val="left"/>
      <w:pPr>
        <w:tabs>
          <w:tab w:val="num" w:pos="720"/>
        </w:tabs>
        <w:ind w:left="720" w:hanging="720"/>
      </w:pPr>
      <w:rPr>
        <w:rFonts w:ascii="Univers" w:hAnsi="Univers" w:hint="default"/>
        <w:b w:val="0"/>
        <w:i w:val="0"/>
        <w:sz w:val="24"/>
      </w:rPr>
    </w:lvl>
    <w:lvl w:ilvl="1">
      <w:start w:val="1"/>
      <w:numFmt w:val="decimal"/>
      <w:lvlText w:val="%1.%2"/>
      <w:lvlJc w:val="left"/>
      <w:pPr>
        <w:tabs>
          <w:tab w:val="num" w:pos="1440"/>
        </w:tabs>
        <w:ind w:left="1440" w:hanging="1440"/>
      </w:pPr>
    </w:lvl>
    <w:lvl w:ilvl="2">
      <w:start w:val="1"/>
      <w:numFmt w:val="decimal"/>
      <w:pStyle w:val="Clause4"/>
      <w:lvlText w:val="%1.%2.%3"/>
      <w:lvlJc w:val="left"/>
      <w:pPr>
        <w:tabs>
          <w:tab w:val="num" w:pos="2160"/>
        </w:tabs>
        <w:ind w:left="2160" w:hanging="2160"/>
      </w:pPr>
    </w:lvl>
    <w:lvl w:ilvl="3">
      <w:start w:val="1"/>
      <w:numFmt w:val="decimal"/>
      <w:pStyle w:val="Clause4"/>
      <w:lvlText w:val="%1.%2.%3.%4"/>
      <w:lvlJc w:val="left"/>
      <w:pPr>
        <w:tabs>
          <w:tab w:val="num" w:pos="2880"/>
        </w:tabs>
        <w:ind w:left="2880" w:hanging="2880"/>
      </w:pPr>
      <w:rPr>
        <w:rFonts w:ascii="Univers" w:hAnsi="Univer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3600" w:hanging="3600"/>
      </w:pPr>
    </w:lvl>
    <w:lvl w:ilvl="5">
      <w:start w:val="1"/>
      <w:numFmt w:val="decimal"/>
      <w:lvlText w:val="%1.%2.%3.%4.%5.%6"/>
      <w:lvlJc w:val="left"/>
      <w:pPr>
        <w:tabs>
          <w:tab w:val="num" w:pos="4320"/>
        </w:tabs>
        <w:ind w:left="4320" w:hanging="4320"/>
      </w:pPr>
    </w:lvl>
    <w:lvl w:ilvl="6">
      <w:start w:val="1"/>
      <w:numFmt w:val="decimal"/>
      <w:lvlText w:val="%1.%2.%3.%4.%5.%6.%7"/>
      <w:lvlJc w:val="left"/>
      <w:pPr>
        <w:tabs>
          <w:tab w:val="num" w:pos="5040"/>
        </w:tabs>
        <w:ind w:left="5040" w:hanging="5040"/>
      </w:pPr>
    </w:lvl>
    <w:lvl w:ilvl="7">
      <w:start w:val="1"/>
      <w:numFmt w:val="decimal"/>
      <w:lvlText w:val="%1.%2.%3.%4.%5.%6.%7.%8"/>
      <w:lvlJc w:val="left"/>
      <w:pPr>
        <w:tabs>
          <w:tab w:val="num" w:pos="5760"/>
        </w:tabs>
        <w:ind w:left="5760" w:hanging="5760"/>
      </w:pPr>
    </w:lvl>
    <w:lvl w:ilvl="8">
      <w:start w:val="1"/>
      <w:numFmt w:val="decimal"/>
      <w:lvlText w:val="%1.%2.%3.%4.%5.%6.%7.%8.%9"/>
      <w:lvlJc w:val="left"/>
      <w:pPr>
        <w:tabs>
          <w:tab w:val="num" w:pos="6480"/>
        </w:tabs>
        <w:ind w:left="6480" w:hanging="6480"/>
      </w:pPr>
    </w:lvl>
  </w:abstractNum>
  <w:abstractNum w:abstractNumId="12">
    <w:nsid w:val="64A61304"/>
    <w:multiLevelType w:val="multilevel"/>
    <w:tmpl w:val="104A3CB6"/>
    <w:lvl w:ilvl="0">
      <w:start w:val="1"/>
      <w:numFmt w:val="decimal"/>
      <w:pStyle w:val="WLGLevel1"/>
      <w:lvlText w:val="%1."/>
      <w:lvlJc w:val="left"/>
      <w:pPr>
        <w:tabs>
          <w:tab w:val="num" w:pos="648"/>
        </w:tabs>
        <w:ind w:left="648" w:hanging="648"/>
      </w:pPr>
      <w:rPr>
        <w:rFonts w:hint="default"/>
        <w:b w:val="0"/>
        <w:i w:val="0"/>
      </w:rPr>
    </w:lvl>
    <w:lvl w:ilvl="1">
      <w:start w:val="1"/>
      <w:numFmt w:val="decimal"/>
      <w:pStyle w:val="WLGLevel2"/>
      <w:lvlText w:val="%1.%2"/>
      <w:lvlJc w:val="left"/>
      <w:pPr>
        <w:tabs>
          <w:tab w:val="num" w:pos="1584"/>
        </w:tabs>
        <w:ind w:left="1584" w:hanging="936"/>
      </w:pPr>
      <w:rPr>
        <w:rFonts w:hint="default"/>
        <w:b w:val="0"/>
        <w:i w:val="0"/>
      </w:rPr>
    </w:lvl>
    <w:lvl w:ilvl="2">
      <w:start w:val="1"/>
      <w:numFmt w:val="decimal"/>
      <w:pStyle w:val="WLGLevel3"/>
      <w:lvlText w:val="%1.%2.%3"/>
      <w:lvlJc w:val="left"/>
      <w:pPr>
        <w:tabs>
          <w:tab w:val="num" w:pos="2664"/>
        </w:tabs>
        <w:ind w:left="2664" w:hanging="108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3">
    <w:nsid w:val="6BD17F80"/>
    <w:multiLevelType w:val="hybridMultilevel"/>
    <w:tmpl w:val="3B2A1DE6"/>
    <w:lvl w:ilvl="0" w:tplc="55F62AB2">
      <w:start w:val="1"/>
      <w:numFmt w:val="decimal"/>
      <w:pStyle w:val="level11"/>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64C0496"/>
    <w:multiLevelType w:val="multilevel"/>
    <w:tmpl w:val="D6E00B6E"/>
    <w:lvl w:ilvl="0">
      <w:start w:val="1"/>
      <w:numFmt w:val="decimal"/>
      <w:pStyle w:val="ParaLv1"/>
      <w:lvlText w:val="%1."/>
      <w:lvlJc w:val="left"/>
      <w:pPr>
        <w:ind w:left="360" w:hanging="360"/>
      </w:pPr>
      <w:rPr>
        <w:b w:val="0"/>
      </w:rPr>
    </w:lvl>
    <w:lvl w:ilvl="1">
      <w:start w:val="1"/>
      <w:numFmt w:val="decimal"/>
      <w:pStyle w:val="ParaLv2"/>
      <w:lvlText w:val="%1.%2."/>
      <w:lvlJc w:val="left"/>
      <w:pPr>
        <w:ind w:left="792" w:hanging="432"/>
      </w:pPr>
    </w:lvl>
    <w:lvl w:ilvl="2">
      <w:start w:val="1"/>
      <w:numFmt w:val="decimal"/>
      <w:pStyle w:val="ParaL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6"/>
  </w:num>
  <w:num w:numId="3">
    <w:abstractNumId w:val="1"/>
  </w:num>
  <w:num w:numId="4">
    <w:abstractNumId w:val="8"/>
  </w:num>
  <w:num w:numId="5">
    <w:abstractNumId w:val="15"/>
  </w:num>
  <w:num w:numId="6">
    <w:abstractNumId w:val="7"/>
  </w:num>
  <w:num w:numId="7">
    <w:abstractNumId w:val="3"/>
  </w:num>
  <w:num w:numId="8">
    <w:abstractNumId w:val="14"/>
  </w:num>
  <w:num w:numId="9">
    <w:abstractNumId w:val="0"/>
  </w:num>
  <w:num w:numId="10">
    <w:abstractNumId w:val="11"/>
  </w:num>
  <w:num w:numId="11">
    <w:abstractNumId w:val="9"/>
  </w:num>
  <w:num w:numId="12">
    <w:abstractNumId w:val="4"/>
  </w:num>
  <w:num w:numId="13">
    <w:abstractNumId w:val="12"/>
  </w:num>
  <w:num w:numId="14">
    <w:abstractNumId w:val="5"/>
  </w:num>
  <w:num w:numId="15">
    <w:abstractNumId w:val="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7"/>
    <w:rsid w:val="000160C4"/>
    <w:rsid w:val="00045763"/>
    <w:rsid w:val="000464BE"/>
    <w:rsid w:val="0004679F"/>
    <w:rsid w:val="000513BF"/>
    <w:rsid w:val="00061E8F"/>
    <w:rsid w:val="000672D3"/>
    <w:rsid w:val="000B66AC"/>
    <w:rsid w:val="000C3C64"/>
    <w:rsid w:val="000D573D"/>
    <w:rsid w:val="000E4757"/>
    <w:rsid w:val="000F4533"/>
    <w:rsid w:val="00113742"/>
    <w:rsid w:val="00113EEB"/>
    <w:rsid w:val="001432AC"/>
    <w:rsid w:val="00167A0B"/>
    <w:rsid w:val="001D01E5"/>
    <w:rsid w:val="001D5A26"/>
    <w:rsid w:val="001E2697"/>
    <w:rsid w:val="00213726"/>
    <w:rsid w:val="0022049D"/>
    <w:rsid w:val="002320F5"/>
    <w:rsid w:val="00237065"/>
    <w:rsid w:val="00243405"/>
    <w:rsid w:val="00245037"/>
    <w:rsid w:val="002C3752"/>
    <w:rsid w:val="002F5BC6"/>
    <w:rsid w:val="00307A40"/>
    <w:rsid w:val="00314436"/>
    <w:rsid w:val="00323F4C"/>
    <w:rsid w:val="003366C5"/>
    <w:rsid w:val="00376027"/>
    <w:rsid w:val="00383D1C"/>
    <w:rsid w:val="00385103"/>
    <w:rsid w:val="0039420D"/>
    <w:rsid w:val="003C1577"/>
    <w:rsid w:val="003D0282"/>
    <w:rsid w:val="003D7207"/>
    <w:rsid w:val="00430348"/>
    <w:rsid w:val="004344F9"/>
    <w:rsid w:val="0044622C"/>
    <w:rsid w:val="00456FA9"/>
    <w:rsid w:val="004910FA"/>
    <w:rsid w:val="004B6600"/>
    <w:rsid w:val="004D55A8"/>
    <w:rsid w:val="004D56DB"/>
    <w:rsid w:val="004E41B6"/>
    <w:rsid w:val="004E44ED"/>
    <w:rsid w:val="00503815"/>
    <w:rsid w:val="0051537E"/>
    <w:rsid w:val="005200ED"/>
    <w:rsid w:val="00582B78"/>
    <w:rsid w:val="00584AD9"/>
    <w:rsid w:val="00595286"/>
    <w:rsid w:val="005A0267"/>
    <w:rsid w:val="005A2434"/>
    <w:rsid w:val="005A2E08"/>
    <w:rsid w:val="005B53D1"/>
    <w:rsid w:val="006224E5"/>
    <w:rsid w:val="00622741"/>
    <w:rsid w:val="006257FB"/>
    <w:rsid w:val="006524B7"/>
    <w:rsid w:val="006616E5"/>
    <w:rsid w:val="00667D17"/>
    <w:rsid w:val="00675F19"/>
    <w:rsid w:val="00685AD6"/>
    <w:rsid w:val="00691222"/>
    <w:rsid w:val="00696898"/>
    <w:rsid w:val="006D23C4"/>
    <w:rsid w:val="006D4CB5"/>
    <w:rsid w:val="006F20E3"/>
    <w:rsid w:val="00713159"/>
    <w:rsid w:val="00732694"/>
    <w:rsid w:val="00733BEC"/>
    <w:rsid w:val="007703BA"/>
    <w:rsid w:val="00772D6C"/>
    <w:rsid w:val="00784EEB"/>
    <w:rsid w:val="007F1BC4"/>
    <w:rsid w:val="00800424"/>
    <w:rsid w:val="0085493C"/>
    <w:rsid w:val="00857CE6"/>
    <w:rsid w:val="00880CB2"/>
    <w:rsid w:val="00883FB1"/>
    <w:rsid w:val="008A790B"/>
    <w:rsid w:val="008B6C77"/>
    <w:rsid w:val="008C0E45"/>
    <w:rsid w:val="008C2A94"/>
    <w:rsid w:val="00900064"/>
    <w:rsid w:val="00951327"/>
    <w:rsid w:val="00961897"/>
    <w:rsid w:val="0097071A"/>
    <w:rsid w:val="009845B6"/>
    <w:rsid w:val="009948E9"/>
    <w:rsid w:val="009A65CE"/>
    <w:rsid w:val="009B4A5F"/>
    <w:rsid w:val="009B5B48"/>
    <w:rsid w:val="009C0601"/>
    <w:rsid w:val="009C4A5B"/>
    <w:rsid w:val="009D252A"/>
    <w:rsid w:val="009E11DF"/>
    <w:rsid w:val="009E5EA6"/>
    <w:rsid w:val="00A173DA"/>
    <w:rsid w:val="00A20F7E"/>
    <w:rsid w:val="00A326BA"/>
    <w:rsid w:val="00A337BD"/>
    <w:rsid w:val="00A41A08"/>
    <w:rsid w:val="00A757E7"/>
    <w:rsid w:val="00A9355F"/>
    <w:rsid w:val="00A965A7"/>
    <w:rsid w:val="00AA38FA"/>
    <w:rsid w:val="00AB45C7"/>
    <w:rsid w:val="00AD3F83"/>
    <w:rsid w:val="00AF401B"/>
    <w:rsid w:val="00B149AE"/>
    <w:rsid w:val="00B24CC4"/>
    <w:rsid w:val="00B3155D"/>
    <w:rsid w:val="00B40203"/>
    <w:rsid w:val="00B415BE"/>
    <w:rsid w:val="00B56867"/>
    <w:rsid w:val="00B61BE4"/>
    <w:rsid w:val="00B74332"/>
    <w:rsid w:val="00B767A4"/>
    <w:rsid w:val="00B948AF"/>
    <w:rsid w:val="00BA014A"/>
    <w:rsid w:val="00BA26F8"/>
    <w:rsid w:val="00BA493D"/>
    <w:rsid w:val="00BB3897"/>
    <w:rsid w:val="00BD17F1"/>
    <w:rsid w:val="00BE334B"/>
    <w:rsid w:val="00BE3AA8"/>
    <w:rsid w:val="00BE4B3A"/>
    <w:rsid w:val="00BE721E"/>
    <w:rsid w:val="00BF672B"/>
    <w:rsid w:val="00C03CD3"/>
    <w:rsid w:val="00C15987"/>
    <w:rsid w:val="00C23F23"/>
    <w:rsid w:val="00C27251"/>
    <w:rsid w:val="00C53755"/>
    <w:rsid w:val="00C54770"/>
    <w:rsid w:val="00C6194E"/>
    <w:rsid w:val="00C62159"/>
    <w:rsid w:val="00C83782"/>
    <w:rsid w:val="00C843F6"/>
    <w:rsid w:val="00C853FE"/>
    <w:rsid w:val="00CA35B3"/>
    <w:rsid w:val="00CB1701"/>
    <w:rsid w:val="00CB5094"/>
    <w:rsid w:val="00D06735"/>
    <w:rsid w:val="00D200A7"/>
    <w:rsid w:val="00D23C22"/>
    <w:rsid w:val="00D26835"/>
    <w:rsid w:val="00D4773F"/>
    <w:rsid w:val="00D47835"/>
    <w:rsid w:val="00D5427D"/>
    <w:rsid w:val="00D5483A"/>
    <w:rsid w:val="00D86E9B"/>
    <w:rsid w:val="00DD3104"/>
    <w:rsid w:val="00DD3EC6"/>
    <w:rsid w:val="00DD415D"/>
    <w:rsid w:val="00DF70FA"/>
    <w:rsid w:val="00E23D88"/>
    <w:rsid w:val="00E32F01"/>
    <w:rsid w:val="00E35A5B"/>
    <w:rsid w:val="00E36A52"/>
    <w:rsid w:val="00E65470"/>
    <w:rsid w:val="00EA7F71"/>
    <w:rsid w:val="00EB21B7"/>
    <w:rsid w:val="00EC7CEF"/>
    <w:rsid w:val="00ED2AC9"/>
    <w:rsid w:val="00ED51A5"/>
    <w:rsid w:val="00EE4885"/>
    <w:rsid w:val="00F058AE"/>
    <w:rsid w:val="00F229C7"/>
    <w:rsid w:val="00F32732"/>
    <w:rsid w:val="00F44AD8"/>
    <w:rsid w:val="00F44AF4"/>
    <w:rsid w:val="00F804E9"/>
    <w:rsid w:val="00F82BE9"/>
    <w:rsid w:val="00F8432D"/>
    <w:rsid w:val="00FB6BE1"/>
    <w:rsid w:val="00FE0D77"/>
    <w:rsid w:val="00FE6250"/>
    <w:rsid w:val="00FE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paragraph" w:styleId="Heading1">
    <w:name w:val="heading 1"/>
    <w:basedOn w:val="Normal"/>
    <w:next w:val="Heading2"/>
    <w:link w:val="Heading1Char"/>
    <w:qFormat/>
    <w:rsid w:val="002C3752"/>
    <w:pPr>
      <w:numPr>
        <w:numId w:val="9"/>
      </w:numPr>
      <w:spacing w:before="240" w:after="240" w:line="480" w:lineRule="auto"/>
      <w:jc w:val="both"/>
      <w:outlineLvl w:val="0"/>
    </w:pPr>
    <w:rPr>
      <w:szCs w:val="20"/>
      <w:lang w:val="en-GB" w:eastAsia="en-US"/>
    </w:rPr>
  </w:style>
  <w:style w:type="paragraph" w:styleId="Heading2">
    <w:name w:val="heading 2"/>
    <w:basedOn w:val="Normal"/>
    <w:link w:val="Heading2Char"/>
    <w:qFormat/>
    <w:rsid w:val="002C3752"/>
    <w:pPr>
      <w:numPr>
        <w:ilvl w:val="1"/>
        <w:numId w:val="9"/>
      </w:numPr>
      <w:spacing w:before="240" w:after="240" w:line="480" w:lineRule="auto"/>
      <w:jc w:val="both"/>
      <w:outlineLvl w:val="1"/>
    </w:pPr>
    <w:rPr>
      <w:kern w:val="0"/>
      <w:szCs w:val="20"/>
      <w:lang w:eastAsia="en-US"/>
    </w:rPr>
  </w:style>
  <w:style w:type="paragraph" w:styleId="Heading3">
    <w:name w:val="heading 3"/>
    <w:basedOn w:val="Normal"/>
    <w:link w:val="Heading3Char"/>
    <w:qFormat/>
    <w:rsid w:val="002C3752"/>
    <w:pPr>
      <w:numPr>
        <w:ilvl w:val="2"/>
        <w:numId w:val="9"/>
      </w:numPr>
      <w:spacing w:before="240" w:after="240" w:line="480" w:lineRule="auto"/>
      <w:jc w:val="both"/>
      <w:outlineLvl w:val="2"/>
    </w:pPr>
    <w:rPr>
      <w:kern w:val="0"/>
      <w:szCs w:val="20"/>
      <w:lang w:val="en-GB" w:eastAsia="en-US"/>
    </w:rPr>
  </w:style>
  <w:style w:type="paragraph" w:styleId="Heading4">
    <w:name w:val="heading 4"/>
    <w:basedOn w:val="Normal"/>
    <w:link w:val="Heading4Char"/>
    <w:qFormat/>
    <w:rsid w:val="002C3752"/>
    <w:pPr>
      <w:numPr>
        <w:ilvl w:val="3"/>
        <w:numId w:val="9"/>
      </w:numPr>
      <w:spacing w:before="240" w:after="240" w:line="480" w:lineRule="auto"/>
      <w:jc w:val="both"/>
      <w:outlineLvl w:val="3"/>
    </w:pPr>
    <w:rPr>
      <w:kern w:val="0"/>
      <w:szCs w:val="20"/>
      <w:lang w:val="en-GB" w:eastAsia="en-US"/>
    </w:rPr>
  </w:style>
  <w:style w:type="paragraph" w:styleId="Heading5">
    <w:name w:val="heading 5"/>
    <w:basedOn w:val="Normal"/>
    <w:link w:val="Heading5Char"/>
    <w:qFormat/>
    <w:rsid w:val="002C3752"/>
    <w:pPr>
      <w:numPr>
        <w:ilvl w:val="4"/>
        <w:numId w:val="9"/>
      </w:numPr>
      <w:spacing w:before="240" w:after="240" w:line="480" w:lineRule="auto"/>
      <w:jc w:val="both"/>
      <w:outlineLvl w:val="4"/>
    </w:pPr>
    <w:rPr>
      <w:kern w:val="0"/>
      <w:szCs w:val="20"/>
      <w:lang w:val="en-GB" w:eastAsia="en-US"/>
    </w:rPr>
  </w:style>
  <w:style w:type="paragraph" w:styleId="Heading6">
    <w:name w:val="heading 6"/>
    <w:basedOn w:val="Normal"/>
    <w:link w:val="Heading6Char"/>
    <w:qFormat/>
    <w:rsid w:val="002C3752"/>
    <w:pPr>
      <w:spacing w:before="240" w:after="60" w:line="480" w:lineRule="auto"/>
      <w:jc w:val="both"/>
      <w:outlineLvl w:val="5"/>
    </w:pPr>
    <w:rPr>
      <w:i/>
      <w:kern w:val="0"/>
      <w:szCs w:val="20"/>
      <w:lang w:val="en-GB" w:eastAsia="en-US"/>
    </w:rPr>
  </w:style>
  <w:style w:type="paragraph" w:styleId="Heading7">
    <w:name w:val="heading 7"/>
    <w:basedOn w:val="Normal"/>
    <w:link w:val="Heading7Char"/>
    <w:qFormat/>
    <w:rsid w:val="002C3752"/>
    <w:pPr>
      <w:spacing w:before="240" w:after="60" w:line="480" w:lineRule="auto"/>
      <w:jc w:val="both"/>
      <w:outlineLvl w:val="6"/>
    </w:pPr>
    <w:rPr>
      <w:kern w:val="0"/>
      <w:szCs w:val="20"/>
      <w:lang w:val="en-GB" w:eastAsia="en-US"/>
    </w:rPr>
  </w:style>
  <w:style w:type="paragraph" w:styleId="Heading8">
    <w:name w:val="heading 8"/>
    <w:basedOn w:val="Normal"/>
    <w:link w:val="Heading8Char"/>
    <w:qFormat/>
    <w:rsid w:val="002C3752"/>
    <w:pPr>
      <w:spacing w:before="240" w:after="60" w:line="480" w:lineRule="auto"/>
      <w:jc w:val="both"/>
      <w:outlineLvl w:val="7"/>
    </w:pPr>
    <w:rPr>
      <w:i/>
      <w:kern w:val="0"/>
      <w:szCs w:val="20"/>
      <w:lang w:val="en-GB" w:eastAsia="en-US"/>
    </w:rPr>
  </w:style>
  <w:style w:type="paragraph" w:styleId="Heading9">
    <w:name w:val="heading 9"/>
    <w:basedOn w:val="Normal"/>
    <w:next w:val="Normal"/>
    <w:link w:val="Heading9Char"/>
    <w:qFormat/>
    <w:rsid w:val="002C3752"/>
    <w:pPr>
      <w:spacing w:before="240" w:after="60" w:line="480" w:lineRule="auto"/>
      <w:jc w:val="both"/>
      <w:outlineLvl w:val="8"/>
    </w:pPr>
    <w:rPr>
      <w:i/>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1">
    <w:name w:val="level1"/>
    <w:basedOn w:val="Normal"/>
    <w:rsid w:val="001E2697"/>
    <w:pPr>
      <w:numPr>
        <w:numId w:val="1"/>
      </w:numPr>
    </w:p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Footnote Text Char Char1 Char,fn,Char"/>
    <w:basedOn w:val="Normal"/>
    <w:link w:val="FootnoteTextChar"/>
    <w:uiPriority w:val="99"/>
    <w:unhideWhenUsed/>
    <w:qFormat/>
    <w:rsid w:val="00383D1C"/>
    <w:rPr>
      <w:sz w:val="20"/>
      <w:szCs w:val="20"/>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Char Char"/>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aliases w:val="Ref,de nota al pie,註腳內容,Footnotes refss,(NECG) Footnote Reference,Bow_Footnote Reference,BL_Footnote Reference,Appel note de bas de page,Footnote Reference + Superscript"/>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character" w:customStyle="1" w:styleId="Heading1Char">
    <w:name w:val="Heading 1 Char"/>
    <w:basedOn w:val="DefaultParagraphFont"/>
    <w:link w:val="Heading1"/>
    <w:rsid w:val="002C3752"/>
    <w:rPr>
      <w:rFonts w:ascii="Arial" w:eastAsia="Times New Roman" w:hAnsi="Arial" w:cs="Times New Roman"/>
      <w:kern w:val="28"/>
      <w:sz w:val="24"/>
      <w:szCs w:val="20"/>
    </w:rPr>
  </w:style>
  <w:style w:type="character" w:customStyle="1" w:styleId="Heading2Char">
    <w:name w:val="Heading 2 Char"/>
    <w:basedOn w:val="DefaultParagraphFont"/>
    <w:link w:val="Heading2"/>
    <w:rsid w:val="002C3752"/>
    <w:rPr>
      <w:rFonts w:ascii="Arial" w:eastAsia="Times New Roman" w:hAnsi="Arial" w:cs="Times New Roman"/>
      <w:sz w:val="24"/>
      <w:szCs w:val="20"/>
      <w:lang w:val="en-ZA"/>
    </w:rPr>
  </w:style>
  <w:style w:type="character" w:customStyle="1" w:styleId="Heading3Char">
    <w:name w:val="Heading 3 Char"/>
    <w:basedOn w:val="DefaultParagraphFont"/>
    <w:link w:val="Heading3"/>
    <w:rsid w:val="002C3752"/>
    <w:rPr>
      <w:rFonts w:ascii="Arial" w:eastAsia="Times New Roman" w:hAnsi="Arial" w:cs="Times New Roman"/>
      <w:sz w:val="24"/>
      <w:szCs w:val="20"/>
    </w:rPr>
  </w:style>
  <w:style w:type="character" w:customStyle="1" w:styleId="Heading4Char">
    <w:name w:val="Heading 4 Char"/>
    <w:basedOn w:val="DefaultParagraphFont"/>
    <w:link w:val="Heading4"/>
    <w:rsid w:val="002C3752"/>
    <w:rPr>
      <w:rFonts w:ascii="Arial" w:eastAsia="Times New Roman" w:hAnsi="Arial" w:cs="Times New Roman"/>
      <w:sz w:val="24"/>
      <w:szCs w:val="20"/>
    </w:rPr>
  </w:style>
  <w:style w:type="character" w:customStyle="1" w:styleId="Heading5Char">
    <w:name w:val="Heading 5 Char"/>
    <w:basedOn w:val="DefaultParagraphFont"/>
    <w:link w:val="Heading5"/>
    <w:rsid w:val="002C3752"/>
    <w:rPr>
      <w:rFonts w:ascii="Arial" w:eastAsia="Times New Roman" w:hAnsi="Arial" w:cs="Times New Roman"/>
      <w:sz w:val="24"/>
      <w:szCs w:val="20"/>
    </w:rPr>
  </w:style>
  <w:style w:type="character" w:customStyle="1" w:styleId="Heading6Char">
    <w:name w:val="Heading 6 Char"/>
    <w:basedOn w:val="DefaultParagraphFont"/>
    <w:link w:val="Heading6"/>
    <w:rsid w:val="002C3752"/>
    <w:rPr>
      <w:rFonts w:ascii="Arial" w:eastAsia="Times New Roman" w:hAnsi="Arial" w:cs="Times New Roman"/>
      <w:i/>
      <w:sz w:val="24"/>
      <w:szCs w:val="20"/>
    </w:rPr>
  </w:style>
  <w:style w:type="character" w:customStyle="1" w:styleId="Heading7Char">
    <w:name w:val="Heading 7 Char"/>
    <w:basedOn w:val="DefaultParagraphFont"/>
    <w:link w:val="Heading7"/>
    <w:rsid w:val="002C3752"/>
    <w:rPr>
      <w:rFonts w:ascii="Arial" w:eastAsia="Times New Roman" w:hAnsi="Arial" w:cs="Times New Roman"/>
      <w:sz w:val="24"/>
      <w:szCs w:val="20"/>
    </w:rPr>
  </w:style>
  <w:style w:type="character" w:customStyle="1" w:styleId="Heading8Char">
    <w:name w:val="Heading 8 Char"/>
    <w:basedOn w:val="DefaultParagraphFont"/>
    <w:link w:val="Heading8"/>
    <w:rsid w:val="002C3752"/>
    <w:rPr>
      <w:rFonts w:ascii="Arial" w:eastAsia="Times New Roman" w:hAnsi="Arial" w:cs="Times New Roman"/>
      <w:i/>
      <w:sz w:val="24"/>
      <w:szCs w:val="20"/>
    </w:rPr>
  </w:style>
  <w:style w:type="character" w:customStyle="1" w:styleId="Heading9Char">
    <w:name w:val="Heading 9 Char"/>
    <w:basedOn w:val="DefaultParagraphFont"/>
    <w:link w:val="Heading9"/>
    <w:rsid w:val="002C3752"/>
    <w:rPr>
      <w:rFonts w:ascii="Arial" w:eastAsia="Times New Roman" w:hAnsi="Arial" w:cs="Times New Roman"/>
      <w:i/>
      <w:sz w:val="24"/>
      <w:szCs w:val="20"/>
    </w:rPr>
  </w:style>
  <w:style w:type="paragraph" w:customStyle="1" w:styleId="MainHead">
    <w:name w:val="Main Head"/>
    <w:basedOn w:val="Normal"/>
    <w:next w:val="Normal"/>
    <w:rsid w:val="002C3752"/>
    <w:pPr>
      <w:spacing w:before="240" w:after="240" w:line="480" w:lineRule="auto"/>
      <w:jc w:val="center"/>
    </w:pPr>
    <w:rPr>
      <w:b/>
      <w:caps/>
      <w:kern w:val="0"/>
      <w:szCs w:val="20"/>
      <w:u w:val="single"/>
      <w:lang w:val="en-GB" w:eastAsia="en-US"/>
    </w:rPr>
  </w:style>
  <w:style w:type="paragraph" w:customStyle="1" w:styleId="TramHead">
    <w:name w:val="Tram Head"/>
    <w:basedOn w:val="Normal"/>
    <w:rsid w:val="002C3752"/>
    <w:pPr>
      <w:keepNext/>
      <w:pBdr>
        <w:top w:val="single" w:sz="6" w:space="18" w:color="auto"/>
        <w:bottom w:val="single" w:sz="6" w:space="18" w:color="auto"/>
      </w:pBdr>
      <w:spacing w:before="240" w:after="480"/>
      <w:jc w:val="center"/>
    </w:pPr>
    <w:rPr>
      <w:b/>
      <w:caps/>
      <w:szCs w:val="20"/>
      <w:lang w:val="en-GB" w:eastAsia="en-US"/>
    </w:rPr>
  </w:style>
  <w:style w:type="paragraph" w:styleId="Footer">
    <w:name w:val="footer"/>
    <w:basedOn w:val="Normal"/>
    <w:link w:val="FooterChar"/>
    <w:rsid w:val="002C3752"/>
    <w:pPr>
      <w:tabs>
        <w:tab w:val="center" w:pos="4320"/>
        <w:tab w:val="right" w:pos="8640"/>
      </w:tabs>
      <w:spacing w:before="240" w:after="240" w:line="480" w:lineRule="auto"/>
      <w:jc w:val="both"/>
    </w:pPr>
    <w:rPr>
      <w:kern w:val="0"/>
      <w:szCs w:val="20"/>
      <w:lang w:val="en-GB" w:eastAsia="en-US"/>
    </w:rPr>
  </w:style>
  <w:style w:type="character" w:customStyle="1" w:styleId="FooterChar">
    <w:name w:val="Footer Char"/>
    <w:basedOn w:val="DefaultParagraphFont"/>
    <w:link w:val="Footer"/>
    <w:rsid w:val="002C3752"/>
    <w:rPr>
      <w:rFonts w:ascii="Arial" w:eastAsia="Times New Roman" w:hAnsi="Arial" w:cs="Times New Roman"/>
      <w:sz w:val="24"/>
      <w:szCs w:val="20"/>
    </w:rPr>
  </w:style>
  <w:style w:type="character" w:styleId="PageNumber">
    <w:name w:val="page number"/>
    <w:rsid w:val="002C3752"/>
    <w:rPr>
      <w:rFonts w:ascii="Times New Roman" w:hAnsi="Times New Roman"/>
      <w:i/>
      <w:smallCaps/>
      <w:sz w:val="22"/>
    </w:rPr>
  </w:style>
  <w:style w:type="paragraph" w:customStyle="1" w:styleId="Normal1">
    <w:name w:val="Normal1"/>
    <w:basedOn w:val="Normal"/>
    <w:rsid w:val="002C3752"/>
    <w:pPr>
      <w:spacing w:before="720" w:after="240" w:line="480" w:lineRule="auto"/>
    </w:pPr>
    <w:rPr>
      <w:kern w:val="0"/>
      <w:szCs w:val="20"/>
      <w:lang w:val="en-GB" w:eastAsia="en-US"/>
    </w:rPr>
  </w:style>
  <w:style w:type="paragraph" w:styleId="BodyTextIndent">
    <w:name w:val="Body Text Indent"/>
    <w:basedOn w:val="Normal"/>
    <w:link w:val="BodyTextIndentChar"/>
    <w:rsid w:val="002C3752"/>
    <w:pPr>
      <w:pBdr>
        <w:top w:val="single" w:sz="4" w:space="1" w:color="auto"/>
      </w:pBdr>
      <w:spacing w:before="240" w:after="240" w:line="480" w:lineRule="auto"/>
      <w:ind w:left="4254"/>
    </w:pPr>
    <w:rPr>
      <w:b/>
      <w:kern w:val="0"/>
      <w:szCs w:val="20"/>
      <w:lang w:val="en-GB" w:eastAsia="en-US"/>
    </w:rPr>
  </w:style>
  <w:style w:type="character" w:customStyle="1" w:styleId="BodyTextIndentChar">
    <w:name w:val="Body Text Indent Char"/>
    <w:basedOn w:val="DefaultParagraphFont"/>
    <w:link w:val="BodyTextIndent"/>
    <w:rsid w:val="002C3752"/>
    <w:rPr>
      <w:rFonts w:ascii="Arial" w:eastAsia="Times New Roman" w:hAnsi="Arial" w:cs="Times New Roman"/>
      <w:b/>
      <w:sz w:val="24"/>
      <w:szCs w:val="20"/>
    </w:rPr>
  </w:style>
  <w:style w:type="paragraph" w:customStyle="1" w:styleId="Style1">
    <w:name w:val="Style1"/>
    <w:basedOn w:val="Normal"/>
    <w:rsid w:val="002C3752"/>
    <w:pPr>
      <w:spacing w:before="240" w:after="240" w:line="480" w:lineRule="auto"/>
      <w:jc w:val="both"/>
    </w:pPr>
    <w:rPr>
      <w:kern w:val="0"/>
      <w:szCs w:val="20"/>
      <w:lang w:val="en-GB" w:eastAsia="en-US"/>
    </w:rPr>
  </w:style>
  <w:style w:type="paragraph" w:styleId="Title">
    <w:name w:val="Title"/>
    <w:basedOn w:val="Normal"/>
    <w:link w:val="TitleChar"/>
    <w:qFormat/>
    <w:rsid w:val="002C3752"/>
    <w:pPr>
      <w:jc w:val="center"/>
    </w:pPr>
    <w:rPr>
      <w:rFonts w:ascii="Univers" w:hAnsi="Univers"/>
      <w:b/>
      <w:bCs/>
      <w:kern w:val="0"/>
      <w:sz w:val="28"/>
      <w:lang w:val="en-GB" w:eastAsia="en-US"/>
    </w:rPr>
  </w:style>
  <w:style w:type="character" w:customStyle="1" w:styleId="TitleChar">
    <w:name w:val="Title Char"/>
    <w:basedOn w:val="DefaultParagraphFont"/>
    <w:link w:val="Title"/>
    <w:rsid w:val="002C3752"/>
    <w:rPr>
      <w:rFonts w:ascii="Univers" w:eastAsia="Times New Roman" w:hAnsi="Univers" w:cs="Times New Roman"/>
      <w:b/>
      <w:bCs/>
      <w:sz w:val="28"/>
      <w:szCs w:val="24"/>
    </w:rPr>
  </w:style>
  <w:style w:type="paragraph" w:customStyle="1" w:styleId="level10">
    <w:name w:val="level 1"/>
    <w:basedOn w:val="Normal"/>
    <w:next w:val="Normal"/>
    <w:rsid w:val="002C3752"/>
    <w:pPr>
      <w:widowControl w:val="0"/>
      <w:numPr>
        <w:numId w:val="11"/>
      </w:numPr>
      <w:tabs>
        <w:tab w:val="left" w:pos="1440"/>
        <w:tab w:val="left" w:pos="2160"/>
        <w:tab w:val="left" w:pos="2880"/>
        <w:tab w:val="left" w:pos="3600"/>
        <w:tab w:val="left" w:pos="4320"/>
        <w:tab w:val="left" w:pos="5040"/>
        <w:tab w:val="left" w:pos="5760"/>
        <w:tab w:val="right" w:pos="8640"/>
      </w:tabs>
      <w:spacing w:before="360" w:line="360" w:lineRule="auto"/>
      <w:ind w:right="-43"/>
      <w:jc w:val="both"/>
    </w:pPr>
    <w:rPr>
      <w:rFonts w:ascii="Univers" w:hAnsi="Univers"/>
      <w:kern w:val="0"/>
      <w:szCs w:val="20"/>
      <w:lang w:val="en-GB" w:eastAsia="en-US"/>
    </w:rPr>
  </w:style>
  <w:style w:type="paragraph" w:customStyle="1" w:styleId="level20">
    <w:name w:val="level2"/>
    <w:basedOn w:val="Heading4"/>
    <w:next w:val="Normal"/>
    <w:rsid w:val="002C3752"/>
    <w:pPr>
      <w:numPr>
        <w:ilvl w:val="1"/>
        <w:numId w:val="14"/>
      </w:numPr>
      <w:spacing w:after="60"/>
    </w:pPr>
    <w:rPr>
      <w:rFonts w:cs="Arial"/>
      <w:szCs w:val="24"/>
    </w:rPr>
  </w:style>
  <w:style w:type="paragraph" w:customStyle="1" w:styleId="level30">
    <w:name w:val="level3"/>
    <w:basedOn w:val="Heading3"/>
    <w:next w:val="Normal"/>
    <w:rsid w:val="002C3752"/>
    <w:pPr>
      <w:widowControl w:val="0"/>
      <w:numPr>
        <w:numId w:val="11"/>
      </w:numPr>
      <w:tabs>
        <w:tab w:val="right" w:pos="9000"/>
      </w:tabs>
      <w:spacing w:after="0" w:line="360" w:lineRule="auto"/>
    </w:pPr>
    <w:rPr>
      <w:rFonts w:ascii="Univers" w:hAnsi="Univers"/>
    </w:rPr>
  </w:style>
  <w:style w:type="paragraph" w:customStyle="1" w:styleId="level40">
    <w:name w:val="level4"/>
    <w:basedOn w:val="level20"/>
    <w:next w:val="Normal"/>
    <w:rsid w:val="002C3752"/>
    <w:pPr>
      <w:numPr>
        <w:ilvl w:val="2"/>
      </w:numPr>
      <w:spacing w:after="240"/>
    </w:pPr>
  </w:style>
  <w:style w:type="paragraph" w:customStyle="1" w:styleId="level5">
    <w:name w:val="level5"/>
    <w:basedOn w:val="Heading5"/>
    <w:next w:val="Normal"/>
    <w:rsid w:val="002C3752"/>
    <w:pPr>
      <w:keepNext/>
      <w:widowControl w:val="0"/>
      <w:numPr>
        <w:numId w:val="11"/>
      </w:numPr>
      <w:tabs>
        <w:tab w:val="left" w:pos="4320"/>
        <w:tab w:val="left" w:pos="5040"/>
        <w:tab w:val="left" w:pos="5760"/>
      </w:tabs>
      <w:spacing w:after="0" w:line="360" w:lineRule="auto"/>
    </w:pPr>
    <w:rPr>
      <w:rFonts w:ascii="Univers" w:hAnsi="Univers"/>
    </w:rPr>
  </w:style>
  <w:style w:type="paragraph" w:customStyle="1" w:styleId="level6">
    <w:name w:val="level6"/>
    <w:basedOn w:val="Heading6"/>
    <w:next w:val="Normal"/>
    <w:rsid w:val="002C3752"/>
    <w:pPr>
      <w:widowControl w:val="0"/>
      <w:numPr>
        <w:ilvl w:val="5"/>
        <w:numId w:val="11"/>
      </w:numPr>
      <w:tabs>
        <w:tab w:val="left" w:pos="5040"/>
        <w:tab w:val="left" w:pos="5760"/>
      </w:tabs>
      <w:spacing w:after="0" w:line="360" w:lineRule="auto"/>
    </w:pPr>
    <w:rPr>
      <w:rFonts w:ascii="Univers" w:hAnsi="Univers"/>
      <w:i w:val="0"/>
    </w:rPr>
  </w:style>
  <w:style w:type="paragraph" w:customStyle="1" w:styleId="level7">
    <w:name w:val="level7"/>
    <w:basedOn w:val="Heading7"/>
    <w:next w:val="Normal"/>
    <w:rsid w:val="002C3752"/>
    <w:pPr>
      <w:widowControl w:val="0"/>
      <w:numPr>
        <w:ilvl w:val="6"/>
        <w:numId w:val="11"/>
      </w:numPr>
      <w:tabs>
        <w:tab w:val="left" w:pos="5760"/>
      </w:tabs>
      <w:spacing w:after="0" w:line="360" w:lineRule="auto"/>
    </w:pPr>
    <w:rPr>
      <w:rFonts w:ascii="Univers" w:hAnsi="Univers"/>
    </w:rPr>
  </w:style>
  <w:style w:type="paragraph" w:customStyle="1" w:styleId="Clause4">
    <w:name w:val="Clause 4"/>
    <w:basedOn w:val="level40"/>
    <w:autoRedefine/>
    <w:rsid w:val="002C3752"/>
    <w:pPr>
      <w:numPr>
        <w:ilvl w:val="3"/>
        <w:numId w:val="10"/>
      </w:numPr>
      <w:tabs>
        <w:tab w:val="clear" w:pos="2880"/>
        <w:tab w:val="num" w:pos="2160"/>
      </w:tabs>
      <w:ind w:left="2160" w:hanging="2160"/>
    </w:pPr>
  </w:style>
  <w:style w:type="paragraph" w:styleId="BodyText2">
    <w:name w:val="Body Text 2"/>
    <w:basedOn w:val="Normal"/>
    <w:link w:val="BodyText2Char"/>
    <w:rsid w:val="002C3752"/>
    <w:pPr>
      <w:spacing w:before="240" w:after="120" w:line="480" w:lineRule="auto"/>
      <w:jc w:val="both"/>
    </w:pPr>
    <w:rPr>
      <w:kern w:val="0"/>
      <w:szCs w:val="20"/>
      <w:lang w:eastAsia="en-US"/>
    </w:rPr>
  </w:style>
  <w:style w:type="character" w:customStyle="1" w:styleId="BodyText2Char">
    <w:name w:val="Body Text 2 Char"/>
    <w:basedOn w:val="DefaultParagraphFont"/>
    <w:link w:val="BodyText2"/>
    <w:rsid w:val="002C3752"/>
    <w:rPr>
      <w:rFonts w:ascii="Arial" w:eastAsia="Times New Roman" w:hAnsi="Arial" w:cs="Times New Roman"/>
      <w:sz w:val="24"/>
      <w:szCs w:val="20"/>
      <w:lang w:val="en-ZA"/>
    </w:rPr>
  </w:style>
  <w:style w:type="paragraph" w:styleId="DocumentMap">
    <w:name w:val="Document Map"/>
    <w:basedOn w:val="Normal"/>
    <w:link w:val="DocumentMapChar"/>
    <w:semiHidden/>
    <w:rsid w:val="002C3752"/>
    <w:pPr>
      <w:shd w:val="clear" w:color="auto" w:fill="000080"/>
      <w:spacing w:before="240" w:after="240" w:line="480" w:lineRule="auto"/>
      <w:jc w:val="both"/>
    </w:pPr>
    <w:rPr>
      <w:rFonts w:ascii="Tahoma" w:hAnsi="Tahoma" w:cs="Tahoma"/>
      <w:kern w:val="0"/>
      <w:sz w:val="20"/>
      <w:szCs w:val="20"/>
      <w:lang w:val="en-GB" w:eastAsia="en-US"/>
    </w:rPr>
  </w:style>
  <w:style w:type="character" w:customStyle="1" w:styleId="DocumentMapChar">
    <w:name w:val="Document Map Char"/>
    <w:basedOn w:val="DefaultParagraphFont"/>
    <w:link w:val="DocumentMap"/>
    <w:semiHidden/>
    <w:rsid w:val="002C3752"/>
    <w:rPr>
      <w:rFonts w:ascii="Tahoma" w:eastAsia="Times New Roman" w:hAnsi="Tahoma" w:cs="Tahoma"/>
      <w:sz w:val="20"/>
      <w:szCs w:val="20"/>
      <w:shd w:val="clear" w:color="auto" w:fill="000080"/>
    </w:rPr>
  </w:style>
  <w:style w:type="paragraph" w:styleId="BodyText">
    <w:name w:val="Body Text"/>
    <w:basedOn w:val="Normal"/>
    <w:link w:val="BodyTextChar"/>
    <w:rsid w:val="002C3752"/>
    <w:pPr>
      <w:jc w:val="center"/>
    </w:pPr>
    <w:rPr>
      <w:rFonts w:ascii="Times New Roman" w:hAnsi="Times New Roman"/>
      <w:b/>
      <w:bCs/>
      <w:kern w:val="0"/>
      <w:lang w:val="en-GB" w:eastAsia="en-US"/>
    </w:rPr>
  </w:style>
  <w:style w:type="character" w:customStyle="1" w:styleId="BodyTextChar">
    <w:name w:val="Body Text Char"/>
    <w:basedOn w:val="DefaultParagraphFont"/>
    <w:link w:val="BodyText"/>
    <w:rsid w:val="002C375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C3752"/>
    <w:pPr>
      <w:spacing w:before="240" w:after="240" w:line="480" w:lineRule="auto"/>
      <w:ind w:left="1440"/>
      <w:jc w:val="both"/>
    </w:pPr>
    <w:rPr>
      <w:rFonts w:cs="Arial"/>
      <w:b/>
      <w:bCs/>
      <w:kern w:val="0"/>
      <w:szCs w:val="20"/>
      <w:lang w:val="en-GB" w:eastAsia="en-US"/>
    </w:rPr>
  </w:style>
  <w:style w:type="character" w:customStyle="1" w:styleId="BodyTextIndent2Char">
    <w:name w:val="Body Text Indent 2 Char"/>
    <w:basedOn w:val="DefaultParagraphFont"/>
    <w:link w:val="BodyTextIndent2"/>
    <w:rsid w:val="002C3752"/>
    <w:rPr>
      <w:rFonts w:ascii="Arial" w:eastAsia="Times New Roman" w:hAnsi="Arial" w:cs="Arial"/>
      <w:b/>
      <w:bCs/>
      <w:sz w:val="24"/>
      <w:szCs w:val="20"/>
    </w:rPr>
  </w:style>
  <w:style w:type="character" w:styleId="CommentReference">
    <w:name w:val="annotation reference"/>
    <w:semiHidden/>
    <w:rsid w:val="002C3752"/>
    <w:rPr>
      <w:sz w:val="16"/>
      <w:szCs w:val="16"/>
    </w:rPr>
  </w:style>
  <w:style w:type="paragraph" w:styleId="CommentText">
    <w:name w:val="annotation text"/>
    <w:basedOn w:val="Normal"/>
    <w:link w:val="CommentTextChar"/>
    <w:semiHidden/>
    <w:rsid w:val="002C3752"/>
    <w:pPr>
      <w:spacing w:before="240" w:after="240" w:line="480" w:lineRule="auto"/>
      <w:jc w:val="both"/>
    </w:pPr>
    <w:rPr>
      <w:kern w:val="0"/>
      <w:sz w:val="20"/>
      <w:szCs w:val="20"/>
      <w:lang w:eastAsia="en-US"/>
    </w:rPr>
  </w:style>
  <w:style w:type="character" w:customStyle="1" w:styleId="CommentTextChar">
    <w:name w:val="Comment Text Char"/>
    <w:basedOn w:val="DefaultParagraphFont"/>
    <w:link w:val="CommentText"/>
    <w:semiHidden/>
    <w:rsid w:val="002C3752"/>
    <w:rPr>
      <w:rFonts w:ascii="Arial" w:eastAsia="Times New Roman" w:hAnsi="Arial" w:cs="Times New Roman"/>
      <w:sz w:val="20"/>
      <w:szCs w:val="20"/>
      <w:lang w:val="en-ZA"/>
    </w:rPr>
  </w:style>
  <w:style w:type="paragraph" w:styleId="CommentSubject">
    <w:name w:val="annotation subject"/>
    <w:basedOn w:val="CommentText"/>
    <w:next w:val="CommentText"/>
    <w:link w:val="CommentSubjectChar"/>
    <w:semiHidden/>
    <w:rsid w:val="002C3752"/>
    <w:rPr>
      <w:b/>
      <w:bCs/>
    </w:rPr>
  </w:style>
  <w:style w:type="character" w:customStyle="1" w:styleId="CommentSubjectChar">
    <w:name w:val="Comment Subject Char"/>
    <w:basedOn w:val="CommentTextChar"/>
    <w:link w:val="CommentSubject"/>
    <w:semiHidden/>
    <w:rsid w:val="002C3752"/>
    <w:rPr>
      <w:rFonts w:ascii="Arial" w:eastAsia="Times New Roman" w:hAnsi="Arial" w:cs="Times New Roman"/>
      <w:b/>
      <w:bCs/>
      <w:sz w:val="20"/>
      <w:szCs w:val="20"/>
      <w:lang w:val="en-ZA"/>
    </w:rPr>
  </w:style>
  <w:style w:type="paragraph" w:styleId="BalloonText">
    <w:name w:val="Balloon Text"/>
    <w:basedOn w:val="Normal"/>
    <w:link w:val="BalloonTextChar"/>
    <w:semiHidden/>
    <w:rsid w:val="002C3752"/>
    <w:pPr>
      <w:spacing w:before="240" w:after="240" w:line="480" w:lineRule="auto"/>
      <w:jc w:val="both"/>
    </w:pPr>
    <w:rPr>
      <w:rFonts w:ascii="Tahoma" w:hAnsi="Tahoma" w:cs="Tahoma"/>
      <w:kern w:val="0"/>
      <w:sz w:val="16"/>
      <w:szCs w:val="16"/>
      <w:lang w:val="en-GB" w:eastAsia="en-US"/>
    </w:rPr>
  </w:style>
  <w:style w:type="character" w:customStyle="1" w:styleId="BalloonTextChar">
    <w:name w:val="Balloon Text Char"/>
    <w:basedOn w:val="DefaultParagraphFont"/>
    <w:link w:val="BalloonText"/>
    <w:semiHidden/>
    <w:rsid w:val="002C3752"/>
    <w:rPr>
      <w:rFonts w:ascii="Tahoma" w:eastAsia="Times New Roman" w:hAnsi="Tahoma" w:cs="Tahoma"/>
      <w:sz w:val="16"/>
      <w:szCs w:val="16"/>
    </w:rPr>
  </w:style>
  <w:style w:type="character" w:styleId="Hyperlink">
    <w:name w:val="Hyperlink"/>
    <w:rsid w:val="002C3752"/>
    <w:rPr>
      <w:color w:val="0000FF"/>
      <w:u w:val="single"/>
    </w:rPr>
  </w:style>
  <w:style w:type="paragraph" w:styleId="NoSpacing">
    <w:name w:val="No Spacing"/>
    <w:uiPriority w:val="1"/>
    <w:qFormat/>
    <w:rsid w:val="002C3752"/>
    <w:pPr>
      <w:spacing w:after="0" w:line="240" w:lineRule="auto"/>
    </w:pPr>
    <w:rPr>
      <w:rFonts w:ascii="Times New Roman" w:eastAsia="PMingLiU" w:hAnsi="Times New Roman" w:cs="Times New Roman"/>
      <w:lang w:val="en-US"/>
    </w:rPr>
  </w:style>
  <w:style w:type="paragraph" w:customStyle="1" w:styleId="1">
    <w:name w:val="1"/>
    <w:basedOn w:val="Normal"/>
    <w:qFormat/>
    <w:rsid w:val="002C3752"/>
    <w:pPr>
      <w:widowControl w:val="0"/>
      <w:numPr>
        <w:numId w:val="12"/>
      </w:numPr>
      <w:suppressAutoHyphens/>
      <w:autoSpaceDN w:val="0"/>
      <w:spacing w:before="480" w:line="480" w:lineRule="auto"/>
      <w:jc w:val="both"/>
      <w:textAlignment w:val="baseline"/>
    </w:pPr>
    <w:rPr>
      <w:rFonts w:eastAsia="WenQuanYi Micro Hei" w:cs="Lohit Hindi"/>
      <w:iCs/>
      <w:kern w:val="0"/>
      <w:szCs w:val="22"/>
      <w:lang w:val="en-GB" w:eastAsia="zh-CN" w:bidi="hi-IN"/>
    </w:rPr>
  </w:style>
  <w:style w:type="paragraph" w:customStyle="1" w:styleId="2">
    <w:name w:val="2"/>
    <w:basedOn w:val="1"/>
    <w:qFormat/>
    <w:rsid w:val="002C3752"/>
    <w:pPr>
      <w:numPr>
        <w:ilvl w:val="1"/>
      </w:numPr>
      <w:spacing w:before="240"/>
    </w:pPr>
  </w:style>
  <w:style w:type="paragraph" w:customStyle="1" w:styleId="3">
    <w:name w:val="3"/>
    <w:basedOn w:val="Normal"/>
    <w:qFormat/>
    <w:rsid w:val="002C3752"/>
    <w:pPr>
      <w:numPr>
        <w:ilvl w:val="2"/>
        <w:numId w:val="12"/>
      </w:numPr>
      <w:spacing w:before="240" w:line="480" w:lineRule="auto"/>
      <w:jc w:val="both"/>
    </w:pPr>
    <w:rPr>
      <w:kern w:val="0"/>
      <w:szCs w:val="16"/>
      <w:lang w:val="en-GB" w:eastAsia="en-ZA"/>
    </w:rPr>
  </w:style>
  <w:style w:type="paragraph" w:customStyle="1" w:styleId="4">
    <w:name w:val="4"/>
    <w:basedOn w:val="Normal"/>
    <w:qFormat/>
    <w:rsid w:val="002C3752"/>
    <w:pPr>
      <w:numPr>
        <w:ilvl w:val="3"/>
        <w:numId w:val="12"/>
      </w:numPr>
      <w:spacing w:before="240" w:line="480" w:lineRule="auto"/>
      <w:jc w:val="both"/>
    </w:pPr>
    <w:rPr>
      <w:iCs/>
      <w:color w:val="000000"/>
      <w:kern w:val="0"/>
      <w:szCs w:val="16"/>
      <w:lang w:val="en-GB" w:eastAsia="en-ZA"/>
    </w:rPr>
  </w:style>
  <w:style w:type="paragraph" w:customStyle="1" w:styleId="5">
    <w:name w:val="5"/>
    <w:basedOn w:val="4"/>
    <w:qFormat/>
    <w:rsid w:val="002C3752"/>
    <w:pPr>
      <w:numPr>
        <w:ilvl w:val="4"/>
      </w:numPr>
    </w:pPr>
  </w:style>
  <w:style w:type="paragraph" w:customStyle="1" w:styleId="WLGLevel1">
    <w:name w:val="WLGLevel1"/>
    <w:basedOn w:val="Normal"/>
    <w:qFormat/>
    <w:rsid w:val="002C3752"/>
    <w:pPr>
      <w:numPr>
        <w:numId w:val="13"/>
      </w:numPr>
      <w:suppressAutoHyphens/>
      <w:spacing w:before="320" w:after="320" w:line="480" w:lineRule="auto"/>
      <w:jc w:val="both"/>
      <w:outlineLvl w:val="0"/>
    </w:pPr>
    <w:rPr>
      <w:kern w:val="0"/>
      <w:szCs w:val="20"/>
      <w:lang w:eastAsia="en-US"/>
    </w:rPr>
  </w:style>
  <w:style w:type="paragraph" w:customStyle="1" w:styleId="WLGLevel2">
    <w:name w:val="WLGLevel2"/>
    <w:basedOn w:val="Normal"/>
    <w:qFormat/>
    <w:rsid w:val="002C3752"/>
    <w:pPr>
      <w:numPr>
        <w:ilvl w:val="1"/>
        <w:numId w:val="13"/>
      </w:numPr>
      <w:suppressAutoHyphens/>
      <w:spacing w:after="320" w:line="480" w:lineRule="auto"/>
      <w:jc w:val="both"/>
      <w:outlineLvl w:val="1"/>
    </w:pPr>
    <w:rPr>
      <w:kern w:val="0"/>
      <w:szCs w:val="20"/>
      <w:lang w:eastAsia="en-US"/>
    </w:rPr>
  </w:style>
  <w:style w:type="paragraph" w:customStyle="1" w:styleId="WLGLevel3">
    <w:name w:val="WLGLevel3"/>
    <w:basedOn w:val="Normal"/>
    <w:qFormat/>
    <w:rsid w:val="002C3752"/>
    <w:pPr>
      <w:numPr>
        <w:ilvl w:val="2"/>
        <w:numId w:val="13"/>
      </w:numPr>
      <w:suppressAutoHyphens/>
      <w:spacing w:after="320" w:line="480" w:lineRule="auto"/>
      <w:jc w:val="both"/>
      <w:outlineLvl w:val="2"/>
    </w:pPr>
    <w:rPr>
      <w:kern w:val="0"/>
      <w:szCs w:val="20"/>
      <w:lang w:eastAsia="en-US"/>
    </w:rPr>
  </w:style>
  <w:style w:type="paragraph" w:customStyle="1" w:styleId="WLGLevel4">
    <w:name w:val="WLGLevel4"/>
    <w:basedOn w:val="Normal"/>
    <w:qFormat/>
    <w:rsid w:val="002C3752"/>
    <w:pPr>
      <w:numPr>
        <w:ilvl w:val="3"/>
        <w:numId w:val="13"/>
      </w:numPr>
      <w:suppressAutoHyphens/>
      <w:spacing w:after="320" w:line="480" w:lineRule="auto"/>
      <w:jc w:val="both"/>
      <w:outlineLvl w:val="3"/>
    </w:pPr>
    <w:rPr>
      <w:kern w:val="0"/>
      <w:szCs w:val="20"/>
      <w:lang w:eastAsia="en-US"/>
    </w:rPr>
  </w:style>
  <w:style w:type="paragraph" w:customStyle="1" w:styleId="WLGLevel5">
    <w:name w:val="WLGLevel5"/>
    <w:basedOn w:val="Normal"/>
    <w:qFormat/>
    <w:rsid w:val="002C3752"/>
    <w:pPr>
      <w:numPr>
        <w:ilvl w:val="4"/>
        <w:numId w:val="13"/>
      </w:numPr>
      <w:suppressAutoHyphens/>
      <w:spacing w:after="320" w:line="480" w:lineRule="auto"/>
      <w:jc w:val="both"/>
      <w:outlineLvl w:val="4"/>
    </w:pPr>
    <w:rPr>
      <w:kern w:val="0"/>
      <w:szCs w:val="20"/>
      <w:lang w:eastAsia="en-US"/>
    </w:rPr>
  </w:style>
  <w:style w:type="character" w:customStyle="1" w:styleId="UnresolvedMention1">
    <w:name w:val="Unresolved Mention1"/>
    <w:basedOn w:val="DefaultParagraphFont"/>
    <w:uiPriority w:val="99"/>
    <w:semiHidden/>
    <w:unhideWhenUsed/>
    <w:rsid w:val="002C3752"/>
    <w:rPr>
      <w:color w:val="605E5C"/>
      <w:shd w:val="clear" w:color="auto" w:fill="E1DFDD"/>
    </w:rPr>
  </w:style>
  <w:style w:type="table" w:customStyle="1" w:styleId="TableGrid1">
    <w:name w:val="Table Grid1"/>
    <w:basedOn w:val="TableNormal"/>
    <w:next w:val="TableGrid"/>
    <w:uiPriority w:val="59"/>
    <w:rsid w:val="002C375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2C375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3752"/>
    <w:pPr>
      <w:spacing w:before="100" w:beforeAutospacing="1" w:after="100" w:afterAutospacing="1"/>
    </w:pPr>
    <w:rPr>
      <w:rFonts w:ascii="Times New Roman" w:eastAsiaTheme="minorEastAsia" w:hAnsi="Times New Roman"/>
      <w:kern w:val="0"/>
      <w:lang w:eastAsia="en-US"/>
    </w:rPr>
  </w:style>
  <w:style w:type="paragraph" w:styleId="Quote">
    <w:name w:val="Quote"/>
    <w:basedOn w:val="Normal"/>
    <w:link w:val="QuoteChar"/>
    <w:uiPriority w:val="29"/>
    <w:qFormat/>
    <w:rsid w:val="002C3752"/>
    <w:pPr>
      <w:widowControl w:val="0"/>
      <w:spacing w:before="120"/>
      <w:ind w:left="1134"/>
      <w:jc w:val="both"/>
    </w:pPr>
    <w:rPr>
      <w:rFonts w:ascii="Century Schoolbook" w:hAnsi="Century Schoolbook"/>
      <w:iCs/>
      <w:color w:val="000000"/>
      <w:kern w:val="0"/>
      <w:szCs w:val="20"/>
      <w:lang w:eastAsia="en-US"/>
    </w:rPr>
  </w:style>
  <w:style w:type="character" w:customStyle="1" w:styleId="QuoteChar">
    <w:name w:val="Quote Char"/>
    <w:basedOn w:val="DefaultParagraphFont"/>
    <w:link w:val="Quote"/>
    <w:uiPriority w:val="29"/>
    <w:rsid w:val="002C3752"/>
    <w:rPr>
      <w:rFonts w:ascii="Century Schoolbook" w:eastAsia="Times New Roman" w:hAnsi="Century Schoolbook" w:cs="Times New Roman"/>
      <w:iCs/>
      <w:color w:val="000000"/>
      <w:sz w:val="24"/>
      <w:szCs w:val="20"/>
      <w:lang w:val="en-ZA"/>
    </w:rPr>
  </w:style>
  <w:style w:type="paragraph" w:customStyle="1" w:styleId="Level1">
    <w:name w:val="Level1"/>
    <w:basedOn w:val="Normal"/>
    <w:link w:val="Level1Char"/>
    <w:qFormat/>
    <w:rsid w:val="002C3752"/>
    <w:pPr>
      <w:numPr>
        <w:numId w:val="15"/>
      </w:numPr>
      <w:suppressAutoHyphens/>
      <w:spacing w:before="360" w:line="480" w:lineRule="auto"/>
      <w:jc w:val="both"/>
    </w:pPr>
    <w:rPr>
      <w:rFonts w:ascii="Century Schoolbook" w:hAnsi="Century Schoolbook"/>
      <w:kern w:val="0"/>
      <w:szCs w:val="20"/>
      <w:lang w:eastAsia="en-US"/>
    </w:rPr>
  </w:style>
  <w:style w:type="character" w:customStyle="1" w:styleId="Level1Char">
    <w:name w:val="Level1 Char"/>
    <w:basedOn w:val="DefaultParagraphFont"/>
    <w:link w:val="Level1"/>
    <w:rsid w:val="002C3752"/>
    <w:rPr>
      <w:rFonts w:ascii="Century Schoolbook" w:eastAsia="Times New Roman" w:hAnsi="Century Schoolbook" w:cs="Times New Roman"/>
      <w:sz w:val="24"/>
      <w:szCs w:val="20"/>
      <w:lang w:val="en-ZA"/>
    </w:rPr>
  </w:style>
  <w:style w:type="paragraph" w:customStyle="1" w:styleId="Level2">
    <w:name w:val="Level2"/>
    <w:basedOn w:val="Normal"/>
    <w:qFormat/>
    <w:rsid w:val="002C3752"/>
    <w:pPr>
      <w:numPr>
        <w:ilvl w:val="1"/>
        <w:numId w:val="15"/>
      </w:numPr>
      <w:suppressAutoHyphens/>
      <w:spacing w:before="360" w:line="480" w:lineRule="auto"/>
      <w:jc w:val="both"/>
    </w:pPr>
    <w:rPr>
      <w:rFonts w:ascii="Century Schoolbook" w:hAnsi="Century Schoolbook"/>
      <w:kern w:val="0"/>
      <w:szCs w:val="20"/>
      <w:lang w:eastAsia="en-US"/>
    </w:rPr>
  </w:style>
  <w:style w:type="paragraph" w:customStyle="1" w:styleId="Level3">
    <w:name w:val="Level3"/>
    <w:basedOn w:val="Level2"/>
    <w:qFormat/>
    <w:rsid w:val="002C3752"/>
    <w:pPr>
      <w:numPr>
        <w:ilvl w:val="2"/>
      </w:numPr>
    </w:pPr>
  </w:style>
  <w:style w:type="paragraph" w:customStyle="1" w:styleId="Heading">
    <w:name w:val="Heading"/>
    <w:basedOn w:val="Normal"/>
    <w:qFormat/>
    <w:rsid w:val="002C3752"/>
    <w:pPr>
      <w:numPr>
        <w:numId w:val="16"/>
      </w:numPr>
      <w:suppressAutoHyphens/>
      <w:spacing w:before="360" w:after="360" w:line="480" w:lineRule="auto"/>
      <w:ind w:left="567" w:hanging="567"/>
      <w:jc w:val="both"/>
    </w:pPr>
    <w:rPr>
      <w:b/>
      <w:caps/>
      <w:kern w:val="0"/>
      <w:szCs w:val="20"/>
      <w:lang w:eastAsia="en-US"/>
    </w:rPr>
  </w:style>
  <w:style w:type="paragraph" w:customStyle="1" w:styleId="Level4">
    <w:name w:val="Level4"/>
    <w:basedOn w:val="Level3"/>
    <w:qFormat/>
    <w:rsid w:val="002C3752"/>
    <w:pPr>
      <w:numPr>
        <w:ilvl w:val="3"/>
      </w:numPr>
      <w:ind w:left="2268" w:hanging="2268"/>
    </w:pPr>
  </w:style>
  <w:style w:type="paragraph" w:customStyle="1" w:styleId="ParaLv1">
    <w:name w:val="Para Lv1"/>
    <w:basedOn w:val="ListParagraph"/>
    <w:qFormat/>
    <w:rsid w:val="002C3752"/>
    <w:pPr>
      <w:numPr>
        <w:numId w:val="17"/>
      </w:numPr>
      <w:tabs>
        <w:tab w:val="left" w:pos="709"/>
      </w:tabs>
      <w:spacing w:before="240" w:after="240" w:line="480" w:lineRule="auto"/>
      <w:contextualSpacing w:val="0"/>
      <w:jc w:val="both"/>
    </w:pPr>
    <w:rPr>
      <w:rFonts w:eastAsiaTheme="minorHAnsi" w:cs="Arial"/>
      <w:szCs w:val="24"/>
      <w:lang w:val="en-GB"/>
    </w:rPr>
  </w:style>
  <w:style w:type="paragraph" w:customStyle="1" w:styleId="ParaLv2">
    <w:name w:val="Para Lv2"/>
    <w:basedOn w:val="ParaLv1"/>
    <w:qFormat/>
    <w:rsid w:val="002C3752"/>
    <w:pPr>
      <w:numPr>
        <w:ilvl w:val="1"/>
      </w:numPr>
      <w:tabs>
        <w:tab w:val="clear" w:pos="709"/>
        <w:tab w:val="left" w:pos="1701"/>
      </w:tabs>
    </w:pPr>
  </w:style>
  <w:style w:type="paragraph" w:customStyle="1" w:styleId="ParaLv3">
    <w:name w:val="Para Lv3"/>
    <w:basedOn w:val="ParaLv1"/>
    <w:qFormat/>
    <w:rsid w:val="002C3752"/>
    <w:pPr>
      <w:numPr>
        <w:ilvl w:val="2"/>
      </w:numPr>
      <w:tabs>
        <w:tab w:val="clear" w:pos="709"/>
        <w:tab w:val="left" w:pos="2835"/>
      </w:tabs>
      <w:ind w:left="1985" w:hanging="851"/>
    </w:pPr>
  </w:style>
  <w:style w:type="paragraph" w:styleId="Revision">
    <w:name w:val="Revision"/>
    <w:hidden/>
    <w:uiPriority w:val="99"/>
    <w:semiHidden/>
    <w:rsid w:val="002C3752"/>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7423-8741-45EC-92C6-DD6E89C7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Mokone</cp:lastModifiedBy>
  <cp:revision>3</cp:revision>
  <dcterms:created xsi:type="dcterms:W3CDTF">2023-04-17T16:49:00Z</dcterms:created>
  <dcterms:modified xsi:type="dcterms:W3CDTF">2023-04-17T16:52:00Z</dcterms:modified>
</cp:coreProperties>
</file>