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807" w:rsidRDefault="00CC1807" w:rsidP="00CC1807">
      <w:pPr>
        <w:spacing w:line="360" w:lineRule="auto"/>
        <w:ind w:leftChars="-38" w:left="-91"/>
        <w:jc w:val="center"/>
        <w:rPr>
          <w:rFonts w:cs="Arial"/>
          <w:b/>
        </w:rPr>
      </w:pPr>
    </w:p>
    <w:p w:rsidR="00CC1807" w:rsidRPr="008A3859" w:rsidRDefault="00CC1807" w:rsidP="00CC1807">
      <w:pPr>
        <w:spacing w:line="360" w:lineRule="auto"/>
        <w:ind w:leftChars="-38" w:left="-91"/>
        <w:jc w:val="center"/>
        <w:rPr>
          <w:rFonts w:cs="Arial"/>
          <w:b/>
        </w:rPr>
      </w:pPr>
      <w:r w:rsidRPr="008A3859">
        <w:rPr>
          <w:rFonts w:cs="Arial"/>
          <w:b/>
        </w:rPr>
        <w:t>REPUBLIC OF SOUTH AFRICA</w:t>
      </w:r>
    </w:p>
    <w:p w:rsidR="00CC1807" w:rsidRPr="008A3859" w:rsidRDefault="00CC1807" w:rsidP="00CC1807">
      <w:pPr>
        <w:spacing w:line="360" w:lineRule="auto"/>
        <w:ind w:leftChars="-38" w:left="-91"/>
        <w:jc w:val="center"/>
        <w:rPr>
          <w:rFonts w:cs="Arial"/>
          <w:b/>
        </w:rPr>
      </w:pPr>
      <w:r>
        <w:rPr>
          <w:rFonts w:cs="Arial"/>
          <w:b/>
          <w:noProof/>
          <w:lang w:val="en-US" w:eastAsia="en-US"/>
        </w:rPr>
        <w:drawing>
          <wp:inline distT="0" distB="0" distL="0" distR="0" wp14:anchorId="63D73C34" wp14:editId="532D93F3">
            <wp:extent cx="1400175" cy="1400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inline>
        </w:drawing>
      </w:r>
    </w:p>
    <w:p w:rsidR="00CC1807" w:rsidRPr="008A3859" w:rsidRDefault="00CC1807" w:rsidP="00CC1807">
      <w:pPr>
        <w:spacing w:line="360" w:lineRule="auto"/>
        <w:ind w:leftChars="-38" w:left="-91"/>
        <w:jc w:val="center"/>
        <w:rPr>
          <w:rFonts w:cs="Arial"/>
          <w:b/>
        </w:rPr>
      </w:pPr>
      <w:r w:rsidRPr="008A3859">
        <w:rPr>
          <w:rFonts w:cs="Arial"/>
          <w:b/>
        </w:rPr>
        <w:t>IN THE HIGH COURT OF SOUTH AFRICA</w:t>
      </w:r>
    </w:p>
    <w:p w:rsidR="00CC1807" w:rsidRPr="008A3859" w:rsidRDefault="00CC1807" w:rsidP="00CC1807">
      <w:pPr>
        <w:spacing w:line="360" w:lineRule="auto"/>
        <w:ind w:leftChars="-38" w:left="-91"/>
        <w:jc w:val="center"/>
        <w:rPr>
          <w:rFonts w:cs="Arial"/>
          <w:b/>
        </w:rPr>
      </w:pPr>
      <w:r w:rsidRPr="008A3859">
        <w:rPr>
          <w:rFonts w:cs="Arial"/>
          <w:b/>
        </w:rPr>
        <w:t xml:space="preserve">GAUTENG </w:t>
      </w:r>
      <w:r w:rsidR="00C106B7">
        <w:rPr>
          <w:rFonts w:cs="Arial"/>
          <w:b/>
        </w:rPr>
        <w:t xml:space="preserve">LOCAL </w:t>
      </w:r>
      <w:r w:rsidRPr="008A3859">
        <w:rPr>
          <w:rFonts w:cs="Arial"/>
          <w:b/>
        </w:rPr>
        <w:t>DIVISION, JOHANNESBURG</w:t>
      </w:r>
    </w:p>
    <w:p w:rsidR="00CC1807" w:rsidRDefault="00CC1807" w:rsidP="00CC1807">
      <w:pPr>
        <w:widowControl w:val="0"/>
        <w:jc w:val="center"/>
        <w:rPr>
          <w:rFonts w:cs="Arial"/>
        </w:rPr>
      </w:pPr>
    </w:p>
    <w:p w:rsidR="00CC1807" w:rsidRPr="00F04BA1" w:rsidRDefault="00CC1807" w:rsidP="00CC1807">
      <w:pPr>
        <w:widowControl w:val="0"/>
        <w:jc w:val="center"/>
        <w:rPr>
          <w:rFonts w:cs="Arial"/>
        </w:rPr>
      </w:pPr>
    </w:p>
    <w:p w:rsidR="00CC1807" w:rsidRDefault="00CC1807" w:rsidP="00CC1807">
      <w:pPr>
        <w:tabs>
          <w:tab w:val="left" w:pos="-720"/>
        </w:tabs>
        <w:suppressAutoHyphens/>
        <w:jc w:val="right"/>
        <w:rPr>
          <w:rFonts w:cs="Arial"/>
          <w:b/>
          <w:bCs/>
          <w:spacing w:val="-3"/>
        </w:rPr>
      </w:pPr>
      <w:r>
        <w:rPr>
          <w:rFonts w:cs="Arial"/>
          <w:b/>
          <w:bCs/>
          <w:spacing w:val="-3"/>
        </w:rPr>
        <w:t>CASE NUMBER:</w:t>
      </w:r>
      <w:r w:rsidRPr="00C4182B">
        <w:t xml:space="preserve"> </w:t>
      </w:r>
      <w:r>
        <w:rPr>
          <w:b/>
        </w:rPr>
        <w:t>20</w:t>
      </w:r>
      <w:r w:rsidR="00DC355C">
        <w:rPr>
          <w:b/>
        </w:rPr>
        <w:t>21-1</w:t>
      </w:r>
      <w:r>
        <w:rPr>
          <w:b/>
        </w:rPr>
        <w:t>5</w:t>
      </w:r>
      <w:r w:rsidR="00DC355C">
        <w:rPr>
          <w:b/>
        </w:rPr>
        <w:t>44</w:t>
      </w:r>
      <w:r>
        <w:rPr>
          <w:b/>
        </w:rPr>
        <w:t>6</w:t>
      </w:r>
    </w:p>
    <w:p w:rsidR="00CC1807" w:rsidRPr="001750A3" w:rsidRDefault="00CC1807" w:rsidP="00CC1807">
      <w:pPr>
        <w:tabs>
          <w:tab w:val="left" w:pos="-720"/>
        </w:tabs>
        <w:suppressAutoHyphens/>
        <w:jc w:val="right"/>
        <w:rPr>
          <w:rFonts w:cs="Arial"/>
          <w:b/>
          <w:bCs/>
          <w:spacing w:val="-3"/>
        </w:rPr>
      </w:pPr>
    </w:p>
    <w:tbl>
      <w:tblPr>
        <w:tblW w:w="5812" w:type="dxa"/>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tblGrid>
      <w:tr w:rsidR="00CC1807" w:rsidRPr="00F04BA1" w:rsidTr="009B0712">
        <w:trPr>
          <w:trHeight w:val="2528"/>
        </w:trPr>
        <w:tc>
          <w:tcPr>
            <w:tcW w:w="5812" w:type="dxa"/>
            <w:tcBorders>
              <w:top w:val="single" w:sz="4" w:space="0" w:color="auto"/>
              <w:left w:val="single" w:sz="4" w:space="0" w:color="auto"/>
              <w:bottom w:val="single" w:sz="4" w:space="0" w:color="auto"/>
              <w:right w:val="single" w:sz="4" w:space="0" w:color="auto"/>
            </w:tcBorders>
          </w:tcPr>
          <w:p w:rsidR="00CC1807" w:rsidRPr="00F04BA1" w:rsidRDefault="00CC1807" w:rsidP="009B0712">
            <w:pPr>
              <w:jc w:val="both"/>
              <w:rPr>
                <w:rFonts w:cs="Arial"/>
                <w:sz w:val="16"/>
                <w:szCs w:val="16"/>
              </w:rPr>
            </w:pPr>
          </w:p>
          <w:p w:rsidR="00CC1807" w:rsidRPr="00DC355C" w:rsidRDefault="00CC1807" w:rsidP="009B0712">
            <w:pPr>
              <w:ind w:left="180"/>
              <w:jc w:val="center"/>
              <w:rPr>
                <w:rFonts w:cs="Arial"/>
                <w:b/>
                <w:bCs/>
                <w:sz w:val="18"/>
                <w:szCs w:val="18"/>
                <w:u w:val="single"/>
              </w:rPr>
            </w:pPr>
            <w:r w:rsidRPr="00DC355C">
              <w:rPr>
                <w:rFonts w:cs="Arial"/>
                <w:b/>
                <w:bCs/>
                <w:sz w:val="18"/>
                <w:szCs w:val="18"/>
                <w:u w:val="single"/>
              </w:rPr>
              <w:t>DELETE WHICHEVER IS NOT APPLICABLE</w:t>
            </w:r>
          </w:p>
          <w:p w:rsidR="00CC1807" w:rsidRPr="00DC355C" w:rsidRDefault="00CC1807" w:rsidP="009B0712">
            <w:pPr>
              <w:ind w:left="180"/>
              <w:jc w:val="center"/>
              <w:rPr>
                <w:rFonts w:cs="Arial"/>
                <w:b/>
                <w:bCs/>
                <w:sz w:val="18"/>
                <w:szCs w:val="18"/>
                <w:u w:val="single"/>
              </w:rPr>
            </w:pPr>
          </w:p>
          <w:p w:rsidR="00CC1807" w:rsidRPr="00DC355C" w:rsidRDefault="00CC1807" w:rsidP="009B0712">
            <w:pPr>
              <w:spacing w:line="480" w:lineRule="auto"/>
              <w:ind w:left="180"/>
              <w:jc w:val="both"/>
              <w:rPr>
                <w:rFonts w:cs="Arial"/>
                <w:bCs/>
                <w:sz w:val="18"/>
                <w:szCs w:val="18"/>
              </w:rPr>
            </w:pPr>
            <w:r w:rsidRPr="00DC355C">
              <w:rPr>
                <w:rFonts w:cs="Arial"/>
                <w:bCs/>
                <w:sz w:val="18"/>
                <w:szCs w:val="18"/>
              </w:rPr>
              <w:t xml:space="preserve">1.REPORTABLE:  </w:t>
            </w:r>
            <w:r w:rsidR="00DC355C" w:rsidRPr="00DC355C">
              <w:rPr>
                <w:rFonts w:cs="Arial"/>
                <w:bCs/>
                <w:sz w:val="18"/>
                <w:szCs w:val="18"/>
              </w:rPr>
              <w:t>NO</w:t>
            </w:r>
            <w:r w:rsidRPr="00DC355C">
              <w:rPr>
                <w:rFonts w:cs="Arial"/>
                <w:bCs/>
                <w:sz w:val="18"/>
                <w:szCs w:val="18"/>
              </w:rPr>
              <w:t xml:space="preserve">                                                               </w:t>
            </w:r>
          </w:p>
          <w:p w:rsidR="00CC1807" w:rsidRPr="00DC355C" w:rsidRDefault="00CC1807" w:rsidP="009B0712">
            <w:pPr>
              <w:spacing w:line="480" w:lineRule="auto"/>
              <w:ind w:left="180"/>
              <w:jc w:val="both"/>
              <w:rPr>
                <w:rFonts w:cs="Arial"/>
                <w:bCs/>
                <w:sz w:val="18"/>
                <w:szCs w:val="18"/>
              </w:rPr>
            </w:pPr>
            <w:r w:rsidRPr="00DC355C">
              <w:rPr>
                <w:rFonts w:cs="Arial"/>
                <w:bCs/>
                <w:sz w:val="18"/>
                <w:szCs w:val="18"/>
              </w:rPr>
              <w:t>2.OF INTEREST TO OTHER JUDGES:</w:t>
            </w:r>
            <w:r w:rsidR="00DC355C" w:rsidRPr="00DC355C">
              <w:rPr>
                <w:rFonts w:cs="Arial"/>
                <w:bCs/>
                <w:sz w:val="18"/>
                <w:szCs w:val="18"/>
              </w:rPr>
              <w:t xml:space="preserve">  NO</w:t>
            </w:r>
            <w:r w:rsidRPr="00DC355C">
              <w:rPr>
                <w:rFonts w:cs="Arial"/>
                <w:bCs/>
                <w:sz w:val="18"/>
                <w:szCs w:val="18"/>
              </w:rPr>
              <w:t xml:space="preserve">                                </w:t>
            </w:r>
          </w:p>
          <w:p w:rsidR="00CC1807" w:rsidRPr="00DC355C" w:rsidRDefault="00CC1807" w:rsidP="009B0712">
            <w:pPr>
              <w:spacing w:line="480" w:lineRule="auto"/>
              <w:ind w:left="180"/>
              <w:jc w:val="both"/>
              <w:rPr>
                <w:rFonts w:cs="Arial"/>
                <w:bCs/>
                <w:sz w:val="18"/>
                <w:szCs w:val="18"/>
              </w:rPr>
            </w:pPr>
            <w:r w:rsidRPr="00DC355C">
              <w:rPr>
                <w:rFonts w:cs="Arial"/>
                <w:bCs/>
                <w:sz w:val="18"/>
                <w:szCs w:val="18"/>
              </w:rPr>
              <w:t xml:space="preserve">                                                                         </w:t>
            </w:r>
          </w:p>
          <w:p w:rsidR="00CC1807" w:rsidRPr="00DC355C" w:rsidRDefault="00CC1807" w:rsidP="009B0712">
            <w:pPr>
              <w:spacing w:line="360" w:lineRule="auto"/>
              <w:ind w:left="180"/>
              <w:jc w:val="both"/>
              <w:rPr>
                <w:rFonts w:cs="Arial"/>
                <w:bCs/>
                <w:sz w:val="18"/>
                <w:szCs w:val="18"/>
              </w:rPr>
            </w:pPr>
          </w:p>
          <w:p w:rsidR="00CC1807" w:rsidRPr="00F04BA1" w:rsidRDefault="00CC1807" w:rsidP="001D3625">
            <w:pPr>
              <w:spacing w:line="360" w:lineRule="auto"/>
              <w:ind w:left="180"/>
              <w:jc w:val="both"/>
              <w:rPr>
                <w:rFonts w:cs="Arial"/>
                <w:sz w:val="16"/>
                <w:szCs w:val="16"/>
              </w:rPr>
            </w:pPr>
            <w:r w:rsidRPr="00DC355C">
              <w:rPr>
                <w:rFonts w:cs="Arial"/>
                <w:b/>
                <w:bCs/>
                <w:sz w:val="18"/>
                <w:szCs w:val="18"/>
              </w:rPr>
              <w:t xml:space="preserve">        </w:t>
            </w:r>
            <w:r w:rsidR="00071AF5">
              <w:rPr>
                <w:rFonts w:cs="Arial"/>
                <w:b/>
                <w:bCs/>
                <w:sz w:val="18"/>
                <w:szCs w:val="18"/>
              </w:rPr>
              <w:t>23</w:t>
            </w:r>
            <w:r w:rsidRPr="00DC355C">
              <w:rPr>
                <w:rFonts w:cs="Arial"/>
                <w:b/>
                <w:bCs/>
                <w:sz w:val="18"/>
                <w:szCs w:val="18"/>
              </w:rPr>
              <w:t xml:space="preserve">   </w:t>
            </w:r>
            <w:r w:rsidR="001D3625">
              <w:rPr>
                <w:rFonts w:cs="Arial"/>
                <w:b/>
                <w:bCs/>
                <w:sz w:val="18"/>
                <w:szCs w:val="18"/>
              </w:rPr>
              <w:t>JANUARY 2023</w:t>
            </w:r>
            <w:r w:rsidRPr="00DC355C">
              <w:rPr>
                <w:rFonts w:cs="Arial"/>
                <w:b/>
                <w:bCs/>
                <w:sz w:val="18"/>
                <w:szCs w:val="18"/>
              </w:rPr>
              <w:t xml:space="preserve">                                 Judge </w:t>
            </w:r>
            <w:r w:rsidR="00DC355C" w:rsidRPr="00DC355C">
              <w:rPr>
                <w:rFonts w:cs="Arial"/>
                <w:b/>
                <w:bCs/>
                <w:sz w:val="18"/>
                <w:szCs w:val="18"/>
              </w:rPr>
              <w:t xml:space="preserve">Mia </w:t>
            </w:r>
          </w:p>
        </w:tc>
      </w:tr>
    </w:tbl>
    <w:p w:rsidR="00CC1807" w:rsidRDefault="00CC1807" w:rsidP="00CC1807">
      <w:pPr>
        <w:tabs>
          <w:tab w:val="left" w:pos="-720"/>
        </w:tabs>
        <w:suppressAutoHyphens/>
        <w:rPr>
          <w:rFonts w:cs="Arial"/>
          <w:bCs/>
          <w:spacing w:val="-3"/>
        </w:rPr>
      </w:pPr>
    </w:p>
    <w:p w:rsidR="00CC1807" w:rsidRDefault="00CC1807" w:rsidP="00CC1807">
      <w:pPr>
        <w:tabs>
          <w:tab w:val="left" w:pos="-720"/>
        </w:tabs>
        <w:suppressAutoHyphens/>
        <w:rPr>
          <w:rFonts w:cs="Arial"/>
          <w:bCs/>
          <w:spacing w:val="-3"/>
        </w:rPr>
      </w:pPr>
    </w:p>
    <w:p w:rsidR="00CC1807" w:rsidRDefault="00CC1807" w:rsidP="00CC1807">
      <w:pPr>
        <w:tabs>
          <w:tab w:val="left" w:pos="-720"/>
        </w:tabs>
        <w:suppressAutoHyphens/>
        <w:rPr>
          <w:rFonts w:cs="Arial"/>
          <w:bCs/>
          <w:spacing w:val="-3"/>
        </w:rPr>
      </w:pPr>
    </w:p>
    <w:p w:rsidR="00CC1807" w:rsidRDefault="00CC1807" w:rsidP="00CC1807">
      <w:pPr>
        <w:tabs>
          <w:tab w:val="left" w:pos="-720"/>
        </w:tabs>
        <w:suppressAutoHyphens/>
        <w:rPr>
          <w:rFonts w:cs="Arial"/>
          <w:bCs/>
          <w:spacing w:val="-3"/>
        </w:rPr>
      </w:pPr>
      <w:r w:rsidRPr="00F04BA1">
        <w:rPr>
          <w:rFonts w:cs="Arial"/>
          <w:bCs/>
          <w:spacing w:val="-3"/>
        </w:rPr>
        <w:t>In the matter between:</w:t>
      </w:r>
    </w:p>
    <w:p w:rsidR="00CC1807" w:rsidRPr="000F64D9" w:rsidRDefault="00CC1807" w:rsidP="00CC1807">
      <w:pPr>
        <w:widowControl w:val="0"/>
        <w:tabs>
          <w:tab w:val="right" w:pos="9356"/>
        </w:tabs>
        <w:jc w:val="both"/>
        <w:rPr>
          <w:b/>
        </w:rPr>
      </w:pPr>
    </w:p>
    <w:p w:rsidR="00CC1807" w:rsidRDefault="00DC355C" w:rsidP="00CC1807">
      <w:pPr>
        <w:widowControl w:val="0"/>
        <w:tabs>
          <w:tab w:val="right" w:pos="9356"/>
        </w:tabs>
        <w:jc w:val="both"/>
        <w:rPr>
          <w:b/>
        </w:rPr>
      </w:pPr>
      <w:bookmarkStart w:id="0" w:name="_Hlk67557019"/>
      <w:r>
        <w:rPr>
          <w:b/>
        </w:rPr>
        <w:t>REBECCA SIMONE ROSENZWEIG</w:t>
      </w:r>
      <w:r w:rsidR="00CC1807">
        <w:rPr>
          <w:b/>
        </w:rPr>
        <w:tab/>
      </w:r>
      <w:r w:rsidR="00CC1807" w:rsidRPr="000F64D9">
        <w:rPr>
          <w:b/>
        </w:rPr>
        <w:t>APPLICANT</w:t>
      </w:r>
    </w:p>
    <w:p w:rsidR="00CC1807" w:rsidRPr="000F64D9" w:rsidRDefault="00CC1807" w:rsidP="00CC1807">
      <w:pPr>
        <w:widowControl w:val="0"/>
        <w:tabs>
          <w:tab w:val="right" w:pos="9356"/>
        </w:tabs>
        <w:jc w:val="both"/>
        <w:rPr>
          <w:b/>
        </w:rPr>
      </w:pPr>
      <w:r>
        <w:rPr>
          <w:b/>
        </w:rPr>
        <w:tab/>
      </w:r>
    </w:p>
    <w:p w:rsidR="00CC1807" w:rsidRPr="000F64D9" w:rsidRDefault="00CC1807" w:rsidP="00CC1807">
      <w:pPr>
        <w:widowControl w:val="0"/>
        <w:tabs>
          <w:tab w:val="right" w:pos="9356"/>
        </w:tabs>
        <w:jc w:val="both"/>
        <w:rPr>
          <w:b/>
        </w:rPr>
      </w:pPr>
      <w:r w:rsidRPr="000F64D9">
        <w:rPr>
          <w:b/>
        </w:rPr>
        <w:t>AND</w:t>
      </w:r>
    </w:p>
    <w:p w:rsidR="00CC1807" w:rsidRDefault="00CC1807" w:rsidP="00CC1807">
      <w:pPr>
        <w:widowControl w:val="0"/>
        <w:tabs>
          <w:tab w:val="right" w:pos="9356"/>
        </w:tabs>
        <w:jc w:val="both"/>
        <w:rPr>
          <w:b/>
        </w:rPr>
      </w:pPr>
    </w:p>
    <w:p w:rsidR="00CC1807" w:rsidRDefault="00CC1807" w:rsidP="00CC1807">
      <w:pPr>
        <w:widowControl w:val="0"/>
        <w:tabs>
          <w:tab w:val="right" w:pos="9356"/>
        </w:tabs>
        <w:jc w:val="both"/>
        <w:rPr>
          <w:b/>
        </w:rPr>
      </w:pPr>
    </w:p>
    <w:p w:rsidR="00CC1807" w:rsidRDefault="0033506B" w:rsidP="00CC1807">
      <w:pPr>
        <w:widowControl w:val="0"/>
        <w:tabs>
          <w:tab w:val="right" w:pos="9356"/>
        </w:tabs>
        <w:jc w:val="both"/>
        <w:rPr>
          <w:b/>
        </w:rPr>
      </w:pPr>
      <w:r>
        <w:rPr>
          <w:b/>
        </w:rPr>
        <w:t>SHELLEY LAZE</w:t>
      </w:r>
      <w:r w:rsidR="00402A08">
        <w:rPr>
          <w:b/>
        </w:rPr>
        <w:t>R t/a S LAZE</w:t>
      </w:r>
      <w:r w:rsidR="001D3625">
        <w:rPr>
          <w:b/>
        </w:rPr>
        <w:t>R ATTORNEYS</w:t>
      </w:r>
      <w:r w:rsidR="00CC1807">
        <w:rPr>
          <w:b/>
        </w:rPr>
        <w:tab/>
        <w:t>RESPONDENT</w:t>
      </w:r>
    </w:p>
    <w:p w:rsidR="00CC1807" w:rsidRDefault="00CC1807" w:rsidP="00CC1807">
      <w:pPr>
        <w:widowControl w:val="0"/>
        <w:tabs>
          <w:tab w:val="right" w:pos="9356"/>
        </w:tabs>
        <w:jc w:val="both"/>
        <w:rPr>
          <w:b/>
        </w:rPr>
      </w:pPr>
    </w:p>
    <w:p w:rsidR="00CC1807" w:rsidRDefault="00CC1807" w:rsidP="00CC1807">
      <w:pPr>
        <w:widowControl w:val="0"/>
        <w:tabs>
          <w:tab w:val="right" w:pos="9356"/>
        </w:tabs>
        <w:jc w:val="both"/>
        <w:rPr>
          <w:b/>
        </w:rPr>
      </w:pPr>
      <w:r>
        <w:rPr>
          <w:b/>
        </w:rPr>
        <w:t xml:space="preserve"> </w:t>
      </w:r>
      <w:bookmarkEnd w:id="0"/>
      <w:r>
        <w:rPr>
          <w:b/>
        </w:rPr>
        <w:t xml:space="preserve"> </w:t>
      </w:r>
    </w:p>
    <w:p w:rsidR="00CC1807" w:rsidRDefault="00CC1807" w:rsidP="00CC1807">
      <w:pPr>
        <w:widowControl w:val="0"/>
        <w:tabs>
          <w:tab w:val="right" w:pos="9356"/>
        </w:tabs>
        <w:jc w:val="both"/>
        <w:rPr>
          <w:b/>
        </w:rPr>
      </w:pPr>
    </w:p>
    <w:p w:rsidR="00CC1807" w:rsidRPr="00C4182B" w:rsidRDefault="00CC1807" w:rsidP="00CC1807">
      <w:pPr>
        <w:widowControl w:val="0"/>
        <w:tabs>
          <w:tab w:val="right" w:pos="9356"/>
        </w:tabs>
        <w:jc w:val="both"/>
        <w:rPr>
          <w:b/>
        </w:rPr>
      </w:pPr>
      <w:r w:rsidRPr="000F64D9">
        <w:rPr>
          <w:b/>
        </w:rPr>
        <w:tab/>
      </w:r>
      <w:r w:rsidRPr="000F64D9">
        <w:rPr>
          <w:b/>
        </w:rPr>
        <w:tab/>
        <w:t xml:space="preserve">   </w:t>
      </w:r>
    </w:p>
    <w:p w:rsidR="00CC1807" w:rsidRPr="000F64D9" w:rsidRDefault="00CC1807" w:rsidP="00CC1807">
      <w:pPr>
        <w:pStyle w:val="Tramlines"/>
        <w:rPr>
          <w:rFonts w:cs="Arial"/>
          <w:lang w:val="en-US"/>
        </w:rPr>
      </w:pPr>
      <w:r>
        <w:rPr>
          <w:rFonts w:cs="Arial"/>
          <w:lang w:val="en-US"/>
        </w:rPr>
        <w:t>JUDG</w:t>
      </w:r>
      <w:r w:rsidRPr="00005B36">
        <w:rPr>
          <w:rFonts w:cs="Arial"/>
          <w:lang w:val="en-US"/>
        </w:rPr>
        <w:t>MENT</w:t>
      </w:r>
    </w:p>
    <w:p w:rsidR="00CC1807" w:rsidRDefault="00CC1807" w:rsidP="009879CB">
      <w:pPr>
        <w:jc w:val="both"/>
        <w:rPr>
          <w:rFonts w:cs="Arial"/>
        </w:rPr>
      </w:pPr>
      <w:r w:rsidRPr="003E152F">
        <w:rPr>
          <w:rFonts w:cs="Arial"/>
        </w:rPr>
        <w:lastRenderedPageBreak/>
        <w:t>This judgment was handed down electronically by circulation to the parties’ legal representatives by e-mail. The date and time</w:t>
      </w:r>
      <w:r w:rsidR="004C3371">
        <w:rPr>
          <w:rFonts w:cs="Arial"/>
        </w:rPr>
        <w:t xml:space="preserve"> for hand-down is deemed to be 23</w:t>
      </w:r>
      <w:r w:rsidR="004C3371">
        <w:rPr>
          <w:rFonts w:cs="Arial"/>
          <w:vertAlign w:val="superscript"/>
        </w:rPr>
        <w:t xml:space="preserve"> </w:t>
      </w:r>
      <w:r w:rsidR="00F82746">
        <w:rPr>
          <w:rFonts w:cs="Arial"/>
        </w:rPr>
        <w:t>January</w:t>
      </w:r>
      <w:r>
        <w:rPr>
          <w:rFonts w:cs="Arial"/>
        </w:rPr>
        <w:t xml:space="preserve"> </w:t>
      </w:r>
      <w:r w:rsidRPr="003E152F">
        <w:rPr>
          <w:rFonts w:cs="Arial"/>
        </w:rPr>
        <w:t>202</w:t>
      </w:r>
      <w:r w:rsidR="00F82746">
        <w:rPr>
          <w:rFonts w:cs="Arial"/>
        </w:rPr>
        <w:t>3</w:t>
      </w:r>
      <w:r w:rsidRPr="003E152F">
        <w:rPr>
          <w:rFonts w:cs="Arial"/>
        </w:rPr>
        <w:t>.</w:t>
      </w:r>
    </w:p>
    <w:p w:rsidR="00CC1807" w:rsidRDefault="00CC1807" w:rsidP="00CC1807">
      <w:pPr>
        <w:tabs>
          <w:tab w:val="left" w:pos="-720"/>
        </w:tabs>
        <w:suppressAutoHyphens/>
        <w:spacing w:line="360" w:lineRule="auto"/>
        <w:jc w:val="both"/>
        <w:rPr>
          <w:rFonts w:cs="Arial"/>
          <w:b/>
          <w:bCs/>
          <w:spacing w:val="-3"/>
          <w:u w:val="single"/>
        </w:rPr>
      </w:pPr>
    </w:p>
    <w:p w:rsidR="00CC1807" w:rsidRDefault="00DC355C" w:rsidP="00CC1807">
      <w:pPr>
        <w:tabs>
          <w:tab w:val="left" w:pos="-720"/>
        </w:tabs>
        <w:suppressAutoHyphens/>
        <w:spacing w:line="360" w:lineRule="auto"/>
        <w:jc w:val="both"/>
        <w:rPr>
          <w:rFonts w:cs="Arial"/>
          <w:b/>
          <w:bCs/>
          <w:spacing w:val="-3"/>
        </w:rPr>
      </w:pPr>
      <w:r>
        <w:rPr>
          <w:rFonts w:cs="Arial"/>
          <w:b/>
          <w:bCs/>
          <w:spacing w:val="-3"/>
          <w:u w:val="single"/>
        </w:rPr>
        <w:t>MIA J</w:t>
      </w:r>
      <w:r w:rsidR="00CC1807">
        <w:rPr>
          <w:rFonts w:cs="Arial"/>
          <w:b/>
          <w:bCs/>
          <w:spacing w:val="-3"/>
        </w:rPr>
        <w:t>:</w:t>
      </w:r>
    </w:p>
    <w:p w:rsidR="008F4F70" w:rsidRDefault="008F4F70" w:rsidP="00CC1807">
      <w:pPr>
        <w:tabs>
          <w:tab w:val="left" w:pos="-720"/>
        </w:tabs>
        <w:suppressAutoHyphens/>
        <w:spacing w:line="360" w:lineRule="auto"/>
        <w:jc w:val="both"/>
        <w:rPr>
          <w:rFonts w:cs="Arial"/>
          <w:b/>
          <w:bCs/>
          <w:spacing w:val="-3"/>
        </w:rPr>
      </w:pPr>
    </w:p>
    <w:p w:rsidR="00CC1807" w:rsidRDefault="001F00D9" w:rsidP="001F00D9">
      <w:pPr>
        <w:pStyle w:val="level1"/>
        <w:numPr>
          <w:ilvl w:val="0"/>
          <w:numId w:val="0"/>
        </w:numPr>
        <w:spacing w:after="480" w:line="360" w:lineRule="auto"/>
        <w:jc w:val="both"/>
        <w:rPr>
          <w:lang w:val="en-US"/>
        </w:rPr>
      </w:pPr>
      <w:r>
        <w:rPr>
          <w:lang w:val="en-US"/>
        </w:rPr>
        <w:t>[1]</w:t>
      </w:r>
      <w:r>
        <w:rPr>
          <w:lang w:val="en-US"/>
        </w:rPr>
        <w:tab/>
      </w:r>
      <w:r w:rsidR="00CC1807" w:rsidRPr="00CA0775">
        <w:rPr>
          <w:lang w:val="en-US"/>
        </w:rPr>
        <w:t xml:space="preserve">The </w:t>
      </w:r>
      <w:r w:rsidR="001D3625">
        <w:rPr>
          <w:lang w:val="en-US"/>
        </w:rPr>
        <w:t>primary relief sought by the applicant was the payment of money held by the</w:t>
      </w:r>
      <w:r w:rsidR="000C34CF">
        <w:rPr>
          <w:lang w:val="en-US"/>
        </w:rPr>
        <w:t xml:space="preserve"> </w:t>
      </w:r>
      <w:r w:rsidR="001D3625">
        <w:rPr>
          <w:lang w:val="en-US"/>
        </w:rPr>
        <w:t>respondent in a trust account</w:t>
      </w:r>
      <w:r w:rsidR="008A060B">
        <w:rPr>
          <w:lang w:val="en-US"/>
        </w:rPr>
        <w:t xml:space="preserve">. </w:t>
      </w:r>
      <w:r w:rsidR="001D3625">
        <w:rPr>
          <w:lang w:val="en-US"/>
        </w:rPr>
        <w:t xml:space="preserve">When the matter was finally </w:t>
      </w:r>
      <w:r w:rsidR="008F4F70">
        <w:rPr>
          <w:lang w:val="en-US"/>
        </w:rPr>
        <w:t>set down</w:t>
      </w:r>
      <w:r w:rsidR="001D3625">
        <w:rPr>
          <w:lang w:val="en-US"/>
        </w:rPr>
        <w:t xml:space="preserve"> for hearing </w:t>
      </w:r>
      <w:r w:rsidR="008F4F70">
        <w:rPr>
          <w:lang w:val="en-US"/>
        </w:rPr>
        <w:t>o</w:t>
      </w:r>
      <w:r w:rsidR="001D3625">
        <w:rPr>
          <w:lang w:val="en-US"/>
        </w:rPr>
        <w:t>n the opposed moti</w:t>
      </w:r>
      <w:r w:rsidR="008F4F70">
        <w:rPr>
          <w:lang w:val="en-US"/>
        </w:rPr>
        <w:t>on roll</w:t>
      </w:r>
      <w:r w:rsidR="000C34CF">
        <w:rPr>
          <w:lang w:val="en-US"/>
        </w:rPr>
        <w:t>,</w:t>
      </w:r>
      <w:r w:rsidR="008F4F70">
        <w:rPr>
          <w:lang w:val="en-US"/>
        </w:rPr>
        <w:t xml:space="preserve"> the applicant’s portion of the proceeds had been paid</w:t>
      </w:r>
      <w:r w:rsidR="00430B10">
        <w:rPr>
          <w:lang w:val="en-US"/>
        </w:rPr>
        <w:t xml:space="preserve"> into her account</w:t>
      </w:r>
      <w:r w:rsidR="008F4F70">
        <w:rPr>
          <w:lang w:val="en-US"/>
        </w:rPr>
        <w:t xml:space="preserve">. The applicant however persisted with the application for payment of interest on the amounts that had been due to her as well as </w:t>
      </w:r>
      <w:r w:rsidR="00430B10">
        <w:rPr>
          <w:lang w:val="en-US"/>
        </w:rPr>
        <w:t xml:space="preserve">the </w:t>
      </w:r>
      <w:r w:rsidR="008F4F70">
        <w:rPr>
          <w:lang w:val="en-US"/>
        </w:rPr>
        <w:t xml:space="preserve">costs of the application. The respondent </w:t>
      </w:r>
      <w:r w:rsidR="00430B10">
        <w:rPr>
          <w:lang w:val="en-US"/>
        </w:rPr>
        <w:t xml:space="preserve">initially </w:t>
      </w:r>
      <w:r w:rsidR="008F4F70">
        <w:rPr>
          <w:lang w:val="en-US"/>
        </w:rPr>
        <w:t xml:space="preserve">filed a notice of opposition and </w:t>
      </w:r>
      <w:r w:rsidR="00581648">
        <w:rPr>
          <w:lang w:val="en-US"/>
        </w:rPr>
        <w:t xml:space="preserve">filed the </w:t>
      </w:r>
      <w:r w:rsidR="008F4F70">
        <w:rPr>
          <w:lang w:val="en-US"/>
        </w:rPr>
        <w:t xml:space="preserve">opposing affidavit </w:t>
      </w:r>
      <w:r w:rsidR="00430B10">
        <w:rPr>
          <w:lang w:val="en-US"/>
        </w:rPr>
        <w:t xml:space="preserve">after became due and sought </w:t>
      </w:r>
      <w:r w:rsidR="008F4F70">
        <w:rPr>
          <w:lang w:val="en-US"/>
        </w:rPr>
        <w:t>condonation</w:t>
      </w:r>
      <w:r w:rsidR="00581648">
        <w:rPr>
          <w:lang w:val="en-US"/>
        </w:rPr>
        <w:t xml:space="preserve"> therefore</w:t>
      </w:r>
      <w:r w:rsidR="008F4F70">
        <w:rPr>
          <w:lang w:val="en-US"/>
        </w:rPr>
        <w:t xml:space="preserve">. I deal with this </w:t>
      </w:r>
      <w:r w:rsidR="000C34CF">
        <w:rPr>
          <w:lang w:val="en-US"/>
        </w:rPr>
        <w:t>later</w:t>
      </w:r>
      <w:r w:rsidR="008F4F70">
        <w:rPr>
          <w:lang w:val="en-US"/>
        </w:rPr>
        <w:t>.</w:t>
      </w:r>
      <w:r w:rsidR="00CC1807">
        <w:rPr>
          <w:lang w:val="en-US"/>
        </w:rPr>
        <w:t xml:space="preserve">  </w:t>
      </w:r>
    </w:p>
    <w:p w:rsidR="0059565E" w:rsidRPr="0059565E" w:rsidRDefault="001F00D9" w:rsidP="001F00D9">
      <w:pPr>
        <w:pStyle w:val="level1"/>
        <w:numPr>
          <w:ilvl w:val="0"/>
          <w:numId w:val="0"/>
        </w:numPr>
        <w:spacing w:after="480" w:line="360" w:lineRule="auto"/>
        <w:jc w:val="both"/>
        <w:rPr>
          <w:lang w:val="en-US"/>
        </w:rPr>
      </w:pPr>
      <w:r w:rsidRPr="0059565E">
        <w:rPr>
          <w:lang w:val="en-US"/>
        </w:rPr>
        <w:t>[2]</w:t>
      </w:r>
      <w:r w:rsidRPr="0059565E">
        <w:rPr>
          <w:lang w:val="en-US"/>
        </w:rPr>
        <w:tab/>
      </w:r>
      <w:r w:rsidR="00430B10">
        <w:rPr>
          <w:lang w:val="en-US"/>
        </w:rPr>
        <w:t xml:space="preserve">It is useful to narrate the </w:t>
      </w:r>
      <w:r w:rsidR="009B0712">
        <w:rPr>
          <w:lang w:val="en-US"/>
        </w:rPr>
        <w:t>background</w:t>
      </w:r>
      <w:r w:rsidR="00430B10">
        <w:rPr>
          <w:lang w:val="en-US"/>
        </w:rPr>
        <w:t xml:space="preserve"> facts</w:t>
      </w:r>
      <w:r w:rsidR="000C34CF">
        <w:rPr>
          <w:lang w:val="en-US"/>
        </w:rPr>
        <w:t xml:space="preserve"> </w:t>
      </w:r>
      <w:r w:rsidR="00581648">
        <w:rPr>
          <w:lang w:val="en-US"/>
        </w:rPr>
        <w:t>prior to delving into the issue</w:t>
      </w:r>
      <w:r w:rsidR="009267B6">
        <w:rPr>
          <w:lang w:val="en-US"/>
        </w:rPr>
        <w:t>.</w:t>
      </w:r>
      <w:r w:rsidR="009267B6" w:rsidRPr="009267B6">
        <w:t xml:space="preserve"> </w:t>
      </w:r>
      <w:r w:rsidR="000C34CF">
        <w:rPr>
          <w:lang w:val="en-US"/>
        </w:rPr>
        <w:t xml:space="preserve">A family </w:t>
      </w:r>
      <w:r w:rsidR="005F6903">
        <w:rPr>
          <w:lang w:val="en-US"/>
        </w:rPr>
        <w:t xml:space="preserve">testamentary </w:t>
      </w:r>
      <w:r w:rsidR="000C34CF">
        <w:rPr>
          <w:lang w:val="en-US"/>
        </w:rPr>
        <w:t xml:space="preserve">trust was established </w:t>
      </w:r>
      <w:r w:rsidR="005F6903">
        <w:rPr>
          <w:lang w:val="en-US"/>
        </w:rPr>
        <w:t xml:space="preserve">in accordance with the will of </w:t>
      </w:r>
      <w:r w:rsidR="000C34CF">
        <w:rPr>
          <w:lang w:val="en-US"/>
        </w:rPr>
        <w:t>the applicant’s great-grandfather</w:t>
      </w:r>
      <w:r w:rsidR="00F5144F">
        <w:rPr>
          <w:lang w:val="en-US"/>
        </w:rPr>
        <w:t xml:space="preserve">. </w:t>
      </w:r>
      <w:r w:rsidR="00581648">
        <w:rPr>
          <w:lang w:val="en-US"/>
        </w:rPr>
        <w:t xml:space="preserve">The Spiz Family Trust was </w:t>
      </w:r>
      <w:r w:rsidR="004A7B7F">
        <w:rPr>
          <w:lang w:val="en-US"/>
        </w:rPr>
        <w:t xml:space="preserve">the vehicle which allowed for the a number of family to be provided for. </w:t>
      </w:r>
      <w:r w:rsidR="000C34CF">
        <w:rPr>
          <w:lang w:val="en-US"/>
        </w:rPr>
        <w:t xml:space="preserve">The applicant was a beneficiary </w:t>
      </w:r>
      <w:r w:rsidR="00F5144F">
        <w:rPr>
          <w:lang w:val="en-US"/>
        </w:rPr>
        <w:t xml:space="preserve">and heir </w:t>
      </w:r>
      <w:r w:rsidR="00581648">
        <w:rPr>
          <w:lang w:val="en-US"/>
        </w:rPr>
        <w:t xml:space="preserve">of the Spiz Family Trust through </w:t>
      </w:r>
      <w:r w:rsidR="00F5144F">
        <w:rPr>
          <w:lang w:val="en-US"/>
        </w:rPr>
        <w:t xml:space="preserve">the Rosenzweig family </w:t>
      </w:r>
      <w:r w:rsidR="000C34CF">
        <w:rPr>
          <w:lang w:val="en-US"/>
        </w:rPr>
        <w:t xml:space="preserve">in terms of the </w:t>
      </w:r>
      <w:r w:rsidR="004A7B7F">
        <w:rPr>
          <w:lang w:val="en-US"/>
        </w:rPr>
        <w:t xml:space="preserve">applicant’s grandfather’s </w:t>
      </w:r>
      <w:r w:rsidR="000C34CF">
        <w:rPr>
          <w:lang w:val="en-US"/>
        </w:rPr>
        <w:t xml:space="preserve">will. </w:t>
      </w:r>
      <w:r w:rsidR="004A7B7F">
        <w:rPr>
          <w:lang w:val="en-US"/>
        </w:rPr>
        <w:t xml:space="preserve">The trustees called for a </w:t>
      </w:r>
      <w:r w:rsidR="00F5144F">
        <w:rPr>
          <w:lang w:val="en-US"/>
        </w:rPr>
        <w:t>meeting of the beneficiaries and heirs at Melrose Arch on 27 September 2019</w:t>
      </w:r>
      <w:r w:rsidR="004A7B7F">
        <w:rPr>
          <w:lang w:val="en-US"/>
        </w:rPr>
        <w:t xml:space="preserve">. The majority of attendees </w:t>
      </w:r>
      <w:r w:rsidR="00F5144F">
        <w:rPr>
          <w:lang w:val="en-US"/>
        </w:rPr>
        <w:t xml:space="preserve">agreed </w:t>
      </w:r>
      <w:r w:rsidR="004A7B7F">
        <w:rPr>
          <w:lang w:val="en-US"/>
        </w:rPr>
        <w:t xml:space="preserve">at that meeting </w:t>
      </w:r>
      <w:r w:rsidR="00F5144F">
        <w:rPr>
          <w:lang w:val="en-US"/>
        </w:rPr>
        <w:t xml:space="preserve">that the funds to be paid out by Safin </w:t>
      </w:r>
      <w:r w:rsidR="00581648">
        <w:rPr>
          <w:lang w:val="en-US"/>
        </w:rPr>
        <w:t xml:space="preserve">to the heirs would </w:t>
      </w:r>
      <w:r w:rsidR="00F5144F">
        <w:rPr>
          <w:lang w:val="en-US"/>
        </w:rPr>
        <w:t xml:space="preserve">be paid into the respondent’s account. </w:t>
      </w:r>
      <w:r w:rsidR="0059565E">
        <w:t>The trustees of the Spiz Family Trust (“the Trust”) resolved at the meeting that certain payment conditions were applicable to the distribution of inheritance monies due to the Rosenzweig heirs.</w:t>
      </w:r>
      <w:r w:rsidR="00F5144F">
        <w:rPr>
          <w:lang w:val="en-US"/>
        </w:rPr>
        <w:t xml:space="preserve"> </w:t>
      </w:r>
      <w:r w:rsidR="000C34CF">
        <w:rPr>
          <w:lang w:val="en-US"/>
        </w:rPr>
        <w:t xml:space="preserve">The respondent was the attorney instructed by the trustees </w:t>
      </w:r>
      <w:r w:rsidR="004A7B7F">
        <w:rPr>
          <w:lang w:val="en-US"/>
        </w:rPr>
        <w:t xml:space="preserve">facilitate </w:t>
      </w:r>
      <w:r w:rsidR="000C34CF">
        <w:rPr>
          <w:lang w:val="en-US"/>
        </w:rPr>
        <w:t>payment to the beneficiaries</w:t>
      </w:r>
      <w:r w:rsidR="004A7B7F">
        <w:rPr>
          <w:lang w:val="en-US"/>
        </w:rPr>
        <w:t xml:space="preserve"> identified </w:t>
      </w:r>
      <w:r w:rsidR="000C34CF">
        <w:rPr>
          <w:lang w:val="en-US"/>
        </w:rPr>
        <w:t>in the will</w:t>
      </w:r>
      <w:r w:rsidR="00342264">
        <w:rPr>
          <w:lang w:val="en-US"/>
        </w:rPr>
        <w:t xml:space="preserve">. </w:t>
      </w:r>
      <w:r w:rsidR="0059565E">
        <w:rPr>
          <w:lang w:val="en-US"/>
        </w:rPr>
        <w:t xml:space="preserve">  Sasfin paid the funds into </w:t>
      </w:r>
      <w:r w:rsidR="004A7B7F">
        <w:rPr>
          <w:lang w:val="en-US"/>
        </w:rPr>
        <w:t xml:space="preserve">the </w:t>
      </w:r>
      <w:r w:rsidR="0059565E">
        <w:rPr>
          <w:lang w:val="en-US"/>
        </w:rPr>
        <w:t xml:space="preserve">respondent’s trust account in favour of the Spiz Family Testamentary Trust on 19 October 2019. </w:t>
      </w:r>
    </w:p>
    <w:p w:rsidR="00430B10" w:rsidRPr="00430B10" w:rsidRDefault="001F00D9" w:rsidP="001F00D9">
      <w:pPr>
        <w:pStyle w:val="level1"/>
        <w:numPr>
          <w:ilvl w:val="0"/>
          <w:numId w:val="0"/>
        </w:numPr>
        <w:spacing w:after="480" w:line="360" w:lineRule="auto"/>
        <w:jc w:val="both"/>
        <w:rPr>
          <w:lang w:val="en-US"/>
        </w:rPr>
      </w:pPr>
      <w:r w:rsidRPr="00430B10">
        <w:rPr>
          <w:lang w:val="en-US"/>
        </w:rPr>
        <w:t>[3]</w:t>
      </w:r>
      <w:r w:rsidRPr="00430B10">
        <w:rPr>
          <w:lang w:val="en-US"/>
        </w:rPr>
        <w:tab/>
      </w:r>
      <w:r w:rsidR="00F032D5">
        <w:t xml:space="preserve">The applicant launched </w:t>
      </w:r>
      <w:r w:rsidR="0059565E">
        <w:t xml:space="preserve">the present application </w:t>
      </w:r>
      <w:r w:rsidR="00726608">
        <w:t xml:space="preserve">seeking </w:t>
      </w:r>
      <w:r w:rsidR="00C141F7">
        <w:rPr>
          <w:lang w:val="en-US"/>
        </w:rPr>
        <w:t xml:space="preserve">to compel the respondent to make payment of an amount of one third of the proceeds received in her trust account from Safin Bank plus the interest on the amount at a rate of 10.25% per annum to date of </w:t>
      </w:r>
      <w:r w:rsidR="00C141F7">
        <w:rPr>
          <w:lang w:val="en-US"/>
        </w:rPr>
        <w:lastRenderedPageBreak/>
        <w:t>payment</w:t>
      </w:r>
      <w:r w:rsidR="00726608">
        <w:rPr>
          <w:lang w:val="en-US"/>
        </w:rPr>
        <w:t xml:space="preserve"> to the applicant </w:t>
      </w:r>
      <w:r w:rsidR="00C141F7">
        <w:rPr>
          <w:lang w:val="en-US"/>
        </w:rPr>
        <w:t>as well of costs of the application on an attorney and client scale.</w:t>
      </w:r>
      <w:r w:rsidR="00C141F7" w:rsidRPr="00EA6EEB">
        <w:rPr>
          <w:lang w:val="en-US"/>
        </w:rPr>
        <w:t xml:space="preserve"> </w:t>
      </w:r>
      <w:r w:rsidR="00C141F7">
        <w:rPr>
          <w:lang w:val="en-US"/>
        </w:rPr>
        <w:t xml:space="preserve">The respondent opposed the application and paid the </w:t>
      </w:r>
      <w:r w:rsidR="00726608">
        <w:rPr>
          <w:lang w:val="en-US"/>
        </w:rPr>
        <w:t xml:space="preserve">amounts due to the applicant which was less than the </w:t>
      </w:r>
      <w:r w:rsidR="003C459C">
        <w:rPr>
          <w:lang w:val="en-US"/>
        </w:rPr>
        <w:t>one-third</w:t>
      </w:r>
      <w:r w:rsidR="00726608">
        <w:rPr>
          <w:lang w:val="en-US"/>
        </w:rPr>
        <w:t xml:space="preserve"> of the amount received into her account, only after the </w:t>
      </w:r>
      <w:r w:rsidR="00F032D5">
        <w:t>applicant complied with the payment conditions</w:t>
      </w:r>
      <w:r w:rsidR="00C141F7">
        <w:t xml:space="preserve">. The applicant </w:t>
      </w:r>
      <w:r w:rsidR="00726608">
        <w:t xml:space="preserve">received her </w:t>
      </w:r>
      <w:r w:rsidR="00F032D5">
        <w:t>inheritance monies within 48 hours</w:t>
      </w:r>
      <w:r w:rsidR="00C141F7">
        <w:t xml:space="preserve">, </w:t>
      </w:r>
      <w:r w:rsidR="00726608">
        <w:t xml:space="preserve">from </w:t>
      </w:r>
      <w:r w:rsidR="00F032D5">
        <w:t>the respondent</w:t>
      </w:r>
      <w:r w:rsidR="00C141F7">
        <w:t xml:space="preserve"> after she complied with the payment conditions</w:t>
      </w:r>
      <w:r w:rsidR="00726608">
        <w:t>, on 23 June 2021</w:t>
      </w:r>
      <w:r w:rsidR="00F032D5">
        <w:t>.</w:t>
      </w:r>
      <w:r w:rsidR="00C141F7">
        <w:t xml:space="preserve"> The amount </w:t>
      </w:r>
      <w:r w:rsidR="003C459C">
        <w:t xml:space="preserve">the applicant received </w:t>
      </w:r>
      <w:r w:rsidR="00C141F7">
        <w:t>was R 1 112, 565.81.</w:t>
      </w:r>
      <w:r w:rsidR="00684636" w:rsidRPr="00684636">
        <w:t xml:space="preserve"> </w:t>
      </w:r>
      <w:r w:rsidR="00684636">
        <w:t xml:space="preserve">The applicant seeks interest which </w:t>
      </w:r>
      <w:r w:rsidR="003C459C">
        <w:t xml:space="preserve">she avers </w:t>
      </w:r>
      <w:r w:rsidR="00684636">
        <w:t>accumulated on the aforesaid am</w:t>
      </w:r>
      <w:r w:rsidR="003C459C">
        <w:t xml:space="preserve">ount from </w:t>
      </w:r>
      <w:r w:rsidR="00684636">
        <w:t>24 October 2019 to 23 June 2021 as well as the costs of this application.</w:t>
      </w:r>
      <w:r w:rsidR="00C141F7">
        <w:t xml:space="preserve"> </w:t>
      </w:r>
    </w:p>
    <w:p w:rsidR="00456AC9" w:rsidRPr="00456AC9" w:rsidRDefault="001F00D9" w:rsidP="001F00D9">
      <w:pPr>
        <w:pStyle w:val="level1"/>
        <w:numPr>
          <w:ilvl w:val="0"/>
          <w:numId w:val="0"/>
        </w:numPr>
        <w:spacing w:after="480" w:line="360" w:lineRule="auto"/>
        <w:jc w:val="both"/>
        <w:rPr>
          <w:lang w:val="en-US"/>
        </w:rPr>
      </w:pPr>
      <w:r w:rsidRPr="00456AC9">
        <w:rPr>
          <w:lang w:val="en-US"/>
        </w:rPr>
        <w:t>[4]</w:t>
      </w:r>
      <w:r w:rsidRPr="00456AC9">
        <w:rPr>
          <w:lang w:val="en-US"/>
        </w:rPr>
        <w:tab/>
      </w:r>
      <w:r w:rsidR="00456AC9">
        <w:t xml:space="preserve">The only issues left for adjudication in the present application are whether the respondent is liable for: payment of interest (on the capital amount paid to the applicant) at a rate of 10,25% from 24 October 2019 to </w:t>
      </w:r>
      <w:r w:rsidR="0049441D">
        <w:t xml:space="preserve">the </w:t>
      </w:r>
      <w:r w:rsidR="00456AC9">
        <w:t>date of payment; and</w:t>
      </w:r>
      <w:r w:rsidR="0049441D">
        <w:t xml:space="preserve"> </w:t>
      </w:r>
      <w:r w:rsidR="00456AC9">
        <w:t xml:space="preserve">costs of this application on an attorney and client scale. </w:t>
      </w:r>
    </w:p>
    <w:p w:rsidR="009B0712" w:rsidRPr="00C141F7" w:rsidRDefault="001F00D9" w:rsidP="001F00D9">
      <w:pPr>
        <w:pStyle w:val="level1"/>
        <w:numPr>
          <w:ilvl w:val="0"/>
          <w:numId w:val="0"/>
        </w:numPr>
        <w:spacing w:after="480" w:line="360" w:lineRule="auto"/>
        <w:jc w:val="both"/>
        <w:rPr>
          <w:lang w:val="en-US"/>
        </w:rPr>
      </w:pPr>
      <w:r w:rsidRPr="00C141F7">
        <w:rPr>
          <w:lang w:val="en-US"/>
        </w:rPr>
        <w:t>[5]</w:t>
      </w:r>
      <w:r w:rsidRPr="00C141F7">
        <w:rPr>
          <w:lang w:val="en-US"/>
        </w:rPr>
        <w:tab/>
      </w:r>
      <w:r w:rsidR="00456AC9">
        <w:t>The applicant delivered a supplementary affidavit without the leave of the Court</w:t>
      </w:r>
      <w:r w:rsidR="0049441D">
        <w:t>. T</w:t>
      </w:r>
      <w:r w:rsidR="00456AC9">
        <w:t xml:space="preserve">he respondent </w:t>
      </w:r>
      <w:r w:rsidR="0049441D">
        <w:t xml:space="preserve">has not objected to the affidavit. The </w:t>
      </w:r>
      <w:r w:rsidR="00456AC9">
        <w:t xml:space="preserve">supplementary affidavit </w:t>
      </w:r>
      <w:r w:rsidR="0049441D">
        <w:t xml:space="preserve">is allowed as </w:t>
      </w:r>
      <w:r w:rsidR="00456AC9">
        <w:t xml:space="preserve">evidence in the present application. </w:t>
      </w:r>
      <w:r w:rsidR="009B0712">
        <w:t xml:space="preserve">The respondent made </w:t>
      </w:r>
      <w:r w:rsidR="00684636">
        <w:t xml:space="preserve">a </w:t>
      </w:r>
      <w:r w:rsidR="009B0712">
        <w:t>payment on 1 November 2019 and 9 December 2019 respectively</w:t>
      </w:r>
      <w:r w:rsidR="00FC14BB">
        <w:t xml:space="preserve"> to</w:t>
      </w:r>
      <w:r w:rsidR="00684636">
        <w:t xml:space="preserve"> other </w:t>
      </w:r>
      <w:r w:rsidR="00FC14BB">
        <w:t xml:space="preserve">Rosenzweig </w:t>
      </w:r>
      <w:r w:rsidR="00684636">
        <w:t>heirs, in respect of a will</w:t>
      </w:r>
      <w:r w:rsidR="009B0712">
        <w:t xml:space="preserve">. </w:t>
      </w:r>
      <w:r w:rsidR="00FC14BB">
        <w:t>The applicant contended</w:t>
      </w:r>
      <w:r w:rsidR="00684636">
        <w:t xml:space="preserve"> that her portion </w:t>
      </w:r>
      <w:r w:rsidR="00DF60C7">
        <w:t xml:space="preserve">of the </w:t>
      </w:r>
      <w:r w:rsidR="009B0712">
        <w:t>inheritance was withheld without proper explanation until 23 June 20</w:t>
      </w:r>
      <w:r w:rsidR="00684636">
        <w:t>21</w:t>
      </w:r>
      <w:r w:rsidR="009B0712">
        <w:t xml:space="preserve">. </w:t>
      </w:r>
      <w:r w:rsidR="00684636">
        <w:t>She</w:t>
      </w:r>
      <w:r w:rsidR="00FC14BB">
        <w:t xml:space="preserve"> stated that she </w:t>
      </w:r>
      <w:r w:rsidR="00684636">
        <w:t xml:space="preserve">was not </w:t>
      </w:r>
      <w:r w:rsidR="009B0712">
        <w:t xml:space="preserve">treated with </w:t>
      </w:r>
      <w:r w:rsidR="00684636">
        <w:t>“</w:t>
      </w:r>
      <w:r w:rsidR="009B0712">
        <w:t>the same courtesy as the other beneficiaries and heirs, who were paid almost instantly</w:t>
      </w:r>
      <w:r w:rsidR="00684636">
        <w:t>”.</w:t>
      </w:r>
      <w:r w:rsidR="00DF60C7">
        <w:t xml:space="preserve"> </w:t>
      </w:r>
      <w:r w:rsidR="00684636">
        <w:t xml:space="preserve"> </w:t>
      </w:r>
      <w:r w:rsidR="00FC14BB">
        <w:t xml:space="preserve">The applicant is of the view that </w:t>
      </w:r>
      <w:r w:rsidR="00684636">
        <w:t xml:space="preserve">the respondent </w:t>
      </w:r>
      <w:r w:rsidR="00FC14BB">
        <w:t xml:space="preserve">ought to have communicated with </w:t>
      </w:r>
      <w:r w:rsidR="00684636">
        <w:t xml:space="preserve">her </w:t>
      </w:r>
      <w:r w:rsidR="009B0712">
        <w:t>about the funds to be paid to her</w:t>
      </w:r>
      <w:r w:rsidR="00FC14BB">
        <w:t xml:space="preserve">. The absence of communication </w:t>
      </w:r>
      <w:r w:rsidR="00DF60C7">
        <w:t xml:space="preserve">necessitated the application which would otherwise </w:t>
      </w:r>
      <w:r w:rsidR="00744507">
        <w:t>have been unnecessary</w:t>
      </w:r>
      <w:r w:rsidR="00FC14BB">
        <w:t xml:space="preserve"> according to the applicant</w:t>
      </w:r>
      <w:r w:rsidR="009B0712">
        <w:t xml:space="preserve">. </w:t>
      </w:r>
      <w:r w:rsidR="00744507">
        <w:t xml:space="preserve">She </w:t>
      </w:r>
      <w:r w:rsidR="00DF60C7">
        <w:t xml:space="preserve">states that she </w:t>
      </w:r>
      <w:r w:rsidR="00FC14BB">
        <w:t>was</w:t>
      </w:r>
      <w:r w:rsidR="00744507">
        <w:t xml:space="preserve"> unsure </w:t>
      </w:r>
      <w:r w:rsidR="00DF60C7">
        <w:t>“</w:t>
      </w:r>
      <w:r w:rsidR="009B0712">
        <w:t>to what point the funds would have remained in the respondent’s trust account and how she would have intended to make payment to the applicant</w:t>
      </w:r>
      <w:r w:rsidR="00744507">
        <w:t xml:space="preserve"> as the respondent made no attempt to </w:t>
      </w:r>
      <w:r w:rsidR="009B0712">
        <w:t xml:space="preserve">communicate with </w:t>
      </w:r>
      <w:r w:rsidR="00744507">
        <w:t xml:space="preserve">her </w:t>
      </w:r>
      <w:r w:rsidR="009B0712">
        <w:t>about the funds</w:t>
      </w:r>
      <w:r w:rsidR="00744507">
        <w:t xml:space="preserve"> in circumstances where she had </w:t>
      </w:r>
      <w:r w:rsidR="009B0712">
        <w:t>her contact and banking details</w:t>
      </w:r>
      <w:r w:rsidR="00DF60C7">
        <w:t>”</w:t>
      </w:r>
      <w:r w:rsidR="009B0712">
        <w:t>.</w:t>
      </w:r>
    </w:p>
    <w:p w:rsidR="00B36055" w:rsidRPr="00B36055" w:rsidRDefault="001F00D9" w:rsidP="001F00D9">
      <w:pPr>
        <w:pStyle w:val="level1"/>
        <w:numPr>
          <w:ilvl w:val="0"/>
          <w:numId w:val="0"/>
        </w:numPr>
        <w:spacing w:after="480" w:line="360" w:lineRule="auto"/>
        <w:jc w:val="both"/>
        <w:rPr>
          <w:lang w:val="en-US"/>
        </w:rPr>
      </w:pPr>
      <w:r w:rsidRPr="00B36055">
        <w:rPr>
          <w:lang w:val="en-US"/>
        </w:rPr>
        <w:t>[6]</w:t>
      </w:r>
      <w:r w:rsidRPr="00B36055">
        <w:rPr>
          <w:lang w:val="en-US"/>
        </w:rPr>
        <w:tab/>
      </w:r>
      <w:r w:rsidR="00875FFF">
        <w:t>In opposing the affidavit,</w:t>
      </w:r>
      <w:r w:rsidR="00DF60C7">
        <w:t xml:space="preserve"> the </w:t>
      </w:r>
      <w:r w:rsidR="009B0712">
        <w:t>respondent denie</w:t>
      </w:r>
      <w:r w:rsidR="00DF60C7">
        <w:t>d</w:t>
      </w:r>
      <w:r w:rsidR="009B0712">
        <w:t xml:space="preserve"> that the applicant </w:t>
      </w:r>
      <w:r w:rsidR="00DF60C7">
        <w:t>had</w:t>
      </w:r>
      <w:r w:rsidR="009B0712">
        <w:t xml:space="preserve"> been substantially successful</w:t>
      </w:r>
      <w:r w:rsidR="00DF60C7">
        <w:t>.</w:t>
      </w:r>
      <w:r w:rsidR="00875FFF">
        <w:t xml:space="preserve"> Th</w:t>
      </w:r>
      <w:r w:rsidR="008E1914">
        <w:t>is affidavit was delivered late</w:t>
      </w:r>
      <w:r w:rsidR="00875FFF">
        <w:t xml:space="preserve"> with an application for </w:t>
      </w:r>
      <w:r w:rsidR="00875FFF">
        <w:lastRenderedPageBreak/>
        <w:t xml:space="preserve">condonation relying on the principles set out in </w:t>
      </w:r>
      <w:r w:rsidR="00875FFF" w:rsidRPr="00875FFF">
        <w:rPr>
          <w:i/>
        </w:rPr>
        <w:t>Van Wyk v Unitas Hospital and Another (Open Democratic Advice Centre as amicus curiae)</w:t>
      </w:r>
      <w:r w:rsidR="00875FFF">
        <w:rPr>
          <w:rStyle w:val="FootnoteReference"/>
          <w:i/>
        </w:rPr>
        <w:footnoteReference w:id="1"/>
      </w:r>
      <w:r w:rsidR="00875FFF">
        <w:rPr>
          <w:i/>
        </w:rPr>
        <w:t>.</w:t>
      </w:r>
      <w:r w:rsidR="00DF60C7">
        <w:t xml:space="preserve"> </w:t>
      </w:r>
      <w:r w:rsidR="00875FFF">
        <w:t xml:space="preserve">The respondent furnished a full explanation for the full duration of the delay and I am satisfied with the respondent’s explanation relating to the respondent’s wish to resolve the matter without the necessity to have the </w:t>
      </w:r>
      <w:r w:rsidR="00B36055">
        <w:t xml:space="preserve">application </w:t>
      </w:r>
      <w:r w:rsidR="00875FFF">
        <w:t xml:space="preserve">enrolled.  </w:t>
      </w:r>
    </w:p>
    <w:p w:rsidR="00CC1807" w:rsidRPr="00357B8D" w:rsidRDefault="001F00D9" w:rsidP="001F00D9">
      <w:pPr>
        <w:pStyle w:val="level1"/>
        <w:numPr>
          <w:ilvl w:val="0"/>
          <w:numId w:val="0"/>
        </w:numPr>
        <w:spacing w:after="480" w:line="360" w:lineRule="auto"/>
        <w:jc w:val="both"/>
        <w:rPr>
          <w:lang w:val="en-US"/>
        </w:rPr>
      </w:pPr>
      <w:r w:rsidRPr="00357B8D">
        <w:rPr>
          <w:lang w:val="en-US"/>
        </w:rPr>
        <w:t>[7]</w:t>
      </w:r>
      <w:r w:rsidRPr="00357B8D">
        <w:rPr>
          <w:lang w:val="en-US"/>
        </w:rPr>
        <w:tab/>
      </w:r>
      <w:r w:rsidR="00DF60C7">
        <w:t xml:space="preserve">It was argued on behalf of the </w:t>
      </w:r>
      <w:r w:rsidR="008E1914">
        <w:t xml:space="preserve">respondent </w:t>
      </w:r>
      <w:r w:rsidR="00DF60C7">
        <w:t xml:space="preserve">that </w:t>
      </w:r>
      <w:r w:rsidR="009B0712">
        <w:t xml:space="preserve">payment </w:t>
      </w:r>
      <w:r w:rsidR="00DF60C7">
        <w:t xml:space="preserve">of the </w:t>
      </w:r>
      <w:r w:rsidR="009B0712">
        <w:t>inheritance monies occurred as a result of the applicant’s compliance with the payment conditions resolved by the</w:t>
      </w:r>
      <w:r w:rsidR="008E1914">
        <w:t xml:space="preserve"> </w:t>
      </w:r>
      <w:r w:rsidR="004D0323">
        <w:t>T</w:t>
      </w:r>
      <w:r w:rsidR="008E1914">
        <w:t xml:space="preserve">rustees </w:t>
      </w:r>
      <w:r w:rsidR="009B0712">
        <w:t xml:space="preserve">and </w:t>
      </w:r>
      <w:r w:rsidR="00C25954">
        <w:t xml:space="preserve">was </w:t>
      </w:r>
      <w:r w:rsidR="009B0712">
        <w:t xml:space="preserve">not </w:t>
      </w:r>
      <w:r w:rsidR="00C25954">
        <w:t xml:space="preserve">a result </w:t>
      </w:r>
      <w:r w:rsidR="009B0712">
        <w:t xml:space="preserve">of the present application. </w:t>
      </w:r>
      <w:r w:rsidR="00C25954">
        <w:t xml:space="preserve">So counsel </w:t>
      </w:r>
      <w:r w:rsidR="004D0323">
        <w:t xml:space="preserve">for the respondent </w:t>
      </w:r>
      <w:r w:rsidR="00C25954">
        <w:t>continued</w:t>
      </w:r>
      <w:r w:rsidR="008E1914">
        <w:t>,</w:t>
      </w:r>
      <w:r w:rsidR="00C25954">
        <w:t xml:space="preserve"> the </w:t>
      </w:r>
      <w:r w:rsidR="009B0712">
        <w:t xml:space="preserve">respondent was not </w:t>
      </w:r>
      <w:r w:rsidR="009B0712" w:rsidRPr="00357B8D">
        <w:rPr>
          <w:i/>
        </w:rPr>
        <w:t>in mora</w:t>
      </w:r>
      <w:r w:rsidR="009B0712">
        <w:t xml:space="preserve"> when </w:t>
      </w:r>
      <w:r w:rsidR="00C25954">
        <w:t xml:space="preserve">the payment was made to the applicant </w:t>
      </w:r>
      <w:r w:rsidR="009B0712">
        <w:t>of her inheritance monies</w:t>
      </w:r>
      <w:r w:rsidR="00C25954">
        <w:t>. Thus,</w:t>
      </w:r>
      <w:r w:rsidR="009B0712">
        <w:t xml:space="preserve"> </w:t>
      </w:r>
      <w:r w:rsidR="009B0712" w:rsidRPr="004D0323">
        <w:rPr>
          <w:i/>
        </w:rPr>
        <w:t>mora</w:t>
      </w:r>
      <w:r w:rsidR="009B0712">
        <w:t xml:space="preserve"> interest </w:t>
      </w:r>
      <w:r w:rsidR="00C25954">
        <w:t xml:space="preserve">could not be </w:t>
      </w:r>
      <w:r w:rsidR="009B0712">
        <w:t>claim</w:t>
      </w:r>
      <w:r w:rsidR="00C25954">
        <w:t>ed</w:t>
      </w:r>
      <w:r w:rsidR="009B0712">
        <w:t xml:space="preserve"> </w:t>
      </w:r>
      <w:r w:rsidR="004D0323">
        <w:t>from</w:t>
      </w:r>
      <w:r w:rsidR="009B0712">
        <w:t xml:space="preserve"> the respondent in respect of such payment.</w:t>
      </w:r>
      <w:r w:rsidR="00C25954">
        <w:t xml:space="preserve"> The payment followed the condition being met and not the issuance of the application and therefore counsel submitted the </w:t>
      </w:r>
      <w:r w:rsidR="009B0712">
        <w:t>present application was unnecessary</w:t>
      </w:r>
      <w:r w:rsidR="00C25954">
        <w:t xml:space="preserve">. </w:t>
      </w:r>
      <w:r w:rsidR="009B0712">
        <w:t xml:space="preserve"> </w:t>
      </w:r>
      <w:r w:rsidR="00C25954">
        <w:t>T</w:t>
      </w:r>
      <w:r w:rsidR="009B0712">
        <w:t xml:space="preserve">he applicant </w:t>
      </w:r>
      <w:r w:rsidR="00C25954">
        <w:t xml:space="preserve">was required to comply with the payment conditions in order to receive </w:t>
      </w:r>
      <w:r w:rsidR="009B0712">
        <w:t>payment of her inheritance monies</w:t>
      </w:r>
      <w:r w:rsidR="00357B8D">
        <w:t xml:space="preserve"> as </w:t>
      </w:r>
      <w:r w:rsidR="009B0712">
        <w:t>resolved by the Trust</w:t>
      </w:r>
      <w:r w:rsidR="004D0323">
        <w:t>ees</w:t>
      </w:r>
      <w:r w:rsidR="009B0712">
        <w:t xml:space="preserve">. The applicant’s </w:t>
      </w:r>
      <w:r w:rsidR="00357B8D">
        <w:t xml:space="preserve">reasons for non-compliance with the conditions before she elected to </w:t>
      </w:r>
      <w:r w:rsidR="009B0712">
        <w:t xml:space="preserve">launch the present application </w:t>
      </w:r>
      <w:r w:rsidR="00357B8D">
        <w:t xml:space="preserve">were not sufficient. </w:t>
      </w:r>
    </w:p>
    <w:p w:rsidR="00B41A0C" w:rsidRDefault="001F00D9" w:rsidP="001F00D9">
      <w:pPr>
        <w:pStyle w:val="level1"/>
        <w:numPr>
          <w:ilvl w:val="0"/>
          <w:numId w:val="0"/>
        </w:numPr>
        <w:spacing w:after="480" w:line="360" w:lineRule="auto"/>
        <w:jc w:val="both"/>
        <w:rPr>
          <w:lang w:val="en-US"/>
        </w:rPr>
      </w:pPr>
      <w:r>
        <w:rPr>
          <w:lang w:val="en-US"/>
        </w:rPr>
        <w:t>[8]</w:t>
      </w:r>
      <w:r>
        <w:rPr>
          <w:lang w:val="en-US"/>
        </w:rPr>
        <w:tab/>
      </w:r>
      <w:r w:rsidR="00C971DE">
        <w:rPr>
          <w:lang w:val="en-US"/>
        </w:rPr>
        <w:t xml:space="preserve">The respondent first addressed the applicant’s demand for one third of the monies received, by way of correspondence to the applicant’s legal representative in </w:t>
      </w:r>
      <w:r w:rsidR="00C971DE" w:rsidRPr="004D0323">
        <w:rPr>
          <w:lang w:val="en-US"/>
        </w:rPr>
        <w:t>April 202</w:t>
      </w:r>
      <w:r w:rsidR="00CA1F5E" w:rsidRPr="004D0323">
        <w:rPr>
          <w:lang w:val="en-US"/>
        </w:rPr>
        <w:t>1</w:t>
      </w:r>
      <w:r w:rsidR="00C971DE">
        <w:rPr>
          <w:lang w:val="en-US"/>
        </w:rPr>
        <w:t xml:space="preserve">. It is apparent from this correspondence that the respondent wished to settle the applicant’s claim for payment. The respondent tendered payment of the relevant amount of </w:t>
      </w:r>
      <w:r w:rsidR="00B41A0C">
        <w:rPr>
          <w:lang w:val="en-US"/>
        </w:rPr>
        <w:t>inheritance in accordance with the Trustees’ instructions. The payment was to be made on the same terms as the previous beneficiaries received payment namely upon the respondent’s receipt of signed document</w:t>
      </w:r>
      <w:r w:rsidR="004D0323">
        <w:rPr>
          <w:lang w:val="en-US"/>
        </w:rPr>
        <w:t>ation as required by the resolution of the T</w:t>
      </w:r>
      <w:r w:rsidR="00B41A0C">
        <w:rPr>
          <w:lang w:val="en-US"/>
        </w:rPr>
        <w:t>rustees and the applicable Financial Intelligence Centre Act (</w:t>
      </w:r>
      <w:r w:rsidR="006708BD">
        <w:rPr>
          <w:lang w:val="en-US"/>
        </w:rPr>
        <w:t>FICA) documentation</w:t>
      </w:r>
      <w:r w:rsidR="00B41A0C">
        <w:rPr>
          <w:lang w:val="en-US"/>
        </w:rPr>
        <w:t xml:space="preserve">. </w:t>
      </w:r>
    </w:p>
    <w:p w:rsidR="0098497E" w:rsidRPr="0098497E" w:rsidRDefault="001F00D9" w:rsidP="001F00D9">
      <w:pPr>
        <w:pStyle w:val="level1"/>
        <w:numPr>
          <w:ilvl w:val="0"/>
          <w:numId w:val="0"/>
        </w:numPr>
        <w:spacing w:after="480" w:line="360" w:lineRule="auto"/>
        <w:jc w:val="both"/>
        <w:rPr>
          <w:lang w:val="en-US"/>
        </w:rPr>
      </w:pPr>
      <w:r w:rsidRPr="0098497E">
        <w:rPr>
          <w:lang w:val="en-US"/>
        </w:rPr>
        <w:t>[9]</w:t>
      </w:r>
      <w:r w:rsidRPr="0098497E">
        <w:rPr>
          <w:lang w:val="en-US"/>
        </w:rPr>
        <w:tab/>
      </w:r>
      <w:r w:rsidR="0098497E">
        <w:t>I</w:t>
      </w:r>
      <w:r w:rsidR="0049441D">
        <w:t xml:space="preserve">n </w:t>
      </w:r>
      <w:r w:rsidR="0049441D" w:rsidRPr="0098497E">
        <w:rPr>
          <w:i/>
        </w:rPr>
        <w:t>The National Director of Public Prosecutions v Zuma</w:t>
      </w:r>
      <w:r w:rsidR="0049441D">
        <w:rPr>
          <w:rStyle w:val="FootnoteReference"/>
        </w:rPr>
        <w:footnoteReference w:id="2"/>
      </w:r>
      <w:r w:rsidR="0049441D">
        <w:t xml:space="preserve"> the Court held </w:t>
      </w:r>
      <w:r w:rsidR="0098497E">
        <w:t xml:space="preserve">that: motion proceedings, unless concerned with interim relief, are all about the resolution of legal </w:t>
      </w:r>
      <w:r w:rsidR="0098497E">
        <w:lastRenderedPageBreak/>
        <w:t>issues based on common cause facts; unless the circumstances are special, motion procedures, cannot be used to resolve factual issues because they are not designed to determine probabilities.</w:t>
      </w:r>
    </w:p>
    <w:p w:rsidR="0098497E" w:rsidRPr="0098497E" w:rsidRDefault="001F00D9" w:rsidP="001F00D9">
      <w:pPr>
        <w:pStyle w:val="level1"/>
        <w:numPr>
          <w:ilvl w:val="0"/>
          <w:numId w:val="0"/>
        </w:numPr>
        <w:spacing w:after="480" w:line="360" w:lineRule="auto"/>
        <w:jc w:val="both"/>
        <w:rPr>
          <w:lang w:val="en-US"/>
        </w:rPr>
      </w:pPr>
      <w:r w:rsidRPr="0098497E">
        <w:rPr>
          <w:lang w:val="en-US"/>
        </w:rPr>
        <w:t>[10]</w:t>
      </w:r>
      <w:r w:rsidRPr="0098497E">
        <w:rPr>
          <w:lang w:val="en-US"/>
        </w:rPr>
        <w:tab/>
      </w:r>
      <w:r w:rsidR="0098497E">
        <w:t xml:space="preserve">Moreover, it is well-established under </w:t>
      </w:r>
      <w:r w:rsidR="0098497E" w:rsidRPr="0098497E">
        <w:rPr>
          <w:i/>
        </w:rPr>
        <w:t>Plascon-Evans Paints Ltd v Van Riebeeck Paints (Pty) Ltd</w:t>
      </w:r>
      <w:r w:rsidR="0098497E">
        <w:rPr>
          <w:rStyle w:val="FootnoteReference"/>
          <w:i/>
        </w:rPr>
        <w:footnoteReference w:id="3"/>
      </w:r>
      <w:r w:rsidR="0098497E">
        <w:t xml:space="preserve"> that where in motion proceedings disputes of fact arise on the affidavits, a final order can be granted only if the facts averred in the applicant’s affidavits, which have been admitted by the respondent, together with the facts alleged by the latter, justify such an order</w:t>
      </w:r>
      <w:r w:rsidR="00837511">
        <w:t xml:space="preserve">. </w:t>
      </w:r>
    </w:p>
    <w:p w:rsidR="00677C00" w:rsidRDefault="001F00D9" w:rsidP="001F00D9">
      <w:pPr>
        <w:pStyle w:val="level1"/>
        <w:numPr>
          <w:ilvl w:val="0"/>
          <w:numId w:val="0"/>
        </w:numPr>
        <w:spacing w:after="480" w:line="360" w:lineRule="auto"/>
        <w:jc w:val="both"/>
        <w:rPr>
          <w:lang w:val="en-US"/>
        </w:rPr>
      </w:pPr>
      <w:r>
        <w:rPr>
          <w:lang w:val="en-US"/>
        </w:rPr>
        <w:t>[11]</w:t>
      </w:r>
      <w:r>
        <w:rPr>
          <w:lang w:val="en-US"/>
        </w:rPr>
        <w:tab/>
      </w:r>
      <w:r w:rsidR="00837511">
        <w:rPr>
          <w:lang w:val="en-US"/>
        </w:rPr>
        <w:t>The applicant’s case is based on the respondent having received the funds in October 2019 and being in possession of her contact details due to a previous matter. The respondent was not the executrix of the deceased es</w:t>
      </w:r>
      <w:r w:rsidR="004D0323">
        <w:rPr>
          <w:lang w:val="en-US"/>
        </w:rPr>
        <w:t>tate. She was appointed by the T</w:t>
      </w:r>
      <w:r w:rsidR="00837511">
        <w:rPr>
          <w:lang w:val="en-US"/>
        </w:rPr>
        <w:t xml:space="preserve">rustees of the </w:t>
      </w:r>
      <w:r w:rsidR="00B21924">
        <w:rPr>
          <w:lang w:val="en-US"/>
        </w:rPr>
        <w:t xml:space="preserve">Spiz Family </w:t>
      </w:r>
      <w:r w:rsidR="00837511">
        <w:rPr>
          <w:lang w:val="en-US"/>
        </w:rPr>
        <w:t xml:space="preserve">Trust </w:t>
      </w:r>
      <w:r w:rsidR="00677C00">
        <w:rPr>
          <w:lang w:val="en-US"/>
        </w:rPr>
        <w:t>to</w:t>
      </w:r>
      <w:r w:rsidR="00837511">
        <w:t xml:space="preserve"> receive the Rosenzweig and Picker inheritance monies into her trust</w:t>
      </w:r>
      <w:r w:rsidR="00677C00">
        <w:t xml:space="preserve"> account; </w:t>
      </w:r>
      <w:r w:rsidR="00E66814">
        <w:t>and subject</w:t>
      </w:r>
      <w:r w:rsidR="00837511">
        <w:t xml:space="preserve"> to and prior to any distribution to any Rosenzweig </w:t>
      </w:r>
      <w:r w:rsidR="00E66814">
        <w:t>or</w:t>
      </w:r>
      <w:r w:rsidR="00E66814" w:rsidRPr="00677C00">
        <w:rPr>
          <w:lang w:val="en-US"/>
        </w:rPr>
        <w:t xml:space="preserve"> Picker</w:t>
      </w:r>
      <w:r w:rsidR="00677C00">
        <w:t xml:space="preserve"> heir or heiress made by the respondent:</w:t>
      </w:r>
      <w:r w:rsidR="00837511" w:rsidRPr="00677C00">
        <w:rPr>
          <w:lang w:val="en-US"/>
        </w:rPr>
        <w:t xml:space="preserve"> </w:t>
      </w:r>
    </w:p>
    <w:p w:rsidR="00677C00" w:rsidRPr="00677C00" w:rsidRDefault="001F00D9" w:rsidP="001F00D9">
      <w:pPr>
        <w:pStyle w:val="level1"/>
        <w:numPr>
          <w:ilvl w:val="0"/>
          <w:numId w:val="0"/>
        </w:numPr>
        <w:spacing w:after="480" w:line="360" w:lineRule="auto"/>
        <w:ind w:left="460" w:hanging="460"/>
        <w:jc w:val="both"/>
        <w:rPr>
          <w:lang w:val="en-US"/>
        </w:rPr>
      </w:pPr>
      <w:r w:rsidRPr="00677C00">
        <w:rPr>
          <w:lang w:val="en-US"/>
        </w:rPr>
        <w:t>10.1</w:t>
      </w:r>
      <w:r w:rsidRPr="00677C00">
        <w:rPr>
          <w:lang w:val="en-US"/>
        </w:rPr>
        <w:tab/>
      </w:r>
      <w:r w:rsidR="00E66814">
        <w:t>“each</w:t>
      </w:r>
      <w:r w:rsidR="00677C00">
        <w:t xml:space="preserve"> heir in accepting their distribution was to sign the distribution account and accept and pay their equal portion of the professional fees expended; </w:t>
      </w:r>
    </w:p>
    <w:p w:rsidR="00677C00" w:rsidRPr="00677C00" w:rsidRDefault="001F00D9" w:rsidP="001F00D9">
      <w:pPr>
        <w:pStyle w:val="level1"/>
        <w:numPr>
          <w:ilvl w:val="0"/>
          <w:numId w:val="0"/>
        </w:numPr>
        <w:spacing w:after="480" w:line="360" w:lineRule="auto"/>
        <w:ind w:left="460" w:hanging="460"/>
        <w:jc w:val="both"/>
        <w:rPr>
          <w:lang w:val="en-US"/>
        </w:rPr>
      </w:pPr>
      <w:r w:rsidRPr="00677C00">
        <w:rPr>
          <w:lang w:val="en-US"/>
        </w:rPr>
        <w:t>10.2</w:t>
      </w:r>
      <w:r w:rsidRPr="00677C00">
        <w:rPr>
          <w:lang w:val="en-US"/>
        </w:rPr>
        <w:tab/>
      </w:r>
      <w:r w:rsidR="00677C00">
        <w:t xml:space="preserve">each heir was to provide all FICA documentation and fulfil any further administrative requirements of the respondent; </w:t>
      </w:r>
    </w:p>
    <w:p w:rsidR="0098497E" w:rsidRDefault="001F00D9" w:rsidP="001F00D9">
      <w:pPr>
        <w:pStyle w:val="level1"/>
        <w:numPr>
          <w:ilvl w:val="0"/>
          <w:numId w:val="0"/>
        </w:numPr>
        <w:spacing w:after="480" w:line="360" w:lineRule="auto"/>
        <w:ind w:left="460" w:hanging="460"/>
        <w:jc w:val="both"/>
        <w:rPr>
          <w:lang w:val="en-US"/>
        </w:rPr>
      </w:pPr>
      <w:r>
        <w:rPr>
          <w:lang w:val="en-US"/>
        </w:rPr>
        <w:t>10.3</w:t>
      </w:r>
      <w:r>
        <w:rPr>
          <w:lang w:val="en-US"/>
        </w:rPr>
        <w:tab/>
      </w:r>
      <w:r w:rsidR="00677C00">
        <w:t xml:space="preserve"> each heir was to sign an indemnity in favour of Jonathan Rosenzweig and Fay Picker in accepting such distribution.”</w:t>
      </w:r>
      <w:r w:rsidR="00677C00">
        <w:rPr>
          <w:rStyle w:val="FootnoteReference"/>
        </w:rPr>
        <w:footnoteReference w:id="4"/>
      </w:r>
    </w:p>
    <w:p w:rsidR="00906E55" w:rsidRPr="00906E55" w:rsidRDefault="001F00D9" w:rsidP="001F00D9">
      <w:pPr>
        <w:pStyle w:val="level1"/>
        <w:numPr>
          <w:ilvl w:val="0"/>
          <w:numId w:val="0"/>
        </w:numPr>
        <w:spacing w:after="480" w:line="360" w:lineRule="auto"/>
        <w:jc w:val="both"/>
        <w:rPr>
          <w:lang w:val="en-US"/>
        </w:rPr>
      </w:pPr>
      <w:r w:rsidRPr="00906E55">
        <w:rPr>
          <w:lang w:val="en-US"/>
        </w:rPr>
        <w:t>[12]</w:t>
      </w:r>
      <w:r w:rsidRPr="00906E55">
        <w:rPr>
          <w:lang w:val="en-US"/>
        </w:rPr>
        <w:tab/>
      </w:r>
      <w:r w:rsidR="00677C00">
        <w:rPr>
          <w:lang w:val="en-US"/>
        </w:rPr>
        <w:t xml:space="preserve">The </w:t>
      </w:r>
      <w:r w:rsidR="00B21924">
        <w:rPr>
          <w:lang w:val="en-US"/>
        </w:rPr>
        <w:t>respondent was mandated by the T</w:t>
      </w:r>
      <w:r w:rsidR="00677C00">
        <w:rPr>
          <w:lang w:val="en-US"/>
        </w:rPr>
        <w:t xml:space="preserve">rustees to attend to the administration and payment of the monies received. She was specifically </w:t>
      </w:r>
      <w:r w:rsidR="00FD0310">
        <w:rPr>
          <w:lang w:val="en-US"/>
        </w:rPr>
        <w:t xml:space="preserve">informed that </w:t>
      </w:r>
      <w:r w:rsidR="00FD0310">
        <w:t>Mr</w:t>
      </w:r>
      <w:r w:rsidR="00B21924">
        <w:t>.</w:t>
      </w:r>
      <w:r w:rsidR="00FD0310">
        <w:t xml:space="preserve"> Daniel </w:t>
      </w:r>
      <w:r w:rsidR="00FD0310">
        <w:lastRenderedPageBreak/>
        <w:t xml:space="preserve">Rosenzweig would communicate on behalf of the Rosenzweig heirs with </w:t>
      </w:r>
      <w:r w:rsidR="00B21924">
        <w:t>regard</w:t>
      </w:r>
      <w:r w:rsidR="00FD0310">
        <w:t xml:space="preserve"> to the requirements necessary to effect payment of the distribution. Notwithstanding the undertaking given there was no response to the communication by Mr</w:t>
      </w:r>
      <w:r w:rsidR="00B21924">
        <w:t>.</w:t>
      </w:r>
      <w:r w:rsidR="00FD0310">
        <w:t xml:space="preserve"> Daniel Rosenzweig or the respondent to the applicant at 3 February 2020. </w:t>
      </w:r>
      <w:r w:rsidR="00AE5574">
        <w:t>The applicant denies any communication and insists that the communication ought to have originated from the respondent. It is inexplicable why the applicant did not approach Mr</w:t>
      </w:r>
      <w:r w:rsidR="00B21924">
        <w:t>. Rosenzweig or the T</w:t>
      </w:r>
      <w:r w:rsidR="00AE5574">
        <w:t>rustees to ascertain what was required in order to access her inheritance.</w:t>
      </w:r>
      <w:r w:rsidR="00906E55">
        <w:t xml:space="preserve"> </w:t>
      </w:r>
      <w:r w:rsidR="00B21924">
        <w:t>From</w:t>
      </w:r>
      <w:r w:rsidR="009761C8">
        <w:t xml:space="preserve"> the correspondence </w:t>
      </w:r>
      <w:r w:rsidR="00C32C48">
        <w:t xml:space="preserve">sent from Mr. Rosenzweig and the respondent to the </w:t>
      </w:r>
      <w:r w:rsidR="00906E55">
        <w:t>applicant</w:t>
      </w:r>
      <w:r w:rsidR="00C32C48">
        <w:t xml:space="preserve">, the applicant would have been aware </w:t>
      </w:r>
      <w:r w:rsidR="00906E55">
        <w:t>of what was required of her to receive payment of her inheritance monies and</w:t>
      </w:r>
      <w:r w:rsidR="009761C8">
        <w:t xml:space="preserve"> failed to comply </w:t>
      </w:r>
      <w:r w:rsidR="00906E55">
        <w:t xml:space="preserve">with such requirements for whatever reason, </w:t>
      </w:r>
      <w:r w:rsidR="009761C8">
        <w:t xml:space="preserve">or she </w:t>
      </w:r>
      <w:r w:rsidR="00906E55">
        <w:t xml:space="preserve">deliberately refrained from making the necessary inquiries </w:t>
      </w:r>
      <w:r w:rsidR="009761C8">
        <w:t xml:space="preserve">from the respondent </w:t>
      </w:r>
      <w:r w:rsidR="00906E55">
        <w:t>in that regard</w:t>
      </w:r>
      <w:r w:rsidR="009761C8">
        <w:t xml:space="preserve">. This </w:t>
      </w:r>
      <w:r w:rsidR="00906E55">
        <w:t xml:space="preserve">resulted in her non-compliance with </w:t>
      </w:r>
      <w:r w:rsidR="00B21924">
        <w:t>the T</w:t>
      </w:r>
      <w:r w:rsidR="009761C8">
        <w:t xml:space="preserve">rustees </w:t>
      </w:r>
      <w:r w:rsidR="00906E55">
        <w:t>requirement</w:t>
      </w:r>
      <w:r w:rsidR="009761C8">
        <w:t xml:space="preserve"> to enable payment to be made.</w:t>
      </w:r>
    </w:p>
    <w:p w:rsidR="00677C00" w:rsidRDefault="001F00D9" w:rsidP="001F00D9">
      <w:pPr>
        <w:pStyle w:val="level1"/>
        <w:numPr>
          <w:ilvl w:val="0"/>
          <w:numId w:val="0"/>
        </w:numPr>
        <w:spacing w:after="480" w:line="360" w:lineRule="auto"/>
        <w:jc w:val="both"/>
        <w:rPr>
          <w:lang w:val="en-US"/>
        </w:rPr>
      </w:pPr>
      <w:r>
        <w:rPr>
          <w:lang w:val="en-US"/>
        </w:rPr>
        <w:t>[13]</w:t>
      </w:r>
      <w:r>
        <w:rPr>
          <w:lang w:val="en-US"/>
        </w:rPr>
        <w:tab/>
      </w:r>
      <w:r w:rsidR="00906E55">
        <w:t xml:space="preserve"> </w:t>
      </w:r>
      <w:r w:rsidR="00AE5574">
        <w:t xml:space="preserve"> </w:t>
      </w:r>
      <w:r w:rsidR="00B82898">
        <w:t xml:space="preserve">  The </w:t>
      </w:r>
      <w:r w:rsidR="009761C8">
        <w:t xml:space="preserve">clear </w:t>
      </w:r>
      <w:r w:rsidR="00B82898">
        <w:t xml:space="preserve">route to obtaining her inheritance would have been to </w:t>
      </w:r>
      <w:r w:rsidR="000903EA">
        <w:t xml:space="preserve">comply with the requirements set by the </w:t>
      </w:r>
      <w:r w:rsidR="00C32C48">
        <w:t>T</w:t>
      </w:r>
      <w:r w:rsidR="000903EA">
        <w:t xml:space="preserve">rustees and </w:t>
      </w:r>
      <w:r w:rsidR="00B82898">
        <w:t xml:space="preserve">to </w:t>
      </w:r>
      <w:r w:rsidR="000903EA">
        <w:t xml:space="preserve">sign the FICA documents to enable payment to be made. The respondent made payment within twenty-four hours of receipt of the documents. </w:t>
      </w:r>
    </w:p>
    <w:p w:rsidR="00B03204" w:rsidRDefault="001F00D9" w:rsidP="001F00D9">
      <w:pPr>
        <w:pStyle w:val="level1"/>
        <w:numPr>
          <w:ilvl w:val="0"/>
          <w:numId w:val="0"/>
        </w:numPr>
        <w:spacing w:after="480" w:line="360" w:lineRule="auto"/>
        <w:jc w:val="both"/>
        <w:rPr>
          <w:lang w:val="en-US"/>
        </w:rPr>
      </w:pPr>
      <w:r>
        <w:rPr>
          <w:lang w:val="en-US"/>
        </w:rPr>
        <w:t>[14]</w:t>
      </w:r>
      <w:r>
        <w:rPr>
          <w:lang w:val="en-US"/>
        </w:rPr>
        <w:tab/>
      </w:r>
      <w:r w:rsidR="00B03204">
        <w:t xml:space="preserve">In </w:t>
      </w:r>
      <w:r w:rsidR="00B03204" w:rsidRPr="00B03204">
        <w:rPr>
          <w:i/>
        </w:rPr>
        <w:t>Crookes Brothers Ltd v Regional Land Claims Commission for the Province of Mpumalanga and Others</w:t>
      </w:r>
      <w:r w:rsidR="00B03204">
        <w:rPr>
          <w:rStyle w:val="FootnoteReference"/>
          <w:i/>
        </w:rPr>
        <w:footnoteReference w:id="5"/>
      </w:r>
      <w:r w:rsidR="00B03204">
        <w:t xml:space="preserve"> the Court held: </w:t>
      </w:r>
    </w:p>
    <w:p w:rsidR="00B03204" w:rsidRPr="00B03204" w:rsidRDefault="00B03204" w:rsidP="00B03204">
      <w:pPr>
        <w:pStyle w:val="level1"/>
        <w:numPr>
          <w:ilvl w:val="0"/>
          <w:numId w:val="0"/>
        </w:numPr>
        <w:spacing w:after="480" w:line="360" w:lineRule="auto"/>
        <w:ind w:left="720"/>
        <w:jc w:val="both"/>
        <w:rPr>
          <w:sz w:val="22"/>
          <w:szCs w:val="22"/>
          <w:lang w:val="en-US"/>
        </w:rPr>
      </w:pPr>
      <w:r w:rsidRPr="00B03204">
        <w:rPr>
          <w:sz w:val="22"/>
          <w:szCs w:val="22"/>
        </w:rPr>
        <w:t>“The term mora simply means delay or default. When the contract fixes the time for performance, mora (</w:t>
      </w:r>
      <w:r w:rsidRPr="00906E55">
        <w:rPr>
          <w:i/>
          <w:sz w:val="22"/>
          <w:szCs w:val="22"/>
        </w:rPr>
        <w:t>mora ex re</w:t>
      </w:r>
      <w:r w:rsidRPr="00B03204">
        <w:rPr>
          <w:sz w:val="22"/>
          <w:szCs w:val="22"/>
        </w:rPr>
        <w:t>) arises from the contract itself and no demand (</w:t>
      </w:r>
      <w:r w:rsidRPr="00906E55">
        <w:rPr>
          <w:i/>
          <w:sz w:val="22"/>
          <w:szCs w:val="22"/>
        </w:rPr>
        <w:t>interpellatio</w:t>
      </w:r>
      <w:r w:rsidRPr="00B03204">
        <w:rPr>
          <w:sz w:val="22"/>
          <w:szCs w:val="22"/>
        </w:rPr>
        <w:t>) is necessary to place the debtor in mora. In contrast, where the contract does not contain an express or tacit stipulation in regard to the date when performance is due, a demand (</w:t>
      </w:r>
      <w:r w:rsidRPr="00906E55">
        <w:rPr>
          <w:i/>
          <w:sz w:val="22"/>
          <w:szCs w:val="22"/>
        </w:rPr>
        <w:t>interpellatio</w:t>
      </w:r>
      <w:r w:rsidRPr="00B03204">
        <w:rPr>
          <w:sz w:val="22"/>
          <w:szCs w:val="22"/>
        </w:rPr>
        <w:t xml:space="preserve">) becomes necessary to put the debtor in mora. This is referred to as </w:t>
      </w:r>
      <w:r w:rsidRPr="00906E55">
        <w:rPr>
          <w:i/>
          <w:sz w:val="22"/>
          <w:szCs w:val="22"/>
        </w:rPr>
        <w:t>mora ex persona</w:t>
      </w:r>
      <w:r w:rsidRPr="00B03204">
        <w:rPr>
          <w:sz w:val="22"/>
          <w:szCs w:val="22"/>
        </w:rPr>
        <w:t xml:space="preserve">. (See </w:t>
      </w:r>
      <w:r w:rsidRPr="00906E55">
        <w:rPr>
          <w:i/>
          <w:sz w:val="22"/>
          <w:szCs w:val="22"/>
        </w:rPr>
        <w:t>Scoin Trading (Pty) Ltd v Bernstein NO</w:t>
      </w:r>
      <w:r w:rsidRPr="00B03204">
        <w:rPr>
          <w:sz w:val="22"/>
          <w:szCs w:val="22"/>
        </w:rPr>
        <w:t xml:space="preserve"> 2011 (2) SA 118 (SCA) paras 11 &amp; 12.) The purpose of mora interest is therefore to place the creditor </w:t>
      </w:r>
      <w:r w:rsidRPr="00B03204">
        <w:rPr>
          <w:sz w:val="22"/>
          <w:szCs w:val="22"/>
        </w:rPr>
        <w:lastRenderedPageBreak/>
        <w:t>in the position that he or she would have been in had the debtor performed in terms of the undertaking.”</w:t>
      </w:r>
    </w:p>
    <w:p w:rsidR="00677C00" w:rsidRPr="00B03204" w:rsidRDefault="001F00D9" w:rsidP="001F00D9">
      <w:pPr>
        <w:pStyle w:val="level1"/>
        <w:numPr>
          <w:ilvl w:val="0"/>
          <w:numId w:val="0"/>
        </w:numPr>
        <w:spacing w:after="480" w:line="360" w:lineRule="auto"/>
        <w:jc w:val="both"/>
        <w:rPr>
          <w:lang w:val="en-US"/>
        </w:rPr>
      </w:pPr>
      <w:r w:rsidRPr="00B03204">
        <w:rPr>
          <w:lang w:val="en-US"/>
        </w:rPr>
        <w:t>[15]</w:t>
      </w:r>
      <w:r w:rsidRPr="00B03204">
        <w:rPr>
          <w:lang w:val="en-US"/>
        </w:rPr>
        <w:tab/>
      </w:r>
      <w:r w:rsidR="00312764">
        <w:rPr>
          <w:lang w:val="en-US"/>
        </w:rPr>
        <w:t xml:space="preserve">The respondent’s knowledge of the applicant’s </w:t>
      </w:r>
      <w:r w:rsidR="00312764" w:rsidRPr="00C32C48">
        <w:rPr>
          <w:lang w:val="en-US"/>
        </w:rPr>
        <w:t>ba</w:t>
      </w:r>
      <w:r w:rsidR="006F144C" w:rsidRPr="00C32C48">
        <w:rPr>
          <w:lang w:val="en-US"/>
        </w:rPr>
        <w:t>n</w:t>
      </w:r>
      <w:r w:rsidR="00312764" w:rsidRPr="00C32C48">
        <w:rPr>
          <w:lang w:val="en-US"/>
        </w:rPr>
        <w:t>king</w:t>
      </w:r>
      <w:r w:rsidR="00312764">
        <w:rPr>
          <w:lang w:val="en-US"/>
        </w:rPr>
        <w:t xml:space="preserve"> details did not give rise to an obligation on the part of the Trust to mandate the respondent to pay the applicant’s inheritance. </w:t>
      </w:r>
      <w:r w:rsidR="000A1793">
        <w:t>The resolution</w:t>
      </w:r>
      <w:r w:rsidR="00312764">
        <w:t xml:space="preserve"> taken by the Trust to make payment</w:t>
      </w:r>
      <w:r w:rsidR="000A1793">
        <w:t xml:space="preserve"> was that </w:t>
      </w:r>
      <w:r w:rsidR="00312764">
        <w:t>the Trust’s obligation to pay the inheritance monies to the applicant only arose once all the Trust’s requirements for payment of such had been complied with by th</w:t>
      </w:r>
      <w:r w:rsidR="000A1793">
        <w:t>e applicant. The respondent can</w:t>
      </w:r>
      <w:r w:rsidR="00312764">
        <w:t>not be faulted for not having paid the applicant’s inheritance monies to her before obtaining the</w:t>
      </w:r>
      <w:r w:rsidR="000A1793" w:rsidRPr="000A1793">
        <w:t xml:space="preserve"> </w:t>
      </w:r>
      <w:r w:rsidR="000A1793">
        <w:t>applicant’s compliance with the payment resolutions of the Trust.</w:t>
      </w:r>
      <w:r w:rsidR="000A1793" w:rsidRPr="000A1793">
        <w:t xml:space="preserve"> </w:t>
      </w:r>
      <w:r w:rsidR="000B743A">
        <w:t>Any delay</w:t>
      </w:r>
      <w:r w:rsidR="00B03204">
        <w:t xml:space="preserve"> </w:t>
      </w:r>
      <w:r w:rsidR="000A1793">
        <w:t xml:space="preserve">or </w:t>
      </w:r>
      <w:r w:rsidR="000A1793">
        <w:rPr>
          <w:i/>
        </w:rPr>
        <w:t>mora</w:t>
      </w:r>
      <w:r w:rsidR="000A1793">
        <w:t xml:space="preserve"> by the respondent, on behalf of the Trust, relating to </w:t>
      </w:r>
      <w:r w:rsidR="00B03204">
        <w:t xml:space="preserve">the </w:t>
      </w:r>
      <w:r w:rsidR="000A1793">
        <w:t xml:space="preserve">payment of the inheritance monies to the applicant could only commence, at </w:t>
      </w:r>
      <w:r w:rsidR="00B03204">
        <w:t xml:space="preserve">the </w:t>
      </w:r>
      <w:r w:rsidR="000A1793">
        <w:t xml:space="preserve">earliest, after the applicant had complied with the Trust’s payment requirements and it was delivered to the respondent indicating such compliance. It is common cause </w:t>
      </w:r>
      <w:r w:rsidR="00B03204">
        <w:t xml:space="preserve">that compliance was finally </w:t>
      </w:r>
      <w:r w:rsidR="000A1793">
        <w:t>provided by the applicant and obtained from her by the respondent on 21 June 2021</w:t>
      </w:r>
      <w:r w:rsidR="00B03204">
        <w:t xml:space="preserve">. The applicant is thus not entitled to interest from October 2019 and consequently is not successful in this application. </w:t>
      </w:r>
    </w:p>
    <w:p w:rsidR="00B03204" w:rsidRDefault="001F00D9" w:rsidP="001F00D9">
      <w:pPr>
        <w:pStyle w:val="level1"/>
        <w:numPr>
          <w:ilvl w:val="0"/>
          <w:numId w:val="0"/>
        </w:numPr>
        <w:spacing w:after="480" w:line="360" w:lineRule="auto"/>
        <w:jc w:val="both"/>
        <w:rPr>
          <w:lang w:val="en-US"/>
        </w:rPr>
      </w:pPr>
      <w:r>
        <w:rPr>
          <w:lang w:val="en-US"/>
        </w:rPr>
        <w:t>[16]</w:t>
      </w:r>
      <w:r>
        <w:rPr>
          <w:lang w:val="en-US"/>
        </w:rPr>
        <w:tab/>
      </w:r>
      <w:r w:rsidR="00B03204">
        <w:t xml:space="preserve">The costs </w:t>
      </w:r>
      <w:r w:rsidR="00B36055">
        <w:t xml:space="preserve">in the matter follow the cause is usual. I have noted that the respondent has not called for a punitive costs order under </w:t>
      </w:r>
      <w:r w:rsidR="009879CB">
        <w:t xml:space="preserve">these </w:t>
      </w:r>
      <w:r w:rsidR="00B36055">
        <w:t xml:space="preserve">circumstances. This matter was resolved </w:t>
      </w:r>
      <w:r w:rsidR="009879CB">
        <w:t xml:space="preserve">except for the cots and the respondent has attempted to resolved the matter. </w:t>
      </w:r>
    </w:p>
    <w:p w:rsidR="00CC1807" w:rsidRDefault="001F00D9" w:rsidP="001F00D9">
      <w:pPr>
        <w:pStyle w:val="level1"/>
        <w:numPr>
          <w:ilvl w:val="0"/>
          <w:numId w:val="0"/>
        </w:numPr>
        <w:spacing w:after="480" w:line="360" w:lineRule="auto"/>
        <w:jc w:val="both"/>
        <w:rPr>
          <w:lang w:val="en-US"/>
        </w:rPr>
      </w:pPr>
      <w:r>
        <w:rPr>
          <w:lang w:val="en-US"/>
        </w:rPr>
        <w:t>[17</w:t>
      </w:r>
      <w:bookmarkStart w:id="1" w:name="_GoBack"/>
      <w:bookmarkEnd w:id="1"/>
      <w:r>
        <w:rPr>
          <w:lang w:val="en-US"/>
        </w:rPr>
        <w:t>]</w:t>
      </w:r>
      <w:r>
        <w:rPr>
          <w:lang w:val="en-US"/>
        </w:rPr>
        <w:tab/>
      </w:r>
      <w:r w:rsidR="00CC1807">
        <w:rPr>
          <w:lang w:val="en-US"/>
        </w:rPr>
        <w:t>I grant the following order:</w:t>
      </w:r>
    </w:p>
    <w:p w:rsidR="009879CB" w:rsidRDefault="00CC1807" w:rsidP="00B36055">
      <w:pPr>
        <w:pStyle w:val="level1"/>
        <w:numPr>
          <w:ilvl w:val="0"/>
          <w:numId w:val="0"/>
        </w:numPr>
        <w:spacing w:after="480" w:line="360" w:lineRule="auto"/>
        <w:ind w:left="360" w:firstLine="360"/>
        <w:jc w:val="both"/>
        <w:rPr>
          <w:lang w:val="en-US"/>
        </w:rPr>
      </w:pPr>
      <w:r>
        <w:rPr>
          <w:lang w:val="en-US"/>
        </w:rPr>
        <w:t>[1] The application is dismissed</w:t>
      </w:r>
      <w:r w:rsidR="00B36055">
        <w:rPr>
          <w:lang w:val="en-US"/>
        </w:rPr>
        <w:t xml:space="preserve"> with costs.</w:t>
      </w:r>
    </w:p>
    <w:p w:rsidR="00CC1807" w:rsidRDefault="00B36055" w:rsidP="009879CB">
      <w:pPr>
        <w:pStyle w:val="level1"/>
        <w:numPr>
          <w:ilvl w:val="0"/>
          <w:numId w:val="0"/>
        </w:numPr>
        <w:spacing w:after="480" w:line="360" w:lineRule="auto"/>
        <w:ind w:left="360" w:firstLine="360"/>
        <w:jc w:val="both"/>
      </w:pPr>
      <w:r>
        <w:rPr>
          <w:lang w:val="en-US"/>
        </w:rPr>
        <w:t xml:space="preserve"> </w:t>
      </w:r>
      <w:r w:rsidR="009879CB">
        <w:rPr>
          <w:lang w:val="en-US"/>
        </w:rPr>
        <w:tab/>
      </w:r>
      <w:r w:rsidR="009879CB">
        <w:rPr>
          <w:lang w:val="en-US"/>
        </w:rPr>
        <w:tab/>
      </w:r>
      <w:r w:rsidR="009879CB">
        <w:rPr>
          <w:lang w:val="en-US"/>
        </w:rPr>
        <w:tab/>
      </w:r>
      <w:r w:rsidR="00CC1807">
        <w:tab/>
        <w:t>_____________________________________</w:t>
      </w:r>
    </w:p>
    <w:p w:rsidR="00CC1807" w:rsidRDefault="00CC1807" w:rsidP="00CC1807">
      <w:pPr>
        <w:ind w:left="4395"/>
        <w:rPr>
          <w:b/>
        </w:rPr>
      </w:pPr>
      <w:r>
        <w:rPr>
          <w:b/>
        </w:rPr>
        <w:t>SC MIA</w:t>
      </w:r>
      <w:r>
        <w:t xml:space="preserve">                        </w:t>
      </w:r>
    </w:p>
    <w:p w:rsidR="00CC1807" w:rsidRDefault="00CC1807" w:rsidP="00CC1807">
      <w:pPr>
        <w:ind w:left="4395"/>
        <w:rPr>
          <w:b/>
        </w:rPr>
      </w:pPr>
      <w:r>
        <w:rPr>
          <w:b/>
        </w:rPr>
        <w:t xml:space="preserve">JUDGE OF THE HIGH COURT </w:t>
      </w:r>
    </w:p>
    <w:p w:rsidR="00CC1807" w:rsidRPr="00FB1B0A" w:rsidRDefault="00CC1807" w:rsidP="00CC1807">
      <w:pPr>
        <w:ind w:left="4395"/>
        <w:rPr>
          <w:b/>
        </w:rPr>
      </w:pPr>
      <w:r>
        <w:rPr>
          <w:b/>
        </w:rPr>
        <w:t xml:space="preserve">GAUTENG LOCAL DIVISION </w:t>
      </w:r>
    </w:p>
    <w:p w:rsidR="00CC1807" w:rsidRDefault="00CC1807" w:rsidP="00CC1807">
      <w:pPr>
        <w:rPr>
          <w:b/>
          <w:u w:val="single"/>
        </w:rPr>
      </w:pPr>
    </w:p>
    <w:p w:rsidR="00EF3AED" w:rsidRDefault="00EF3AED" w:rsidP="00CC1807">
      <w:pPr>
        <w:rPr>
          <w:b/>
          <w:u w:val="single"/>
        </w:rPr>
      </w:pPr>
    </w:p>
    <w:p w:rsidR="00CC1807" w:rsidRDefault="00CC1807" w:rsidP="00CC1807">
      <w:pPr>
        <w:rPr>
          <w:b/>
          <w:u w:val="single"/>
        </w:rPr>
      </w:pPr>
    </w:p>
    <w:p w:rsidR="00CC1807" w:rsidRPr="008B170D" w:rsidRDefault="00CC1807" w:rsidP="00CC1807">
      <w:pPr>
        <w:rPr>
          <w:b/>
          <w:u w:val="single"/>
        </w:rPr>
      </w:pPr>
      <w:r w:rsidRPr="008B170D">
        <w:rPr>
          <w:b/>
          <w:u w:val="single"/>
        </w:rPr>
        <w:t xml:space="preserve">APPEARANCES </w:t>
      </w:r>
    </w:p>
    <w:p w:rsidR="00CC1807" w:rsidRDefault="00CC1807" w:rsidP="00CC1807">
      <w:pPr>
        <w:pStyle w:val="ListParagraph"/>
        <w:spacing w:after="0" w:line="240" w:lineRule="auto"/>
        <w:ind w:left="0"/>
      </w:pPr>
    </w:p>
    <w:p w:rsidR="00CC1807" w:rsidRDefault="00CC1807" w:rsidP="00CC1807">
      <w:r w:rsidRPr="008B170D">
        <w:rPr>
          <w:b/>
        </w:rPr>
        <w:t>DATE OF HEARING</w:t>
      </w:r>
      <w:r w:rsidRPr="008B170D">
        <w:rPr>
          <w:b/>
        </w:rPr>
        <w:tab/>
        <w:t xml:space="preserve"> </w:t>
      </w:r>
      <w:r w:rsidRPr="008B170D">
        <w:rPr>
          <w:b/>
        </w:rPr>
        <w:tab/>
      </w:r>
      <w:r w:rsidRPr="008B170D">
        <w:rPr>
          <w:b/>
        </w:rPr>
        <w:tab/>
        <w:t xml:space="preserve"> </w:t>
      </w:r>
      <w:r>
        <w:rPr>
          <w:b/>
        </w:rPr>
        <w:tab/>
      </w:r>
      <w:r w:rsidRPr="008B170D">
        <w:t>:</w:t>
      </w:r>
      <w:r w:rsidR="005D06EA">
        <w:t xml:space="preserve"> 04</w:t>
      </w:r>
      <w:r>
        <w:t xml:space="preserve"> November 2021</w:t>
      </w:r>
      <w:r>
        <w:rPr>
          <w:b/>
        </w:rPr>
        <w:tab/>
      </w:r>
      <w:r>
        <w:t xml:space="preserve"> </w:t>
      </w:r>
    </w:p>
    <w:p w:rsidR="00CC1807" w:rsidRPr="008B170D" w:rsidRDefault="00CC1807" w:rsidP="00CC1807">
      <w:pPr>
        <w:rPr>
          <w:b/>
        </w:rPr>
      </w:pPr>
    </w:p>
    <w:p w:rsidR="00CC1807" w:rsidRPr="008B170D" w:rsidRDefault="00CC1807" w:rsidP="00CC1807">
      <w:pPr>
        <w:rPr>
          <w:b/>
        </w:rPr>
      </w:pPr>
      <w:r w:rsidRPr="008B170D">
        <w:rPr>
          <w:b/>
        </w:rPr>
        <w:t xml:space="preserve">DATE OF JUDGMENT </w:t>
      </w:r>
      <w:r w:rsidRPr="008B170D">
        <w:rPr>
          <w:b/>
        </w:rPr>
        <w:tab/>
      </w:r>
      <w:r w:rsidRPr="008B170D">
        <w:rPr>
          <w:b/>
        </w:rPr>
        <w:tab/>
      </w:r>
      <w:r w:rsidRPr="008B170D">
        <w:rPr>
          <w:b/>
        </w:rPr>
        <w:tab/>
        <w:t xml:space="preserve"> </w:t>
      </w:r>
      <w:r>
        <w:rPr>
          <w:b/>
        </w:rPr>
        <w:tab/>
      </w:r>
      <w:r w:rsidRPr="008B170D">
        <w:t>:</w:t>
      </w:r>
      <w:r w:rsidR="00F053EE">
        <w:t xml:space="preserve"> 23</w:t>
      </w:r>
      <w:r>
        <w:t xml:space="preserve"> January 2023</w:t>
      </w:r>
    </w:p>
    <w:p w:rsidR="00CC1807" w:rsidRPr="008B170D" w:rsidRDefault="00CC1807" w:rsidP="00CC1807">
      <w:pPr>
        <w:rPr>
          <w:b/>
        </w:rPr>
      </w:pPr>
      <w:r w:rsidRPr="008B170D">
        <w:rPr>
          <w:b/>
        </w:rPr>
        <w:tab/>
      </w:r>
      <w:r w:rsidRPr="008B170D">
        <w:rPr>
          <w:b/>
        </w:rPr>
        <w:tab/>
      </w:r>
      <w:r w:rsidRPr="008B170D">
        <w:rPr>
          <w:b/>
        </w:rPr>
        <w:tab/>
      </w:r>
      <w:r w:rsidRPr="008B170D">
        <w:rPr>
          <w:b/>
        </w:rPr>
        <w:tab/>
      </w:r>
    </w:p>
    <w:p w:rsidR="00CC1807" w:rsidRDefault="00CC1807" w:rsidP="00CC1807">
      <w:pPr>
        <w:pStyle w:val="ListParagraph"/>
        <w:spacing w:line="240" w:lineRule="auto"/>
        <w:ind w:left="0"/>
      </w:pPr>
      <w:r w:rsidRPr="008B170D">
        <w:rPr>
          <w:b/>
        </w:rPr>
        <w:t>APPLICANT</w:t>
      </w:r>
      <w:r>
        <w:rPr>
          <w:b/>
        </w:rPr>
        <w:t>’S COUNSEL</w:t>
      </w:r>
      <w:r>
        <w:rPr>
          <w:b/>
        </w:rPr>
        <w:tab/>
      </w:r>
      <w:r>
        <w:rPr>
          <w:b/>
        </w:rPr>
        <w:tab/>
      </w:r>
      <w:r w:rsidR="006432C6">
        <w:rPr>
          <w:b/>
        </w:rPr>
        <w:tab/>
      </w:r>
      <w:r w:rsidR="006432C6">
        <w:rPr>
          <w:b/>
        </w:rPr>
        <w:tab/>
      </w:r>
      <w:r w:rsidRPr="008B170D">
        <w:t>:</w:t>
      </w:r>
      <w:r>
        <w:t xml:space="preserve">  Adv JH Groenwald</w:t>
      </w:r>
    </w:p>
    <w:p w:rsidR="00CC1807" w:rsidRDefault="00CC1807" w:rsidP="00CC1807">
      <w:pPr>
        <w:pStyle w:val="ListParagraph"/>
        <w:spacing w:line="240" w:lineRule="auto"/>
        <w:ind w:left="0"/>
        <w:rPr>
          <w:b/>
          <w:bCs/>
        </w:rPr>
      </w:pPr>
    </w:p>
    <w:p w:rsidR="00CC1807" w:rsidRDefault="00CC1807" w:rsidP="00CC1807">
      <w:pPr>
        <w:pStyle w:val="ListParagraph"/>
        <w:spacing w:line="240" w:lineRule="auto"/>
        <w:ind w:left="0"/>
      </w:pPr>
      <w:r w:rsidRPr="000F64D9">
        <w:rPr>
          <w:b/>
          <w:bCs/>
        </w:rPr>
        <w:t>APPLICANT’S ATTORNEYS</w:t>
      </w:r>
      <w:r>
        <w:tab/>
      </w:r>
      <w:r>
        <w:tab/>
      </w:r>
      <w:r w:rsidR="006432C6">
        <w:tab/>
        <w:t>: David H Botha Du Plessis &amp; Kruger Inc</w:t>
      </w:r>
    </w:p>
    <w:p w:rsidR="00CC1807" w:rsidRDefault="00CC1807" w:rsidP="00CC1807">
      <w:pPr>
        <w:pStyle w:val="ListParagraph"/>
        <w:spacing w:line="240" w:lineRule="auto"/>
        <w:ind w:left="0"/>
      </w:pPr>
      <w:r>
        <w:tab/>
      </w:r>
      <w:r>
        <w:tab/>
      </w:r>
      <w:r>
        <w:tab/>
      </w:r>
      <w:r>
        <w:tab/>
      </w:r>
      <w:bookmarkStart w:id="2" w:name="_Hlk67555944"/>
    </w:p>
    <w:p w:rsidR="00CC1807" w:rsidRPr="001E2697" w:rsidRDefault="00CC1807" w:rsidP="00CC1807">
      <w:pPr>
        <w:pStyle w:val="ListParagraph"/>
        <w:spacing w:line="240" w:lineRule="auto"/>
        <w:ind w:left="0"/>
      </w:pPr>
      <w:r>
        <w:rPr>
          <w:b/>
        </w:rPr>
        <w:t>RESPONDENT’S COUNSEL</w:t>
      </w:r>
      <w:r>
        <w:rPr>
          <w:b/>
        </w:rPr>
        <w:tab/>
      </w:r>
      <w:r>
        <w:rPr>
          <w:b/>
        </w:rPr>
        <w:tab/>
      </w:r>
      <w:r>
        <w:rPr>
          <w:b/>
        </w:rPr>
        <w:tab/>
      </w:r>
      <w:r w:rsidRPr="00B27F3B">
        <w:t>:</w:t>
      </w:r>
      <w:r w:rsidR="006432C6">
        <w:t xml:space="preserve">  Adv. A. Roeloffze</w:t>
      </w:r>
    </w:p>
    <w:p w:rsidR="00CC1807" w:rsidRDefault="00CC1807" w:rsidP="00CC1807">
      <w:pPr>
        <w:pStyle w:val="ListParagraph"/>
        <w:spacing w:line="240" w:lineRule="auto"/>
        <w:ind w:left="0"/>
        <w:rPr>
          <w:bCs/>
        </w:rPr>
      </w:pPr>
      <w:r>
        <w:rPr>
          <w:bCs/>
        </w:rPr>
        <w:tab/>
      </w:r>
      <w:r>
        <w:rPr>
          <w:bCs/>
        </w:rPr>
        <w:tab/>
      </w:r>
      <w:r>
        <w:rPr>
          <w:bCs/>
        </w:rPr>
        <w:tab/>
      </w:r>
      <w:r>
        <w:rPr>
          <w:bCs/>
        </w:rPr>
        <w:tab/>
      </w:r>
      <w:r>
        <w:rPr>
          <w:bCs/>
        </w:rPr>
        <w:tab/>
      </w:r>
    </w:p>
    <w:p w:rsidR="00CC1807" w:rsidRDefault="00CC1807" w:rsidP="00CC1807">
      <w:pPr>
        <w:pStyle w:val="ListParagraph"/>
        <w:spacing w:line="240" w:lineRule="auto"/>
        <w:ind w:left="0"/>
      </w:pPr>
      <w:r>
        <w:rPr>
          <w:b/>
        </w:rPr>
        <w:t>RESPONDENT’S ATTORNEYS</w:t>
      </w:r>
      <w:r>
        <w:rPr>
          <w:b/>
        </w:rPr>
        <w:tab/>
      </w:r>
      <w:r>
        <w:rPr>
          <w:b/>
        </w:rPr>
        <w:tab/>
      </w:r>
      <w:r>
        <w:rPr>
          <w:b/>
        </w:rPr>
        <w:tab/>
      </w:r>
      <w:r w:rsidRPr="00B27F3B">
        <w:t>:</w:t>
      </w:r>
      <w:r w:rsidR="006432C6">
        <w:t xml:space="preserve">  S Laze</w:t>
      </w:r>
      <w:r>
        <w:t>r Attorneys</w:t>
      </w:r>
    </w:p>
    <w:p w:rsidR="00CC1807" w:rsidRDefault="00CC1807" w:rsidP="00CC1807">
      <w:pPr>
        <w:pStyle w:val="ListParagraph"/>
        <w:spacing w:line="240" w:lineRule="auto"/>
        <w:ind w:left="0"/>
      </w:pPr>
      <w:r>
        <w:tab/>
      </w:r>
      <w:bookmarkEnd w:id="2"/>
    </w:p>
    <w:p w:rsidR="0040108D" w:rsidRDefault="0040108D"/>
    <w:sectPr w:rsidR="0040108D" w:rsidSect="009B0712">
      <w:headerReference w:type="defaul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2C7" w:rsidRDefault="003E62C7" w:rsidP="00CC1807">
      <w:r>
        <w:separator/>
      </w:r>
    </w:p>
  </w:endnote>
  <w:endnote w:type="continuationSeparator" w:id="0">
    <w:p w:rsidR="003E62C7" w:rsidRDefault="003E62C7" w:rsidP="00CC1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2C7" w:rsidRDefault="003E62C7" w:rsidP="00CC1807">
      <w:r>
        <w:separator/>
      </w:r>
    </w:p>
  </w:footnote>
  <w:footnote w:type="continuationSeparator" w:id="0">
    <w:p w:rsidR="003E62C7" w:rsidRDefault="003E62C7" w:rsidP="00CC1807">
      <w:r>
        <w:continuationSeparator/>
      </w:r>
    </w:p>
  </w:footnote>
  <w:footnote w:id="1">
    <w:p w:rsidR="00B21924" w:rsidRDefault="00B21924">
      <w:pPr>
        <w:pStyle w:val="FootnoteText"/>
      </w:pPr>
      <w:r>
        <w:rPr>
          <w:rStyle w:val="FootnoteReference"/>
        </w:rPr>
        <w:footnoteRef/>
      </w:r>
      <w:r>
        <w:t xml:space="preserve"> 2008 (2) SA 472 (CC).</w:t>
      </w:r>
    </w:p>
  </w:footnote>
  <w:footnote w:id="2">
    <w:p w:rsidR="00B21924" w:rsidRDefault="00B21924" w:rsidP="0049441D">
      <w:pPr>
        <w:pStyle w:val="FootnoteText"/>
      </w:pPr>
      <w:r>
        <w:rPr>
          <w:rStyle w:val="FootnoteReference"/>
        </w:rPr>
        <w:footnoteRef/>
      </w:r>
      <w:r>
        <w:t xml:space="preserve"> 2009 (2) SA 277 (SCA)</w:t>
      </w:r>
    </w:p>
  </w:footnote>
  <w:footnote w:id="3">
    <w:p w:rsidR="00B21924" w:rsidRDefault="00B21924">
      <w:pPr>
        <w:pStyle w:val="FootnoteText"/>
      </w:pPr>
      <w:r>
        <w:rPr>
          <w:rStyle w:val="FootnoteReference"/>
        </w:rPr>
        <w:footnoteRef/>
      </w:r>
      <w:r>
        <w:t xml:space="preserve"> 1984 (3) SA 623 (A)</w:t>
      </w:r>
    </w:p>
  </w:footnote>
  <w:footnote w:id="4">
    <w:p w:rsidR="00B21924" w:rsidRDefault="00B21924">
      <w:pPr>
        <w:pStyle w:val="FootnoteText"/>
      </w:pPr>
      <w:r>
        <w:rPr>
          <w:rStyle w:val="FootnoteReference"/>
        </w:rPr>
        <w:footnoteRef/>
      </w:r>
      <w:r>
        <w:t xml:space="preserve"> CaseLines, Vol: 002-70, para 7(b) read together with Vol: 002-71, paras (i), (ii) and (iii)</w:t>
      </w:r>
    </w:p>
  </w:footnote>
  <w:footnote w:id="5">
    <w:p w:rsidR="00B21924" w:rsidRDefault="00B21924" w:rsidP="00B03204">
      <w:pPr>
        <w:pStyle w:val="FootnoteText"/>
      </w:pPr>
      <w:r>
        <w:rPr>
          <w:rStyle w:val="FootnoteReference"/>
        </w:rPr>
        <w:footnoteRef/>
      </w:r>
      <w:r>
        <w:t xml:space="preserve"> 2013 (2) SA 259 (SCA); [2013] 2 All SA 1 (SCA)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924" w:rsidRDefault="00B21924">
    <w:pPr>
      <w:pStyle w:val="Header"/>
      <w:jc w:val="right"/>
    </w:pPr>
    <w:r>
      <w:t xml:space="preserve">Page </w:t>
    </w:r>
    <w:r>
      <w:fldChar w:fldCharType="begin"/>
    </w:r>
    <w:r>
      <w:instrText xml:space="preserve"> PAGE   \* MERGEFORMAT </w:instrText>
    </w:r>
    <w:r>
      <w:fldChar w:fldCharType="separate"/>
    </w:r>
    <w:r w:rsidR="001F00D9">
      <w:rPr>
        <w:noProof/>
      </w:rPr>
      <w:t>8</w:t>
    </w:r>
    <w:r>
      <w:rPr>
        <w:noProof/>
      </w:rPr>
      <w:fldChar w:fldCharType="end"/>
    </w:r>
  </w:p>
  <w:p w:rsidR="00B21924" w:rsidRDefault="00B219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6C54EC"/>
    <w:multiLevelType w:val="multilevel"/>
    <w:tmpl w:val="6D42056A"/>
    <w:lvl w:ilvl="0">
      <w:start w:val="10"/>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6BD17F80"/>
    <w:multiLevelType w:val="hybridMultilevel"/>
    <w:tmpl w:val="48A8BF86"/>
    <w:lvl w:ilvl="0" w:tplc="605ABA1C">
      <w:start w:val="1"/>
      <w:numFmt w:val="decimal"/>
      <w:pStyle w:val="level1"/>
      <w:lvlText w:val="[%1]"/>
      <w:lvlJc w:val="left"/>
      <w:pPr>
        <w:ind w:left="5760" w:hanging="360"/>
      </w:pPr>
      <w:rPr>
        <w:rFonts w:hint="default"/>
        <w:i w:val="0"/>
      </w:rPr>
    </w:lvl>
    <w:lvl w:ilvl="1" w:tplc="1C090019">
      <w:start w:val="1"/>
      <w:numFmt w:val="lowerLetter"/>
      <w:lvlText w:val="%2."/>
      <w:lvlJc w:val="left"/>
      <w:pPr>
        <w:ind w:left="6480" w:hanging="360"/>
      </w:pPr>
    </w:lvl>
    <w:lvl w:ilvl="2" w:tplc="1C09001B">
      <w:start w:val="1"/>
      <w:numFmt w:val="lowerRoman"/>
      <w:lvlText w:val="%3."/>
      <w:lvlJc w:val="right"/>
      <w:pPr>
        <w:ind w:left="7200" w:hanging="180"/>
      </w:pPr>
    </w:lvl>
    <w:lvl w:ilvl="3" w:tplc="1C09000F" w:tentative="1">
      <w:start w:val="1"/>
      <w:numFmt w:val="decimal"/>
      <w:lvlText w:val="%4."/>
      <w:lvlJc w:val="left"/>
      <w:pPr>
        <w:ind w:left="7920" w:hanging="360"/>
      </w:pPr>
    </w:lvl>
    <w:lvl w:ilvl="4" w:tplc="1C090019" w:tentative="1">
      <w:start w:val="1"/>
      <w:numFmt w:val="lowerLetter"/>
      <w:lvlText w:val="%5."/>
      <w:lvlJc w:val="left"/>
      <w:pPr>
        <w:ind w:left="8640" w:hanging="360"/>
      </w:pPr>
    </w:lvl>
    <w:lvl w:ilvl="5" w:tplc="1C09001B" w:tentative="1">
      <w:start w:val="1"/>
      <w:numFmt w:val="lowerRoman"/>
      <w:lvlText w:val="%6."/>
      <w:lvlJc w:val="right"/>
      <w:pPr>
        <w:ind w:left="9360" w:hanging="180"/>
      </w:pPr>
    </w:lvl>
    <w:lvl w:ilvl="6" w:tplc="1C09000F" w:tentative="1">
      <w:start w:val="1"/>
      <w:numFmt w:val="decimal"/>
      <w:lvlText w:val="%7."/>
      <w:lvlJc w:val="left"/>
      <w:pPr>
        <w:ind w:left="10080" w:hanging="360"/>
      </w:pPr>
    </w:lvl>
    <w:lvl w:ilvl="7" w:tplc="1C090019" w:tentative="1">
      <w:start w:val="1"/>
      <w:numFmt w:val="lowerLetter"/>
      <w:lvlText w:val="%8."/>
      <w:lvlJc w:val="left"/>
      <w:pPr>
        <w:ind w:left="10800" w:hanging="360"/>
      </w:pPr>
    </w:lvl>
    <w:lvl w:ilvl="8" w:tplc="1C09001B" w:tentative="1">
      <w:start w:val="1"/>
      <w:numFmt w:val="lowerRoman"/>
      <w:lvlText w:val="%9."/>
      <w:lvlJc w:val="right"/>
      <w:pPr>
        <w:ind w:left="115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807"/>
    <w:rsid w:val="00071AF5"/>
    <w:rsid w:val="000903EA"/>
    <w:rsid w:val="0009760A"/>
    <w:rsid w:val="000A1793"/>
    <w:rsid w:val="000B743A"/>
    <w:rsid w:val="000C31EA"/>
    <w:rsid w:val="000C34CF"/>
    <w:rsid w:val="000E035A"/>
    <w:rsid w:val="001C69F6"/>
    <w:rsid w:val="001D3625"/>
    <w:rsid w:val="001F00D9"/>
    <w:rsid w:val="002032C7"/>
    <w:rsid w:val="0021770C"/>
    <w:rsid w:val="002B6C5C"/>
    <w:rsid w:val="00312764"/>
    <w:rsid w:val="0033506B"/>
    <w:rsid w:val="00342264"/>
    <w:rsid w:val="00357B8D"/>
    <w:rsid w:val="003C459C"/>
    <w:rsid w:val="003E62C7"/>
    <w:rsid w:val="0040108D"/>
    <w:rsid w:val="00402A08"/>
    <w:rsid w:val="0042278C"/>
    <w:rsid w:val="00430B10"/>
    <w:rsid w:val="004331F5"/>
    <w:rsid w:val="00452AE4"/>
    <w:rsid w:val="00456AC9"/>
    <w:rsid w:val="0049441D"/>
    <w:rsid w:val="004A7B7F"/>
    <w:rsid w:val="004C3371"/>
    <w:rsid w:val="004C4BDD"/>
    <w:rsid w:val="004D0323"/>
    <w:rsid w:val="004F360C"/>
    <w:rsid w:val="00523AD8"/>
    <w:rsid w:val="005740B7"/>
    <w:rsid w:val="00581648"/>
    <w:rsid w:val="0059565E"/>
    <w:rsid w:val="005D06EA"/>
    <w:rsid w:val="005F6903"/>
    <w:rsid w:val="00622841"/>
    <w:rsid w:val="006432C6"/>
    <w:rsid w:val="0066605B"/>
    <w:rsid w:val="006708BD"/>
    <w:rsid w:val="00676C92"/>
    <w:rsid w:val="00677C00"/>
    <w:rsid w:val="00684636"/>
    <w:rsid w:val="006F144C"/>
    <w:rsid w:val="00726608"/>
    <w:rsid w:val="00744507"/>
    <w:rsid w:val="0075294A"/>
    <w:rsid w:val="00837511"/>
    <w:rsid w:val="00875FFF"/>
    <w:rsid w:val="008A060B"/>
    <w:rsid w:val="008E1914"/>
    <w:rsid w:val="008F4F70"/>
    <w:rsid w:val="00902F4B"/>
    <w:rsid w:val="00906E55"/>
    <w:rsid w:val="009267B6"/>
    <w:rsid w:val="00942E79"/>
    <w:rsid w:val="009761C8"/>
    <w:rsid w:val="0098497E"/>
    <w:rsid w:val="00986D02"/>
    <w:rsid w:val="009879CB"/>
    <w:rsid w:val="009B0712"/>
    <w:rsid w:val="00A65857"/>
    <w:rsid w:val="00AB6407"/>
    <w:rsid w:val="00AE5574"/>
    <w:rsid w:val="00B03204"/>
    <w:rsid w:val="00B21924"/>
    <w:rsid w:val="00B36055"/>
    <w:rsid w:val="00B41A0C"/>
    <w:rsid w:val="00B82898"/>
    <w:rsid w:val="00BA72BA"/>
    <w:rsid w:val="00C106B7"/>
    <w:rsid w:val="00C141F7"/>
    <w:rsid w:val="00C25954"/>
    <w:rsid w:val="00C32C48"/>
    <w:rsid w:val="00C4531E"/>
    <w:rsid w:val="00C971DE"/>
    <w:rsid w:val="00CA1F5E"/>
    <w:rsid w:val="00CC1807"/>
    <w:rsid w:val="00D3064C"/>
    <w:rsid w:val="00DC355C"/>
    <w:rsid w:val="00DC717E"/>
    <w:rsid w:val="00DF60C7"/>
    <w:rsid w:val="00E66814"/>
    <w:rsid w:val="00EF3AED"/>
    <w:rsid w:val="00F032D5"/>
    <w:rsid w:val="00F053EE"/>
    <w:rsid w:val="00F30202"/>
    <w:rsid w:val="00F5144F"/>
    <w:rsid w:val="00F82746"/>
    <w:rsid w:val="00FC14BB"/>
    <w:rsid w:val="00FD031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D3EDBE-BAE6-4CC6-8ABF-57614254E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807"/>
    <w:pPr>
      <w:spacing w:after="0" w:line="240" w:lineRule="auto"/>
    </w:pPr>
    <w:rPr>
      <w:rFonts w:ascii="Arial" w:eastAsia="Times New Roman" w:hAnsi="Arial" w:cs="Times New Roman"/>
      <w:kern w:val="28"/>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1807"/>
    <w:pPr>
      <w:tabs>
        <w:tab w:val="center" w:pos="4680"/>
        <w:tab w:val="right" w:pos="9360"/>
      </w:tabs>
    </w:pPr>
  </w:style>
  <w:style w:type="character" w:customStyle="1" w:styleId="HeaderChar">
    <w:name w:val="Header Char"/>
    <w:basedOn w:val="DefaultParagraphFont"/>
    <w:link w:val="Header"/>
    <w:uiPriority w:val="99"/>
    <w:rsid w:val="00CC1807"/>
    <w:rPr>
      <w:rFonts w:ascii="Arial" w:eastAsia="Times New Roman" w:hAnsi="Arial" w:cs="Times New Roman"/>
      <w:kern w:val="28"/>
      <w:sz w:val="24"/>
      <w:szCs w:val="24"/>
      <w:lang w:eastAsia="en-GB"/>
    </w:rPr>
  </w:style>
  <w:style w:type="paragraph" w:customStyle="1" w:styleId="Tramlines">
    <w:name w:val="Tramlines"/>
    <w:basedOn w:val="Normal"/>
    <w:next w:val="Normal"/>
    <w:rsid w:val="00CC1807"/>
    <w:pPr>
      <w:widowControl w:val="0"/>
      <w:pBdr>
        <w:top w:val="single" w:sz="4" w:space="12" w:color="auto"/>
        <w:bottom w:val="single" w:sz="4" w:space="12" w:color="auto"/>
      </w:pBdr>
      <w:jc w:val="center"/>
    </w:pPr>
    <w:rPr>
      <w:b/>
      <w:kern w:val="0"/>
      <w:lang w:eastAsia="en-US"/>
    </w:rPr>
  </w:style>
  <w:style w:type="paragraph" w:styleId="ListParagraph">
    <w:name w:val="List Paragraph"/>
    <w:basedOn w:val="Normal"/>
    <w:link w:val="ListParagraphChar"/>
    <w:qFormat/>
    <w:rsid w:val="00CC1807"/>
    <w:pPr>
      <w:spacing w:after="200" w:line="276" w:lineRule="auto"/>
      <w:ind w:left="720"/>
      <w:contextualSpacing/>
    </w:pPr>
    <w:rPr>
      <w:rFonts w:eastAsia="Calibri"/>
      <w:kern w:val="0"/>
      <w:szCs w:val="22"/>
      <w:lang w:eastAsia="en-US"/>
    </w:rPr>
  </w:style>
  <w:style w:type="paragraph" w:customStyle="1" w:styleId="level1">
    <w:name w:val="level1"/>
    <w:basedOn w:val="Normal"/>
    <w:rsid w:val="00CC1807"/>
    <w:pPr>
      <w:numPr>
        <w:numId w:val="1"/>
      </w:numPr>
    </w:pPr>
  </w:style>
  <w:style w:type="paragraph" w:styleId="FootnoteText">
    <w:name w:val="footnote text"/>
    <w:basedOn w:val="Normal"/>
    <w:link w:val="FootnoteTextChar"/>
    <w:uiPriority w:val="99"/>
    <w:unhideWhenUsed/>
    <w:rsid w:val="00CC1807"/>
    <w:rPr>
      <w:sz w:val="20"/>
      <w:szCs w:val="20"/>
    </w:rPr>
  </w:style>
  <w:style w:type="character" w:customStyle="1" w:styleId="FootnoteTextChar">
    <w:name w:val="Footnote Text Char"/>
    <w:basedOn w:val="DefaultParagraphFont"/>
    <w:link w:val="FootnoteText"/>
    <w:uiPriority w:val="99"/>
    <w:rsid w:val="00CC1807"/>
    <w:rPr>
      <w:rFonts w:ascii="Arial" w:eastAsia="Times New Roman" w:hAnsi="Arial" w:cs="Times New Roman"/>
      <w:kern w:val="28"/>
      <w:sz w:val="20"/>
      <w:szCs w:val="20"/>
      <w:lang w:eastAsia="en-GB"/>
    </w:rPr>
  </w:style>
  <w:style w:type="character" w:styleId="FootnoteReference">
    <w:name w:val="footnote reference"/>
    <w:basedOn w:val="DefaultParagraphFont"/>
    <w:uiPriority w:val="99"/>
    <w:unhideWhenUsed/>
    <w:rsid w:val="00CC1807"/>
    <w:rPr>
      <w:vertAlign w:val="superscript"/>
    </w:rPr>
  </w:style>
  <w:style w:type="character" w:customStyle="1" w:styleId="ListParagraphChar">
    <w:name w:val="List Paragraph Char"/>
    <w:basedOn w:val="DefaultParagraphFont"/>
    <w:link w:val="ListParagraph"/>
    <w:rsid w:val="00CC1807"/>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283C0-06C8-41AD-AC64-0E2E61ABF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1927</Words>
  <Characters>10988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Judge-Shanaaz Mia</dc:creator>
  <cp:keywords/>
  <dc:description/>
  <cp:lastModifiedBy>Mokone</cp:lastModifiedBy>
  <cp:revision>3</cp:revision>
  <dcterms:created xsi:type="dcterms:W3CDTF">2023-01-24T10:51:00Z</dcterms:created>
  <dcterms:modified xsi:type="dcterms:W3CDTF">2023-01-24T10:56:00Z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11f46025-9924-46eb-bf0c-8e4eb8adea68</vt:lpwstr>
  </property>
</Properties>
</file>