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ED571" w14:textId="77777777" w:rsidR="001E2697" w:rsidRPr="002C3752" w:rsidRDefault="001E2697" w:rsidP="001E2697">
      <w:pPr>
        <w:spacing w:line="360" w:lineRule="auto"/>
        <w:ind w:leftChars="-38" w:left="-91"/>
        <w:jc w:val="center"/>
        <w:rPr>
          <w:rFonts w:cs="Arial"/>
          <w:b/>
        </w:rPr>
      </w:pPr>
    </w:p>
    <w:p w14:paraId="18EF350F" w14:textId="77777777" w:rsidR="001E2697" w:rsidRPr="002C3752" w:rsidRDefault="001E2697" w:rsidP="001E2697">
      <w:pPr>
        <w:spacing w:line="360" w:lineRule="auto"/>
        <w:ind w:leftChars="-38" w:left="-91"/>
        <w:jc w:val="center"/>
        <w:rPr>
          <w:rFonts w:cs="Arial"/>
          <w:b/>
        </w:rPr>
      </w:pPr>
      <w:r w:rsidRPr="002C3752">
        <w:rPr>
          <w:rFonts w:cs="Arial"/>
          <w:b/>
        </w:rPr>
        <w:t>REPUBLIC OF SOUTH AFRICA</w:t>
      </w:r>
    </w:p>
    <w:p w14:paraId="2BD32E3B" w14:textId="77777777" w:rsidR="001E2697" w:rsidRPr="002C3752" w:rsidRDefault="001E2697" w:rsidP="001E2697">
      <w:pPr>
        <w:spacing w:line="360" w:lineRule="auto"/>
        <w:ind w:leftChars="-38" w:left="-91"/>
        <w:jc w:val="center"/>
        <w:rPr>
          <w:rFonts w:cs="Arial"/>
          <w:b/>
        </w:rPr>
      </w:pPr>
      <w:r w:rsidRPr="002C3752">
        <w:rPr>
          <w:rFonts w:cs="Arial"/>
          <w:b/>
          <w:noProof/>
          <w:lang w:eastAsia="en-ZA"/>
        </w:rPr>
        <w:drawing>
          <wp:inline distT="0" distB="0" distL="0" distR="0" wp14:anchorId="50CA7734" wp14:editId="024BE80D">
            <wp:extent cx="1400175" cy="140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p w14:paraId="5FA16699" w14:textId="77777777" w:rsidR="001E2697" w:rsidRPr="002C3752" w:rsidRDefault="001E2697" w:rsidP="001E2697">
      <w:pPr>
        <w:spacing w:line="360" w:lineRule="auto"/>
        <w:ind w:leftChars="-38" w:left="-91"/>
        <w:jc w:val="center"/>
        <w:rPr>
          <w:rFonts w:cs="Arial"/>
          <w:b/>
        </w:rPr>
      </w:pPr>
      <w:r w:rsidRPr="002C3752">
        <w:rPr>
          <w:rFonts w:cs="Arial"/>
          <w:b/>
        </w:rPr>
        <w:t>IN THE HIGH COURT OF SOUTH AFRICA</w:t>
      </w:r>
    </w:p>
    <w:p w14:paraId="4DE9DB44" w14:textId="0619354B" w:rsidR="001E2697" w:rsidRPr="002C3752" w:rsidRDefault="001E2697" w:rsidP="001E2697">
      <w:pPr>
        <w:spacing w:line="360" w:lineRule="auto"/>
        <w:ind w:leftChars="-38" w:left="-91"/>
        <w:jc w:val="center"/>
        <w:rPr>
          <w:rFonts w:cs="Arial"/>
          <w:b/>
        </w:rPr>
      </w:pPr>
      <w:r w:rsidRPr="002C3752">
        <w:rPr>
          <w:rFonts w:cs="Arial"/>
          <w:b/>
        </w:rPr>
        <w:t>GAUTENG DIVISION, JOHANNESBURG</w:t>
      </w:r>
    </w:p>
    <w:p w14:paraId="1F8D97D2" w14:textId="77777777" w:rsidR="001E2697" w:rsidRPr="002C3752" w:rsidRDefault="001E2697" w:rsidP="001E2697">
      <w:pPr>
        <w:widowControl w:val="0"/>
        <w:jc w:val="center"/>
        <w:rPr>
          <w:rFonts w:cs="Arial"/>
        </w:rPr>
      </w:pPr>
    </w:p>
    <w:p w14:paraId="16061E25" w14:textId="77777777" w:rsidR="001E2697" w:rsidRPr="002C3752" w:rsidRDefault="001E2697" w:rsidP="001E2697">
      <w:pPr>
        <w:widowControl w:val="0"/>
        <w:jc w:val="center"/>
        <w:rPr>
          <w:rFonts w:cs="Arial"/>
        </w:rPr>
      </w:pPr>
    </w:p>
    <w:p w14:paraId="03BF3688" w14:textId="5B37B2C4" w:rsidR="001E2697" w:rsidRPr="002C3752" w:rsidRDefault="006524B7" w:rsidP="001E2697">
      <w:pPr>
        <w:tabs>
          <w:tab w:val="left" w:pos="-720"/>
        </w:tabs>
        <w:suppressAutoHyphens/>
        <w:jc w:val="right"/>
        <w:rPr>
          <w:rFonts w:cs="Arial"/>
          <w:b/>
          <w:bCs/>
          <w:spacing w:val="-3"/>
        </w:rPr>
      </w:pPr>
      <w:r>
        <w:rPr>
          <w:rFonts w:cs="Arial"/>
          <w:b/>
          <w:bCs/>
          <w:spacing w:val="-3"/>
        </w:rPr>
        <w:t xml:space="preserve">  </w:t>
      </w:r>
      <w:r>
        <w:rPr>
          <w:rFonts w:cs="Arial"/>
          <w:b/>
          <w:bCs/>
          <w:spacing w:val="-3"/>
        </w:rPr>
        <w:tab/>
      </w:r>
      <w:r w:rsidR="001E2697" w:rsidRPr="002C3752">
        <w:rPr>
          <w:rFonts w:cs="Arial"/>
          <w:b/>
          <w:bCs/>
          <w:spacing w:val="-3"/>
        </w:rPr>
        <w:t>CASE NUMBER:</w:t>
      </w:r>
      <w:r>
        <w:rPr>
          <w:rFonts w:cs="Arial"/>
          <w:b/>
          <w:bCs/>
          <w:spacing w:val="-3"/>
        </w:rPr>
        <w:t xml:space="preserve">  </w:t>
      </w:r>
      <w:r w:rsidR="00024FC1">
        <w:rPr>
          <w:rFonts w:cs="Arial"/>
          <w:b/>
          <w:bCs/>
          <w:spacing w:val="-3"/>
        </w:rPr>
        <w:t>2023-02</w:t>
      </w:r>
      <w:r w:rsidR="007F6883">
        <w:rPr>
          <w:rFonts w:cs="Arial"/>
          <w:b/>
          <w:bCs/>
          <w:spacing w:val="-3"/>
        </w:rPr>
        <w:t>7536</w:t>
      </w:r>
    </w:p>
    <w:p w14:paraId="599B9EA6" w14:textId="77777777" w:rsidR="001E2697" w:rsidRPr="002C3752" w:rsidRDefault="001E2697" w:rsidP="001E2697">
      <w:pPr>
        <w:tabs>
          <w:tab w:val="left" w:pos="-720"/>
        </w:tabs>
        <w:suppressAutoHyphens/>
        <w:jc w:val="right"/>
        <w:rPr>
          <w:rFonts w:cs="Arial"/>
          <w:b/>
          <w:bCs/>
          <w:spacing w:val="-3"/>
        </w:rPr>
      </w:pPr>
    </w:p>
    <w:tbl>
      <w:tblPr>
        <w:tblW w:w="5812" w:type="dxa"/>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tblGrid>
      <w:tr w:rsidR="001E2697" w:rsidRPr="002C3752" w14:paraId="3ABF34AB" w14:textId="77777777" w:rsidTr="00726F48">
        <w:trPr>
          <w:trHeight w:val="2528"/>
        </w:trPr>
        <w:tc>
          <w:tcPr>
            <w:tcW w:w="5812" w:type="dxa"/>
            <w:tcBorders>
              <w:top w:val="single" w:sz="4" w:space="0" w:color="auto"/>
              <w:left w:val="single" w:sz="4" w:space="0" w:color="auto"/>
              <w:bottom w:val="single" w:sz="4" w:space="0" w:color="auto"/>
              <w:right w:val="single" w:sz="4" w:space="0" w:color="auto"/>
            </w:tcBorders>
          </w:tcPr>
          <w:p w14:paraId="42223CB1" w14:textId="77777777" w:rsidR="001E2697" w:rsidRPr="002C3752" w:rsidRDefault="001E2697" w:rsidP="00726F48">
            <w:pPr>
              <w:jc w:val="both"/>
              <w:rPr>
                <w:rFonts w:cs="Arial"/>
                <w:sz w:val="16"/>
                <w:szCs w:val="16"/>
              </w:rPr>
            </w:pPr>
          </w:p>
          <w:p w14:paraId="367F2BD7" w14:textId="77777777" w:rsidR="001E2697" w:rsidRPr="002C3752" w:rsidRDefault="001E2697" w:rsidP="00726F48">
            <w:pPr>
              <w:ind w:left="180"/>
              <w:jc w:val="center"/>
              <w:rPr>
                <w:rFonts w:cs="Arial"/>
                <w:b/>
                <w:bCs/>
                <w:color w:val="FF0000"/>
                <w:sz w:val="18"/>
                <w:szCs w:val="18"/>
                <w:u w:val="single"/>
              </w:rPr>
            </w:pPr>
            <w:r w:rsidRPr="002C3752">
              <w:rPr>
                <w:rFonts w:cs="Arial"/>
                <w:b/>
                <w:bCs/>
                <w:color w:val="FF0000"/>
                <w:sz w:val="18"/>
                <w:szCs w:val="18"/>
                <w:u w:val="single"/>
              </w:rPr>
              <w:t>DELETE WHICHEVER IS NOT APPLICABLE</w:t>
            </w:r>
          </w:p>
          <w:p w14:paraId="47C1B344" w14:textId="77777777" w:rsidR="001E2697" w:rsidRPr="002C3752" w:rsidRDefault="001E2697" w:rsidP="00726F48">
            <w:pPr>
              <w:ind w:left="180"/>
              <w:jc w:val="center"/>
              <w:rPr>
                <w:rFonts w:cs="Arial"/>
                <w:b/>
                <w:bCs/>
                <w:color w:val="FF0000"/>
                <w:sz w:val="18"/>
                <w:szCs w:val="18"/>
                <w:u w:val="single"/>
              </w:rPr>
            </w:pPr>
          </w:p>
          <w:p w14:paraId="6D072193" w14:textId="0A23FC4A" w:rsidR="001E2697" w:rsidRPr="002C3752" w:rsidRDefault="006524B7" w:rsidP="00726F48">
            <w:pPr>
              <w:spacing w:line="480" w:lineRule="auto"/>
              <w:ind w:left="180"/>
              <w:jc w:val="both"/>
              <w:rPr>
                <w:rFonts w:cs="Arial"/>
                <w:bCs/>
                <w:color w:val="FF0000"/>
                <w:sz w:val="18"/>
                <w:szCs w:val="18"/>
              </w:rPr>
            </w:pPr>
            <w:r>
              <w:rPr>
                <w:rFonts w:cs="Arial"/>
                <w:bCs/>
                <w:color w:val="FF0000"/>
                <w:sz w:val="18"/>
                <w:szCs w:val="18"/>
              </w:rPr>
              <w:t>1.REPORTABLE: NO</w:t>
            </w:r>
            <w:r w:rsidR="001E2697" w:rsidRPr="002C3752">
              <w:rPr>
                <w:rFonts w:cs="Arial"/>
                <w:bCs/>
                <w:color w:val="FF0000"/>
                <w:sz w:val="18"/>
                <w:szCs w:val="18"/>
              </w:rPr>
              <w:t xml:space="preserve">                                                                 </w:t>
            </w:r>
          </w:p>
          <w:p w14:paraId="459FF77E" w14:textId="4D85C087" w:rsidR="001E2697" w:rsidRPr="002C3752" w:rsidRDefault="001E2697" w:rsidP="00726F48">
            <w:pPr>
              <w:spacing w:line="480" w:lineRule="auto"/>
              <w:ind w:left="180"/>
              <w:jc w:val="both"/>
              <w:rPr>
                <w:rFonts w:cs="Arial"/>
                <w:bCs/>
                <w:color w:val="FF0000"/>
                <w:sz w:val="18"/>
                <w:szCs w:val="18"/>
              </w:rPr>
            </w:pPr>
            <w:r w:rsidRPr="002C3752">
              <w:rPr>
                <w:rFonts w:cs="Arial"/>
                <w:bCs/>
                <w:color w:val="FF0000"/>
                <w:sz w:val="18"/>
                <w:szCs w:val="18"/>
              </w:rPr>
              <w:t>2.OF INTEREST TO OTHER JUDGES:</w:t>
            </w:r>
            <w:r w:rsidR="006524B7">
              <w:rPr>
                <w:rFonts w:cs="Arial"/>
                <w:bCs/>
                <w:color w:val="FF0000"/>
                <w:sz w:val="18"/>
                <w:szCs w:val="18"/>
              </w:rPr>
              <w:t xml:space="preserve"> NO</w:t>
            </w:r>
            <w:r w:rsidRPr="002C3752">
              <w:rPr>
                <w:rFonts w:cs="Arial"/>
                <w:bCs/>
                <w:color w:val="FF0000"/>
                <w:sz w:val="18"/>
                <w:szCs w:val="18"/>
              </w:rPr>
              <w:t xml:space="preserve">                                </w:t>
            </w:r>
          </w:p>
          <w:p w14:paraId="24E6769D" w14:textId="2B0358B0" w:rsidR="001E2697" w:rsidRPr="002C3752" w:rsidRDefault="006524B7" w:rsidP="00726F48">
            <w:pPr>
              <w:spacing w:line="480" w:lineRule="auto"/>
              <w:ind w:left="180"/>
              <w:jc w:val="both"/>
              <w:rPr>
                <w:rFonts w:cs="Arial"/>
                <w:bCs/>
                <w:color w:val="FF0000"/>
                <w:sz w:val="18"/>
                <w:szCs w:val="18"/>
              </w:rPr>
            </w:pPr>
            <w:r>
              <w:rPr>
                <w:rFonts w:cs="Arial"/>
                <w:bCs/>
                <w:color w:val="FF0000"/>
                <w:sz w:val="18"/>
                <w:szCs w:val="18"/>
              </w:rPr>
              <w:t>3.REVISED: NO</w:t>
            </w:r>
            <w:r w:rsidR="001E2697" w:rsidRPr="002C3752">
              <w:rPr>
                <w:rFonts w:cs="Arial"/>
                <w:bCs/>
                <w:color w:val="FF0000"/>
                <w:sz w:val="18"/>
                <w:szCs w:val="18"/>
              </w:rPr>
              <w:t xml:space="preserve">                                                                           </w:t>
            </w:r>
          </w:p>
          <w:p w14:paraId="386136B5" w14:textId="77777777" w:rsidR="001E2697" w:rsidRPr="002C3752" w:rsidRDefault="001E2697" w:rsidP="00726F48">
            <w:pPr>
              <w:spacing w:line="360" w:lineRule="auto"/>
              <w:ind w:left="180"/>
              <w:jc w:val="both"/>
              <w:rPr>
                <w:rFonts w:cs="Arial"/>
                <w:bCs/>
                <w:color w:val="FF0000"/>
                <w:sz w:val="18"/>
                <w:szCs w:val="18"/>
              </w:rPr>
            </w:pPr>
          </w:p>
          <w:p w14:paraId="047C9726" w14:textId="77777777" w:rsidR="001E2697" w:rsidRPr="002C3752" w:rsidRDefault="001E2697" w:rsidP="00726F48">
            <w:pPr>
              <w:spacing w:line="360" w:lineRule="auto"/>
              <w:ind w:left="180"/>
              <w:jc w:val="both"/>
              <w:rPr>
                <w:rFonts w:cs="Arial"/>
                <w:sz w:val="16"/>
                <w:szCs w:val="16"/>
              </w:rPr>
            </w:pPr>
            <w:r w:rsidRPr="002C3752">
              <w:rPr>
                <w:rFonts w:cs="Arial"/>
                <w:b/>
                <w:bCs/>
                <w:color w:val="FF0000"/>
                <w:sz w:val="18"/>
                <w:szCs w:val="18"/>
              </w:rPr>
              <w:t xml:space="preserve">                                                                   Judge </w:t>
            </w:r>
            <w:proofErr w:type="spellStart"/>
            <w:r w:rsidRPr="002C3752">
              <w:rPr>
                <w:rFonts w:cs="Arial"/>
                <w:b/>
                <w:bCs/>
                <w:color w:val="FF0000"/>
                <w:sz w:val="18"/>
                <w:szCs w:val="18"/>
              </w:rPr>
              <w:t>Dippenaar</w:t>
            </w:r>
            <w:proofErr w:type="spellEnd"/>
          </w:p>
        </w:tc>
      </w:tr>
    </w:tbl>
    <w:p w14:paraId="54544FDF" w14:textId="77777777" w:rsidR="001E2697" w:rsidRPr="002C3752" w:rsidRDefault="001E2697" w:rsidP="001E2697">
      <w:pPr>
        <w:tabs>
          <w:tab w:val="left" w:pos="-720"/>
        </w:tabs>
        <w:suppressAutoHyphens/>
        <w:rPr>
          <w:rFonts w:cs="Arial"/>
          <w:bCs/>
          <w:spacing w:val="-3"/>
        </w:rPr>
      </w:pPr>
    </w:p>
    <w:p w14:paraId="42452D94" w14:textId="02A8FC38" w:rsidR="001E2697" w:rsidRPr="002C3752" w:rsidRDefault="001E2697" w:rsidP="001E2697">
      <w:pPr>
        <w:tabs>
          <w:tab w:val="left" w:pos="-720"/>
        </w:tabs>
        <w:suppressAutoHyphens/>
        <w:rPr>
          <w:rFonts w:cs="Arial"/>
          <w:bCs/>
          <w:spacing w:val="-3"/>
        </w:rPr>
      </w:pPr>
    </w:p>
    <w:p w14:paraId="72F25B48" w14:textId="77777777" w:rsidR="001E2697" w:rsidRPr="002C3752" w:rsidRDefault="001E2697" w:rsidP="001E2697">
      <w:pPr>
        <w:tabs>
          <w:tab w:val="left" w:pos="-720"/>
        </w:tabs>
        <w:suppressAutoHyphens/>
        <w:rPr>
          <w:rFonts w:cs="Arial"/>
          <w:bCs/>
          <w:spacing w:val="-3"/>
        </w:rPr>
      </w:pPr>
      <w:r w:rsidRPr="002C3752">
        <w:rPr>
          <w:rFonts w:cs="Arial"/>
          <w:bCs/>
          <w:spacing w:val="-3"/>
        </w:rPr>
        <w:t>In the matter between:</w:t>
      </w:r>
    </w:p>
    <w:p w14:paraId="0C92776A" w14:textId="77777777" w:rsidR="001E2697" w:rsidRPr="002C3752" w:rsidRDefault="001E2697" w:rsidP="001E2697">
      <w:pPr>
        <w:widowControl w:val="0"/>
        <w:tabs>
          <w:tab w:val="right" w:pos="9356"/>
        </w:tabs>
        <w:jc w:val="both"/>
        <w:rPr>
          <w:rFonts w:cs="Arial"/>
          <w:b/>
        </w:rPr>
      </w:pPr>
    </w:p>
    <w:p w14:paraId="2CF11450" w14:textId="77777777" w:rsidR="00FE6250" w:rsidRDefault="00FE6250" w:rsidP="00582B78">
      <w:pPr>
        <w:widowControl w:val="0"/>
        <w:tabs>
          <w:tab w:val="right" w:pos="9356"/>
        </w:tabs>
        <w:jc w:val="both"/>
        <w:rPr>
          <w:rFonts w:cs="Arial"/>
        </w:rPr>
      </w:pPr>
      <w:bookmarkStart w:id="0" w:name="_Hlk67557019"/>
    </w:p>
    <w:p w14:paraId="2E31F1C5" w14:textId="3A8C2336" w:rsidR="007F6883" w:rsidRPr="007F6883" w:rsidRDefault="007F6883" w:rsidP="00024FC1">
      <w:pPr>
        <w:widowControl w:val="0"/>
        <w:tabs>
          <w:tab w:val="right" w:pos="9356"/>
        </w:tabs>
        <w:spacing w:line="360" w:lineRule="auto"/>
        <w:jc w:val="both"/>
        <w:rPr>
          <w:b/>
        </w:rPr>
      </w:pPr>
      <w:r w:rsidRPr="007F6883">
        <w:rPr>
          <w:b/>
        </w:rPr>
        <w:t xml:space="preserve">SWAT SOS 247 (PTY) LTD T/A SOS SA </w:t>
      </w:r>
      <w:r w:rsidRPr="007F6883">
        <w:rPr>
          <w:b/>
        </w:rPr>
        <w:tab/>
        <w:t xml:space="preserve">FIRST </w:t>
      </w:r>
      <w:r w:rsidRPr="007F6883">
        <w:rPr>
          <w:rFonts w:eastAsia="Calibri" w:cs="Arial"/>
          <w:b/>
          <w:bCs/>
          <w:lang w:val="en-US"/>
        </w:rPr>
        <w:t>APPLICANT</w:t>
      </w:r>
    </w:p>
    <w:p w14:paraId="34DDC3EF" w14:textId="54FA7461" w:rsidR="007F6883" w:rsidRPr="007F6883" w:rsidRDefault="007F6883" w:rsidP="00024FC1">
      <w:pPr>
        <w:widowControl w:val="0"/>
        <w:tabs>
          <w:tab w:val="right" w:pos="9356"/>
        </w:tabs>
        <w:spacing w:line="360" w:lineRule="auto"/>
        <w:jc w:val="both"/>
        <w:rPr>
          <w:b/>
        </w:rPr>
      </w:pPr>
      <w:r w:rsidRPr="007F6883">
        <w:rPr>
          <w:b/>
        </w:rPr>
        <w:t xml:space="preserve">ALEX GAGIANO </w:t>
      </w:r>
      <w:r w:rsidRPr="007F6883">
        <w:rPr>
          <w:b/>
        </w:rPr>
        <w:tab/>
        <w:t>SECOND APPLICANT</w:t>
      </w:r>
    </w:p>
    <w:p w14:paraId="35EF94BE" w14:textId="75CABC9F" w:rsidR="007F6883" w:rsidRPr="007F6883" w:rsidRDefault="007F6883" w:rsidP="007F6883">
      <w:pPr>
        <w:widowControl w:val="0"/>
        <w:tabs>
          <w:tab w:val="right" w:pos="9356"/>
        </w:tabs>
        <w:spacing w:line="360" w:lineRule="auto"/>
        <w:jc w:val="both"/>
        <w:rPr>
          <w:b/>
        </w:rPr>
      </w:pPr>
      <w:r w:rsidRPr="007F6883">
        <w:rPr>
          <w:b/>
        </w:rPr>
        <w:t>LEANDRO GAGIANO</w:t>
      </w:r>
      <w:r w:rsidRPr="007F6883">
        <w:rPr>
          <w:b/>
        </w:rPr>
        <w:tab/>
        <w:t>THIRD APPLICANT</w:t>
      </w:r>
    </w:p>
    <w:p w14:paraId="04569C24" w14:textId="08C79BAD" w:rsidR="007F6883" w:rsidRPr="007F6883" w:rsidRDefault="007F6883" w:rsidP="00024FC1">
      <w:pPr>
        <w:widowControl w:val="0"/>
        <w:tabs>
          <w:tab w:val="right" w:pos="9356"/>
        </w:tabs>
        <w:spacing w:line="360" w:lineRule="auto"/>
        <w:jc w:val="both"/>
        <w:rPr>
          <w:b/>
        </w:rPr>
      </w:pPr>
    </w:p>
    <w:p w14:paraId="6C62F3C8" w14:textId="4B48B5A0" w:rsidR="001E2697" w:rsidRPr="007F6883" w:rsidRDefault="001E2697" w:rsidP="007F6883">
      <w:pPr>
        <w:widowControl w:val="0"/>
        <w:tabs>
          <w:tab w:val="right" w:pos="9356"/>
        </w:tabs>
        <w:spacing w:line="360" w:lineRule="auto"/>
        <w:jc w:val="both"/>
        <w:rPr>
          <w:rFonts w:eastAsia="Calibri" w:cs="Arial"/>
          <w:b/>
          <w:bCs/>
          <w:lang w:val="en-US"/>
        </w:rPr>
      </w:pPr>
      <w:r w:rsidRPr="007F6883">
        <w:rPr>
          <w:rFonts w:cs="Arial"/>
          <w:b/>
        </w:rPr>
        <w:t>AND</w:t>
      </w:r>
    </w:p>
    <w:p w14:paraId="4B16137B" w14:textId="77777777" w:rsidR="007F6883" w:rsidRPr="007F6883" w:rsidRDefault="007F6883" w:rsidP="001E2697">
      <w:pPr>
        <w:widowControl w:val="0"/>
        <w:tabs>
          <w:tab w:val="right" w:pos="9356"/>
        </w:tabs>
        <w:jc w:val="both"/>
        <w:rPr>
          <w:b/>
        </w:rPr>
      </w:pPr>
    </w:p>
    <w:p w14:paraId="2B2F3C7D" w14:textId="20B7B416" w:rsidR="001E2697" w:rsidRPr="002C3752" w:rsidRDefault="007F6883" w:rsidP="001E2697">
      <w:pPr>
        <w:widowControl w:val="0"/>
        <w:tabs>
          <w:tab w:val="right" w:pos="9356"/>
        </w:tabs>
        <w:jc w:val="both"/>
        <w:rPr>
          <w:rFonts w:cs="Arial"/>
          <w:b/>
        </w:rPr>
      </w:pPr>
      <w:r w:rsidRPr="007F6883">
        <w:rPr>
          <w:b/>
        </w:rPr>
        <w:t>LUCINDA JONES</w:t>
      </w:r>
      <w:r>
        <w:tab/>
      </w:r>
      <w:r>
        <w:rPr>
          <w:rFonts w:eastAsia="Calibri" w:cs="Arial"/>
          <w:b/>
          <w:bCs/>
          <w:lang w:val="en-US"/>
        </w:rPr>
        <w:t>RESPONDENT</w:t>
      </w:r>
    </w:p>
    <w:p w14:paraId="2505AD20" w14:textId="0217D026" w:rsidR="00BB3897" w:rsidRPr="002C3752" w:rsidRDefault="009C0601" w:rsidP="006524B7">
      <w:pPr>
        <w:widowControl w:val="0"/>
        <w:tabs>
          <w:tab w:val="right" w:pos="9356"/>
        </w:tabs>
        <w:jc w:val="both"/>
        <w:rPr>
          <w:rFonts w:eastAsia="Calibri" w:cs="Arial"/>
          <w:b/>
          <w:bCs/>
          <w:lang w:val="en-US"/>
        </w:rPr>
      </w:pPr>
      <w:r>
        <w:rPr>
          <w:rFonts w:eastAsia="Calibri" w:cs="Arial"/>
          <w:b/>
          <w:bCs/>
          <w:lang w:val="en-US"/>
        </w:rPr>
        <w:tab/>
      </w:r>
    </w:p>
    <w:bookmarkEnd w:id="0"/>
    <w:p w14:paraId="09306AE0" w14:textId="77777777" w:rsidR="00E45FEB" w:rsidRDefault="00E45FEB" w:rsidP="00E45FEB">
      <w:pPr>
        <w:widowControl w:val="0"/>
        <w:tabs>
          <w:tab w:val="right" w:pos="9356"/>
        </w:tabs>
        <w:jc w:val="both"/>
        <w:rPr>
          <w:rFonts w:cs="Arial"/>
          <w:b/>
        </w:rPr>
      </w:pPr>
    </w:p>
    <w:p w14:paraId="7E48EFD4" w14:textId="6695C168" w:rsidR="00E45FEB" w:rsidRPr="002C3752" w:rsidRDefault="00E45FEB" w:rsidP="00E45FEB">
      <w:pPr>
        <w:widowControl w:val="0"/>
        <w:tabs>
          <w:tab w:val="right" w:pos="9356"/>
        </w:tabs>
        <w:jc w:val="both"/>
        <w:rPr>
          <w:rFonts w:cs="Arial"/>
          <w:b/>
        </w:rPr>
      </w:pPr>
      <w:r>
        <w:rPr>
          <w:rFonts w:cs="Arial"/>
          <w:b/>
        </w:rPr>
        <w:t xml:space="preserve">Neutral Citation: </w:t>
      </w:r>
      <w:r w:rsidRPr="009861C9">
        <w:rPr>
          <w:rFonts w:cs="Arial"/>
          <w:i/>
        </w:rPr>
        <w:t>Swat SOS 247 (Pty) Ltd t/a SOS SA and Others v Lucinda Jones</w:t>
      </w:r>
      <w:r w:rsidRPr="009861C9">
        <w:rPr>
          <w:rFonts w:cs="Arial"/>
        </w:rPr>
        <w:t xml:space="preserve"> (Case No: 2023</w:t>
      </w:r>
      <w:r w:rsidR="00D45AD8">
        <w:rPr>
          <w:rFonts w:cs="Arial"/>
        </w:rPr>
        <w:t xml:space="preserve">-027536) [2023] ZAGPJHC 323 (18 </w:t>
      </w:r>
      <w:r w:rsidRPr="009861C9">
        <w:rPr>
          <w:rFonts w:cs="Arial"/>
        </w:rPr>
        <w:t>April 2023)</w:t>
      </w:r>
      <w:r w:rsidRPr="002C3752">
        <w:rPr>
          <w:rFonts w:cs="Arial"/>
          <w:b/>
        </w:rPr>
        <w:tab/>
      </w:r>
      <w:r w:rsidRPr="002C3752">
        <w:rPr>
          <w:rFonts w:cs="Arial"/>
          <w:b/>
        </w:rPr>
        <w:tab/>
        <w:t xml:space="preserve">   </w:t>
      </w:r>
    </w:p>
    <w:p w14:paraId="21CF8FA0" w14:textId="77777777" w:rsidR="001E2697" w:rsidRPr="002C3752" w:rsidRDefault="001E2697" w:rsidP="001E2697">
      <w:pPr>
        <w:widowControl w:val="0"/>
        <w:tabs>
          <w:tab w:val="right" w:pos="9356"/>
        </w:tabs>
        <w:jc w:val="both"/>
        <w:rPr>
          <w:rFonts w:cs="Arial"/>
          <w:b/>
        </w:rPr>
      </w:pPr>
      <w:r w:rsidRPr="002C3752">
        <w:rPr>
          <w:rFonts w:cs="Arial"/>
          <w:b/>
        </w:rPr>
        <w:lastRenderedPageBreak/>
        <w:tab/>
      </w:r>
      <w:r w:rsidRPr="002C3752">
        <w:rPr>
          <w:rFonts w:cs="Arial"/>
          <w:b/>
        </w:rPr>
        <w:tab/>
        <w:t xml:space="preserve">   </w:t>
      </w:r>
    </w:p>
    <w:p w14:paraId="32C5C398" w14:textId="3814087F" w:rsidR="001E2697" w:rsidRPr="002C3752" w:rsidRDefault="00113742" w:rsidP="001E2697">
      <w:pPr>
        <w:pStyle w:val="Tramlines"/>
        <w:rPr>
          <w:rFonts w:cs="Arial"/>
          <w:lang w:val="en-US"/>
        </w:rPr>
      </w:pPr>
      <w:r w:rsidRPr="002C3752">
        <w:rPr>
          <w:rFonts w:cs="Arial"/>
          <w:lang w:val="en-US"/>
        </w:rPr>
        <w:t xml:space="preserve">JUDGMENT </w:t>
      </w:r>
    </w:p>
    <w:p w14:paraId="67ED6938" w14:textId="77777777" w:rsidR="001E2697" w:rsidRPr="002C3752" w:rsidRDefault="001E2697" w:rsidP="001E2697">
      <w:pPr>
        <w:tabs>
          <w:tab w:val="left" w:pos="-720"/>
        </w:tabs>
        <w:suppressAutoHyphens/>
        <w:spacing w:line="360" w:lineRule="auto"/>
        <w:jc w:val="both"/>
        <w:rPr>
          <w:rFonts w:cs="Arial"/>
          <w:b/>
          <w:bCs/>
          <w:spacing w:val="-3"/>
        </w:rPr>
      </w:pPr>
    </w:p>
    <w:p w14:paraId="19EA82BB" w14:textId="0F296D77" w:rsidR="001E2697" w:rsidRPr="002C3752" w:rsidRDefault="001E2697" w:rsidP="001E2697">
      <w:pPr>
        <w:ind w:left="1440" w:hanging="1440"/>
        <w:jc w:val="both"/>
        <w:rPr>
          <w:rFonts w:cs="Arial"/>
          <w:kern w:val="0"/>
          <w:lang w:eastAsia="en-US"/>
        </w:rPr>
      </w:pPr>
      <w:r w:rsidRPr="002C3752">
        <w:rPr>
          <w:rFonts w:cs="Arial"/>
          <w:b/>
        </w:rPr>
        <w:t>Delivered:</w:t>
      </w:r>
      <w:r w:rsidRPr="002C3752">
        <w:rPr>
          <w:rFonts w:cs="Arial"/>
          <w:b/>
        </w:rPr>
        <w:tab/>
      </w:r>
      <w:r w:rsidRPr="002C3752">
        <w:rPr>
          <w:rFonts w:cs="Arial"/>
        </w:rPr>
        <w:t>This judgment was handed down electronically by circulation to the parties’ legal representatives by e-mail. The date and time for hand-down is deemed to be 1</w:t>
      </w:r>
      <w:r w:rsidR="003A327B">
        <w:rPr>
          <w:rFonts w:cs="Arial"/>
        </w:rPr>
        <w:t>1</w:t>
      </w:r>
      <w:r w:rsidRPr="002C3752">
        <w:rPr>
          <w:rFonts w:cs="Arial"/>
        </w:rPr>
        <w:t>h</w:t>
      </w:r>
      <w:r w:rsidR="003A327B">
        <w:rPr>
          <w:rFonts w:cs="Arial"/>
        </w:rPr>
        <w:t>3</w:t>
      </w:r>
      <w:r w:rsidRPr="002C3752">
        <w:rPr>
          <w:rFonts w:cs="Arial"/>
        </w:rPr>
        <w:t xml:space="preserve">0 on the </w:t>
      </w:r>
      <w:r w:rsidR="00495184">
        <w:rPr>
          <w:rFonts w:cs="Arial"/>
        </w:rPr>
        <w:t>1</w:t>
      </w:r>
      <w:r w:rsidR="001D22A7">
        <w:rPr>
          <w:rFonts w:cs="Arial"/>
        </w:rPr>
        <w:t>8</w:t>
      </w:r>
      <w:r w:rsidR="004A0816">
        <w:rPr>
          <w:rFonts w:cs="Arial"/>
        </w:rPr>
        <w:t>th</w:t>
      </w:r>
      <w:r w:rsidR="00495184">
        <w:rPr>
          <w:rFonts w:cs="Arial"/>
        </w:rPr>
        <w:t xml:space="preserve"> </w:t>
      </w:r>
      <w:r w:rsidRPr="002C3752">
        <w:rPr>
          <w:rFonts w:cs="Arial"/>
        </w:rPr>
        <w:t xml:space="preserve">of </w:t>
      </w:r>
      <w:r w:rsidR="006524B7">
        <w:rPr>
          <w:rFonts w:cs="Arial"/>
        </w:rPr>
        <w:t>APRIL</w:t>
      </w:r>
      <w:r w:rsidRPr="002C3752">
        <w:rPr>
          <w:rFonts w:cs="Arial"/>
        </w:rPr>
        <w:t xml:space="preserve"> 202</w:t>
      </w:r>
      <w:r w:rsidR="005A2434" w:rsidRPr="002C3752">
        <w:rPr>
          <w:rFonts w:cs="Arial"/>
        </w:rPr>
        <w:t>3</w:t>
      </w:r>
      <w:r w:rsidRPr="002C3752">
        <w:rPr>
          <w:rFonts w:cs="Arial"/>
        </w:rPr>
        <w:t>.</w:t>
      </w:r>
    </w:p>
    <w:p w14:paraId="54A5FD4D" w14:textId="77777777" w:rsidR="001E2697" w:rsidRPr="002C3752" w:rsidRDefault="001E2697" w:rsidP="001E2697">
      <w:pPr>
        <w:tabs>
          <w:tab w:val="left" w:pos="-720"/>
        </w:tabs>
        <w:suppressAutoHyphens/>
        <w:spacing w:line="360" w:lineRule="auto"/>
        <w:jc w:val="both"/>
        <w:rPr>
          <w:rFonts w:cs="Arial"/>
          <w:b/>
          <w:bCs/>
          <w:spacing w:val="-3"/>
          <w:u w:val="single"/>
        </w:rPr>
      </w:pPr>
    </w:p>
    <w:p w14:paraId="7EF343BE" w14:textId="77777777" w:rsidR="001E2697" w:rsidRPr="002C3752" w:rsidRDefault="001E2697" w:rsidP="001E2697">
      <w:pPr>
        <w:tabs>
          <w:tab w:val="left" w:pos="-720"/>
        </w:tabs>
        <w:suppressAutoHyphens/>
        <w:spacing w:line="360" w:lineRule="auto"/>
        <w:jc w:val="both"/>
        <w:rPr>
          <w:rFonts w:cs="Arial"/>
          <w:b/>
          <w:bCs/>
          <w:spacing w:val="-3"/>
          <w:u w:val="single"/>
        </w:rPr>
      </w:pPr>
    </w:p>
    <w:p w14:paraId="210BEE89" w14:textId="54AFE6B6" w:rsidR="0039420D" w:rsidRDefault="001E2697" w:rsidP="00EC7CEF">
      <w:pPr>
        <w:tabs>
          <w:tab w:val="left" w:pos="-720"/>
        </w:tabs>
        <w:suppressAutoHyphens/>
        <w:spacing w:line="360" w:lineRule="auto"/>
        <w:jc w:val="both"/>
        <w:rPr>
          <w:rFonts w:cs="Arial"/>
          <w:b/>
          <w:bCs/>
          <w:spacing w:val="-3"/>
        </w:rPr>
      </w:pPr>
      <w:r w:rsidRPr="002C3752">
        <w:rPr>
          <w:rFonts w:cs="Arial"/>
          <w:b/>
          <w:bCs/>
          <w:spacing w:val="-3"/>
          <w:u w:val="single"/>
        </w:rPr>
        <w:t>DIPPENAAR J</w:t>
      </w:r>
      <w:r w:rsidRPr="002C3752">
        <w:rPr>
          <w:rFonts w:cs="Arial"/>
          <w:b/>
          <w:bCs/>
          <w:spacing w:val="-3"/>
        </w:rPr>
        <w:t>:</w:t>
      </w:r>
    </w:p>
    <w:p w14:paraId="7B32BBD1" w14:textId="77777777" w:rsidR="004A0816" w:rsidRDefault="004A0816" w:rsidP="00EC7CEF">
      <w:pPr>
        <w:tabs>
          <w:tab w:val="left" w:pos="-720"/>
        </w:tabs>
        <w:suppressAutoHyphens/>
        <w:spacing w:line="360" w:lineRule="auto"/>
        <w:jc w:val="both"/>
        <w:rPr>
          <w:rFonts w:cs="Arial"/>
          <w:b/>
          <w:bCs/>
          <w:spacing w:val="-3"/>
        </w:rPr>
      </w:pPr>
    </w:p>
    <w:p w14:paraId="6F7FADF0" w14:textId="22EB000E" w:rsidR="008C1464" w:rsidRDefault="00311384" w:rsidP="00311384">
      <w:pPr>
        <w:pStyle w:val="level11"/>
        <w:numPr>
          <w:ilvl w:val="0"/>
          <w:numId w:val="0"/>
        </w:numPr>
        <w:spacing w:after="480" w:line="360" w:lineRule="auto"/>
        <w:jc w:val="both"/>
        <w:rPr>
          <w:rFonts w:cs="Arial"/>
          <w:lang w:val="en-US"/>
        </w:rPr>
      </w:pPr>
      <w:r>
        <w:rPr>
          <w:rFonts w:cs="Arial"/>
          <w:lang w:val="en-US"/>
        </w:rPr>
        <w:t>[1]</w:t>
      </w:r>
      <w:r>
        <w:rPr>
          <w:rFonts w:cs="Arial"/>
          <w:lang w:val="en-US"/>
        </w:rPr>
        <w:tab/>
      </w:r>
      <w:r w:rsidR="00BE334B" w:rsidRPr="002C3752">
        <w:rPr>
          <w:rFonts w:cs="Arial"/>
          <w:lang w:val="en-US"/>
        </w:rPr>
        <w:t>T</w:t>
      </w:r>
      <w:r w:rsidR="00495184">
        <w:rPr>
          <w:rFonts w:cs="Arial"/>
          <w:lang w:val="en-US"/>
        </w:rPr>
        <w:t>he applicant</w:t>
      </w:r>
      <w:r w:rsidR="00F132D8">
        <w:rPr>
          <w:rFonts w:cs="Arial"/>
          <w:lang w:val="en-US"/>
        </w:rPr>
        <w:t>s</w:t>
      </w:r>
      <w:r w:rsidR="00495184">
        <w:rPr>
          <w:rFonts w:cs="Arial"/>
          <w:lang w:val="en-US"/>
        </w:rPr>
        <w:t>, by way of urgent applicat</w:t>
      </w:r>
      <w:r w:rsidR="00F132D8">
        <w:rPr>
          <w:rFonts w:cs="Arial"/>
          <w:lang w:val="en-US"/>
        </w:rPr>
        <w:t>i</w:t>
      </w:r>
      <w:r w:rsidR="00495184">
        <w:rPr>
          <w:rFonts w:cs="Arial"/>
          <w:lang w:val="en-US"/>
        </w:rPr>
        <w:t>on</w:t>
      </w:r>
      <w:r w:rsidR="00F132D8">
        <w:rPr>
          <w:rFonts w:cs="Arial"/>
          <w:lang w:val="en-US"/>
        </w:rPr>
        <w:t xml:space="preserve"> seek relief </w:t>
      </w:r>
      <w:r w:rsidR="008C1464">
        <w:rPr>
          <w:rFonts w:cs="Arial"/>
          <w:lang w:val="en-US"/>
        </w:rPr>
        <w:t xml:space="preserve">against the respondent </w:t>
      </w:r>
      <w:r w:rsidR="00F132D8">
        <w:rPr>
          <w:rFonts w:cs="Arial"/>
          <w:lang w:val="en-US"/>
        </w:rPr>
        <w:t>based on contempt of a court order granted on 12 April 2022 under case number 2022-325</w:t>
      </w:r>
      <w:r w:rsidR="000A178C">
        <w:rPr>
          <w:rFonts w:cs="Arial"/>
          <w:lang w:val="en-US"/>
        </w:rPr>
        <w:t xml:space="preserve"> (“the 2022 order”), permanent alternatively interim interdicts against the respondent, together with ancillary relief</w:t>
      </w:r>
      <w:r w:rsidR="00F132D8">
        <w:rPr>
          <w:rFonts w:cs="Arial"/>
          <w:lang w:val="en-US"/>
        </w:rPr>
        <w:t>.</w:t>
      </w:r>
      <w:r w:rsidR="0081304A">
        <w:rPr>
          <w:rFonts w:cs="Arial"/>
          <w:lang w:val="en-US"/>
        </w:rPr>
        <w:t xml:space="preserve"> The interdictory relief is aimed at protecting the first applicant’s confidential business information and </w:t>
      </w:r>
      <w:r w:rsidR="004A0816">
        <w:rPr>
          <w:rFonts w:cs="Arial"/>
          <w:lang w:val="en-US"/>
        </w:rPr>
        <w:t xml:space="preserve">the </w:t>
      </w:r>
      <w:r w:rsidR="0081304A">
        <w:rPr>
          <w:rFonts w:cs="Arial"/>
          <w:lang w:val="en-US"/>
        </w:rPr>
        <w:t>personal</w:t>
      </w:r>
      <w:r w:rsidR="004A0816">
        <w:rPr>
          <w:rFonts w:cs="Arial"/>
          <w:lang w:val="en-US"/>
        </w:rPr>
        <w:t xml:space="preserve"> </w:t>
      </w:r>
      <w:r w:rsidR="0081304A">
        <w:rPr>
          <w:rFonts w:cs="Arial"/>
          <w:lang w:val="en-US"/>
        </w:rPr>
        <w:t>information of the second and third applicants.</w:t>
      </w:r>
      <w:r w:rsidR="004A0816">
        <w:rPr>
          <w:rFonts w:cs="Arial"/>
          <w:lang w:val="en-US"/>
        </w:rPr>
        <w:t xml:space="preserve"> </w:t>
      </w:r>
      <w:r w:rsidR="008C1464">
        <w:rPr>
          <w:rFonts w:cs="Arial"/>
          <w:lang w:val="en-US"/>
        </w:rPr>
        <w:t xml:space="preserve">At the hearing, the applicants sought attenuated relief and interim interdictory relief only. </w:t>
      </w:r>
    </w:p>
    <w:p w14:paraId="323D2F65" w14:textId="7C494BB9" w:rsidR="005108AD" w:rsidRDefault="00311384" w:rsidP="00311384">
      <w:pPr>
        <w:pStyle w:val="level11"/>
        <w:numPr>
          <w:ilvl w:val="0"/>
          <w:numId w:val="0"/>
        </w:numPr>
        <w:spacing w:after="480" w:line="360" w:lineRule="auto"/>
        <w:jc w:val="both"/>
        <w:rPr>
          <w:rFonts w:cs="Arial"/>
          <w:lang w:val="en-US"/>
        </w:rPr>
      </w:pPr>
      <w:r>
        <w:rPr>
          <w:rFonts w:cs="Arial"/>
          <w:lang w:val="en-US"/>
        </w:rPr>
        <w:t>[2]</w:t>
      </w:r>
      <w:r>
        <w:rPr>
          <w:rFonts w:cs="Arial"/>
          <w:lang w:val="en-US"/>
        </w:rPr>
        <w:tab/>
      </w:r>
      <w:r w:rsidR="008C1464" w:rsidRPr="005108AD">
        <w:rPr>
          <w:rFonts w:cs="Arial"/>
          <w:lang w:val="en-US"/>
        </w:rPr>
        <w:t>The respondent is a former employee of the first applicant. The second and third applicants are both involved in the business of the first applicant. Various disputes have arisen between the parties since January 2022. Amongst others, various criminal charges have been laid against the respondent and the parties have litigated in various forums.</w:t>
      </w:r>
    </w:p>
    <w:p w14:paraId="4CEBEF0A" w14:textId="6A3E8A37" w:rsidR="00D36AAA" w:rsidRPr="005108AD" w:rsidRDefault="00311384" w:rsidP="00311384">
      <w:pPr>
        <w:pStyle w:val="level11"/>
        <w:numPr>
          <w:ilvl w:val="0"/>
          <w:numId w:val="0"/>
        </w:numPr>
        <w:spacing w:after="480" w:line="360" w:lineRule="auto"/>
        <w:jc w:val="both"/>
        <w:rPr>
          <w:rFonts w:cs="Arial"/>
          <w:lang w:val="en-US"/>
        </w:rPr>
      </w:pPr>
      <w:r w:rsidRPr="005108AD">
        <w:rPr>
          <w:rFonts w:cs="Arial"/>
          <w:lang w:val="en-US"/>
        </w:rPr>
        <w:t>[3]</w:t>
      </w:r>
      <w:r w:rsidRPr="005108AD">
        <w:rPr>
          <w:rFonts w:cs="Arial"/>
          <w:lang w:val="en-US"/>
        </w:rPr>
        <w:tab/>
      </w:r>
      <w:r w:rsidR="00D36AAA" w:rsidRPr="005108AD">
        <w:rPr>
          <w:rFonts w:cs="Arial"/>
          <w:lang w:val="en-US"/>
        </w:rPr>
        <w:t xml:space="preserve">The trigger to the present application lies in information provided by a </w:t>
      </w:r>
      <w:proofErr w:type="spellStart"/>
      <w:r w:rsidR="00D36AAA" w:rsidRPr="005108AD">
        <w:rPr>
          <w:rFonts w:cs="Arial"/>
          <w:lang w:val="en-US"/>
        </w:rPr>
        <w:t>Mr</w:t>
      </w:r>
      <w:proofErr w:type="spellEnd"/>
      <w:r w:rsidR="00D36AAA" w:rsidRPr="005108AD">
        <w:rPr>
          <w:rFonts w:cs="Arial"/>
          <w:lang w:val="en-US"/>
        </w:rPr>
        <w:t xml:space="preserve"> Francois van </w:t>
      </w:r>
      <w:proofErr w:type="spellStart"/>
      <w:r w:rsidR="00D36AAA" w:rsidRPr="005108AD">
        <w:rPr>
          <w:rFonts w:cs="Arial"/>
          <w:lang w:val="en-US"/>
        </w:rPr>
        <w:t>Wyk</w:t>
      </w:r>
      <w:proofErr w:type="spellEnd"/>
      <w:r w:rsidR="00D36AAA" w:rsidRPr="005108AD">
        <w:rPr>
          <w:rFonts w:cs="Arial"/>
          <w:lang w:val="en-US"/>
        </w:rPr>
        <w:t xml:space="preserve"> to the applicants pertaining to the actions and conduct of the respondent. </w:t>
      </w:r>
      <w:r w:rsidR="005108AD">
        <w:rPr>
          <w:rFonts w:cs="Arial"/>
          <w:lang w:val="en-US"/>
        </w:rPr>
        <w:t xml:space="preserve">As part of the founding papers, </w:t>
      </w:r>
      <w:proofErr w:type="spellStart"/>
      <w:r w:rsidR="00D36AAA" w:rsidRPr="005108AD">
        <w:rPr>
          <w:rFonts w:cs="Arial"/>
          <w:lang w:val="en-US"/>
        </w:rPr>
        <w:t>Mr</w:t>
      </w:r>
      <w:proofErr w:type="spellEnd"/>
      <w:r w:rsidR="00D36AAA" w:rsidRPr="005108AD">
        <w:rPr>
          <w:rFonts w:cs="Arial"/>
          <w:lang w:val="en-US"/>
        </w:rPr>
        <w:t xml:space="preserve"> Van </w:t>
      </w:r>
      <w:proofErr w:type="spellStart"/>
      <w:r w:rsidR="00D36AAA" w:rsidRPr="005108AD">
        <w:rPr>
          <w:rFonts w:cs="Arial"/>
          <w:lang w:val="en-US"/>
        </w:rPr>
        <w:t>Wyk</w:t>
      </w:r>
      <w:proofErr w:type="spellEnd"/>
      <w:r w:rsidR="00D36AAA" w:rsidRPr="005108AD">
        <w:rPr>
          <w:rFonts w:cs="Arial"/>
          <w:lang w:val="en-US"/>
        </w:rPr>
        <w:t xml:space="preserve"> provided an extensive supporting affidavit </w:t>
      </w:r>
      <w:r w:rsidR="005108AD">
        <w:rPr>
          <w:rFonts w:cs="Arial"/>
          <w:lang w:val="en-US"/>
        </w:rPr>
        <w:t>dealing with his interactions with the respondent</w:t>
      </w:r>
      <w:r w:rsidR="00D36AAA" w:rsidRPr="005108AD">
        <w:rPr>
          <w:rFonts w:cs="Arial"/>
          <w:lang w:val="en-US"/>
        </w:rPr>
        <w:t>.</w:t>
      </w:r>
    </w:p>
    <w:p w14:paraId="29C5BB1B" w14:textId="213430BD" w:rsidR="0059519B" w:rsidRDefault="00311384" w:rsidP="00311384">
      <w:pPr>
        <w:pStyle w:val="level11"/>
        <w:numPr>
          <w:ilvl w:val="0"/>
          <w:numId w:val="0"/>
        </w:numPr>
        <w:spacing w:after="480" w:line="360" w:lineRule="auto"/>
        <w:jc w:val="both"/>
        <w:rPr>
          <w:rFonts w:cs="Arial"/>
          <w:lang w:val="en-US"/>
        </w:rPr>
      </w:pPr>
      <w:r>
        <w:rPr>
          <w:rFonts w:cs="Arial"/>
          <w:lang w:val="en-US"/>
        </w:rPr>
        <w:t>[4]</w:t>
      </w:r>
      <w:r>
        <w:rPr>
          <w:rFonts w:cs="Arial"/>
          <w:lang w:val="en-US"/>
        </w:rPr>
        <w:tab/>
      </w:r>
      <w:r w:rsidR="00BE334B" w:rsidRPr="002C3752">
        <w:rPr>
          <w:rFonts w:cs="Arial"/>
          <w:lang w:val="en-US"/>
        </w:rPr>
        <w:t>T</w:t>
      </w:r>
      <w:r w:rsidR="00F132D8">
        <w:rPr>
          <w:rFonts w:cs="Arial"/>
          <w:lang w:val="en-US"/>
        </w:rPr>
        <w:t xml:space="preserve">he application is opposed by the respondent who </w:t>
      </w:r>
      <w:r w:rsidR="004A0816">
        <w:rPr>
          <w:rFonts w:cs="Arial"/>
          <w:lang w:val="en-US"/>
        </w:rPr>
        <w:t xml:space="preserve">challenges </w:t>
      </w:r>
      <w:r w:rsidR="000A178C">
        <w:rPr>
          <w:rFonts w:cs="Arial"/>
          <w:lang w:val="en-US"/>
        </w:rPr>
        <w:t xml:space="preserve">its </w:t>
      </w:r>
      <w:r w:rsidR="004A0816">
        <w:rPr>
          <w:rFonts w:cs="Arial"/>
          <w:lang w:val="en-US"/>
        </w:rPr>
        <w:t xml:space="preserve">urgency and </w:t>
      </w:r>
      <w:r w:rsidR="00F132D8">
        <w:rPr>
          <w:rFonts w:cs="Arial"/>
          <w:lang w:val="en-US"/>
        </w:rPr>
        <w:t>disputes the application on its merits.</w:t>
      </w:r>
    </w:p>
    <w:p w14:paraId="6B2C5980" w14:textId="44550C31" w:rsidR="0059519B" w:rsidRPr="0059519B" w:rsidRDefault="0059519B" w:rsidP="008C1464">
      <w:pPr>
        <w:pStyle w:val="level11"/>
        <w:numPr>
          <w:ilvl w:val="0"/>
          <w:numId w:val="0"/>
        </w:numPr>
        <w:spacing w:after="480" w:line="360" w:lineRule="auto"/>
        <w:jc w:val="both"/>
        <w:rPr>
          <w:rFonts w:cs="Arial"/>
          <w:i/>
          <w:lang w:val="en-US"/>
        </w:rPr>
      </w:pPr>
      <w:r w:rsidRPr="0059519B">
        <w:rPr>
          <w:rFonts w:cs="Arial"/>
          <w:i/>
          <w:lang w:val="en-US"/>
        </w:rPr>
        <w:lastRenderedPageBreak/>
        <w:t>Urgency</w:t>
      </w:r>
    </w:p>
    <w:p w14:paraId="538C5159" w14:textId="7A5EC839" w:rsidR="00DB24C4" w:rsidRDefault="00311384" w:rsidP="00311384">
      <w:pPr>
        <w:pStyle w:val="level11"/>
        <w:numPr>
          <w:ilvl w:val="0"/>
          <w:numId w:val="0"/>
        </w:numPr>
        <w:spacing w:after="480" w:line="360" w:lineRule="auto"/>
        <w:jc w:val="both"/>
        <w:rPr>
          <w:rFonts w:cs="Arial"/>
          <w:lang w:val="en-US"/>
        </w:rPr>
      </w:pPr>
      <w:r>
        <w:rPr>
          <w:rFonts w:cs="Arial"/>
          <w:lang w:val="en-US"/>
        </w:rPr>
        <w:t>[5]</w:t>
      </w:r>
      <w:r>
        <w:rPr>
          <w:rFonts w:cs="Arial"/>
          <w:lang w:val="en-US"/>
        </w:rPr>
        <w:tab/>
      </w:r>
      <w:r w:rsidR="0059519B">
        <w:rPr>
          <w:rFonts w:cs="Arial"/>
          <w:lang w:val="en-US"/>
        </w:rPr>
        <w:t xml:space="preserve">Having considered the papers and the arguments advanced by the respective parties, I am persuaded that the applicants have </w:t>
      </w:r>
      <w:r w:rsidR="00DB24C4">
        <w:rPr>
          <w:rFonts w:cs="Arial"/>
          <w:lang w:val="en-US"/>
        </w:rPr>
        <w:t xml:space="preserve">made out a proper case for urgency for the matter to be entertained on the urgent court’s roll. The applicants have </w:t>
      </w:r>
      <w:r w:rsidR="0059519B">
        <w:rPr>
          <w:rFonts w:cs="Arial"/>
          <w:lang w:val="en-US"/>
        </w:rPr>
        <w:t>set out their grounds of urgency with sufficient particularity to comply with r 612(b). I am further persuaded that the applicants have illustrated that they will not obtain sufficient redress at a hearing in due course</w:t>
      </w:r>
      <w:r w:rsidR="00D45AD8">
        <w:rPr>
          <w:rFonts w:cs="Arial"/>
          <w:lang w:val="en-US"/>
        </w:rPr>
        <w:t>,</w:t>
      </w:r>
      <w:r w:rsidR="0059519B">
        <w:rPr>
          <w:rStyle w:val="FootnoteReference"/>
          <w:rFonts w:cs="Arial"/>
          <w:lang w:val="en-US"/>
        </w:rPr>
        <w:footnoteReference w:id="1"/>
      </w:r>
      <w:r w:rsidR="0059519B" w:rsidRPr="00377A22">
        <w:rPr>
          <w:rFonts w:cs="Arial"/>
          <w:lang w:val="en-US"/>
        </w:rPr>
        <w:t xml:space="preserve"> considering the risk of ongoing harm in the face of the respondent</w:t>
      </w:r>
      <w:r w:rsidR="0059519B">
        <w:rPr>
          <w:rFonts w:cs="Arial"/>
          <w:lang w:val="en-US"/>
        </w:rPr>
        <w:t>’</w:t>
      </w:r>
      <w:r w:rsidR="0059519B" w:rsidRPr="00377A22">
        <w:rPr>
          <w:rFonts w:cs="Arial"/>
          <w:lang w:val="en-US"/>
        </w:rPr>
        <w:t>s</w:t>
      </w:r>
      <w:r w:rsidR="0059519B">
        <w:rPr>
          <w:rFonts w:cs="Arial"/>
          <w:lang w:val="en-US"/>
        </w:rPr>
        <w:t xml:space="preserve"> </w:t>
      </w:r>
      <w:r w:rsidR="0059519B" w:rsidRPr="00377A22">
        <w:rPr>
          <w:rFonts w:cs="Arial"/>
          <w:lang w:val="en-US"/>
        </w:rPr>
        <w:t>conduct</w:t>
      </w:r>
      <w:r w:rsidR="0059519B">
        <w:rPr>
          <w:rFonts w:cs="Arial"/>
          <w:lang w:val="en-US"/>
        </w:rPr>
        <w:t xml:space="preserve">. </w:t>
      </w:r>
    </w:p>
    <w:p w14:paraId="1C515C88" w14:textId="0F52E66E" w:rsidR="0059519B" w:rsidRDefault="00311384" w:rsidP="00311384">
      <w:pPr>
        <w:pStyle w:val="level11"/>
        <w:numPr>
          <w:ilvl w:val="0"/>
          <w:numId w:val="0"/>
        </w:numPr>
        <w:spacing w:after="480" w:line="360" w:lineRule="auto"/>
        <w:jc w:val="both"/>
        <w:rPr>
          <w:rFonts w:cs="Arial"/>
          <w:lang w:val="en-US"/>
        </w:rPr>
      </w:pPr>
      <w:r>
        <w:rPr>
          <w:rFonts w:cs="Arial"/>
          <w:lang w:val="en-US"/>
        </w:rPr>
        <w:t>[6]</w:t>
      </w:r>
      <w:r>
        <w:rPr>
          <w:rFonts w:cs="Arial"/>
          <w:lang w:val="en-US"/>
        </w:rPr>
        <w:tab/>
      </w:r>
      <w:r w:rsidR="0059519B">
        <w:rPr>
          <w:rFonts w:cs="Arial"/>
          <w:lang w:val="en-US"/>
        </w:rPr>
        <w:t xml:space="preserve">On her own version </w:t>
      </w:r>
      <w:r w:rsidR="000A178C">
        <w:rPr>
          <w:rFonts w:cs="Arial"/>
          <w:lang w:val="en-US"/>
        </w:rPr>
        <w:t>t</w:t>
      </w:r>
      <w:r w:rsidR="0059519B">
        <w:rPr>
          <w:rFonts w:cs="Arial"/>
          <w:lang w:val="en-US"/>
        </w:rPr>
        <w:t xml:space="preserve">he </w:t>
      </w:r>
      <w:r w:rsidR="000A178C">
        <w:rPr>
          <w:rFonts w:cs="Arial"/>
          <w:lang w:val="en-US"/>
        </w:rPr>
        <w:t xml:space="preserve">respondent </w:t>
      </w:r>
      <w:r w:rsidR="0059519B">
        <w:rPr>
          <w:rFonts w:cs="Arial"/>
          <w:lang w:val="en-US"/>
        </w:rPr>
        <w:t xml:space="preserve">considers her conduct lawful and </w:t>
      </w:r>
      <w:r w:rsidR="000A178C">
        <w:rPr>
          <w:rFonts w:cs="Arial"/>
          <w:lang w:val="en-US"/>
        </w:rPr>
        <w:t xml:space="preserve">she has </w:t>
      </w:r>
      <w:r w:rsidR="0059519B">
        <w:rPr>
          <w:rFonts w:cs="Arial"/>
          <w:lang w:val="en-US"/>
        </w:rPr>
        <w:t>give</w:t>
      </w:r>
      <w:r w:rsidR="000A178C">
        <w:rPr>
          <w:rFonts w:cs="Arial"/>
          <w:lang w:val="en-US"/>
        </w:rPr>
        <w:t>n</w:t>
      </w:r>
      <w:r w:rsidR="0059519B">
        <w:rPr>
          <w:rFonts w:cs="Arial"/>
          <w:lang w:val="en-US"/>
        </w:rPr>
        <w:t xml:space="preserve"> no indicat</w:t>
      </w:r>
      <w:r w:rsidR="000A178C">
        <w:rPr>
          <w:rFonts w:cs="Arial"/>
          <w:lang w:val="en-US"/>
        </w:rPr>
        <w:t>i</w:t>
      </w:r>
      <w:r w:rsidR="0059519B">
        <w:rPr>
          <w:rFonts w:cs="Arial"/>
          <w:lang w:val="en-US"/>
        </w:rPr>
        <w:t xml:space="preserve">on that she will desist therefrom. </w:t>
      </w:r>
      <w:r w:rsidR="000A178C">
        <w:rPr>
          <w:rFonts w:cs="Arial"/>
          <w:lang w:val="en-US"/>
        </w:rPr>
        <w:t xml:space="preserve">The respondent has further failed to provide any undertakings to the applicants. </w:t>
      </w:r>
      <w:r w:rsidR="0059519B">
        <w:rPr>
          <w:rFonts w:cs="Arial"/>
          <w:lang w:val="en-US"/>
        </w:rPr>
        <w:t>It is well established that where the defiance of a court order is of an ongoing nature, it underscores the urgency of an application</w:t>
      </w:r>
      <w:r w:rsidR="00D45AD8">
        <w:rPr>
          <w:rFonts w:cs="Arial"/>
          <w:lang w:val="en-US"/>
        </w:rPr>
        <w:t>.</w:t>
      </w:r>
      <w:r w:rsidR="0059519B">
        <w:rPr>
          <w:rStyle w:val="FootnoteReference"/>
          <w:rFonts w:cs="Arial"/>
          <w:lang w:val="en-US"/>
        </w:rPr>
        <w:footnoteReference w:id="2"/>
      </w:r>
    </w:p>
    <w:p w14:paraId="785790FD" w14:textId="325F5BD6" w:rsidR="0059519B" w:rsidRDefault="00311384" w:rsidP="00311384">
      <w:pPr>
        <w:pStyle w:val="level11"/>
        <w:numPr>
          <w:ilvl w:val="0"/>
          <w:numId w:val="0"/>
        </w:numPr>
        <w:spacing w:after="480" w:line="360" w:lineRule="auto"/>
        <w:jc w:val="both"/>
        <w:rPr>
          <w:rFonts w:cs="Arial"/>
          <w:lang w:val="en-US"/>
        </w:rPr>
      </w:pPr>
      <w:r>
        <w:rPr>
          <w:rFonts w:cs="Arial"/>
          <w:lang w:val="en-US"/>
        </w:rPr>
        <w:t>[7]</w:t>
      </w:r>
      <w:r>
        <w:rPr>
          <w:rFonts w:cs="Arial"/>
          <w:lang w:val="en-US"/>
        </w:rPr>
        <w:tab/>
      </w:r>
      <w:r w:rsidR="0059519B">
        <w:rPr>
          <w:rFonts w:cs="Arial"/>
          <w:lang w:val="en-US"/>
        </w:rPr>
        <w:t xml:space="preserve"> Considering the facts and the substantive evidence provided by</w:t>
      </w:r>
      <w:r w:rsidR="00DB24C4">
        <w:rPr>
          <w:rFonts w:cs="Arial"/>
          <w:lang w:val="en-US"/>
        </w:rPr>
        <w:t xml:space="preserve"> the applicant’s witness, </w:t>
      </w:r>
      <w:proofErr w:type="spellStart"/>
      <w:r w:rsidR="0059519B">
        <w:rPr>
          <w:rFonts w:cs="Arial"/>
          <w:lang w:val="en-US"/>
        </w:rPr>
        <w:t>Mr</w:t>
      </w:r>
      <w:proofErr w:type="spellEnd"/>
      <w:r w:rsidR="0059519B">
        <w:rPr>
          <w:rFonts w:cs="Arial"/>
          <w:lang w:val="en-US"/>
        </w:rPr>
        <w:t xml:space="preserve"> Van </w:t>
      </w:r>
      <w:proofErr w:type="spellStart"/>
      <w:r w:rsidR="0059519B">
        <w:rPr>
          <w:rFonts w:cs="Arial"/>
          <w:lang w:val="en-US"/>
        </w:rPr>
        <w:t>Wyk</w:t>
      </w:r>
      <w:proofErr w:type="spellEnd"/>
      <w:r w:rsidR="0059519B">
        <w:rPr>
          <w:rFonts w:cs="Arial"/>
          <w:lang w:val="en-US"/>
        </w:rPr>
        <w:t xml:space="preserve"> in </w:t>
      </w:r>
      <w:r w:rsidR="00DB24C4">
        <w:rPr>
          <w:rFonts w:cs="Arial"/>
          <w:lang w:val="en-US"/>
        </w:rPr>
        <w:t>an extensive</w:t>
      </w:r>
      <w:r w:rsidR="0059519B">
        <w:rPr>
          <w:rFonts w:cs="Arial"/>
          <w:lang w:val="en-US"/>
        </w:rPr>
        <w:t xml:space="preserve"> affidavit</w:t>
      </w:r>
      <w:r w:rsidR="00DB24C4">
        <w:rPr>
          <w:rFonts w:cs="Arial"/>
          <w:lang w:val="en-US"/>
        </w:rPr>
        <w:t xml:space="preserve"> attached to the founding papers</w:t>
      </w:r>
      <w:r w:rsidR="0059519B">
        <w:rPr>
          <w:rFonts w:cs="Arial"/>
          <w:lang w:val="en-US"/>
        </w:rPr>
        <w:t xml:space="preserve">, it cannot be concluded that the applicants delayed in the launching of the application for some five months or that the urgency is self-created, as contended by the respondent. Moreover, the applicants explain that the threat of a contempt application during November 2022 pertained to other breaches of the 2022 order. </w:t>
      </w:r>
    </w:p>
    <w:p w14:paraId="6E171A5D" w14:textId="0017F6B0" w:rsidR="00DB24C4" w:rsidRDefault="00311384" w:rsidP="00311384">
      <w:pPr>
        <w:pStyle w:val="level11"/>
        <w:numPr>
          <w:ilvl w:val="0"/>
          <w:numId w:val="0"/>
        </w:numPr>
        <w:spacing w:after="480" w:line="360" w:lineRule="auto"/>
        <w:jc w:val="both"/>
        <w:rPr>
          <w:rFonts w:cs="Arial"/>
          <w:lang w:val="en-US"/>
        </w:rPr>
      </w:pPr>
      <w:r>
        <w:rPr>
          <w:rFonts w:cs="Arial"/>
          <w:lang w:val="en-US"/>
        </w:rPr>
        <w:t>[8]</w:t>
      </w:r>
      <w:r>
        <w:rPr>
          <w:rFonts w:cs="Arial"/>
          <w:lang w:val="en-US"/>
        </w:rPr>
        <w:tab/>
      </w:r>
      <w:r w:rsidR="00DB24C4">
        <w:rPr>
          <w:rFonts w:cs="Arial"/>
          <w:lang w:val="en-US"/>
        </w:rPr>
        <w:t xml:space="preserve">Prior to considering the merits there are </w:t>
      </w:r>
      <w:proofErr w:type="gramStart"/>
      <w:r w:rsidR="00DB24C4">
        <w:rPr>
          <w:rFonts w:cs="Arial"/>
          <w:lang w:val="en-US"/>
        </w:rPr>
        <w:t>a number of</w:t>
      </w:r>
      <w:proofErr w:type="gramEnd"/>
      <w:r w:rsidR="00DB24C4">
        <w:rPr>
          <w:rFonts w:cs="Arial"/>
          <w:lang w:val="en-US"/>
        </w:rPr>
        <w:t xml:space="preserve"> issues which require determination.</w:t>
      </w:r>
    </w:p>
    <w:p w14:paraId="6C025480" w14:textId="77777777" w:rsidR="005108AD" w:rsidRDefault="005108AD" w:rsidP="00DB24C4">
      <w:pPr>
        <w:pStyle w:val="level11"/>
        <w:numPr>
          <w:ilvl w:val="0"/>
          <w:numId w:val="0"/>
        </w:numPr>
        <w:spacing w:after="480" w:line="360" w:lineRule="auto"/>
        <w:jc w:val="both"/>
        <w:rPr>
          <w:rFonts w:cs="Arial"/>
          <w:i/>
          <w:lang w:val="en-US"/>
        </w:rPr>
      </w:pPr>
    </w:p>
    <w:p w14:paraId="6E0F2E45" w14:textId="2743B84E" w:rsidR="0059519B" w:rsidRPr="0059519B" w:rsidRDefault="0059519B" w:rsidP="00DB24C4">
      <w:pPr>
        <w:pStyle w:val="level11"/>
        <w:numPr>
          <w:ilvl w:val="0"/>
          <w:numId w:val="0"/>
        </w:numPr>
        <w:spacing w:after="480" w:line="360" w:lineRule="auto"/>
        <w:jc w:val="both"/>
        <w:rPr>
          <w:rFonts w:cs="Arial"/>
          <w:i/>
          <w:lang w:val="en-US"/>
        </w:rPr>
      </w:pPr>
      <w:r w:rsidRPr="0059519B">
        <w:rPr>
          <w:rFonts w:cs="Arial"/>
          <w:i/>
          <w:lang w:val="en-US"/>
        </w:rPr>
        <w:lastRenderedPageBreak/>
        <w:t>Amendment</w:t>
      </w:r>
    </w:p>
    <w:p w14:paraId="26959807" w14:textId="170D9BA0" w:rsidR="0045799A" w:rsidRDefault="00311384" w:rsidP="00311384">
      <w:pPr>
        <w:pStyle w:val="level11"/>
        <w:numPr>
          <w:ilvl w:val="0"/>
          <w:numId w:val="0"/>
        </w:numPr>
        <w:spacing w:after="480" w:line="360" w:lineRule="auto"/>
        <w:jc w:val="both"/>
        <w:rPr>
          <w:rFonts w:cs="Arial"/>
          <w:lang w:val="en-US"/>
        </w:rPr>
      </w:pPr>
      <w:r>
        <w:rPr>
          <w:rFonts w:cs="Arial"/>
          <w:lang w:val="en-US"/>
        </w:rPr>
        <w:t>[9]</w:t>
      </w:r>
      <w:r>
        <w:rPr>
          <w:rFonts w:cs="Arial"/>
          <w:lang w:val="en-US"/>
        </w:rPr>
        <w:tab/>
      </w:r>
      <w:r w:rsidR="0059519B">
        <w:rPr>
          <w:rFonts w:cs="Arial"/>
          <w:lang w:val="en-US"/>
        </w:rPr>
        <w:t>At the hearing</w:t>
      </w:r>
      <w:r w:rsidR="00DB24C4">
        <w:rPr>
          <w:rFonts w:cs="Arial"/>
          <w:lang w:val="en-US"/>
        </w:rPr>
        <w:t>,</w:t>
      </w:r>
      <w:r w:rsidR="0059519B">
        <w:rPr>
          <w:rFonts w:cs="Arial"/>
          <w:lang w:val="en-US"/>
        </w:rPr>
        <w:t xml:space="preserve"> the applicants sought an amendment of the </w:t>
      </w:r>
      <w:r w:rsidR="00DB24C4">
        <w:rPr>
          <w:rFonts w:cs="Arial"/>
          <w:lang w:val="en-US"/>
        </w:rPr>
        <w:t>citation of</w:t>
      </w:r>
      <w:r w:rsidR="0059519B">
        <w:rPr>
          <w:rFonts w:cs="Arial"/>
          <w:lang w:val="en-US"/>
        </w:rPr>
        <w:t xml:space="preserve"> the first applicant </w:t>
      </w:r>
      <w:r w:rsidR="00DB24C4">
        <w:rPr>
          <w:rFonts w:cs="Arial"/>
          <w:lang w:val="en-US"/>
        </w:rPr>
        <w:t xml:space="preserve">in the headings of the application papers </w:t>
      </w:r>
      <w:r w:rsidR="0059519B">
        <w:rPr>
          <w:rFonts w:cs="Arial"/>
          <w:lang w:val="en-US"/>
        </w:rPr>
        <w:t xml:space="preserve">by </w:t>
      </w:r>
      <w:r w:rsidR="00DB24C4">
        <w:rPr>
          <w:rFonts w:cs="Arial"/>
          <w:lang w:val="en-US"/>
        </w:rPr>
        <w:t xml:space="preserve">the </w:t>
      </w:r>
      <w:r w:rsidR="0059519B">
        <w:rPr>
          <w:rFonts w:cs="Arial"/>
          <w:lang w:val="en-US"/>
        </w:rPr>
        <w:t>deleti</w:t>
      </w:r>
      <w:r w:rsidR="00DB24C4">
        <w:rPr>
          <w:rFonts w:cs="Arial"/>
          <w:lang w:val="en-US"/>
        </w:rPr>
        <w:t>o</w:t>
      </w:r>
      <w:r w:rsidR="0059519B">
        <w:rPr>
          <w:rFonts w:cs="Arial"/>
          <w:lang w:val="en-US"/>
        </w:rPr>
        <w:t>n</w:t>
      </w:r>
      <w:r w:rsidR="00DB24C4">
        <w:rPr>
          <w:rFonts w:cs="Arial"/>
          <w:lang w:val="en-US"/>
        </w:rPr>
        <w:t xml:space="preserve"> of </w:t>
      </w:r>
      <w:r w:rsidR="0059519B">
        <w:rPr>
          <w:rFonts w:cs="Arial"/>
          <w:lang w:val="en-US"/>
        </w:rPr>
        <w:t xml:space="preserve">the registration number 2016/394855/07 and </w:t>
      </w:r>
      <w:r w:rsidR="00DB24C4">
        <w:rPr>
          <w:rFonts w:cs="Arial"/>
          <w:lang w:val="en-US"/>
        </w:rPr>
        <w:t xml:space="preserve">the </w:t>
      </w:r>
      <w:r w:rsidR="0059519B">
        <w:rPr>
          <w:rFonts w:cs="Arial"/>
          <w:lang w:val="en-US"/>
        </w:rPr>
        <w:t>substituti</w:t>
      </w:r>
      <w:r w:rsidR="00DB24C4">
        <w:rPr>
          <w:rFonts w:cs="Arial"/>
          <w:lang w:val="en-US"/>
        </w:rPr>
        <w:t>o</w:t>
      </w:r>
      <w:r w:rsidR="0059519B">
        <w:rPr>
          <w:rFonts w:cs="Arial"/>
          <w:lang w:val="en-US"/>
        </w:rPr>
        <w:t>n</w:t>
      </w:r>
      <w:r w:rsidR="00DB24C4">
        <w:rPr>
          <w:rFonts w:cs="Arial"/>
          <w:lang w:val="en-US"/>
        </w:rPr>
        <w:t xml:space="preserve"> thereof</w:t>
      </w:r>
      <w:r w:rsidR="0059519B">
        <w:rPr>
          <w:rFonts w:cs="Arial"/>
          <w:lang w:val="en-US"/>
        </w:rPr>
        <w:t xml:space="preserve"> with the regi</w:t>
      </w:r>
      <w:r w:rsidR="0045799A">
        <w:rPr>
          <w:rFonts w:cs="Arial"/>
          <w:lang w:val="en-US"/>
        </w:rPr>
        <w:t>stration number 2017/021945/07.</w:t>
      </w:r>
    </w:p>
    <w:p w14:paraId="1339307E" w14:textId="1BB5586A" w:rsidR="00DB24C4" w:rsidRDefault="00311384" w:rsidP="00311384">
      <w:pPr>
        <w:pStyle w:val="level11"/>
        <w:numPr>
          <w:ilvl w:val="0"/>
          <w:numId w:val="0"/>
        </w:numPr>
        <w:spacing w:after="480" w:line="360" w:lineRule="auto"/>
        <w:jc w:val="both"/>
        <w:rPr>
          <w:rFonts w:cs="Arial"/>
          <w:lang w:val="en-US"/>
        </w:rPr>
      </w:pPr>
      <w:r>
        <w:rPr>
          <w:rFonts w:cs="Arial"/>
          <w:lang w:val="en-US"/>
        </w:rPr>
        <w:t>[10]</w:t>
      </w:r>
      <w:r>
        <w:rPr>
          <w:rFonts w:cs="Arial"/>
          <w:lang w:val="en-US"/>
        </w:rPr>
        <w:tab/>
      </w:r>
      <w:r w:rsidR="0059519B" w:rsidRPr="0045799A">
        <w:rPr>
          <w:rFonts w:cs="Arial"/>
          <w:lang w:val="en-US"/>
        </w:rPr>
        <w:t>That application is opposed by the respondent.</w:t>
      </w:r>
      <w:r w:rsidR="002D2601">
        <w:rPr>
          <w:rFonts w:cs="Arial"/>
          <w:lang w:val="en-US"/>
        </w:rPr>
        <w:t xml:space="preserve"> </w:t>
      </w:r>
      <w:r w:rsidR="00DB24C4" w:rsidRPr="0045799A">
        <w:rPr>
          <w:rFonts w:cs="Arial"/>
          <w:lang w:val="en-US"/>
        </w:rPr>
        <w:t xml:space="preserve">The applicants in their replying affidavit explain that the wrong company registration number was inadvertently provided by the second applicant in error, the deponent to their affidavits to their attorneys which resulted in the incorrect registration number being reflected on their papers. The respondent relied on such incorrect registration number in raising various points </w:t>
      </w:r>
      <w:r w:rsidR="00DB24C4" w:rsidRPr="0045799A">
        <w:rPr>
          <w:rFonts w:cs="Arial"/>
          <w:i/>
          <w:lang w:val="en-US"/>
        </w:rPr>
        <w:t xml:space="preserve">in </w:t>
      </w:r>
      <w:proofErr w:type="spellStart"/>
      <w:r w:rsidR="00DB24C4" w:rsidRPr="0045799A">
        <w:rPr>
          <w:rFonts w:cs="Arial"/>
          <w:i/>
          <w:lang w:val="en-US"/>
        </w:rPr>
        <w:t>limine</w:t>
      </w:r>
      <w:proofErr w:type="spellEnd"/>
      <w:r w:rsidR="00DB24C4" w:rsidRPr="0045799A">
        <w:rPr>
          <w:rFonts w:cs="Arial"/>
          <w:i/>
          <w:lang w:val="en-US"/>
        </w:rPr>
        <w:t xml:space="preserve"> </w:t>
      </w:r>
      <w:r w:rsidR="00DB24C4" w:rsidRPr="0045799A">
        <w:rPr>
          <w:rFonts w:cs="Arial"/>
          <w:lang w:val="en-US"/>
        </w:rPr>
        <w:t xml:space="preserve">to which I later return. </w:t>
      </w:r>
    </w:p>
    <w:p w14:paraId="742D0BE6" w14:textId="23840B61" w:rsidR="005108AD" w:rsidRPr="00E21656" w:rsidRDefault="00311384" w:rsidP="00311384">
      <w:pPr>
        <w:pStyle w:val="level11"/>
        <w:numPr>
          <w:ilvl w:val="0"/>
          <w:numId w:val="0"/>
        </w:numPr>
        <w:spacing w:after="480" w:line="360" w:lineRule="auto"/>
        <w:jc w:val="both"/>
        <w:rPr>
          <w:rFonts w:cs="Arial"/>
          <w:lang w:val="en-US"/>
        </w:rPr>
      </w:pPr>
      <w:r w:rsidRPr="00E21656">
        <w:rPr>
          <w:rFonts w:cs="Arial"/>
          <w:lang w:val="en-US"/>
        </w:rPr>
        <w:t>[11]</w:t>
      </w:r>
      <w:r w:rsidRPr="00E21656">
        <w:rPr>
          <w:rFonts w:cs="Arial"/>
          <w:lang w:val="en-US"/>
        </w:rPr>
        <w:tab/>
      </w:r>
      <w:r w:rsidR="0059519B" w:rsidRPr="00E21656">
        <w:rPr>
          <w:rFonts w:cs="Arial"/>
          <w:lang w:val="en-US"/>
        </w:rPr>
        <w:t>I am persuaded that it is in the interests of justice for the amendment to be granted so that the application can be determined on its true facts. The respondent did not seek leave to lead any countervailing evidence to the explanation tendered by the applicants</w:t>
      </w:r>
      <w:r w:rsidR="00DB24C4" w:rsidRPr="00E21656">
        <w:rPr>
          <w:rFonts w:cs="Arial"/>
          <w:lang w:val="en-US"/>
        </w:rPr>
        <w:t xml:space="preserve">. </w:t>
      </w:r>
      <w:r w:rsidR="0059519B" w:rsidRPr="00E21656">
        <w:rPr>
          <w:rFonts w:cs="Arial"/>
          <w:lang w:val="en-US"/>
        </w:rPr>
        <w:t xml:space="preserve">On the respondent’s own version, </w:t>
      </w:r>
      <w:r w:rsidR="00DB24C4" w:rsidRPr="00E21656">
        <w:rPr>
          <w:rFonts w:cs="Arial"/>
          <w:lang w:val="en-US"/>
        </w:rPr>
        <w:t xml:space="preserve">she had been employed by </w:t>
      </w:r>
      <w:r w:rsidR="0059519B" w:rsidRPr="00E21656">
        <w:rPr>
          <w:rFonts w:cs="Arial"/>
          <w:lang w:val="en-US"/>
        </w:rPr>
        <w:t xml:space="preserve">the first applicant </w:t>
      </w:r>
      <w:r w:rsidR="004C5B89" w:rsidRPr="00E21656">
        <w:rPr>
          <w:rFonts w:cs="Arial"/>
          <w:lang w:val="en-US"/>
        </w:rPr>
        <w:t xml:space="preserve">and the respondent would not be prejudiced by the amendment. </w:t>
      </w:r>
      <w:r w:rsidR="0059519B" w:rsidRPr="00E21656">
        <w:rPr>
          <w:rFonts w:cs="Arial"/>
          <w:lang w:val="en-US"/>
        </w:rPr>
        <w:t xml:space="preserve"> </w:t>
      </w:r>
    </w:p>
    <w:p w14:paraId="351224CB" w14:textId="68B7F489" w:rsidR="0059519B" w:rsidRPr="00A35007" w:rsidRDefault="000B24E3" w:rsidP="000475EE">
      <w:pPr>
        <w:pStyle w:val="level11"/>
        <w:numPr>
          <w:ilvl w:val="0"/>
          <w:numId w:val="0"/>
        </w:numPr>
        <w:spacing w:after="480" w:line="360" w:lineRule="auto"/>
        <w:jc w:val="both"/>
        <w:rPr>
          <w:rFonts w:cs="Arial"/>
          <w:i/>
          <w:lang w:val="en-US"/>
        </w:rPr>
      </w:pPr>
      <w:r w:rsidRPr="00A35007">
        <w:rPr>
          <w:rFonts w:cs="Arial"/>
          <w:i/>
          <w:lang w:val="en-US"/>
        </w:rPr>
        <w:t>The various p</w:t>
      </w:r>
      <w:r w:rsidR="0059519B" w:rsidRPr="00A35007">
        <w:rPr>
          <w:rFonts w:cs="Arial"/>
          <w:i/>
          <w:lang w:val="en-US"/>
        </w:rPr>
        <w:t xml:space="preserve">oints in </w:t>
      </w:r>
      <w:proofErr w:type="spellStart"/>
      <w:r w:rsidR="0059519B" w:rsidRPr="00A35007">
        <w:rPr>
          <w:rFonts w:cs="Arial"/>
          <w:i/>
          <w:lang w:val="en-US"/>
        </w:rPr>
        <w:t>limine</w:t>
      </w:r>
      <w:proofErr w:type="spellEnd"/>
    </w:p>
    <w:p w14:paraId="7B371B3D" w14:textId="08D9B867" w:rsidR="0039420D" w:rsidRDefault="00311384" w:rsidP="00311384">
      <w:pPr>
        <w:pStyle w:val="level11"/>
        <w:numPr>
          <w:ilvl w:val="0"/>
          <w:numId w:val="0"/>
        </w:numPr>
        <w:spacing w:after="480" w:line="360" w:lineRule="auto"/>
        <w:jc w:val="both"/>
        <w:rPr>
          <w:rFonts w:cs="Arial"/>
          <w:lang w:val="en-US"/>
        </w:rPr>
      </w:pPr>
      <w:r>
        <w:rPr>
          <w:rFonts w:cs="Arial"/>
          <w:lang w:val="en-US"/>
        </w:rPr>
        <w:t>[12]</w:t>
      </w:r>
      <w:r>
        <w:rPr>
          <w:rFonts w:cs="Arial"/>
          <w:lang w:val="en-US"/>
        </w:rPr>
        <w:tab/>
      </w:r>
      <w:r w:rsidR="00F132D8">
        <w:rPr>
          <w:rFonts w:cs="Arial"/>
          <w:lang w:val="en-US"/>
        </w:rPr>
        <w:t xml:space="preserve">The respondent further raises three points </w:t>
      </w:r>
      <w:r w:rsidR="00F132D8" w:rsidRPr="00F132D8">
        <w:rPr>
          <w:rFonts w:cs="Arial"/>
          <w:i/>
          <w:lang w:val="en-US"/>
        </w:rPr>
        <w:t xml:space="preserve">in </w:t>
      </w:r>
      <w:proofErr w:type="spellStart"/>
      <w:r w:rsidR="00F132D8" w:rsidRPr="00F132D8">
        <w:rPr>
          <w:rFonts w:cs="Arial"/>
          <w:i/>
          <w:lang w:val="en-US"/>
        </w:rPr>
        <w:t>limine</w:t>
      </w:r>
      <w:proofErr w:type="spellEnd"/>
      <w:r w:rsidR="00F132D8">
        <w:rPr>
          <w:rFonts w:cs="Arial"/>
          <w:lang w:val="en-US"/>
        </w:rPr>
        <w:t xml:space="preserve"> challenging the </w:t>
      </w:r>
      <w:r w:rsidR="00F132D8" w:rsidRPr="00BC1ADA">
        <w:rPr>
          <w:rFonts w:cs="Arial"/>
          <w:i/>
          <w:lang w:val="en-US"/>
        </w:rPr>
        <w:t>locus standi</w:t>
      </w:r>
      <w:r w:rsidR="00F132D8">
        <w:rPr>
          <w:rFonts w:cs="Arial"/>
          <w:lang w:val="en-US"/>
        </w:rPr>
        <w:t xml:space="preserve"> of the applicants, </w:t>
      </w:r>
      <w:r w:rsidR="004C5B89">
        <w:rPr>
          <w:rFonts w:cs="Arial"/>
          <w:lang w:val="en-US"/>
        </w:rPr>
        <w:t xml:space="preserve">mainly </w:t>
      </w:r>
      <w:r w:rsidR="00BC1ADA">
        <w:rPr>
          <w:rFonts w:cs="Arial"/>
          <w:lang w:val="en-US"/>
        </w:rPr>
        <w:t>predicated</w:t>
      </w:r>
      <w:r w:rsidR="00F132D8">
        <w:rPr>
          <w:rFonts w:cs="Arial"/>
          <w:lang w:val="en-US"/>
        </w:rPr>
        <w:t xml:space="preserve"> on the first applicant’s registration number being reflected as 2016/394855/07, which belongs to an entity styled </w:t>
      </w:r>
      <w:r w:rsidR="004C5B89">
        <w:rPr>
          <w:rFonts w:cs="Arial"/>
          <w:lang w:val="en-US"/>
        </w:rPr>
        <w:t>“</w:t>
      </w:r>
      <w:r w:rsidR="00BC1ADA">
        <w:rPr>
          <w:rFonts w:cs="Arial"/>
          <w:lang w:val="en-US"/>
        </w:rPr>
        <w:t>Ace Risk Management</w:t>
      </w:r>
      <w:r w:rsidR="004C5B89">
        <w:rPr>
          <w:rFonts w:cs="Arial"/>
          <w:lang w:val="en-US"/>
        </w:rPr>
        <w:t xml:space="preserve">” and on the contention that the third respondent who was not a party to the proceedings under case number 2022-325, lacks </w:t>
      </w:r>
      <w:r w:rsidR="004C5B89" w:rsidRPr="004C5B89">
        <w:rPr>
          <w:rFonts w:cs="Arial"/>
          <w:i/>
          <w:lang w:val="en-US"/>
        </w:rPr>
        <w:t>locus standi</w:t>
      </w:r>
      <w:r w:rsidR="00BC1ADA">
        <w:rPr>
          <w:rFonts w:cs="Arial"/>
          <w:lang w:val="en-US"/>
        </w:rPr>
        <w:t xml:space="preserve">. </w:t>
      </w:r>
      <w:r w:rsidR="0081304A">
        <w:rPr>
          <w:rFonts w:cs="Arial"/>
          <w:lang w:val="en-US"/>
        </w:rPr>
        <w:t>The respondent seeks the dismissal of the application together with a punitive costs order.</w:t>
      </w:r>
    </w:p>
    <w:p w14:paraId="583D1C0C" w14:textId="779E240B" w:rsidR="000B24E3" w:rsidRDefault="00311384" w:rsidP="00311384">
      <w:pPr>
        <w:pStyle w:val="level11"/>
        <w:numPr>
          <w:ilvl w:val="0"/>
          <w:numId w:val="0"/>
        </w:numPr>
        <w:spacing w:after="480" w:line="360" w:lineRule="auto"/>
        <w:jc w:val="both"/>
        <w:rPr>
          <w:rFonts w:cs="Arial"/>
          <w:lang w:val="en-US"/>
        </w:rPr>
      </w:pPr>
      <w:r>
        <w:rPr>
          <w:rFonts w:cs="Arial"/>
          <w:lang w:val="en-US"/>
        </w:rPr>
        <w:lastRenderedPageBreak/>
        <w:t>[13]</w:t>
      </w:r>
      <w:r>
        <w:rPr>
          <w:rFonts w:cs="Arial"/>
          <w:lang w:val="en-US"/>
        </w:rPr>
        <w:tab/>
      </w:r>
      <w:r w:rsidR="005E0BBF">
        <w:rPr>
          <w:rFonts w:cs="Arial"/>
          <w:lang w:val="en-US"/>
        </w:rPr>
        <w:t>In turn</w:t>
      </w:r>
      <w:r w:rsidR="00F804C0">
        <w:rPr>
          <w:rFonts w:cs="Arial"/>
          <w:lang w:val="en-US"/>
        </w:rPr>
        <w:t>,</w:t>
      </w:r>
      <w:r w:rsidR="005E0BBF">
        <w:rPr>
          <w:rFonts w:cs="Arial"/>
          <w:lang w:val="en-US"/>
        </w:rPr>
        <w:t xml:space="preserve"> the applicants </w:t>
      </w:r>
      <w:r w:rsidR="00601C8D" w:rsidRPr="00601C8D">
        <w:rPr>
          <w:rFonts w:cs="Arial"/>
          <w:i/>
          <w:lang w:val="en-US"/>
        </w:rPr>
        <w:t xml:space="preserve">in </w:t>
      </w:r>
      <w:proofErr w:type="spellStart"/>
      <w:r w:rsidR="00601C8D" w:rsidRPr="00601C8D">
        <w:rPr>
          <w:rFonts w:cs="Arial"/>
          <w:i/>
          <w:lang w:val="en-US"/>
        </w:rPr>
        <w:t>limine</w:t>
      </w:r>
      <w:proofErr w:type="spellEnd"/>
      <w:r w:rsidR="00601C8D" w:rsidRPr="00601C8D">
        <w:rPr>
          <w:rFonts w:cs="Arial"/>
          <w:i/>
          <w:lang w:val="en-US"/>
        </w:rPr>
        <w:t xml:space="preserve"> </w:t>
      </w:r>
      <w:r w:rsidR="005E0BBF">
        <w:rPr>
          <w:rFonts w:cs="Arial"/>
          <w:lang w:val="en-US"/>
        </w:rPr>
        <w:t>challenge the respondent’s answering affidavit on the basis that the commissioner of oaths who had commissioned the respondent’s answering affidavit is the spouse of the respondent’s attorney of record and thus lacks independence.</w:t>
      </w:r>
      <w:r w:rsidR="00762082">
        <w:rPr>
          <w:rFonts w:cs="Arial"/>
          <w:lang w:val="en-US"/>
        </w:rPr>
        <w:t xml:space="preserve"> It is also contended that the </w:t>
      </w:r>
      <w:r w:rsidR="000B24E3">
        <w:rPr>
          <w:rFonts w:cs="Arial"/>
          <w:lang w:val="en-US"/>
        </w:rPr>
        <w:t xml:space="preserve">male </w:t>
      </w:r>
      <w:r w:rsidR="00762082">
        <w:rPr>
          <w:rFonts w:cs="Arial"/>
          <w:lang w:val="en-US"/>
        </w:rPr>
        <w:t xml:space="preserve">deponents to the confirmatory affidavits attached to the respondent’s answering affidavit were not present when the affidavits were commissioned because their gender was in each instance, incorrectly reflected as female by use of the word “she”. </w:t>
      </w:r>
      <w:r w:rsidR="005E0BBF">
        <w:rPr>
          <w:rFonts w:cs="Arial"/>
          <w:lang w:val="en-US"/>
        </w:rPr>
        <w:t xml:space="preserve"> </w:t>
      </w:r>
      <w:r w:rsidR="000B24E3">
        <w:rPr>
          <w:rFonts w:cs="Arial"/>
          <w:lang w:val="en-US"/>
        </w:rPr>
        <w:t xml:space="preserve">It is argued that the answering affidavit should be disregarded. </w:t>
      </w:r>
    </w:p>
    <w:p w14:paraId="1DBA42C6" w14:textId="7573D422" w:rsidR="005E0BBF" w:rsidRPr="000B24E3" w:rsidRDefault="00311384" w:rsidP="00311384">
      <w:pPr>
        <w:pStyle w:val="level11"/>
        <w:numPr>
          <w:ilvl w:val="0"/>
          <w:numId w:val="0"/>
        </w:numPr>
        <w:spacing w:after="480" w:line="360" w:lineRule="auto"/>
        <w:jc w:val="both"/>
        <w:rPr>
          <w:rFonts w:cs="Arial"/>
          <w:lang w:val="en-US"/>
        </w:rPr>
      </w:pPr>
      <w:r w:rsidRPr="000B24E3">
        <w:rPr>
          <w:rFonts w:cs="Arial"/>
          <w:lang w:val="en-US"/>
        </w:rPr>
        <w:t>[14]</w:t>
      </w:r>
      <w:r w:rsidRPr="000B24E3">
        <w:rPr>
          <w:rFonts w:cs="Arial"/>
          <w:lang w:val="en-US"/>
        </w:rPr>
        <w:tab/>
      </w:r>
      <w:r w:rsidR="000B24E3" w:rsidRPr="000B24E3">
        <w:rPr>
          <w:rFonts w:cs="Arial"/>
          <w:lang w:val="en-US"/>
        </w:rPr>
        <w:t>I</w:t>
      </w:r>
      <w:r w:rsidR="004C5B89" w:rsidRPr="000B24E3">
        <w:rPr>
          <w:rFonts w:cs="Arial"/>
          <w:lang w:val="en-US"/>
        </w:rPr>
        <w:t xml:space="preserve">t is apposite to deal with the applicants’ point </w:t>
      </w:r>
      <w:r w:rsidR="004C5B89" w:rsidRPr="000B24E3">
        <w:rPr>
          <w:rFonts w:cs="Arial"/>
          <w:i/>
          <w:lang w:val="en-US"/>
        </w:rPr>
        <w:t xml:space="preserve">in </w:t>
      </w:r>
      <w:proofErr w:type="spellStart"/>
      <w:r w:rsidR="004C5B89" w:rsidRPr="000B24E3">
        <w:rPr>
          <w:rFonts w:cs="Arial"/>
          <w:i/>
          <w:lang w:val="en-US"/>
        </w:rPr>
        <w:t>limine</w:t>
      </w:r>
      <w:proofErr w:type="spellEnd"/>
      <w:r w:rsidR="004C5B89" w:rsidRPr="000B24E3">
        <w:rPr>
          <w:rFonts w:cs="Arial"/>
          <w:lang w:val="en-US"/>
        </w:rPr>
        <w:t xml:space="preserve"> first.</w:t>
      </w:r>
      <w:r w:rsidR="000B24E3">
        <w:rPr>
          <w:rFonts w:cs="Arial"/>
          <w:lang w:val="en-US"/>
        </w:rPr>
        <w:t xml:space="preserve"> </w:t>
      </w:r>
      <w:r w:rsidR="005E0BBF" w:rsidRPr="000B24E3">
        <w:rPr>
          <w:rFonts w:cs="Arial"/>
          <w:lang w:val="en-US"/>
        </w:rPr>
        <w:t xml:space="preserve">Reliance is placed </w:t>
      </w:r>
      <w:r w:rsidR="004C5B89" w:rsidRPr="000B24E3">
        <w:rPr>
          <w:rFonts w:cs="Arial"/>
          <w:lang w:val="en-US"/>
        </w:rPr>
        <w:t xml:space="preserve">by the applicants </w:t>
      </w:r>
      <w:r w:rsidR="005E0BBF" w:rsidRPr="000B24E3">
        <w:rPr>
          <w:rFonts w:cs="Arial"/>
          <w:lang w:val="en-US"/>
        </w:rPr>
        <w:t xml:space="preserve">on regulation 7(1) of the </w:t>
      </w:r>
      <w:r w:rsidR="00ED7678" w:rsidRPr="000B24E3">
        <w:rPr>
          <w:rFonts w:cs="Arial"/>
          <w:lang w:val="en-US"/>
        </w:rPr>
        <w:t>R</w:t>
      </w:r>
      <w:r w:rsidR="005E0BBF" w:rsidRPr="000B24E3">
        <w:rPr>
          <w:rFonts w:cs="Arial"/>
          <w:lang w:val="en-US"/>
        </w:rPr>
        <w:t xml:space="preserve">egulations </w:t>
      </w:r>
      <w:r w:rsidR="00ED7678" w:rsidRPr="000B24E3">
        <w:rPr>
          <w:rFonts w:cs="Arial"/>
          <w:lang w:val="en-US"/>
        </w:rPr>
        <w:t>G</w:t>
      </w:r>
      <w:r w:rsidR="005E0BBF" w:rsidRPr="000B24E3">
        <w:rPr>
          <w:rFonts w:cs="Arial"/>
          <w:lang w:val="en-US"/>
        </w:rPr>
        <w:t xml:space="preserve">overning the </w:t>
      </w:r>
      <w:r w:rsidR="00ED7678" w:rsidRPr="000B24E3">
        <w:rPr>
          <w:rFonts w:cs="Arial"/>
          <w:lang w:val="en-US"/>
        </w:rPr>
        <w:t>A</w:t>
      </w:r>
      <w:r w:rsidR="005E0BBF" w:rsidRPr="000B24E3">
        <w:rPr>
          <w:rFonts w:cs="Arial"/>
          <w:lang w:val="en-US"/>
        </w:rPr>
        <w:t xml:space="preserve">dministering of an </w:t>
      </w:r>
      <w:r w:rsidR="00ED7678" w:rsidRPr="000B24E3">
        <w:rPr>
          <w:rFonts w:cs="Arial"/>
          <w:lang w:val="en-US"/>
        </w:rPr>
        <w:t>O</w:t>
      </w:r>
      <w:r w:rsidR="005E0BBF" w:rsidRPr="000B24E3">
        <w:rPr>
          <w:rFonts w:cs="Arial"/>
          <w:lang w:val="en-US"/>
        </w:rPr>
        <w:t xml:space="preserve">ath or </w:t>
      </w:r>
      <w:r w:rsidR="00ED7678" w:rsidRPr="000B24E3">
        <w:rPr>
          <w:rFonts w:cs="Arial"/>
          <w:lang w:val="en-US"/>
        </w:rPr>
        <w:t>A</w:t>
      </w:r>
      <w:r w:rsidR="005E0BBF" w:rsidRPr="000B24E3">
        <w:rPr>
          <w:rFonts w:cs="Arial"/>
          <w:lang w:val="en-US"/>
        </w:rPr>
        <w:t xml:space="preserve">ffirmation </w:t>
      </w:r>
      <w:r w:rsidR="002168B8" w:rsidRPr="000B24E3">
        <w:rPr>
          <w:rFonts w:cs="Arial"/>
          <w:lang w:val="en-US"/>
        </w:rPr>
        <w:t>promulgated under s 10 of the Justices of the Peace and Commissioners of Oaths Act</w:t>
      </w:r>
      <w:r w:rsidR="0022120A">
        <w:rPr>
          <w:rFonts w:cs="Arial"/>
          <w:lang w:val="en-US"/>
        </w:rPr>
        <w:t>,</w:t>
      </w:r>
      <w:r w:rsidR="002168B8">
        <w:rPr>
          <w:rStyle w:val="FootnoteReference"/>
          <w:rFonts w:cs="Arial"/>
          <w:lang w:val="en-US"/>
        </w:rPr>
        <w:footnoteReference w:id="3"/>
      </w:r>
      <w:r w:rsidR="002168B8" w:rsidRPr="000B24E3">
        <w:rPr>
          <w:rFonts w:cs="Arial"/>
          <w:lang w:val="en-US"/>
        </w:rPr>
        <w:t xml:space="preserve"> </w:t>
      </w:r>
      <w:r w:rsidR="005E0BBF" w:rsidRPr="000B24E3">
        <w:rPr>
          <w:rFonts w:cs="Arial"/>
          <w:lang w:val="en-US"/>
        </w:rPr>
        <w:t>which expressly prohibits the commissioner of oaths from administering an oath or affirmation relating to matter in which he/she has an inter</w:t>
      </w:r>
      <w:r w:rsidR="00601C8D" w:rsidRPr="000B24E3">
        <w:rPr>
          <w:rFonts w:cs="Arial"/>
          <w:lang w:val="en-US"/>
        </w:rPr>
        <w:t>e</w:t>
      </w:r>
      <w:r w:rsidR="005E0BBF" w:rsidRPr="000B24E3">
        <w:rPr>
          <w:rFonts w:cs="Arial"/>
          <w:lang w:val="en-US"/>
        </w:rPr>
        <w:t>st</w:t>
      </w:r>
      <w:r w:rsidR="00762082" w:rsidRPr="000B24E3">
        <w:rPr>
          <w:rFonts w:cs="Arial"/>
          <w:lang w:val="en-US"/>
        </w:rPr>
        <w:t xml:space="preserve"> and is peremptory</w:t>
      </w:r>
      <w:r w:rsidR="005E0BBF" w:rsidRPr="000B24E3">
        <w:rPr>
          <w:rFonts w:cs="Arial"/>
          <w:lang w:val="en-US"/>
        </w:rPr>
        <w:t xml:space="preserve">. </w:t>
      </w:r>
    </w:p>
    <w:p w14:paraId="0603272D" w14:textId="7A56F7F8" w:rsidR="005E0BBF" w:rsidRDefault="00311384" w:rsidP="00311384">
      <w:pPr>
        <w:pStyle w:val="level11"/>
        <w:numPr>
          <w:ilvl w:val="0"/>
          <w:numId w:val="0"/>
        </w:numPr>
        <w:spacing w:after="480" w:line="360" w:lineRule="auto"/>
        <w:jc w:val="both"/>
        <w:rPr>
          <w:rFonts w:cs="Arial"/>
          <w:lang w:val="en-US"/>
        </w:rPr>
      </w:pPr>
      <w:r>
        <w:rPr>
          <w:rFonts w:cs="Arial"/>
          <w:lang w:val="en-US"/>
        </w:rPr>
        <w:t>[15]</w:t>
      </w:r>
      <w:r>
        <w:rPr>
          <w:rFonts w:cs="Arial"/>
          <w:lang w:val="en-US"/>
        </w:rPr>
        <w:tab/>
      </w:r>
      <w:r w:rsidR="005E0BBF">
        <w:rPr>
          <w:rFonts w:cs="Arial"/>
          <w:lang w:val="en-US"/>
        </w:rPr>
        <w:t xml:space="preserve">Reliance is further placed on </w:t>
      </w:r>
      <w:proofErr w:type="spellStart"/>
      <w:r w:rsidR="005E0BBF" w:rsidRPr="00601C8D">
        <w:rPr>
          <w:rFonts w:cs="Arial"/>
          <w:i/>
          <w:lang w:val="en-US"/>
        </w:rPr>
        <w:t>Radue</w:t>
      </w:r>
      <w:proofErr w:type="spellEnd"/>
      <w:r w:rsidR="005E0BBF" w:rsidRPr="00601C8D">
        <w:rPr>
          <w:rFonts w:cs="Arial"/>
          <w:i/>
          <w:lang w:val="en-US"/>
        </w:rPr>
        <w:t xml:space="preserve"> Weir Holdings Ltd/t/a Weirs Cash &amp; Carry v </w:t>
      </w:r>
      <w:proofErr w:type="spellStart"/>
      <w:r w:rsidR="005E0BBF" w:rsidRPr="00601C8D">
        <w:rPr>
          <w:rFonts w:cs="Arial"/>
          <w:i/>
          <w:lang w:val="en-US"/>
        </w:rPr>
        <w:t>Galleus</w:t>
      </w:r>
      <w:proofErr w:type="spellEnd"/>
      <w:r w:rsidR="005E0BBF" w:rsidRPr="00601C8D">
        <w:rPr>
          <w:rFonts w:cs="Arial"/>
          <w:i/>
          <w:lang w:val="en-US"/>
        </w:rPr>
        <w:t xml:space="preserve"> Investments CC t/a Bargain Wholesalers</w:t>
      </w:r>
      <w:r w:rsidR="005E0BBF">
        <w:rPr>
          <w:rStyle w:val="FootnoteReference"/>
          <w:rFonts w:cs="Arial"/>
          <w:lang w:val="en-US"/>
        </w:rPr>
        <w:footnoteReference w:id="4"/>
      </w:r>
      <w:r w:rsidR="005E0BBF">
        <w:rPr>
          <w:rFonts w:cs="Arial"/>
          <w:lang w:val="en-US"/>
        </w:rPr>
        <w:t xml:space="preserve"> </w:t>
      </w:r>
      <w:r w:rsidR="00D52DFD" w:rsidRPr="00D52DFD">
        <w:rPr>
          <w:rFonts w:cs="Arial"/>
          <w:i/>
          <w:lang w:val="en-US"/>
        </w:rPr>
        <w:t>(“</w:t>
      </w:r>
      <w:proofErr w:type="spellStart"/>
      <w:r w:rsidR="00D52DFD" w:rsidRPr="00D52DFD">
        <w:rPr>
          <w:rFonts w:cs="Arial"/>
          <w:i/>
          <w:lang w:val="en-US"/>
        </w:rPr>
        <w:t>Radue</w:t>
      </w:r>
      <w:proofErr w:type="spellEnd"/>
      <w:r w:rsidR="00D52DFD" w:rsidRPr="00D52DFD">
        <w:rPr>
          <w:rFonts w:cs="Arial"/>
          <w:i/>
          <w:lang w:val="en-US"/>
        </w:rPr>
        <w:t xml:space="preserve">”) </w:t>
      </w:r>
      <w:r w:rsidR="00601C8D">
        <w:rPr>
          <w:rFonts w:cs="Arial"/>
          <w:lang w:val="en-US"/>
        </w:rPr>
        <w:t>in arguing that any purported affidavit that does not comply with the provisions of regulation 7(1) can and should be disregarded.</w:t>
      </w:r>
    </w:p>
    <w:p w14:paraId="4B5B3532" w14:textId="342B4085" w:rsidR="000B24E3" w:rsidRDefault="00311384" w:rsidP="00311384">
      <w:pPr>
        <w:pStyle w:val="level11"/>
        <w:numPr>
          <w:ilvl w:val="0"/>
          <w:numId w:val="0"/>
        </w:numPr>
        <w:spacing w:after="480" w:line="360" w:lineRule="auto"/>
        <w:jc w:val="both"/>
        <w:rPr>
          <w:rFonts w:cs="Arial"/>
          <w:lang w:val="en-US"/>
        </w:rPr>
      </w:pPr>
      <w:r>
        <w:rPr>
          <w:rFonts w:cs="Arial"/>
          <w:lang w:val="en-US"/>
        </w:rPr>
        <w:t>[16]</w:t>
      </w:r>
      <w:r>
        <w:rPr>
          <w:rFonts w:cs="Arial"/>
          <w:lang w:val="en-US"/>
        </w:rPr>
        <w:tab/>
      </w:r>
      <w:r w:rsidR="00BF2F6C">
        <w:rPr>
          <w:rFonts w:cs="Arial"/>
          <w:lang w:val="en-US"/>
        </w:rPr>
        <w:t xml:space="preserve">The commissioner of oath </w:t>
      </w:r>
      <w:r w:rsidR="004C5B89">
        <w:rPr>
          <w:rFonts w:cs="Arial"/>
          <w:lang w:val="en-US"/>
        </w:rPr>
        <w:t xml:space="preserve">in the answering affidavit </w:t>
      </w:r>
      <w:r w:rsidR="00BF2F6C">
        <w:rPr>
          <w:rFonts w:cs="Arial"/>
          <w:lang w:val="en-US"/>
        </w:rPr>
        <w:t>identifies herself as</w:t>
      </w:r>
      <w:proofErr w:type="gramStart"/>
      <w:r w:rsidR="004C5B89">
        <w:rPr>
          <w:rFonts w:cs="Arial"/>
          <w:lang w:val="en-US"/>
        </w:rPr>
        <w:t>:</w:t>
      </w:r>
      <w:r w:rsidR="000B24E3">
        <w:rPr>
          <w:rFonts w:cs="Arial"/>
          <w:lang w:val="en-US"/>
        </w:rPr>
        <w:t xml:space="preserve"> </w:t>
      </w:r>
      <w:r w:rsidR="004C5B89">
        <w:rPr>
          <w:rFonts w:cs="Arial"/>
          <w:lang w:val="en-US"/>
        </w:rPr>
        <w:t>”</w:t>
      </w:r>
      <w:r w:rsidR="00BF2F6C">
        <w:rPr>
          <w:rFonts w:cs="Arial"/>
          <w:lang w:val="en-US"/>
        </w:rPr>
        <w:t>Esme</w:t>
      </w:r>
      <w:proofErr w:type="gramEnd"/>
      <w:r w:rsidR="00BF2F6C">
        <w:rPr>
          <w:rFonts w:cs="Arial"/>
          <w:lang w:val="en-US"/>
        </w:rPr>
        <w:t xml:space="preserve"> Dempsey (</w:t>
      </w:r>
      <w:proofErr w:type="spellStart"/>
      <w:r w:rsidR="00BF2F6C">
        <w:rPr>
          <w:rFonts w:cs="Arial"/>
          <w:lang w:val="en-US"/>
        </w:rPr>
        <w:t>Kok</w:t>
      </w:r>
      <w:proofErr w:type="spellEnd"/>
      <w:r w:rsidR="00BF2F6C">
        <w:rPr>
          <w:rFonts w:cs="Arial"/>
          <w:lang w:val="en-US"/>
        </w:rPr>
        <w:t>) CA</w:t>
      </w:r>
      <w:r w:rsidR="00ED7678">
        <w:rPr>
          <w:rFonts w:cs="Arial"/>
          <w:lang w:val="en-US"/>
        </w:rPr>
        <w:t xml:space="preserve"> </w:t>
      </w:r>
      <w:r w:rsidR="00BF2F6C">
        <w:rPr>
          <w:rFonts w:cs="Arial"/>
          <w:lang w:val="en-US"/>
        </w:rPr>
        <w:t>(SA) 20052831</w:t>
      </w:r>
      <w:r w:rsidR="004C5B89">
        <w:rPr>
          <w:rFonts w:cs="Arial"/>
          <w:lang w:val="en-US"/>
        </w:rPr>
        <w:t>”</w:t>
      </w:r>
      <w:r w:rsidR="00BF2F6C">
        <w:rPr>
          <w:rFonts w:cs="Arial"/>
          <w:lang w:val="en-US"/>
        </w:rPr>
        <w:t>. No address is provided</w:t>
      </w:r>
      <w:r w:rsidR="00ED7678">
        <w:rPr>
          <w:rFonts w:cs="Arial"/>
          <w:lang w:val="en-US"/>
        </w:rPr>
        <w:t xml:space="preserve"> but the abbreviation </w:t>
      </w:r>
      <w:r w:rsidR="004C5B89">
        <w:rPr>
          <w:rFonts w:cs="Arial"/>
          <w:lang w:val="en-US"/>
        </w:rPr>
        <w:t>“</w:t>
      </w:r>
      <w:r w:rsidR="00ED7678">
        <w:rPr>
          <w:rFonts w:cs="Arial"/>
          <w:lang w:val="en-US"/>
        </w:rPr>
        <w:t>RSA</w:t>
      </w:r>
      <w:r w:rsidR="004C5B89">
        <w:rPr>
          <w:rFonts w:cs="Arial"/>
          <w:lang w:val="en-US"/>
        </w:rPr>
        <w:t>”</w:t>
      </w:r>
      <w:r w:rsidR="00ED7678">
        <w:rPr>
          <w:rFonts w:cs="Arial"/>
          <w:lang w:val="en-US"/>
        </w:rPr>
        <w:t xml:space="preserve"> is included. </w:t>
      </w:r>
    </w:p>
    <w:p w14:paraId="4F151BC7" w14:textId="3F22C6A3" w:rsidR="00BF2F6C" w:rsidRDefault="00311384" w:rsidP="00311384">
      <w:pPr>
        <w:pStyle w:val="level11"/>
        <w:numPr>
          <w:ilvl w:val="0"/>
          <w:numId w:val="0"/>
        </w:numPr>
        <w:spacing w:after="480" w:line="360" w:lineRule="auto"/>
        <w:jc w:val="both"/>
        <w:rPr>
          <w:rFonts w:cs="Arial"/>
          <w:lang w:val="en-US"/>
        </w:rPr>
      </w:pPr>
      <w:r>
        <w:rPr>
          <w:rFonts w:cs="Arial"/>
          <w:lang w:val="en-US"/>
        </w:rPr>
        <w:lastRenderedPageBreak/>
        <w:t>[17]</w:t>
      </w:r>
      <w:r>
        <w:rPr>
          <w:rFonts w:cs="Arial"/>
          <w:lang w:val="en-US"/>
        </w:rPr>
        <w:tab/>
      </w:r>
      <w:r w:rsidR="00ED7678">
        <w:rPr>
          <w:rFonts w:cs="Arial"/>
          <w:lang w:val="en-US"/>
        </w:rPr>
        <w:t>Whilst the failure to provide a business address lacks compliance with regulation 4(2)(a), this of itself does not render the commissioning fatally defective nor justifies the affidavit to be disregarded.</w:t>
      </w:r>
    </w:p>
    <w:p w14:paraId="68FEDB6C" w14:textId="36A04FD1" w:rsidR="00213F7A" w:rsidRDefault="00311384" w:rsidP="00311384">
      <w:pPr>
        <w:pStyle w:val="level11"/>
        <w:numPr>
          <w:ilvl w:val="0"/>
          <w:numId w:val="0"/>
        </w:numPr>
        <w:spacing w:after="480" w:line="360" w:lineRule="auto"/>
        <w:jc w:val="both"/>
        <w:rPr>
          <w:rFonts w:cs="Arial"/>
          <w:lang w:val="en-US"/>
        </w:rPr>
      </w:pPr>
      <w:r>
        <w:rPr>
          <w:rFonts w:cs="Arial"/>
          <w:lang w:val="en-US"/>
        </w:rPr>
        <w:t>[18]</w:t>
      </w:r>
      <w:r>
        <w:rPr>
          <w:rFonts w:cs="Arial"/>
          <w:lang w:val="en-US"/>
        </w:rPr>
        <w:tab/>
      </w:r>
      <w:r w:rsidR="00601C8D">
        <w:rPr>
          <w:rFonts w:cs="Arial"/>
          <w:lang w:val="en-US"/>
        </w:rPr>
        <w:t xml:space="preserve">It is trite that a commissioner of oaths who attests affidavits is required to be impartial, </w:t>
      </w:r>
      <w:proofErr w:type="gramStart"/>
      <w:r w:rsidR="00601C8D">
        <w:rPr>
          <w:rFonts w:cs="Arial"/>
          <w:lang w:val="en-US"/>
        </w:rPr>
        <w:t>unbiased</w:t>
      </w:r>
      <w:proofErr w:type="gramEnd"/>
      <w:r w:rsidR="00601C8D">
        <w:rPr>
          <w:rFonts w:cs="Arial"/>
          <w:lang w:val="en-US"/>
        </w:rPr>
        <w:t xml:space="preserve"> and entirely independent of the office where the affidavit is drawn. Such interest is </w:t>
      </w:r>
      <w:proofErr w:type="gramStart"/>
      <w:r w:rsidR="00601C8D">
        <w:rPr>
          <w:rFonts w:cs="Arial"/>
          <w:lang w:val="en-US"/>
        </w:rPr>
        <w:t>not only pecuniary</w:t>
      </w:r>
      <w:proofErr w:type="gramEnd"/>
      <w:r w:rsidR="00601C8D">
        <w:rPr>
          <w:rFonts w:cs="Arial"/>
          <w:lang w:val="en-US"/>
        </w:rPr>
        <w:t xml:space="preserve"> or proprietary</w:t>
      </w:r>
      <w:r w:rsidR="00762082">
        <w:rPr>
          <w:rFonts w:cs="Arial"/>
          <w:lang w:val="en-US"/>
        </w:rPr>
        <w:t xml:space="preserve">. </w:t>
      </w:r>
      <w:r w:rsidR="00D52DFD">
        <w:rPr>
          <w:rFonts w:cs="Arial"/>
          <w:lang w:val="en-US"/>
        </w:rPr>
        <w:t>The principle is also linked to the evidentiary rule that an affidavit is inadmissible if the affidavit is attested to by an attorney who is the attorney for a litigant whose affidavit is to be used in the litigation</w:t>
      </w:r>
      <w:r w:rsidR="0022120A">
        <w:rPr>
          <w:rFonts w:cs="Arial"/>
          <w:lang w:val="en-US"/>
        </w:rPr>
        <w:t>.</w:t>
      </w:r>
      <w:r w:rsidR="00D52DFD">
        <w:rPr>
          <w:rStyle w:val="FootnoteReference"/>
          <w:rFonts w:cs="Arial"/>
          <w:lang w:val="en-US"/>
        </w:rPr>
        <w:footnoteReference w:id="5"/>
      </w:r>
      <w:r w:rsidR="00D52DFD">
        <w:rPr>
          <w:rFonts w:cs="Arial"/>
          <w:lang w:val="en-US"/>
        </w:rPr>
        <w:t xml:space="preserve"> The rule has been extended to exclude not only the attorney </w:t>
      </w:r>
      <w:r w:rsidR="000B24E3">
        <w:rPr>
          <w:rFonts w:cs="Arial"/>
          <w:lang w:val="en-US"/>
        </w:rPr>
        <w:t xml:space="preserve">of record </w:t>
      </w:r>
      <w:r w:rsidR="00D52DFD">
        <w:rPr>
          <w:rFonts w:cs="Arial"/>
          <w:lang w:val="en-US"/>
        </w:rPr>
        <w:t xml:space="preserve">but also partners and candidate attorneys in the firm of attorneys and attorneys who act in association with the attorney of record of the litigant. </w:t>
      </w:r>
    </w:p>
    <w:p w14:paraId="34241A56" w14:textId="2DCD436C" w:rsidR="004C5B89" w:rsidRDefault="00311384" w:rsidP="00311384">
      <w:pPr>
        <w:pStyle w:val="level11"/>
        <w:numPr>
          <w:ilvl w:val="0"/>
          <w:numId w:val="0"/>
        </w:numPr>
        <w:spacing w:after="480" w:line="360" w:lineRule="auto"/>
        <w:jc w:val="both"/>
        <w:rPr>
          <w:rFonts w:cs="Arial"/>
          <w:lang w:val="en-US"/>
        </w:rPr>
      </w:pPr>
      <w:r>
        <w:rPr>
          <w:rFonts w:cs="Arial"/>
          <w:lang w:val="en-US"/>
        </w:rPr>
        <w:t>[19]</w:t>
      </w:r>
      <w:r>
        <w:rPr>
          <w:rFonts w:cs="Arial"/>
          <w:lang w:val="en-US"/>
        </w:rPr>
        <w:tab/>
      </w:r>
      <w:r w:rsidR="00D52DFD">
        <w:rPr>
          <w:rFonts w:cs="Arial"/>
          <w:lang w:val="en-US"/>
        </w:rPr>
        <w:t xml:space="preserve">The object for the rule in practice is: </w:t>
      </w:r>
    </w:p>
    <w:p w14:paraId="470EF1BC" w14:textId="60799A5F" w:rsidR="00762082" w:rsidRPr="004C5B89" w:rsidRDefault="00D52DFD" w:rsidP="004C5B89">
      <w:pPr>
        <w:pStyle w:val="level11"/>
        <w:numPr>
          <w:ilvl w:val="0"/>
          <w:numId w:val="0"/>
        </w:numPr>
        <w:spacing w:after="480"/>
        <w:ind w:left="360"/>
        <w:jc w:val="both"/>
        <w:rPr>
          <w:rFonts w:cs="Arial"/>
          <w:sz w:val="20"/>
          <w:szCs w:val="20"/>
          <w:lang w:val="en-US"/>
        </w:rPr>
      </w:pPr>
      <w:r w:rsidRPr="004C5B89">
        <w:rPr>
          <w:rFonts w:cs="Arial"/>
          <w:i/>
          <w:sz w:val="20"/>
          <w:szCs w:val="20"/>
          <w:lang w:val="en-US"/>
        </w:rPr>
        <w:t>“</w:t>
      </w:r>
      <w:proofErr w:type="gramStart"/>
      <w:r w:rsidRPr="004C5B89">
        <w:rPr>
          <w:rFonts w:cs="Arial"/>
          <w:i/>
          <w:sz w:val="20"/>
          <w:szCs w:val="20"/>
          <w:lang w:val="en-US"/>
        </w:rPr>
        <w:t>to</w:t>
      </w:r>
      <w:proofErr w:type="gramEnd"/>
      <w:r w:rsidRPr="004C5B89">
        <w:rPr>
          <w:rFonts w:cs="Arial"/>
          <w:i/>
          <w:sz w:val="20"/>
          <w:szCs w:val="20"/>
          <w:lang w:val="en-US"/>
        </w:rPr>
        <w:t xml:space="preserve"> prevent an attorney from drawing </w:t>
      </w:r>
      <w:r w:rsidR="00213F7A" w:rsidRPr="004C5B89">
        <w:rPr>
          <w:rFonts w:cs="Arial"/>
          <w:i/>
          <w:sz w:val="20"/>
          <w:szCs w:val="20"/>
          <w:lang w:val="en-US"/>
        </w:rPr>
        <w:t>up a petition and putting, as it were, the words of the petition in the mouth of a client, and then himself taking the oath of the petitioner to that petition</w:t>
      </w:r>
      <w:r w:rsidR="00DC267F" w:rsidRPr="004C5B89">
        <w:rPr>
          <w:rFonts w:cs="Arial"/>
          <w:i/>
          <w:sz w:val="20"/>
          <w:szCs w:val="20"/>
          <w:lang w:val="en-US"/>
        </w:rPr>
        <w:t xml:space="preserve"> The reason for the rule appears to me to be that a person attesting an affidavit is required to be unbiased and impartial in relation to the subject-matter of the affidavit. If his position is such that this qualification is prima facie absent there is a danger that he may have influenced the deponent in relation to the subject matter of the affidavit</w:t>
      </w:r>
      <w:r w:rsidR="00213F7A" w:rsidRPr="004C5B89">
        <w:rPr>
          <w:rFonts w:cs="Arial"/>
          <w:i/>
          <w:sz w:val="20"/>
          <w:szCs w:val="20"/>
          <w:lang w:val="en-US"/>
        </w:rPr>
        <w:t>”</w:t>
      </w:r>
      <w:r w:rsidR="00213F7A" w:rsidRPr="004C5B89">
        <w:rPr>
          <w:rFonts w:cs="Arial"/>
          <w:sz w:val="20"/>
          <w:szCs w:val="20"/>
          <w:lang w:val="en-US"/>
        </w:rPr>
        <w:t>.</w:t>
      </w:r>
      <w:r w:rsidR="00213F7A" w:rsidRPr="004C5B89">
        <w:rPr>
          <w:rStyle w:val="FootnoteReference"/>
          <w:rFonts w:cs="Arial"/>
          <w:sz w:val="20"/>
          <w:szCs w:val="20"/>
          <w:lang w:val="en-US"/>
        </w:rPr>
        <w:footnoteReference w:id="6"/>
      </w:r>
    </w:p>
    <w:p w14:paraId="55646CAC" w14:textId="528E07C7" w:rsidR="002168B8" w:rsidRDefault="00311384" w:rsidP="00311384">
      <w:pPr>
        <w:pStyle w:val="level11"/>
        <w:numPr>
          <w:ilvl w:val="0"/>
          <w:numId w:val="0"/>
        </w:numPr>
        <w:spacing w:after="480" w:line="360" w:lineRule="auto"/>
        <w:jc w:val="both"/>
        <w:rPr>
          <w:rFonts w:cs="Arial"/>
          <w:lang w:val="en-US"/>
        </w:rPr>
      </w:pPr>
      <w:r>
        <w:rPr>
          <w:rFonts w:cs="Arial"/>
          <w:lang w:val="en-US"/>
        </w:rPr>
        <w:t>[20]</w:t>
      </w:r>
      <w:r>
        <w:rPr>
          <w:rFonts w:cs="Arial"/>
          <w:lang w:val="en-US"/>
        </w:rPr>
        <w:tab/>
      </w:r>
      <w:r w:rsidR="00762082">
        <w:rPr>
          <w:rFonts w:cs="Arial"/>
          <w:lang w:val="en-US"/>
        </w:rPr>
        <w:t xml:space="preserve">The applicants could not refer me to any authority which extends </w:t>
      </w:r>
      <w:r w:rsidR="00213F7A">
        <w:rPr>
          <w:rFonts w:cs="Arial"/>
          <w:lang w:val="en-US"/>
        </w:rPr>
        <w:t>the</w:t>
      </w:r>
      <w:r w:rsidR="00762082">
        <w:rPr>
          <w:rFonts w:cs="Arial"/>
          <w:lang w:val="en-US"/>
        </w:rPr>
        <w:t xml:space="preserve"> interest </w:t>
      </w:r>
      <w:r w:rsidR="00213F7A">
        <w:rPr>
          <w:rFonts w:cs="Arial"/>
          <w:lang w:val="en-US"/>
        </w:rPr>
        <w:t xml:space="preserve">referred to in regulation 7(1) </w:t>
      </w:r>
      <w:r w:rsidR="00762082">
        <w:rPr>
          <w:rFonts w:cs="Arial"/>
          <w:lang w:val="en-US"/>
        </w:rPr>
        <w:t>to</w:t>
      </w:r>
      <w:r w:rsidR="00D52DFD">
        <w:rPr>
          <w:rFonts w:cs="Arial"/>
          <w:lang w:val="en-US"/>
        </w:rPr>
        <w:t xml:space="preserve"> the existence of</w:t>
      </w:r>
      <w:r w:rsidR="00762082">
        <w:rPr>
          <w:rFonts w:cs="Arial"/>
          <w:lang w:val="en-US"/>
        </w:rPr>
        <w:t xml:space="preserve"> a personal relationship between a litigant’s attorney and the commissioner of oaths</w:t>
      </w:r>
      <w:r w:rsidR="00D52DFD">
        <w:rPr>
          <w:rFonts w:cs="Arial"/>
          <w:lang w:val="en-US"/>
        </w:rPr>
        <w:t xml:space="preserve">.  </w:t>
      </w:r>
    </w:p>
    <w:p w14:paraId="2032F95A" w14:textId="52F31589" w:rsidR="00DC267F" w:rsidRDefault="00311384" w:rsidP="00311384">
      <w:pPr>
        <w:pStyle w:val="level11"/>
        <w:numPr>
          <w:ilvl w:val="0"/>
          <w:numId w:val="0"/>
        </w:numPr>
        <w:spacing w:after="480" w:line="360" w:lineRule="auto"/>
        <w:jc w:val="both"/>
        <w:rPr>
          <w:rFonts w:cs="Arial"/>
          <w:lang w:val="en-US"/>
        </w:rPr>
      </w:pPr>
      <w:r>
        <w:rPr>
          <w:rFonts w:cs="Arial"/>
          <w:lang w:val="en-US"/>
        </w:rPr>
        <w:t>[21]</w:t>
      </w:r>
      <w:r>
        <w:rPr>
          <w:rFonts w:cs="Arial"/>
          <w:lang w:val="en-US"/>
        </w:rPr>
        <w:tab/>
      </w:r>
      <w:r w:rsidR="00213F7A">
        <w:rPr>
          <w:rFonts w:cs="Arial"/>
          <w:lang w:val="en-US"/>
        </w:rPr>
        <w:t>The mere existence of a personal relationship as spouses, in circumstances where the commissioner of oath</w:t>
      </w:r>
      <w:r w:rsidR="001D22A7">
        <w:rPr>
          <w:rFonts w:cs="Arial"/>
          <w:lang w:val="en-US"/>
        </w:rPr>
        <w:t>s</w:t>
      </w:r>
      <w:r w:rsidR="00213F7A">
        <w:rPr>
          <w:rFonts w:cs="Arial"/>
          <w:lang w:val="en-US"/>
        </w:rPr>
        <w:t xml:space="preserve"> is a chartered accountant and not an attorney in any way involved with the practice of </w:t>
      </w:r>
      <w:r w:rsidR="00601C8D">
        <w:rPr>
          <w:rFonts w:cs="Arial"/>
          <w:lang w:val="en-US"/>
        </w:rPr>
        <w:t xml:space="preserve">the respondent’s attorney of record, </w:t>
      </w:r>
      <w:proofErr w:type="spellStart"/>
      <w:r w:rsidR="00601C8D">
        <w:rPr>
          <w:rFonts w:cs="Arial"/>
          <w:lang w:val="en-US"/>
        </w:rPr>
        <w:t>Mr</w:t>
      </w:r>
      <w:proofErr w:type="spellEnd"/>
      <w:r w:rsidR="00601C8D">
        <w:rPr>
          <w:rFonts w:cs="Arial"/>
          <w:lang w:val="en-US"/>
        </w:rPr>
        <w:t xml:space="preserve"> </w:t>
      </w:r>
      <w:proofErr w:type="spellStart"/>
      <w:r w:rsidR="00601C8D">
        <w:rPr>
          <w:rFonts w:cs="Arial"/>
          <w:lang w:val="en-US"/>
        </w:rPr>
        <w:t>Kok</w:t>
      </w:r>
      <w:proofErr w:type="spellEnd"/>
      <w:r w:rsidR="00213F7A">
        <w:rPr>
          <w:rFonts w:cs="Arial"/>
          <w:lang w:val="en-US"/>
        </w:rPr>
        <w:t xml:space="preserve">, does not </w:t>
      </w:r>
      <w:r w:rsidR="008D22FE">
        <w:rPr>
          <w:rFonts w:cs="Arial"/>
          <w:lang w:val="en-US"/>
        </w:rPr>
        <w:t>of itself constitute an interest a</w:t>
      </w:r>
      <w:r w:rsidR="001D22A7">
        <w:rPr>
          <w:rFonts w:cs="Arial"/>
          <w:lang w:val="en-US"/>
        </w:rPr>
        <w:t>s</w:t>
      </w:r>
      <w:r w:rsidR="008D22FE">
        <w:rPr>
          <w:rFonts w:cs="Arial"/>
          <w:lang w:val="en-US"/>
        </w:rPr>
        <w:t xml:space="preserve"> envisaged by regulation 7(1) nor </w:t>
      </w:r>
      <w:r w:rsidR="00213F7A">
        <w:rPr>
          <w:rFonts w:cs="Arial"/>
          <w:lang w:val="en-US"/>
        </w:rPr>
        <w:t>fall foul of the object of the rule</w:t>
      </w:r>
      <w:r w:rsidR="00DC267F">
        <w:rPr>
          <w:rFonts w:cs="Arial"/>
          <w:lang w:val="en-US"/>
        </w:rPr>
        <w:t xml:space="preserve">, </w:t>
      </w:r>
      <w:r w:rsidR="00DC267F">
        <w:rPr>
          <w:rFonts w:cs="Arial"/>
          <w:lang w:val="en-US"/>
        </w:rPr>
        <w:lastRenderedPageBreak/>
        <w:t xml:space="preserve">given that the relationship between them is of a personal rather than a professional nature. </w:t>
      </w:r>
    </w:p>
    <w:p w14:paraId="0B8C6842" w14:textId="617B5184" w:rsidR="00601C8D" w:rsidRDefault="00311384" w:rsidP="00311384">
      <w:pPr>
        <w:pStyle w:val="level11"/>
        <w:numPr>
          <w:ilvl w:val="0"/>
          <w:numId w:val="0"/>
        </w:numPr>
        <w:spacing w:after="480" w:line="360" w:lineRule="auto"/>
        <w:jc w:val="both"/>
        <w:rPr>
          <w:rFonts w:cs="Arial"/>
          <w:lang w:val="en-US"/>
        </w:rPr>
      </w:pPr>
      <w:r>
        <w:rPr>
          <w:rFonts w:cs="Arial"/>
          <w:lang w:val="en-US"/>
        </w:rPr>
        <w:t>[22]</w:t>
      </w:r>
      <w:r>
        <w:rPr>
          <w:rFonts w:cs="Arial"/>
          <w:lang w:val="en-US"/>
        </w:rPr>
        <w:tab/>
      </w:r>
      <w:r w:rsidR="00213F7A">
        <w:rPr>
          <w:rFonts w:cs="Arial"/>
          <w:lang w:val="en-US"/>
        </w:rPr>
        <w:t xml:space="preserve">The applicants did not place any additional facts before this court from which the conclusion can reasonably be drawn that the commissioner </w:t>
      </w:r>
      <w:r w:rsidR="000B24E3">
        <w:rPr>
          <w:rFonts w:cs="Arial"/>
          <w:lang w:val="en-US"/>
        </w:rPr>
        <w:t xml:space="preserve">of oaths </w:t>
      </w:r>
      <w:r w:rsidR="00213F7A">
        <w:rPr>
          <w:rFonts w:cs="Arial"/>
          <w:lang w:val="en-US"/>
        </w:rPr>
        <w:t>has a</w:t>
      </w:r>
      <w:r w:rsidR="00FC2B9E">
        <w:rPr>
          <w:rFonts w:cs="Arial"/>
          <w:lang w:val="en-US"/>
        </w:rPr>
        <w:t xml:space="preserve"> direct or indirect</w:t>
      </w:r>
      <w:r w:rsidR="00213F7A">
        <w:rPr>
          <w:rFonts w:cs="Arial"/>
          <w:lang w:val="en-US"/>
        </w:rPr>
        <w:t xml:space="preserve"> interest in the practice of </w:t>
      </w:r>
      <w:proofErr w:type="spellStart"/>
      <w:r w:rsidR="00213F7A">
        <w:rPr>
          <w:rFonts w:cs="Arial"/>
          <w:lang w:val="en-US"/>
        </w:rPr>
        <w:t>Mr</w:t>
      </w:r>
      <w:proofErr w:type="spellEnd"/>
      <w:r w:rsidR="00213F7A">
        <w:rPr>
          <w:rFonts w:cs="Arial"/>
          <w:lang w:val="en-US"/>
        </w:rPr>
        <w:t xml:space="preserve"> </w:t>
      </w:r>
      <w:proofErr w:type="spellStart"/>
      <w:r w:rsidR="00213F7A">
        <w:rPr>
          <w:rFonts w:cs="Arial"/>
          <w:lang w:val="en-US"/>
        </w:rPr>
        <w:t>Kok</w:t>
      </w:r>
      <w:proofErr w:type="spellEnd"/>
      <w:r w:rsidR="008D22FE">
        <w:rPr>
          <w:rFonts w:cs="Arial"/>
          <w:lang w:val="en-US"/>
        </w:rPr>
        <w:t xml:space="preserve"> </w:t>
      </w:r>
      <w:r w:rsidR="00213F7A">
        <w:rPr>
          <w:rFonts w:cs="Arial"/>
          <w:lang w:val="en-US"/>
        </w:rPr>
        <w:t xml:space="preserve">as envisaged by regulation 7(1) or the applicable authorities. </w:t>
      </w:r>
      <w:r w:rsidR="00DC267F">
        <w:rPr>
          <w:rFonts w:cs="Arial"/>
          <w:lang w:val="en-US"/>
        </w:rPr>
        <w:t xml:space="preserve">It would however be a salutary practice if any potential issue </w:t>
      </w:r>
      <w:r w:rsidR="00FC2B9E">
        <w:rPr>
          <w:rFonts w:cs="Arial"/>
          <w:lang w:val="en-US"/>
        </w:rPr>
        <w:t>is</w:t>
      </w:r>
      <w:r w:rsidR="00DC267F">
        <w:rPr>
          <w:rFonts w:cs="Arial"/>
          <w:lang w:val="en-US"/>
        </w:rPr>
        <w:t xml:space="preserve"> avoided.</w:t>
      </w:r>
    </w:p>
    <w:p w14:paraId="43E4D54A" w14:textId="60B02B55" w:rsidR="00601C8D" w:rsidRDefault="00311384" w:rsidP="00311384">
      <w:pPr>
        <w:pStyle w:val="level11"/>
        <w:numPr>
          <w:ilvl w:val="0"/>
          <w:numId w:val="0"/>
        </w:numPr>
        <w:spacing w:after="480" w:line="360" w:lineRule="auto"/>
        <w:jc w:val="both"/>
        <w:rPr>
          <w:rFonts w:cs="Arial"/>
          <w:lang w:val="en-US"/>
        </w:rPr>
      </w:pPr>
      <w:r>
        <w:rPr>
          <w:rFonts w:cs="Arial"/>
          <w:lang w:val="en-US"/>
        </w:rPr>
        <w:t>[23]</w:t>
      </w:r>
      <w:r>
        <w:rPr>
          <w:rFonts w:cs="Arial"/>
          <w:lang w:val="en-US"/>
        </w:rPr>
        <w:tab/>
      </w:r>
      <w:r w:rsidR="008D22FE">
        <w:rPr>
          <w:rFonts w:cs="Arial"/>
          <w:lang w:val="en-US"/>
        </w:rPr>
        <w:t>Similarly, t</w:t>
      </w:r>
      <w:r w:rsidR="00797DC5">
        <w:rPr>
          <w:rFonts w:cs="Arial"/>
          <w:lang w:val="en-US"/>
        </w:rPr>
        <w:t xml:space="preserve">he inference sought to be drawn by the applicants that the supporting affidavits were not signed in the presence of the commissioner of oaths as required by regulation 3(1) is not justified purely on the basis that the commissioner of oaths </w:t>
      </w:r>
      <w:r w:rsidR="00B10F79">
        <w:rPr>
          <w:rFonts w:cs="Arial"/>
          <w:lang w:val="en-US"/>
        </w:rPr>
        <w:t>did not replace the reference from</w:t>
      </w:r>
      <w:r w:rsidR="00797DC5">
        <w:rPr>
          <w:rFonts w:cs="Arial"/>
          <w:lang w:val="en-US"/>
        </w:rPr>
        <w:t xml:space="preserve"> “she” to </w:t>
      </w:r>
      <w:proofErr w:type="gramStart"/>
      <w:r w:rsidR="00797DC5">
        <w:rPr>
          <w:rFonts w:cs="Arial"/>
          <w:lang w:val="en-US"/>
        </w:rPr>
        <w:t>“he”</w:t>
      </w:r>
      <w:proofErr w:type="gramEnd"/>
      <w:r w:rsidR="00797DC5">
        <w:rPr>
          <w:rFonts w:cs="Arial"/>
          <w:lang w:val="en-US"/>
        </w:rPr>
        <w:t>.</w:t>
      </w:r>
      <w:r w:rsidR="008D22FE">
        <w:rPr>
          <w:rFonts w:cs="Arial"/>
          <w:lang w:val="en-US"/>
        </w:rPr>
        <w:t xml:space="preserve"> No cogent primary facts were produced which could justify such a conclusion.</w:t>
      </w:r>
    </w:p>
    <w:p w14:paraId="529E7B7F" w14:textId="0B0883AD" w:rsidR="00797DC5" w:rsidRDefault="00311384" w:rsidP="00311384">
      <w:pPr>
        <w:pStyle w:val="level11"/>
        <w:numPr>
          <w:ilvl w:val="0"/>
          <w:numId w:val="0"/>
        </w:numPr>
        <w:spacing w:after="480" w:line="360" w:lineRule="auto"/>
        <w:jc w:val="both"/>
        <w:rPr>
          <w:rFonts w:cs="Arial"/>
          <w:lang w:val="en-US"/>
        </w:rPr>
      </w:pPr>
      <w:r>
        <w:rPr>
          <w:rFonts w:cs="Arial"/>
          <w:lang w:val="en-US"/>
        </w:rPr>
        <w:t>[24]</w:t>
      </w:r>
      <w:r>
        <w:rPr>
          <w:rFonts w:cs="Arial"/>
          <w:lang w:val="en-US"/>
        </w:rPr>
        <w:tab/>
      </w:r>
      <w:r w:rsidR="008D22FE">
        <w:rPr>
          <w:rFonts w:cs="Arial"/>
          <w:lang w:val="en-US"/>
        </w:rPr>
        <w:t xml:space="preserve">It follows that the applicants’ point </w:t>
      </w:r>
      <w:r w:rsidR="008D22FE" w:rsidRPr="008D22FE">
        <w:rPr>
          <w:rFonts w:cs="Arial"/>
          <w:i/>
          <w:lang w:val="en-US"/>
        </w:rPr>
        <w:t xml:space="preserve">in </w:t>
      </w:r>
      <w:proofErr w:type="spellStart"/>
      <w:r w:rsidR="008D22FE" w:rsidRPr="008D22FE">
        <w:rPr>
          <w:rFonts w:cs="Arial"/>
          <w:i/>
          <w:lang w:val="en-US"/>
        </w:rPr>
        <w:t>limine</w:t>
      </w:r>
      <w:proofErr w:type="spellEnd"/>
      <w:r w:rsidR="008D22FE">
        <w:rPr>
          <w:rFonts w:cs="Arial"/>
          <w:lang w:val="en-US"/>
        </w:rPr>
        <w:t xml:space="preserve"> must fail and that t</w:t>
      </w:r>
      <w:r w:rsidR="00797DC5">
        <w:rPr>
          <w:rFonts w:cs="Arial"/>
          <w:lang w:val="en-US"/>
        </w:rPr>
        <w:t>he</w:t>
      </w:r>
      <w:r w:rsidR="008D22FE">
        <w:rPr>
          <w:rFonts w:cs="Arial"/>
          <w:lang w:val="en-US"/>
        </w:rPr>
        <w:t>ir</w:t>
      </w:r>
      <w:r w:rsidR="00797DC5">
        <w:rPr>
          <w:rFonts w:cs="Arial"/>
          <w:lang w:val="en-US"/>
        </w:rPr>
        <w:t xml:space="preserve"> contention that the opposing and supporting affidavits should be disregarded </w:t>
      </w:r>
      <w:r w:rsidR="00797DC5" w:rsidRPr="00797DC5">
        <w:rPr>
          <w:rFonts w:cs="Arial"/>
          <w:i/>
          <w:lang w:val="en-US"/>
        </w:rPr>
        <w:t>in toto</w:t>
      </w:r>
      <w:r w:rsidR="00797DC5">
        <w:rPr>
          <w:rFonts w:cs="Arial"/>
          <w:lang w:val="en-US"/>
        </w:rPr>
        <w:t>, cannot be sustained.</w:t>
      </w:r>
      <w:r w:rsidR="000B24E3">
        <w:rPr>
          <w:rFonts w:cs="Arial"/>
          <w:lang w:val="en-US"/>
        </w:rPr>
        <w:t xml:space="preserve"> </w:t>
      </w:r>
    </w:p>
    <w:p w14:paraId="46CB7D3C" w14:textId="78FC885E" w:rsidR="00BC1ADA" w:rsidRDefault="00311384" w:rsidP="00311384">
      <w:pPr>
        <w:pStyle w:val="level11"/>
        <w:numPr>
          <w:ilvl w:val="0"/>
          <w:numId w:val="0"/>
        </w:numPr>
        <w:spacing w:after="480" w:line="360" w:lineRule="auto"/>
        <w:jc w:val="both"/>
        <w:rPr>
          <w:rFonts w:cs="Arial"/>
          <w:lang w:val="en-US"/>
        </w:rPr>
      </w:pPr>
      <w:r>
        <w:rPr>
          <w:rFonts w:cs="Arial"/>
          <w:lang w:val="en-US"/>
        </w:rPr>
        <w:t>[25]</w:t>
      </w:r>
      <w:r>
        <w:rPr>
          <w:rFonts w:cs="Arial"/>
          <w:lang w:val="en-US"/>
        </w:rPr>
        <w:tab/>
      </w:r>
      <w:r w:rsidR="0059519B">
        <w:rPr>
          <w:rFonts w:cs="Arial"/>
          <w:lang w:val="en-US"/>
        </w:rPr>
        <w:t xml:space="preserve">The points </w:t>
      </w:r>
      <w:r w:rsidR="009D5517" w:rsidRPr="009D5517">
        <w:rPr>
          <w:rFonts w:cs="Arial"/>
          <w:i/>
          <w:lang w:val="en-US"/>
        </w:rPr>
        <w:t xml:space="preserve">in </w:t>
      </w:r>
      <w:proofErr w:type="spellStart"/>
      <w:r w:rsidR="009D5517" w:rsidRPr="009D5517">
        <w:rPr>
          <w:rFonts w:cs="Arial"/>
          <w:i/>
          <w:lang w:val="en-US"/>
        </w:rPr>
        <w:t>limine</w:t>
      </w:r>
      <w:proofErr w:type="spellEnd"/>
      <w:r w:rsidR="009D5517" w:rsidRPr="009D5517">
        <w:rPr>
          <w:rFonts w:cs="Arial"/>
          <w:i/>
          <w:lang w:val="en-US"/>
        </w:rPr>
        <w:t xml:space="preserve"> </w:t>
      </w:r>
      <w:r w:rsidR="0059519B">
        <w:rPr>
          <w:rFonts w:cs="Arial"/>
          <w:lang w:val="en-US"/>
        </w:rPr>
        <w:t xml:space="preserve">raised by the respondent </w:t>
      </w:r>
      <w:r w:rsidR="009D5517">
        <w:rPr>
          <w:rFonts w:cs="Arial"/>
          <w:lang w:val="en-US"/>
        </w:rPr>
        <w:t xml:space="preserve">are </w:t>
      </w:r>
      <w:r w:rsidR="0059519B">
        <w:rPr>
          <w:rFonts w:cs="Arial"/>
          <w:lang w:val="en-US"/>
        </w:rPr>
        <w:t xml:space="preserve">primarily </w:t>
      </w:r>
      <w:r w:rsidR="009D5517">
        <w:rPr>
          <w:rFonts w:cs="Arial"/>
          <w:lang w:val="en-US"/>
        </w:rPr>
        <w:t xml:space="preserve">premised on the contention that </w:t>
      </w:r>
      <w:r w:rsidR="0059519B">
        <w:rPr>
          <w:rFonts w:cs="Arial"/>
          <w:lang w:val="en-US"/>
        </w:rPr>
        <w:t xml:space="preserve">the applicants lack </w:t>
      </w:r>
      <w:r w:rsidR="009D5517" w:rsidRPr="0059519B">
        <w:rPr>
          <w:rFonts w:cs="Arial"/>
          <w:i/>
          <w:lang w:val="en-US"/>
        </w:rPr>
        <w:t>locus standi</w:t>
      </w:r>
      <w:r w:rsidR="009D5517">
        <w:rPr>
          <w:rFonts w:cs="Arial"/>
          <w:lang w:val="en-US"/>
        </w:rPr>
        <w:t xml:space="preserve"> and that there has been a misjoinder of the first applicant. </w:t>
      </w:r>
      <w:r w:rsidR="000B24E3">
        <w:rPr>
          <w:rFonts w:cs="Arial"/>
          <w:lang w:val="en-US"/>
        </w:rPr>
        <w:t>It is argued that the registration number provided pertains to an entirely different entity</w:t>
      </w:r>
      <w:r w:rsidR="00A35007">
        <w:rPr>
          <w:rFonts w:cs="Arial"/>
          <w:lang w:val="en-US"/>
        </w:rPr>
        <w:t xml:space="preserve"> and that a registration number “stands as the identity of a company”. It is argued that this is not a mistake in the description of the first applicant but rather that the affidavits refer to a non-existing company. </w:t>
      </w:r>
      <w:r w:rsidR="009D5517">
        <w:rPr>
          <w:rFonts w:cs="Arial"/>
          <w:lang w:val="en-US"/>
        </w:rPr>
        <w:t xml:space="preserve">The second point </w:t>
      </w:r>
      <w:r w:rsidR="009D5517" w:rsidRPr="00AA3057">
        <w:rPr>
          <w:rFonts w:cs="Arial"/>
          <w:i/>
          <w:lang w:val="en-US"/>
        </w:rPr>
        <w:t xml:space="preserve">in </w:t>
      </w:r>
      <w:proofErr w:type="spellStart"/>
      <w:r w:rsidR="009D5517" w:rsidRPr="00AA3057">
        <w:rPr>
          <w:rFonts w:cs="Arial"/>
          <w:i/>
          <w:lang w:val="en-US"/>
        </w:rPr>
        <w:t>limine</w:t>
      </w:r>
      <w:proofErr w:type="spellEnd"/>
      <w:r w:rsidR="00AA3057">
        <w:rPr>
          <w:rFonts w:cs="Arial"/>
          <w:lang w:val="en-US"/>
        </w:rPr>
        <w:t xml:space="preserve"> is primarily predicated on the first.</w:t>
      </w:r>
    </w:p>
    <w:p w14:paraId="0AE2234F" w14:textId="0712D831" w:rsidR="00A35007" w:rsidRDefault="00311384" w:rsidP="00311384">
      <w:pPr>
        <w:pStyle w:val="level11"/>
        <w:numPr>
          <w:ilvl w:val="0"/>
          <w:numId w:val="0"/>
        </w:numPr>
        <w:spacing w:after="480" w:line="360" w:lineRule="auto"/>
        <w:jc w:val="both"/>
        <w:rPr>
          <w:rFonts w:cs="Arial"/>
          <w:lang w:val="en-US"/>
        </w:rPr>
      </w:pPr>
      <w:r>
        <w:rPr>
          <w:rFonts w:cs="Arial"/>
          <w:lang w:val="en-US"/>
        </w:rPr>
        <w:t>[26]</w:t>
      </w:r>
      <w:r>
        <w:rPr>
          <w:rFonts w:cs="Arial"/>
          <w:lang w:val="en-US"/>
        </w:rPr>
        <w:tab/>
      </w:r>
      <w:r w:rsidR="00BC1ADA">
        <w:rPr>
          <w:rFonts w:cs="Arial"/>
          <w:lang w:val="en-US"/>
        </w:rPr>
        <w:t xml:space="preserve">The first point </w:t>
      </w:r>
      <w:r w:rsidR="00BC1ADA" w:rsidRPr="009D5517">
        <w:rPr>
          <w:rFonts w:cs="Arial"/>
          <w:i/>
          <w:lang w:val="en-US"/>
        </w:rPr>
        <w:t xml:space="preserve">in </w:t>
      </w:r>
      <w:proofErr w:type="spellStart"/>
      <w:r w:rsidR="00BC1ADA" w:rsidRPr="009D5517">
        <w:rPr>
          <w:rFonts w:cs="Arial"/>
          <w:i/>
          <w:lang w:val="en-US"/>
        </w:rPr>
        <w:t>limine</w:t>
      </w:r>
      <w:proofErr w:type="spellEnd"/>
      <w:r w:rsidR="00BC1ADA">
        <w:rPr>
          <w:rFonts w:cs="Arial"/>
          <w:lang w:val="en-US"/>
        </w:rPr>
        <w:t xml:space="preserve"> </w:t>
      </w:r>
      <w:r w:rsidR="0059519B">
        <w:rPr>
          <w:rFonts w:cs="Arial"/>
          <w:lang w:val="en-US"/>
        </w:rPr>
        <w:t xml:space="preserve">underpins the </w:t>
      </w:r>
      <w:r w:rsidR="00FC2B9E">
        <w:rPr>
          <w:rFonts w:cs="Arial"/>
          <w:lang w:val="en-US"/>
        </w:rPr>
        <w:t>argument</w:t>
      </w:r>
      <w:r w:rsidR="00BC1ADA">
        <w:rPr>
          <w:rFonts w:cs="Arial"/>
          <w:lang w:val="en-US"/>
        </w:rPr>
        <w:t>.</w:t>
      </w:r>
      <w:r w:rsidR="00AA3057">
        <w:rPr>
          <w:rFonts w:cs="Arial"/>
          <w:lang w:val="en-US"/>
        </w:rPr>
        <w:t xml:space="preserve"> </w:t>
      </w:r>
      <w:r w:rsidR="00BE334B" w:rsidRPr="002C3752">
        <w:rPr>
          <w:rFonts w:cs="Arial"/>
          <w:lang w:val="en-US"/>
        </w:rPr>
        <w:t>T</w:t>
      </w:r>
      <w:r w:rsidR="009D5517">
        <w:rPr>
          <w:rFonts w:cs="Arial"/>
          <w:lang w:val="en-US"/>
        </w:rPr>
        <w:t>he re</w:t>
      </w:r>
      <w:r w:rsidR="00AA3057">
        <w:rPr>
          <w:rFonts w:cs="Arial"/>
          <w:lang w:val="en-US"/>
        </w:rPr>
        <w:t>s</w:t>
      </w:r>
      <w:r w:rsidR="009D5517">
        <w:rPr>
          <w:rFonts w:cs="Arial"/>
          <w:lang w:val="en-US"/>
        </w:rPr>
        <w:t>pondent’s contention that there was no mistake in the description of the first applicant focuses entirely on the registration number provided and disregards the description of the name of the first applicant.</w:t>
      </w:r>
      <w:r w:rsidR="00F7789F">
        <w:rPr>
          <w:rFonts w:cs="Arial"/>
          <w:lang w:val="en-US"/>
        </w:rPr>
        <w:t xml:space="preserve"> It was argued that in motion proceedings, the applicant cannot amend its affidavits. That much </w:t>
      </w:r>
      <w:r w:rsidR="00A35007">
        <w:rPr>
          <w:rFonts w:cs="Arial"/>
          <w:lang w:val="en-US"/>
        </w:rPr>
        <w:t>is trite and is</w:t>
      </w:r>
      <w:r w:rsidR="00F7789F">
        <w:rPr>
          <w:rFonts w:cs="Arial"/>
          <w:lang w:val="en-US"/>
        </w:rPr>
        <w:t xml:space="preserve"> common cause.</w:t>
      </w:r>
      <w:r w:rsidR="00A35007" w:rsidRPr="00A35007">
        <w:rPr>
          <w:rFonts w:cs="Arial"/>
          <w:lang w:val="en-US"/>
        </w:rPr>
        <w:t xml:space="preserve"> </w:t>
      </w:r>
    </w:p>
    <w:p w14:paraId="6FA6D476" w14:textId="7F33F389" w:rsidR="00A35007" w:rsidRDefault="00311384" w:rsidP="00311384">
      <w:pPr>
        <w:pStyle w:val="level11"/>
        <w:numPr>
          <w:ilvl w:val="0"/>
          <w:numId w:val="0"/>
        </w:numPr>
        <w:spacing w:after="480" w:line="360" w:lineRule="auto"/>
        <w:jc w:val="both"/>
        <w:rPr>
          <w:rFonts w:cs="Arial"/>
          <w:lang w:val="en-US"/>
        </w:rPr>
      </w:pPr>
      <w:r>
        <w:rPr>
          <w:rFonts w:cs="Arial"/>
          <w:lang w:val="en-US"/>
        </w:rPr>
        <w:lastRenderedPageBreak/>
        <w:t>[27]</w:t>
      </w:r>
      <w:r>
        <w:rPr>
          <w:rFonts w:cs="Arial"/>
          <w:lang w:val="en-US"/>
        </w:rPr>
        <w:tab/>
      </w:r>
      <w:r w:rsidR="00A35007" w:rsidRPr="00A35007">
        <w:rPr>
          <w:rFonts w:cs="Arial"/>
          <w:lang w:val="en-US"/>
        </w:rPr>
        <w:t xml:space="preserve">The argument however disregards the unchallenged evidence of the second applicant that the wrong registration number was erroneously </w:t>
      </w:r>
      <w:proofErr w:type="gramStart"/>
      <w:r w:rsidR="00A35007" w:rsidRPr="00A35007">
        <w:rPr>
          <w:rFonts w:cs="Arial"/>
          <w:lang w:val="en-US"/>
        </w:rPr>
        <w:t>provided</w:t>
      </w:r>
      <w:proofErr w:type="gramEnd"/>
      <w:r w:rsidR="00A35007" w:rsidRPr="00A35007">
        <w:rPr>
          <w:rFonts w:cs="Arial"/>
          <w:lang w:val="en-US"/>
        </w:rPr>
        <w:t xml:space="preserve"> and the issue was explained in reply.</w:t>
      </w:r>
      <w:r w:rsidR="00F7789F" w:rsidRPr="00A35007">
        <w:rPr>
          <w:rFonts w:cs="Arial"/>
          <w:lang w:val="en-US"/>
        </w:rPr>
        <w:t xml:space="preserve"> A court must not ignore the true facts </w:t>
      </w:r>
      <w:r w:rsidR="00A35007">
        <w:rPr>
          <w:rFonts w:cs="Arial"/>
          <w:lang w:val="en-US"/>
        </w:rPr>
        <w:t>nor</w:t>
      </w:r>
      <w:r w:rsidR="00F7789F" w:rsidRPr="00A35007">
        <w:rPr>
          <w:rFonts w:cs="Arial"/>
          <w:lang w:val="en-US"/>
        </w:rPr>
        <w:t xml:space="preserve"> consider the matter </w:t>
      </w:r>
      <w:r w:rsidR="00FC2B9E" w:rsidRPr="00A35007">
        <w:rPr>
          <w:rFonts w:cs="Arial"/>
          <w:lang w:val="en-US"/>
        </w:rPr>
        <w:t xml:space="preserve">with </w:t>
      </w:r>
      <w:r w:rsidR="00F7789F" w:rsidRPr="00A35007">
        <w:rPr>
          <w:rFonts w:cs="Arial"/>
          <w:lang w:val="en-US"/>
        </w:rPr>
        <w:t>an undue formalistic approach. It is undisputed from the papers that the first applicant was the employer of the respondent and that the parties all a</w:t>
      </w:r>
      <w:r w:rsidR="00A35007">
        <w:rPr>
          <w:rFonts w:cs="Arial"/>
          <w:lang w:val="en-US"/>
        </w:rPr>
        <w:t>greed</w:t>
      </w:r>
      <w:r w:rsidR="00F7789F" w:rsidRPr="00A35007">
        <w:rPr>
          <w:rFonts w:cs="Arial"/>
          <w:lang w:val="en-US"/>
        </w:rPr>
        <w:t xml:space="preserve"> this to be the case.</w:t>
      </w:r>
      <w:r w:rsidR="00A35007">
        <w:rPr>
          <w:rFonts w:cs="Arial"/>
          <w:lang w:val="en-US"/>
        </w:rPr>
        <w:t xml:space="preserve"> The identity of the first applicant is clear.</w:t>
      </w:r>
      <w:r w:rsidR="00F7789F" w:rsidRPr="00A35007">
        <w:rPr>
          <w:rFonts w:cs="Arial"/>
          <w:lang w:val="en-US"/>
        </w:rPr>
        <w:t xml:space="preserve"> </w:t>
      </w:r>
    </w:p>
    <w:p w14:paraId="3BC2C1DB" w14:textId="17F077E3" w:rsidR="00A35007" w:rsidRPr="00D36AAA" w:rsidRDefault="00311384" w:rsidP="00311384">
      <w:pPr>
        <w:pStyle w:val="level11"/>
        <w:numPr>
          <w:ilvl w:val="0"/>
          <w:numId w:val="0"/>
        </w:numPr>
        <w:spacing w:after="480" w:line="360" w:lineRule="auto"/>
        <w:jc w:val="both"/>
        <w:rPr>
          <w:rFonts w:cs="Arial"/>
          <w:lang w:val="en-US"/>
        </w:rPr>
      </w:pPr>
      <w:r w:rsidRPr="00D36AAA">
        <w:rPr>
          <w:rFonts w:cs="Arial"/>
          <w:lang w:val="en-US"/>
        </w:rPr>
        <w:t>[28]</w:t>
      </w:r>
      <w:r w:rsidRPr="00D36AAA">
        <w:rPr>
          <w:rFonts w:cs="Arial"/>
          <w:lang w:val="en-US"/>
        </w:rPr>
        <w:tab/>
      </w:r>
      <w:r w:rsidR="00F7789F" w:rsidRPr="00D36AAA">
        <w:rPr>
          <w:rFonts w:cs="Arial"/>
          <w:lang w:val="en-US"/>
        </w:rPr>
        <w:t>There is thus no merit in the respondent’s contention that the deponent to the applicants’ papers presented evidence regarding a company that does not exist</w:t>
      </w:r>
      <w:r w:rsidR="00A35007" w:rsidRPr="00D36AAA">
        <w:rPr>
          <w:rFonts w:cs="Arial"/>
          <w:lang w:val="en-US"/>
        </w:rPr>
        <w:t xml:space="preserve"> or that the company before the court is Ace Risk Management</w:t>
      </w:r>
      <w:r w:rsidR="00F7789F" w:rsidRPr="00D36AAA">
        <w:rPr>
          <w:rFonts w:cs="Arial"/>
          <w:lang w:val="en-US"/>
        </w:rPr>
        <w:t>.</w:t>
      </w:r>
      <w:r w:rsidR="00A35007" w:rsidRPr="00D36AAA">
        <w:rPr>
          <w:rFonts w:cs="Arial"/>
          <w:lang w:val="en-US"/>
        </w:rPr>
        <w:t xml:space="preserve"> </w:t>
      </w:r>
      <w:r w:rsidR="00F7789F" w:rsidRPr="00D36AAA">
        <w:rPr>
          <w:rFonts w:cs="Arial"/>
          <w:lang w:val="en-US"/>
        </w:rPr>
        <w:t>I</w:t>
      </w:r>
      <w:r w:rsidR="00A35007" w:rsidRPr="00D36AAA">
        <w:rPr>
          <w:rFonts w:cs="Arial"/>
          <w:lang w:val="en-US"/>
        </w:rPr>
        <w:t xml:space="preserve"> have already concluded that </w:t>
      </w:r>
      <w:r w:rsidR="00F7789F" w:rsidRPr="00D36AAA">
        <w:rPr>
          <w:rFonts w:cs="Arial"/>
          <w:lang w:val="en-US"/>
        </w:rPr>
        <w:t xml:space="preserve">the applicants should be </w:t>
      </w:r>
      <w:r w:rsidR="00A35007" w:rsidRPr="00D36AAA">
        <w:rPr>
          <w:rFonts w:cs="Arial"/>
          <w:lang w:val="en-US"/>
        </w:rPr>
        <w:t xml:space="preserve">allowed </w:t>
      </w:r>
      <w:r w:rsidR="00F7789F" w:rsidRPr="00D36AAA">
        <w:rPr>
          <w:rFonts w:cs="Arial"/>
          <w:lang w:val="en-US"/>
        </w:rPr>
        <w:t>to correct the description of the first applicant as the amendment s</w:t>
      </w:r>
      <w:r w:rsidR="00FC2B9E" w:rsidRPr="00D36AAA">
        <w:rPr>
          <w:rFonts w:cs="Arial"/>
          <w:lang w:val="en-US"/>
        </w:rPr>
        <w:t>eeks</w:t>
      </w:r>
      <w:r w:rsidR="00F7789F" w:rsidRPr="00D36AAA">
        <w:rPr>
          <w:rFonts w:cs="Arial"/>
          <w:lang w:val="en-US"/>
        </w:rPr>
        <w:t xml:space="preserve"> to do. </w:t>
      </w:r>
    </w:p>
    <w:p w14:paraId="2F3C29C0" w14:textId="6CF1EBD0" w:rsidR="006616E5" w:rsidRPr="002C3752" w:rsidRDefault="00311384" w:rsidP="00311384">
      <w:pPr>
        <w:pStyle w:val="level11"/>
        <w:numPr>
          <w:ilvl w:val="0"/>
          <w:numId w:val="0"/>
        </w:numPr>
        <w:spacing w:after="480" w:line="360" w:lineRule="auto"/>
        <w:jc w:val="both"/>
        <w:rPr>
          <w:rFonts w:cs="Arial"/>
          <w:lang w:val="en-US"/>
        </w:rPr>
      </w:pPr>
      <w:r w:rsidRPr="002C3752">
        <w:rPr>
          <w:rFonts w:cs="Arial"/>
          <w:lang w:val="en-US"/>
        </w:rPr>
        <w:t>[29]</w:t>
      </w:r>
      <w:r w:rsidRPr="002C3752">
        <w:rPr>
          <w:rFonts w:cs="Arial"/>
          <w:lang w:val="en-US"/>
        </w:rPr>
        <w:tab/>
      </w:r>
      <w:r w:rsidR="00F7789F">
        <w:rPr>
          <w:rFonts w:cs="Arial"/>
          <w:lang w:val="en-US"/>
        </w:rPr>
        <w:t>Th</w:t>
      </w:r>
      <w:r w:rsidR="00A35007">
        <w:rPr>
          <w:rFonts w:cs="Arial"/>
          <w:lang w:val="en-US"/>
        </w:rPr>
        <w:t>ere is thus no merit in the</w:t>
      </w:r>
      <w:r w:rsidR="00F7789F">
        <w:rPr>
          <w:rFonts w:cs="Arial"/>
          <w:lang w:val="en-US"/>
        </w:rPr>
        <w:t xml:space="preserve"> respondent’s contention that the first applicant does not enjoy </w:t>
      </w:r>
      <w:r w:rsidR="00F7789F" w:rsidRPr="00FC2B9E">
        <w:rPr>
          <w:rFonts w:cs="Arial"/>
          <w:i/>
          <w:lang w:val="en-US"/>
        </w:rPr>
        <w:t>locus standi</w:t>
      </w:r>
      <w:r w:rsidR="00F7789F">
        <w:rPr>
          <w:rFonts w:cs="Arial"/>
          <w:lang w:val="en-US"/>
        </w:rPr>
        <w:t xml:space="preserve"> and that it has been mi</w:t>
      </w:r>
      <w:r w:rsidR="004A315A">
        <w:rPr>
          <w:rFonts w:cs="Arial"/>
          <w:lang w:val="en-US"/>
        </w:rPr>
        <w:t>s</w:t>
      </w:r>
      <w:r w:rsidR="00F7789F">
        <w:rPr>
          <w:rFonts w:cs="Arial"/>
          <w:lang w:val="en-US"/>
        </w:rPr>
        <w:t>-joined to these proceedings. It also does not follow that</w:t>
      </w:r>
      <w:r w:rsidR="0051033C">
        <w:rPr>
          <w:rFonts w:cs="Arial"/>
          <w:lang w:val="en-US"/>
        </w:rPr>
        <w:t>,</w:t>
      </w:r>
      <w:r w:rsidR="00F7789F">
        <w:rPr>
          <w:rFonts w:cs="Arial"/>
          <w:lang w:val="en-US"/>
        </w:rPr>
        <w:t xml:space="preserve"> as the </w:t>
      </w:r>
      <w:r w:rsidR="0051033C">
        <w:rPr>
          <w:rFonts w:cs="Arial"/>
          <w:lang w:val="en-US"/>
        </w:rPr>
        <w:t xml:space="preserve">2022 </w:t>
      </w:r>
      <w:r w:rsidR="00F7789F">
        <w:rPr>
          <w:rFonts w:cs="Arial"/>
          <w:lang w:val="en-US"/>
        </w:rPr>
        <w:t xml:space="preserve">order only relates to the first applicant, there is no basis for the contempt proceedings against the respondent.   </w:t>
      </w:r>
    </w:p>
    <w:p w14:paraId="2E4DF37A" w14:textId="570B70C4" w:rsidR="00F7789F" w:rsidRDefault="00311384" w:rsidP="00311384">
      <w:pPr>
        <w:pStyle w:val="level11"/>
        <w:numPr>
          <w:ilvl w:val="0"/>
          <w:numId w:val="0"/>
        </w:numPr>
        <w:spacing w:after="480" w:line="360" w:lineRule="auto"/>
        <w:jc w:val="both"/>
        <w:rPr>
          <w:rFonts w:cs="Arial"/>
          <w:lang w:val="en-US"/>
        </w:rPr>
      </w:pPr>
      <w:r>
        <w:rPr>
          <w:rFonts w:cs="Arial"/>
          <w:lang w:val="en-US"/>
        </w:rPr>
        <w:t>[30]</w:t>
      </w:r>
      <w:r>
        <w:rPr>
          <w:rFonts w:cs="Arial"/>
          <w:lang w:val="en-US"/>
        </w:rPr>
        <w:tab/>
      </w:r>
      <w:r w:rsidR="00F7789F">
        <w:rPr>
          <w:rFonts w:cs="Arial"/>
          <w:lang w:val="en-US"/>
        </w:rPr>
        <w:t xml:space="preserve">In her second point </w:t>
      </w:r>
      <w:r w:rsidR="00F7789F" w:rsidRPr="0059519B">
        <w:rPr>
          <w:rFonts w:cs="Arial"/>
          <w:i/>
          <w:lang w:val="en-US"/>
        </w:rPr>
        <w:t xml:space="preserve">in </w:t>
      </w:r>
      <w:proofErr w:type="spellStart"/>
      <w:r w:rsidR="00F7789F" w:rsidRPr="0059519B">
        <w:rPr>
          <w:rFonts w:cs="Arial"/>
          <w:i/>
          <w:lang w:val="en-US"/>
        </w:rPr>
        <w:t>limine</w:t>
      </w:r>
      <w:proofErr w:type="spellEnd"/>
      <w:r w:rsidR="00F7789F" w:rsidRPr="0059519B">
        <w:rPr>
          <w:rFonts w:cs="Arial"/>
          <w:i/>
          <w:lang w:val="en-US"/>
        </w:rPr>
        <w:t xml:space="preserve">, </w:t>
      </w:r>
      <w:r w:rsidR="00F7789F">
        <w:rPr>
          <w:rFonts w:cs="Arial"/>
          <w:lang w:val="en-US"/>
        </w:rPr>
        <w:t xml:space="preserve">the respondent contends that the second respondent has no </w:t>
      </w:r>
      <w:r w:rsidR="00F7789F" w:rsidRPr="0051033C">
        <w:rPr>
          <w:rFonts w:cs="Arial"/>
          <w:i/>
          <w:lang w:val="en-US"/>
        </w:rPr>
        <w:t>locus standi</w:t>
      </w:r>
      <w:r w:rsidR="00F7789F">
        <w:rPr>
          <w:rFonts w:cs="Arial"/>
          <w:lang w:val="en-US"/>
        </w:rPr>
        <w:t xml:space="preserve"> as she cannot be a director of the first respondent given that the first respondent does not exist, has no </w:t>
      </w:r>
      <w:r w:rsidR="00F7789F" w:rsidRPr="0051033C">
        <w:rPr>
          <w:rFonts w:cs="Arial"/>
          <w:i/>
          <w:lang w:val="en-US"/>
        </w:rPr>
        <w:t>locus standi</w:t>
      </w:r>
      <w:r w:rsidR="00F7789F">
        <w:rPr>
          <w:rFonts w:cs="Arial"/>
          <w:lang w:val="en-US"/>
        </w:rPr>
        <w:t xml:space="preserve"> or has been mis</w:t>
      </w:r>
      <w:r w:rsidR="004A315A">
        <w:rPr>
          <w:rFonts w:cs="Arial"/>
          <w:lang w:val="en-US"/>
        </w:rPr>
        <w:t>-</w:t>
      </w:r>
      <w:r w:rsidR="00F7789F">
        <w:rPr>
          <w:rFonts w:cs="Arial"/>
          <w:lang w:val="en-US"/>
        </w:rPr>
        <w:t xml:space="preserve">joined. </w:t>
      </w:r>
      <w:r w:rsidR="00D36AAA">
        <w:rPr>
          <w:rFonts w:cs="Arial"/>
          <w:lang w:val="en-US"/>
        </w:rPr>
        <w:t xml:space="preserve">The grounds advanced as </w:t>
      </w:r>
      <w:proofErr w:type="gramStart"/>
      <w:r w:rsidR="00D36AAA">
        <w:rPr>
          <w:rFonts w:cs="Arial"/>
          <w:lang w:val="en-US"/>
        </w:rPr>
        <w:t>similar to</w:t>
      </w:r>
      <w:proofErr w:type="gramEnd"/>
      <w:r w:rsidR="00D36AAA">
        <w:rPr>
          <w:rFonts w:cs="Arial"/>
          <w:lang w:val="en-US"/>
        </w:rPr>
        <w:t xml:space="preserve"> those raised in relation to the first point </w:t>
      </w:r>
      <w:r w:rsidR="00D36AAA" w:rsidRPr="00D36AAA">
        <w:rPr>
          <w:rFonts w:cs="Arial"/>
          <w:i/>
          <w:lang w:val="en-US"/>
        </w:rPr>
        <w:t xml:space="preserve">in </w:t>
      </w:r>
      <w:proofErr w:type="spellStart"/>
      <w:r w:rsidR="00D36AAA" w:rsidRPr="00D36AAA">
        <w:rPr>
          <w:rFonts w:cs="Arial"/>
          <w:i/>
          <w:lang w:val="en-US"/>
        </w:rPr>
        <w:t>limine</w:t>
      </w:r>
      <w:proofErr w:type="spellEnd"/>
      <w:r w:rsidR="00D36AAA">
        <w:rPr>
          <w:rFonts w:cs="Arial"/>
          <w:lang w:val="en-US"/>
        </w:rPr>
        <w:t>.</w:t>
      </w:r>
    </w:p>
    <w:p w14:paraId="169FCB15" w14:textId="3E29721C" w:rsidR="006616E5" w:rsidRPr="002C3752" w:rsidRDefault="00311384" w:rsidP="00311384">
      <w:pPr>
        <w:pStyle w:val="level11"/>
        <w:numPr>
          <w:ilvl w:val="0"/>
          <w:numId w:val="0"/>
        </w:numPr>
        <w:spacing w:after="480" w:line="360" w:lineRule="auto"/>
        <w:jc w:val="both"/>
        <w:rPr>
          <w:rFonts w:cs="Arial"/>
          <w:lang w:val="en-US"/>
        </w:rPr>
      </w:pPr>
      <w:r w:rsidRPr="002C3752">
        <w:rPr>
          <w:rFonts w:cs="Arial"/>
          <w:lang w:val="en-US"/>
        </w:rPr>
        <w:t>[31]</w:t>
      </w:r>
      <w:r w:rsidRPr="002C3752">
        <w:rPr>
          <w:rFonts w:cs="Arial"/>
          <w:lang w:val="en-US"/>
        </w:rPr>
        <w:tab/>
      </w:r>
      <w:r w:rsidR="00D36AAA">
        <w:rPr>
          <w:rFonts w:cs="Arial"/>
          <w:lang w:val="en-US"/>
        </w:rPr>
        <w:t>I conclude that t</w:t>
      </w:r>
      <w:r w:rsidR="00F7789F">
        <w:rPr>
          <w:rFonts w:cs="Arial"/>
          <w:lang w:val="en-US"/>
        </w:rPr>
        <w:t>here is no merit in this argument. I have already deal</w:t>
      </w:r>
      <w:r w:rsidR="0051033C">
        <w:rPr>
          <w:rFonts w:cs="Arial"/>
          <w:lang w:val="en-US"/>
        </w:rPr>
        <w:t>t</w:t>
      </w:r>
      <w:r w:rsidR="00F7789F">
        <w:rPr>
          <w:rFonts w:cs="Arial"/>
          <w:lang w:val="en-US"/>
        </w:rPr>
        <w:t xml:space="preserve"> with the position of the first applicant. The respondent’s argument further disregards that the second applicant is contending for an interest in her own right, given that her personal information has found its way into the possession of the respondent</w:t>
      </w:r>
      <w:r w:rsidR="00D36AAA">
        <w:rPr>
          <w:rFonts w:cs="Arial"/>
          <w:lang w:val="en-US"/>
        </w:rPr>
        <w:t xml:space="preserve"> and that she was a party to the proceedings which culminated in the 2022 order</w:t>
      </w:r>
      <w:r w:rsidR="004A315A">
        <w:rPr>
          <w:rFonts w:cs="Arial"/>
          <w:lang w:val="en-US"/>
        </w:rPr>
        <w:t>.</w:t>
      </w:r>
    </w:p>
    <w:p w14:paraId="37D34E1F" w14:textId="58D9FF71" w:rsidR="006616E5" w:rsidRDefault="00311384" w:rsidP="00311384">
      <w:pPr>
        <w:pStyle w:val="level11"/>
        <w:numPr>
          <w:ilvl w:val="0"/>
          <w:numId w:val="0"/>
        </w:numPr>
        <w:spacing w:after="480" w:line="360" w:lineRule="auto"/>
        <w:jc w:val="both"/>
        <w:rPr>
          <w:rFonts w:cs="Arial"/>
          <w:lang w:val="en-US"/>
        </w:rPr>
      </w:pPr>
      <w:r>
        <w:rPr>
          <w:rFonts w:cs="Arial"/>
          <w:lang w:val="en-US"/>
        </w:rPr>
        <w:lastRenderedPageBreak/>
        <w:t>[32]</w:t>
      </w:r>
      <w:r>
        <w:rPr>
          <w:rFonts w:cs="Arial"/>
          <w:lang w:val="en-US"/>
        </w:rPr>
        <w:tab/>
      </w:r>
      <w:r w:rsidR="00BE334B" w:rsidRPr="002C3752">
        <w:rPr>
          <w:rFonts w:cs="Arial"/>
          <w:lang w:val="en-US"/>
        </w:rPr>
        <w:t>T</w:t>
      </w:r>
      <w:r w:rsidR="004A315A">
        <w:rPr>
          <w:rFonts w:cs="Arial"/>
          <w:lang w:val="en-US"/>
        </w:rPr>
        <w:t xml:space="preserve">he respondent’s third point </w:t>
      </w:r>
      <w:r w:rsidR="004A315A" w:rsidRPr="0059519B">
        <w:rPr>
          <w:rFonts w:cs="Arial"/>
          <w:i/>
          <w:lang w:val="en-US"/>
        </w:rPr>
        <w:t xml:space="preserve">in </w:t>
      </w:r>
      <w:proofErr w:type="spellStart"/>
      <w:r w:rsidR="004A315A" w:rsidRPr="0059519B">
        <w:rPr>
          <w:rFonts w:cs="Arial"/>
          <w:i/>
          <w:lang w:val="en-US"/>
        </w:rPr>
        <w:t>limine</w:t>
      </w:r>
      <w:proofErr w:type="spellEnd"/>
      <w:r w:rsidR="004A315A" w:rsidRPr="0059519B">
        <w:rPr>
          <w:rFonts w:cs="Arial"/>
          <w:i/>
          <w:lang w:val="en-US"/>
        </w:rPr>
        <w:t xml:space="preserve"> </w:t>
      </w:r>
      <w:r w:rsidR="004A315A">
        <w:rPr>
          <w:rFonts w:cs="Arial"/>
          <w:lang w:val="en-US"/>
        </w:rPr>
        <w:t xml:space="preserve">is that the third applicant has no direct and substantial interest in this application and was not a party to the proceedings which resulted in the </w:t>
      </w:r>
      <w:r w:rsidR="0051033C">
        <w:rPr>
          <w:rFonts w:cs="Arial"/>
          <w:lang w:val="en-US"/>
        </w:rPr>
        <w:t xml:space="preserve">2022 </w:t>
      </w:r>
      <w:r w:rsidR="004A315A">
        <w:rPr>
          <w:rFonts w:cs="Arial"/>
          <w:lang w:val="en-US"/>
        </w:rPr>
        <w:t>order.</w:t>
      </w:r>
      <w:r w:rsidR="00D36AAA">
        <w:rPr>
          <w:rFonts w:cs="Arial"/>
          <w:lang w:val="en-US"/>
        </w:rPr>
        <w:t xml:space="preserve"> On that basis it is argued that the third respondent lacks </w:t>
      </w:r>
      <w:r w:rsidR="00D36AAA" w:rsidRPr="001D22A7">
        <w:rPr>
          <w:rFonts w:cs="Arial"/>
          <w:i/>
          <w:lang w:val="en-US"/>
        </w:rPr>
        <w:t>locus standi</w:t>
      </w:r>
      <w:r w:rsidR="00D36AAA">
        <w:rPr>
          <w:rFonts w:cs="Arial"/>
          <w:lang w:val="en-US"/>
        </w:rPr>
        <w:t xml:space="preserve"> to seek contempt relief. It is argued that the third applicant’s interest in the application is “not ring fenced”.</w:t>
      </w:r>
    </w:p>
    <w:p w14:paraId="424C68A4" w14:textId="1899A19F" w:rsidR="004A315A" w:rsidRPr="00D36AAA" w:rsidRDefault="00311384" w:rsidP="00311384">
      <w:pPr>
        <w:pStyle w:val="level11"/>
        <w:numPr>
          <w:ilvl w:val="0"/>
          <w:numId w:val="0"/>
        </w:numPr>
        <w:spacing w:after="480" w:line="360" w:lineRule="auto"/>
        <w:jc w:val="both"/>
        <w:rPr>
          <w:rFonts w:cs="Arial"/>
          <w:lang w:val="en-US"/>
        </w:rPr>
      </w:pPr>
      <w:r w:rsidRPr="00D36AAA">
        <w:rPr>
          <w:rFonts w:cs="Arial"/>
          <w:lang w:val="en-US"/>
        </w:rPr>
        <w:t>[33]</w:t>
      </w:r>
      <w:r w:rsidRPr="00D36AAA">
        <w:rPr>
          <w:rFonts w:cs="Arial"/>
          <w:lang w:val="en-US"/>
        </w:rPr>
        <w:tab/>
      </w:r>
      <w:r w:rsidR="004A315A" w:rsidRPr="00D36AAA">
        <w:rPr>
          <w:rFonts w:cs="Arial"/>
          <w:lang w:val="en-US"/>
        </w:rPr>
        <w:t xml:space="preserve">Whilst the </w:t>
      </w:r>
      <w:r w:rsidR="00D36AAA" w:rsidRPr="00D36AAA">
        <w:rPr>
          <w:rFonts w:cs="Arial"/>
          <w:lang w:val="en-US"/>
        </w:rPr>
        <w:t xml:space="preserve">third respondent may not seek any contempt order, </w:t>
      </w:r>
      <w:r w:rsidR="004A315A" w:rsidRPr="00D36AAA">
        <w:rPr>
          <w:rFonts w:cs="Arial"/>
          <w:lang w:val="en-US"/>
        </w:rPr>
        <w:t>the argument disregards that the third applicant is asserting his rights in relation to his own personal information in relation to the interdictory relief sought.</w:t>
      </w:r>
      <w:r w:rsidR="00D36AAA">
        <w:rPr>
          <w:rFonts w:cs="Arial"/>
          <w:lang w:val="en-US"/>
        </w:rPr>
        <w:t xml:space="preserve"> </w:t>
      </w:r>
      <w:r w:rsidR="004A315A" w:rsidRPr="00D36AAA">
        <w:rPr>
          <w:rFonts w:cs="Arial"/>
          <w:lang w:val="en-US"/>
        </w:rPr>
        <w:t xml:space="preserve">There is thus no merit in the contention that he lacks </w:t>
      </w:r>
      <w:r w:rsidR="004A315A" w:rsidRPr="009D0FD4">
        <w:rPr>
          <w:rFonts w:cs="Arial"/>
          <w:i/>
          <w:lang w:val="en-US"/>
        </w:rPr>
        <w:t>locus standi</w:t>
      </w:r>
      <w:r w:rsidR="004A315A" w:rsidRPr="00D36AAA">
        <w:rPr>
          <w:rFonts w:cs="Arial"/>
          <w:lang w:val="en-US"/>
        </w:rPr>
        <w:t xml:space="preserve"> in the present proceedings</w:t>
      </w:r>
      <w:r w:rsidR="002D2601">
        <w:rPr>
          <w:rFonts w:cs="Arial"/>
          <w:lang w:val="en-US"/>
        </w:rPr>
        <w:t xml:space="preserve"> or that his interest should be “ring fenced”.</w:t>
      </w:r>
    </w:p>
    <w:p w14:paraId="5D87DCA4" w14:textId="79785674" w:rsidR="00D36AAA" w:rsidRDefault="00311384" w:rsidP="00311384">
      <w:pPr>
        <w:pStyle w:val="level11"/>
        <w:numPr>
          <w:ilvl w:val="0"/>
          <w:numId w:val="0"/>
        </w:numPr>
        <w:spacing w:after="480" w:line="360" w:lineRule="auto"/>
        <w:jc w:val="both"/>
        <w:rPr>
          <w:rFonts w:cs="Arial"/>
          <w:lang w:val="en-US"/>
        </w:rPr>
      </w:pPr>
      <w:r>
        <w:rPr>
          <w:rFonts w:cs="Arial"/>
          <w:lang w:val="en-US"/>
        </w:rPr>
        <w:t>[34]</w:t>
      </w:r>
      <w:r>
        <w:rPr>
          <w:rFonts w:cs="Arial"/>
          <w:lang w:val="en-US"/>
        </w:rPr>
        <w:tab/>
      </w:r>
      <w:r w:rsidR="004A315A">
        <w:rPr>
          <w:rFonts w:cs="Arial"/>
          <w:lang w:val="en-US"/>
        </w:rPr>
        <w:t xml:space="preserve">It follows that the respondent’s points </w:t>
      </w:r>
      <w:r w:rsidR="004A315A" w:rsidRPr="004A315A">
        <w:rPr>
          <w:rFonts w:cs="Arial"/>
          <w:i/>
          <w:lang w:val="en-US"/>
        </w:rPr>
        <w:t xml:space="preserve">in </w:t>
      </w:r>
      <w:proofErr w:type="spellStart"/>
      <w:r w:rsidR="004A315A" w:rsidRPr="004A315A">
        <w:rPr>
          <w:rFonts w:cs="Arial"/>
          <w:i/>
          <w:lang w:val="en-US"/>
        </w:rPr>
        <w:t>limine</w:t>
      </w:r>
      <w:proofErr w:type="spellEnd"/>
      <w:r w:rsidR="004A315A">
        <w:rPr>
          <w:rFonts w:cs="Arial"/>
          <w:lang w:val="en-US"/>
        </w:rPr>
        <w:t xml:space="preserve"> must fail. </w:t>
      </w:r>
    </w:p>
    <w:p w14:paraId="4633F4F6" w14:textId="36F53ED6" w:rsidR="004A315A" w:rsidRPr="002C3752" w:rsidRDefault="00311384" w:rsidP="00311384">
      <w:pPr>
        <w:pStyle w:val="level11"/>
        <w:numPr>
          <w:ilvl w:val="0"/>
          <w:numId w:val="0"/>
        </w:numPr>
        <w:spacing w:after="480" w:line="360" w:lineRule="auto"/>
        <w:jc w:val="both"/>
        <w:rPr>
          <w:rFonts w:cs="Arial"/>
          <w:lang w:val="en-US"/>
        </w:rPr>
      </w:pPr>
      <w:r w:rsidRPr="002C3752">
        <w:rPr>
          <w:rFonts w:cs="Arial"/>
          <w:lang w:val="en-US"/>
        </w:rPr>
        <w:t>[35]</w:t>
      </w:r>
      <w:r w:rsidRPr="002C3752">
        <w:rPr>
          <w:rFonts w:cs="Arial"/>
          <w:lang w:val="en-US"/>
        </w:rPr>
        <w:tab/>
      </w:r>
      <w:r w:rsidR="00D36AAA">
        <w:rPr>
          <w:rFonts w:cs="Arial"/>
          <w:lang w:val="en-US"/>
        </w:rPr>
        <w:t>In relation to the issue of costs pertaining to these issues, they were dealt with in argument together with the merits</w:t>
      </w:r>
      <w:r w:rsidR="002D2601">
        <w:rPr>
          <w:rFonts w:cs="Arial"/>
          <w:lang w:val="en-US"/>
        </w:rPr>
        <w:t xml:space="preserve"> and did not prolong the proceedings unduly</w:t>
      </w:r>
      <w:r w:rsidR="00D36AAA">
        <w:rPr>
          <w:rFonts w:cs="Arial"/>
          <w:lang w:val="en-US"/>
        </w:rPr>
        <w:t xml:space="preserve">. </w:t>
      </w:r>
      <w:r w:rsidR="002D2601">
        <w:rPr>
          <w:rFonts w:cs="Arial"/>
          <w:lang w:val="en-US"/>
        </w:rPr>
        <w:t xml:space="preserve">Those </w:t>
      </w:r>
      <w:r w:rsidR="00D36AAA">
        <w:rPr>
          <w:rFonts w:cs="Arial"/>
          <w:lang w:val="en-US"/>
        </w:rPr>
        <w:t xml:space="preserve">costs </w:t>
      </w:r>
      <w:r w:rsidR="002D2601">
        <w:rPr>
          <w:rFonts w:cs="Arial"/>
          <w:lang w:val="en-US"/>
        </w:rPr>
        <w:t>are</w:t>
      </w:r>
      <w:r w:rsidR="00D36AAA">
        <w:rPr>
          <w:rFonts w:cs="Arial"/>
          <w:lang w:val="en-US"/>
        </w:rPr>
        <w:t xml:space="preserve"> to be costs in the cause in the application</w:t>
      </w:r>
      <w:r w:rsidR="002D2601">
        <w:rPr>
          <w:rFonts w:cs="Arial"/>
          <w:lang w:val="en-US"/>
        </w:rPr>
        <w:t xml:space="preserve"> and it is not necessary to make a separate costs order in relation thereto</w:t>
      </w:r>
      <w:r w:rsidR="00D36AAA">
        <w:rPr>
          <w:rFonts w:cs="Arial"/>
          <w:lang w:val="en-US"/>
        </w:rPr>
        <w:t>.</w:t>
      </w:r>
    </w:p>
    <w:p w14:paraId="272454E5" w14:textId="5ABBB582" w:rsidR="0059519B" w:rsidRPr="0059519B" w:rsidRDefault="0059519B" w:rsidP="009D0FD4">
      <w:pPr>
        <w:pStyle w:val="level11"/>
        <w:numPr>
          <w:ilvl w:val="0"/>
          <w:numId w:val="0"/>
        </w:numPr>
        <w:spacing w:after="480" w:line="360" w:lineRule="auto"/>
        <w:jc w:val="both"/>
        <w:rPr>
          <w:rFonts w:cs="Arial"/>
          <w:i/>
          <w:lang w:val="en-US"/>
        </w:rPr>
      </w:pPr>
      <w:r w:rsidRPr="0059519B">
        <w:rPr>
          <w:rFonts w:cs="Arial"/>
          <w:i/>
          <w:lang w:val="en-US"/>
        </w:rPr>
        <w:t>The merits</w:t>
      </w:r>
    </w:p>
    <w:p w14:paraId="2720E2C9" w14:textId="0544AEDE" w:rsidR="005108AD" w:rsidRDefault="00311384" w:rsidP="00311384">
      <w:pPr>
        <w:pStyle w:val="level11"/>
        <w:numPr>
          <w:ilvl w:val="0"/>
          <w:numId w:val="0"/>
        </w:numPr>
        <w:spacing w:after="480" w:line="360" w:lineRule="auto"/>
        <w:jc w:val="both"/>
        <w:rPr>
          <w:rFonts w:cs="Arial"/>
          <w:lang w:val="en-US"/>
        </w:rPr>
      </w:pPr>
      <w:r>
        <w:rPr>
          <w:rFonts w:cs="Arial"/>
          <w:lang w:val="en-US"/>
        </w:rPr>
        <w:t>[36]</w:t>
      </w:r>
      <w:r>
        <w:rPr>
          <w:rFonts w:cs="Arial"/>
          <w:lang w:val="en-US"/>
        </w:rPr>
        <w:tab/>
      </w:r>
      <w:r w:rsidR="005108AD">
        <w:rPr>
          <w:rFonts w:cs="Arial"/>
          <w:lang w:val="en-US"/>
        </w:rPr>
        <w:t xml:space="preserve">The two central issues to be determined relate to whether the respondent should be incarcerated pursuant to her contempt of the 2022 order and whether the applicants have established the requirements for interim interdictory relief. </w:t>
      </w:r>
    </w:p>
    <w:p w14:paraId="49DDA29B" w14:textId="20FF82AB" w:rsidR="0051033C" w:rsidRDefault="00311384" w:rsidP="00311384">
      <w:pPr>
        <w:pStyle w:val="level11"/>
        <w:numPr>
          <w:ilvl w:val="0"/>
          <w:numId w:val="0"/>
        </w:numPr>
        <w:spacing w:after="480" w:line="360" w:lineRule="auto"/>
        <w:jc w:val="both"/>
        <w:rPr>
          <w:rFonts w:cs="Arial"/>
          <w:lang w:val="en-US"/>
        </w:rPr>
      </w:pPr>
      <w:r>
        <w:rPr>
          <w:rFonts w:cs="Arial"/>
          <w:lang w:val="en-US"/>
        </w:rPr>
        <w:t>[37]</w:t>
      </w:r>
      <w:r>
        <w:rPr>
          <w:rFonts w:cs="Arial"/>
          <w:lang w:val="en-US"/>
        </w:rPr>
        <w:tab/>
      </w:r>
      <w:r w:rsidR="0051033C">
        <w:rPr>
          <w:rFonts w:cs="Arial"/>
          <w:lang w:val="en-US"/>
        </w:rPr>
        <w:t xml:space="preserve">The papers are replete with factual disputes on </w:t>
      </w:r>
      <w:r w:rsidR="000648E9">
        <w:rPr>
          <w:rFonts w:cs="Arial"/>
          <w:lang w:val="en-US"/>
        </w:rPr>
        <w:t>multiple</w:t>
      </w:r>
      <w:r w:rsidR="0051033C">
        <w:rPr>
          <w:rFonts w:cs="Arial"/>
          <w:lang w:val="en-US"/>
        </w:rPr>
        <w:t xml:space="preserve"> issues. The respondent’s papers are filled with bald denials and internal and external contradictions on certain issues, notably regarding her possession of the respective applicants’ personal information</w:t>
      </w:r>
      <w:r w:rsidR="000648E9">
        <w:rPr>
          <w:rFonts w:cs="Arial"/>
          <w:lang w:val="en-US"/>
        </w:rPr>
        <w:t>,</w:t>
      </w:r>
      <w:r w:rsidR="0051033C">
        <w:rPr>
          <w:rFonts w:cs="Arial"/>
          <w:lang w:val="en-US"/>
        </w:rPr>
        <w:t xml:space="preserve"> her interaction</w:t>
      </w:r>
      <w:r w:rsidR="000648E9">
        <w:rPr>
          <w:rFonts w:cs="Arial"/>
          <w:lang w:val="en-US"/>
        </w:rPr>
        <w:t>s</w:t>
      </w:r>
      <w:r w:rsidR="0051033C">
        <w:rPr>
          <w:rFonts w:cs="Arial"/>
          <w:lang w:val="en-US"/>
        </w:rPr>
        <w:t xml:space="preserve"> with </w:t>
      </w:r>
      <w:proofErr w:type="spellStart"/>
      <w:r w:rsidR="0051033C">
        <w:rPr>
          <w:rFonts w:cs="Arial"/>
          <w:lang w:val="en-US"/>
        </w:rPr>
        <w:t>Mr</w:t>
      </w:r>
      <w:proofErr w:type="spellEnd"/>
      <w:r w:rsidR="0051033C">
        <w:rPr>
          <w:rFonts w:cs="Arial"/>
          <w:lang w:val="en-US"/>
        </w:rPr>
        <w:t xml:space="preserve"> Van </w:t>
      </w:r>
      <w:proofErr w:type="spellStart"/>
      <w:r w:rsidR="0051033C">
        <w:rPr>
          <w:rFonts w:cs="Arial"/>
          <w:lang w:val="en-US"/>
        </w:rPr>
        <w:t>Wyk</w:t>
      </w:r>
      <w:proofErr w:type="spellEnd"/>
      <w:r w:rsidR="000648E9">
        <w:rPr>
          <w:rFonts w:cs="Arial"/>
          <w:lang w:val="en-US"/>
        </w:rPr>
        <w:t xml:space="preserve"> and whether she breached the 2022 order and is in contempt thereof</w:t>
      </w:r>
      <w:r w:rsidR="0051033C">
        <w:rPr>
          <w:rFonts w:cs="Arial"/>
          <w:lang w:val="en-US"/>
        </w:rPr>
        <w:t xml:space="preserve">. In various respects, the respondent did not present </w:t>
      </w:r>
      <w:r w:rsidR="0051033C">
        <w:rPr>
          <w:rFonts w:cs="Arial"/>
          <w:lang w:val="en-US"/>
        </w:rPr>
        <w:lastRenderedPageBreak/>
        <w:t xml:space="preserve">countervailing evidence to the averments of the applicants and their witness, </w:t>
      </w:r>
      <w:proofErr w:type="spellStart"/>
      <w:r w:rsidR="0051033C">
        <w:rPr>
          <w:rFonts w:cs="Arial"/>
          <w:lang w:val="en-US"/>
        </w:rPr>
        <w:t>Mr</w:t>
      </w:r>
      <w:proofErr w:type="spellEnd"/>
      <w:r w:rsidR="0051033C">
        <w:rPr>
          <w:rFonts w:cs="Arial"/>
          <w:lang w:val="en-US"/>
        </w:rPr>
        <w:t xml:space="preserve"> Van </w:t>
      </w:r>
      <w:proofErr w:type="spellStart"/>
      <w:r w:rsidR="0051033C">
        <w:rPr>
          <w:rFonts w:cs="Arial"/>
          <w:lang w:val="en-US"/>
        </w:rPr>
        <w:t>Wyk</w:t>
      </w:r>
      <w:proofErr w:type="spellEnd"/>
      <w:r w:rsidR="0051033C">
        <w:rPr>
          <w:rFonts w:cs="Arial"/>
          <w:lang w:val="en-US"/>
        </w:rPr>
        <w:t xml:space="preserve"> and did not meaningfully grapple with the evidence presented. </w:t>
      </w:r>
    </w:p>
    <w:p w14:paraId="3B82D1B8" w14:textId="6D062D2A" w:rsidR="000648E9" w:rsidRDefault="00311384" w:rsidP="00311384">
      <w:pPr>
        <w:pStyle w:val="level11"/>
        <w:numPr>
          <w:ilvl w:val="0"/>
          <w:numId w:val="0"/>
        </w:numPr>
        <w:spacing w:after="480" w:line="360" w:lineRule="auto"/>
        <w:jc w:val="both"/>
        <w:rPr>
          <w:rFonts w:cs="Arial"/>
          <w:lang w:val="en-US"/>
        </w:rPr>
      </w:pPr>
      <w:r>
        <w:rPr>
          <w:rFonts w:cs="Arial"/>
          <w:lang w:val="en-US"/>
        </w:rPr>
        <w:t>[38]</w:t>
      </w:r>
      <w:r>
        <w:rPr>
          <w:rFonts w:cs="Arial"/>
          <w:lang w:val="en-US"/>
        </w:rPr>
        <w:tab/>
      </w:r>
      <w:r w:rsidR="0051033C" w:rsidRPr="0030037A">
        <w:rPr>
          <w:rFonts w:cs="Arial"/>
          <w:lang w:val="en-US"/>
        </w:rPr>
        <w:t>Neither of the parties requested a referral to oral evidence</w:t>
      </w:r>
      <w:r w:rsidR="000648E9">
        <w:rPr>
          <w:rFonts w:cs="Arial"/>
          <w:lang w:val="en-US"/>
        </w:rPr>
        <w:t xml:space="preserve"> or trial</w:t>
      </w:r>
      <w:r w:rsidR="0051033C" w:rsidRPr="0030037A">
        <w:rPr>
          <w:rFonts w:cs="Arial"/>
          <w:lang w:val="en-US"/>
        </w:rPr>
        <w:t>. Instead, the applicants</w:t>
      </w:r>
      <w:r w:rsidR="000648E9">
        <w:rPr>
          <w:rFonts w:cs="Arial"/>
          <w:lang w:val="en-US"/>
        </w:rPr>
        <w:t xml:space="preserve">, relying on </w:t>
      </w:r>
      <w:r w:rsidR="000648E9" w:rsidRPr="000648E9">
        <w:rPr>
          <w:rFonts w:cs="Arial"/>
          <w:i/>
          <w:lang w:val="en-US"/>
        </w:rPr>
        <w:t>Wightman</w:t>
      </w:r>
      <w:r w:rsidR="005565ED">
        <w:rPr>
          <w:rFonts w:cs="Arial"/>
          <w:i/>
          <w:lang w:val="en-US"/>
        </w:rPr>
        <w:t>,</w:t>
      </w:r>
      <w:r w:rsidR="000648E9">
        <w:rPr>
          <w:rStyle w:val="FootnoteReference"/>
          <w:rFonts w:cs="Arial"/>
          <w:lang w:val="en-US"/>
        </w:rPr>
        <w:footnoteReference w:id="7"/>
      </w:r>
      <w:r w:rsidR="0051033C" w:rsidRPr="0030037A">
        <w:rPr>
          <w:rFonts w:cs="Arial"/>
          <w:lang w:val="en-US"/>
        </w:rPr>
        <w:t xml:space="preserve"> argued that the respondent’s version should be rejected on the papers as palpably false and untenable</w:t>
      </w:r>
      <w:r w:rsidR="000648E9">
        <w:rPr>
          <w:rFonts w:cs="Arial"/>
          <w:lang w:val="en-US"/>
        </w:rPr>
        <w:t xml:space="preserve"> and that her version did not raise </w:t>
      </w:r>
      <w:r w:rsidR="000648E9" w:rsidRPr="00DD5BF2">
        <w:rPr>
          <w:rFonts w:cs="Arial"/>
          <w:i/>
          <w:lang w:val="en-US"/>
        </w:rPr>
        <w:t xml:space="preserve">bona fide </w:t>
      </w:r>
      <w:r w:rsidR="000648E9">
        <w:rPr>
          <w:rFonts w:cs="Arial"/>
          <w:lang w:val="en-US"/>
        </w:rPr>
        <w:t>factual disputes</w:t>
      </w:r>
      <w:r w:rsidR="0051033C" w:rsidRPr="0030037A">
        <w:rPr>
          <w:rFonts w:cs="Arial"/>
          <w:lang w:val="en-US"/>
        </w:rPr>
        <w:t>.</w:t>
      </w:r>
    </w:p>
    <w:p w14:paraId="169854C5" w14:textId="2F586422" w:rsidR="000648E9" w:rsidRDefault="00311384" w:rsidP="00311384">
      <w:pPr>
        <w:pStyle w:val="level11"/>
        <w:numPr>
          <w:ilvl w:val="0"/>
          <w:numId w:val="0"/>
        </w:numPr>
        <w:spacing w:after="480" w:line="360" w:lineRule="auto"/>
        <w:jc w:val="both"/>
        <w:rPr>
          <w:rFonts w:cs="Arial"/>
          <w:lang w:val="en-US"/>
        </w:rPr>
      </w:pPr>
      <w:r>
        <w:rPr>
          <w:rFonts w:cs="Arial"/>
          <w:lang w:val="en-US"/>
        </w:rPr>
        <w:t>[39]</w:t>
      </w:r>
      <w:r>
        <w:rPr>
          <w:rFonts w:cs="Arial"/>
          <w:lang w:val="en-US"/>
        </w:rPr>
        <w:tab/>
      </w:r>
      <w:r w:rsidR="0051033C" w:rsidRPr="0030037A">
        <w:rPr>
          <w:rFonts w:cs="Arial"/>
          <w:lang w:val="en-US"/>
        </w:rPr>
        <w:t>The respondent on the other hand contended that the applicants resorted to speculation and conjecture in relation to their contempt allegations and failed to provide substantiating proof of their averments</w:t>
      </w:r>
      <w:r w:rsidR="000648E9">
        <w:rPr>
          <w:rFonts w:cs="Arial"/>
          <w:lang w:val="en-US"/>
        </w:rPr>
        <w:t xml:space="preserve"> in relation both to the contempt and interdictory relief sought</w:t>
      </w:r>
      <w:r w:rsidR="0051033C" w:rsidRPr="0030037A">
        <w:rPr>
          <w:rFonts w:cs="Arial"/>
          <w:lang w:val="en-US"/>
        </w:rPr>
        <w:t>.</w:t>
      </w:r>
    </w:p>
    <w:p w14:paraId="21688B55" w14:textId="749265CD" w:rsidR="000648E9" w:rsidRDefault="00311384" w:rsidP="00311384">
      <w:pPr>
        <w:pStyle w:val="level11"/>
        <w:numPr>
          <w:ilvl w:val="0"/>
          <w:numId w:val="0"/>
        </w:numPr>
        <w:spacing w:after="480" w:line="360" w:lineRule="auto"/>
        <w:jc w:val="both"/>
        <w:rPr>
          <w:rFonts w:cs="Arial"/>
          <w:lang w:val="en-US"/>
        </w:rPr>
      </w:pPr>
      <w:r>
        <w:rPr>
          <w:rFonts w:cs="Arial"/>
          <w:lang w:val="en-US"/>
        </w:rPr>
        <w:t>[40]</w:t>
      </w:r>
      <w:r>
        <w:rPr>
          <w:rFonts w:cs="Arial"/>
          <w:lang w:val="en-US"/>
        </w:rPr>
        <w:tab/>
      </w:r>
      <w:r w:rsidR="000648E9">
        <w:rPr>
          <w:rFonts w:cs="Arial"/>
          <w:lang w:val="en-US"/>
        </w:rPr>
        <w:t>I</w:t>
      </w:r>
      <w:r w:rsidR="002D2601">
        <w:rPr>
          <w:rFonts w:cs="Arial"/>
          <w:lang w:val="en-US"/>
        </w:rPr>
        <w:t>n my view, i</w:t>
      </w:r>
      <w:r w:rsidR="000648E9">
        <w:rPr>
          <w:rFonts w:cs="Arial"/>
          <w:lang w:val="en-US"/>
        </w:rPr>
        <w:t>t is not necessary to resolve all the factual disputes on the papers, nor is it possible to do so.</w:t>
      </w:r>
      <w:r w:rsidR="0051033C" w:rsidRPr="0030037A">
        <w:rPr>
          <w:rFonts w:cs="Arial"/>
          <w:lang w:val="en-US"/>
        </w:rPr>
        <w:t xml:space="preserve"> </w:t>
      </w:r>
      <w:r w:rsidR="002D2601">
        <w:rPr>
          <w:rFonts w:cs="Arial"/>
          <w:lang w:val="en-US"/>
        </w:rPr>
        <w:t xml:space="preserve">Although I agree with the applicants that the respondent’s version is in various respects untenable, her version cannot be rejected in its totality. Rather, it should be considered in relation to the central issues raised in this application. It can also not be concluded that the applicants’ version is based on speculation and conjecture. </w:t>
      </w:r>
      <w:proofErr w:type="gramStart"/>
      <w:r w:rsidR="002D2601">
        <w:rPr>
          <w:rFonts w:cs="Arial"/>
          <w:lang w:val="en-US"/>
        </w:rPr>
        <w:t>The  facts</w:t>
      </w:r>
      <w:proofErr w:type="gramEnd"/>
      <w:r w:rsidR="002D2601">
        <w:rPr>
          <w:rFonts w:cs="Arial"/>
          <w:lang w:val="en-US"/>
        </w:rPr>
        <w:t xml:space="preserve"> must be considered in determining whether the applicant has made out a proper case for the relief sought.</w:t>
      </w:r>
    </w:p>
    <w:p w14:paraId="56B3F112" w14:textId="5E761F0F" w:rsidR="0051033C" w:rsidRDefault="00311384" w:rsidP="00311384">
      <w:pPr>
        <w:pStyle w:val="level11"/>
        <w:numPr>
          <w:ilvl w:val="0"/>
          <w:numId w:val="0"/>
        </w:numPr>
        <w:spacing w:after="480" w:line="360" w:lineRule="auto"/>
        <w:jc w:val="both"/>
        <w:rPr>
          <w:rFonts w:cs="Arial"/>
          <w:lang w:val="en-US"/>
        </w:rPr>
      </w:pPr>
      <w:r>
        <w:rPr>
          <w:rFonts w:cs="Arial"/>
          <w:lang w:val="en-US"/>
        </w:rPr>
        <w:t>[41]</w:t>
      </w:r>
      <w:r>
        <w:rPr>
          <w:rFonts w:cs="Arial"/>
          <w:lang w:val="en-US"/>
        </w:rPr>
        <w:tab/>
      </w:r>
      <w:r w:rsidR="000648E9">
        <w:rPr>
          <w:rFonts w:cs="Arial"/>
          <w:lang w:val="en-US"/>
        </w:rPr>
        <w:t xml:space="preserve">The respondent </w:t>
      </w:r>
      <w:r w:rsidR="0051033C">
        <w:rPr>
          <w:rFonts w:cs="Arial"/>
          <w:lang w:val="en-US"/>
        </w:rPr>
        <w:t xml:space="preserve">further argued that the </w:t>
      </w:r>
      <w:r w:rsidR="000648E9">
        <w:rPr>
          <w:rFonts w:cs="Arial"/>
          <w:lang w:val="en-US"/>
        </w:rPr>
        <w:t xml:space="preserve">applicants relied on hearsay </w:t>
      </w:r>
      <w:r w:rsidR="0051033C">
        <w:rPr>
          <w:rFonts w:cs="Arial"/>
          <w:lang w:val="en-US"/>
        </w:rPr>
        <w:t>evidence</w:t>
      </w:r>
      <w:r w:rsidR="000648E9">
        <w:rPr>
          <w:rFonts w:cs="Arial"/>
          <w:lang w:val="en-US"/>
        </w:rPr>
        <w:t xml:space="preserve">, specifically in relation to </w:t>
      </w:r>
      <w:proofErr w:type="spellStart"/>
      <w:r w:rsidR="000648E9">
        <w:rPr>
          <w:rFonts w:cs="Arial"/>
          <w:lang w:val="en-US"/>
        </w:rPr>
        <w:t>Mr</w:t>
      </w:r>
      <w:proofErr w:type="spellEnd"/>
      <w:r w:rsidR="000648E9">
        <w:rPr>
          <w:rFonts w:cs="Arial"/>
          <w:lang w:val="en-US"/>
        </w:rPr>
        <w:t xml:space="preserve"> Van </w:t>
      </w:r>
      <w:proofErr w:type="spellStart"/>
      <w:r w:rsidR="000648E9">
        <w:rPr>
          <w:rFonts w:cs="Arial"/>
          <w:lang w:val="en-US"/>
        </w:rPr>
        <w:t>Wyk</w:t>
      </w:r>
      <w:proofErr w:type="spellEnd"/>
      <w:r w:rsidR="000648E9">
        <w:rPr>
          <w:rFonts w:cs="Arial"/>
          <w:lang w:val="en-US"/>
        </w:rPr>
        <w:t>, who i</w:t>
      </w:r>
      <w:r w:rsidR="008E2738">
        <w:rPr>
          <w:rFonts w:cs="Arial"/>
          <w:lang w:val="en-US"/>
        </w:rPr>
        <w:t>s not a party to the application</w:t>
      </w:r>
      <w:r w:rsidR="000648E9">
        <w:rPr>
          <w:rFonts w:cs="Arial"/>
          <w:lang w:val="en-US"/>
        </w:rPr>
        <w:t xml:space="preserve">. This contention lacks merit, given that </w:t>
      </w:r>
      <w:proofErr w:type="spellStart"/>
      <w:r w:rsidR="0051033C">
        <w:rPr>
          <w:rFonts w:cs="Arial"/>
          <w:lang w:val="en-US"/>
        </w:rPr>
        <w:t>Mr</w:t>
      </w:r>
      <w:proofErr w:type="spellEnd"/>
      <w:r w:rsidR="0051033C">
        <w:rPr>
          <w:rFonts w:cs="Arial"/>
          <w:lang w:val="en-US"/>
        </w:rPr>
        <w:t xml:space="preserve"> van </w:t>
      </w:r>
      <w:proofErr w:type="spellStart"/>
      <w:r w:rsidR="0051033C">
        <w:rPr>
          <w:rFonts w:cs="Arial"/>
          <w:lang w:val="en-US"/>
        </w:rPr>
        <w:t>Wyk</w:t>
      </w:r>
      <w:proofErr w:type="spellEnd"/>
      <w:r w:rsidR="0051033C">
        <w:rPr>
          <w:rFonts w:cs="Arial"/>
          <w:lang w:val="en-US"/>
        </w:rPr>
        <w:t xml:space="preserve"> provid</w:t>
      </w:r>
      <w:r w:rsidR="000648E9">
        <w:rPr>
          <w:rFonts w:cs="Arial"/>
          <w:lang w:val="en-US"/>
        </w:rPr>
        <w:t>ed</w:t>
      </w:r>
      <w:r w:rsidR="008E2738">
        <w:rPr>
          <w:rFonts w:cs="Arial"/>
          <w:lang w:val="en-US"/>
        </w:rPr>
        <w:t xml:space="preserve"> a</w:t>
      </w:r>
      <w:r w:rsidR="000648E9">
        <w:rPr>
          <w:rFonts w:cs="Arial"/>
          <w:lang w:val="en-US"/>
        </w:rPr>
        <w:t xml:space="preserve">n extensive </w:t>
      </w:r>
      <w:r w:rsidR="008E2738">
        <w:rPr>
          <w:rFonts w:cs="Arial"/>
          <w:lang w:val="en-US"/>
        </w:rPr>
        <w:t>affidavit</w:t>
      </w:r>
      <w:r w:rsidR="000648E9">
        <w:rPr>
          <w:rFonts w:cs="Arial"/>
          <w:lang w:val="en-US"/>
        </w:rPr>
        <w:t xml:space="preserve"> which was </w:t>
      </w:r>
      <w:r w:rsidR="00CE488B">
        <w:rPr>
          <w:rFonts w:cs="Arial"/>
          <w:lang w:val="en-US"/>
        </w:rPr>
        <w:t xml:space="preserve">in various respects </w:t>
      </w:r>
      <w:r w:rsidR="000648E9">
        <w:rPr>
          <w:rFonts w:cs="Arial"/>
          <w:lang w:val="en-US"/>
        </w:rPr>
        <w:t>not meaningfully addressed or challenged by the respondent in her affidavit. It is well established that a party can rely on the evidence of any witness relevant to the issues which arise in an application and is not constrained to only advance evidence of the parties to the application.</w:t>
      </w:r>
      <w:r w:rsidR="0051033C">
        <w:rPr>
          <w:rFonts w:cs="Arial"/>
          <w:lang w:val="en-US"/>
        </w:rPr>
        <w:t xml:space="preserve"> </w:t>
      </w:r>
    </w:p>
    <w:p w14:paraId="67D45062" w14:textId="77777777" w:rsidR="008E2738" w:rsidRPr="0059519B" w:rsidRDefault="008E2738" w:rsidP="000648E9">
      <w:pPr>
        <w:pStyle w:val="level11"/>
        <w:numPr>
          <w:ilvl w:val="0"/>
          <w:numId w:val="0"/>
        </w:numPr>
        <w:spacing w:after="480" w:line="360" w:lineRule="auto"/>
        <w:jc w:val="both"/>
        <w:rPr>
          <w:rFonts w:cs="Arial"/>
          <w:i/>
          <w:lang w:val="en-US"/>
        </w:rPr>
      </w:pPr>
      <w:r w:rsidRPr="0059519B">
        <w:rPr>
          <w:rFonts w:cs="Arial"/>
          <w:i/>
          <w:lang w:val="en-US"/>
        </w:rPr>
        <w:lastRenderedPageBreak/>
        <w:t>Contempt</w:t>
      </w:r>
    </w:p>
    <w:p w14:paraId="6FE87835" w14:textId="4D62B2E7" w:rsidR="008E2738" w:rsidRDefault="00311384" w:rsidP="00311384">
      <w:pPr>
        <w:pStyle w:val="level11"/>
        <w:numPr>
          <w:ilvl w:val="0"/>
          <w:numId w:val="0"/>
        </w:numPr>
        <w:spacing w:after="480" w:line="360" w:lineRule="auto"/>
        <w:jc w:val="both"/>
        <w:rPr>
          <w:lang w:val="en-US"/>
        </w:rPr>
      </w:pPr>
      <w:r>
        <w:rPr>
          <w:lang w:val="en-US"/>
        </w:rPr>
        <w:t>[42]</w:t>
      </w:r>
      <w:r>
        <w:rPr>
          <w:lang w:val="en-US"/>
        </w:rPr>
        <w:tab/>
      </w:r>
      <w:r w:rsidR="008E2738" w:rsidRPr="00C92D46">
        <w:rPr>
          <w:lang w:val="en-US"/>
        </w:rPr>
        <w:t>The requirements for civil contempt are well settled in our law</w:t>
      </w:r>
      <w:r w:rsidR="00D05D34">
        <w:rPr>
          <w:lang w:val="en-US"/>
        </w:rPr>
        <w:t>.</w:t>
      </w:r>
      <w:r w:rsidR="008E2738">
        <w:rPr>
          <w:rStyle w:val="FootnoteReference"/>
          <w:lang w:val="en-US"/>
        </w:rPr>
        <w:footnoteReference w:id="8"/>
      </w:r>
      <w:r w:rsidR="008E2738" w:rsidRPr="00C92D46">
        <w:rPr>
          <w:lang w:val="en-US"/>
        </w:rPr>
        <w:t xml:space="preserve"> These requirements are</w:t>
      </w:r>
      <w:r w:rsidR="000648E9">
        <w:rPr>
          <w:lang w:val="en-US"/>
        </w:rPr>
        <w:t>:</w:t>
      </w:r>
      <w:r w:rsidR="008E2738" w:rsidRPr="00C92D46">
        <w:rPr>
          <w:lang w:val="en-US"/>
        </w:rPr>
        <w:t xml:space="preserve"> (</w:t>
      </w:r>
      <w:proofErr w:type="spellStart"/>
      <w:r w:rsidR="008E2738" w:rsidRPr="00C92D46">
        <w:rPr>
          <w:lang w:val="en-US"/>
        </w:rPr>
        <w:t>i</w:t>
      </w:r>
      <w:proofErr w:type="spellEnd"/>
      <w:r w:rsidR="008E2738" w:rsidRPr="00C92D46">
        <w:rPr>
          <w:lang w:val="en-US"/>
        </w:rPr>
        <w:t xml:space="preserve">) an order must exist; (ii) it must be duly served on or brought to the notice of the contemnor; (iii) there must be non-compliance with the order; (iv) the non-compliance must be willful </w:t>
      </w:r>
      <w:r w:rsidR="008E2738">
        <w:rPr>
          <w:lang w:val="en-US"/>
        </w:rPr>
        <w:t>and</w:t>
      </w:r>
      <w:r w:rsidR="008E2738" w:rsidRPr="00C92D46">
        <w:rPr>
          <w:lang w:val="en-US"/>
        </w:rPr>
        <w:t xml:space="preserve"> </w:t>
      </w:r>
      <w:r w:rsidR="008E2738" w:rsidRPr="00DD5BF2">
        <w:rPr>
          <w:i/>
          <w:lang w:val="en-US"/>
        </w:rPr>
        <w:t>mala fide</w:t>
      </w:r>
      <w:r w:rsidR="008E2738" w:rsidRPr="00C92D46">
        <w:rPr>
          <w:lang w:val="en-US"/>
        </w:rPr>
        <w:t xml:space="preserve">. </w:t>
      </w:r>
    </w:p>
    <w:p w14:paraId="445878F9" w14:textId="46914075" w:rsidR="008E2738" w:rsidRPr="00C92D46" w:rsidRDefault="00311384" w:rsidP="00311384">
      <w:pPr>
        <w:pStyle w:val="level11"/>
        <w:numPr>
          <w:ilvl w:val="0"/>
          <w:numId w:val="0"/>
        </w:numPr>
        <w:spacing w:after="480" w:line="360" w:lineRule="auto"/>
        <w:jc w:val="both"/>
        <w:rPr>
          <w:lang w:val="en-US"/>
        </w:rPr>
      </w:pPr>
      <w:r w:rsidRPr="00C92D46">
        <w:rPr>
          <w:lang w:val="en-US"/>
        </w:rPr>
        <w:t>[43]</w:t>
      </w:r>
      <w:r w:rsidRPr="00C92D46">
        <w:rPr>
          <w:lang w:val="en-US"/>
        </w:rPr>
        <w:tab/>
      </w:r>
      <w:r w:rsidR="008E2738">
        <w:rPr>
          <w:lang w:val="en-US"/>
        </w:rPr>
        <w:t xml:space="preserve">Once </w:t>
      </w:r>
      <w:r w:rsidR="00EB4FA9">
        <w:rPr>
          <w:lang w:val="en-US"/>
        </w:rPr>
        <w:t>an</w:t>
      </w:r>
      <w:r w:rsidR="000648E9">
        <w:rPr>
          <w:lang w:val="en-US"/>
        </w:rPr>
        <w:t xml:space="preserve"> </w:t>
      </w:r>
      <w:r w:rsidR="008E2738">
        <w:rPr>
          <w:lang w:val="en-US"/>
        </w:rPr>
        <w:t xml:space="preserve">applicant has proved the existence and service of the order and its non-compliance, the contemnor bears an evidential burden to present evidence in relation to willfulness and </w:t>
      </w:r>
      <w:r w:rsidR="008E2738" w:rsidRPr="00DD5BF2">
        <w:rPr>
          <w:i/>
          <w:lang w:val="en-US"/>
        </w:rPr>
        <w:t>mala fides</w:t>
      </w:r>
      <w:r w:rsidR="008E2738">
        <w:rPr>
          <w:lang w:val="en-US"/>
        </w:rPr>
        <w:t xml:space="preserve"> which casts reasonable doubt on whether his non-compliance with the order was willful and </w:t>
      </w:r>
      <w:r w:rsidR="008E2738" w:rsidRPr="00EB4FA9">
        <w:rPr>
          <w:i/>
          <w:lang w:val="en-US"/>
        </w:rPr>
        <w:t>mala fide</w:t>
      </w:r>
      <w:r w:rsidR="00D05D34">
        <w:rPr>
          <w:i/>
          <w:lang w:val="en-US"/>
        </w:rPr>
        <w:t>.</w:t>
      </w:r>
      <w:r w:rsidR="008E2738">
        <w:rPr>
          <w:rStyle w:val="FootnoteReference"/>
          <w:lang w:val="en-US"/>
        </w:rPr>
        <w:footnoteReference w:id="9"/>
      </w:r>
      <w:r w:rsidR="008E2738" w:rsidRPr="00C92D46">
        <w:rPr>
          <w:lang w:val="en-US"/>
        </w:rPr>
        <w:t xml:space="preserve"> Where the applicant seeks a </w:t>
      </w:r>
      <w:r w:rsidR="008E2738">
        <w:rPr>
          <w:lang w:val="en-US"/>
        </w:rPr>
        <w:t>committal</w:t>
      </w:r>
      <w:r w:rsidR="008E2738" w:rsidRPr="00C92D46">
        <w:rPr>
          <w:lang w:val="en-US"/>
        </w:rPr>
        <w:t xml:space="preserve"> order, such as in the present instance, the </w:t>
      </w:r>
      <w:r w:rsidR="008E2738">
        <w:rPr>
          <w:lang w:val="en-US"/>
        </w:rPr>
        <w:t xml:space="preserve">applicable standard </w:t>
      </w:r>
      <w:r w:rsidR="008E2738" w:rsidRPr="00C92D46">
        <w:rPr>
          <w:lang w:val="en-US"/>
        </w:rPr>
        <w:t xml:space="preserve">is </w:t>
      </w:r>
      <w:r w:rsidR="008E2738">
        <w:rPr>
          <w:lang w:val="en-US"/>
        </w:rPr>
        <w:t xml:space="preserve">that willfulness and </w:t>
      </w:r>
      <w:r w:rsidR="008E2738" w:rsidRPr="00EB4FA9">
        <w:rPr>
          <w:i/>
          <w:lang w:val="en-US"/>
        </w:rPr>
        <w:t>mala fides</w:t>
      </w:r>
      <w:r w:rsidR="008E2738">
        <w:rPr>
          <w:lang w:val="en-US"/>
        </w:rPr>
        <w:t xml:space="preserve"> must be established beyond a reasonable doubt</w:t>
      </w:r>
      <w:r w:rsidR="008E2738" w:rsidRPr="00C92D46">
        <w:rPr>
          <w:lang w:val="en-US"/>
        </w:rPr>
        <w:t>.</w:t>
      </w:r>
      <w:r w:rsidR="008E2738">
        <w:rPr>
          <w:rStyle w:val="FootnoteReference"/>
          <w:lang w:val="en-US"/>
        </w:rPr>
        <w:footnoteReference w:id="10"/>
      </w:r>
      <w:r w:rsidR="008E2738">
        <w:rPr>
          <w:lang w:val="en-US"/>
        </w:rPr>
        <w:t xml:space="preserve"> I accept that this standard applies in the present application.</w:t>
      </w:r>
    </w:p>
    <w:p w14:paraId="1125BBB5" w14:textId="313B2F45" w:rsidR="008E2738" w:rsidRDefault="00311384" w:rsidP="00311384">
      <w:pPr>
        <w:pStyle w:val="level11"/>
        <w:numPr>
          <w:ilvl w:val="0"/>
          <w:numId w:val="0"/>
        </w:numPr>
        <w:spacing w:after="480" w:line="360" w:lineRule="auto"/>
        <w:jc w:val="both"/>
        <w:rPr>
          <w:lang w:val="en-US"/>
        </w:rPr>
      </w:pPr>
      <w:r>
        <w:rPr>
          <w:lang w:val="en-US"/>
        </w:rPr>
        <w:t>[44]</w:t>
      </w:r>
      <w:r>
        <w:rPr>
          <w:lang w:val="en-US"/>
        </w:rPr>
        <w:tab/>
      </w:r>
      <w:r w:rsidR="008E2738">
        <w:rPr>
          <w:lang w:val="en-US"/>
        </w:rPr>
        <w:t xml:space="preserve">The existence of the </w:t>
      </w:r>
      <w:r w:rsidR="00F05EE6">
        <w:rPr>
          <w:lang w:val="en-US"/>
        </w:rPr>
        <w:t xml:space="preserve">2022 </w:t>
      </w:r>
      <w:r w:rsidR="008E2738">
        <w:rPr>
          <w:lang w:val="en-US"/>
        </w:rPr>
        <w:t xml:space="preserve">order of 12 April 2022 is </w:t>
      </w:r>
      <w:r w:rsidR="00EB4FA9">
        <w:rPr>
          <w:lang w:val="en-US"/>
        </w:rPr>
        <w:t>un</w:t>
      </w:r>
      <w:r w:rsidR="008E2738">
        <w:rPr>
          <w:lang w:val="en-US"/>
        </w:rPr>
        <w:t>disputed. On the respondent’s own version</w:t>
      </w:r>
      <w:r w:rsidR="00F05EE6">
        <w:rPr>
          <w:lang w:val="en-US"/>
        </w:rPr>
        <w:t>,</w:t>
      </w:r>
      <w:r w:rsidR="008E2738">
        <w:rPr>
          <w:lang w:val="en-US"/>
        </w:rPr>
        <w:t xml:space="preserve"> she </w:t>
      </w:r>
      <w:r w:rsidR="00F05EE6">
        <w:rPr>
          <w:lang w:val="en-US"/>
        </w:rPr>
        <w:t>was provided with a copy of the said order after her arrest</w:t>
      </w:r>
      <w:r w:rsidR="008E2738">
        <w:rPr>
          <w:lang w:val="en-US"/>
        </w:rPr>
        <w:t xml:space="preserve"> on 20 April 2022</w:t>
      </w:r>
      <w:r w:rsidR="00EB4FA9">
        <w:rPr>
          <w:lang w:val="en-US"/>
        </w:rPr>
        <w:t xml:space="preserve"> and is aware of the order and its contents. The applicants have thus established the first two requirements.</w:t>
      </w:r>
    </w:p>
    <w:p w14:paraId="0C8DD4DF" w14:textId="21180316" w:rsidR="00F05EE6" w:rsidRDefault="00311384" w:rsidP="00311384">
      <w:pPr>
        <w:pStyle w:val="level11"/>
        <w:numPr>
          <w:ilvl w:val="0"/>
          <w:numId w:val="0"/>
        </w:numPr>
        <w:spacing w:after="480" w:line="360" w:lineRule="auto"/>
        <w:jc w:val="both"/>
        <w:rPr>
          <w:lang w:val="en-US"/>
        </w:rPr>
      </w:pPr>
      <w:r>
        <w:rPr>
          <w:lang w:val="en-US"/>
        </w:rPr>
        <w:t>[45]</w:t>
      </w:r>
      <w:r>
        <w:rPr>
          <w:lang w:val="en-US"/>
        </w:rPr>
        <w:tab/>
      </w:r>
      <w:r w:rsidR="00F05EE6" w:rsidRPr="00F05EE6">
        <w:rPr>
          <w:rFonts w:cs="Arial"/>
          <w:lang w:val="en-US"/>
        </w:rPr>
        <w:t xml:space="preserve">Regarding the </w:t>
      </w:r>
      <w:r w:rsidR="00CE488B">
        <w:rPr>
          <w:rFonts w:cs="Arial"/>
          <w:lang w:val="en-US"/>
        </w:rPr>
        <w:t xml:space="preserve">third, being the </w:t>
      </w:r>
      <w:r w:rsidR="00F05EE6" w:rsidRPr="00F05EE6">
        <w:rPr>
          <w:rFonts w:cs="Arial"/>
          <w:lang w:val="en-US"/>
        </w:rPr>
        <w:t xml:space="preserve">breach of the order, </w:t>
      </w:r>
      <w:r w:rsidR="008E2738" w:rsidRPr="00F05EE6">
        <w:rPr>
          <w:rFonts w:cs="Arial"/>
          <w:lang w:val="en-US"/>
        </w:rPr>
        <w:t xml:space="preserve">the applicants’ case </w:t>
      </w:r>
      <w:r w:rsidR="00F05EE6" w:rsidRPr="00F05EE6">
        <w:rPr>
          <w:rFonts w:cs="Arial"/>
          <w:lang w:val="en-US"/>
        </w:rPr>
        <w:t xml:space="preserve">in sum </w:t>
      </w:r>
      <w:r w:rsidR="008E2738" w:rsidRPr="00F05EE6">
        <w:rPr>
          <w:rFonts w:cs="Arial"/>
          <w:lang w:val="en-US"/>
        </w:rPr>
        <w:t xml:space="preserve">is that the respondent breached </w:t>
      </w:r>
      <w:r w:rsidR="00EB4FA9">
        <w:rPr>
          <w:rFonts w:cs="Arial"/>
          <w:lang w:val="en-US"/>
        </w:rPr>
        <w:t>paragraphs</w:t>
      </w:r>
      <w:r w:rsidR="008E2738" w:rsidRPr="00F05EE6">
        <w:rPr>
          <w:rFonts w:cs="Arial"/>
          <w:lang w:val="en-US"/>
        </w:rPr>
        <w:t xml:space="preserve"> 2.3 and 2.5 of the 2022 order. Although the notice of motion refers only to clause 2.5, the founding affidavit refers to both </w:t>
      </w:r>
      <w:r w:rsidR="00EB4FA9">
        <w:rPr>
          <w:rFonts w:cs="Arial"/>
          <w:lang w:val="en-US"/>
        </w:rPr>
        <w:t>paragraphs 2.3 and 2.5 and the notice of motion and founding affidavit must be read together</w:t>
      </w:r>
      <w:r w:rsidR="00D05D34">
        <w:rPr>
          <w:rFonts w:cs="Arial"/>
          <w:lang w:val="en-US"/>
        </w:rPr>
        <w:t>.</w:t>
      </w:r>
      <w:r w:rsidR="00EB4FA9">
        <w:rPr>
          <w:rStyle w:val="FootnoteReference"/>
          <w:rFonts w:cs="Arial"/>
          <w:lang w:val="en-US"/>
        </w:rPr>
        <w:footnoteReference w:id="11"/>
      </w:r>
      <w:r w:rsidR="00D05D34">
        <w:rPr>
          <w:rFonts w:cs="Arial"/>
          <w:lang w:val="en-US"/>
        </w:rPr>
        <w:t xml:space="preserve"> </w:t>
      </w:r>
      <w:r w:rsidR="008E2738" w:rsidRPr="00F05EE6">
        <w:rPr>
          <w:rFonts w:cs="Arial"/>
          <w:lang w:val="en-US"/>
        </w:rPr>
        <w:t xml:space="preserve">Their case is that the applicant </w:t>
      </w:r>
      <w:r w:rsidR="00CE488B">
        <w:rPr>
          <w:rFonts w:cs="Arial"/>
          <w:lang w:val="en-US"/>
        </w:rPr>
        <w:t xml:space="preserve">during late April 2022, after the granting of the 2022 order, </w:t>
      </w:r>
      <w:r w:rsidR="008E2738" w:rsidRPr="00F05EE6">
        <w:rPr>
          <w:rFonts w:cs="Arial"/>
          <w:lang w:val="en-US"/>
        </w:rPr>
        <w:t xml:space="preserve">incited investigations </w:t>
      </w:r>
      <w:r w:rsidR="00F05EE6" w:rsidRPr="00F05EE6">
        <w:rPr>
          <w:rFonts w:cs="Arial"/>
          <w:lang w:val="en-US"/>
        </w:rPr>
        <w:t xml:space="preserve">into the first applicant and its management </w:t>
      </w:r>
      <w:r w:rsidR="008E2738" w:rsidRPr="00F05EE6">
        <w:rPr>
          <w:rFonts w:cs="Arial"/>
          <w:lang w:val="en-US"/>
        </w:rPr>
        <w:t xml:space="preserve">through the medium of </w:t>
      </w:r>
      <w:proofErr w:type="spellStart"/>
      <w:r w:rsidR="008E2738" w:rsidRPr="00F05EE6">
        <w:rPr>
          <w:rFonts w:cs="Arial"/>
          <w:lang w:val="en-US"/>
        </w:rPr>
        <w:lastRenderedPageBreak/>
        <w:t>Mr</w:t>
      </w:r>
      <w:proofErr w:type="spellEnd"/>
      <w:r w:rsidR="008E2738" w:rsidRPr="00F05EE6">
        <w:rPr>
          <w:rFonts w:cs="Arial"/>
          <w:lang w:val="en-US"/>
        </w:rPr>
        <w:t xml:space="preserve"> van </w:t>
      </w:r>
      <w:proofErr w:type="spellStart"/>
      <w:r w:rsidR="008E2738" w:rsidRPr="00F05EE6">
        <w:rPr>
          <w:rFonts w:cs="Arial"/>
          <w:lang w:val="en-US"/>
        </w:rPr>
        <w:t>Wyk</w:t>
      </w:r>
      <w:proofErr w:type="spellEnd"/>
      <w:r w:rsidR="008E2738" w:rsidRPr="00F05EE6">
        <w:rPr>
          <w:rFonts w:cs="Arial"/>
          <w:lang w:val="en-US"/>
        </w:rPr>
        <w:t>.</w:t>
      </w:r>
      <w:r w:rsidR="00F05EE6">
        <w:rPr>
          <w:rFonts w:cs="Arial"/>
          <w:lang w:val="en-US"/>
        </w:rPr>
        <w:t xml:space="preserve"> </w:t>
      </w:r>
      <w:proofErr w:type="gramStart"/>
      <w:r w:rsidR="00F05EE6">
        <w:rPr>
          <w:rFonts w:cs="Arial"/>
          <w:lang w:val="en-US"/>
        </w:rPr>
        <w:t>In so doing, it</w:t>
      </w:r>
      <w:proofErr w:type="gramEnd"/>
      <w:r w:rsidR="00F05EE6">
        <w:rPr>
          <w:rFonts w:cs="Arial"/>
          <w:lang w:val="en-US"/>
        </w:rPr>
        <w:t xml:space="preserve"> is contended</w:t>
      </w:r>
      <w:r w:rsidR="008E2738" w:rsidRPr="00F05EE6">
        <w:rPr>
          <w:lang w:val="en-US"/>
        </w:rPr>
        <w:t xml:space="preserve"> that the respondent breached paragraphs 2,3 and 2.5 of the 2022 order. </w:t>
      </w:r>
    </w:p>
    <w:p w14:paraId="268BBF02" w14:textId="34DD1915" w:rsidR="00F37B2B" w:rsidRPr="0030037A" w:rsidRDefault="00311384" w:rsidP="00311384">
      <w:pPr>
        <w:pStyle w:val="level11"/>
        <w:numPr>
          <w:ilvl w:val="0"/>
          <w:numId w:val="0"/>
        </w:numPr>
        <w:spacing w:after="480" w:line="360" w:lineRule="auto"/>
        <w:jc w:val="both"/>
        <w:rPr>
          <w:rFonts w:cs="Arial"/>
          <w:lang w:val="en-US"/>
        </w:rPr>
      </w:pPr>
      <w:r w:rsidRPr="0030037A">
        <w:rPr>
          <w:rFonts w:cs="Arial"/>
          <w:lang w:val="en-US"/>
        </w:rPr>
        <w:t>[46]</w:t>
      </w:r>
      <w:r w:rsidRPr="0030037A">
        <w:rPr>
          <w:rFonts w:cs="Arial"/>
          <w:lang w:val="en-US"/>
        </w:rPr>
        <w:tab/>
      </w:r>
      <w:r w:rsidR="00F37B2B" w:rsidRPr="0030037A">
        <w:rPr>
          <w:rFonts w:cs="Arial"/>
          <w:lang w:val="en-US"/>
        </w:rPr>
        <w:t xml:space="preserve">It was argued </w:t>
      </w:r>
      <w:r w:rsidR="00F37B2B">
        <w:rPr>
          <w:rFonts w:cs="Arial"/>
          <w:lang w:val="en-US"/>
        </w:rPr>
        <w:t xml:space="preserve">on behalf of the respondent </w:t>
      </w:r>
      <w:r w:rsidR="00F37B2B" w:rsidRPr="0030037A">
        <w:rPr>
          <w:rFonts w:cs="Arial"/>
          <w:lang w:val="en-US"/>
        </w:rPr>
        <w:t xml:space="preserve">that the applicants failed to prove that the respondent incited parties to launch investigations against the first applicant or that she is in breach of the 2022 order. It was argued the order referred to </w:t>
      </w:r>
      <w:r w:rsidR="00F37B2B">
        <w:rPr>
          <w:rFonts w:cs="Arial"/>
          <w:lang w:val="en-US"/>
        </w:rPr>
        <w:t>“</w:t>
      </w:r>
      <w:r w:rsidR="00F37B2B" w:rsidRPr="0030037A">
        <w:rPr>
          <w:rFonts w:cs="Arial"/>
          <w:lang w:val="en-US"/>
        </w:rPr>
        <w:t>unnecessary</w:t>
      </w:r>
      <w:r w:rsidR="00F37B2B">
        <w:rPr>
          <w:rFonts w:cs="Arial"/>
          <w:lang w:val="en-US"/>
        </w:rPr>
        <w:t>”</w:t>
      </w:r>
      <w:r w:rsidR="00F37B2B" w:rsidRPr="0030037A">
        <w:rPr>
          <w:rFonts w:cs="Arial"/>
          <w:lang w:val="en-US"/>
        </w:rPr>
        <w:t xml:space="preserve"> investigations and the applicants had not proved the investigations were unnecessary. Lastly, it was argued that insofar as the respondent breached the 2022 order, she did not commit any breach deliberately and </w:t>
      </w:r>
      <w:r w:rsidR="00F37B2B" w:rsidRPr="00FE6FDF">
        <w:rPr>
          <w:rFonts w:cs="Arial"/>
          <w:i/>
          <w:lang w:val="en-US"/>
        </w:rPr>
        <w:t>mala fide</w:t>
      </w:r>
      <w:r w:rsidR="00F37B2B" w:rsidRPr="0030037A">
        <w:rPr>
          <w:rFonts w:cs="Arial"/>
          <w:lang w:val="en-US"/>
        </w:rPr>
        <w:t xml:space="preserve">. </w:t>
      </w:r>
    </w:p>
    <w:p w14:paraId="6982A2DD" w14:textId="453C4984" w:rsidR="00CE488B" w:rsidRDefault="00311384" w:rsidP="00311384">
      <w:pPr>
        <w:pStyle w:val="level11"/>
        <w:numPr>
          <w:ilvl w:val="0"/>
          <w:numId w:val="0"/>
        </w:numPr>
        <w:spacing w:after="480" w:line="360" w:lineRule="auto"/>
        <w:jc w:val="both"/>
        <w:rPr>
          <w:rFonts w:cs="Arial"/>
          <w:lang w:val="en-US"/>
        </w:rPr>
      </w:pPr>
      <w:r>
        <w:rPr>
          <w:rFonts w:cs="Arial"/>
          <w:lang w:val="en-US"/>
        </w:rPr>
        <w:t>[47]</w:t>
      </w:r>
      <w:r>
        <w:rPr>
          <w:rFonts w:cs="Arial"/>
          <w:lang w:val="en-US"/>
        </w:rPr>
        <w:tab/>
      </w:r>
      <w:r w:rsidR="00CE488B" w:rsidRPr="00CE488B">
        <w:rPr>
          <w:lang w:val="en-US"/>
        </w:rPr>
        <w:t xml:space="preserve">The applicants’ case is substantially corroborated by </w:t>
      </w:r>
      <w:proofErr w:type="spellStart"/>
      <w:r w:rsidR="00CE488B" w:rsidRPr="00CE488B">
        <w:rPr>
          <w:lang w:val="en-US"/>
        </w:rPr>
        <w:t>Mr</w:t>
      </w:r>
      <w:proofErr w:type="spellEnd"/>
      <w:r w:rsidR="00CE488B" w:rsidRPr="00CE488B">
        <w:rPr>
          <w:lang w:val="en-US"/>
        </w:rPr>
        <w:t xml:space="preserve"> Van </w:t>
      </w:r>
      <w:proofErr w:type="spellStart"/>
      <w:r w:rsidR="00CE488B" w:rsidRPr="00CE488B">
        <w:rPr>
          <w:lang w:val="en-US"/>
        </w:rPr>
        <w:t>Wyk</w:t>
      </w:r>
      <w:proofErr w:type="spellEnd"/>
      <w:r w:rsidR="00CE488B" w:rsidRPr="00CE488B">
        <w:rPr>
          <w:lang w:val="en-US"/>
        </w:rPr>
        <w:t>.</w:t>
      </w:r>
      <w:r w:rsidR="00CE488B">
        <w:rPr>
          <w:lang w:val="en-US"/>
        </w:rPr>
        <w:t xml:space="preserve"> According to</w:t>
      </w:r>
      <w:r w:rsidR="00CE488B" w:rsidRPr="00CE488B">
        <w:rPr>
          <w:rFonts w:cs="Arial"/>
          <w:lang w:val="en-US"/>
        </w:rPr>
        <w:t xml:space="preserve"> </w:t>
      </w:r>
      <w:proofErr w:type="spellStart"/>
      <w:r w:rsidR="00CE488B" w:rsidRPr="00CE488B">
        <w:rPr>
          <w:rFonts w:cs="Arial"/>
          <w:lang w:val="en-US"/>
        </w:rPr>
        <w:t>Mr</w:t>
      </w:r>
      <w:proofErr w:type="spellEnd"/>
      <w:r w:rsidR="00CE488B" w:rsidRPr="00CE488B">
        <w:rPr>
          <w:rFonts w:cs="Arial"/>
          <w:lang w:val="en-US"/>
        </w:rPr>
        <w:t xml:space="preserve"> Van </w:t>
      </w:r>
      <w:proofErr w:type="spellStart"/>
      <w:r w:rsidR="00CE488B" w:rsidRPr="00CE488B">
        <w:rPr>
          <w:rFonts w:cs="Arial"/>
          <w:lang w:val="en-US"/>
        </w:rPr>
        <w:t>Wyk</w:t>
      </w:r>
      <w:proofErr w:type="spellEnd"/>
      <w:r w:rsidR="00CE488B" w:rsidRPr="00CE488B">
        <w:rPr>
          <w:rFonts w:cs="Arial"/>
          <w:lang w:val="en-US"/>
        </w:rPr>
        <w:t xml:space="preserve"> the respondent met him during late April 2022 and instructed </w:t>
      </w:r>
      <w:r w:rsidR="00CE488B">
        <w:rPr>
          <w:rFonts w:cs="Arial"/>
          <w:lang w:val="en-US"/>
        </w:rPr>
        <w:t xml:space="preserve">him </w:t>
      </w:r>
      <w:r w:rsidR="00CE488B" w:rsidRPr="00CE488B">
        <w:rPr>
          <w:rFonts w:cs="Arial"/>
          <w:lang w:val="en-US"/>
        </w:rPr>
        <w:t xml:space="preserve">to investigate the allegations contained in the respondent’s </w:t>
      </w:r>
      <w:proofErr w:type="gramStart"/>
      <w:r w:rsidR="00CE488B" w:rsidRPr="00CE488B">
        <w:rPr>
          <w:rFonts w:cs="Arial"/>
          <w:lang w:val="en-US"/>
        </w:rPr>
        <w:t>hand written</w:t>
      </w:r>
      <w:proofErr w:type="gramEnd"/>
      <w:r w:rsidR="00CE488B" w:rsidRPr="00CE488B">
        <w:rPr>
          <w:rFonts w:cs="Arial"/>
          <w:lang w:val="en-US"/>
        </w:rPr>
        <w:t xml:space="preserve"> statement dated 29 January 2021 (“the statement”). The statement contains allegations pertaining to the first applicant and its management. From the uncontested evidence, it appears that the statement was prepared by the respondent during 2022 rather than 2021</w:t>
      </w:r>
      <w:r w:rsidR="00CE488B">
        <w:rPr>
          <w:rFonts w:cs="Arial"/>
          <w:lang w:val="en-US"/>
        </w:rPr>
        <w:t xml:space="preserve"> after the termination of her employment with the first applicant</w:t>
      </w:r>
      <w:r w:rsidR="00CE488B" w:rsidRPr="00CE488B">
        <w:rPr>
          <w:rFonts w:cs="Arial"/>
          <w:lang w:val="en-US"/>
        </w:rPr>
        <w:t xml:space="preserve">. </w:t>
      </w:r>
      <w:r w:rsidR="00CE488B">
        <w:rPr>
          <w:rFonts w:cs="Arial"/>
          <w:lang w:val="en-US"/>
        </w:rPr>
        <w:t>The statement formed a central feature in the proceedings which resulted in the 2022 order.</w:t>
      </w:r>
    </w:p>
    <w:p w14:paraId="412C6CC9" w14:textId="66BB947C" w:rsidR="00E011F2" w:rsidRDefault="00311384" w:rsidP="00311384">
      <w:pPr>
        <w:pStyle w:val="level11"/>
        <w:numPr>
          <w:ilvl w:val="0"/>
          <w:numId w:val="0"/>
        </w:numPr>
        <w:spacing w:after="480" w:line="360" w:lineRule="auto"/>
        <w:jc w:val="both"/>
        <w:rPr>
          <w:lang w:val="en-US"/>
        </w:rPr>
      </w:pPr>
      <w:r>
        <w:rPr>
          <w:lang w:val="en-US"/>
        </w:rPr>
        <w:t>[48]</w:t>
      </w:r>
      <w:r>
        <w:rPr>
          <w:lang w:val="en-US"/>
        </w:rPr>
        <w:tab/>
      </w:r>
      <w:r w:rsidR="00CE488B" w:rsidRPr="00CE488B">
        <w:rPr>
          <w:rFonts w:cs="Arial"/>
          <w:lang w:val="en-US"/>
        </w:rPr>
        <w:t xml:space="preserve">The respondent’s version </w:t>
      </w:r>
      <w:r w:rsidR="00E011F2">
        <w:rPr>
          <w:rFonts w:cs="Arial"/>
          <w:lang w:val="en-US"/>
        </w:rPr>
        <w:t>in her answering affidavit is contradictory in various respects.</w:t>
      </w:r>
      <w:r w:rsidR="00E011F2" w:rsidRPr="00E011F2">
        <w:rPr>
          <w:lang w:val="en-US"/>
        </w:rPr>
        <w:t xml:space="preserve"> </w:t>
      </w:r>
      <w:r w:rsidR="00E011F2">
        <w:rPr>
          <w:lang w:val="en-US"/>
        </w:rPr>
        <w:t xml:space="preserve">By way of example, she initially contended that she was only introduced to </w:t>
      </w:r>
      <w:proofErr w:type="spellStart"/>
      <w:r w:rsidR="00E011F2">
        <w:rPr>
          <w:lang w:val="en-US"/>
        </w:rPr>
        <w:t>Mr</w:t>
      </w:r>
      <w:proofErr w:type="spellEnd"/>
      <w:r w:rsidR="00E011F2">
        <w:rPr>
          <w:lang w:val="en-US"/>
        </w:rPr>
        <w:t xml:space="preserve"> Van </w:t>
      </w:r>
      <w:proofErr w:type="spellStart"/>
      <w:r w:rsidR="00E011F2">
        <w:rPr>
          <w:lang w:val="en-US"/>
        </w:rPr>
        <w:t>Wyk</w:t>
      </w:r>
      <w:proofErr w:type="spellEnd"/>
      <w:r w:rsidR="00E011F2">
        <w:rPr>
          <w:lang w:val="en-US"/>
        </w:rPr>
        <w:t xml:space="preserve"> after 20 April 2022 and that he represented himself to be a part of Crime Intelligence and a private investigator. Her version was that </w:t>
      </w:r>
      <w:proofErr w:type="spellStart"/>
      <w:r w:rsidR="00E011F2">
        <w:rPr>
          <w:lang w:val="en-US"/>
        </w:rPr>
        <w:t>Mr</w:t>
      </w:r>
      <w:proofErr w:type="spellEnd"/>
      <w:r w:rsidR="00E011F2">
        <w:rPr>
          <w:lang w:val="en-US"/>
        </w:rPr>
        <w:t xml:space="preserve"> van </w:t>
      </w:r>
      <w:proofErr w:type="spellStart"/>
      <w:r w:rsidR="00E011F2">
        <w:rPr>
          <w:lang w:val="en-US"/>
        </w:rPr>
        <w:t>Wyk</w:t>
      </w:r>
      <w:proofErr w:type="spellEnd"/>
      <w:r w:rsidR="00E011F2">
        <w:rPr>
          <w:lang w:val="en-US"/>
        </w:rPr>
        <w:t xml:space="preserve"> looked at </w:t>
      </w:r>
      <w:proofErr w:type="gramStart"/>
      <w:r w:rsidR="00E011F2">
        <w:rPr>
          <w:lang w:val="en-US"/>
        </w:rPr>
        <w:t>the  statement</w:t>
      </w:r>
      <w:proofErr w:type="gramEnd"/>
      <w:r w:rsidR="00E011F2">
        <w:rPr>
          <w:lang w:val="en-US"/>
        </w:rPr>
        <w:t xml:space="preserve"> and requested information that could support those allegations, whereupon she down loaded all the information on an allegedly corrupt hard drive and handed it to him on a memory stick. Later in her answering affidavit, the respondent avers that she handed the memory stick to </w:t>
      </w:r>
      <w:proofErr w:type="spellStart"/>
      <w:r w:rsidR="00E011F2">
        <w:rPr>
          <w:lang w:val="en-US"/>
        </w:rPr>
        <w:t>Mr</w:t>
      </w:r>
      <w:proofErr w:type="spellEnd"/>
      <w:r w:rsidR="00E011F2">
        <w:rPr>
          <w:lang w:val="en-US"/>
        </w:rPr>
        <w:t xml:space="preserve"> van </w:t>
      </w:r>
      <w:proofErr w:type="spellStart"/>
      <w:r w:rsidR="00E011F2">
        <w:rPr>
          <w:lang w:val="en-US"/>
        </w:rPr>
        <w:t>Wyk</w:t>
      </w:r>
      <w:proofErr w:type="spellEnd"/>
      <w:r w:rsidR="00E011F2">
        <w:rPr>
          <w:lang w:val="en-US"/>
        </w:rPr>
        <w:t xml:space="preserve"> before 12 April 2022. The affidavit is also contradictory in that the respondent initially refers to one copy she made of the hard drive whereas she later avers she had given out two copies of the hard drive, one to </w:t>
      </w:r>
      <w:proofErr w:type="spellStart"/>
      <w:r w:rsidR="00E011F2">
        <w:rPr>
          <w:lang w:val="en-US"/>
        </w:rPr>
        <w:t>Mr</w:t>
      </w:r>
      <w:proofErr w:type="spellEnd"/>
      <w:r w:rsidR="00E011F2">
        <w:rPr>
          <w:lang w:val="en-US"/>
        </w:rPr>
        <w:t xml:space="preserve"> van </w:t>
      </w:r>
      <w:proofErr w:type="spellStart"/>
      <w:r w:rsidR="00E011F2">
        <w:rPr>
          <w:lang w:val="en-US"/>
        </w:rPr>
        <w:t>Wyk</w:t>
      </w:r>
      <w:proofErr w:type="spellEnd"/>
      <w:r w:rsidR="00E011F2">
        <w:rPr>
          <w:lang w:val="en-US"/>
        </w:rPr>
        <w:t xml:space="preserve"> and the other to SAPS/PSIRA. </w:t>
      </w:r>
    </w:p>
    <w:p w14:paraId="4EE15F67" w14:textId="43B3E095" w:rsidR="00FE68C3" w:rsidRDefault="00311384" w:rsidP="00311384">
      <w:pPr>
        <w:pStyle w:val="level11"/>
        <w:numPr>
          <w:ilvl w:val="0"/>
          <w:numId w:val="0"/>
        </w:numPr>
        <w:spacing w:after="480" w:line="360" w:lineRule="auto"/>
        <w:jc w:val="both"/>
        <w:rPr>
          <w:lang w:val="en-US"/>
        </w:rPr>
      </w:pPr>
      <w:r>
        <w:rPr>
          <w:lang w:val="en-US"/>
        </w:rPr>
        <w:lastRenderedPageBreak/>
        <w:t>[49]</w:t>
      </w:r>
      <w:r>
        <w:rPr>
          <w:lang w:val="en-US"/>
        </w:rPr>
        <w:tab/>
      </w:r>
      <w:r w:rsidR="00F37B2B">
        <w:rPr>
          <w:rFonts w:cs="Arial"/>
          <w:lang w:val="en-US"/>
        </w:rPr>
        <w:t>Significantly, i</w:t>
      </w:r>
      <w:r w:rsidR="00CE488B" w:rsidRPr="00E011F2">
        <w:rPr>
          <w:rFonts w:cs="Arial"/>
          <w:lang w:val="en-US"/>
        </w:rPr>
        <w:t xml:space="preserve">t is not disputed that </w:t>
      </w:r>
      <w:proofErr w:type="spellStart"/>
      <w:r w:rsidR="00CE488B" w:rsidRPr="00E011F2">
        <w:rPr>
          <w:rFonts w:cs="Arial"/>
          <w:lang w:val="en-US"/>
        </w:rPr>
        <w:t>Mr</w:t>
      </w:r>
      <w:proofErr w:type="spellEnd"/>
      <w:r w:rsidR="00CE488B" w:rsidRPr="00E011F2">
        <w:rPr>
          <w:rFonts w:cs="Arial"/>
          <w:lang w:val="en-US"/>
        </w:rPr>
        <w:t xml:space="preserve"> van </w:t>
      </w:r>
      <w:proofErr w:type="spellStart"/>
      <w:r w:rsidR="00CE488B" w:rsidRPr="00E011F2">
        <w:rPr>
          <w:rFonts w:cs="Arial"/>
          <w:lang w:val="en-US"/>
        </w:rPr>
        <w:t>Wyk</w:t>
      </w:r>
      <w:proofErr w:type="spellEnd"/>
      <w:r w:rsidR="00CE488B" w:rsidRPr="00E011F2">
        <w:rPr>
          <w:rFonts w:cs="Arial"/>
          <w:lang w:val="en-US"/>
        </w:rPr>
        <w:t xml:space="preserve"> investigated the allegations in the statement </w:t>
      </w:r>
      <w:proofErr w:type="gramStart"/>
      <w:r w:rsidR="00CE488B" w:rsidRPr="00E011F2">
        <w:rPr>
          <w:rFonts w:cs="Arial"/>
          <w:lang w:val="en-US"/>
        </w:rPr>
        <w:t>in order to</w:t>
      </w:r>
      <w:proofErr w:type="gramEnd"/>
      <w:r w:rsidR="00CE488B" w:rsidRPr="00E011F2">
        <w:rPr>
          <w:rFonts w:cs="Arial"/>
          <w:lang w:val="en-US"/>
        </w:rPr>
        <w:t xml:space="preserve"> find proof of the allegations. </w:t>
      </w:r>
      <w:r w:rsidR="002074FA">
        <w:rPr>
          <w:lang w:val="en-US"/>
        </w:rPr>
        <w:t xml:space="preserve">The respondent’s version was not that she had laid criminal charges with the SAPS or that a docket had been opened, supporting any official investigation. Reliance was only placed on the discredited statement that had already featured in the proceedings under case number 2022-325. </w:t>
      </w:r>
      <w:r w:rsidR="00FE68C3">
        <w:rPr>
          <w:lang w:val="en-US"/>
        </w:rPr>
        <w:t xml:space="preserve">On the respondent’s own version, she contends that her urging of further investigations into the first applicant is allegedly lawful and does not constitute a breach of the 2022 order. She suggests that any further investigations she may instigate into the first applicant will be lawful so that a court cannot stop her from doing so. </w:t>
      </w:r>
    </w:p>
    <w:p w14:paraId="03E4785A" w14:textId="0BC5F0CF" w:rsidR="002074FA" w:rsidRPr="002074FA" w:rsidRDefault="00311384" w:rsidP="00311384">
      <w:pPr>
        <w:pStyle w:val="level11"/>
        <w:numPr>
          <w:ilvl w:val="0"/>
          <w:numId w:val="0"/>
        </w:numPr>
        <w:spacing w:after="480" w:line="360" w:lineRule="auto"/>
        <w:jc w:val="both"/>
        <w:rPr>
          <w:rFonts w:cs="Arial"/>
          <w:lang w:val="en-US"/>
        </w:rPr>
      </w:pPr>
      <w:r w:rsidRPr="002074FA">
        <w:rPr>
          <w:rFonts w:cs="Arial"/>
          <w:lang w:val="en-US"/>
        </w:rPr>
        <w:t>[50]</w:t>
      </w:r>
      <w:r w:rsidRPr="002074FA">
        <w:rPr>
          <w:rFonts w:cs="Arial"/>
          <w:lang w:val="en-US"/>
        </w:rPr>
        <w:tab/>
      </w:r>
      <w:r w:rsidR="002074FA">
        <w:rPr>
          <w:rFonts w:cs="Arial"/>
          <w:lang w:val="en-US"/>
        </w:rPr>
        <w:t>Further, i</w:t>
      </w:r>
      <w:r w:rsidR="00CE488B" w:rsidRPr="00E011F2">
        <w:rPr>
          <w:rFonts w:cs="Arial"/>
          <w:lang w:val="en-US"/>
        </w:rPr>
        <w:t xml:space="preserve">t is common cause that </w:t>
      </w:r>
      <w:proofErr w:type="spellStart"/>
      <w:r w:rsidR="00CE488B" w:rsidRPr="00E011F2">
        <w:rPr>
          <w:rFonts w:cs="Arial"/>
          <w:lang w:val="en-US"/>
        </w:rPr>
        <w:t>Mr</w:t>
      </w:r>
      <w:proofErr w:type="spellEnd"/>
      <w:r w:rsidR="00CE488B" w:rsidRPr="00E011F2">
        <w:rPr>
          <w:rFonts w:cs="Arial"/>
          <w:lang w:val="en-US"/>
        </w:rPr>
        <w:t xml:space="preserve"> van </w:t>
      </w:r>
      <w:proofErr w:type="spellStart"/>
      <w:r w:rsidR="00CE488B" w:rsidRPr="00E011F2">
        <w:rPr>
          <w:rFonts w:cs="Arial"/>
          <w:lang w:val="en-US"/>
        </w:rPr>
        <w:t>Wyk</w:t>
      </w:r>
      <w:proofErr w:type="spellEnd"/>
      <w:r w:rsidR="00CE488B" w:rsidRPr="00E011F2">
        <w:rPr>
          <w:rFonts w:cs="Arial"/>
          <w:lang w:val="en-US"/>
        </w:rPr>
        <w:t xml:space="preserve"> was provided with a copy of </w:t>
      </w:r>
      <w:r w:rsidR="002074FA">
        <w:rPr>
          <w:rFonts w:cs="Arial"/>
          <w:lang w:val="en-US"/>
        </w:rPr>
        <w:t>more than a terabyte of</w:t>
      </w:r>
      <w:r w:rsidR="00CE488B" w:rsidRPr="00E011F2">
        <w:rPr>
          <w:rFonts w:cs="Arial"/>
          <w:lang w:val="en-US"/>
        </w:rPr>
        <w:t xml:space="preserve"> information contained on the hard drive in the form of a USB stick. That information included a substantial amount of the applicants’ private information. It was further not disputed </w:t>
      </w:r>
      <w:r w:rsidR="00CE488B" w:rsidRPr="00E011F2">
        <w:rPr>
          <w:lang w:val="en-US"/>
        </w:rPr>
        <w:t xml:space="preserve">that the respondent paid </w:t>
      </w:r>
      <w:proofErr w:type="spellStart"/>
      <w:r w:rsidR="00CE488B" w:rsidRPr="00E011F2">
        <w:rPr>
          <w:lang w:val="en-US"/>
        </w:rPr>
        <w:t>Mr</w:t>
      </w:r>
      <w:proofErr w:type="spellEnd"/>
      <w:r w:rsidR="00CE488B" w:rsidRPr="00E011F2">
        <w:rPr>
          <w:lang w:val="en-US"/>
        </w:rPr>
        <w:t xml:space="preserve"> Van </w:t>
      </w:r>
      <w:proofErr w:type="spellStart"/>
      <w:r w:rsidR="00CE488B" w:rsidRPr="00E011F2">
        <w:rPr>
          <w:lang w:val="en-US"/>
        </w:rPr>
        <w:t>Wyk</w:t>
      </w:r>
      <w:proofErr w:type="spellEnd"/>
      <w:r w:rsidR="00CE488B" w:rsidRPr="00E011F2">
        <w:rPr>
          <w:lang w:val="en-US"/>
        </w:rPr>
        <w:t xml:space="preserve"> R4000 for such investigations. According to </w:t>
      </w:r>
      <w:proofErr w:type="spellStart"/>
      <w:r w:rsidR="00CE488B" w:rsidRPr="00E011F2">
        <w:rPr>
          <w:lang w:val="en-US"/>
        </w:rPr>
        <w:t>Mr</w:t>
      </w:r>
      <w:proofErr w:type="spellEnd"/>
      <w:r w:rsidR="00CE488B" w:rsidRPr="00E011F2">
        <w:rPr>
          <w:lang w:val="en-US"/>
        </w:rPr>
        <w:t xml:space="preserve"> Van </w:t>
      </w:r>
      <w:proofErr w:type="spellStart"/>
      <w:r w:rsidR="00CE488B" w:rsidRPr="00E011F2">
        <w:rPr>
          <w:lang w:val="en-US"/>
        </w:rPr>
        <w:t>Wyk</w:t>
      </w:r>
      <w:proofErr w:type="spellEnd"/>
      <w:r w:rsidR="00CE488B" w:rsidRPr="00E011F2">
        <w:rPr>
          <w:lang w:val="en-US"/>
        </w:rPr>
        <w:t xml:space="preserve">, the respondent still owes him for disbursements made to other third parties who illicitly </w:t>
      </w:r>
      <w:r w:rsidR="002074FA">
        <w:rPr>
          <w:lang w:val="en-US"/>
        </w:rPr>
        <w:t>intercepted certain communications</w:t>
      </w:r>
      <w:r w:rsidR="00CE488B" w:rsidRPr="00E011F2">
        <w:rPr>
          <w:lang w:val="en-US"/>
        </w:rPr>
        <w:t xml:space="preserve"> and that she had queried whether she received value for the services rendered by him. </w:t>
      </w:r>
      <w:r w:rsidR="00E011F2" w:rsidRPr="00E011F2">
        <w:rPr>
          <w:lang w:val="en-US"/>
        </w:rPr>
        <w:t xml:space="preserve">Whilst the respondent disavowed any involvement with illicit activities, she did not address </w:t>
      </w:r>
      <w:proofErr w:type="spellStart"/>
      <w:r w:rsidR="00E011F2" w:rsidRPr="00E011F2">
        <w:rPr>
          <w:lang w:val="en-US"/>
        </w:rPr>
        <w:t>Mr</w:t>
      </w:r>
      <w:proofErr w:type="spellEnd"/>
      <w:r w:rsidR="00E011F2" w:rsidRPr="00E011F2">
        <w:rPr>
          <w:lang w:val="en-US"/>
        </w:rPr>
        <w:t xml:space="preserve"> Van </w:t>
      </w:r>
      <w:proofErr w:type="spellStart"/>
      <w:r w:rsidR="00E011F2" w:rsidRPr="00E011F2">
        <w:rPr>
          <w:lang w:val="en-US"/>
        </w:rPr>
        <w:t>Wyk’s</w:t>
      </w:r>
      <w:proofErr w:type="spellEnd"/>
      <w:r w:rsidR="00E011F2" w:rsidRPr="00E011F2">
        <w:rPr>
          <w:lang w:val="en-US"/>
        </w:rPr>
        <w:t xml:space="preserve"> averments in detail</w:t>
      </w:r>
      <w:r w:rsidR="002074FA">
        <w:rPr>
          <w:lang w:val="en-US"/>
        </w:rPr>
        <w:t>,</w:t>
      </w:r>
      <w:r w:rsidR="00E011F2" w:rsidRPr="00E011F2">
        <w:rPr>
          <w:lang w:val="en-US"/>
        </w:rPr>
        <w:t xml:space="preserve"> </w:t>
      </w:r>
      <w:r w:rsidR="002074FA">
        <w:rPr>
          <w:lang w:val="en-US"/>
        </w:rPr>
        <w:t>i</w:t>
      </w:r>
      <w:r w:rsidR="00E011F2" w:rsidRPr="00E011F2">
        <w:rPr>
          <w:lang w:val="en-US"/>
        </w:rPr>
        <w:t>n circumstances where the respondent ha</w:t>
      </w:r>
      <w:r w:rsidR="002074FA">
        <w:rPr>
          <w:lang w:val="en-US"/>
        </w:rPr>
        <w:t>s</w:t>
      </w:r>
      <w:r w:rsidR="00E011F2" w:rsidRPr="00E011F2">
        <w:rPr>
          <w:lang w:val="en-US"/>
        </w:rPr>
        <w:t xml:space="preserve"> personal knowledge of her interactions with </w:t>
      </w:r>
      <w:proofErr w:type="spellStart"/>
      <w:r w:rsidR="00E011F2" w:rsidRPr="00E011F2">
        <w:rPr>
          <w:lang w:val="en-US"/>
        </w:rPr>
        <w:t>Mr</w:t>
      </w:r>
      <w:proofErr w:type="spellEnd"/>
      <w:r w:rsidR="00E011F2" w:rsidRPr="00E011F2">
        <w:rPr>
          <w:lang w:val="en-US"/>
        </w:rPr>
        <w:t xml:space="preserve"> Van </w:t>
      </w:r>
      <w:proofErr w:type="spellStart"/>
      <w:r w:rsidR="00E011F2" w:rsidRPr="00E011F2">
        <w:rPr>
          <w:lang w:val="en-US"/>
        </w:rPr>
        <w:t>Wyk</w:t>
      </w:r>
      <w:proofErr w:type="spellEnd"/>
      <w:r w:rsidR="002074FA">
        <w:rPr>
          <w:lang w:val="en-US"/>
        </w:rPr>
        <w:t>.</w:t>
      </w:r>
      <w:r w:rsidR="00E011F2" w:rsidRPr="00E011F2">
        <w:rPr>
          <w:lang w:val="en-US"/>
        </w:rPr>
        <w:t xml:space="preserve">  </w:t>
      </w:r>
    </w:p>
    <w:p w14:paraId="00C674B6" w14:textId="6E0D3562" w:rsidR="004B04FB" w:rsidRDefault="00311384" w:rsidP="00311384">
      <w:pPr>
        <w:pStyle w:val="level11"/>
        <w:numPr>
          <w:ilvl w:val="0"/>
          <w:numId w:val="0"/>
        </w:numPr>
        <w:spacing w:after="480" w:line="360" w:lineRule="auto"/>
        <w:jc w:val="both"/>
        <w:rPr>
          <w:lang w:val="en-US"/>
        </w:rPr>
      </w:pPr>
      <w:r>
        <w:rPr>
          <w:lang w:val="en-US"/>
        </w:rPr>
        <w:t>[51]</w:t>
      </w:r>
      <w:r>
        <w:rPr>
          <w:lang w:val="en-US"/>
        </w:rPr>
        <w:tab/>
      </w:r>
      <w:r w:rsidR="004B04FB">
        <w:rPr>
          <w:lang w:val="en-US"/>
        </w:rPr>
        <w:t xml:space="preserve">The respondent’s version concerning her interactions with </w:t>
      </w:r>
      <w:proofErr w:type="spellStart"/>
      <w:r w:rsidR="004B04FB">
        <w:rPr>
          <w:lang w:val="en-US"/>
        </w:rPr>
        <w:t>Mr</w:t>
      </w:r>
      <w:proofErr w:type="spellEnd"/>
      <w:r w:rsidR="004B04FB">
        <w:rPr>
          <w:lang w:val="en-US"/>
        </w:rPr>
        <w:t xml:space="preserve"> Van </w:t>
      </w:r>
      <w:proofErr w:type="spellStart"/>
      <w:r w:rsidR="004B04FB">
        <w:rPr>
          <w:lang w:val="en-US"/>
        </w:rPr>
        <w:t>Wyk</w:t>
      </w:r>
      <w:proofErr w:type="spellEnd"/>
      <w:r w:rsidR="004B04FB">
        <w:rPr>
          <w:lang w:val="en-US"/>
        </w:rPr>
        <w:t xml:space="preserve"> is contradictory and vague in various respects. The respondent has in my view failed to seriously and unambiguously address all the facts set out in the applicants’ founding papers and in the affidavit of </w:t>
      </w:r>
      <w:proofErr w:type="spellStart"/>
      <w:r w:rsidR="004B04FB">
        <w:rPr>
          <w:lang w:val="en-US"/>
        </w:rPr>
        <w:t>Mr</w:t>
      </w:r>
      <w:proofErr w:type="spellEnd"/>
      <w:r w:rsidR="004B04FB">
        <w:rPr>
          <w:lang w:val="en-US"/>
        </w:rPr>
        <w:t xml:space="preserve"> van </w:t>
      </w:r>
      <w:proofErr w:type="spellStart"/>
      <w:r w:rsidR="004B04FB">
        <w:rPr>
          <w:lang w:val="en-US"/>
        </w:rPr>
        <w:t>Wyk</w:t>
      </w:r>
      <w:proofErr w:type="spellEnd"/>
      <w:r w:rsidR="004B04FB">
        <w:rPr>
          <w:lang w:val="en-US"/>
        </w:rPr>
        <w:t>. These facts necessarily fall within the respondent’s knowledge</w:t>
      </w:r>
      <w:r w:rsidR="00FE68C3">
        <w:rPr>
          <w:lang w:val="en-US"/>
        </w:rPr>
        <w:t xml:space="preserve"> and the respondent has failed to provide any cogent countervailing evidence.</w:t>
      </w:r>
      <w:r w:rsidR="004B04FB">
        <w:rPr>
          <w:lang w:val="en-US"/>
        </w:rPr>
        <w:t xml:space="preserve"> The bare denials contained in the respondent’s answering affidavit </w:t>
      </w:r>
      <w:r w:rsidR="00FE68C3">
        <w:rPr>
          <w:lang w:val="en-US"/>
        </w:rPr>
        <w:t xml:space="preserve">further </w:t>
      </w:r>
      <w:r w:rsidR="004B04FB">
        <w:rPr>
          <w:lang w:val="en-US"/>
        </w:rPr>
        <w:t xml:space="preserve">lack a factual basis why the veracity or accuracy of </w:t>
      </w:r>
      <w:proofErr w:type="spellStart"/>
      <w:r w:rsidR="004B04FB">
        <w:rPr>
          <w:lang w:val="en-US"/>
        </w:rPr>
        <w:t>Mr</w:t>
      </w:r>
      <w:proofErr w:type="spellEnd"/>
      <w:r w:rsidR="004B04FB">
        <w:rPr>
          <w:lang w:val="en-US"/>
        </w:rPr>
        <w:t xml:space="preserve"> van </w:t>
      </w:r>
      <w:proofErr w:type="spellStart"/>
      <w:r w:rsidR="004B04FB">
        <w:rPr>
          <w:lang w:val="en-US"/>
        </w:rPr>
        <w:t>Wyk’s</w:t>
      </w:r>
      <w:proofErr w:type="spellEnd"/>
      <w:r w:rsidR="004B04FB">
        <w:rPr>
          <w:lang w:val="en-US"/>
        </w:rPr>
        <w:t xml:space="preserve"> statements are disputed. </w:t>
      </w:r>
    </w:p>
    <w:p w14:paraId="756C40F4" w14:textId="6E1D1DCD" w:rsidR="00FE68C3" w:rsidRPr="00736912" w:rsidRDefault="00311384" w:rsidP="00311384">
      <w:pPr>
        <w:pStyle w:val="level11"/>
        <w:numPr>
          <w:ilvl w:val="0"/>
          <w:numId w:val="0"/>
        </w:numPr>
        <w:spacing w:after="480" w:line="360" w:lineRule="auto"/>
        <w:jc w:val="both"/>
        <w:rPr>
          <w:lang w:val="en-US"/>
        </w:rPr>
      </w:pPr>
      <w:r w:rsidRPr="00736912">
        <w:rPr>
          <w:lang w:val="en-US"/>
        </w:rPr>
        <w:lastRenderedPageBreak/>
        <w:t>[52]</w:t>
      </w:r>
      <w:r w:rsidRPr="00736912">
        <w:rPr>
          <w:lang w:val="en-US"/>
        </w:rPr>
        <w:tab/>
      </w:r>
      <w:r w:rsidR="00FE68C3" w:rsidRPr="00736912">
        <w:rPr>
          <w:lang w:val="en-US"/>
        </w:rPr>
        <w:t xml:space="preserve">In argument, </w:t>
      </w:r>
      <w:r w:rsidR="00FE68C3">
        <w:rPr>
          <w:lang w:val="en-US"/>
        </w:rPr>
        <w:t xml:space="preserve">when confronted with the respondent’s failure to address all the applicants’ allegations, including those of </w:t>
      </w:r>
      <w:proofErr w:type="spellStart"/>
      <w:r w:rsidR="00FE68C3">
        <w:rPr>
          <w:lang w:val="en-US"/>
        </w:rPr>
        <w:t>Mr</w:t>
      </w:r>
      <w:proofErr w:type="spellEnd"/>
      <w:r w:rsidR="00FE68C3">
        <w:rPr>
          <w:lang w:val="en-US"/>
        </w:rPr>
        <w:t xml:space="preserve"> Van </w:t>
      </w:r>
      <w:proofErr w:type="spellStart"/>
      <w:r w:rsidR="00FE68C3">
        <w:rPr>
          <w:lang w:val="en-US"/>
        </w:rPr>
        <w:t>Wyk</w:t>
      </w:r>
      <w:proofErr w:type="spellEnd"/>
      <w:r w:rsidR="00FE68C3">
        <w:rPr>
          <w:lang w:val="en-US"/>
        </w:rPr>
        <w:t xml:space="preserve">, </w:t>
      </w:r>
      <w:r w:rsidR="00FE68C3" w:rsidRPr="00736912">
        <w:rPr>
          <w:lang w:val="en-US"/>
        </w:rPr>
        <w:t xml:space="preserve">reliance was placed on a blanket denial of any averments not addressed in the answering affidavit. </w:t>
      </w:r>
      <w:r w:rsidR="00FE68C3">
        <w:rPr>
          <w:lang w:val="en-US"/>
        </w:rPr>
        <w:t>That does not assist the respondent.</w:t>
      </w:r>
    </w:p>
    <w:p w14:paraId="27238590" w14:textId="4C51830B" w:rsidR="004B04FB" w:rsidRPr="00F37B2B" w:rsidRDefault="00311384" w:rsidP="00311384">
      <w:pPr>
        <w:pStyle w:val="level11"/>
        <w:numPr>
          <w:ilvl w:val="0"/>
          <w:numId w:val="0"/>
        </w:numPr>
        <w:spacing w:after="480" w:line="360" w:lineRule="auto"/>
        <w:jc w:val="both"/>
        <w:rPr>
          <w:lang w:val="en-US"/>
        </w:rPr>
      </w:pPr>
      <w:r w:rsidRPr="00F37B2B">
        <w:rPr>
          <w:lang w:val="en-US"/>
        </w:rPr>
        <w:t>[53]</w:t>
      </w:r>
      <w:r w:rsidRPr="00F37B2B">
        <w:rPr>
          <w:lang w:val="en-US"/>
        </w:rPr>
        <w:tab/>
      </w:r>
      <w:r w:rsidR="004B04FB">
        <w:rPr>
          <w:lang w:val="en-US"/>
        </w:rPr>
        <w:t xml:space="preserve">Given the undisputed fact that the respondent paid </w:t>
      </w:r>
      <w:proofErr w:type="spellStart"/>
      <w:r w:rsidR="004B04FB">
        <w:rPr>
          <w:lang w:val="en-US"/>
        </w:rPr>
        <w:t>Mr</w:t>
      </w:r>
      <w:proofErr w:type="spellEnd"/>
      <w:r w:rsidR="004B04FB">
        <w:rPr>
          <w:lang w:val="en-US"/>
        </w:rPr>
        <w:t xml:space="preserve"> van </w:t>
      </w:r>
      <w:proofErr w:type="spellStart"/>
      <w:r w:rsidR="004B04FB">
        <w:rPr>
          <w:lang w:val="en-US"/>
        </w:rPr>
        <w:t>Wyk</w:t>
      </w:r>
      <w:proofErr w:type="spellEnd"/>
      <w:r w:rsidR="004B04FB">
        <w:rPr>
          <w:lang w:val="en-US"/>
        </w:rPr>
        <w:t xml:space="preserve"> for his services, her averment that she was approached by </w:t>
      </w:r>
      <w:proofErr w:type="spellStart"/>
      <w:r w:rsidR="004B04FB">
        <w:rPr>
          <w:lang w:val="en-US"/>
        </w:rPr>
        <w:t>Mr</w:t>
      </w:r>
      <w:proofErr w:type="spellEnd"/>
      <w:r w:rsidR="004B04FB">
        <w:rPr>
          <w:lang w:val="en-US"/>
        </w:rPr>
        <w:t xml:space="preserve"> van </w:t>
      </w:r>
      <w:proofErr w:type="spellStart"/>
      <w:r w:rsidR="004B04FB">
        <w:rPr>
          <w:lang w:val="en-US"/>
        </w:rPr>
        <w:t>Wyk</w:t>
      </w:r>
      <w:proofErr w:type="spellEnd"/>
      <w:r w:rsidR="004B04FB" w:rsidRPr="00E011F2">
        <w:rPr>
          <w:rFonts w:cs="Arial"/>
          <w:lang w:val="en-US"/>
        </w:rPr>
        <w:t xml:space="preserve"> does not bear </w:t>
      </w:r>
      <w:r w:rsidR="004B04FB">
        <w:rPr>
          <w:rFonts w:cs="Arial"/>
          <w:lang w:val="en-US"/>
        </w:rPr>
        <w:t xml:space="preserve">logical </w:t>
      </w:r>
      <w:r w:rsidR="004B04FB" w:rsidRPr="00E011F2">
        <w:rPr>
          <w:rFonts w:cs="Arial"/>
          <w:lang w:val="en-US"/>
        </w:rPr>
        <w:t>scrutiny</w:t>
      </w:r>
      <w:r w:rsidR="004B04FB">
        <w:rPr>
          <w:rFonts w:cs="Arial"/>
          <w:lang w:val="en-US"/>
        </w:rPr>
        <w:t>,</w:t>
      </w:r>
      <w:r w:rsidR="004B04FB" w:rsidRPr="00E011F2">
        <w:rPr>
          <w:rFonts w:cs="Arial"/>
          <w:lang w:val="en-US"/>
        </w:rPr>
        <w:t xml:space="preserve"> is untenable</w:t>
      </w:r>
      <w:r w:rsidR="004B04FB">
        <w:rPr>
          <w:rFonts w:cs="Arial"/>
          <w:lang w:val="en-US"/>
        </w:rPr>
        <w:t xml:space="preserve"> and can be rejected on the papers</w:t>
      </w:r>
      <w:r w:rsidR="00761D84">
        <w:rPr>
          <w:rFonts w:cs="Arial"/>
          <w:lang w:val="en-US"/>
        </w:rPr>
        <w:t>.</w:t>
      </w:r>
      <w:r w:rsidR="004B04FB">
        <w:rPr>
          <w:rStyle w:val="FootnoteReference"/>
          <w:lang w:val="en-US"/>
        </w:rPr>
        <w:footnoteReference w:id="12"/>
      </w:r>
      <w:r w:rsidR="004B04FB" w:rsidRPr="00E011F2">
        <w:rPr>
          <w:rFonts w:cs="Arial"/>
          <w:lang w:val="en-US"/>
        </w:rPr>
        <w:t xml:space="preserve"> </w:t>
      </w:r>
      <w:r w:rsidR="004B04FB">
        <w:rPr>
          <w:rFonts w:cs="Arial"/>
          <w:lang w:val="en-US"/>
        </w:rPr>
        <w:t xml:space="preserve"> </w:t>
      </w:r>
    </w:p>
    <w:p w14:paraId="46B11F6A" w14:textId="3E93EF56" w:rsidR="00CC6EA2" w:rsidRPr="00F37B2B" w:rsidRDefault="00311384" w:rsidP="00311384">
      <w:pPr>
        <w:pStyle w:val="level11"/>
        <w:numPr>
          <w:ilvl w:val="0"/>
          <w:numId w:val="0"/>
        </w:numPr>
        <w:spacing w:after="480" w:line="360" w:lineRule="auto"/>
        <w:jc w:val="both"/>
        <w:rPr>
          <w:lang w:val="en-US"/>
        </w:rPr>
      </w:pPr>
      <w:r w:rsidRPr="00F37B2B">
        <w:rPr>
          <w:lang w:val="en-US"/>
        </w:rPr>
        <w:t>[54]</w:t>
      </w:r>
      <w:r w:rsidRPr="00F37B2B">
        <w:rPr>
          <w:lang w:val="en-US"/>
        </w:rPr>
        <w:tab/>
      </w:r>
      <w:r w:rsidR="00F37B2B" w:rsidRPr="00F37B2B">
        <w:rPr>
          <w:rFonts w:cs="Arial"/>
          <w:lang w:val="en-US"/>
        </w:rPr>
        <w:t>In terms of the 2022 order, p</w:t>
      </w:r>
      <w:r w:rsidR="008E2738" w:rsidRPr="00F37B2B">
        <w:rPr>
          <w:lang w:val="en-US"/>
        </w:rPr>
        <w:t xml:space="preserve">aragraph 2.3 interdicts the respondent from contacting the applicants by means of third parties, save through their respective attorneys of record, or by inciting third parties to contact the applicants whether in person or any other means, including social media. Paragraph 2.5 interdicts the respondent from contacting various institutions, including SAPS and PSIRA to further incite these parties to launch unnecessary investigations against the first applicant on allegations made by the respondent and any third party incited by her. </w:t>
      </w:r>
    </w:p>
    <w:p w14:paraId="57E38951" w14:textId="41CF08DD" w:rsidR="004B04FB" w:rsidRPr="004B04FB" w:rsidRDefault="00311384" w:rsidP="00311384">
      <w:pPr>
        <w:pStyle w:val="level11"/>
        <w:numPr>
          <w:ilvl w:val="0"/>
          <w:numId w:val="0"/>
        </w:numPr>
        <w:spacing w:after="480" w:line="360" w:lineRule="auto"/>
        <w:jc w:val="both"/>
        <w:rPr>
          <w:lang w:val="en-US"/>
        </w:rPr>
      </w:pPr>
      <w:r w:rsidRPr="004B04FB">
        <w:rPr>
          <w:lang w:val="en-US"/>
        </w:rPr>
        <w:t>[55]</w:t>
      </w:r>
      <w:r w:rsidRPr="004B04FB">
        <w:rPr>
          <w:lang w:val="en-US"/>
        </w:rPr>
        <w:tab/>
      </w:r>
      <w:r w:rsidR="00F37B2B" w:rsidRPr="004B04FB">
        <w:rPr>
          <w:lang w:val="en-US"/>
        </w:rPr>
        <w:t>Considering the facts, the applicants have in my view established a breach of the 2022 order and specifically paragraph 2.5 thereof</w:t>
      </w:r>
      <w:r w:rsidR="00FE68C3">
        <w:rPr>
          <w:lang w:val="en-US"/>
        </w:rPr>
        <w:t>.</w:t>
      </w:r>
    </w:p>
    <w:p w14:paraId="4F17C26A" w14:textId="5BD2D1FF" w:rsidR="004B04FB" w:rsidRPr="002E227C" w:rsidRDefault="00311384" w:rsidP="00311384">
      <w:pPr>
        <w:pStyle w:val="level11"/>
        <w:numPr>
          <w:ilvl w:val="0"/>
          <w:numId w:val="0"/>
        </w:numPr>
        <w:spacing w:after="480" w:line="360" w:lineRule="auto"/>
        <w:jc w:val="both"/>
        <w:rPr>
          <w:lang w:val="en-US"/>
        </w:rPr>
      </w:pPr>
      <w:r w:rsidRPr="002E227C">
        <w:rPr>
          <w:lang w:val="en-US"/>
        </w:rPr>
        <w:t>[56]</w:t>
      </w:r>
      <w:r w:rsidRPr="002E227C">
        <w:rPr>
          <w:lang w:val="en-US"/>
        </w:rPr>
        <w:tab/>
      </w:r>
      <w:r w:rsidR="009C08E4">
        <w:rPr>
          <w:lang w:val="en-US"/>
        </w:rPr>
        <w:t>Wh</w:t>
      </w:r>
      <w:r w:rsidR="004B04FB" w:rsidRPr="002E227C">
        <w:rPr>
          <w:lang w:val="en-US"/>
        </w:rPr>
        <w:t xml:space="preserve">ere willfulness and </w:t>
      </w:r>
      <w:r w:rsidR="004B04FB" w:rsidRPr="00082D63">
        <w:rPr>
          <w:i/>
          <w:lang w:val="en-US"/>
        </w:rPr>
        <w:t>mala fides</w:t>
      </w:r>
      <w:r w:rsidR="004B04FB" w:rsidRPr="002E227C">
        <w:rPr>
          <w:lang w:val="en-US"/>
        </w:rPr>
        <w:t xml:space="preserve"> are presumed, </w:t>
      </w:r>
      <w:r w:rsidR="009C08E4">
        <w:rPr>
          <w:lang w:val="en-US"/>
        </w:rPr>
        <w:t xml:space="preserve">it must next be considered </w:t>
      </w:r>
      <w:r w:rsidR="004B04FB">
        <w:rPr>
          <w:lang w:val="en-US"/>
        </w:rPr>
        <w:t xml:space="preserve">whether </w:t>
      </w:r>
      <w:r w:rsidR="004B04FB" w:rsidRPr="002E227C">
        <w:rPr>
          <w:lang w:val="en-US"/>
        </w:rPr>
        <w:t>the respondent has met the evidentiary burden to rebut such inference</w:t>
      </w:r>
      <w:r w:rsidR="00281B68">
        <w:rPr>
          <w:lang w:val="en-US"/>
        </w:rPr>
        <w:t>.</w:t>
      </w:r>
      <w:r w:rsidR="004B04FB">
        <w:rPr>
          <w:rStyle w:val="FootnoteReference"/>
          <w:lang w:val="en-US"/>
        </w:rPr>
        <w:footnoteReference w:id="13"/>
      </w:r>
      <w:r w:rsidR="004B04FB" w:rsidRPr="002E227C">
        <w:rPr>
          <w:lang w:val="en-US"/>
        </w:rPr>
        <w:t xml:space="preserve"> Put differently, whether the respondent has presented evidence to establish a reasonable doubt as to whether her non-compliance </w:t>
      </w:r>
      <w:r w:rsidR="009C08E4">
        <w:rPr>
          <w:lang w:val="en-US"/>
        </w:rPr>
        <w:t xml:space="preserve">with the 2022 order </w:t>
      </w:r>
      <w:r w:rsidR="004B04FB" w:rsidRPr="002E227C">
        <w:rPr>
          <w:lang w:val="en-US"/>
        </w:rPr>
        <w:t xml:space="preserve">was </w:t>
      </w:r>
      <w:proofErr w:type="spellStart"/>
      <w:r w:rsidR="004B04FB" w:rsidRPr="002E227C">
        <w:rPr>
          <w:lang w:val="en-US"/>
        </w:rPr>
        <w:t>wilful</w:t>
      </w:r>
      <w:proofErr w:type="spellEnd"/>
      <w:r w:rsidR="004B04FB" w:rsidRPr="002E227C">
        <w:rPr>
          <w:lang w:val="en-US"/>
        </w:rPr>
        <w:t xml:space="preserve"> and mala fide</w:t>
      </w:r>
      <w:r w:rsidR="00281B68">
        <w:rPr>
          <w:lang w:val="en-US"/>
        </w:rPr>
        <w:t>.</w:t>
      </w:r>
      <w:r w:rsidR="009C08E4">
        <w:rPr>
          <w:rStyle w:val="FootnoteReference"/>
          <w:lang w:val="en-US"/>
        </w:rPr>
        <w:footnoteReference w:id="14"/>
      </w:r>
      <w:r w:rsidR="004B04FB" w:rsidRPr="002E227C">
        <w:rPr>
          <w:lang w:val="en-US"/>
        </w:rPr>
        <w:t xml:space="preserve"> If not, contempt will be established beyond a reasonable doubt. </w:t>
      </w:r>
    </w:p>
    <w:p w14:paraId="7348A239" w14:textId="519BA9ED" w:rsidR="00323F34" w:rsidRPr="009C08E4" w:rsidRDefault="00311384" w:rsidP="00311384">
      <w:pPr>
        <w:pStyle w:val="level11"/>
        <w:numPr>
          <w:ilvl w:val="0"/>
          <w:numId w:val="0"/>
        </w:numPr>
        <w:spacing w:after="480" w:line="360" w:lineRule="auto"/>
        <w:jc w:val="both"/>
        <w:rPr>
          <w:lang w:val="en-US"/>
        </w:rPr>
      </w:pPr>
      <w:r w:rsidRPr="009C08E4">
        <w:rPr>
          <w:lang w:val="en-US"/>
        </w:rPr>
        <w:lastRenderedPageBreak/>
        <w:t>[57]</w:t>
      </w:r>
      <w:r w:rsidRPr="009C08E4">
        <w:rPr>
          <w:lang w:val="en-US"/>
        </w:rPr>
        <w:tab/>
      </w:r>
      <w:r w:rsidR="00323F34" w:rsidRPr="009C08E4">
        <w:rPr>
          <w:lang w:val="en-US"/>
        </w:rPr>
        <w:t>The applicants argue that the respondent has failed to provide a reasonable explanation and has failed to discharge her evidentiary burden to rebut willfulness and mala fides.</w:t>
      </w:r>
      <w:r w:rsidR="004D07FF" w:rsidRPr="009C08E4">
        <w:rPr>
          <w:lang w:val="en-US"/>
        </w:rPr>
        <w:t xml:space="preserve"> It is argued that the respondent should have foreseen that her instructions to Van </w:t>
      </w:r>
      <w:proofErr w:type="spellStart"/>
      <w:r w:rsidR="004D07FF" w:rsidRPr="009C08E4">
        <w:rPr>
          <w:lang w:val="en-US"/>
        </w:rPr>
        <w:t>Wyk</w:t>
      </w:r>
      <w:proofErr w:type="spellEnd"/>
      <w:r w:rsidR="004D07FF" w:rsidRPr="009C08E4">
        <w:rPr>
          <w:lang w:val="en-US"/>
        </w:rPr>
        <w:t xml:space="preserve"> to investigate various police officials, staff of the first applicant and the first applicant itself, would by necessity have engaged the SAPS by requesting further investigations into her previously discredited allegations and she should have appreciated the risk that she would be breaching para 2.5 of the 2022 order by giving such instructions. It is argued that this indicates that the respondent had the intention of breaching the order and attempted to prevent detection by inserting a third party, </w:t>
      </w:r>
      <w:proofErr w:type="spellStart"/>
      <w:r w:rsidR="004D07FF" w:rsidRPr="009C08E4">
        <w:rPr>
          <w:lang w:val="en-US"/>
        </w:rPr>
        <w:t>Mr</w:t>
      </w:r>
      <w:proofErr w:type="spellEnd"/>
      <w:r w:rsidR="004D07FF" w:rsidRPr="009C08E4">
        <w:rPr>
          <w:lang w:val="en-US"/>
        </w:rPr>
        <w:t xml:space="preserve"> Van </w:t>
      </w:r>
      <w:proofErr w:type="spellStart"/>
      <w:r w:rsidR="004D07FF" w:rsidRPr="009C08E4">
        <w:rPr>
          <w:lang w:val="en-US"/>
        </w:rPr>
        <w:t>Wyk</w:t>
      </w:r>
      <w:proofErr w:type="spellEnd"/>
      <w:r w:rsidR="004D07FF" w:rsidRPr="009C08E4">
        <w:rPr>
          <w:lang w:val="en-US"/>
        </w:rPr>
        <w:t>. It was argued that the fact that the respondent sought to insert a third person between herself and the SAPS, evidences an appreciation on the part of the respondent that her conduct would breach para</w:t>
      </w:r>
      <w:r w:rsidR="00C23A22" w:rsidRPr="009C08E4">
        <w:rPr>
          <w:lang w:val="en-US"/>
        </w:rPr>
        <w:t>graph</w:t>
      </w:r>
      <w:r w:rsidR="004D07FF" w:rsidRPr="009C08E4">
        <w:rPr>
          <w:lang w:val="en-US"/>
        </w:rPr>
        <w:t xml:space="preserve"> 2.5 of the </w:t>
      </w:r>
      <w:r w:rsidR="00C23A22" w:rsidRPr="009C08E4">
        <w:rPr>
          <w:lang w:val="en-US"/>
        </w:rPr>
        <w:t xml:space="preserve">2022 </w:t>
      </w:r>
      <w:r w:rsidR="004D07FF" w:rsidRPr="009C08E4">
        <w:rPr>
          <w:lang w:val="en-US"/>
        </w:rPr>
        <w:t xml:space="preserve">order. It </w:t>
      </w:r>
      <w:r w:rsidR="00C23A22" w:rsidRPr="009C08E4">
        <w:rPr>
          <w:lang w:val="en-US"/>
        </w:rPr>
        <w:t>i</w:t>
      </w:r>
      <w:r w:rsidR="004D07FF" w:rsidRPr="009C08E4">
        <w:rPr>
          <w:lang w:val="en-US"/>
        </w:rPr>
        <w:t xml:space="preserve">s further argued that by handing </w:t>
      </w:r>
      <w:proofErr w:type="spellStart"/>
      <w:r w:rsidR="004D07FF" w:rsidRPr="009C08E4">
        <w:rPr>
          <w:lang w:val="en-US"/>
        </w:rPr>
        <w:t>Mr</w:t>
      </w:r>
      <w:proofErr w:type="spellEnd"/>
      <w:r w:rsidR="004D07FF" w:rsidRPr="009C08E4">
        <w:rPr>
          <w:lang w:val="en-US"/>
        </w:rPr>
        <w:t xml:space="preserve"> van </w:t>
      </w:r>
      <w:proofErr w:type="spellStart"/>
      <w:r w:rsidR="004D07FF" w:rsidRPr="009C08E4">
        <w:rPr>
          <w:lang w:val="en-US"/>
        </w:rPr>
        <w:t>Wyk</w:t>
      </w:r>
      <w:proofErr w:type="spellEnd"/>
      <w:r w:rsidR="004D07FF" w:rsidRPr="009C08E4">
        <w:rPr>
          <w:lang w:val="en-US"/>
        </w:rPr>
        <w:t xml:space="preserve"> the same statement that had been discredited in the 2022 application</w:t>
      </w:r>
      <w:r w:rsidR="00C23A22" w:rsidRPr="009C08E4">
        <w:rPr>
          <w:lang w:val="en-US"/>
        </w:rPr>
        <w:t>,</w:t>
      </w:r>
      <w:r w:rsidR="004D07FF" w:rsidRPr="009C08E4">
        <w:rPr>
          <w:lang w:val="en-US"/>
        </w:rPr>
        <w:t xml:space="preserve"> the respondent must have appreciated that her conduct amounted to the selfsame wrongful conduct which para</w:t>
      </w:r>
      <w:r w:rsidR="00C23A22" w:rsidRPr="009C08E4">
        <w:rPr>
          <w:lang w:val="en-US"/>
        </w:rPr>
        <w:t>graph</w:t>
      </w:r>
      <w:r w:rsidR="004D07FF" w:rsidRPr="009C08E4">
        <w:rPr>
          <w:lang w:val="en-US"/>
        </w:rPr>
        <w:t xml:space="preserve"> 2.5 of the order sought to interdict. </w:t>
      </w:r>
      <w:r w:rsidR="009C08E4">
        <w:rPr>
          <w:lang w:val="en-US"/>
        </w:rPr>
        <w:t xml:space="preserve"> </w:t>
      </w:r>
      <w:r w:rsidR="004D07FF" w:rsidRPr="009C08E4">
        <w:rPr>
          <w:lang w:val="en-US"/>
        </w:rPr>
        <w:t xml:space="preserve">It is </w:t>
      </w:r>
      <w:r w:rsidR="00C23A22" w:rsidRPr="009C08E4">
        <w:rPr>
          <w:lang w:val="en-US"/>
        </w:rPr>
        <w:t xml:space="preserve">further </w:t>
      </w:r>
      <w:r w:rsidR="004D07FF" w:rsidRPr="009C08E4">
        <w:rPr>
          <w:lang w:val="en-US"/>
        </w:rPr>
        <w:t>argued</w:t>
      </w:r>
      <w:r w:rsidR="00323F34" w:rsidRPr="009C08E4">
        <w:rPr>
          <w:lang w:val="en-US"/>
        </w:rPr>
        <w:t xml:space="preserve"> that if it is demonstrated that the respondent had subjectively foreseen the risk of the 2022 order being breached, </w:t>
      </w:r>
      <w:r w:rsidR="004D07FF" w:rsidRPr="009C08E4">
        <w:rPr>
          <w:lang w:val="en-US"/>
        </w:rPr>
        <w:t xml:space="preserve">as they contend, </w:t>
      </w:r>
      <w:r w:rsidR="00323F34" w:rsidRPr="009C08E4">
        <w:rPr>
          <w:lang w:val="en-US"/>
        </w:rPr>
        <w:t xml:space="preserve">the onus rests on her to negative the inference of </w:t>
      </w:r>
      <w:proofErr w:type="spellStart"/>
      <w:r w:rsidR="00323F34" w:rsidRPr="009C08E4">
        <w:rPr>
          <w:i/>
          <w:lang w:val="en-US"/>
        </w:rPr>
        <w:t>dolus</w:t>
      </w:r>
      <w:proofErr w:type="spellEnd"/>
      <w:r w:rsidR="00323F34" w:rsidRPr="009C08E4">
        <w:rPr>
          <w:i/>
          <w:lang w:val="en-US"/>
        </w:rPr>
        <w:t xml:space="preserve"> </w:t>
      </w:r>
      <w:proofErr w:type="spellStart"/>
      <w:r w:rsidR="00323F34" w:rsidRPr="009C08E4">
        <w:rPr>
          <w:i/>
          <w:lang w:val="en-US"/>
        </w:rPr>
        <w:t>eventualis</w:t>
      </w:r>
      <w:proofErr w:type="spellEnd"/>
      <w:r w:rsidR="00BC5590">
        <w:rPr>
          <w:i/>
          <w:lang w:val="en-US"/>
        </w:rPr>
        <w:t>.</w:t>
      </w:r>
      <w:r w:rsidR="00323F34">
        <w:rPr>
          <w:rStyle w:val="FootnoteReference"/>
          <w:lang w:val="en-US"/>
        </w:rPr>
        <w:footnoteReference w:id="15"/>
      </w:r>
    </w:p>
    <w:p w14:paraId="286F2821" w14:textId="1A6FE472" w:rsidR="004D07FF" w:rsidRPr="004D07FF" w:rsidRDefault="00311384" w:rsidP="00311384">
      <w:pPr>
        <w:pStyle w:val="level11"/>
        <w:numPr>
          <w:ilvl w:val="0"/>
          <w:numId w:val="0"/>
        </w:numPr>
        <w:spacing w:after="480" w:line="360" w:lineRule="auto"/>
        <w:jc w:val="both"/>
        <w:rPr>
          <w:i/>
          <w:lang w:val="en-US"/>
        </w:rPr>
      </w:pPr>
      <w:r w:rsidRPr="004D07FF">
        <w:rPr>
          <w:lang w:val="en-US"/>
        </w:rPr>
        <w:t>[58]</w:t>
      </w:r>
      <w:r w:rsidRPr="004D07FF">
        <w:rPr>
          <w:lang w:val="en-US"/>
        </w:rPr>
        <w:tab/>
      </w:r>
      <w:r w:rsidR="00FE68C3" w:rsidRPr="00FE68C3">
        <w:rPr>
          <w:lang w:val="en-US"/>
        </w:rPr>
        <w:t xml:space="preserve">The respondent </w:t>
      </w:r>
      <w:r w:rsidR="00323F34">
        <w:rPr>
          <w:lang w:val="en-US"/>
        </w:rPr>
        <w:t xml:space="preserve">on the other hand </w:t>
      </w:r>
      <w:r w:rsidR="00B90702">
        <w:rPr>
          <w:lang w:val="en-US"/>
        </w:rPr>
        <w:t>argues that even if it is found that she breached the 2022 order, her conduct is not wi</w:t>
      </w:r>
      <w:r w:rsidR="004D07FF">
        <w:rPr>
          <w:lang w:val="en-US"/>
        </w:rPr>
        <w:t>l</w:t>
      </w:r>
      <w:r w:rsidR="00B90702">
        <w:rPr>
          <w:lang w:val="en-US"/>
        </w:rPr>
        <w:t xml:space="preserve">lful and </w:t>
      </w:r>
      <w:r w:rsidR="00B90702" w:rsidRPr="004D07FF">
        <w:rPr>
          <w:i/>
          <w:lang w:val="en-US"/>
        </w:rPr>
        <w:t>mala fide</w:t>
      </w:r>
      <w:r w:rsidR="004D07FF">
        <w:rPr>
          <w:lang w:val="en-US"/>
        </w:rPr>
        <w:t xml:space="preserve"> as she was </w:t>
      </w:r>
      <w:r w:rsidR="004D07FF" w:rsidRPr="004D07FF">
        <w:rPr>
          <w:i/>
          <w:lang w:val="en-US"/>
        </w:rPr>
        <w:t>bona fide</w:t>
      </w:r>
      <w:r w:rsidR="00B90702">
        <w:rPr>
          <w:lang w:val="en-US"/>
        </w:rPr>
        <w:t>. R</w:t>
      </w:r>
      <w:r w:rsidR="00323F34">
        <w:rPr>
          <w:lang w:val="en-US"/>
        </w:rPr>
        <w:t>eli</w:t>
      </w:r>
      <w:r w:rsidR="00B90702">
        <w:rPr>
          <w:lang w:val="en-US"/>
        </w:rPr>
        <w:t>anc</w:t>
      </w:r>
      <w:r w:rsidR="00323F34">
        <w:rPr>
          <w:lang w:val="en-US"/>
        </w:rPr>
        <w:t>e</w:t>
      </w:r>
      <w:r w:rsidR="00B90702">
        <w:rPr>
          <w:lang w:val="en-US"/>
        </w:rPr>
        <w:t xml:space="preserve"> is placed </w:t>
      </w:r>
      <w:r w:rsidR="00323F34">
        <w:rPr>
          <w:lang w:val="en-US"/>
        </w:rPr>
        <w:t>on the principle</w:t>
      </w:r>
      <w:r w:rsidR="00FE68C3" w:rsidRPr="00FE68C3">
        <w:rPr>
          <w:lang w:val="en-US"/>
        </w:rPr>
        <w:t xml:space="preserve"> </w:t>
      </w:r>
      <w:r w:rsidR="004D07FF">
        <w:rPr>
          <w:lang w:val="en-US"/>
        </w:rPr>
        <w:t xml:space="preserve">in </w:t>
      </w:r>
      <w:r w:rsidR="004D07FF" w:rsidRPr="004D07FF">
        <w:rPr>
          <w:i/>
          <w:lang w:val="en-US"/>
        </w:rPr>
        <w:t>Facie</w:t>
      </w:r>
      <w:r w:rsidR="004D07FF">
        <w:rPr>
          <w:rStyle w:val="FootnoteReference"/>
          <w:i/>
          <w:lang w:val="en-US"/>
        </w:rPr>
        <w:footnoteReference w:id="16"/>
      </w:r>
      <w:r w:rsidR="004D07FF">
        <w:rPr>
          <w:i/>
          <w:lang w:val="en-US"/>
        </w:rPr>
        <w:t xml:space="preserve"> </w:t>
      </w:r>
      <w:r w:rsidR="00FE68C3" w:rsidRPr="00FE68C3">
        <w:rPr>
          <w:lang w:val="en-US"/>
        </w:rPr>
        <w:t>that</w:t>
      </w:r>
      <w:r w:rsidR="004D07FF">
        <w:rPr>
          <w:lang w:val="en-US"/>
        </w:rPr>
        <w:t>:</w:t>
      </w:r>
    </w:p>
    <w:p w14:paraId="590122FC" w14:textId="348B9F7C" w:rsidR="00323F34" w:rsidRPr="004D07FF" w:rsidRDefault="00323F34" w:rsidP="004D07FF">
      <w:pPr>
        <w:pStyle w:val="level11"/>
        <w:numPr>
          <w:ilvl w:val="0"/>
          <w:numId w:val="0"/>
        </w:numPr>
        <w:spacing w:after="480"/>
        <w:ind w:left="360"/>
        <w:jc w:val="both"/>
        <w:rPr>
          <w:i/>
          <w:sz w:val="20"/>
          <w:szCs w:val="20"/>
          <w:lang w:val="en-US"/>
        </w:rPr>
      </w:pPr>
      <w:r w:rsidRPr="004D07FF">
        <w:rPr>
          <w:i/>
          <w:sz w:val="20"/>
          <w:szCs w:val="20"/>
          <w:lang w:val="en-US"/>
        </w:rPr>
        <w:t>“</w:t>
      </w:r>
      <w:r w:rsidR="00FE68C3" w:rsidRPr="004D07FF">
        <w:rPr>
          <w:i/>
          <w:sz w:val="20"/>
          <w:szCs w:val="20"/>
          <w:lang w:val="en-US"/>
        </w:rPr>
        <w:t>a</w:t>
      </w:r>
      <w:r w:rsidR="00A85579" w:rsidRPr="004D07FF">
        <w:rPr>
          <w:i/>
          <w:sz w:val="20"/>
          <w:szCs w:val="20"/>
          <w:lang w:val="en-US"/>
        </w:rPr>
        <w:t xml:space="preserve"> deliberate disregard of </w:t>
      </w:r>
      <w:r w:rsidR="00F37B2B" w:rsidRPr="004D07FF">
        <w:rPr>
          <w:i/>
          <w:sz w:val="20"/>
          <w:szCs w:val="20"/>
          <w:lang w:val="en-US"/>
        </w:rPr>
        <w:t xml:space="preserve">a court </w:t>
      </w:r>
      <w:r w:rsidR="00A85579" w:rsidRPr="004D07FF">
        <w:rPr>
          <w:i/>
          <w:sz w:val="20"/>
          <w:szCs w:val="20"/>
          <w:lang w:val="en-US"/>
        </w:rPr>
        <w:t xml:space="preserve">order is not enough </w:t>
      </w:r>
      <w:r w:rsidRPr="004D07FF">
        <w:rPr>
          <w:i/>
          <w:sz w:val="20"/>
          <w:szCs w:val="20"/>
          <w:lang w:val="en-US"/>
        </w:rPr>
        <w:t xml:space="preserve">since the </w:t>
      </w:r>
      <w:proofErr w:type="spellStart"/>
      <w:r w:rsidRPr="004D07FF">
        <w:rPr>
          <w:i/>
          <w:sz w:val="20"/>
          <w:szCs w:val="20"/>
          <w:lang w:val="en-US"/>
        </w:rPr>
        <w:t>non complier</w:t>
      </w:r>
      <w:proofErr w:type="spellEnd"/>
      <w:r w:rsidRPr="004D07FF">
        <w:rPr>
          <w:i/>
          <w:sz w:val="20"/>
          <w:szCs w:val="20"/>
          <w:lang w:val="en-US"/>
        </w:rPr>
        <w:t xml:space="preserve"> </w:t>
      </w:r>
      <w:r w:rsidR="00A85579" w:rsidRPr="004D07FF">
        <w:rPr>
          <w:i/>
          <w:sz w:val="20"/>
          <w:szCs w:val="20"/>
          <w:lang w:val="en-US"/>
        </w:rPr>
        <w:t xml:space="preserve">may genuinely, albeit mistakenly believe </w:t>
      </w:r>
      <w:r w:rsidRPr="004D07FF">
        <w:rPr>
          <w:i/>
          <w:sz w:val="20"/>
          <w:szCs w:val="20"/>
          <w:lang w:val="en-US"/>
        </w:rPr>
        <w:t>…</w:t>
      </w:r>
      <w:r w:rsidR="00A85579" w:rsidRPr="004D07FF">
        <w:rPr>
          <w:i/>
          <w:sz w:val="20"/>
          <w:szCs w:val="20"/>
          <w:lang w:val="en-US"/>
        </w:rPr>
        <w:t xml:space="preserve">herself to be entitled to act in the way claimed to constitute contempt. </w:t>
      </w:r>
      <w:r w:rsidRPr="004D07FF">
        <w:rPr>
          <w:i/>
          <w:sz w:val="20"/>
          <w:szCs w:val="20"/>
          <w:lang w:val="en-US"/>
        </w:rPr>
        <w:t>In such a case good faith avoids the infraction. Even a refusal to comply that is objectively unreasonable may be bona fide”.</w:t>
      </w:r>
      <w:r w:rsidR="00890203" w:rsidRPr="004D07FF">
        <w:rPr>
          <w:i/>
          <w:sz w:val="20"/>
          <w:szCs w:val="20"/>
          <w:lang w:val="en-US"/>
        </w:rPr>
        <w:t xml:space="preserve"> </w:t>
      </w:r>
    </w:p>
    <w:p w14:paraId="3C28CEBD" w14:textId="08A76F92" w:rsidR="009C08E4" w:rsidRDefault="00311384" w:rsidP="00311384">
      <w:pPr>
        <w:pStyle w:val="level11"/>
        <w:numPr>
          <w:ilvl w:val="0"/>
          <w:numId w:val="0"/>
        </w:numPr>
        <w:spacing w:after="480" w:line="360" w:lineRule="auto"/>
        <w:jc w:val="both"/>
        <w:rPr>
          <w:lang w:val="en-US"/>
        </w:rPr>
      </w:pPr>
      <w:r>
        <w:rPr>
          <w:lang w:val="en-US"/>
        </w:rPr>
        <w:t>[59]</w:t>
      </w:r>
      <w:r>
        <w:rPr>
          <w:lang w:val="en-US"/>
        </w:rPr>
        <w:tab/>
      </w:r>
      <w:r w:rsidR="00C23A22" w:rsidRPr="00262A25">
        <w:rPr>
          <w:lang w:val="en-US"/>
        </w:rPr>
        <w:t>The respondent</w:t>
      </w:r>
      <w:r w:rsidR="00A85579" w:rsidRPr="00262A25">
        <w:rPr>
          <w:lang w:val="en-US"/>
        </w:rPr>
        <w:t xml:space="preserve"> contends that the 2022 order deprives her of protection under s</w:t>
      </w:r>
      <w:r w:rsidR="004D07FF" w:rsidRPr="00262A25">
        <w:rPr>
          <w:lang w:val="en-US"/>
        </w:rPr>
        <w:t xml:space="preserve"> </w:t>
      </w:r>
      <w:r w:rsidR="00A85579" w:rsidRPr="00262A25">
        <w:rPr>
          <w:lang w:val="en-US"/>
        </w:rPr>
        <w:t xml:space="preserve">205 of the Constitution </w:t>
      </w:r>
      <w:r w:rsidR="004D07FF" w:rsidRPr="00262A25">
        <w:rPr>
          <w:lang w:val="en-US"/>
        </w:rPr>
        <w:t xml:space="preserve">1996 </w:t>
      </w:r>
      <w:r w:rsidR="00A85579" w:rsidRPr="00262A25">
        <w:rPr>
          <w:lang w:val="en-US"/>
        </w:rPr>
        <w:t xml:space="preserve">and disregards her constitutional rights and actions. It is </w:t>
      </w:r>
      <w:r w:rsidR="00A85579" w:rsidRPr="00262A25">
        <w:rPr>
          <w:lang w:val="en-US"/>
        </w:rPr>
        <w:lastRenderedPageBreak/>
        <w:t xml:space="preserve">contended </w:t>
      </w:r>
      <w:r w:rsidR="009C08E4">
        <w:rPr>
          <w:lang w:val="en-US"/>
        </w:rPr>
        <w:t xml:space="preserve">that </w:t>
      </w:r>
      <w:r w:rsidR="00A85579" w:rsidRPr="00262A25">
        <w:rPr>
          <w:lang w:val="en-US"/>
        </w:rPr>
        <w:t xml:space="preserve">the </w:t>
      </w:r>
      <w:r w:rsidR="004D07FF" w:rsidRPr="00262A25">
        <w:rPr>
          <w:lang w:val="en-US"/>
        </w:rPr>
        <w:t xml:space="preserve">2022 </w:t>
      </w:r>
      <w:r w:rsidR="00A85579" w:rsidRPr="00262A25">
        <w:rPr>
          <w:lang w:val="en-US"/>
        </w:rPr>
        <w:t>order limits all actions and not only unlawful actions. On this basis it is contended the order is unconstitutional. She contends that she genuinely believed she is entitled to work with and cooperate with SAPS and was approached by SAPS and PSIRA rather than her approaching them.</w:t>
      </w:r>
    </w:p>
    <w:p w14:paraId="2A22ADC9" w14:textId="15D0DC7D" w:rsidR="00730082" w:rsidRPr="00262A25" w:rsidRDefault="00311384" w:rsidP="00311384">
      <w:pPr>
        <w:pStyle w:val="level11"/>
        <w:numPr>
          <w:ilvl w:val="0"/>
          <w:numId w:val="0"/>
        </w:numPr>
        <w:spacing w:after="480" w:line="360" w:lineRule="auto"/>
        <w:jc w:val="both"/>
        <w:rPr>
          <w:lang w:val="en-US"/>
        </w:rPr>
      </w:pPr>
      <w:r w:rsidRPr="00262A25">
        <w:rPr>
          <w:lang w:val="en-US"/>
        </w:rPr>
        <w:t>[60]</w:t>
      </w:r>
      <w:r w:rsidRPr="00262A25">
        <w:rPr>
          <w:lang w:val="en-US"/>
        </w:rPr>
        <w:tab/>
      </w:r>
      <w:r w:rsidR="002427BA" w:rsidRPr="00262A25">
        <w:rPr>
          <w:lang w:val="en-US"/>
        </w:rPr>
        <w:t xml:space="preserve">In her answering affidavit, the respondent </w:t>
      </w:r>
      <w:proofErr w:type="spellStart"/>
      <w:r w:rsidR="00730082" w:rsidRPr="00262A25">
        <w:rPr>
          <w:lang w:val="en-US"/>
        </w:rPr>
        <w:t>criticises</w:t>
      </w:r>
      <w:proofErr w:type="spellEnd"/>
      <w:r w:rsidR="00730082" w:rsidRPr="00262A25">
        <w:rPr>
          <w:lang w:val="en-US"/>
        </w:rPr>
        <w:t xml:space="preserve"> the 2022 order in strident terms, calling it “unjustified” and “unconstitutional”.</w:t>
      </w:r>
      <w:r w:rsidR="004D07FF" w:rsidRPr="00262A25">
        <w:rPr>
          <w:lang w:val="en-US"/>
        </w:rPr>
        <w:t xml:space="preserve"> </w:t>
      </w:r>
      <w:r w:rsidR="00730082" w:rsidRPr="00262A25">
        <w:rPr>
          <w:lang w:val="en-US"/>
        </w:rPr>
        <w:t xml:space="preserve">The respondent </w:t>
      </w:r>
      <w:r w:rsidR="004D07FF" w:rsidRPr="00262A25">
        <w:rPr>
          <w:lang w:val="en-US"/>
        </w:rPr>
        <w:t xml:space="preserve">further </w:t>
      </w:r>
      <w:r w:rsidR="00730082" w:rsidRPr="00262A25">
        <w:rPr>
          <w:lang w:val="en-US"/>
        </w:rPr>
        <w:t xml:space="preserve">states in her answering affidavit: </w:t>
      </w:r>
    </w:p>
    <w:p w14:paraId="0F71BBFC" w14:textId="77777777" w:rsidR="00730082" w:rsidRPr="008F1D74" w:rsidRDefault="00730082" w:rsidP="00730082">
      <w:pPr>
        <w:pStyle w:val="level11"/>
        <w:numPr>
          <w:ilvl w:val="0"/>
          <w:numId w:val="0"/>
        </w:numPr>
        <w:spacing w:after="480"/>
        <w:ind w:left="360"/>
        <w:jc w:val="both"/>
        <w:rPr>
          <w:i/>
          <w:sz w:val="20"/>
          <w:szCs w:val="20"/>
          <w:lang w:val="en-US"/>
        </w:rPr>
      </w:pPr>
      <w:r w:rsidRPr="008F1D74">
        <w:rPr>
          <w:i/>
          <w:sz w:val="20"/>
          <w:szCs w:val="20"/>
          <w:lang w:val="en-US"/>
        </w:rPr>
        <w:t xml:space="preserve">“I further find it disgusting that this court will give </w:t>
      </w:r>
      <w:r>
        <w:rPr>
          <w:i/>
          <w:sz w:val="20"/>
          <w:szCs w:val="20"/>
          <w:lang w:val="en-US"/>
        </w:rPr>
        <w:t>a</w:t>
      </w:r>
      <w:r w:rsidRPr="008F1D74">
        <w:rPr>
          <w:i/>
          <w:sz w:val="20"/>
          <w:szCs w:val="20"/>
          <w:lang w:val="en-US"/>
        </w:rPr>
        <w:t>n order that will prevent me from approaching SAPS, even on matters concerning SOS or the second applicant</w:t>
      </w:r>
      <w:r>
        <w:rPr>
          <w:i/>
          <w:sz w:val="20"/>
          <w:szCs w:val="20"/>
          <w:lang w:val="en-US"/>
        </w:rPr>
        <w:t>…</w:t>
      </w:r>
      <w:r w:rsidRPr="008F1D74">
        <w:rPr>
          <w:i/>
          <w:sz w:val="20"/>
          <w:szCs w:val="20"/>
          <w:lang w:val="en-US"/>
        </w:rPr>
        <w:t xml:space="preserve">. </w:t>
      </w:r>
      <w:r>
        <w:rPr>
          <w:i/>
          <w:sz w:val="20"/>
          <w:szCs w:val="20"/>
          <w:lang w:val="en-US"/>
        </w:rPr>
        <w:t>T</w:t>
      </w:r>
      <w:r w:rsidRPr="008F1D74">
        <w:rPr>
          <w:i/>
          <w:sz w:val="20"/>
          <w:szCs w:val="20"/>
          <w:lang w:val="en-US"/>
        </w:rPr>
        <w:t xml:space="preserve">he second applicant further tries to make out the case that I incited </w:t>
      </w:r>
      <w:proofErr w:type="spellStart"/>
      <w:r w:rsidRPr="008F1D74">
        <w:rPr>
          <w:i/>
          <w:sz w:val="20"/>
          <w:szCs w:val="20"/>
          <w:lang w:val="en-US"/>
        </w:rPr>
        <w:t>Mr</w:t>
      </w:r>
      <w:proofErr w:type="spellEnd"/>
      <w:r w:rsidRPr="008F1D74">
        <w:rPr>
          <w:i/>
          <w:sz w:val="20"/>
          <w:szCs w:val="20"/>
          <w:lang w:val="en-US"/>
        </w:rPr>
        <w:t xml:space="preserve"> Francois van </w:t>
      </w:r>
      <w:proofErr w:type="spellStart"/>
      <w:r w:rsidRPr="008F1D74">
        <w:rPr>
          <w:i/>
          <w:sz w:val="20"/>
          <w:szCs w:val="20"/>
          <w:lang w:val="en-US"/>
        </w:rPr>
        <w:t>Wyk</w:t>
      </w:r>
      <w:proofErr w:type="spellEnd"/>
      <w:r w:rsidRPr="008F1D74">
        <w:rPr>
          <w:i/>
          <w:sz w:val="20"/>
          <w:szCs w:val="20"/>
          <w:lang w:val="en-US"/>
        </w:rPr>
        <w:t xml:space="preserve"> to launch unnecessary investigations into SOS and herself. She failed to both show that </w:t>
      </w:r>
      <w:proofErr w:type="spellStart"/>
      <w:r w:rsidRPr="008F1D74">
        <w:rPr>
          <w:i/>
          <w:sz w:val="20"/>
          <w:szCs w:val="20"/>
          <w:lang w:val="en-US"/>
        </w:rPr>
        <w:t>Mr</w:t>
      </w:r>
      <w:proofErr w:type="spellEnd"/>
      <w:r w:rsidRPr="008F1D74">
        <w:rPr>
          <w:i/>
          <w:sz w:val="20"/>
          <w:szCs w:val="20"/>
          <w:lang w:val="en-US"/>
        </w:rPr>
        <w:t xml:space="preserve"> Francois Van </w:t>
      </w:r>
      <w:proofErr w:type="spellStart"/>
      <w:r w:rsidRPr="008F1D74">
        <w:rPr>
          <w:i/>
          <w:sz w:val="20"/>
          <w:szCs w:val="20"/>
          <w:lang w:val="en-US"/>
        </w:rPr>
        <w:t>Wyk</w:t>
      </w:r>
      <w:proofErr w:type="spellEnd"/>
      <w:r w:rsidRPr="008F1D74">
        <w:rPr>
          <w:i/>
          <w:sz w:val="20"/>
          <w:szCs w:val="20"/>
          <w:lang w:val="en-US"/>
        </w:rPr>
        <w:t xml:space="preserve"> was incited to launch any investigation into SOS or herself, and failed to show that such investigation was </w:t>
      </w:r>
      <w:proofErr w:type="gramStart"/>
      <w:r w:rsidRPr="008F1D74">
        <w:rPr>
          <w:i/>
          <w:sz w:val="20"/>
          <w:szCs w:val="20"/>
          <w:lang w:val="en-US"/>
        </w:rPr>
        <w:t>unnecessary</w:t>
      </w:r>
      <w:proofErr w:type="gramEnd"/>
      <w:r w:rsidRPr="008F1D74">
        <w:rPr>
          <w:i/>
          <w:sz w:val="20"/>
          <w:szCs w:val="20"/>
          <w:lang w:val="en-US"/>
        </w:rPr>
        <w:t>”</w:t>
      </w:r>
    </w:p>
    <w:p w14:paraId="01135870" w14:textId="67F7504F" w:rsidR="00C23A22" w:rsidRDefault="00311384" w:rsidP="00311384">
      <w:pPr>
        <w:pStyle w:val="level11"/>
        <w:numPr>
          <w:ilvl w:val="0"/>
          <w:numId w:val="0"/>
        </w:numPr>
        <w:spacing w:after="480" w:line="360" w:lineRule="auto"/>
        <w:jc w:val="both"/>
        <w:rPr>
          <w:lang w:val="en-US"/>
        </w:rPr>
      </w:pPr>
      <w:r>
        <w:rPr>
          <w:lang w:val="en-US"/>
        </w:rPr>
        <w:t>[61]</w:t>
      </w:r>
      <w:r>
        <w:rPr>
          <w:lang w:val="en-US"/>
        </w:rPr>
        <w:tab/>
      </w:r>
      <w:r w:rsidR="00730082" w:rsidRPr="00C23A22">
        <w:rPr>
          <w:lang w:val="en-US"/>
        </w:rPr>
        <w:t>Notwithstanding such criticism</w:t>
      </w:r>
      <w:r w:rsidR="00C23A22" w:rsidRPr="00C23A22">
        <w:rPr>
          <w:lang w:val="en-US"/>
        </w:rPr>
        <w:t>,</w:t>
      </w:r>
      <w:r w:rsidR="00730082" w:rsidRPr="00C23A22">
        <w:rPr>
          <w:lang w:val="en-US"/>
        </w:rPr>
        <w:t xml:space="preserve"> the respondent has taken no steps to have the 2022 order set aside</w:t>
      </w:r>
      <w:r w:rsidR="00C23A22" w:rsidRPr="00C23A22">
        <w:rPr>
          <w:lang w:val="en-US"/>
        </w:rPr>
        <w:t>, despite on her version having been in possession of it since 20 April 2022</w:t>
      </w:r>
      <w:r w:rsidR="00730082" w:rsidRPr="00C23A22">
        <w:rPr>
          <w:lang w:val="en-US"/>
        </w:rPr>
        <w:t>. In bald terms</w:t>
      </w:r>
      <w:r w:rsidR="00C23A22" w:rsidRPr="00C23A22">
        <w:rPr>
          <w:lang w:val="en-US"/>
        </w:rPr>
        <w:t>,</w:t>
      </w:r>
      <w:r w:rsidR="00730082" w:rsidRPr="00C23A22">
        <w:rPr>
          <w:lang w:val="en-US"/>
        </w:rPr>
        <w:t xml:space="preserve"> it is averred that she intends to do so</w:t>
      </w:r>
      <w:r w:rsidR="00C23A22" w:rsidRPr="00C23A22">
        <w:rPr>
          <w:lang w:val="en-US"/>
        </w:rPr>
        <w:t xml:space="preserve"> in due course.</w:t>
      </w:r>
      <w:r w:rsidR="00C23A22">
        <w:rPr>
          <w:lang w:val="en-US"/>
        </w:rPr>
        <w:t xml:space="preserve"> This vague contention does not avail her, given that the respondent has remained supine for almost a year.</w:t>
      </w:r>
      <w:r w:rsidR="00C23A22" w:rsidRPr="00C23A22">
        <w:rPr>
          <w:lang w:val="en-US"/>
        </w:rPr>
        <w:t xml:space="preserve"> </w:t>
      </w:r>
    </w:p>
    <w:p w14:paraId="02C0C5AE" w14:textId="41189ACC" w:rsidR="003A327B" w:rsidRDefault="00311384" w:rsidP="00311384">
      <w:pPr>
        <w:pStyle w:val="level11"/>
        <w:numPr>
          <w:ilvl w:val="0"/>
          <w:numId w:val="0"/>
        </w:numPr>
        <w:spacing w:after="480" w:line="360" w:lineRule="auto"/>
        <w:jc w:val="both"/>
        <w:rPr>
          <w:lang w:val="en-US"/>
        </w:rPr>
      </w:pPr>
      <w:r>
        <w:rPr>
          <w:lang w:val="en-US"/>
        </w:rPr>
        <w:t>[62]</w:t>
      </w:r>
      <w:r>
        <w:rPr>
          <w:lang w:val="en-US"/>
        </w:rPr>
        <w:tab/>
      </w:r>
      <w:r w:rsidR="00C23A22" w:rsidRPr="00C23A22">
        <w:rPr>
          <w:lang w:val="en-US"/>
        </w:rPr>
        <w:t>The respondent’s view is misguided in the extreme. It is trite that court orders are valid and binding until set aside</w:t>
      </w:r>
      <w:r w:rsidR="00C23A22">
        <w:rPr>
          <w:rStyle w:val="FootnoteReference"/>
          <w:lang w:val="en-US"/>
        </w:rPr>
        <w:footnoteReference w:id="17"/>
      </w:r>
      <w:r w:rsidR="009C08E4">
        <w:rPr>
          <w:lang w:val="en-US"/>
        </w:rPr>
        <w:t xml:space="preserve"> and it is not open to the respondent to simply disregard the 2022 order based on her personal view that it is “unconstitutional” and “disgusting”</w:t>
      </w:r>
      <w:r w:rsidR="00C23A22" w:rsidRPr="00C23A22">
        <w:rPr>
          <w:lang w:val="en-US"/>
        </w:rPr>
        <w:t>.</w:t>
      </w:r>
    </w:p>
    <w:p w14:paraId="1C08A633" w14:textId="0E327754" w:rsidR="00C23A22" w:rsidRPr="00C23A22" w:rsidRDefault="00311384" w:rsidP="00311384">
      <w:pPr>
        <w:pStyle w:val="level11"/>
        <w:numPr>
          <w:ilvl w:val="0"/>
          <w:numId w:val="0"/>
        </w:numPr>
        <w:spacing w:after="480" w:line="360" w:lineRule="auto"/>
        <w:jc w:val="both"/>
        <w:rPr>
          <w:lang w:val="en-US"/>
        </w:rPr>
      </w:pPr>
      <w:r w:rsidRPr="00C23A22">
        <w:rPr>
          <w:lang w:val="en-US"/>
        </w:rPr>
        <w:t>[63]</w:t>
      </w:r>
      <w:r w:rsidRPr="00C23A22">
        <w:rPr>
          <w:lang w:val="en-US"/>
        </w:rPr>
        <w:tab/>
      </w:r>
      <w:r w:rsidR="00C23A22" w:rsidRPr="00C23A22">
        <w:rPr>
          <w:lang w:val="en-US"/>
        </w:rPr>
        <w:t xml:space="preserve">Moreover, </w:t>
      </w:r>
      <w:r w:rsidR="00C23A22">
        <w:rPr>
          <w:lang w:val="en-US"/>
        </w:rPr>
        <w:t>f</w:t>
      </w:r>
      <w:r w:rsidR="00D17372" w:rsidRPr="00C23A22">
        <w:rPr>
          <w:lang w:val="en-US"/>
        </w:rPr>
        <w:t xml:space="preserve">rom </w:t>
      </w:r>
      <w:r w:rsidR="00C23A22" w:rsidRPr="00C23A22">
        <w:rPr>
          <w:lang w:val="en-US"/>
        </w:rPr>
        <w:t>t</w:t>
      </w:r>
      <w:r w:rsidR="00D17372" w:rsidRPr="00C23A22">
        <w:rPr>
          <w:lang w:val="en-US"/>
        </w:rPr>
        <w:t>he</w:t>
      </w:r>
      <w:r w:rsidR="00C23A22" w:rsidRPr="00C23A22">
        <w:rPr>
          <w:lang w:val="en-US"/>
        </w:rPr>
        <w:t xml:space="preserve"> respondent’s</w:t>
      </w:r>
      <w:r w:rsidR="00D17372" w:rsidRPr="00C23A22">
        <w:rPr>
          <w:lang w:val="en-US"/>
        </w:rPr>
        <w:t xml:space="preserve"> own evidence, there is no indication that she intends abiding by the 2022 order. Rather </w:t>
      </w:r>
      <w:r w:rsidR="00BD0BCB">
        <w:rPr>
          <w:lang w:val="en-US"/>
        </w:rPr>
        <w:t>her evidence indicates</w:t>
      </w:r>
      <w:r w:rsidR="00D17372" w:rsidRPr="00C23A22">
        <w:rPr>
          <w:lang w:val="en-US"/>
        </w:rPr>
        <w:t xml:space="preserve"> a contrary intention</w:t>
      </w:r>
      <w:r w:rsidR="00613C03" w:rsidRPr="00C23A22">
        <w:rPr>
          <w:lang w:val="en-US"/>
        </w:rPr>
        <w:t xml:space="preserve"> and a view that the order is not binding on her as the order “cannot prevent lawful actions”. </w:t>
      </w:r>
      <w:r w:rsidR="008B7443">
        <w:rPr>
          <w:lang w:val="en-US"/>
        </w:rPr>
        <w:t>The respondent’s refusal to comply with the 2022 order is objectively viewed, unreasonable.</w:t>
      </w:r>
    </w:p>
    <w:p w14:paraId="18B5EBBC" w14:textId="3B783914" w:rsidR="00A85579" w:rsidRDefault="00311384" w:rsidP="00311384">
      <w:pPr>
        <w:pStyle w:val="level11"/>
        <w:numPr>
          <w:ilvl w:val="0"/>
          <w:numId w:val="0"/>
        </w:numPr>
        <w:spacing w:after="480" w:line="360" w:lineRule="auto"/>
        <w:jc w:val="both"/>
        <w:rPr>
          <w:lang w:val="en-US"/>
        </w:rPr>
      </w:pPr>
      <w:r>
        <w:rPr>
          <w:lang w:val="en-US"/>
        </w:rPr>
        <w:lastRenderedPageBreak/>
        <w:t>[64]</w:t>
      </w:r>
      <w:r>
        <w:rPr>
          <w:lang w:val="en-US"/>
        </w:rPr>
        <w:tab/>
      </w:r>
      <w:r w:rsidR="00BE1A40">
        <w:rPr>
          <w:lang w:val="en-US"/>
        </w:rPr>
        <w:t>W</w:t>
      </w:r>
      <w:r w:rsidR="00BE1A40" w:rsidRPr="003F4FB1">
        <w:rPr>
          <w:lang w:val="en-US"/>
        </w:rPr>
        <w:t>illful disobedience of an order made in civil proceedings is both contemptuous and a criminal offence.</w:t>
      </w:r>
      <w:r w:rsidR="00BE1A40">
        <w:rPr>
          <w:lang w:val="en-US"/>
        </w:rPr>
        <w:t xml:space="preserve"> </w:t>
      </w:r>
      <w:r w:rsidR="00BE1A40" w:rsidRPr="003F4FB1">
        <w:rPr>
          <w:lang w:val="en-US"/>
        </w:rPr>
        <w:t xml:space="preserve">As held in </w:t>
      </w:r>
      <w:proofErr w:type="spellStart"/>
      <w:r w:rsidR="00BE1A40" w:rsidRPr="002F5252">
        <w:rPr>
          <w:i/>
          <w:lang w:val="en-US"/>
        </w:rPr>
        <w:t>Matjhabeng</w:t>
      </w:r>
      <w:proofErr w:type="spellEnd"/>
      <w:r w:rsidR="000438ED">
        <w:rPr>
          <w:i/>
          <w:lang w:val="en-US"/>
        </w:rPr>
        <w:t>:</w:t>
      </w:r>
      <w:r w:rsidR="00BE1A40">
        <w:rPr>
          <w:rStyle w:val="FootnoteReference"/>
          <w:lang w:val="en-US"/>
        </w:rPr>
        <w:footnoteReference w:id="18"/>
      </w:r>
      <w:r w:rsidR="00BE1A40">
        <w:rPr>
          <w:lang w:val="en-US"/>
        </w:rPr>
        <w:t xml:space="preserve"> </w:t>
      </w:r>
    </w:p>
    <w:p w14:paraId="5A2C9512" w14:textId="2B0277AD" w:rsidR="00BE1A40" w:rsidRPr="00A85579" w:rsidRDefault="00BE1A40" w:rsidP="00A85579">
      <w:pPr>
        <w:pStyle w:val="level11"/>
        <w:numPr>
          <w:ilvl w:val="0"/>
          <w:numId w:val="0"/>
        </w:numPr>
        <w:spacing w:after="480"/>
        <w:ind w:left="360"/>
        <w:jc w:val="both"/>
        <w:rPr>
          <w:sz w:val="20"/>
          <w:szCs w:val="20"/>
          <w:lang w:val="en-US"/>
        </w:rPr>
      </w:pPr>
      <w:r w:rsidRPr="00A85579">
        <w:rPr>
          <w:sz w:val="20"/>
          <w:szCs w:val="20"/>
          <w:lang w:val="en-US"/>
        </w:rPr>
        <w:t>“</w:t>
      </w:r>
      <w:r w:rsidRPr="00A85579">
        <w:rPr>
          <w:i/>
          <w:sz w:val="20"/>
          <w:szCs w:val="20"/>
          <w:lang w:val="en-US"/>
        </w:rPr>
        <w:t xml:space="preserve">The purpose of a finding of contempt is to protect the fount of justice by preventing unlawful disdain for judicial authority. Discernibly, continual non-compliance with court orders imperils judicial </w:t>
      </w:r>
      <w:proofErr w:type="gramStart"/>
      <w:r w:rsidRPr="00A85579">
        <w:rPr>
          <w:i/>
          <w:sz w:val="20"/>
          <w:szCs w:val="20"/>
          <w:lang w:val="en-US"/>
        </w:rPr>
        <w:t>authority</w:t>
      </w:r>
      <w:proofErr w:type="gramEnd"/>
      <w:r w:rsidRPr="00A85579">
        <w:rPr>
          <w:sz w:val="20"/>
          <w:szCs w:val="20"/>
          <w:lang w:val="en-US"/>
        </w:rPr>
        <w:t>”</w:t>
      </w:r>
    </w:p>
    <w:p w14:paraId="5D7F072F" w14:textId="6AA44858" w:rsidR="009C08E4" w:rsidRDefault="00311384" w:rsidP="00311384">
      <w:pPr>
        <w:pStyle w:val="level11"/>
        <w:numPr>
          <w:ilvl w:val="0"/>
          <w:numId w:val="0"/>
        </w:numPr>
        <w:spacing w:after="480" w:line="360" w:lineRule="auto"/>
        <w:jc w:val="both"/>
        <w:rPr>
          <w:lang w:val="en-US"/>
        </w:rPr>
      </w:pPr>
      <w:r>
        <w:rPr>
          <w:lang w:val="en-US"/>
        </w:rPr>
        <w:t>[65]</w:t>
      </w:r>
      <w:r>
        <w:rPr>
          <w:lang w:val="en-US"/>
        </w:rPr>
        <w:tab/>
      </w:r>
      <w:r w:rsidR="00BE1A40" w:rsidRPr="009C08E4">
        <w:rPr>
          <w:lang w:val="en-US"/>
        </w:rPr>
        <w:t xml:space="preserve">The respondent’s own </w:t>
      </w:r>
      <w:r w:rsidR="00BE1A40" w:rsidRPr="009C08E4">
        <w:rPr>
          <w:i/>
          <w:lang w:val="en-US"/>
        </w:rPr>
        <w:t>ipse dixit</w:t>
      </w:r>
      <w:r w:rsidR="00BE1A40" w:rsidRPr="009C08E4">
        <w:rPr>
          <w:lang w:val="en-US"/>
        </w:rPr>
        <w:t xml:space="preserve">, </w:t>
      </w:r>
      <w:proofErr w:type="gramStart"/>
      <w:r w:rsidR="00BE1A40" w:rsidRPr="009C08E4">
        <w:rPr>
          <w:lang w:val="en-US"/>
        </w:rPr>
        <w:t>evidences</w:t>
      </w:r>
      <w:proofErr w:type="gramEnd"/>
      <w:r w:rsidR="00BE1A40" w:rsidRPr="009C08E4">
        <w:rPr>
          <w:lang w:val="en-US"/>
        </w:rPr>
        <w:t xml:space="preserve"> such unlawful disdain</w:t>
      </w:r>
      <w:r w:rsidR="008B7443" w:rsidRPr="009C08E4">
        <w:rPr>
          <w:lang w:val="en-US"/>
        </w:rPr>
        <w:t xml:space="preserve"> for judicial authority</w:t>
      </w:r>
      <w:r w:rsidR="009C08E4">
        <w:rPr>
          <w:lang w:val="en-US"/>
        </w:rPr>
        <w:t xml:space="preserve"> and militates against her bona fides</w:t>
      </w:r>
      <w:r w:rsidR="00BE1A40" w:rsidRPr="009C08E4">
        <w:rPr>
          <w:lang w:val="en-US"/>
        </w:rPr>
        <w:t xml:space="preserve">. Such conduct </w:t>
      </w:r>
      <w:r w:rsidR="00C23A22" w:rsidRPr="009C08E4">
        <w:rPr>
          <w:lang w:val="en-US"/>
        </w:rPr>
        <w:t xml:space="preserve">is regrettable and </w:t>
      </w:r>
      <w:r w:rsidR="00BE1A40" w:rsidRPr="009C08E4">
        <w:rPr>
          <w:lang w:val="en-US"/>
        </w:rPr>
        <w:t>can</w:t>
      </w:r>
      <w:r w:rsidR="00C23A22" w:rsidRPr="009C08E4">
        <w:rPr>
          <w:lang w:val="en-US"/>
        </w:rPr>
        <w:t xml:space="preserve"> and should </w:t>
      </w:r>
      <w:r w:rsidR="00BE1A40" w:rsidRPr="009C08E4">
        <w:rPr>
          <w:lang w:val="en-US"/>
        </w:rPr>
        <w:t>not be countenanced.</w:t>
      </w:r>
      <w:r w:rsidR="00C23A22" w:rsidRPr="009C08E4">
        <w:rPr>
          <w:lang w:val="en-US"/>
        </w:rPr>
        <w:t xml:space="preserve"> </w:t>
      </w:r>
      <w:r w:rsidR="009C08E4">
        <w:rPr>
          <w:lang w:val="en-US"/>
        </w:rPr>
        <w:t xml:space="preserve"> </w:t>
      </w:r>
    </w:p>
    <w:p w14:paraId="0944125B" w14:textId="2472FEC3" w:rsidR="00BD0BCB" w:rsidRDefault="00311384" w:rsidP="00311384">
      <w:pPr>
        <w:pStyle w:val="level11"/>
        <w:numPr>
          <w:ilvl w:val="0"/>
          <w:numId w:val="0"/>
        </w:numPr>
        <w:spacing w:after="480" w:line="360" w:lineRule="auto"/>
        <w:jc w:val="both"/>
        <w:rPr>
          <w:lang w:val="en-US"/>
        </w:rPr>
      </w:pPr>
      <w:r>
        <w:rPr>
          <w:lang w:val="en-US"/>
        </w:rPr>
        <w:t>[66]</w:t>
      </w:r>
      <w:r>
        <w:rPr>
          <w:lang w:val="en-US"/>
        </w:rPr>
        <w:tab/>
      </w:r>
      <w:r w:rsidR="00BD0BCB">
        <w:rPr>
          <w:lang w:val="en-US"/>
        </w:rPr>
        <w:t xml:space="preserve">Proof of </w:t>
      </w:r>
      <w:r w:rsidR="00BD0BCB" w:rsidRPr="00BD0BCB">
        <w:rPr>
          <w:i/>
          <w:lang w:val="en-US"/>
        </w:rPr>
        <w:t>bona fides</w:t>
      </w:r>
      <w:r w:rsidR="00BD0BCB">
        <w:rPr>
          <w:lang w:val="en-US"/>
        </w:rPr>
        <w:t xml:space="preserve"> raised in justification of the contempt will serve as a </w:t>
      </w:r>
      <w:proofErr w:type="spellStart"/>
      <w:r w:rsidR="00BD0BCB">
        <w:rPr>
          <w:lang w:val="en-US"/>
        </w:rPr>
        <w:t>defence</w:t>
      </w:r>
      <w:proofErr w:type="spellEnd"/>
      <w:r w:rsidR="00BD0BCB">
        <w:rPr>
          <w:lang w:val="en-US"/>
        </w:rPr>
        <w:t xml:space="preserve"> to an application for committal in the case of direct contempt. The evidentiary burden to prove </w:t>
      </w:r>
      <w:r w:rsidR="00BD0BCB" w:rsidRPr="00CB1EED">
        <w:rPr>
          <w:i/>
          <w:lang w:val="en-US"/>
        </w:rPr>
        <w:t>bona fides</w:t>
      </w:r>
      <w:r w:rsidR="00BD0BCB">
        <w:rPr>
          <w:lang w:val="en-US"/>
        </w:rPr>
        <w:t xml:space="preserve"> rests squarely on the respondent</w:t>
      </w:r>
      <w:r w:rsidR="000438ED">
        <w:rPr>
          <w:lang w:val="en-US"/>
        </w:rPr>
        <w:t>.</w:t>
      </w:r>
      <w:r w:rsidR="00BD0BCB">
        <w:rPr>
          <w:rStyle w:val="FootnoteReference"/>
          <w:lang w:val="en-US"/>
        </w:rPr>
        <w:footnoteReference w:id="19"/>
      </w:r>
    </w:p>
    <w:p w14:paraId="334F3B7A" w14:textId="2B317C1C" w:rsidR="009C08E4" w:rsidRDefault="00311384" w:rsidP="00311384">
      <w:pPr>
        <w:pStyle w:val="level11"/>
        <w:numPr>
          <w:ilvl w:val="0"/>
          <w:numId w:val="0"/>
        </w:numPr>
        <w:spacing w:after="480" w:line="360" w:lineRule="auto"/>
        <w:jc w:val="both"/>
        <w:rPr>
          <w:lang w:val="en-US"/>
        </w:rPr>
      </w:pPr>
      <w:r>
        <w:rPr>
          <w:lang w:val="en-US"/>
        </w:rPr>
        <w:t>[67]</w:t>
      </w:r>
      <w:r>
        <w:rPr>
          <w:lang w:val="en-US"/>
        </w:rPr>
        <w:tab/>
      </w:r>
      <w:r w:rsidR="00BD0BCB">
        <w:rPr>
          <w:lang w:val="en-US"/>
        </w:rPr>
        <w:t>Considering the facts, i</w:t>
      </w:r>
      <w:r w:rsidR="00C23A22" w:rsidRPr="009C08E4">
        <w:rPr>
          <w:lang w:val="en-US"/>
        </w:rPr>
        <w:t xml:space="preserve">t cannot in my view be concluded that </w:t>
      </w:r>
      <w:r w:rsidR="000A55CF" w:rsidRPr="009C08E4">
        <w:rPr>
          <w:lang w:val="en-US"/>
        </w:rPr>
        <w:t>the</w:t>
      </w:r>
      <w:r w:rsidR="009C08E4">
        <w:rPr>
          <w:lang w:val="en-US"/>
        </w:rPr>
        <w:t xml:space="preserve"> respondent has discharged the evidentiary burden to cast </w:t>
      </w:r>
      <w:r w:rsidR="000A55CF" w:rsidRPr="009C08E4">
        <w:rPr>
          <w:lang w:val="en-US"/>
        </w:rPr>
        <w:t xml:space="preserve">reasonable doubt </w:t>
      </w:r>
      <w:r w:rsidR="009C08E4">
        <w:rPr>
          <w:lang w:val="en-US"/>
        </w:rPr>
        <w:t xml:space="preserve">on her conduct being </w:t>
      </w:r>
      <w:proofErr w:type="spellStart"/>
      <w:r w:rsidR="009C08E4">
        <w:rPr>
          <w:lang w:val="en-US"/>
        </w:rPr>
        <w:t>wilful</w:t>
      </w:r>
      <w:proofErr w:type="spellEnd"/>
      <w:r w:rsidR="009C08E4">
        <w:rPr>
          <w:lang w:val="en-US"/>
        </w:rPr>
        <w:t xml:space="preserve"> and </w:t>
      </w:r>
      <w:r w:rsidR="00262A25" w:rsidRPr="009C08E4">
        <w:rPr>
          <w:i/>
          <w:lang w:val="en-US"/>
        </w:rPr>
        <w:t>mala fide</w:t>
      </w:r>
      <w:r w:rsidR="00262A25" w:rsidRPr="009C08E4">
        <w:rPr>
          <w:lang w:val="en-US"/>
        </w:rPr>
        <w:t xml:space="preserve"> in</w:t>
      </w:r>
      <w:r w:rsidR="000A55CF" w:rsidRPr="009C08E4">
        <w:rPr>
          <w:lang w:val="en-US"/>
        </w:rPr>
        <w:t xml:space="preserve"> breach</w:t>
      </w:r>
      <w:r w:rsidR="00262A25" w:rsidRPr="009C08E4">
        <w:rPr>
          <w:lang w:val="en-US"/>
        </w:rPr>
        <w:t>ing</w:t>
      </w:r>
      <w:r w:rsidR="000A55CF" w:rsidRPr="009C08E4">
        <w:rPr>
          <w:lang w:val="en-US"/>
        </w:rPr>
        <w:t xml:space="preserve"> the 2022 order. </w:t>
      </w:r>
      <w:r w:rsidR="009C08E4">
        <w:rPr>
          <w:lang w:val="en-US"/>
        </w:rPr>
        <w:t xml:space="preserve">Her own version militates against </w:t>
      </w:r>
      <w:r w:rsidR="00BE7DD6">
        <w:rPr>
          <w:lang w:val="en-US"/>
        </w:rPr>
        <w:t xml:space="preserve">her </w:t>
      </w:r>
      <w:r w:rsidR="00BE7DD6" w:rsidRPr="00BE7DD6">
        <w:rPr>
          <w:i/>
          <w:lang w:val="en-US"/>
        </w:rPr>
        <w:t>bona fides</w:t>
      </w:r>
      <w:r w:rsidR="00BE7DD6">
        <w:rPr>
          <w:lang w:val="en-US"/>
        </w:rPr>
        <w:t xml:space="preserve"> and </w:t>
      </w:r>
      <w:r w:rsidR="009C08E4">
        <w:rPr>
          <w:lang w:val="en-US"/>
        </w:rPr>
        <w:t>the conclusion that reasonable doubt exists.</w:t>
      </w:r>
    </w:p>
    <w:p w14:paraId="09C6A520" w14:textId="3F6F4832" w:rsidR="00BE1A40" w:rsidRPr="009C08E4" w:rsidRDefault="00311384" w:rsidP="00311384">
      <w:pPr>
        <w:pStyle w:val="level11"/>
        <w:numPr>
          <w:ilvl w:val="0"/>
          <w:numId w:val="0"/>
        </w:numPr>
        <w:spacing w:after="480" w:line="360" w:lineRule="auto"/>
        <w:jc w:val="both"/>
        <w:rPr>
          <w:lang w:val="en-US"/>
        </w:rPr>
      </w:pPr>
      <w:r w:rsidRPr="009C08E4">
        <w:rPr>
          <w:lang w:val="en-US"/>
        </w:rPr>
        <w:t>[68]</w:t>
      </w:r>
      <w:r w:rsidRPr="009C08E4">
        <w:rPr>
          <w:lang w:val="en-US"/>
        </w:rPr>
        <w:tab/>
      </w:r>
      <w:r w:rsidR="00262A25" w:rsidRPr="009C08E4">
        <w:rPr>
          <w:lang w:val="en-US"/>
        </w:rPr>
        <w:t xml:space="preserve">I conclude that the </w:t>
      </w:r>
      <w:r w:rsidR="009C08E4">
        <w:rPr>
          <w:lang w:val="en-US"/>
        </w:rPr>
        <w:t>requirements for contempt have been established.</w:t>
      </w:r>
      <w:r w:rsidR="00262A25" w:rsidRPr="009C08E4">
        <w:rPr>
          <w:lang w:val="en-US"/>
        </w:rPr>
        <w:t xml:space="preserve"> </w:t>
      </w:r>
    </w:p>
    <w:p w14:paraId="7F605F4F" w14:textId="1EC9D14D" w:rsidR="00613C03" w:rsidRDefault="00311384" w:rsidP="00311384">
      <w:pPr>
        <w:pStyle w:val="level11"/>
        <w:numPr>
          <w:ilvl w:val="0"/>
          <w:numId w:val="0"/>
        </w:numPr>
        <w:spacing w:after="480" w:line="360" w:lineRule="auto"/>
        <w:jc w:val="both"/>
        <w:rPr>
          <w:lang w:val="en-US"/>
        </w:rPr>
      </w:pPr>
      <w:r>
        <w:rPr>
          <w:lang w:val="en-US"/>
        </w:rPr>
        <w:t>[69]</w:t>
      </w:r>
      <w:r>
        <w:rPr>
          <w:lang w:val="en-US"/>
        </w:rPr>
        <w:tab/>
      </w:r>
      <w:r w:rsidR="00613C03">
        <w:rPr>
          <w:lang w:val="en-US"/>
        </w:rPr>
        <w:t xml:space="preserve">The applicants seek a custodial sentence </w:t>
      </w:r>
      <w:r w:rsidR="00304C31">
        <w:rPr>
          <w:lang w:val="en-US"/>
        </w:rPr>
        <w:t>of direct imprisonment</w:t>
      </w:r>
      <w:r w:rsidR="001F7B1C">
        <w:rPr>
          <w:lang w:val="en-US"/>
        </w:rPr>
        <w:t>. It is argued that</w:t>
      </w:r>
      <w:r w:rsidR="00613C03">
        <w:rPr>
          <w:lang w:val="en-US"/>
        </w:rPr>
        <w:t xml:space="preserve"> the re</w:t>
      </w:r>
      <w:r w:rsidR="00304C31">
        <w:rPr>
          <w:lang w:val="en-US"/>
        </w:rPr>
        <w:t>s</w:t>
      </w:r>
      <w:r w:rsidR="00613C03">
        <w:rPr>
          <w:lang w:val="en-US"/>
        </w:rPr>
        <w:t>pondent has not shown any remorse for her non</w:t>
      </w:r>
      <w:r w:rsidR="00304C31">
        <w:rPr>
          <w:lang w:val="en-US"/>
        </w:rPr>
        <w:t>-</w:t>
      </w:r>
      <w:r w:rsidR="00613C03">
        <w:rPr>
          <w:lang w:val="en-US"/>
        </w:rPr>
        <w:t xml:space="preserve">compliance with the </w:t>
      </w:r>
      <w:r w:rsidR="001F7B1C">
        <w:rPr>
          <w:lang w:val="en-US"/>
        </w:rPr>
        <w:t>2022</w:t>
      </w:r>
      <w:r w:rsidR="00613C03">
        <w:rPr>
          <w:lang w:val="en-US"/>
        </w:rPr>
        <w:t xml:space="preserve"> order</w:t>
      </w:r>
      <w:r w:rsidR="00304C31">
        <w:rPr>
          <w:lang w:val="en-US"/>
        </w:rPr>
        <w:t xml:space="preserve"> and the 2022 order did not have a chilling effect on her “malevolent actions”. </w:t>
      </w:r>
      <w:r w:rsidR="00613C03">
        <w:rPr>
          <w:lang w:val="en-US"/>
        </w:rPr>
        <w:t xml:space="preserve"> It is argued that a coercive order will serve no practical effect and that a punitive sanction would be the most appropriate</w:t>
      </w:r>
      <w:r w:rsidR="00304C31">
        <w:rPr>
          <w:lang w:val="en-US"/>
        </w:rPr>
        <w:t xml:space="preserve"> as even suspension of such order would not persuade the respondent to respect court orders</w:t>
      </w:r>
      <w:r w:rsidR="00613C03">
        <w:rPr>
          <w:lang w:val="en-US"/>
        </w:rPr>
        <w:t>.</w:t>
      </w:r>
    </w:p>
    <w:p w14:paraId="2E8D01C3" w14:textId="23340C55" w:rsidR="00304C31" w:rsidRPr="001F7B1C" w:rsidRDefault="00311384" w:rsidP="00311384">
      <w:pPr>
        <w:pStyle w:val="level11"/>
        <w:numPr>
          <w:ilvl w:val="0"/>
          <w:numId w:val="0"/>
        </w:numPr>
        <w:spacing w:after="480" w:line="360" w:lineRule="auto"/>
        <w:jc w:val="both"/>
        <w:rPr>
          <w:lang w:val="en-US"/>
        </w:rPr>
      </w:pPr>
      <w:r w:rsidRPr="001F7B1C">
        <w:rPr>
          <w:lang w:val="en-US"/>
        </w:rPr>
        <w:lastRenderedPageBreak/>
        <w:t>[70]</w:t>
      </w:r>
      <w:r w:rsidRPr="001F7B1C">
        <w:rPr>
          <w:lang w:val="en-US"/>
        </w:rPr>
        <w:tab/>
      </w:r>
      <w:r w:rsidR="00613C03" w:rsidRPr="001F7B1C">
        <w:rPr>
          <w:lang w:val="en-US"/>
        </w:rPr>
        <w:t>I do not agree. In my view, deprivation of the respondent’s liberty should be a last resort</w:t>
      </w:r>
      <w:r w:rsidR="00304C31" w:rsidRPr="001F7B1C">
        <w:rPr>
          <w:lang w:val="en-US"/>
        </w:rPr>
        <w:t>.</w:t>
      </w:r>
      <w:r w:rsidR="001F7B1C">
        <w:rPr>
          <w:lang w:val="en-US"/>
        </w:rPr>
        <w:t xml:space="preserve"> </w:t>
      </w:r>
      <w:r w:rsidR="00304C31" w:rsidRPr="001F7B1C">
        <w:rPr>
          <w:lang w:val="en-US"/>
        </w:rPr>
        <w:t xml:space="preserve">In </w:t>
      </w:r>
      <w:r w:rsidR="00304C31" w:rsidRPr="001F7B1C">
        <w:rPr>
          <w:i/>
          <w:lang w:val="en-US"/>
        </w:rPr>
        <w:t>Fakie</w:t>
      </w:r>
      <w:r w:rsidR="00304C31" w:rsidRPr="001F7B1C">
        <w:rPr>
          <w:lang w:val="en-US"/>
        </w:rPr>
        <w:t xml:space="preserve"> Cameron JA cited with approval the dictum in </w:t>
      </w:r>
      <w:r w:rsidR="00304C31" w:rsidRPr="001F7B1C">
        <w:rPr>
          <w:i/>
          <w:lang w:val="en-US"/>
        </w:rPr>
        <w:t>Cape Times Ltd v Union Trades Directories (Pty) Ltd</w:t>
      </w:r>
      <w:r w:rsidR="000438ED">
        <w:rPr>
          <w:i/>
          <w:lang w:val="en-US"/>
        </w:rPr>
        <w:t>,</w:t>
      </w:r>
      <w:r w:rsidR="00304C31" w:rsidRPr="001F7B1C">
        <w:rPr>
          <w:i/>
          <w:lang w:val="en-US"/>
        </w:rPr>
        <w:t xml:space="preserve"> </w:t>
      </w:r>
      <w:r w:rsidR="00304C31">
        <w:rPr>
          <w:rStyle w:val="FootnoteReference"/>
          <w:lang w:val="en-US"/>
        </w:rPr>
        <w:footnoteReference w:id="20"/>
      </w:r>
      <w:r w:rsidR="00304C31" w:rsidRPr="001F7B1C">
        <w:rPr>
          <w:lang w:val="en-US"/>
        </w:rPr>
        <w:t xml:space="preserve"> wherein it was held: </w:t>
      </w:r>
    </w:p>
    <w:p w14:paraId="72897153" w14:textId="77777777" w:rsidR="00304C31" w:rsidRPr="001F7B1C" w:rsidRDefault="00304C31" w:rsidP="001F7B1C">
      <w:pPr>
        <w:pStyle w:val="level11"/>
        <w:numPr>
          <w:ilvl w:val="0"/>
          <w:numId w:val="0"/>
        </w:numPr>
        <w:spacing w:after="480"/>
        <w:ind w:left="360"/>
        <w:jc w:val="both"/>
        <w:rPr>
          <w:sz w:val="20"/>
          <w:szCs w:val="20"/>
          <w:lang w:val="en-US"/>
        </w:rPr>
      </w:pPr>
      <w:proofErr w:type="gramStart"/>
      <w:r w:rsidRPr="001F7B1C">
        <w:rPr>
          <w:i/>
          <w:sz w:val="20"/>
          <w:szCs w:val="20"/>
          <w:lang w:val="en-US"/>
        </w:rPr>
        <w:t>“Generally speaking, punishment</w:t>
      </w:r>
      <w:proofErr w:type="gramEnd"/>
      <w:r w:rsidRPr="001F7B1C">
        <w:rPr>
          <w:i/>
          <w:sz w:val="20"/>
          <w:szCs w:val="20"/>
          <w:lang w:val="en-US"/>
        </w:rPr>
        <w:t xml:space="preserve"> by way of fine or imprisonment for the civil contempt of an order made in civil proceedings is only imposed where it is inherent in the order made that compliance with it can be enforced only by means of such punishment”.</w:t>
      </w:r>
    </w:p>
    <w:p w14:paraId="074001B3" w14:textId="14A1EDFF" w:rsidR="00BE7DD6" w:rsidRDefault="00311384" w:rsidP="00311384">
      <w:pPr>
        <w:pStyle w:val="level11"/>
        <w:numPr>
          <w:ilvl w:val="0"/>
          <w:numId w:val="0"/>
        </w:numPr>
        <w:spacing w:after="480" w:line="360" w:lineRule="auto"/>
        <w:jc w:val="both"/>
        <w:rPr>
          <w:lang w:val="en-US"/>
        </w:rPr>
      </w:pPr>
      <w:r>
        <w:rPr>
          <w:lang w:val="en-US"/>
        </w:rPr>
        <w:t>[71]</w:t>
      </w:r>
      <w:r>
        <w:rPr>
          <w:lang w:val="en-US"/>
        </w:rPr>
        <w:tab/>
      </w:r>
      <w:r w:rsidR="00304C31" w:rsidRPr="00304C31">
        <w:rPr>
          <w:lang w:val="en-US"/>
        </w:rPr>
        <w:t xml:space="preserve">In the present instance, it would be appropriate to rather impose a coercive sentence to obtain enforcement with </w:t>
      </w:r>
      <w:r w:rsidR="00BD0BCB">
        <w:rPr>
          <w:lang w:val="en-US"/>
        </w:rPr>
        <w:t>the</w:t>
      </w:r>
      <w:r w:rsidR="00304C31" w:rsidRPr="00304C31">
        <w:rPr>
          <w:lang w:val="en-US"/>
        </w:rPr>
        <w:t xml:space="preserve"> terms</w:t>
      </w:r>
      <w:r w:rsidR="00BD0BCB">
        <w:rPr>
          <w:lang w:val="en-US"/>
        </w:rPr>
        <w:t xml:space="preserve"> of the 2022 order</w:t>
      </w:r>
      <w:r w:rsidR="00304C31" w:rsidRPr="00304C31">
        <w:rPr>
          <w:lang w:val="en-US"/>
        </w:rPr>
        <w:t>.</w:t>
      </w:r>
      <w:r w:rsidR="00304C31">
        <w:rPr>
          <w:lang w:val="en-US"/>
        </w:rPr>
        <w:t xml:space="preserve"> </w:t>
      </w:r>
    </w:p>
    <w:p w14:paraId="58CEA5AF" w14:textId="475B4CE6" w:rsidR="00613C03" w:rsidRPr="00304C31" w:rsidRDefault="00311384" w:rsidP="00311384">
      <w:pPr>
        <w:pStyle w:val="level11"/>
        <w:numPr>
          <w:ilvl w:val="0"/>
          <w:numId w:val="0"/>
        </w:numPr>
        <w:spacing w:after="480" w:line="360" w:lineRule="auto"/>
        <w:jc w:val="both"/>
        <w:rPr>
          <w:lang w:val="en-US"/>
        </w:rPr>
      </w:pPr>
      <w:r w:rsidRPr="00304C31">
        <w:rPr>
          <w:lang w:val="en-US"/>
        </w:rPr>
        <w:t>[72]</w:t>
      </w:r>
      <w:r w:rsidRPr="00304C31">
        <w:rPr>
          <w:lang w:val="en-US"/>
        </w:rPr>
        <w:tab/>
      </w:r>
      <w:r w:rsidR="00304C31">
        <w:rPr>
          <w:lang w:val="en-US"/>
        </w:rPr>
        <w:t>Were</w:t>
      </w:r>
      <w:r w:rsidR="00613C03" w:rsidRPr="00304C31">
        <w:rPr>
          <w:lang w:val="en-US"/>
        </w:rPr>
        <w:t xml:space="preserve"> the respondent </w:t>
      </w:r>
      <w:r w:rsidR="00304C31">
        <w:rPr>
          <w:lang w:val="en-US"/>
        </w:rPr>
        <w:t xml:space="preserve">to </w:t>
      </w:r>
      <w:r w:rsidR="00613C03" w:rsidRPr="00304C31">
        <w:rPr>
          <w:lang w:val="en-US"/>
        </w:rPr>
        <w:t>persist in her conduct</w:t>
      </w:r>
      <w:r w:rsidR="001A5675">
        <w:rPr>
          <w:lang w:val="en-US"/>
        </w:rPr>
        <w:t xml:space="preserve">, </w:t>
      </w:r>
      <w:r w:rsidR="00304C31">
        <w:rPr>
          <w:lang w:val="en-US"/>
        </w:rPr>
        <w:t xml:space="preserve">it is open to </w:t>
      </w:r>
      <w:r w:rsidR="00613C03" w:rsidRPr="00304C31">
        <w:rPr>
          <w:lang w:val="en-US"/>
        </w:rPr>
        <w:t xml:space="preserve">the applicants </w:t>
      </w:r>
      <w:r w:rsidR="00304C31">
        <w:rPr>
          <w:lang w:val="en-US"/>
        </w:rPr>
        <w:t>to</w:t>
      </w:r>
      <w:r w:rsidR="00613C03" w:rsidRPr="00304C31">
        <w:rPr>
          <w:lang w:val="en-US"/>
        </w:rPr>
        <w:t xml:space="preserve"> approach a court for </w:t>
      </w:r>
      <w:r w:rsidR="002E16E1" w:rsidRPr="00304C31">
        <w:rPr>
          <w:lang w:val="en-US"/>
        </w:rPr>
        <w:t>a custodial sentence.</w:t>
      </w:r>
      <w:r w:rsidR="00613C03" w:rsidRPr="00304C31">
        <w:rPr>
          <w:lang w:val="en-US"/>
        </w:rPr>
        <w:t xml:space="preserve"> </w:t>
      </w:r>
    </w:p>
    <w:p w14:paraId="3C0D476F" w14:textId="2FC22D94" w:rsidR="001A5675" w:rsidRPr="001A5675" w:rsidRDefault="00311384" w:rsidP="00311384">
      <w:pPr>
        <w:pStyle w:val="level11"/>
        <w:numPr>
          <w:ilvl w:val="0"/>
          <w:numId w:val="0"/>
        </w:numPr>
        <w:spacing w:after="480" w:line="360" w:lineRule="auto"/>
        <w:jc w:val="both"/>
        <w:rPr>
          <w:rFonts w:cs="Arial"/>
          <w:i/>
          <w:lang w:val="en-US"/>
        </w:rPr>
      </w:pPr>
      <w:r w:rsidRPr="001A5675">
        <w:rPr>
          <w:rFonts w:cs="Arial"/>
          <w:lang w:val="en-US"/>
        </w:rPr>
        <w:t>[73]</w:t>
      </w:r>
      <w:r w:rsidRPr="001A5675">
        <w:rPr>
          <w:rFonts w:cs="Arial"/>
          <w:lang w:val="en-US"/>
        </w:rPr>
        <w:tab/>
      </w:r>
      <w:r w:rsidR="00BD0BCB">
        <w:rPr>
          <w:rFonts w:cs="Arial"/>
          <w:lang w:val="en-US"/>
        </w:rPr>
        <w:t xml:space="preserve">Considering the respondent’s </w:t>
      </w:r>
      <w:r w:rsidR="00BE7DD6">
        <w:rPr>
          <w:rFonts w:cs="Arial"/>
          <w:lang w:val="en-US"/>
        </w:rPr>
        <w:t>scurrilous and unwarranted criticism of the 2022 order, i</w:t>
      </w:r>
      <w:r w:rsidR="001F7B1C">
        <w:rPr>
          <w:rFonts w:cs="Arial"/>
          <w:lang w:val="en-US"/>
        </w:rPr>
        <w:t xml:space="preserve">t would </w:t>
      </w:r>
      <w:r w:rsidR="00BE7DD6">
        <w:rPr>
          <w:rFonts w:cs="Arial"/>
          <w:lang w:val="en-US"/>
        </w:rPr>
        <w:t xml:space="preserve">further </w:t>
      </w:r>
      <w:r w:rsidR="001F7B1C">
        <w:rPr>
          <w:rFonts w:cs="Arial"/>
          <w:lang w:val="en-US"/>
        </w:rPr>
        <w:t>be appropriate to mulct the respondent in a punitive costs order to reflect disapproval at the stance adopted by the respondent.</w:t>
      </w:r>
    </w:p>
    <w:p w14:paraId="7F5F86F3" w14:textId="3BA174DE" w:rsidR="004A315A" w:rsidRPr="001A5675" w:rsidRDefault="004A315A" w:rsidP="00C03D17">
      <w:pPr>
        <w:pStyle w:val="level11"/>
        <w:numPr>
          <w:ilvl w:val="0"/>
          <w:numId w:val="0"/>
        </w:numPr>
        <w:spacing w:after="480" w:line="360" w:lineRule="auto"/>
        <w:jc w:val="both"/>
        <w:rPr>
          <w:rFonts w:cs="Arial"/>
          <w:i/>
          <w:lang w:val="en-US"/>
        </w:rPr>
      </w:pPr>
      <w:r w:rsidRPr="001A5675">
        <w:rPr>
          <w:rFonts w:cs="Arial"/>
          <w:i/>
          <w:lang w:val="en-US"/>
        </w:rPr>
        <w:t>Interdictory relief</w:t>
      </w:r>
    </w:p>
    <w:p w14:paraId="0443782C" w14:textId="13B55D1F" w:rsidR="00FD12A4" w:rsidRPr="001A5675" w:rsidRDefault="00311384" w:rsidP="00311384">
      <w:pPr>
        <w:pStyle w:val="level11"/>
        <w:numPr>
          <w:ilvl w:val="0"/>
          <w:numId w:val="0"/>
        </w:numPr>
        <w:spacing w:after="480" w:line="360" w:lineRule="auto"/>
        <w:jc w:val="both"/>
        <w:rPr>
          <w:rFonts w:cs="Arial"/>
          <w:lang w:val="en-US"/>
        </w:rPr>
      </w:pPr>
      <w:r w:rsidRPr="001A5675">
        <w:rPr>
          <w:rFonts w:cs="Arial"/>
          <w:lang w:val="en-US"/>
        </w:rPr>
        <w:t>[74]</w:t>
      </w:r>
      <w:r w:rsidRPr="001A5675">
        <w:rPr>
          <w:rFonts w:cs="Arial"/>
          <w:lang w:val="en-US"/>
        </w:rPr>
        <w:tab/>
      </w:r>
      <w:r w:rsidR="004A315A" w:rsidRPr="001A5675">
        <w:rPr>
          <w:rFonts w:cs="Arial"/>
          <w:lang w:val="en-US"/>
        </w:rPr>
        <w:t xml:space="preserve">At the hearing, the applicants persisted with interim interdictory relief only and </w:t>
      </w:r>
      <w:r w:rsidR="00C12693">
        <w:rPr>
          <w:rFonts w:cs="Arial"/>
          <w:lang w:val="en-US"/>
        </w:rPr>
        <w:t>indicated</w:t>
      </w:r>
      <w:r w:rsidR="004A315A" w:rsidRPr="001A5675">
        <w:rPr>
          <w:rFonts w:cs="Arial"/>
          <w:lang w:val="en-US"/>
        </w:rPr>
        <w:t xml:space="preserve"> an intention to institute proceedings for final interdictory relief.</w:t>
      </w:r>
      <w:r w:rsidR="00C12693">
        <w:rPr>
          <w:rFonts w:cs="Arial"/>
          <w:lang w:val="en-US"/>
        </w:rPr>
        <w:t xml:space="preserve"> </w:t>
      </w:r>
      <w:r w:rsidR="004A315A" w:rsidRPr="001A5675">
        <w:rPr>
          <w:rFonts w:cs="Arial"/>
          <w:lang w:val="en-US"/>
        </w:rPr>
        <w:t xml:space="preserve">In considering the applicant’s claim for interim relief, the principles in </w:t>
      </w:r>
      <w:r w:rsidR="004A315A" w:rsidRPr="001A5675">
        <w:rPr>
          <w:rFonts w:cs="Arial"/>
          <w:i/>
          <w:lang w:val="en-US"/>
        </w:rPr>
        <w:t>Webster v Mitchell</w:t>
      </w:r>
      <w:r w:rsidR="004A315A" w:rsidRPr="00FD12A4">
        <w:rPr>
          <w:i/>
          <w:vertAlign w:val="superscript"/>
          <w:lang w:val="en-US"/>
        </w:rPr>
        <w:footnoteReference w:id="21"/>
      </w:r>
      <w:r w:rsidR="004A315A" w:rsidRPr="001A5675">
        <w:rPr>
          <w:rFonts w:cs="Arial"/>
          <w:lang w:val="en-US"/>
        </w:rPr>
        <w:t xml:space="preserve"> apply. </w:t>
      </w:r>
    </w:p>
    <w:p w14:paraId="43DC15FA" w14:textId="05BF3733" w:rsidR="004A315A" w:rsidRDefault="00311384" w:rsidP="00311384">
      <w:pPr>
        <w:pStyle w:val="level11"/>
        <w:numPr>
          <w:ilvl w:val="0"/>
          <w:numId w:val="0"/>
        </w:numPr>
        <w:spacing w:after="480" w:line="360" w:lineRule="auto"/>
        <w:jc w:val="both"/>
        <w:rPr>
          <w:rFonts w:cs="Arial"/>
          <w:lang w:val="en-US"/>
        </w:rPr>
      </w:pPr>
      <w:r>
        <w:rPr>
          <w:rFonts w:cs="Arial"/>
          <w:lang w:val="en-US"/>
        </w:rPr>
        <w:t>[75]</w:t>
      </w:r>
      <w:r>
        <w:rPr>
          <w:rFonts w:cs="Arial"/>
          <w:lang w:val="en-US"/>
        </w:rPr>
        <w:tab/>
      </w:r>
      <w:r w:rsidR="004A315A">
        <w:rPr>
          <w:rFonts w:cs="Arial"/>
          <w:lang w:val="en-US"/>
        </w:rPr>
        <w:t xml:space="preserve">The requirements for interim interdictory relief are trite. They are: </w:t>
      </w:r>
      <w:r w:rsidR="00183678">
        <w:rPr>
          <w:rFonts w:cs="Arial"/>
          <w:lang w:val="en-US"/>
        </w:rPr>
        <w:t>(</w:t>
      </w:r>
      <w:proofErr w:type="spellStart"/>
      <w:r w:rsidR="00183678">
        <w:rPr>
          <w:rFonts w:cs="Arial"/>
          <w:lang w:val="en-US"/>
        </w:rPr>
        <w:t>i</w:t>
      </w:r>
      <w:proofErr w:type="spellEnd"/>
      <w:r w:rsidR="00183678">
        <w:rPr>
          <w:rFonts w:cs="Arial"/>
          <w:lang w:val="en-US"/>
        </w:rPr>
        <w:t xml:space="preserve">) </w:t>
      </w:r>
      <w:proofErr w:type="gramStart"/>
      <w:r w:rsidR="00183678">
        <w:rPr>
          <w:rFonts w:cs="Arial"/>
          <w:lang w:val="en-US"/>
        </w:rPr>
        <w:t xml:space="preserve">a </w:t>
      </w:r>
      <w:r w:rsidR="00183678" w:rsidRPr="00C03D17">
        <w:rPr>
          <w:rFonts w:cs="Arial"/>
          <w:i/>
          <w:lang w:val="en-US"/>
        </w:rPr>
        <w:t>prima facie</w:t>
      </w:r>
      <w:proofErr w:type="gramEnd"/>
      <w:r w:rsidR="00183678">
        <w:rPr>
          <w:rFonts w:cs="Arial"/>
          <w:lang w:val="en-US"/>
        </w:rPr>
        <w:t xml:space="preserve"> right, although open to some doubt; (ii) an injury actually committed or reasonably apprehended; (iii) a </w:t>
      </w:r>
      <w:proofErr w:type="spellStart"/>
      <w:r w:rsidR="00183678">
        <w:rPr>
          <w:rFonts w:cs="Arial"/>
          <w:lang w:val="en-US"/>
        </w:rPr>
        <w:t>favourable</w:t>
      </w:r>
      <w:proofErr w:type="spellEnd"/>
      <w:r w:rsidR="00183678">
        <w:rPr>
          <w:rFonts w:cs="Arial"/>
          <w:lang w:val="en-US"/>
        </w:rPr>
        <w:t xml:space="preserve"> balance of convenience; and (iv) the absence of any other satisfactory remedy available to the applicant.</w:t>
      </w:r>
    </w:p>
    <w:p w14:paraId="00371BB0" w14:textId="293F8ADE" w:rsidR="00D27B1F" w:rsidRDefault="00311384" w:rsidP="00311384">
      <w:pPr>
        <w:pStyle w:val="level11"/>
        <w:numPr>
          <w:ilvl w:val="0"/>
          <w:numId w:val="0"/>
        </w:numPr>
        <w:spacing w:after="480" w:line="360" w:lineRule="auto"/>
        <w:jc w:val="both"/>
        <w:rPr>
          <w:rFonts w:cs="Arial"/>
          <w:lang w:val="en-US"/>
        </w:rPr>
      </w:pPr>
      <w:r>
        <w:rPr>
          <w:rFonts w:cs="Arial"/>
          <w:lang w:val="en-US"/>
        </w:rPr>
        <w:lastRenderedPageBreak/>
        <w:t>[76]</w:t>
      </w:r>
      <w:r>
        <w:rPr>
          <w:rFonts w:cs="Arial"/>
          <w:lang w:val="en-US"/>
        </w:rPr>
        <w:tab/>
      </w:r>
      <w:r w:rsidR="00983F52" w:rsidRPr="00154574">
        <w:rPr>
          <w:rFonts w:cs="Arial"/>
          <w:lang w:val="en-US"/>
        </w:rPr>
        <w:t xml:space="preserve">The applicants’ case is that the respondent is in possession of </w:t>
      </w:r>
      <w:r w:rsidR="00154574">
        <w:rPr>
          <w:rFonts w:cs="Arial"/>
          <w:lang w:val="en-US"/>
        </w:rPr>
        <w:t xml:space="preserve">a substantial amount of </w:t>
      </w:r>
      <w:r w:rsidR="00154574" w:rsidRPr="00154574">
        <w:rPr>
          <w:rFonts w:cs="Arial"/>
          <w:lang w:val="en-US"/>
        </w:rPr>
        <w:t xml:space="preserve">their personal and </w:t>
      </w:r>
      <w:r w:rsidR="00983F52" w:rsidRPr="00154574">
        <w:rPr>
          <w:rFonts w:cs="Arial"/>
          <w:lang w:val="en-US"/>
        </w:rPr>
        <w:t>confidential information a</w:t>
      </w:r>
      <w:r w:rsidR="00154574" w:rsidRPr="00154574">
        <w:rPr>
          <w:rFonts w:cs="Arial"/>
          <w:lang w:val="en-US"/>
        </w:rPr>
        <w:t xml:space="preserve">s </w:t>
      </w:r>
      <w:proofErr w:type="spellStart"/>
      <w:r w:rsidR="00154574" w:rsidRPr="00154574">
        <w:rPr>
          <w:rFonts w:cs="Arial"/>
          <w:lang w:val="en-US"/>
        </w:rPr>
        <w:t>p</w:t>
      </w:r>
      <w:r w:rsidR="00983F52" w:rsidRPr="00154574">
        <w:rPr>
          <w:rFonts w:cs="Arial"/>
          <w:lang w:val="en-US"/>
        </w:rPr>
        <w:t>a</w:t>
      </w:r>
      <w:r w:rsidR="00154574" w:rsidRPr="00154574">
        <w:rPr>
          <w:rFonts w:cs="Arial"/>
          <w:lang w:val="en-US"/>
        </w:rPr>
        <w:t>rticularised</w:t>
      </w:r>
      <w:proofErr w:type="spellEnd"/>
      <w:r w:rsidR="00154574" w:rsidRPr="00154574">
        <w:rPr>
          <w:rFonts w:cs="Arial"/>
          <w:lang w:val="en-US"/>
        </w:rPr>
        <w:t xml:space="preserve"> in their founding papers</w:t>
      </w:r>
      <w:r w:rsidR="000438ED">
        <w:rPr>
          <w:rFonts w:cs="Arial"/>
          <w:lang w:val="en-US"/>
        </w:rPr>
        <w:t>.</w:t>
      </w:r>
      <w:r w:rsidR="00154574">
        <w:rPr>
          <w:rStyle w:val="FootnoteReference"/>
          <w:rFonts w:cs="Arial"/>
          <w:lang w:val="en-US"/>
        </w:rPr>
        <w:footnoteReference w:id="22"/>
      </w:r>
      <w:r w:rsidR="00154574">
        <w:rPr>
          <w:rFonts w:cs="Arial"/>
          <w:lang w:val="en-US"/>
        </w:rPr>
        <w:t xml:space="preserve"> It is common cause that she is no longer employed by the first applicant. No version is proffered as to any entitlement on the part of the respondent to be in possession of any such information.</w:t>
      </w:r>
      <w:r w:rsidR="00154574" w:rsidRPr="00154574">
        <w:rPr>
          <w:rFonts w:cs="Arial"/>
          <w:lang w:val="en-US"/>
        </w:rPr>
        <w:t xml:space="preserve"> </w:t>
      </w:r>
    </w:p>
    <w:p w14:paraId="25DA6891" w14:textId="7ABC6A1B" w:rsidR="009C2614" w:rsidRPr="00D27B1F" w:rsidRDefault="00311384" w:rsidP="00311384">
      <w:pPr>
        <w:pStyle w:val="level11"/>
        <w:numPr>
          <w:ilvl w:val="0"/>
          <w:numId w:val="0"/>
        </w:numPr>
        <w:spacing w:after="480" w:line="360" w:lineRule="auto"/>
        <w:jc w:val="both"/>
        <w:rPr>
          <w:rFonts w:cs="Arial"/>
          <w:lang w:val="en-US"/>
        </w:rPr>
      </w:pPr>
      <w:r w:rsidRPr="00D27B1F">
        <w:rPr>
          <w:rFonts w:cs="Arial"/>
          <w:lang w:val="en-US"/>
        </w:rPr>
        <w:t>[77]</w:t>
      </w:r>
      <w:r w:rsidRPr="00D27B1F">
        <w:rPr>
          <w:rFonts w:cs="Arial"/>
          <w:lang w:val="en-US"/>
        </w:rPr>
        <w:tab/>
      </w:r>
      <w:r w:rsidR="00154574" w:rsidRPr="00D27B1F">
        <w:rPr>
          <w:rFonts w:cs="Arial"/>
          <w:lang w:val="en-US"/>
        </w:rPr>
        <w:t xml:space="preserve">The respondent does not dispute that she is in possession of such information but rather seeks to proffer an explanation of how she came into possession of the information. Her own version is internally </w:t>
      </w:r>
      <w:proofErr w:type="gramStart"/>
      <w:r w:rsidR="00154574" w:rsidRPr="00D27B1F">
        <w:rPr>
          <w:rFonts w:cs="Arial"/>
          <w:lang w:val="en-US"/>
        </w:rPr>
        <w:t>contradictory</w:t>
      </w:r>
      <w:proofErr w:type="gramEnd"/>
      <w:r w:rsidR="00154574" w:rsidRPr="00D27B1F">
        <w:rPr>
          <w:rFonts w:cs="Arial"/>
          <w:lang w:val="en-US"/>
        </w:rPr>
        <w:t xml:space="preserve"> and the chronology of events does not support her version.</w:t>
      </w:r>
      <w:r w:rsidR="00D27B1F">
        <w:rPr>
          <w:rFonts w:cs="Arial"/>
          <w:lang w:val="en-US"/>
        </w:rPr>
        <w:t xml:space="preserve"> </w:t>
      </w:r>
      <w:r w:rsidR="009C2614" w:rsidRPr="00D27B1F">
        <w:rPr>
          <w:rFonts w:cs="Arial"/>
          <w:lang w:val="en-US"/>
        </w:rPr>
        <w:t xml:space="preserve">The respondent further did not dispute that she copied the information on the hard drive and her version is inconsistent as to how many copies she made. </w:t>
      </w:r>
    </w:p>
    <w:p w14:paraId="0C604115" w14:textId="022FB196" w:rsidR="00154574" w:rsidRPr="00D27B1F" w:rsidRDefault="00311384" w:rsidP="00311384">
      <w:pPr>
        <w:pStyle w:val="level11"/>
        <w:numPr>
          <w:ilvl w:val="0"/>
          <w:numId w:val="0"/>
        </w:numPr>
        <w:spacing w:after="480" w:line="360" w:lineRule="auto"/>
        <w:jc w:val="both"/>
        <w:rPr>
          <w:rFonts w:cs="Arial"/>
          <w:lang w:val="en-US"/>
        </w:rPr>
      </w:pPr>
      <w:r w:rsidRPr="00D27B1F">
        <w:rPr>
          <w:rFonts w:cs="Arial"/>
          <w:lang w:val="en-US"/>
        </w:rPr>
        <w:t>[78]</w:t>
      </w:r>
      <w:r w:rsidRPr="00D27B1F">
        <w:rPr>
          <w:rFonts w:cs="Arial"/>
          <w:lang w:val="en-US"/>
        </w:rPr>
        <w:tab/>
      </w:r>
      <w:r w:rsidR="00154574" w:rsidRPr="00D27B1F">
        <w:rPr>
          <w:rFonts w:cs="Arial"/>
          <w:lang w:val="en-US"/>
        </w:rPr>
        <w:t xml:space="preserve">The respondent’s version is </w:t>
      </w:r>
      <w:proofErr w:type="spellStart"/>
      <w:r w:rsidR="00154574" w:rsidRPr="00D27B1F">
        <w:rPr>
          <w:rFonts w:cs="Arial"/>
          <w:lang w:val="en-US"/>
        </w:rPr>
        <w:t>characterised</w:t>
      </w:r>
      <w:proofErr w:type="spellEnd"/>
      <w:r w:rsidR="00154574" w:rsidRPr="00D27B1F">
        <w:rPr>
          <w:rFonts w:cs="Arial"/>
          <w:lang w:val="en-US"/>
        </w:rPr>
        <w:t xml:space="preserve"> by bald denials and the bald contention that she is not in possession of anything belonging to or associated with the first respondent. The respondent in bald terms avers that the hard drive on which the information was contained has been corrupted and was thrown away by her father. </w:t>
      </w:r>
    </w:p>
    <w:p w14:paraId="4F77235F" w14:textId="1194528D" w:rsidR="00D27B1F" w:rsidRDefault="00311384" w:rsidP="00311384">
      <w:pPr>
        <w:pStyle w:val="level11"/>
        <w:numPr>
          <w:ilvl w:val="0"/>
          <w:numId w:val="0"/>
        </w:numPr>
        <w:spacing w:after="480" w:line="360" w:lineRule="auto"/>
        <w:jc w:val="both"/>
        <w:rPr>
          <w:rFonts w:cs="Arial"/>
          <w:lang w:val="en-US"/>
        </w:rPr>
      </w:pPr>
      <w:r>
        <w:rPr>
          <w:rFonts w:cs="Arial"/>
          <w:lang w:val="en-US"/>
        </w:rPr>
        <w:t>[79]</w:t>
      </w:r>
      <w:r>
        <w:rPr>
          <w:rFonts w:cs="Arial"/>
          <w:lang w:val="en-US"/>
        </w:rPr>
        <w:tab/>
      </w:r>
      <w:r w:rsidR="00154574" w:rsidRPr="00154574">
        <w:rPr>
          <w:rFonts w:cs="Arial"/>
          <w:lang w:val="en-US"/>
        </w:rPr>
        <w:t xml:space="preserve">Although the respondent contends that the hard drive was destroyed after information was successfully copied therefrom despite the hard drive “being corrupted”, her version regarding copying of the documents from a corrupted hard drive is farfetched and untenable and can be rejected on the papers. </w:t>
      </w:r>
      <w:r w:rsidR="00D27B1F">
        <w:rPr>
          <w:rFonts w:cs="Arial"/>
          <w:lang w:val="en-US"/>
        </w:rPr>
        <w:t xml:space="preserve">No cogent evidence of an expert nature was presented that this is possible. </w:t>
      </w:r>
    </w:p>
    <w:p w14:paraId="10966FDB" w14:textId="78C0A559" w:rsidR="009C2614" w:rsidRDefault="00311384" w:rsidP="00311384">
      <w:pPr>
        <w:pStyle w:val="level11"/>
        <w:numPr>
          <w:ilvl w:val="0"/>
          <w:numId w:val="0"/>
        </w:numPr>
        <w:spacing w:after="480" w:line="360" w:lineRule="auto"/>
        <w:jc w:val="both"/>
        <w:rPr>
          <w:rFonts w:cs="Arial"/>
          <w:lang w:val="en-US"/>
        </w:rPr>
      </w:pPr>
      <w:r>
        <w:rPr>
          <w:rFonts w:cs="Arial"/>
          <w:lang w:val="en-US"/>
        </w:rPr>
        <w:t>[80]</w:t>
      </w:r>
      <w:r>
        <w:rPr>
          <w:rFonts w:cs="Arial"/>
          <w:lang w:val="en-US"/>
        </w:rPr>
        <w:tab/>
      </w:r>
      <w:r w:rsidR="009C2614">
        <w:rPr>
          <w:rFonts w:cs="Arial"/>
          <w:lang w:val="en-US"/>
        </w:rPr>
        <w:t xml:space="preserve">For present purposes it is not necessary to determine all the factual disputes on the papers. Suffice it to state that the respondent’s version does not raise a </w:t>
      </w:r>
      <w:r w:rsidR="009C2614" w:rsidRPr="00C03D17">
        <w:rPr>
          <w:rFonts w:cs="Arial"/>
          <w:i/>
          <w:lang w:val="en-US"/>
        </w:rPr>
        <w:t>bona fide</w:t>
      </w:r>
      <w:r w:rsidR="009C2614">
        <w:rPr>
          <w:rFonts w:cs="Arial"/>
          <w:lang w:val="en-US"/>
        </w:rPr>
        <w:t xml:space="preserve"> and serious dispute of fact on the papers as to the existence of the applicants’ </w:t>
      </w:r>
      <w:r w:rsidR="009C2614" w:rsidRPr="00C03D17">
        <w:rPr>
          <w:rFonts w:cs="Arial"/>
          <w:i/>
          <w:lang w:val="en-US"/>
        </w:rPr>
        <w:t>prima facie</w:t>
      </w:r>
      <w:r w:rsidR="009C2614">
        <w:rPr>
          <w:rFonts w:cs="Arial"/>
          <w:lang w:val="en-US"/>
        </w:rPr>
        <w:t xml:space="preserve"> rights.</w:t>
      </w:r>
    </w:p>
    <w:p w14:paraId="67CFAA09" w14:textId="64D5CA59" w:rsidR="000475EE" w:rsidRDefault="00311384" w:rsidP="00311384">
      <w:pPr>
        <w:pStyle w:val="level11"/>
        <w:numPr>
          <w:ilvl w:val="0"/>
          <w:numId w:val="0"/>
        </w:numPr>
        <w:spacing w:after="480" w:line="360" w:lineRule="auto"/>
        <w:jc w:val="both"/>
        <w:rPr>
          <w:rFonts w:cs="Arial"/>
          <w:lang w:val="en-US"/>
        </w:rPr>
      </w:pPr>
      <w:r>
        <w:rPr>
          <w:rFonts w:cs="Arial"/>
          <w:lang w:val="en-US"/>
        </w:rPr>
        <w:lastRenderedPageBreak/>
        <w:t>[81]</w:t>
      </w:r>
      <w:r>
        <w:rPr>
          <w:rFonts w:cs="Arial"/>
          <w:lang w:val="en-US"/>
        </w:rPr>
        <w:tab/>
      </w:r>
      <w:r w:rsidR="000475EE">
        <w:rPr>
          <w:rFonts w:cs="Arial"/>
          <w:lang w:val="en-US"/>
        </w:rPr>
        <w:t xml:space="preserve">Moreover, following the approach adopted by Malan J in </w:t>
      </w:r>
      <w:r w:rsidR="000475EE" w:rsidRPr="000475EE">
        <w:rPr>
          <w:rFonts w:cs="Arial"/>
          <w:i/>
          <w:lang w:val="en-US"/>
        </w:rPr>
        <w:t>Johannesburg Municipal Pension Fund</w:t>
      </w:r>
      <w:r w:rsidR="00A22BCB">
        <w:rPr>
          <w:rFonts w:cs="Arial"/>
          <w:i/>
          <w:lang w:val="en-US"/>
        </w:rPr>
        <w:t>,</w:t>
      </w:r>
      <w:r w:rsidR="000475EE">
        <w:rPr>
          <w:rStyle w:val="FootnoteReference"/>
          <w:rFonts w:cs="Arial"/>
          <w:lang w:val="en-US"/>
        </w:rPr>
        <w:footnoteReference w:id="23"/>
      </w:r>
      <w:r w:rsidR="000475EE">
        <w:rPr>
          <w:rFonts w:cs="Arial"/>
          <w:i/>
          <w:lang w:val="en-US"/>
        </w:rPr>
        <w:t xml:space="preserve"> </w:t>
      </w:r>
      <w:r w:rsidR="000475EE" w:rsidRPr="000475EE">
        <w:rPr>
          <w:rFonts w:cs="Arial"/>
          <w:lang w:val="en-US"/>
        </w:rPr>
        <w:t>the</w:t>
      </w:r>
      <w:r w:rsidR="000475EE">
        <w:rPr>
          <w:rFonts w:cs="Arial"/>
          <w:lang w:val="en-US"/>
        </w:rPr>
        <w:t xml:space="preserve"> applicants’ claims are not frivolous or vexatious, there is some prospects of success and there is a serious claim to be tried, which is sufficient to constitute </w:t>
      </w:r>
      <w:proofErr w:type="gramStart"/>
      <w:r w:rsidR="000475EE">
        <w:rPr>
          <w:rFonts w:cs="Arial"/>
          <w:lang w:val="en-US"/>
        </w:rPr>
        <w:t>a prima facie</w:t>
      </w:r>
      <w:proofErr w:type="gramEnd"/>
      <w:r w:rsidR="000475EE">
        <w:rPr>
          <w:rFonts w:cs="Arial"/>
          <w:lang w:val="en-US"/>
        </w:rPr>
        <w:t xml:space="preserve"> right</w:t>
      </w:r>
      <w:r w:rsidR="009C2614">
        <w:rPr>
          <w:rFonts w:cs="Arial"/>
          <w:lang w:val="en-US"/>
        </w:rPr>
        <w:t xml:space="preserve"> and justifies the granting of interim interdictory relief</w:t>
      </w:r>
      <w:r w:rsidR="000475EE">
        <w:rPr>
          <w:rFonts w:cs="Arial"/>
          <w:lang w:val="en-US"/>
        </w:rPr>
        <w:t xml:space="preserve">. </w:t>
      </w:r>
    </w:p>
    <w:p w14:paraId="7E7B1DE5" w14:textId="3FFCEB25" w:rsidR="008E60E0" w:rsidRDefault="00311384" w:rsidP="00311384">
      <w:pPr>
        <w:pStyle w:val="level11"/>
        <w:numPr>
          <w:ilvl w:val="0"/>
          <w:numId w:val="0"/>
        </w:numPr>
        <w:spacing w:after="480" w:line="360" w:lineRule="auto"/>
        <w:jc w:val="both"/>
        <w:rPr>
          <w:rFonts w:cs="Arial"/>
          <w:lang w:val="en-US"/>
        </w:rPr>
      </w:pPr>
      <w:r>
        <w:rPr>
          <w:rFonts w:cs="Arial"/>
          <w:lang w:val="en-US"/>
        </w:rPr>
        <w:t>[82]</w:t>
      </w:r>
      <w:r>
        <w:rPr>
          <w:rFonts w:cs="Arial"/>
          <w:lang w:val="en-US"/>
        </w:rPr>
        <w:tab/>
      </w:r>
      <w:r w:rsidR="008E60E0">
        <w:rPr>
          <w:rFonts w:cs="Arial"/>
          <w:lang w:val="en-US"/>
        </w:rPr>
        <w:t xml:space="preserve">I conclude that the applicants have illustrated </w:t>
      </w:r>
      <w:proofErr w:type="gramStart"/>
      <w:r w:rsidR="008E60E0">
        <w:rPr>
          <w:rFonts w:cs="Arial"/>
          <w:lang w:val="en-US"/>
        </w:rPr>
        <w:t xml:space="preserve">a </w:t>
      </w:r>
      <w:r w:rsidR="008E60E0" w:rsidRPr="00C03D17">
        <w:rPr>
          <w:rFonts w:cs="Arial"/>
          <w:i/>
          <w:lang w:val="en-US"/>
        </w:rPr>
        <w:t>prima facie</w:t>
      </w:r>
      <w:proofErr w:type="gramEnd"/>
      <w:r w:rsidR="008E60E0">
        <w:rPr>
          <w:rFonts w:cs="Arial"/>
          <w:lang w:val="en-US"/>
        </w:rPr>
        <w:t xml:space="preserve"> right to the relief sought.</w:t>
      </w:r>
    </w:p>
    <w:p w14:paraId="0397E078" w14:textId="315FB704" w:rsidR="00D27B1F" w:rsidRDefault="00311384" w:rsidP="00311384">
      <w:pPr>
        <w:pStyle w:val="level11"/>
        <w:numPr>
          <w:ilvl w:val="0"/>
          <w:numId w:val="0"/>
        </w:numPr>
        <w:spacing w:after="480" w:line="360" w:lineRule="auto"/>
        <w:jc w:val="both"/>
        <w:rPr>
          <w:rFonts w:cs="Arial"/>
          <w:lang w:val="en-US"/>
        </w:rPr>
      </w:pPr>
      <w:r>
        <w:rPr>
          <w:rFonts w:cs="Arial"/>
          <w:lang w:val="en-US"/>
        </w:rPr>
        <w:t>[83]</w:t>
      </w:r>
      <w:r>
        <w:rPr>
          <w:rFonts w:cs="Arial"/>
          <w:lang w:val="en-US"/>
        </w:rPr>
        <w:tab/>
      </w:r>
      <w:r w:rsidR="00D27B1F">
        <w:rPr>
          <w:rFonts w:cs="Arial"/>
          <w:lang w:val="en-US"/>
        </w:rPr>
        <w:t xml:space="preserve">I am further satisfied that the applicant has illustrated that an injury is being committed or is reasonably apprehended, </w:t>
      </w:r>
      <w:proofErr w:type="gramStart"/>
      <w:r w:rsidR="00D27B1F">
        <w:rPr>
          <w:rFonts w:cs="Arial"/>
          <w:lang w:val="en-US"/>
        </w:rPr>
        <w:t>for the reasons that</w:t>
      </w:r>
      <w:proofErr w:type="gramEnd"/>
      <w:r w:rsidR="00D27B1F">
        <w:rPr>
          <w:rFonts w:cs="Arial"/>
          <w:lang w:val="en-US"/>
        </w:rPr>
        <w:t xml:space="preserve"> follow. </w:t>
      </w:r>
    </w:p>
    <w:p w14:paraId="02525DE5" w14:textId="15C4939D" w:rsidR="00D27B1F" w:rsidRDefault="00311384" w:rsidP="00311384">
      <w:pPr>
        <w:pStyle w:val="level11"/>
        <w:numPr>
          <w:ilvl w:val="0"/>
          <w:numId w:val="0"/>
        </w:numPr>
        <w:spacing w:after="480" w:line="360" w:lineRule="auto"/>
        <w:jc w:val="both"/>
        <w:rPr>
          <w:rFonts w:cs="Arial"/>
          <w:lang w:val="en-US"/>
        </w:rPr>
      </w:pPr>
      <w:r>
        <w:rPr>
          <w:rFonts w:cs="Arial"/>
          <w:lang w:val="en-US"/>
        </w:rPr>
        <w:t>[84]</w:t>
      </w:r>
      <w:r>
        <w:rPr>
          <w:rFonts w:cs="Arial"/>
          <w:lang w:val="en-US"/>
        </w:rPr>
        <w:tab/>
      </w:r>
      <w:r w:rsidR="00D27B1F">
        <w:rPr>
          <w:rFonts w:cs="Arial"/>
          <w:lang w:val="en-US"/>
        </w:rPr>
        <w:t xml:space="preserve">The applicant has illustrated a strong </w:t>
      </w:r>
      <w:r w:rsidR="00D27B1F" w:rsidRPr="00C03D17">
        <w:rPr>
          <w:rFonts w:cs="Arial"/>
          <w:i/>
          <w:lang w:val="en-US"/>
        </w:rPr>
        <w:t xml:space="preserve">prima facie </w:t>
      </w:r>
      <w:r w:rsidR="00D27B1F">
        <w:rPr>
          <w:rFonts w:cs="Arial"/>
          <w:lang w:val="en-US"/>
        </w:rPr>
        <w:t>quasi v</w:t>
      </w:r>
      <w:r w:rsidR="00C03D17">
        <w:rPr>
          <w:rFonts w:cs="Arial"/>
          <w:lang w:val="en-US"/>
        </w:rPr>
        <w:t>i</w:t>
      </w:r>
      <w:r w:rsidR="00D27B1F">
        <w:rPr>
          <w:rFonts w:cs="Arial"/>
          <w:lang w:val="en-US"/>
        </w:rPr>
        <w:t>ndicatory right and thus does not need to show a reasonable apprehension of irreparable harm</w:t>
      </w:r>
      <w:r w:rsidR="005F66BD">
        <w:rPr>
          <w:rFonts w:cs="Arial"/>
          <w:lang w:val="en-US"/>
        </w:rPr>
        <w:t>.</w:t>
      </w:r>
      <w:r w:rsidR="00D27B1F">
        <w:rPr>
          <w:rStyle w:val="FootnoteReference"/>
          <w:rFonts w:cs="Arial"/>
          <w:lang w:val="en-US"/>
        </w:rPr>
        <w:footnoteReference w:id="24"/>
      </w:r>
      <w:r w:rsidR="00D27B1F">
        <w:rPr>
          <w:rFonts w:cs="Arial"/>
          <w:lang w:val="en-US"/>
        </w:rPr>
        <w:t xml:space="preserve"> I</w:t>
      </w:r>
      <w:r w:rsidR="009C2614">
        <w:rPr>
          <w:rFonts w:cs="Arial"/>
          <w:lang w:val="en-US"/>
        </w:rPr>
        <w:t>n</w:t>
      </w:r>
      <w:r w:rsidR="00D27B1F">
        <w:rPr>
          <w:rFonts w:cs="Arial"/>
          <w:lang w:val="en-US"/>
        </w:rPr>
        <w:t xml:space="preserve"> any event I am satisfied that the applicants have illustrated such harm</w:t>
      </w:r>
      <w:r w:rsidR="009C2614">
        <w:rPr>
          <w:rFonts w:cs="Arial"/>
          <w:lang w:val="en-US"/>
        </w:rPr>
        <w:t>,</w:t>
      </w:r>
      <w:r w:rsidR="00D27B1F">
        <w:rPr>
          <w:rFonts w:cs="Arial"/>
          <w:lang w:val="en-US"/>
        </w:rPr>
        <w:t xml:space="preserve"> given the respondent’s own </w:t>
      </w:r>
      <w:proofErr w:type="gramStart"/>
      <w:r w:rsidR="00D27B1F">
        <w:rPr>
          <w:rFonts w:cs="Arial"/>
          <w:lang w:val="en-US"/>
        </w:rPr>
        <w:t>advices</w:t>
      </w:r>
      <w:proofErr w:type="gramEnd"/>
      <w:r w:rsidR="00D27B1F">
        <w:rPr>
          <w:rFonts w:cs="Arial"/>
          <w:lang w:val="en-US"/>
        </w:rPr>
        <w:t xml:space="preserve"> to </w:t>
      </w:r>
      <w:proofErr w:type="spellStart"/>
      <w:r w:rsidR="00D27B1F">
        <w:rPr>
          <w:rFonts w:cs="Arial"/>
          <w:lang w:val="en-US"/>
        </w:rPr>
        <w:t>Mr</w:t>
      </w:r>
      <w:proofErr w:type="spellEnd"/>
      <w:r w:rsidR="00D27B1F">
        <w:rPr>
          <w:rFonts w:cs="Arial"/>
          <w:lang w:val="en-US"/>
        </w:rPr>
        <w:t xml:space="preserve"> van </w:t>
      </w:r>
      <w:proofErr w:type="spellStart"/>
      <w:r w:rsidR="00D27B1F">
        <w:rPr>
          <w:rFonts w:cs="Arial"/>
          <w:lang w:val="en-US"/>
        </w:rPr>
        <w:t>Wyk</w:t>
      </w:r>
      <w:proofErr w:type="spellEnd"/>
      <w:r w:rsidR="00D27B1F">
        <w:rPr>
          <w:rFonts w:cs="Arial"/>
          <w:lang w:val="en-US"/>
        </w:rPr>
        <w:t xml:space="preserve"> and the averments made in her answering affidavit.</w:t>
      </w:r>
    </w:p>
    <w:p w14:paraId="40F28333" w14:textId="17398C35" w:rsidR="00183678" w:rsidRPr="009C2614" w:rsidRDefault="00311384" w:rsidP="00311384">
      <w:pPr>
        <w:pStyle w:val="level11"/>
        <w:numPr>
          <w:ilvl w:val="0"/>
          <w:numId w:val="0"/>
        </w:numPr>
        <w:spacing w:after="480" w:line="360" w:lineRule="auto"/>
        <w:jc w:val="both"/>
        <w:rPr>
          <w:rFonts w:cs="Arial"/>
          <w:lang w:val="en-US"/>
        </w:rPr>
      </w:pPr>
      <w:r w:rsidRPr="009C2614">
        <w:rPr>
          <w:rFonts w:cs="Arial"/>
          <w:lang w:val="en-US"/>
        </w:rPr>
        <w:t>[85]</w:t>
      </w:r>
      <w:r w:rsidRPr="009C2614">
        <w:rPr>
          <w:rFonts w:cs="Arial"/>
          <w:lang w:val="en-US"/>
        </w:rPr>
        <w:tab/>
      </w:r>
      <w:r w:rsidR="008E60E0" w:rsidRPr="009C2614">
        <w:rPr>
          <w:rFonts w:cs="Arial"/>
          <w:lang w:val="en-US"/>
        </w:rPr>
        <w:t>The respondent’s contention on the issue of a reasonable apprehension of irreparable harm is that the applicants cannot prove that she is still in possession of the information. This argument does not bear scrutiny, given the b</w:t>
      </w:r>
      <w:r w:rsidR="009C2614">
        <w:rPr>
          <w:rFonts w:cs="Arial"/>
          <w:lang w:val="en-US"/>
        </w:rPr>
        <w:t>ald and unsubstantiated allegations in her affidavit and</w:t>
      </w:r>
      <w:r w:rsidR="008E60E0" w:rsidRPr="009C2614">
        <w:rPr>
          <w:rFonts w:cs="Arial"/>
          <w:lang w:val="en-US"/>
        </w:rPr>
        <w:t xml:space="preserve"> the inconsistencies in the re</w:t>
      </w:r>
      <w:r w:rsidR="008D0C14" w:rsidRPr="009C2614">
        <w:rPr>
          <w:rFonts w:cs="Arial"/>
          <w:lang w:val="en-US"/>
        </w:rPr>
        <w:t>s</w:t>
      </w:r>
      <w:r w:rsidR="008E60E0" w:rsidRPr="009C2614">
        <w:rPr>
          <w:rFonts w:cs="Arial"/>
          <w:lang w:val="en-US"/>
        </w:rPr>
        <w:t xml:space="preserve">pondent’s </w:t>
      </w:r>
      <w:r w:rsidR="009C2614">
        <w:rPr>
          <w:rFonts w:cs="Arial"/>
          <w:lang w:val="en-US"/>
        </w:rPr>
        <w:t xml:space="preserve">own </w:t>
      </w:r>
      <w:r w:rsidR="008E60E0" w:rsidRPr="009C2614">
        <w:rPr>
          <w:rFonts w:cs="Arial"/>
          <w:lang w:val="en-US"/>
        </w:rPr>
        <w:t>vers</w:t>
      </w:r>
      <w:r w:rsidR="008D0C14" w:rsidRPr="009C2614">
        <w:rPr>
          <w:rFonts w:cs="Arial"/>
          <w:lang w:val="en-US"/>
        </w:rPr>
        <w:t>i</w:t>
      </w:r>
      <w:r w:rsidR="008E60E0" w:rsidRPr="009C2614">
        <w:rPr>
          <w:rFonts w:cs="Arial"/>
          <w:lang w:val="en-US"/>
        </w:rPr>
        <w:t xml:space="preserve">on </w:t>
      </w:r>
      <w:r w:rsidR="009C2614">
        <w:rPr>
          <w:rFonts w:cs="Arial"/>
          <w:lang w:val="en-US"/>
        </w:rPr>
        <w:t>pertaining to how many copies she made of the information</w:t>
      </w:r>
      <w:r w:rsidR="008E60E0" w:rsidRPr="009C2614">
        <w:rPr>
          <w:rFonts w:cs="Arial"/>
          <w:lang w:val="en-US"/>
        </w:rPr>
        <w:t>.</w:t>
      </w:r>
    </w:p>
    <w:p w14:paraId="1B3809F0" w14:textId="6DA2BD00" w:rsidR="00D27B1F" w:rsidRPr="00D27B1F" w:rsidRDefault="00311384" w:rsidP="00311384">
      <w:pPr>
        <w:pStyle w:val="level11"/>
        <w:numPr>
          <w:ilvl w:val="0"/>
          <w:numId w:val="0"/>
        </w:numPr>
        <w:spacing w:after="480" w:line="360" w:lineRule="auto"/>
        <w:jc w:val="both"/>
        <w:rPr>
          <w:rFonts w:cs="Arial"/>
          <w:lang w:val="en-US"/>
        </w:rPr>
      </w:pPr>
      <w:r w:rsidRPr="00D27B1F">
        <w:rPr>
          <w:rFonts w:cs="Arial"/>
          <w:lang w:val="en-US"/>
        </w:rPr>
        <w:t>[86]</w:t>
      </w:r>
      <w:r w:rsidRPr="00D27B1F">
        <w:rPr>
          <w:rFonts w:cs="Arial"/>
          <w:lang w:val="en-US"/>
        </w:rPr>
        <w:tab/>
      </w:r>
      <w:r w:rsidR="00D27B1F" w:rsidRPr="00D27B1F">
        <w:rPr>
          <w:rFonts w:cs="Arial"/>
          <w:lang w:val="en-US"/>
        </w:rPr>
        <w:t>Moreover</w:t>
      </w:r>
      <w:r w:rsidR="009C2614">
        <w:rPr>
          <w:rFonts w:cs="Arial"/>
          <w:lang w:val="en-US"/>
        </w:rPr>
        <w:t>,</w:t>
      </w:r>
      <w:r w:rsidR="00D27B1F" w:rsidRPr="00D27B1F">
        <w:rPr>
          <w:rFonts w:cs="Arial"/>
          <w:lang w:val="en-US"/>
        </w:rPr>
        <w:t xml:space="preserve"> </w:t>
      </w:r>
      <w:r w:rsidR="00D27B1F">
        <w:rPr>
          <w:rFonts w:cs="Arial"/>
          <w:lang w:val="en-US"/>
        </w:rPr>
        <w:t xml:space="preserve">the respondent </w:t>
      </w:r>
      <w:r w:rsidR="00D27B1F" w:rsidRPr="00D27B1F">
        <w:rPr>
          <w:rFonts w:cs="Arial"/>
          <w:lang w:val="en-US"/>
        </w:rPr>
        <w:t xml:space="preserve">did not </w:t>
      </w:r>
      <w:proofErr w:type="gramStart"/>
      <w:r w:rsidR="00D27B1F" w:rsidRPr="00D27B1F">
        <w:rPr>
          <w:rFonts w:cs="Arial"/>
          <w:lang w:val="en-US"/>
        </w:rPr>
        <w:t>tender not</w:t>
      </w:r>
      <w:proofErr w:type="gramEnd"/>
      <w:r w:rsidR="00D27B1F" w:rsidRPr="00D27B1F">
        <w:rPr>
          <w:rFonts w:cs="Arial"/>
          <w:lang w:val="en-US"/>
        </w:rPr>
        <w:t xml:space="preserve"> to </w:t>
      </w:r>
      <w:proofErr w:type="spellStart"/>
      <w:r w:rsidR="00D27B1F" w:rsidRPr="00D27B1F">
        <w:rPr>
          <w:rFonts w:cs="Arial"/>
          <w:lang w:val="en-US"/>
        </w:rPr>
        <w:t>utilise</w:t>
      </w:r>
      <w:proofErr w:type="spellEnd"/>
      <w:r w:rsidR="00D27B1F" w:rsidRPr="00D27B1F">
        <w:rPr>
          <w:rFonts w:cs="Arial"/>
          <w:lang w:val="en-US"/>
        </w:rPr>
        <w:t xml:space="preserve"> any information in her possession, nor tender to return such information to the applicants.</w:t>
      </w:r>
    </w:p>
    <w:p w14:paraId="12216232" w14:textId="04EC05AF" w:rsidR="00183678" w:rsidRDefault="00311384" w:rsidP="00311384">
      <w:pPr>
        <w:pStyle w:val="level11"/>
        <w:numPr>
          <w:ilvl w:val="0"/>
          <w:numId w:val="0"/>
        </w:numPr>
        <w:spacing w:after="480" w:line="360" w:lineRule="auto"/>
        <w:jc w:val="both"/>
        <w:rPr>
          <w:rFonts w:cs="Arial"/>
          <w:lang w:val="en-US"/>
        </w:rPr>
      </w:pPr>
      <w:r>
        <w:rPr>
          <w:rFonts w:cs="Arial"/>
          <w:lang w:val="en-US"/>
        </w:rPr>
        <w:t>[87]</w:t>
      </w:r>
      <w:r>
        <w:rPr>
          <w:rFonts w:cs="Arial"/>
          <w:lang w:val="en-US"/>
        </w:rPr>
        <w:tab/>
      </w:r>
      <w:r w:rsidR="008E60E0">
        <w:rPr>
          <w:rFonts w:cs="Arial"/>
          <w:lang w:val="en-US"/>
        </w:rPr>
        <w:t xml:space="preserve">I am satisfied that the </w:t>
      </w:r>
      <w:r w:rsidR="008D0C14">
        <w:rPr>
          <w:rFonts w:cs="Arial"/>
          <w:lang w:val="en-US"/>
        </w:rPr>
        <w:t xml:space="preserve">facts the applicants have illustrated a reasonable risk of continuing irreparable harm, specifically considering the respondent’s own version as to what her views are on the order granted on 12 April 2022. These views illustrate that the </w:t>
      </w:r>
      <w:r w:rsidR="008D0C14">
        <w:rPr>
          <w:rFonts w:cs="Arial"/>
          <w:lang w:val="en-US"/>
        </w:rPr>
        <w:lastRenderedPageBreak/>
        <w:t>respondent regards the order as “unconstitutional” and that she has scant respect for its terms.</w:t>
      </w:r>
    </w:p>
    <w:p w14:paraId="5C0FA15D" w14:textId="44F4F872" w:rsidR="00183678" w:rsidRDefault="00311384" w:rsidP="00311384">
      <w:pPr>
        <w:pStyle w:val="level11"/>
        <w:numPr>
          <w:ilvl w:val="0"/>
          <w:numId w:val="0"/>
        </w:numPr>
        <w:spacing w:after="480" w:line="360" w:lineRule="auto"/>
        <w:jc w:val="both"/>
        <w:rPr>
          <w:rFonts w:cs="Arial"/>
          <w:lang w:val="en-US"/>
        </w:rPr>
      </w:pPr>
      <w:r>
        <w:rPr>
          <w:rFonts w:cs="Arial"/>
          <w:lang w:val="en-US"/>
        </w:rPr>
        <w:t>[88]</w:t>
      </w:r>
      <w:r>
        <w:rPr>
          <w:rFonts w:cs="Arial"/>
          <w:lang w:val="en-US"/>
        </w:rPr>
        <w:tab/>
      </w:r>
      <w:r w:rsidR="009C2614">
        <w:rPr>
          <w:rFonts w:cs="Arial"/>
          <w:lang w:val="en-US"/>
        </w:rPr>
        <w:t xml:space="preserve">I turn to consider the balance of convenience. </w:t>
      </w:r>
      <w:r w:rsidR="008D0C14">
        <w:rPr>
          <w:rFonts w:cs="Arial"/>
          <w:lang w:val="en-US"/>
        </w:rPr>
        <w:t>The respondent’s argument that as there is no well-grounded apprehension of irreparable harm there is no balance of convenience to consider, lacks merit.</w:t>
      </w:r>
    </w:p>
    <w:p w14:paraId="47BF4CE8" w14:textId="3B36EB7D" w:rsidR="00FD12A4" w:rsidRDefault="00311384" w:rsidP="00311384">
      <w:pPr>
        <w:pStyle w:val="level11"/>
        <w:numPr>
          <w:ilvl w:val="0"/>
          <w:numId w:val="0"/>
        </w:numPr>
        <w:spacing w:after="480" w:line="360" w:lineRule="auto"/>
        <w:jc w:val="both"/>
        <w:rPr>
          <w:lang w:val="en-US"/>
        </w:rPr>
      </w:pPr>
      <w:r>
        <w:rPr>
          <w:lang w:val="en-US"/>
        </w:rPr>
        <w:t>[89]</w:t>
      </w:r>
      <w:r>
        <w:rPr>
          <w:lang w:val="en-US"/>
        </w:rPr>
        <w:tab/>
      </w:r>
      <w:r w:rsidR="00FD12A4">
        <w:rPr>
          <w:lang w:val="en-US"/>
        </w:rPr>
        <w:t xml:space="preserve">In considering the balance of convenience, I have applied the test enunciated in </w:t>
      </w:r>
      <w:r w:rsidR="00FD12A4" w:rsidRPr="00F104AE">
        <w:rPr>
          <w:i/>
          <w:lang w:val="en-US"/>
        </w:rPr>
        <w:t xml:space="preserve">Olympic Passenger Service (Pty) Ltd v </w:t>
      </w:r>
      <w:proofErr w:type="spellStart"/>
      <w:r w:rsidR="00FD12A4" w:rsidRPr="00F104AE">
        <w:rPr>
          <w:i/>
          <w:lang w:val="en-US"/>
        </w:rPr>
        <w:t>Ramlagan</w:t>
      </w:r>
      <w:proofErr w:type="spellEnd"/>
      <w:r w:rsidR="005F66BD">
        <w:rPr>
          <w:i/>
          <w:lang w:val="en-US"/>
        </w:rPr>
        <w:t>,</w:t>
      </w:r>
      <w:r w:rsidR="00FD12A4" w:rsidRPr="00F104AE">
        <w:rPr>
          <w:rStyle w:val="FootnoteReference"/>
          <w:i/>
          <w:lang w:val="en-US"/>
        </w:rPr>
        <w:footnoteReference w:id="25"/>
      </w:r>
      <w:r w:rsidR="00FD12A4">
        <w:rPr>
          <w:lang w:val="en-US"/>
        </w:rPr>
        <w:t xml:space="preserve"> being the stronger the prospects of success, the less the need for the balance of convenience to </w:t>
      </w:r>
      <w:proofErr w:type="spellStart"/>
      <w:r w:rsidR="00FD12A4">
        <w:rPr>
          <w:lang w:val="en-US"/>
        </w:rPr>
        <w:t>favour</w:t>
      </w:r>
      <w:proofErr w:type="spellEnd"/>
      <w:r w:rsidR="00FD12A4">
        <w:rPr>
          <w:lang w:val="en-US"/>
        </w:rPr>
        <w:t xml:space="preserve"> the applicant; the weaker the prospects of success, the greater the need for the balance of convenience to </w:t>
      </w:r>
      <w:proofErr w:type="spellStart"/>
      <w:r w:rsidR="00FD12A4">
        <w:rPr>
          <w:lang w:val="en-US"/>
        </w:rPr>
        <w:t>favour</w:t>
      </w:r>
      <w:proofErr w:type="spellEnd"/>
      <w:r w:rsidR="00FD12A4">
        <w:rPr>
          <w:lang w:val="en-US"/>
        </w:rPr>
        <w:t xml:space="preserve"> the applicant.</w:t>
      </w:r>
    </w:p>
    <w:p w14:paraId="136B5CE0" w14:textId="186D7BE6" w:rsidR="008D0C14" w:rsidRDefault="00311384" w:rsidP="00311384">
      <w:pPr>
        <w:pStyle w:val="level11"/>
        <w:numPr>
          <w:ilvl w:val="0"/>
          <w:numId w:val="0"/>
        </w:numPr>
        <w:spacing w:after="480" w:line="360" w:lineRule="auto"/>
        <w:jc w:val="both"/>
        <w:rPr>
          <w:rFonts w:cs="Arial"/>
          <w:lang w:val="en-US"/>
        </w:rPr>
      </w:pPr>
      <w:r>
        <w:rPr>
          <w:rFonts w:cs="Arial"/>
          <w:lang w:val="en-US"/>
        </w:rPr>
        <w:t>[90]</w:t>
      </w:r>
      <w:r>
        <w:rPr>
          <w:rFonts w:cs="Arial"/>
          <w:lang w:val="en-US"/>
        </w:rPr>
        <w:tab/>
      </w:r>
      <w:r w:rsidR="008D0C14">
        <w:rPr>
          <w:rFonts w:cs="Arial"/>
          <w:lang w:val="en-US"/>
        </w:rPr>
        <w:t xml:space="preserve">The respondent has not contended for any prejudice if the interdictory relief sought is granted. She has further not put up any countervailing evidence for the prejudice contended for by the applicants. </w:t>
      </w:r>
    </w:p>
    <w:p w14:paraId="47200186" w14:textId="5BB70CA8" w:rsidR="00183678" w:rsidRDefault="00311384" w:rsidP="00311384">
      <w:pPr>
        <w:pStyle w:val="level11"/>
        <w:numPr>
          <w:ilvl w:val="0"/>
          <w:numId w:val="0"/>
        </w:numPr>
        <w:spacing w:after="480" w:line="360" w:lineRule="auto"/>
        <w:jc w:val="both"/>
        <w:rPr>
          <w:rFonts w:cs="Arial"/>
          <w:lang w:val="en-US"/>
        </w:rPr>
      </w:pPr>
      <w:r>
        <w:rPr>
          <w:rFonts w:cs="Arial"/>
          <w:lang w:val="en-US"/>
        </w:rPr>
        <w:t>[91]</w:t>
      </w:r>
      <w:r>
        <w:rPr>
          <w:rFonts w:cs="Arial"/>
          <w:lang w:val="en-US"/>
        </w:rPr>
        <w:tab/>
      </w:r>
      <w:r w:rsidR="008D0C14">
        <w:rPr>
          <w:rFonts w:cs="Arial"/>
          <w:lang w:val="en-US"/>
        </w:rPr>
        <w:t xml:space="preserve">In considering the relevant facts, I conclude that the balance of convenience </w:t>
      </w:r>
      <w:proofErr w:type="spellStart"/>
      <w:r w:rsidR="008D0C14">
        <w:rPr>
          <w:rFonts w:cs="Arial"/>
          <w:lang w:val="en-US"/>
        </w:rPr>
        <w:t>favours</w:t>
      </w:r>
      <w:proofErr w:type="spellEnd"/>
      <w:r w:rsidR="008D0C14">
        <w:rPr>
          <w:rFonts w:cs="Arial"/>
          <w:lang w:val="en-US"/>
        </w:rPr>
        <w:t xml:space="preserve"> the </w:t>
      </w:r>
      <w:r w:rsidR="00E577DF">
        <w:rPr>
          <w:rFonts w:cs="Arial"/>
          <w:lang w:val="en-US"/>
        </w:rPr>
        <w:t>applicants</w:t>
      </w:r>
      <w:r w:rsidR="008D0C14">
        <w:rPr>
          <w:rFonts w:cs="Arial"/>
          <w:lang w:val="en-US"/>
        </w:rPr>
        <w:t>.</w:t>
      </w:r>
      <w:r w:rsidR="00597BC8">
        <w:rPr>
          <w:rFonts w:cs="Arial"/>
          <w:lang w:val="en-US"/>
        </w:rPr>
        <w:t xml:space="preserve"> The respondent </w:t>
      </w:r>
      <w:proofErr w:type="gramStart"/>
      <w:r w:rsidR="00597BC8">
        <w:rPr>
          <w:rFonts w:cs="Arial"/>
          <w:lang w:val="en-US"/>
        </w:rPr>
        <w:t>will</w:t>
      </w:r>
      <w:proofErr w:type="gramEnd"/>
      <w:r w:rsidR="00597BC8">
        <w:rPr>
          <w:rFonts w:cs="Arial"/>
          <w:lang w:val="en-US"/>
        </w:rPr>
        <w:t xml:space="preserve"> suffer no prejudice if the interdictory relief sought is granted.</w:t>
      </w:r>
    </w:p>
    <w:p w14:paraId="474C1C47" w14:textId="73DC0BA1" w:rsidR="00597BC8" w:rsidRPr="00377A22" w:rsidRDefault="00311384" w:rsidP="00311384">
      <w:pPr>
        <w:pStyle w:val="level11"/>
        <w:numPr>
          <w:ilvl w:val="0"/>
          <w:numId w:val="0"/>
        </w:numPr>
        <w:spacing w:after="480" w:line="360" w:lineRule="auto"/>
        <w:jc w:val="both"/>
        <w:rPr>
          <w:rFonts w:cs="Arial"/>
          <w:lang w:val="en-US"/>
        </w:rPr>
      </w:pPr>
      <w:r w:rsidRPr="00377A22">
        <w:rPr>
          <w:rFonts w:cs="Arial"/>
          <w:lang w:val="en-US"/>
        </w:rPr>
        <w:t>[92]</w:t>
      </w:r>
      <w:r w:rsidRPr="00377A22">
        <w:rPr>
          <w:rFonts w:cs="Arial"/>
          <w:lang w:val="en-US"/>
        </w:rPr>
        <w:tab/>
      </w:r>
      <w:r w:rsidR="008D0C14">
        <w:rPr>
          <w:rFonts w:cs="Arial"/>
          <w:lang w:val="en-US"/>
        </w:rPr>
        <w:t xml:space="preserve">In relation to the existence of an alternative suitable remedy, the respondent contends that the applicants should have arranged a round table meeting to try and amicably resolve the matter. The argument misconceives that there must be a suitable alternative legal remedy. The further argument that the applicants have </w:t>
      </w:r>
      <w:proofErr w:type="gramStart"/>
      <w:r w:rsidR="008D0C14">
        <w:rPr>
          <w:rFonts w:cs="Arial"/>
          <w:lang w:val="en-US"/>
        </w:rPr>
        <w:t>a damages</w:t>
      </w:r>
      <w:proofErr w:type="gramEnd"/>
      <w:r w:rsidR="008D0C14">
        <w:rPr>
          <w:rFonts w:cs="Arial"/>
          <w:lang w:val="en-US"/>
        </w:rPr>
        <w:t xml:space="preserve"> claim available, also does not bear scrutiny.</w:t>
      </w:r>
      <w:r w:rsidR="00597BC8">
        <w:rPr>
          <w:rFonts w:cs="Arial"/>
          <w:lang w:val="en-US"/>
        </w:rPr>
        <w:t xml:space="preserve"> The applicants are not obliged to wait until </w:t>
      </w:r>
      <w:r w:rsidR="00597BC8">
        <w:rPr>
          <w:rFonts w:cs="Arial"/>
          <w:lang w:val="en-US"/>
        </w:rPr>
        <w:lastRenderedPageBreak/>
        <w:t>damages are suffered before they seek relief.</w:t>
      </w:r>
      <w:r w:rsidR="00597BC8" w:rsidRPr="00597BC8">
        <w:rPr>
          <w:rFonts w:cs="Arial"/>
          <w:lang w:val="en-US"/>
        </w:rPr>
        <w:t xml:space="preserve"> </w:t>
      </w:r>
      <w:r w:rsidR="00597BC8" w:rsidRPr="00377A22">
        <w:rPr>
          <w:rFonts w:cs="Arial"/>
          <w:lang w:val="en-US"/>
        </w:rPr>
        <w:t>The applicants are not compelled to wait for damages to be incurred and sue afterwards for compensation</w:t>
      </w:r>
      <w:r w:rsidR="005F66BD">
        <w:rPr>
          <w:rFonts w:cs="Arial"/>
          <w:lang w:val="en-US"/>
        </w:rPr>
        <w:t>.</w:t>
      </w:r>
      <w:r w:rsidR="00597BC8">
        <w:rPr>
          <w:rStyle w:val="FootnoteReference"/>
          <w:rFonts w:cs="Arial"/>
          <w:lang w:val="en-US"/>
        </w:rPr>
        <w:footnoteReference w:id="26"/>
      </w:r>
    </w:p>
    <w:p w14:paraId="3510C751" w14:textId="263732FA" w:rsidR="008D0C14" w:rsidRDefault="00311384" w:rsidP="00311384">
      <w:pPr>
        <w:pStyle w:val="level11"/>
        <w:numPr>
          <w:ilvl w:val="0"/>
          <w:numId w:val="0"/>
        </w:numPr>
        <w:spacing w:after="480" w:line="360" w:lineRule="auto"/>
        <w:jc w:val="both"/>
        <w:rPr>
          <w:rFonts w:cs="Arial"/>
          <w:lang w:val="en-US"/>
        </w:rPr>
      </w:pPr>
      <w:r>
        <w:rPr>
          <w:rFonts w:cs="Arial"/>
          <w:lang w:val="en-US"/>
        </w:rPr>
        <w:t>[93]</w:t>
      </w:r>
      <w:r>
        <w:rPr>
          <w:rFonts w:cs="Arial"/>
          <w:lang w:val="en-US"/>
        </w:rPr>
        <w:tab/>
      </w:r>
      <w:r w:rsidR="008D0C14">
        <w:rPr>
          <w:rFonts w:cs="Arial"/>
          <w:lang w:val="en-US"/>
        </w:rPr>
        <w:t xml:space="preserve">I am satisfied that the applicants have illustrated that there is no </w:t>
      </w:r>
      <w:r w:rsidR="00E577DF">
        <w:rPr>
          <w:rFonts w:cs="Arial"/>
          <w:lang w:val="en-US"/>
        </w:rPr>
        <w:t xml:space="preserve">alternative </w:t>
      </w:r>
      <w:r w:rsidR="008D0C14">
        <w:rPr>
          <w:rFonts w:cs="Arial"/>
          <w:lang w:val="en-US"/>
        </w:rPr>
        <w:t xml:space="preserve">adequate remedy available. </w:t>
      </w:r>
    </w:p>
    <w:p w14:paraId="6D64AB8B" w14:textId="017FFDC6" w:rsidR="00183678" w:rsidRDefault="00311384" w:rsidP="00311384">
      <w:pPr>
        <w:pStyle w:val="level11"/>
        <w:numPr>
          <w:ilvl w:val="0"/>
          <w:numId w:val="0"/>
        </w:numPr>
        <w:spacing w:after="480" w:line="360" w:lineRule="auto"/>
        <w:jc w:val="both"/>
        <w:rPr>
          <w:rFonts w:cs="Arial"/>
          <w:lang w:val="en-US"/>
        </w:rPr>
      </w:pPr>
      <w:r>
        <w:rPr>
          <w:rFonts w:cs="Arial"/>
          <w:lang w:val="en-US"/>
        </w:rPr>
        <w:t>[94]</w:t>
      </w:r>
      <w:r>
        <w:rPr>
          <w:rFonts w:cs="Arial"/>
          <w:lang w:val="en-US"/>
        </w:rPr>
        <w:tab/>
      </w:r>
      <w:r w:rsidR="0081304A">
        <w:rPr>
          <w:rFonts w:cs="Arial"/>
          <w:lang w:val="en-US"/>
        </w:rPr>
        <w:t xml:space="preserve">For these reasons I conclude that the applicants are entitled to the interim interdictory relief sought. </w:t>
      </w:r>
    </w:p>
    <w:p w14:paraId="3608CF0F" w14:textId="6064438A" w:rsidR="00BE334B" w:rsidRPr="002C3752" w:rsidRDefault="00311384" w:rsidP="00311384">
      <w:pPr>
        <w:pStyle w:val="level11"/>
        <w:numPr>
          <w:ilvl w:val="0"/>
          <w:numId w:val="0"/>
        </w:numPr>
        <w:spacing w:after="480" w:line="360" w:lineRule="auto"/>
        <w:jc w:val="both"/>
        <w:rPr>
          <w:rFonts w:cs="Arial"/>
          <w:lang w:val="en-US"/>
        </w:rPr>
      </w:pPr>
      <w:r w:rsidRPr="002C3752">
        <w:rPr>
          <w:rFonts w:cs="Arial"/>
          <w:lang w:val="en-US"/>
        </w:rPr>
        <w:t>[95]</w:t>
      </w:r>
      <w:r w:rsidRPr="002C3752">
        <w:rPr>
          <w:rFonts w:cs="Arial"/>
          <w:lang w:val="en-US"/>
        </w:rPr>
        <w:tab/>
      </w:r>
      <w:r w:rsidR="00BE334B" w:rsidRPr="002C3752">
        <w:rPr>
          <w:rFonts w:cs="Arial"/>
          <w:lang w:val="en-US"/>
        </w:rPr>
        <w:t>T</w:t>
      </w:r>
      <w:r w:rsidR="00F132D8">
        <w:rPr>
          <w:rFonts w:cs="Arial"/>
          <w:lang w:val="en-US"/>
        </w:rPr>
        <w:t>here is no reason to deviate from the normal principle that costs follow the result. Considering the conduct of the respondent</w:t>
      </w:r>
      <w:r w:rsidR="00E45FEB">
        <w:rPr>
          <w:rFonts w:cs="Arial"/>
          <w:lang w:val="en-US"/>
        </w:rPr>
        <w:t xml:space="preserve"> in relation to the matter and her </w:t>
      </w:r>
      <w:r w:rsidR="00E577DF">
        <w:rPr>
          <w:rFonts w:cs="Arial"/>
          <w:lang w:val="en-US"/>
        </w:rPr>
        <w:t>expressed views</w:t>
      </w:r>
      <w:r w:rsidR="00E45FEB">
        <w:rPr>
          <w:rFonts w:cs="Arial"/>
          <w:lang w:val="en-US"/>
        </w:rPr>
        <w:t xml:space="preserve"> in relation to the 2022 order</w:t>
      </w:r>
      <w:r w:rsidR="00F132D8">
        <w:rPr>
          <w:rFonts w:cs="Arial"/>
          <w:lang w:val="en-US"/>
        </w:rPr>
        <w:t>, I am persuaded that a punitive costs order is warranted, as sought by the applicants.</w:t>
      </w:r>
    </w:p>
    <w:p w14:paraId="45E689A3" w14:textId="2F6C14BC" w:rsidR="001E2697" w:rsidRDefault="00311384" w:rsidP="00311384">
      <w:pPr>
        <w:pStyle w:val="level11"/>
        <w:numPr>
          <w:ilvl w:val="0"/>
          <w:numId w:val="0"/>
        </w:numPr>
        <w:spacing w:after="480" w:line="360" w:lineRule="auto"/>
        <w:jc w:val="both"/>
        <w:rPr>
          <w:rFonts w:cs="Arial"/>
          <w:lang w:val="en-US"/>
        </w:rPr>
      </w:pPr>
      <w:r>
        <w:rPr>
          <w:rFonts w:cs="Arial"/>
          <w:lang w:val="en-US"/>
        </w:rPr>
        <w:t>[96]</w:t>
      </w:r>
      <w:r>
        <w:rPr>
          <w:rFonts w:cs="Arial"/>
          <w:lang w:val="en-US"/>
        </w:rPr>
        <w:tab/>
      </w:r>
      <w:r w:rsidR="00495184">
        <w:rPr>
          <w:rFonts w:cs="Arial"/>
          <w:lang w:val="en-US"/>
        </w:rPr>
        <w:t>I grant the following order:</w:t>
      </w:r>
    </w:p>
    <w:p w14:paraId="2ADEA9C7" w14:textId="0E884FEB" w:rsidR="00495184" w:rsidRPr="00F132D8" w:rsidRDefault="00495184" w:rsidP="001A5675">
      <w:pPr>
        <w:pStyle w:val="level11"/>
        <w:numPr>
          <w:ilvl w:val="0"/>
          <w:numId w:val="0"/>
        </w:numPr>
        <w:spacing w:after="480" w:line="360" w:lineRule="auto"/>
        <w:ind w:left="360"/>
        <w:jc w:val="both"/>
        <w:rPr>
          <w:rFonts w:cs="Arial"/>
          <w:lang w:val="en-US"/>
        </w:rPr>
      </w:pPr>
      <w:r w:rsidRPr="00F132D8">
        <w:rPr>
          <w:rFonts w:cs="Arial"/>
          <w:lang w:val="en-US"/>
        </w:rPr>
        <w:t xml:space="preserve">[1] </w:t>
      </w:r>
      <w:r w:rsidR="00F132D8">
        <w:rPr>
          <w:rFonts w:cs="Arial"/>
          <w:lang w:val="en-US"/>
        </w:rPr>
        <w:t>T</w:t>
      </w:r>
      <w:r w:rsidRPr="00F132D8">
        <w:rPr>
          <w:rFonts w:cs="Arial"/>
          <w:lang w:val="en-US"/>
        </w:rPr>
        <w:t xml:space="preserve">he forms and periods of service are dispensed </w:t>
      </w:r>
      <w:proofErr w:type="gramStart"/>
      <w:r w:rsidRPr="00F132D8">
        <w:rPr>
          <w:rFonts w:cs="Arial"/>
          <w:lang w:val="en-US"/>
        </w:rPr>
        <w:t>with</w:t>
      </w:r>
      <w:proofErr w:type="gramEnd"/>
      <w:r w:rsidRPr="00F132D8">
        <w:rPr>
          <w:rFonts w:cs="Arial"/>
          <w:lang w:val="en-US"/>
        </w:rPr>
        <w:t xml:space="preserve"> and this application is heard as one of urgency in terms of rule 6(12);</w:t>
      </w:r>
    </w:p>
    <w:p w14:paraId="3A300EE6" w14:textId="49584CA5" w:rsidR="00495184" w:rsidRDefault="00495184" w:rsidP="001A5675">
      <w:pPr>
        <w:pStyle w:val="level11"/>
        <w:numPr>
          <w:ilvl w:val="0"/>
          <w:numId w:val="0"/>
        </w:numPr>
        <w:spacing w:after="480" w:line="360" w:lineRule="auto"/>
        <w:ind w:left="360"/>
        <w:jc w:val="both"/>
        <w:rPr>
          <w:rFonts w:cs="Arial"/>
          <w:lang w:val="en-US"/>
        </w:rPr>
      </w:pPr>
      <w:r>
        <w:rPr>
          <w:rFonts w:cs="Arial"/>
          <w:lang w:val="en-US"/>
        </w:rPr>
        <w:t xml:space="preserve">[2] </w:t>
      </w:r>
      <w:r w:rsidR="00AA3B09">
        <w:rPr>
          <w:rFonts w:cs="Arial"/>
          <w:lang w:val="en-US"/>
        </w:rPr>
        <w:t>T</w:t>
      </w:r>
      <w:r>
        <w:rPr>
          <w:rFonts w:cs="Arial"/>
          <w:lang w:val="en-US"/>
        </w:rPr>
        <w:t xml:space="preserve">he applicant’s application for leave to amend the headings to the </w:t>
      </w:r>
      <w:r w:rsidR="00AA3B09">
        <w:rPr>
          <w:rFonts w:cs="Arial"/>
          <w:lang w:val="en-US"/>
        </w:rPr>
        <w:t xml:space="preserve">application </w:t>
      </w:r>
      <w:r>
        <w:rPr>
          <w:rFonts w:cs="Arial"/>
          <w:lang w:val="en-US"/>
        </w:rPr>
        <w:t>papers</w:t>
      </w:r>
      <w:r w:rsidR="00AA3B09">
        <w:rPr>
          <w:rFonts w:cs="Arial"/>
          <w:lang w:val="en-US"/>
        </w:rPr>
        <w:t xml:space="preserve"> is granted and the registration number in respect of the first applicant 2016/394855/07, wheresoever same appears in the headings to the papers is hereby </w:t>
      </w:r>
      <w:r w:rsidR="00E577DF">
        <w:rPr>
          <w:rFonts w:cs="Arial"/>
          <w:lang w:val="en-US"/>
        </w:rPr>
        <w:t>deleted and substituted with the registration number 2017/021945/</w:t>
      </w:r>
      <w:proofErr w:type="gramStart"/>
      <w:r w:rsidR="00E577DF">
        <w:rPr>
          <w:rFonts w:cs="Arial"/>
          <w:lang w:val="en-US"/>
        </w:rPr>
        <w:t>07</w:t>
      </w:r>
      <w:r w:rsidR="00AC40DB">
        <w:rPr>
          <w:rFonts w:cs="Arial"/>
          <w:lang w:val="en-US"/>
        </w:rPr>
        <w:t>;</w:t>
      </w:r>
      <w:proofErr w:type="gramEnd"/>
    </w:p>
    <w:p w14:paraId="0D07980C" w14:textId="0B6BC073" w:rsidR="00495184" w:rsidRDefault="00495184" w:rsidP="001A5675">
      <w:pPr>
        <w:pStyle w:val="level11"/>
        <w:numPr>
          <w:ilvl w:val="0"/>
          <w:numId w:val="0"/>
        </w:numPr>
        <w:spacing w:after="480" w:line="360" w:lineRule="auto"/>
        <w:ind w:left="360"/>
        <w:jc w:val="both"/>
        <w:rPr>
          <w:rFonts w:cs="Arial"/>
          <w:lang w:val="en-US"/>
        </w:rPr>
      </w:pPr>
      <w:r>
        <w:rPr>
          <w:rFonts w:cs="Arial"/>
          <w:lang w:val="en-US"/>
        </w:rPr>
        <w:t xml:space="preserve">[3] </w:t>
      </w:r>
      <w:r w:rsidR="00AA3B09">
        <w:rPr>
          <w:rFonts w:cs="Arial"/>
          <w:lang w:val="en-US"/>
        </w:rPr>
        <w:t>T</w:t>
      </w:r>
      <w:r>
        <w:rPr>
          <w:rFonts w:cs="Arial"/>
          <w:lang w:val="en-US"/>
        </w:rPr>
        <w:t xml:space="preserve">he respondent is declared to be in </w:t>
      </w:r>
      <w:r w:rsidR="00BE7DD6">
        <w:rPr>
          <w:rFonts w:cs="Arial"/>
          <w:lang w:val="en-US"/>
        </w:rPr>
        <w:t>contempt</w:t>
      </w:r>
      <w:r>
        <w:rPr>
          <w:rFonts w:cs="Arial"/>
          <w:lang w:val="en-US"/>
        </w:rPr>
        <w:t xml:space="preserve"> of paragraph 2.5 of the court order granted on 12 April 2022 under case number </w:t>
      </w:r>
      <w:proofErr w:type="gramStart"/>
      <w:r>
        <w:rPr>
          <w:rFonts w:cs="Arial"/>
          <w:lang w:val="en-US"/>
        </w:rPr>
        <w:t>2022-325;</w:t>
      </w:r>
      <w:proofErr w:type="gramEnd"/>
      <w:r>
        <w:rPr>
          <w:rFonts w:cs="Arial"/>
          <w:lang w:val="en-US"/>
        </w:rPr>
        <w:t xml:space="preserve"> </w:t>
      </w:r>
    </w:p>
    <w:p w14:paraId="392FE845" w14:textId="1B6A8B58" w:rsidR="008E60E0" w:rsidRDefault="00495184" w:rsidP="001A5675">
      <w:pPr>
        <w:pStyle w:val="level11"/>
        <w:numPr>
          <w:ilvl w:val="0"/>
          <w:numId w:val="0"/>
        </w:numPr>
        <w:spacing w:after="480" w:line="360" w:lineRule="auto"/>
        <w:ind w:left="360"/>
        <w:jc w:val="both"/>
        <w:rPr>
          <w:rFonts w:cs="Arial"/>
          <w:lang w:val="en-US"/>
        </w:rPr>
      </w:pPr>
      <w:r>
        <w:rPr>
          <w:rFonts w:cs="Arial"/>
          <w:lang w:val="en-US"/>
        </w:rPr>
        <w:lastRenderedPageBreak/>
        <w:t xml:space="preserve">[4] The </w:t>
      </w:r>
      <w:r w:rsidR="00AC40DB">
        <w:rPr>
          <w:rFonts w:cs="Arial"/>
          <w:lang w:val="en-US"/>
        </w:rPr>
        <w:t xml:space="preserve">respondent is directed to comply with </w:t>
      </w:r>
      <w:r w:rsidR="00BE7DD6">
        <w:rPr>
          <w:rFonts w:cs="Arial"/>
          <w:lang w:val="en-US"/>
        </w:rPr>
        <w:t>t</w:t>
      </w:r>
      <w:r w:rsidR="00AC40DB">
        <w:rPr>
          <w:rFonts w:cs="Arial"/>
          <w:lang w:val="en-US"/>
        </w:rPr>
        <w:t>he order of 12 April 2022</w:t>
      </w:r>
      <w:r w:rsidR="00E577DF">
        <w:rPr>
          <w:rFonts w:cs="Arial"/>
          <w:lang w:val="en-US"/>
        </w:rPr>
        <w:t xml:space="preserve"> granted under case number 2022-325</w:t>
      </w:r>
      <w:r w:rsidR="00BE7DD6">
        <w:rPr>
          <w:rFonts w:cs="Arial"/>
          <w:lang w:val="en-US"/>
        </w:rPr>
        <w:t xml:space="preserve"> and the terms of paragraph [6] of this </w:t>
      </w:r>
      <w:proofErr w:type="gramStart"/>
      <w:r w:rsidR="00BE7DD6">
        <w:rPr>
          <w:rFonts w:cs="Arial"/>
          <w:lang w:val="en-US"/>
        </w:rPr>
        <w:t>order</w:t>
      </w:r>
      <w:r w:rsidR="008E60E0">
        <w:rPr>
          <w:rFonts w:cs="Arial"/>
          <w:lang w:val="en-US"/>
        </w:rPr>
        <w:t>;</w:t>
      </w:r>
      <w:proofErr w:type="gramEnd"/>
    </w:p>
    <w:p w14:paraId="32EB198D" w14:textId="348C1696" w:rsidR="00495184" w:rsidRDefault="00AA3B09" w:rsidP="001A5675">
      <w:pPr>
        <w:pStyle w:val="level11"/>
        <w:numPr>
          <w:ilvl w:val="0"/>
          <w:numId w:val="0"/>
        </w:numPr>
        <w:spacing w:after="480" w:line="360" w:lineRule="auto"/>
        <w:ind w:left="360"/>
        <w:jc w:val="both"/>
        <w:rPr>
          <w:rFonts w:cs="Arial"/>
          <w:lang w:val="en-US"/>
        </w:rPr>
      </w:pPr>
      <w:r>
        <w:rPr>
          <w:rFonts w:cs="Arial"/>
          <w:lang w:val="en-US"/>
        </w:rPr>
        <w:t xml:space="preserve">[5] </w:t>
      </w:r>
      <w:r w:rsidR="008E60E0">
        <w:rPr>
          <w:rFonts w:cs="Arial"/>
          <w:lang w:val="en-US"/>
        </w:rPr>
        <w:t>T</w:t>
      </w:r>
      <w:r w:rsidR="00495184">
        <w:rPr>
          <w:rFonts w:cs="Arial"/>
          <w:lang w:val="en-US"/>
        </w:rPr>
        <w:t>he applicant is granted leave to approach the court on supplemented papers, if deemed necessary</w:t>
      </w:r>
      <w:r w:rsidR="008E60E0">
        <w:rPr>
          <w:rFonts w:cs="Arial"/>
          <w:lang w:val="en-US"/>
        </w:rPr>
        <w:t>,</w:t>
      </w:r>
      <w:r w:rsidR="00495184">
        <w:rPr>
          <w:rFonts w:cs="Arial"/>
          <w:lang w:val="en-US"/>
        </w:rPr>
        <w:t xml:space="preserve"> for a</w:t>
      </w:r>
      <w:r w:rsidR="00BE7DD6">
        <w:rPr>
          <w:rFonts w:cs="Arial"/>
          <w:lang w:val="en-US"/>
        </w:rPr>
        <w:t>ppropriate relief</w:t>
      </w:r>
      <w:r w:rsidR="00495184">
        <w:rPr>
          <w:rFonts w:cs="Arial"/>
          <w:lang w:val="en-US"/>
        </w:rPr>
        <w:t xml:space="preserve"> </w:t>
      </w:r>
      <w:r w:rsidR="008E60E0">
        <w:rPr>
          <w:rFonts w:cs="Arial"/>
          <w:lang w:val="en-US"/>
        </w:rPr>
        <w:t xml:space="preserve">in the event of the respondent breaching this order or the order of 12 April 2022 granted under case number </w:t>
      </w:r>
      <w:proofErr w:type="gramStart"/>
      <w:r w:rsidR="008E60E0">
        <w:rPr>
          <w:rFonts w:cs="Arial"/>
          <w:lang w:val="en-US"/>
        </w:rPr>
        <w:t>2022-325</w:t>
      </w:r>
      <w:r>
        <w:rPr>
          <w:rFonts w:cs="Arial"/>
          <w:lang w:val="en-US"/>
        </w:rPr>
        <w:t>;</w:t>
      </w:r>
      <w:proofErr w:type="gramEnd"/>
    </w:p>
    <w:p w14:paraId="2D9978CD" w14:textId="23D63D32" w:rsidR="00AA3B09" w:rsidRDefault="00AA3B09" w:rsidP="001A5675">
      <w:pPr>
        <w:pStyle w:val="level11"/>
        <w:numPr>
          <w:ilvl w:val="0"/>
          <w:numId w:val="0"/>
        </w:numPr>
        <w:spacing w:after="480" w:line="360" w:lineRule="auto"/>
        <w:ind w:left="360"/>
        <w:jc w:val="both"/>
        <w:rPr>
          <w:rFonts w:cs="Arial"/>
          <w:lang w:val="en-US"/>
        </w:rPr>
      </w:pPr>
      <w:r>
        <w:rPr>
          <w:rFonts w:cs="Arial"/>
          <w:lang w:val="en-US"/>
        </w:rPr>
        <w:t xml:space="preserve">[6] Pending the </w:t>
      </w:r>
      <w:proofErr w:type="spellStart"/>
      <w:r>
        <w:rPr>
          <w:rFonts w:cs="Arial"/>
          <w:lang w:val="en-US"/>
        </w:rPr>
        <w:t>finalisation</w:t>
      </w:r>
      <w:proofErr w:type="spellEnd"/>
      <w:r>
        <w:rPr>
          <w:rFonts w:cs="Arial"/>
          <w:lang w:val="en-US"/>
        </w:rPr>
        <w:t xml:space="preserve"> of an action to be instituted by the applicants against the respondent for permanent interdicts and other relief, the respondent is interdicted and restrained from divulging, disseminating </w:t>
      </w:r>
      <w:r w:rsidR="001A5675">
        <w:rPr>
          <w:rFonts w:cs="Arial"/>
          <w:lang w:val="en-US"/>
        </w:rPr>
        <w:t>‘</w:t>
      </w:r>
      <w:r>
        <w:rPr>
          <w:rFonts w:cs="Arial"/>
          <w:lang w:val="en-US"/>
        </w:rPr>
        <w:t>or e</w:t>
      </w:r>
      <w:r w:rsidR="005F66BD">
        <w:rPr>
          <w:rFonts w:cs="Arial"/>
          <w:lang w:val="en-US"/>
        </w:rPr>
        <w:t>xploiting in any way whatsoever,</w:t>
      </w:r>
      <w:r w:rsidR="00F132D8">
        <w:rPr>
          <w:rFonts w:cs="Arial"/>
          <w:lang w:val="en-US"/>
        </w:rPr>
        <w:t xml:space="preserve"> </w:t>
      </w:r>
      <w:r>
        <w:rPr>
          <w:rFonts w:cs="Arial"/>
          <w:lang w:val="en-US"/>
        </w:rPr>
        <w:t xml:space="preserve">whether for gain or otherwise, any of the information she had copied onto the memory stick </w:t>
      </w:r>
      <w:r w:rsidR="00F132D8">
        <w:rPr>
          <w:rFonts w:cs="Arial"/>
          <w:lang w:val="en-US"/>
        </w:rPr>
        <w:t xml:space="preserve">(depicted in annexure “FVW1” to the affidavit of Francois Van </w:t>
      </w:r>
      <w:proofErr w:type="spellStart"/>
      <w:r w:rsidR="00F132D8">
        <w:rPr>
          <w:rFonts w:cs="Arial"/>
          <w:lang w:val="en-US"/>
        </w:rPr>
        <w:t>Wyk</w:t>
      </w:r>
      <w:proofErr w:type="spellEnd"/>
      <w:r w:rsidR="00F132D8">
        <w:rPr>
          <w:rFonts w:cs="Arial"/>
          <w:lang w:val="en-US"/>
        </w:rPr>
        <w:t xml:space="preserve"> attached to the founding affidavit as “AG7”) that belongs to, pertains to or emanates from any of the applicants, including such information as may be contained on any copies that may have been made of the aforesaid information, or contained in any print-outs that had been made of the aforesaid information or any other copies thereof, to any third party;</w:t>
      </w:r>
    </w:p>
    <w:p w14:paraId="68D00C71" w14:textId="4E8E130C" w:rsidR="00E577DF" w:rsidRDefault="00E577DF" w:rsidP="001A5675">
      <w:pPr>
        <w:pStyle w:val="level11"/>
        <w:numPr>
          <w:ilvl w:val="0"/>
          <w:numId w:val="0"/>
        </w:numPr>
        <w:spacing w:after="480" w:line="360" w:lineRule="auto"/>
        <w:ind w:left="360"/>
        <w:jc w:val="both"/>
        <w:rPr>
          <w:rFonts w:cs="Arial"/>
          <w:lang w:val="en-US"/>
        </w:rPr>
      </w:pPr>
      <w:r>
        <w:rPr>
          <w:rFonts w:cs="Arial"/>
          <w:lang w:val="en-US"/>
        </w:rPr>
        <w:t xml:space="preserve">[7] The order in [6] above shall operate as an interim order with immediate </w:t>
      </w:r>
      <w:proofErr w:type="gramStart"/>
      <w:r>
        <w:rPr>
          <w:rFonts w:cs="Arial"/>
          <w:lang w:val="en-US"/>
        </w:rPr>
        <w:t>effect;</w:t>
      </w:r>
      <w:proofErr w:type="gramEnd"/>
    </w:p>
    <w:p w14:paraId="132E6E23" w14:textId="7FBEF3B2" w:rsidR="00AA3B09" w:rsidRPr="00F132D8" w:rsidRDefault="00F132D8" w:rsidP="001A5675">
      <w:pPr>
        <w:pStyle w:val="level11"/>
        <w:numPr>
          <w:ilvl w:val="0"/>
          <w:numId w:val="0"/>
        </w:numPr>
        <w:spacing w:after="480" w:line="360" w:lineRule="auto"/>
        <w:ind w:left="360"/>
        <w:jc w:val="both"/>
        <w:rPr>
          <w:rFonts w:cs="Arial"/>
          <w:lang w:val="en-US"/>
        </w:rPr>
      </w:pPr>
      <w:r w:rsidRPr="00F132D8">
        <w:rPr>
          <w:rFonts w:cs="Arial"/>
          <w:lang w:val="en-US"/>
        </w:rPr>
        <w:t>[</w:t>
      </w:r>
      <w:r w:rsidR="00E577DF">
        <w:rPr>
          <w:rFonts w:cs="Arial"/>
          <w:lang w:val="en-US"/>
        </w:rPr>
        <w:t>8</w:t>
      </w:r>
      <w:r w:rsidRPr="00F132D8">
        <w:rPr>
          <w:rFonts w:cs="Arial"/>
          <w:lang w:val="en-US"/>
        </w:rPr>
        <w:t>]</w:t>
      </w:r>
      <w:r>
        <w:rPr>
          <w:rFonts w:cs="Arial"/>
          <w:lang w:val="en-US"/>
        </w:rPr>
        <w:t xml:space="preserve"> </w:t>
      </w:r>
      <w:r w:rsidR="00AA3B09" w:rsidRPr="00F132D8">
        <w:rPr>
          <w:rFonts w:cs="Arial"/>
          <w:lang w:val="en-US"/>
        </w:rPr>
        <w:t>The applicant</w:t>
      </w:r>
      <w:r w:rsidR="00E577DF">
        <w:rPr>
          <w:rFonts w:cs="Arial"/>
          <w:lang w:val="en-US"/>
        </w:rPr>
        <w:t>s</w:t>
      </w:r>
      <w:r w:rsidR="00AA3B09" w:rsidRPr="00F132D8">
        <w:rPr>
          <w:rFonts w:cs="Arial"/>
          <w:lang w:val="en-US"/>
        </w:rPr>
        <w:t xml:space="preserve"> </w:t>
      </w:r>
      <w:r w:rsidR="00E577DF">
        <w:rPr>
          <w:rFonts w:cs="Arial"/>
          <w:lang w:val="en-US"/>
        </w:rPr>
        <w:t>are</w:t>
      </w:r>
      <w:r w:rsidR="00AA3B09" w:rsidRPr="00F132D8">
        <w:rPr>
          <w:rFonts w:cs="Arial"/>
          <w:lang w:val="en-US"/>
        </w:rPr>
        <w:t xml:space="preserve"> directed to institute the proposed action in [6] above within 30 days of date hereof, failing which the order in </w:t>
      </w:r>
      <w:r w:rsidR="00E577DF">
        <w:rPr>
          <w:rFonts w:cs="Arial"/>
          <w:lang w:val="en-US"/>
        </w:rPr>
        <w:t>[</w:t>
      </w:r>
      <w:r w:rsidR="00AA3B09" w:rsidRPr="00F132D8">
        <w:rPr>
          <w:rFonts w:cs="Arial"/>
          <w:lang w:val="en-US"/>
        </w:rPr>
        <w:t>6</w:t>
      </w:r>
      <w:r w:rsidR="00E577DF">
        <w:rPr>
          <w:rFonts w:cs="Arial"/>
          <w:lang w:val="en-US"/>
        </w:rPr>
        <w:t>]</w:t>
      </w:r>
      <w:r w:rsidR="00AA3B09" w:rsidRPr="00F132D8">
        <w:rPr>
          <w:rFonts w:cs="Arial"/>
          <w:lang w:val="en-US"/>
        </w:rPr>
        <w:t xml:space="preserve"> shall </w:t>
      </w:r>
      <w:proofErr w:type="gramStart"/>
      <w:r w:rsidR="00AA3B09" w:rsidRPr="00F132D8">
        <w:rPr>
          <w:rFonts w:cs="Arial"/>
          <w:lang w:val="en-US"/>
        </w:rPr>
        <w:t>lapse;</w:t>
      </w:r>
      <w:proofErr w:type="gramEnd"/>
    </w:p>
    <w:p w14:paraId="0B30CD04" w14:textId="7EAD7BB0" w:rsidR="00AA3B09" w:rsidRDefault="00AA3B09" w:rsidP="001A5675">
      <w:pPr>
        <w:pStyle w:val="level11"/>
        <w:numPr>
          <w:ilvl w:val="0"/>
          <w:numId w:val="0"/>
        </w:numPr>
        <w:spacing w:after="480" w:line="360" w:lineRule="auto"/>
        <w:ind w:left="360"/>
        <w:jc w:val="both"/>
        <w:rPr>
          <w:rFonts w:cs="Arial"/>
          <w:lang w:val="en-US"/>
        </w:rPr>
      </w:pPr>
      <w:r>
        <w:rPr>
          <w:rFonts w:cs="Arial"/>
          <w:lang w:val="en-US"/>
        </w:rPr>
        <w:t>[</w:t>
      </w:r>
      <w:r w:rsidR="005F66BD">
        <w:rPr>
          <w:rFonts w:cs="Arial"/>
          <w:lang w:val="en-US"/>
        </w:rPr>
        <w:t>9</w:t>
      </w:r>
      <w:r>
        <w:rPr>
          <w:rFonts w:cs="Arial"/>
          <w:lang w:val="en-US"/>
        </w:rPr>
        <w:t xml:space="preserve">] </w:t>
      </w:r>
      <w:r w:rsidR="00E45FEB">
        <w:rPr>
          <w:rFonts w:cs="Arial"/>
          <w:lang w:val="en-US"/>
        </w:rPr>
        <w:t>T</w:t>
      </w:r>
      <w:r>
        <w:rPr>
          <w:rFonts w:cs="Arial"/>
          <w:lang w:val="en-US"/>
        </w:rPr>
        <w:t>he respondent is directed to pay the costs of the application on the scale as between attorney and client.</w:t>
      </w:r>
    </w:p>
    <w:p w14:paraId="620DA3DB" w14:textId="77777777" w:rsidR="007F6883" w:rsidRPr="007F6883" w:rsidRDefault="007F6883" w:rsidP="007F6883">
      <w:pPr>
        <w:pStyle w:val="level11"/>
        <w:numPr>
          <w:ilvl w:val="0"/>
          <w:numId w:val="0"/>
        </w:numPr>
        <w:spacing w:after="480" w:line="360" w:lineRule="auto"/>
        <w:jc w:val="both"/>
        <w:rPr>
          <w:rFonts w:cs="Arial"/>
          <w:lang w:val="en-US"/>
        </w:rPr>
      </w:pPr>
    </w:p>
    <w:p w14:paraId="383AFE0B" w14:textId="77777777" w:rsidR="001E2697" w:rsidRPr="002C3752" w:rsidRDefault="001E2697" w:rsidP="001E2697">
      <w:pPr>
        <w:spacing w:line="360" w:lineRule="auto"/>
        <w:ind w:left="2880" w:firstLine="720"/>
        <w:rPr>
          <w:rFonts w:cs="Arial"/>
        </w:rPr>
      </w:pPr>
      <w:r w:rsidRPr="002C3752">
        <w:rPr>
          <w:rFonts w:cs="Arial"/>
        </w:rPr>
        <w:tab/>
        <w:t>_____________________________________</w:t>
      </w:r>
    </w:p>
    <w:p w14:paraId="4A30BEF1" w14:textId="77777777" w:rsidR="001E2697" w:rsidRPr="002C3752" w:rsidRDefault="001E2697" w:rsidP="001E2697">
      <w:pPr>
        <w:ind w:left="4395"/>
        <w:rPr>
          <w:rFonts w:cs="Arial"/>
          <w:b/>
        </w:rPr>
      </w:pPr>
      <w:r w:rsidRPr="002C3752">
        <w:rPr>
          <w:rFonts w:cs="Arial"/>
          <w:b/>
        </w:rPr>
        <w:t>EF DIPPENAAR</w:t>
      </w:r>
      <w:r w:rsidRPr="002C3752">
        <w:rPr>
          <w:rFonts w:cs="Arial"/>
        </w:rPr>
        <w:t xml:space="preserve">                        </w:t>
      </w:r>
    </w:p>
    <w:p w14:paraId="4B1A0050" w14:textId="77777777" w:rsidR="001E2697" w:rsidRPr="002C3752" w:rsidRDefault="001E2697" w:rsidP="001E2697">
      <w:pPr>
        <w:ind w:left="4395"/>
        <w:rPr>
          <w:rFonts w:cs="Arial"/>
          <w:b/>
        </w:rPr>
      </w:pPr>
      <w:r w:rsidRPr="002C3752">
        <w:rPr>
          <w:rFonts w:cs="Arial"/>
          <w:b/>
        </w:rPr>
        <w:t>JUDGE OF THE HIGH COURT JOHANNESBURG</w:t>
      </w:r>
    </w:p>
    <w:p w14:paraId="3F8AD1F5" w14:textId="044A1692" w:rsidR="001E2697" w:rsidRPr="002C3752" w:rsidRDefault="001E2697" w:rsidP="001E2697">
      <w:pPr>
        <w:rPr>
          <w:rFonts w:cs="Arial"/>
          <w:b/>
          <w:u w:val="single"/>
        </w:rPr>
      </w:pPr>
    </w:p>
    <w:p w14:paraId="2950822F" w14:textId="7B71B23C" w:rsidR="00BE334B" w:rsidRPr="002C3752" w:rsidRDefault="00BE334B" w:rsidP="001E2697">
      <w:pPr>
        <w:rPr>
          <w:rFonts w:cs="Arial"/>
          <w:b/>
          <w:u w:val="single"/>
        </w:rPr>
      </w:pPr>
    </w:p>
    <w:p w14:paraId="53CF8FDF" w14:textId="77777777" w:rsidR="00BE334B" w:rsidRPr="002C3752" w:rsidRDefault="00BE334B" w:rsidP="001E2697">
      <w:pPr>
        <w:rPr>
          <w:rFonts w:cs="Arial"/>
          <w:b/>
          <w:u w:val="single"/>
        </w:rPr>
      </w:pPr>
    </w:p>
    <w:p w14:paraId="61375C0E" w14:textId="77777777" w:rsidR="00113EEB" w:rsidRPr="002C3752" w:rsidRDefault="00113EEB" w:rsidP="001E2697">
      <w:pPr>
        <w:rPr>
          <w:rFonts w:cs="Arial"/>
          <w:b/>
          <w:u w:val="single"/>
        </w:rPr>
      </w:pPr>
    </w:p>
    <w:p w14:paraId="25B18677" w14:textId="0DFDEB45" w:rsidR="001E2697" w:rsidRPr="002C3752" w:rsidRDefault="001E2697" w:rsidP="001E2697">
      <w:pPr>
        <w:rPr>
          <w:rFonts w:cs="Arial"/>
          <w:b/>
          <w:u w:val="single"/>
        </w:rPr>
      </w:pPr>
      <w:r w:rsidRPr="002C3752">
        <w:rPr>
          <w:rFonts w:cs="Arial"/>
          <w:b/>
          <w:u w:val="single"/>
        </w:rPr>
        <w:t xml:space="preserve">APPEARANCES </w:t>
      </w:r>
    </w:p>
    <w:p w14:paraId="268038BB" w14:textId="77777777" w:rsidR="001E2697" w:rsidRPr="002C3752" w:rsidRDefault="001E2697" w:rsidP="001E2697">
      <w:pPr>
        <w:pStyle w:val="ListParagraph"/>
        <w:spacing w:after="0" w:line="240" w:lineRule="auto"/>
        <w:ind w:left="0"/>
        <w:rPr>
          <w:rFonts w:cs="Arial"/>
        </w:rPr>
      </w:pPr>
    </w:p>
    <w:p w14:paraId="200D2BF0" w14:textId="6C416143" w:rsidR="001E2697" w:rsidRPr="002C3752" w:rsidRDefault="001E2697" w:rsidP="001E2697">
      <w:pPr>
        <w:rPr>
          <w:rFonts w:cs="Arial"/>
        </w:rPr>
      </w:pPr>
      <w:r w:rsidRPr="002C3752">
        <w:rPr>
          <w:rFonts w:cs="Arial"/>
          <w:b/>
        </w:rPr>
        <w:t>DATE OF HEARING</w:t>
      </w:r>
      <w:r w:rsidRPr="002C3752">
        <w:rPr>
          <w:rFonts w:cs="Arial"/>
          <w:b/>
        </w:rPr>
        <w:tab/>
        <w:t xml:space="preserve"> </w:t>
      </w:r>
      <w:r w:rsidRPr="002C3752">
        <w:rPr>
          <w:rFonts w:cs="Arial"/>
          <w:b/>
        </w:rPr>
        <w:tab/>
      </w:r>
      <w:r w:rsidRPr="002C3752">
        <w:rPr>
          <w:rFonts w:cs="Arial"/>
          <w:b/>
        </w:rPr>
        <w:tab/>
        <w:t xml:space="preserve"> </w:t>
      </w:r>
      <w:r w:rsidRPr="002C3752">
        <w:rPr>
          <w:rFonts w:cs="Arial"/>
          <w:b/>
        </w:rPr>
        <w:tab/>
      </w:r>
      <w:r w:rsidRPr="002C3752">
        <w:rPr>
          <w:rFonts w:cs="Arial"/>
        </w:rPr>
        <w:t xml:space="preserve">: </w:t>
      </w:r>
      <w:r w:rsidR="0039420D" w:rsidRPr="002C3752">
        <w:rPr>
          <w:rFonts w:cs="Arial"/>
        </w:rPr>
        <w:t xml:space="preserve"> </w:t>
      </w:r>
      <w:r w:rsidR="001A5675">
        <w:rPr>
          <w:rFonts w:cs="Arial"/>
        </w:rPr>
        <w:t>5</w:t>
      </w:r>
      <w:r w:rsidR="006524B7">
        <w:rPr>
          <w:rFonts w:cs="Arial"/>
        </w:rPr>
        <w:t xml:space="preserve"> APRIL</w:t>
      </w:r>
      <w:r w:rsidR="00EC7CEF">
        <w:rPr>
          <w:rFonts w:cs="Arial"/>
        </w:rPr>
        <w:t xml:space="preserve"> 2023</w:t>
      </w:r>
    </w:p>
    <w:p w14:paraId="345B4D09" w14:textId="77777777" w:rsidR="001E2697" w:rsidRPr="002C3752" w:rsidRDefault="001E2697" w:rsidP="001E2697">
      <w:pPr>
        <w:rPr>
          <w:rFonts w:cs="Arial"/>
          <w:b/>
        </w:rPr>
      </w:pPr>
    </w:p>
    <w:p w14:paraId="2DA72A9D" w14:textId="6A7E0625" w:rsidR="001E2697" w:rsidRPr="002C3752" w:rsidRDefault="001E2697" w:rsidP="001E2697">
      <w:pPr>
        <w:rPr>
          <w:rFonts w:cs="Arial"/>
          <w:b/>
        </w:rPr>
      </w:pPr>
      <w:r w:rsidRPr="002C3752">
        <w:rPr>
          <w:rFonts w:cs="Arial"/>
          <w:b/>
        </w:rPr>
        <w:t xml:space="preserve">DATE OF JUDGMENT </w:t>
      </w:r>
      <w:r w:rsidRPr="002C3752">
        <w:rPr>
          <w:rFonts w:cs="Arial"/>
          <w:b/>
        </w:rPr>
        <w:tab/>
      </w:r>
      <w:r w:rsidRPr="002C3752">
        <w:rPr>
          <w:rFonts w:cs="Arial"/>
          <w:b/>
        </w:rPr>
        <w:tab/>
      </w:r>
      <w:r w:rsidRPr="002C3752">
        <w:rPr>
          <w:rFonts w:cs="Arial"/>
          <w:b/>
        </w:rPr>
        <w:tab/>
        <w:t xml:space="preserve"> </w:t>
      </w:r>
      <w:r w:rsidRPr="002C3752">
        <w:rPr>
          <w:rFonts w:cs="Arial"/>
          <w:b/>
        </w:rPr>
        <w:tab/>
      </w:r>
      <w:r w:rsidRPr="002C3752">
        <w:rPr>
          <w:rFonts w:cs="Arial"/>
        </w:rPr>
        <w:t xml:space="preserve">: </w:t>
      </w:r>
      <w:r w:rsidR="006524B7">
        <w:rPr>
          <w:rFonts w:cs="Arial"/>
        </w:rPr>
        <w:t xml:space="preserve"> </w:t>
      </w:r>
      <w:r w:rsidR="00F132D8">
        <w:rPr>
          <w:rFonts w:cs="Arial"/>
        </w:rPr>
        <w:t>1</w:t>
      </w:r>
      <w:r w:rsidR="00E577DF">
        <w:rPr>
          <w:rFonts w:cs="Arial"/>
        </w:rPr>
        <w:t>8</w:t>
      </w:r>
      <w:r w:rsidR="006524B7">
        <w:rPr>
          <w:rFonts w:cs="Arial"/>
        </w:rPr>
        <w:t xml:space="preserve"> APRIL </w:t>
      </w:r>
      <w:r w:rsidR="000513BF" w:rsidRPr="002C3752">
        <w:rPr>
          <w:rFonts w:cs="Arial"/>
        </w:rPr>
        <w:t>2023</w:t>
      </w:r>
    </w:p>
    <w:p w14:paraId="011A826F" w14:textId="77777777" w:rsidR="001E2697" w:rsidRPr="002C3752" w:rsidRDefault="001E2697" w:rsidP="001E2697">
      <w:pPr>
        <w:rPr>
          <w:rFonts w:cs="Arial"/>
          <w:b/>
        </w:rPr>
      </w:pPr>
      <w:r w:rsidRPr="002C3752">
        <w:rPr>
          <w:rFonts w:cs="Arial"/>
          <w:b/>
        </w:rPr>
        <w:tab/>
      </w:r>
      <w:r w:rsidRPr="002C3752">
        <w:rPr>
          <w:rFonts w:cs="Arial"/>
          <w:b/>
        </w:rPr>
        <w:tab/>
      </w:r>
      <w:r w:rsidRPr="002C3752">
        <w:rPr>
          <w:rFonts w:cs="Arial"/>
          <w:b/>
        </w:rPr>
        <w:tab/>
      </w:r>
      <w:r w:rsidRPr="002C3752">
        <w:rPr>
          <w:rFonts w:cs="Arial"/>
          <w:b/>
        </w:rPr>
        <w:tab/>
      </w:r>
    </w:p>
    <w:p w14:paraId="1DFCDF2D" w14:textId="2326F127" w:rsidR="009948E9" w:rsidRPr="002C3752" w:rsidRDefault="006524B7" w:rsidP="009948E9">
      <w:pPr>
        <w:spacing w:after="200"/>
        <w:contextualSpacing/>
        <w:rPr>
          <w:rFonts w:eastAsia="Calibri" w:cs="Arial"/>
        </w:rPr>
      </w:pPr>
      <w:bookmarkStart w:id="1" w:name="_Hlk67555944"/>
      <w:r>
        <w:rPr>
          <w:rFonts w:eastAsia="Calibri" w:cs="Arial"/>
          <w:b/>
        </w:rPr>
        <w:t xml:space="preserve">APPLICANT’S </w:t>
      </w:r>
      <w:r w:rsidR="009948E9" w:rsidRPr="002C3752">
        <w:rPr>
          <w:rFonts w:eastAsia="Calibri" w:cs="Arial"/>
          <w:b/>
        </w:rPr>
        <w:t>COUNSEL</w:t>
      </w:r>
      <w:r>
        <w:rPr>
          <w:rFonts w:eastAsia="Calibri" w:cs="Arial"/>
          <w:b/>
        </w:rPr>
        <w:tab/>
      </w:r>
      <w:r>
        <w:rPr>
          <w:rFonts w:eastAsia="Calibri" w:cs="Arial"/>
          <w:b/>
        </w:rPr>
        <w:tab/>
      </w:r>
      <w:r w:rsidR="009948E9" w:rsidRPr="002C3752">
        <w:rPr>
          <w:rFonts w:eastAsia="Calibri" w:cs="Arial"/>
          <w:b/>
        </w:rPr>
        <w:tab/>
      </w:r>
      <w:r w:rsidR="009948E9" w:rsidRPr="002C3752">
        <w:rPr>
          <w:rFonts w:eastAsia="Calibri" w:cs="Arial"/>
          <w:b/>
        </w:rPr>
        <w:tab/>
      </w:r>
      <w:r w:rsidR="009948E9" w:rsidRPr="002C3752">
        <w:rPr>
          <w:rFonts w:eastAsia="Calibri" w:cs="Arial"/>
        </w:rPr>
        <w:t xml:space="preserve">:  </w:t>
      </w:r>
      <w:r w:rsidR="00EC7CEF">
        <w:rPr>
          <w:rFonts w:eastAsia="Calibri" w:cs="Arial"/>
        </w:rPr>
        <w:t>A</w:t>
      </w:r>
      <w:r w:rsidR="00F132D8">
        <w:rPr>
          <w:rFonts w:eastAsia="Calibri" w:cs="Arial"/>
        </w:rPr>
        <w:t>ttorney</w:t>
      </w:r>
      <w:r w:rsidR="00FE6250">
        <w:rPr>
          <w:rFonts w:eastAsia="Calibri" w:cs="Arial"/>
        </w:rPr>
        <w:t>.</w:t>
      </w:r>
      <w:r w:rsidR="00BF672B">
        <w:rPr>
          <w:rFonts w:eastAsia="Calibri" w:cs="Arial"/>
        </w:rPr>
        <w:t xml:space="preserve"> </w:t>
      </w:r>
      <w:r w:rsidR="007F6883">
        <w:rPr>
          <w:rFonts w:eastAsia="Calibri" w:cs="Arial"/>
        </w:rPr>
        <w:t xml:space="preserve">MW </w:t>
      </w:r>
      <w:proofErr w:type="spellStart"/>
      <w:r w:rsidR="007F6883">
        <w:rPr>
          <w:rFonts w:eastAsia="Calibri" w:cs="Arial"/>
        </w:rPr>
        <w:t>Verster</w:t>
      </w:r>
      <w:proofErr w:type="spellEnd"/>
      <w:r w:rsidR="007F6883">
        <w:rPr>
          <w:rFonts w:eastAsia="Calibri" w:cs="Arial"/>
        </w:rPr>
        <w:t xml:space="preserve"> </w:t>
      </w:r>
    </w:p>
    <w:p w14:paraId="090A719B" w14:textId="77777777" w:rsidR="009948E9" w:rsidRPr="002C3752" w:rsidRDefault="009948E9" w:rsidP="009948E9">
      <w:pPr>
        <w:spacing w:after="200"/>
        <w:contextualSpacing/>
        <w:rPr>
          <w:rFonts w:eastAsia="Calibri" w:cs="Arial"/>
          <w:b/>
          <w:bCs/>
        </w:rPr>
      </w:pPr>
    </w:p>
    <w:p w14:paraId="70B4F9E2" w14:textId="626A32DC" w:rsidR="009948E9" w:rsidRPr="002C3752" w:rsidRDefault="006524B7" w:rsidP="009948E9">
      <w:pPr>
        <w:spacing w:after="200"/>
        <w:contextualSpacing/>
        <w:rPr>
          <w:rFonts w:eastAsia="Calibri" w:cs="Arial"/>
        </w:rPr>
      </w:pPr>
      <w:r>
        <w:rPr>
          <w:rFonts w:eastAsia="Calibri" w:cs="Arial"/>
          <w:b/>
          <w:bCs/>
        </w:rPr>
        <w:t xml:space="preserve">APPLICANT’S </w:t>
      </w:r>
      <w:r w:rsidR="009948E9" w:rsidRPr="002C3752">
        <w:rPr>
          <w:rFonts w:eastAsia="Calibri" w:cs="Arial"/>
          <w:b/>
          <w:bCs/>
        </w:rPr>
        <w:t>ATTORNEYS</w:t>
      </w:r>
      <w:r>
        <w:rPr>
          <w:rFonts w:eastAsia="Calibri" w:cs="Arial"/>
          <w:b/>
          <w:bCs/>
        </w:rPr>
        <w:tab/>
      </w:r>
      <w:r w:rsidR="00BB3897">
        <w:rPr>
          <w:rFonts w:eastAsia="Calibri" w:cs="Arial"/>
        </w:rPr>
        <w:tab/>
      </w:r>
      <w:r w:rsidR="00BB3897">
        <w:rPr>
          <w:rFonts w:eastAsia="Calibri" w:cs="Arial"/>
        </w:rPr>
        <w:tab/>
      </w:r>
      <w:r w:rsidR="00FE6250">
        <w:rPr>
          <w:rFonts w:eastAsia="Calibri" w:cs="Arial"/>
        </w:rPr>
        <w:t xml:space="preserve">:  </w:t>
      </w:r>
      <w:r w:rsidR="007F6883">
        <w:rPr>
          <w:rFonts w:eastAsia="Calibri" w:cs="Arial"/>
        </w:rPr>
        <w:t>BMV Attorneys</w:t>
      </w:r>
    </w:p>
    <w:p w14:paraId="69E3443E" w14:textId="77777777" w:rsidR="009948E9" w:rsidRPr="002C3752" w:rsidRDefault="009948E9" w:rsidP="009948E9">
      <w:pPr>
        <w:spacing w:after="200"/>
        <w:contextualSpacing/>
        <w:rPr>
          <w:rFonts w:eastAsia="Calibri" w:cs="Arial"/>
        </w:rPr>
      </w:pPr>
      <w:r w:rsidRPr="002C3752">
        <w:rPr>
          <w:rFonts w:eastAsia="Calibri" w:cs="Arial"/>
        </w:rPr>
        <w:tab/>
      </w:r>
      <w:r w:rsidRPr="002C3752">
        <w:rPr>
          <w:rFonts w:eastAsia="Calibri" w:cs="Arial"/>
        </w:rPr>
        <w:tab/>
      </w:r>
      <w:r w:rsidRPr="002C3752">
        <w:rPr>
          <w:rFonts w:eastAsia="Calibri" w:cs="Arial"/>
        </w:rPr>
        <w:tab/>
      </w:r>
      <w:r w:rsidRPr="002C3752">
        <w:rPr>
          <w:rFonts w:eastAsia="Calibri" w:cs="Arial"/>
        </w:rPr>
        <w:tab/>
      </w:r>
      <w:r w:rsidRPr="002C3752">
        <w:rPr>
          <w:rFonts w:eastAsia="Calibri" w:cs="Arial"/>
        </w:rPr>
        <w:tab/>
      </w:r>
      <w:r w:rsidRPr="002C3752">
        <w:rPr>
          <w:rFonts w:eastAsia="Calibri" w:cs="Arial"/>
        </w:rPr>
        <w:tab/>
      </w:r>
      <w:r w:rsidRPr="002C3752">
        <w:rPr>
          <w:rFonts w:eastAsia="Calibri" w:cs="Arial"/>
        </w:rPr>
        <w:tab/>
        <w:t xml:space="preserve">  </w:t>
      </w:r>
      <w:bookmarkStart w:id="2" w:name="_Hlk44520146"/>
    </w:p>
    <w:bookmarkEnd w:id="2"/>
    <w:p w14:paraId="4EBDE327" w14:textId="6909242E" w:rsidR="009948E9" w:rsidRPr="006524B7" w:rsidRDefault="00A173DA" w:rsidP="009948E9">
      <w:pPr>
        <w:spacing w:after="200"/>
        <w:contextualSpacing/>
        <w:rPr>
          <w:rFonts w:eastAsia="Calibri" w:cs="Arial"/>
          <w:b/>
        </w:rPr>
      </w:pPr>
      <w:r>
        <w:rPr>
          <w:rFonts w:eastAsia="Calibri" w:cs="Arial"/>
          <w:b/>
        </w:rPr>
        <w:t>RESPONDENT’S</w:t>
      </w:r>
      <w:r w:rsidR="006524B7">
        <w:rPr>
          <w:rFonts w:eastAsia="Calibri" w:cs="Arial"/>
          <w:b/>
        </w:rPr>
        <w:t xml:space="preserve"> COUNSEL</w:t>
      </w:r>
      <w:r w:rsidR="006524B7">
        <w:rPr>
          <w:rFonts w:eastAsia="Calibri" w:cs="Arial"/>
          <w:b/>
        </w:rPr>
        <w:tab/>
      </w:r>
      <w:r w:rsidR="006524B7">
        <w:rPr>
          <w:rFonts w:eastAsia="Calibri" w:cs="Arial"/>
          <w:b/>
        </w:rPr>
        <w:tab/>
      </w:r>
      <w:r w:rsidR="006524B7">
        <w:rPr>
          <w:rFonts w:eastAsia="Calibri" w:cs="Arial"/>
          <w:b/>
        </w:rPr>
        <w:tab/>
      </w:r>
      <w:r w:rsidR="009948E9" w:rsidRPr="002C3752">
        <w:rPr>
          <w:rFonts w:eastAsia="Calibri" w:cs="Arial"/>
        </w:rPr>
        <w:t xml:space="preserve">: </w:t>
      </w:r>
      <w:r w:rsidR="00FE6250">
        <w:rPr>
          <w:rFonts w:eastAsia="Calibri" w:cs="Arial"/>
        </w:rPr>
        <w:t>Adv.</w:t>
      </w:r>
      <w:r w:rsidR="00BF672B">
        <w:rPr>
          <w:rFonts w:eastAsia="Calibri" w:cs="Arial"/>
        </w:rPr>
        <w:t xml:space="preserve"> </w:t>
      </w:r>
      <w:r w:rsidR="007F6883">
        <w:rPr>
          <w:rFonts w:eastAsia="Calibri" w:cs="Arial"/>
        </w:rPr>
        <w:t xml:space="preserve">M </w:t>
      </w:r>
      <w:proofErr w:type="spellStart"/>
      <w:r w:rsidR="007F6883">
        <w:rPr>
          <w:rFonts w:eastAsia="Calibri" w:cs="Arial"/>
        </w:rPr>
        <w:t>Luyt</w:t>
      </w:r>
      <w:proofErr w:type="spellEnd"/>
      <w:r w:rsidR="007F6883">
        <w:rPr>
          <w:rFonts w:eastAsia="Calibri" w:cs="Arial"/>
        </w:rPr>
        <w:t xml:space="preserve"> </w:t>
      </w:r>
    </w:p>
    <w:p w14:paraId="65C026D5" w14:textId="77777777" w:rsidR="009948E9" w:rsidRPr="002C3752" w:rsidRDefault="009948E9" w:rsidP="009948E9">
      <w:pPr>
        <w:spacing w:after="200"/>
        <w:contextualSpacing/>
        <w:rPr>
          <w:rFonts w:eastAsia="Calibri" w:cs="Arial"/>
          <w:bCs/>
        </w:rPr>
      </w:pPr>
    </w:p>
    <w:p w14:paraId="179EA727" w14:textId="43C6F94B" w:rsidR="009948E9" w:rsidRPr="006524B7" w:rsidRDefault="00A173DA" w:rsidP="009948E9">
      <w:pPr>
        <w:spacing w:after="200"/>
        <w:contextualSpacing/>
        <w:rPr>
          <w:rFonts w:eastAsia="Calibri" w:cs="Arial"/>
          <w:b/>
        </w:rPr>
      </w:pPr>
      <w:r>
        <w:rPr>
          <w:rFonts w:eastAsia="Calibri" w:cs="Arial"/>
          <w:b/>
        </w:rPr>
        <w:t>RESPONDENT’S</w:t>
      </w:r>
      <w:r w:rsidR="00BF672B">
        <w:rPr>
          <w:rFonts w:eastAsia="Calibri" w:cs="Arial"/>
          <w:b/>
        </w:rPr>
        <w:t xml:space="preserve"> </w:t>
      </w:r>
      <w:r w:rsidR="009948E9" w:rsidRPr="002C3752">
        <w:rPr>
          <w:rFonts w:eastAsia="Calibri" w:cs="Arial"/>
          <w:b/>
        </w:rPr>
        <w:t>ATTORNEYS</w:t>
      </w:r>
      <w:r w:rsidR="00BF672B">
        <w:rPr>
          <w:rFonts w:eastAsia="Calibri" w:cs="Arial"/>
          <w:b/>
        </w:rPr>
        <w:tab/>
      </w:r>
      <w:r w:rsidR="00BF672B">
        <w:rPr>
          <w:rFonts w:eastAsia="Calibri" w:cs="Arial"/>
          <w:b/>
        </w:rPr>
        <w:tab/>
      </w:r>
      <w:r w:rsidR="009948E9" w:rsidRPr="002C3752">
        <w:rPr>
          <w:rFonts w:eastAsia="Calibri" w:cs="Arial"/>
          <w:b/>
        </w:rPr>
        <w:tab/>
      </w:r>
      <w:r w:rsidR="009948E9" w:rsidRPr="002C3752">
        <w:rPr>
          <w:rFonts w:eastAsia="Calibri" w:cs="Arial"/>
        </w:rPr>
        <w:t xml:space="preserve">: </w:t>
      </w:r>
      <w:proofErr w:type="spellStart"/>
      <w:r w:rsidR="007F6883">
        <w:rPr>
          <w:rFonts w:eastAsia="Calibri" w:cs="Arial"/>
        </w:rPr>
        <w:t>Rudie</w:t>
      </w:r>
      <w:proofErr w:type="spellEnd"/>
      <w:r w:rsidR="007F6883">
        <w:rPr>
          <w:rFonts w:eastAsia="Calibri" w:cs="Arial"/>
        </w:rPr>
        <w:t xml:space="preserve"> </w:t>
      </w:r>
      <w:proofErr w:type="spellStart"/>
      <w:r w:rsidR="007F6883">
        <w:rPr>
          <w:rFonts w:eastAsia="Calibri" w:cs="Arial"/>
        </w:rPr>
        <w:t>Kok</w:t>
      </w:r>
      <w:proofErr w:type="spellEnd"/>
      <w:r w:rsidR="007F6883">
        <w:rPr>
          <w:rFonts w:eastAsia="Calibri" w:cs="Arial"/>
        </w:rPr>
        <w:t xml:space="preserve"> Attorneys</w:t>
      </w:r>
    </w:p>
    <w:p w14:paraId="0442C34B" w14:textId="77777777" w:rsidR="005A0267" w:rsidRPr="002C3752" w:rsidRDefault="005A0267" w:rsidP="005A0267">
      <w:pPr>
        <w:pStyle w:val="ListParagraph"/>
        <w:spacing w:line="240" w:lineRule="auto"/>
        <w:ind w:left="0"/>
        <w:rPr>
          <w:rFonts w:cs="Arial"/>
        </w:rPr>
      </w:pPr>
    </w:p>
    <w:p w14:paraId="1E563EBC" w14:textId="5BE58D27" w:rsidR="004E41B6" w:rsidRPr="002C3752" w:rsidRDefault="001E2697" w:rsidP="00A326BA">
      <w:pPr>
        <w:pStyle w:val="ListParagraph"/>
        <w:spacing w:line="240" w:lineRule="auto"/>
        <w:ind w:left="0"/>
        <w:rPr>
          <w:rFonts w:cs="Arial"/>
        </w:rPr>
      </w:pPr>
      <w:r w:rsidRPr="002C3752">
        <w:rPr>
          <w:rFonts w:cs="Arial"/>
        </w:rPr>
        <w:tab/>
      </w:r>
      <w:r w:rsidRPr="002C3752">
        <w:rPr>
          <w:rFonts w:cs="Arial"/>
        </w:rPr>
        <w:tab/>
      </w:r>
      <w:r w:rsidRPr="002C3752">
        <w:rPr>
          <w:rFonts w:cs="Arial"/>
        </w:rPr>
        <w:tab/>
      </w:r>
      <w:r w:rsidRPr="002C3752">
        <w:rPr>
          <w:rFonts w:cs="Arial"/>
        </w:rPr>
        <w:tab/>
      </w:r>
      <w:r w:rsidRPr="002C3752">
        <w:rPr>
          <w:rFonts w:cs="Arial"/>
        </w:rPr>
        <w:tab/>
      </w:r>
      <w:bookmarkEnd w:id="1"/>
    </w:p>
    <w:sectPr w:rsidR="004E41B6" w:rsidRPr="002C3752" w:rsidSect="00726F48">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61A57" w14:textId="77777777" w:rsidR="00CA52B0" w:rsidRDefault="00CA52B0">
      <w:r>
        <w:separator/>
      </w:r>
    </w:p>
  </w:endnote>
  <w:endnote w:type="continuationSeparator" w:id="0">
    <w:p w14:paraId="1211F5C8" w14:textId="77777777" w:rsidR="00CA52B0" w:rsidRDefault="00CA5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 w:name="WenQuanYi Micro Hei">
    <w:altName w:val="Times New Roman"/>
    <w:charset w:val="00"/>
    <w:family w:val="auto"/>
    <w:pitch w:val="variable"/>
  </w:font>
  <w:font w:name="Lohit Hindi">
    <w:altName w:val="Times New Roman"/>
    <w:charset w:val="00"/>
    <w:family w:val="auto"/>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1B48B" w14:textId="77777777" w:rsidR="00CA52B0" w:rsidRDefault="00CA52B0">
      <w:r>
        <w:separator/>
      </w:r>
    </w:p>
  </w:footnote>
  <w:footnote w:type="continuationSeparator" w:id="0">
    <w:p w14:paraId="60F82C7F" w14:textId="77777777" w:rsidR="00CA52B0" w:rsidRDefault="00CA52B0">
      <w:r>
        <w:continuationSeparator/>
      </w:r>
    </w:p>
  </w:footnote>
  <w:footnote w:id="1">
    <w:p w14:paraId="23F38B7B" w14:textId="77777777" w:rsidR="003A327B" w:rsidRDefault="003A327B" w:rsidP="0059519B">
      <w:pPr>
        <w:pStyle w:val="FootnoteText"/>
      </w:pPr>
      <w:r>
        <w:rPr>
          <w:rStyle w:val="FootnoteReference"/>
        </w:rPr>
        <w:footnoteRef/>
      </w:r>
      <w:r>
        <w:t xml:space="preserve"> East Rock Trading 7 (Pty) Ltd and Another v Eagle Valley Granite (Pty) Ltd and Others (11/33767) [2011] ZAGPJHC 196 (23 September 2011) paras [6]-[7]</w:t>
      </w:r>
    </w:p>
  </w:footnote>
  <w:footnote w:id="2">
    <w:p w14:paraId="513ABF6E" w14:textId="77777777" w:rsidR="003A327B" w:rsidRDefault="003A327B" w:rsidP="0059519B">
      <w:pPr>
        <w:pStyle w:val="FootnoteText"/>
      </w:pPr>
      <w:r>
        <w:rPr>
          <w:rStyle w:val="FootnoteReference"/>
        </w:rPr>
        <w:footnoteRef/>
      </w:r>
      <w:r>
        <w:t xml:space="preserve"> Secretary, Judicial Commission of Enquiry into Allegations of State Capture v Zuma and Others 2021 (5) SA 327 (CC) (“Zuma”) par 31 and the authorities quoted therein.</w:t>
      </w:r>
    </w:p>
  </w:footnote>
  <w:footnote w:id="3">
    <w:p w14:paraId="391ED5FE" w14:textId="6B11E25D" w:rsidR="003A327B" w:rsidRDefault="003A327B">
      <w:pPr>
        <w:pStyle w:val="FootnoteText"/>
      </w:pPr>
      <w:r>
        <w:rPr>
          <w:rStyle w:val="FootnoteReference"/>
        </w:rPr>
        <w:footnoteRef/>
      </w:r>
      <w:r>
        <w:t xml:space="preserve"> 16 of 1963 as </w:t>
      </w:r>
      <w:proofErr w:type="gramStart"/>
      <w:r>
        <w:t>amended</w:t>
      </w:r>
      <w:proofErr w:type="gramEnd"/>
    </w:p>
  </w:footnote>
  <w:footnote w:id="4">
    <w:p w14:paraId="75D1E52A" w14:textId="18DD099C" w:rsidR="003A327B" w:rsidRDefault="003A327B">
      <w:pPr>
        <w:pStyle w:val="FootnoteText"/>
      </w:pPr>
      <w:r>
        <w:rPr>
          <w:rStyle w:val="FootnoteReference"/>
        </w:rPr>
        <w:footnoteRef/>
      </w:r>
      <w:r>
        <w:t xml:space="preserve"> 1998 (3) SA 677 (E) at 680</w:t>
      </w:r>
      <w:r w:rsidR="0022120A">
        <w:t xml:space="preserve"> </w:t>
      </w:r>
      <w:r>
        <w:t>C-E and the authorities cited therein, 681G/H</w:t>
      </w:r>
    </w:p>
  </w:footnote>
  <w:footnote w:id="5">
    <w:p w14:paraId="7A74DC15" w14:textId="26784A28" w:rsidR="003A327B" w:rsidRDefault="003A327B">
      <w:pPr>
        <w:pStyle w:val="FootnoteText"/>
      </w:pPr>
      <w:r>
        <w:rPr>
          <w:rStyle w:val="FootnoteReference"/>
        </w:rPr>
        <w:footnoteRef/>
      </w:r>
      <w:r>
        <w:t xml:space="preserve"> </w:t>
      </w:r>
      <w:proofErr w:type="spellStart"/>
      <w:r>
        <w:t>Radue</w:t>
      </w:r>
      <w:proofErr w:type="spellEnd"/>
      <w:r>
        <w:t xml:space="preserve"> </w:t>
      </w:r>
      <w:proofErr w:type="spellStart"/>
      <w:r>
        <w:t>fn</w:t>
      </w:r>
      <w:proofErr w:type="spellEnd"/>
      <w:r>
        <w:t xml:space="preserve"> 2 supra, 679</w:t>
      </w:r>
      <w:r w:rsidR="0022120A">
        <w:t xml:space="preserve"> </w:t>
      </w:r>
      <w:r>
        <w:t>H-682</w:t>
      </w:r>
    </w:p>
  </w:footnote>
  <w:footnote w:id="6">
    <w:p w14:paraId="28F9B9EE" w14:textId="2D854441" w:rsidR="003A327B" w:rsidRDefault="003A327B">
      <w:pPr>
        <w:pStyle w:val="FootnoteText"/>
      </w:pPr>
      <w:r>
        <w:rPr>
          <w:rStyle w:val="FootnoteReference"/>
        </w:rPr>
        <w:footnoteRef/>
      </w:r>
      <w:r>
        <w:t xml:space="preserve"> Whyte’s Stores v Bridle NO, Harris NO and Waterberg Farmer’s Co-op Society and Others 1936 TPD 72, quoted in </w:t>
      </w:r>
      <w:proofErr w:type="spellStart"/>
      <w:r>
        <w:t>Radue</w:t>
      </w:r>
      <w:proofErr w:type="spellEnd"/>
      <w:r>
        <w:t xml:space="preserve"> 680</w:t>
      </w:r>
    </w:p>
  </w:footnote>
  <w:footnote w:id="7">
    <w:p w14:paraId="425CAF05" w14:textId="77777777" w:rsidR="003A327B" w:rsidRDefault="003A327B" w:rsidP="000648E9">
      <w:pPr>
        <w:pStyle w:val="FootnoteText"/>
      </w:pPr>
      <w:r>
        <w:rPr>
          <w:rStyle w:val="FootnoteReference"/>
        </w:rPr>
        <w:footnoteRef/>
      </w:r>
      <w:r>
        <w:t xml:space="preserve"> Wightman t/a JW Construction v </w:t>
      </w:r>
      <w:proofErr w:type="spellStart"/>
      <w:r>
        <w:t>Headfour</w:t>
      </w:r>
      <w:proofErr w:type="spellEnd"/>
      <w:r>
        <w:t xml:space="preserve"> (Pty) Ltd and Another 2008 (3) SA 371 (SCA) paras [12]-[13]</w:t>
      </w:r>
    </w:p>
  </w:footnote>
  <w:footnote w:id="8">
    <w:p w14:paraId="6F9EBAA9" w14:textId="6ABA806D" w:rsidR="003A327B" w:rsidRPr="00781921" w:rsidRDefault="003A327B" w:rsidP="008E2738">
      <w:pPr>
        <w:pStyle w:val="FootnoteText"/>
        <w:rPr>
          <w:lang w:val="en-US"/>
        </w:rPr>
      </w:pPr>
      <w:r>
        <w:rPr>
          <w:rStyle w:val="FootnoteReference"/>
        </w:rPr>
        <w:footnoteRef/>
      </w:r>
      <w:r>
        <w:t xml:space="preserve"> </w:t>
      </w:r>
      <w:r>
        <w:rPr>
          <w:lang w:val="en-US"/>
        </w:rPr>
        <w:t xml:space="preserve">Fakie NO v CCII Systems (Pty) Ltd 2006 (4) SA 326 (SCA); </w:t>
      </w:r>
      <w:proofErr w:type="spellStart"/>
      <w:r>
        <w:rPr>
          <w:lang w:val="en-US"/>
        </w:rPr>
        <w:t>Pheko</w:t>
      </w:r>
      <w:proofErr w:type="spellEnd"/>
      <w:r>
        <w:rPr>
          <w:lang w:val="en-US"/>
        </w:rPr>
        <w:t xml:space="preserve"> &amp; Others v </w:t>
      </w:r>
      <w:proofErr w:type="spellStart"/>
      <w:r>
        <w:rPr>
          <w:lang w:val="en-US"/>
        </w:rPr>
        <w:t>Ekhurhuleni</w:t>
      </w:r>
      <w:proofErr w:type="spellEnd"/>
      <w:r w:rsidR="00D05D34">
        <w:rPr>
          <w:lang w:val="en-US"/>
        </w:rPr>
        <w:t xml:space="preserve"> City 2015 (5) SA 600 (CC); </w:t>
      </w:r>
      <w:proofErr w:type="spellStart"/>
      <w:r>
        <w:rPr>
          <w:lang w:val="en-US"/>
        </w:rPr>
        <w:t>Matjhabeng</w:t>
      </w:r>
      <w:proofErr w:type="spellEnd"/>
      <w:r>
        <w:rPr>
          <w:lang w:val="en-US"/>
        </w:rPr>
        <w:t xml:space="preserve"> Municipality v Eskom Holdings Ltd &amp; Others; </w:t>
      </w:r>
      <w:proofErr w:type="spellStart"/>
      <w:r>
        <w:rPr>
          <w:lang w:val="en-US"/>
        </w:rPr>
        <w:t>Mkhonto</w:t>
      </w:r>
      <w:proofErr w:type="spellEnd"/>
      <w:r>
        <w:rPr>
          <w:lang w:val="en-US"/>
        </w:rPr>
        <w:t xml:space="preserve"> &amp; Others v Compensation Solutions (Pty) Ltd 2018 (1) SA 1 (CC) (“</w:t>
      </w:r>
      <w:proofErr w:type="spellStart"/>
      <w:r>
        <w:rPr>
          <w:lang w:val="en-US"/>
        </w:rPr>
        <w:t>Matjhabeng</w:t>
      </w:r>
      <w:proofErr w:type="spellEnd"/>
      <w:r>
        <w:rPr>
          <w:lang w:val="en-US"/>
        </w:rPr>
        <w:t xml:space="preserve">”) paras [67] and [85]-[88]; Zuma </w:t>
      </w:r>
      <w:proofErr w:type="spellStart"/>
      <w:r>
        <w:rPr>
          <w:lang w:val="en-US"/>
        </w:rPr>
        <w:t>fn</w:t>
      </w:r>
      <w:proofErr w:type="spellEnd"/>
      <w:r>
        <w:rPr>
          <w:lang w:val="en-US"/>
        </w:rPr>
        <w:t xml:space="preserve"> 4 supra</w:t>
      </w:r>
    </w:p>
  </w:footnote>
  <w:footnote w:id="9">
    <w:p w14:paraId="376BD02B" w14:textId="77777777" w:rsidR="003A327B" w:rsidRPr="00813DBD" w:rsidRDefault="003A327B" w:rsidP="008E2738">
      <w:pPr>
        <w:pStyle w:val="FootnoteText"/>
        <w:rPr>
          <w:lang w:val="en-US"/>
        </w:rPr>
      </w:pPr>
      <w:r>
        <w:rPr>
          <w:rStyle w:val="FootnoteReference"/>
        </w:rPr>
        <w:footnoteRef/>
      </w:r>
      <w:r>
        <w:t xml:space="preserve"> </w:t>
      </w:r>
      <w:proofErr w:type="spellStart"/>
      <w:r>
        <w:rPr>
          <w:lang w:val="en-US"/>
        </w:rPr>
        <w:t>Matjhabeng</w:t>
      </w:r>
      <w:proofErr w:type="spellEnd"/>
      <w:r>
        <w:rPr>
          <w:lang w:val="en-US"/>
        </w:rPr>
        <w:t xml:space="preserve"> supra para [63]</w:t>
      </w:r>
    </w:p>
  </w:footnote>
  <w:footnote w:id="10">
    <w:p w14:paraId="3E1DD551" w14:textId="77777777" w:rsidR="003A327B" w:rsidRPr="00813DBD" w:rsidRDefault="003A327B" w:rsidP="008E2738">
      <w:pPr>
        <w:pStyle w:val="FootnoteText"/>
        <w:rPr>
          <w:lang w:val="en-US"/>
        </w:rPr>
      </w:pPr>
      <w:r>
        <w:rPr>
          <w:rStyle w:val="FootnoteReference"/>
        </w:rPr>
        <w:footnoteRef/>
      </w:r>
      <w:r>
        <w:t xml:space="preserve"> </w:t>
      </w:r>
      <w:proofErr w:type="spellStart"/>
      <w:r>
        <w:rPr>
          <w:lang w:val="en-US"/>
        </w:rPr>
        <w:t>Matjhabeng</w:t>
      </w:r>
      <w:proofErr w:type="spellEnd"/>
      <w:r>
        <w:rPr>
          <w:lang w:val="en-US"/>
        </w:rPr>
        <w:t xml:space="preserve"> supra para [67]</w:t>
      </w:r>
    </w:p>
  </w:footnote>
  <w:footnote w:id="11">
    <w:p w14:paraId="2223726C" w14:textId="4FC21585" w:rsidR="003A327B" w:rsidRDefault="003A327B">
      <w:pPr>
        <w:pStyle w:val="FootnoteText"/>
      </w:pPr>
      <w:r>
        <w:rPr>
          <w:rStyle w:val="FootnoteReference"/>
        </w:rPr>
        <w:footnoteRef/>
      </w:r>
      <w:r>
        <w:t xml:space="preserve"> </w:t>
      </w:r>
      <w:proofErr w:type="spellStart"/>
      <w:r w:rsidRPr="00EB4FA9">
        <w:t>Betlane</w:t>
      </w:r>
      <w:proofErr w:type="spellEnd"/>
      <w:r w:rsidRPr="00EB4FA9">
        <w:t xml:space="preserve"> v Shelly Court CC [2015] JOL 34003 CC par 29</w:t>
      </w:r>
    </w:p>
  </w:footnote>
  <w:footnote w:id="12">
    <w:p w14:paraId="1DC8BC23" w14:textId="38DB3789" w:rsidR="003A327B" w:rsidRDefault="003A327B" w:rsidP="004B04FB">
      <w:pPr>
        <w:pStyle w:val="FootnoteText"/>
      </w:pPr>
      <w:r>
        <w:rPr>
          <w:rStyle w:val="FootnoteReference"/>
        </w:rPr>
        <w:footnoteRef/>
      </w:r>
      <w:r>
        <w:t xml:space="preserve"> </w:t>
      </w:r>
      <w:proofErr w:type="spellStart"/>
      <w:r>
        <w:t>Soffiantini</w:t>
      </w:r>
      <w:proofErr w:type="spellEnd"/>
      <w:r>
        <w:t xml:space="preserve"> v Mould 1056 (4) SA 150 (E), Truth Verification Testing Centre v PSE Truth Detection CC and Others 1998 (2) SA 689 (W)</w:t>
      </w:r>
    </w:p>
  </w:footnote>
  <w:footnote w:id="13">
    <w:p w14:paraId="5D8A3C1D" w14:textId="77777777" w:rsidR="003A327B" w:rsidRDefault="003A327B" w:rsidP="004B04FB">
      <w:pPr>
        <w:pStyle w:val="FootnoteText"/>
      </w:pPr>
      <w:r>
        <w:rPr>
          <w:rStyle w:val="FootnoteReference"/>
        </w:rPr>
        <w:footnoteRef/>
      </w:r>
      <w:r>
        <w:t xml:space="preserve"> Zuma </w:t>
      </w:r>
      <w:proofErr w:type="spellStart"/>
      <w:r>
        <w:t>fn</w:t>
      </w:r>
      <w:proofErr w:type="spellEnd"/>
      <w:r>
        <w:t xml:space="preserve"> 4 supra par [37]</w:t>
      </w:r>
    </w:p>
  </w:footnote>
  <w:footnote w:id="14">
    <w:p w14:paraId="054A15BE" w14:textId="3BF205EE" w:rsidR="003A327B" w:rsidRDefault="003A327B">
      <w:pPr>
        <w:pStyle w:val="FootnoteText"/>
      </w:pPr>
      <w:r>
        <w:rPr>
          <w:rStyle w:val="FootnoteReference"/>
        </w:rPr>
        <w:footnoteRef/>
      </w:r>
      <w:r>
        <w:t xml:space="preserve"> Zuma para [41]</w:t>
      </w:r>
    </w:p>
  </w:footnote>
  <w:footnote w:id="15">
    <w:p w14:paraId="44845373" w14:textId="200F5A55" w:rsidR="003A327B" w:rsidRDefault="003A327B" w:rsidP="00323F34">
      <w:pPr>
        <w:pStyle w:val="FootnoteText"/>
      </w:pPr>
      <w:r>
        <w:rPr>
          <w:rStyle w:val="FootnoteReference"/>
        </w:rPr>
        <w:footnoteRef/>
      </w:r>
      <w:r>
        <w:t xml:space="preserve"> HEG Consulting Enterprises (Pty) Ltd and Others v Siegwart and Others 2000 (1) SA 507 (C) at 518</w:t>
      </w:r>
      <w:r w:rsidR="00BC5590">
        <w:t xml:space="preserve"> </w:t>
      </w:r>
      <w:r>
        <w:t>E/F-519A/B</w:t>
      </w:r>
    </w:p>
  </w:footnote>
  <w:footnote w:id="16">
    <w:p w14:paraId="2F300091" w14:textId="77777777" w:rsidR="003A327B" w:rsidRDefault="003A327B" w:rsidP="004D07FF">
      <w:pPr>
        <w:pStyle w:val="FootnoteText"/>
      </w:pPr>
      <w:r>
        <w:rPr>
          <w:rStyle w:val="FootnoteReference"/>
        </w:rPr>
        <w:footnoteRef/>
      </w:r>
      <w:r>
        <w:t xml:space="preserve"> Facie</w:t>
      </w:r>
    </w:p>
  </w:footnote>
  <w:footnote w:id="17">
    <w:p w14:paraId="10C54578" w14:textId="29D21F76" w:rsidR="003A327B" w:rsidRDefault="003A327B" w:rsidP="00C23A22">
      <w:pPr>
        <w:pStyle w:val="FootnoteText"/>
      </w:pPr>
      <w:r>
        <w:rPr>
          <w:rStyle w:val="FootnoteReference"/>
        </w:rPr>
        <w:footnoteRef/>
      </w:r>
      <w:r>
        <w:t xml:space="preserve"> Culverwell v Beira 1992 (4) SA 490 (W) at 494</w:t>
      </w:r>
      <w:r w:rsidR="000438ED">
        <w:t xml:space="preserve"> </w:t>
      </w:r>
      <w:r>
        <w:t>A-D</w:t>
      </w:r>
    </w:p>
  </w:footnote>
  <w:footnote w:id="18">
    <w:p w14:paraId="7B5FB099" w14:textId="77777777" w:rsidR="003A327B" w:rsidRPr="003F4FB1" w:rsidRDefault="003A327B" w:rsidP="00BE1A40">
      <w:pPr>
        <w:pStyle w:val="FootnoteText"/>
        <w:rPr>
          <w:lang w:val="en-US"/>
        </w:rPr>
      </w:pPr>
      <w:r>
        <w:rPr>
          <w:rStyle w:val="FootnoteReference"/>
        </w:rPr>
        <w:footnoteRef/>
      </w:r>
      <w:r>
        <w:t xml:space="preserve"> </w:t>
      </w:r>
      <w:proofErr w:type="spellStart"/>
      <w:r>
        <w:rPr>
          <w:lang w:val="en-US"/>
        </w:rPr>
        <w:t>Fn</w:t>
      </w:r>
      <w:proofErr w:type="spellEnd"/>
      <w:r>
        <w:rPr>
          <w:lang w:val="en-US"/>
        </w:rPr>
        <w:t xml:space="preserve"> 1 supra paras [48] and [50] </w:t>
      </w:r>
    </w:p>
  </w:footnote>
  <w:footnote w:id="19">
    <w:p w14:paraId="171D36C3" w14:textId="17238249" w:rsidR="003A327B" w:rsidRDefault="003A327B">
      <w:pPr>
        <w:pStyle w:val="FootnoteText"/>
      </w:pPr>
      <w:r>
        <w:rPr>
          <w:rStyle w:val="FootnoteReference"/>
        </w:rPr>
        <w:footnoteRef/>
      </w:r>
      <w:r>
        <w:t xml:space="preserve"> Zuma para [43]</w:t>
      </w:r>
    </w:p>
  </w:footnote>
  <w:footnote w:id="20">
    <w:p w14:paraId="1DCD750A" w14:textId="3D724650" w:rsidR="003A327B" w:rsidRPr="008B547C" w:rsidRDefault="003A327B" w:rsidP="00304C31">
      <w:pPr>
        <w:pStyle w:val="FootnoteText"/>
        <w:rPr>
          <w:lang w:val="en-US"/>
        </w:rPr>
      </w:pPr>
      <w:r>
        <w:rPr>
          <w:rStyle w:val="FootnoteReference"/>
        </w:rPr>
        <w:footnoteRef/>
      </w:r>
      <w:r>
        <w:t xml:space="preserve"> </w:t>
      </w:r>
      <w:r>
        <w:rPr>
          <w:lang w:val="en-US"/>
        </w:rPr>
        <w:t>1956 (1) SA 105 N at 120</w:t>
      </w:r>
      <w:r w:rsidR="000438ED">
        <w:rPr>
          <w:lang w:val="en-US"/>
        </w:rPr>
        <w:t xml:space="preserve"> </w:t>
      </w:r>
      <w:r>
        <w:rPr>
          <w:lang w:val="en-US"/>
        </w:rPr>
        <w:t>D-E</w:t>
      </w:r>
    </w:p>
  </w:footnote>
  <w:footnote w:id="21">
    <w:p w14:paraId="697E43D5" w14:textId="77777777" w:rsidR="003A327B" w:rsidRPr="007C38BE" w:rsidRDefault="003A327B" w:rsidP="004A315A">
      <w:pPr>
        <w:pStyle w:val="FootnoteText"/>
        <w:rPr>
          <w:rFonts w:cs="Arial"/>
          <w:lang w:val="en-US"/>
        </w:rPr>
      </w:pPr>
      <w:r>
        <w:rPr>
          <w:rStyle w:val="FootnoteReference"/>
        </w:rPr>
        <w:footnoteRef/>
      </w:r>
      <w:r>
        <w:t xml:space="preserve"> </w:t>
      </w:r>
      <w:r w:rsidRPr="007C38BE">
        <w:rPr>
          <w:rFonts w:cs="Arial"/>
        </w:rPr>
        <w:t>1948 (1) SA 1186 (W) 1189</w:t>
      </w:r>
    </w:p>
  </w:footnote>
  <w:footnote w:id="22">
    <w:p w14:paraId="77737928" w14:textId="77777777" w:rsidR="003A327B" w:rsidRDefault="003A327B" w:rsidP="00154574">
      <w:pPr>
        <w:pStyle w:val="FootnoteText"/>
      </w:pPr>
      <w:r>
        <w:rPr>
          <w:rStyle w:val="FootnoteReference"/>
        </w:rPr>
        <w:footnoteRef/>
      </w:r>
      <w:r>
        <w:t xml:space="preserve"> Meter Systems Holdings Ltd v Venter and Another 1993 (1) SA 493 (W) pertaining to what is confidential </w:t>
      </w:r>
      <w:proofErr w:type="gramStart"/>
      <w:r>
        <w:t>information</w:t>
      </w:r>
      <w:proofErr w:type="gramEnd"/>
    </w:p>
  </w:footnote>
  <w:footnote w:id="23">
    <w:p w14:paraId="7BE1508F" w14:textId="10E3C23A" w:rsidR="003A327B" w:rsidRDefault="003A327B">
      <w:pPr>
        <w:pStyle w:val="FootnoteText"/>
      </w:pPr>
      <w:r>
        <w:rPr>
          <w:rStyle w:val="FootnoteReference"/>
        </w:rPr>
        <w:footnoteRef/>
      </w:r>
      <w:r>
        <w:t xml:space="preserve"> Johannesburg Municipal Pension Fund and Others v City of Johannesburg 2005 (6) SA 273 (W) at 281-282</w:t>
      </w:r>
    </w:p>
  </w:footnote>
  <w:footnote w:id="24">
    <w:p w14:paraId="2CE8CABF" w14:textId="77777777" w:rsidR="003A327B" w:rsidRDefault="003A327B" w:rsidP="00D27B1F">
      <w:pPr>
        <w:pStyle w:val="FootnoteText"/>
      </w:pPr>
      <w:r>
        <w:rPr>
          <w:rStyle w:val="FootnoteReference"/>
        </w:rPr>
        <w:footnoteRef/>
      </w:r>
      <w:r>
        <w:t xml:space="preserve"> BSI Boiler &amp; Steam Installation CC v Executive Toys Commercial (Pty) Ltd 2016 JDR 0220 (GP) paras 7.1 and 7.2</w:t>
      </w:r>
    </w:p>
  </w:footnote>
  <w:footnote w:id="25">
    <w:p w14:paraId="10F64630" w14:textId="77777777" w:rsidR="003A327B" w:rsidRPr="00F104AE" w:rsidRDefault="003A327B" w:rsidP="00FD12A4">
      <w:pPr>
        <w:pStyle w:val="FootnoteText"/>
        <w:rPr>
          <w:lang w:val="en-US"/>
        </w:rPr>
      </w:pPr>
      <w:r>
        <w:rPr>
          <w:rStyle w:val="FootnoteReference"/>
        </w:rPr>
        <w:footnoteRef/>
      </w:r>
      <w:r>
        <w:t xml:space="preserve"> </w:t>
      </w:r>
      <w:r>
        <w:rPr>
          <w:lang w:val="en-US"/>
        </w:rPr>
        <w:t xml:space="preserve">1957 (2) SA 382 D </w:t>
      </w:r>
    </w:p>
  </w:footnote>
  <w:footnote w:id="26">
    <w:p w14:paraId="4DE5BA0A" w14:textId="77777777" w:rsidR="003A327B" w:rsidRDefault="003A327B" w:rsidP="00597BC8">
      <w:pPr>
        <w:pStyle w:val="FootnoteText"/>
      </w:pPr>
      <w:r>
        <w:rPr>
          <w:rStyle w:val="FootnoteReference"/>
        </w:rPr>
        <w:footnoteRef/>
      </w:r>
      <w:r>
        <w:t xml:space="preserve"> </w:t>
      </w:r>
      <w:proofErr w:type="spellStart"/>
      <w:r>
        <w:t>Buthalezi</w:t>
      </w:r>
      <w:proofErr w:type="spellEnd"/>
      <w:r>
        <w:t xml:space="preserve"> v </w:t>
      </w:r>
      <w:proofErr w:type="spellStart"/>
      <w:r>
        <w:t>Poorter</w:t>
      </w:r>
      <w:proofErr w:type="spellEnd"/>
      <w:r>
        <w:t xml:space="preserve"> &amp; Others 1974 (4) SA 831 (W)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1EC40" w14:textId="255471BE" w:rsidR="003A327B" w:rsidRDefault="003A327B">
    <w:pPr>
      <w:pStyle w:val="Header"/>
      <w:jc w:val="right"/>
    </w:pPr>
    <w:r>
      <w:t xml:space="preserve">Page </w:t>
    </w:r>
    <w:r>
      <w:fldChar w:fldCharType="begin"/>
    </w:r>
    <w:r>
      <w:instrText xml:space="preserve"> PAGE   \* MERGEFORMAT </w:instrText>
    </w:r>
    <w:r>
      <w:fldChar w:fldCharType="separate"/>
    </w:r>
    <w:r w:rsidR="000475AF">
      <w:rPr>
        <w:noProof/>
      </w:rPr>
      <w:t>5</w:t>
    </w:r>
    <w:r>
      <w:rPr>
        <w:noProof/>
      </w:rPr>
      <w:fldChar w:fldCharType="end"/>
    </w:r>
  </w:p>
  <w:p w14:paraId="0BA12F91" w14:textId="77777777" w:rsidR="003A327B" w:rsidRDefault="003A32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4A851AE"/>
    <w:lvl w:ilvl="0">
      <w:start w:val="1"/>
      <w:numFmt w:val="decimal"/>
      <w:pStyle w:val="Heading1"/>
      <w:lvlText w:val="%1."/>
      <w:lvlJc w:val="left"/>
      <w:pPr>
        <w:tabs>
          <w:tab w:val="num" w:pos="0"/>
        </w:tabs>
        <w:ind w:left="720" w:hanging="720"/>
      </w:pPr>
      <w:rPr>
        <w:rFonts w:ascii="Arial" w:hAnsi="Arial" w:hint="default"/>
        <w:b w:val="0"/>
        <w:i w:val="0"/>
        <w:sz w:val="24"/>
        <w:szCs w:val="24"/>
      </w:rPr>
    </w:lvl>
    <w:lvl w:ilvl="1">
      <w:start w:val="1"/>
      <w:numFmt w:val="decimal"/>
      <w:pStyle w:val="Heading2"/>
      <w:lvlText w:val="%1.%2"/>
      <w:lvlJc w:val="left"/>
      <w:pPr>
        <w:tabs>
          <w:tab w:val="num" w:pos="1644"/>
        </w:tabs>
        <w:ind w:left="1644" w:hanging="924"/>
      </w:pPr>
      <w:rPr>
        <w:rFonts w:ascii="Arial" w:hAnsi="Arial" w:hint="default"/>
        <w:b w:val="0"/>
        <w:i w:val="0"/>
        <w:sz w:val="24"/>
        <w:szCs w:val="24"/>
      </w:rPr>
    </w:lvl>
    <w:lvl w:ilvl="2">
      <w:start w:val="1"/>
      <w:numFmt w:val="decimal"/>
      <w:pStyle w:val="Heading3"/>
      <w:lvlText w:val="%1.%2.%3"/>
      <w:lvlJc w:val="left"/>
      <w:pPr>
        <w:tabs>
          <w:tab w:val="num" w:pos="2608"/>
        </w:tabs>
        <w:ind w:left="2608" w:hanging="1020"/>
      </w:pPr>
      <w:rPr>
        <w:rFonts w:ascii="Arial" w:hAnsi="Arial" w:hint="default"/>
        <w:b w:val="0"/>
        <w:i w:val="0"/>
        <w:sz w:val="24"/>
        <w:szCs w:val="24"/>
      </w:rPr>
    </w:lvl>
    <w:lvl w:ilvl="3">
      <w:start w:val="1"/>
      <w:numFmt w:val="decimal"/>
      <w:pStyle w:val="Heading4"/>
      <w:lvlText w:val="%1.%2.%3.%4"/>
      <w:lvlJc w:val="left"/>
      <w:pPr>
        <w:tabs>
          <w:tab w:val="num" w:pos="3402"/>
        </w:tabs>
        <w:ind w:left="3402" w:hanging="850"/>
      </w:pPr>
      <w:rPr>
        <w:rFonts w:ascii="Arial" w:hAnsi="Arial" w:hint="default"/>
        <w:b w:val="0"/>
        <w:i w:val="0"/>
        <w:sz w:val="24"/>
        <w:szCs w:val="24"/>
      </w:rPr>
    </w:lvl>
    <w:lvl w:ilvl="4">
      <w:start w:val="1"/>
      <w:numFmt w:val="decimal"/>
      <w:pStyle w:val="Heading5"/>
      <w:lvlText w:val="%1.%2.%3.%4.%5"/>
      <w:lvlJc w:val="left"/>
      <w:pPr>
        <w:tabs>
          <w:tab w:val="num" w:pos="3969"/>
        </w:tabs>
        <w:ind w:left="3969" w:hanging="567"/>
      </w:pPr>
      <w:rPr>
        <w:rFonts w:ascii="Arial" w:hAnsi="Arial" w:hint="default"/>
        <w:b w:val="0"/>
        <w:i w:val="0"/>
        <w:sz w:val="24"/>
        <w:szCs w:val="24"/>
      </w:rPr>
    </w:lvl>
    <w:lvl w:ilvl="5">
      <w:start w:val="1"/>
      <w:numFmt w:val="decimal"/>
      <w:lvlText w:val="%1.%2.%3.%4.%5.%6"/>
      <w:lvlJc w:val="left"/>
      <w:pPr>
        <w:tabs>
          <w:tab w:val="num" w:pos="1152"/>
        </w:tabs>
        <w:ind w:left="1152" w:hanging="1152"/>
      </w:pPr>
      <w:rPr>
        <w:rFonts w:ascii="Arial" w:hAnsi="Arial" w:hint="default"/>
        <w:b w:val="0"/>
        <w:i w:val="0"/>
        <w:sz w:val="24"/>
        <w:szCs w:val="24"/>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409769C"/>
    <w:multiLevelType w:val="multilevel"/>
    <w:tmpl w:val="079AF40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65C2C20"/>
    <w:multiLevelType w:val="multilevel"/>
    <w:tmpl w:val="8978462E"/>
    <w:lvl w:ilvl="0">
      <w:start w:val="1"/>
      <w:numFmt w:val="decimal"/>
      <w:pStyle w:val="Level1"/>
      <w:lvlText w:val="%1."/>
      <w:lvlJc w:val="left"/>
      <w:pPr>
        <w:ind w:left="567" w:hanging="567"/>
      </w:pPr>
      <w:rPr>
        <w:rFonts w:asciiTheme="majorHAnsi" w:hAnsiTheme="majorHAnsi" w:cstheme="majorHAnsi" w:hint="default"/>
        <w:b w:val="0"/>
        <w:i w:val="0"/>
        <w:sz w:val="26"/>
        <w:szCs w:val="26"/>
      </w:rPr>
    </w:lvl>
    <w:lvl w:ilvl="1">
      <w:start w:val="1"/>
      <w:numFmt w:val="decimal"/>
      <w:pStyle w:val="Level2"/>
      <w:lvlText w:val="%1.%2."/>
      <w:lvlJc w:val="left"/>
      <w:pPr>
        <w:ind w:left="1134" w:hanging="1134"/>
      </w:pPr>
      <w:rPr>
        <w:rFonts w:asciiTheme="majorHAnsi" w:hAnsiTheme="majorHAnsi" w:cstheme="majorHAnsi" w:hint="default"/>
        <w:b w:val="0"/>
        <w:sz w:val="26"/>
        <w:szCs w:val="26"/>
      </w:rPr>
    </w:lvl>
    <w:lvl w:ilvl="2">
      <w:start w:val="1"/>
      <w:numFmt w:val="decimal"/>
      <w:pStyle w:val="Level3"/>
      <w:lvlText w:val="%1.%2.%3."/>
      <w:lvlJc w:val="left"/>
      <w:pPr>
        <w:ind w:left="1701" w:hanging="1701"/>
      </w:pPr>
      <w:rPr>
        <w:b w:val="0"/>
        <w:i w:val="0"/>
        <w:sz w:val="20"/>
        <w:szCs w:val="20"/>
      </w:rPr>
    </w:lvl>
    <w:lvl w:ilvl="3">
      <w:start w:val="1"/>
      <w:numFmt w:val="decimal"/>
      <w:pStyle w:val="Level4"/>
      <w:lvlText w:val="%1.%2.%3.%4."/>
      <w:lvlJc w:val="left"/>
      <w:pPr>
        <w:ind w:left="1440" w:hanging="1080"/>
      </w:pPr>
      <w:rPr>
        <w:sz w:val="20"/>
        <w:szCs w:val="20"/>
      </w:rPr>
    </w:lvl>
    <w:lvl w:ilvl="4">
      <w:start w:val="1"/>
      <w:numFmt w:val="lowerLetter"/>
      <w:lvlText w:val="%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 w15:restartNumberingAfterBreak="0">
    <w:nsid w:val="1FCE666A"/>
    <w:multiLevelType w:val="multilevel"/>
    <w:tmpl w:val="9FAE4E4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EC32EAB"/>
    <w:multiLevelType w:val="multilevel"/>
    <w:tmpl w:val="C9BCDF22"/>
    <w:lvl w:ilvl="0">
      <w:start w:val="1"/>
      <w:numFmt w:val="decimal"/>
      <w:pStyle w:val="1"/>
      <w:lvlText w:val="%1"/>
      <w:lvlJc w:val="left"/>
      <w:pPr>
        <w:tabs>
          <w:tab w:val="num" w:pos="567"/>
        </w:tabs>
        <w:ind w:left="567" w:hanging="567"/>
      </w:pPr>
      <w:rPr>
        <w:rFonts w:hint="default"/>
        <w:b w:val="0"/>
        <w:i w:val="0"/>
      </w:rPr>
    </w:lvl>
    <w:lvl w:ilvl="1">
      <w:start w:val="1"/>
      <w:numFmt w:val="decimal"/>
      <w:pStyle w:val="2"/>
      <w:lvlText w:val="%1.%2"/>
      <w:lvlJc w:val="left"/>
      <w:pPr>
        <w:tabs>
          <w:tab w:val="num" w:pos="1247"/>
        </w:tabs>
        <w:ind w:left="1247" w:hanging="680"/>
      </w:pPr>
      <w:rPr>
        <w:rFonts w:hint="default"/>
      </w:rPr>
    </w:lvl>
    <w:lvl w:ilvl="2">
      <w:start w:val="1"/>
      <w:numFmt w:val="decimal"/>
      <w:pStyle w:val="3"/>
      <w:lvlText w:val="%1.%2.%3"/>
      <w:lvlJc w:val="left"/>
      <w:pPr>
        <w:tabs>
          <w:tab w:val="num" w:pos="2155"/>
        </w:tabs>
        <w:ind w:left="2155" w:hanging="908"/>
      </w:pPr>
      <w:rPr>
        <w:rFonts w:hint="default"/>
      </w:rPr>
    </w:lvl>
    <w:lvl w:ilvl="3">
      <w:start w:val="1"/>
      <w:numFmt w:val="lowerLetter"/>
      <w:pStyle w:val="4"/>
      <w:lvlText w:val="(%4)"/>
      <w:lvlJc w:val="left"/>
      <w:pPr>
        <w:tabs>
          <w:tab w:val="num" w:pos="2552"/>
        </w:tabs>
        <w:ind w:left="2552" w:hanging="397"/>
      </w:pPr>
      <w:rPr>
        <w:rFonts w:hint="default"/>
      </w:rPr>
    </w:lvl>
    <w:lvl w:ilvl="4">
      <w:start w:val="1"/>
      <w:numFmt w:val="lowerRoman"/>
      <w:pStyle w:val="5"/>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37C532D5"/>
    <w:multiLevelType w:val="multilevel"/>
    <w:tmpl w:val="98440AF0"/>
    <w:lvl w:ilvl="0">
      <w:start w:val="1"/>
      <w:numFmt w:val="decimal"/>
      <w:lvlText w:val="%1."/>
      <w:lvlJc w:val="left"/>
      <w:pPr>
        <w:ind w:left="360" w:hanging="360"/>
      </w:pPr>
      <w:rPr>
        <w:i w:val="0"/>
        <w:iCs w:val="0"/>
      </w:rPr>
    </w:lvl>
    <w:lvl w:ilvl="1">
      <w:start w:val="1"/>
      <w:numFmt w:val="decimal"/>
      <w:pStyle w:val="level20"/>
      <w:lvlText w:val="%1.%2."/>
      <w:lvlJc w:val="left"/>
      <w:pPr>
        <w:ind w:left="792" w:hanging="432"/>
      </w:pPr>
      <w:rPr>
        <w:b w:val="0"/>
        <w:i w:val="0"/>
        <w:iCs w:val="0"/>
      </w:rPr>
    </w:lvl>
    <w:lvl w:ilvl="2">
      <w:start w:val="1"/>
      <w:numFmt w:val="decimal"/>
      <w:pStyle w:val="level40"/>
      <w:lvlText w:val="%1.%2.%3."/>
      <w:lvlJc w:val="left"/>
      <w:pPr>
        <w:ind w:left="1224" w:hanging="504"/>
      </w:pPr>
      <w:rPr>
        <w:b w:val="0"/>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D05276C"/>
    <w:multiLevelType w:val="multilevel"/>
    <w:tmpl w:val="5E2C4948"/>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402873D5"/>
    <w:multiLevelType w:val="multilevel"/>
    <w:tmpl w:val="253E1CB0"/>
    <w:lvl w:ilvl="0">
      <w:start w:val="4"/>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15:restartNumberingAfterBreak="0">
    <w:nsid w:val="447462E1"/>
    <w:multiLevelType w:val="multilevel"/>
    <w:tmpl w:val="D64806E2"/>
    <w:lvl w:ilvl="0">
      <w:start w:val="1"/>
      <w:numFmt w:val="decimal"/>
      <w:lvlText w:val="%1"/>
      <w:lvlJc w:val="left"/>
      <w:pPr>
        <w:tabs>
          <w:tab w:val="num" w:pos="2970"/>
        </w:tabs>
        <w:ind w:left="3679" w:hanging="709"/>
      </w:pPr>
      <w:rPr>
        <w:rFonts w:hint="default"/>
      </w:rPr>
    </w:lvl>
    <w:lvl w:ilvl="1">
      <w:start w:val="1"/>
      <w:numFmt w:val="decimal"/>
      <w:lvlText w:val="%1.%2"/>
      <w:lvlJc w:val="left"/>
      <w:pPr>
        <w:tabs>
          <w:tab w:val="num" w:pos="4388"/>
        </w:tabs>
        <w:ind w:left="4388" w:hanging="709"/>
      </w:pPr>
      <w:rPr>
        <w:rFonts w:hint="default"/>
      </w:rPr>
    </w:lvl>
    <w:lvl w:ilvl="2">
      <w:start w:val="1"/>
      <w:numFmt w:val="decimal"/>
      <w:lvlText w:val="%1.%2.%3"/>
      <w:lvlJc w:val="left"/>
      <w:pPr>
        <w:tabs>
          <w:tab w:val="num" w:pos="5097"/>
        </w:tabs>
        <w:ind w:left="5097" w:hanging="709"/>
      </w:pPr>
      <w:rPr>
        <w:rFonts w:hint="default"/>
      </w:rPr>
    </w:lvl>
    <w:lvl w:ilvl="3">
      <w:start w:val="1"/>
      <w:numFmt w:val="decimal"/>
      <w:lvlText w:val="%4.1.1.1"/>
      <w:lvlJc w:val="left"/>
      <w:pPr>
        <w:tabs>
          <w:tab w:val="num" w:pos="6177"/>
        </w:tabs>
        <w:ind w:left="5806" w:hanging="709"/>
      </w:pPr>
      <w:rPr>
        <w:rFonts w:hint="default"/>
      </w:rPr>
    </w:lvl>
    <w:lvl w:ilvl="4">
      <w:start w:val="1"/>
      <w:numFmt w:val="none"/>
      <w:lvlText w:val="("/>
      <w:lvlJc w:val="left"/>
      <w:pPr>
        <w:tabs>
          <w:tab w:val="num" w:pos="6515"/>
        </w:tabs>
        <w:ind w:left="6515" w:hanging="709"/>
      </w:pPr>
      <w:rPr>
        <w:rFonts w:hint="default"/>
      </w:rPr>
    </w:lvl>
    <w:lvl w:ilvl="5">
      <w:start w:val="1"/>
      <w:numFmt w:val="none"/>
      <w:lvlText w:val=""/>
      <w:lvlJc w:val="left"/>
      <w:pPr>
        <w:tabs>
          <w:tab w:val="num" w:pos="7224"/>
        </w:tabs>
        <w:ind w:left="7224" w:hanging="709"/>
      </w:pPr>
      <w:rPr>
        <w:rFonts w:hint="default"/>
      </w:rPr>
    </w:lvl>
    <w:lvl w:ilvl="6">
      <w:start w:val="1"/>
      <w:numFmt w:val="none"/>
      <w:lvlText w:val=""/>
      <w:lvlJc w:val="left"/>
      <w:pPr>
        <w:tabs>
          <w:tab w:val="num" w:pos="7933"/>
        </w:tabs>
        <w:ind w:left="7933" w:hanging="709"/>
      </w:pPr>
      <w:rPr>
        <w:rFonts w:hint="default"/>
      </w:rPr>
    </w:lvl>
    <w:lvl w:ilvl="7">
      <w:start w:val="1"/>
      <w:numFmt w:val="none"/>
      <w:lvlText w:val=""/>
      <w:lvlJc w:val="left"/>
      <w:pPr>
        <w:tabs>
          <w:tab w:val="num" w:pos="8642"/>
        </w:tabs>
        <w:ind w:left="8642" w:hanging="709"/>
      </w:pPr>
      <w:rPr>
        <w:rFonts w:hint="default"/>
      </w:rPr>
    </w:lvl>
    <w:lvl w:ilvl="8">
      <w:start w:val="1"/>
      <w:numFmt w:val="none"/>
      <w:lvlText w:val=""/>
      <w:lvlJc w:val="left"/>
      <w:pPr>
        <w:tabs>
          <w:tab w:val="num" w:pos="9362"/>
        </w:tabs>
        <w:ind w:left="9362" w:hanging="720"/>
      </w:pPr>
      <w:rPr>
        <w:rFonts w:hint="default"/>
      </w:rPr>
    </w:lvl>
  </w:abstractNum>
  <w:abstractNum w:abstractNumId="9" w15:restartNumberingAfterBreak="0">
    <w:nsid w:val="58A73A84"/>
    <w:multiLevelType w:val="multilevel"/>
    <w:tmpl w:val="D99844A6"/>
    <w:lvl w:ilvl="0">
      <w:start w:val="1"/>
      <w:numFmt w:val="decimal"/>
      <w:pStyle w:val="level10"/>
      <w:lvlText w:val="%1."/>
      <w:lvlJc w:val="left"/>
      <w:pPr>
        <w:tabs>
          <w:tab w:val="num" w:pos="720"/>
        </w:tabs>
        <w:ind w:left="720" w:hanging="720"/>
      </w:pPr>
    </w:lvl>
    <w:lvl w:ilvl="1">
      <w:start w:val="1"/>
      <w:numFmt w:val="decimal"/>
      <w:lvlText w:val="%1.%2"/>
      <w:lvlJc w:val="left"/>
      <w:pPr>
        <w:tabs>
          <w:tab w:val="num" w:pos="1440"/>
        </w:tabs>
        <w:ind w:left="1440" w:hanging="1440"/>
      </w:pPr>
    </w:lvl>
    <w:lvl w:ilvl="2">
      <w:start w:val="1"/>
      <w:numFmt w:val="decimal"/>
      <w:pStyle w:val="level30"/>
      <w:lvlText w:val="%1.%2.%3"/>
      <w:lvlJc w:val="left"/>
      <w:pPr>
        <w:tabs>
          <w:tab w:val="num" w:pos="2160"/>
        </w:tabs>
        <w:ind w:left="2160" w:hanging="2160"/>
      </w:pPr>
    </w:lvl>
    <w:lvl w:ilvl="3">
      <w:start w:val="1"/>
      <w:numFmt w:val="decimal"/>
      <w:lvlText w:val="%1.%2.%3.%4"/>
      <w:lvlJc w:val="left"/>
      <w:pPr>
        <w:tabs>
          <w:tab w:val="num" w:pos="2880"/>
        </w:tabs>
        <w:ind w:left="2880" w:hanging="2880"/>
      </w:pPr>
    </w:lvl>
    <w:lvl w:ilvl="4">
      <w:start w:val="1"/>
      <w:numFmt w:val="decimal"/>
      <w:pStyle w:val="level5"/>
      <w:lvlText w:val="%1.%2.%3.%4.%5"/>
      <w:lvlJc w:val="left"/>
      <w:pPr>
        <w:tabs>
          <w:tab w:val="num" w:pos="3600"/>
        </w:tabs>
        <w:ind w:left="3600" w:hanging="3600"/>
      </w:pPr>
    </w:lvl>
    <w:lvl w:ilvl="5">
      <w:start w:val="1"/>
      <w:numFmt w:val="decimal"/>
      <w:pStyle w:val="level6"/>
      <w:lvlText w:val="%1.%2.%3.%4.%5.%6"/>
      <w:lvlJc w:val="left"/>
      <w:pPr>
        <w:tabs>
          <w:tab w:val="num" w:pos="4320"/>
        </w:tabs>
        <w:ind w:left="4320" w:hanging="4320"/>
      </w:pPr>
    </w:lvl>
    <w:lvl w:ilvl="6">
      <w:start w:val="1"/>
      <w:numFmt w:val="decimal"/>
      <w:pStyle w:val="level7"/>
      <w:lvlText w:val="%1.%2.%3.%4.%5.%6.%7"/>
      <w:lvlJc w:val="left"/>
      <w:pPr>
        <w:tabs>
          <w:tab w:val="num" w:pos="5040"/>
        </w:tabs>
        <w:ind w:left="5040" w:hanging="5040"/>
      </w:p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5E077CF7"/>
    <w:multiLevelType w:val="hybridMultilevel"/>
    <w:tmpl w:val="D5F813FA"/>
    <w:lvl w:ilvl="0" w:tplc="826CEC10">
      <w:start w:val="1"/>
      <w:numFmt w:val="upperLetter"/>
      <w:pStyle w:val="Head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A61A9B"/>
    <w:multiLevelType w:val="multilevel"/>
    <w:tmpl w:val="EE40C358"/>
    <w:lvl w:ilvl="0">
      <w:start w:val="1"/>
      <w:numFmt w:val="upperLetter"/>
      <w:lvlText w:val="%1."/>
      <w:lvlJc w:val="left"/>
      <w:pPr>
        <w:tabs>
          <w:tab w:val="num" w:pos="720"/>
        </w:tabs>
        <w:ind w:left="720" w:hanging="720"/>
      </w:pPr>
      <w:rPr>
        <w:rFonts w:ascii="Univers" w:hAnsi="Univers" w:hint="default"/>
        <w:b w:val="0"/>
        <w:i w:val="0"/>
        <w:sz w:val="24"/>
      </w:rPr>
    </w:lvl>
    <w:lvl w:ilvl="1">
      <w:start w:val="1"/>
      <w:numFmt w:val="decimal"/>
      <w:lvlText w:val="%1.%2"/>
      <w:lvlJc w:val="left"/>
      <w:pPr>
        <w:tabs>
          <w:tab w:val="num" w:pos="1440"/>
        </w:tabs>
        <w:ind w:left="1440" w:hanging="1440"/>
      </w:pPr>
    </w:lvl>
    <w:lvl w:ilvl="2">
      <w:start w:val="1"/>
      <w:numFmt w:val="decimal"/>
      <w:pStyle w:val="Clause4"/>
      <w:lvlText w:val="%1.%2.%3"/>
      <w:lvlJc w:val="left"/>
      <w:pPr>
        <w:tabs>
          <w:tab w:val="num" w:pos="2160"/>
        </w:tabs>
        <w:ind w:left="2160" w:hanging="2160"/>
      </w:pPr>
    </w:lvl>
    <w:lvl w:ilvl="3">
      <w:start w:val="1"/>
      <w:numFmt w:val="decimal"/>
      <w:pStyle w:val="Clause4"/>
      <w:lvlText w:val="%1.%2.%3.%4"/>
      <w:lvlJc w:val="left"/>
      <w:pPr>
        <w:tabs>
          <w:tab w:val="num" w:pos="2880"/>
        </w:tabs>
        <w:ind w:left="2880" w:hanging="2880"/>
      </w:pPr>
      <w:rPr>
        <w:rFonts w:ascii="Univers" w:hAnsi="Univer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600"/>
        </w:tabs>
        <w:ind w:left="3600" w:hanging="3600"/>
      </w:pPr>
    </w:lvl>
    <w:lvl w:ilvl="5">
      <w:start w:val="1"/>
      <w:numFmt w:val="decimal"/>
      <w:lvlText w:val="%1.%2.%3.%4.%5.%6"/>
      <w:lvlJc w:val="left"/>
      <w:pPr>
        <w:tabs>
          <w:tab w:val="num" w:pos="4320"/>
        </w:tabs>
        <w:ind w:left="4320" w:hanging="4320"/>
      </w:pPr>
    </w:lvl>
    <w:lvl w:ilvl="6">
      <w:start w:val="1"/>
      <w:numFmt w:val="decimal"/>
      <w:lvlText w:val="%1.%2.%3.%4.%5.%6.%7"/>
      <w:lvlJc w:val="left"/>
      <w:pPr>
        <w:tabs>
          <w:tab w:val="num" w:pos="5040"/>
        </w:tabs>
        <w:ind w:left="5040" w:hanging="5040"/>
      </w:pPr>
    </w:lvl>
    <w:lvl w:ilvl="7">
      <w:start w:val="1"/>
      <w:numFmt w:val="decimal"/>
      <w:lvlText w:val="%1.%2.%3.%4.%5.%6.%7.%8"/>
      <w:lvlJc w:val="left"/>
      <w:pPr>
        <w:tabs>
          <w:tab w:val="num" w:pos="5760"/>
        </w:tabs>
        <w:ind w:left="5760" w:hanging="5760"/>
      </w:pPr>
    </w:lvl>
    <w:lvl w:ilvl="8">
      <w:start w:val="1"/>
      <w:numFmt w:val="decimal"/>
      <w:lvlText w:val="%1.%2.%3.%4.%5.%6.%7.%8.%9"/>
      <w:lvlJc w:val="left"/>
      <w:pPr>
        <w:tabs>
          <w:tab w:val="num" w:pos="6480"/>
        </w:tabs>
        <w:ind w:left="6480" w:hanging="6480"/>
      </w:pPr>
    </w:lvl>
  </w:abstractNum>
  <w:abstractNum w:abstractNumId="12" w15:restartNumberingAfterBreak="0">
    <w:nsid w:val="64A61304"/>
    <w:multiLevelType w:val="multilevel"/>
    <w:tmpl w:val="104A3CB6"/>
    <w:lvl w:ilvl="0">
      <w:start w:val="1"/>
      <w:numFmt w:val="decimal"/>
      <w:pStyle w:val="WLGLevel1"/>
      <w:lvlText w:val="%1."/>
      <w:lvlJc w:val="left"/>
      <w:pPr>
        <w:tabs>
          <w:tab w:val="num" w:pos="648"/>
        </w:tabs>
        <w:ind w:left="648" w:hanging="648"/>
      </w:pPr>
      <w:rPr>
        <w:rFonts w:hint="default"/>
        <w:b w:val="0"/>
        <w:i w:val="0"/>
      </w:rPr>
    </w:lvl>
    <w:lvl w:ilvl="1">
      <w:start w:val="1"/>
      <w:numFmt w:val="decimal"/>
      <w:pStyle w:val="WLGLevel2"/>
      <w:lvlText w:val="%1.%2"/>
      <w:lvlJc w:val="left"/>
      <w:pPr>
        <w:tabs>
          <w:tab w:val="num" w:pos="1584"/>
        </w:tabs>
        <w:ind w:left="1584" w:hanging="936"/>
      </w:pPr>
      <w:rPr>
        <w:rFonts w:hint="default"/>
        <w:b w:val="0"/>
        <w:i w:val="0"/>
      </w:rPr>
    </w:lvl>
    <w:lvl w:ilvl="2">
      <w:start w:val="1"/>
      <w:numFmt w:val="decimal"/>
      <w:pStyle w:val="WLGLevel3"/>
      <w:lvlText w:val="%1.%2.%3"/>
      <w:lvlJc w:val="left"/>
      <w:pPr>
        <w:tabs>
          <w:tab w:val="num" w:pos="2664"/>
        </w:tabs>
        <w:ind w:left="2664" w:hanging="108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13" w15:restartNumberingAfterBreak="0">
    <w:nsid w:val="6BD17F80"/>
    <w:multiLevelType w:val="hybridMultilevel"/>
    <w:tmpl w:val="48A8BF86"/>
    <w:lvl w:ilvl="0" w:tplc="605ABA1C">
      <w:start w:val="1"/>
      <w:numFmt w:val="decimal"/>
      <w:pStyle w:val="level11"/>
      <w:lvlText w:val="[%1]"/>
      <w:lvlJc w:val="left"/>
      <w:pPr>
        <w:ind w:left="360" w:hanging="360"/>
      </w:pPr>
      <w:rPr>
        <w:rFonts w:hint="default"/>
        <w:i w:val="0"/>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71203586"/>
    <w:multiLevelType w:val="multilevel"/>
    <w:tmpl w:val="32B24AB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4EC46C3"/>
    <w:multiLevelType w:val="multilevel"/>
    <w:tmpl w:val="DFB4A732"/>
    <w:lvl w:ilvl="0">
      <w:start w:val="1"/>
      <w:numFmt w:val="decimal"/>
      <w:lvlText w:val="%1."/>
      <w:lvlJc w:val="left"/>
      <w:pPr>
        <w:tabs>
          <w:tab w:val="num" w:pos="1021"/>
        </w:tabs>
        <w:ind w:left="1021" w:hanging="1021"/>
      </w:pPr>
      <w:rPr>
        <w:rFonts w:ascii="Arial" w:hAnsi="Arial" w:hint="default"/>
      </w:rPr>
    </w:lvl>
    <w:lvl w:ilvl="1">
      <w:start w:val="1"/>
      <w:numFmt w:val="decimal"/>
      <w:lvlText w:val="%1.%2."/>
      <w:lvlJc w:val="left"/>
      <w:pPr>
        <w:tabs>
          <w:tab w:val="num" w:pos="1928"/>
        </w:tabs>
        <w:ind w:left="1928" w:hanging="907"/>
      </w:pPr>
      <w:rPr>
        <w:rFonts w:ascii="Arial" w:hAnsi="Arial" w:hint="default"/>
      </w:rPr>
    </w:lvl>
    <w:lvl w:ilvl="2">
      <w:start w:val="1"/>
      <w:numFmt w:val="decimal"/>
      <w:lvlText w:val="%1.%2.%3."/>
      <w:lvlJc w:val="left"/>
      <w:pPr>
        <w:tabs>
          <w:tab w:val="num" w:pos="3402"/>
        </w:tabs>
        <w:ind w:left="3402" w:hanging="1474"/>
      </w:pPr>
      <w:rPr>
        <w:rFonts w:ascii="Arial" w:hAnsi="Arial" w:hint="default"/>
      </w:rPr>
    </w:lvl>
    <w:lvl w:ilvl="3">
      <w:start w:val="1"/>
      <w:numFmt w:val="decimal"/>
      <w:lvlText w:val="%1.%2.%3.%4."/>
      <w:lvlJc w:val="left"/>
      <w:pPr>
        <w:tabs>
          <w:tab w:val="num" w:pos="4820"/>
        </w:tabs>
        <w:ind w:left="4820" w:hanging="17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64C0496"/>
    <w:multiLevelType w:val="multilevel"/>
    <w:tmpl w:val="D6E00B6E"/>
    <w:lvl w:ilvl="0">
      <w:start w:val="1"/>
      <w:numFmt w:val="decimal"/>
      <w:pStyle w:val="ParaLv1"/>
      <w:lvlText w:val="%1."/>
      <w:lvlJc w:val="left"/>
      <w:pPr>
        <w:ind w:left="360" w:hanging="360"/>
      </w:pPr>
      <w:rPr>
        <w:b w:val="0"/>
      </w:rPr>
    </w:lvl>
    <w:lvl w:ilvl="1">
      <w:start w:val="1"/>
      <w:numFmt w:val="decimal"/>
      <w:pStyle w:val="ParaLv2"/>
      <w:lvlText w:val="%1.%2."/>
      <w:lvlJc w:val="left"/>
      <w:pPr>
        <w:ind w:left="792" w:hanging="432"/>
      </w:pPr>
    </w:lvl>
    <w:lvl w:ilvl="2">
      <w:start w:val="1"/>
      <w:numFmt w:val="decimal"/>
      <w:pStyle w:val="ParaLv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11270230">
    <w:abstractNumId w:val="13"/>
  </w:num>
  <w:num w:numId="2" w16cid:durableId="1740664352">
    <w:abstractNumId w:val="6"/>
  </w:num>
  <w:num w:numId="3" w16cid:durableId="100998590">
    <w:abstractNumId w:val="1"/>
  </w:num>
  <w:num w:numId="4" w16cid:durableId="1875801716">
    <w:abstractNumId w:val="8"/>
  </w:num>
  <w:num w:numId="5" w16cid:durableId="267470512">
    <w:abstractNumId w:val="15"/>
  </w:num>
  <w:num w:numId="6" w16cid:durableId="1692754092">
    <w:abstractNumId w:val="7"/>
  </w:num>
  <w:num w:numId="7" w16cid:durableId="615794713">
    <w:abstractNumId w:val="3"/>
  </w:num>
  <w:num w:numId="8" w16cid:durableId="1257709098">
    <w:abstractNumId w:val="14"/>
  </w:num>
  <w:num w:numId="9" w16cid:durableId="2102406297">
    <w:abstractNumId w:val="0"/>
  </w:num>
  <w:num w:numId="10" w16cid:durableId="607081987">
    <w:abstractNumId w:val="11"/>
  </w:num>
  <w:num w:numId="11" w16cid:durableId="753627895">
    <w:abstractNumId w:val="9"/>
  </w:num>
  <w:num w:numId="12" w16cid:durableId="1033652443">
    <w:abstractNumId w:val="4"/>
  </w:num>
  <w:num w:numId="13" w16cid:durableId="1790465974">
    <w:abstractNumId w:val="12"/>
  </w:num>
  <w:num w:numId="14" w16cid:durableId="12196832">
    <w:abstractNumId w:val="5"/>
  </w:num>
  <w:num w:numId="15" w16cid:durableId="1141079163">
    <w:abstractNumId w:val="2"/>
  </w:num>
  <w:num w:numId="16" w16cid:durableId="176039102">
    <w:abstractNumId w:val="10"/>
  </w:num>
  <w:num w:numId="17" w16cid:durableId="57634542">
    <w:abstractNumId w:val="16"/>
  </w:num>
  <w:num w:numId="18" w16cid:durableId="4575764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697"/>
    <w:rsid w:val="00023771"/>
    <w:rsid w:val="00024FC1"/>
    <w:rsid w:val="000438ED"/>
    <w:rsid w:val="00045763"/>
    <w:rsid w:val="000464BE"/>
    <w:rsid w:val="000475AF"/>
    <w:rsid w:val="000475EE"/>
    <w:rsid w:val="000513BF"/>
    <w:rsid w:val="000648E9"/>
    <w:rsid w:val="00082D63"/>
    <w:rsid w:val="0008533F"/>
    <w:rsid w:val="000A178C"/>
    <w:rsid w:val="000A55CF"/>
    <w:rsid w:val="000B24E3"/>
    <w:rsid w:val="000B66AC"/>
    <w:rsid w:val="00112298"/>
    <w:rsid w:val="00113742"/>
    <w:rsid w:val="00113EEB"/>
    <w:rsid w:val="00153886"/>
    <w:rsid w:val="00154574"/>
    <w:rsid w:val="00167A0B"/>
    <w:rsid w:val="001727C2"/>
    <w:rsid w:val="00183678"/>
    <w:rsid w:val="001A5675"/>
    <w:rsid w:val="001D22A7"/>
    <w:rsid w:val="001E065D"/>
    <w:rsid w:val="001E2697"/>
    <w:rsid w:val="001F7B1C"/>
    <w:rsid w:val="002074FA"/>
    <w:rsid w:val="00213726"/>
    <w:rsid w:val="00213F7A"/>
    <w:rsid w:val="00215AA6"/>
    <w:rsid w:val="002168B8"/>
    <w:rsid w:val="0022120A"/>
    <w:rsid w:val="00237065"/>
    <w:rsid w:val="002427BA"/>
    <w:rsid w:val="00245037"/>
    <w:rsid w:val="00262A25"/>
    <w:rsid w:val="00281B68"/>
    <w:rsid w:val="00282F45"/>
    <w:rsid w:val="00296616"/>
    <w:rsid w:val="002C3752"/>
    <w:rsid w:val="002D2601"/>
    <w:rsid w:val="002E16E1"/>
    <w:rsid w:val="002E227C"/>
    <w:rsid w:val="002F5BC6"/>
    <w:rsid w:val="0030037A"/>
    <w:rsid w:val="00304C31"/>
    <w:rsid w:val="00311384"/>
    <w:rsid w:val="00323F34"/>
    <w:rsid w:val="00323F4C"/>
    <w:rsid w:val="0036314B"/>
    <w:rsid w:val="00383D1C"/>
    <w:rsid w:val="0039420D"/>
    <w:rsid w:val="003A327B"/>
    <w:rsid w:val="003D0282"/>
    <w:rsid w:val="004165E5"/>
    <w:rsid w:val="0044622C"/>
    <w:rsid w:val="00456FA9"/>
    <w:rsid w:val="0045799A"/>
    <w:rsid w:val="0047094E"/>
    <w:rsid w:val="00495184"/>
    <w:rsid w:val="004A0816"/>
    <w:rsid w:val="004A315A"/>
    <w:rsid w:val="004A729C"/>
    <w:rsid w:val="004B049A"/>
    <w:rsid w:val="004B04FB"/>
    <w:rsid w:val="004C5B89"/>
    <w:rsid w:val="004D07FF"/>
    <w:rsid w:val="004D55A8"/>
    <w:rsid w:val="004D64E9"/>
    <w:rsid w:val="004E41B6"/>
    <w:rsid w:val="004E44ED"/>
    <w:rsid w:val="00503815"/>
    <w:rsid w:val="0051033C"/>
    <w:rsid w:val="005108AD"/>
    <w:rsid w:val="005565ED"/>
    <w:rsid w:val="00582B78"/>
    <w:rsid w:val="0059519B"/>
    <w:rsid w:val="00595286"/>
    <w:rsid w:val="00597BC8"/>
    <w:rsid w:val="005A0267"/>
    <w:rsid w:val="005A2434"/>
    <w:rsid w:val="005A2E08"/>
    <w:rsid w:val="005E0BBF"/>
    <w:rsid w:val="005F4B7D"/>
    <w:rsid w:val="005F66BD"/>
    <w:rsid w:val="00601C8D"/>
    <w:rsid w:val="00613C03"/>
    <w:rsid w:val="006224E5"/>
    <w:rsid w:val="006524B7"/>
    <w:rsid w:val="006574C4"/>
    <w:rsid w:val="006616E5"/>
    <w:rsid w:val="00675F19"/>
    <w:rsid w:val="00686094"/>
    <w:rsid w:val="006E5DD9"/>
    <w:rsid w:val="00726F48"/>
    <w:rsid w:val="00730082"/>
    <w:rsid w:val="00732694"/>
    <w:rsid w:val="00736912"/>
    <w:rsid w:val="00761D84"/>
    <w:rsid w:val="00762082"/>
    <w:rsid w:val="007703BA"/>
    <w:rsid w:val="00772D6C"/>
    <w:rsid w:val="00784EEB"/>
    <w:rsid w:val="00792FE0"/>
    <w:rsid w:val="00797DC5"/>
    <w:rsid w:val="007F6883"/>
    <w:rsid w:val="0081304A"/>
    <w:rsid w:val="0085493C"/>
    <w:rsid w:val="00866093"/>
    <w:rsid w:val="00880CB2"/>
    <w:rsid w:val="00890203"/>
    <w:rsid w:val="008B7443"/>
    <w:rsid w:val="008C1464"/>
    <w:rsid w:val="008C2A94"/>
    <w:rsid w:val="008D0C14"/>
    <w:rsid w:val="008D22FE"/>
    <w:rsid w:val="008E2738"/>
    <w:rsid w:val="008E60E0"/>
    <w:rsid w:val="008F1D74"/>
    <w:rsid w:val="00900064"/>
    <w:rsid w:val="0090160B"/>
    <w:rsid w:val="00951327"/>
    <w:rsid w:val="00974FC8"/>
    <w:rsid w:val="00983F52"/>
    <w:rsid w:val="009845B6"/>
    <w:rsid w:val="009942E6"/>
    <w:rsid w:val="009948E9"/>
    <w:rsid w:val="009B4A5F"/>
    <w:rsid w:val="009C0601"/>
    <w:rsid w:val="009C08E4"/>
    <w:rsid w:val="009C2614"/>
    <w:rsid w:val="009D0FD4"/>
    <w:rsid w:val="009D5517"/>
    <w:rsid w:val="009E11DF"/>
    <w:rsid w:val="009E5EA6"/>
    <w:rsid w:val="00A173DA"/>
    <w:rsid w:val="00A22BCB"/>
    <w:rsid w:val="00A326BA"/>
    <w:rsid w:val="00A35007"/>
    <w:rsid w:val="00A73B34"/>
    <w:rsid w:val="00A85579"/>
    <w:rsid w:val="00AA3057"/>
    <w:rsid w:val="00AA3B09"/>
    <w:rsid w:val="00AC40DB"/>
    <w:rsid w:val="00AE241A"/>
    <w:rsid w:val="00AF401B"/>
    <w:rsid w:val="00B10F79"/>
    <w:rsid w:val="00B25991"/>
    <w:rsid w:val="00B40203"/>
    <w:rsid w:val="00B56867"/>
    <w:rsid w:val="00B767A4"/>
    <w:rsid w:val="00B90702"/>
    <w:rsid w:val="00B948AF"/>
    <w:rsid w:val="00BA26F8"/>
    <w:rsid w:val="00BB3897"/>
    <w:rsid w:val="00BC1ADA"/>
    <w:rsid w:val="00BC5590"/>
    <w:rsid w:val="00BD0BCB"/>
    <w:rsid w:val="00BD17F1"/>
    <w:rsid w:val="00BE1A40"/>
    <w:rsid w:val="00BE334B"/>
    <w:rsid w:val="00BE3AA8"/>
    <w:rsid w:val="00BE7DD6"/>
    <w:rsid w:val="00BF2F6C"/>
    <w:rsid w:val="00BF672B"/>
    <w:rsid w:val="00C03CD3"/>
    <w:rsid w:val="00C03D17"/>
    <w:rsid w:val="00C12693"/>
    <w:rsid w:val="00C15987"/>
    <w:rsid w:val="00C21DDA"/>
    <w:rsid w:val="00C23A22"/>
    <w:rsid w:val="00C83782"/>
    <w:rsid w:val="00C853FE"/>
    <w:rsid w:val="00CA52B0"/>
    <w:rsid w:val="00CB1EED"/>
    <w:rsid w:val="00CC6EA2"/>
    <w:rsid w:val="00CE488B"/>
    <w:rsid w:val="00CE7D1A"/>
    <w:rsid w:val="00D05D34"/>
    <w:rsid w:val="00D06735"/>
    <w:rsid w:val="00D17372"/>
    <w:rsid w:val="00D26835"/>
    <w:rsid w:val="00D27B1F"/>
    <w:rsid w:val="00D36AAA"/>
    <w:rsid w:val="00D45AD8"/>
    <w:rsid w:val="00D5293E"/>
    <w:rsid w:val="00D52DFD"/>
    <w:rsid w:val="00D53D04"/>
    <w:rsid w:val="00D5427D"/>
    <w:rsid w:val="00D5483A"/>
    <w:rsid w:val="00D54DFE"/>
    <w:rsid w:val="00DB24C4"/>
    <w:rsid w:val="00DC267F"/>
    <w:rsid w:val="00DD3104"/>
    <w:rsid w:val="00DD5BF2"/>
    <w:rsid w:val="00E011F2"/>
    <w:rsid w:val="00E21656"/>
    <w:rsid w:val="00E35A5B"/>
    <w:rsid w:val="00E36A52"/>
    <w:rsid w:val="00E45FEB"/>
    <w:rsid w:val="00E577DF"/>
    <w:rsid w:val="00E73E4C"/>
    <w:rsid w:val="00EB4FA9"/>
    <w:rsid w:val="00EB5893"/>
    <w:rsid w:val="00EC7CEF"/>
    <w:rsid w:val="00ED2AC9"/>
    <w:rsid w:val="00ED7678"/>
    <w:rsid w:val="00F05EE6"/>
    <w:rsid w:val="00F132D8"/>
    <w:rsid w:val="00F16423"/>
    <w:rsid w:val="00F37B2B"/>
    <w:rsid w:val="00F44AF4"/>
    <w:rsid w:val="00F70BDB"/>
    <w:rsid w:val="00F7789F"/>
    <w:rsid w:val="00F804C0"/>
    <w:rsid w:val="00FC2B9E"/>
    <w:rsid w:val="00FD12A4"/>
    <w:rsid w:val="00FE131B"/>
    <w:rsid w:val="00FE6250"/>
    <w:rsid w:val="00FE68C3"/>
    <w:rsid w:val="00FE6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AF172"/>
  <w15:chartTrackingRefBased/>
  <w15:docId w15:val="{524ABE92-806E-43CA-BCB0-5264B3042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697"/>
    <w:pPr>
      <w:spacing w:after="0" w:line="240" w:lineRule="auto"/>
    </w:pPr>
    <w:rPr>
      <w:rFonts w:ascii="Arial" w:eastAsia="Times New Roman" w:hAnsi="Arial" w:cs="Times New Roman"/>
      <w:kern w:val="28"/>
      <w:sz w:val="24"/>
      <w:szCs w:val="24"/>
      <w:lang w:val="en-ZA" w:eastAsia="en-GB"/>
    </w:rPr>
  </w:style>
  <w:style w:type="paragraph" w:styleId="Heading1">
    <w:name w:val="heading 1"/>
    <w:basedOn w:val="Normal"/>
    <w:next w:val="Heading2"/>
    <w:link w:val="Heading1Char"/>
    <w:qFormat/>
    <w:rsid w:val="002C3752"/>
    <w:pPr>
      <w:numPr>
        <w:numId w:val="9"/>
      </w:numPr>
      <w:spacing w:before="240" w:after="240" w:line="480" w:lineRule="auto"/>
      <w:jc w:val="both"/>
      <w:outlineLvl w:val="0"/>
    </w:pPr>
    <w:rPr>
      <w:szCs w:val="20"/>
      <w:lang w:val="en-GB" w:eastAsia="en-US"/>
    </w:rPr>
  </w:style>
  <w:style w:type="paragraph" w:styleId="Heading2">
    <w:name w:val="heading 2"/>
    <w:basedOn w:val="Normal"/>
    <w:link w:val="Heading2Char"/>
    <w:qFormat/>
    <w:rsid w:val="002C3752"/>
    <w:pPr>
      <w:numPr>
        <w:ilvl w:val="1"/>
        <w:numId w:val="9"/>
      </w:numPr>
      <w:spacing w:before="240" w:after="240" w:line="480" w:lineRule="auto"/>
      <w:jc w:val="both"/>
      <w:outlineLvl w:val="1"/>
    </w:pPr>
    <w:rPr>
      <w:kern w:val="0"/>
      <w:szCs w:val="20"/>
      <w:lang w:eastAsia="en-US"/>
    </w:rPr>
  </w:style>
  <w:style w:type="paragraph" w:styleId="Heading3">
    <w:name w:val="heading 3"/>
    <w:basedOn w:val="Normal"/>
    <w:link w:val="Heading3Char"/>
    <w:qFormat/>
    <w:rsid w:val="002C3752"/>
    <w:pPr>
      <w:numPr>
        <w:ilvl w:val="2"/>
        <w:numId w:val="9"/>
      </w:numPr>
      <w:spacing w:before="240" w:after="240" w:line="480" w:lineRule="auto"/>
      <w:jc w:val="both"/>
      <w:outlineLvl w:val="2"/>
    </w:pPr>
    <w:rPr>
      <w:kern w:val="0"/>
      <w:szCs w:val="20"/>
      <w:lang w:val="en-GB" w:eastAsia="en-US"/>
    </w:rPr>
  </w:style>
  <w:style w:type="paragraph" w:styleId="Heading4">
    <w:name w:val="heading 4"/>
    <w:basedOn w:val="Normal"/>
    <w:link w:val="Heading4Char"/>
    <w:qFormat/>
    <w:rsid w:val="002C3752"/>
    <w:pPr>
      <w:numPr>
        <w:ilvl w:val="3"/>
        <w:numId w:val="9"/>
      </w:numPr>
      <w:spacing w:before="240" w:after="240" w:line="480" w:lineRule="auto"/>
      <w:jc w:val="both"/>
      <w:outlineLvl w:val="3"/>
    </w:pPr>
    <w:rPr>
      <w:kern w:val="0"/>
      <w:szCs w:val="20"/>
      <w:lang w:val="en-GB" w:eastAsia="en-US"/>
    </w:rPr>
  </w:style>
  <w:style w:type="paragraph" w:styleId="Heading5">
    <w:name w:val="heading 5"/>
    <w:basedOn w:val="Normal"/>
    <w:link w:val="Heading5Char"/>
    <w:qFormat/>
    <w:rsid w:val="002C3752"/>
    <w:pPr>
      <w:numPr>
        <w:ilvl w:val="4"/>
        <w:numId w:val="9"/>
      </w:numPr>
      <w:spacing w:before="240" w:after="240" w:line="480" w:lineRule="auto"/>
      <w:jc w:val="both"/>
      <w:outlineLvl w:val="4"/>
    </w:pPr>
    <w:rPr>
      <w:kern w:val="0"/>
      <w:szCs w:val="20"/>
      <w:lang w:val="en-GB" w:eastAsia="en-US"/>
    </w:rPr>
  </w:style>
  <w:style w:type="paragraph" w:styleId="Heading6">
    <w:name w:val="heading 6"/>
    <w:basedOn w:val="Normal"/>
    <w:link w:val="Heading6Char"/>
    <w:qFormat/>
    <w:rsid w:val="002C3752"/>
    <w:pPr>
      <w:spacing w:before="240" w:after="60" w:line="480" w:lineRule="auto"/>
      <w:jc w:val="both"/>
      <w:outlineLvl w:val="5"/>
    </w:pPr>
    <w:rPr>
      <w:i/>
      <w:kern w:val="0"/>
      <w:szCs w:val="20"/>
      <w:lang w:val="en-GB" w:eastAsia="en-US"/>
    </w:rPr>
  </w:style>
  <w:style w:type="paragraph" w:styleId="Heading7">
    <w:name w:val="heading 7"/>
    <w:basedOn w:val="Normal"/>
    <w:link w:val="Heading7Char"/>
    <w:qFormat/>
    <w:rsid w:val="002C3752"/>
    <w:pPr>
      <w:spacing w:before="240" w:after="60" w:line="480" w:lineRule="auto"/>
      <w:jc w:val="both"/>
      <w:outlineLvl w:val="6"/>
    </w:pPr>
    <w:rPr>
      <w:kern w:val="0"/>
      <w:szCs w:val="20"/>
      <w:lang w:val="en-GB" w:eastAsia="en-US"/>
    </w:rPr>
  </w:style>
  <w:style w:type="paragraph" w:styleId="Heading8">
    <w:name w:val="heading 8"/>
    <w:basedOn w:val="Normal"/>
    <w:link w:val="Heading8Char"/>
    <w:qFormat/>
    <w:rsid w:val="002C3752"/>
    <w:pPr>
      <w:spacing w:before="240" w:after="60" w:line="480" w:lineRule="auto"/>
      <w:jc w:val="both"/>
      <w:outlineLvl w:val="7"/>
    </w:pPr>
    <w:rPr>
      <w:i/>
      <w:kern w:val="0"/>
      <w:szCs w:val="20"/>
      <w:lang w:val="en-GB" w:eastAsia="en-US"/>
    </w:rPr>
  </w:style>
  <w:style w:type="paragraph" w:styleId="Heading9">
    <w:name w:val="heading 9"/>
    <w:basedOn w:val="Normal"/>
    <w:next w:val="Normal"/>
    <w:link w:val="Heading9Char"/>
    <w:qFormat/>
    <w:rsid w:val="002C3752"/>
    <w:pPr>
      <w:spacing w:before="240" w:after="60" w:line="480" w:lineRule="auto"/>
      <w:jc w:val="both"/>
      <w:outlineLvl w:val="8"/>
    </w:pPr>
    <w:rPr>
      <w:i/>
      <w:kern w:val="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E2697"/>
    <w:pPr>
      <w:tabs>
        <w:tab w:val="center" w:pos="4680"/>
        <w:tab w:val="right" w:pos="9360"/>
      </w:tabs>
    </w:pPr>
  </w:style>
  <w:style w:type="character" w:customStyle="1" w:styleId="HeaderChar">
    <w:name w:val="Header Char"/>
    <w:basedOn w:val="DefaultParagraphFont"/>
    <w:link w:val="Header"/>
    <w:rsid w:val="001E2697"/>
    <w:rPr>
      <w:rFonts w:ascii="Arial" w:eastAsia="Times New Roman" w:hAnsi="Arial" w:cs="Times New Roman"/>
      <w:kern w:val="28"/>
      <w:sz w:val="24"/>
      <w:szCs w:val="24"/>
      <w:lang w:val="en-ZA" w:eastAsia="en-GB"/>
    </w:rPr>
  </w:style>
  <w:style w:type="paragraph" w:customStyle="1" w:styleId="Tramlines">
    <w:name w:val="Tramlines"/>
    <w:basedOn w:val="Normal"/>
    <w:next w:val="Normal"/>
    <w:rsid w:val="001E2697"/>
    <w:pPr>
      <w:widowControl w:val="0"/>
      <w:pBdr>
        <w:top w:val="single" w:sz="4" w:space="12" w:color="auto"/>
        <w:bottom w:val="single" w:sz="4" w:space="12" w:color="auto"/>
      </w:pBdr>
      <w:jc w:val="center"/>
    </w:pPr>
    <w:rPr>
      <w:b/>
      <w:kern w:val="0"/>
      <w:lang w:eastAsia="en-US"/>
    </w:rPr>
  </w:style>
  <w:style w:type="paragraph" w:styleId="ListParagraph">
    <w:name w:val="List Paragraph"/>
    <w:basedOn w:val="Normal"/>
    <w:link w:val="ListParagraphChar"/>
    <w:uiPriority w:val="34"/>
    <w:qFormat/>
    <w:rsid w:val="001E2697"/>
    <w:pPr>
      <w:spacing w:after="200" w:line="276" w:lineRule="auto"/>
      <w:ind w:left="720"/>
      <w:contextualSpacing/>
    </w:pPr>
    <w:rPr>
      <w:rFonts w:eastAsia="Calibri"/>
      <w:kern w:val="0"/>
      <w:szCs w:val="22"/>
      <w:lang w:eastAsia="en-US"/>
    </w:rPr>
  </w:style>
  <w:style w:type="paragraph" w:customStyle="1" w:styleId="level11">
    <w:name w:val="level1"/>
    <w:basedOn w:val="Normal"/>
    <w:rsid w:val="001E2697"/>
    <w:pPr>
      <w:numPr>
        <w:numId w:val="1"/>
      </w:numPr>
    </w:pPr>
  </w:style>
  <w:style w:type="paragraph" w:styleId="FootnoteText">
    <w:name w:val="footnote text"/>
    <w:aliases w:val="Footnote Text Char Char Char,Footnote Text Char Char,Footnote Text Char1,Footnote Text Char1 Char Char,Footnote Text Char Char Char Char Char,Footnote Text Char Char1 Char Char,Footnote Text Char Char1,Footnote Text Char Char1 Char,fn,Char"/>
    <w:basedOn w:val="Normal"/>
    <w:link w:val="FootnoteTextChar"/>
    <w:uiPriority w:val="99"/>
    <w:unhideWhenUsed/>
    <w:qFormat/>
    <w:rsid w:val="00383D1C"/>
    <w:rPr>
      <w:sz w:val="20"/>
      <w:szCs w:val="20"/>
    </w:rPr>
  </w:style>
  <w:style w:type="character" w:customStyle="1" w:styleId="FootnoteTextChar">
    <w:name w:val="Footnote Text Char"/>
    <w:aliases w:val="Footnote Text Char Char Char Char,Footnote Text Char Char Char1,Footnote Text Char1 Char,Footnote Text Char1 Char Char Char,Footnote Text Char Char Char Char Char Char,Footnote Text Char Char1 Char Char Char,fn Char,Char Char"/>
    <w:basedOn w:val="DefaultParagraphFont"/>
    <w:link w:val="FootnoteText"/>
    <w:uiPriority w:val="99"/>
    <w:rsid w:val="00383D1C"/>
    <w:rPr>
      <w:rFonts w:ascii="Arial" w:eastAsia="Times New Roman" w:hAnsi="Arial" w:cs="Times New Roman"/>
      <w:kern w:val="28"/>
      <w:sz w:val="20"/>
      <w:szCs w:val="20"/>
      <w:lang w:val="en-ZA" w:eastAsia="en-GB"/>
    </w:rPr>
  </w:style>
  <w:style w:type="character" w:styleId="FootnoteReference">
    <w:name w:val="footnote reference"/>
    <w:aliases w:val="Ref,de nota al pie,註腳內容,Footnotes refss,(NECG) Footnote Reference,Bow_Footnote Reference,BL_Footnote Reference,Appel note de bas de page,Footnote Reference + Superscript"/>
    <w:basedOn w:val="DefaultParagraphFont"/>
    <w:uiPriority w:val="99"/>
    <w:unhideWhenUsed/>
    <w:rsid w:val="00383D1C"/>
    <w:rPr>
      <w:vertAlign w:val="superscript"/>
    </w:rPr>
  </w:style>
  <w:style w:type="character" w:customStyle="1" w:styleId="ListParagraphChar">
    <w:name w:val="List Paragraph Char"/>
    <w:basedOn w:val="DefaultParagraphFont"/>
    <w:link w:val="ListParagraph"/>
    <w:uiPriority w:val="34"/>
    <w:rsid w:val="009E5EA6"/>
    <w:rPr>
      <w:rFonts w:ascii="Arial" w:eastAsia="Calibri" w:hAnsi="Arial" w:cs="Times New Roman"/>
      <w:sz w:val="24"/>
      <w:lang w:val="en-ZA"/>
    </w:rPr>
  </w:style>
  <w:style w:type="paragraph" w:customStyle="1" w:styleId="Myown">
    <w:name w:val="My own"/>
    <w:basedOn w:val="Normal"/>
    <w:rsid w:val="00880CB2"/>
    <w:pPr>
      <w:tabs>
        <w:tab w:val="num" w:pos="2970"/>
      </w:tabs>
      <w:spacing w:before="360" w:after="360" w:line="480" w:lineRule="auto"/>
      <w:ind w:left="706" w:hanging="706"/>
      <w:jc w:val="both"/>
    </w:pPr>
    <w:rPr>
      <w:rFonts w:ascii="Times New Roman" w:hAnsi="Times New Roman"/>
      <w:kern w:val="0"/>
      <w:lang w:eastAsia="en-US"/>
    </w:rPr>
  </w:style>
  <w:style w:type="character" w:customStyle="1" w:styleId="Heading1Char">
    <w:name w:val="Heading 1 Char"/>
    <w:basedOn w:val="DefaultParagraphFont"/>
    <w:link w:val="Heading1"/>
    <w:rsid w:val="002C3752"/>
    <w:rPr>
      <w:rFonts w:ascii="Arial" w:eastAsia="Times New Roman" w:hAnsi="Arial" w:cs="Times New Roman"/>
      <w:kern w:val="28"/>
      <w:sz w:val="24"/>
      <w:szCs w:val="20"/>
    </w:rPr>
  </w:style>
  <w:style w:type="character" w:customStyle="1" w:styleId="Heading2Char">
    <w:name w:val="Heading 2 Char"/>
    <w:basedOn w:val="DefaultParagraphFont"/>
    <w:link w:val="Heading2"/>
    <w:rsid w:val="002C3752"/>
    <w:rPr>
      <w:rFonts w:ascii="Arial" w:eastAsia="Times New Roman" w:hAnsi="Arial" w:cs="Times New Roman"/>
      <w:sz w:val="24"/>
      <w:szCs w:val="20"/>
      <w:lang w:val="en-ZA"/>
    </w:rPr>
  </w:style>
  <w:style w:type="character" w:customStyle="1" w:styleId="Heading3Char">
    <w:name w:val="Heading 3 Char"/>
    <w:basedOn w:val="DefaultParagraphFont"/>
    <w:link w:val="Heading3"/>
    <w:rsid w:val="002C3752"/>
    <w:rPr>
      <w:rFonts w:ascii="Arial" w:eastAsia="Times New Roman" w:hAnsi="Arial" w:cs="Times New Roman"/>
      <w:sz w:val="24"/>
      <w:szCs w:val="20"/>
    </w:rPr>
  </w:style>
  <w:style w:type="character" w:customStyle="1" w:styleId="Heading4Char">
    <w:name w:val="Heading 4 Char"/>
    <w:basedOn w:val="DefaultParagraphFont"/>
    <w:link w:val="Heading4"/>
    <w:rsid w:val="002C3752"/>
    <w:rPr>
      <w:rFonts w:ascii="Arial" w:eastAsia="Times New Roman" w:hAnsi="Arial" w:cs="Times New Roman"/>
      <w:sz w:val="24"/>
      <w:szCs w:val="20"/>
    </w:rPr>
  </w:style>
  <w:style w:type="character" w:customStyle="1" w:styleId="Heading5Char">
    <w:name w:val="Heading 5 Char"/>
    <w:basedOn w:val="DefaultParagraphFont"/>
    <w:link w:val="Heading5"/>
    <w:rsid w:val="002C3752"/>
    <w:rPr>
      <w:rFonts w:ascii="Arial" w:eastAsia="Times New Roman" w:hAnsi="Arial" w:cs="Times New Roman"/>
      <w:sz w:val="24"/>
      <w:szCs w:val="20"/>
    </w:rPr>
  </w:style>
  <w:style w:type="character" w:customStyle="1" w:styleId="Heading6Char">
    <w:name w:val="Heading 6 Char"/>
    <w:basedOn w:val="DefaultParagraphFont"/>
    <w:link w:val="Heading6"/>
    <w:rsid w:val="002C3752"/>
    <w:rPr>
      <w:rFonts w:ascii="Arial" w:eastAsia="Times New Roman" w:hAnsi="Arial" w:cs="Times New Roman"/>
      <w:i/>
      <w:sz w:val="24"/>
      <w:szCs w:val="20"/>
    </w:rPr>
  </w:style>
  <w:style w:type="character" w:customStyle="1" w:styleId="Heading7Char">
    <w:name w:val="Heading 7 Char"/>
    <w:basedOn w:val="DefaultParagraphFont"/>
    <w:link w:val="Heading7"/>
    <w:rsid w:val="002C3752"/>
    <w:rPr>
      <w:rFonts w:ascii="Arial" w:eastAsia="Times New Roman" w:hAnsi="Arial" w:cs="Times New Roman"/>
      <w:sz w:val="24"/>
      <w:szCs w:val="20"/>
    </w:rPr>
  </w:style>
  <w:style w:type="character" w:customStyle="1" w:styleId="Heading8Char">
    <w:name w:val="Heading 8 Char"/>
    <w:basedOn w:val="DefaultParagraphFont"/>
    <w:link w:val="Heading8"/>
    <w:rsid w:val="002C3752"/>
    <w:rPr>
      <w:rFonts w:ascii="Arial" w:eastAsia="Times New Roman" w:hAnsi="Arial" w:cs="Times New Roman"/>
      <w:i/>
      <w:sz w:val="24"/>
      <w:szCs w:val="20"/>
    </w:rPr>
  </w:style>
  <w:style w:type="character" w:customStyle="1" w:styleId="Heading9Char">
    <w:name w:val="Heading 9 Char"/>
    <w:basedOn w:val="DefaultParagraphFont"/>
    <w:link w:val="Heading9"/>
    <w:rsid w:val="002C3752"/>
    <w:rPr>
      <w:rFonts w:ascii="Arial" w:eastAsia="Times New Roman" w:hAnsi="Arial" w:cs="Times New Roman"/>
      <w:i/>
      <w:sz w:val="24"/>
      <w:szCs w:val="20"/>
    </w:rPr>
  </w:style>
  <w:style w:type="paragraph" w:customStyle="1" w:styleId="MainHead">
    <w:name w:val="Main Head"/>
    <w:basedOn w:val="Normal"/>
    <w:next w:val="Normal"/>
    <w:rsid w:val="002C3752"/>
    <w:pPr>
      <w:spacing w:before="240" w:after="240" w:line="480" w:lineRule="auto"/>
      <w:jc w:val="center"/>
    </w:pPr>
    <w:rPr>
      <w:b/>
      <w:caps/>
      <w:kern w:val="0"/>
      <w:szCs w:val="20"/>
      <w:u w:val="single"/>
      <w:lang w:val="en-GB" w:eastAsia="en-US"/>
    </w:rPr>
  </w:style>
  <w:style w:type="paragraph" w:customStyle="1" w:styleId="TramHead">
    <w:name w:val="Tram Head"/>
    <w:basedOn w:val="Normal"/>
    <w:rsid w:val="002C3752"/>
    <w:pPr>
      <w:keepNext/>
      <w:pBdr>
        <w:top w:val="single" w:sz="6" w:space="18" w:color="auto"/>
        <w:bottom w:val="single" w:sz="6" w:space="18" w:color="auto"/>
      </w:pBdr>
      <w:spacing w:before="240" w:after="480"/>
      <w:jc w:val="center"/>
    </w:pPr>
    <w:rPr>
      <w:b/>
      <w:caps/>
      <w:szCs w:val="20"/>
      <w:lang w:val="en-GB" w:eastAsia="en-US"/>
    </w:rPr>
  </w:style>
  <w:style w:type="paragraph" w:styleId="Footer">
    <w:name w:val="footer"/>
    <w:basedOn w:val="Normal"/>
    <w:link w:val="FooterChar"/>
    <w:rsid w:val="002C3752"/>
    <w:pPr>
      <w:tabs>
        <w:tab w:val="center" w:pos="4320"/>
        <w:tab w:val="right" w:pos="8640"/>
      </w:tabs>
      <w:spacing w:before="240" w:after="240" w:line="480" w:lineRule="auto"/>
      <w:jc w:val="both"/>
    </w:pPr>
    <w:rPr>
      <w:kern w:val="0"/>
      <w:szCs w:val="20"/>
      <w:lang w:val="en-GB" w:eastAsia="en-US"/>
    </w:rPr>
  </w:style>
  <w:style w:type="character" w:customStyle="1" w:styleId="FooterChar">
    <w:name w:val="Footer Char"/>
    <w:basedOn w:val="DefaultParagraphFont"/>
    <w:link w:val="Footer"/>
    <w:rsid w:val="002C3752"/>
    <w:rPr>
      <w:rFonts w:ascii="Arial" w:eastAsia="Times New Roman" w:hAnsi="Arial" w:cs="Times New Roman"/>
      <w:sz w:val="24"/>
      <w:szCs w:val="20"/>
    </w:rPr>
  </w:style>
  <w:style w:type="character" w:styleId="PageNumber">
    <w:name w:val="page number"/>
    <w:rsid w:val="002C3752"/>
    <w:rPr>
      <w:rFonts w:ascii="Times New Roman" w:hAnsi="Times New Roman"/>
      <w:i/>
      <w:smallCaps/>
      <w:sz w:val="22"/>
    </w:rPr>
  </w:style>
  <w:style w:type="paragraph" w:customStyle="1" w:styleId="Normal1">
    <w:name w:val="Normal1"/>
    <w:basedOn w:val="Normal"/>
    <w:rsid w:val="002C3752"/>
    <w:pPr>
      <w:spacing w:before="720" w:after="240" w:line="480" w:lineRule="auto"/>
    </w:pPr>
    <w:rPr>
      <w:kern w:val="0"/>
      <w:szCs w:val="20"/>
      <w:lang w:val="en-GB" w:eastAsia="en-US"/>
    </w:rPr>
  </w:style>
  <w:style w:type="paragraph" w:styleId="BodyTextIndent">
    <w:name w:val="Body Text Indent"/>
    <w:basedOn w:val="Normal"/>
    <w:link w:val="BodyTextIndentChar"/>
    <w:rsid w:val="002C3752"/>
    <w:pPr>
      <w:pBdr>
        <w:top w:val="single" w:sz="4" w:space="1" w:color="auto"/>
      </w:pBdr>
      <w:spacing w:before="240" w:after="240" w:line="480" w:lineRule="auto"/>
      <w:ind w:left="4254"/>
    </w:pPr>
    <w:rPr>
      <w:b/>
      <w:kern w:val="0"/>
      <w:szCs w:val="20"/>
      <w:lang w:val="en-GB" w:eastAsia="en-US"/>
    </w:rPr>
  </w:style>
  <w:style w:type="character" w:customStyle="1" w:styleId="BodyTextIndentChar">
    <w:name w:val="Body Text Indent Char"/>
    <w:basedOn w:val="DefaultParagraphFont"/>
    <w:link w:val="BodyTextIndent"/>
    <w:rsid w:val="002C3752"/>
    <w:rPr>
      <w:rFonts w:ascii="Arial" w:eastAsia="Times New Roman" w:hAnsi="Arial" w:cs="Times New Roman"/>
      <w:b/>
      <w:sz w:val="24"/>
      <w:szCs w:val="20"/>
    </w:rPr>
  </w:style>
  <w:style w:type="paragraph" w:customStyle="1" w:styleId="Style1">
    <w:name w:val="Style1"/>
    <w:basedOn w:val="Normal"/>
    <w:rsid w:val="002C3752"/>
    <w:pPr>
      <w:spacing w:before="240" w:after="240" w:line="480" w:lineRule="auto"/>
      <w:jc w:val="both"/>
    </w:pPr>
    <w:rPr>
      <w:kern w:val="0"/>
      <w:szCs w:val="20"/>
      <w:lang w:val="en-GB" w:eastAsia="en-US"/>
    </w:rPr>
  </w:style>
  <w:style w:type="paragraph" w:styleId="Title">
    <w:name w:val="Title"/>
    <w:basedOn w:val="Normal"/>
    <w:link w:val="TitleChar"/>
    <w:qFormat/>
    <w:rsid w:val="002C3752"/>
    <w:pPr>
      <w:jc w:val="center"/>
    </w:pPr>
    <w:rPr>
      <w:rFonts w:ascii="Univers" w:hAnsi="Univers"/>
      <w:b/>
      <w:bCs/>
      <w:kern w:val="0"/>
      <w:sz w:val="28"/>
      <w:lang w:val="en-GB" w:eastAsia="en-US"/>
    </w:rPr>
  </w:style>
  <w:style w:type="character" w:customStyle="1" w:styleId="TitleChar">
    <w:name w:val="Title Char"/>
    <w:basedOn w:val="DefaultParagraphFont"/>
    <w:link w:val="Title"/>
    <w:rsid w:val="002C3752"/>
    <w:rPr>
      <w:rFonts w:ascii="Univers" w:eastAsia="Times New Roman" w:hAnsi="Univers" w:cs="Times New Roman"/>
      <w:b/>
      <w:bCs/>
      <w:sz w:val="28"/>
      <w:szCs w:val="24"/>
    </w:rPr>
  </w:style>
  <w:style w:type="paragraph" w:customStyle="1" w:styleId="level10">
    <w:name w:val="level 1"/>
    <w:basedOn w:val="Normal"/>
    <w:next w:val="Normal"/>
    <w:rsid w:val="002C3752"/>
    <w:pPr>
      <w:widowControl w:val="0"/>
      <w:numPr>
        <w:numId w:val="11"/>
      </w:numPr>
      <w:tabs>
        <w:tab w:val="left" w:pos="1440"/>
        <w:tab w:val="left" w:pos="2160"/>
        <w:tab w:val="left" w:pos="2880"/>
        <w:tab w:val="left" w:pos="3600"/>
        <w:tab w:val="left" w:pos="4320"/>
        <w:tab w:val="left" w:pos="5040"/>
        <w:tab w:val="left" w:pos="5760"/>
        <w:tab w:val="right" w:pos="8640"/>
      </w:tabs>
      <w:spacing w:before="360" w:line="360" w:lineRule="auto"/>
      <w:ind w:right="-43"/>
      <w:jc w:val="both"/>
    </w:pPr>
    <w:rPr>
      <w:rFonts w:ascii="Univers" w:hAnsi="Univers"/>
      <w:kern w:val="0"/>
      <w:szCs w:val="20"/>
      <w:lang w:val="en-GB" w:eastAsia="en-US"/>
    </w:rPr>
  </w:style>
  <w:style w:type="paragraph" w:customStyle="1" w:styleId="level20">
    <w:name w:val="level2"/>
    <w:basedOn w:val="Heading4"/>
    <w:next w:val="Normal"/>
    <w:rsid w:val="002C3752"/>
    <w:pPr>
      <w:numPr>
        <w:ilvl w:val="1"/>
        <w:numId w:val="14"/>
      </w:numPr>
      <w:spacing w:after="60"/>
    </w:pPr>
    <w:rPr>
      <w:rFonts w:cs="Arial"/>
      <w:szCs w:val="24"/>
    </w:rPr>
  </w:style>
  <w:style w:type="paragraph" w:customStyle="1" w:styleId="level30">
    <w:name w:val="level3"/>
    <w:basedOn w:val="Heading3"/>
    <w:next w:val="Normal"/>
    <w:rsid w:val="002C3752"/>
    <w:pPr>
      <w:widowControl w:val="0"/>
      <w:numPr>
        <w:numId w:val="11"/>
      </w:numPr>
      <w:tabs>
        <w:tab w:val="right" w:pos="9000"/>
      </w:tabs>
      <w:spacing w:after="0" w:line="360" w:lineRule="auto"/>
    </w:pPr>
    <w:rPr>
      <w:rFonts w:ascii="Univers" w:hAnsi="Univers"/>
    </w:rPr>
  </w:style>
  <w:style w:type="paragraph" w:customStyle="1" w:styleId="level40">
    <w:name w:val="level4"/>
    <w:basedOn w:val="level20"/>
    <w:next w:val="Normal"/>
    <w:rsid w:val="002C3752"/>
    <w:pPr>
      <w:numPr>
        <w:ilvl w:val="2"/>
      </w:numPr>
      <w:spacing w:after="240"/>
    </w:pPr>
  </w:style>
  <w:style w:type="paragraph" w:customStyle="1" w:styleId="level5">
    <w:name w:val="level5"/>
    <w:basedOn w:val="Heading5"/>
    <w:next w:val="Normal"/>
    <w:rsid w:val="002C3752"/>
    <w:pPr>
      <w:keepNext/>
      <w:widowControl w:val="0"/>
      <w:numPr>
        <w:numId w:val="11"/>
      </w:numPr>
      <w:tabs>
        <w:tab w:val="left" w:pos="4320"/>
        <w:tab w:val="left" w:pos="5040"/>
        <w:tab w:val="left" w:pos="5760"/>
      </w:tabs>
      <w:spacing w:after="0" w:line="360" w:lineRule="auto"/>
    </w:pPr>
    <w:rPr>
      <w:rFonts w:ascii="Univers" w:hAnsi="Univers"/>
    </w:rPr>
  </w:style>
  <w:style w:type="paragraph" w:customStyle="1" w:styleId="level6">
    <w:name w:val="level6"/>
    <w:basedOn w:val="Heading6"/>
    <w:next w:val="Normal"/>
    <w:rsid w:val="002C3752"/>
    <w:pPr>
      <w:widowControl w:val="0"/>
      <w:numPr>
        <w:ilvl w:val="5"/>
        <w:numId w:val="11"/>
      </w:numPr>
      <w:tabs>
        <w:tab w:val="left" w:pos="5040"/>
        <w:tab w:val="left" w:pos="5760"/>
      </w:tabs>
      <w:spacing w:after="0" w:line="360" w:lineRule="auto"/>
    </w:pPr>
    <w:rPr>
      <w:rFonts w:ascii="Univers" w:hAnsi="Univers"/>
      <w:i w:val="0"/>
    </w:rPr>
  </w:style>
  <w:style w:type="paragraph" w:customStyle="1" w:styleId="level7">
    <w:name w:val="level7"/>
    <w:basedOn w:val="Heading7"/>
    <w:next w:val="Normal"/>
    <w:rsid w:val="002C3752"/>
    <w:pPr>
      <w:widowControl w:val="0"/>
      <w:numPr>
        <w:ilvl w:val="6"/>
        <w:numId w:val="11"/>
      </w:numPr>
      <w:tabs>
        <w:tab w:val="left" w:pos="5760"/>
      </w:tabs>
      <w:spacing w:after="0" w:line="360" w:lineRule="auto"/>
    </w:pPr>
    <w:rPr>
      <w:rFonts w:ascii="Univers" w:hAnsi="Univers"/>
    </w:rPr>
  </w:style>
  <w:style w:type="paragraph" w:customStyle="1" w:styleId="Clause4">
    <w:name w:val="Clause 4"/>
    <w:basedOn w:val="level40"/>
    <w:autoRedefine/>
    <w:rsid w:val="002C3752"/>
    <w:pPr>
      <w:numPr>
        <w:ilvl w:val="3"/>
        <w:numId w:val="10"/>
      </w:numPr>
      <w:tabs>
        <w:tab w:val="clear" w:pos="2880"/>
        <w:tab w:val="num" w:pos="2160"/>
      </w:tabs>
      <w:ind w:left="2160" w:hanging="2160"/>
    </w:pPr>
  </w:style>
  <w:style w:type="paragraph" w:styleId="BodyText2">
    <w:name w:val="Body Text 2"/>
    <w:basedOn w:val="Normal"/>
    <w:link w:val="BodyText2Char"/>
    <w:rsid w:val="002C3752"/>
    <w:pPr>
      <w:spacing w:before="240" w:after="120" w:line="480" w:lineRule="auto"/>
      <w:jc w:val="both"/>
    </w:pPr>
    <w:rPr>
      <w:kern w:val="0"/>
      <w:szCs w:val="20"/>
      <w:lang w:eastAsia="en-US"/>
    </w:rPr>
  </w:style>
  <w:style w:type="character" w:customStyle="1" w:styleId="BodyText2Char">
    <w:name w:val="Body Text 2 Char"/>
    <w:basedOn w:val="DefaultParagraphFont"/>
    <w:link w:val="BodyText2"/>
    <w:rsid w:val="002C3752"/>
    <w:rPr>
      <w:rFonts w:ascii="Arial" w:eastAsia="Times New Roman" w:hAnsi="Arial" w:cs="Times New Roman"/>
      <w:sz w:val="24"/>
      <w:szCs w:val="20"/>
      <w:lang w:val="en-ZA"/>
    </w:rPr>
  </w:style>
  <w:style w:type="paragraph" w:styleId="DocumentMap">
    <w:name w:val="Document Map"/>
    <w:basedOn w:val="Normal"/>
    <w:link w:val="DocumentMapChar"/>
    <w:semiHidden/>
    <w:rsid w:val="002C3752"/>
    <w:pPr>
      <w:shd w:val="clear" w:color="auto" w:fill="000080"/>
      <w:spacing w:before="240" w:after="240" w:line="480" w:lineRule="auto"/>
      <w:jc w:val="both"/>
    </w:pPr>
    <w:rPr>
      <w:rFonts w:ascii="Tahoma" w:hAnsi="Tahoma" w:cs="Tahoma"/>
      <w:kern w:val="0"/>
      <w:sz w:val="20"/>
      <w:szCs w:val="20"/>
      <w:lang w:val="en-GB" w:eastAsia="en-US"/>
    </w:rPr>
  </w:style>
  <w:style w:type="character" w:customStyle="1" w:styleId="DocumentMapChar">
    <w:name w:val="Document Map Char"/>
    <w:basedOn w:val="DefaultParagraphFont"/>
    <w:link w:val="DocumentMap"/>
    <w:semiHidden/>
    <w:rsid w:val="002C3752"/>
    <w:rPr>
      <w:rFonts w:ascii="Tahoma" w:eastAsia="Times New Roman" w:hAnsi="Tahoma" w:cs="Tahoma"/>
      <w:sz w:val="20"/>
      <w:szCs w:val="20"/>
      <w:shd w:val="clear" w:color="auto" w:fill="000080"/>
    </w:rPr>
  </w:style>
  <w:style w:type="paragraph" w:styleId="BodyText">
    <w:name w:val="Body Text"/>
    <w:basedOn w:val="Normal"/>
    <w:link w:val="BodyTextChar"/>
    <w:rsid w:val="002C3752"/>
    <w:pPr>
      <w:jc w:val="center"/>
    </w:pPr>
    <w:rPr>
      <w:rFonts w:ascii="Times New Roman" w:hAnsi="Times New Roman"/>
      <w:b/>
      <w:bCs/>
      <w:kern w:val="0"/>
      <w:lang w:val="en-GB" w:eastAsia="en-US"/>
    </w:rPr>
  </w:style>
  <w:style w:type="character" w:customStyle="1" w:styleId="BodyTextChar">
    <w:name w:val="Body Text Char"/>
    <w:basedOn w:val="DefaultParagraphFont"/>
    <w:link w:val="BodyText"/>
    <w:rsid w:val="002C3752"/>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2C3752"/>
    <w:pPr>
      <w:spacing w:before="240" w:after="240" w:line="480" w:lineRule="auto"/>
      <w:ind w:left="1440"/>
      <w:jc w:val="both"/>
    </w:pPr>
    <w:rPr>
      <w:rFonts w:cs="Arial"/>
      <w:b/>
      <w:bCs/>
      <w:kern w:val="0"/>
      <w:szCs w:val="20"/>
      <w:lang w:val="en-GB" w:eastAsia="en-US"/>
    </w:rPr>
  </w:style>
  <w:style w:type="character" w:customStyle="1" w:styleId="BodyTextIndent2Char">
    <w:name w:val="Body Text Indent 2 Char"/>
    <w:basedOn w:val="DefaultParagraphFont"/>
    <w:link w:val="BodyTextIndent2"/>
    <w:rsid w:val="002C3752"/>
    <w:rPr>
      <w:rFonts w:ascii="Arial" w:eastAsia="Times New Roman" w:hAnsi="Arial" w:cs="Arial"/>
      <w:b/>
      <w:bCs/>
      <w:sz w:val="24"/>
      <w:szCs w:val="20"/>
    </w:rPr>
  </w:style>
  <w:style w:type="character" w:styleId="CommentReference">
    <w:name w:val="annotation reference"/>
    <w:semiHidden/>
    <w:rsid w:val="002C3752"/>
    <w:rPr>
      <w:sz w:val="16"/>
      <w:szCs w:val="16"/>
    </w:rPr>
  </w:style>
  <w:style w:type="paragraph" w:styleId="CommentText">
    <w:name w:val="annotation text"/>
    <w:basedOn w:val="Normal"/>
    <w:link w:val="CommentTextChar"/>
    <w:semiHidden/>
    <w:rsid w:val="002C3752"/>
    <w:pPr>
      <w:spacing w:before="240" w:after="240" w:line="480" w:lineRule="auto"/>
      <w:jc w:val="both"/>
    </w:pPr>
    <w:rPr>
      <w:kern w:val="0"/>
      <w:sz w:val="20"/>
      <w:szCs w:val="20"/>
      <w:lang w:eastAsia="en-US"/>
    </w:rPr>
  </w:style>
  <w:style w:type="character" w:customStyle="1" w:styleId="CommentTextChar">
    <w:name w:val="Comment Text Char"/>
    <w:basedOn w:val="DefaultParagraphFont"/>
    <w:link w:val="CommentText"/>
    <w:semiHidden/>
    <w:rsid w:val="002C3752"/>
    <w:rPr>
      <w:rFonts w:ascii="Arial" w:eastAsia="Times New Roman" w:hAnsi="Arial" w:cs="Times New Roman"/>
      <w:sz w:val="20"/>
      <w:szCs w:val="20"/>
      <w:lang w:val="en-ZA"/>
    </w:rPr>
  </w:style>
  <w:style w:type="paragraph" w:styleId="CommentSubject">
    <w:name w:val="annotation subject"/>
    <w:basedOn w:val="CommentText"/>
    <w:next w:val="CommentText"/>
    <w:link w:val="CommentSubjectChar"/>
    <w:semiHidden/>
    <w:rsid w:val="002C3752"/>
    <w:rPr>
      <w:b/>
      <w:bCs/>
    </w:rPr>
  </w:style>
  <w:style w:type="character" w:customStyle="1" w:styleId="CommentSubjectChar">
    <w:name w:val="Comment Subject Char"/>
    <w:basedOn w:val="CommentTextChar"/>
    <w:link w:val="CommentSubject"/>
    <w:semiHidden/>
    <w:rsid w:val="002C3752"/>
    <w:rPr>
      <w:rFonts w:ascii="Arial" w:eastAsia="Times New Roman" w:hAnsi="Arial" w:cs="Times New Roman"/>
      <w:b/>
      <w:bCs/>
      <w:sz w:val="20"/>
      <w:szCs w:val="20"/>
      <w:lang w:val="en-ZA"/>
    </w:rPr>
  </w:style>
  <w:style w:type="paragraph" w:styleId="BalloonText">
    <w:name w:val="Balloon Text"/>
    <w:basedOn w:val="Normal"/>
    <w:link w:val="BalloonTextChar"/>
    <w:semiHidden/>
    <w:rsid w:val="002C3752"/>
    <w:pPr>
      <w:spacing w:before="240" w:after="240" w:line="480" w:lineRule="auto"/>
      <w:jc w:val="both"/>
    </w:pPr>
    <w:rPr>
      <w:rFonts w:ascii="Tahoma" w:hAnsi="Tahoma" w:cs="Tahoma"/>
      <w:kern w:val="0"/>
      <w:sz w:val="16"/>
      <w:szCs w:val="16"/>
      <w:lang w:val="en-GB" w:eastAsia="en-US"/>
    </w:rPr>
  </w:style>
  <w:style w:type="character" w:customStyle="1" w:styleId="BalloonTextChar">
    <w:name w:val="Balloon Text Char"/>
    <w:basedOn w:val="DefaultParagraphFont"/>
    <w:link w:val="BalloonText"/>
    <w:semiHidden/>
    <w:rsid w:val="002C3752"/>
    <w:rPr>
      <w:rFonts w:ascii="Tahoma" w:eastAsia="Times New Roman" w:hAnsi="Tahoma" w:cs="Tahoma"/>
      <w:sz w:val="16"/>
      <w:szCs w:val="16"/>
    </w:rPr>
  </w:style>
  <w:style w:type="character" w:styleId="Hyperlink">
    <w:name w:val="Hyperlink"/>
    <w:rsid w:val="002C3752"/>
    <w:rPr>
      <w:color w:val="0000FF"/>
      <w:u w:val="single"/>
    </w:rPr>
  </w:style>
  <w:style w:type="paragraph" w:styleId="NoSpacing">
    <w:name w:val="No Spacing"/>
    <w:uiPriority w:val="1"/>
    <w:qFormat/>
    <w:rsid w:val="002C3752"/>
    <w:pPr>
      <w:spacing w:after="0" w:line="240" w:lineRule="auto"/>
    </w:pPr>
    <w:rPr>
      <w:rFonts w:ascii="Times New Roman" w:eastAsia="PMingLiU" w:hAnsi="Times New Roman" w:cs="Times New Roman"/>
      <w:lang w:val="en-US"/>
    </w:rPr>
  </w:style>
  <w:style w:type="paragraph" w:customStyle="1" w:styleId="1">
    <w:name w:val="1"/>
    <w:basedOn w:val="Normal"/>
    <w:qFormat/>
    <w:rsid w:val="002C3752"/>
    <w:pPr>
      <w:widowControl w:val="0"/>
      <w:numPr>
        <w:numId w:val="12"/>
      </w:numPr>
      <w:suppressAutoHyphens/>
      <w:autoSpaceDN w:val="0"/>
      <w:spacing w:before="480" w:line="480" w:lineRule="auto"/>
      <w:jc w:val="both"/>
      <w:textAlignment w:val="baseline"/>
    </w:pPr>
    <w:rPr>
      <w:rFonts w:eastAsia="WenQuanYi Micro Hei" w:cs="Lohit Hindi"/>
      <w:iCs/>
      <w:kern w:val="0"/>
      <w:szCs w:val="22"/>
      <w:lang w:val="en-GB" w:eastAsia="zh-CN" w:bidi="hi-IN"/>
    </w:rPr>
  </w:style>
  <w:style w:type="paragraph" w:customStyle="1" w:styleId="2">
    <w:name w:val="2"/>
    <w:basedOn w:val="1"/>
    <w:qFormat/>
    <w:rsid w:val="002C3752"/>
    <w:pPr>
      <w:numPr>
        <w:ilvl w:val="1"/>
      </w:numPr>
      <w:spacing w:before="240"/>
    </w:pPr>
  </w:style>
  <w:style w:type="paragraph" w:customStyle="1" w:styleId="3">
    <w:name w:val="3"/>
    <w:basedOn w:val="Normal"/>
    <w:qFormat/>
    <w:rsid w:val="002C3752"/>
    <w:pPr>
      <w:numPr>
        <w:ilvl w:val="2"/>
        <w:numId w:val="12"/>
      </w:numPr>
      <w:spacing w:before="240" w:line="480" w:lineRule="auto"/>
      <w:jc w:val="both"/>
    </w:pPr>
    <w:rPr>
      <w:kern w:val="0"/>
      <w:szCs w:val="16"/>
      <w:lang w:val="en-GB" w:eastAsia="en-ZA"/>
    </w:rPr>
  </w:style>
  <w:style w:type="paragraph" w:customStyle="1" w:styleId="4">
    <w:name w:val="4"/>
    <w:basedOn w:val="Normal"/>
    <w:qFormat/>
    <w:rsid w:val="002C3752"/>
    <w:pPr>
      <w:numPr>
        <w:ilvl w:val="3"/>
        <w:numId w:val="12"/>
      </w:numPr>
      <w:spacing w:before="240" w:line="480" w:lineRule="auto"/>
      <w:jc w:val="both"/>
    </w:pPr>
    <w:rPr>
      <w:iCs/>
      <w:color w:val="000000"/>
      <w:kern w:val="0"/>
      <w:szCs w:val="16"/>
      <w:lang w:val="en-GB" w:eastAsia="en-ZA"/>
    </w:rPr>
  </w:style>
  <w:style w:type="paragraph" w:customStyle="1" w:styleId="5">
    <w:name w:val="5"/>
    <w:basedOn w:val="4"/>
    <w:qFormat/>
    <w:rsid w:val="002C3752"/>
    <w:pPr>
      <w:numPr>
        <w:ilvl w:val="4"/>
      </w:numPr>
    </w:pPr>
  </w:style>
  <w:style w:type="paragraph" w:customStyle="1" w:styleId="WLGLevel1">
    <w:name w:val="WLGLevel1"/>
    <w:basedOn w:val="Normal"/>
    <w:qFormat/>
    <w:rsid w:val="002C3752"/>
    <w:pPr>
      <w:numPr>
        <w:numId w:val="13"/>
      </w:numPr>
      <w:suppressAutoHyphens/>
      <w:spacing w:before="320" w:after="320" w:line="480" w:lineRule="auto"/>
      <w:jc w:val="both"/>
      <w:outlineLvl w:val="0"/>
    </w:pPr>
    <w:rPr>
      <w:kern w:val="0"/>
      <w:szCs w:val="20"/>
      <w:lang w:eastAsia="en-US"/>
    </w:rPr>
  </w:style>
  <w:style w:type="paragraph" w:customStyle="1" w:styleId="WLGLevel2">
    <w:name w:val="WLGLevel2"/>
    <w:basedOn w:val="Normal"/>
    <w:qFormat/>
    <w:rsid w:val="002C3752"/>
    <w:pPr>
      <w:numPr>
        <w:ilvl w:val="1"/>
        <w:numId w:val="13"/>
      </w:numPr>
      <w:suppressAutoHyphens/>
      <w:spacing w:after="320" w:line="480" w:lineRule="auto"/>
      <w:jc w:val="both"/>
      <w:outlineLvl w:val="1"/>
    </w:pPr>
    <w:rPr>
      <w:kern w:val="0"/>
      <w:szCs w:val="20"/>
      <w:lang w:eastAsia="en-US"/>
    </w:rPr>
  </w:style>
  <w:style w:type="paragraph" w:customStyle="1" w:styleId="WLGLevel3">
    <w:name w:val="WLGLevel3"/>
    <w:basedOn w:val="Normal"/>
    <w:qFormat/>
    <w:rsid w:val="002C3752"/>
    <w:pPr>
      <w:numPr>
        <w:ilvl w:val="2"/>
        <w:numId w:val="13"/>
      </w:numPr>
      <w:suppressAutoHyphens/>
      <w:spacing w:after="320" w:line="480" w:lineRule="auto"/>
      <w:jc w:val="both"/>
      <w:outlineLvl w:val="2"/>
    </w:pPr>
    <w:rPr>
      <w:kern w:val="0"/>
      <w:szCs w:val="20"/>
      <w:lang w:eastAsia="en-US"/>
    </w:rPr>
  </w:style>
  <w:style w:type="paragraph" w:customStyle="1" w:styleId="WLGLevel4">
    <w:name w:val="WLGLevel4"/>
    <w:basedOn w:val="Normal"/>
    <w:qFormat/>
    <w:rsid w:val="002C3752"/>
    <w:pPr>
      <w:numPr>
        <w:ilvl w:val="3"/>
        <w:numId w:val="13"/>
      </w:numPr>
      <w:suppressAutoHyphens/>
      <w:spacing w:after="320" w:line="480" w:lineRule="auto"/>
      <w:jc w:val="both"/>
      <w:outlineLvl w:val="3"/>
    </w:pPr>
    <w:rPr>
      <w:kern w:val="0"/>
      <w:szCs w:val="20"/>
      <w:lang w:eastAsia="en-US"/>
    </w:rPr>
  </w:style>
  <w:style w:type="paragraph" w:customStyle="1" w:styleId="WLGLevel5">
    <w:name w:val="WLGLevel5"/>
    <w:basedOn w:val="Normal"/>
    <w:qFormat/>
    <w:rsid w:val="002C3752"/>
    <w:pPr>
      <w:numPr>
        <w:ilvl w:val="4"/>
        <w:numId w:val="13"/>
      </w:numPr>
      <w:suppressAutoHyphens/>
      <w:spacing w:after="320" w:line="480" w:lineRule="auto"/>
      <w:jc w:val="both"/>
      <w:outlineLvl w:val="4"/>
    </w:pPr>
    <w:rPr>
      <w:kern w:val="0"/>
      <w:szCs w:val="20"/>
      <w:lang w:eastAsia="en-US"/>
    </w:rPr>
  </w:style>
  <w:style w:type="character" w:customStyle="1" w:styleId="UnresolvedMention1">
    <w:name w:val="Unresolved Mention1"/>
    <w:basedOn w:val="DefaultParagraphFont"/>
    <w:uiPriority w:val="99"/>
    <w:semiHidden/>
    <w:unhideWhenUsed/>
    <w:rsid w:val="002C3752"/>
    <w:rPr>
      <w:color w:val="605E5C"/>
      <w:shd w:val="clear" w:color="auto" w:fill="E1DFDD"/>
    </w:rPr>
  </w:style>
  <w:style w:type="table" w:customStyle="1" w:styleId="TableGrid1">
    <w:name w:val="Table Grid1"/>
    <w:basedOn w:val="TableNormal"/>
    <w:next w:val="TableGrid"/>
    <w:uiPriority w:val="59"/>
    <w:rsid w:val="002C375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C375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C3752"/>
    <w:pPr>
      <w:spacing w:before="100" w:beforeAutospacing="1" w:after="100" w:afterAutospacing="1"/>
    </w:pPr>
    <w:rPr>
      <w:rFonts w:ascii="Times New Roman" w:eastAsiaTheme="minorEastAsia" w:hAnsi="Times New Roman"/>
      <w:kern w:val="0"/>
      <w:lang w:eastAsia="en-US"/>
    </w:rPr>
  </w:style>
  <w:style w:type="paragraph" w:styleId="Quote">
    <w:name w:val="Quote"/>
    <w:basedOn w:val="Normal"/>
    <w:link w:val="QuoteChar"/>
    <w:uiPriority w:val="29"/>
    <w:qFormat/>
    <w:rsid w:val="002C3752"/>
    <w:pPr>
      <w:widowControl w:val="0"/>
      <w:spacing w:before="120"/>
      <w:ind w:left="1134"/>
      <w:jc w:val="both"/>
    </w:pPr>
    <w:rPr>
      <w:rFonts w:ascii="Century Schoolbook" w:hAnsi="Century Schoolbook"/>
      <w:iCs/>
      <w:color w:val="000000"/>
      <w:kern w:val="0"/>
      <w:szCs w:val="20"/>
      <w:lang w:eastAsia="en-US"/>
    </w:rPr>
  </w:style>
  <w:style w:type="character" w:customStyle="1" w:styleId="QuoteChar">
    <w:name w:val="Quote Char"/>
    <w:basedOn w:val="DefaultParagraphFont"/>
    <w:link w:val="Quote"/>
    <w:uiPriority w:val="29"/>
    <w:rsid w:val="002C3752"/>
    <w:rPr>
      <w:rFonts w:ascii="Century Schoolbook" w:eastAsia="Times New Roman" w:hAnsi="Century Schoolbook" w:cs="Times New Roman"/>
      <w:iCs/>
      <w:color w:val="000000"/>
      <w:sz w:val="24"/>
      <w:szCs w:val="20"/>
      <w:lang w:val="en-ZA"/>
    </w:rPr>
  </w:style>
  <w:style w:type="paragraph" w:customStyle="1" w:styleId="Level1">
    <w:name w:val="Level1"/>
    <w:basedOn w:val="Normal"/>
    <w:link w:val="Level1Char"/>
    <w:qFormat/>
    <w:rsid w:val="002C3752"/>
    <w:pPr>
      <w:numPr>
        <w:numId w:val="15"/>
      </w:numPr>
      <w:suppressAutoHyphens/>
      <w:spacing w:before="360" w:line="480" w:lineRule="auto"/>
      <w:jc w:val="both"/>
    </w:pPr>
    <w:rPr>
      <w:rFonts w:ascii="Century Schoolbook" w:hAnsi="Century Schoolbook"/>
      <w:kern w:val="0"/>
      <w:szCs w:val="20"/>
      <w:lang w:eastAsia="en-US"/>
    </w:rPr>
  </w:style>
  <w:style w:type="character" w:customStyle="1" w:styleId="Level1Char">
    <w:name w:val="Level1 Char"/>
    <w:basedOn w:val="DefaultParagraphFont"/>
    <w:link w:val="Level1"/>
    <w:rsid w:val="002C3752"/>
    <w:rPr>
      <w:rFonts w:ascii="Century Schoolbook" w:eastAsia="Times New Roman" w:hAnsi="Century Schoolbook" w:cs="Times New Roman"/>
      <w:sz w:val="24"/>
      <w:szCs w:val="20"/>
      <w:lang w:val="en-ZA"/>
    </w:rPr>
  </w:style>
  <w:style w:type="paragraph" w:customStyle="1" w:styleId="Level2">
    <w:name w:val="Level2"/>
    <w:basedOn w:val="Normal"/>
    <w:qFormat/>
    <w:rsid w:val="002C3752"/>
    <w:pPr>
      <w:numPr>
        <w:ilvl w:val="1"/>
        <w:numId w:val="15"/>
      </w:numPr>
      <w:suppressAutoHyphens/>
      <w:spacing w:before="360" w:line="480" w:lineRule="auto"/>
      <w:jc w:val="both"/>
    </w:pPr>
    <w:rPr>
      <w:rFonts w:ascii="Century Schoolbook" w:hAnsi="Century Schoolbook"/>
      <w:kern w:val="0"/>
      <w:szCs w:val="20"/>
      <w:lang w:eastAsia="en-US"/>
    </w:rPr>
  </w:style>
  <w:style w:type="paragraph" w:customStyle="1" w:styleId="Level3">
    <w:name w:val="Level3"/>
    <w:basedOn w:val="Level2"/>
    <w:qFormat/>
    <w:rsid w:val="002C3752"/>
    <w:pPr>
      <w:numPr>
        <w:ilvl w:val="2"/>
      </w:numPr>
    </w:pPr>
  </w:style>
  <w:style w:type="paragraph" w:customStyle="1" w:styleId="Heading">
    <w:name w:val="Heading"/>
    <w:basedOn w:val="Normal"/>
    <w:qFormat/>
    <w:rsid w:val="002C3752"/>
    <w:pPr>
      <w:numPr>
        <w:numId w:val="16"/>
      </w:numPr>
      <w:suppressAutoHyphens/>
      <w:spacing w:before="360" w:after="360" w:line="480" w:lineRule="auto"/>
      <w:ind w:left="567" w:hanging="567"/>
      <w:jc w:val="both"/>
    </w:pPr>
    <w:rPr>
      <w:b/>
      <w:caps/>
      <w:kern w:val="0"/>
      <w:szCs w:val="20"/>
      <w:lang w:eastAsia="en-US"/>
    </w:rPr>
  </w:style>
  <w:style w:type="paragraph" w:customStyle="1" w:styleId="Level4">
    <w:name w:val="Level4"/>
    <w:basedOn w:val="Level3"/>
    <w:qFormat/>
    <w:rsid w:val="002C3752"/>
    <w:pPr>
      <w:numPr>
        <w:ilvl w:val="3"/>
      </w:numPr>
      <w:ind w:left="2268" w:hanging="2268"/>
    </w:pPr>
  </w:style>
  <w:style w:type="paragraph" w:customStyle="1" w:styleId="ParaLv1">
    <w:name w:val="Para Lv1"/>
    <w:basedOn w:val="ListParagraph"/>
    <w:qFormat/>
    <w:rsid w:val="002C3752"/>
    <w:pPr>
      <w:numPr>
        <w:numId w:val="17"/>
      </w:numPr>
      <w:tabs>
        <w:tab w:val="left" w:pos="709"/>
      </w:tabs>
      <w:spacing w:before="240" w:after="240" w:line="480" w:lineRule="auto"/>
      <w:contextualSpacing w:val="0"/>
      <w:jc w:val="both"/>
    </w:pPr>
    <w:rPr>
      <w:rFonts w:eastAsiaTheme="minorHAnsi" w:cs="Arial"/>
      <w:szCs w:val="24"/>
      <w:lang w:val="en-GB"/>
    </w:rPr>
  </w:style>
  <w:style w:type="paragraph" w:customStyle="1" w:styleId="ParaLv2">
    <w:name w:val="Para Lv2"/>
    <w:basedOn w:val="ParaLv1"/>
    <w:qFormat/>
    <w:rsid w:val="002C3752"/>
    <w:pPr>
      <w:numPr>
        <w:ilvl w:val="1"/>
      </w:numPr>
      <w:tabs>
        <w:tab w:val="clear" w:pos="709"/>
        <w:tab w:val="left" w:pos="1701"/>
      </w:tabs>
    </w:pPr>
  </w:style>
  <w:style w:type="paragraph" w:customStyle="1" w:styleId="ParaLv3">
    <w:name w:val="Para Lv3"/>
    <w:basedOn w:val="ParaLv1"/>
    <w:qFormat/>
    <w:rsid w:val="002C3752"/>
    <w:pPr>
      <w:numPr>
        <w:ilvl w:val="2"/>
      </w:numPr>
      <w:tabs>
        <w:tab w:val="clear" w:pos="709"/>
        <w:tab w:val="left" w:pos="2835"/>
      </w:tabs>
      <w:ind w:left="1985" w:hanging="851"/>
    </w:pPr>
  </w:style>
  <w:style w:type="paragraph" w:styleId="Revision">
    <w:name w:val="Revision"/>
    <w:hidden/>
    <w:uiPriority w:val="99"/>
    <w:semiHidden/>
    <w:rsid w:val="002C3752"/>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2D6F0-67A7-47D9-BB86-FFB8E97C2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5966</Words>
  <Characters>34011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Govender</dc:creator>
  <cp:keywords/>
  <dc:description/>
  <cp:lastModifiedBy>Mariana Anguelov</cp:lastModifiedBy>
  <cp:revision>3</cp:revision>
  <dcterms:created xsi:type="dcterms:W3CDTF">2023-04-18T13:08:00Z</dcterms:created>
  <dcterms:modified xsi:type="dcterms:W3CDTF">2023-04-18T18:13:00Z</dcterms:modified>
</cp:coreProperties>
</file>