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5D2B93" w:rsidRDefault="006C43D7" w:rsidP="006C43D7">
      <w:pPr>
        <w:jc w:val="center"/>
        <w:rPr>
          <w:rFonts w:cs="Arial"/>
          <w:b/>
          <w:szCs w:val="22"/>
        </w:rPr>
      </w:pPr>
      <w:r w:rsidRPr="005D2B93">
        <w:rPr>
          <w:rFonts w:cs="Arial"/>
          <w:b/>
          <w:szCs w:val="22"/>
        </w:rPr>
        <w:t xml:space="preserve">IN THE HIGH COURT OF SOUTH AFRICA, </w:t>
      </w:r>
    </w:p>
    <w:p w14:paraId="566C4D1B" w14:textId="77777777" w:rsidR="006C43D7" w:rsidRPr="005D2B93" w:rsidRDefault="006C43D7" w:rsidP="006C43D7">
      <w:pPr>
        <w:jc w:val="center"/>
        <w:rPr>
          <w:rFonts w:cs="Arial"/>
          <w:b/>
          <w:szCs w:val="22"/>
        </w:rPr>
      </w:pPr>
      <w:r w:rsidRPr="005D2B93">
        <w:rPr>
          <w:rFonts w:cs="Arial"/>
          <w:b/>
          <w:szCs w:val="22"/>
        </w:rPr>
        <w:t>GAUTENG DIVISION, JOHANNESBURG</w:t>
      </w:r>
    </w:p>
    <w:p w14:paraId="13D6E83E" w14:textId="77777777" w:rsidR="006C43D7" w:rsidRPr="005D2B93" w:rsidRDefault="006C43D7" w:rsidP="006C43D7">
      <w:pPr>
        <w:jc w:val="both"/>
        <w:rPr>
          <w:rFonts w:cs="Arial"/>
          <w:b/>
          <w:szCs w:val="22"/>
        </w:rPr>
      </w:pPr>
    </w:p>
    <w:p w14:paraId="3698476C" w14:textId="4EFF10BE" w:rsidR="006C43D7" w:rsidRPr="005D2B93" w:rsidRDefault="006C43D7" w:rsidP="006C43D7">
      <w:pPr>
        <w:spacing w:line="360" w:lineRule="auto"/>
        <w:jc w:val="right"/>
        <w:rPr>
          <w:rFonts w:cs="Arial"/>
          <w:b/>
          <w:szCs w:val="22"/>
        </w:rPr>
      </w:pPr>
      <w:r w:rsidRPr="005D2B93">
        <w:rPr>
          <w:rFonts w:cs="Arial"/>
          <w:b/>
          <w:szCs w:val="22"/>
        </w:rPr>
        <w:t xml:space="preserve">CASE NO: </w:t>
      </w:r>
      <w:r w:rsidR="00B96C89" w:rsidRPr="005D2B93">
        <w:rPr>
          <w:rFonts w:cs="Arial"/>
          <w:b/>
          <w:bCs/>
          <w:szCs w:val="22"/>
          <w:lang w:eastAsia="en-ZA"/>
        </w:rPr>
        <w:t>2018-42758</w:t>
      </w:r>
    </w:p>
    <w:p w14:paraId="0AF8DD38" w14:textId="0F9033BE" w:rsidR="006C43D7" w:rsidRPr="005D2B93" w:rsidRDefault="00007CC6" w:rsidP="006C43D7">
      <w:pPr>
        <w:spacing w:line="360" w:lineRule="auto"/>
        <w:jc w:val="right"/>
        <w:rPr>
          <w:rFonts w:cs="Arial"/>
          <w:szCs w:val="22"/>
        </w:rPr>
      </w:pPr>
      <w:r w:rsidRPr="005D2B93">
        <w:rPr>
          <w:rFonts w:cs="Arial"/>
          <w:noProof/>
          <w:szCs w:val="22"/>
          <w:lang w:eastAsia="en-ZA"/>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9165D0" w:rsidRPr="00913F95" w:rsidRDefault="009165D0" w:rsidP="006C43D7">
                            <w:pPr>
                              <w:jc w:val="center"/>
                              <w:rPr>
                                <w:rFonts w:ascii="Century Gothic" w:hAnsi="Century Gothic"/>
                                <w:b/>
                                <w:sz w:val="20"/>
                                <w:szCs w:val="20"/>
                              </w:rPr>
                            </w:pPr>
                          </w:p>
                          <w:p w14:paraId="01FDAE28" w14:textId="1B78DCC5" w:rsidR="009165D0" w:rsidRDefault="006042E8" w:rsidP="006042E8">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3A66F95B" w:rsidR="009165D0" w:rsidRPr="001D3CC2" w:rsidRDefault="006042E8" w:rsidP="006042E8">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9165D0" w:rsidRPr="00913F95" w:rsidRDefault="009165D0" w:rsidP="006C43D7">
                      <w:pPr>
                        <w:jc w:val="center"/>
                        <w:rPr>
                          <w:rFonts w:ascii="Century Gothic" w:hAnsi="Century Gothic"/>
                          <w:b/>
                          <w:sz w:val="20"/>
                          <w:szCs w:val="20"/>
                        </w:rPr>
                      </w:pPr>
                    </w:p>
                    <w:p w14:paraId="01FDAE28" w14:textId="1B78DCC5" w:rsidR="009165D0" w:rsidRDefault="006042E8" w:rsidP="006042E8">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3A66F95B" w:rsidR="009165D0" w:rsidRPr="001D3CC2" w:rsidRDefault="006042E8" w:rsidP="006042E8">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5D2B93" w:rsidRDefault="006C43D7" w:rsidP="006C43D7">
      <w:pPr>
        <w:spacing w:line="360" w:lineRule="auto"/>
        <w:jc w:val="both"/>
        <w:rPr>
          <w:rFonts w:cs="Arial"/>
          <w:szCs w:val="22"/>
        </w:rPr>
      </w:pPr>
    </w:p>
    <w:p w14:paraId="4E808D74" w14:textId="77777777" w:rsidR="006C43D7" w:rsidRPr="005D2B93" w:rsidRDefault="006C43D7" w:rsidP="006C43D7">
      <w:pPr>
        <w:spacing w:line="360" w:lineRule="auto"/>
        <w:jc w:val="both"/>
        <w:rPr>
          <w:rFonts w:cs="Arial"/>
          <w:szCs w:val="22"/>
        </w:rPr>
      </w:pPr>
    </w:p>
    <w:p w14:paraId="34BF70B6" w14:textId="77777777" w:rsidR="006C43D7" w:rsidRPr="005D2B93" w:rsidRDefault="006C43D7" w:rsidP="006C43D7">
      <w:pPr>
        <w:spacing w:line="360" w:lineRule="auto"/>
        <w:jc w:val="both"/>
        <w:rPr>
          <w:rFonts w:cs="Arial"/>
          <w:szCs w:val="22"/>
        </w:rPr>
      </w:pPr>
    </w:p>
    <w:p w14:paraId="2F53BA3A" w14:textId="77777777" w:rsidR="006C43D7" w:rsidRPr="005D2B93" w:rsidRDefault="006C43D7" w:rsidP="006C43D7">
      <w:pPr>
        <w:spacing w:line="480" w:lineRule="auto"/>
        <w:jc w:val="both"/>
        <w:rPr>
          <w:rFonts w:cs="Arial"/>
          <w:szCs w:val="22"/>
        </w:rPr>
      </w:pPr>
    </w:p>
    <w:p w14:paraId="3A1C212E" w14:textId="77777777" w:rsidR="006C43D7" w:rsidRPr="005D2B93" w:rsidRDefault="006C43D7" w:rsidP="006C43D7">
      <w:pPr>
        <w:spacing w:line="480" w:lineRule="auto"/>
        <w:jc w:val="both"/>
        <w:rPr>
          <w:rFonts w:cs="Arial"/>
          <w:szCs w:val="22"/>
        </w:rPr>
      </w:pPr>
    </w:p>
    <w:p w14:paraId="04919B1B" w14:textId="77777777" w:rsidR="001D3CC2" w:rsidRPr="005D2B93" w:rsidRDefault="001D3CC2" w:rsidP="006C43D7">
      <w:pPr>
        <w:spacing w:line="480" w:lineRule="auto"/>
        <w:jc w:val="both"/>
        <w:rPr>
          <w:rFonts w:cs="Arial"/>
          <w:szCs w:val="22"/>
        </w:rPr>
      </w:pPr>
    </w:p>
    <w:p w14:paraId="2A3E8EC7" w14:textId="35BFF3B1" w:rsidR="00CC48E3" w:rsidRPr="005D2B93" w:rsidRDefault="00CC48E3" w:rsidP="00CC48E3">
      <w:pPr>
        <w:rPr>
          <w:rFonts w:cs="Arial"/>
          <w:szCs w:val="22"/>
        </w:rPr>
      </w:pPr>
    </w:p>
    <w:p w14:paraId="3CF828F5" w14:textId="0FF0A15E" w:rsidR="00CC48E3" w:rsidRPr="005D2B93" w:rsidRDefault="00CC48E3" w:rsidP="00CC48E3">
      <w:pPr>
        <w:rPr>
          <w:rFonts w:cs="Arial"/>
          <w:szCs w:val="22"/>
        </w:rPr>
      </w:pPr>
      <w:r w:rsidRPr="005D2B93">
        <w:rPr>
          <w:rFonts w:cs="Arial"/>
          <w:szCs w:val="22"/>
        </w:rPr>
        <w:t>In the matter between –</w:t>
      </w:r>
    </w:p>
    <w:p w14:paraId="1D6B4F18" w14:textId="38C60B2F" w:rsidR="00E02212" w:rsidRPr="005D2B93" w:rsidRDefault="00E02212" w:rsidP="00CC48E3">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E02212" w:rsidRPr="005D2B93" w14:paraId="312F7F2A" w14:textId="77777777" w:rsidTr="00D9716F">
        <w:tc>
          <w:tcPr>
            <w:tcW w:w="6799" w:type="dxa"/>
          </w:tcPr>
          <w:p w14:paraId="6924232C" w14:textId="7BBE4E66" w:rsidR="00D9716F" w:rsidRPr="005D2B93" w:rsidRDefault="00E02212" w:rsidP="00D9716F">
            <w:pPr>
              <w:autoSpaceDE w:val="0"/>
              <w:autoSpaceDN w:val="0"/>
              <w:adjustRightInd w:val="0"/>
              <w:rPr>
                <w:rFonts w:cs="Arial"/>
                <w:b/>
                <w:bCs/>
                <w:szCs w:val="22"/>
                <w:lang w:eastAsia="en-ZA"/>
              </w:rPr>
            </w:pPr>
            <w:r w:rsidRPr="005D2B93">
              <w:rPr>
                <w:rFonts w:cs="Arial"/>
                <w:b/>
                <w:bCs/>
                <w:szCs w:val="22"/>
                <w:lang w:eastAsia="en-ZA"/>
              </w:rPr>
              <w:t>STEFCOR CONSTRUCTION (PTY) LTD (Registration number: 1991/024470/23)</w:t>
            </w:r>
          </w:p>
        </w:tc>
        <w:tc>
          <w:tcPr>
            <w:tcW w:w="2217" w:type="dxa"/>
          </w:tcPr>
          <w:p w14:paraId="2A6649F1" w14:textId="7B2D6D84" w:rsidR="00E02212" w:rsidRPr="005D2B93" w:rsidRDefault="00E02212" w:rsidP="00D9716F">
            <w:pPr>
              <w:rPr>
                <w:rFonts w:cs="Arial"/>
                <w:b/>
                <w:bCs/>
                <w:szCs w:val="22"/>
              </w:rPr>
            </w:pPr>
            <w:r w:rsidRPr="005D2B93">
              <w:rPr>
                <w:rFonts w:cs="Arial"/>
                <w:b/>
                <w:bCs/>
                <w:szCs w:val="22"/>
              </w:rPr>
              <w:t>Applicant</w:t>
            </w:r>
          </w:p>
        </w:tc>
      </w:tr>
      <w:tr w:rsidR="00E02212" w:rsidRPr="005D2B93" w14:paraId="15BC610F" w14:textId="77777777" w:rsidTr="00D9716F">
        <w:tc>
          <w:tcPr>
            <w:tcW w:w="6799" w:type="dxa"/>
          </w:tcPr>
          <w:p w14:paraId="01095A98" w14:textId="77777777" w:rsidR="00D9716F" w:rsidRPr="005D2B93" w:rsidRDefault="00D9716F" w:rsidP="00D9716F">
            <w:pPr>
              <w:rPr>
                <w:rFonts w:cs="Arial"/>
                <w:b/>
                <w:bCs/>
                <w:szCs w:val="22"/>
              </w:rPr>
            </w:pPr>
          </w:p>
          <w:p w14:paraId="16A334DA" w14:textId="47E3BDB9" w:rsidR="00E02212" w:rsidRPr="005D2B93" w:rsidRDefault="00D9716F" w:rsidP="00D9716F">
            <w:pPr>
              <w:rPr>
                <w:rFonts w:cs="Arial"/>
                <w:b/>
                <w:bCs/>
                <w:szCs w:val="22"/>
              </w:rPr>
            </w:pPr>
            <w:r w:rsidRPr="005D2B93">
              <w:rPr>
                <w:rFonts w:cs="Arial"/>
                <w:b/>
                <w:bCs/>
                <w:szCs w:val="22"/>
              </w:rPr>
              <w:t>A</w:t>
            </w:r>
            <w:r w:rsidR="00E02212" w:rsidRPr="005D2B93">
              <w:rPr>
                <w:rFonts w:cs="Arial"/>
                <w:b/>
                <w:bCs/>
                <w:szCs w:val="22"/>
              </w:rPr>
              <w:t>nd</w:t>
            </w:r>
          </w:p>
          <w:p w14:paraId="062E3538" w14:textId="5EE51D55" w:rsidR="00D9716F" w:rsidRPr="005D2B93" w:rsidRDefault="00D9716F" w:rsidP="00D9716F">
            <w:pPr>
              <w:rPr>
                <w:rFonts w:cs="Arial"/>
                <w:b/>
                <w:bCs/>
                <w:szCs w:val="22"/>
              </w:rPr>
            </w:pPr>
          </w:p>
        </w:tc>
        <w:tc>
          <w:tcPr>
            <w:tcW w:w="2217" w:type="dxa"/>
          </w:tcPr>
          <w:p w14:paraId="35BC5958" w14:textId="77777777" w:rsidR="00E02212" w:rsidRPr="005D2B93" w:rsidRDefault="00E02212" w:rsidP="00D9716F">
            <w:pPr>
              <w:rPr>
                <w:rFonts w:cs="Arial"/>
                <w:b/>
                <w:bCs/>
                <w:szCs w:val="22"/>
              </w:rPr>
            </w:pPr>
          </w:p>
        </w:tc>
      </w:tr>
      <w:tr w:rsidR="00E02212" w:rsidRPr="005D2B93" w14:paraId="287B33CE" w14:textId="77777777" w:rsidTr="00D9716F">
        <w:tc>
          <w:tcPr>
            <w:tcW w:w="6799" w:type="dxa"/>
          </w:tcPr>
          <w:p w14:paraId="76E438FD" w14:textId="4526A6A7" w:rsidR="00E02212" w:rsidRPr="005D2B93" w:rsidRDefault="00D9716F" w:rsidP="00D9716F">
            <w:pPr>
              <w:autoSpaceDE w:val="0"/>
              <w:autoSpaceDN w:val="0"/>
              <w:adjustRightInd w:val="0"/>
              <w:rPr>
                <w:rFonts w:cs="Arial"/>
                <w:b/>
                <w:bCs/>
                <w:szCs w:val="22"/>
              </w:rPr>
            </w:pPr>
            <w:r w:rsidRPr="005D2B93">
              <w:rPr>
                <w:rFonts w:cs="Arial"/>
                <w:b/>
                <w:bCs/>
                <w:szCs w:val="22"/>
                <w:lang w:eastAsia="en-ZA"/>
              </w:rPr>
              <w:t>K2014261400 SOUTH AFRICA (PTY) LTD t/a MASEKO ENGINEERING PROJECTS (Registration number: 2014/261400/07)</w:t>
            </w:r>
          </w:p>
        </w:tc>
        <w:tc>
          <w:tcPr>
            <w:tcW w:w="2217" w:type="dxa"/>
          </w:tcPr>
          <w:p w14:paraId="2C6B391F" w14:textId="77C24876" w:rsidR="00E02212" w:rsidRPr="005D2B93" w:rsidRDefault="00D9716F" w:rsidP="00D9716F">
            <w:pPr>
              <w:rPr>
                <w:rFonts w:cs="Arial"/>
                <w:b/>
                <w:bCs/>
                <w:szCs w:val="22"/>
              </w:rPr>
            </w:pPr>
            <w:r w:rsidRPr="005D2B93">
              <w:rPr>
                <w:rFonts w:cs="Arial"/>
                <w:b/>
                <w:bCs/>
                <w:szCs w:val="22"/>
              </w:rPr>
              <w:t>Respondent</w:t>
            </w:r>
          </w:p>
        </w:tc>
      </w:tr>
      <w:tr w:rsidR="00D9716F" w:rsidRPr="005D2B93" w14:paraId="6AE7B759" w14:textId="77777777" w:rsidTr="00D9716F">
        <w:tc>
          <w:tcPr>
            <w:tcW w:w="6799" w:type="dxa"/>
          </w:tcPr>
          <w:p w14:paraId="0EE955A8" w14:textId="77777777" w:rsidR="00D9716F" w:rsidRPr="005D2B93" w:rsidRDefault="00D9716F" w:rsidP="00D9716F">
            <w:pPr>
              <w:autoSpaceDE w:val="0"/>
              <w:autoSpaceDN w:val="0"/>
              <w:adjustRightInd w:val="0"/>
              <w:rPr>
                <w:rFonts w:cs="Arial"/>
                <w:b/>
                <w:bCs/>
                <w:i/>
                <w:iCs/>
                <w:szCs w:val="22"/>
                <w:lang w:eastAsia="en-ZA"/>
              </w:rPr>
            </w:pPr>
          </w:p>
          <w:p w14:paraId="7DFFE866" w14:textId="77777777" w:rsidR="00D9716F" w:rsidRPr="005D2B93" w:rsidRDefault="00D9716F" w:rsidP="00D9716F">
            <w:pPr>
              <w:autoSpaceDE w:val="0"/>
              <w:autoSpaceDN w:val="0"/>
              <w:adjustRightInd w:val="0"/>
              <w:rPr>
                <w:rFonts w:cs="Arial"/>
                <w:b/>
                <w:bCs/>
                <w:i/>
                <w:iCs/>
                <w:szCs w:val="22"/>
                <w:lang w:eastAsia="en-ZA"/>
              </w:rPr>
            </w:pPr>
            <w:r w:rsidRPr="005D2B93">
              <w:rPr>
                <w:rFonts w:cs="Arial"/>
                <w:b/>
                <w:bCs/>
                <w:i/>
                <w:iCs/>
                <w:szCs w:val="22"/>
                <w:lang w:eastAsia="en-ZA"/>
              </w:rPr>
              <w:t>In re</w:t>
            </w:r>
          </w:p>
          <w:p w14:paraId="300D03B3" w14:textId="2887D4EA" w:rsidR="00D9716F" w:rsidRPr="005D2B93" w:rsidRDefault="00D9716F" w:rsidP="00D9716F">
            <w:pPr>
              <w:autoSpaceDE w:val="0"/>
              <w:autoSpaceDN w:val="0"/>
              <w:adjustRightInd w:val="0"/>
              <w:rPr>
                <w:rFonts w:cs="Arial"/>
                <w:b/>
                <w:bCs/>
                <w:i/>
                <w:iCs/>
                <w:szCs w:val="22"/>
                <w:lang w:eastAsia="en-ZA"/>
              </w:rPr>
            </w:pPr>
          </w:p>
        </w:tc>
        <w:tc>
          <w:tcPr>
            <w:tcW w:w="2217" w:type="dxa"/>
          </w:tcPr>
          <w:p w14:paraId="7E53AB83" w14:textId="77777777" w:rsidR="00D9716F" w:rsidRPr="005D2B93" w:rsidRDefault="00D9716F" w:rsidP="00D9716F">
            <w:pPr>
              <w:rPr>
                <w:rFonts w:cs="Arial"/>
                <w:b/>
                <w:bCs/>
                <w:szCs w:val="22"/>
              </w:rPr>
            </w:pPr>
          </w:p>
        </w:tc>
      </w:tr>
      <w:tr w:rsidR="00D9716F" w:rsidRPr="005D2B93" w14:paraId="360EEF02" w14:textId="77777777" w:rsidTr="00D9716F">
        <w:tc>
          <w:tcPr>
            <w:tcW w:w="6799" w:type="dxa"/>
          </w:tcPr>
          <w:p w14:paraId="634B34CC" w14:textId="4E6F2A6A" w:rsidR="00D9716F" w:rsidRPr="005D2B93" w:rsidRDefault="00D9716F" w:rsidP="00D9716F">
            <w:pPr>
              <w:autoSpaceDE w:val="0"/>
              <w:autoSpaceDN w:val="0"/>
              <w:adjustRightInd w:val="0"/>
              <w:rPr>
                <w:rFonts w:cs="Arial"/>
                <w:b/>
                <w:bCs/>
                <w:szCs w:val="22"/>
                <w:lang w:eastAsia="en-ZA"/>
              </w:rPr>
            </w:pPr>
            <w:r w:rsidRPr="005D2B93">
              <w:rPr>
                <w:rFonts w:cs="Arial"/>
                <w:b/>
                <w:bCs/>
                <w:szCs w:val="22"/>
                <w:lang w:eastAsia="en-ZA"/>
              </w:rPr>
              <w:t>K2014261400 SOUTH AFRICA (PTY) LTD t/a MASEKO ENGINEERING PROJECTS (Registration number: 2014/261400/07)</w:t>
            </w:r>
          </w:p>
        </w:tc>
        <w:tc>
          <w:tcPr>
            <w:tcW w:w="2217" w:type="dxa"/>
          </w:tcPr>
          <w:p w14:paraId="57356274" w14:textId="5CA3ABC3" w:rsidR="00D9716F" w:rsidRPr="005D2B93" w:rsidRDefault="00D9716F" w:rsidP="00D9716F">
            <w:pPr>
              <w:rPr>
                <w:rFonts w:cs="Arial"/>
                <w:b/>
                <w:bCs/>
                <w:szCs w:val="22"/>
              </w:rPr>
            </w:pPr>
            <w:r w:rsidRPr="005D2B93">
              <w:rPr>
                <w:rFonts w:cs="Arial"/>
                <w:b/>
                <w:bCs/>
                <w:szCs w:val="22"/>
              </w:rPr>
              <w:t>Plaintiff</w:t>
            </w:r>
          </w:p>
        </w:tc>
      </w:tr>
      <w:tr w:rsidR="00D9716F" w:rsidRPr="005D2B93" w14:paraId="74BD59E4" w14:textId="77777777" w:rsidTr="00D9716F">
        <w:tc>
          <w:tcPr>
            <w:tcW w:w="6799" w:type="dxa"/>
          </w:tcPr>
          <w:p w14:paraId="5CF7431F" w14:textId="77777777" w:rsidR="00D9716F" w:rsidRPr="005D2B93" w:rsidRDefault="00D9716F" w:rsidP="00D9716F">
            <w:pPr>
              <w:autoSpaceDE w:val="0"/>
              <w:autoSpaceDN w:val="0"/>
              <w:adjustRightInd w:val="0"/>
              <w:rPr>
                <w:rFonts w:cs="Arial"/>
                <w:b/>
                <w:bCs/>
                <w:szCs w:val="22"/>
                <w:lang w:eastAsia="en-ZA"/>
              </w:rPr>
            </w:pPr>
          </w:p>
          <w:p w14:paraId="15A61E28" w14:textId="77777777" w:rsidR="00D9716F" w:rsidRPr="005D2B93" w:rsidRDefault="00D9716F" w:rsidP="00D9716F">
            <w:pPr>
              <w:autoSpaceDE w:val="0"/>
              <w:autoSpaceDN w:val="0"/>
              <w:adjustRightInd w:val="0"/>
              <w:rPr>
                <w:rFonts w:cs="Arial"/>
                <w:b/>
                <w:bCs/>
                <w:szCs w:val="22"/>
                <w:lang w:eastAsia="en-ZA"/>
              </w:rPr>
            </w:pPr>
            <w:r w:rsidRPr="005D2B93">
              <w:rPr>
                <w:rFonts w:cs="Arial"/>
                <w:b/>
                <w:bCs/>
                <w:szCs w:val="22"/>
                <w:lang w:eastAsia="en-ZA"/>
              </w:rPr>
              <w:t>and</w:t>
            </w:r>
          </w:p>
          <w:p w14:paraId="05C4D5EF" w14:textId="14D6F5F3" w:rsidR="00D9716F" w:rsidRPr="005D2B93" w:rsidRDefault="00D9716F" w:rsidP="00D9716F">
            <w:pPr>
              <w:autoSpaceDE w:val="0"/>
              <w:autoSpaceDN w:val="0"/>
              <w:adjustRightInd w:val="0"/>
              <w:rPr>
                <w:rFonts w:cs="Arial"/>
                <w:b/>
                <w:bCs/>
                <w:szCs w:val="22"/>
                <w:lang w:eastAsia="en-ZA"/>
              </w:rPr>
            </w:pPr>
          </w:p>
        </w:tc>
        <w:tc>
          <w:tcPr>
            <w:tcW w:w="2217" w:type="dxa"/>
          </w:tcPr>
          <w:p w14:paraId="6B4FF02A" w14:textId="77777777" w:rsidR="00D9716F" w:rsidRPr="005D2B93" w:rsidRDefault="00D9716F" w:rsidP="00D9716F">
            <w:pPr>
              <w:rPr>
                <w:rFonts w:cs="Arial"/>
                <w:b/>
                <w:bCs/>
                <w:szCs w:val="22"/>
              </w:rPr>
            </w:pPr>
          </w:p>
        </w:tc>
      </w:tr>
      <w:tr w:rsidR="00D9716F" w:rsidRPr="005D2B93" w14:paraId="64FBBFA0" w14:textId="77777777" w:rsidTr="00D9716F">
        <w:tc>
          <w:tcPr>
            <w:tcW w:w="6799" w:type="dxa"/>
          </w:tcPr>
          <w:p w14:paraId="23446535" w14:textId="77777777" w:rsidR="00D9716F" w:rsidRPr="005D2B93" w:rsidRDefault="00D9716F" w:rsidP="00D9716F">
            <w:pPr>
              <w:autoSpaceDE w:val="0"/>
              <w:autoSpaceDN w:val="0"/>
              <w:adjustRightInd w:val="0"/>
              <w:rPr>
                <w:rFonts w:cs="Arial"/>
                <w:b/>
                <w:bCs/>
                <w:szCs w:val="22"/>
                <w:lang w:eastAsia="en-ZA"/>
              </w:rPr>
            </w:pPr>
            <w:r w:rsidRPr="005D2B93">
              <w:rPr>
                <w:rFonts w:cs="Arial"/>
                <w:b/>
                <w:bCs/>
                <w:szCs w:val="22"/>
                <w:lang w:eastAsia="en-ZA"/>
              </w:rPr>
              <w:t>STEFCOR CONSTRUCTION (PTY) LTD</w:t>
            </w:r>
          </w:p>
          <w:p w14:paraId="12F9414A" w14:textId="11EB785A" w:rsidR="00D9716F" w:rsidRPr="005D2B93" w:rsidRDefault="00D9716F" w:rsidP="00D9716F">
            <w:pPr>
              <w:autoSpaceDE w:val="0"/>
              <w:autoSpaceDN w:val="0"/>
              <w:adjustRightInd w:val="0"/>
              <w:rPr>
                <w:rFonts w:cs="Arial"/>
                <w:b/>
                <w:bCs/>
                <w:szCs w:val="22"/>
                <w:lang w:eastAsia="en-ZA"/>
              </w:rPr>
            </w:pPr>
            <w:r w:rsidRPr="005D2B93">
              <w:rPr>
                <w:rFonts w:cs="Arial"/>
                <w:b/>
                <w:bCs/>
                <w:szCs w:val="22"/>
                <w:lang w:eastAsia="en-ZA"/>
              </w:rPr>
              <w:t>(Registration number: 1991/024470/23)</w:t>
            </w:r>
          </w:p>
        </w:tc>
        <w:tc>
          <w:tcPr>
            <w:tcW w:w="2217" w:type="dxa"/>
          </w:tcPr>
          <w:p w14:paraId="7F4A6B1A" w14:textId="2A1F1F45" w:rsidR="00D9716F" w:rsidRPr="005D2B93" w:rsidRDefault="00D9716F" w:rsidP="00D9716F">
            <w:pPr>
              <w:rPr>
                <w:rFonts w:cs="Arial"/>
                <w:b/>
                <w:bCs/>
                <w:szCs w:val="22"/>
              </w:rPr>
            </w:pPr>
            <w:r w:rsidRPr="005D2B93">
              <w:rPr>
                <w:rFonts w:cs="Arial"/>
                <w:b/>
                <w:bCs/>
                <w:szCs w:val="22"/>
              </w:rPr>
              <w:t>Defendant</w:t>
            </w:r>
          </w:p>
        </w:tc>
      </w:tr>
    </w:tbl>
    <w:p w14:paraId="60317E71" w14:textId="77777777" w:rsidR="004D2ADA" w:rsidRDefault="004D2ADA" w:rsidP="004D2ADA">
      <w:pPr>
        <w:pBdr>
          <w:bottom w:val="single" w:sz="4" w:space="1" w:color="auto"/>
        </w:pBdr>
        <w:spacing w:line="276" w:lineRule="auto"/>
        <w:rPr>
          <w:rFonts w:cs="Arial"/>
          <w:szCs w:val="22"/>
        </w:rPr>
      </w:pPr>
    </w:p>
    <w:p w14:paraId="1F877BDF" w14:textId="6362EC72" w:rsidR="009A54C5" w:rsidRDefault="004D2ADA" w:rsidP="004D2ADA">
      <w:pPr>
        <w:pBdr>
          <w:bottom w:val="single" w:sz="4" w:space="1" w:color="auto"/>
        </w:pBdr>
        <w:spacing w:line="276" w:lineRule="auto"/>
        <w:rPr>
          <w:rFonts w:cs="Arial"/>
          <w:szCs w:val="22"/>
        </w:rPr>
      </w:pPr>
      <w:r w:rsidRPr="004D2ADA">
        <w:rPr>
          <w:rFonts w:cs="Arial"/>
          <w:b/>
          <w:szCs w:val="22"/>
        </w:rPr>
        <w:t>Neutral Citation</w:t>
      </w:r>
      <w:r>
        <w:rPr>
          <w:rFonts w:cs="Arial"/>
          <w:szCs w:val="22"/>
        </w:rPr>
        <w:t xml:space="preserve">: </w:t>
      </w:r>
      <w:proofErr w:type="spellStart"/>
      <w:r w:rsidRPr="004D2ADA">
        <w:rPr>
          <w:rFonts w:cs="Arial"/>
          <w:i/>
          <w:szCs w:val="22"/>
        </w:rPr>
        <w:t>Stefcor</w:t>
      </w:r>
      <w:proofErr w:type="spellEnd"/>
      <w:r w:rsidRPr="004D2ADA">
        <w:rPr>
          <w:rFonts w:cs="Arial"/>
          <w:i/>
          <w:szCs w:val="22"/>
        </w:rPr>
        <w:t xml:space="preserve"> construction (Pty) Ltd v K2014261400 South Africa (Pty) Ltd t/a Maseko Engineering Projects</w:t>
      </w:r>
      <w:r>
        <w:rPr>
          <w:rFonts w:cs="Arial"/>
          <w:szCs w:val="22"/>
        </w:rPr>
        <w:t xml:space="preserve"> (Case No: </w:t>
      </w:r>
      <w:r w:rsidRPr="004D2ADA">
        <w:rPr>
          <w:rFonts w:cs="Arial"/>
          <w:szCs w:val="22"/>
        </w:rPr>
        <w:t>2018-42758</w:t>
      </w:r>
      <w:r w:rsidR="000F2538">
        <w:rPr>
          <w:rFonts w:cs="Arial"/>
          <w:szCs w:val="22"/>
        </w:rPr>
        <w:t>) [2023] ZAGPJHC 339 (14</w:t>
      </w:r>
      <w:r>
        <w:rPr>
          <w:rFonts w:cs="Arial"/>
          <w:szCs w:val="22"/>
        </w:rPr>
        <w:t xml:space="preserve"> April 2023)</w:t>
      </w:r>
    </w:p>
    <w:p w14:paraId="6B50D950" w14:textId="72BF4F29" w:rsidR="004D2ADA" w:rsidRDefault="004D2ADA" w:rsidP="004D2ADA">
      <w:pPr>
        <w:pBdr>
          <w:bottom w:val="single" w:sz="4" w:space="1" w:color="auto"/>
        </w:pBdr>
        <w:spacing w:line="276" w:lineRule="auto"/>
        <w:rPr>
          <w:rFonts w:cs="Arial"/>
          <w:szCs w:val="22"/>
        </w:rPr>
      </w:pPr>
    </w:p>
    <w:p w14:paraId="37CB05CF" w14:textId="00D49EB4" w:rsidR="004D2ADA" w:rsidRDefault="004D2ADA" w:rsidP="004D2ADA">
      <w:pPr>
        <w:pBdr>
          <w:bottom w:val="single" w:sz="4" w:space="1" w:color="auto"/>
        </w:pBdr>
        <w:spacing w:line="276" w:lineRule="auto"/>
        <w:rPr>
          <w:rFonts w:cs="Arial"/>
          <w:szCs w:val="22"/>
        </w:rPr>
      </w:pPr>
    </w:p>
    <w:p w14:paraId="77D90C6B" w14:textId="77777777" w:rsidR="004D2ADA" w:rsidRPr="005D2B93" w:rsidRDefault="004D2ADA" w:rsidP="004D2ADA">
      <w:pPr>
        <w:pBdr>
          <w:bottom w:val="single" w:sz="4" w:space="1" w:color="auto"/>
        </w:pBdr>
        <w:spacing w:line="276" w:lineRule="auto"/>
        <w:rPr>
          <w:rFonts w:cs="Arial"/>
          <w:szCs w:val="22"/>
        </w:rPr>
      </w:pPr>
    </w:p>
    <w:p w14:paraId="58DE5549" w14:textId="77777777" w:rsidR="006C43D7" w:rsidRPr="005D2B93" w:rsidRDefault="006C43D7" w:rsidP="006C43D7">
      <w:pPr>
        <w:spacing w:line="276" w:lineRule="auto"/>
        <w:jc w:val="both"/>
        <w:rPr>
          <w:rFonts w:cs="Arial"/>
          <w:szCs w:val="22"/>
        </w:rPr>
      </w:pPr>
    </w:p>
    <w:p w14:paraId="647AB70C" w14:textId="77777777" w:rsidR="006C43D7" w:rsidRPr="005D2B93" w:rsidRDefault="006C43D7" w:rsidP="006C43D7">
      <w:pPr>
        <w:keepNext/>
        <w:spacing w:line="276" w:lineRule="auto"/>
        <w:jc w:val="center"/>
        <w:outlineLvl w:val="1"/>
        <w:rPr>
          <w:rFonts w:cs="Arial"/>
          <w:b/>
          <w:bCs/>
          <w:szCs w:val="22"/>
        </w:rPr>
      </w:pPr>
      <w:r w:rsidRPr="005D2B93">
        <w:rPr>
          <w:rFonts w:cs="Arial"/>
          <w:b/>
          <w:bCs/>
          <w:szCs w:val="22"/>
        </w:rPr>
        <w:t>JUDGMENT</w:t>
      </w:r>
    </w:p>
    <w:p w14:paraId="52CD25EB" w14:textId="77777777" w:rsidR="006C43D7" w:rsidRPr="005D2B93" w:rsidRDefault="006C43D7" w:rsidP="006C43D7">
      <w:pPr>
        <w:pBdr>
          <w:bottom w:val="single" w:sz="4" w:space="1" w:color="auto"/>
        </w:pBdr>
        <w:jc w:val="both"/>
        <w:rPr>
          <w:rFonts w:cs="Arial"/>
          <w:szCs w:val="22"/>
        </w:rPr>
      </w:pPr>
    </w:p>
    <w:p w14:paraId="5BD82EFE" w14:textId="0F8FBF70" w:rsidR="00BE6AB8" w:rsidRPr="005D2B93" w:rsidRDefault="00C676F3" w:rsidP="00250A46">
      <w:pPr>
        <w:widowControl w:val="0"/>
        <w:spacing w:after="480" w:line="480" w:lineRule="auto"/>
        <w:jc w:val="both"/>
        <w:rPr>
          <w:rFonts w:cs="Arial"/>
          <w:b/>
          <w:szCs w:val="22"/>
        </w:rPr>
      </w:pPr>
      <w:r w:rsidRPr="005D2B93">
        <w:rPr>
          <w:rFonts w:cs="Arial"/>
          <w:b/>
          <w:szCs w:val="22"/>
        </w:rPr>
        <w:t>MOORCROFT</w:t>
      </w:r>
      <w:r w:rsidR="006C43D7" w:rsidRPr="005D2B93">
        <w:rPr>
          <w:rFonts w:cs="Arial"/>
          <w:b/>
          <w:szCs w:val="22"/>
        </w:rPr>
        <w:t xml:space="preserve"> AJ:</w:t>
      </w:r>
    </w:p>
    <w:p w14:paraId="4D94AFA1" w14:textId="3A8CEBC4" w:rsidR="00EB3541" w:rsidRPr="005D2B93" w:rsidRDefault="00EB3541" w:rsidP="00250A46">
      <w:pPr>
        <w:widowControl w:val="0"/>
        <w:spacing w:after="480" w:line="480" w:lineRule="auto"/>
        <w:jc w:val="both"/>
        <w:rPr>
          <w:rFonts w:cs="Arial"/>
          <w:bCs/>
          <w:i/>
          <w:iCs/>
          <w:szCs w:val="22"/>
          <w:u w:val="single"/>
        </w:rPr>
      </w:pPr>
      <w:r w:rsidRPr="005D2B93">
        <w:rPr>
          <w:rFonts w:cs="Arial"/>
          <w:bCs/>
          <w:i/>
          <w:iCs/>
          <w:szCs w:val="22"/>
          <w:u w:val="single"/>
        </w:rPr>
        <w:t>Summary</w:t>
      </w:r>
    </w:p>
    <w:p w14:paraId="4B3D84DC" w14:textId="1649AADE" w:rsidR="00EB3541" w:rsidRPr="005D2B93" w:rsidRDefault="00D9716F" w:rsidP="00250A46">
      <w:pPr>
        <w:widowControl w:val="0"/>
        <w:spacing w:after="480" w:line="480" w:lineRule="auto"/>
        <w:jc w:val="both"/>
        <w:rPr>
          <w:rFonts w:cs="Arial"/>
          <w:bCs/>
          <w:i/>
          <w:iCs/>
          <w:szCs w:val="22"/>
        </w:rPr>
      </w:pPr>
      <w:r w:rsidRPr="005D2B93">
        <w:rPr>
          <w:rFonts w:cs="Arial"/>
          <w:bCs/>
          <w:i/>
          <w:iCs/>
          <w:szCs w:val="22"/>
        </w:rPr>
        <w:t xml:space="preserve">Rescission of judgment </w:t>
      </w:r>
      <w:r w:rsidR="008111CE" w:rsidRPr="005D2B93">
        <w:rPr>
          <w:rFonts w:cs="Arial"/>
          <w:bCs/>
          <w:i/>
          <w:iCs/>
          <w:szCs w:val="22"/>
        </w:rPr>
        <w:t>– Default judgment -</w:t>
      </w:r>
      <w:r w:rsidRPr="005D2B93">
        <w:rPr>
          <w:rFonts w:cs="Arial"/>
          <w:bCs/>
          <w:i/>
          <w:iCs/>
          <w:szCs w:val="22"/>
        </w:rPr>
        <w:t xml:space="preserve"> </w:t>
      </w:r>
      <w:r w:rsidR="008111CE" w:rsidRPr="005D2B93">
        <w:rPr>
          <w:rFonts w:cs="Arial"/>
          <w:bCs/>
          <w:i/>
          <w:iCs/>
          <w:szCs w:val="22"/>
        </w:rPr>
        <w:t>Good cause – reasonable explanation for default and prima facie, bona fide defence</w:t>
      </w:r>
    </w:p>
    <w:p w14:paraId="232CD134" w14:textId="7E997201" w:rsidR="008111CE" w:rsidRPr="005D2B93" w:rsidRDefault="008111CE" w:rsidP="00250A46">
      <w:pPr>
        <w:widowControl w:val="0"/>
        <w:spacing w:after="480" w:line="480" w:lineRule="auto"/>
        <w:jc w:val="both"/>
        <w:rPr>
          <w:rFonts w:cs="Arial"/>
          <w:i/>
          <w:iCs/>
          <w:color w:val="000000" w:themeColor="text1"/>
          <w:szCs w:val="22"/>
        </w:rPr>
      </w:pPr>
      <w:r w:rsidRPr="005D2B93">
        <w:rPr>
          <w:rFonts w:cs="Arial"/>
          <w:bCs/>
          <w:i/>
          <w:iCs/>
          <w:szCs w:val="22"/>
        </w:rPr>
        <w:t>Negligence of applicant in failing to change registered address does not amount to wilful default on the facts</w:t>
      </w:r>
      <w:r w:rsidR="00503F94" w:rsidRPr="005D2B93">
        <w:rPr>
          <w:rFonts w:cs="Arial"/>
          <w:bCs/>
          <w:i/>
          <w:iCs/>
          <w:szCs w:val="22"/>
        </w:rPr>
        <w:t>,</w:t>
      </w:r>
      <w:r w:rsidRPr="005D2B93">
        <w:rPr>
          <w:rFonts w:cs="Arial"/>
          <w:bCs/>
          <w:i/>
          <w:iCs/>
          <w:szCs w:val="22"/>
        </w:rPr>
        <w:t xml:space="preserve"> but </w:t>
      </w:r>
      <w:r w:rsidR="00DC5BB0" w:rsidRPr="005D2B93">
        <w:rPr>
          <w:rFonts w:cs="Arial"/>
          <w:bCs/>
          <w:i/>
          <w:iCs/>
          <w:szCs w:val="22"/>
        </w:rPr>
        <w:t xml:space="preserve">may </w:t>
      </w:r>
      <w:r w:rsidR="00503F94" w:rsidRPr="005D2B93">
        <w:rPr>
          <w:rFonts w:cs="Arial"/>
          <w:bCs/>
          <w:i/>
          <w:iCs/>
          <w:szCs w:val="22"/>
        </w:rPr>
        <w:t>under appropriate circumstances</w:t>
      </w:r>
      <w:r w:rsidR="00DC5BB0" w:rsidRPr="005D2B93">
        <w:rPr>
          <w:rFonts w:cs="Arial"/>
          <w:bCs/>
          <w:i/>
          <w:iCs/>
          <w:szCs w:val="22"/>
        </w:rPr>
        <w:t xml:space="preserve"> </w:t>
      </w:r>
      <w:r w:rsidRPr="005D2B93">
        <w:rPr>
          <w:rFonts w:cs="Arial"/>
          <w:bCs/>
          <w:i/>
          <w:iCs/>
          <w:szCs w:val="22"/>
        </w:rPr>
        <w:t>merit a cost order against successful applicant</w:t>
      </w:r>
    </w:p>
    <w:p w14:paraId="32DA3C2C" w14:textId="052DEAC8" w:rsidR="003A6F23" w:rsidRPr="005D2B93" w:rsidRDefault="003A6F23" w:rsidP="009469A8">
      <w:pPr>
        <w:keepNext/>
        <w:widowControl w:val="0"/>
        <w:spacing w:after="480" w:line="480" w:lineRule="auto"/>
        <w:jc w:val="both"/>
        <w:rPr>
          <w:rFonts w:cs="Arial"/>
          <w:bCs/>
          <w:szCs w:val="22"/>
          <w:u w:val="single"/>
        </w:rPr>
      </w:pPr>
      <w:r w:rsidRPr="005D2B93">
        <w:rPr>
          <w:rFonts w:cs="Arial"/>
          <w:bCs/>
          <w:szCs w:val="22"/>
          <w:u w:val="single"/>
        </w:rPr>
        <w:t>Order</w:t>
      </w:r>
    </w:p>
    <w:p w14:paraId="794327A4" w14:textId="0A214BD6" w:rsidR="003A6F23" w:rsidRPr="005D2B93" w:rsidRDefault="006042E8" w:rsidP="006042E8">
      <w:pPr>
        <w:keepNext/>
        <w:widowControl w:val="0"/>
        <w:tabs>
          <w:tab w:val="left" w:pos="567"/>
        </w:tabs>
        <w:spacing w:after="480" w:line="480" w:lineRule="auto"/>
        <w:jc w:val="both"/>
        <w:rPr>
          <w:rFonts w:cs="Arial"/>
          <w:bCs/>
          <w:i/>
          <w:iCs/>
          <w:szCs w:val="22"/>
        </w:rPr>
      </w:pPr>
      <w:r w:rsidRPr="005D2B93">
        <w:rPr>
          <w:rFonts w:cs="Arial"/>
          <w:bCs/>
          <w:iCs/>
          <w:szCs w:val="22"/>
        </w:rPr>
        <w:t>[1]</w:t>
      </w:r>
      <w:r w:rsidRPr="005D2B93">
        <w:rPr>
          <w:rFonts w:cs="Arial"/>
          <w:bCs/>
          <w:iCs/>
          <w:szCs w:val="22"/>
        </w:rPr>
        <w:tab/>
      </w:r>
      <w:r w:rsidR="00B87B26" w:rsidRPr="005D2B93">
        <w:rPr>
          <w:rFonts w:cs="Arial"/>
          <w:bCs/>
          <w:szCs w:val="22"/>
        </w:rPr>
        <w:t>I ma</w:t>
      </w:r>
      <w:r w:rsidR="00D9716F" w:rsidRPr="005D2B93">
        <w:rPr>
          <w:rFonts w:cs="Arial"/>
          <w:bCs/>
          <w:szCs w:val="22"/>
        </w:rPr>
        <w:t>k</w:t>
      </w:r>
      <w:r w:rsidR="00B87B26" w:rsidRPr="005D2B93">
        <w:rPr>
          <w:rFonts w:cs="Arial"/>
          <w:bCs/>
          <w:szCs w:val="22"/>
        </w:rPr>
        <w:t>e the following order</w:t>
      </w:r>
      <w:r w:rsidR="005A27EF" w:rsidRPr="005D2B93">
        <w:rPr>
          <w:rFonts w:cs="Arial"/>
          <w:bCs/>
          <w:szCs w:val="22"/>
        </w:rPr>
        <w:t>:</w:t>
      </w:r>
    </w:p>
    <w:p w14:paraId="1B1BE177" w14:textId="0D517C7C" w:rsidR="00503F94" w:rsidRPr="006042E8" w:rsidRDefault="006042E8" w:rsidP="006042E8">
      <w:pPr>
        <w:spacing w:before="240" w:after="240"/>
        <w:ind w:left="714" w:hanging="357"/>
        <w:jc w:val="both"/>
        <w:rPr>
          <w:rFonts w:cs="Arial"/>
          <w:i/>
          <w:iCs/>
          <w:szCs w:val="22"/>
        </w:rPr>
      </w:pPr>
      <w:r w:rsidRPr="005D2B93">
        <w:rPr>
          <w:rFonts w:cs="Arial"/>
          <w:i/>
          <w:iCs/>
          <w:szCs w:val="22"/>
        </w:rPr>
        <w:t>1.</w:t>
      </w:r>
      <w:r w:rsidRPr="005D2B93">
        <w:rPr>
          <w:rFonts w:cs="Arial"/>
          <w:i/>
          <w:iCs/>
          <w:szCs w:val="22"/>
        </w:rPr>
        <w:tab/>
      </w:r>
      <w:r w:rsidR="00503F94" w:rsidRPr="006042E8">
        <w:rPr>
          <w:rFonts w:cs="Arial"/>
          <w:i/>
          <w:iCs/>
          <w:szCs w:val="22"/>
        </w:rPr>
        <w:t xml:space="preserve">The judgment granted on 20 June 2022 under case number 2018/42758 is rescinded. </w:t>
      </w:r>
    </w:p>
    <w:p w14:paraId="17A54BC7" w14:textId="0CDC2549" w:rsidR="00503F94" w:rsidRPr="006042E8" w:rsidRDefault="006042E8" w:rsidP="006042E8">
      <w:pPr>
        <w:spacing w:before="240" w:after="240"/>
        <w:ind w:left="714" w:hanging="357"/>
        <w:jc w:val="both"/>
        <w:rPr>
          <w:rFonts w:cs="Arial"/>
          <w:i/>
          <w:iCs/>
          <w:szCs w:val="22"/>
        </w:rPr>
      </w:pPr>
      <w:r w:rsidRPr="005D2B93">
        <w:rPr>
          <w:rFonts w:cs="Arial"/>
          <w:i/>
          <w:iCs/>
          <w:szCs w:val="22"/>
        </w:rPr>
        <w:t>2.</w:t>
      </w:r>
      <w:r w:rsidRPr="005D2B93">
        <w:rPr>
          <w:rFonts w:cs="Arial"/>
          <w:i/>
          <w:iCs/>
          <w:szCs w:val="22"/>
        </w:rPr>
        <w:tab/>
      </w:r>
      <w:r w:rsidR="00503F94" w:rsidRPr="006042E8">
        <w:rPr>
          <w:rFonts w:cs="Arial"/>
          <w:i/>
          <w:iCs/>
          <w:szCs w:val="22"/>
        </w:rPr>
        <w:t xml:space="preserve">The writ of execution issued on 18 October 2022 is set aside. </w:t>
      </w:r>
    </w:p>
    <w:p w14:paraId="3B58D7F3" w14:textId="5A31C709" w:rsidR="00503F94" w:rsidRPr="006042E8" w:rsidRDefault="006042E8" w:rsidP="006042E8">
      <w:pPr>
        <w:spacing w:before="240" w:after="240"/>
        <w:ind w:left="714" w:hanging="357"/>
        <w:jc w:val="both"/>
        <w:rPr>
          <w:rFonts w:cs="Arial"/>
          <w:i/>
          <w:iCs/>
          <w:szCs w:val="22"/>
        </w:rPr>
      </w:pPr>
      <w:r w:rsidRPr="005D2B93">
        <w:rPr>
          <w:rFonts w:cs="Arial"/>
          <w:i/>
          <w:iCs/>
          <w:szCs w:val="22"/>
        </w:rPr>
        <w:t>3.</w:t>
      </w:r>
      <w:r w:rsidRPr="005D2B93">
        <w:rPr>
          <w:rFonts w:cs="Arial"/>
          <w:i/>
          <w:iCs/>
          <w:szCs w:val="22"/>
        </w:rPr>
        <w:tab/>
      </w:r>
      <w:r w:rsidR="00503F94" w:rsidRPr="006042E8">
        <w:rPr>
          <w:rFonts w:cs="Arial"/>
          <w:i/>
          <w:iCs/>
          <w:szCs w:val="22"/>
        </w:rPr>
        <w:t>The applicant is afforded 20 days from date of this order to deliver its plea.</w:t>
      </w:r>
    </w:p>
    <w:p w14:paraId="5A616A21" w14:textId="4ECCD8B5" w:rsidR="00503F94" w:rsidRPr="006042E8" w:rsidRDefault="006042E8" w:rsidP="006042E8">
      <w:pPr>
        <w:spacing w:before="240" w:after="240"/>
        <w:ind w:left="714" w:hanging="357"/>
        <w:jc w:val="both"/>
        <w:rPr>
          <w:rFonts w:cs="Arial"/>
          <w:i/>
          <w:iCs/>
          <w:szCs w:val="22"/>
        </w:rPr>
      </w:pPr>
      <w:r w:rsidRPr="005D2B93">
        <w:rPr>
          <w:rFonts w:cs="Arial"/>
          <w:i/>
          <w:iCs/>
          <w:szCs w:val="22"/>
        </w:rPr>
        <w:t>4.</w:t>
      </w:r>
      <w:r w:rsidRPr="005D2B93">
        <w:rPr>
          <w:rFonts w:cs="Arial"/>
          <w:i/>
          <w:iCs/>
          <w:szCs w:val="22"/>
        </w:rPr>
        <w:tab/>
      </w:r>
      <w:r w:rsidR="00503F94" w:rsidRPr="006042E8">
        <w:rPr>
          <w:rFonts w:cs="Arial"/>
          <w:i/>
          <w:iCs/>
          <w:szCs w:val="22"/>
        </w:rPr>
        <w:t>The costs are reserved for determination by the trial court.</w:t>
      </w:r>
    </w:p>
    <w:p w14:paraId="07CB0FA3" w14:textId="77777777" w:rsidR="00D9716F" w:rsidRPr="005D2B93" w:rsidRDefault="00D9716F" w:rsidP="00503F94">
      <w:pPr>
        <w:pStyle w:val="Default"/>
        <w:spacing w:after="328"/>
        <w:ind w:left="360"/>
        <w:jc w:val="both"/>
        <w:rPr>
          <w:rFonts w:ascii="Arial" w:hAnsi="Arial" w:cs="Arial"/>
          <w:i/>
          <w:iCs/>
          <w:sz w:val="22"/>
          <w:szCs w:val="22"/>
        </w:rPr>
      </w:pPr>
    </w:p>
    <w:p w14:paraId="19E04392" w14:textId="6995B14F" w:rsidR="00A72651" w:rsidRPr="005D2B93" w:rsidRDefault="006042E8" w:rsidP="006042E8">
      <w:pPr>
        <w:widowControl w:val="0"/>
        <w:tabs>
          <w:tab w:val="left" w:pos="567"/>
        </w:tabs>
        <w:spacing w:before="480" w:after="480" w:line="480" w:lineRule="auto"/>
        <w:jc w:val="both"/>
        <w:rPr>
          <w:rFonts w:cs="Arial"/>
          <w:bCs/>
          <w:szCs w:val="22"/>
        </w:rPr>
      </w:pPr>
      <w:r w:rsidRPr="005D2B93">
        <w:rPr>
          <w:rFonts w:cs="Arial"/>
          <w:bCs/>
          <w:szCs w:val="22"/>
        </w:rPr>
        <w:t>[2]</w:t>
      </w:r>
      <w:r w:rsidRPr="005D2B93">
        <w:rPr>
          <w:rFonts w:cs="Arial"/>
          <w:bCs/>
          <w:szCs w:val="22"/>
        </w:rPr>
        <w:tab/>
      </w:r>
      <w:r w:rsidR="003A6F23" w:rsidRPr="005D2B93">
        <w:rPr>
          <w:rFonts w:cs="Arial"/>
          <w:bCs/>
          <w:szCs w:val="22"/>
        </w:rPr>
        <w:t xml:space="preserve">The reasons for the order </w:t>
      </w:r>
      <w:r w:rsidR="006145CE" w:rsidRPr="005D2B93">
        <w:rPr>
          <w:rFonts w:cs="Arial"/>
          <w:bCs/>
          <w:szCs w:val="22"/>
        </w:rPr>
        <w:t>follow</w:t>
      </w:r>
      <w:r w:rsidR="003A6F23" w:rsidRPr="005D2B93">
        <w:rPr>
          <w:rFonts w:cs="Arial"/>
          <w:bCs/>
          <w:szCs w:val="22"/>
        </w:rPr>
        <w:t xml:space="preserve"> below.</w:t>
      </w:r>
    </w:p>
    <w:p w14:paraId="68C785C0" w14:textId="19B2290A" w:rsidR="009469A8" w:rsidRPr="005D2B93" w:rsidRDefault="009469A8" w:rsidP="009469A8">
      <w:pPr>
        <w:keepNext/>
        <w:widowControl w:val="0"/>
        <w:spacing w:before="480" w:after="480" w:line="480" w:lineRule="auto"/>
        <w:jc w:val="both"/>
        <w:rPr>
          <w:rFonts w:cs="Arial"/>
          <w:color w:val="000000" w:themeColor="text1"/>
          <w:szCs w:val="22"/>
          <w:u w:val="single"/>
        </w:rPr>
      </w:pPr>
      <w:r w:rsidRPr="005D2B93">
        <w:rPr>
          <w:rFonts w:cs="Arial"/>
          <w:color w:val="000000" w:themeColor="text1"/>
          <w:szCs w:val="22"/>
          <w:u w:val="single"/>
        </w:rPr>
        <w:lastRenderedPageBreak/>
        <w:t>The application</w:t>
      </w:r>
    </w:p>
    <w:p w14:paraId="0ED31119" w14:textId="08F2E707" w:rsidR="00D9716F"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[3]</w:t>
      </w:r>
      <w:r w:rsidRPr="005D2B93">
        <w:rPr>
          <w:rFonts w:cs="Arial"/>
          <w:szCs w:val="22"/>
        </w:rPr>
        <w:tab/>
      </w:r>
      <w:r w:rsidR="00035CB8" w:rsidRPr="005D2B93">
        <w:rPr>
          <w:rFonts w:cs="Arial"/>
          <w:color w:val="000000" w:themeColor="text1"/>
          <w:szCs w:val="22"/>
        </w:rPr>
        <w:t>The applicant seeks an order rescinding a default judgment</w:t>
      </w:r>
      <w:r w:rsidR="00035CB8" w:rsidRPr="005D2B93">
        <w:rPr>
          <w:rStyle w:val="FootnoteReference"/>
          <w:rFonts w:cs="Arial"/>
          <w:color w:val="000000" w:themeColor="text1"/>
          <w:szCs w:val="22"/>
        </w:rPr>
        <w:footnoteReference w:id="1"/>
      </w:r>
      <w:r w:rsidR="00035CB8" w:rsidRPr="005D2B93">
        <w:rPr>
          <w:rFonts w:cs="Arial"/>
          <w:color w:val="000000" w:themeColor="text1"/>
          <w:szCs w:val="22"/>
        </w:rPr>
        <w:t xml:space="preserve"> granted in this Court on 14 June 2022, or in the alternative an order that a warrant of execution issued pursuant to the order be </w:t>
      </w:r>
      <w:r w:rsidR="00806ED4" w:rsidRPr="005D2B93">
        <w:rPr>
          <w:rFonts w:cs="Arial"/>
          <w:color w:val="000000" w:themeColor="text1"/>
          <w:szCs w:val="22"/>
        </w:rPr>
        <w:t>suspended</w:t>
      </w:r>
      <w:r w:rsidR="00035CB8" w:rsidRPr="005D2B93">
        <w:rPr>
          <w:rFonts w:cs="Arial"/>
          <w:color w:val="000000" w:themeColor="text1"/>
          <w:szCs w:val="22"/>
        </w:rPr>
        <w:t xml:space="preserve"> pending the outcome of the rescission application in the normal court of the Johannesburg opposed motion court.</w:t>
      </w:r>
    </w:p>
    <w:p w14:paraId="50857335" w14:textId="1C79D526" w:rsidR="000B6713"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[4]</w:t>
      </w:r>
      <w:r w:rsidRPr="005D2B93">
        <w:rPr>
          <w:rFonts w:cs="Arial"/>
          <w:szCs w:val="22"/>
        </w:rPr>
        <w:tab/>
      </w:r>
      <w:r w:rsidR="00806ED4" w:rsidRPr="005D2B93">
        <w:rPr>
          <w:rFonts w:cs="Arial"/>
          <w:color w:val="000000" w:themeColor="text1"/>
          <w:szCs w:val="22"/>
        </w:rPr>
        <w:t xml:space="preserve">The summons was served at the applicant’s registered address on 17 April 2019. </w:t>
      </w:r>
      <w:r w:rsidR="000609B0" w:rsidRPr="005D2B93">
        <w:rPr>
          <w:rFonts w:cs="Arial"/>
          <w:color w:val="000000" w:themeColor="text1"/>
          <w:szCs w:val="22"/>
        </w:rPr>
        <w:t xml:space="preserve">The notice of set down in the default judgement application was served there </w:t>
      </w:r>
      <w:r w:rsidR="006F19D4" w:rsidRPr="005D2B93">
        <w:rPr>
          <w:rFonts w:cs="Arial"/>
          <w:color w:val="000000" w:themeColor="text1"/>
          <w:szCs w:val="22"/>
        </w:rPr>
        <w:t xml:space="preserve">on 6 April 2022. </w:t>
      </w:r>
      <w:r w:rsidR="00E8008C" w:rsidRPr="005D2B93">
        <w:rPr>
          <w:rFonts w:cs="Arial"/>
          <w:color w:val="000000" w:themeColor="text1"/>
          <w:szCs w:val="22"/>
        </w:rPr>
        <w:t>Service as a registered address of a company is good service</w:t>
      </w:r>
      <w:r w:rsidR="00E8008C" w:rsidRPr="005D2B93">
        <w:rPr>
          <w:rStyle w:val="FootnoteReference"/>
          <w:rFonts w:cs="Arial"/>
          <w:color w:val="000000" w:themeColor="text1"/>
          <w:szCs w:val="22"/>
        </w:rPr>
        <w:footnoteReference w:id="2"/>
      </w:r>
      <w:r w:rsidR="00E8008C" w:rsidRPr="005D2B93">
        <w:rPr>
          <w:rFonts w:cs="Arial"/>
          <w:color w:val="000000" w:themeColor="text1"/>
          <w:szCs w:val="22"/>
        </w:rPr>
        <w:t xml:space="preserve"> – the address is chosen by the company and the company is responsible for changing it when the address is vacated.</w:t>
      </w:r>
      <w:r w:rsidR="00E8008C" w:rsidRPr="005D2B93">
        <w:rPr>
          <w:rStyle w:val="FootnoteReference"/>
          <w:rFonts w:cs="Arial"/>
          <w:color w:val="000000" w:themeColor="text1"/>
          <w:szCs w:val="22"/>
        </w:rPr>
        <w:footnoteReference w:id="3"/>
      </w:r>
      <w:r w:rsidR="00E8008C" w:rsidRPr="005D2B93">
        <w:rPr>
          <w:rFonts w:cs="Arial"/>
          <w:color w:val="000000" w:themeColor="text1"/>
          <w:szCs w:val="22"/>
        </w:rPr>
        <w:t xml:space="preserve"> </w:t>
      </w:r>
      <w:r w:rsidR="008111CE" w:rsidRPr="005D2B93">
        <w:rPr>
          <w:rFonts w:cs="Arial"/>
          <w:color w:val="000000" w:themeColor="text1"/>
          <w:szCs w:val="22"/>
        </w:rPr>
        <w:t xml:space="preserve">It is in the public interest that a company has an address where service of process and delivery of other documents can be </w:t>
      </w:r>
      <w:proofErr w:type="gramStart"/>
      <w:r w:rsidR="008111CE" w:rsidRPr="005D2B93">
        <w:rPr>
          <w:rFonts w:cs="Arial"/>
          <w:color w:val="000000" w:themeColor="text1"/>
          <w:szCs w:val="22"/>
        </w:rPr>
        <w:t>effected</w:t>
      </w:r>
      <w:proofErr w:type="gramEnd"/>
      <w:r w:rsidR="008111CE" w:rsidRPr="005D2B93">
        <w:rPr>
          <w:rFonts w:cs="Arial"/>
          <w:color w:val="000000" w:themeColor="text1"/>
          <w:szCs w:val="22"/>
        </w:rPr>
        <w:t>.</w:t>
      </w:r>
    </w:p>
    <w:p w14:paraId="21231D99" w14:textId="1B40B559" w:rsidR="000609B0"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[5]</w:t>
      </w:r>
      <w:r w:rsidRPr="005D2B93">
        <w:rPr>
          <w:rFonts w:cs="Arial"/>
          <w:szCs w:val="22"/>
        </w:rPr>
        <w:tab/>
      </w:r>
      <w:r w:rsidR="00806ED4" w:rsidRPr="005D2B93">
        <w:rPr>
          <w:rFonts w:cs="Arial"/>
          <w:color w:val="000000" w:themeColor="text1"/>
          <w:szCs w:val="22"/>
        </w:rPr>
        <w:t xml:space="preserve">The applicant states that it </w:t>
      </w:r>
      <w:r w:rsidR="000D43A6" w:rsidRPr="005D2B93">
        <w:rPr>
          <w:rFonts w:cs="Arial"/>
          <w:color w:val="000000" w:themeColor="text1"/>
          <w:szCs w:val="22"/>
        </w:rPr>
        <w:t>vacated the premises in</w:t>
      </w:r>
      <w:r w:rsidR="000609B0" w:rsidRPr="005D2B93">
        <w:rPr>
          <w:rFonts w:cs="Arial"/>
          <w:color w:val="000000" w:themeColor="text1"/>
          <w:szCs w:val="22"/>
        </w:rPr>
        <w:t xml:space="preserve"> May of</w:t>
      </w:r>
      <w:r w:rsidR="000D43A6" w:rsidRPr="005D2B93">
        <w:rPr>
          <w:rFonts w:cs="Arial"/>
          <w:color w:val="000000" w:themeColor="text1"/>
          <w:szCs w:val="22"/>
        </w:rPr>
        <w:t xml:space="preserve"> 2018 and </w:t>
      </w:r>
      <w:r w:rsidR="00806ED4" w:rsidRPr="005D2B93">
        <w:rPr>
          <w:rFonts w:cs="Arial"/>
          <w:color w:val="000000" w:themeColor="text1"/>
          <w:szCs w:val="22"/>
        </w:rPr>
        <w:t xml:space="preserve">was no longer carrying on business at the address in April 2019 and this borne out by the return of service where it is indicated that the security guard on duty at the premises had informed the Sheriff that the applicant had vacated the address. The applicant, despite this allegation, nevertheless proceeded to </w:t>
      </w:r>
      <w:r w:rsidR="000D43A6" w:rsidRPr="005D2B93">
        <w:rPr>
          <w:rFonts w:cs="Arial"/>
          <w:color w:val="000000" w:themeColor="text1"/>
          <w:szCs w:val="22"/>
        </w:rPr>
        <w:t xml:space="preserve">use and </w:t>
      </w:r>
      <w:r w:rsidR="000609B0" w:rsidRPr="005D2B93">
        <w:rPr>
          <w:rFonts w:cs="Arial"/>
          <w:color w:val="000000" w:themeColor="text1"/>
          <w:szCs w:val="22"/>
        </w:rPr>
        <w:t xml:space="preserve">thus </w:t>
      </w:r>
      <w:r w:rsidR="00503F94" w:rsidRPr="005D2B93">
        <w:rPr>
          <w:rFonts w:cs="Arial"/>
          <w:color w:val="000000" w:themeColor="text1"/>
          <w:szCs w:val="22"/>
        </w:rPr>
        <w:t>proclaim</w:t>
      </w:r>
      <w:r w:rsidR="00806ED4" w:rsidRPr="005D2B93">
        <w:rPr>
          <w:rFonts w:cs="Arial"/>
          <w:color w:val="000000" w:themeColor="text1"/>
          <w:szCs w:val="22"/>
        </w:rPr>
        <w:t xml:space="preserve"> this address</w:t>
      </w:r>
      <w:r w:rsidR="00503F94" w:rsidRPr="005D2B93">
        <w:rPr>
          <w:rFonts w:cs="Arial"/>
          <w:color w:val="000000" w:themeColor="text1"/>
          <w:szCs w:val="22"/>
        </w:rPr>
        <w:t xml:space="preserve"> to third parties</w:t>
      </w:r>
      <w:r w:rsidR="00806ED4" w:rsidRPr="005D2B93">
        <w:rPr>
          <w:rFonts w:cs="Arial"/>
          <w:color w:val="000000" w:themeColor="text1"/>
          <w:szCs w:val="22"/>
        </w:rPr>
        <w:t xml:space="preserve"> in</w:t>
      </w:r>
      <w:r w:rsidR="000609B0" w:rsidRPr="005D2B93">
        <w:rPr>
          <w:rFonts w:cs="Arial"/>
          <w:color w:val="000000" w:themeColor="text1"/>
          <w:szCs w:val="22"/>
        </w:rPr>
        <w:t xml:space="preserve"> an affidavit by one its directors in July 2018 and in a summons in </w:t>
      </w:r>
      <w:r w:rsidR="00DB566D" w:rsidRPr="005D2B93">
        <w:rPr>
          <w:rFonts w:cs="Arial"/>
          <w:color w:val="000000" w:themeColor="text1"/>
          <w:szCs w:val="22"/>
        </w:rPr>
        <w:t xml:space="preserve">litigation between the same parties </w:t>
      </w:r>
      <w:r w:rsidR="008111CE" w:rsidRPr="005D2B93">
        <w:rPr>
          <w:rFonts w:cs="Arial"/>
          <w:color w:val="000000" w:themeColor="text1"/>
          <w:szCs w:val="22"/>
        </w:rPr>
        <w:t>in</w:t>
      </w:r>
      <w:r w:rsidR="00DB566D" w:rsidRPr="005D2B93">
        <w:rPr>
          <w:rFonts w:cs="Arial"/>
          <w:color w:val="000000" w:themeColor="text1"/>
          <w:szCs w:val="22"/>
        </w:rPr>
        <w:t xml:space="preserve"> the Limpopo High Court in </w:t>
      </w:r>
      <w:r w:rsidR="00806ED4" w:rsidRPr="005D2B93">
        <w:rPr>
          <w:rFonts w:cs="Arial"/>
          <w:color w:val="000000" w:themeColor="text1"/>
          <w:szCs w:val="22"/>
        </w:rPr>
        <w:t>January 2020</w:t>
      </w:r>
      <w:r w:rsidR="004E3362" w:rsidRPr="005D2B93">
        <w:rPr>
          <w:rFonts w:cs="Arial"/>
          <w:color w:val="000000" w:themeColor="text1"/>
          <w:szCs w:val="22"/>
        </w:rPr>
        <w:t>.</w:t>
      </w:r>
      <w:r w:rsidR="00806ED4" w:rsidRPr="005D2B93">
        <w:rPr>
          <w:rStyle w:val="FootnoteReference"/>
          <w:rFonts w:cs="Arial"/>
          <w:color w:val="000000" w:themeColor="text1"/>
          <w:szCs w:val="22"/>
        </w:rPr>
        <w:footnoteReference w:id="4"/>
      </w:r>
      <w:r w:rsidR="000D43A6" w:rsidRPr="005D2B93">
        <w:rPr>
          <w:rFonts w:cs="Arial"/>
          <w:color w:val="000000" w:themeColor="text1"/>
          <w:szCs w:val="22"/>
        </w:rPr>
        <w:t xml:space="preserve"> </w:t>
      </w:r>
    </w:p>
    <w:p w14:paraId="1831D732" w14:textId="7FCDF519" w:rsidR="000609B0"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[6]</w:t>
      </w:r>
      <w:r w:rsidRPr="005D2B93">
        <w:rPr>
          <w:rFonts w:cs="Arial"/>
          <w:szCs w:val="22"/>
        </w:rPr>
        <w:tab/>
      </w:r>
      <w:r w:rsidR="004E3362" w:rsidRPr="005D2B93">
        <w:rPr>
          <w:rFonts w:cs="Arial"/>
          <w:color w:val="000000" w:themeColor="text1"/>
          <w:szCs w:val="22"/>
        </w:rPr>
        <w:t xml:space="preserve">It is also alleged that the applicant informed the Companies and Intellectual Property Commission (CIPC) of the new address but there is no indication as to when this was </w:t>
      </w:r>
      <w:r w:rsidR="000B6713" w:rsidRPr="005D2B93">
        <w:rPr>
          <w:rFonts w:cs="Arial"/>
          <w:color w:val="000000" w:themeColor="text1"/>
          <w:szCs w:val="22"/>
        </w:rPr>
        <w:t>done</w:t>
      </w:r>
      <w:r w:rsidR="004E3362" w:rsidRPr="005D2B93">
        <w:rPr>
          <w:rFonts w:cs="Arial"/>
          <w:color w:val="000000" w:themeColor="text1"/>
          <w:szCs w:val="22"/>
        </w:rPr>
        <w:t xml:space="preserve"> </w:t>
      </w:r>
      <w:r w:rsidR="004E3362" w:rsidRPr="005D2B93">
        <w:rPr>
          <w:rFonts w:cs="Arial"/>
          <w:color w:val="000000" w:themeColor="text1"/>
          <w:szCs w:val="22"/>
        </w:rPr>
        <w:lastRenderedPageBreak/>
        <w:t xml:space="preserve">and why the old address </w:t>
      </w:r>
      <w:r w:rsidR="008111CE" w:rsidRPr="005D2B93">
        <w:rPr>
          <w:rFonts w:cs="Arial"/>
          <w:color w:val="000000" w:themeColor="text1"/>
          <w:szCs w:val="22"/>
        </w:rPr>
        <w:t>remained</w:t>
      </w:r>
      <w:r w:rsidR="004E3362" w:rsidRPr="005D2B93">
        <w:rPr>
          <w:rFonts w:cs="Arial"/>
          <w:color w:val="000000" w:themeColor="text1"/>
          <w:szCs w:val="22"/>
        </w:rPr>
        <w:t xml:space="preserve"> on the CIPC records in 2022.</w:t>
      </w:r>
    </w:p>
    <w:p w14:paraId="17F5B67A" w14:textId="3B2B1B95" w:rsidR="00806ED4"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[7]</w:t>
      </w:r>
      <w:r w:rsidRPr="005D2B93">
        <w:rPr>
          <w:rFonts w:cs="Arial"/>
          <w:szCs w:val="22"/>
        </w:rPr>
        <w:tab/>
      </w:r>
      <w:r w:rsidR="000609B0" w:rsidRPr="005D2B93">
        <w:rPr>
          <w:rFonts w:cs="Arial"/>
          <w:color w:val="000000" w:themeColor="text1"/>
          <w:szCs w:val="22"/>
        </w:rPr>
        <w:t xml:space="preserve">The respondent can hardly be faulted for serving </w:t>
      </w:r>
      <w:r w:rsidR="00503F94" w:rsidRPr="005D2B93">
        <w:rPr>
          <w:rFonts w:cs="Arial"/>
          <w:color w:val="000000" w:themeColor="text1"/>
          <w:szCs w:val="22"/>
        </w:rPr>
        <w:t>a summons and a notice of set down</w:t>
      </w:r>
      <w:r w:rsidR="000609B0" w:rsidRPr="005D2B93">
        <w:rPr>
          <w:rFonts w:cs="Arial"/>
          <w:color w:val="000000" w:themeColor="text1"/>
          <w:szCs w:val="22"/>
        </w:rPr>
        <w:t xml:space="preserve"> at this address when the applicant itself still used this address after May 2018 and when the records of the CIPC were not updated.</w:t>
      </w:r>
      <w:r w:rsidR="003D53F9" w:rsidRPr="005D2B93">
        <w:rPr>
          <w:rStyle w:val="FootnoteReference"/>
          <w:rFonts w:cs="Arial"/>
          <w:color w:val="000000" w:themeColor="text1"/>
          <w:szCs w:val="22"/>
        </w:rPr>
        <w:footnoteReference w:id="5"/>
      </w:r>
    </w:p>
    <w:p w14:paraId="79DE91EC" w14:textId="4A5BB492" w:rsidR="00285E03"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[8]</w:t>
      </w:r>
      <w:r w:rsidRPr="005D2B93">
        <w:rPr>
          <w:rFonts w:cs="Arial"/>
          <w:szCs w:val="22"/>
        </w:rPr>
        <w:tab/>
      </w:r>
      <w:r w:rsidR="00E8008C" w:rsidRPr="005D2B93">
        <w:rPr>
          <w:rFonts w:cs="Arial"/>
          <w:color w:val="000000" w:themeColor="text1"/>
          <w:szCs w:val="22"/>
        </w:rPr>
        <w:t>Be that as it may, it is not disputed that the summons never came to the attention of the applicant.</w:t>
      </w:r>
    </w:p>
    <w:p w14:paraId="0B7FD528" w14:textId="264BF0A5" w:rsidR="00503F94"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[9]</w:t>
      </w:r>
      <w:r w:rsidRPr="005D2B93">
        <w:rPr>
          <w:rFonts w:cs="Arial"/>
          <w:szCs w:val="22"/>
        </w:rPr>
        <w:tab/>
      </w:r>
      <w:r w:rsidR="00DB566D" w:rsidRPr="005D2B93">
        <w:rPr>
          <w:rFonts w:cs="Arial"/>
          <w:color w:val="000000" w:themeColor="text1"/>
          <w:szCs w:val="22"/>
        </w:rPr>
        <w:t>In the</w:t>
      </w:r>
      <w:r w:rsidR="008111CE" w:rsidRPr="005D2B93">
        <w:rPr>
          <w:rFonts w:cs="Arial"/>
          <w:color w:val="000000" w:themeColor="text1"/>
          <w:szCs w:val="22"/>
        </w:rPr>
        <w:t xml:space="preserve"> action in the</w:t>
      </w:r>
      <w:r w:rsidR="00DB566D" w:rsidRPr="005D2B93">
        <w:rPr>
          <w:rFonts w:cs="Arial"/>
          <w:color w:val="000000" w:themeColor="text1"/>
          <w:szCs w:val="22"/>
        </w:rPr>
        <w:t xml:space="preserve"> Limpopo High Court the applicant as plaintiff claims payment of </w:t>
      </w:r>
      <w:r w:rsidR="00DB566D" w:rsidRPr="005D2B93">
        <w:rPr>
          <w:rFonts w:cs="Arial"/>
          <w:szCs w:val="22"/>
          <w:lang w:eastAsia="en-ZA"/>
        </w:rPr>
        <w:t>R6</w:t>
      </w:r>
      <w:r w:rsidR="008111CE" w:rsidRPr="005D2B93">
        <w:rPr>
          <w:rFonts w:cs="Arial"/>
          <w:szCs w:val="22"/>
          <w:lang w:eastAsia="en-ZA"/>
        </w:rPr>
        <w:t> </w:t>
      </w:r>
      <w:r w:rsidR="00DB566D" w:rsidRPr="005D2B93">
        <w:rPr>
          <w:rFonts w:cs="Arial"/>
          <w:szCs w:val="22"/>
          <w:lang w:eastAsia="en-ZA"/>
        </w:rPr>
        <w:t>967</w:t>
      </w:r>
      <w:r w:rsidR="008111CE" w:rsidRPr="005D2B93">
        <w:rPr>
          <w:rFonts w:cs="Arial"/>
          <w:szCs w:val="22"/>
          <w:lang w:eastAsia="en-ZA"/>
        </w:rPr>
        <w:t> </w:t>
      </w:r>
      <w:r w:rsidR="00DB566D" w:rsidRPr="005D2B93">
        <w:rPr>
          <w:rFonts w:cs="Arial"/>
          <w:szCs w:val="22"/>
          <w:lang w:eastAsia="en-ZA"/>
        </w:rPr>
        <w:t>075.43 from the respondent as defendant. Both action</w:t>
      </w:r>
      <w:r w:rsidR="00503F94" w:rsidRPr="005D2B93">
        <w:rPr>
          <w:rFonts w:cs="Arial"/>
          <w:szCs w:val="22"/>
          <w:lang w:eastAsia="en-ZA"/>
        </w:rPr>
        <w:t>s</w:t>
      </w:r>
      <w:r w:rsidR="00DB566D" w:rsidRPr="005D2B93">
        <w:rPr>
          <w:rFonts w:cs="Arial"/>
          <w:szCs w:val="22"/>
          <w:lang w:eastAsia="en-ZA"/>
        </w:rPr>
        <w:t xml:space="preserve"> are based out of a contractual relationship between the parties and the facts relevant to the one action </w:t>
      </w:r>
      <w:r w:rsidR="008111CE" w:rsidRPr="005D2B93">
        <w:rPr>
          <w:rFonts w:cs="Arial"/>
          <w:szCs w:val="22"/>
          <w:lang w:eastAsia="en-ZA"/>
        </w:rPr>
        <w:t>are</w:t>
      </w:r>
      <w:r w:rsidR="00DB566D" w:rsidRPr="005D2B93">
        <w:rPr>
          <w:rFonts w:cs="Arial"/>
          <w:szCs w:val="22"/>
          <w:lang w:eastAsia="en-ZA"/>
        </w:rPr>
        <w:t xml:space="preserve"> also relevant to the other. </w:t>
      </w:r>
    </w:p>
    <w:p w14:paraId="6BCEF641" w14:textId="25B83167" w:rsidR="003D53F9"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[10]</w:t>
      </w:r>
      <w:r w:rsidRPr="005D2B93">
        <w:rPr>
          <w:rFonts w:cs="Arial"/>
          <w:szCs w:val="22"/>
        </w:rPr>
        <w:tab/>
      </w:r>
      <w:r w:rsidR="00503F94" w:rsidRPr="005D2B93">
        <w:rPr>
          <w:rFonts w:cs="Arial"/>
          <w:szCs w:val="22"/>
          <w:lang w:eastAsia="en-ZA"/>
        </w:rPr>
        <w:t>The respondent filed a</w:t>
      </w:r>
      <w:r w:rsidR="008111CE" w:rsidRPr="005D2B93">
        <w:rPr>
          <w:rFonts w:cs="Arial"/>
          <w:szCs w:val="22"/>
          <w:lang w:eastAsia="en-ZA"/>
        </w:rPr>
        <w:t xml:space="preserve"> plea in </w:t>
      </w:r>
      <w:r w:rsidR="00503F94" w:rsidRPr="005D2B93">
        <w:rPr>
          <w:rFonts w:cs="Arial"/>
          <w:szCs w:val="22"/>
          <w:lang w:eastAsia="en-ZA"/>
        </w:rPr>
        <w:t xml:space="preserve">the Limpopo Court during </w:t>
      </w:r>
      <w:r w:rsidR="008111CE" w:rsidRPr="005D2B93">
        <w:rPr>
          <w:rFonts w:cs="Arial"/>
          <w:szCs w:val="22"/>
          <w:lang w:eastAsia="en-ZA"/>
        </w:rPr>
        <w:t>April 2022</w:t>
      </w:r>
      <w:r w:rsidR="00285E03" w:rsidRPr="005D2B93">
        <w:rPr>
          <w:rFonts w:cs="Arial"/>
          <w:szCs w:val="22"/>
          <w:lang w:eastAsia="en-ZA"/>
        </w:rPr>
        <w:t xml:space="preserve"> and in the plea the respondent raised the defence of </w:t>
      </w:r>
      <w:proofErr w:type="spellStart"/>
      <w:r w:rsidR="00285E03" w:rsidRPr="005D2B93">
        <w:rPr>
          <w:rFonts w:cs="Arial"/>
          <w:i/>
          <w:iCs/>
          <w:szCs w:val="22"/>
          <w:lang w:eastAsia="en-ZA"/>
        </w:rPr>
        <w:t>lis</w:t>
      </w:r>
      <w:proofErr w:type="spellEnd"/>
      <w:r w:rsidR="00285E03" w:rsidRPr="005D2B93">
        <w:rPr>
          <w:rFonts w:cs="Arial"/>
          <w:i/>
          <w:iCs/>
          <w:szCs w:val="22"/>
          <w:lang w:eastAsia="en-ZA"/>
        </w:rPr>
        <w:t xml:space="preserve"> pendens</w:t>
      </w:r>
      <w:r w:rsidR="00285E03" w:rsidRPr="005D2B93">
        <w:rPr>
          <w:rFonts w:cs="Arial"/>
          <w:szCs w:val="22"/>
          <w:lang w:eastAsia="en-ZA"/>
        </w:rPr>
        <w:t xml:space="preserve">. When the applicant made enquiries however it could not find a court file at the Registrar’s office but is not clear why it was not referred to the electronic court file. </w:t>
      </w:r>
    </w:p>
    <w:p w14:paraId="3E91C1F1" w14:textId="4ABF3DF1" w:rsidR="008111CE"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[11]</w:t>
      </w:r>
      <w:r w:rsidRPr="005D2B93">
        <w:rPr>
          <w:rFonts w:cs="Arial"/>
          <w:szCs w:val="22"/>
        </w:rPr>
        <w:tab/>
      </w:r>
      <w:r w:rsidR="00285E03" w:rsidRPr="005D2B93">
        <w:rPr>
          <w:rFonts w:cs="Arial"/>
          <w:szCs w:val="22"/>
          <w:lang w:eastAsia="en-ZA"/>
        </w:rPr>
        <w:t xml:space="preserve">Had the applicant been referred to an electronic court file on </w:t>
      </w:r>
      <w:proofErr w:type="spellStart"/>
      <w:r w:rsidR="00285E03" w:rsidRPr="005D2B93">
        <w:rPr>
          <w:rFonts w:cs="Arial"/>
          <w:szCs w:val="22"/>
          <w:lang w:eastAsia="en-ZA"/>
        </w:rPr>
        <w:t>CaseLines</w:t>
      </w:r>
      <w:proofErr w:type="spellEnd"/>
      <w:r w:rsidR="00285E03" w:rsidRPr="005D2B93">
        <w:rPr>
          <w:rFonts w:cs="Arial"/>
          <w:szCs w:val="22"/>
          <w:lang w:eastAsia="en-ZA"/>
        </w:rPr>
        <w:t xml:space="preserve"> the rescission application could have been launched already in 2022. </w:t>
      </w:r>
      <w:r w:rsidR="00285E03" w:rsidRPr="005D2B93">
        <w:rPr>
          <w:rFonts w:cs="Arial"/>
          <w:color w:val="000000" w:themeColor="text1"/>
          <w:szCs w:val="22"/>
        </w:rPr>
        <w:t xml:space="preserve">It was </w:t>
      </w:r>
      <w:r w:rsidR="003D53F9" w:rsidRPr="005D2B93">
        <w:rPr>
          <w:rFonts w:cs="Arial"/>
          <w:color w:val="000000" w:themeColor="text1"/>
          <w:szCs w:val="22"/>
        </w:rPr>
        <w:t xml:space="preserve">however </w:t>
      </w:r>
      <w:r w:rsidR="00285E03" w:rsidRPr="005D2B93">
        <w:rPr>
          <w:rFonts w:cs="Arial"/>
          <w:color w:val="000000" w:themeColor="text1"/>
          <w:szCs w:val="22"/>
        </w:rPr>
        <w:t xml:space="preserve">only </w:t>
      </w:r>
      <w:r w:rsidR="009956E4" w:rsidRPr="005D2B93">
        <w:rPr>
          <w:rFonts w:cs="Arial"/>
          <w:color w:val="000000" w:themeColor="text1"/>
          <w:szCs w:val="22"/>
        </w:rPr>
        <w:t xml:space="preserve">when the Sheriff served the writ </w:t>
      </w:r>
      <w:r w:rsidR="008111CE" w:rsidRPr="005D2B93">
        <w:rPr>
          <w:rFonts w:cs="Arial"/>
          <w:color w:val="000000" w:themeColor="text1"/>
          <w:szCs w:val="22"/>
        </w:rPr>
        <w:t xml:space="preserve">of execution </w:t>
      </w:r>
      <w:r w:rsidR="009956E4" w:rsidRPr="005D2B93">
        <w:rPr>
          <w:rFonts w:cs="Arial"/>
          <w:color w:val="000000" w:themeColor="text1"/>
          <w:szCs w:val="22"/>
        </w:rPr>
        <w:t>on 6 February 2023</w:t>
      </w:r>
      <w:r w:rsidR="00285E03" w:rsidRPr="005D2B93">
        <w:rPr>
          <w:rFonts w:cs="Arial"/>
          <w:color w:val="000000" w:themeColor="text1"/>
          <w:szCs w:val="22"/>
        </w:rPr>
        <w:t xml:space="preserve"> that the applicant initiated its rescission application. It did so </w:t>
      </w:r>
      <w:r w:rsidR="009956E4" w:rsidRPr="005D2B93">
        <w:rPr>
          <w:rFonts w:cs="Arial"/>
          <w:color w:val="000000" w:themeColor="text1"/>
          <w:szCs w:val="22"/>
        </w:rPr>
        <w:t xml:space="preserve">on 6 March 2023 and the answering affidavit was due by 5 April 2023. </w:t>
      </w:r>
    </w:p>
    <w:p w14:paraId="48B9B426" w14:textId="360A788B" w:rsidR="009E38F4"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[12]</w:t>
      </w:r>
      <w:r w:rsidRPr="005D2B93">
        <w:rPr>
          <w:rFonts w:cs="Arial"/>
          <w:szCs w:val="22"/>
        </w:rPr>
        <w:tab/>
      </w:r>
      <w:r w:rsidR="009E38F4" w:rsidRPr="005D2B93">
        <w:rPr>
          <w:rFonts w:cs="Arial"/>
          <w:szCs w:val="22"/>
        </w:rPr>
        <w:t xml:space="preserve">The attorneys agreed on 16 March 2023 to schedule a round table meeting for 28 March </w:t>
      </w:r>
      <w:r w:rsidR="009E38F4" w:rsidRPr="005D2B93">
        <w:rPr>
          <w:rFonts w:cs="Arial"/>
          <w:szCs w:val="22"/>
        </w:rPr>
        <w:lastRenderedPageBreak/>
        <w:t xml:space="preserve">2023 for the purposes of settlement and to </w:t>
      </w:r>
      <w:r w:rsidR="009E38F4" w:rsidRPr="005D2B93">
        <w:rPr>
          <w:rFonts w:cs="Arial"/>
          <w:i/>
          <w:iCs/>
          <w:szCs w:val="22"/>
        </w:rPr>
        <w:t>“possibly cease litigation”</w:t>
      </w:r>
      <w:r w:rsidR="009E38F4" w:rsidRPr="005D2B93">
        <w:rPr>
          <w:rFonts w:cs="Arial"/>
          <w:szCs w:val="22"/>
        </w:rPr>
        <w:t>. The respondent however gave no undertakings</w:t>
      </w:r>
      <w:r w:rsidR="00503F94" w:rsidRPr="005D2B93">
        <w:rPr>
          <w:rFonts w:cs="Arial"/>
          <w:szCs w:val="22"/>
        </w:rPr>
        <w:t xml:space="preserve"> in respect of the writ</w:t>
      </w:r>
      <w:r w:rsidR="009E38F4" w:rsidRPr="005D2B93">
        <w:rPr>
          <w:rFonts w:cs="Arial"/>
          <w:szCs w:val="22"/>
        </w:rPr>
        <w:t xml:space="preserve"> and on 24 March 2023 the Sheriff arrived at applicant’s premises to execute the writ. The urgent application was then launched on 31 March 2023.</w:t>
      </w:r>
    </w:p>
    <w:p w14:paraId="5453BD99" w14:textId="35707377" w:rsidR="009E38F4"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[13]</w:t>
      </w:r>
      <w:r w:rsidRPr="005D2B93">
        <w:rPr>
          <w:rFonts w:cs="Arial"/>
          <w:szCs w:val="22"/>
        </w:rPr>
        <w:tab/>
      </w:r>
      <w:r w:rsidR="009E38F4" w:rsidRPr="005D2B93">
        <w:rPr>
          <w:rFonts w:cs="Arial"/>
          <w:color w:val="000000" w:themeColor="text1"/>
          <w:szCs w:val="22"/>
        </w:rPr>
        <w:t xml:space="preserve">The answering affidavit </w:t>
      </w:r>
      <w:r w:rsidR="00503F94" w:rsidRPr="005D2B93">
        <w:rPr>
          <w:rFonts w:cs="Arial"/>
          <w:color w:val="000000" w:themeColor="text1"/>
          <w:szCs w:val="22"/>
        </w:rPr>
        <w:t xml:space="preserve">dealing with the </w:t>
      </w:r>
      <w:r w:rsidR="009E38F4" w:rsidRPr="005D2B93">
        <w:rPr>
          <w:rFonts w:cs="Arial"/>
          <w:color w:val="000000" w:themeColor="text1"/>
          <w:szCs w:val="22"/>
        </w:rPr>
        <w:t xml:space="preserve">initial application </w:t>
      </w:r>
      <w:r w:rsidR="00503F94" w:rsidRPr="005D2B93">
        <w:rPr>
          <w:rFonts w:cs="Arial"/>
          <w:color w:val="000000" w:themeColor="text1"/>
          <w:szCs w:val="22"/>
        </w:rPr>
        <w:t xml:space="preserve">and the urgent application </w:t>
      </w:r>
      <w:r w:rsidR="009E38F4" w:rsidRPr="005D2B93">
        <w:rPr>
          <w:rFonts w:cs="Arial"/>
          <w:color w:val="000000" w:themeColor="text1"/>
          <w:szCs w:val="22"/>
        </w:rPr>
        <w:t>was filed timeously on 5 April 2023 and the applicant replied on the 6</w:t>
      </w:r>
      <w:r w:rsidR="009E38F4" w:rsidRPr="005D2B93">
        <w:rPr>
          <w:rFonts w:cs="Arial"/>
          <w:color w:val="000000" w:themeColor="text1"/>
          <w:szCs w:val="22"/>
          <w:vertAlign w:val="superscript"/>
        </w:rPr>
        <w:t>th</w:t>
      </w:r>
      <w:r w:rsidR="009E38F4" w:rsidRPr="005D2B93">
        <w:rPr>
          <w:rFonts w:cs="Arial"/>
          <w:color w:val="000000" w:themeColor="text1"/>
          <w:szCs w:val="22"/>
        </w:rPr>
        <w:t>.</w:t>
      </w:r>
      <w:r w:rsidR="008111CE" w:rsidRPr="005D2B93">
        <w:rPr>
          <w:rFonts w:cs="Arial"/>
          <w:color w:val="000000" w:themeColor="text1"/>
          <w:szCs w:val="22"/>
        </w:rPr>
        <w:t xml:space="preserve"> The initial application is therefore ripe for hearing.</w:t>
      </w:r>
    </w:p>
    <w:p w14:paraId="509B802A" w14:textId="23D4CAAF" w:rsidR="009E38F4"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[14]</w:t>
      </w:r>
      <w:r w:rsidRPr="005D2B93">
        <w:rPr>
          <w:rFonts w:cs="Arial"/>
          <w:szCs w:val="22"/>
        </w:rPr>
        <w:tab/>
      </w:r>
      <w:r w:rsidR="001E09E0" w:rsidRPr="005D2B93">
        <w:rPr>
          <w:rFonts w:cs="Arial"/>
          <w:color w:val="000000" w:themeColor="text1"/>
          <w:szCs w:val="22"/>
        </w:rPr>
        <w:t xml:space="preserve">In the answering affidavit the respondent admits that it is in dire financial </w:t>
      </w:r>
      <w:r w:rsidR="008111CE" w:rsidRPr="005D2B93">
        <w:rPr>
          <w:rFonts w:cs="Arial"/>
          <w:color w:val="000000" w:themeColor="text1"/>
          <w:szCs w:val="22"/>
        </w:rPr>
        <w:t>straits</w:t>
      </w:r>
      <w:r w:rsidR="001E09E0" w:rsidRPr="005D2B93">
        <w:rPr>
          <w:rFonts w:cs="Arial"/>
          <w:color w:val="000000" w:themeColor="text1"/>
          <w:szCs w:val="22"/>
        </w:rPr>
        <w:t>. The applicant believes that if execution is allowed to proceed and the underlying judgment is set aside later, it would not be able to recoup its losses. It is also submitted that the items sought to be attached are necessary or even essential to allow the applicant to carry on business and that i</w:t>
      </w:r>
      <w:r w:rsidR="00503F94" w:rsidRPr="005D2B93">
        <w:rPr>
          <w:rFonts w:cs="Arial"/>
          <w:color w:val="000000" w:themeColor="text1"/>
          <w:szCs w:val="22"/>
        </w:rPr>
        <w:t>t</w:t>
      </w:r>
      <w:r w:rsidR="001E09E0" w:rsidRPr="005D2B93">
        <w:rPr>
          <w:rFonts w:cs="Arial"/>
          <w:color w:val="000000" w:themeColor="text1"/>
          <w:szCs w:val="22"/>
        </w:rPr>
        <w:t xml:space="preserve"> will be severely prejudiced if the execution were to proceed </w:t>
      </w:r>
      <w:proofErr w:type="gramStart"/>
      <w:r w:rsidR="001E09E0" w:rsidRPr="005D2B93">
        <w:rPr>
          <w:rFonts w:cs="Arial"/>
          <w:color w:val="000000" w:themeColor="text1"/>
          <w:szCs w:val="22"/>
        </w:rPr>
        <w:t>at this point in time</w:t>
      </w:r>
      <w:proofErr w:type="gramEnd"/>
      <w:r w:rsidR="008111CE" w:rsidRPr="005D2B93">
        <w:rPr>
          <w:rFonts w:cs="Arial"/>
          <w:color w:val="000000" w:themeColor="text1"/>
          <w:szCs w:val="22"/>
        </w:rPr>
        <w:t>, only to be set aside later.</w:t>
      </w:r>
    </w:p>
    <w:p w14:paraId="07B96110" w14:textId="1EB51434" w:rsidR="001E09E0"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[15]</w:t>
      </w:r>
      <w:r w:rsidRPr="005D2B93">
        <w:rPr>
          <w:rFonts w:cs="Arial"/>
          <w:szCs w:val="22"/>
        </w:rPr>
        <w:tab/>
      </w:r>
      <w:r w:rsidR="001E09E0" w:rsidRPr="005D2B93">
        <w:rPr>
          <w:rFonts w:cs="Arial"/>
          <w:color w:val="000000" w:themeColor="text1"/>
          <w:szCs w:val="22"/>
        </w:rPr>
        <w:t xml:space="preserve">I am of the view that a case is made out for the invocation of Rule 6(12). There is no prejudice to the respondent arising out of </w:t>
      </w:r>
      <w:r w:rsidR="00285E03" w:rsidRPr="005D2B93">
        <w:rPr>
          <w:rFonts w:cs="Arial"/>
          <w:color w:val="000000" w:themeColor="text1"/>
          <w:szCs w:val="22"/>
        </w:rPr>
        <w:t>the</w:t>
      </w:r>
      <w:r w:rsidR="001E09E0" w:rsidRPr="005D2B93">
        <w:rPr>
          <w:rFonts w:cs="Arial"/>
          <w:color w:val="000000" w:themeColor="text1"/>
          <w:szCs w:val="22"/>
        </w:rPr>
        <w:t xml:space="preserve"> truncation of time periods but the potential prejudice to the applicant if the writ were not set aside</w:t>
      </w:r>
      <w:r w:rsidR="007B34F7" w:rsidRPr="005D2B93">
        <w:rPr>
          <w:rFonts w:cs="Arial"/>
          <w:color w:val="000000" w:themeColor="text1"/>
          <w:szCs w:val="22"/>
        </w:rPr>
        <w:t xml:space="preserve"> or suspended</w:t>
      </w:r>
      <w:r w:rsidR="001E09E0" w:rsidRPr="005D2B93">
        <w:rPr>
          <w:rFonts w:cs="Arial"/>
          <w:color w:val="000000" w:themeColor="text1"/>
          <w:szCs w:val="22"/>
        </w:rPr>
        <w:t xml:space="preserve"> and the rescission were </w:t>
      </w:r>
      <w:r w:rsidR="007540E8" w:rsidRPr="005D2B93">
        <w:rPr>
          <w:rFonts w:cs="Arial"/>
          <w:color w:val="000000" w:themeColor="text1"/>
          <w:szCs w:val="22"/>
        </w:rPr>
        <w:t xml:space="preserve">later </w:t>
      </w:r>
      <w:r w:rsidR="001E09E0" w:rsidRPr="005D2B93">
        <w:rPr>
          <w:rFonts w:cs="Arial"/>
          <w:color w:val="000000" w:themeColor="text1"/>
          <w:szCs w:val="22"/>
        </w:rPr>
        <w:t xml:space="preserve">to </w:t>
      </w:r>
      <w:r w:rsidR="007B34F7" w:rsidRPr="005D2B93">
        <w:rPr>
          <w:rFonts w:cs="Arial"/>
          <w:color w:val="000000" w:themeColor="text1"/>
          <w:szCs w:val="22"/>
        </w:rPr>
        <w:t>succeed in the normal course, is obvious.</w:t>
      </w:r>
    </w:p>
    <w:p w14:paraId="63EBD5C8" w14:textId="1148536C" w:rsidR="009E38F4"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[16]</w:t>
      </w:r>
      <w:r w:rsidRPr="005D2B93">
        <w:rPr>
          <w:rFonts w:cs="Arial"/>
          <w:szCs w:val="22"/>
        </w:rPr>
        <w:tab/>
      </w:r>
      <w:r w:rsidR="007B34F7" w:rsidRPr="005D2B93">
        <w:rPr>
          <w:rFonts w:cs="Arial"/>
          <w:color w:val="000000" w:themeColor="text1"/>
          <w:szCs w:val="22"/>
        </w:rPr>
        <w:t>The rescission application is now also before me. If I were to consider only the application to suspend the writ another Judge will have read the</w:t>
      </w:r>
      <w:r w:rsidR="00AA0F8B" w:rsidRPr="005D2B93">
        <w:rPr>
          <w:rFonts w:cs="Arial"/>
          <w:color w:val="000000" w:themeColor="text1"/>
          <w:szCs w:val="22"/>
        </w:rPr>
        <w:t xml:space="preserve"> same</w:t>
      </w:r>
      <w:r w:rsidR="007B34F7" w:rsidRPr="005D2B93">
        <w:rPr>
          <w:rFonts w:cs="Arial"/>
          <w:color w:val="000000" w:themeColor="text1"/>
          <w:szCs w:val="22"/>
        </w:rPr>
        <w:t xml:space="preserve"> papers and hear the same argument on the merits later. This is not efficient use of the Court’s time and </w:t>
      </w:r>
      <w:proofErr w:type="gramStart"/>
      <w:r w:rsidR="007B34F7" w:rsidRPr="005D2B93">
        <w:rPr>
          <w:rFonts w:cs="Arial"/>
          <w:color w:val="000000" w:themeColor="text1"/>
          <w:szCs w:val="22"/>
        </w:rPr>
        <w:t>in light of the fact that</w:t>
      </w:r>
      <w:proofErr w:type="gramEnd"/>
      <w:r w:rsidR="007B34F7" w:rsidRPr="005D2B93">
        <w:rPr>
          <w:rFonts w:cs="Arial"/>
          <w:color w:val="000000" w:themeColor="text1"/>
          <w:szCs w:val="22"/>
        </w:rPr>
        <w:t xml:space="preserve"> time periods were not truncated in respect of the initial application,</w:t>
      </w:r>
      <w:r w:rsidR="00AA0F8B" w:rsidRPr="005D2B93">
        <w:rPr>
          <w:rFonts w:cs="Arial"/>
          <w:color w:val="000000" w:themeColor="text1"/>
          <w:szCs w:val="22"/>
        </w:rPr>
        <w:t xml:space="preserve"> and there was therefore no prejudice to the respondent because it had to prepare affidavits at short notice,</w:t>
      </w:r>
      <w:r w:rsidR="007B34F7" w:rsidRPr="005D2B93">
        <w:rPr>
          <w:rFonts w:cs="Arial"/>
          <w:color w:val="000000" w:themeColor="text1"/>
          <w:szCs w:val="22"/>
        </w:rPr>
        <w:t xml:space="preserve"> I deal with the rescission application and not only with the application to suspend the writ.</w:t>
      </w:r>
      <w:r w:rsidR="008111CE" w:rsidRPr="005D2B93">
        <w:rPr>
          <w:rFonts w:cs="Arial"/>
          <w:color w:val="000000" w:themeColor="text1"/>
          <w:szCs w:val="22"/>
        </w:rPr>
        <w:t xml:space="preserve"> Both </w:t>
      </w:r>
      <w:r w:rsidR="008111CE" w:rsidRPr="005D2B93">
        <w:rPr>
          <w:rFonts w:cs="Arial"/>
          <w:color w:val="000000" w:themeColor="text1"/>
          <w:szCs w:val="22"/>
        </w:rPr>
        <w:lastRenderedPageBreak/>
        <w:t xml:space="preserve">the initial and the </w:t>
      </w:r>
      <w:r w:rsidR="00AA0F8B" w:rsidRPr="005D2B93">
        <w:rPr>
          <w:rFonts w:cs="Arial"/>
          <w:color w:val="000000" w:themeColor="text1"/>
          <w:szCs w:val="22"/>
        </w:rPr>
        <w:t>interlocutory (urgent) application were fully argued.</w:t>
      </w:r>
    </w:p>
    <w:p w14:paraId="7214117C" w14:textId="09BF7717" w:rsidR="00DB566D"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[17]</w:t>
      </w:r>
      <w:r w:rsidRPr="005D2B93">
        <w:rPr>
          <w:rFonts w:cs="Arial"/>
          <w:szCs w:val="22"/>
        </w:rPr>
        <w:tab/>
      </w:r>
      <w:r w:rsidR="002C1CFC" w:rsidRPr="005D2B93">
        <w:rPr>
          <w:rFonts w:cs="Arial"/>
          <w:color w:val="000000" w:themeColor="text1"/>
          <w:szCs w:val="22"/>
        </w:rPr>
        <w:t>An application for rescission of a judgment can be entertained under the common law,</w:t>
      </w:r>
      <w:r w:rsidR="002325F9" w:rsidRPr="005D2B93">
        <w:rPr>
          <w:rStyle w:val="FootnoteReference"/>
          <w:rFonts w:cs="Arial"/>
          <w:color w:val="000000" w:themeColor="text1"/>
          <w:szCs w:val="22"/>
        </w:rPr>
        <w:footnoteReference w:id="6"/>
      </w:r>
      <w:r w:rsidR="002C1CFC" w:rsidRPr="005D2B93">
        <w:rPr>
          <w:rFonts w:cs="Arial"/>
          <w:color w:val="000000" w:themeColor="text1"/>
          <w:szCs w:val="22"/>
        </w:rPr>
        <w:t xml:space="preserve"> under Rule 31(2)(b),</w:t>
      </w:r>
      <w:r w:rsidR="00376AC0" w:rsidRPr="005D2B93">
        <w:rPr>
          <w:rStyle w:val="FootnoteReference"/>
          <w:rFonts w:cs="Arial"/>
          <w:color w:val="000000" w:themeColor="text1"/>
          <w:szCs w:val="22"/>
        </w:rPr>
        <w:footnoteReference w:id="7"/>
      </w:r>
      <w:r w:rsidR="002C1CFC" w:rsidRPr="005D2B93">
        <w:rPr>
          <w:rFonts w:cs="Arial"/>
          <w:color w:val="000000" w:themeColor="text1"/>
          <w:szCs w:val="22"/>
        </w:rPr>
        <w:t xml:space="preserve"> or under Rule 42(1)</w:t>
      </w:r>
      <w:r w:rsidR="002325F9" w:rsidRPr="005D2B93">
        <w:rPr>
          <w:rStyle w:val="FootnoteReference"/>
          <w:rFonts w:cs="Arial"/>
          <w:color w:val="000000" w:themeColor="text1"/>
          <w:szCs w:val="22"/>
        </w:rPr>
        <w:footnoteReference w:id="8"/>
      </w:r>
      <w:r w:rsidR="002C1CFC" w:rsidRPr="005D2B93">
        <w:rPr>
          <w:rFonts w:cs="Arial"/>
          <w:color w:val="000000" w:themeColor="text1"/>
          <w:szCs w:val="22"/>
        </w:rPr>
        <w:t xml:space="preserve"> of the Uniform Rules</w:t>
      </w:r>
      <w:r w:rsidR="009E38F4" w:rsidRPr="005D2B93">
        <w:rPr>
          <w:rFonts w:cs="Arial"/>
          <w:color w:val="000000" w:themeColor="text1"/>
          <w:szCs w:val="22"/>
        </w:rPr>
        <w:t>.</w:t>
      </w:r>
      <w:r w:rsidR="000E1AEF" w:rsidRPr="005D2B93">
        <w:rPr>
          <w:rStyle w:val="FootnoteReference"/>
          <w:rFonts w:cs="Arial"/>
          <w:color w:val="000000" w:themeColor="text1"/>
          <w:szCs w:val="22"/>
        </w:rPr>
        <w:footnoteReference w:id="9"/>
      </w:r>
      <w:r w:rsidR="00376AC0" w:rsidRPr="005D2B93">
        <w:rPr>
          <w:rFonts w:cs="Arial"/>
          <w:color w:val="000000" w:themeColor="text1"/>
          <w:szCs w:val="22"/>
        </w:rPr>
        <w:t xml:space="preserve"> </w:t>
      </w:r>
    </w:p>
    <w:p w14:paraId="3334BD1E" w14:textId="2696FEF3" w:rsidR="00D9716F" w:rsidRPr="005D2B93" w:rsidRDefault="006042E8" w:rsidP="006042E8">
      <w:pPr>
        <w:keepNext/>
        <w:widowControl w:val="0"/>
        <w:tabs>
          <w:tab w:val="left" w:pos="567"/>
        </w:tabs>
        <w:spacing w:before="480" w:after="480" w:line="480" w:lineRule="auto"/>
        <w:jc w:val="both"/>
        <w:rPr>
          <w:rFonts w:cs="Arial"/>
          <w:color w:val="000000" w:themeColor="text1"/>
          <w:szCs w:val="22"/>
        </w:rPr>
      </w:pPr>
      <w:r w:rsidRPr="005D2B93">
        <w:rPr>
          <w:rFonts w:cs="Arial"/>
          <w:szCs w:val="22"/>
        </w:rPr>
        <w:t>[18]</w:t>
      </w:r>
      <w:r w:rsidRPr="005D2B93">
        <w:rPr>
          <w:rFonts w:cs="Arial"/>
          <w:szCs w:val="22"/>
        </w:rPr>
        <w:tab/>
      </w:r>
      <w:r w:rsidR="00376AC0" w:rsidRPr="005D2B93">
        <w:rPr>
          <w:rFonts w:cs="Arial"/>
          <w:color w:val="000000" w:themeColor="text1"/>
          <w:szCs w:val="22"/>
        </w:rPr>
        <w:t>The concept of ‘good cause’ is relevant to Rule 31(2)(b) and to rescission at common law</w:t>
      </w:r>
      <w:r w:rsidR="00806ED4" w:rsidRPr="005D2B93">
        <w:rPr>
          <w:rFonts w:cs="Arial"/>
          <w:color w:val="000000" w:themeColor="text1"/>
          <w:szCs w:val="22"/>
        </w:rPr>
        <w:t>.</w:t>
      </w:r>
      <w:r w:rsidR="00376AC0" w:rsidRPr="005D2B93">
        <w:rPr>
          <w:rFonts w:cs="Arial"/>
          <w:color w:val="000000" w:themeColor="text1"/>
          <w:szCs w:val="22"/>
        </w:rPr>
        <w:t xml:space="preserve"> </w:t>
      </w:r>
    </w:p>
    <w:p w14:paraId="58E14480" w14:textId="14193871" w:rsidR="00376AC0" w:rsidRPr="005D2B93" w:rsidRDefault="006042E8" w:rsidP="006042E8">
      <w:pPr>
        <w:keepNext/>
        <w:widowControl w:val="0"/>
        <w:tabs>
          <w:tab w:val="left" w:pos="567"/>
        </w:tabs>
        <w:spacing w:before="480" w:after="480" w:line="480" w:lineRule="auto"/>
        <w:jc w:val="both"/>
        <w:rPr>
          <w:rFonts w:cs="Arial"/>
          <w:bCs/>
          <w:color w:val="000000" w:themeColor="text1"/>
          <w:szCs w:val="22"/>
        </w:rPr>
      </w:pPr>
      <w:r w:rsidRPr="005D2B93">
        <w:rPr>
          <w:rFonts w:cs="Arial"/>
          <w:bCs/>
          <w:szCs w:val="22"/>
        </w:rPr>
        <w:t>[19]</w:t>
      </w:r>
      <w:r w:rsidRPr="005D2B93">
        <w:rPr>
          <w:rFonts w:cs="Arial"/>
          <w:bCs/>
          <w:szCs w:val="22"/>
        </w:rPr>
        <w:tab/>
      </w:r>
      <w:r w:rsidR="00B45EF0" w:rsidRPr="005D2B93">
        <w:rPr>
          <w:rFonts w:cs="Arial"/>
          <w:bCs/>
          <w:szCs w:val="22"/>
        </w:rPr>
        <w:t>I</w:t>
      </w:r>
      <w:r w:rsidR="00B45EF0" w:rsidRPr="005D2B93">
        <w:rPr>
          <w:rFonts w:cs="Arial"/>
          <w:bCs/>
          <w:color w:val="000000" w:themeColor="text1"/>
          <w:szCs w:val="22"/>
        </w:rPr>
        <w:t xml:space="preserve">n </w:t>
      </w:r>
      <w:r w:rsidR="00B45EF0" w:rsidRPr="005D2B93">
        <w:rPr>
          <w:rFonts w:cs="Arial"/>
          <w:i/>
          <w:iCs/>
          <w:color w:val="000000" w:themeColor="text1"/>
          <w:szCs w:val="22"/>
          <w:shd w:val="clear" w:color="auto" w:fill="FFFFFF"/>
        </w:rPr>
        <w:t>Grant v Plumbers (Pty) Ltd</w:t>
      </w:r>
      <w:r w:rsidR="00B45EF0" w:rsidRPr="005D2B93">
        <w:rPr>
          <w:rStyle w:val="FootnoteReference"/>
          <w:rFonts w:cs="Arial"/>
          <w:i/>
          <w:iCs/>
          <w:color w:val="000000" w:themeColor="text1"/>
          <w:szCs w:val="22"/>
          <w:shd w:val="clear" w:color="auto" w:fill="FFFFFF"/>
        </w:rPr>
        <w:footnoteReference w:id="10"/>
      </w:r>
      <w:r w:rsidR="00B45EF0" w:rsidRPr="005D2B93">
        <w:rPr>
          <w:rFonts w:cs="Arial"/>
          <w:color w:val="000000" w:themeColor="text1"/>
          <w:szCs w:val="22"/>
          <w:shd w:val="clear" w:color="auto" w:fill="FFFFFF"/>
        </w:rPr>
        <w:t> Brink J was dealing with the equivalent Rule</w:t>
      </w:r>
      <w:r w:rsidR="002325F9" w:rsidRPr="005D2B93">
        <w:rPr>
          <w:rStyle w:val="FootnoteReference"/>
          <w:rFonts w:cs="Arial"/>
          <w:color w:val="000000" w:themeColor="text1"/>
          <w:szCs w:val="22"/>
          <w:shd w:val="clear" w:color="auto" w:fill="FFFFFF"/>
        </w:rPr>
        <w:footnoteReference w:id="11"/>
      </w:r>
      <w:r w:rsidR="00B45EF0" w:rsidRPr="005D2B93">
        <w:rPr>
          <w:rFonts w:cs="Arial"/>
          <w:color w:val="000000" w:themeColor="text1"/>
          <w:szCs w:val="22"/>
          <w:shd w:val="clear" w:color="auto" w:fill="FFFFFF"/>
        </w:rPr>
        <w:t xml:space="preserve"> in the Free State. He said:</w:t>
      </w:r>
    </w:p>
    <w:p w14:paraId="1D44FF6D" w14:textId="43E03486" w:rsidR="00B45EF0" w:rsidRPr="005D2B93" w:rsidRDefault="002325F9" w:rsidP="00B45EF0">
      <w:pPr>
        <w:pStyle w:val="lrpara"/>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5D2B93">
        <w:rPr>
          <w:rFonts w:ascii="Arial" w:hAnsi="Arial" w:cs="Arial"/>
          <w:i/>
          <w:iCs/>
          <w:color w:val="000000" w:themeColor="text1"/>
          <w:sz w:val="22"/>
          <w:szCs w:val="22"/>
        </w:rPr>
        <w:t>“</w:t>
      </w:r>
      <w:r w:rsidR="00B45EF0" w:rsidRPr="005D2B93">
        <w:rPr>
          <w:rFonts w:ascii="Arial" w:hAnsi="Arial" w:cs="Arial"/>
          <w:i/>
          <w:iCs/>
          <w:color w:val="000000" w:themeColor="text1"/>
          <w:sz w:val="22"/>
          <w:szCs w:val="22"/>
        </w:rPr>
        <w:t>Having regard to the decisions above referred to,</w:t>
      </w:r>
      <w:r w:rsidR="0087453B" w:rsidRPr="005D2B93">
        <w:rPr>
          <w:rStyle w:val="FootnoteReference"/>
          <w:rFonts w:ascii="Arial" w:hAnsi="Arial" w:cs="Arial"/>
          <w:i/>
          <w:iCs/>
          <w:color w:val="000000" w:themeColor="text1"/>
          <w:sz w:val="22"/>
          <w:szCs w:val="22"/>
        </w:rPr>
        <w:footnoteReference w:id="12"/>
      </w:r>
      <w:r w:rsidR="00B45EF0" w:rsidRPr="005D2B93">
        <w:rPr>
          <w:rFonts w:ascii="Arial" w:hAnsi="Arial" w:cs="Arial"/>
          <w:i/>
          <w:iCs/>
          <w:color w:val="000000" w:themeColor="text1"/>
          <w:sz w:val="22"/>
          <w:szCs w:val="22"/>
        </w:rPr>
        <w:t xml:space="preserve"> I am of opinion that an applicant who claims relief under Rule 43 should comply with the following requirements:</w:t>
      </w:r>
    </w:p>
    <w:p w14:paraId="031A6A2D" w14:textId="7DF591F1" w:rsidR="00B45EF0" w:rsidRPr="005D2B93" w:rsidRDefault="00B45EF0" w:rsidP="00B45EF0">
      <w:pPr>
        <w:pStyle w:val="NormalWeb"/>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5D2B93">
        <w:rPr>
          <w:rFonts w:ascii="Arial" w:hAnsi="Arial" w:cs="Arial"/>
          <w:i/>
          <w:iCs/>
          <w:color w:val="000000" w:themeColor="text1"/>
          <w:sz w:val="22"/>
          <w:szCs w:val="22"/>
        </w:rPr>
        <w:t xml:space="preserve">(a) He must give a </w:t>
      </w:r>
      <w:r w:rsidRPr="005D2B93">
        <w:rPr>
          <w:rFonts w:ascii="Arial" w:hAnsi="Arial" w:cs="Arial"/>
          <w:i/>
          <w:iCs/>
          <w:color w:val="000000" w:themeColor="text1"/>
          <w:sz w:val="22"/>
          <w:szCs w:val="22"/>
          <w:u w:val="single"/>
        </w:rPr>
        <w:t>reasonable explanation of his default</w:t>
      </w:r>
      <w:r w:rsidRPr="005D2B93">
        <w:rPr>
          <w:rFonts w:ascii="Arial" w:hAnsi="Arial" w:cs="Arial"/>
          <w:i/>
          <w:iCs/>
          <w:color w:val="000000" w:themeColor="text1"/>
          <w:sz w:val="22"/>
          <w:szCs w:val="22"/>
        </w:rPr>
        <w:t>. If it appears that his default was wilful or that it was due to gross negligence the Court should not come to his assistance.</w:t>
      </w:r>
    </w:p>
    <w:p w14:paraId="2767E297" w14:textId="57F1BCA7" w:rsidR="00B45EF0" w:rsidRPr="005D2B93" w:rsidRDefault="00B45EF0" w:rsidP="00B45EF0">
      <w:pPr>
        <w:pStyle w:val="NormalWeb"/>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5D2B93">
        <w:rPr>
          <w:rFonts w:ascii="Arial" w:hAnsi="Arial" w:cs="Arial"/>
          <w:i/>
          <w:iCs/>
          <w:color w:val="000000" w:themeColor="text1"/>
          <w:sz w:val="22"/>
          <w:szCs w:val="22"/>
        </w:rPr>
        <w:t>(b) His application must be </w:t>
      </w:r>
      <w:r w:rsidRPr="005D2B93">
        <w:rPr>
          <w:rFonts w:ascii="Arial" w:hAnsi="Arial" w:cs="Arial"/>
          <w:i/>
          <w:iCs/>
          <w:color w:val="000000" w:themeColor="text1"/>
          <w:sz w:val="22"/>
          <w:szCs w:val="22"/>
          <w:u w:val="single"/>
        </w:rPr>
        <w:t>bona fide</w:t>
      </w:r>
      <w:r w:rsidRPr="005D2B93">
        <w:rPr>
          <w:rFonts w:ascii="Arial" w:hAnsi="Arial" w:cs="Arial"/>
          <w:i/>
          <w:iCs/>
          <w:color w:val="000000" w:themeColor="text1"/>
          <w:sz w:val="22"/>
          <w:szCs w:val="22"/>
        </w:rPr>
        <w:t> and not made with the intention of merely delaying plaintiff's claim.</w:t>
      </w:r>
    </w:p>
    <w:p w14:paraId="64B894FB" w14:textId="132ECB16" w:rsidR="00B45EF0" w:rsidRPr="005D2B93" w:rsidRDefault="00B45EF0" w:rsidP="00B45EF0">
      <w:pPr>
        <w:pStyle w:val="NormalWeb"/>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5D2B93">
        <w:rPr>
          <w:rFonts w:ascii="Arial" w:hAnsi="Arial" w:cs="Arial"/>
          <w:i/>
          <w:iCs/>
          <w:color w:val="000000" w:themeColor="text1"/>
          <w:sz w:val="22"/>
          <w:szCs w:val="22"/>
        </w:rPr>
        <w:t xml:space="preserve">(c) He must show that he has </w:t>
      </w:r>
      <w:r w:rsidRPr="005D2B93">
        <w:rPr>
          <w:rFonts w:ascii="Arial" w:hAnsi="Arial" w:cs="Arial"/>
          <w:i/>
          <w:iCs/>
          <w:color w:val="000000" w:themeColor="text1"/>
          <w:sz w:val="22"/>
          <w:szCs w:val="22"/>
          <w:u w:val="single"/>
        </w:rPr>
        <w:t>a bona fide defence</w:t>
      </w:r>
      <w:r w:rsidRPr="005D2B93">
        <w:rPr>
          <w:rFonts w:ascii="Arial" w:hAnsi="Arial" w:cs="Arial"/>
          <w:i/>
          <w:iCs/>
          <w:color w:val="000000" w:themeColor="text1"/>
          <w:sz w:val="22"/>
          <w:szCs w:val="22"/>
        </w:rPr>
        <w:t xml:space="preserve"> to plaintiff's claim. It is sufficient if he makes out a </w:t>
      </w:r>
      <w:r w:rsidRPr="005D2B93">
        <w:rPr>
          <w:rFonts w:ascii="Arial" w:hAnsi="Arial" w:cs="Arial"/>
          <w:i/>
          <w:iCs/>
          <w:color w:val="000000" w:themeColor="text1"/>
          <w:sz w:val="22"/>
          <w:szCs w:val="22"/>
          <w:u w:val="single"/>
        </w:rPr>
        <w:t>prima facie defence</w:t>
      </w:r>
      <w:r w:rsidRPr="005D2B93">
        <w:rPr>
          <w:rFonts w:ascii="Arial" w:hAnsi="Arial" w:cs="Arial"/>
          <w:i/>
          <w:iCs/>
          <w:color w:val="000000" w:themeColor="text1"/>
          <w:sz w:val="22"/>
          <w:szCs w:val="22"/>
        </w:rPr>
        <w:t xml:space="preserve"> in the sense of setting out averments which, if established at the trial, would entitle him to the relief asked for. He need not deal fully with the merits of the case and produce evidence </w:t>
      </w:r>
      <w:r w:rsidRPr="005D2B93">
        <w:rPr>
          <w:rFonts w:ascii="Arial" w:hAnsi="Arial" w:cs="Arial"/>
          <w:i/>
          <w:iCs/>
          <w:color w:val="000000" w:themeColor="text1"/>
          <w:sz w:val="22"/>
          <w:szCs w:val="22"/>
        </w:rPr>
        <w:lastRenderedPageBreak/>
        <w:t>that the probabilities are actually in his favour. (Brown v Chapman (1938 TPD 320 at p. 325).</w:t>
      </w:r>
      <w:r w:rsidR="002325F9" w:rsidRPr="005D2B93">
        <w:rPr>
          <w:rFonts w:ascii="Arial" w:hAnsi="Arial" w:cs="Arial"/>
          <w:i/>
          <w:iCs/>
          <w:color w:val="000000" w:themeColor="text1"/>
          <w:sz w:val="22"/>
          <w:szCs w:val="22"/>
        </w:rPr>
        <w:t>”</w:t>
      </w:r>
      <w:r w:rsidR="002325F9" w:rsidRPr="005D2B93">
        <w:rPr>
          <w:rFonts w:ascii="Arial" w:hAnsi="Arial" w:cs="Arial"/>
          <w:color w:val="000000" w:themeColor="text1"/>
          <w:sz w:val="22"/>
          <w:szCs w:val="22"/>
        </w:rPr>
        <w:t xml:space="preserve"> [emphasis added]</w:t>
      </w:r>
    </w:p>
    <w:p w14:paraId="0331D0B3" w14:textId="597FBA41" w:rsidR="00B45EF0" w:rsidRPr="005D2B93" w:rsidRDefault="006042E8" w:rsidP="006042E8">
      <w:pPr>
        <w:keepNext/>
        <w:widowControl w:val="0"/>
        <w:tabs>
          <w:tab w:val="left" w:pos="567"/>
        </w:tabs>
        <w:spacing w:before="480" w:after="480" w:line="480" w:lineRule="auto"/>
        <w:jc w:val="both"/>
        <w:rPr>
          <w:rFonts w:cs="Arial"/>
          <w:bCs/>
          <w:color w:val="000000" w:themeColor="text1"/>
          <w:szCs w:val="22"/>
        </w:rPr>
      </w:pPr>
      <w:r w:rsidRPr="005D2B93">
        <w:rPr>
          <w:rFonts w:cs="Arial"/>
          <w:bCs/>
          <w:szCs w:val="22"/>
        </w:rPr>
        <w:t>[20]</w:t>
      </w:r>
      <w:r w:rsidRPr="005D2B93">
        <w:rPr>
          <w:rFonts w:cs="Arial"/>
          <w:bCs/>
          <w:szCs w:val="22"/>
        </w:rPr>
        <w:tab/>
      </w:r>
      <w:r w:rsidR="0087453B" w:rsidRPr="005D2B93">
        <w:rPr>
          <w:rFonts w:cs="Arial"/>
          <w:bCs/>
          <w:color w:val="000000" w:themeColor="text1"/>
          <w:szCs w:val="22"/>
        </w:rPr>
        <w:t xml:space="preserve">One of the cases referred to </w:t>
      </w:r>
      <w:r w:rsidR="0026779F" w:rsidRPr="005D2B93">
        <w:rPr>
          <w:rFonts w:cs="Arial"/>
          <w:bCs/>
          <w:color w:val="000000" w:themeColor="text1"/>
          <w:szCs w:val="22"/>
        </w:rPr>
        <w:t xml:space="preserve">by Brink J </w:t>
      </w:r>
      <w:r w:rsidR="0087453B" w:rsidRPr="005D2B93">
        <w:rPr>
          <w:rFonts w:cs="Arial"/>
          <w:bCs/>
          <w:color w:val="000000" w:themeColor="text1"/>
          <w:szCs w:val="22"/>
        </w:rPr>
        <w:t xml:space="preserve">is </w:t>
      </w:r>
      <w:r w:rsidR="0087453B" w:rsidRPr="005D2B93">
        <w:rPr>
          <w:rFonts w:cs="Arial"/>
          <w:i/>
          <w:iCs/>
          <w:color w:val="000000" w:themeColor="text1"/>
          <w:szCs w:val="22"/>
        </w:rPr>
        <w:t xml:space="preserve">Cairns' Executors v </w:t>
      </w:r>
      <w:proofErr w:type="spellStart"/>
      <w:r w:rsidR="0087453B" w:rsidRPr="005D2B93">
        <w:rPr>
          <w:rFonts w:cs="Arial"/>
          <w:i/>
          <w:iCs/>
          <w:color w:val="000000" w:themeColor="text1"/>
          <w:szCs w:val="22"/>
        </w:rPr>
        <w:t>Gaarn</w:t>
      </w:r>
      <w:proofErr w:type="spellEnd"/>
      <w:r w:rsidR="0087453B" w:rsidRPr="005D2B93">
        <w:rPr>
          <w:rStyle w:val="FootnoteReference"/>
          <w:rFonts w:cs="Arial"/>
          <w:color w:val="000000" w:themeColor="text1"/>
          <w:szCs w:val="22"/>
        </w:rPr>
        <w:footnoteReference w:id="13"/>
      </w:r>
      <w:r w:rsidR="0026779F" w:rsidRPr="005D2B93">
        <w:rPr>
          <w:rFonts w:cs="Arial"/>
          <w:i/>
          <w:iCs/>
          <w:color w:val="000000" w:themeColor="text1"/>
          <w:szCs w:val="22"/>
        </w:rPr>
        <w:t xml:space="preserve"> </w:t>
      </w:r>
      <w:r w:rsidR="0026779F" w:rsidRPr="005D2B93">
        <w:rPr>
          <w:rFonts w:cs="Arial"/>
          <w:color w:val="000000" w:themeColor="text1"/>
          <w:szCs w:val="22"/>
        </w:rPr>
        <w:t>where Innes JA (as he then was) said:</w:t>
      </w:r>
    </w:p>
    <w:p w14:paraId="014C31FA" w14:textId="440C6DDB" w:rsidR="0026779F" w:rsidRPr="005D2B93" w:rsidRDefault="0026779F" w:rsidP="0026779F">
      <w:pPr>
        <w:keepNext/>
        <w:widowControl w:val="0"/>
        <w:spacing w:before="120" w:after="120" w:line="360" w:lineRule="auto"/>
        <w:ind w:left="1440"/>
        <w:jc w:val="both"/>
        <w:rPr>
          <w:rFonts w:cs="Arial"/>
          <w:bCs/>
          <w:i/>
          <w:iCs/>
          <w:color w:val="000000" w:themeColor="text1"/>
          <w:szCs w:val="22"/>
        </w:rPr>
      </w:pPr>
      <w:r w:rsidRPr="005D2B93">
        <w:rPr>
          <w:rFonts w:cs="Arial"/>
          <w:i/>
          <w:iCs/>
          <w:color w:val="000000" w:themeColor="text1"/>
          <w:szCs w:val="22"/>
        </w:rPr>
        <w:t xml:space="preserve">“It would be quite impossible to frame an exhaustive definition of what would constitute sufficient cause to justify the grant of indulgence. Any attempt to do so would merely hamper the exercise of a discretion which the Rules have purposely made very extensive and which it is highly desirable not to abridge. All that can be said is that the applicant must show, in the words of COTTON, L.J. (In re Manchester Economic Building Society (24 Ch. D. at p. 491)) </w:t>
      </w:r>
      <w:r w:rsidRPr="005D2B93">
        <w:rPr>
          <w:rFonts w:cs="Arial"/>
          <w:i/>
          <w:iCs/>
          <w:color w:val="000000" w:themeColor="text1"/>
          <w:szCs w:val="22"/>
          <w:u w:val="single"/>
        </w:rPr>
        <w:t>'something which entitles him to ask for the indulgence of the Court'.</w:t>
      </w:r>
      <w:r w:rsidRPr="005D2B93">
        <w:rPr>
          <w:rFonts w:cs="Arial"/>
          <w:i/>
          <w:iCs/>
          <w:color w:val="000000" w:themeColor="text1"/>
          <w:szCs w:val="22"/>
        </w:rPr>
        <w:t xml:space="preserve"> What that something is must be decided upon the circumstances of each particular application.”</w:t>
      </w:r>
      <w:r w:rsidR="002325F9" w:rsidRPr="005D2B93">
        <w:rPr>
          <w:rFonts w:cs="Arial"/>
          <w:i/>
          <w:iCs/>
          <w:color w:val="000000" w:themeColor="text1"/>
          <w:szCs w:val="22"/>
        </w:rPr>
        <w:t xml:space="preserve"> </w:t>
      </w:r>
      <w:r w:rsidR="002325F9" w:rsidRPr="005D2B93">
        <w:rPr>
          <w:rFonts w:cs="Arial"/>
          <w:color w:val="000000" w:themeColor="text1"/>
          <w:szCs w:val="22"/>
        </w:rPr>
        <w:t>[emphasis added]</w:t>
      </w:r>
    </w:p>
    <w:p w14:paraId="3C6E3107" w14:textId="7C7617E6" w:rsidR="000E2475" w:rsidRPr="005D2B93" w:rsidRDefault="006042E8" w:rsidP="006042E8">
      <w:pPr>
        <w:keepNext/>
        <w:widowControl w:val="0"/>
        <w:tabs>
          <w:tab w:val="left" w:pos="567"/>
        </w:tabs>
        <w:spacing w:before="480" w:after="480" w:line="480" w:lineRule="auto"/>
        <w:jc w:val="both"/>
        <w:rPr>
          <w:rFonts w:cs="Arial"/>
          <w:bCs/>
          <w:szCs w:val="22"/>
        </w:rPr>
      </w:pPr>
      <w:r w:rsidRPr="005D2B93">
        <w:rPr>
          <w:rFonts w:cs="Arial"/>
          <w:bCs/>
          <w:szCs w:val="22"/>
        </w:rPr>
        <w:t>[21]</w:t>
      </w:r>
      <w:r w:rsidRPr="005D2B93">
        <w:rPr>
          <w:rFonts w:cs="Arial"/>
          <w:bCs/>
          <w:szCs w:val="22"/>
        </w:rPr>
        <w:tab/>
      </w:r>
      <w:r w:rsidR="00376AC0" w:rsidRPr="005D2B93">
        <w:rPr>
          <w:rFonts w:cs="Arial"/>
          <w:bCs/>
          <w:szCs w:val="22"/>
        </w:rPr>
        <w:t xml:space="preserve">The question that arises is whether the applicant was in wilful default because it did not change its registered address when it moved to new premises, and when continued to use the wrong address </w:t>
      </w:r>
      <w:r w:rsidR="005F65CD" w:rsidRPr="005D2B93">
        <w:rPr>
          <w:rFonts w:cs="Arial"/>
          <w:bCs/>
          <w:szCs w:val="22"/>
        </w:rPr>
        <w:t xml:space="preserve">even </w:t>
      </w:r>
      <w:r w:rsidR="00376AC0" w:rsidRPr="005D2B93">
        <w:rPr>
          <w:rFonts w:cs="Arial"/>
          <w:bCs/>
          <w:szCs w:val="22"/>
        </w:rPr>
        <w:t>in court documents.</w:t>
      </w:r>
      <w:r w:rsidR="00530C11" w:rsidRPr="005D2B93">
        <w:rPr>
          <w:rFonts w:cs="Arial"/>
          <w:bCs/>
          <w:szCs w:val="22"/>
        </w:rPr>
        <w:t xml:space="preserve"> </w:t>
      </w:r>
    </w:p>
    <w:p w14:paraId="2D7EB1BF" w14:textId="5EA509CE" w:rsidR="003D53F9" w:rsidRPr="005D2B93" w:rsidRDefault="006042E8" w:rsidP="006042E8">
      <w:pPr>
        <w:keepNext/>
        <w:widowControl w:val="0"/>
        <w:tabs>
          <w:tab w:val="left" w:pos="567"/>
        </w:tabs>
        <w:autoSpaceDE w:val="0"/>
        <w:autoSpaceDN w:val="0"/>
        <w:adjustRightInd w:val="0"/>
        <w:spacing w:before="480" w:after="480" w:line="480" w:lineRule="auto"/>
        <w:jc w:val="both"/>
        <w:rPr>
          <w:rFonts w:cs="Arial"/>
          <w:szCs w:val="22"/>
          <w:lang w:eastAsia="en-ZA"/>
        </w:rPr>
      </w:pPr>
      <w:r w:rsidRPr="005D2B93">
        <w:rPr>
          <w:rFonts w:cs="Arial"/>
          <w:szCs w:val="22"/>
          <w:lang w:eastAsia="en-ZA"/>
        </w:rPr>
        <w:t>[22]</w:t>
      </w:r>
      <w:r w:rsidRPr="005D2B93">
        <w:rPr>
          <w:rFonts w:cs="Arial"/>
          <w:szCs w:val="22"/>
          <w:lang w:eastAsia="en-ZA"/>
        </w:rPr>
        <w:tab/>
      </w:r>
      <w:r w:rsidR="00530C11" w:rsidRPr="005D2B93">
        <w:rPr>
          <w:rFonts w:cs="Arial"/>
          <w:bCs/>
          <w:szCs w:val="22"/>
        </w:rPr>
        <w:t xml:space="preserve">This conduct was certainly negligent, but an inference of wilfulness is not merited on the evidence. In </w:t>
      </w:r>
      <w:proofErr w:type="spellStart"/>
      <w:r w:rsidR="00530C11" w:rsidRPr="005D2B93">
        <w:rPr>
          <w:rFonts w:cs="Arial"/>
          <w:i/>
          <w:iCs/>
          <w:color w:val="000000" w:themeColor="text1"/>
          <w:szCs w:val="22"/>
        </w:rPr>
        <w:t>Schabort</w:t>
      </w:r>
      <w:proofErr w:type="spellEnd"/>
      <w:r w:rsidR="00530C11" w:rsidRPr="005D2B93">
        <w:rPr>
          <w:rFonts w:cs="Arial"/>
          <w:i/>
          <w:iCs/>
          <w:color w:val="000000" w:themeColor="text1"/>
          <w:szCs w:val="22"/>
        </w:rPr>
        <w:t xml:space="preserve"> v Pocock</w:t>
      </w:r>
      <w:r w:rsidR="00530C11" w:rsidRPr="005D2B93">
        <w:rPr>
          <w:rStyle w:val="FootnoteReference"/>
          <w:rFonts w:cs="Arial"/>
          <w:i/>
          <w:iCs/>
          <w:color w:val="000000" w:themeColor="text1"/>
          <w:szCs w:val="22"/>
        </w:rPr>
        <w:footnoteReference w:id="14"/>
      </w:r>
      <w:r w:rsidR="00530C11" w:rsidRPr="005D2B93">
        <w:rPr>
          <w:rFonts w:cs="Arial"/>
          <w:i/>
          <w:iCs/>
          <w:color w:val="000000" w:themeColor="text1"/>
          <w:szCs w:val="22"/>
        </w:rPr>
        <w:t xml:space="preserve"> </w:t>
      </w:r>
      <w:r w:rsidR="005F65CD" w:rsidRPr="005D2B93">
        <w:rPr>
          <w:rFonts w:cs="Arial"/>
          <w:color w:val="000000" w:themeColor="text1"/>
          <w:szCs w:val="22"/>
        </w:rPr>
        <w:t>Duncan AJ</w:t>
      </w:r>
      <w:r w:rsidR="00530C11" w:rsidRPr="005D2B93">
        <w:rPr>
          <w:rFonts w:cs="Arial"/>
          <w:color w:val="000000" w:themeColor="text1"/>
          <w:szCs w:val="22"/>
        </w:rPr>
        <w:t xml:space="preserve"> granted</w:t>
      </w:r>
      <w:r w:rsidR="005F65CD" w:rsidRPr="005D2B93">
        <w:rPr>
          <w:rFonts w:cs="Arial"/>
          <w:color w:val="000000" w:themeColor="text1"/>
          <w:szCs w:val="22"/>
        </w:rPr>
        <w:t xml:space="preserve"> a rescission application on the application of a defendant who was </w:t>
      </w:r>
      <w:r w:rsidR="005F65CD" w:rsidRPr="005D2B93">
        <w:rPr>
          <w:rFonts w:cs="Arial"/>
          <w:i/>
          <w:iCs/>
          <w:color w:val="000000" w:themeColor="text1"/>
          <w:szCs w:val="22"/>
        </w:rPr>
        <w:t>“</w:t>
      </w:r>
      <w:r w:rsidR="005F65CD" w:rsidRPr="005D2B93">
        <w:rPr>
          <w:rFonts w:cs="Arial"/>
          <w:i/>
          <w:iCs/>
          <w:color w:val="000000"/>
          <w:szCs w:val="22"/>
        </w:rPr>
        <w:t>asking for an indulgence after extreme dilatoriness”</w:t>
      </w:r>
      <w:r w:rsidR="005F65CD" w:rsidRPr="005D2B93">
        <w:rPr>
          <w:rFonts w:cs="Arial"/>
          <w:color w:val="000000"/>
          <w:szCs w:val="22"/>
        </w:rPr>
        <w:t xml:space="preserve"> but ordered him to pay the costs</w:t>
      </w:r>
      <w:r w:rsidR="000E2475" w:rsidRPr="005D2B93">
        <w:rPr>
          <w:rFonts w:cs="Arial"/>
          <w:color w:val="000000"/>
          <w:szCs w:val="22"/>
        </w:rPr>
        <w:t xml:space="preserve"> of the application.</w:t>
      </w:r>
    </w:p>
    <w:p w14:paraId="4719A0AB" w14:textId="46A6A6EE" w:rsidR="00402796" w:rsidRPr="005D2B93" w:rsidRDefault="006042E8" w:rsidP="006042E8">
      <w:pPr>
        <w:keepNext/>
        <w:widowControl w:val="0"/>
        <w:tabs>
          <w:tab w:val="left" w:pos="567"/>
        </w:tabs>
        <w:autoSpaceDE w:val="0"/>
        <w:autoSpaceDN w:val="0"/>
        <w:adjustRightInd w:val="0"/>
        <w:spacing w:before="480" w:after="480" w:line="480" w:lineRule="auto"/>
        <w:jc w:val="both"/>
        <w:rPr>
          <w:rFonts w:cs="Arial"/>
          <w:szCs w:val="22"/>
        </w:rPr>
      </w:pPr>
      <w:r w:rsidRPr="005D2B93">
        <w:rPr>
          <w:rFonts w:cs="Arial"/>
          <w:szCs w:val="22"/>
        </w:rPr>
        <w:t>[23]</w:t>
      </w:r>
      <w:r w:rsidRPr="005D2B93">
        <w:rPr>
          <w:rFonts w:cs="Arial"/>
          <w:szCs w:val="22"/>
        </w:rPr>
        <w:tab/>
      </w:r>
      <w:r w:rsidR="0016629B" w:rsidRPr="005D2B93">
        <w:rPr>
          <w:rFonts w:cs="Arial"/>
          <w:bCs/>
          <w:szCs w:val="22"/>
        </w:rPr>
        <w:t xml:space="preserve">I am satisfied that the applicant has given a reasonable explanation for its </w:t>
      </w:r>
      <w:proofErr w:type="gramStart"/>
      <w:r w:rsidR="0016629B" w:rsidRPr="005D2B93">
        <w:rPr>
          <w:rFonts w:cs="Arial"/>
          <w:bCs/>
          <w:szCs w:val="22"/>
        </w:rPr>
        <w:t>default, and</w:t>
      </w:r>
      <w:proofErr w:type="gramEnd"/>
      <w:r w:rsidR="0016629B" w:rsidRPr="005D2B93">
        <w:rPr>
          <w:rFonts w:cs="Arial"/>
          <w:bCs/>
          <w:szCs w:val="22"/>
        </w:rPr>
        <w:t xml:space="preserve"> turn my attention to the question whether a </w:t>
      </w:r>
      <w:r w:rsidR="0016629B" w:rsidRPr="005D2B93">
        <w:rPr>
          <w:rFonts w:cs="Arial"/>
          <w:bCs/>
          <w:i/>
          <w:iCs/>
          <w:szCs w:val="22"/>
        </w:rPr>
        <w:t>bona fide</w:t>
      </w:r>
      <w:r w:rsidR="0016629B" w:rsidRPr="005D2B93">
        <w:rPr>
          <w:rFonts w:cs="Arial"/>
          <w:bCs/>
          <w:szCs w:val="22"/>
        </w:rPr>
        <w:t xml:space="preserve"> defence appears, </w:t>
      </w:r>
      <w:r w:rsidR="0016629B" w:rsidRPr="005D2B93">
        <w:rPr>
          <w:rFonts w:cs="Arial"/>
          <w:bCs/>
          <w:i/>
          <w:iCs/>
          <w:szCs w:val="22"/>
        </w:rPr>
        <w:t>prima facie</w:t>
      </w:r>
      <w:r w:rsidR="0016629B" w:rsidRPr="005D2B93">
        <w:rPr>
          <w:rFonts w:cs="Arial"/>
          <w:bCs/>
          <w:szCs w:val="22"/>
        </w:rPr>
        <w:t xml:space="preserve">, from the </w:t>
      </w:r>
      <w:r w:rsidR="0016629B" w:rsidRPr="005D2B93">
        <w:rPr>
          <w:rFonts w:cs="Arial"/>
          <w:bCs/>
          <w:szCs w:val="22"/>
        </w:rPr>
        <w:lastRenderedPageBreak/>
        <w:t>applicant’s affidavit.</w:t>
      </w:r>
    </w:p>
    <w:p w14:paraId="4EF2866C" w14:textId="79B59875" w:rsidR="00402796" w:rsidRPr="005D2B93" w:rsidRDefault="006042E8" w:rsidP="006042E8">
      <w:pPr>
        <w:keepNext/>
        <w:widowControl w:val="0"/>
        <w:tabs>
          <w:tab w:val="left" w:pos="567"/>
        </w:tabs>
        <w:autoSpaceDE w:val="0"/>
        <w:autoSpaceDN w:val="0"/>
        <w:adjustRightInd w:val="0"/>
        <w:spacing w:before="480" w:after="480" w:line="480" w:lineRule="auto"/>
        <w:jc w:val="both"/>
        <w:rPr>
          <w:rFonts w:cs="Arial"/>
          <w:szCs w:val="22"/>
        </w:rPr>
      </w:pPr>
      <w:r w:rsidRPr="005D2B93">
        <w:rPr>
          <w:rFonts w:cs="Arial"/>
          <w:szCs w:val="22"/>
        </w:rPr>
        <w:t>[24]</w:t>
      </w:r>
      <w:r w:rsidRPr="005D2B93">
        <w:rPr>
          <w:rFonts w:cs="Arial"/>
          <w:szCs w:val="22"/>
        </w:rPr>
        <w:tab/>
      </w:r>
      <w:r w:rsidR="00697C2E" w:rsidRPr="005D2B93">
        <w:rPr>
          <w:rFonts w:cs="Arial"/>
          <w:bCs/>
          <w:szCs w:val="22"/>
        </w:rPr>
        <w:t xml:space="preserve">The respondent’s plea in the action in the Limpopo High Court consists mainly of bare denials. </w:t>
      </w:r>
      <w:r w:rsidR="003E5202" w:rsidRPr="005D2B93">
        <w:rPr>
          <w:rFonts w:cs="Arial"/>
          <w:bCs/>
          <w:szCs w:val="22"/>
        </w:rPr>
        <w:t xml:space="preserve">The respondent does not deny that it is indebted to the applicant, nor does it claim that the applicant is indebted to it. </w:t>
      </w:r>
      <w:r w:rsidR="00697C2E" w:rsidRPr="005D2B93">
        <w:rPr>
          <w:rFonts w:cs="Arial"/>
          <w:bCs/>
          <w:szCs w:val="22"/>
        </w:rPr>
        <w:t xml:space="preserve">The applicant’s particulars of claim </w:t>
      </w:r>
      <w:r w:rsidR="007540E8" w:rsidRPr="005D2B93">
        <w:rPr>
          <w:rFonts w:cs="Arial"/>
          <w:bCs/>
          <w:szCs w:val="22"/>
        </w:rPr>
        <w:t xml:space="preserve">in Limpopo </w:t>
      </w:r>
      <w:proofErr w:type="gramStart"/>
      <w:r w:rsidR="00697C2E" w:rsidRPr="005D2B93">
        <w:rPr>
          <w:rFonts w:cs="Arial"/>
          <w:bCs/>
          <w:szCs w:val="22"/>
        </w:rPr>
        <w:t>raise</w:t>
      </w:r>
      <w:proofErr w:type="gramEnd"/>
      <w:r w:rsidR="00697C2E" w:rsidRPr="005D2B93">
        <w:rPr>
          <w:rFonts w:cs="Arial"/>
          <w:bCs/>
          <w:szCs w:val="22"/>
        </w:rPr>
        <w:t xml:space="preserve"> triable issues.</w:t>
      </w:r>
      <w:r w:rsidR="00402796" w:rsidRPr="005D2B93">
        <w:rPr>
          <w:rFonts w:cs="Arial"/>
          <w:szCs w:val="22"/>
        </w:rPr>
        <w:t xml:space="preserve"> </w:t>
      </w:r>
    </w:p>
    <w:p w14:paraId="465F93CF" w14:textId="702294DB" w:rsidR="00402796" w:rsidRPr="005D2B93" w:rsidRDefault="006042E8" w:rsidP="006042E8">
      <w:pPr>
        <w:keepNext/>
        <w:widowControl w:val="0"/>
        <w:tabs>
          <w:tab w:val="left" w:pos="567"/>
        </w:tabs>
        <w:autoSpaceDE w:val="0"/>
        <w:autoSpaceDN w:val="0"/>
        <w:adjustRightInd w:val="0"/>
        <w:spacing w:before="480" w:after="480" w:line="480" w:lineRule="auto"/>
        <w:jc w:val="both"/>
        <w:rPr>
          <w:rFonts w:cs="Arial"/>
          <w:bCs/>
          <w:szCs w:val="22"/>
        </w:rPr>
      </w:pPr>
      <w:r w:rsidRPr="005D2B93">
        <w:rPr>
          <w:rFonts w:cs="Arial"/>
          <w:bCs/>
          <w:szCs w:val="22"/>
        </w:rPr>
        <w:t>[25]</w:t>
      </w:r>
      <w:r w:rsidRPr="005D2B93">
        <w:rPr>
          <w:rFonts w:cs="Arial"/>
          <w:bCs/>
          <w:szCs w:val="22"/>
        </w:rPr>
        <w:tab/>
      </w:r>
      <w:r w:rsidR="00402796" w:rsidRPr="005D2B93">
        <w:rPr>
          <w:rFonts w:cs="Arial"/>
          <w:szCs w:val="22"/>
        </w:rPr>
        <w:t xml:space="preserve">The respondent was awarded a tender by a third party and sub-contracted the services of the applicant to fulfil these services. On 17 January 2018 Mr Maseko of the respondent signed a reconciliation of amounts payable and agreed that R3 249 008.62 was payable to the applicant. When payment was not forthcoming, the applicant wrote to Mr Maseko who responded as follows by email: </w:t>
      </w:r>
      <w:r w:rsidR="00402796" w:rsidRPr="005D2B93">
        <w:rPr>
          <w:rFonts w:cs="Arial"/>
          <w:i/>
          <w:iCs/>
          <w:szCs w:val="22"/>
        </w:rPr>
        <w:t xml:space="preserve">“Please give me the chance to satisfactorily sort this out so that afterwards </w:t>
      </w:r>
      <w:proofErr w:type="gramStart"/>
      <w:r w:rsidR="00402796" w:rsidRPr="005D2B93">
        <w:rPr>
          <w:rFonts w:cs="Arial"/>
          <w:i/>
          <w:iCs/>
          <w:szCs w:val="22"/>
        </w:rPr>
        <w:t>there</w:t>
      </w:r>
      <w:proofErr w:type="gramEnd"/>
      <w:r w:rsidR="00402796" w:rsidRPr="005D2B93">
        <w:rPr>
          <w:rFonts w:cs="Arial"/>
          <w:i/>
          <w:iCs/>
          <w:szCs w:val="22"/>
        </w:rPr>
        <w:t xml:space="preserve"> </w:t>
      </w:r>
      <w:proofErr w:type="spellStart"/>
      <w:r w:rsidR="00402796" w:rsidRPr="005D2B93">
        <w:rPr>
          <w:rFonts w:cs="Arial"/>
          <w:i/>
          <w:iCs/>
          <w:szCs w:val="22"/>
        </w:rPr>
        <w:t>wont</w:t>
      </w:r>
      <w:proofErr w:type="spellEnd"/>
      <w:r w:rsidR="00402796" w:rsidRPr="005D2B93">
        <w:rPr>
          <w:rFonts w:cs="Arial"/>
          <w:i/>
          <w:iCs/>
          <w:szCs w:val="22"/>
        </w:rPr>
        <w:t xml:space="preserve"> be anything left to chance. I am tired of this. I just want to sort out and get some rest.</w:t>
      </w:r>
      <w:r w:rsidR="00402796" w:rsidRPr="005D2B93">
        <w:rPr>
          <w:rFonts w:cs="Arial"/>
          <w:szCs w:val="22"/>
        </w:rPr>
        <w:t xml:space="preserve">” The debt was not </w:t>
      </w:r>
      <w:proofErr w:type="gramStart"/>
      <w:r w:rsidR="00402796" w:rsidRPr="005D2B93">
        <w:rPr>
          <w:rFonts w:cs="Arial"/>
          <w:szCs w:val="22"/>
        </w:rPr>
        <w:t>denied</w:t>
      </w:r>
      <w:proofErr w:type="gramEnd"/>
      <w:r w:rsidR="00402796" w:rsidRPr="005D2B93">
        <w:rPr>
          <w:rFonts w:cs="Arial"/>
          <w:szCs w:val="22"/>
        </w:rPr>
        <w:t xml:space="preserve"> and </w:t>
      </w:r>
      <w:r w:rsidR="00402796" w:rsidRPr="005D2B93">
        <w:rPr>
          <w:rFonts w:cs="Arial"/>
          <w:i/>
          <w:iCs/>
          <w:szCs w:val="22"/>
        </w:rPr>
        <w:t>prima facie</w:t>
      </w:r>
      <w:r w:rsidR="00402796" w:rsidRPr="005D2B93">
        <w:rPr>
          <w:rFonts w:cs="Arial"/>
          <w:szCs w:val="22"/>
        </w:rPr>
        <w:t xml:space="preserve"> Mr Maseko acknowledged his firm’s indebtedness to the applicant in amount of more than R3 million. </w:t>
      </w:r>
    </w:p>
    <w:p w14:paraId="6BD1A260" w14:textId="763BD335" w:rsidR="00444AA1" w:rsidRPr="005D2B93" w:rsidRDefault="006042E8" w:rsidP="006042E8">
      <w:pPr>
        <w:keepNext/>
        <w:widowControl w:val="0"/>
        <w:tabs>
          <w:tab w:val="left" w:pos="567"/>
        </w:tabs>
        <w:autoSpaceDE w:val="0"/>
        <w:autoSpaceDN w:val="0"/>
        <w:adjustRightInd w:val="0"/>
        <w:spacing w:before="480" w:after="480" w:line="480" w:lineRule="auto"/>
        <w:jc w:val="both"/>
        <w:rPr>
          <w:rFonts w:cs="Arial"/>
          <w:bCs/>
          <w:szCs w:val="22"/>
        </w:rPr>
      </w:pPr>
      <w:r w:rsidRPr="005D2B93">
        <w:rPr>
          <w:rFonts w:cs="Arial"/>
          <w:bCs/>
          <w:szCs w:val="22"/>
        </w:rPr>
        <w:t>[26]</w:t>
      </w:r>
      <w:r w:rsidRPr="005D2B93">
        <w:rPr>
          <w:rFonts w:cs="Arial"/>
          <w:bCs/>
          <w:szCs w:val="22"/>
        </w:rPr>
        <w:tab/>
      </w:r>
      <w:r w:rsidR="00402796" w:rsidRPr="005D2B93">
        <w:rPr>
          <w:rFonts w:cs="Arial"/>
          <w:szCs w:val="22"/>
        </w:rPr>
        <w:t>There was an arrangement in place whereby the respondent as principal was required to pay the applicant’s suppliers directly. According to the applicant this happened because the respondent never paid its account in full and as a result the applicant was experiencing cash flow problems</w:t>
      </w:r>
      <w:r w:rsidR="00444AA1" w:rsidRPr="005D2B93">
        <w:rPr>
          <w:rFonts w:cs="Arial"/>
          <w:szCs w:val="22"/>
        </w:rPr>
        <w:t>, and therefore required the respondent to pay its suppliers directly</w:t>
      </w:r>
      <w:r w:rsidR="00402796" w:rsidRPr="005D2B93">
        <w:rPr>
          <w:rFonts w:cs="Arial"/>
          <w:szCs w:val="22"/>
        </w:rPr>
        <w:t>. It also feared that the respondent intended to leave it with large unpaid bill at the end of the project. On 18 June 2018 the applicant obtained an order against the respondent in the Pretoria High Court, interdicting the respondent from withdrawing money from its bank account pending the finalisation of its claim. In these proceedings it also became known that the respondent’s publicised name of Maseko Engineering Projects (Pty) Ltd was incorrect and that true entity is</w:t>
      </w:r>
      <w:r w:rsidR="007540E8" w:rsidRPr="005D2B93">
        <w:rPr>
          <w:rFonts w:cs="Arial"/>
          <w:szCs w:val="22"/>
        </w:rPr>
        <w:t xml:space="preserve"> and was</w:t>
      </w:r>
      <w:r w:rsidR="00444AA1" w:rsidRPr="005D2B93">
        <w:rPr>
          <w:rFonts w:cs="Arial"/>
          <w:szCs w:val="22"/>
        </w:rPr>
        <w:t xml:space="preserve"> </w:t>
      </w:r>
      <w:r w:rsidR="00444AA1" w:rsidRPr="005D2B93">
        <w:rPr>
          <w:rFonts w:cs="Arial"/>
          <w:szCs w:val="22"/>
          <w:lang w:eastAsia="en-ZA"/>
        </w:rPr>
        <w:t>K2014261400 South Africa (Pty) Ltd t/a</w:t>
      </w:r>
      <w:r w:rsidR="00444AA1" w:rsidRPr="005D2B93">
        <w:rPr>
          <w:rFonts w:cs="Arial"/>
          <w:b/>
          <w:bCs/>
          <w:szCs w:val="22"/>
          <w:lang w:eastAsia="en-ZA"/>
        </w:rPr>
        <w:t xml:space="preserve"> </w:t>
      </w:r>
      <w:r w:rsidR="00444AA1" w:rsidRPr="005D2B93">
        <w:rPr>
          <w:rFonts w:cs="Arial"/>
          <w:szCs w:val="22"/>
          <w:lang w:eastAsia="en-ZA"/>
        </w:rPr>
        <w:t xml:space="preserve">Maseko Engineering Projects, inaccurately </w:t>
      </w:r>
      <w:r w:rsidR="00444AA1" w:rsidRPr="005D2B93">
        <w:rPr>
          <w:rFonts w:cs="Arial"/>
          <w:szCs w:val="22"/>
          <w:lang w:eastAsia="en-ZA"/>
        </w:rPr>
        <w:lastRenderedPageBreak/>
        <w:t xml:space="preserve">described as </w:t>
      </w:r>
      <w:r w:rsidR="00444AA1" w:rsidRPr="005D2B93">
        <w:rPr>
          <w:rFonts w:cs="Arial"/>
          <w:szCs w:val="22"/>
        </w:rPr>
        <w:t>Maseko Engineering Projects (Pty) Ltd</w:t>
      </w:r>
      <w:r w:rsidR="007540E8" w:rsidRPr="005D2B93">
        <w:rPr>
          <w:rFonts w:cs="Arial"/>
          <w:szCs w:val="22"/>
        </w:rPr>
        <w:t xml:space="preserve"> on its own letterhead</w:t>
      </w:r>
      <w:r w:rsidR="00402796" w:rsidRPr="005D2B93">
        <w:rPr>
          <w:rFonts w:cs="Arial"/>
          <w:szCs w:val="22"/>
        </w:rPr>
        <w:t xml:space="preserve">. </w:t>
      </w:r>
    </w:p>
    <w:p w14:paraId="4698CC4A" w14:textId="2BB913DD" w:rsidR="00376AC0" w:rsidRPr="005D2B93" w:rsidRDefault="006042E8" w:rsidP="006042E8">
      <w:pPr>
        <w:keepNext/>
        <w:widowControl w:val="0"/>
        <w:tabs>
          <w:tab w:val="left" w:pos="567"/>
        </w:tabs>
        <w:autoSpaceDE w:val="0"/>
        <w:autoSpaceDN w:val="0"/>
        <w:adjustRightInd w:val="0"/>
        <w:spacing w:before="480" w:after="480" w:line="480" w:lineRule="auto"/>
        <w:jc w:val="both"/>
        <w:rPr>
          <w:rFonts w:cs="Arial"/>
          <w:bCs/>
          <w:szCs w:val="22"/>
        </w:rPr>
      </w:pPr>
      <w:r w:rsidRPr="005D2B93">
        <w:rPr>
          <w:rFonts w:cs="Arial"/>
          <w:bCs/>
          <w:szCs w:val="22"/>
        </w:rPr>
        <w:t>[27]</w:t>
      </w:r>
      <w:r w:rsidRPr="005D2B93">
        <w:rPr>
          <w:rFonts w:cs="Arial"/>
          <w:bCs/>
          <w:szCs w:val="22"/>
        </w:rPr>
        <w:tab/>
      </w:r>
      <w:r w:rsidR="00402796" w:rsidRPr="005D2B93">
        <w:rPr>
          <w:rFonts w:cs="Arial"/>
          <w:szCs w:val="22"/>
        </w:rPr>
        <w:t xml:space="preserve">The applicant deals with each of the respondent’s claims </w:t>
      </w:r>
      <w:r w:rsidR="00444AA1" w:rsidRPr="005D2B93">
        <w:rPr>
          <w:rFonts w:cs="Arial"/>
          <w:szCs w:val="22"/>
        </w:rPr>
        <w:t>in its founding affidavit, and</w:t>
      </w:r>
      <w:r w:rsidR="00402796" w:rsidRPr="005D2B93">
        <w:rPr>
          <w:rFonts w:cs="Arial"/>
          <w:szCs w:val="22"/>
        </w:rPr>
        <w:t xml:space="preserve"> </w:t>
      </w:r>
      <w:r w:rsidR="00444AA1" w:rsidRPr="005D2B93">
        <w:rPr>
          <w:rFonts w:cs="Arial"/>
          <w:szCs w:val="22"/>
        </w:rPr>
        <w:t xml:space="preserve">makes averments that, if </w:t>
      </w:r>
      <w:r w:rsidR="007540E8" w:rsidRPr="005D2B93">
        <w:rPr>
          <w:rFonts w:cs="Arial"/>
          <w:szCs w:val="22"/>
        </w:rPr>
        <w:t>accepted</w:t>
      </w:r>
      <w:r w:rsidR="00444AA1" w:rsidRPr="005D2B93">
        <w:rPr>
          <w:rFonts w:cs="Arial"/>
          <w:szCs w:val="22"/>
        </w:rPr>
        <w:t xml:space="preserve"> (whether in </w:t>
      </w:r>
      <w:r w:rsidR="007540E8" w:rsidRPr="005D2B93">
        <w:rPr>
          <w:rFonts w:cs="Arial"/>
          <w:szCs w:val="22"/>
        </w:rPr>
        <w:t xml:space="preserve">the context </w:t>
      </w:r>
      <w:r w:rsidR="00444AA1" w:rsidRPr="005D2B93">
        <w:rPr>
          <w:rFonts w:cs="Arial"/>
          <w:szCs w:val="22"/>
        </w:rPr>
        <w:t xml:space="preserve">of an onus or </w:t>
      </w:r>
      <w:r w:rsidR="007540E8" w:rsidRPr="005D2B93">
        <w:rPr>
          <w:rFonts w:cs="Arial"/>
          <w:szCs w:val="22"/>
        </w:rPr>
        <w:t xml:space="preserve">an </w:t>
      </w:r>
      <w:r w:rsidR="00444AA1" w:rsidRPr="005D2B93">
        <w:rPr>
          <w:rFonts w:cs="Arial"/>
          <w:szCs w:val="22"/>
        </w:rPr>
        <w:t xml:space="preserve">evidentiary burden) at trial will constitute a defence to the respondent’s claim. </w:t>
      </w:r>
    </w:p>
    <w:p w14:paraId="05BC3CD9" w14:textId="35FFA711" w:rsidR="00903E28" w:rsidRPr="005D2B93" w:rsidRDefault="006042E8" w:rsidP="006042E8">
      <w:pPr>
        <w:keepNext/>
        <w:widowControl w:val="0"/>
        <w:tabs>
          <w:tab w:val="left" w:pos="567"/>
        </w:tabs>
        <w:autoSpaceDE w:val="0"/>
        <w:autoSpaceDN w:val="0"/>
        <w:adjustRightInd w:val="0"/>
        <w:spacing w:before="480" w:after="480" w:line="480" w:lineRule="auto"/>
        <w:jc w:val="both"/>
        <w:rPr>
          <w:rFonts w:cs="Arial"/>
          <w:bCs/>
          <w:szCs w:val="22"/>
        </w:rPr>
      </w:pPr>
      <w:r w:rsidRPr="005D2B93">
        <w:rPr>
          <w:rFonts w:cs="Arial"/>
          <w:bCs/>
          <w:szCs w:val="22"/>
        </w:rPr>
        <w:t>[28]</w:t>
      </w:r>
      <w:r w:rsidRPr="005D2B93">
        <w:rPr>
          <w:rFonts w:cs="Arial"/>
          <w:bCs/>
          <w:szCs w:val="22"/>
        </w:rPr>
        <w:tab/>
      </w:r>
      <w:r w:rsidR="00903E28" w:rsidRPr="005D2B93">
        <w:rPr>
          <w:rFonts w:cs="Arial"/>
          <w:szCs w:val="22"/>
        </w:rPr>
        <w:t>My conclusion is therefore that the applicant is entitled to the rescission of the default judgment. Having considered the question of costs in the context of the applicant’s negligence in not changing its registered address, I am of the view that a cost order against the applicant is not justified and that costs should be in the cause.</w:t>
      </w:r>
    </w:p>
    <w:p w14:paraId="3AC02D41" w14:textId="4498D3BC" w:rsidR="00D70528" w:rsidRPr="005D2B93" w:rsidRDefault="006042E8" w:rsidP="006042E8">
      <w:pPr>
        <w:keepNext/>
        <w:widowControl w:val="0"/>
        <w:tabs>
          <w:tab w:val="left" w:pos="567"/>
        </w:tabs>
        <w:spacing w:before="480" w:after="480" w:line="480" w:lineRule="auto"/>
        <w:jc w:val="both"/>
        <w:rPr>
          <w:rFonts w:cs="Arial"/>
          <w:bCs/>
          <w:szCs w:val="22"/>
        </w:rPr>
      </w:pPr>
      <w:r w:rsidRPr="005D2B93">
        <w:rPr>
          <w:rFonts w:cs="Arial"/>
          <w:bCs/>
          <w:szCs w:val="22"/>
        </w:rPr>
        <w:t>[29]</w:t>
      </w:r>
      <w:r w:rsidRPr="005D2B93">
        <w:rPr>
          <w:rFonts w:cs="Arial"/>
          <w:bCs/>
          <w:szCs w:val="22"/>
        </w:rPr>
        <w:tab/>
      </w:r>
      <w:r w:rsidR="00D70528" w:rsidRPr="005D2B93">
        <w:rPr>
          <w:rFonts w:cs="Arial"/>
          <w:bCs/>
          <w:szCs w:val="22"/>
        </w:rPr>
        <w:t>I therefore make the order in paragraph 1 above.</w:t>
      </w:r>
    </w:p>
    <w:p w14:paraId="4BF0AB35" w14:textId="77777777" w:rsidR="00903E28" w:rsidRPr="005D2B93" w:rsidRDefault="00903E28" w:rsidP="005E09BA">
      <w:pPr>
        <w:widowControl w:val="0"/>
        <w:tabs>
          <w:tab w:val="right" w:pos="0"/>
        </w:tabs>
        <w:spacing w:line="360" w:lineRule="auto"/>
        <w:contextualSpacing/>
        <w:jc w:val="right"/>
        <w:rPr>
          <w:rFonts w:cs="Arial"/>
          <w:b/>
          <w:szCs w:val="22"/>
        </w:rPr>
      </w:pPr>
    </w:p>
    <w:p w14:paraId="6BF820C0" w14:textId="77777777" w:rsidR="00903E28" w:rsidRPr="005D2B93" w:rsidRDefault="00903E28" w:rsidP="005E09BA">
      <w:pPr>
        <w:widowControl w:val="0"/>
        <w:tabs>
          <w:tab w:val="right" w:pos="0"/>
        </w:tabs>
        <w:spacing w:line="360" w:lineRule="auto"/>
        <w:contextualSpacing/>
        <w:jc w:val="right"/>
        <w:rPr>
          <w:rFonts w:cs="Arial"/>
          <w:b/>
          <w:szCs w:val="22"/>
        </w:rPr>
      </w:pPr>
    </w:p>
    <w:p w14:paraId="7E24C064" w14:textId="77777777" w:rsidR="00903E28" w:rsidRPr="005D2B93" w:rsidRDefault="00903E28" w:rsidP="005E09BA">
      <w:pPr>
        <w:widowControl w:val="0"/>
        <w:tabs>
          <w:tab w:val="right" w:pos="0"/>
        </w:tabs>
        <w:spacing w:line="360" w:lineRule="auto"/>
        <w:contextualSpacing/>
        <w:jc w:val="right"/>
        <w:rPr>
          <w:rFonts w:cs="Arial"/>
          <w:b/>
          <w:szCs w:val="22"/>
        </w:rPr>
      </w:pPr>
    </w:p>
    <w:p w14:paraId="162481B2" w14:textId="290D4BE1" w:rsidR="00581C59" w:rsidRPr="005D2B93" w:rsidRDefault="00581C59" w:rsidP="005E09BA">
      <w:pPr>
        <w:widowControl w:val="0"/>
        <w:tabs>
          <w:tab w:val="right" w:pos="0"/>
        </w:tabs>
        <w:spacing w:line="360" w:lineRule="auto"/>
        <w:contextualSpacing/>
        <w:jc w:val="right"/>
        <w:rPr>
          <w:rFonts w:cs="Arial"/>
          <w:b/>
          <w:szCs w:val="22"/>
        </w:rPr>
      </w:pPr>
      <w:r w:rsidRPr="005D2B93">
        <w:rPr>
          <w:rFonts w:cs="Arial"/>
          <w:b/>
          <w:szCs w:val="22"/>
        </w:rPr>
        <w:t>_____________</w:t>
      </w:r>
    </w:p>
    <w:p w14:paraId="0CCB9BFE" w14:textId="2B9BE171" w:rsidR="006C43D7" w:rsidRPr="005D2B93" w:rsidRDefault="00C676F3" w:rsidP="005E09BA">
      <w:pPr>
        <w:widowControl w:val="0"/>
        <w:tabs>
          <w:tab w:val="right" w:pos="0"/>
        </w:tabs>
        <w:spacing w:line="360" w:lineRule="auto"/>
        <w:contextualSpacing/>
        <w:jc w:val="right"/>
        <w:rPr>
          <w:rFonts w:cs="Arial"/>
          <w:b/>
          <w:szCs w:val="22"/>
        </w:rPr>
      </w:pPr>
      <w:r w:rsidRPr="005D2B93">
        <w:rPr>
          <w:rFonts w:cs="Arial"/>
          <w:b/>
          <w:szCs w:val="22"/>
        </w:rPr>
        <w:t>J MOORCROFT</w:t>
      </w:r>
    </w:p>
    <w:p w14:paraId="7A2C1059" w14:textId="77777777" w:rsidR="006C43D7" w:rsidRPr="005D2B93" w:rsidRDefault="006C43D7" w:rsidP="005E09BA">
      <w:pPr>
        <w:widowControl w:val="0"/>
        <w:tabs>
          <w:tab w:val="right" w:pos="0"/>
        </w:tabs>
        <w:spacing w:line="360" w:lineRule="auto"/>
        <w:contextualSpacing/>
        <w:jc w:val="right"/>
        <w:rPr>
          <w:rFonts w:cs="Arial"/>
          <w:b/>
          <w:szCs w:val="22"/>
        </w:rPr>
      </w:pPr>
      <w:r w:rsidRPr="005D2B93">
        <w:rPr>
          <w:rFonts w:cs="Arial"/>
          <w:b/>
          <w:szCs w:val="22"/>
        </w:rPr>
        <w:t>ACTING JUDGE OF THE HIGH COURT OF SOUTH AFRICA</w:t>
      </w:r>
    </w:p>
    <w:p w14:paraId="077C2590" w14:textId="7C2C605F" w:rsidR="006C43D7" w:rsidRPr="005D2B93" w:rsidRDefault="006C43D7" w:rsidP="005E09BA">
      <w:pPr>
        <w:widowControl w:val="0"/>
        <w:tabs>
          <w:tab w:val="right" w:pos="0"/>
          <w:tab w:val="left" w:pos="4253"/>
        </w:tabs>
        <w:spacing w:line="360" w:lineRule="auto"/>
        <w:contextualSpacing/>
        <w:jc w:val="right"/>
        <w:rPr>
          <w:rFonts w:cs="Arial"/>
          <w:b/>
          <w:szCs w:val="22"/>
        </w:rPr>
      </w:pPr>
      <w:r w:rsidRPr="005D2B93">
        <w:rPr>
          <w:rFonts w:cs="Arial"/>
          <w:b/>
          <w:szCs w:val="22"/>
        </w:rPr>
        <w:t>GAUTENG DIVISION</w:t>
      </w:r>
    </w:p>
    <w:p w14:paraId="40B9C946" w14:textId="77777777" w:rsidR="006C43D7" w:rsidRPr="005D2B93" w:rsidRDefault="006C43D7" w:rsidP="005E09BA">
      <w:pPr>
        <w:widowControl w:val="0"/>
        <w:tabs>
          <w:tab w:val="right" w:pos="0"/>
          <w:tab w:val="left" w:pos="4253"/>
        </w:tabs>
        <w:spacing w:line="360" w:lineRule="auto"/>
        <w:contextualSpacing/>
        <w:jc w:val="right"/>
        <w:rPr>
          <w:rFonts w:cs="Arial"/>
          <w:b/>
          <w:szCs w:val="22"/>
        </w:rPr>
      </w:pPr>
      <w:r w:rsidRPr="005D2B93">
        <w:rPr>
          <w:rFonts w:cs="Arial"/>
          <w:b/>
          <w:szCs w:val="22"/>
        </w:rPr>
        <w:t>JOHANNESBURG</w:t>
      </w:r>
    </w:p>
    <w:p w14:paraId="5A4CC56C" w14:textId="051C4E22" w:rsidR="006C43D7" w:rsidRPr="005D2B93" w:rsidRDefault="006C43D7" w:rsidP="005E09BA">
      <w:pPr>
        <w:widowControl w:val="0"/>
        <w:spacing w:after="200" w:line="480" w:lineRule="auto"/>
        <w:contextualSpacing/>
        <w:jc w:val="right"/>
        <w:rPr>
          <w:rFonts w:cs="Arial"/>
          <w:b/>
          <w:i/>
          <w:iCs/>
          <w:szCs w:val="22"/>
        </w:rPr>
      </w:pPr>
      <w:r w:rsidRPr="005D2B93">
        <w:rPr>
          <w:rFonts w:cs="Arial"/>
          <w:b/>
          <w:i/>
          <w:iCs/>
          <w:szCs w:val="22"/>
        </w:rPr>
        <w:t>Electronically submitted</w:t>
      </w:r>
    </w:p>
    <w:p w14:paraId="51C686CA" w14:textId="24F7356D" w:rsidR="006C43D7" w:rsidRPr="005D2B93" w:rsidRDefault="006C43D7" w:rsidP="00250A46">
      <w:pPr>
        <w:widowControl w:val="0"/>
        <w:spacing w:after="200" w:line="360" w:lineRule="auto"/>
        <w:contextualSpacing/>
        <w:jc w:val="both"/>
        <w:rPr>
          <w:rFonts w:eastAsia="Arial Unicode MS" w:cs="Arial"/>
          <w:bCs/>
          <w:szCs w:val="22"/>
        </w:rPr>
      </w:pPr>
      <w:r w:rsidRPr="005D2B93">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5D2B93">
        <w:rPr>
          <w:rFonts w:eastAsia="Arial Unicode MS" w:cs="Arial"/>
          <w:bCs/>
          <w:szCs w:val="22"/>
        </w:rPr>
        <w:t>Case</w:t>
      </w:r>
      <w:r w:rsidR="000C1421" w:rsidRPr="005D2B93">
        <w:rPr>
          <w:rFonts w:eastAsia="Arial Unicode MS" w:cs="Arial"/>
          <w:bCs/>
          <w:szCs w:val="22"/>
        </w:rPr>
        <w:t>L</w:t>
      </w:r>
      <w:r w:rsidRPr="005D2B93">
        <w:rPr>
          <w:rFonts w:eastAsia="Arial Unicode MS" w:cs="Arial"/>
          <w:bCs/>
          <w:szCs w:val="22"/>
        </w:rPr>
        <w:t>ines</w:t>
      </w:r>
      <w:proofErr w:type="spellEnd"/>
      <w:r w:rsidRPr="005D2B93">
        <w:rPr>
          <w:rFonts w:eastAsia="Arial Unicode MS" w:cs="Arial"/>
          <w:bCs/>
          <w:szCs w:val="22"/>
        </w:rPr>
        <w:t>. The date of the judgment is deemed to be</w:t>
      </w:r>
      <w:r w:rsidR="00357D35" w:rsidRPr="005D2B93">
        <w:rPr>
          <w:rFonts w:eastAsia="Arial Unicode MS" w:cs="Arial"/>
          <w:bCs/>
          <w:szCs w:val="22"/>
        </w:rPr>
        <w:t xml:space="preserve"> </w:t>
      </w:r>
      <w:r w:rsidR="007540E8" w:rsidRPr="005D2B93">
        <w:rPr>
          <w:rFonts w:eastAsia="Arial Unicode MS" w:cs="Arial"/>
          <w:b/>
          <w:szCs w:val="22"/>
        </w:rPr>
        <w:t>14</w:t>
      </w:r>
      <w:r w:rsidR="002014D0" w:rsidRPr="005D2B93">
        <w:rPr>
          <w:rFonts w:eastAsia="Arial Unicode MS" w:cs="Arial"/>
          <w:b/>
          <w:szCs w:val="22"/>
        </w:rPr>
        <w:t xml:space="preserve"> </w:t>
      </w:r>
      <w:r w:rsidR="009469A8" w:rsidRPr="005D2B93">
        <w:rPr>
          <w:rFonts w:eastAsia="Arial Unicode MS" w:cs="Arial"/>
          <w:b/>
          <w:bCs/>
          <w:szCs w:val="22"/>
        </w:rPr>
        <w:t>APRIL</w:t>
      </w:r>
      <w:r w:rsidR="00991B1A" w:rsidRPr="005D2B93">
        <w:rPr>
          <w:rFonts w:eastAsia="Arial Unicode MS" w:cs="Arial"/>
          <w:b/>
          <w:bCs/>
          <w:szCs w:val="22"/>
        </w:rPr>
        <w:t xml:space="preserve"> 2023</w:t>
      </w:r>
      <w:r w:rsidR="00FE0E9D" w:rsidRPr="005D2B93">
        <w:rPr>
          <w:rFonts w:eastAsia="Arial Unicode MS" w:cs="Arial"/>
          <w:bCs/>
          <w:szCs w:val="22"/>
        </w:rPr>
        <w:t>.</w:t>
      </w:r>
    </w:p>
    <w:p w14:paraId="6A7E1A15" w14:textId="02BB845B" w:rsidR="009B62F7" w:rsidRPr="005D2B93"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55"/>
        <w:gridCol w:w="4508"/>
      </w:tblGrid>
      <w:tr w:rsidR="009B62F7" w:rsidRPr="005D2B93" w14:paraId="6CDD4926" w14:textId="77777777" w:rsidTr="0098739F">
        <w:tc>
          <w:tcPr>
            <w:tcW w:w="4508" w:type="dxa"/>
            <w:gridSpan w:val="2"/>
          </w:tcPr>
          <w:p w14:paraId="0F4C5124" w14:textId="2909BC19" w:rsidR="009B62F7" w:rsidRPr="005D2B93" w:rsidRDefault="009B62F7" w:rsidP="0098739F">
            <w:pPr>
              <w:widowControl w:val="0"/>
              <w:spacing w:before="120" w:after="120"/>
              <w:jc w:val="both"/>
              <w:rPr>
                <w:rFonts w:eastAsia="Arial Unicode MS" w:cs="Arial"/>
                <w:b/>
                <w:bCs/>
                <w:szCs w:val="22"/>
              </w:rPr>
            </w:pPr>
            <w:r w:rsidRPr="005D2B93">
              <w:rPr>
                <w:rFonts w:cs="Arial"/>
                <w:szCs w:val="22"/>
              </w:rPr>
              <w:t>COUNSEL FOR THE APPLICANT:</w:t>
            </w:r>
          </w:p>
        </w:tc>
        <w:tc>
          <w:tcPr>
            <w:tcW w:w="4508" w:type="dxa"/>
          </w:tcPr>
          <w:p w14:paraId="7DD198BB" w14:textId="0A949BE3" w:rsidR="009B62F7" w:rsidRPr="005D2B93" w:rsidRDefault="00D9716F" w:rsidP="0098739F">
            <w:pPr>
              <w:widowControl w:val="0"/>
              <w:spacing w:before="120" w:after="120"/>
              <w:jc w:val="right"/>
              <w:rPr>
                <w:rFonts w:eastAsia="Arial Unicode MS" w:cs="Arial"/>
                <w:szCs w:val="22"/>
              </w:rPr>
            </w:pPr>
            <w:r w:rsidRPr="005D2B93">
              <w:rPr>
                <w:rFonts w:eastAsia="Arial Unicode MS" w:cs="Arial"/>
                <w:szCs w:val="22"/>
              </w:rPr>
              <w:t>L GROBLER</w:t>
            </w:r>
          </w:p>
        </w:tc>
      </w:tr>
      <w:tr w:rsidR="009B62F7" w:rsidRPr="005D2B93" w14:paraId="6B458BBE" w14:textId="77777777" w:rsidTr="0098739F">
        <w:tc>
          <w:tcPr>
            <w:tcW w:w="4508" w:type="dxa"/>
            <w:gridSpan w:val="2"/>
          </w:tcPr>
          <w:p w14:paraId="004C2388" w14:textId="4D252395" w:rsidR="009B62F7" w:rsidRPr="005D2B93" w:rsidRDefault="009B62F7" w:rsidP="0098739F">
            <w:pPr>
              <w:widowControl w:val="0"/>
              <w:spacing w:before="120" w:after="120"/>
              <w:jc w:val="both"/>
              <w:rPr>
                <w:rFonts w:eastAsia="Arial Unicode MS" w:cs="Arial"/>
                <w:b/>
                <w:bCs/>
                <w:szCs w:val="22"/>
              </w:rPr>
            </w:pPr>
            <w:r w:rsidRPr="005D2B93">
              <w:rPr>
                <w:rFonts w:cs="Arial"/>
                <w:szCs w:val="22"/>
              </w:rPr>
              <w:t xml:space="preserve">INSTRUCTED BY: </w:t>
            </w:r>
          </w:p>
        </w:tc>
        <w:tc>
          <w:tcPr>
            <w:tcW w:w="4508" w:type="dxa"/>
          </w:tcPr>
          <w:p w14:paraId="03FBBB1A" w14:textId="525EBB79" w:rsidR="009B62F7" w:rsidRPr="005D2B93" w:rsidRDefault="00035CB8" w:rsidP="0098739F">
            <w:pPr>
              <w:widowControl w:val="0"/>
              <w:spacing w:before="120" w:after="120"/>
              <w:jc w:val="right"/>
              <w:rPr>
                <w:rFonts w:eastAsia="Arial Unicode MS" w:cs="Arial"/>
                <w:szCs w:val="22"/>
              </w:rPr>
            </w:pPr>
            <w:r w:rsidRPr="005D2B93">
              <w:rPr>
                <w:rFonts w:eastAsia="Arial Unicode MS" w:cs="Arial"/>
                <w:szCs w:val="22"/>
              </w:rPr>
              <w:t>ALICE SWANEPOEL ATTORNEYS</w:t>
            </w:r>
          </w:p>
        </w:tc>
      </w:tr>
      <w:tr w:rsidR="009B62F7" w:rsidRPr="005D2B93" w14:paraId="2094B6A6" w14:textId="77777777" w:rsidTr="0098739F">
        <w:tc>
          <w:tcPr>
            <w:tcW w:w="4508" w:type="dxa"/>
            <w:gridSpan w:val="2"/>
          </w:tcPr>
          <w:p w14:paraId="660EE22E" w14:textId="00DF3A87" w:rsidR="009B62F7" w:rsidRPr="005D2B93" w:rsidRDefault="009B62F7" w:rsidP="0098739F">
            <w:pPr>
              <w:widowControl w:val="0"/>
              <w:spacing w:before="120" w:after="120"/>
              <w:jc w:val="both"/>
              <w:rPr>
                <w:rFonts w:eastAsia="Arial Unicode MS" w:cs="Arial"/>
                <w:b/>
                <w:bCs/>
                <w:szCs w:val="22"/>
              </w:rPr>
            </w:pPr>
            <w:r w:rsidRPr="005D2B93">
              <w:rPr>
                <w:rFonts w:cs="Arial"/>
                <w:szCs w:val="22"/>
              </w:rPr>
              <w:t>COUNSEL FOR RESPONDENT:</w:t>
            </w:r>
          </w:p>
        </w:tc>
        <w:tc>
          <w:tcPr>
            <w:tcW w:w="4508" w:type="dxa"/>
          </w:tcPr>
          <w:p w14:paraId="6407F6D2" w14:textId="5E826BEA" w:rsidR="009B62F7" w:rsidRPr="005D2B93" w:rsidRDefault="00D9716F" w:rsidP="0098739F">
            <w:pPr>
              <w:autoSpaceDE w:val="0"/>
              <w:autoSpaceDN w:val="0"/>
              <w:adjustRightInd w:val="0"/>
              <w:spacing w:before="120" w:after="120"/>
              <w:jc w:val="right"/>
              <w:rPr>
                <w:rFonts w:eastAsia="Arial Unicode MS" w:cs="Arial"/>
                <w:szCs w:val="22"/>
              </w:rPr>
            </w:pPr>
            <w:r w:rsidRPr="005D2B93">
              <w:rPr>
                <w:rFonts w:eastAsia="Arial Unicode MS" w:cs="Arial"/>
                <w:szCs w:val="22"/>
              </w:rPr>
              <w:t>S</w:t>
            </w:r>
            <w:r w:rsidR="00035CB8" w:rsidRPr="005D2B93">
              <w:rPr>
                <w:rFonts w:eastAsia="Arial Unicode MS" w:cs="Arial"/>
                <w:szCs w:val="22"/>
              </w:rPr>
              <w:t xml:space="preserve"> S</w:t>
            </w:r>
            <w:r w:rsidRPr="005D2B93">
              <w:rPr>
                <w:rFonts w:eastAsia="Arial Unicode MS" w:cs="Arial"/>
                <w:szCs w:val="22"/>
              </w:rPr>
              <w:t>INGENDE</w:t>
            </w:r>
          </w:p>
        </w:tc>
      </w:tr>
      <w:tr w:rsidR="009B62F7" w:rsidRPr="005D2B93" w14:paraId="78D0B5E2" w14:textId="77777777" w:rsidTr="004E3AFC">
        <w:tc>
          <w:tcPr>
            <w:tcW w:w="4253" w:type="dxa"/>
          </w:tcPr>
          <w:p w14:paraId="042FC86A" w14:textId="06E34E50" w:rsidR="009B62F7" w:rsidRPr="005D2B93" w:rsidRDefault="009B62F7" w:rsidP="0098739F">
            <w:pPr>
              <w:widowControl w:val="0"/>
              <w:spacing w:before="120" w:after="120"/>
              <w:jc w:val="both"/>
              <w:rPr>
                <w:rFonts w:eastAsia="Arial Unicode MS" w:cs="Arial"/>
                <w:szCs w:val="22"/>
              </w:rPr>
            </w:pPr>
            <w:r w:rsidRPr="005D2B93">
              <w:rPr>
                <w:rFonts w:cs="Arial"/>
                <w:szCs w:val="22"/>
              </w:rPr>
              <w:lastRenderedPageBreak/>
              <w:t>INSTRUCTED BY:</w:t>
            </w:r>
          </w:p>
        </w:tc>
        <w:tc>
          <w:tcPr>
            <w:tcW w:w="4763" w:type="dxa"/>
            <w:gridSpan w:val="2"/>
          </w:tcPr>
          <w:p w14:paraId="38283046" w14:textId="5C8934F4" w:rsidR="009B62F7" w:rsidRPr="005D2B93" w:rsidRDefault="00D9716F" w:rsidP="0098739F">
            <w:pPr>
              <w:widowControl w:val="0"/>
              <w:spacing w:before="120" w:after="120"/>
              <w:jc w:val="right"/>
              <w:rPr>
                <w:rFonts w:eastAsia="Arial Unicode MS" w:cs="Arial"/>
                <w:szCs w:val="22"/>
              </w:rPr>
            </w:pPr>
            <w:r w:rsidRPr="005D2B93">
              <w:rPr>
                <w:rFonts w:eastAsia="Arial Unicode MS" w:cs="Arial"/>
                <w:szCs w:val="22"/>
              </w:rPr>
              <w:t>STAN</w:t>
            </w:r>
            <w:r w:rsidR="00AC2C78" w:rsidRPr="005D2B93">
              <w:rPr>
                <w:rFonts w:eastAsia="Arial Unicode MS" w:cs="Arial"/>
                <w:szCs w:val="22"/>
              </w:rPr>
              <w:t>F</w:t>
            </w:r>
            <w:r w:rsidRPr="005D2B93">
              <w:rPr>
                <w:rFonts w:eastAsia="Arial Unicode MS" w:cs="Arial"/>
                <w:szCs w:val="22"/>
              </w:rPr>
              <w:t>ORD ATTORNEYS</w:t>
            </w:r>
          </w:p>
        </w:tc>
      </w:tr>
      <w:tr w:rsidR="009B62F7" w:rsidRPr="005D2B93" w14:paraId="4AAB18B9" w14:textId="77777777" w:rsidTr="0098739F">
        <w:tc>
          <w:tcPr>
            <w:tcW w:w="4508" w:type="dxa"/>
            <w:gridSpan w:val="2"/>
          </w:tcPr>
          <w:p w14:paraId="79DE91BD" w14:textId="2E42E4A5" w:rsidR="009B62F7" w:rsidRPr="005D2B93" w:rsidRDefault="0098739F" w:rsidP="0098739F">
            <w:pPr>
              <w:widowControl w:val="0"/>
              <w:spacing w:before="120" w:after="120"/>
              <w:jc w:val="both"/>
              <w:rPr>
                <w:rFonts w:eastAsia="Arial Unicode MS" w:cs="Arial"/>
                <w:b/>
                <w:bCs/>
                <w:szCs w:val="22"/>
              </w:rPr>
            </w:pPr>
            <w:r w:rsidRPr="005D2B93">
              <w:rPr>
                <w:rFonts w:cs="Arial"/>
                <w:szCs w:val="22"/>
              </w:rPr>
              <w:t>DATE OF THE HEARING:</w:t>
            </w:r>
          </w:p>
        </w:tc>
        <w:tc>
          <w:tcPr>
            <w:tcW w:w="4508" w:type="dxa"/>
          </w:tcPr>
          <w:p w14:paraId="6A89FC90" w14:textId="74E464C2" w:rsidR="009B62F7" w:rsidRPr="005D2B93" w:rsidRDefault="00A17A88" w:rsidP="0098739F">
            <w:pPr>
              <w:widowControl w:val="0"/>
              <w:spacing w:before="120" w:after="120"/>
              <w:jc w:val="right"/>
              <w:rPr>
                <w:rFonts w:eastAsia="Arial Unicode MS" w:cs="Arial"/>
                <w:b/>
                <w:bCs/>
                <w:szCs w:val="22"/>
              </w:rPr>
            </w:pPr>
            <w:r w:rsidRPr="005D2B93">
              <w:rPr>
                <w:rFonts w:cs="Arial"/>
                <w:szCs w:val="22"/>
              </w:rPr>
              <w:t>1</w:t>
            </w:r>
            <w:r w:rsidR="00D9716F" w:rsidRPr="005D2B93">
              <w:rPr>
                <w:rFonts w:cs="Arial"/>
                <w:szCs w:val="22"/>
              </w:rPr>
              <w:t>2</w:t>
            </w:r>
            <w:r w:rsidRPr="005D2B93">
              <w:rPr>
                <w:rFonts w:cs="Arial"/>
                <w:szCs w:val="22"/>
              </w:rPr>
              <w:t xml:space="preserve"> APRIL 2023</w:t>
            </w:r>
          </w:p>
        </w:tc>
      </w:tr>
      <w:tr w:rsidR="0098739F" w:rsidRPr="005D2B93" w14:paraId="32221BF2" w14:textId="77777777" w:rsidTr="0098739F">
        <w:tc>
          <w:tcPr>
            <w:tcW w:w="4508" w:type="dxa"/>
            <w:gridSpan w:val="2"/>
          </w:tcPr>
          <w:p w14:paraId="0EFD4A3E" w14:textId="3D264C95" w:rsidR="0098739F" w:rsidRPr="005D2B93" w:rsidRDefault="0098739F" w:rsidP="0098739F">
            <w:pPr>
              <w:widowControl w:val="0"/>
              <w:spacing w:before="120" w:after="120"/>
              <w:jc w:val="both"/>
              <w:rPr>
                <w:rFonts w:cs="Arial"/>
                <w:szCs w:val="22"/>
              </w:rPr>
            </w:pPr>
            <w:r w:rsidRPr="005D2B93">
              <w:rPr>
                <w:rFonts w:cs="Arial"/>
                <w:szCs w:val="22"/>
              </w:rPr>
              <w:t xml:space="preserve">DATE OF </w:t>
            </w:r>
            <w:r w:rsidR="00A17A88" w:rsidRPr="005D2B93">
              <w:rPr>
                <w:rFonts w:cs="Arial"/>
                <w:szCs w:val="22"/>
              </w:rPr>
              <w:t>ORDER</w:t>
            </w:r>
            <w:r w:rsidRPr="005D2B93">
              <w:rPr>
                <w:rFonts w:cs="Arial"/>
                <w:szCs w:val="22"/>
              </w:rPr>
              <w:t>:</w:t>
            </w:r>
          </w:p>
        </w:tc>
        <w:tc>
          <w:tcPr>
            <w:tcW w:w="4508" w:type="dxa"/>
          </w:tcPr>
          <w:p w14:paraId="2615EC97" w14:textId="4A0CF93D" w:rsidR="0098739F" w:rsidRPr="005D2B93" w:rsidRDefault="007540E8" w:rsidP="0098739F">
            <w:pPr>
              <w:widowControl w:val="0"/>
              <w:spacing w:before="120" w:after="120"/>
              <w:jc w:val="right"/>
              <w:rPr>
                <w:rFonts w:cs="Arial"/>
                <w:szCs w:val="22"/>
              </w:rPr>
            </w:pPr>
            <w:r w:rsidRPr="005D2B93">
              <w:rPr>
                <w:rFonts w:cs="Arial"/>
                <w:szCs w:val="22"/>
              </w:rPr>
              <w:t>14</w:t>
            </w:r>
            <w:r w:rsidR="00E06541" w:rsidRPr="005D2B93">
              <w:rPr>
                <w:rFonts w:cs="Arial"/>
                <w:szCs w:val="22"/>
              </w:rPr>
              <w:t xml:space="preserve"> </w:t>
            </w:r>
            <w:r w:rsidR="00A17A88" w:rsidRPr="005D2B93">
              <w:rPr>
                <w:rFonts w:cs="Arial"/>
                <w:szCs w:val="22"/>
              </w:rPr>
              <w:t xml:space="preserve">APRIL 2023 </w:t>
            </w:r>
          </w:p>
        </w:tc>
      </w:tr>
      <w:tr w:rsidR="00A17A88" w:rsidRPr="005D2B93" w14:paraId="2B9D034B" w14:textId="77777777" w:rsidTr="0098739F">
        <w:tc>
          <w:tcPr>
            <w:tcW w:w="4508" w:type="dxa"/>
            <w:gridSpan w:val="2"/>
          </w:tcPr>
          <w:p w14:paraId="6873306D" w14:textId="33A99946" w:rsidR="00A17A88" w:rsidRPr="005D2B93" w:rsidRDefault="00A17A88" w:rsidP="0098739F">
            <w:pPr>
              <w:widowControl w:val="0"/>
              <w:spacing w:before="120" w:after="120"/>
              <w:jc w:val="both"/>
              <w:rPr>
                <w:rFonts w:cs="Arial"/>
                <w:szCs w:val="22"/>
              </w:rPr>
            </w:pPr>
            <w:r w:rsidRPr="005D2B93">
              <w:rPr>
                <w:rFonts w:cs="Arial"/>
                <w:szCs w:val="22"/>
              </w:rPr>
              <w:t>DATE OF JUDGMENT:</w:t>
            </w:r>
          </w:p>
        </w:tc>
        <w:tc>
          <w:tcPr>
            <w:tcW w:w="4508" w:type="dxa"/>
          </w:tcPr>
          <w:p w14:paraId="2615C115" w14:textId="0CAF5919" w:rsidR="00A17A88" w:rsidRPr="005D2B93" w:rsidRDefault="007540E8" w:rsidP="0098739F">
            <w:pPr>
              <w:widowControl w:val="0"/>
              <w:spacing w:before="120" w:after="120"/>
              <w:jc w:val="right"/>
              <w:rPr>
                <w:rFonts w:cs="Arial"/>
                <w:szCs w:val="22"/>
              </w:rPr>
            </w:pPr>
            <w:r w:rsidRPr="005D2B93">
              <w:rPr>
                <w:rFonts w:cs="Arial"/>
                <w:szCs w:val="22"/>
              </w:rPr>
              <w:t>14</w:t>
            </w:r>
            <w:r w:rsidR="00E06541" w:rsidRPr="005D2B93">
              <w:rPr>
                <w:rFonts w:cs="Arial"/>
                <w:szCs w:val="22"/>
              </w:rPr>
              <w:t xml:space="preserve"> </w:t>
            </w:r>
            <w:r w:rsidR="00A17A88" w:rsidRPr="005D2B93">
              <w:rPr>
                <w:rFonts w:cs="Arial"/>
                <w:szCs w:val="22"/>
              </w:rPr>
              <w:t>APRIL 2023</w:t>
            </w:r>
          </w:p>
        </w:tc>
      </w:tr>
    </w:tbl>
    <w:p w14:paraId="6D7F3969" w14:textId="76A86C9F" w:rsidR="00A675FB" w:rsidRPr="005D2B93" w:rsidRDefault="00A675FB" w:rsidP="00496AD4">
      <w:pPr>
        <w:widowControl w:val="0"/>
        <w:spacing w:after="200" w:line="360" w:lineRule="auto"/>
        <w:contextualSpacing/>
        <w:jc w:val="both"/>
        <w:rPr>
          <w:rFonts w:cs="Arial"/>
          <w:szCs w:val="22"/>
        </w:rPr>
      </w:pPr>
    </w:p>
    <w:sectPr w:rsidR="00A675FB" w:rsidRPr="005D2B93" w:rsidSect="00A675FB">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BC7F" w14:textId="77777777" w:rsidR="00E61D83" w:rsidRDefault="00E61D83">
      <w:r>
        <w:separator/>
      </w:r>
    </w:p>
  </w:endnote>
  <w:endnote w:type="continuationSeparator" w:id="0">
    <w:p w14:paraId="45B0272F" w14:textId="77777777" w:rsidR="00E61D83" w:rsidRDefault="00E6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0170" w14:textId="77777777" w:rsidR="00E61D83" w:rsidRDefault="00E61D83">
      <w:r>
        <w:separator/>
      </w:r>
    </w:p>
  </w:footnote>
  <w:footnote w:type="continuationSeparator" w:id="0">
    <w:p w14:paraId="431B6C6B" w14:textId="77777777" w:rsidR="00E61D83" w:rsidRDefault="00E61D83">
      <w:r>
        <w:continuationSeparator/>
      </w:r>
    </w:p>
  </w:footnote>
  <w:footnote w:id="1">
    <w:p w14:paraId="7A3CDD2B" w14:textId="2C6F1DB5" w:rsidR="00035CB8" w:rsidRDefault="00035CB8">
      <w:pPr>
        <w:pStyle w:val="FootnoteText"/>
      </w:pPr>
      <w:r>
        <w:rPr>
          <w:rStyle w:val="FootnoteReference"/>
        </w:rPr>
        <w:footnoteRef/>
      </w:r>
      <w:r>
        <w:t xml:space="preserve"> </w:t>
      </w:r>
      <w:r>
        <w:tab/>
      </w:r>
      <w:proofErr w:type="spellStart"/>
      <w:r>
        <w:t>CaseLines</w:t>
      </w:r>
      <w:proofErr w:type="spellEnd"/>
      <w:r>
        <w:t xml:space="preserve"> 013-1.</w:t>
      </w:r>
    </w:p>
  </w:footnote>
  <w:footnote w:id="2">
    <w:p w14:paraId="3D31D7D6" w14:textId="119A5DFB" w:rsidR="00E8008C" w:rsidRDefault="00E8008C" w:rsidP="00E8008C">
      <w:pPr>
        <w:pStyle w:val="FootnoteText"/>
      </w:pPr>
      <w:r>
        <w:rPr>
          <w:rStyle w:val="FootnoteReference"/>
        </w:rPr>
        <w:footnoteRef/>
      </w:r>
      <w:r>
        <w:t xml:space="preserve"> </w:t>
      </w:r>
      <w:r>
        <w:tab/>
      </w:r>
      <w:r w:rsidR="00ED4820">
        <w:t xml:space="preserve">Rule 4(1)(v). See </w:t>
      </w:r>
      <w:r w:rsidRPr="00A70A6D">
        <w:t xml:space="preserve">Van </w:t>
      </w:r>
      <w:proofErr w:type="spellStart"/>
      <w:r w:rsidRPr="00A70A6D">
        <w:t>Loggerenberg</w:t>
      </w:r>
      <w:proofErr w:type="spellEnd"/>
      <w:r w:rsidRPr="00A70A6D">
        <w:t xml:space="preserve"> DE and Bertelsmann E </w:t>
      </w:r>
      <w:r w:rsidRPr="00A70A6D">
        <w:rPr>
          <w:i/>
          <w:iCs/>
        </w:rPr>
        <w:t>Erasmus: Superior Court Practice</w:t>
      </w:r>
      <w:r>
        <w:rPr>
          <w:i/>
          <w:iCs/>
        </w:rPr>
        <w:t xml:space="preserve"> </w:t>
      </w:r>
      <w:r w:rsidR="00ED4820" w:rsidRPr="001B5698">
        <w:t>RS 11, 2019, D1-25</w:t>
      </w:r>
      <w:r>
        <w:t xml:space="preserve">. </w:t>
      </w:r>
    </w:p>
  </w:footnote>
  <w:footnote w:id="3">
    <w:p w14:paraId="7EB049A1" w14:textId="2C72BE97" w:rsidR="00E8008C" w:rsidRDefault="00E8008C">
      <w:pPr>
        <w:pStyle w:val="FootnoteText"/>
      </w:pPr>
      <w:r>
        <w:rPr>
          <w:rStyle w:val="FootnoteReference"/>
        </w:rPr>
        <w:footnoteRef/>
      </w:r>
      <w:r>
        <w:t xml:space="preserve"> </w:t>
      </w:r>
      <w:r w:rsidR="00ED4820">
        <w:tab/>
        <w:t>Section 23(3) of the Companies Act, 71 of 2008.</w:t>
      </w:r>
    </w:p>
  </w:footnote>
  <w:footnote w:id="4">
    <w:p w14:paraId="5EE4AF51" w14:textId="74EE0DC5" w:rsidR="00806ED4" w:rsidRDefault="00806ED4">
      <w:pPr>
        <w:pStyle w:val="FootnoteText"/>
      </w:pPr>
      <w:r>
        <w:rPr>
          <w:rStyle w:val="FootnoteReference"/>
        </w:rPr>
        <w:footnoteRef/>
      </w:r>
      <w:r>
        <w:t xml:space="preserve"> </w:t>
      </w:r>
      <w:r>
        <w:tab/>
      </w:r>
      <w:proofErr w:type="spellStart"/>
      <w:r>
        <w:t>CaseL</w:t>
      </w:r>
      <w:r w:rsidR="000D43A6">
        <w:t>i</w:t>
      </w:r>
      <w:r>
        <w:t>nes</w:t>
      </w:r>
      <w:proofErr w:type="spellEnd"/>
      <w:r>
        <w:t xml:space="preserve"> </w:t>
      </w:r>
      <w:r w:rsidR="000D43A6">
        <w:t>014-43</w:t>
      </w:r>
      <w:r w:rsidR="00503F94">
        <w:t xml:space="preserve"> and 021-12</w:t>
      </w:r>
      <w:r w:rsidR="000D43A6">
        <w:t>.</w:t>
      </w:r>
    </w:p>
  </w:footnote>
  <w:footnote w:id="5">
    <w:p w14:paraId="69F3DE6D" w14:textId="37841F94" w:rsidR="003D53F9" w:rsidRDefault="003D53F9">
      <w:pPr>
        <w:pStyle w:val="FootnoteText"/>
      </w:pPr>
      <w:r>
        <w:rPr>
          <w:rStyle w:val="FootnoteReference"/>
        </w:rPr>
        <w:footnoteRef/>
      </w:r>
      <w:r>
        <w:t xml:space="preserve"> </w:t>
      </w:r>
      <w:r>
        <w:tab/>
      </w:r>
      <w:r w:rsidRPr="003D53F9">
        <w:rPr>
          <w:rFonts w:cs="Arial"/>
          <w:color w:val="000000"/>
          <w:sz w:val="22"/>
          <w:szCs w:val="22"/>
        </w:rPr>
        <w:t xml:space="preserve">On </w:t>
      </w:r>
      <w:r>
        <w:rPr>
          <w:rFonts w:cs="Arial"/>
          <w:szCs w:val="22"/>
          <w:lang w:eastAsia="en-ZA"/>
        </w:rPr>
        <w:t>10 July 2019</w:t>
      </w:r>
      <w:r w:rsidRPr="003D53F9">
        <w:rPr>
          <w:rFonts w:cs="Arial"/>
          <w:sz w:val="22"/>
          <w:szCs w:val="22"/>
          <w:lang w:eastAsia="en-ZA"/>
        </w:rPr>
        <w:t xml:space="preserve"> the respondent’s attorney </w:t>
      </w:r>
      <w:r>
        <w:rPr>
          <w:rFonts w:cs="Arial"/>
          <w:szCs w:val="22"/>
          <w:lang w:eastAsia="en-ZA"/>
        </w:rPr>
        <w:t xml:space="preserve">emailed the summons to the applicant’s attorney but used the </w:t>
      </w:r>
      <w:r w:rsidRPr="003D53F9">
        <w:rPr>
          <w:rFonts w:cs="Arial"/>
          <w:sz w:val="22"/>
          <w:szCs w:val="22"/>
          <w:lang w:eastAsia="en-ZA"/>
        </w:rPr>
        <w:t>incorrect email address</w:t>
      </w:r>
      <w:r>
        <w:rPr>
          <w:rFonts w:cs="Arial"/>
          <w:szCs w:val="22"/>
          <w:lang w:eastAsia="en-ZA"/>
        </w:rPr>
        <w:t xml:space="preserve">. It never came to the notice of the applicant’s attorneys. See </w:t>
      </w:r>
      <w:proofErr w:type="spellStart"/>
      <w:r>
        <w:rPr>
          <w:rFonts w:cs="Arial"/>
          <w:szCs w:val="22"/>
          <w:lang w:eastAsia="en-ZA"/>
        </w:rPr>
        <w:t>CaseLines</w:t>
      </w:r>
      <w:proofErr w:type="spellEnd"/>
      <w:r>
        <w:rPr>
          <w:rFonts w:cs="Arial"/>
          <w:szCs w:val="22"/>
          <w:lang w:eastAsia="en-ZA"/>
        </w:rPr>
        <w:t xml:space="preserve"> 014-36 to 39.</w:t>
      </w:r>
    </w:p>
  </w:footnote>
  <w:footnote w:id="6">
    <w:p w14:paraId="5153D334" w14:textId="2F34E7D4" w:rsidR="002325F9" w:rsidRDefault="002325F9">
      <w:pPr>
        <w:pStyle w:val="FootnoteText"/>
      </w:pPr>
      <w:r>
        <w:rPr>
          <w:rStyle w:val="FootnoteReference"/>
        </w:rPr>
        <w:footnoteRef/>
      </w:r>
      <w:r>
        <w:t xml:space="preserve"> </w:t>
      </w:r>
      <w:r>
        <w:tab/>
        <w:t xml:space="preserve">The common law also </w:t>
      </w:r>
      <w:r w:rsidR="007540E8">
        <w:t>deals with</w:t>
      </w:r>
      <w:r>
        <w:t xml:space="preserve"> rescission on the grounds of fraud, </w:t>
      </w:r>
      <w:proofErr w:type="spellStart"/>
      <w:r w:rsidR="007540E8" w:rsidRPr="007540E8">
        <w:rPr>
          <w:i/>
          <w:iCs/>
        </w:rPr>
        <w:t>j</w:t>
      </w:r>
      <w:r w:rsidRPr="007540E8">
        <w:rPr>
          <w:i/>
          <w:iCs/>
        </w:rPr>
        <w:t>ustus</w:t>
      </w:r>
      <w:proofErr w:type="spellEnd"/>
      <w:r w:rsidRPr="007540E8">
        <w:rPr>
          <w:i/>
          <w:iCs/>
        </w:rPr>
        <w:t xml:space="preserve"> error, </w:t>
      </w:r>
      <w:proofErr w:type="spellStart"/>
      <w:proofErr w:type="gramStart"/>
      <w:r w:rsidRPr="007540E8">
        <w:rPr>
          <w:i/>
          <w:iCs/>
        </w:rPr>
        <w:t>justa</w:t>
      </w:r>
      <w:proofErr w:type="spellEnd"/>
      <w:r w:rsidRPr="007540E8">
        <w:rPr>
          <w:i/>
          <w:iCs/>
        </w:rPr>
        <w:t xml:space="preserve">  causa</w:t>
      </w:r>
      <w:proofErr w:type="gramEnd"/>
      <w:r w:rsidRPr="007540E8">
        <w:rPr>
          <w:i/>
          <w:iCs/>
        </w:rPr>
        <w:t xml:space="preserve">, </w:t>
      </w:r>
      <w:r>
        <w:t>and when new documents have been discovered. These grounds are not applicable in this matter.</w:t>
      </w:r>
    </w:p>
  </w:footnote>
  <w:footnote w:id="7">
    <w:p w14:paraId="734C76B9" w14:textId="49ABFD6D" w:rsidR="00376AC0" w:rsidRDefault="00376AC0">
      <w:pPr>
        <w:pStyle w:val="FootnoteText"/>
      </w:pPr>
      <w:r>
        <w:rPr>
          <w:rStyle w:val="FootnoteReference"/>
        </w:rPr>
        <w:footnoteRef/>
      </w:r>
      <w:r>
        <w:t xml:space="preserve"> </w:t>
      </w:r>
      <w:r>
        <w:tab/>
      </w:r>
      <w:r w:rsidRPr="00461715">
        <w:rPr>
          <w:rFonts w:cs="Arial"/>
          <w:i/>
          <w:iCs/>
        </w:rPr>
        <w:t>“A defendant may within 20 days after acquiring knowledge of such judgment apply to court upon notice to the plaintiff to set aside such judgment and the court may, upon good cause shown, set aside the default judgment on such terms as it deems fit.”</w:t>
      </w:r>
    </w:p>
  </w:footnote>
  <w:footnote w:id="8">
    <w:p w14:paraId="7A737A72" w14:textId="373033DF" w:rsidR="002325F9" w:rsidRDefault="002325F9">
      <w:pPr>
        <w:pStyle w:val="FootnoteText"/>
      </w:pPr>
      <w:r>
        <w:rPr>
          <w:rStyle w:val="FootnoteReference"/>
        </w:rPr>
        <w:footnoteRef/>
      </w:r>
      <w:r>
        <w:t xml:space="preserve"> </w:t>
      </w:r>
      <w:r>
        <w:tab/>
      </w:r>
      <w:r>
        <w:rPr>
          <w:rFonts w:cs="Arial"/>
          <w:color w:val="000000" w:themeColor="text1"/>
        </w:rPr>
        <w:t>Rule 42(1) is not applicable on the facts of this case.</w:t>
      </w:r>
    </w:p>
  </w:footnote>
  <w:footnote w:id="9">
    <w:p w14:paraId="6389DBE7" w14:textId="17B853DD" w:rsidR="000E1AEF" w:rsidRDefault="000E1AEF" w:rsidP="000E1AEF">
      <w:pPr>
        <w:pStyle w:val="FootnoteText"/>
      </w:pPr>
      <w:r>
        <w:rPr>
          <w:rStyle w:val="FootnoteReference"/>
        </w:rPr>
        <w:footnoteRef/>
      </w:r>
      <w:r>
        <w:t xml:space="preserve"> </w:t>
      </w:r>
      <w:r>
        <w:tab/>
        <w:t xml:space="preserve">See </w:t>
      </w:r>
      <w:r w:rsidRPr="00A70A6D">
        <w:t xml:space="preserve">Van </w:t>
      </w:r>
      <w:proofErr w:type="spellStart"/>
      <w:r w:rsidRPr="00A70A6D">
        <w:t>Loggerenberg</w:t>
      </w:r>
      <w:proofErr w:type="spellEnd"/>
      <w:r w:rsidRPr="00A70A6D">
        <w:t xml:space="preserve"> DE and Bertelsmann E </w:t>
      </w:r>
      <w:r w:rsidRPr="00A70A6D">
        <w:rPr>
          <w:i/>
          <w:iCs/>
        </w:rPr>
        <w:t>Erasmus: Superior Court Practice</w:t>
      </w:r>
      <w:r>
        <w:rPr>
          <w:i/>
          <w:iCs/>
        </w:rPr>
        <w:t xml:space="preserve"> </w:t>
      </w:r>
      <w:r w:rsidR="00206678">
        <w:t xml:space="preserve">RS 20, 2022, D1-365 to 370A and 562C to </w:t>
      </w:r>
      <w:r w:rsidR="002325F9">
        <w:t>564.</w:t>
      </w:r>
    </w:p>
  </w:footnote>
  <w:footnote w:id="10">
    <w:p w14:paraId="28E947A3" w14:textId="25E354B0" w:rsidR="00B45EF0" w:rsidRDefault="00B45EF0">
      <w:pPr>
        <w:pStyle w:val="FootnoteText"/>
      </w:pPr>
      <w:r>
        <w:rPr>
          <w:rStyle w:val="FootnoteReference"/>
        </w:rPr>
        <w:footnoteRef/>
      </w:r>
      <w:r>
        <w:t xml:space="preserve"> </w:t>
      </w:r>
      <w:r>
        <w:tab/>
      </w:r>
      <w:r w:rsidRPr="00B45EF0">
        <w:rPr>
          <w:rFonts w:cs="Arial"/>
          <w:i/>
          <w:iCs/>
          <w:color w:val="000000" w:themeColor="text1"/>
          <w:shd w:val="clear" w:color="auto" w:fill="FFFFFF"/>
        </w:rPr>
        <w:t>Grant v Plumbers (Pty) Ltd</w:t>
      </w:r>
      <w:r w:rsidRPr="00B45EF0">
        <w:rPr>
          <w:rFonts w:cs="Arial"/>
          <w:color w:val="000000" w:themeColor="text1"/>
          <w:shd w:val="clear" w:color="auto" w:fill="FFFFFF"/>
        </w:rPr>
        <w:t> </w:t>
      </w:r>
      <w:hyperlink r:id="rId1" w:anchor="unresolved-internal/scpr-SCPR_492470" w:history="1">
        <w:r w:rsidRPr="00B45EF0">
          <w:rPr>
            <w:rStyle w:val="Hyperlink"/>
            <w:rFonts w:cs="Arial"/>
            <w:color w:val="000000" w:themeColor="text1"/>
            <w:u w:val="none"/>
            <w:shd w:val="clear" w:color="auto" w:fill="FFFFFF"/>
          </w:rPr>
          <w:t>1949 (2) SA 470 (O)</w:t>
        </w:r>
      </w:hyperlink>
      <w:r w:rsidRPr="00B45EF0">
        <w:rPr>
          <w:rFonts w:cs="Arial"/>
          <w:color w:val="000000" w:themeColor="text1"/>
          <w:shd w:val="clear" w:color="auto" w:fill="FFFFFF"/>
        </w:rPr>
        <w:t xml:space="preserve"> 476–7</w:t>
      </w:r>
      <w:r>
        <w:rPr>
          <w:rFonts w:cs="Arial"/>
          <w:color w:val="000000" w:themeColor="text1"/>
          <w:shd w:val="clear" w:color="auto" w:fill="FFFFFF"/>
        </w:rPr>
        <w:t>.</w:t>
      </w:r>
    </w:p>
  </w:footnote>
  <w:footnote w:id="11">
    <w:p w14:paraId="2099DCD1" w14:textId="6A86D04F" w:rsidR="002325F9" w:rsidRDefault="002325F9" w:rsidP="002325F9">
      <w:pPr>
        <w:pStyle w:val="FootnoteText"/>
      </w:pPr>
      <w:r>
        <w:rPr>
          <w:rStyle w:val="FootnoteReference"/>
        </w:rPr>
        <w:footnoteRef/>
      </w:r>
      <w:r>
        <w:t xml:space="preserve"> </w:t>
      </w:r>
      <w:r>
        <w:tab/>
        <w:t>Rule 43 (O.F.S.).</w:t>
      </w:r>
    </w:p>
  </w:footnote>
  <w:footnote w:id="12">
    <w:p w14:paraId="5DC5A414" w14:textId="2160E606" w:rsidR="0087453B" w:rsidRPr="00530C11" w:rsidRDefault="0087453B">
      <w:pPr>
        <w:pStyle w:val="FootnoteText"/>
        <w:rPr>
          <w:rFonts w:cs="Arial"/>
          <w:color w:val="000000" w:themeColor="text1"/>
        </w:rPr>
      </w:pPr>
      <w:r>
        <w:rPr>
          <w:rStyle w:val="FootnoteReference"/>
        </w:rPr>
        <w:footnoteRef/>
      </w:r>
      <w:r>
        <w:t xml:space="preserve"> </w:t>
      </w:r>
      <w:r>
        <w:tab/>
      </w:r>
      <w:r w:rsidR="003E64C0">
        <w:t xml:space="preserve">The Judge referred to </w:t>
      </w:r>
      <w:r w:rsidR="00530C11" w:rsidRPr="00530C11">
        <w:rPr>
          <w:rFonts w:cs="Arial"/>
          <w:i/>
          <w:iCs/>
          <w:color w:val="000000" w:themeColor="text1"/>
        </w:rPr>
        <w:t>Joosub v Natal Bank</w:t>
      </w:r>
      <w:r w:rsidR="00530C11" w:rsidRPr="00530C11">
        <w:rPr>
          <w:rFonts w:cs="Arial"/>
          <w:color w:val="000000" w:themeColor="text1"/>
        </w:rPr>
        <w:t> 1908 TS 375</w:t>
      </w:r>
      <w:r w:rsidR="00530C11">
        <w:rPr>
          <w:rFonts w:cs="Arial"/>
          <w:color w:val="000000" w:themeColor="text1"/>
        </w:rPr>
        <w:t xml:space="preserve">, </w:t>
      </w:r>
      <w:r w:rsidR="00530C11" w:rsidRPr="00530C11">
        <w:rPr>
          <w:rFonts w:cs="Arial"/>
          <w:i/>
          <w:iCs/>
          <w:color w:val="000000" w:themeColor="text1"/>
        </w:rPr>
        <w:t xml:space="preserve">Cairns' Executors v </w:t>
      </w:r>
      <w:proofErr w:type="spellStart"/>
      <w:r w:rsidR="00530C11" w:rsidRPr="00530C11">
        <w:rPr>
          <w:rFonts w:cs="Arial"/>
          <w:i/>
          <w:iCs/>
          <w:color w:val="000000" w:themeColor="text1"/>
        </w:rPr>
        <w:t>Gaarn</w:t>
      </w:r>
      <w:proofErr w:type="spellEnd"/>
      <w:r w:rsidR="00530C11" w:rsidRPr="00530C11">
        <w:rPr>
          <w:rFonts w:cs="Arial"/>
          <w:color w:val="000000" w:themeColor="text1"/>
        </w:rPr>
        <w:t> </w:t>
      </w:r>
      <w:hyperlink r:id="rId2" w:history="1">
        <w:r w:rsidR="00530C11" w:rsidRPr="00530C11">
          <w:rPr>
            <w:rStyle w:val="Hyperlink"/>
            <w:rFonts w:cs="Arial"/>
            <w:color w:val="000000" w:themeColor="text1"/>
            <w:u w:val="none"/>
          </w:rPr>
          <w:t>1912 AD 181</w:t>
        </w:r>
      </w:hyperlink>
      <w:r w:rsidR="00530C11" w:rsidRPr="00530C11">
        <w:rPr>
          <w:rFonts w:cs="Arial"/>
          <w:color w:val="000000" w:themeColor="text1"/>
        </w:rPr>
        <w:t xml:space="preserve">, </w:t>
      </w:r>
      <w:r w:rsidR="00530C11" w:rsidRPr="00530C11">
        <w:rPr>
          <w:rFonts w:cs="Arial"/>
          <w:i/>
          <w:iCs/>
          <w:color w:val="000000" w:themeColor="text1"/>
        </w:rPr>
        <w:t xml:space="preserve">Abdool </w:t>
      </w:r>
      <w:proofErr w:type="spellStart"/>
      <w:r w:rsidR="00530C11" w:rsidRPr="00530C11">
        <w:rPr>
          <w:rFonts w:cs="Arial"/>
          <w:i/>
          <w:iCs/>
          <w:color w:val="000000" w:themeColor="text1"/>
        </w:rPr>
        <w:t>Latieb</w:t>
      </w:r>
      <w:proofErr w:type="spellEnd"/>
      <w:r w:rsidR="00530C11" w:rsidRPr="00530C11">
        <w:rPr>
          <w:rFonts w:cs="Arial"/>
          <w:i/>
          <w:iCs/>
          <w:color w:val="000000" w:themeColor="text1"/>
        </w:rPr>
        <w:t xml:space="preserve"> &amp; Co v Jones</w:t>
      </w:r>
      <w:r w:rsidR="00530C11" w:rsidRPr="00530C11">
        <w:rPr>
          <w:rFonts w:cs="Arial"/>
          <w:color w:val="000000" w:themeColor="text1"/>
        </w:rPr>
        <w:t> 1918 TPD 215</w:t>
      </w:r>
      <w:r w:rsidR="00530C11">
        <w:rPr>
          <w:rFonts w:cs="Arial"/>
          <w:color w:val="000000" w:themeColor="text1"/>
        </w:rPr>
        <w:t xml:space="preserve">, </w:t>
      </w:r>
      <w:proofErr w:type="spellStart"/>
      <w:r w:rsidR="00530C11" w:rsidRPr="00530C11">
        <w:rPr>
          <w:rFonts w:cs="Arial"/>
          <w:i/>
          <w:iCs/>
          <w:color w:val="000000" w:themeColor="text1"/>
        </w:rPr>
        <w:t>Thlobelo</w:t>
      </w:r>
      <w:proofErr w:type="spellEnd"/>
      <w:r w:rsidR="00530C11" w:rsidRPr="00530C11">
        <w:rPr>
          <w:rFonts w:cs="Arial"/>
          <w:i/>
          <w:iCs/>
          <w:color w:val="000000" w:themeColor="text1"/>
        </w:rPr>
        <w:t xml:space="preserve"> v </w:t>
      </w:r>
      <w:proofErr w:type="spellStart"/>
      <w:r w:rsidR="00530C11" w:rsidRPr="00530C11">
        <w:rPr>
          <w:rFonts w:cs="Arial"/>
          <w:i/>
          <w:iCs/>
          <w:color w:val="000000" w:themeColor="text1"/>
        </w:rPr>
        <w:t>Kehiloe</w:t>
      </w:r>
      <w:proofErr w:type="spellEnd"/>
      <w:r w:rsidR="00530C11" w:rsidRPr="00530C11">
        <w:rPr>
          <w:rFonts w:cs="Arial"/>
          <w:color w:val="000000" w:themeColor="text1"/>
        </w:rPr>
        <w:t> (2) 1932 OPD 24</w:t>
      </w:r>
      <w:r w:rsidR="00530C11">
        <w:rPr>
          <w:rFonts w:cs="Arial"/>
          <w:color w:val="000000" w:themeColor="text1"/>
        </w:rPr>
        <w:t xml:space="preserve">, </w:t>
      </w:r>
      <w:r w:rsidR="00530C11" w:rsidRPr="00530C11">
        <w:rPr>
          <w:rFonts w:cs="Arial"/>
          <w:i/>
          <w:iCs/>
          <w:color w:val="000000" w:themeColor="text1"/>
        </w:rPr>
        <w:t xml:space="preserve">Scott v Trustee, Insolvent Estate </w:t>
      </w:r>
      <w:proofErr w:type="spellStart"/>
      <w:r w:rsidR="00530C11" w:rsidRPr="00530C11">
        <w:rPr>
          <w:rFonts w:cs="Arial"/>
          <w:i/>
          <w:iCs/>
          <w:color w:val="000000" w:themeColor="text1"/>
        </w:rPr>
        <w:t>Comerma</w:t>
      </w:r>
      <w:proofErr w:type="spellEnd"/>
      <w:r w:rsidR="00530C11" w:rsidRPr="00530C11">
        <w:rPr>
          <w:rFonts w:cs="Arial"/>
          <w:color w:val="000000" w:themeColor="text1"/>
        </w:rPr>
        <w:t> 1938 WLD 129,</w:t>
      </w:r>
      <w:r w:rsidR="007540E8">
        <w:rPr>
          <w:rFonts w:cs="Arial"/>
          <w:color w:val="000000" w:themeColor="text1"/>
        </w:rPr>
        <w:t xml:space="preserve"> and</w:t>
      </w:r>
      <w:r w:rsidR="00530C11" w:rsidRPr="00530C11">
        <w:rPr>
          <w:rFonts w:cs="Arial"/>
          <w:color w:val="000000" w:themeColor="text1"/>
        </w:rPr>
        <w:t xml:space="preserve"> </w:t>
      </w:r>
      <w:proofErr w:type="spellStart"/>
      <w:r w:rsidR="00530C11" w:rsidRPr="00530C11">
        <w:rPr>
          <w:rFonts w:cs="Arial"/>
          <w:i/>
          <w:iCs/>
          <w:color w:val="000000" w:themeColor="text1"/>
        </w:rPr>
        <w:t>Schabort</w:t>
      </w:r>
      <w:proofErr w:type="spellEnd"/>
      <w:r w:rsidR="00530C11" w:rsidRPr="00530C11">
        <w:rPr>
          <w:rFonts w:cs="Arial"/>
          <w:i/>
          <w:iCs/>
          <w:color w:val="000000" w:themeColor="text1"/>
        </w:rPr>
        <w:t xml:space="preserve"> v Pocock</w:t>
      </w:r>
      <w:r w:rsidR="00530C11" w:rsidRPr="00530C11">
        <w:rPr>
          <w:rFonts w:cs="Arial"/>
          <w:color w:val="000000" w:themeColor="text1"/>
        </w:rPr>
        <w:t> 1946 CPD 363</w:t>
      </w:r>
      <w:r w:rsidR="00530C11">
        <w:rPr>
          <w:rFonts w:cs="Arial"/>
          <w:color w:val="000000" w:themeColor="text1"/>
        </w:rPr>
        <w:t>.</w:t>
      </w:r>
    </w:p>
  </w:footnote>
  <w:footnote w:id="13">
    <w:p w14:paraId="315DBF69" w14:textId="0FBA078B" w:rsidR="0087453B" w:rsidRPr="00530C11" w:rsidRDefault="0087453B">
      <w:pPr>
        <w:pStyle w:val="FootnoteText"/>
        <w:rPr>
          <w:color w:val="000000" w:themeColor="text1"/>
        </w:rPr>
      </w:pPr>
      <w:r w:rsidRPr="00530C11">
        <w:rPr>
          <w:rStyle w:val="FootnoteReference"/>
          <w:color w:val="000000" w:themeColor="text1"/>
        </w:rPr>
        <w:footnoteRef/>
      </w:r>
      <w:r w:rsidRPr="00530C11">
        <w:rPr>
          <w:color w:val="000000" w:themeColor="text1"/>
        </w:rPr>
        <w:t xml:space="preserve"> </w:t>
      </w:r>
      <w:r w:rsidRPr="00530C11">
        <w:rPr>
          <w:color w:val="000000" w:themeColor="text1"/>
        </w:rPr>
        <w:tab/>
      </w:r>
      <w:r w:rsidRPr="00530C11">
        <w:rPr>
          <w:i/>
          <w:iCs/>
          <w:color w:val="000000" w:themeColor="text1"/>
        </w:rPr>
        <w:t xml:space="preserve">Cairns' Executors v </w:t>
      </w:r>
      <w:proofErr w:type="spellStart"/>
      <w:r w:rsidRPr="00530C11">
        <w:rPr>
          <w:i/>
          <w:iCs/>
          <w:color w:val="000000" w:themeColor="text1"/>
        </w:rPr>
        <w:t>Gaarn</w:t>
      </w:r>
      <w:proofErr w:type="spellEnd"/>
      <w:r w:rsidRPr="00530C11">
        <w:rPr>
          <w:color w:val="000000" w:themeColor="text1"/>
        </w:rPr>
        <w:t> </w:t>
      </w:r>
      <w:hyperlink r:id="rId3" w:history="1">
        <w:r w:rsidRPr="00530C11">
          <w:rPr>
            <w:rStyle w:val="Hyperlink"/>
            <w:color w:val="000000" w:themeColor="text1"/>
            <w:u w:val="none"/>
          </w:rPr>
          <w:t>1912 AD 181</w:t>
        </w:r>
      </w:hyperlink>
      <w:r w:rsidRPr="00530C11">
        <w:rPr>
          <w:color w:val="000000" w:themeColor="text1"/>
        </w:rPr>
        <w:t xml:space="preserve"> at 186.</w:t>
      </w:r>
    </w:p>
  </w:footnote>
  <w:footnote w:id="14">
    <w:p w14:paraId="3F7553CE" w14:textId="5B38E7E4" w:rsidR="00530C11" w:rsidRDefault="00530C11">
      <w:pPr>
        <w:pStyle w:val="FootnoteText"/>
      </w:pPr>
      <w:r>
        <w:rPr>
          <w:rStyle w:val="FootnoteReference"/>
        </w:rPr>
        <w:footnoteRef/>
      </w:r>
      <w:r>
        <w:t xml:space="preserve"> </w:t>
      </w:r>
      <w:r>
        <w:tab/>
      </w:r>
      <w:proofErr w:type="spellStart"/>
      <w:r w:rsidRPr="00530C11">
        <w:rPr>
          <w:rFonts w:cs="Arial"/>
          <w:i/>
          <w:iCs/>
          <w:color w:val="000000" w:themeColor="text1"/>
        </w:rPr>
        <w:t>Schabort</w:t>
      </w:r>
      <w:proofErr w:type="spellEnd"/>
      <w:r w:rsidRPr="00530C11">
        <w:rPr>
          <w:rFonts w:cs="Arial"/>
          <w:i/>
          <w:iCs/>
          <w:color w:val="000000" w:themeColor="text1"/>
        </w:rPr>
        <w:t xml:space="preserve"> v Pocock</w:t>
      </w:r>
      <w:r w:rsidRPr="00530C11">
        <w:rPr>
          <w:rFonts w:cs="Arial"/>
          <w:color w:val="000000" w:themeColor="text1"/>
        </w:rPr>
        <w:t> 1946</w:t>
      </w:r>
      <w:r w:rsidR="005F65CD">
        <w:rPr>
          <w:rFonts w:cs="Arial"/>
          <w:color w:val="000000" w:themeColor="text1"/>
        </w:rPr>
        <w:t xml:space="preserve"> </w:t>
      </w:r>
      <w:r w:rsidRPr="00530C11">
        <w:rPr>
          <w:rFonts w:cs="Arial"/>
          <w:color w:val="000000" w:themeColor="text1"/>
        </w:rPr>
        <w:t>CPD 363</w:t>
      </w:r>
      <w:r w:rsidR="005F65CD">
        <w:rPr>
          <w:rFonts w:cs="Arial"/>
          <w:color w:val="000000" w:themeColor="text1"/>
        </w:rPr>
        <w:t xml:space="preserve"> at 370</w:t>
      </w:r>
      <w:r w:rsidR="00766F60">
        <w:rPr>
          <w:rFonts w:cs="Arial"/>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5B90CAA1"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0F2538">
      <w:rPr>
        <w:rFonts w:cs="Arial"/>
        <w:noProof/>
        <w:sz w:val="20"/>
        <w:szCs w:val="20"/>
        <w:lang w:val="en-GB"/>
      </w:rPr>
      <w:t>10</w:t>
    </w:r>
    <w:r w:rsidRPr="006C43D7">
      <w:rPr>
        <w:rFonts w:cs="Arial"/>
        <w:sz w:val="20"/>
        <w:szCs w:val="20"/>
        <w:lang w:val="en-GB"/>
      </w:rPr>
      <w:fldChar w:fldCharType="end"/>
    </w:r>
  </w:p>
  <w:p w14:paraId="08C008E5" w14:textId="77777777" w:rsidR="009165D0" w:rsidRPr="006C43D7" w:rsidRDefault="009165D0" w:rsidP="006C43D7">
    <w:pPr>
      <w:tabs>
        <w:tab w:val="center" w:pos="4153"/>
        <w:tab w:val="right" w:pos="8306"/>
      </w:tabs>
      <w:spacing w:line="276" w:lineRule="auto"/>
      <w:jc w:val="right"/>
      <w:rPr>
        <w:rFonts w:cs="Arial"/>
        <w:lang w:val="en-US"/>
      </w:rPr>
    </w:pPr>
  </w:p>
  <w:p w14:paraId="4A21EF97" w14:textId="77777777" w:rsidR="009165D0" w:rsidRPr="006C43D7" w:rsidRDefault="009165D0"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88A5470"/>
    <w:multiLevelType w:val="hybridMultilevel"/>
    <w:tmpl w:val="4A6A20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EC66232"/>
    <w:multiLevelType w:val="multilevel"/>
    <w:tmpl w:val="1C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4" w15:restartNumberingAfterBreak="0">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F2D0F29"/>
    <w:multiLevelType w:val="multilevel"/>
    <w:tmpl w:val="A92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0" w15:restartNumberingAfterBreak="0">
    <w:nsid w:val="390535B3"/>
    <w:multiLevelType w:val="hybridMultilevel"/>
    <w:tmpl w:val="BFDCEE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446663F"/>
    <w:multiLevelType w:val="hybridMultilevel"/>
    <w:tmpl w:val="9F6A45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75B441FE"/>
    <w:multiLevelType w:val="hybridMultilevel"/>
    <w:tmpl w:val="9DE6F466"/>
    <w:lvl w:ilvl="0" w:tplc="A7F4E8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7AFC585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0960472">
    <w:abstractNumId w:val="7"/>
  </w:num>
  <w:num w:numId="2" w16cid:durableId="1078136696">
    <w:abstractNumId w:val="2"/>
  </w:num>
  <w:num w:numId="3" w16cid:durableId="1069572280">
    <w:abstractNumId w:val="16"/>
  </w:num>
  <w:num w:numId="4" w16cid:durableId="52432163">
    <w:abstractNumId w:val="8"/>
  </w:num>
  <w:num w:numId="5" w16cid:durableId="536354275">
    <w:abstractNumId w:val="15"/>
  </w:num>
  <w:num w:numId="6" w16cid:durableId="950090257">
    <w:abstractNumId w:val="12"/>
  </w:num>
  <w:num w:numId="7" w16cid:durableId="620652316">
    <w:abstractNumId w:val="0"/>
  </w:num>
  <w:num w:numId="8" w16cid:durableId="169032769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983128">
    <w:abstractNumId w:val="4"/>
  </w:num>
  <w:num w:numId="10" w16cid:durableId="2095130933">
    <w:abstractNumId w:val="13"/>
  </w:num>
  <w:num w:numId="11" w16cid:durableId="118231641">
    <w:abstractNumId w:val="13"/>
  </w:num>
  <w:num w:numId="12" w16cid:durableId="1436903038">
    <w:abstractNumId w:val="5"/>
  </w:num>
  <w:num w:numId="13" w16cid:durableId="771379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0933073">
    <w:abstractNumId w:val="14"/>
  </w:num>
  <w:num w:numId="15" w16cid:durableId="1893688717">
    <w:abstractNumId w:val="3"/>
  </w:num>
  <w:num w:numId="16" w16cid:durableId="2127457832">
    <w:abstractNumId w:val="11"/>
  </w:num>
  <w:num w:numId="17" w16cid:durableId="1303002365">
    <w:abstractNumId w:val="18"/>
  </w:num>
  <w:num w:numId="18" w16cid:durableId="1972320731">
    <w:abstractNumId w:val="6"/>
  </w:num>
  <w:num w:numId="19" w16cid:durableId="1206214217">
    <w:abstractNumId w:val="10"/>
  </w:num>
  <w:num w:numId="20" w16cid:durableId="1820923339">
    <w:abstractNumId w:val="17"/>
  </w:num>
  <w:num w:numId="21" w16cid:durableId="499076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F3"/>
    <w:rsid w:val="000004A3"/>
    <w:rsid w:val="00006113"/>
    <w:rsid w:val="00007864"/>
    <w:rsid w:val="00007CC6"/>
    <w:rsid w:val="0001111B"/>
    <w:rsid w:val="0001140A"/>
    <w:rsid w:val="00011EAE"/>
    <w:rsid w:val="00013B7F"/>
    <w:rsid w:val="000153E9"/>
    <w:rsid w:val="00016C5A"/>
    <w:rsid w:val="000207F6"/>
    <w:rsid w:val="000228A7"/>
    <w:rsid w:val="000248F1"/>
    <w:rsid w:val="00024A29"/>
    <w:rsid w:val="00030AAB"/>
    <w:rsid w:val="0003269E"/>
    <w:rsid w:val="00034AE8"/>
    <w:rsid w:val="00035CB8"/>
    <w:rsid w:val="00047055"/>
    <w:rsid w:val="00047AA2"/>
    <w:rsid w:val="00050086"/>
    <w:rsid w:val="0005034C"/>
    <w:rsid w:val="000504F1"/>
    <w:rsid w:val="00051207"/>
    <w:rsid w:val="0005445F"/>
    <w:rsid w:val="0005465E"/>
    <w:rsid w:val="00054804"/>
    <w:rsid w:val="000609B0"/>
    <w:rsid w:val="00063F7B"/>
    <w:rsid w:val="000737E1"/>
    <w:rsid w:val="00073D6B"/>
    <w:rsid w:val="00073E30"/>
    <w:rsid w:val="00075AA1"/>
    <w:rsid w:val="0008042E"/>
    <w:rsid w:val="00080688"/>
    <w:rsid w:val="00083242"/>
    <w:rsid w:val="000833BB"/>
    <w:rsid w:val="00085A94"/>
    <w:rsid w:val="00087D87"/>
    <w:rsid w:val="00091FAD"/>
    <w:rsid w:val="0009488C"/>
    <w:rsid w:val="0009745A"/>
    <w:rsid w:val="0009787A"/>
    <w:rsid w:val="00097968"/>
    <w:rsid w:val="000979E8"/>
    <w:rsid w:val="00097AD1"/>
    <w:rsid w:val="000A1793"/>
    <w:rsid w:val="000A1CEC"/>
    <w:rsid w:val="000A292E"/>
    <w:rsid w:val="000A2D03"/>
    <w:rsid w:val="000A6AD8"/>
    <w:rsid w:val="000A7D8C"/>
    <w:rsid w:val="000B03EB"/>
    <w:rsid w:val="000B580F"/>
    <w:rsid w:val="000B6713"/>
    <w:rsid w:val="000C044A"/>
    <w:rsid w:val="000C1421"/>
    <w:rsid w:val="000D10C0"/>
    <w:rsid w:val="000D439C"/>
    <w:rsid w:val="000D43A6"/>
    <w:rsid w:val="000D45F0"/>
    <w:rsid w:val="000D7D6A"/>
    <w:rsid w:val="000E1813"/>
    <w:rsid w:val="000E1AEF"/>
    <w:rsid w:val="000E2475"/>
    <w:rsid w:val="000E254E"/>
    <w:rsid w:val="000E6A2C"/>
    <w:rsid w:val="000F0BBE"/>
    <w:rsid w:val="000F23B3"/>
    <w:rsid w:val="000F2538"/>
    <w:rsid w:val="000F39F6"/>
    <w:rsid w:val="000F59F8"/>
    <w:rsid w:val="000F6007"/>
    <w:rsid w:val="000F71C2"/>
    <w:rsid w:val="0010063D"/>
    <w:rsid w:val="001024D7"/>
    <w:rsid w:val="0010288A"/>
    <w:rsid w:val="00104142"/>
    <w:rsid w:val="00111EFC"/>
    <w:rsid w:val="00114E52"/>
    <w:rsid w:val="0011505A"/>
    <w:rsid w:val="00120FB1"/>
    <w:rsid w:val="0012741F"/>
    <w:rsid w:val="00131957"/>
    <w:rsid w:val="001330D2"/>
    <w:rsid w:val="00136C6A"/>
    <w:rsid w:val="001410DC"/>
    <w:rsid w:val="00141727"/>
    <w:rsid w:val="00141A0B"/>
    <w:rsid w:val="00146DDA"/>
    <w:rsid w:val="00147BD7"/>
    <w:rsid w:val="00147FF5"/>
    <w:rsid w:val="00152620"/>
    <w:rsid w:val="0015788C"/>
    <w:rsid w:val="00161CC5"/>
    <w:rsid w:val="00162F4F"/>
    <w:rsid w:val="0016629B"/>
    <w:rsid w:val="00170A22"/>
    <w:rsid w:val="00177D8F"/>
    <w:rsid w:val="0018376A"/>
    <w:rsid w:val="00185ACF"/>
    <w:rsid w:val="00190579"/>
    <w:rsid w:val="00191F5A"/>
    <w:rsid w:val="00196E14"/>
    <w:rsid w:val="001A1819"/>
    <w:rsid w:val="001A464D"/>
    <w:rsid w:val="001A522A"/>
    <w:rsid w:val="001B1D39"/>
    <w:rsid w:val="001B4217"/>
    <w:rsid w:val="001B5D3E"/>
    <w:rsid w:val="001B606B"/>
    <w:rsid w:val="001B62D3"/>
    <w:rsid w:val="001B6FFC"/>
    <w:rsid w:val="001C01DF"/>
    <w:rsid w:val="001C3E06"/>
    <w:rsid w:val="001D12D9"/>
    <w:rsid w:val="001D3CC2"/>
    <w:rsid w:val="001D6138"/>
    <w:rsid w:val="001D68D9"/>
    <w:rsid w:val="001E09E0"/>
    <w:rsid w:val="001E2EED"/>
    <w:rsid w:val="001F0A29"/>
    <w:rsid w:val="001F11EA"/>
    <w:rsid w:val="001F2072"/>
    <w:rsid w:val="001F2C31"/>
    <w:rsid w:val="001F3DBD"/>
    <w:rsid w:val="001F45CB"/>
    <w:rsid w:val="001F648A"/>
    <w:rsid w:val="001F6E8E"/>
    <w:rsid w:val="002014D0"/>
    <w:rsid w:val="00201620"/>
    <w:rsid w:val="0020571A"/>
    <w:rsid w:val="00206678"/>
    <w:rsid w:val="002076F6"/>
    <w:rsid w:val="00210971"/>
    <w:rsid w:val="0021319A"/>
    <w:rsid w:val="002133DC"/>
    <w:rsid w:val="00214044"/>
    <w:rsid w:val="00215824"/>
    <w:rsid w:val="00216BC8"/>
    <w:rsid w:val="0022218D"/>
    <w:rsid w:val="002231EF"/>
    <w:rsid w:val="00224EF0"/>
    <w:rsid w:val="00226926"/>
    <w:rsid w:val="00232528"/>
    <w:rsid w:val="002325F9"/>
    <w:rsid w:val="00237209"/>
    <w:rsid w:val="00237FF9"/>
    <w:rsid w:val="00250A46"/>
    <w:rsid w:val="002569A3"/>
    <w:rsid w:val="00262819"/>
    <w:rsid w:val="0026779F"/>
    <w:rsid w:val="0027146F"/>
    <w:rsid w:val="00281213"/>
    <w:rsid w:val="00285040"/>
    <w:rsid w:val="00285062"/>
    <w:rsid w:val="00285DE9"/>
    <w:rsid w:val="00285E03"/>
    <w:rsid w:val="00290B89"/>
    <w:rsid w:val="00294B84"/>
    <w:rsid w:val="00294ED8"/>
    <w:rsid w:val="0029606F"/>
    <w:rsid w:val="0029746D"/>
    <w:rsid w:val="002A0160"/>
    <w:rsid w:val="002A2AE7"/>
    <w:rsid w:val="002A3BAB"/>
    <w:rsid w:val="002A5EEA"/>
    <w:rsid w:val="002A7485"/>
    <w:rsid w:val="002B3810"/>
    <w:rsid w:val="002B7824"/>
    <w:rsid w:val="002C05F2"/>
    <w:rsid w:val="002C115B"/>
    <w:rsid w:val="002C15AC"/>
    <w:rsid w:val="002C1CFC"/>
    <w:rsid w:val="002C25BE"/>
    <w:rsid w:val="002C3500"/>
    <w:rsid w:val="002C364B"/>
    <w:rsid w:val="002C4638"/>
    <w:rsid w:val="002C4687"/>
    <w:rsid w:val="002C481E"/>
    <w:rsid w:val="002D10E4"/>
    <w:rsid w:val="002D5C85"/>
    <w:rsid w:val="002D77CC"/>
    <w:rsid w:val="002E1342"/>
    <w:rsid w:val="002E4B98"/>
    <w:rsid w:val="002E5B57"/>
    <w:rsid w:val="002E6CD7"/>
    <w:rsid w:val="002E77C4"/>
    <w:rsid w:val="002F17E6"/>
    <w:rsid w:val="002F27D2"/>
    <w:rsid w:val="002F3010"/>
    <w:rsid w:val="002F465B"/>
    <w:rsid w:val="002F6D39"/>
    <w:rsid w:val="003005DF"/>
    <w:rsid w:val="003016BE"/>
    <w:rsid w:val="00302290"/>
    <w:rsid w:val="00302C31"/>
    <w:rsid w:val="00303A63"/>
    <w:rsid w:val="00304724"/>
    <w:rsid w:val="0030618E"/>
    <w:rsid w:val="0030653F"/>
    <w:rsid w:val="00307471"/>
    <w:rsid w:val="0031024B"/>
    <w:rsid w:val="00310A3B"/>
    <w:rsid w:val="0031117B"/>
    <w:rsid w:val="0031170D"/>
    <w:rsid w:val="00311B1E"/>
    <w:rsid w:val="00311C7A"/>
    <w:rsid w:val="00312EBC"/>
    <w:rsid w:val="00313056"/>
    <w:rsid w:val="00320DD8"/>
    <w:rsid w:val="00321F7F"/>
    <w:rsid w:val="00323DD7"/>
    <w:rsid w:val="00331713"/>
    <w:rsid w:val="00332107"/>
    <w:rsid w:val="0033376C"/>
    <w:rsid w:val="003359DA"/>
    <w:rsid w:val="00336D7B"/>
    <w:rsid w:val="00337135"/>
    <w:rsid w:val="00341086"/>
    <w:rsid w:val="0034147B"/>
    <w:rsid w:val="00342973"/>
    <w:rsid w:val="003463D6"/>
    <w:rsid w:val="003469B6"/>
    <w:rsid w:val="00346D31"/>
    <w:rsid w:val="00346DE6"/>
    <w:rsid w:val="003518A3"/>
    <w:rsid w:val="00351ABE"/>
    <w:rsid w:val="003543C5"/>
    <w:rsid w:val="00354EF2"/>
    <w:rsid w:val="00357081"/>
    <w:rsid w:val="00357856"/>
    <w:rsid w:val="00357D35"/>
    <w:rsid w:val="00357F9E"/>
    <w:rsid w:val="003605A3"/>
    <w:rsid w:val="00360D1A"/>
    <w:rsid w:val="00362DBD"/>
    <w:rsid w:val="00363FCD"/>
    <w:rsid w:val="00364C43"/>
    <w:rsid w:val="00367720"/>
    <w:rsid w:val="0037029D"/>
    <w:rsid w:val="00376AC0"/>
    <w:rsid w:val="00376B7D"/>
    <w:rsid w:val="00381213"/>
    <w:rsid w:val="003840EC"/>
    <w:rsid w:val="00385FAB"/>
    <w:rsid w:val="00390C3F"/>
    <w:rsid w:val="00397E4A"/>
    <w:rsid w:val="003A6F23"/>
    <w:rsid w:val="003A7864"/>
    <w:rsid w:val="003B080A"/>
    <w:rsid w:val="003B142D"/>
    <w:rsid w:val="003B323E"/>
    <w:rsid w:val="003B4100"/>
    <w:rsid w:val="003C0B91"/>
    <w:rsid w:val="003C1A16"/>
    <w:rsid w:val="003C1E91"/>
    <w:rsid w:val="003C3AC6"/>
    <w:rsid w:val="003D53F9"/>
    <w:rsid w:val="003D5739"/>
    <w:rsid w:val="003E1423"/>
    <w:rsid w:val="003E1436"/>
    <w:rsid w:val="003E1D55"/>
    <w:rsid w:val="003E3B27"/>
    <w:rsid w:val="003E5202"/>
    <w:rsid w:val="003E64C0"/>
    <w:rsid w:val="003F4B3A"/>
    <w:rsid w:val="003F5560"/>
    <w:rsid w:val="00400852"/>
    <w:rsid w:val="004026CF"/>
    <w:rsid w:val="00402796"/>
    <w:rsid w:val="0040535A"/>
    <w:rsid w:val="004058FF"/>
    <w:rsid w:val="0040795A"/>
    <w:rsid w:val="00407F28"/>
    <w:rsid w:val="004131C5"/>
    <w:rsid w:val="00422DDD"/>
    <w:rsid w:val="004234C1"/>
    <w:rsid w:val="004239DA"/>
    <w:rsid w:val="0042423E"/>
    <w:rsid w:val="00427FD1"/>
    <w:rsid w:val="00431DD4"/>
    <w:rsid w:val="0043256C"/>
    <w:rsid w:val="004339E6"/>
    <w:rsid w:val="00435513"/>
    <w:rsid w:val="0043683A"/>
    <w:rsid w:val="0044085B"/>
    <w:rsid w:val="00441422"/>
    <w:rsid w:val="00444AA1"/>
    <w:rsid w:val="004450BD"/>
    <w:rsid w:val="00445DCB"/>
    <w:rsid w:val="004460B9"/>
    <w:rsid w:val="00454293"/>
    <w:rsid w:val="00456542"/>
    <w:rsid w:val="004630B6"/>
    <w:rsid w:val="00467D30"/>
    <w:rsid w:val="004726E4"/>
    <w:rsid w:val="00474607"/>
    <w:rsid w:val="00474910"/>
    <w:rsid w:val="004749AF"/>
    <w:rsid w:val="004766B3"/>
    <w:rsid w:val="004778C8"/>
    <w:rsid w:val="00484116"/>
    <w:rsid w:val="0048424E"/>
    <w:rsid w:val="004846F7"/>
    <w:rsid w:val="0048507B"/>
    <w:rsid w:val="00486F42"/>
    <w:rsid w:val="00487D14"/>
    <w:rsid w:val="00487FAD"/>
    <w:rsid w:val="00496AC1"/>
    <w:rsid w:val="00496AD4"/>
    <w:rsid w:val="00497938"/>
    <w:rsid w:val="00497FF4"/>
    <w:rsid w:val="004A2C7E"/>
    <w:rsid w:val="004A33EC"/>
    <w:rsid w:val="004A54F5"/>
    <w:rsid w:val="004A7155"/>
    <w:rsid w:val="004A7DFE"/>
    <w:rsid w:val="004B21D9"/>
    <w:rsid w:val="004B4621"/>
    <w:rsid w:val="004B771D"/>
    <w:rsid w:val="004C368B"/>
    <w:rsid w:val="004C6492"/>
    <w:rsid w:val="004D262A"/>
    <w:rsid w:val="004D2ADA"/>
    <w:rsid w:val="004D2C6F"/>
    <w:rsid w:val="004D2E01"/>
    <w:rsid w:val="004D3D2B"/>
    <w:rsid w:val="004D7AE9"/>
    <w:rsid w:val="004E173B"/>
    <w:rsid w:val="004E3362"/>
    <w:rsid w:val="004E3AFC"/>
    <w:rsid w:val="004E568C"/>
    <w:rsid w:val="004E5AD8"/>
    <w:rsid w:val="004F12D8"/>
    <w:rsid w:val="004F22A6"/>
    <w:rsid w:val="004F5E43"/>
    <w:rsid w:val="00503F94"/>
    <w:rsid w:val="00504B53"/>
    <w:rsid w:val="00506B31"/>
    <w:rsid w:val="00507D49"/>
    <w:rsid w:val="0051015D"/>
    <w:rsid w:val="0051292D"/>
    <w:rsid w:val="00513A4F"/>
    <w:rsid w:val="0051622D"/>
    <w:rsid w:val="00523B52"/>
    <w:rsid w:val="005262C2"/>
    <w:rsid w:val="005266FB"/>
    <w:rsid w:val="0052705A"/>
    <w:rsid w:val="00530C11"/>
    <w:rsid w:val="005363ED"/>
    <w:rsid w:val="00537A72"/>
    <w:rsid w:val="00545A74"/>
    <w:rsid w:val="00545B01"/>
    <w:rsid w:val="00546A0D"/>
    <w:rsid w:val="005503CC"/>
    <w:rsid w:val="00551687"/>
    <w:rsid w:val="00553AC4"/>
    <w:rsid w:val="0055729D"/>
    <w:rsid w:val="0057674C"/>
    <w:rsid w:val="0057700A"/>
    <w:rsid w:val="00581C59"/>
    <w:rsid w:val="0059024D"/>
    <w:rsid w:val="00596509"/>
    <w:rsid w:val="00597E64"/>
    <w:rsid w:val="005A27EF"/>
    <w:rsid w:val="005A313A"/>
    <w:rsid w:val="005A637B"/>
    <w:rsid w:val="005A680F"/>
    <w:rsid w:val="005A75D7"/>
    <w:rsid w:val="005B53B0"/>
    <w:rsid w:val="005B62A6"/>
    <w:rsid w:val="005B6D81"/>
    <w:rsid w:val="005B7DD3"/>
    <w:rsid w:val="005C0D08"/>
    <w:rsid w:val="005C657D"/>
    <w:rsid w:val="005C7FC2"/>
    <w:rsid w:val="005D2408"/>
    <w:rsid w:val="005D2B93"/>
    <w:rsid w:val="005D6122"/>
    <w:rsid w:val="005D6E80"/>
    <w:rsid w:val="005E004E"/>
    <w:rsid w:val="005E035E"/>
    <w:rsid w:val="005E09BA"/>
    <w:rsid w:val="005E2F7B"/>
    <w:rsid w:val="005E5C01"/>
    <w:rsid w:val="005E7118"/>
    <w:rsid w:val="005F03F7"/>
    <w:rsid w:val="005F2C91"/>
    <w:rsid w:val="005F37A4"/>
    <w:rsid w:val="005F62CB"/>
    <w:rsid w:val="005F65CD"/>
    <w:rsid w:val="0060139C"/>
    <w:rsid w:val="00603CD1"/>
    <w:rsid w:val="006041A4"/>
    <w:rsid w:val="006042E8"/>
    <w:rsid w:val="006070E5"/>
    <w:rsid w:val="0061089B"/>
    <w:rsid w:val="00613721"/>
    <w:rsid w:val="006145CE"/>
    <w:rsid w:val="00617F98"/>
    <w:rsid w:val="00623C9B"/>
    <w:rsid w:val="006241D3"/>
    <w:rsid w:val="00626B53"/>
    <w:rsid w:val="00626F12"/>
    <w:rsid w:val="0062754A"/>
    <w:rsid w:val="00630DD5"/>
    <w:rsid w:val="00647DDD"/>
    <w:rsid w:val="00653BA4"/>
    <w:rsid w:val="00654654"/>
    <w:rsid w:val="00654D4B"/>
    <w:rsid w:val="00657EDA"/>
    <w:rsid w:val="00660C84"/>
    <w:rsid w:val="0066194B"/>
    <w:rsid w:val="00662270"/>
    <w:rsid w:val="00666D4D"/>
    <w:rsid w:val="006706A5"/>
    <w:rsid w:val="00671C76"/>
    <w:rsid w:val="00681EAF"/>
    <w:rsid w:val="00685188"/>
    <w:rsid w:val="00685619"/>
    <w:rsid w:val="006858DA"/>
    <w:rsid w:val="0068621A"/>
    <w:rsid w:val="0068623E"/>
    <w:rsid w:val="006902F1"/>
    <w:rsid w:val="006918E9"/>
    <w:rsid w:val="00694C71"/>
    <w:rsid w:val="006951CE"/>
    <w:rsid w:val="00697C2E"/>
    <w:rsid w:val="006A0C2E"/>
    <w:rsid w:val="006A1756"/>
    <w:rsid w:val="006B625C"/>
    <w:rsid w:val="006C3A24"/>
    <w:rsid w:val="006C4213"/>
    <w:rsid w:val="006C43D7"/>
    <w:rsid w:val="006C5694"/>
    <w:rsid w:val="006D797F"/>
    <w:rsid w:val="006D7CD4"/>
    <w:rsid w:val="006E2346"/>
    <w:rsid w:val="006E323B"/>
    <w:rsid w:val="006E32B4"/>
    <w:rsid w:val="006E38D7"/>
    <w:rsid w:val="006E4540"/>
    <w:rsid w:val="006E68E6"/>
    <w:rsid w:val="006F0BB6"/>
    <w:rsid w:val="006F19D4"/>
    <w:rsid w:val="006F25E5"/>
    <w:rsid w:val="006F2FCE"/>
    <w:rsid w:val="006F415C"/>
    <w:rsid w:val="006F72F0"/>
    <w:rsid w:val="00701BBE"/>
    <w:rsid w:val="007046F8"/>
    <w:rsid w:val="00706D06"/>
    <w:rsid w:val="00710D76"/>
    <w:rsid w:val="0071137C"/>
    <w:rsid w:val="007148A5"/>
    <w:rsid w:val="00720436"/>
    <w:rsid w:val="00722091"/>
    <w:rsid w:val="007241D4"/>
    <w:rsid w:val="0073191E"/>
    <w:rsid w:val="00732A6F"/>
    <w:rsid w:val="007349CA"/>
    <w:rsid w:val="007407CE"/>
    <w:rsid w:val="00742764"/>
    <w:rsid w:val="0075156A"/>
    <w:rsid w:val="00751F90"/>
    <w:rsid w:val="00752759"/>
    <w:rsid w:val="007540E8"/>
    <w:rsid w:val="0075455B"/>
    <w:rsid w:val="00756E65"/>
    <w:rsid w:val="00761C35"/>
    <w:rsid w:val="00762FCF"/>
    <w:rsid w:val="007659FB"/>
    <w:rsid w:val="00766026"/>
    <w:rsid w:val="00766F60"/>
    <w:rsid w:val="00772B54"/>
    <w:rsid w:val="00781AA0"/>
    <w:rsid w:val="00783072"/>
    <w:rsid w:val="00785746"/>
    <w:rsid w:val="007863DD"/>
    <w:rsid w:val="00792386"/>
    <w:rsid w:val="007975CB"/>
    <w:rsid w:val="007B0648"/>
    <w:rsid w:val="007B13BB"/>
    <w:rsid w:val="007B165A"/>
    <w:rsid w:val="007B3410"/>
    <w:rsid w:val="007B34F7"/>
    <w:rsid w:val="007B6964"/>
    <w:rsid w:val="007B78C2"/>
    <w:rsid w:val="007C35FE"/>
    <w:rsid w:val="007C5008"/>
    <w:rsid w:val="007C5673"/>
    <w:rsid w:val="007C6555"/>
    <w:rsid w:val="007C6DF0"/>
    <w:rsid w:val="007C6E3E"/>
    <w:rsid w:val="007D1E79"/>
    <w:rsid w:val="007D27CF"/>
    <w:rsid w:val="007D31A3"/>
    <w:rsid w:val="007D710C"/>
    <w:rsid w:val="007D7528"/>
    <w:rsid w:val="007E3AB4"/>
    <w:rsid w:val="007E468A"/>
    <w:rsid w:val="007E58FC"/>
    <w:rsid w:val="007E6D02"/>
    <w:rsid w:val="007F0C19"/>
    <w:rsid w:val="007F1211"/>
    <w:rsid w:val="007F207F"/>
    <w:rsid w:val="00802357"/>
    <w:rsid w:val="00803CEC"/>
    <w:rsid w:val="00806ED4"/>
    <w:rsid w:val="00807ECB"/>
    <w:rsid w:val="008111CE"/>
    <w:rsid w:val="008135EC"/>
    <w:rsid w:val="0081475E"/>
    <w:rsid w:val="00815C5A"/>
    <w:rsid w:val="00822050"/>
    <w:rsid w:val="008246E5"/>
    <w:rsid w:val="00825F6C"/>
    <w:rsid w:val="00830952"/>
    <w:rsid w:val="00831234"/>
    <w:rsid w:val="00837B03"/>
    <w:rsid w:val="00842AD8"/>
    <w:rsid w:val="0084438C"/>
    <w:rsid w:val="008443A9"/>
    <w:rsid w:val="00844C14"/>
    <w:rsid w:val="00845AEA"/>
    <w:rsid w:val="00846EF4"/>
    <w:rsid w:val="0085548F"/>
    <w:rsid w:val="00856289"/>
    <w:rsid w:val="0085754D"/>
    <w:rsid w:val="00860576"/>
    <w:rsid w:val="00861FA9"/>
    <w:rsid w:val="00862564"/>
    <w:rsid w:val="0086345E"/>
    <w:rsid w:val="008674AA"/>
    <w:rsid w:val="00867E6F"/>
    <w:rsid w:val="0087453B"/>
    <w:rsid w:val="008761FC"/>
    <w:rsid w:val="0088094C"/>
    <w:rsid w:val="00881004"/>
    <w:rsid w:val="00882C40"/>
    <w:rsid w:val="00891D4B"/>
    <w:rsid w:val="0089779E"/>
    <w:rsid w:val="00897C3B"/>
    <w:rsid w:val="008A082A"/>
    <w:rsid w:val="008A4DF4"/>
    <w:rsid w:val="008A6783"/>
    <w:rsid w:val="008B0DB3"/>
    <w:rsid w:val="008B1BB7"/>
    <w:rsid w:val="008B1DA9"/>
    <w:rsid w:val="008B526B"/>
    <w:rsid w:val="008B7FFC"/>
    <w:rsid w:val="008C0D42"/>
    <w:rsid w:val="008C21A8"/>
    <w:rsid w:val="008D1E99"/>
    <w:rsid w:val="008D33A3"/>
    <w:rsid w:val="008D4715"/>
    <w:rsid w:val="008D5BB4"/>
    <w:rsid w:val="008E03F7"/>
    <w:rsid w:val="008E0638"/>
    <w:rsid w:val="008F189C"/>
    <w:rsid w:val="008F1BBC"/>
    <w:rsid w:val="008F1FE1"/>
    <w:rsid w:val="008F2742"/>
    <w:rsid w:val="008F4486"/>
    <w:rsid w:val="008F4FC6"/>
    <w:rsid w:val="008F5A82"/>
    <w:rsid w:val="00900368"/>
    <w:rsid w:val="00901143"/>
    <w:rsid w:val="00903E28"/>
    <w:rsid w:val="00903F5D"/>
    <w:rsid w:val="0090659A"/>
    <w:rsid w:val="009108D0"/>
    <w:rsid w:val="00913BEC"/>
    <w:rsid w:val="0091544C"/>
    <w:rsid w:val="009165D0"/>
    <w:rsid w:val="00920D43"/>
    <w:rsid w:val="00927FD9"/>
    <w:rsid w:val="00930D69"/>
    <w:rsid w:val="009310B4"/>
    <w:rsid w:val="00932208"/>
    <w:rsid w:val="00933065"/>
    <w:rsid w:val="00933569"/>
    <w:rsid w:val="0093461B"/>
    <w:rsid w:val="0093799C"/>
    <w:rsid w:val="00940ECC"/>
    <w:rsid w:val="00942835"/>
    <w:rsid w:val="00944003"/>
    <w:rsid w:val="00944804"/>
    <w:rsid w:val="009469A8"/>
    <w:rsid w:val="009473D8"/>
    <w:rsid w:val="00953D6B"/>
    <w:rsid w:val="0095427F"/>
    <w:rsid w:val="00960ADF"/>
    <w:rsid w:val="00962B21"/>
    <w:rsid w:val="00963A0C"/>
    <w:rsid w:val="00963F16"/>
    <w:rsid w:val="00964367"/>
    <w:rsid w:val="00964A4A"/>
    <w:rsid w:val="009653C0"/>
    <w:rsid w:val="00973C55"/>
    <w:rsid w:val="00974A92"/>
    <w:rsid w:val="00974AB5"/>
    <w:rsid w:val="00976BB2"/>
    <w:rsid w:val="0097721C"/>
    <w:rsid w:val="009773E8"/>
    <w:rsid w:val="00980CE6"/>
    <w:rsid w:val="009835E3"/>
    <w:rsid w:val="00986050"/>
    <w:rsid w:val="00986455"/>
    <w:rsid w:val="0098739F"/>
    <w:rsid w:val="00987CDB"/>
    <w:rsid w:val="00991B1A"/>
    <w:rsid w:val="00994C5C"/>
    <w:rsid w:val="00994D8A"/>
    <w:rsid w:val="009956E4"/>
    <w:rsid w:val="0099709D"/>
    <w:rsid w:val="009A1034"/>
    <w:rsid w:val="009A30E0"/>
    <w:rsid w:val="009A3619"/>
    <w:rsid w:val="009A524B"/>
    <w:rsid w:val="009A54C5"/>
    <w:rsid w:val="009A6493"/>
    <w:rsid w:val="009B08AF"/>
    <w:rsid w:val="009B1529"/>
    <w:rsid w:val="009B2FB6"/>
    <w:rsid w:val="009B3DFC"/>
    <w:rsid w:val="009B62F7"/>
    <w:rsid w:val="009B7A7B"/>
    <w:rsid w:val="009C28AC"/>
    <w:rsid w:val="009C37B9"/>
    <w:rsid w:val="009C38E7"/>
    <w:rsid w:val="009C5BEF"/>
    <w:rsid w:val="009D31F3"/>
    <w:rsid w:val="009D32BD"/>
    <w:rsid w:val="009D4486"/>
    <w:rsid w:val="009D5DAE"/>
    <w:rsid w:val="009E140F"/>
    <w:rsid w:val="009E38F4"/>
    <w:rsid w:val="009F211E"/>
    <w:rsid w:val="009F294E"/>
    <w:rsid w:val="009F30F1"/>
    <w:rsid w:val="009F37C7"/>
    <w:rsid w:val="009F50AB"/>
    <w:rsid w:val="009F5FBB"/>
    <w:rsid w:val="009F7500"/>
    <w:rsid w:val="00A000A9"/>
    <w:rsid w:val="00A005F6"/>
    <w:rsid w:val="00A0424F"/>
    <w:rsid w:val="00A048C6"/>
    <w:rsid w:val="00A06D09"/>
    <w:rsid w:val="00A11958"/>
    <w:rsid w:val="00A130D6"/>
    <w:rsid w:val="00A1488A"/>
    <w:rsid w:val="00A17A3E"/>
    <w:rsid w:val="00A17A88"/>
    <w:rsid w:val="00A2110C"/>
    <w:rsid w:val="00A2193F"/>
    <w:rsid w:val="00A225EE"/>
    <w:rsid w:val="00A23A84"/>
    <w:rsid w:val="00A31913"/>
    <w:rsid w:val="00A37BA4"/>
    <w:rsid w:val="00A411DB"/>
    <w:rsid w:val="00A43739"/>
    <w:rsid w:val="00A533E3"/>
    <w:rsid w:val="00A539CB"/>
    <w:rsid w:val="00A53BC7"/>
    <w:rsid w:val="00A63078"/>
    <w:rsid w:val="00A649AA"/>
    <w:rsid w:val="00A65124"/>
    <w:rsid w:val="00A660AF"/>
    <w:rsid w:val="00A675FB"/>
    <w:rsid w:val="00A70A95"/>
    <w:rsid w:val="00A72651"/>
    <w:rsid w:val="00A73821"/>
    <w:rsid w:val="00A77EE7"/>
    <w:rsid w:val="00A809F0"/>
    <w:rsid w:val="00A869FC"/>
    <w:rsid w:val="00A93351"/>
    <w:rsid w:val="00A93A39"/>
    <w:rsid w:val="00A9650C"/>
    <w:rsid w:val="00A97CE6"/>
    <w:rsid w:val="00AA0F8B"/>
    <w:rsid w:val="00AA302C"/>
    <w:rsid w:val="00AA36D1"/>
    <w:rsid w:val="00AA6E8C"/>
    <w:rsid w:val="00AA6F19"/>
    <w:rsid w:val="00AA7A76"/>
    <w:rsid w:val="00AB03EF"/>
    <w:rsid w:val="00AB24C4"/>
    <w:rsid w:val="00AB3B72"/>
    <w:rsid w:val="00AB42C4"/>
    <w:rsid w:val="00AB50EE"/>
    <w:rsid w:val="00AB6625"/>
    <w:rsid w:val="00AC2C78"/>
    <w:rsid w:val="00AD0D62"/>
    <w:rsid w:val="00AD147C"/>
    <w:rsid w:val="00AD2631"/>
    <w:rsid w:val="00AD5024"/>
    <w:rsid w:val="00AD58C5"/>
    <w:rsid w:val="00AD5DC1"/>
    <w:rsid w:val="00AE2574"/>
    <w:rsid w:val="00AE3320"/>
    <w:rsid w:val="00AE63BD"/>
    <w:rsid w:val="00AE70A9"/>
    <w:rsid w:val="00AE7682"/>
    <w:rsid w:val="00AF0711"/>
    <w:rsid w:val="00AF0B2B"/>
    <w:rsid w:val="00AF0FA7"/>
    <w:rsid w:val="00AF2914"/>
    <w:rsid w:val="00AF3136"/>
    <w:rsid w:val="00AF363F"/>
    <w:rsid w:val="00AF3A71"/>
    <w:rsid w:val="00AF3E4F"/>
    <w:rsid w:val="00B0654E"/>
    <w:rsid w:val="00B071FF"/>
    <w:rsid w:val="00B11505"/>
    <w:rsid w:val="00B11DC2"/>
    <w:rsid w:val="00B121D2"/>
    <w:rsid w:val="00B15CAA"/>
    <w:rsid w:val="00B1673B"/>
    <w:rsid w:val="00B17897"/>
    <w:rsid w:val="00B20ABA"/>
    <w:rsid w:val="00B20C42"/>
    <w:rsid w:val="00B22CE8"/>
    <w:rsid w:val="00B24A59"/>
    <w:rsid w:val="00B27C5D"/>
    <w:rsid w:val="00B334F8"/>
    <w:rsid w:val="00B3585E"/>
    <w:rsid w:val="00B37BB0"/>
    <w:rsid w:val="00B403C2"/>
    <w:rsid w:val="00B40CD3"/>
    <w:rsid w:val="00B42807"/>
    <w:rsid w:val="00B428A6"/>
    <w:rsid w:val="00B45EF0"/>
    <w:rsid w:val="00B53913"/>
    <w:rsid w:val="00B567F9"/>
    <w:rsid w:val="00B56906"/>
    <w:rsid w:val="00B57FCC"/>
    <w:rsid w:val="00B61782"/>
    <w:rsid w:val="00B63D44"/>
    <w:rsid w:val="00B65AF6"/>
    <w:rsid w:val="00B7031E"/>
    <w:rsid w:val="00B72922"/>
    <w:rsid w:val="00B72A13"/>
    <w:rsid w:val="00B75196"/>
    <w:rsid w:val="00B80687"/>
    <w:rsid w:val="00B8351D"/>
    <w:rsid w:val="00B84DD5"/>
    <w:rsid w:val="00B87538"/>
    <w:rsid w:val="00B87B26"/>
    <w:rsid w:val="00B91EA6"/>
    <w:rsid w:val="00B94CAA"/>
    <w:rsid w:val="00B954F3"/>
    <w:rsid w:val="00B95910"/>
    <w:rsid w:val="00B96C89"/>
    <w:rsid w:val="00B97F7D"/>
    <w:rsid w:val="00BA0E8D"/>
    <w:rsid w:val="00BA24FC"/>
    <w:rsid w:val="00BA394B"/>
    <w:rsid w:val="00BA3A4C"/>
    <w:rsid w:val="00BB0F20"/>
    <w:rsid w:val="00BC1990"/>
    <w:rsid w:val="00BC2A62"/>
    <w:rsid w:val="00BC3B5C"/>
    <w:rsid w:val="00BC7175"/>
    <w:rsid w:val="00BC746E"/>
    <w:rsid w:val="00BD2CDE"/>
    <w:rsid w:val="00BD41CF"/>
    <w:rsid w:val="00BD7CC1"/>
    <w:rsid w:val="00BE0164"/>
    <w:rsid w:val="00BE0251"/>
    <w:rsid w:val="00BE12BD"/>
    <w:rsid w:val="00BE2ED7"/>
    <w:rsid w:val="00BE464D"/>
    <w:rsid w:val="00BE6AB8"/>
    <w:rsid w:val="00BF086D"/>
    <w:rsid w:val="00BF2167"/>
    <w:rsid w:val="00BF2774"/>
    <w:rsid w:val="00BF4013"/>
    <w:rsid w:val="00C02D96"/>
    <w:rsid w:val="00C0551D"/>
    <w:rsid w:val="00C12767"/>
    <w:rsid w:val="00C12883"/>
    <w:rsid w:val="00C20A22"/>
    <w:rsid w:val="00C21632"/>
    <w:rsid w:val="00C25581"/>
    <w:rsid w:val="00C264E3"/>
    <w:rsid w:val="00C26BFC"/>
    <w:rsid w:val="00C2788D"/>
    <w:rsid w:val="00C32EFD"/>
    <w:rsid w:val="00C35C76"/>
    <w:rsid w:val="00C361F6"/>
    <w:rsid w:val="00C3669A"/>
    <w:rsid w:val="00C423E3"/>
    <w:rsid w:val="00C44428"/>
    <w:rsid w:val="00C458AF"/>
    <w:rsid w:val="00C50A80"/>
    <w:rsid w:val="00C52D48"/>
    <w:rsid w:val="00C530D6"/>
    <w:rsid w:val="00C54642"/>
    <w:rsid w:val="00C676F3"/>
    <w:rsid w:val="00C72A4C"/>
    <w:rsid w:val="00C72C0C"/>
    <w:rsid w:val="00C731BF"/>
    <w:rsid w:val="00C73CFA"/>
    <w:rsid w:val="00C77EFD"/>
    <w:rsid w:val="00C8009F"/>
    <w:rsid w:val="00C82759"/>
    <w:rsid w:val="00C829DF"/>
    <w:rsid w:val="00C83906"/>
    <w:rsid w:val="00C84021"/>
    <w:rsid w:val="00C84EB7"/>
    <w:rsid w:val="00C875AE"/>
    <w:rsid w:val="00C91188"/>
    <w:rsid w:val="00C9136F"/>
    <w:rsid w:val="00C9208E"/>
    <w:rsid w:val="00C92700"/>
    <w:rsid w:val="00C92A2F"/>
    <w:rsid w:val="00C9634D"/>
    <w:rsid w:val="00CA28E0"/>
    <w:rsid w:val="00CA6970"/>
    <w:rsid w:val="00CB0DF9"/>
    <w:rsid w:val="00CB1B8E"/>
    <w:rsid w:val="00CB4F4C"/>
    <w:rsid w:val="00CB5DEF"/>
    <w:rsid w:val="00CB5E49"/>
    <w:rsid w:val="00CC0C54"/>
    <w:rsid w:val="00CC1016"/>
    <w:rsid w:val="00CC48E3"/>
    <w:rsid w:val="00CC67A5"/>
    <w:rsid w:val="00CD093A"/>
    <w:rsid w:val="00CD4424"/>
    <w:rsid w:val="00CE0612"/>
    <w:rsid w:val="00CE08F9"/>
    <w:rsid w:val="00CE1966"/>
    <w:rsid w:val="00CE2983"/>
    <w:rsid w:val="00CF2008"/>
    <w:rsid w:val="00CF28CA"/>
    <w:rsid w:val="00CF4188"/>
    <w:rsid w:val="00CF42BA"/>
    <w:rsid w:val="00D06213"/>
    <w:rsid w:val="00D07D6A"/>
    <w:rsid w:val="00D220D9"/>
    <w:rsid w:val="00D24425"/>
    <w:rsid w:val="00D277A3"/>
    <w:rsid w:val="00D277C2"/>
    <w:rsid w:val="00D31882"/>
    <w:rsid w:val="00D31BAB"/>
    <w:rsid w:val="00D327FF"/>
    <w:rsid w:val="00D34F24"/>
    <w:rsid w:val="00D35A03"/>
    <w:rsid w:val="00D369AC"/>
    <w:rsid w:val="00D37377"/>
    <w:rsid w:val="00D42AB0"/>
    <w:rsid w:val="00D457F9"/>
    <w:rsid w:val="00D45B09"/>
    <w:rsid w:val="00D45B8C"/>
    <w:rsid w:val="00D51538"/>
    <w:rsid w:val="00D52F92"/>
    <w:rsid w:val="00D532F2"/>
    <w:rsid w:val="00D5375D"/>
    <w:rsid w:val="00D567E0"/>
    <w:rsid w:val="00D578D9"/>
    <w:rsid w:val="00D630DE"/>
    <w:rsid w:val="00D664AD"/>
    <w:rsid w:val="00D70528"/>
    <w:rsid w:val="00D71B57"/>
    <w:rsid w:val="00D72C82"/>
    <w:rsid w:val="00D7327A"/>
    <w:rsid w:val="00D73E65"/>
    <w:rsid w:val="00D75BB5"/>
    <w:rsid w:val="00D86ADD"/>
    <w:rsid w:val="00D87625"/>
    <w:rsid w:val="00D92504"/>
    <w:rsid w:val="00D94745"/>
    <w:rsid w:val="00D9716F"/>
    <w:rsid w:val="00DA41B2"/>
    <w:rsid w:val="00DA4EE5"/>
    <w:rsid w:val="00DA5D06"/>
    <w:rsid w:val="00DA7B20"/>
    <w:rsid w:val="00DB0D4D"/>
    <w:rsid w:val="00DB2CE4"/>
    <w:rsid w:val="00DB2E02"/>
    <w:rsid w:val="00DB37CF"/>
    <w:rsid w:val="00DB407F"/>
    <w:rsid w:val="00DB566D"/>
    <w:rsid w:val="00DB722D"/>
    <w:rsid w:val="00DC5BB0"/>
    <w:rsid w:val="00DC6A98"/>
    <w:rsid w:val="00DC7016"/>
    <w:rsid w:val="00DC7245"/>
    <w:rsid w:val="00DC730A"/>
    <w:rsid w:val="00DD12FC"/>
    <w:rsid w:val="00DD296E"/>
    <w:rsid w:val="00DE130A"/>
    <w:rsid w:val="00DE38B2"/>
    <w:rsid w:val="00DE4148"/>
    <w:rsid w:val="00DE44F5"/>
    <w:rsid w:val="00DF7FD3"/>
    <w:rsid w:val="00E00F46"/>
    <w:rsid w:val="00E02212"/>
    <w:rsid w:val="00E0285E"/>
    <w:rsid w:val="00E03AAE"/>
    <w:rsid w:val="00E06541"/>
    <w:rsid w:val="00E12D6B"/>
    <w:rsid w:val="00E1303E"/>
    <w:rsid w:val="00E145ED"/>
    <w:rsid w:val="00E15596"/>
    <w:rsid w:val="00E166FD"/>
    <w:rsid w:val="00E17247"/>
    <w:rsid w:val="00E24560"/>
    <w:rsid w:val="00E25325"/>
    <w:rsid w:val="00E2615E"/>
    <w:rsid w:val="00E264BB"/>
    <w:rsid w:val="00E26628"/>
    <w:rsid w:val="00E26CE0"/>
    <w:rsid w:val="00E26D1B"/>
    <w:rsid w:val="00E276DF"/>
    <w:rsid w:val="00E30EA9"/>
    <w:rsid w:val="00E337EE"/>
    <w:rsid w:val="00E339BE"/>
    <w:rsid w:val="00E34482"/>
    <w:rsid w:val="00E37870"/>
    <w:rsid w:val="00E4050D"/>
    <w:rsid w:val="00E43AB6"/>
    <w:rsid w:val="00E45E6A"/>
    <w:rsid w:val="00E50A42"/>
    <w:rsid w:val="00E537FA"/>
    <w:rsid w:val="00E549A2"/>
    <w:rsid w:val="00E55311"/>
    <w:rsid w:val="00E5663F"/>
    <w:rsid w:val="00E56D64"/>
    <w:rsid w:val="00E611CC"/>
    <w:rsid w:val="00E61D83"/>
    <w:rsid w:val="00E66A30"/>
    <w:rsid w:val="00E67806"/>
    <w:rsid w:val="00E712B1"/>
    <w:rsid w:val="00E72CC1"/>
    <w:rsid w:val="00E74886"/>
    <w:rsid w:val="00E75DDF"/>
    <w:rsid w:val="00E76641"/>
    <w:rsid w:val="00E8008C"/>
    <w:rsid w:val="00E81B17"/>
    <w:rsid w:val="00E82722"/>
    <w:rsid w:val="00E85BF7"/>
    <w:rsid w:val="00E87A28"/>
    <w:rsid w:val="00E941E6"/>
    <w:rsid w:val="00E95AB3"/>
    <w:rsid w:val="00EA1995"/>
    <w:rsid w:val="00EA2187"/>
    <w:rsid w:val="00EA5E85"/>
    <w:rsid w:val="00EA7F05"/>
    <w:rsid w:val="00EB3541"/>
    <w:rsid w:val="00EB5058"/>
    <w:rsid w:val="00EB7EB6"/>
    <w:rsid w:val="00EC07E1"/>
    <w:rsid w:val="00EC099E"/>
    <w:rsid w:val="00EC194E"/>
    <w:rsid w:val="00EC212D"/>
    <w:rsid w:val="00EC2591"/>
    <w:rsid w:val="00EC496C"/>
    <w:rsid w:val="00EC5057"/>
    <w:rsid w:val="00EC70BC"/>
    <w:rsid w:val="00ED018E"/>
    <w:rsid w:val="00ED1A67"/>
    <w:rsid w:val="00ED311D"/>
    <w:rsid w:val="00ED3283"/>
    <w:rsid w:val="00ED457F"/>
    <w:rsid w:val="00ED4820"/>
    <w:rsid w:val="00EE4C1A"/>
    <w:rsid w:val="00EE55F9"/>
    <w:rsid w:val="00EE62A5"/>
    <w:rsid w:val="00EF0734"/>
    <w:rsid w:val="00EF32C4"/>
    <w:rsid w:val="00EF39AD"/>
    <w:rsid w:val="00EF4EC8"/>
    <w:rsid w:val="00F042D3"/>
    <w:rsid w:val="00F05C27"/>
    <w:rsid w:val="00F11454"/>
    <w:rsid w:val="00F125DA"/>
    <w:rsid w:val="00F15575"/>
    <w:rsid w:val="00F1782F"/>
    <w:rsid w:val="00F221FC"/>
    <w:rsid w:val="00F33859"/>
    <w:rsid w:val="00F339F7"/>
    <w:rsid w:val="00F40820"/>
    <w:rsid w:val="00F41B84"/>
    <w:rsid w:val="00F43A5F"/>
    <w:rsid w:val="00F43BDB"/>
    <w:rsid w:val="00F53254"/>
    <w:rsid w:val="00F6200F"/>
    <w:rsid w:val="00F627E4"/>
    <w:rsid w:val="00F6377B"/>
    <w:rsid w:val="00F65D8E"/>
    <w:rsid w:val="00F665A8"/>
    <w:rsid w:val="00F669B9"/>
    <w:rsid w:val="00F72573"/>
    <w:rsid w:val="00F77DB0"/>
    <w:rsid w:val="00F81B3F"/>
    <w:rsid w:val="00F86BC7"/>
    <w:rsid w:val="00F94E31"/>
    <w:rsid w:val="00F95D89"/>
    <w:rsid w:val="00FA0D89"/>
    <w:rsid w:val="00FA2987"/>
    <w:rsid w:val="00FA302F"/>
    <w:rsid w:val="00FA584E"/>
    <w:rsid w:val="00FA6D24"/>
    <w:rsid w:val="00FA7918"/>
    <w:rsid w:val="00FB3ABD"/>
    <w:rsid w:val="00FB59A0"/>
    <w:rsid w:val="00FB6596"/>
    <w:rsid w:val="00FC42BD"/>
    <w:rsid w:val="00FC62D7"/>
    <w:rsid w:val="00FD2E9B"/>
    <w:rsid w:val="00FD3552"/>
    <w:rsid w:val="00FD3D6E"/>
    <w:rsid w:val="00FE008D"/>
    <w:rsid w:val="00FE065B"/>
    <w:rsid w:val="00FE0E9D"/>
    <w:rsid w:val="00FE2BBF"/>
    <w:rsid w:val="00FE703A"/>
    <w:rsid w:val="00FE7A4D"/>
    <w:rsid w:val="00FF1F53"/>
    <w:rsid w:val="00FF6151"/>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D542374B-B11F-4280-8EF6-916DD263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paragraph" w:customStyle="1" w:styleId="Default">
    <w:name w:val="Default"/>
    <w:rsid w:val="00342973"/>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B45EF0"/>
    <w:pPr>
      <w:spacing w:before="100" w:beforeAutospacing="1" w:after="100" w:afterAutospacing="1"/>
    </w:pPr>
    <w:rPr>
      <w:rFonts w:ascii="Times New Roman" w:hAnsi="Times New Roman"/>
      <w:sz w:val="24"/>
      <w:lang w:eastAsia="en-ZA"/>
    </w:rPr>
  </w:style>
  <w:style w:type="paragraph" w:customStyle="1" w:styleId="lrparaindt2hang">
    <w:name w:val="lrparaindt2hang"/>
    <w:basedOn w:val="Normal"/>
    <w:rsid w:val="00B45EF0"/>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52378755">
      <w:bodyDiv w:val="1"/>
      <w:marLeft w:val="0"/>
      <w:marRight w:val="0"/>
      <w:marTop w:val="0"/>
      <w:marBottom w:val="0"/>
      <w:divBdr>
        <w:top w:val="none" w:sz="0" w:space="0" w:color="auto"/>
        <w:left w:val="none" w:sz="0" w:space="0" w:color="auto"/>
        <w:bottom w:val="none" w:sz="0" w:space="0" w:color="auto"/>
        <w:right w:val="none" w:sz="0" w:space="0" w:color="auto"/>
      </w:divBdr>
      <w:divsChild>
        <w:div w:id="1333532223">
          <w:marLeft w:val="0"/>
          <w:marRight w:val="0"/>
          <w:marTop w:val="120"/>
          <w:marBottom w:val="0"/>
          <w:divBdr>
            <w:top w:val="none" w:sz="0" w:space="0" w:color="auto"/>
            <w:left w:val="none" w:sz="0" w:space="0" w:color="auto"/>
            <w:bottom w:val="none" w:sz="0" w:space="0" w:color="auto"/>
            <w:right w:val="none" w:sz="0" w:space="0" w:color="auto"/>
          </w:divBdr>
        </w:div>
        <w:div w:id="1794518323">
          <w:marLeft w:val="0"/>
          <w:marRight w:val="0"/>
          <w:marTop w:val="60"/>
          <w:marBottom w:val="0"/>
          <w:divBdr>
            <w:top w:val="none" w:sz="0" w:space="0" w:color="auto"/>
            <w:left w:val="none" w:sz="0" w:space="0" w:color="auto"/>
            <w:bottom w:val="none" w:sz="0" w:space="0" w:color="auto"/>
            <w:right w:val="none" w:sz="0" w:space="0" w:color="auto"/>
          </w:divBdr>
        </w:div>
      </w:divsChild>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00166491">
      <w:bodyDiv w:val="1"/>
      <w:marLeft w:val="0"/>
      <w:marRight w:val="0"/>
      <w:marTop w:val="0"/>
      <w:marBottom w:val="0"/>
      <w:divBdr>
        <w:top w:val="none" w:sz="0" w:space="0" w:color="auto"/>
        <w:left w:val="none" w:sz="0" w:space="0" w:color="auto"/>
        <w:bottom w:val="none" w:sz="0" w:space="0" w:color="auto"/>
        <w:right w:val="none" w:sz="0" w:space="0" w:color="auto"/>
      </w:divBdr>
      <w:divsChild>
        <w:div w:id="1853564414">
          <w:marLeft w:val="675"/>
          <w:marRight w:val="0"/>
          <w:marTop w:val="0"/>
          <w:marBottom w:val="0"/>
          <w:divBdr>
            <w:top w:val="none" w:sz="0" w:space="0" w:color="auto"/>
            <w:left w:val="none" w:sz="0" w:space="0" w:color="auto"/>
            <w:bottom w:val="none" w:sz="0" w:space="0" w:color="auto"/>
            <w:right w:val="none" w:sz="0" w:space="0" w:color="auto"/>
          </w:divBdr>
        </w:div>
        <w:div w:id="101193600">
          <w:marLeft w:val="675"/>
          <w:marRight w:val="0"/>
          <w:marTop w:val="0"/>
          <w:marBottom w:val="0"/>
          <w:divBdr>
            <w:top w:val="none" w:sz="0" w:space="0" w:color="auto"/>
            <w:left w:val="none" w:sz="0" w:space="0" w:color="auto"/>
            <w:bottom w:val="none" w:sz="0" w:space="0" w:color="auto"/>
            <w:right w:val="none" w:sz="0" w:space="0" w:color="auto"/>
          </w:divBdr>
        </w:div>
        <w:div w:id="374431343">
          <w:marLeft w:val="675"/>
          <w:marRight w:val="0"/>
          <w:marTop w:val="0"/>
          <w:marBottom w:val="0"/>
          <w:divBdr>
            <w:top w:val="none" w:sz="0" w:space="0" w:color="auto"/>
            <w:left w:val="none" w:sz="0" w:space="0" w:color="auto"/>
            <w:bottom w:val="none" w:sz="0" w:space="0" w:color="auto"/>
            <w:right w:val="none" w:sz="0" w:space="0" w:color="auto"/>
          </w:divBdr>
        </w:div>
      </w:divsChild>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12ADpg181" TargetMode="External"/><Relationship Id="rId2" Type="http://schemas.openxmlformats.org/officeDocument/2006/relationships/hyperlink" Target="https://app.jutastatevolve.co.za/y1912ADpg181" TargetMode="External"/><Relationship Id="rId1" Type="http://schemas.openxmlformats.org/officeDocument/2006/relationships/hyperlink" Target="https://app.jutastatevolve.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87ED-718F-470C-8049-DB378EAC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4</TotalTime>
  <Pages>10</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Mariana Anguelov</cp:lastModifiedBy>
  <cp:revision>3</cp:revision>
  <cp:lastPrinted>2023-04-11T14:49:00Z</cp:lastPrinted>
  <dcterms:created xsi:type="dcterms:W3CDTF">2023-04-17T12:54:00Z</dcterms:created>
  <dcterms:modified xsi:type="dcterms:W3CDTF">2023-04-20T18:06:00Z</dcterms:modified>
</cp:coreProperties>
</file>