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16679E">
        <w:rPr>
          <w:rFonts w:eastAsia="Times New Roman" w:cs="Arial"/>
          <w:bCs/>
          <w:szCs w:val="24"/>
          <w:lang w:val="en-ZA"/>
        </w:rPr>
        <w:t>2021/10863</w:t>
      </w:r>
    </w:p>
    <w:p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8E5DB5" w:rsidRPr="003B746C" w:rsidRDefault="008E5DB5"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AC1876">
                              <w:rPr>
                                <w:rFonts w:cs="Arial"/>
                                <w:sz w:val="18"/>
                                <w:szCs w:val="20"/>
                              </w:rPr>
                              <w:t xml:space="preserve"> NO</w:t>
                            </w:r>
                          </w:p>
                          <w:p w:rsidR="008E5DB5" w:rsidRPr="003B746C" w:rsidRDefault="008E5DB5"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AC1876">
                              <w:rPr>
                                <w:rFonts w:cs="Arial"/>
                                <w:sz w:val="18"/>
                                <w:szCs w:val="20"/>
                              </w:rPr>
                              <w:t>NO</w:t>
                            </w:r>
                          </w:p>
                          <w:p w:rsidR="008E5DB5" w:rsidRPr="003B746C" w:rsidRDefault="00AC6E25" w:rsidP="002B448C">
                            <w:pPr>
                              <w:spacing w:before="240" w:after="0"/>
                              <w:rPr>
                                <w:rFonts w:cs="Arial"/>
                                <w:b/>
                                <w:sz w:val="18"/>
                                <w:szCs w:val="20"/>
                              </w:rPr>
                            </w:pPr>
                            <w:r>
                              <w:rPr>
                                <w:rFonts w:cs="Arial"/>
                                <w:b/>
                                <w:sz w:val="18"/>
                                <w:szCs w:val="20"/>
                              </w:rPr>
                              <w:t>17</w:t>
                            </w:r>
                            <w:r w:rsidR="0016679E">
                              <w:rPr>
                                <w:rFonts w:cs="Arial"/>
                                <w:b/>
                                <w:sz w:val="18"/>
                                <w:szCs w:val="20"/>
                              </w:rPr>
                              <w:t xml:space="preserve"> April 2023</w:t>
                            </w:r>
                            <w:r w:rsidR="008E5DB5" w:rsidRPr="003B746C">
                              <w:rPr>
                                <w:rFonts w:cs="Arial"/>
                                <w:b/>
                                <w:sz w:val="18"/>
                                <w:szCs w:val="20"/>
                              </w:rPr>
                              <w:tab/>
                              <w:t>_________________________</w:t>
                            </w:r>
                          </w:p>
                          <w:p w:rsidR="008E5DB5" w:rsidRPr="003B746C" w:rsidRDefault="008E5DB5" w:rsidP="00AB52A3">
                            <w:pPr>
                              <w:ind w:firstLine="153"/>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AB52A3">
                              <w:rPr>
                                <w:rFonts w:cs="Arial"/>
                                <w:sz w:val="18"/>
                                <w:szCs w:val="20"/>
                              </w:rPr>
                              <w:tab/>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8E5DB5" w:rsidRPr="003B746C" w:rsidRDefault="008E5DB5"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AC1876">
                        <w:rPr>
                          <w:rFonts w:cs="Arial"/>
                          <w:sz w:val="18"/>
                          <w:szCs w:val="20"/>
                        </w:rPr>
                        <w:t xml:space="preserve"> NO</w:t>
                      </w:r>
                    </w:p>
                    <w:p w:rsidR="008E5DB5" w:rsidRPr="003B746C" w:rsidRDefault="008E5DB5"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AC1876">
                        <w:rPr>
                          <w:rFonts w:cs="Arial"/>
                          <w:sz w:val="18"/>
                          <w:szCs w:val="20"/>
                        </w:rPr>
                        <w:t>NO</w:t>
                      </w:r>
                    </w:p>
                    <w:p w:rsidR="008E5DB5" w:rsidRPr="003B746C" w:rsidRDefault="00AC6E25" w:rsidP="002B448C">
                      <w:pPr>
                        <w:spacing w:before="240" w:after="0"/>
                        <w:rPr>
                          <w:rFonts w:cs="Arial"/>
                          <w:b/>
                          <w:sz w:val="18"/>
                          <w:szCs w:val="20"/>
                        </w:rPr>
                      </w:pPr>
                      <w:r>
                        <w:rPr>
                          <w:rFonts w:cs="Arial"/>
                          <w:b/>
                          <w:sz w:val="18"/>
                          <w:szCs w:val="20"/>
                        </w:rPr>
                        <w:t>17</w:t>
                      </w:r>
                      <w:r w:rsidR="0016679E">
                        <w:rPr>
                          <w:rFonts w:cs="Arial"/>
                          <w:b/>
                          <w:sz w:val="18"/>
                          <w:szCs w:val="20"/>
                        </w:rPr>
                        <w:t xml:space="preserve"> April 2023</w:t>
                      </w:r>
                      <w:r w:rsidR="008E5DB5" w:rsidRPr="003B746C">
                        <w:rPr>
                          <w:rFonts w:cs="Arial"/>
                          <w:b/>
                          <w:sz w:val="18"/>
                          <w:szCs w:val="20"/>
                        </w:rPr>
                        <w:tab/>
                        <w:t>_________________________</w:t>
                      </w:r>
                    </w:p>
                    <w:p w:rsidR="008E5DB5" w:rsidRPr="003B746C" w:rsidRDefault="008E5DB5" w:rsidP="00AB52A3">
                      <w:pPr>
                        <w:ind w:firstLine="153"/>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AB52A3">
                        <w:rPr>
                          <w:rFonts w:cs="Arial"/>
                          <w:sz w:val="18"/>
                          <w:szCs w:val="20"/>
                        </w:rPr>
                        <w:tab/>
                      </w:r>
                      <w:r w:rsidRPr="003B746C">
                        <w:rPr>
                          <w:rFonts w:cs="Arial"/>
                          <w:sz w:val="18"/>
                          <w:szCs w:val="20"/>
                        </w:rPr>
                        <w:t>SIGNATURE</w:t>
                      </w:r>
                    </w:p>
                  </w:txbxContent>
                </v:textbox>
                <w10:wrap anchorx="margin"/>
              </v:shape>
            </w:pict>
          </mc:Fallback>
        </mc:AlternateContent>
      </w: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C92E41" w:rsidP="007B7F59">
      <w:pPr>
        <w:tabs>
          <w:tab w:val="right" w:pos="9029"/>
        </w:tabs>
        <w:spacing w:after="0" w:line="240" w:lineRule="auto"/>
        <w:ind w:left="0"/>
        <w:contextualSpacing/>
        <w:rPr>
          <w:rFonts w:eastAsia="Times New Roman" w:cs="Arial"/>
          <w:szCs w:val="24"/>
          <w:lang w:val="en-ZA"/>
        </w:rPr>
      </w:pPr>
      <w:r w:rsidRPr="00C92E41">
        <w:rPr>
          <w:b/>
        </w:rPr>
        <w:t>NQABA GUARANTEE SPV (PTY) LTD</w:t>
      </w:r>
      <w:r w:rsidRPr="00C92E41">
        <w:rPr>
          <w:rFonts w:eastAsia="Times New Roman" w:cs="Times New Roman"/>
          <w:b/>
          <w:kern w:val="28"/>
          <w:szCs w:val="24"/>
          <w:lang w:eastAsia="en-GB"/>
        </w:rPr>
        <w:t xml:space="preserve"> </w:t>
      </w:r>
      <w:r w:rsidR="007B7F59" w:rsidRPr="007B7F59">
        <w:rPr>
          <w:rFonts w:eastAsia="Times New Roman" w:cs="Arial"/>
          <w:b/>
          <w:szCs w:val="24"/>
          <w:lang w:val="en-ZA"/>
        </w:rPr>
        <w:tab/>
      </w:r>
      <w:r w:rsidR="007B7F59" w:rsidRPr="007B7F59">
        <w:rPr>
          <w:rFonts w:eastAsia="Times New Roman" w:cs="Arial"/>
          <w:szCs w:val="24"/>
          <w:lang w:val="en-ZA"/>
        </w:rPr>
        <w:t>First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C92E41" w:rsidP="007B7F59">
      <w:pPr>
        <w:tabs>
          <w:tab w:val="right" w:pos="9029"/>
        </w:tabs>
        <w:spacing w:after="0" w:line="240" w:lineRule="auto"/>
        <w:ind w:left="0"/>
        <w:contextualSpacing/>
        <w:rPr>
          <w:rFonts w:eastAsia="Times New Roman" w:cs="Arial"/>
          <w:b/>
          <w:szCs w:val="24"/>
          <w:lang w:val="en-ZA"/>
        </w:rPr>
      </w:pPr>
      <w:r w:rsidRPr="00C92E41">
        <w:rPr>
          <w:b/>
        </w:rPr>
        <w:t>ESKOM FINANCE COMPANY SOC LTD</w:t>
      </w:r>
      <w:r w:rsidR="007B7F59" w:rsidRPr="007B7F59">
        <w:rPr>
          <w:rFonts w:eastAsia="Times New Roman" w:cs="Arial"/>
          <w:b/>
          <w:szCs w:val="24"/>
          <w:lang w:val="en-ZA"/>
        </w:rPr>
        <w:tab/>
      </w:r>
      <w:r w:rsidR="007B7F59" w:rsidRPr="007B7F59">
        <w:rPr>
          <w:rFonts w:eastAsia="Times New Roman" w:cs="Arial"/>
          <w:szCs w:val="24"/>
          <w:lang w:val="en-ZA"/>
        </w:rPr>
        <w:t>Second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C92E41" w:rsidP="007B7F59">
      <w:pPr>
        <w:tabs>
          <w:tab w:val="right" w:pos="9029"/>
        </w:tabs>
        <w:spacing w:after="0" w:line="240" w:lineRule="auto"/>
        <w:ind w:left="0"/>
        <w:contextualSpacing/>
        <w:rPr>
          <w:rFonts w:eastAsia="Times New Roman" w:cs="Arial"/>
          <w:szCs w:val="24"/>
          <w:lang w:val="en-ZA"/>
        </w:rPr>
      </w:pPr>
      <w:r w:rsidRPr="00C92E41">
        <w:rPr>
          <w:b/>
        </w:rPr>
        <w:t>MYENI: S M</w:t>
      </w:r>
      <w:r>
        <w:t xml:space="preserve"> </w:t>
      </w:r>
      <w:r w:rsidR="007B7F59" w:rsidRPr="007B7F59">
        <w:rPr>
          <w:rFonts w:cs="Arial"/>
          <w:b/>
          <w:szCs w:val="24"/>
          <w:lang w:val="en-ZA"/>
        </w:rPr>
        <w:tab/>
      </w:r>
      <w:r w:rsidR="007B7F59" w:rsidRPr="007B7F59">
        <w:rPr>
          <w:rFonts w:eastAsia="Times New Roman" w:cs="Arial"/>
          <w:szCs w:val="24"/>
          <w:lang w:val="en-ZA"/>
        </w:rPr>
        <w:t>First Respondent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C92E41" w:rsidP="007B7F59">
      <w:pPr>
        <w:tabs>
          <w:tab w:val="right" w:pos="9029"/>
        </w:tabs>
        <w:spacing w:after="0" w:line="240" w:lineRule="auto"/>
        <w:ind w:left="0"/>
        <w:contextualSpacing/>
        <w:rPr>
          <w:rFonts w:eastAsia="Times New Roman" w:cs="Arial"/>
          <w:szCs w:val="24"/>
          <w:lang w:val="en-ZA"/>
        </w:rPr>
      </w:pPr>
      <w:r w:rsidRPr="00C92E41">
        <w:rPr>
          <w:b/>
        </w:rPr>
        <w:t>MYENI: P S</w:t>
      </w:r>
      <w:r w:rsidR="007B7F59" w:rsidRPr="007B7F59">
        <w:rPr>
          <w:rFonts w:eastAsia="Times New Roman" w:cs="Arial"/>
          <w:szCs w:val="24"/>
          <w:lang w:val="en-ZA"/>
        </w:rPr>
        <w:tab/>
        <w:t>Second Respondent</w:t>
      </w:r>
    </w:p>
    <w:p w:rsidR="007B7F59" w:rsidRPr="007B7F59" w:rsidRDefault="007B7F59" w:rsidP="007B7F59">
      <w:pPr>
        <w:tabs>
          <w:tab w:val="right" w:pos="9029"/>
        </w:tabs>
        <w:spacing w:after="0" w:line="240" w:lineRule="auto"/>
        <w:ind w:left="0"/>
        <w:contextualSpacing/>
        <w:rPr>
          <w:rFonts w:cs="Arial"/>
          <w:b/>
          <w:szCs w:val="24"/>
        </w:rPr>
      </w:pPr>
    </w:p>
    <w:p w:rsidR="00C53A21" w:rsidRPr="00F9319D" w:rsidRDefault="00C53A21" w:rsidP="00C53A21">
      <w:pPr>
        <w:spacing w:after="0" w:line="240" w:lineRule="auto"/>
        <w:ind w:left="0"/>
        <w:jc w:val="left"/>
        <w:rPr>
          <w:rFonts w:eastAsia="Calibri" w:cs="Arial"/>
          <w:sz w:val="22"/>
          <w:lang w:val="en-US" w:eastAsia="en-ZA"/>
          <w14:ligatures w14:val="standardContextual"/>
        </w:rPr>
      </w:pPr>
      <w:r w:rsidRPr="00F9319D">
        <w:rPr>
          <w:rFonts w:eastAsia="Calibri" w:cs="Arial"/>
          <w:b/>
          <w:sz w:val="22"/>
          <w:lang w:val="en-US" w:eastAsia="en-ZA"/>
          <w14:ligatures w14:val="standardContextual"/>
        </w:rPr>
        <w:t>Neutral Citation</w:t>
      </w:r>
      <w:r w:rsidRPr="00F9319D">
        <w:rPr>
          <w:rFonts w:eastAsia="Calibri" w:cs="Arial"/>
          <w:sz w:val="22"/>
          <w:lang w:val="en-US" w:eastAsia="en-ZA"/>
          <w14:ligatures w14:val="standardContextual"/>
        </w:rPr>
        <w:t xml:space="preserve">: </w:t>
      </w:r>
      <w:r w:rsidRPr="00EF5199">
        <w:rPr>
          <w:rFonts w:eastAsia="Calibri" w:cs="Arial"/>
          <w:i/>
          <w:sz w:val="22"/>
          <w:lang w:val="en-US" w:eastAsia="en-ZA"/>
          <w14:ligatures w14:val="standardContextual"/>
        </w:rPr>
        <w:t>Nqaba Guarantee SPV (PTY)</w:t>
      </w:r>
      <w:r>
        <w:rPr>
          <w:rFonts w:eastAsia="Calibri" w:cs="Arial"/>
          <w:i/>
          <w:sz w:val="22"/>
          <w:lang w:val="en-US" w:eastAsia="en-ZA"/>
          <w14:ligatures w14:val="standardContextual"/>
        </w:rPr>
        <w:t xml:space="preserve"> LTD And</w:t>
      </w:r>
      <w:r w:rsidRPr="00EF5199">
        <w:rPr>
          <w:rFonts w:eastAsia="Calibri" w:cs="Arial"/>
          <w:i/>
          <w:sz w:val="22"/>
          <w:lang w:val="en-US" w:eastAsia="en-ZA"/>
          <w14:ligatures w14:val="standardContextual"/>
        </w:rPr>
        <w:t xml:space="preserve"> Another v Myeni </w:t>
      </w:r>
      <w:r>
        <w:rPr>
          <w:rFonts w:eastAsia="Calibri" w:cs="Arial"/>
          <w:i/>
          <w:sz w:val="22"/>
          <w:lang w:val="en-US" w:eastAsia="en-ZA"/>
          <w14:ligatures w14:val="standardContextual"/>
        </w:rPr>
        <w:t>S.M a</w:t>
      </w:r>
      <w:r w:rsidRPr="00EF5199">
        <w:rPr>
          <w:rFonts w:eastAsia="Calibri" w:cs="Arial"/>
          <w:i/>
          <w:sz w:val="22"/>
          <w:lang w:val="en-US" w:eastAsia="en-ZA"/>
          <w14:ligatures w14:val="standardContextual"/>
        </w:rPr>
        <w:t>nd Another</w:t>
      </w:r>
      <w:r w:rsidRPr="00EF5199">
        <w:rPr>
          <w:rFonts w:eastAsia="Calibri" w:cs="Arial"/>
          <w:sz w:val="22"/>
          <w:lang w:val="en-US" w:eastAsia="en-ZA"/>
          <w14:ligatures w14:val="standardContextual"/>
        </w:rPr>
        <w:t xml:space="preserve"> (Case No: 2021/10863</w:t>
      </w:r>
      <w:r w:rsidRPr="00F9319D">
        <w:rPr>
          <w:rFonts w:eastAsia="Calibri" w:cs="Arial"/>
          <w:sz w:val="22"/>
          <w:lang w:val="en-US" w:eastAsia="en-ZA"/>
          <w14:ligatures w14:val="standardContextual"/>
        </w:rPr>
        <w:t>) [2023] ZAGPJHC 343 (17 April 2023)</w:t>
      </w:r>
    </w:p>
    <w:p w:rsidR="007B7F59" w:rsidRPr="007B7F59" w:rsidRDefault="007B7F59" w:rsidP="007B7F59">
      <w:pPr>
        <w:pBdr>
          <w:bottom w:val="single" w:sz="12" w:space="1" w:color="auto"/>
        </w:pBdr>
        <w:spacing w:after="0" w:line="240" w:lineRule="auto"/>
        <w:ind w:left="0"/>
        <w:jc w:val="left"/>
        <w:rPr>
          <w:rFonts w:cs="Arial"/>
          <w:b/>
          <w:szCs w:val="24"/>
          <w:lang w:val="en-ZA"/>
        </w:rPr>
      </w:pPr>
    </w:p>
    <w:p w:rsidR="007B7F59" w:rsidRPr="007B7F59" w:rsidRDefault="007B7F59" w:rsidP="007B7F59">
      <w:pPr>
        <w:spacing w:after="0" w:line="240" w:lineRule="auto"/>
        <w:ind w:left="1440" w:hanging="1440"/>
        <w:jc w:val="left"/>
        <w:rPr>
          <w:rFonts w:cs="Arial"/>
          <w:b/>
          <w:szCs w:val="24"/>
        </w:rPr>
      </w:pPr>
    </w:p>
    <w:p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7B7F59" w:rsidRPr="007B7F59" w:rsidRDefault="009F03E5" w:rsidP="007B7F59">
      <w:pPr>
        <w:spacing w:after="0" w:line="240" w:lineRule="auto"/>
        <w:ind w:left="0"/>
        <w:jc w:val="left"/>
        <w:rPr>
          <w:rFonts w:cs="Arial"/>
          <w:szCs w:val="24"/>
        </w:rPr>
      </w:pPr>
      <w:r>
        <w:rPr>
          <w:rFonts w:cs="Arial"/>
          <w:szCs w:val="24"/>
        </w:rPr>
        <w:t>MIA</w:t>
      </w:r>
      <w:r w:rsidR="007B7F59" w:rsidRPr="009F03E5">
        <w:rPr>
          <w:rFonts w:cs="Arial"/>
          <w:szCs w:val="24"/>
        </w:rPr>
        <w:t>, J</w:t>
      </w:r>
    </w:p>
    <w:p w:rsidR="007B7F59" w:rsidRPr="007B7F59" w:rsidRDefault="007B7F59" w:rsidP="007B7F59">
      <w:pPr>
        <w:spacing w:after="0" w:line="240" w:lineRule="auto"/>
        <w:ind w:left="0"/>
        <w:jc w:val="left"/>
        <w:rPr>
          <w:rFonts w:cs="Arial"/>
          <w:szCs w:val="24"/>
        </w:rPr>
      </w:pPr>
    </w:p>
    <w:p w:rsidR="007B7F59" w:rsidRPr="007B7F59" w:rsidRDefault="007B7F59" w:rsidP="007B7F59">
      <w:pPr>
        <w:spacing w:after="0" w:line="240" w:lineRule="auto"/>
        <w:ind w:left="0"/>
        <w:jc w:val="left"/>
        <w:rPr>
          <w:rFonts w:cs="Arial"/>
          <w:szCs w:val="24"/>
        </w:rPr>
      </w:pPr>
    </w:p>
    <w:p w:rsidR="00794DCB" w:rsidRDefault="00D67782" w:rsidP="00D67782">
      <w:pPr>
        <w:pStyle w:val="JudgmentHeading"/>
        <w:ind w:firstLine="567"/>
      </w:pPr>
      <w:r>
        <w:t>Introduction</w:t>
      </w:r>
      <w:bookmarkStart w:id="0" w:name="_GoBack"/>
      <w:bookmarkEnd w:id="0"/>
    </w:p>
    <w:p w:rsidR="005C7FE5" w:rsidRDefault="00C03336" w:rsidP="007B7F59">
      <w:pPr>
        <w:pStyle w:val="JudgmentNumbered"/>
      </w:pPr>
      <w:r>
        <w:lastRenderedPageBreak/>
        <w:t>The</w:t>
      </w:r>
      <w:r w:rsidR="00EA0525">
        <w:t>re</w:t>
      </w:r>
      <w:r>
        <w:t xml:space="preserve"> are two </w:t>
      </w:r>
      <w:r w:rsidR="005C7FE5">
        <w:t>applications</w:t>
      </w:r>
      <w:r>
        <w:t xml:space="preserve"> before me</w:t>
      </w:r>
      <w:r w:rsidR="00E92B70">
        <w:t xml:space="preserve">. </w:t>
      </w:r>
      <w:r w:rsidR="00E92B70" w:rsidRPr="00833DA9">
        <w:t>One</w:t>
      </w:r>
      <w:r w:rsidR="00EA0525" w:rsidRPr="00833DA9">
        <w:t>,</w:t>
      </w:r>
      <w:r w:rsidR="00EA0525">
        <w:t xml:space="preserve"> an application for </w:t>
      </w:r>
      <w:r w:rsidR="00C92E41">
        <w:t xml:space="preserve">payment of money </w:t>
      </w:r>
      <w:r w:rsidR="003E7E7E">
        <w:t>due in terms of a loan agreement</w:t>
      </w:r>
      <w:r w:rsidR="00833DA9">
        <w:t xml:space="preserve"> coupled with </w:t>
      </w:r>
      <w:r w:rsidR="00E92B70" w:rsidRPr="00833DA9">
        <w:t>an application</w:t>
      </w:r>
      <w:r w:rsidR="00E92B70">
        <w:t xml:space="preserve"> </w:t>
      </w:r>
      <w:r w:rsidR="003E7E7E">
        <w:t xml:space="preserve">declaring property </w:t>
      </w:r>
      <w:r w:rsidR="0018547C">
        <w:t>specially</w:t>
      </w:r>
      <w:r w:rsidR="00C92E41">
        <w:t xml:space="preserve"> executable in terms of</w:t>
      </w:r>
      <w:r>
        <w:t xml:space="preserve"> Rule 46A</w:t>
      </w:r>
      <w:r w:rsidR="00EA0525">
        <w:t xml:space="preserve"> </w:t>
      </w:r>
      <w:r w:rsidR="005566A7" w:rsidRPr="00833DA9">
        <w:t>of the Practice Rules of this court</w:t>
      </w:r>
      <w:r w:rsidR="00E92B70">
        <w:t xml:space="preserve">. </w:t>
      </w:r>
      <w:r w:rsidR="00E92B70" w:rsidRPr="00833DA9">
        <w:t xml:space="preserve">Flowing from </w:t>
      </w:r>
      <w:r w:rsidR="00833DA9">
        <w:t xml:space="preserve">this </w:t>
      </w:r>
      <w:r w:rsidR="00E92B70" w:rsidRPr="00833DA9">
        <w:t>is</w:t>
      </w:r>
      <w:r w:rsidR="00E92B70">
        <w:t xml:space="preserve"> </w:t>
      </w:r>
      <w:r w:rsidR="00EA0525">
        <w:t>a counter-application by the respondents seeking to declare the agreement unlawful and to set it aside</w:t>
      </w:r>
      <w:r w:rsidR="0018547C">
        <w:t>.</w:t>
      </w:r>
    </w:p>
    <w:p w:rsidR="005C7FE5" w:rsidRDefault="00BA4E35" w:rsidP="005C4467">
      <w:pPr>
        <w:pStyle w:val="JudgmentNumbered"/>
      </w:pPr>
      <w:r>
        <w:t>The first applicant is Nqaba Guarantee SPV</w:t>
      </w:r>
      <w:r w:rsidR="00F67D03">
        <w:t xml:space="preserve"> (</w:t>
      </w:r>
      <w:r>
        <w:t>Proprietary) Limited</w:t>
      </w:r>
      <w:r w:rsidR="00F67D03">
        <w:t xml:space="preserve"> (Nqaba)</w:t>
      </w:r>
      <w:r>
        <w:t xml:space="preserve">, </w:t>
      </w:r>
      <w:r w:rsidRPr="00833DA9">
        <w:t>registration No. 2006/007610107, a private company with limited liability</w:t>
      </w:r>
      <w:r>
        <w:t xml:space="preserve"> registered and incorporated in accordance with the company laws of the Republic of South Africa with its registered address at Megawatt Park, Maxwell Drive, Sunninghill, Sandton. The second applicant is Eskom Finance Company Soc Ltd</w:t>
      </w:r>
      <w:r w:rsidR="00F67D03">
        <w:t>- (Eskom)</w:t>
      </w:r>
      <w:r w:rsidR="00833DA9">
        <w:t xml:space="preserve">, a registered state owned </w:t>
      </w:r>
      <w:r w:rsidR="001513B8">
        <w:t>public</w:t>
      </w:r>
      <w:r w:rsidR="00833DA9">
        <w:t xml:space="preserve"> company</w:t>
      </w:r>
      <w:r w:rsidR="001513B8">
        <w:t>, a financial institution and credit provider,</w:t>
      </w:r>
      <w:r w:rsidR="003E7E7E">
        <w:t xml:space="preserve"> with</w:t>
      </w:r>
      <w:r>
        <w:t xml:space="preserve"> Registration No. 1990/01322107, a registered state-owned public company, </w:t>
      </w:r>
      <w:r w:rsidR="00F04DD0">
        <w:t xml:space="preserve">its </w:t>
      </w:r>
      <w:r>
        <w:t xml:space="preserve">registered address at Megawatt Park, Maxwell Drive, Sunninghill, Sandton. The </w:t>
      </w:r>
      <w:r w:rsidR="00A14F76">
        <w:t>first r</w:t>
      </w:r>
      <w:r>
        <w:t xml:space="preserve">espondent is </w:t>
      </w:r>
      <w:r w:rsidR="00C066A6">
        <w:t xml:space="preserve">Mr </w:t>
      </w:r>
      <w:r w:rsidR="00A14F76">
        <w:t>Senzoko</w:t>
      </w:r>
      <w:r w:rsidR="00C066A6">
        <w:t xml:space="preserve">si Madlayise Myeni, </w:t>
      </w:r>
      <w:r>
        <w:t xml:space="preserve">a major male, with residential address and chosen </w:t>
      </w:r>
      <w:r w:rsidRPr="001513B8">
        <w:rPr>
          <w:i/>
        </w:rPr>
        <w:t>domicilium citandi et executandi</w:t>
      </w:r>
      <w:r>
        <w:t xml:space="preserve"> being E</w:t>
      </w:r>
      <w:r w:rsidR="00C066A6">
        <w:t>rf</w:t>
      </w:r>
      <w:r>
        <w:t xml:space="preserve"> 448 G</w:t>
      </w:r>
      <w:r w:rsidR="00C066A6">
        <w:t xml:space="preserve">reenstone Hill Extension 7 </w:t>
      </w:r>
      <w:r>
        <w:t>also known as 448</w:t>
      </w:r>
      <w:r w:rsidR="00C066A6">
        <w:t xml:space="preserve"> Opal Cove, Emerald Estate, Greenstone Hill Ext 7, Edenvale.  The second respondent is </w:t>
      </w:r>
      <w:r w:rsidR="00CE6D24">
        <w:t xml:space="preserve">Ms </w:t>
      </w:r>
      <w:r w:rsidR="00C066A6">
        <w:t xml:space="preserve">Prisca Silindile </w:t>
      </w:r>
      <w:r w:rsidR="00C066A6" w:rsidRPr="00833DA9">
        <w:t>Myeni</w:t>
      </w:r>
      <w:r w:rsidR="00C066A6">
        <w:t xml:space="preserve">, a major female with </w:t>
      </w:r>
      <w:r w:rsidR="002175F4">
        <w:t xml:space="preserve">the </w:t>
      </w:r>
      <w:r w:rsidR="00C066A6">
        <w:t xml:space="preserve">residential address and chosen </w:t>
      </w:r>
      <w:r w:rsidR="00C066A6" w:rsidRPr="001513B8">
        <w:rPr>
          <w:i/>
        </w:rPr>
        <w:t>domicilium citandi et executand</w:t>
      </w:r>
      <w:r w:rsidR="00C066A6">
        <w:t xml:space="preserve">i being the same as the first respondent. </w:t>
      </w:r>
      <w:r w:rsidR="00E558F0">
        <w:t>The first and second applicant</w:t>
      </w:r>
      <w:r w:rsidR="003E7E7E">
        <w:t>s</w:t>
      </w:r>
      <w:r w:rsidR="00E558F0">
        <w:t xml:space="preserve"> will be referred to as the applicants and the first and second respondent</w:t>
      </w:r>
      <w:r w:rsidR="003E7E7E">
        <w:t>s</w:t>
      </w:r>
      <w:r w:rsidR="00E558F0">
        <w:t xml:space="preserve"> will be referred to as the respondents throughout.</w:t>
      </w:r>
      <w:r w:rsidR="001513B8">
        <w:t xml:space="preserve"> The second applicant supports the first applicant in the enforcement of the </w:t>
      </w:r>
      <w:r w:rsidR="002175F4">
        <w:t>respondents’</w:t>
      </w:r>
      <w:r w:rsidR="001513B8">
        <w:t xml:space="preserve"> obligations in terms of the collective agreements. </w:t>
      </w:r>
      <w:r w:rsidR="005C7FE5">
        <w:t xml:space="preserve">The </w:t>
      </w:r>
      <w:r w:rsidR="00E92B70" w:rsidRPr="001513B8">
        <w:t xml:space="preserve">first </w:t>
      </w:r>
      <w:r w:rsidR="005C7FE5" w:rsidRPr="001513B8">
        <w:t>applicant seek</w:t>
      </w:r>
      <w:r w:rsidR="00E92B70" w:rsidRPr="001513B8">
        <w:t>s</w:t>
      </w:r>
      <w:r w:rsidR="005C7FE5">
        <w:t xml:space="preserve"> an order as follows:</w:t>
      </w:r>
    </w:p>
    <w:p w:rsidR="005C5020" w:rsidRPr="001513B8" w:rsidRDefault="005C7FE5" w:rsidP="008505F6">
      <w:pPr>
        <w:pStyle w:val="JudgmentNumbered"/>
        <w:numPr>
          <w:ilvl w:val="1"/>
          <w:numId w:val="4"/>
        </w:numPr>
        <w:rPr>
          <w:sz w:val="22"/>
        </w:rPr>
      </w:pPr>
      <w:r w:rsidRPr="001513B8">
        <w:rPr>
          <w:sz w:val="22"/>
        </w:rPr>
        <w:t>payment of the capital sum of R 1 674 488.96 (O</w:t>
      </w:r>
      <w:r w:rsidR="001D252A" w:rsidRPr="001513B8">
        <w:rPr>
          <w:sz w:val="22"/>
        </w:rPr>
        <w:t>ne million six hundred and seventy-four thousand four hundred and eighty-eight Rand and ninety-six cents</w:t>
      </w:r>
      <w:r w:rsidR="0018547C" w:rsidRPr="001513B8">
        <w:rPr>
          <w:sz w:val="22"/>
        </w:rPr>
        <w:t>), plus</w:t>
      </w:r>
      <w:r w:rsidR="001D252A" w:rsidRPr="001513B8">
        <w:rPr>
          <w:sz w:val="22"/>
        </w:rPr>
        <w:t xml:space="preserve"> </w:t>
      </w:r>
      <w:r w:rsidRPr="001513B8">
        <w:rPr>
          <w:sz w:val="22"/>
        </w:rPr>
        <w:t xml:space="preserve">interest on the said amount at the rate of 10.00% p.a. (calculated and capitalised monthly in advance from 1 November 2020), an </w:t>
      </w:r>
      <w:r w:rsidR="005C5020" w:rsidRPr="001513B8">
        <w:rPr>
          <w:sz w:val="22"/>
        </w:rPr>
        <w:t>o</w:t>
      </w:r>
      <w:r w:rsidRPr="001513B8">
        <w:rPr>
          <w:sz w:val="22"/>
        </w:rPr>
        <w:t xml:space="preserve">rder declaring the </w:t>
      </w:r>
      <w:r w:rsidR="005C5020" w:rsidRPr="001513B8">
        <w:rPr>
          <w:sz w:val="22"/>
        </w:rPr>
        <w:t>r</w:t>
      </w:r>
      <w:r w:rsidRPr="001513B8">
        <w:rPr>
          <w:sz w:val="22"/>
        </w:rPr>
        <w:t xml:space="preserve">espondents’ immovable property specially executable and </w:t>
      </w:r>
    </w:p>
    <w:p w:rsidR="007B7F59" w:rsidRPr="00AB22A2" w:rsidRDefault="005C7FE5" w:rsidP="005C7FE5">
      <w:pPr>
        <w:pStyle w:val="JudgmentNumbered"/>
        <w:numPr>
          <w:ilvl w:val="1"/>
          <w:numId w:val="4"/>
        </w:numPr>
        <w:rPr>
          <w:sz w:val="22"/>
        </w:rPr>
      </w:pPr>
      <w:r w:rsidRPr="00AB22A2">
        <w:rPr>
          <w:sz w:val="22"/>
        </w:rPr>
        <w:t>legal costs on the scale of attorney and client as provided for in the Indemnity Bond.</w:t>
      </w:r>
      <w:r w:rsidR="00C03336" w:rsidRPr="00AB22A2">
        <w:rPr>
          <w:sz w:val="22"/>
        </w:rPr>
        <w:t xml:space="preserve"> </w:t>
      </w:r>
    </w:p>
    <w:p w:rsidR="005C5020" w:rsidRPr="00AB22A2" w:rsidRDefault="005C5020" w:rsidP="005C5020">
      <w:pPr>
        <w:pStyle w:val="JudgmentNumbered"/>
        <w:rPr>
          <w:sz w:val="22"/>
        </w:rPr>
      </w:pPr>
      <w:r>
        <w:lastRenderedPageBreak/>
        <w:t xml:space="preserve">The respondents opposed the </w:t>
      </w:r>
      <w:r w:rsidR="00E558F0">
        <w:t xml:space="preserve">above relief </w:t>
      </w:r>
      <w:r>
        <w:t>and lodged a counter application in which they sought the following relief:</w:t>
      </w:r>
    </w:p>
    <w:p w:rsidR="00E558F0" w:rsidRPr="008B0876" w:rsidRDefault="00AB22A2" w:rsidP="008B0876">
      <w:pPr>
        <w:pStyle w:val="JudgmentNumbered"/>
        <w:numPr>
          <w:ilvl w:val="0"/>
          <w:numId w:val="0"/>
        </w:numPr>
        <w:ind w:left="2160" w:hanging="720"/>
        <w:rPr>
          <w:sz w:val="22"/>
        </w:rPr>
      </w:pPr>
      <w:r w:rsidRPr="008B0876">
        <w:rPr>
          <w:sz w:val="22"/>
        </w:rPr>
        <w:t>“</w:t>
      </w:r>
      <w:r w:rsidR="00856D74">
        <w:rPr>
          <w:sz w:val="22"/>
        </w:rPr>
        <w:t>1</w:t>
      </w:r>
      <w:r w:rsidR="00856D74">
        <w:rPr>
          <w:sz w:val="22"/>
        </w:rPr>
        <w:tab/>
        <w:t>Declaring that the m</w:t>
      </w:r>
      <w:r w:rsidR="00E558F0" w:rsidRPr="008B0876">
        <w:rPr>
          <w:sz w:val="22"/>
        </w:rPr>
        <w:t xml:space="preserve">ortgage </w:t>
      </w:r>
      <w:r w:rsidR="00856D74">
        <w:rPr>
          <w:sz w:val="22"/>
        </w:rPr>
        <w:t>l</w:t>
      </w:r>
      <w:r w:rsidR="00E558F0" w:rsidRPr="008B0876">
        <w:rPr>
          <w:sz w:val="22"/>
        </w:rPr>
        <w:t xml:space="preserve">oan </w:t>
      </w:r>
      <w:r w:rsidR="00856D74">
        <w:rPr>
          <w:sz w:val="22"/>
        </w:rPr>
        <w:t>a</w:t>
      </w:r>
      <w:r w:rsidR="00E558F0" w:rsidRPr="008B0876">
        <w:rPr>
          <w:sz w:val="22"/>
        </w:rPr>
        <w:t xml:space="preserve">greement (the mortgage agreement) entered into by the </w:t>
      </w:r>
      <w:r w:rsidR="00856D74">
        <w:rPr>
          <w:sz w:val="22"/>
        </w:rPr>
        <w:t>a</w:t>
      </w:r>
      <w:r w:rsidR="00E558F0" w:rsidRPr="008B0876">
        <w:rPr>
          <w:sz w:val="22"/>
        </w:rPr>
        <w:t xml:space="preserve">pplicants and the </w:t>
      </w:r>
      <w:r w:rsidR="00856D74">
        <w:rPr>
          <w:sz w:val="22"/>
        </w:rPr>
        <w:t>second r</w:t>
      </w:r>
      <w:r w:rsidR="00E558F0" w:rsidRPr="008B0876">
        <w:rPr>
          <w:sz w:val="22"/>
        </w:rPr>
        <w:t xml:space="preserve">espondent on 16 February 2010 is unlawful to the extent that – </w:t>
      </w:r>
    </w:p>
    <w:p w:rsidR="00E558F0" w:rsidRPr="008B0876" w:rsidRDefault="00E558F0" w:rsidP="008B0876">
      <w:pPr>
        <w:pStyle w:val="JudgmentNumbered"/>
        <w:numPr>
          <w:ilvl w:val="0"/>
          <w:numId w:val="0"/>
        </w:numPr>
        <w:ind w:left="2160"/>
        <w:rPr>
          <w:sz w:val="22"/>
        </w:rPr>
      </w:pPr>
      <w:r w:rsidRPr="008B0876">
        <w:rPr>
          <w:sz w:val="22"/>
        </w:rPr>
        <w:t xml:space="preserve">1.1 clause 8.3 of the Schedule Terms </w:t>
      </w:r>
      <w:r w:rsidR="00856D74" w:rsidRPr="008B0876">
        <w:rPr>
          <w:sz w:val="22"/>
        </w:rPr>
        <w:t>and</w:t>
      </w:r>
      <w:r w:rsidRPr="008B0876">
        <w:rPr>
          <w:sz w:val="22"/>
        </w:rPr>
        <w:t xml:space="preserve"> Conditions attached to the </w:t>
      </w:r>
      <w:r w:rsidR="00F67D03">
        <w:rPr>
          <w:sz w:val="22"/>
        </w:rPr>
        <w:t>mortgage agreement (</w:t>
      </w:r>
      <w:r w:rsidRPr="008B0876">
        <w:rPr>
          <w:sz w:val="22"/>
        </w:rPr>
        <w:t>the clause)</w:t>
      </w:r>
      <w:r w:rsidR="00856D74">
        <w:rPr>
          <w:sz w:val="22"/>
        </w:rPr>
        <w:t xml:space="preserve"> had a deceiving effect on the a</w:t>
      </w:r>
      <w:r w:rsidRPr="008B0876">
        <w:rPr>
          <w:sz w:val="22"/>
        </w:rPr>
        <w:t>pplicants or had t</w:t>
      </w:r>
      <w:r w:rsidR="00856D74">
        <w:rPr>
          <w:sz w:val="22"/>
        </w:rPr>
        <w:t>he effect of concealing to the a</w:t>
      </w:r>
      <w:r w:rsidRPr="008B0876">
        <w:rPr>
          <w:sz w:val="22"/>
        </w:rPr>
        <w:t xml:space="preserve">pplicants the true cost of credit from the time of concluding the agreement, in terms of section 90 (2)(a) (iii) of the NCA; </w:t>
      </w:r>
    </w:p>
    <w:p w:rsidR="00E558F0" w:rsidRPr="008B0876" w:rsidRDefault="00E558F0" w:rsidP="008B0876">
      <w:pPr>
        <w:pStyle w:val="JudgmentNumbered"/>
        <w:numPr>
          <w:ilvl w:val="0"/>
          <w:numId w:val="0"/>
        </w:numPr>
        <w:ind w:left="2160"/>
        <w:rPr>
          <w:sz w:val="22"/>
        </w:rPr>
      </w:pPr>
      <w:r w:rsidRPr="008B0876">
        <w:rPr>
          <w:sz w:val="22"/>
        </w:rPr>
        <w:t xml:space="preserve">1.2 the said clause it implies that the rate of interest chargeable is variable beyond what is permitted by section 103 (4) of the NCA, in terms of section 90 (2) (o) of the NCA; </w:t>
      </w:r>
    </w:p>
    <w:p w:rsidR="008B0876" w:rsidRPr="008B0876" w:rsidRDefault="00E558F0" w:rsidP="008B0876">
      <w:pPr>
        <w:pStyle w:val="JudgmentNumbered"/>
        <w:numPr>
          <w:ilvl w:val="0"/>
          <w:numId w:val="0"/>
        </w:numPr>
        <w:ind w:left="2160" w:hanging="720"/>
        <w:rPr>
          <w:sz w:val="22"/>
        </w:rPr>
      </w:pPr>
      <w:r w:rsidRPr="008B0876">
        <w:rPr>
          <w:sz w:val="22"/>
        </w:rPr>
        <w:t>2.</w:t>
      </w:r>
      <w:r w:rsidR="008B0876">
        <w:rPr>
          <w:sz w:val="22"/>
        </w:rPr>
        <w:tab/>
      </w:r>
      <w:r w:rsidR="00856D74">
        <w:rPr>
          <w:sz w:val="22"/>
        </w:rPr>
        <w:t xml:space="preserve"> D</w:t>
      </w:r>
      <w:r w:rsidRPr="008B0876">
        <w:rPr>
          <w:sz w:val="22"/>
        </w:rPr>
        <w:t xml:space="preserve">eclaring that the said clause in the mortgage agreement is unlawful as from the date it purported to take effect, being 16 February 2010, in terms of section 90(3) of the NCA; </w:t>
      </w:r>
    </w:p>
    <w:p w:rsidR="008B0876" w:rsidRPr="008B0876" w:rsidRDefault="00E558F0" w:rsidP="008B0876">
      <w:pPr>
        <w:pStyle w:val="JudgmentNumbered"/>
        <w:numPr>
          <w:ilvl w:val="0"/>
          <w:numId w:val="0"/>
        </w:numPr>
        <w:ind w:left="2160" w:hanging="720"/>
        <w:rPr>
          <w:sz w:val="22"/>
        </w:rPr>
      </w:pPr>
      <w:r w:rsidRPr="008B0876">
        <w:rPr>
          <w:sz w:val="22"/>
        </w:rPr>
        <w:t xml:space="preserve">3. </w:t>
      </w:r>
      <w:r w:rsidR="008B0876">
        <w:rPr>
          <w:sz w:val="22"/>
        </w:rPr>
        <w:tab/>
      </w:r>
      <w:r w:rsidRPr="008B0876">
        <w:rPr>
          <w:sz w:val="22"/>
        </w:rPr>
        <w:t xml:space="preserve">Declaring that it is just and reasonable in the circumstances to give effect to section 89 (5) principles with regard to the unlawful provision and/or the entire mortgage agreement by ordering and directing – </w:t>
      </w:r>
    </w:p>
    <w:p w:rsidR="008B0876" w:rsidRPr="008B0876" w:rsidRDefault="00E558F0" w:rsidP="008B0876">
      <w:pPr>
        <w:pStyle w:val="JudgmentNumbered"/>
        <w:numPr>
          <w:ilvl w:val="0"/>
          <w:numId w:val="0"/>
        </w:numPr>
        <w:ind w:left="2160"/>
        <w:rPr>
          <w:sz w:val="22"/>
        </w:rPr>
      </w:pPr>
      <w:r w:rsidRPr="008B0876">
        <w:rPr>
          <w:sz w:val="22"/>
        </w:rPr>
        <w:t xml:space="preserve">3.1 that the entire mortgage agreement is void from the date it was entered into on 16 October 2010, in terms of s90(4) (b) of the NCA; </w:t>
      </w:r>
    </w:p>
    <w:p w:rsidR="008B0876" w:rsidRPr="008B0876" w:rsidRDefault="008B0876" w:rsidP="008B0876">
      <w:pPr>
        <w:pStyle w:val="JudgmentNumbered"/>
        <w:numPr>
          <w:ilvl w:val="0"/>
          <w:numId w:val="0"/>
        </w:numPr>
        <w:ind w:left="2160"/>
        <w:rPr>
          <w:sz w:val="22"/>
        </w:rPr>
      </w:pPr>
      <w:r w:rsidRPr="008B0876">
        <w:rPr>
          <w:sz w:val="22"/>
        </w:rPr>
        <w:t>3</w:t>
      </w:r>
      <w:r w:rsidR="00856D74">
        <w:rPr>
          <w:sz w:val="22"/>
        </w:rPr>
        <w:t>.2 the first and second r</w:t>
      </w:r>
      <w:r w:rsidR="00E558F0" w:rsidRPr="008B0876">
        <w:rPr>
          <w:sz w:val="22"/>
        </w:rPr>
        <w:t>espondent to refun</w:t>
      </w:r>
      <w:r w:rsidR="00856D74">
        <w:rPr>
          <w:sz w:val="22"/>
        </w:rPr>
        <w:t>d to the a</w:t>
      </w:r>
      <w:r w:rsidR="00E558F0" w:rsidRPr="008B0876">
        <w:rPr>
          <w:sz w:val="22"/>
        </w:rPr>
        <w:t xml:space="preserve">pplicants all moneys paid by them under the mortgage agreement, with necessary interest calculated in terms of section 9 (5)(b) of the Act; </w:t>
      </w:r>
    </w:p>
    <w:p w:rsidR="008B0876" w:rsidRPr="008B0876" w:rsidRDefault="008B0876" w:rsidP="008B0876">
      <w:pPr>
        <w:pStyle w:val="JudgmentNumbered"/>
        <w:numPr>
          <w:ilvl w:val="0"/>
          <w:numId w:val="0"/>
        </w:numPr>
        <w:ind w:left="2160"/>
        <w:rPr>
          <w:sz w:val="22"/>
        </w:rPr>
      </w:pPr>
      <w:r w:rsidRPr="008B0876">
        <w:rPr>
          <w:sz w:val="22"/>
        </w:rPr>
        <w:t>3</w:t>
      </w:r>
      <w:r w:rsidR="009B5B50">
        <w:rPr>
          <w:sz w:val="22"/>
        </w:rPr>
        <w:t>.3 that all rights of the first and second r</w:t>
      </w:r>
      <w:r w:rsidR="00E558F0" w:rsidRPr="008B0876">
        <w:rPr>
          <w:sz w:val="22"/>
        </w:rPr>
        <w:t>espondent under the mortgage agreement to recover any monies</w:t>
      </w:r>
      <w:r w:rsidR="00856D74">
        <w:rPr>
          <w:sz w:val="22"/>
        </w:rPr>
        <w:t xml:space="preserve"> from the first and second a</w:t>
      </w:r>
      <w:r w:rsidR="00E558F0" w:rsidRPr="008B0876">
        <w:rPr>
          <w:sz w:val="22"/>
        </w:rPr>
        <w:t xml:space="preserve">pplicant be and are hereby cancelled or revoked; </w:t>
      </w:r>
    </w:p>
    <w:p w:rsidR="005C5020" w:rsidRPr="00AB22A2" w:rsidRDefault="00E558F0" w:rsidP="008B0876">
      <w:pPr>
        <w:pStyle w:val="JudgmentNumbered"/>
        <w:numPr>
          <w:ilvl w:val="0"/>
          <w:numId w:val="0"/>
        </w:numPr>
        <w:ind w:left="2156" w:hanging="410"/>
        <w:rPr>
          <w:sz w:val="22"/>
        </w:rPr>
      </w:pPr>
      <w:r w:rsidRPr="008B0876">
        <w:rPr>
          <w:sz w:val="22"/>
        </w:rPr>
        <w:t xml:space="preserve">4. </w:t>
      </w:r>
      <w:r w:rsidR="008B0876">
        <w:rPr>
          <w:sz w:val="22"/>
        </w:rPr>
        <w:tab/>
      </w:r>
      <w:r w:rsidR="00856D74">
        <w:rPr>
          <w:sz w:val="22"/>
        </w:rPr>
        <w:t>Directing the respondents to pay the a</w:t>
      </w:r>
      <w:r w:rsidRPr="008B0876">
        <w:rPr>
          <w:sz w:val="22"/>
        </w:rPr>
        <w:t>pplicant’s cost of bringing the application</w:t>
      </w:r>
      <w:r w:rsidR="008B0876" w:rsidRPr="008B0876">
        <w:rPr>
          <w:sz w:val="22"/>
        </w:rPr>
        <w:t>.</w:t>
      </w:r>
      <w:r w:rsidR="00AB22A2" w:rsidRPr="00AB22A2">
        <w:rPr>
          <w:sz w:val="22"/>
        </w:rPr>
        <w:t>”</w:t>
      </w:r>
    </w:p>
    <w:p w:rsidR="005C5020" w:rsidRPr="00AB22A2" w:rsidRDefault="005C5020" w:rsidP="002175F4">
      <w:pPr>
        <w:pStyle w:val="JudgmentNumbered"/>
        <w:numPr>
          <w:ilvl w:val="0"/>
          <w:numId w:val="0"/>
        </w:numPr>
        <w:ind w:left="839" w:firstLine="153"/>
        <w:rPr>
          <w:i/>
        </w:rPr>
      </w:pPr>
      <w:r w:rsidRPr="00AB22A2">
        <w:rPr>
          <w:i/>
        </w:rPr>
        <w:t>Background</w:t>
      </w:r>
    </w:p>
    <w:p w:rsidR="00566D8E" w:rsidRDefault="006B0AE5" w:rsidP="006B0AE5">
      <w:pPr>
        <w:pStyle w:val="JudgmentNumbered"/>
        <w:numPr>
          <w:ilvl w:val="0"/>
          <w:numId w:val="0"/>
        </w:numPr>
        <w:ind w:left="567" w:hanging="567"/>
      </w:pPr>
      <w:r>
        <w:lastRenderedPageBreak/>
        <w:t>[4]</w:t>
      </w:r>
      <w:r>
        <w:tab/>
      </w:r>
      <w:r w:rsidR="00AB22A2">
        <w:t xml:space="preserve">The first and second </w:t>
      </w:r>
      <w:r w:rsidR="005566A7">
        <w:t>respondents</w:t>
      </w:r>
      <w:r w:rsidR="005566A7" w:rsidRPr="00D95514">
        <w:t xml:space="preserve">, </w:t>
      </w:r>
      <w:r w:rsidR="00CE6D24" w:rsidRPr="00D95514">
        <w:t>are</w:t>
      </w:r>
      <w:r w:rsidR="00CE6D24">
        <w:t xml:space="preserve"> </w:t>
      </w:r>
      <w:r w:rsidR="005566A7">
        <w:t>married</w:t>
      </w:r>
      <w:r w:rsidR="007C5872">
        <w:t xml:space="preserve"> in community of property</w:t>
      </w:r>
      <w:r w:rsidR="00144A2E">
        <w:t>.</w:t>
      </w:r>
      <w:r w:rsidR="007C5872">
        <w:t xml:space="preserve"> </w:t>
      </w:r>
      <w:r w:rsidR="00144A2E">
        <w:t xml:space="preserve">On 16 February 2010 they </w:t>
      </w:r>
      <w:r w:rsidR="007C5872">
        <w:t xml:space="preserve">entered </w:t>
      </w:r>
      <w:r w:rsidR="00144A2E">
        <w:t xml:space="preserve">into </w:t>
      </w:r>
      <w:r w:rsidR="00AB22A2">
        <w:t xml:space="preserve">a mortgage loan agreement </w:t>
      </w:r>
      <w:r w:rsidR="007C5872">
        <w:t xml:space="preserve">with the </w:t>
      </w:r>
      <w:r w:rsidR="00AB22A2">
        <w:t>s</w:t>
      </w:r>
      <w:r w:rsidR="007C5872">
        <w:t xml:space="preserve">econd </w:t>
      </w:r>
      <w:r w:rsidR="00AB22A2">
        <w:t>a</w:t>
      </w:r>
      <w:r w:rsidR="007C5872">
        <w:t>pplicant (E</w:t>
      </w:r>
      <w:r w:rsidR="00F67D03">
        <w:t>skom</w:t>
      </w:r>
      <w:r w:rsidR="00645414">
        <w:t>)</w:t>
      </w:r>
      <w:r w:rsidR="00144A2E">
        <w:t xml:space="preserve"> </w:t>
      </w:r>
      <w:r w:rsidR="00566D8E">
        <w:t xml:space="preserve">whilst the first respondent was employed with Eskom. The first respondent, due to his employment with Eskom, qualified for a loan in the amount of R 2 000 000.00 at a preferential interest rate. An indemnity bond was registered over the immovable property in favour of Eskom on 1 April 2010 as security for the mortgage loan. The first applicant, Nqaba, guaranteed the respondents’ indebtedness to Eskom in terms of the loan agreement and the indemnity agreement. The respondents signed the relevant agreements during February 2010 and April 2010, which included the mortgage loan agreement, with the standard mortgage conditions, the schedule terms and conditions, the indemnity agreement (collective agreements). The agreement notably authorised the execution of the indemnity bond over the property. </w:t>
      </w:r>
    </w:p>
    <w:p w:rsidR="00844AF1" w:rsidRDefault="006B0AE5" w:rsidP="006B0AE5">
      <w:pPr>
        <w:pStyle w:val="JudgmentNumbered"/>
        <w:numPr>
          <w:ilvl w:val="0"/>
          <w:numId w:val="0"/>
        </w:numPr>
        <w:ind w:left="567" w:hanging="567"/>
      </w:pPr>
      <w:r>
        <w:t>[5]</w:t>
      </w:r>
      <w:r>
        <w:tab/>
      </w:r>
      <w:r w:rsidR="00144A2E">
        <w:t>In October 2016,</w:t>
      </w:r>
      <w:r w:rsidR="006A2B87">
        <w:t xml:space="preserve"> Eskom</w:t>
      </w:r>
      <w:r w:rsidR="00144A2E">
        <w:t xml:space="preserve"> terminated the employment contract of the second respondent</w:t>
      </w:r>
      <w:r w:rsidR="00645414">
        <w:t xml:space="preserve">. </w:t>
      </w:r>
      <w:r w:rsidR="00144A2E">
        <w:t>Nonetheless, t</w:t>
      </w:r>
      <w:r w:rsidR="00645414">
        <w:t xml:space="preserve">he respondents </w:t>
      </w:r>
      <w:r w:rsidR="00C86F21">
        <w:t>continued making payments</w:t>
      </w:r>
      <w:r w:rsidR="006A2B87">
        <w:t xml:space="preserve"> thereafter</w:t>
      </w:r>
      <w:r w:rsidR="00144A2E">
        <w:t xml:space="preserve"> but </w:t>
      </w:r>
      <w:r w:rsidR="006A2B87">
        <w:t xml:space="preserve">then skipped a number of </w:t>
      </w:r>
      <w:r w:rsidR="00744591">
        <w:t>payments</w:t>
      </w:r>
      <w:r w:rsidR="006A2B87">
        <w:t xml:space="preserve"> over a period of time. There were at least </w:t>
      </w:r>
      <w:r w:rsidR="00441337">
        <w:t xml:space="preserve">52 </w:t>
      </w:r>
      <w:r w:rsidR="006A2B87">
        <w:t xml:space="preserve">missed </w:t>
      </w:r>
      <w:r w:rsidR="00C86F21">
        <w:t>payments for the duration of the agreement at the tim</w:t>
      </w:r>
      <w:r w:rsidR="006A2B87">
        <w:t xml:space="preserve">e the matter </w:t>
      </w:r>
      <w:r w:rsidR="00144A2E">
        <w:t xml:space="preserve">was enrolled </w:t>
      </w:r>
      <w:r w:rsidR="006A2B87">
        <w:t>before this</w:t>
      </w:r>
      <w:r w:rsidR="00C86F21">
        <w:t xml:space="preserve"> court. </w:t>
      </w:r>
      <w:r w:rsidR="00441337">
        <w:t>The</w:t>
      </w:r>
      <w:r w:rsidR="006A2B87">
        <w:t xml:space="preserve"> respondents </w:t>
      </w:r>
      <w:r w:rsidR="00441337">
        <w:t>stopped paying</w:t>
      </w:r>
      <w:r w:rsidR="006A2B87">
        <w:t xml:space="preserve"> completely </w:t>
      </w:r>
      <w:r w:rsidR="00441337">
        <w:t xml:space="preserve">in October 2020 and failed to make an arrangement to </w:t>
      </w:r>
      <w:r w:rsidR="006A2B87">
        <w:t xml:space="preserve">make up the missed payments or to propose </w:t>
      </w:r>
      <w:r w:rsidR="00441337">
        <w:t xml:space="preserve">an alternative arrangement to pay the arrears. </w:t>
      </w:r>
      <w:r w:rsidR="00C86F21">
        <w:t xml:space="preserve">The applicant dispatched a </w:t>
      </w:r>
      <w:r w:rsidR="00441337">
        <w:t xml:space="preserve">section 129 </w:t>
      </w:r>
      <w:r w:rsidR="00144A2E">
        <w:t xml:space="preserve">notice </w:t>
      </w:r>
      <w:r w:rsidR="00D311F4">
        <w:t xml:space="preserve">in terms </w:t>
      </w:r>
      <w:r w:rsidR="006A2B87">
        <w:t xml:space="preserve">of the National Credit Act 34 of 2005 (NCA). </w:t>
      </w:r>
      <w:r w:rsidR="00144A2E">
        <w:t xml:space="preserve">On 15 April 2021, </w:t>
      </w:r>
      <w:r w:rsidR="006A2B87">
        <w:t xml:space="preserve">the </w:t>
      </w:r>
      <w:r w:rsidR="00441337">
        <w:t>present a</w:t>
      </w:r>
      <w:r w:rsidR="007C5872">
        <w:t xml:space="preserve">pplication was served upon both the </w:t>
      </w:r>
      <w:r w:rsidR="00441337">
        <w:t>r</w:t>
      </w:r>
      <w:r w:rsidR="007C5872">
        <w:t xml:space="preserve">espondents’ chosen </w:t>
      </w:r>
      <w:r w:rsidR="007C5872" w:rsidRPr="00441337">
        <w:rPr>
          <w:i/>
        </w:rPr>
        <w:t>domicilium</w:t>
      </w:r>
      <w:r w:rsidR="007C5872">
        <w:t xml:space="preserve"> addr</w:t>
      </w:r>
      <w:r w:rsidR="00441337">
        <w:t>ess by personal service on the second r</w:t>
      </w:r>
      <w:r w:rsidR="007C5872">
        <w:t xml:space="preserve">espondent. </w:t>
      </w:r>
      <w:r w:rsidR="00844AF1">
        <w:t xml:space="preserve">The respondents did not file a </w:t>
      </w:r>
      <w:r w:rsidR="00283014">
        <w:t>n</w:t>
      </w:r>
      <w:r w:rsidR="007C5872">
        <w:t xml:space="preserve">otice of </w:t>
      </w:r>
      <w:r w:rsidR="00283014">
        <w:t>i</w:t>
      </w:r>
      <w:r w:rsidR="007C5872">
        <w:t xml:space="preserve">ntention to </w:t>
      </w:r>
      <w:r w:rsidR="00283014">
        <w:t>op</w:t>
      </w:r>
      <w:r w:rsidR="007C5872">
        <w:t>pose</w:t>
      </w:r>
      <w:r w:rsidR="00283014">
        <w:t xml:space="preserve"> the application</w:t>
      </w:r>
      <w:r w:rsidR="00844AF1">
        <w:t xml:space="preserve">, they </w:t>
      </w:r>
      <w:r w:rsidR="007C5872">
        <w:t xml:space="preserve">served an </w:t>
      </w:r>
      <w:r w:rsidR="00844AF1">
        <w:t>o</w:t>
      </w:r>
      <w:r w:rsidR="007C5872">
        <w:t xml:space="preserve">pposing </w:t>
      </w:r>
      <w:r w:rsidR="00844AF1">
        <w:t>a</w:t>
      </w:r>
      <w:r w:rsidR="007C5872">
        <w:t>ffidavit</w:t>
      </w:r>
      <w:r w:rsidR="00144A2E">
        <w:t xml:space="preserve"> only</w:t>
      </w:r>
      <w:r w:rsidR="007C5872">
        <w:t xml:space="preserve"> in April 2021</w:t>
      </w:r>
      <w:r w:rsidR="00844AF1">
        <w:t xml:space="preserve"> and subsequently a counter</w:t>
      </w:r>
      <w:r w:rsidR="00283014">
        <w:t>-</w:t>
      </w:r>
      <w:r w:rsidR="00844AF1">
        <w:t xml:space="preserve">application. </w:t>
      </w:r>
    </w:p>
    <w:p w:rsidR="008E7AF9" w:rsidRDefault="006B0AE5" w:rsidP="006B0AE5">
      <w:pPr>
        <w:pStyle w:val="JudgmentNumbered"/>
        <w:numPr>
          <w:ilvl w:val="0"/>
          <w:numId w:val="0"/>
        </w:numPr>
        <w:ind w:left="567" w:hanging="567"/>
      </w:pPr>
      <w:r>
        <w:t>[6]</w:t>
      </w:r>
      <w:r>
        <w:tab/>
      </w:r>
      <w:r w:rsidR="00144A2E">
        <w:t>As alluded to already, d</w:t>
      </w:r>
      <w:r w:rsidR="008E7AF9">
        <w:t>uring the first respondent’s employment with Eskom</w:t>
      </w:r>
      <w:r w:rsidR="00744591">
        <w:t>,</w:t>
      </w:r>
      <w:r w:rsidR="008E7AF9">
        <w:t xml:space="preserve"> he </w:t>
      </w:r>
      <w:r w:rsidR="00CE6D24" w:rsidRPr="00D95514">
        <w:t>(like all Eskom employees)</w:t>
      </w:r>
      <w:r w:rsidR="00CE6D24">
        <w:t xml:space="preserve"> </w:t>
      </w:r>
      <w:r w:rsidR="008E7AF9">
        <w:t xml:space="preserve">enjoyed a preferential </w:t>
      </w:r>
      <w:r w:rsidR="008E5DB5">
        <w:t xml:space="preserve">interest </w:t>
      </w:r>
      <w:r w:rsidR="008E7AF9">
        <w:t>rate. Eskom Finance Company (EFC) was established by E</w:t>
      </w:r>
      <w:r w:rsidR="008E5DB5">
        <w:t xml:space="preserve">skom </w:t>
      </w:r>
      <w:r w:rsidR="008E7AF9">
        <w:t>in 1990 to provide finance to employees of the E</w:t>
      </w:r>
      <w:r w:rsidR="008E5DB5">
        <w:t xml:space="preserve">skom </w:t>
      </w:r>
      <w:r w:rsidR="008E7AF9">
        <w:t xml:space="preserve">Group on preferential terms and conditions.  It afforded employees lower than market-related interest rates </w:t>
      </w:r>
      <w:r w:rsidR="00283014">
        <w:t>to</w:t>
      </w:r>
      <w:r w:rsidR="00B807C1">
        <w:t xml:space="preserve"> </w:t>
      </w:r>
      <w:r w:rsidR="008E7AF9">
        <w:t>finance home loans. E</w:t>
      </w:r>
      <w:r w:rsidR="008E5DB5">
        <w:t xml:space="preserve">skom </w:t>
      </w:r>
      <w:r w:rsidR="00B807C1">
        <w:t>employees are afforded this</w:t>
      </w:r>
      <w:r w:rsidR="008E7AF9">
        <w:t xml:space="preserve"> </w:t>
      </w:r>
      <w:r w:rsidR="00B807C1">
        <w:t xml:space="preserve">benefit </w:t>
      </w:r>
      <w:r w:rsidR="008E7AF9">
        <w:t xml:space="preserve">against a guaranteed payroll </w:t>
      </w:r>
      <w:r w:rsidR="008E7AF9">
        <w:lastRenderedPageBreak/>
        <w:t>deduction from Eskom to EFC. This change</w:t>
      </w:r>
      <w:r w:rsidR="008E5DB5">
        <w:t>s</w:t>
      </w:r>
      <w:r w:rsidR="008E7AF9">
        <w:t xml:space="preserve"> once an employee resign</w:t>
      </w:r>
      <w:r w:rsidR="008E5DB5">
        <w:t>s</w:t>
      </w:r>
      <w:r w:rsidR="00B807C1">
        <w:t xml:space="preserve"> </w:t>
      </w:r>
      <w:r w:rsidR="008E5DB5">
        <w:t xml:space="preserve">or their employment is terminated. </w:t>
      </w:r>
      <w:r w:rsidR="00E41F21">
        <w:t xml:space="preserve">The rate </w:t>
      </w:r>
      <w:r w:rsidR="008E5DB5">
        <w:t xml:space="preserve">then </w:t>
      </w:r>
      <w:r w:rsidR="00E41F21">
        <w:t>change</w:t>
      </w:r>
      <w:r w:rsidR="008E5DB5">
        <w:t xml:space="preserve">s to a higher rate. </w:t>
      </w:r>
      <w:r w:rsidR="00B807C1">
        <w:t>I</w:t>
      </w:r>
      <w:r w:rsidR="008E5DB5">
        <w:t xml:space="preserve">t increases to a </w:t>
      </w:r>
      <w:r w:rsidR="008E7AF9">
        <w:t>rate of up to 2% above the prime lending</w:t>
      </w:r>
      <w:r w:rsidR="008E5DB5">
        <w:t xml:space="preserve"> rate</w:t>
      </w:r>
      <w:r w:rsidR="00E41F21">
        <w:t xml:space="preserve">. The loan is thus </w:t>
      </w:r>
      <w:r w:rsidR="008E5DB5">
        <w:t xml:space="preserve">recalculated </w:t>
      </w:r>
      <w:r w:rsidR="00E41F21">
        <w:t xml:space="preserve">at a higher rate and takes into account the particular </w:t>
      </w:r>
      <w:r w:rsidR="008E7AF9">
        <w:t>ex-employee’s risk to EFC</w:t>
      </w:r>
      <w:r w:rsidR="00E41F21">
        <w:rPr>
          <w:rStyle w:val="FootnoteReference"/>
        </w:rPr>
        <w:footnoteReference w:id="1"/>
      </w:r>
      <w:r w:rsidR="008E7AF9">
        <w:t xml:space="preserve">.  </w:t>
      </w:r>
      <w:r w:rsidR="00E41F21">
        <w:t xml:space="preserve">If an ex-employee is willing to sign a debit order </w:t>
      </w:r>
      <w:r w:rsidR="008E7AF9">
        <w:t xml:space="preserve">the interest rate </w:t>
      </w:r>
      <w:r w:rsidR="00A809AE">
        <w:t xml:space="preserve">may be reduced to </w:t>
      </w:r>
      <w:r w:rsidR="008E7AF9">
        <w:t>1.5% above prime rate.</w:t>
      </w:r>
      <w:r w:rsidR="00A809AE">
        <w:t xml:space="preserve"> The respondents did not sign a debit order or make an arrangement with Eskom and were charged the higher rate</w:t>
      </w:r>
      <w:r w:rsidR="008E5DB5">
        <w:t xml:space="preserve"> which was 2% above the prime lending rate</w:t>
      </w:r>
      <w:r w:rsidR="00A809AE">
        <w:t xml:space="preserve">. </w:t>
      </w:r>
    </w:p>
    <w:p w:rsidR="00971AB8" w:rsidRDefault="006B0AE5" w:rsidP="006B0AE5">
      <w:pPr>
        <w:pStyle w:val="JudgmentNumbered"/>
        <w:numPr>
          <w:ilvl w:val="0"/>
          <w:numId w:val="0"/>
        </w:numPr>
        <w:ind w:left="567" w:hanging="567"/>
      </w:pPr>
      <w:r>
        <w:t>[7]</w:t>
      </w:r>
      <w:r>
        <w:tab/>
      </w:r>
      <w:r w:rsidR="00863E91">
        <w:t xml:space="preserve">Upon the first </w:t>
      </w:r>
      <w:r w:rsidR="00044B11">
        <w:t>respondent’s</w:t>
      </w:r>
      <w:r w:rsidR="00863E91">
        <w:t xml:space="preserve"> termination of employment with Eskom</w:t>
      </w:r>
      <w:r w:rsidR="00044B11">
        <w:t>,</w:t>
      </w:r>
      <w:r w:rsidR="00863E91">
        <w:t xml:space="preserve"> the interest rate that he previously enjoyed </w:t>
      </w:r>
      <w:r w:rsidR="00144A2E">
        <w:t xml:space="preserve">automatically </w:t>
      </w:r>
      <w:r w:rsidR="00CE6D24" w:rsidRPr="00D95514">
        <w:t>lapsed. T</w:t>
      </w:r>
      <w:r w:rsidR="00CE6D24">
        <w:t>he</w:t>
      </w:r>
      <w:r w:rsidR="00863E91">
        <w:t xml:space="preserve"> rate</w:t>
      </w:r>
      <w:r w:rsidR="00844AF1">
        <w:t xml:space="preserve"> significantly increased </w:t>
      </w:r>
      <w:r w:rsidR="008E5DB5">
        <w:t xml:space="preserve">compared to what he enjoyed during the term of his employment, </w:t>
      </w:r>
      <w:r w:rsidR="00844AF1">
        <w:t>under the mortgage agreement</w:t>
      </w:r>
      <w:r w:rsidR="00A809AE">
        <w:t xml:space="preserve">. </w:t>
      </w:r>
      <w:r w:rsidR="0026532C">
        <w:t xml:space="preserve">He maintained payments initially and paid more increased amounts to pay off the loan quicker. </w:t>
      </w:r>
      <w:r w:rsidR="00CE6D24" w:rsidRPr="00D95514">
        <w:t>Th</w:t>
      </w:r>
      <w:r w:rsidR="0026532C">
        <w:t xml:space="preserve">is was not sustainable and the </w:t>
      </w:r>
      <w:r w:rsidR="00CE6D24" w:rsidRPr="00D95514">
        <w:t xml:space="preserve">respondents, </w:t>
      </w:r>
      <w:r w:rsidR="005250D5">
        <w:t xml:space="preserve">were unable to maintain payments </w:t>
      </w:r>
      <w:r w:rsidR="0026532C">
        <w:t xml:space="preserve">when </w:t>
      </w:r>
      <w:r w:rsidR="005250D5">
        <w:t>the first respondent</w:t>
      </w:r>
      <w:r w:rsidR="0026532C">
        <w:t>’</w:t>
      </w:r>
      <w:r w:rsidR="005250D5">
        <w:t>s consulting business experienc</w:t>
      </w:r>
      <w:r w:rsidR="0026532C">
        <w:t xml:space="preserve">ed a hiatus in incoming projects and </w:t>
      </w:r>
      <w:r w:rsidR="00971AB8">
        <w:t xml:space="preserve">accumulated </w:t>
      </w:r>
      <w:r w:rsidR="0026532C">
        <w:t xml:space="preserve">income </w:t>
      </w:r>
      <w:r w:rsidR="00971AB8">
        <w:t xml:space="preserve">became depleted coupled with the down turn in consulting projects during the Covid 19 pandemic. </w:t>
      </w:r>
    </w:p>
    <w:p w:rsidR="00A809AE" w:rsidRDefault="006B0AE5" w:rsidP="006B0AE5">
      <w:pPr>
        <w:pStyle w:val="JudgmentNumbered"/>
        <w:numPr>
          <w:ilvl w:val="0"/>
          <w:numId w:val="0"/>
        </w:numPr>
        <w:ind w:left="567" w:hanging="567"/>
      </w:pPr>
      <w:r>
        <w:t>[8]</w:t>
      </w:r>
      <w:r>
        <w:tab/>
      </w:r>
      <w:r w:rsidR="00A809AE">
        <w:t xml:space="preserve">Once the </w:t>
      </w:r>
      <w:r w:rsidR="00744591">
        <w:t xml:space="preserve">respondents’ </w:t>
      </w:r>
      <w:r w:rsidR="00144A2E">
        <w:t xml:space="preserve">ceased to make </w:t>
      </w:r>
      <w:r w:rsidR="00A809AE">
        <w:t xml:space="preserve">payments, </w:t>
      </w:r>
      <w:r w:rsidR="00863E91">
        <w:t xml:space="preserve">the second applicant </w:t>
      </w:r>
      <w:r w:rsidR="00844AF1">
        <w:t>called in the mortgage for the payment of the acce</w:t>
      </w:r>
      <w:r w:rsidR="00744591">
        <w:t xml:space="preserve">lerated balance (R1 674 488.96 </w:t>
      </w:r>
      <w:r w:rsidR="00844AF1">
        <w:t>together with interest)</w:t>
      </w:r>
      <w:r w:rsidR="00863E91">
        <w:t xml:space="preserve">. </w:t>
      </w:r>
      <w:r w:rsidR="00144A2E">
        <w:t>On 4 March 2021, w</w:t>
      </w:r>
      <w:r w:rsidR="00A809AE">
        <w:t>hen</w:t>
      </w:r>
      <w:r w:rsidR="00863E91">
        <w:t xml:space="preserve"> the</w:t>
      </w:r>
      <w:r w:rsidR="00744591">
        <w:t xml:space="preserve"> respondents </w:t>
      </w:r>
      <w:r w:rsidR="00863E91">
        <w:t>failed to pay the amount</w:t>
      </w:r>
      <w:r w:rsidR="00144A2E">
        <w:t>,</w:t>
      </w:r>
      <w:r w:rsidR="00863E91">
        <w:t xml:space="preserve"> the second applicant </w:t>
      </w:r>
      <w:r w:rsidR="00844AF1">
        <w:t>ins</w:t>
      </w:r>
      <w:r w:rsidR="00863E91">
        <w:t>tituted foreclosure proceedings</w:t>
      </w:r>
      <w:r w:rsidR="003317DC">
        <w:t>.</w:t>
      </w:r>
      <w:r w:rsidR="00B807C1">
        <w:t xml:space="preserve"> </w:t>
      </w:r>
      <w:r w:rsidR="00A809AE">
        <w:t xml:space="preserve">The applicants launched the </w:t>
      </w:r>
      <w:r w:rsidR="00844AF1">
        <w:t xml:space="preserve">application enforcing payment of the accelerated balance, </w:t>
      </w:r>
      <w:r w:rsidR="00744591">
        <w:t xml:space="preserve">coupled with </w:t>
      </w:r>
      <w:r w:rsidR="00844AF1">
        <w:t xml:space="preserve">an order declaring the residential property </w:t>
      </w:r>
      <w:r w:rsidR="00744591">
        <w:t xml:space="preserve">specially </w:t>
      </w:r>
      <w:r w:rsidR="00844AF1">
        <w:t>executable in terms of Rule 46A.</w:t>
      </w:r>
    </w:p>
    <w:p w:rsidR="008017DD" w:rsidRPr="00005E96" w:rsidRDefault="008017DD" w:rsidP="008017DD">
      <w:pPr>
        <w:pStyle w:val="JudgmentNumbered"/>
        <w:numPr>
          <w:ilvl w:val="0"/>
          <w:numId w:val="0"/>
        </w:numPr>
        <w:ind w:left="567"/>
        <w:rPr>
          <w:i/>
        </w:rPr>
      </w:pPr>
      <w:r>
        <w:rPr>
          <w:i/>
        </w:rPr>
        <w:t>Issues to be determined</w:t>
      </w:r>
    </w:p>
    <w:p w:rsidR="00B807C1" w:rsidRDefault="006B0AE5" w:rsidP="006B0AE5">
      <w:pPr>
        <w:pStyle w:val="JudgmentNumbered"/>
        <w:numPr>
          <w:ilvl w:val="0"/>
          <w:numId w:val="0"/>
        </w:numPr>
        <w:ind w:left="567" w:hanging="567"/>
      </w:pPr>
      <w:r>
        <w:t>[9]</w:t>
      </w:r>
      <w:r>
        <w:tab/>
      </w:r>
      <w:r w:rsidR="008017DD">
        <w:t>The issues for determination are</w:t>
      </w:r>
      <w:r w:rsidR="00F04DD0">
        <w:t xml:space="preserve"> as follows:</w:t>
      </w:r>
    </w:p>
    <w:p w:rsidR="008017DD" w:rsidRDefault="008017DD" w:rsidP="005050CE">
      <w:pPr>
        <w:pStyle w:val="JudgmentNumbered"/>
        <w:numPr>
          <w:ilvl w:val="1"/>
          <w:numId w:val="11"/>
        </w:numPr>
      </w:pPr>
      <w:r>
        <w:lastRenderedPageBreak/>
        <w:t xml:space="preserve">whether the </w:t>
      </w:r>
      <w:r w:rsidR="00E92B70" w:rsidRPr="00971AB8">
        <w:t xml:space="preserve">first </w:t>
      </w:r>
      <w:r w:rsidR="00F04DD0" w:rsidRPr="00971AB8">
        <w:t>applicant</w:t>
      </w:r>
      <w:r w:rsidR="00E92B70">
        <w:t xml:space="preserve"> </w:t>
      </w:r>
      <w:r w:rsidR="00F04DD0">
        <w:t>ha</w:t>
      </w:r>
      <w:r w:rsidR="00E92B70" w:rsidRPr="00971AB8">
        <w:t>s</w:t>
      </w:r>
      <w:r w:rsidR="00E92B70">
        <w:t xml:space="preserve"> </w:t>
      </w:r>
      <w:r w:rsidR="00F04DD0">
        <w:t xml:space="preserve">made out a case for special executability and whether </w:t>
      </w:r>
      <w:r>
        <w:t xml:space="preserve">respondents have raised a </w:t>
      </w:r>
      <w:r w:rsidRPr="00B807C1">
        <w:rPr>
          <w:i/>
        </w:rPr>
        <w:t>bona fide</w:t>
      </w:r>
      <w:r>
        <w:t xml:space="preserve"> and legally tenable defence to the applicants’ claims. </w:t>
      </w:r>
    </w:p>
    <w:p w:rsidR="008017DD" w:rsidRDefault="005050CE" w:rsidP="005050CE">
      <w:pPr>
        <w:pStyle w:val="JudgmentNumbered"/>
        <w:numPr>
          <w:ilvl w:val="0"/>
          <w:numId w:val="0"/>
        </w:numPr>
        <w:ind w:left="1287" w:hanging="720"/>
      </w:pPr>
      <w:r>
        <w:t>9.2.</w:t>
      </w:r>
      <w:r>
        <w:tab/>
      </w:r>
      <w:r w:rsidR="00A45383">
        <w:t xml:space="preserve">whether </w:t>
      </w:r>
      <w:r w:rsidR="008017DD">
        <w:t xml:space="preserve">the reserve price for a sale in execution needs to be judicially determined by </w:t>
      </w:r>
      <w:r w:rsidR="008017DD" w:rsidRPr="00971AB8">
        <w:t>th</w:t>
      </w:r>
      <w:r w:rsidR="00B53090" w:rsidRPr="00971AB8">
        <w:t>is c</w:t>
      </w:r>
      <w:r w:rsidR="008017DD">
        <w:t>ourt.</w:t>
      </w:r>
    </w:p>
    <w:p w:rsidR="00B53090" w:rsidRDefault="005050CE" w:rsidP="005050CE">
      <w:pPr>
        <w:pStyle w:val="JudgmentNumbered"/>
        <w:numPr>
          <w:ilvl w:val="0"/>
          <w:numId w:val="0"/>
        </w:numPr>
        <w:ind w:left="1287" w:hanging="720"/>
      </w:pPr>
      <w:r>
        <w:t>9.3.</w:t>
      </w:r>
      <w:r>
        <w:tab/>
      </w:r>
      <w:r w:rsidR="00B53090">
        <w:t xml:space="preserve">whether the mortgage agreement should be invalidated and declared void in terms of the NCA as prayed for in the counterapplication. </w:t>
      </w:r>
    </w:p>
    <w:p w:rsidR="00B53090" w:rsidRDefault="00B53090" w:rsidP="00B807C1">
      <w:pPr>
        <w:pStyle w:val="JudgmentNumbered"/>
        <w:numPr>
          <w:ilvl w:val="0"/>
          <w:numId w:val="0"/>
        </w:numPr>
        <w:ind w:left="1080" w:hanging="513"/>
      </w:pPr>
    </w:p>
    <w:p w:rsidR="00F04DD0" w:rsidRPr="00F04DD0" w:rsidRDefault="00F04DD0" w:rsidP="002175F4">
      <w:pPr>
        <w:pStyle w:val="JudgmentNumbered"/>
        <w:numPr>
          <w:ilvl w:val="0"/>
          <w:numId w:val="0"/>
        </w:numPr>
        <w:ind w:left="567" w:firstLine="153"/>
        <w:rPr>
          <w:i/>
        </w:rPr>
      </w:pPr>
      <w:r>
        <w:rPr>
          <w:i/>
        </w:rPr>
        <w:t xml:space="preserve">Rule </w:t>
      </w:r>
      <w:r w:rsidR="00B807C1">
        <w:rPr>
          <w:i/>
        </w:rPr>
        <w:t>46A and the existence of b</w:t>
      </w:r>
      <w:r w:rsidRPr="00F04DD0">
        <w:rPr>
          <w:i/>
        </w:rPr>
        <w:t>ona fide defence or legally tenable claims</w:t>
      </w:r>
    </w:p>
    <w:p w:rsidR="00F77195" w:rsidRPr="00F77195" w:rsidRDefault="006B0AE5" w:rsidP="006B0AE5">
      <w:pPr>
        <w:pStyle w:val="JudgmentNumbered"/>
        <w:numPr>
          <w:ilvl w:val="0"/>
          <w:numId w:val="0"/>
        </w:numPr>
        <w:ind w:left="567" w:hanging="567"/>
      </w:pPr>
      <w:r>
        <w:t>[10]</w:t>
      </w:r>
      <w:r>
        <w:tab/>
      </w:r>
      <w:r w:rsidR="00A14F76">
        <w:t xml:space="preserve">The </w:t>
      </w:r>
      <w:r w:rsidR="00E92B70" w:rsidRPr="00971AB8">
        <w:t>first</w:t>
      </w:r>
      <w:r w:rsidR="00E92B70">
        <w:t xml:space="preserve"> </w:t>
      </w:r>
      <w:r w:rsidR="00A14F76">
        <w:t>applicant</w:t>
      </w:r>
      <w:r w:rsidR="00E92B70">
        <w:t xml:space="preserve"> </w:t>
      </w:r>
      <w:r w:rsidR="00CE6D24" w:rsidRPr="00971AB8">
        <w:t>seek</w:t>
      </w:r>
      <w:r w:rsidR="00E92B70" w:rsidRPr="00971AB8">
        <w:t>s</w:t>
      </w:r>
      <w:r w:rsidR="00CE6D24" w:rsidRPr="00971AB8">
        <w:t xml:space="preserve"> an order</w:t>
      </w:r>
      <w:r w:rsidR="00CE6D24">
        <w:t xml:space="preserve"> </w:t>
      </w:r>
      <w:r w:rsidR="00A14F76">
        <w:t xml:space="preserve">that the property be declared specially </w:t>
      </w:r>
      <w:r w:rsidR="00A45383">
        <w:t xml:space="preserve">executable. </w:t>
      </w:r>
      <w:r w:rsidR="00E92B70">
        <w:t xml:space="preserve">It </w:t>
      </w:r>
      <w:r w:rsidR="00A14F76">
        <w:t>contend</w:t>
      </w:r>
      <w:r w:rsidR="00E92B70">
        <w:t>s</w:t>
      </w:r>
      <w:r w:rsidR="00A14F76">
        <w:t xml:space="preserve"> that </w:t>
      </w:r>
      <w:r w:rsidR="00E92B70">
        <w:t xml:space="preserve">it </w:t>
      </w:r>
      <w:r w:rsidR="00A14F76">
        <w:t>ha</w:t>
      </w:r>
      <w:r w:rsidR="00E92B70">
        <w:t xml:space="preserve">s </w:t>
      </w:r>
      <w:r w:rsidR="00A14F76">
        <w:t>compli</w:t>
      </w:r>
      <w:r w:rsidR="00B807C1">
        <w:t>ed with the requirements of th</w:t>
      </w:r>
      <w:r w:rsidR="00A45383">
        <w:t>e Practice Directives of th</w:t>
      </w:r>
      <w:r w:rsidR="00B807C1">
        <w:t>is Division</w:t>
      </w:r>
      <w:r w:rsidR="00A45383">
        <w:t xml:space="preserve"> </w:t>
      </w:r>
      <w:r w:rsidR="00A14F76">
        <w:rPr>
          <w:szCs w:val="24"/>
        </w:rPr>
        <w:t>whe</w:t>
      </w:r>
      <w:r w:rsidR="00B807C1">
        <w:rPr>
          <w:szCs w:val="24"/>
        </w:rPr>
        <w:t>n seeking an order to declare a</w:t>
      </w:r>
      <w:r w:rsidR="00A14F76">
        <w:rPr>
          <w:szCs w:val="24"/>
        </w:rPr>
        <w:t xml:space="preserve"> property specially executable in terms of Rule 46A</w:t>
      </w:r>
      <w:r w:rsidR="00F77195">
        <w:rPr>
          <w:szCs w:val="24"/>
        </w:rPr>
        <w:t xml:space="preserve">, </w:t>
      </w:r>
      <w:r w:rsidR="00D408DA" w:rsidRPr="00F77195">
        <w:rPr>
          <w:szCs w:val="24"/>
        </w:rPr>
        <w:t xml:space="preserve">based on the authority of a plethora of </w:t>
      </w:r>
      <w:r w:rsidR="00A14F76" w:rsidRPr="00F77195">
        <w:rPr>
          <w:szCs w:val="24"/>
        </w:rPr>
        <w:t xml:space="preserve">cases that the </w:t>
      </w:r>
      <w:r w:rsidR="00D408DA" w:rsidRPr="00F77195">
        <w:rPr>
          <w:szCs w:val="24"/>
        </w:rPr>
        <w:t>Practice D</w:t>
      </w:r>
      <w:r w:rsidR="00A14F76" w:rsidRPr="00F77195">
        <w:rPr>
          <w:szCs w:val="24"/>
        </w:rPr>
        <w:t>irective</w:t>
      </w:r>
      <w:r w:rsidR="00A14F76">
        <w:rPr>
          <w:szCs w:val="24"/>
        </w:rPr>
        <w:t xml:space="preserve"> is based on.</w:t>
      </w:r>
      <w:r w:rsidR="00A14F76">
        <w:rPr>
          <w:rStyle w:val="FootnoteReference"/>
          <w:szCs w:val="24"/>
        </w:rPr>
        <w:footnoteReference w:id="2"/>
      </w:r>
      <w:r w:rsidR="00A14F76">
        <w:rPr>
          <w:szCs w:val="24"/>
        </w:rPr>
        <w:t xml:space="preserve">  </w:t>
      </w:r>
      <w:r w:rsidR="00DC6FF7">
        <w:rPr>
          <w:szCs w:val="24"/>
        </w:rPr>
        <w:t>The property is the primary residence of the respondents</w:t>
      </w:r>
      <w:r w:rsidR="00CD3925">
        <w:rPr>
          <w:szCs w:val="24"/>
        </w:rPr>
        <w:t xml:space="preserve"> </w:t>
      </w:r>
      <w:r w:rsidR="00DC6FF7">
        <w:rPr>
          <w:szCs w:val="24"/>
        </w:rPr>
        <w:t xml:space="preserve">and the notice of the application has come to the attention of the respondents as is evident from </w:t>
      </w:r>
      <w:r w:rsidR="00DC6FF7" w:rsidRPr="00F77195">
        <w:rPr>
          <w:szCs w:val="24"/>
        </w:rPr>
        <w:t>the</w:t>
      </w:r>
      <w:r w:rsidR="00D408DA" w:rsidRPr="00F77195">
        <w:rPr>
          <w:szCs w:val="24"/>
        </w:rPr>
        <w:t>ir</w:t>
      </w:r>
      <w:r w:rsidR="00DC6FF7">
        <w:rPr>
          <w:szCs w:val="24"/>
        </w:rPr>
        <w:t xml:space="preserve"> opposition</w:t>
      </w:r>
      <w:r w:rsidR="002175F4">
        <w:rPr>
          <w:szCs w:val="24"/>
        </w:rPr>
        <w:t xml:space="preserve"> </w:t>
      </w:r>
      <w:r w:rsidR="00D408DA" w:rsidRPr="00F77195">
        <w:rPr>
          <w:szCs w:val="24"/>
        </w:rPr>
        <w:t>of the application</w:t>
      </w:r>
      <w:r w:rsidR="00DC6FF7">
        <w:rPr>
          <w:szCs w:val="24"/>
        </w:rPr>
        <w:t xml:space="preserve">. The communication between the parties prior to the </w:t>
      </w:r>
      <w:r w:rsidR="00CD3925">
        <w:rPr>
          <w:szCs w:val="24"/>
        </w:rPr>
        <w:t xml:space="preserve">application also indicates that </w:t>
      </w:r>
      <w:r w:rsidR="00DC6FF7">
        <w:rPr>
          <w:szCs w:val="24"/>
        </w:rPr>
        <w:t xml:space="preserve">there were attempts to discuss </w:t>
      </w:r>
      <w:r w:rsidR="00D408DA" w:rsidRPr="00F77195">
        <w:rPr>
          <w:szCs w:val="24"/>
        </w:rPr>
        <w:t>and settle</w:t>
      </w:r>
      <w:r w:rsidR="00D408DA">
        <w:rPr>
          <w:szCs w:val="24"/>
        </w:rPr>
        <w:t xml:space="preserve"> </w:t>
      </w:r>
      <w:r w:rsidR="00DC6FF7">
        <w:rPr>
          <w:szCs w:val="24"/>
        </w:rPr>
        <w:t xml:space="preserve">the interest rate. The factors relevant to </w:t>
      </w:r>
      <w:r w:rsidR="00A14F76">
        <w:rPr>
          <w:szCs w:val="24"/>
        </w:rPr>
        <w:t>Rule 46A</w:t>
      </w:r>
      <w:r w:rsidR="00DC6FF7">
        <w:rPr>
          <w:szCs w:val="24"/>
        </w:rPr>
        <w:t xml:space="preserve"> have been addressed in the </w:t>
      </w:r>
      <w:r w:rsidR="00CD3925">
        <w:rPr>
          <w:szCs w:val="24"/>
        </w:rPr>
        <w:t>applicants’</w:t>
      </w:r>
      <w:r w:rsidR="00DC6FF7">
        <w:rPr>
          <w:szCs w:val="24"/>
        </w:rPr>
        <w:t xml:space="preserve"> affidavit relating to the value of the market property </w:t>
      </w:r>
      <w:r w:rsidR="00856D20">
        <w:rPr>
          <w:szCs w:val="24"/>
        </w:rPr>
        <w:t xml:space="preserve">which is </w:t>
      </w:r>
      <w:r w:rsidR="00DC6FF7">
        <w:rPr>
          <w:szCs w:val="24"/>
        </w:rPr>
        <w:t>currently R 2 400</w:t>
      </w:r>
      <w:r w:rsidR="00F77195">
        <w:rPr>
          <w:szCs w:val="24"/>
        </w:rPr>
        <w:t> </w:t>
      </w:r>
      <w:r w:rsidR="00DC6FF7">
        <w:rPr>
          <w:szCs w:val="24"/>
        </w:rPr>
        <w:t>000</w:t>
      </w:r>
      <w:r w:rsidR="00F77195">
        <w:rPr>
          <w:szCs w:val="24"/>
        </w:rPr>
        <w:t xml:space="preserve"> and may achieve a substantially higher market price.</w:t>
      </w:r>
      <w:r w:rsidR="00D408DA">
        <w:rPr>
          <w:szCs w:val="24"/>
        </w:rPr>
        <w:t xml:space="preserve"> </w:t>
      </w:r>
      <w:r w:rsidR="00F77195">
        <w:rPr>
          <w:szCs w:val="24"/>
        </w:rPr>
        <w:t>T</w:t>
      </w:r>
      <w:r w:rsidR="00856D20">
        <w:rPr>
          <w:szCs w:val="24"/>
        </w:rPr>
        <w:t xml:space="preserve">he </w:t>
      </w:r>
      <w:r w:rsidR="00DC6FF7">
        <w:rPr>
          <w:szCs w:val="24"/>
        </w:rPr>
        <w:t xml:space="preserve">outstanding </w:t>
      </w:r>
      <w:r w:rsidR="002175F4">
        <w:rPr>
          <w:szCs w:val="24"/>
        </w:rPr>
        <w:t>amount due on the municipal services account</w:t>
      </w:r>
      <w:r w:rsidR="00F77195">
        <w:rPr>
          <w:szCs w:val="24"/>
        </w:rPr>
        <w:t xml:space="preserve"> at the time of the application is </w:t>
      </w:r>
      <w:r w:rsidR="00DC6FF7">
        <w:rPr>
          <w:szCs w:val="24"/>
        </w:rPr>
        <w:t>R 21 161.62</w:t>
      </w:r>
      <w:r w:rsidR="00F77195">
        <w:rPr>
          <w:szCs w:val="24"/>
        </w:rPr>
        <w:t xml:space="preserve"> and the respondents are paying this off</w:t>
      </w:r>
      <w:r w:rsidR="00DC6FF7">
        <w:rPr>
          <w:szCs w:val="24"/>
        </w:rPr>
        <w:t>.</w:t>
      </w:r>
    </w:p>
    <w:p w:rsidR="00CD3925" w:rsidRPr="00CD3925" w:rsidRDefault="006B0AE5" w:rsidP="006B0AE5">
      <w:pPr>
        <w:pStyle w:val="JudgmentNumbered"/>
        <w:numPr>
          <w:ilvl w:val="0"/>
          <w:numId w:val="0"/>
        </w:numPr>
        <w:ind w:left="567" w:hanging="567"/>
      </w:pPr>
      <w:r>
        <w:rPr>
          <w:szCs w:val="24"/>
        </w:rPr>
        <w:t>[11]</w:t>
      </w:r>
      <w:r>
        <w:rPr>
          <w:szCs w:val="24"/>
        </w:rPr>
        <w:tab/>
      </w:r>
      <w:r w:rsidR="00DC6FF7">
        <w:rPr>
          <w:szCs w:val="24"/>
        </w:rPr>
        <w:t>The applican</w:t>
      </w:r>
      <w:r w:rsidR="00DC6FF7" w:rsidRPr="00F77195">
        <w:rPr>
          <w:szCs w:val="24"/>
        </w:rPr>
        <w:t>t</w:t>
      </w:r>
      <w:r w:rsidR="00D408DA" w:rsidRPr="00F77195">
        <w:rPr>
          <w:szCs w:val="24"/>
        </w:rPr>
        <w:t>s</w:t>
      </w:r>
      <w:r w:rsidR="00CD3925">
        <w:rPr>
          <w:szCs w:val="24"/>
        </w:rPr>
        <w:t xml:space="preserve"> ha</w:t>
      </w:r>
      <w:r w:rsidR="00D408DA" w:rsidRPr="00F77195">
        <w:rPr>
          <w:szCs w:val="24"/>
        </w:rPr>
        <w:t>ve</w:t>
      </w:r>
      <w:r w:rsidR="00D408DA">
        <w:rPr>
          <w:szCs w:val="24"/>
        </w:rPr>
        <w:t xml:space="preserve"> </w:t>
      </w:r>
      <w:r w:rsidR="00CD3925">
        <w:rPr>
          <w:szCs w:val="24"/>
        </w:rPr>
        <w:t xml:space="preserve">engaged with the respondents on three occasions in writing </w:t>
      </w:r>
      <w:r w:rsidR="00E92B70" w:rsidRPr="00F77195">
        <w:rPr>
          <w:szCs w:val="24"/>
        </w:rPr>
        <w:t>in an</w:t>
      </w:r>
      <w:r w:rsidR="00E92B70">
        <w:rPr>
          <w:szCs w:val="24"/>
        </w:rPr>
        <w:t xml:space="preserve"> </w:t>
      </w:r>
      <w:r w:rsidR="00CD3925">
        <w:rPr>
          <w:szCs w:val="24"/>
        </w:rPr>
        <w:t xml:space="preserve">attempt to find </w:t>
      </w:r>
      <w:r w:rsidR="00A45383">
        <w:rPr>
          <w:szCs w:val="24"/>
        </w:rPr>
        <w:t xml:space="preserve">a </w:t>
      </w:r>
      <w:r w:rsidR="00CD3925">
        <w:rPr>
          <w:szCs w:val="24"/>
        </w:rPr>
        <w:t xml:space="preserve">resolution to the issue relating to the arrear </w:t>
      </w:r>
      <w:r w:rsidR="00CD3925" w:rsidRPr="00603A54">
        <w:rPr>
          <w:szCs w:val="24"/>
        </w:rPr>
        <w:t>payment</w:t>
      </w:r>
      <w:r w:rsidR="00E92B70" w:rsidRPr="00603A54">
        <w:rPr>
          <w:szCs w:val="24"/>
        </w:rPr>
        <w:t>s</w:t>
      </w:r>
      <w:r w:rsidR="00A45383" w:rsidRPr="00603A54">
        <w:rPr>
          <w:szCs w:val="24"/>
        </w:rPr>
        <w:t>.</w:t>
      </w:r>
      <w:r w:rsidR="00A45383">
        <w:rPr>
          <w:szCs w:val="24"/>
        </w:rPr>
        <w:t xml:space="preserve"> They </w:t>
      </w:r>
      <w:r w:rsidR="00CD3925">
        <w:rPr>
          <w:szCs w:val="24"/>
        </w:rPr>
        <w:t xml:space="preserve">notified </w:t>
      </w:r>
      <w:r w:rsidR="00E92B70">
        <w:rPr>
          <w:szCs w:val="24"/>
        </w:rPr>
        <w:t xml:space="preserve">and advised </w:t>
      </w:r>
      <w:r w:rsidR="00CD3925">
        <w:rPr>
          <w:szCs w:val="24"/>
        </w:rPr>
        <w:t xml:space="preserve">the respondents </w:t>
      </w:r>
      <w:r w:rsidR="00E92B70" w:rsidRPr="00603A54">
        <w:rPr>
          <w:szCs w:val="24"/>
        </w:rPr>
        <w:t>to</w:t>
      </w:r>
      <w:r w:rsidR="00E92B70">
        <w:rPr>
          <w:szCs w:val="24"/>
        </w:rPr>
        <w:t xml:space="preserve"> </w:t>
      </w:r>
      <w:r w:rsidR="00CD3925">
        <w:rPr>
          <w:szCs w:val="24"/>
        </w:rPr>
        <w:t>consider their option</w:t>
      </w:r>
      <w:r w:rsidR="00856D20">
        <w:rPr>
          <w:szCs w:val="24"/>
        </w:rPr>
        <w:t>s</w:t>
      </w:r>
      <w:r w:rsidR="00CD3925">
        <w:rPr>
          <w:szCs w:val="24"/>
        </w:rPr>
        <w:t xml:space="preserve"> in terms of section 129 of the NCA. </w:t>
      </w:r>
      <w:r w:rsidR="009134D0">
        <w:rPr>
          <w:szCs w:val="24"/>
        </w:rPr>
        <w:t xml:space="preserve">The section 129 in terms of the NCA notice was served </w:t>
      </w:r>
      <w:r w:rsidR="009134D0">
        <w:rPr>
          <w:szCs w:val="24"/>
        </w:rPr>
        <w:lastRenderedPageBreak/>
        <w:t>on the domicilium as provided in terms of the agreement.</w:t>
      </w:r>
      <w:r w:rsidR="009134D0">
        <w:rPr>
          <w:rStyle w:val="FootnoteReference"/>
          <w:szCs w:val="24"/>
        </w:rPr>
        <w:footnoteReference w:id="3"/>
      </w:r>
      <w:r w:rsidR="009134D0">
        <w:rPr>
          <w:szCs w:val="24"/>
        </w:rPr>
        <w:t xml:space="preserve"> </w:t>
      </w:r>
      <w:r w:rsidR="00CD3925">
        <w:rPr>
          <w:szCs w:val="24"/>
        </w:rPr>
        <w:t xml:space="preserve">The applicants contend </w:t>
      </w:r>
      <w:r w:rsidR="00A45383">
        <w:rPr>
          <w:szCs w:val="24"/>
        </w:rPr>
        <w:t xml:space="preserve">that </w:t>
      </w:r>
      <w:r w:rsidR="00CD3925">
        <w:rPr>
          <w:szCs w:val="24"/>
        </w:rPr>
        <w:t xml:space="preserve">the sale of the property is the only realistic possibility of realising sufficient value to </w:t>
      </w:r>
      <w:r w:rsidR="00E92B70">
        <w:rPr>
          <w:szCs w:val="24"/>
        </w:rPr>
        <w:t xml:space="preserve">settle </w:t>
      </w:r>
      <w:r w:rsidR="00CD3925">
        <w:rPr>
          <w:szCs w:val="24"/>
        </w:rPr>
        <w:t xml:space="preserve">the </w:t>
      </w:r>
      <w:r w:rsidR="00E92B70">
        <w:rPr>
          <w:szCs w:val="24"/>
        </w:rPr>
        <w:t xml:space="preserve">arrear </w:t>
      </w:r>
      <w:r w:rsidR="00CD3925">
        <w:rPr>
          <w:szCs w:val="24"/>
        </w:rPr>
        <w:t xml:space="preserve">amounts due to it without prejudicing the respondents who will need their vehicle for travel to employment and future accommodation they may acquire. </w:t>
      </w:r>
    </w:p>
    <w:p w:rsidR="00016D0A" w:rsidRDefault="006B0AE5" w:rsidP="006B0AE5">
      <w:pPr>
        <w:pStyle w:val="JudgmentNumbered"/>
        <w:numPr>
          <w:ilvl w:val="0"/>
          <w:numId w:val="0"/>
        </w:numPr>
        <w:ind w:left="567" w:hanging="567"/>
      </w:pPr>
      <w:r>
        <w:t>[12]</w:t>
      </w:r>
      <w:r>
        <w:tab/>
      </w:r>
      <w:r w:rsidR="008017DD">
        <w:t xml:space="preserve">The </w:t>
      </w:r>
      <w:r w:rsidR="00C62B5D">
        <w:t>respondent</w:t>
      </w:r>
      <w:r w:rsidR="00F30A80">
        <w:t>s</w:t>
      </w:r>
      <w:r w:rsidR="00016D0A">
        <w:t xml:space="preserve"> </w:t>
      </w:r>
      <w:r w:rsidR="00DC2975">
        <w:t>seek an order in their counterclaim</w:t>
      </w:r>
      <w:r w:rsidR="00B53090" w:rsidRPr="006C5ABA">
        <w:t xml:space="preserve"> for</w:t>
      </w:r>
      <w:r w:rsidR="00B53090">
        <w:t xml:space="preserve"> </w:t>
      </w:r>
      <w:r w:rsidR="008017DD">
        <w:t>a credit re-arrangement plan</w:t>
      </w:r>
      <w:r w:rsidR="00016D0A">
        <w:t xml:space="preserve"> </w:t>
      </w:r>
      <w:r w:rsidR="00856D20">
        <w:t xml:space="preserve">on the basis </w:t>
      </w:r>
      <w:r w:rsidR="00AC1876">
        <w:t xml:space="preserve">that </w:t>
      </w:r>
      <w:r w:rsidR="00F30A80">
        <w:t>t</w:t>
      </w:r>
      <w:r w:rsidR="00AC1876">
        <w:t>he</w:t>
      </w:r>
      <w:r w:rsidR="00F30A80">
        <w:t>y</w:t>
      </w:r>
      <w:r w:rsidR="00AC1876">
        <w:t xml:space="preserve"> </w:t>
      </w:r>
      <w:r w:rsidR="00F30A80">
        <w:t xml:space="preserve">are </w:t>
      </w:r>
      <w:r w:rsidR="00AC1876">
        <w:t>over-in</w:t>
      </w:r>
      <w:r w:rsidR="00016D0A">
        <w:t xml:space="preserve">debted. </w:t>
      </w:r>
      <w:r w:rsidR="00F30A80">
        <w:t xml:space="preserve">The respondents have not placed sufficient information before the court to even vaguely consider any kind of relief to determine whether they are over-indebted or to consider re-arranging their credit agreement with the applicants. The respondents do not indicate on what basis this should be considered. There simply has been no payment since October 2020. There is no indication of any income at present and how it is expended and what expenses receive priority. The information placed before the court related to the </w:t>
      </w:r>
      <w:r w:rsidR="006C5ABA">
        <w:t xml:space="preserve">historical payment history prior to October 2020 and the </w:t>
      </w:r>
      <w:r w:rsidR="00F30A80">
        <w:t xml:space="preserve">respondents’ family and a child with a physical challenge </w:t>
      </w:r>
      <w:r w:rsidR="006C5ABA">
        <w:t xml:space="preserve">requiring specific resources in the area. </w:t>
      </w:r>
      <w:r w:rsidR="00411B0A">
        <w:t>That on its own does not make out a case for the relief contended for</w:t>
      </w:r>
      <w:r w:rsidR="006C5ABA">
        <w:t xml:space="preserve"> in the absence of a payment schedule</w:t>
      </w:r>
      <w:r w:rsidR="00411B0A">
        <w:t xml:space="preserve">. </w:t>
      </w:r>
      <w:r w:rsidR="00B53090" w:rsidRPr="006C5ABA">
        <w:t>Over and above,</w:t>
      </w:r>
      <w:r w:rsidR="00B53090">
        <w:t xml:space="preserve"> t</w:t>
      </w:r>
      <w:r w:rsidR="00F30A80">
        <w:t>here is no indication how the respondents’ request is legally tenable as a defence to the application</w:t>
      </w:r>
      <w:r w:rsidR="00B53090">
        <w:t xml:space="preserve"> </w:t>
      </w:r>
      <w:r w:rsidR="00B53090" w:rsidRPr="00DC2975">
        <w:t>that the property be declared specially executable</w:t>
      </w:r>
      <w:r w:rsidR="00F30A80" w:rsidRPr="00DC2975">
        <w:t>.</w:t>
      </w:r>
      <w:r w:rsidR="00F30A80">
        <w:t xml:space="preserve"> Counsel for the respondents submitted that the agreement was unfair as the respondents were not aware that the interest rate would increase</w:t>
      </w:r>
      <w:r w:rsidR="00411B0A">
        <w:t>.</w:t>
      </w:r>
      <w:r w:rsidR="00FD113E">
        <w:t xml:space="preserve"> </w:t>
      </w:r>
    </w:p>
    <w:p w:rsidR="00AC1876" w:rsidRPr="00EB09CA" w:rsidRDefault="006B0AE5" w:rsidP="006B0AE5">
      <w:pPr>
        <w:pStyle w:val="JudgmentNumbered"/>
        <w:numPr>
          <w:ilvl w:val="0"/>
          <w:numId w:val="0"/>
        </w:numPr>
        <w:ind w:left="567" w:hanging="567"/>
        <w:rPr>
          <w:sz w:val="22"/>
        </w:rPr>
      </w:pPr>
      <w:r>
        <w:t>[13]</w:t>
      </w:r>
      <w:r>
        <w:tab/>
      </w:r>
      <w:r w:rsidR="00662C5B">
        <w:t>Whilst t</w:t>
      </w:r>
      <w:r w:rsidR="00AC1876">
        <w:t>he respondents challenged the change in the interest rate</w:t>
      </w:r>
      <w:r w:rsidR="00DC2975">
        <w:t xml:space="preserve">, </w:t>
      </w:r>
      <w:r w:rsidR="00662C5B">
        <w:t xml:space="preserve"> the agreement caters for the change in circumstances</w:t>
      </w:r>
      <w:r w:rsidR="00AC1876">
        <w:t>.</w:t>
      </w:r>
      <w:r w:rsidR="00AC1876">
        <w:rPr>
          <w:rStyle w:val="FootnoteReference"/>
        </w:rPr>
        <w:footnoteReference w:id="4"/>
      </w:r>
      <w:r w:rsidR="00AC1876">
        <w:t xml:space="preserve"> The case for the respondents was that the interest rate was not in terms of the N</w:t>
      </w:r>
      <w:r w:rsidR="00A45383">
        <w:t xml:space="preserve">CA. </w:t>
      </w:r>
      <w:r w:rsidR="00AC1876">
        <w:t>Counsel for the respondent</w:t>
      </w:r>
      <w:r w:rsidR="00915973">
        <w:t>s</w:t>
      </w:r>
      <w:r w:rsidR="00AC1876">
        <w:t xml:space="preserve"> submitted that the respondent</w:t>
      </w:r>
      <w:r w:rsidR="00915973">
        <w:t>s</w:t>
      </w:r>
      <w:r w:rsidR="00AC1876">
        <w:t xml:space="preserve"> w</w:t>
      </w:r>
      <w:r w:rsidR="00915973">
        <w:t>ere</w:t>
      </w:r>
      <w:r w:rsidR="00AC1876">
        <w:t xml:space="preserve"> not aware that the interest rate could become prejudicial to </w:t>
      </w:r>
      <w:r w:rsidR="00915973">
        <w:t xml:space="preserve">them </w:t>
      </w:r>
      <w:r w:rsidR="00AC1876">
        <w:t>and could increase to the extent</w:t>
      </w:r>
      <w:r w:rsidR="00DC2975">
        <w:t xml:space="preserve"> that </w:t>
      </w:r>
      <w:r w:rsidR="00AC1876">
        <w:t>it did. In so far as</w:t>
      </w:r>
      <w:r w:rsidR="00DC2975">
        <w:t xml:space="preserve"> the rate </w:t>
      </w:r>
      <w:r w:rsidR="00A45383">
        <w:t xml:space="preserve">changed, </w:t>
      </w:r>
      <w:r w:rsidR="00915973">
        <w:t>t</w:t>
      </w:r>
      <w:r w:rsidR="00A45383">
        <w:t>he</w:t>
      </w:r>
      <w:r w:rsidR="00915973">
        <w:t>y</w:t>
      </w:r>
      <w:r w:rsidR="00662C5B">
        <w:t xml:space="preserve"> </w:t>
      </w:r>
      <w:r w:rsidR="00915973">
        <w:t>were</w:t>
      </w:r>
      <w:r w:rsidR="00662C5B">
        <w:t xml:space="preserve"> not made aware of the</w:t>
      </w:r>
      <w:r w:rsidR="00AC1876">
        <w:t xml:space="preserve"> possibility</w:t>
      </w:r>
      <w:r w:rsidR="00B53090">
        <w:t>.</w:t>
      </w:r>
      <w:r w:rsidR="00DC2975">
        <w:t xml:space="preserve"> Consequently, counsel submitted </w:t>
      </w:r>
      <w:r w:rsidR="00AC1876">
        <w:t xml:space="preserve">the agreement </w:t>
      </w:r>
      <w:r w:rsidR="00662C5B">
        <w:t>w</w:t>
      </w:r>
      <w:r w:rsidR="00AC1876">
        <w:t xml:space="preserve">as unfair to </w:t>
      </w:r>
      <w:r w:rsidR="00915973">
        <w:t>t</w:t>
      </w:r>
      <w:r w:rsidR="00AC1876">
        <w:t>h</w:t>
      </w:r>
      <w:r w:rsidR="00915973">
        <w:t>em</w:t>
      </w:r>
      <w:r w:rsidR="00AC1876">
        <w:t>. Counsel for the respondent</w:t>
      </w:r>
      <w:r w:rsidR="00DC2975">
        <w:t>s</w:t>
      </w:r>
      <w:r w:rsidR="00662C5B">
        <w:t>, therefore,</w:t>
      </w:r>
      <w:r w:rsidR="00DC2975">
        <w:t xml:space="preserve"> sought as </w:t>
      </w:r>
      <w:r w:rsidR="00EB09CA">
        <w:t>a</w:t>
      </w:r>
      <w:r w:rsidR="00DC2975">
        <w:t xml:space="preserve"> </w:t>
      </w:r>
      <w:r w:rsidR="00A0337A">
        <w:t xml:space="preserve">just and fair remedy </w:t>
      </w:r>
      <w:r w:rsidR="00AC1876">
        <w:t xml:space="preserve">that the agreement be set aside only in relation to the interest rate.  </w:t>
      </w:r>
    </w:p>
    <w:p w:rsidR="00C62B5D" w:rsidRDefault="00EB09CA" w:rsidP="00EB09CA">
      <w:pPr>
        <w:pStyle w:val="JudgmentNumbered"/>
        <w:numPr>
          <w:ilvl w:val="0"/>
          <w:numId w:val="0"/>
        </w:numPr>
        <w:ind w:left="567" w:hanging="567"/>
      </w:pPr>
      <w:r>
        <w:lastRenderedPageBreak/>
        <w:t>[14]</w:t>
      </w:r>
      <w:r>
        <w:tab/>
      </w:r>
      <w:r w:rsidR="00AD35B4">
        <w:t xml:space="preserve">Counsel for the </w:t>
      </w:r>
      <w:r w:rsidR="00B53090" w:rsidRPr="00A0337A">
        <w:t>first</w:t>
      </w:r>
      <w:r w:rsidR="00B53090">
        <w:t xml:space="preserve"> </w:t>
      </w:r>
      <w:r w:rsidR="00AD35B4">
        <w:t xml:space="preserve">applicant submitted that the loan agreement made provision in clause 4.3.1 </w:t>
      </w:r>
      <w:r w:rsidR="00B53090" w:rsidRPr="00A0337A">
        <w:t>(of the Mortgage Bond)</w:t>
      </w:r>
      <w:r w:rsidR="00B53090">
        <w:t xml:space="preserve"> </w:t>
      </w:r>
      <w:r w:rsidR="00AD35B4">
        <w:t xml:space="preserve">specifically for the full payment of the loan amount unless the parties agreed in writing otherwise. Clause 4.3.2 provided for the payment of pension monies toward the payment of the settlement of the loan.  Clause 5 also provided for the determination of interest. The first respondent was aware of these </w:t>
      </w:r>
      <w:r w:rsidR="00AD35B4" w:rsidRPr="00EB09CA">
        <w:t xml:space="preserve">terms </w:t>
      </w:r>
      <w:r w:rsidR="00B53090" w:rsidRPr="00EB09CA">
        <w:t xml:space="preserve">when </w:t>
      </w:r>
      <w:r w:rsidR="00AD35B4" w:rsidRPr="00EB09CA">
        <w:t>he signed</w:t>
      </w:r>
      <w:r w:rsidR="00AD35B4">
        <w:t xml:space="preserve"> the agreement.</w:t>
      </w:r>
      <w:r w:rsidR="00AD35B4">
        <w:rPr>
          <w:rStyle w:val="FootnoteReference"/>
        </w:rPr>
        <w:footnoteReference w:id="5"/>
      </w:r>
      <w:r w:rsidR="00AD35B4">
        <w:t xml:space="preserve"> </w:t>
      </w:r>
      <w:r w:rsidR="00B53090" w:rsidRPr="00EB09CA">
        <w:t>Counsel for the first applicant</w:t>
      </w:r>
      <w:r w:rsidR="00B53090">
        <w:t xml:space="preserve"> </w:t>
      </w:r>
      <w:r w:rsidR="00AD35B4">
        <w:t xml:space="preserve">contended that the change in the interest rate affected the new risk the </w:t>
      </w:r>
      <w:r w:rsidR="00B53090" w:rsidRPr="00EB09CA">
        <w:t xml:space="preserve">first </w:t>
      </w:r>
      <w:r w:rsidR="00AD35B4" w:rsidRPr="00EB09CA">
        <w:t>applicant</w:t>
      </w:r>
      <w:r w:rsidR="00B53090" w:rsidRPr="00EB09CA">
        <w:t xml:space="preserve"> was</w:t>
      </w:r>
      <w:r w:rsidR="00B53090">
        <w:t xml:space="preserve"> </w:t>
      </w:r>
      <w:r w:rsidR="00AD35B4">
        <w:t xml:space="preserve">exposed to with the respondents’ changed circumstances and there was no longer a guarantee against the Eskom salary coupled with the respondents’ failure to negotiate a new payment </w:t>
      </w:r>
      <w:r w:rsidR="00B53090">
        <w:t>plan</w:t>
      </w:r>
      <w:r>
        <w:t xml:space="preserve">. </w:t>
      </w:r>
      <w:r w:rsidR="00B53090">
        <w:t>This</w:t>
      </w:r>
      <w:r w:rsidR="00AD35B4">
        <w:t xml:space="preserve"> justified the higher rate.</w:t>
      </w:r>
      <w:r w:rsidR="00915973">
        <w:t xml:space="preserve"> </w:t>
      </w:r>
      <w:r w:rsidR="00C62B5D">
        <w:t xml:space="preserve">The </w:t>
      </w:r>
      <w:r w:rsidR="00C62B5D" w:rsidRPr="00EB09CA">
        <w:t>N</w:t>
      </w:r>
      <w:r w:rsidR="00B53090" w:rsidRPr="00EB09CA">
        <w:t>CA</w:t>
      </w:r>
      <w:r w:rsidR="00B53090">
        <w:t xml:space="preserve"> </w:t>
      </w:r>
      <w:r w:rsidR="00C62B5D">
        <w:t xml:space="preserve">provides in section 103(4) that: </w:t>
      </w:r>
    </w:p>
    <w:p w:rsidR="00C62B5D" w:rsidRDefault="00C62B5D" w:rsidP="00C62B5D">
      <w:pPr>
        <w:pStyle w:val="JudgmentNumbered"/>
        <w:numPr>
          <w:ilvl w:val="0"/>
          <w:numId w:val="0"/>
        </w:numPr>
        <w:ind w:left="1440" w:firstLine="60"/>
        <w:rPr>
          <w:sz w:val="22"/>
        </w:rPr>
      </w:pPr>
      <w:r w:rsidRPr="003317DC">
        <w:rPr>
          <w:sz w:val="22"/>
        </w:rPr>
        <w:t xml:space="preserve">“a credit agreement may provide for the interest rate to vary during the term of the agreement only if the variation is by fixed relationship to a reference rate stipulated in the agreement, which reference rate must be the same as that used by that credit provider in respect of any similar credit agreements currently being used by it </w:t>
      </w:r>
      <w:r>
        <w:rPr>
          <w:sz w:val="22"/>
        </w:rPr>
        <w:t>“</w:t>
      </w:r>
      <w:r w:rsidRPr="003317DC">
        <w:rPr>
          <w:sz w:val="22"/>
        </w:rPr>
        <w:t xml:space="preserve"> </w:t>
      </w:r>
    </w:p>
    <w:p w:rsidR="003A75FA" w:rsidRDefault="002175F4" w:rsidP="002175F4">
      <w:pPr>
        <w:pStyle w:val="JudgmentNumbered"/>
        <w:numPr>
          <w:ilvl w:val="0"/>
          <w:numId w:val="0"/>
        </w:numPr>
        <w:ind w:left="567" w:hanging="567"/>
      </w:pPr>
      <w:r>
        <w:t>[15]</w:t>
      </w:r>
      <w:r>
        <w:tab/>
      </w:r>
      <w:r w:rsidR="00C62B5D">
        <w:t xml:space="preserve">Counsel for the </w:t>
      </w:r>
      <w:r w:rsidR="00BB464F" w:rsidRPr="00EB09CA">
        <w:t xml:space="preserve">first </w:t>
      </w:r>
      <w:r w:rsidR="00C62B5D" w:rsidRPr="00EB09CA">
        <w:t>applicant</w:t>
      </w:r>
      <w:r w:rsidR="00BB464F">
        <w:t xml:space="preserve"> </w:t>
      </w:r>
      <w:r w:rsidR="00C62B5D">
        <w:t xml:space="preserve">submitted that when </w:t>
      </w:r>
      <w:r w:rsidR="000F3FFA">
        <w:t xml:space="preserve">it </w:t>
      </w:r>
      <w:r w:rsidR="00C62B5D">
        <w:t xml:space="preserve">considered that </w:t>
      </w:r>
      <w:r w:rsidR="00BB464F" w:rsidRPr="00EB09CA">
        <w:t>it</w:t>
      </w:r>
      <w:r w:rsidR="00BB464F">
        <w:t xml:space="preserve"> </w:t>
      </w:r>
      <w:r w:rsidR="00C62B5D">
        <w:t xml:space="preserve">had no guarantee against the Eskom </w:t>
      </w:r>
      <w:r w:rsidR="006B0AE5">
        <w:t>payroll in</w:t>
      </w:r>
      <w:r w:rsidR="00EB09CA">
        <w:t xml:space="preserve"> respect of the </w:t>
      </w:r>
      <w:r w:rsidR="006B0AE5">
        <w:t>loan to</w:t>
      </w:r>
      <w:r w:rsidR="00EB09CA">
        <w:t xml:space="preserve"> the </w:t>
      </w:r>
      <w:r w:rsidR="006B0AE5">
        <w:t>first respondent</w:t>
      </w:r>
      <w:r w:rsidR="00EB09CA">
        <w:t xml:space="preserve"> previously guaranteed by the Eskom salary</w:t>
      </w:r>
      <w:r w:rsidR="00C62B5D">
        <w:t xml:space="preserve">, this justified the increased </w:t>
      </w:r>
      <w:r w:rsidR="00A45383">
        <w:t>rate</w:t>
      </w:r>
      <w:r w:rsidR="00EB09CA">
        <w:t xml:space="preserve">. This increased rate so it was submitted </w:t>
      </w:r>
      <w:r w:rsidR="00BB464F">
        <w:t>is not</w:t>
      </w:r>
      <w:r w:rsidR="00C62B5D">
        <w:t xml:space="preserve"> contrary to the provision of the NCA.</w:t>
      </w:r>
      <w:r w:rsidR="002C7BAA">
        <w:t xml:space="preserve"> The agreement made provision </w:t>
      </w:r>
      <w:r w:rsidR="002C7BAA" w:rsidRPr="00EB09CA">
        <w:t>specially</w:t>
      </w:r>
      <w:r w:rsidR="002C7BAA">
        <w:t xml:space="preserve"> for the rates of interest and refer to the JIBAR rate </w:t>
      </w:r>
      <w:r w:rsidR="00D11F60">
        <w:t>and for the maximum rate of interest permissible in terms of the NCA</w:t>
      </w:r>
      <w:r w:rsidR="002C7BAA">
        <w:t xml:space="preserve">. The respondent signed the agreement indicating </w:t>
      </w:r>
      <w:r w:rsidR="008B6A96">
        <w:t xml:space="preserve">that </w:t>
      </w:r>
      <w:r w:rsidR="002C7BAA">
        <w:t xml:space="preserve">he was aware of the agreement and that he could obtain alternative </w:t>
      </w:r>
      <w:r w:rsidR="008B6A96">
        <w:t>advice</w:t>
      </w:r>
      <w:r w:rsidR="002C7BAA">
        <w:t xml:space="preserve"> at the time he signed the agreement. </w:t>
      </w:r>
    </w:p>
    <w:p w:rsidR="00C62B5D" w:rsidRDefault="002175F4" w:rsidP="002175F4">
      <w:pPr>
        <w:pStyle w:val="JudgmentNumbered"/>
        <w:numPr>
          <w:ilvl w:val="0"/>
          <w:numId w:val="0"/>
        </w:numPr>
        <w:ind w:left="567" w:hanging="567"/>
      </w:pPr>
      <w:r>
        <w:t>[16]</w:t>
      </w:r>
      <w:r>
        <w:tab/>
      </w:r>
      <w:r w:rsidR="000F3FFA" w:rsidRPr="00F920D3">
        <w:t>Applying the principles extracted from above authorities, and on the undisputed facts of this matter, t</w:t>
      </w:r>
      <w:r w:rsidR="00C62B5D" w:rsidRPr="00F920D3">
        <w:t xml:space="preserve">he </w:t>
      </w:r>
      <w:r w:rsidR="000F3FFA" w:rsidRPr="00F920D3">
        <w:t xml:space="preserve">first </w:t>
      </w:r>
      <w:r w:rsidR="00C62B5D" w:rsidRPr="00F920D3">
        <w:t>applicant ha</w:t>
      </w:r>
      <w:r w:rsidR="000F3FFA" w:rsidRPr="00F920D3">
        <w:t>s</w:t>
      </w:r>
      <w:r w:rsidR="000F3FFA">
        <w:t xml:space="preserve"> </w:t>
      </w:r>
      <w:r w:rsidR="00C62B5D">
        <w:t>complied with the requirements of Rule 46A</w:t>
      </w:r>
      <w:r w:rsidR="000F3FFA">
        <w:t>.</w:t>
      </w:r>
      <w:r w:rsidR="00C62B5D">
        <w:t>In contrast</w:t>
      </w:r>
      <w:r w:rsidR="00F920D3">
        <w:t>,</w:t>
      </w:r>
      <w:r w:rsidR="00C62B5D">
        <w:t xml:space="preserve"> the respondents have not raised a </w:t>
      </w:r>
      <w:r w:rsidR="00C62B5D" w:rsidRPr="00C62B5D">
        <w:rPr>
          <w:i/>
        </w:rPr>
        <w:t xml:space="preserve">bona </w:t>
      </w:r>
      <w:r w:rsidR="008B6A96" w:rsidRPr="00C62B5D">
        <w:rPr>
          <w:i/>
        </w:rPr>
        <w:t>fide</w:t>
      </w:r>
      <w:r w:rsidR="008B6A96">
        <w:t xml:space="preserve"> or</w:t>
      </w:r>
      <w:r w:rsidR="00C62B5D">
        <w:t xml:space="preserve"> a legally tenable defence to the applicants’ claims. The respondents do not make out a case for the variation of the agreement as </w:t>
      </w:r>
      <w:r w:rsidR="008B6A96">
        <w:t>sought.</w:t>
      </w:r>
    </w:p>
    <w:p w:rsidR="008017DD" w:rsidRDefault="002175F4" w:rsidP="002175F4">
      <w:pPr>
        <w:pStyle w:val="JudgmentNumbered"/>
        <w:numPr>
          <w:ilvl w:val="0"/>
          <w:numId w:val="0"/>
        </w:numPr>
        <w:ind w:left="567" w:hanging="567"/>
      </w:pPr>
      <w:r>
        <w:lastRenderedPageBreak/>
        <w:t>[17]</w:t>
      </w:r>
      <w:r>
        <w:tab/>
      </w:r>
      <w:r w:rsidR="00FD113E">
        <w:t>I proceed to address the counter</w:t>
      </w:r>
      <w:r w:rsidR="00AD35B4">
        <w:t xml:space="preserve"> </w:t>
      </w:r>
      <w:r w:rsidR="00FD113E">
        <w:t xml:space="preserve">application where the respondents </w:t>
      </w:r>
      <w:r w:rsidR="008B6A96">
        <w:t xml:space="preserve">seek </w:t>
      </w:r>
      <w:r w:rsidR="008017DD">
        <w:t xml:space="preserve">that the mortgage agreement be invalidated in terms of section 90(2)(b) of the </w:t>
      </w:r>
      <w:r w:rsidR="00FD113E">
        <w:t xml:space="preserve">NCA </w:t>
      </w:r>
      <w:r w:rsidR="008017DD">
        <w:t>and that the entire agreement be declared void in terms of section 90(3)(b) of the NCA.</w:t>
      </w:r>
    </w:p>
    <w:p w:rsidR="00834F9A" w:rsidRDefault="002175F4" w:rsidP="002175F4">
      <w:pPr>
        <w:pStyle w:val="JudgmentNumbered"/>
        <w:numPr>
          <w:ilvl w:val="0"/>
          <w:numId w:val="0"/>
        </w:numPr>
        <w:ind w:left="567" w:hanging="567"/>
      </w:pPr>
      <w:r>
        <w:t>[18]</w:t>
      </w:r>
      <w:r>
        <w:tab/>
      </w:r>
      <w:r w:rsidR="00834F9A">
        <w:t>Section 90(2)(b) of the NCA provides:</w:t>
      </w:r>
      <w:r w:rsidR="00834F9A" w:rsidRPr="00834F9A">
        <w:t xml:space="preserve"> </w:t>
      </w:r>
    </w:p>
    <w:p w:rsidR="00C03613" w:rsidRDefault="00834F9A" w:rsidP="00834F9A">
      <w:pPr>
        <w:pStyle w:val="JudgmentNumbered"/>
        <w:numPr>
          <w:ilvl w:val="0"/>
          <w:numId w:val="0"/>
        </w:numPr>
        <w:ind w:left="567"/>
        <w:rPr>
          <w:sz w:val="22"/>
        </w:rPr>
      </w:pPr>
      <w:r w:rsidRPr="00C03613">
        <w:rPr>
          <w:sz w:val="22"/>
        </w:rPr>
        <w:t>“(2) A provision of a credit agreement is unlawful if</w:t>
      </w:r>
      <w:r w:rsidRPr="00C03613">
        <w:rPr>
          <w:sz w:val="22"/>
        </w:rPr>
        <w:softHyphen/>
        <w:t xml:space="preserve"> (a)   its general purpose or effect is to</w:t>
      </w:r>
      <w:r w:rsidRPr="00C03613">
        <w:rPr>
          <w:sz w:val="22"/>
        </w:rPr>
        <w:softHyphen/>
        <w:t xml:space="preserve"> </w:t>
      </w:r>
    </w:p>
    <w:p w:rsidR="00C03613" w:rsidRPr="00C03613" w:rsidRDefault="00834F9A" w:rsidP="00834F9A">
      <w:pPr>
        <w:pStyle w:val="JudgmentNumbered"/>
        <w:numPr>
          <w:ilvl w:val="0"/>
          <w:numId w:val="0"/>
        </w:numPr>
        <w:ind w:left="567"/>
        <w:rPr>
          <w:sz w:val="22"/>
        </w:rPr>
      </w:pPr>
      <w:r w:rsidRPr="00C03613">
        <w:rPr>
          <w:sz w:val="22"/>
        </w:rPr>
        <w:t xml:space="preserve">(i)   defeat the purposes or policies of this Act; </w:t>
      </w:r>
    </w:p>
    <w:p w:rsidR="00C03613" w:rsidRPr="00C03613" w:rsidRDefault="00834F9A" w:rsidP="00834F9A">
      <w:pPr>
        <w:pStyle w:val="JudgmentNumbered"/>
        <w:numPr>
          <w:ilvl w:val="0"/>
          <w:numId w:val="0"/>
        </w:numPr>
        <w:ind w:left="567"/>
        <w:rPr>
          <w:sz w:val="22"/>
        </w:rPr>
      </w:pPr>
      <w:r w:rsidRPr="00C03613">
        <w:rPr>
          <w:sz w:val="22"/>
        </w:rPr>
        <w:t xml:space="preserve">(ii)   deceive the consumer; or </w:t>
      </w:r>
    </w:p>
    <w:p w:rsidR="00834F9A" w:rsidRPr="00C03613" w:rsidRDefault="00834F9A" w:rsidP="00834F9A">
      <w:pPr>
        <w:pStyle w:val="JudgmentNumbered"/>
        <w:numPr>
          <w:ilvl w:val="0"/>
          <w:numId w:val="0"/>
        </w:numPr>
        <w:ind w:left="567"/>
        <w:rPr>
          <w:sz w:val="22"/>
        </w:rPr>
      </w:pPr>
      <w:r w:rsidRPr="00C03613">
        <w:rPr>
          <w:sz w:val="22"/>
        </w:rPr>
        <w:t>(iii)   subject the consumer to fraudulent conduct</w:t>
      </w:r>
      <w:r w:rsidR="00C03613">
        <w:rPr>
          <w:sz w:val="22"/>
        </w:rPr>
        <w:t>”</w:t>
      </w:r>
    </w:p>
    <w:p w:rsidR="00BA0FD7" w:rsidRDefault="002175F4" w:rsidP="002175F4">
      <w:pPr>
        <w:pStyle w:val="JudgmentNumbered"/>
        <w:numPr>
          <w:ilvl w:val="0"/>
          <w:numId w:val="0"/>
        </w:numPr>
        <w:ind w:left="567" w:hanging="567"/>
      </w:pPr>
      <w:r>
        <w:t>[19]</w:t>
      </w:r>
      <w:r>
        <w:tab/>
      </w:r>
      <w:r w:rsidR="00C03613">
        <w:t>The respondents have not made out a case o</w:t>
      </w:r>
      <w:r w:rsidR="00AD35B4">
        <w:t>n the papers that the applicant</w:t>
      </w:r>
      <w:r w:rsidR="00C03613">
        <w:t>s</w:t>
      </w:r>
      <w:r w:rsidR="00AD35B4">
        <w:t>’</w:t>
      </w:r>
      <w:r w:rsidR="00C03613">
        <w:t xml:space="preserve"> conduct is fraudulent. I have had regard to counsel’s submissions and the heads of argument that the respondent bore the onus to plead and prove the fraud or deception it relied upon. This the </w:t>
      </w:r>
      <w:r w:rsidR="00F920D3">
        <w:t xml:space="preserve">first </w:t>
      </w:r>
      <w:r w:rsidR="00C03613">
        <w:t xml:space="preserve">applicant also pointed out is contrary to the </w:t>
      </w:r>
      <w:r w:rsidR="00BA0FD7">
        <w:t xml:space="preserve">first </w:t>
      </w:r>
      <w:r w:rsidR="00C03613">
        <w:t>respondent</w:t>
      </w:r>
      <w:r w:rsidR="00BA0FD7">
        <w:t>’</w:t>
      </w:r>
      <w:r w:rsidR="00C03613">
        <w:t xml:space="preserve">s version in </w:t>
      </w:r>
      <w:r w:rsidR="00F920D3">
        <w:t xml:space="preserve">relation to </w:t>
      </w:r>
      <w:r w:rsidR="00C03613">
        <w:t xml:space="preserve">the mortgage bond document which </w:t>
      </w:r>
      <w:r w:rsidR="00BA0FD7">
        <w:t xml:space="preserve">he acknowledged in clause 23.8 of the agreement that they: </w:t>
      </w:r>
    </w:p>
    <w:p w:rsidR="003A75FA" w:rsidRDefault="00BA0FD7" w:rsidP="000831D1">
      <w:pPr>
        <w:pStyle w:val="JudgmentNumbered"/>
        <w:numPr>
          <w:ilvl w:val="0"/>
          <w:numId w:val="0"/>
        </w:numPr>
        <w:ind w:left="840"/>
        <w:rPr>
          <w:sz w:val="22"/>
        </w:rPr>
      </w:pPr>
      <w:r w:rsidRPr="00BA0FD7">
        <w:rPr>
          <w:sz w:val="22"/>
        </w:rPr>
        <w:t xml:space="preserve">“23.8.1 were free to secure independent legal advice as to the nature and effect </w:t>
      </w:r>
      <w:r w:rsidR="000831D1" w:rsidRPr="00BA0FD7">
        <w:rPr>
          <w:sz w:val="22"/>
        </w:rPr>
        <w:t xml:space="preserve">of </w:t>
      </w:r>
      <w:r w:rsidR="000831D1">
        <w:rPr>
          <w:sz w:val="22"/>
        </w:rPr>
        <w:t>each</w:t>
      </w:r>
      <w:r w:rsidRPr="00BA0FD7">
        <w:rPr>
          <w:sz w:val="22"/>
        </w:rPr>
        <w:t xml:space="preserve"> provision of this Agreement and that they have either taken such independent legal advice or have dispensed with the necessity of doing so; </w:t>
      </w:r>
    </w:p>
    <w:p w:rsidR="00BA0FD7" w:rsidRDefault="00BA0FD7" w:rsidP="000831D1">
      <w:pPr>
        <w:pStyle w:val="JudgmentNumbered"/>
        <w:numPr>
          <w:ilvl w:val="0"/>
          <w:numId w:val="0"/>
        </w:numPr>
        <w:ind w:left="840"/>
        <w:rPr>
          <w:sz w:val="22"/>
        </w:rPr>
      </w:pPr>
      <w:r w:rsidRPr="00BA0FD7">
        <w:rPr>
          <w:sz w:val="22"/>
        </w:rPr>
        <w:t xml:space="preserve">23.8.2 each provision of this Agreement is fair and reasonable in all the </w:t>
      </w:r>
      <w:r w:rsidR="000831D1">
        <w:rPr>
          <w:sz w:val="22"/>
        </w:rPr>
        <w:t xml:space="preserve">   </w:t>
      </w:r>
      <w:r w:rsidRPr="00BA0FD7">
        <w:rPr>
          <w:sz w:val="22"/>
        </w:rPr>
        <w:t>circumstances and is part of the overall intention of the parties in connection with the Agreement.”</w:t>
      </w:r>
    </w:p>
    <w:p w:rsidR="00BA0FD7" w:rsidRDefault="00BA0FD7" w:rsidP="00BA0FD7">
      <w:pPr>
        <w:pStyle w:val="JudgmentNumbered"/>
        <w:numPr>
          <w:ilvl w:val="0"/>
          <w:numId w:val="0"/>
        </w:numPr>
        <w:ind w:left="720" w:firstLine="153"/>
        <w:rPr>
          <w:sz w:val="22"/>
        </w:rPr>
      </w:pPr>
      <w:r>
        <w:rPr>
          <w:sz w:val="22"/>
        </w:rPr>
        <w:t>And</w:t>
      </w:r>
    </w:p>
    <w:p w:rsidR="003A75FA" w:rsidRDefault="00BA0FD7" w:rsidP="00BA0FD7">
      <w:pPr>
        <w:pStyle w:val="JudgmentNumbered"/>
        <w:numPr>
          <w:ilvl w:val="0"/>
          <w:numId w:val="0"/>
        </w:numPr>
        <w:ind w:left="720" w:firstLine="153"/>
        <w:rPr>
          <w:sz w:val="22"/>
        </w:rPr>
      </w:pPr>
      <w:r w:rsidRPr="00BA0FD7">
        <w:rPr>
          <w:sz w:val="22"/>
        </w:rPr>
        <w:t xml:space="preserve">“23.9 that they acknowledged, understood and appreciated: </w:t>
      </w:r>
    </w:p>
    <w:p w:rsidR="00BA0FD7" w:rsidRDefault="00BA0FD7" w:rsidP="003A75FA">
      <w:pPr>
        <w:pStyle w:val="JudgmentNumbered"/>
        <w:numPr>
          <w:ilvl w:val="0"/>
          <w:numId w:val="0"/>
        </w:numPr>
        <w:ind w:left="873"/>
      </w:pPr>
      <w:r w:rsidRPr="00BA0FD7">
        <w:rPr>
          <w:sz w:val="22"/>
        </w:rPr>
        <w:t>23.9.1 the risks and costs of obtaining the Loan and entering into this Agreement and 23.10 that they acknowledged, understood and appreciated their rights and obligations in terms of the Agreement</w:t>
      </w:r>
      <w:r>
        <w:rPr>
          <w:sz w:val="22"/>
        </w:rPr>
        <w:t>”</w:t>
      </w:r>
      <w:r w:rsidR="00834F9A">
        <w:t xml:space="preserve"> </w:t>
      </w:r>
    </w:p>
    <w:p w:rsidR="0097075D" w:rsidRDefault="002175F4" w:rsidP="002175F4">
      <w:pPr>
        <w:pStyle w:val="JudgmentNumbered"/>
        <w:numPr>
          <w:ilvl w:val="0"/>
          <w:numId w:val="0"/>
        </w:numPr>
        <w:ind w:left="567" w:hanging="567"/>
      </w:pPr>
      <w:r>
        <w:lastRenderedPageBreak/>
        <w:t>[20]</w:t>
      </w:r>
      <w:r>
        <w:tab/>
      </w:r>
      <w:r w:rsidR="00C750FD">
        <w:t xml:space="preserve">The respondents’ agreement </w:t>
      </w:r>
      <w:r w:rsidR="000F3FFA">
        <w:t>contradic</w:t>
      </w:r>
      <w:r w:rsidR="000F3FFA" w:rsidRPr="00F920D3">
        <w:t>ts</w:t>
      </w:r>
      <w:r w:rsidR="00C750FD">
        <w:t xml:space="preserve"> their statement that they were misled. </w:t>
      </w:r>
      <w:r w:rsidR="00F920D3">
        <w:t xml:space="preserve">In the opposing affidavit, </w:t>
      </w:r>
      <w:r w:rsidR="00E24C03">
        <w:t>t</w:t>
      </w:r>
      <w:r w:rsidR="00C750FD">
        <w:t>here is no explanation for this. They have had the benefit of legal representation and there is no explanation for the incongruent versions placed before this court. Counsel for the</w:t>
      </w:r>
      <w:r w:rsidR="00F920D3">
        <w:t xml:space="preserve"> first applicant </w:t>
      </w:r>
      <w:r w:rsidR="00C750FD">
        <w:t>has pointed out the respondents’ mutually destructive versions. There has been no tenable explanation for the counter application and having regard to the history of the matter and the rules of court</w:t>
      </w:r>
      <w:r w:rsidR="00F920D3">
        <w:t xml:space="preserve"> and </w:t>
      </w:r>
      <w:r w:rsidR="00E24C03">
        <w:t>t</w:t>
      </w:r>
      <w:r w:rsidR="00C750FD">
        <w:t xml:space="preserve">he respondents’ </w:t>
      </w:r>
      <w:r w:rsidR="00E24C03">
        <w:t xml:space="preserve">unequivocal </w:t>
      </w:r>
      <w:r w:rsidR="00C750FD">
        <w:t>withdrawal of admissions made on affidavit</w:t>
      </w:r>
      <w:r w:rsidR="00F920D3">
        <w:t xml:space="preserve"> by counsel before this court</w:t>
      </w:r>
      <w:r w:rsidR="00E24C03">
        <w:t xml:space="preserve"> </w:t>
      </w:r>
      <w:r w:rsidR="00C750FD">
        <w:t>makes their case even weaker.</w:t>
      </w:r>
      <w:r w:rsidR="003A75FA">
        <w:t xml:space="preserve"> </w:t>
      </w:r>
      <w:r w:rsidR="0097075D">
        <w:t xml:space="preserve">In </w:t>
      </w:r>
      <w:r w:rsidR="0097075D" w:rsidRPr="0097075D">
        <w:rPr>
          <w:i/>
        </w:rPr>
        <w:t>Brummund v Brummund’s Estate</w:t>
      </w:r>
      <w:r w:rsidR="0097075D">
        <w:rPr>
          <w:rStyle w:val="FootnoteReference"/>
          <w:i/>
        </w:rPr>
        <w:footnoteReference w:id="6"/>
      </w:r>
      <w:r w:rsidR="0097075D">
        <w:t xml:space="preserve"> the </w:t>
      </w:r>
      <w:r w:rsidR="00E24C03">
        <w:t>c</w:t>
      </w:r>
      <w:r w:rsidR="0097075D">
        <w:t>ourt held:</w:t>
      </w:r>
    </w:p>
    <w:p w:rsidR="0097075D" w:rsidRDefault="0097075D" w:rsidP="0097075D">
      <w:pPr>
        <w:pStyle w:val="JudgmentNumbered"/>
        <w:numPr>
          <w:ilvl w:val="0"/>
          <w:numId w:val="0"/>
        </w:numPr>
        <w:ind w:left="1440"/>
        <w:rPr>
          <w:color w:val="000000"/>
          <w:sz w:val="22"/>
        </w:rPr>
      </w:pPr>
      <w:r>
        <w:rPr>
          <w:color w:val="000000"/>
          <w:sz w:val="22"/>
        </w:rPr>
        <w:t>“</w:t>
      </w:r>
      <w:r w:rsidRPr="0097075D">
        <w:rPr>
          <w:color w:val="000000"/>
          <w:sz w:val="22"/>
        </w:rPr>
        <w:t>Where a party in motion proceedings wishes to withdraw an admission </w:t>
      </w:r>
      <w:bookmarkStart w:id="1" w:name="LPHit1"/>
      <w:bookmarkEnd w:id="1"/>
      <w:r w:rsidRPr="0097075D">
        <w:rPr>
          <w:color w:val="000000"/>
          <w:sz w:val="22"/>
        </w:rPr>
        <w:t>made in his affidavits, he is obliged to give a full and satisfactory explanation on affidavit as to how the </w:t>
      </w:r>
      <w:bookmarkStart w:id="2" w:name="LPHit2"/>
      <w:bookmarkEnd w:id="2"/>
      <w:r w:rsidRPr="0097075D">
        <w:rPr>
          <w:color w:val="000000"/>
          <w:sz w:val="22"/>
        </w:rPr>
        <w:t>admissions came to be </w:t>
      </w:r>
      <w:bookmarkStart w:id="3" w:name="LPHit3"/>
      <w:bookmarkEnd w:id="3"/>
      <w:r w:rsidRPr="0097075D">
        <w:rPr>
          <w:color w:val="000000"/>
          <w:sz w:val="22"/>
        </w:rPr>
        <w:t>made and, if they were </w:t>
      </w:r>
      <w:bookmarkStart w:id="4" w:name="LPHit4"/>
      <w:bookmarkEnd w:id="4"/>
      <w:r w:rsidRPr="0097075D">
        <w:rPr>
          <w:color w:val="000000"/>
          <w:sz w:val="22"/>
        </w:rPr>
        <w:t>made in error, to apply formally for their </w:t>
      </w:r>
      <w:bookmarkStart w:id="5" w:name="LPHit5"/>
      <w:bookmarkEnd w:id="5"/>
      <w:r w:rsidRPr="0097075D">
        <w:rPr>
          <w:color w:val="000000"/>
          <w:sz w:val="22"/>
        </w:rPr>
        <w:t>withdrawal. It is insufficient to instruct counsel to state from the Bar that a mistake has been </w:t>
      </w:r>
      <w:bookmarkStart w:id="6" w:name="LPHit6"/>
      <w:bookmarkEnd w:id="6"/>
      <w:r w:rsidRPr="0097075D">
        <w:rPr>
          <w:color w:val="000000"/>
          <w:sz w:val="22"/>
        </w:rPr>
        <w:t>made and that the </w:t>
      </w:r>
      <w:bookmarkStart w:id="7" w:name="LPHit7"/>
      <w:bookmarkEnd w:id="7"/>
      <w:r w:rsidRPr="0097075D">
        <w:rPr>
          <w:color w:val="000000"/>
          <w:sz w:val="22"/>
        </w:rPr>
        <w:t>admissions should be ignored</w:t>
      </w:r>
      <w:r>
        <w:rPr>
          <w:color w:val="000000"/>
          <w:sz w:val="22"/>
        </w:rPr>
        <w:t>”</w:t>
      </w:r>
    </w:p>
    <w:p w:rsidR="0055264D" w:rsidRDefault="0055264D" w:rsidP="0055264D">
      <w:pPr>
        <w:pStyle w:val="JudgmentNumbered"/>
        <w:numPr>
          <w:ilvl w:val="0"/>
          <w:numId w:val="0"/>
        </w:numPr>
        <w:ind w:left="567" w:hanging="567"/>
        <w:rPr>
          <w:color w:val="000000"/>
          <w:szCs w:val="24"/>
        </w:rPr>
      </w:pPr>
      <w:r>
        <w:rPr>
          <w:color w:val="000000"/>
          <w:sz w:val="22"/>
        </w:rPr>
        <w:tab/>
      </w:r>
      <w:r>
        <w:rPr>
          <w:color w:val="000000"/>
          <w:szCs w:val="24"/>
        </w:rPr>
        <w:t>The</w:t>
      </w:r>
      <w:r w:rsidR="00F920D3">
        <w:rPr>
          <w:color w:val="000000"/>
          <w:szCs w:val="24"/>
        </w:rPr>
        <w:t xml:space="preserve"> first </w:t>
      </w:r>
      <w:r>
        <w:rPr>
          <w:color w:val="000000"/>
          <w:szCs w:val="24"/>
        </w:rPr>
        <w:t>respondent’s affidavit in opposing the application read with the counter application does not make out a case for the relief sought</w:t>
      </w:r>
      <w:r w:rsidR="00C750FD">
        <w:rPr>
          <w:color w:val="000000"/>
          <w:szCs w:val="24"/>
        </w:rPr>
        <w:t>.</w:t>
      </w:r>
      <w:r>
        <w:rPr>
          <w:color w:val="000000"/>
          <w:szCs w:val="24"/>
        </w:rPr>
        <w:t xml:space="preserve"> </w:t>
      </w:r>
    </w:p>
    <w:p w:rsidR="00D408DA" w:rsidRDefault="002175F4" w:rsidP="002175F4">
      <w:pPr>
        <w:pStyle w:val="JudgmentNumbered"/>
        <w:numPr>
          <w:ilvl w:val="0"/>
          <w:numId w:val="0"/>
        </w:numPr>
        <w:ind w:left="567" w:hanging="567"/>
      </w:pPr>
      <w:r>
        <w:t>[21]</w:t>
      </w:r>
      <w:r>
        <w:tab/>
      </w:r>
      <w:r w:rsidR="00267A72" w:rsidRPr="00F920D3">
        <w:t>I</w:t>
      </w:r>
      <w:r w:rsidR="00E24C03" w:rsidRPr="00F920D3">
        <w:t>n summary, having regard to the requirements of Rule 46A, the</w:t>
      </w:r>
      <w:r w:rsidR="00267A72" w:rsidRPr="00F920D3">
        <w:t xml:space="preserve"> respondents have not furnished sufficient information to indicate that their liabilities will be liquidated within a reasonable period, no payments </w:t>
      </w:r>
      <w:r w:rsidR="00E24C03" w:rsidRPr="00F920D3">
        <w:t>having been made since October 2020, the first applicant has no other remedy available other than what Rule 46A provides: execution against the residence.</w:t>
      </w:r>
      <w:r w:rsidR="00E24C03">
        <w:t xml:space="preserve"> </w:t>
      </w:r>
      <w:r w:rsidR="00267A72">
        <w:t xml:space="preserve">The respondents received notice in terms of </w:t>
      </w:r>
      <w:r w:rsidR="00267A72" w:rsidRPr="006A484E">
        <w:t>s</w:t>
      </w:r>
      <w:r w:rsidR="00E24C03" w:rsidRPr="006A484E">
        <w:t>ection</w:t>
      </w:r>
      <w:r w:rsidR="00267A72">
        <w:t xml:space="preserve"> 129 of the NCA prior to the institution of application. The respondents did not pursue an arrangement to pay the debt or pursue debt review proceedings in the appropriate forum. </w:t>
      </w:r>
      <w:r w:rsidR="00E24C03" w:rsidRPr="006A484E">
        <w:t>As I have already found, t</w:t>
      </w:r>
      <w:r w:rsidR="00267A72" w:rsidRPr="006A484E">
        <w:t>hey</w:t>
      </w:r>
      <w:r w:rsidR="00267A72">
        <w:t xml:space="preserve"> have not placed sufficient information before this court whilst referencing a form of debt review</w:t>
      </w:r>
      <w:r w:rsidR="00E24C03">
        <w:t>,</w:t>
      </w:r>
      <w:r w:rsidR="006A484E">
        <w:t xml:space="preserve"> </w:t>
      </w:r>
      <w:r w:rsidR="00E24C03">
        <w:t>thus</w:t>
      </w:r>
      <w:r w:rsidR="00267A72">
        <w:t xml:space="preserve"> making it impossible to consider any such relief.</w:t>
      </w:r>
    </w:p>
    <w:p w:rsidR="00D408DA" w:rsidRDefault="002175F4" w:rsidP="002175F4">
      <w:pPr>
        <w:pStyle w:val="JudgmentNumbered"/>
        <w:numPr>
          <w:ilvl w:val="0"/>
          <w:numId w:val="0"/>
        </w:numPr>
        <w:ind w:left="567" w:hanging="567"/>
      </w:pPr>
      <w:r>
        <w:t>[22]</w:t>
      </w:r>
      <w:r>
        <w:tab/>
      </w:r>
      <w:r w:rsidR="00D408DA">
        <w:t>For the reasons above</w:t>
      </w:r>
      <w:r w:rsidR="00D408DA" w:rsidRPr="006A484E">
        <w:t>,</w:t>
      </w:r>
      <w:r w:rsidR="00D408DA">
        <w:t xml:space="preserve"> I make the following order:</w:t>
      </w:r>
    </w:p>
    <w:p w:rsidR="00BA7EC0" w:rsidRPr="00BA7EC0" w:rsidRDefault="00BA7EC0" w:rsidP="00D408DA">
      <w:pPr>
        <w:pStyle w:val="JudgmentNumbered"/>
        <w:numPr>
          <w:ilvl w:val="0"/>
          <w:numId w:val="0"/>
        </w:numPr>
        <w:ind w:left="567" w:firstLine="153"/>
        <w:rPr>
          <w:i/>
        </w:rPr>
      </w:pPr>
      <w:r w:rsidRPr="00BA7EC0">
        <w:rPr>
          <w:i/>
        </w:rPr>
        <w:t>Order</w:t>
      </w:r>
    </w:p>
    <w:p w:rsidR="00640601" w:rsidRDefault="009F03E5" w:rsidP="00BA7EC0">
      <w:pPr>
        <w:pStyle w:val="JudgmentNumbered"/>
        <w:numPr>
          <w:ilvl w:val="0"/>
          <w:numId w:val="0"/>
        </w:numPr>
        <w:ind w:left="1437" w:hanging="870"/>
      </w:pPr>
      <w:r>
        <w:lastRenderedPageBreak/>
        <w:t>1.</w:t>
      </w:r>
      <w:r w:rsidR="00E025B9">
        <w:t xml:space="preserve"> </w:t>
      </w:r>
      <w:r w:rsidR="00BA7EC0">
        <w:tab/>
      </w:r>
      <w:r w:rsidR="00E025B9">
        <w:t xml:space="preserve">The respondents are to pay the </w:t>
      </w:r>
      <w:r w:rsidR="00640601">
        <w:t>sum of R1 674 488.96 (</w:t>
      </w:r>
      <w:r w:rsidR="00AD3681">
        <w:t xml:space="preserve">One million six hundred and </w:t>
      </w:r>
      <w:r w:rsidR="00CE6D24">
        <w:t>seventy-four</w:t>
      </w:r>
      <w:r w:rsidR="00AD3681">
        <w:t xml:space="preserve"> </w:t>
      </w:r>
      <w:r w:rsidR="00CE6D24">
        <w:t>thousand four</w:t>
      </w:r>
      <w:r w:rsidR="00AD3681">
        <w:t xml:space="preserve"> hundred and </w:t>
      </w:r>
      <w:r w:rsidR="00CE6D24">
        <w:t>eighty-eight</w:t>
      </w:r>
      <w:r w:rsidR="00AD3681">
        <w:t xml:space="preserve"> rands and </w:t>
      </w:r>
      <w:r w:rsidR="00CE6D24">
        <w:t>ninety-six</w:t>
      </w:r>
      <w:r w:rsidR="00AD3681">
        <w:t xml:space="preserve"> cents.</w:t>
      </w:r>
      <w:r w:rsidR="00640601">
        <w:t>)</w:t>
      </w:r>
      <w:r w:rsidR="00E025B9">
        <w:t xml:space="preserve"> with </w:t>
      </w:r>
      <w:r w:rsidR="00640601">
        <w:t>interest on the above amount at the rate of 10.00% percent per annum calculated and capitalised monthly in advance from 1 N</w:t>
      </w:r>
      <w:r w:rsidR="00F142DE">
        <w:t xml:space="preserve">ovember </w:t>
      </w:r>
      <w:r w:rsidR="00640601">
        <w:t xml:space="preserve">2020 to date of final payment; </w:t>
      </w:r>
    </w:p>
    <w:p w:rsidR="00640601" w:rsidRDefault="00E025B9" w:rsidP="00BA7EC0">
      <w:pPr>
        <w:pStyle w:val="JudgmentNumbered"/>
        <w:numPr>
          <w:ilvl w:val="0"/>
          <w:numId w:val="0"/>
        </w:numPr>
        <w:ind w:left="1437" w:hanging="870"/>
      </w:pPr>
      <w:r>
        <w:t>2</w:t>
      </w:r>
      <w:r w:rsidR="00640601">
        <w:t xml:space="preserve">. </w:t>
      </w:r>
      <w:r w:rsidR="00BA7EC0">
        <w:tab/>
      </w:r>
      <w:r>
        <w:t xml:space="preserve">The immovable property described </w:t>
      </w:r>
      <w:r w:rsidR="00BA7EC0">
        <w:t>as E</w:t>
      </w:r>
      <w:r>
        <w:t>rf 448 Greenstone Hill Extension 7 Township</w:t>
      </w:r>
      <w:r w:rsidR="00640601">
        <w:t>; Registration Division I.R., Gauteng</w:t>
      </w:r>
      <w:r w:rsidR="00F142DE">
        <w:t xml:space="preserve"> Province</w:t>
      </w:r>
      <w:r w:rsidR="00640601">
        <w:t>, extent 584 (F</w:t>
      </w:r>
      <w:r w:rsidR="006154C5">
        <w:t xml:space="preserve">ive </w:t>
      </w:r>
      <w:r w:rsidR="00640601">
        <w:t>H</w:t>
      </w:r>
      <w:r w:rsidR="006154C5">
        <w:t>undred and Eight Four</w:t>
      </w:r>
      <w:r w:rsidR="00640601">
        <w:t>) square meters held by Deed of Transfer No. T19792/2010</w:t>
      </w:r>
      <w:r w:rsidR="006154C5">
        <w:t>, s</w:t>
      </w:r>
      <w:r w:rsidR="00640601">
        <w:t>ituated at 448</w:t>
      </w:r>
      <w:r w:rsidR="006154C5">
        <w:t xml:space="preserve"> Opal Cove, </w:t>
      </w:r>
      <w:r w:rsidR="00640601">
        <w:t>E</w:t>
      </w:r>
      <w:r w:rsidR="006154C5">
        <w:t>merald Estate, Greenstone Hill, Ext 7</w:t>
      </w:r>
      <w:r w:rsidR="00640601">
        <w:t xml:space="preserve">, </w:t>
      </w:r>
      <w:r w:rsidR="006154C5">
        <w:t xml:space="preserve">Edenvale is declared </w:t>
      </w:r>
      <w:r w:rsidR="00640601">
        <w:t>specially executable</w:t>
      </w:r>
      <w:r w:rsidR="006154C5">
        <w:t xml:space="preserve">. </w:t>
      </w:r>
    </w:p>
    <w:p w:rsidR="006154C5" w:rsidRDefault="006154C5" w:rsidP="00BA7EC0">
      <w:pPr>
        <w:pStyle w:val="JudgmentNumbered"/>
        <w:numPr>
          <w:ilvl w:val="0"/>
          <w:numId w:val="0"/>
        </w:numPr>
        <w:ind w:left="1437" w:hanging="870"/>
      </w:pPr>
      <w:r>
        <w:t xml:space="preserve">3. </w:t>
      </w:r>
      <w:r w:rsidR="00BA7EC0">
        <w:tab/>
      </w:r>
      <w:r w:rsidRPr="006A484E">
        <w:t>A copy of this order is to be served on the respondents</w:t>
      </w:r>
      <w:r w:rsidR="00D408DA" w:rsidRPr="006A484E">
        <w:t>,</w:t>
      </w:r>
      <w:r w:rsidRPr="006A484E">
        <w:t xml:space="preserve"> personally</w:t>
      </w:r>
      <w:r w:rsidR="00D408DA" w:rsidRPr="006A484E">
        <w:t>.</w:t>
      </w:r>
    </w:p>
    <w:p w:rsidR="0016679E" w:rsidRDefault="0016679E" w:rsidP="0016679E">
      <w:pPr>
        <w:pStyle w:val="JudgmentNumbered"/>
        <w:numPr>
          <w:ilvl w:val="0"/>
          <w:numId w:val="0"/>
        </w:numPr>
        <w:ind w:left="1437" w:hanging="870"/>
      </w:pPr>
      <w:r>
        <w:t>4.</w:t>
      </w:r>
      <w:r>
        <w:tab/>
        <w:t>The respondents are advised that the provisions of section 129(3) and (4) of the National Credit Act 34 of 2004 (“the NCA”) apply to the judgment granted in favour of the applicant. The respondents may prevent the sale of the property, described as Erf</w:t>
      </w:r>
      <w:r w:rsidRPr="00BA7EC0">
        <w:t xml:space="preserve"> </w:t>
      </w:r>
      <w:r>
        <w:t>448 Greenstone Hill Extension 7 Township; Registration Division I.R.,Gauteng</w:t>
      </w:r>
      <w:r w:rsidRPr="0016679E">
        <w:t xml:space="preserve"> Province</w:t>
      </w:r>
      <w:r>
        <w:t>, extent 584 (Five Hundred and Eight Four) square meters held by Deed of Transfer No. T19792/2010, situated at 448 Opal Cove, Emerald Estate, Greenstone Hill, Ext 7, Edenvale if they pay to the applicants all of the arrear</w:t>
      </w:r>
      <w:r w:rsidRPr="00BA7EC0">
        <w:t xml:space="preserve"> </w:t>
      </w:r>
      <w:r>
        <w:t>amounts owing to the applicant together with all enforcement costs, default charges, prior to the property being sold in execution.</w:t>
      </w:r>
    </w:p>
    <w:p w:rsidR="0016679E" w:rsidRDefault="0016679E" w:rsidP="0016679E">
      <w:pPr>
        <w:pStyle w:val="JudgmentNumbered"/>
        <w:numPr>
          <w:ilvl w:val="0"/>
          <w:numId w:val="0"/>
        </w:numPr>
        <w:ind w:left="1437" w:hanging="870"/>
      </w:pPr>
      <w:r>
        <w:t>5.</w:t>
      </w:r>
      <w:r w:rsidRPr="00BA7EC0">
        <w:t xml:space="preserve"> </w:t>
      </w:r>
      <w:r>
        <w:tab/>
        <w:t>The arrear amounts and the enforcement costs referred to in paragraph 4 above may be obtained from the applicant. The respondents are advised that the arrear amount is not the full amount of the Judgment debt, but the amount owing by the respondents to the applicant, without reference to the accelerated amount.</w:t>
      </w:r>
    </w:p>
    <w:p w:rsidR="002B448C" w:rsidRDefault="00C53A21" w:rsidP="00C53A21">
      <w:pPr>
        <w:pStyle w:val="JudgmentNumbered"/>
        <w:numPr>
          <w:ilvl w:val="0"/>
          <w:numId w:val="0"/>
        </w:numPr>
        <w:spacing w:after="0"/>
        <w:ind w:left="5040"/>
      </w:pPr>
      <w:r>
        <w:t xml:space="preserve">     </w:t>
      </w:r>
      <w:r w:rsidR="002B448C">
        <w:t>___________</w:t>
      </w:r>
      <w:r w:rsidR="00EB01DA">
        <w:t>__</w:t>
      </w:r>
      <w:r w:rsidR="002B448C">
        <w:t>______________</w:t>
      </w:r>
    </w:p>
    <w:p w:rsidR="002B448C" w:rsidRDefault="00C64C6B" w:rsidP="00EB01DA">
      <w:pPr>
        <w:pStyle w:val="JudgmentNumbered"/>
        <w:numPr>
          <w:ilvl w:val="0"/>
          <w:numId w:val="0"/>
        </w:numPr>
        <w:spacing w:after="0"/>
        <w:ind w:left="567" w:hanging="567"/>
        <w:jc w:val="right"/>
        <w:rPr>
          <w:b/>
        </w:rPr>
      </w:pPr>
      <w:r>
        <w:rPr>
          <w:b/>
        </w:rPr>
        <w:t>SC MIA</w:t>
      </w:r>
    </w:p>
    <w:p w:rsidR="002B448C" w:rsidRDefault="002B448C" w:rsidP="00EB01DA">
      <w:pPr>
        <w:pStyle w:val="JudgmentNumbered"/>
        <w:numPr>
          <w:ilvl w:val="0"/>
          <w:numId w:val="0"/>
        </w:numPr>
        <w:spacing w:after="0"/>
        <w:ind w:left="567" w:hanging="567"/>
        <w:jc w:val="right"/>
        <w:rPr>
          <w:b/>
        </w:rPr>
      </w:pPr>
      <w:r>
        <w:rPr>
          <w:b/>
        </w:rPr>
        <w:t>JUDGE OF THE HIGH COURT</w:t>
      </w:r>
    </w:p>
    <w:p w:rsidR="00EB01DA" w:rsidRDefault="002B448C" w:rsidP="00EB01DA">
      <w:pPr>
        <w:pStyle w:val="JudgmentNumbered"/>
        <w:numPr>
          <w:ilvl w:val="0"/>
          <w:numId w:val="0"/>
        </w:numPr>
        <w:spacing w:after="0"/>
        <w:ind w:left="567" w:hanging="567"/>
        <w:jc w:val="right"/>
        <w:rPr>
          <w:b/>
        </w:rPr>
        <w:sectPr w:rsidR="00EB01DA">
          <w:footerReference w:type="default" r:id="rId10"/>
          <w:pgSz w:w="11906" w:h="16838"/>
          <w:pgMar w:top="1440" w:right="1440" w:bottom="1440" w:left="1440" w:header="708" w:footer="708" w:gutter="0"/>
          <w:cols w:space="708"/>
          <w:docGrid w:linePitch="360"/>
        </w:sectPr>
      </w:pPr>
      <w:r>
        <w:rPr>
          <w:b/>
        </w:rPr>
        <w:t>JOHANNESBURG</w:t>
      </w:r>
    </w:p>
    <w:p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rsidR="0016679E" w:rsidRPr="00D507BA" w:rsidRDefault="00FB5FB1" w:rsidP="00EB01DA">
      <w:pPr>
        <w:spacing w:after="0" w:line="240" w:lineRule="auto"/>
        <w:ind w:left="0"/>
        <w:rPr>
          <w:rFonts w:eastAsia="Times New Roman" w:cs="Arial"/>
          <w:b/>
          <w:szCs w:val="24"/>
          <w:lang w:val="en-ZA"/>
        </w:rPr>
      </w:pPr>
      <w:r w:rsidRPr="00D507BA">
        <w:rPr>
          <w:rFonts w:eastAsia="Times New Roman" w:cs="Arial"/>
          <w:b/>
          <w:szCs w:val="24"/>
          <w:lang w:val="en-ZA"/>
        </w:rPr>
        <w:lastRenderedPageBreak/>
        <w:t>Appearances</w:t>
      </w:r>
    </w:p>
    <w:p w:rsidR="00D507BA" w:rsidRDefault="00D507BA" w:rsidP="0085257B">
      <w:pPr>
        <w:spacing w:after="0" w:line="240" w:lineRule="auto"/>
        <w:ind w:left="0"/>
        <w:rPr>
          <w:rFonts w:eastAsia="Times New Roman" w:cs="Arial"/>
          <w:szCs w:val="24"/>
          <w:lang w:val="en-ZA"/>
        </w:rPr>
      </w:pPr>
    </w:p>
    <w:p w:rsidR="0085257B" w:rsidRDefault="00EB01DA" w:rsidP="0085257B">
      <w:pPr>
        <w:spacing w:after="0" w:line="240" w:lineRule="auto"/>
        <w:ind w:left="0"/>
        <w:rPr>
          <w:rFonts w:eastAsia="Times New Roman" w:cs="Arial"/>
          <w:szCs w:val="24"/>
          <w:lang w:val="en-ZA"/>
        </w:rPr>
      </w:pPr>
      <w:r w:rsidRPr="003673B7">
        <w:rPr>
          <w:rFonts w:eastAsia="Times New Roman" w:cs="Arial"/>
          <w:szCs w:val="24"/>
          <w:lang w:val="en-ZA"/>
        </w:rPr>
        <w:t xml:space="preserve">For the </w:t>
      </w:r>
      <w:r w:rsidR="00E24C03" w:rsidRPr="006A484E">
        <w:rPr>
          <w:rFonts w:eastAsia="Times New Roman" w:cs="Arial"/>
          <w:szCs w:val="24"/>
          <w:lang w:val="en-ZA"/>
        </w:rPr>
        <w:t>a</w:t>
      </w:r>
      <w:r w:rsidRPr="006A484E">
        <w:rPr>
          <w:rFonts w:eastAsia="Times New Roman" w:cs="Arial"/>
          <w:szCs w:val="24"/>
          <w:lang w:val="en-ZA"/>
        </w:rPr>
        <w:t>pplicant</w:t>
      </w:r>
      <w:r w:rsidR="0012153D">
        <w:rPr>
          <w:rFonts w:eastAsia="Times New Roman" w:cs="Arial"/>
          <w:szCs w:val="24"/>
          <w:lang w:val="en-ZA"/>
        </w:rPr>
        <w:t>s</w:t>
      </w:r>
      <w:r w:rsidRPr="003673B7">
        <w:rPr>
          <w:rFonts w:eastAsia="Times New Roman" w:cs="Arial"/>
          <w:szCs w:val="24"/>
          <w:lang w:val="en-ZA"/>
        </w:rPr>
        <w:t>:</w:t>
      </w:r>
      <w:r w:rsidR="0085257B">
        <w:rPr>
          <w:rFonts w:eastAsia="Times New Roman" w:cs="Arial"/>
          <w:szCs w:val="24"/>
          <w:lang w:val="en-ZA"/>
        </w:rPr>
        <w:t xml:space="preserve"> </w:t>
      </w:r>
    </w:p>
    <w:p w:rsidR="00EB01DA" w:rsidRPr="003673B7" w:rsidRDefault="00EB01DA" w:rsidP="00EB01DA">
      <w:pPr>
        <w:spacing w:after="0" w:line="240" w:lineRule="auto"/>
        <w:ind w:left="0"/>
        <w:rPr>
          <w:rFonts w:eastAsia="Times New Roman" w:cs="Arial"/>
          <w:szCs w:val="24"/>
          <w:lang w:val="en-ZA"/>
        </w:rPr>
      </w:pPr>
    </w:p>
    <w:p w:rsidR="00EB01DA" w:rsidRPr="003673B7" w:rsidRDefault="00EB01DA" w:rsidP="00EB01DA">
      <w:pPr>
        <w:spacing w:after="0" w:line="240" w:lineRule="auto"/>
        <w:ind w:left="0"/>
        <w:rPr>
          <w:rFonts w:eastAsia="Times New Roman" w:cs="Arial"/>
          <w:szCs w:val="24"/>
          <w:lang w:val="en-ZA"/>
        </w:rPr>
      </w:pPr>
    </w:p>
    <w:p w:rsidR="00EB01DA" w:rsidRPr="003673B7" w:rsidRDefault="00EB01DA" w:rsidP="00EB01DA">
      <w:pPr>
        <w:spacing w:after="0" w:line="240" w:lineRule="auto"/>
        <w:ind w:left="0"/>
        <w:rPr>
          <w:rFonts w:eastAsia="Times New Roman" w:cs="Arial"/>
          <w:szCs w:val="24"/>
          <w:lang w:val="en-ZA"/>
        </w:rPr>
      </w:pPr>
    </w:p>
    <w:p w:rsidR="0085257B" w:rsidRDefault="00EB01DA" w:rsidP="0085257B">
      <w:pPr>
        <w:spacing w:after="0" w:line="240" w:lineRule="auto"/>
        <w:ind w:left="0"/>
      </w:pPr>
      <w:r w:rsidRPr="003673B7">
        <w:rPr>
          <w:rFonts w:eastAsia="Times New Roman" w:cs="Arial"/>
          <w:szCs w:val="24"/>
          <w:lang w:val="en-ZA"/>
        </w:rPr>
        <w:t xml:space="preserve">For the </w:t>
      </w:r>
      <w:r w:rsidR="00E24C03" w:rsidRPr="006A484E">
        <w:rPr>
          <w:rFonts w:eastAsia="Times New Roman" w:cs="Arial"/>
          <w:szCs w:val="24"/>
          <w:lang w:val="en-ZA"/>
        </w:rPr>
        <w:t>r</w:t>
      </w:r>
      <w:r w:rsidRPr="006A484E">
        <w:rPr>
          <w:rFonts w:eastAsia="Times New Roman" w:cs="Arial"/>
          <w:szCs w:val="24"/>
          <w:lang w:val="en-ZA"/>
        </w:rPr>
        <w:t>espondent</w:t>
      </w:r>
      <w:r w:rsidR="0012153D">
        <w:rPr>
          <w:rFonts w:eastAsia="Times New Roman" w:cs="Arial"/>
          <w:szCs w:val="24"/>
          <w:lang w:val="en-ZA"/>
        </w:rPr>
        <w:t>s</w:t>
      </w:r>
      <w:r w:rsidRPr="003673B7">
        <w:rPr>
          <w:rFonts w:eastAsia="Times New Roman" w:cs="Arial"/>
          <w:szCs w:val="24"/>
          <w:lang w:val="en-ZA"/>
        </w:rPr>
        <w:t>:</w:t>
      </w:r>
      <w:r w:rsidR="0085257B" w:rsidRPr="0085257B">
        <w:t xml:space="preserve"> </w:t>
      </w:r>
    </w:p>
    <w:p w:rsidR="00FB5FB1" w:rsidRDefault="00FB5FB1" w:rsidP="00FB5FB1">
      <w:pPr>
        <w:pStyle w:val="JudgmentNumbered"/>
        <w:numPr>
          <w:ilvl w:val="0"/>
          <w:numId w:val="0"/>
        </w:numPr>
        <w:ind w:left="567" w:hanging="567"/>
      </w:pPr>
    </w:p>
    <w:p w:rsidR="00EB01DA" w:rsidRPr="003673B7" w:rsidRDefault="00EB01DA" w:rsidP="00EB01DA">
      <w:pPr>
        <w:spacing w:after="0" w:line="240" w:lineRule="auto"/>
        <w:ind w:left="0"/>
        <w:rPr>
          <w:rFonts w:eastAsia="Times New Roman" w:cs="Arial"/>
          <w:szCs w:val="24"/>
          <w:lang w:val="en-ZA"/>
        </w:rPr>
      </w:pPr>
    </w:p>
    <w:p w:rsidR="0016679E"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p>
    <w:p w:rsidR="00FB5FB1" w:rsidRDefault="00FB5FB1" w:rsidP="00EB01DA">
      <w:pPr>
        <w:spacing w:after="0" w:line="240" w:lineRule="auto"/>
        <w:ind w:left="0"/>
        <w:rPr>
          <w:rFonts w:eastAsia="Times New Roman" w:cs="Arial"/>
          <w:szCs w:val="24"/>
          <w:lang w:val="en-ZA"/>
        </w:rPr>
      </w:pPr>
    </w:p>
    <w:p w:rsidR="00FB5FB1" w:rsidRDefault="00D507BA" w:rsidP="00EB01DA">
      <w:pPr>
        <w:spacing w:after="0" w:line="240" w:lineRule="auto"/>
        <w:ind w:left="0"/>
        <w:rPr>
          <w:rFonts w:eastAsia="Times New Roman" w:cs="Arial"/>
          <w:szCs w:val="24"/>
          <w:lang w:val="en-ZA"/>
        </w:rPr>
      </w:pPr>
      <w:r>
        <w:rPr>
          <w:rFonts w:eastAsia="Times New Roman" w:cs="Arial"/>
          <w:szCs w:val="24"/>
          <w:lang w:val="en-ZA"/>
        </w:rPr>
        <w:t xml:space="preserve">Adv T Halgryn </w:t>
      </w:r>
    </w:p>
    <w:p w:rsidR="00D507BA" w:rsidRPr="00D507BA" w:rsidRDefault="00D507BA" w:rsidP="00D507BA">
      <w:pPr>
        <w:pStyle w:val="JudgmentNumbered"/>
        <w:numPr>
          <w:ilvl w:val="0"/>
          <w:numId w:val="0"/>
        </w:numPr>
        <w:ind w:left="567" w:hanging="567"/>
        <w:rPr>
          <w:lang w:val="en-ZA"/>
        </w:rPr>
      </w:pPr>
      <w:r>
        <w:rPr>
          <w:lang w:val="en-ZA"/>
        </w:rPr>
        <w:t>Instructed by PME Attroneys</w:t>
      </w:r>
    </w:p>
    <w:p w:rsidR="0012153D" w:rsidRDefault="0012153D" w:rsidP="00EB01DA">
      <w:pPr>
        <w:spacing w:after="0" w:line="240" w:lineRule="auto"/>
        <w:ind w:left="0"/>
        <w:rPr>
          <w:rFonts w:eastAsia="Times New Roman" w:cs="Arial"/>
          <w:szCs w:val="24"/>
          <w:lang w:val="en-ZA"/>
        </w:rPr>
      </w:pPr>
    </w:p>
    <w:p w:rsidR="00D507BA" w:rsidRDefault="00D507BA" w:rsidP="00D507BA">
      <w:pPr>
        <w:spacing w:after="0" w:line="240" w:lineRule="auto"/>
        <w:ind w:left="0"/>
        <w:rPr>
          <w:rFonts w:eastAsia="Times New Roman" w:cs="Arial"/>
          <w:szCs w:val="24"/>
          <w:lang w:val="en-ZA"/>
        </w:rPr>
      </w:pPr>
      <w:r>
        <w:t>Adv Siseko Madikizela</w:t>
      </w:r>
    </w:p>
    <w:p w:rsidR="0012153D" w:rsidRDefault="00D507BA" w:rsidP="00EB01DA">
      <w:pPr>
        <w:spacing w:after="0" w:line="240" w:lineRule="auto"/>
        <w:ind w:left="0"/>
      </w:pPr>
      <w:r>
        <w:rPr>
          <w:rFonts w:eastAsia="Times New Roman" w:cs="Arial"/>
          <w:szCs w:val="24"/>
          <w:lang w:val="en-ZA"/>
        </w:rPr>
        <w:t>instructed by:</w:t>
      </w:r>
      <w:r>
        <w:t xml:space="preserve"> Mkhize PR Attorneys</w:t>
      </w:r>
    </w:p>
    <w:p w:rsidR="00BD42BB" w:rsidRPr="00BD42BB" w:rsidRDefault="00BD42BB" w:rsidP="00BD42BB">
      <w:pPr>
        <w:pStyle w:val="JudgmentNumbered"/>
        <w:numPr>
          <w:ilvl w:val="0"/>
          <w:numId w:val="0"/>
        </w:numPr>
        <w:ind w:left="567"/>
      </w:pPr>
    </w:p>
    <w:p w:rsidR="00BD42BB" w:rsidRPr="00D507BA" w:rsidRDefault="00BD42BB" w:rsidP="00BD42BB">
      <w:pPr>
        <w:spacing w:after="0" w:line="240" w:lineRule="auto"/>
        <w:ind w:left="0"/>
        <w:jc w:val="left"/>
      </w:pPr>
      <w:r>
        <w:rPr>
          <w:b/>
        </w:rPr>
        <w:t xml:space="preserve">Heard: </w:t>
      </w:r>
      <w:r>
        <w:rPr>
          <w:b/>
        </w:rPr>
        <w:tab/>
        <w:t xml:space="preserve"> </w:t>
      </w:r>
      <w:r>
        <w:rPr>
          <w:b/>
        </w:rPr>
        <w:tab/>
      </w:r>
      <w:r w:rsidRPr="0033514E">
        <w:rPr>
          <w:b/>
        </w:rPr>
        <w:t>17 October 2022</w:t>
      </w:r>
    </w:p>
    <w:p w:rsidR="00BD42BB" w:rsidRPr="0033514E" w:rsidRDefault="00BD42BB" w:rsidP="00BD42BB">
      <w:pPr>
        <w:pStyle w:val="JudgmentNumbered"/>
        <w:numPr>
          <w:ilvl w:val="0"/>
          <w:numId w:val="0"/>
        </w:numPr>
        <w:ind w:left="567" w:hanging="567"/>
        <w:jc w:val="left"/>
        <w:rPr>
          <w:b/>
        </w:rPr>
      </w:pPr>
      <w:r>
        <w:rPr>
          <w:b/>
        </w:rPr>
        <w:t>Delivered</w:t>
      </w:r>
      <w:r w:rsidRPr="0033514E">
        <w:rPr>
          <w:b/>
        </w:rPr>
        <w:t xml:space="preserve">: </w:t>
      </w:r>
      <w:r>
        <w:rPr>
          <w:b/>
        </w:rPr>
        <w:tab/>
      </w:r>
      <w:r>
        <w:rPr>
          <w:b/>
        </w:rPr>
        <w:tab/>
      </w:r>
      <w:r w:rsidRPr="0033514E">
        <w:rPr>
          <w:b/>
        </w:rPr>
        <w:t>17 April 2023</w:t>
      </w:r>
    </w:p>
    <w:p w:rsidR="00D507BA" w:rsidRPr="00D507BA" w:rsidRDefault="00D507BA" w:rsidP="00D507BA">
      <w:pPr>
        <w:pStyle w:val="JudgmentNumbered"/>
        <w:numPr>
          <w:ilvl w:val="0"/>
          <w:numId w:val="0"/>
        </w:numPr>
      </w:pPr>
    </w:p>
    <w:p w:rsidR="00EB01DA" w:rsidRPr="003673B7" w:rsidRDefault="00EB01DA" w:rsidP="00EB01DA">
      <w:pPr>
        <w:spacing w:after="0" w:line="240" w:lineRule="auto"/>
        <w:ind w:left="0"/>
        <w:rPr>
          <w:rFonts w:eastAsia="Times New Roman" w:cs="Arial"/>
          <w:szCs w:val="24"/>
          <w:lang w:val="en-ZA"/>
        </w:rPr>
      </w:pPr>
    </w:p>
    <w:p w:rsidR="0085257B" w:rsidRDefault="0085257B" w:rsidP="00EB01DA">
      <w:pPr>
        <w:spacing w:after="0" w:line="240" w:lineRule="auto"/>
        <w:ind w:left="0"/>
        <w:rPr>
          <w:rFonts w:eastAsia="Times New Roman" w:cs="Arial"/>
          <w:szCs w:val="24"/>
          <w:lang w:val="en-ZA"/>
        </w:rPr>
      </w:pPr>
    </w:p>
    <w:p w:rsidR="00D507BA" w:rsidRPr="00D507BA" w:rsidRDefault="00D507BA" w:rsidP="00D507BA">
      <w:pPr>
        <w:pStyle w:val="JudgmentNumbered"/>
        <w:numPr>
          <w:ilvl w:val="0"/>
          <w:numId w:val="0"/>
        </w:numPr>
        <w:ind w:left="567"/>
      </w:pPr>
    </w:p>
    <w:sectPr w:rsidR="00D507BA" w:rsidRPr="00D507BA" w:rsidSect="008E5DB5">
      <w:footerReference w:type="default" r:id="rId11"/>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A9" w:rsidRDefault="00E139A9" w:rsidP="00E41F21">
      <w:pPr>
        <w:spacing w:after="0" w:line="240" w:lineRule="auto"/>
      </w:pPr>
      <w:r>
        <w:separator/>
      </w:r>
    </w:p>
  </w:endnote>
  <w:endnote w:type="continuationSeparator" w:id="0">
    <w:p w:rsidR="00E139A9" w:rsidRDefault="00E139A9" w:rsidP="00E4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90053"/>
      <w:docPartObj>
        <w:docPartGallery w:val="Page Numbers (Bottom of Page)"/>
        <w:docPartUnique/>
      </w:docPartObj>
    </w:sdtPr>
    <w:sdtEndPr>
      <w:rPr>
        <w:noProof/>
      </w:rPr>
    </w:sdtEndPr>
    <w:sdtContent>
      <w:p w:rsidR="00177658" w:rsidRDefault="00177658">
        <w:pPr>
          <w:pStyle w:val="Footer"/>
          <w:jc w:val="center"/>
        </w:pPr>
        <w:r>
          <w:fldChar w:fldCharType="begin"/>
        </w:r>
        <w:r>
          <w:instrText xml:space="preserve"> PAGE   \* MERGEFORMAT </w:instrText>
        </w:r>
        <w:r>
          <w:fldChar w:fldCharType="separate"/>
        </w:r>
        <w:r w:rsidR="006467FB">
          <w:rPr>
            <w:noProof/>
          </w:rPr>
          <w:t>1</w:t>
        </w:r>
        <w:r>
          <w:rPr>
            <w:noProof/>
          </w:rPr>
          <w:fldChar w:fldCharType="end"/>
        </w:r>
      </w:p>
    </w:sdtContent>
  </w:sdt>
  <w:p w:rsidR="00177658" w:rsidRDefault="00177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377206"/>
      <w:docPartObj>
        <w:docPartGallery w:val="Page Numbers (Bottom of Page)"/>
        <w:docPartUnique/>
      </w:docPartObj>
    </w:sdtPr>
    <w:sdtEndPr>
      <w:rPr>
        <w:noProof/>
      </w:rPr>
    </w:sdtEndPr>
    <w:sdtContent>
      <w:p w:rsidR="00177658" w:rsidRDefault="00177658">
        <w:pPr>
          <w:pStyle w:val="Footer"/>
          <w:jc w:val="center"/>
        </w:pPr>
        <w:r>
          <w:fldChar w:fldCharType="begin"/>
        </w:r>
        <w:r>
          <w:instrText xml:space="preserve"> PAGE   \* MERGEFORMAT </w:instrText>
        </w:r>
        <w:r>
          <w:fldChar w:fldCharType="separate"/>
        </w:r>
        <w:r w:rsidR="006467FB">
          <w:rPr>
            <w:noProof/>
          </w:rPr>
          <w:t>1</w:t>
        </w:r>
        <w:r>
          <w:rPr>
            <w:noProof/>
          </w:rPr>
          <w:fldChar w:fldCharType="end"/>
        </w:r>
        <w:r>
          <w:rPr>
            <w:noProof/>
          </w:rPr>
          <w:t>2</w:t>
        </w:r>
      </w:p>
    </w:sdtContent>
  </w:sdt>
  <w:p w:rsidR="00177658" w:rsidRDefault="00177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A9" w:rsidRDefault="00E139A9" w:rsidP="00E41F21">
      <w:pPr>
        <w:spacing w:after="0" w:line="240" w:lineRule="auto"/>
      </w:pPr>
      <w:r>
        <w:separator/>
      </w:r>
    </w:p>
  </w:footnote>
  <w:footnote w:type="continuationSeparator" w:id="0">
    <w:p w:rsidR="00E139A9" w:rsidRDefault="00E139A9" w:rsidP="00E41F21">
      <w:pPr>
        <w:spacing w:after="0" w:line="240" w:lineRule="auto"/>
      </w:pPr>
      <w:r>
        <w:continuationSeparator/>
      </w:r>
    </w:p>
  </w:footnote>
  <w:footnote w:id="1">
    <w:p w:rsidR="008E5DB5" w:rsidRPr="00E41F21" w:rsidRDefault="008E5DB5">
      <w:pPr>
        <w:pStyle w:val="FootnoteText"/>
        <w:rPr>
          <w:lang w:val="en-ZA"/>
        </w:rPr>
      </w:pPr>
      <w:r>
        <w:rPr>
          <w:rStyle w:val="FootnoteReference"/>
        </w:rPr>
        <w:footnoteRef/>
      </w:r>
      <w:r>
        <w:t xml:space="preserve"> Caselines Founding Affidavit, clause 8.3 of the Schedule Terms and Conditions attached as “A7” </w:t>
      </w:r>
    </w:p>
  </w:footnote>
  <w:footnote w:id="2">
    <w:p w:rsidR="008E5DB5" w:rsidRDefault="008E5DB5" w:rsidP="00A14F76">
      <w:pPr>
        <w:pStyle w:val="FootnoteText"/>
      </w:pPr>
      <w:r>
        <w:rPr>
          <w:rStyle w:val="FootnoteReference"/>
        </w:rPr>
        <w:footnoteRef/>
      </w:r>
      <w:r>
        <w:t xml:space="preserve"> </w:t>
      </w:r>
      <w:r w:rsidR="00BB464F" w:rsidRPr="009134D0">
        <w:t xml:space="preserve">See </w:t>
      </w:r>
      <w:r w:rsidRPr="009134D0">
        <w:t>Standard Bank of South Africa Ltd v Hand 2012 (3) SA 319 (GSJ) para 5</w:t>
      </w:r>
      <w:r w:rsidR="00BB464F" w:rsidRPr="009134D0">
        <w:t xml:space="preserve"> and cases cited with approval therein</w:t>
      </w:r>
      <w:r w:rsidRPr="009134D0">
        <w:t xml:space="preserve">. </w:t>
      </w:r>
      <w:r w:rsidR="00BB464F" w:rsidRPr="009134D0">
        <w:t xml:space="preserve">See also </w:t>
      </w:r>
      <w:r w:rsidRPr="009134D0">
        <w:t>Standard Bank of South Africa Ltd v Saunderson &amp; Others 2006 (2) SA 264 (SCA). Sebola &amp; Another v Standard Bank of South Africa Ltd &amp; Another 2012 (5) SA 142 (CC).</w:t>
      </w:r>
      <w:r>
        <w:t xml:space="preserve"> </w:t>
      </w:r>
    </w:p>
  </w:footnote>
  <w:footnote w:id="3">
    <w:p w:rsidR="009134D0" w:rsidRPr="009134D0" w:rsidRDefault="009134D0">
      <w:pPr>
        <w:pStyle w:val="FootnoteText"/>
        <w:rPr>
          <w:lang w:val="en-ZA"/>
        </w:rPr>
      </w:pPr>
      <w:r>
        <w:rPr>
          <w:rStyle w:val="FootnoteReference"/>
        </w:rPr>
        <w:footnoteRef/>
      </w:r>
      <w:r>
        <w:t xml:space="preserve"> </w:t>
      </w:r>
      <w:r>
        <w:rPr>
          <w:lang w:val="en-ZA"/>
        </w:rPr>
        <w:t>Caselines 03-13, Clause 10 and 03-23, clause 13</w:t>
      </w:r>
    </w:p>
  </w:footnote>
  <w:footnote w:id="4">
    <w:p w:rsidR="00AC1876" w:rsidRPr="00A70213" w:rsidRDefault="00AC1876" w:rsidP="00AC1876">
      <w:pPr>
        <w:pStyle w:val="FootnoteText"/>
        <w:rPr>
          <w:lang w:val="en-ZA"/>
        </w:rPr>
      </w:pPr>
      <w:r>
        <w:rPr>
          <w:rStyle w:val="FootnoteReference"/>
        </w:rPr>
        <w:footnoteRef/>
      </w:r>
      <w:r>
        <w:t xml:space="preserve"> Caselines 02-</w:t>
      </w:r>
      <w:r w:rsidR="00A45383">
        <w:t>28 Mortgage</w:t>
      </w:r>
      <w:r>
        <w:t xml:space="preserve"> Loan Agreement, annexure “A5” to the FA, clause 5.1 </w:t>
      </w:r>
    </w:p>
  </w:footnote>
  <w:footnote w:id="5">
    <w:p w:rsidR="00AD35B4" w:rsidRPr="00BA4F81" w:rsidRDefault="00AD35B4" w:rsidP="00AD35B4">
      <w:pPr>
        <w:pStyle w:val="FootnoteText"/>
        <w:rPr>
          <w:lang w:val="en-ZA"/>
        </w:rPr>
      </w:pPr>
      <w:r>
        <w:rPr>
          <w:rStyle w:val="FootnoteReference"/>
        </w:rPr>
        <w:footnoteRef/>
      </w:r>
      <w:r>
        <w:t xml:space="preserve"> Caselines </w:t>
      </w:r>
      <w:r>
        <w:rPr>
          <w:lang w:val="en-ZA"/>
        </w:rPr>
        <w:t>02-28 above</w:t>
      </w:r>
    </w:p>
  </w:footnote>
  <w:footnote w:id="6">
    <w:p w:rsidR="008E5DB5" w:rsidRPr="0097075D" w:rsidRDefault="008E5DB5" w:rsidP="0097075D">
      <w:pPr>
        <w:pStyle w:val="FootnoteText"/>
        <w:rPr>
          <w:lang w:val="en-ZA"/>
        </w:rPr>
      </w:pPr>
      <w:r>
        <w:rPr>
          <w:rStyle w:val="FootnoteReference"/>
        </w:rPr>
        <w:footnoteRef/>
      </w:r>
      <w:r>
        <w:t xml:space="preserve"> </w:t>
      </w:r>
      <w:r w:rsidR="00D408DA" w:rsidRPr="006A484E">
        <w:rPr>
          <w:i/>
        </w:rPr>
        <w:t>Brummund v Brummund’s Estate</w:t>
      </w:r>
      <w:r w:rsidR="00D408DA">
        <w:t xml:space="preserve"> </w:t>
      </w:r>
      <w:r>
        <w:t>1993</w:t>
      </w:r>
      <w:r w:rsidR="00D408DA">
        <w:t xml:space="preserve"> </w:t>
      </w:r>
      <w:r>
        <w:t>(2) 494 SA 494(Nm</w:t>
      </w:r>
      <w:r w:rsidRPr="006A484E">
        <w:t>)</w:t>
      </w:r>
      <w:r w:rsidR="00D408DA" w:rsidRPr="006A484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697BFB"/>
    <w:multiLevelType w:val="multilevel"/>
    <w:tmpl w:val="368E41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D07CD"/>
    <w:multiLevelType w:val="multilevel"/>
    <w:tmpl w:val="045C7D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45473B"/>
    <w:multiLevelType w:val="multilevel"/>
    <w:tmpl w:val="191A5ECE"/>
    <w:lvl w:ilvl="0">
      <w:start w:val="1"/>
      <w:numFmt w:val="decimal"/>
      <w:pStyle w:val="JudgmentNumbered"/>
      <w:lvlText w:val="[%1]"/>
      <w:lvlJc w:val="left"/>
      <w:pPr>
        <w:ind w:left="992"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E982B14"/>
    <w:multiLevelType w:val="multilevel"/>
    <w:tmpl w:val="8C9CAB3C"/>
    <w:lvl w:ilvl="0">
      <w:start w:val="9"/>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676016B"/>
    <w:multiLevelType w:val="multilevel"/>
    <w:tmpl w:val="331AC5A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331090A"/>
    <w:multiLevelType w:val="multilevel"/>
    <w:tmpl w:val="DEF643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A3012E3"/>
    <w:multiLevelType w:val="multilevel"/>
    <w:tmpl w:val="8AB6C8F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C595FBB"/>
    <w:multiLevelType w:val="multilevel"/>
    <w:tmpl w:val="B094D2E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3"/>
  </w:num>
  <w:num w:numId="2">
    <w:abstractNumId w:val="5"/>
  </w:num>
  <w:num w:numId="3">
    <w:abstractNumId w:val="0"/>
  </w:num>
  <w:num w:numId="4">
    <w:abstractNumId w:val="3"/>
  </w:num>
  <w:num w:numId="5">
    <w:abstractNumId w:val="8"/>
  </w:num>
  <w:num w:numId="6">
    <w:abstractNumId w:val="7"/>
  </w:num>
  <w:num w:numId="7">
    <w:abstractNumId w:val="6"/>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1B06CB-D0EF-46F4-A98B-C16328F829C5}"/>
    <w:docVar w:name="dgnword-eventsink" w:val="1905079121344"/>
  </w:docVars>
  <w:rsids>
    <w:rsidRoot w:val="00662C46"/>
    <w:rsid w:val="00005E96"/>
    <w:rsid w:val="00016A3E"/>
    <w:rsid w:val="00016D0A"/>
    <w:rsid w:val="000323A8"/>
    <w:rsid w:val="0004084E"/>
    <w:rsid w:val="00044B11"/>
    <w:rsid w:val="00052151"/>
    <w:rsid w:val="000831D1"/>
    <w:rsid w:val="00083EBD"/>
    <w:rsid w:val="00087CDB"/>
    <w:rsid w:val="00092298"/>
    <w:rsid w:val="000A5D8E"/>
    <w:rsid w:val="000B75F9"/>
    <w:rsid w:val="000E5920"/>
    <w:rsid w:val="000F3FFA"/>
    <w:rsid w:val="001201E8"/>
    <w:rsid w:val="0012153D"/>
    <w:rsid w:val="001426F1"/>
    <w:rsid w:val="00144A2E"/>
    <w:rsid w:val="001513B8"/>
    <w:rsid w:val="0016679E"/>
    <w:rsid w:val="00177658"/>
    <w:rsid w:val="00180D38"/>
    <w:rsid w:val="0018547C"/>
    <w:rsid w:val="001C3576"/>
    <w:rsid w:val="001C5042"/>
    <w:rsid w:val="001D03CA"/>
    <w:rsid w:val="001D252A"/>
    <w:rsid w:val="002175F4"/>
    <w:rsid w:val="00217C09"/>
    <w:rsid w:val="002573B0"/>
    <w:rsid w:val="0026532C"/>
    <w:rsid w:val="00267A72"/>
    <w:rsid w:val="00283014"/>
    <w:rsid w:val="002B448C"/>
    <w:rsid w:val="002C7BAA"/>
    <w:rsid w:val="002E18F1"/>
    <w:rsid w:val="003310C9"/>
    <w:rsid w:val="003317DC"/>
    <w:rsid w:val="0033514E"/>
    <w:rsid w:val="003673B7"/>
    <w:rsid w:val="003A75FA"/>
    <w:rsid w:val="003B0BEA"/>
    <w:rsid w:val="003E7E7E"/>
    <w:rsid w:val="00411B0A"/>
    <w:rsid w:val="00441337"/>
    <w:rsid w:val="004528AF"/>
    <w:rsid w:val="00486F62"/>
    <w:rsid w:val="004948C5"/>
    <w:rsid w:val="004D494C"/>
    <w:rsid w:val="004E0A8F"/>
    <w:rsid w:val="004E4F41"/>
    <w:rsid w:val="005050CE"/>
    <w:rsid w:val="005250D5"/>
    <w:rsid w:val="0055264D"/>
    <w:rsid w:val="005566A7"/>
    <w:rsid w:val="005569E6"/>
    <w:rsid w:val="00566D8E"/>
    <w:rsid w:val="00571A06"/>
    <w:rsid w:val="005B2507"/>
    <w:rsid w:val="005C5020"/>
    <w:rsid w:val="005C7FE5"/>
    <w:rsid w:val="005E595B"/>
    <w:rsid w:val="00603A54"/>
    <w:rsid w:val="006154C5"/>
    <w:rsid w:val="00640601"/>
    <w:rsid w:val="00645414"/>
    <w:rsid w:val="006467FB"/>
    <w:rsid w:val="00660DB3"/>
    <w:rsid w:val="00662C46"/>
    <w:rsid w:val="00662C5B"/>
    <w:rsid w:val="00666F62"/>
    <w:rsid w:val="006A2B87"/>
    <w:rsid w:val="006A484E"/>
    <w:rsid w:val="006B0AE5"/>
    <w:rsid w:val="006C5ABA"/>
    <w:rsid w:val="00744591"/>
    <w:rsid w:val="00771220"/>
    <w:rsid w:val="0078064B"/>
    <w:rsid w:val="007847A3"/>
    <w:rsid w:val="00794DCB"/>
    <w:rsid w:val="007B7F59"/>
    <w:rsid w:val="007C5872"/>
    <w:rsid w:val="008017DD"/>
    <w:rsid w:val="00833DA9"/>
    <w:rsid w:val="00834F9A"/>
    <w:rsid w:val="00844AF1"/>
    <w:rsid w:val="0085257B"/>
    <w:rsid w:val="00856D20"/>
    <w:rsid w:val="00856D74"/>
    <w:rsid w:val="00863E91"/>
    <w:rsid w:val="00885D65"/>
    <w:rsid w:val="008B0876"/>
    <w:rsid w:val="008B6A96"/>
    <w:rsid w:val="008E5DB5"/>
    <w:rsid w:val="008E7AF9"/>
    <w:rsid w:val="009134D0"/>
    <w:rsid w:val="00915973"/>
    <w:rsid w:val="00953325"/>
    <w:rsid w:val="00960C24"/>
    <w:rsid w:val="0097075D"/>
    <w:rsid w:val="00971AB8"/>
    <w:rsid w:val="00982BF6"/>
    <w:rsid w:val="009B5B50"/>
    <w:rsid w:val="009C08C0"/>
    <w:rsid w:val="009F03E5"/>
    <w:rsid w:val="00A0337A"/>
    <w:rsid w:val="00A14F76"/>
    <w:rsid w:val="00A45383"/>
    <w:rsid w:val="00A70213"/>
    <w:rsid w:val="00A809AE"/>
    <w:rsid w:val="00A83A79"/>
    <w:rsid w:val="00AB22A2"/>
    <w:rsid w:val="00AB52A3"/>
    <w:rsid w:val="00AC1876"/>
    <w:rsid w:val="00AC4EF0"/>
    <w:rsid w:val="00AC6E25"/>
    <w:rsid w:val="00AD35B4"/>
    <w:rsid w:val="00AD3681"/>
    <w:rsid w:val="00B53090"/>
    <w:rsid w:val="00B807C1"/>
    <w:rsid w:val="00BA0FD7"/>
    <w:rsid w:val="00BA4E35"/>
    <w:rsid w:val="00BA4F81"/>
    <w:rsid w:val="00BA7EC0"/>
    <w:rsid w:val="00BB464F"/>
    <w:rsid w:val="00BC6B91"/>
    <w:rsid w:val="00BD0753"/>
    <w:rsid w:val="00BD2F26"/>
    <w:rsid w:val="00BD42BB"/>
    <w:rsid w:val="00BE06DF"/>
    <w:rsid w:val="00C03336"/>
    <w:rsid w:val="00C03613"/>
    <w:rsid w:val="00C066A6"/>
    <w:rsid w:val="00C10861"/>
    <w:rsid w:val="00C53A21"/>
    <w:rsid w:val="00C62B5D"/>
    <w:rsid w:val="00C64C6B"/>
    <w:rsid w:val="00C750FD"/>
    <w:rsid w:val="00C86F21"/>
    <w:rsid w:val="00C92E41"/>
    <w:rsid w:val="00CD3925"/>
    <w:rsid w:val="00CE6D24"/>
    <w:rsid w:val="00D0645A"/>
    <w:rsid w:val="00D11F60"/>
    <w:rsid w:val="00D207B7"/>
    <w:rsid w:val="00D311F4"/>
    <w:rsid w:val="00D36533"/>
    <w:rsid w:val="00D408DA"/>
    <w:rsid w:val="00D507BA"/>
    <w:rsid w:val="00D67782"/>
    <w:rsid w:val="00D95514"/>
    <w:rsid w:val="00DC2975"/>
    <w:rsid w:val="00DC6FF7"/>
    <w:rsid w:val="00E025B9"/>
    <w:rsid w:val="00E139A9"/>
    <w:rsid w:val="00E24C03"/>
    <w:rsid w:val="00E259DA"/>
    <w:rsid w:val="00E41F21"/>
    <w:rsid w:val="00E558F0"/>
    <w:rsid w:val="00E570FC"/>
    <w:rsid w:val="00E92B70"/>
    <w:rsid w:val="00EA0525"/>
    <w:rsid w:val="00EB01DA"/>
    <w:rsid w:val="00EB09CA"/>
    <w:rsid w:val="00ED1F4A"/>
    <w:rsid w:val="00F04DD0"/>
    <w:rsid w:val="00F142DE"/>
    <w:rsid w:val="00F20E68"/>
    <w:rsid w:val="00F30A80"/>
    <w:rsid w:val="00F67D03"/>
    <w:rsid w:val="00F77195"/>
    <w:rsid w:val="00F86CC2"/>
    <w:rsid w:val="00F920D3"/>
    <w:rsid w:val="00FA015A"/>
    <w:rsid w:val="00FB5FB1"/>
    <w:rsid w:val="00FD11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7D6A-F587-45C8-B38D-4FAED70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ind w:left="567"/>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ListParagraph">
    <w:name w:val="List Paragraph"/>
    <w:basedOn w:val="Normal"/>
    <w:uiPriority w:val="34"/>
    <w:qFormat/>
    <w:rsid w:val="00AB22A2"/>
    <w:pPr>
      <w:ind w:left="720"/>
      <w:contextualSpacing/>
    </w:pPr>
  </w:style>
  <w:style w:type="paragraph" w:styleId="FootnoteText">
    <w:name w:val="footnote text"/>
    <w:basedOn w:val="Normal"/>
    <w:link w:val="FootnoteTextChar"/>
    <w:uiPriority w:val="99"/>
    <w:semiHidden/>
    <w:unhideWhenUsed/>
    <w:rsid w:val="00E4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F21"/>
    <w:rPr>
      <w:rFonts w:ascii="Arial" w:hAnsi="Arial"/>
      <w:sz w:val="20"/>
      <w:szCs w:val="20"/>
      <w:lang w:val="en-GB"/>
    </w:rPr>
  </w:style>
  <w:style w:type="character" w:styleId="FootnoteReference">
    <w:name w:val="footnote reference"/>
    <w:basedOn w:val="DefaultParagraphFont"/>
    <w:uiPriority w:val="99"/>
    <w:semiHidden/>
    <w:unhideWhenUsed/>
    <w:rsid w:val="00E41F21"/>
    <w:rPr>
      <w:vertAlign w:val="superscript"/>
    </w:rPr>
  </w:style>
  <w:style w:type="character" w:customStyle="1" w:styleId="mc">
    <w:name w:val="mc"/>
    <w:basedOn w:val="DefaultParagraphFont"/>
    <w:rsid w:val="0097075D"/>
  </w:style>
  <w:style w:type="paragraph" w:styleId="Header">
    <w:name w:val="header"/>
    <w:basedOn w:val="Normal"/>
    <w:link w:val="HeaderChar"/>
    <w:uiPriority w:val="99"/>
    <w:unhideWhenUsed/>
    <w:rsid w:val="00177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658"/>
    <w:rPr>
      <w:rFonts w:ascii="Arial" w:hAnsi="Arial"/>
      <w:sz w:val="24"/>
      <w:lang w:val="en-GB"/>
    </w:rPr>
  </w:style>
  <w:style w:type="paragraph" w:styleId="Footer">
    <w:name w:val="footer"/>
    <w:basedOn w:val="Normal"/>
    <w:link w:val="FooterChar"/>
    <w:uiPriority w:val="99"/>
    <w:unhideWhenUsed/>
    <w:rsid w:val="0017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658"/>
    <w:rPr>
      <w:rFonts w:ascii="Arial" w:hAnsi="Arial"/>
      <w:sz w:val="24"/>
      <w:lang w:val="en-GB"/>
    </w:rPr>
  </w:style>
  <w:style w:type="paragraph" w:styleId="BalloonText">
    <w:name w:val="Balloon Text"/>
    <w:basedOn w:val="Normal"/>
    <w:link w:val="BalloonTextChar"/>
    <w:uiPriority w:val="99"/>
    <w:semiHidden/>
    <w:unhideWhenUsed/>
    <w:rsid w:val="00BD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0802">
      <w:bodyDiv w:val="1"/>
      <w:marLeft w:val="0"/>
      <w:marRight w:val="0"/>
      <w:marTop w:val="0"/>
      <w:marBottom w:val="0"/>
      <w:divBdr>
        <w:top w:val="none" w:sz="0" w:space="0" w:color="auto"/>
        <w:left w:val="none" w:sz="0" w:space="0" w:color="auto"/>
        <w:bottom w:val="none" w:sz="0" w:space="0" w:color="auto"/>
        <w:right w:val="none" w:sz="0" w:space="0" w:color="auto"/>
      </w:divBdr>
      <w:divsChild>
        <w:div w:id="1387603538">
          <w:marLeft w:val="0"/>
          <w:marRight w:val="0"/>
          <w:marTop w:val="120"/>
          <w:marBottom w:val="0"/>
          <w:divBdr>
            <w:top w:val="none" w:sz="0" w:space="0" w:color="auto"/>
            <w:left w:val="none" w:sz="0" w:space="0" w:color="auto"/>
            <w:bottom w:val="none" w:sz="0" w:space="0" w:color="auto"/>
            <w:right w:val="none" w:sz="0" w:space="0" w:color="auto"/>
          </w:divBdr>
        </w:div>
      </w:divsChild>
    </w:div>
    <w:div w:id="2079787517">
      <w:bodyDiv w:val="1"/>
      <w:marLeft w:val="0"/>
      <w:marRight w:val="0"/>
      <w:marTop w:val="0"/>
      <w:marBottom w:val="0"/>
      <w:divBdr>
        <w:top w:val="none" w:sz="0" w:space="0" w:color="auto"/>
        <w:left w:val="none" w:sz="0" w:space="0" w:color="auto"/>
        <w:bottom w:val="none" w:sz="0" w:space="0" w:color="auto"/>
        <w:right w:val="none" w:sz="0" w:space="0" w:color="auto"/>
      </w:divBdr>
      <w:divsChild>
        <w:div w:id="20800124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F50C-BDF2-40F1-A68E-6A80C136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1</TotalTime>
  <Pages>12</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Lazarus Rakgwale</cp:lastModifiedBy>
  <cp:revision>2</cp:revision>
  <cp:lastPrinted>2023-04-17T10:59:00Z</cp:lastPrinted>
  <dcterms:created xsi:type="dcterms:W3CDTF">2023-04-17T13:18:00Z</dcterms:created>
  <dcterms:modified xsi:type="dcterms:W3CDTF">2023-04-17T13:18:00Z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4ffc4d6a-6305-4af9-93c5-46e2e38b9610</vt:lpwstr>
  </property>
</Properties>
</file>