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E7CDF" w14:textId="77777777" w:rsidR="005957B5" w:rsidRDefault="005957B5" w:rsidP="005957B5">
      <w:pPr>
        <w:pStyle w:val="Default"/>
      </w:pPr>
      <w:bookmarkStart w:id="0" w:name="_GoBack"/>
      <w:bookmarkEnd w:id="0"/>
    </w:p>
    <w:p w14:paraId="6891FF5F" w14:textId="77777777" w:rsidR="00073955" w:rsidRPr="00073955" w:rsidRDefault="005957B5" w:rsidP="00073955">
      <w:pPr>
        <w:spacing w:after="0" w:line="360" w:lineRule="auto"/>
        <w:ind w:left="305" w:hangingChars="127" w:hanging="305"/>
        <w:jc w:val="center"/>
        <w:rPr>
          <w:rFonts w:eastAsia="Times New Roman" w:cs="Arial"/>
          <w:b/>
          <w:szCs w:val="24"/>
          <w:lang w:eastAsia="en-GB"/>
        </w:rPr>
      </w:pPr>
      <w:r w:rsidRPr="00EA1244">
        <w:t xml:space="preserve"> </w:t>
      </w:r>
      <w:r w:rsidR="00073955" w:rsidRPr="00073955">
        <w:rPr>
          <w:rFonts w:eastAsia="Times New Roman" w:cs="Arial"/>
          <w:b/>
          <w:szCs w:val="24"/>
          <w:lang w:eastAsia="en-GB"/>
        </w:rPr>
        <w:t>REPUBLIC OF SOUTH AFRICA</w:t>
      </w:r>
    </w:p>
    <w:p w14:paraId="43FED0BA" w14:textId="77777777" w:rsidR="00073955" w:rsidRPr="00073955" w:rsidRDefault="00073955" w:rsidP="00073955">
      <w:pPr>
        <w:spacing w:after="0" w:line="360" w:lineRule="auto"/>
        <w:ind w:left="306" w:hangingChars="127" w:hanging="306"/>
        <w:jc w:val="center"/>
        <w:rPr>
          <w:rFonts w:eastAsia="Times New Roman" w:cs="Arial"/>
          <w:b/>
          <w:szCs w:val="24"/>
          <w:lang w:eastAsia="en-GB"/>
        </w:rPr>
      </w:pPr>
      <w:r w:rsidRPr="00073955">
        <w:rPr>
          <w:rFonts w:eastAsia="MS Mincho" w:cs="Arial"/>
          <w:b/>
          <w:noProof/>
          <w:szCs w:val="24"/>
          <w:lang w:val="en-US"/>
        </w:rPr>
        <w:drawing>
          <wp:inline distT="0" distB="0" distL="0" distR="0" wp14:anchorId="36ED3D7A" wp14:editId="465C4804">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219A5B05" w14:textId="77777777" w:rsidR="00073955" w:rsidRPr="00073955" w:rsidRDefault="00073955" w:rsidP="00073955">
      <w:pPr>
        <w:spacing w:after="0" w:line="360" w:lineRule="auto"/>
        <w:ind w:left="306" w:hangingChars="127" w:hanging="306"/>
        <w:jc w:val="center"/>
        <w:rPr>
          <w:rFonts w:eastAsia="Times New Roman" w:cs="Arial"/>
          <w:b/>
          <w:szCs w:val="24"/>
          <w:lang w:eastAsia="en-GB"/>
        </w:rPr>
      </w:pPr>
      <w:r w:rsidRPr="00073955">
        <w:rPr>
          <w:rFonts w:eastAsia="Times New Roman" w:cs="Arial"/>
          <w:b/>
          <w:szCs w:val="24"/>
          <w:lang w:eastAsia="en-GB"/>
        </w:rPr>
        <w:t>IN THE HIGH COURT OF SOUTH AFRICA</w:t>
      </w:r>
    </w:p>
    <w:p w14:paraId="39A2946D" w14:textId="77777777" w:rsidR="00073955" w:rsidRPr="00073955" w:rsidRDefault="00073955" w:rsidP="00073955">
      <w:pPr>
        <w:spacing w:after="0" w:line="360" w:lineRule="auto"/>
        <w:ind w:left="306" w:hangingChars="127" w:hanging="306"/>
        <w:jc w:val="center"/>
        <w:rPr>
          <w:rFonts w:eastAsia="Times New Roman" w:cs="Arial"/>
          <w:b/>
          <w:szCs w:val="24"/>
          <w:lang w:eastAsia="en-GB"/>
        </w:rPr>
      </w:pPr>
      <w:r w:rsidRPr="00073955">
        <w:rPr>
          <w:rFonts w:eastAsia="Times New Roman" w:cs="Arial"/>
          <w:b/>
          <w:szCs w:val="24"/>
          <w:lang w:eastAsia="en-GB"/>
        </w:rPr>
        <w:t>GAUTENG LOCAL DIVISION, JOHANNESBURG</w:t>
      </w:r>
    </w:p>
    <w:p w14:paraId="2D24E99F" w14:textId="77777777" w:rsidR="00073955" w:rsidRPr="00073955" w:rsidRDefault="00073955" w:rsidP="00073955">
      <w:pPr>
        <w:spacing w:after="0" w:line="360" w:lineRule="auto"/>
        <w:ind w:left="306" w:hangingChars="127" w:hanging="306"/>
        <w:jc w:val="center"/>
        <w:rPr>
          <w:rFonts w:eastAsia="Times New Roman" w:cs="Arial"/>
          <w:b/>
          <w:szCs w:val="24"/>
          <w:lang w:eastAsia="en-GB"/>
        </w:rPr>
      </w:pPr>
    </w:p>
    <w:p w14:paraId="7C23524C" w14:textId="06FBF2BB" w:rsidR="00073955" w:rsidRPr="00073955" w:rsidRDefault="00073955" w:rsidP="00073955">
      <w:pPr>
        <w:spacing w:after="0" w:line="360" w:lineRule="auto"/>
        <w:ind w:left="306" w:hangingChars="127" w:hanging="306"/>
        <w:jc w:val="right"/>
        <w:rPr>
          <w:rFonts w:eastAsia="Times New Roman" w:cs="Arial"/>
          <w:b/>
          <w:kern w:val="25"/>
          <w:szCs w:val="24"/>
          <w:lang w:val="en-GB" w:eastAsia="en-GB"/>
        </w:rPr>
      </w:pPr>
      <w:r w:rsidRPr="00073955">
        <w:rPr>
          <w:rFonts w:eastAsia="Times New Roman" w:cs="Arial"/>
          <w:b/>
          <w:szCs w:val="24"/>
          <w:lang w:eastAsia="en-GB"/>
        </w:rPr>
        <w:tab/>
      </w:r>
      <w:r w:rsidRPr="00073955">
        <w:rPr>
          <w:rFonts w:eastAsia="Times New Roman" w:cs="Arial"/>
          <w:b/>
          <w:szCs w:val="24"/>
          <w:lang w:eastAsia="en-GB"/>
        </w:rPr>
        <w:tab/>
      </w:r>
      <w:r w:rsidRPr="00073955">
        <w:rPr>
          <w:rFonts w:eastAsia="Times New Roman" w:cs="Arial"/>
          <w:b/>
          <w:szCs w:val="24"/>
          <w:lang w:eastAsia="en-GB"/>
        </w:rPr>
        <w:tab/>
      </w:r>
      <w:r w:rsidRPr="00073955">
        <w:rPr>
          <w:rFonts w:eastAsia="Times New Roman" w:cs="Arial"/>
          <w:b/>
          <w:szCs w:val="24"/>
          <w:lang w:eastAsia="en-GB"/>
        </w:rPr>
        <w:tab/>
      </w:r>
      <w:r w:rsidRPr="00073955">
        <w:rPr>
          <w:rFonts w:eastAsia="Times New Roman" w:cs="Arial"/>
          <w:b/>
          <w:szCs w:val="24"/>
          <w:lang w:eastAsia="en-GB"/>
        </w:rPr>
        <w:tab/>
        <w:t>CASE NO:</w:t>
      </w:r>
      <w:r w:rsidRPr="00073955">
        <w:rPr>
          <w:rFonts w:eastAsia="Times New Roman" w:cs="Arial"/>
          <w:b/>
          <w:kern w:val="25"/>
          <w:szCs w:val="24"/>
          <w:lang w:val="en-GB" w:eastAsia="en-GB"/>
        </w:rPr>
        <w:t xml:space="preserve"> </w:t>
      </w:r>
      <w:r w:rsidRPr="00073955">
        <w:rPr>
          <w:rFonts w:eastAsia="Times New Roman" w:cs="Arial"/>
          <w:b/>
          <w:bCs/>
          <w:kern w:val="25"/>
          <w:szCs w:val="24"/>
          <w:lang w:eastAsia="en-GB"/>
        </w:rPr>
        <w:t>19/39482</w:t>
      </w:r>
    </w:p>
    <w:p w14:paraId="72193022" w14:textId="0A9BB35F" w:rsidR="00073955" w:rsidRPr="00073955" w:rsidRDefault="00077776" w:rsidP="00073955">
      <w:pPr>
        <w:spacing w:after="0" w:line="360" w:lineRule="auto"/>
        <w:ind w:left="305" w:hangingChars="127" w:hanging="305"/>
        <w:jc w:val="both"/>
        <w:rPr>
          <w:rFonts w:eastAsia="Times New Roman" w:cs="Arial"/>
          <w:szCs w:val="24"/>
          <w:u w:val="single"/>
          <w:lang w:val="en-GB" w:eastAsia="en-GB"/>
        </w:rPr>
      </w:pPr>
      <w:r w:rsidRPr="00073955">
        <w:rPr>
          <w:rFonts w:eastAsia="MS Mincho" w:cs="Arial"/>
          <w:noProof/>
          <w:szCs w:val="24"/>
          <w:lang w:val="en-US"/>
        </w:rPr>
        <mc:AlternateContent>
          <mc:Choice Requires="wps">
            <w:drawing>
              <wp:anchor distT="0" distB="0" distL="114300" distR="114300" simplePos="0" relativeHeight="251659264" behindDoc="0" locked="0" layoutInCell="1" allowOverlap="1" wp14:anchorId="5D439200" wp14:editId="3E089185">
                <wp:simplePos x="0" y="0"/>
                <wp:positionH relativeFrom="margin">
                  <wp:align>left</wp:align>
                </wp:positionH>
                <wp:positionV relativeFrom="paragraph">
                  <wp:posOffset>35560</wp:posOffset>
                </wp:positionV>
                <wp:extent cx="3314700" cy="13049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04925"/>
                        </a:xfrm>
                        <a:prstGeom prst="rect">
                          <a:avLst/>
                        </a:prstGeom>
                        <a:solidFill>
                          <a:srgbClr val="FFFFFF"/>
                        </a:solidFill>
                        <a:ln w="9525">
                          <a:solidFill>
                            <a:srgbClr val="000000"/>
                          </a:solidFill>
                          <a:miter lim="800000"/>
                          <a:headEnd/>
                          <a:tailEnd/>
                        </a:ln>
                      </wps:spPr>
                      <wps:txbx>
                        <w:txbxContent>
                          <w:p w14:paraId="390EEEF2" w14:textId="77777777" w:rsidR="00073955" w:rsidRPr="004120A8" w:rsidRDefault="00073955" w:rsidP="00073955">
                            <w:pPr>
                              <w:jc w:val="center"/>
                              <w:rPr>
                                <w:rFonts w:ascii="Century Gothic" w:hAnsi="Century Gothic"/>
                                <w:b/>
                                <w:sz w:val="2"/>
                                <w:szCs w:val="18"/>
                              </w:rPr>
                            </w:pPr>
                          </w:p>
                          <w:p w14:paraId="0CF18598" w14:textId="199F851E" w:rsidR="00073955" w:rsidRPr="004120A8" w:rsidRDefault="00073955" w:rsidP="00073955">
                            <w:pPr>
                              <w:numPr>
                                <w:ilvl w:val="0"/>
                                <w:numId w:val="5"/>
                              </w:numPr>
                              <w:spacing w:after="0" w:line="240" w:lineRule="auto"/>
                              <w:rPr>
                                <w:rFonts w:ascii="Century Gothic" w:hAnsi="Century Gothic"/>
                                <w:sz w:val="18"/>
                                <w:szCs w:val="18"/>
                              </w:rPr>
                            </w:pPr>
                            <w:r>
                              <w:rPr>
                                <w:rFonts w:ascii="Century Gothic" w:hAnsi="Century Gothic"/>
                                <w:sz w:val="18"/>
                                <w:szCs w:val="18"/>
                              </w:rPr>
                              <w:t>REPORTABLE:</w:t>
                            </w:r>
                            <w:r w:rsidR="00DB73BC">
                              <w:rPr>
                                <w:rFonts w:ascii="Century Gothic" w:hAnsi="Century Gothic"/>
                                <w:sz w:val="18"/>
                                <w:szCs w:val="18"/>
                              </w:rPr>
                              <w:t xml:space="preserve"> YES</w:t>
                            </w:r>
                          </w:p>
                          <w:p w14:paraId="289EDD3B" w14:textId="4AEF2179" w:rsidR="00073955" w:rsidRPr="004120A8" w:rsidRDefault="00073955" w:rsidP="00073955">
                            <w:pPr>
                              <w:numPr>
                                <w:ilvl w:val="0"/>
                                <w:numId w:val="5"/>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w:t>
                            </w:r>
                            <w:r w:rsidR="0040511D" w:rsidRPr="004120A8">
                              <w:rPr>
                                <w:rFonts w:ascii="Century Gothic" w:hAnsi="Century Gothic"/>
                                <w:sz w:val="18"/>
                                <w:szCs w:val="18"/>
                              </w:rPr>
                              <w:t xml:space="preserve"> </w:t>
                            </w:r>
                            <w:r w:rsidRPr="004120A8">
                              <w:rPr>
                                <w:rFonts w:ascii="Century Gothic" w:hAnsi="Century Gothic"/>
                                <w:sz w:val="18"/>
                                <w:szCs w:val="18"/>
                              </w:rPr>
                              <w:t>NO</w:t>
                            </w:r>
                          </w:p>
                          <w:p w14:paraId="7199DF12" w14:textId="0C895FAE" w:rsidR="00073955" w:rsidRDefault="00073955" w:rsidP="00073955">
                            <w:pPr>
                              <w:numPr>
                                <w:ilvl w:val="0"/>
                                <w:numId w:val="5"/>
                              </w:numPr>
                              <w:spacing w:after="0" w:line="240" w:lineRule="auto"/>
                              <w:rPr>
                                <w:rFonts w:ascii="Century Gothic" w:hAnsi="Century Gothic"/>
                                <w:sz w:val="18"/>
                                <w:szCs w:val="18"/>
                              </w:rPr>
                            </w:pPr>
                            <w:r>
                              <w:rPr>
                                <w:rFonts w:ascii="Century Gothic" w:hAnsi="Century Gothic"/>
                                <w:sz w:val="18"/>
                                <w:szCs w:val="18"/>
                              </w:rPr>
                              <w:t>REVISED: NO</w:t>
                            </w:r>
                          </w:p>
                          <w:p w14:paraId="370FB00C" w14:textId="77777777" w:rsidR="00073955" w:rsidRDefault="00073955" w:rsidP="00073955">
                            <w:pPr>
                              <w:spacing w:after="0"/>
                              <w:ind w:left="900"/>
                              <w:rPr>
                                <w:rFonts w:ascii="Century Gothic" w:hAnsi="Century Gothic"/>
                                <w:sz w:val="18"/>
                                <w:szCs w:val="18"/>
                              </w:rPr>
                            </w:pPr>
                          </w:p>
                          <w:p w14:paraId="6FE19599" w14:textId="77777777" w:rsidR="00073955" w:rsidRPr="00CE3BCB" w:rsidRDefault="00073955" w:rsidP="00073955">
                            <w:pPr>
                              <w:spacing w:after="0"/>
                              <w:ind w:left="900"/>
                              <w:rPr>
                                <w:rFonts w:ascii="Century Gothic" w:hAnsi="Century Gothic"/>
                                <w:sz w:val="18"/>
                                <w:szCs w:val="18"/>
                              </w:rPr>
                            </w:pPr>
                          </w:p>
                          <w:p w14:paraId="3C34F53C" w14:textId="77777777" w:rsidR="00073955" w:rsidRPr="004120A8" w:rsidRDefault="00073955" w:rsidP="0007395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24/01/2023…</w:t>
                            </w:r>
                            <w:r w:rsidRPr="004120A8">
                              <w:rPr>
                                <w:rFonts w:ascii="Century Gothic" w:hAnsi="Century Gothic"/>
                                <w:b/>
                                <w:sz w:val="18"/>
                                <w:szCs w:val="18"/>
                              </w:rPr>
                              <w:t>…</w:t>
                            </w:r>
                          </w:p>
                          <w:p w14:paraId="56B0D2F1" w14:textId="77777777" w:rsidR="00073955" w:rsidRPr="004120A8" w:rsidRDefault="00073955" w:rsidP="0007395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89940B7" w14:textId="77777777" w:rsidR="00073955" w:rsidRPr="004120A8" w:rsidRDefault="00073955" w:rsidP="0007395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D439200" id="_x0000_t202" coordsize="21600,21600" o:spt="202" path="m,l,21600r21600,l21600,xe">
                <v:stroke joinstyle="miter"/>
                <v:path gradientshapeok="t" o:connecttype="rect"/>
              </v:shapetype>
              <v:shape id="Text Box 9" o:spid="_x0000_s1026" type="#_x0000_t202" style="position:absolute;left:0;text-align:left;margin-left:0;margin-top:2.8pt;width:261pt;height:1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Q9FQIAACwEAAAOAAAAZHJzL2Uyb0RvYy54bWysU9uO2yAQfa/Uf0C8N7Zz6W6sOKtttqkq&#10;bS/Sth+AMbZRMUOBxE6/fgfszaYX9aEqD4hhhjMzZw6bm6FT5Cisk6ALms1SSoTmUEndFPTrl/2r&#10;a0qcZ7piCrQo6Ek4erN9+WLTm1zMoQVVCUsQRLu8NwVtvTd5kjjeio65GRih0VmD7ZhH0zZJZVmP&#10;6J1K5mn6OunBVsYCF87h7d3opNuIX9eC+0917YQnqqBYm4+7jXsZ9mS7YXljmWkln8pg/1BFx6TG&#10;pGeoO+YZOVj5G1QnuQUHtZ9x6BKoa8lF7AG7ydJfunlomRGxFyTHmTNN7v/B8o/HB/PZEj+8gQEH&#10;GJtw5h74N0c07FqmG3FrLfStYBUmzgJlSW9cPj0NVLvcBZCy/wAVDpkdPESgobZdYAX7JIiOAzid&#10;SReDJxwvF4tseZWii6MvW6TL9XwVc7D86bmxzr8T0JFwKKjFqUZ4drx3PpTD8qeQkM2BktVeKhUN&#10;25Q7ZcmRoQL2cU3oP4UpTfqCrleY++8QaVx/guikRykr2RX0+hzE8sDbW11FoXkm1XjGkpWeiAzc&#10;jSz6oRwwMBBaQnVCSi2MksUvhocW7A9KepRrQd33A7OCEvVe41jW2XIZ9B2N5epqjoa99JSXHqY5&#10;QhXUUzIed378EwdjZdNiplEIGm5xlLWMJD9XNdWNkozcT98naP7SjlHPn3z7CAAA//8DAFBLAwQU&#10;AAYACAAAACEA4RIjt9wAAAAGAQAADwAAAGRycy9kb3ducmV2LnhtbEyPzU7DMBCE70i8g7VIXBB1&#10;EmgoIZsKIYHgBgXB1Y23SYR/gu2m4e1ZTnAczWjmm3o9WyMmCnHwDiFfZCDItV4PrkN4e70/X4GI&#10;STmtjHeE8E0R1s3xUa0q7Q/uhaZN6gSXuFgphD6lsZIytj1ZFRd+JMfezgerEsvQSR3UgcutkUWW&#10;ldKqwfFCr0a666n93OwtwurycfqITxfP7225M9fp7Gp6+AqIpyfz7Q2IRHP6C8MvPqNDw0xbv3c6&#10;CoPARxLCsgTB5rIoWG8RijzPQTa1/I/f/AAAAP//AwBQSwECLQAUAAYACAAAACEAtoM4kv4AAADh&#10;AQAAEwAAAAAAAAAAAAAAAAAAAAAAW0NvbnRlbnRfVHlwZXNdLnhtbFBLAQItABQABgAIAAAAIQA4&#10;/SH/1gAAAJQBAAALAAAAAAAAAAAAAAAAAC8BAABfcmVscy8ucmVsc1BLAQItABQABgAIAAAAIQBL&#10;KqQ9FQIAACwEAAAOAAAAAAAAAAAAAAAAAC4CAABkcnMvZTJvRG9jLnhtbFBLAQItABQABgAIAAAA&#10;IQDhEiO33AAAAAYBAAAPAAAAAAAAAAAAAAAAAG8EAABkcnMvZG93bnJldi54bWxQSwUGAAAAAAQA&#10;BADzAAAAeAUAAAAA&#10;">
                <v:textbox>
                  <w:txbxContent>
                    <w:p w14:paraId="390EEEF2" w14:textId="77777777" w:rsidR="00073955" w:rsidRPr="004120A8" w:rsidRDefault="00073955" w:rsidP="00073955">
                      <w:pPr>
                        <w:jc w:val="center"/>
                        <w:rPr>
                          <w:rFonts w:ascii="Century Gothic" w:hAnsi="Century Gothic"/>
                          <w:b/>
                          <w:sz w:val="2"/>
                          <w:szCs w:val="18"/>
                        </w:rPr>
                      </w:pPr>
                    </w:p>
                    <w:p w14:paraId="0CF18598" w14:textId="199F851E" w:rsidR="00073955" w:rsidRPr="004120A8" w:rsidRDefault="00073955" w:rsidP="00073955">
                      <w:pPr>
                        <w:numPr>
                          <w:ilvl w:val="0"/>
                          <w:numId w:val="5"/>
                        </w:numPr>
                        <w:spacing w:after="0" w:line="240" w:lineRule="auto"/>
                        <w:rPr>
                          <w:rFonts w:ascii="Century Gothic" w:hAnsi="Century Gothic"/>
                          <w:sz w:val="18"/>
                          <w:szCs w:val="18"/>
                        </w:rPr>
                      </w:pPr>
                      <w:r>
                        <w:rPr>
                          <w:rFonts w:ascii="Century Gothic" w:hAnsi="Century Gothic"/>
                          <w:sz w:val="18"/>
                          <w:szCs w:val="18"/>
                        </w:rPr>
                        <w:t>REPORTABLE:</w:t>
                      </w:r>
                      <w:r w:rsidR="00DB73BC">
                        <w:rPr>
                          <w:rFonts w:ascii="Century Gothic" w:hAnsi="Century Gothic"/>
                          <w:sz w:val="18"/>
                          <w:szCs w:val="18"/>
                        </w:rPr>
                        <w:t xml:space="preserve"> YES</w:t>
                      </w:r>
                    </w:p>
                    <w:p w14:paraId="289EDD3B" w14:textId="4AEF2179" w:rsidR="00073955" w:rsidRPr="004120A8" w:rsidRDefault="00073955" w:rsidP="00073955">
                      <w:pPr>
                        <w:numPr>
                          <w:ilvl w:val="0"/>
                          <w:numId w:val="5"/>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w:t>
                      </w:r>
                      <w:r w:rsidR="0040511D" w:rsidRPr="004120A8">
                        <w:rPr>
                          <w:rFonts w:ascii="Century Gothic" w:hAnsi="Century Gothic"/>
                          <w:sz w:val="18"/>
                          <w:szCs w:val="18"/>
                        </w:rPr>
                        <w:t xml:space="preserve"> </w:t>
                      </w:r>
                      <w:r w:rsidRPr="004120A8">
                        <w:rPr>
                          <w:rFonts w:ascii="Century Gothic" w:hAnsi="Century Gothic"/>
                          <w:sz w:val="18"/>
                          <w:szCs w:val="18"/>
                        </w:rPr>
                        <w:t>NO</w:t>
                      </w:r>
                    </w:p>
                    <w:p w14:paraId="7199DF12" w14:textId="0C895FAE" w:rsidR="00073955" w:rsidRDefault="00073955" w:rsidP="00073955">
                      <w:pPr>
                        <w:numPr>
                          <w:ilvl w:val="0"/>
                          <w:numId w:val="5"/>
                        </w:numPr>
                        <w:spacing w:after="0" w:line="240" w:lineRule="auto"/>
                        <w:rPr>
                          <w:rFonts w:ascii="Century Gothic" w:hAnsi="Century Gothic"/>
                          <w:sz w:val="18"/>
                          <w:szCs w:val="18"/>
                        </w:rPr>
                      </w:pPr>
                      <w:r>
                        <w:rPr>
                          <w:rFonts w:ascii="Century Gothic" w:hAnsi="Century Gothic"/>
                          <w:sz w:val="18"/>
                          <w:szCs w:val="18"/>
                        </w:rPr>
                        <w:t>REVISED: NO</w:t>
                      </w:r>
                    </w:p>
                    <w:p w14:paraId="370FB00C" w14:textId="77777777" w:rsidR="00073955" w:rsidRDefault="00073955" w:rsidP="00073955">
                      <w:pPr>
                        <w:spacing w:after="0"/>
                        <w:ind w:left="900"/>
                        <w:rPr>
                          <w:rFonts w:ascii="Century Gothic" w:hAnsi="Century Gothic"/>
                          <w:sz w:val="18"/>
                          <w:szCs w:val="18"/>
                        </w:rPr>
                      </w:pPr>
                    </w:p>
                    <w:p w14:paraId="6FE19599" w14:textId="77777777" w:rsidR="00073955" w:rsidRPr="00CE3BCB" w:rsidRDefault="00073955" w:rsidP="00073955">
                      <w:pPr>
                        <w:spacing w:after="0"/>
                        <w:ind w:left="900"/>
                        <w:rPr>
                          <w:rFonts w:ascii="Century Gothic" w:hAnsi="Century Gothic"/>
                          <w:sz w:val="18"/>
                          <w:szCs w:val="18"/>
                        </w:rPr>
                      </w:pPr>
                    </w:p>
                    <w:p w14:paraId="3C34F53C" w14:textId="77777777" w:rsidR="00073955" w:rsidRPr="004120A8" w:rsidRDefault="00073955" w:rsidP="0007395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24/01/2023…</w:t>
                      </w:r>
                      <w:r w:rsidRPr="004120A8">
                        <w:rPr>
                          <w:rFonts w:ascii="Century Gothic" w:hAnsi="Century Gothic"/>
                          <w:b/>
                          <w:sz w:val="18"/>
                          <w:szCs w:val="18"/>
                        </w:rPr>
                        <w:t>…</w:t>
                      </w:r>
                    </w:p>
                    <w:p w14:paraId="56B0D2F1" w14:textId="77777777" w:rsidR="00073955" w:rsidRPr="004120A8" w:rsidRDefault="00073955" w:rsidP="0007395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89940B7" w14:textId="77777777" w:rsidR="00073955" w:rsidRPr="004120A8" w:rsidRDefault="00073955" w:rsidP="00073955">
                      <w:pPr>
                        <w:rPr>
                          <w:rFonts w:ascii="Century Gothic" w:hAnsi="Century Gothic"/>
                          <w:b/>
                          <w:sz w:val="2"/>
                          <w:szCs w:val="18"/>
                        </w:rPr>
                      </w:pPr>
                    </w:p>
                  </w:txbxContent>
                </v:textbox>
                <w10:wrap anchorx="margin"/>
              </v:shape>
            </w:pict>
          </mc:Fallback>
        </mc:AlternateContent>
      </w:r>
    </w:p>
    <w:p w14:paraId="4B587260" w14:textId="77777777" w:rsidR="00073955" w:rsidRPr="00073955" w:rsidRDefault="00073955" w:rsidP="00073955">
      <w:pPr>
        <w:spacing w:after="0" w:line="360" w:lineRule="auto"/>
        <w:ind w:left="305" w:hangingChars="127" w:hanging="305"/>
        <w:jc w:val="both"/>
        <w:rPr>
          <w:rFonts w:eastAsia="Times New Roman" w:cs="Arial"/>
          <w:szCs w:val="24"/>
          <w:u w:val="single"/>
          <w:lang w:val="en-GB" w:eastAsia="en-GB"/>
        </w:rPr>
      </w:pPr>
    </w:p>
    <w:p w14:paraId="1B28A79E" w14:textId="77777777" w:rsidR="00073955" w:rsidRPr="00073955" w:rsidRDefault="00073955" w:rsidP="00073955">
      <w:pPr>
        <w:spacing w:after="0" w:line="360" w:lineRule="auto"/>
        <w:ind w:left="305" w:hangingChars="127" w:hanging="305"/>
        <w:jc w:val="both"/>
        <w:rPr>
          <w:rFonts w:eastAsia="Times New Roman" w:cs="Arial"/>
          <w:szCs w:val="24"/>
          <w:u w:val="single"/>
          <w:lang w:val="en-GB" w:eastAsia="en-GB"/>
        </w:rPr>
      </w:pPr>
    </w:p>
    <w:p w14:paraId="01B30A9B" w14:textId="77777777" w:rsidR="00073955" w:rsidRPr="00073955" w:rsidRDefault="00073955" w:rsidP="00073955">
      <w:pPr>
        <w:spacing w:after="0" w:line="360" w:lineRule="auto"/>
        <w:ind w:left="305" w:hangingChars="127" w:hanging="305"/>
        <w:jc w:val="both"/>
        <w:rPr>
          <w:rFonts w:eastAsia="Calibri" w:cs="Arial"/>
          <w:szCs w:val="24"/>
        </w:rPr>
      </w:pPr>
    </w:p>
    <w:p w14:paraId="4CAA843F" w14:textId="77777777" w:rsidR="00073955" w:rsidRPr="00073955" w:rsidRDefault="00073955" w:rsidP="00077776">
      <w:pPr>
        <w:widowControl w:val="0"/>
        <w:autoSpaceDE w:val="0"/>
        <w:autoSpaceDN w:val="0"/>
        <w:adjustRightInd w:val="0"/>
        <w:spacing w:after="0" w:line="600" w:lineRule="auto"/>
        <w:jc w:val="both"/>
        <w:rPr>
          <w:rFonts w:eastAsia="MS Mincho" w:cs="Arial"/>
          <w:color w:val="1B1919"/>
          <w:szCs w:val="24"/>
          <w:lang w:val="en-GB" w:eastAsia="ja-JP"/>
        </w:rPr>
      </w:pPr>
    </w:p>
    <w:p w14:paraId="44A0379C" w14:textId="77777777" w:rsidR="00073955" w:rsidRPr="00073955" w:rsidRDefault="00073955" w:rsidP="00077776">
      <w:pPr>
        <w:widowControl w:val="0"/>
        <w:autoSpaceDE w:val="0"/>
        <w:autoSpaceDN w:val="0"/>
        <w:adjustRightInd w:val="0"/>
        <w:spacing w:after="0" w:line="720" w:lineRule="auto"/>
        <w:ind w:left="305" w:hangingChars="127" w:hanging="305"/>
        <w:jc w:val="both"/>
        <w:rPr>
          <w:rFonts w:eastAsia="MS Mincho" w:cs="Arial"/>
          <w:color w:val="1B1919"/>
          <w:szCs w:val="24"/>
          <w:lang w:val="en-GB" w:eastAsia="ja-JP"/>
        </w:rPr>
      </w:pPr>
      <w:r w:rsidRPr="00073955">
        <w:rPr>
          <w:rFonts w:eastAsia="MS Mincho" w:cs="Arial"/>
          <w:color w:val="1B1919"/>
          <w:szCs w:val="24"/>
          <w:lang w:val="en-GB" w:eastAsia="ja-JP"/>
        </w:rPr>
        <w:t>In the matter between:</w:t>
      </w:r>
    </w:p>
    <w:p w14:paraId="51823A88" w14:textId="77777777" w:rsidR="00073955" w:rsidRPr="00073955" w:rsidRDefault="00073955" w:rsidP="00073955">
      <w:pPr>
        <w:widowControl w:val="0"/>
        <w:autoSpaceDE w:val="0"/>
        <w:autoSpaceDN w:val="0"/>
        <w:adjustRightInd w:val="0"/>
        <w:spacing w:after="0" w:line="276"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 xml:space="preserve">BNS NOMINEES (RF) (PROPRIETARY) LIMITED </w:t>
      </w:r>
    </w:p>
    <w:p w14:paraId="0C0C4B9A" w14:textId="77777777" w:rsidR="00073955" w:rsidRPr="00073955" w:rsidRDefault="00073955" w:rsidP="00077776">
      <w:pPr>
        <w:widowControl w:val="0"/>
        <w:autoSpaceDE w:val="0"/>
        <w:autoSpaceDN w:val="0"/>
        <w:adjustRightInd w:val="0"/>
        <w:spacing w:after="0" w:line="720"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registration number 1995/012099/07                                          First Applicant</w:t>
      </w:r>
    </w:p>
    <w:p w14:paraId="4EBCFE67" w14:textId="77777777" w:rsidR="00073955" w:rsidRPr="00073955" w:rsidRDefault="00073955" w:rsidP="00073955">
      <w:pPr>
        <w:widowControl w:val="0"/>
        <w:autoSpaceDE w:val="0"/>
        <w:autoSpaceDN w:val="0"/>
        <w:adjustRightInd w:val="0"/>
        <w:spacing w:after="0" w:line="276"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 xml:space="preserve">BREEDE COALITIONS (PROPRIETARY) LIMITED </w:t>
      </w:r>
    </w:p>
    <w:p w14:paraId="43789CBF" w14:textId="77777777" w:rsidR="00073955" w:rsidRPr="00073955" w:rsidRDefault="00073955" w:rsidP="00077776">
      <w:pPr>
        <w:widowControl w:val="0"/>
        <w:autoSpaceDE w:val="0"/>
        <w:autoSpaceDN w:val="0"/>
        <w:adjustRightInd w:val="0"/>
        <w:spacing w:after="0" w:line="720"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 xml:space="preserve">registration number 2017/463156/07                                      Second Applicant                                                                       </w:t>
      </w:r>
    </w:p>
    <w:p w14:paraId="05221160" w14:textId="77777777" w:rsidR="00073955" w:rsidRPr="00073955" w:rsidRDefault="00073955" w:rsidP="00077776">
      <w:pPr>
        <w:widowControl w:val="0"/>
        <w:autoSpaceDE w:val="0"/>
        <w:autoSpaceDN w:val="0"/>
        <w:adjustRightInd w:val="0"/>
        <w:spacing w:after="0" w:line="720" w:lineRule="auto"/>
        <w:ind w:left="305" w:hangingChars="127" w:hanging="305"/>
        <w:jc w:val="both"/>
        <w:rPr>
          <w:rFonts w:eastAsia="MS Mincho" w:cs="Arial"/>
          <w:bCs/>
          <w:color w:val="1B1919"/>
          <w:szCs w:val="24"/>
          <w:lang w:eastAsia="ja-JP"/>
        </w:rPr>
      </w:pPr>
      <w:r w:rsidRPr="00073955">
        <w:rPr>
          <w:rFonts w:eastAsia="MS Mincho" w:cs="Arial"/>
          <w:bCs/>
          <w:color w:val="1B1919"/>
          <w:szCs w:val="24"/>
          <w:lang w:eastAsia="ja-JP"/>
        </w:rPr>
        <w:t xml:space="preserve">and </w:t>
      </w:r>
    </w:p>
    <w:p w14:paraId="07013604" w14:textId="77777777" w:rsidR="00073955" w:rsidRPr="00073955" w:rsidRDefault="00073955" w:rsidP="00073955">
      <w:pPr>
        <w:widowControl w:val="0"/>
        <w:autoSpaceDE w:val="0"/>
        <w:autoSpaceDN w:val="0"/>
        <w:adjustRightInd w:val="0"/>
        <w:spacing w:after="0" w:line="276"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 xml:space="preserve">ARROWHEAD PROPERTIES LIMITED </w:t>
      </w:r>
    </w:p>
    <w:p w14:paraId="5481FC63" w14:textId="77777777" w:rsidR="00073955" w:rsidRPr="00073955" w:rsidRDefault="00073955" w:rsidP="00077776">
      <w:pPr>
        <w:widowControl w:val="0"/>
        <w:autoSpaceDE w:val="0"/>
        <w:autoSpaceDN w:val="0"/>
        <w:adjustRightInd w:val="0"/>
        <w:spacing w:after="0" w:line="720" w:lineRule="auto"/>
        <w:ind w:left="306" w:hangingChars="127" w:hanging="306"/>
        <w:jc w:val="both"/>
        <w:rPr>
          <w:rFonts w:eastAsia="MS Mincho" w:cs="Arial"/>
          <w:b/>
          <w:bCs/>
          <w:color w:val="1B1919"/>
          <w:szCs w:val="24"/>
          <w:lang w:eastAsia="ja-JP"/>
        </w:rPr>
      </w:pPr>
      <w:r w:rsidRPr="00073955">
        <w:rPr>
          <w:rFonts w:eastAsia="MS Mincho" w:cs="Arial"/>
          <w:b/>
          <w:bCs/>
          <w:color w:val="1B1919"/>
          <w:szCs w:val="24"/>
          <w:lang w:eastAsia="ja-JP"/>
        </w:rPr>
        <w:t>registration number 2011/000308/06                                    First Respondent</w:t>
      </w:r>
    </w:p>
    <w:p w14:paraId="19BC4001" w14:textId="77777777" w:rsidR="00073955" w:rsidRPr="0040511D" w:rsidRDefault="00073955" w:rsidP="00077776">
      <w:pPr>
        <w:widowControl w:val="0"/>
        <w:autoSpaceDE w:val="0"/>
        <w:autoSpaceDN w:val="0"/>
        <w:adjustRightInd w:val="0"/>
        <w:spacing w:after="0" w:line="480" w:lineRule="auto"/>
        <w:ind w:left="306" w:hangingChars="127" w:hanging="306"/>
        <w:jc w:val="both"/>
        <w:rPr>
          <w:rFonts w:eastAsia="MS Mincho" w:cs="Arial"/>
          <w:b/>
          <w:color w:val="1B1919"/>
          <w:szCs w:val="24"/>
          <w:lang w:val="en-GB" w:eastAsia="ja-JP"/>
        </w:rPr>
      </w:pPr>
      <w:r w:rsidRPr="00073955">
        <w:rPr>
          <w:rFonts w:eastAsia="MS Mincho" w:cs="Arial"/>
          <w:b/>
          <w:bCs/>
          <w:color w:val="1B1919"/>
          <w:szCs w:val="24"/>
          <w:lang w:eastAsia="ja-JP"/>
        </w:rPr>
        <w:t xml:space="preserve"> AFFECTED DISSENTING SHAREHOLDERS                    Other Respondents</w:t>
      </w:r>
    </w:p>
    <w:p w14:paraId="3B88D53D" w14:textId="0B694E5E" w:rsidR="0040511D" w:rsidRDefault="0040511D" w:rsidP="0040511D">
      <w:pPr>
        <w:tabs>
          <w:tab w:val="left" w:pos="0"/>
        </w:tabs>
        <w:spacing w:after="0" w:line="480" w:lineRule="auto"/>
        <w:jc w:val="center"/>
        <w:rPr>
          <w:rFonts w:eastAsia="Times New Roman" w:cs="Arial"/>
          <w:b/>
          <w:color w:val="0E101A"/>
          <w:szCs w:val="24"/>
          <w:lang w:eastAsia="en-ZA"/>
        </w:rPr>
      </w:pPr>
    </w:p>
    <w:p w14:paraId="61F03161" w14:textId="0B5E631A" w:rsidR="0040511D" w:rsidRPr="0040511D" w:rsidRDefault="0040511D" w:rsidP="00C252B0">
      <w:pPr>
        <w:tabs>
          <w:tab w:val="left" w:pos="0"/>
        </w:tabs>
        <w:spacing w:after="0" w:line="480" w:lineRule="auto"/>
        <w:jc w:val="both"/>
        <w:rPr>
          <w:rFonts w:eastAsia="Times New Roman" w:cs="Arial"/>
          <w:b/>
          <w:color w:val="0E101A"/>
          <w:szCs w:val="24"/>
          <w:lang w:eastAsia="en-ZA"/>
        </w:rPr>
      </w:pPr>
      <w:r>
        <w:rPr>
          <w:rFonts w:eastAsia="Times New Roman" w:cs="Arial"/>
          <w:b/>
          <w:color w:val="0E101A"/>
          <w:szCs w:val="24"/>
          <w:lang w:eastAsia="en-ZA"/>
        </w:rPr>
        <w:t>Summary</w:t>
      </w:r>
      <w:r w:rsidRPr="00DB73BC">
        <w:rPr>
          <w:rFonts w:eastAsia="Times New Roman" w:cs="Arial"/>
          <w:bCs/>
          <w:color w:val="0E101A"/>
          <w:szCs w:val="24"/>
          <w:lang w:eastAsia="en-ZA"/>
        </w:rPr>
        <w:t xml:space="preserve">: </w:t>
      </w:r>
      <w:r w:rsidR="00DB73BC">
        <w:rPr>
          <w:rFonts w:eastAsia="Times New Roman" w:cs="Arial"/>
          <w:bCs/>
          <w:color w:val="0E101A"/>
          <w:szCs w:val="24"/>
          <w:lang w:eastAsia="en-ZA"/>
        </w:rPr>
        <w:t>H</w:t>
      </w:r>
      <w:r w:rsidRPr="00DB73BC">
        <w:rPr>
          <w:rFonts w:eastAsia="Times New Roman" w:cs="Arial"/>
          <w:bCs/>
          <w:color w:val="0E101A"/>
          <w:szCs w:val="24"/>
          <w:lang w:eastAsia="en-ZA"/>
        </w:rPr>
        <w:t xml:space="preserve">ow the court determines what a reasonable rate of interest </w:t>
      </w:r>
      <w:r w:rsidR="00DB73BC">
        <w:rPr>
          <w:rFonts w:eastAsia="Times New Roman" w:cs="Arial"/>
          <w:bCs/>
          <w:color w:val="0E101A"/>
          <w:szCs w:val="24"/>
          <w:lang w:eastAsia="en-ZA"/>
        </w:rPr>
        <w:t xml:space="preserve">is </w:t>
      </w:r>
      <w:r w:rsidRPr="00DB73BC">
        <w:rPr>
          <w:rFonts w:eastAsia="Times New Roman" w:cs="Arial"/>
          <w:bCs/>
          <w:color w:val="0E101A"/>
          <w:szCs w:val="24"/>
          <w:lang w:eastAsia="en-ZA"/>
        </w:rPr>
        <w:t>for purposes of section</w:t>
      </w:r>
      <w:r>
        <w:rPr>
          <w:rFonts w:eastAsia="Times New Roman" w:cs="Arial"/>
          <w:b/>
          <w:color w:val="0E101A"/>
          <w:szCs w:val="24"/>
          <w:lang w:eastAsia="en-ZA"/>
        </w:rPr>
        <w:t xml:space="preserve"> </w:t>
      </w:r>
      <w:r w:rsidRPr="00BA0F02">
        <w:rPr>
          <w:rFonts w:cs="Arial"/>
          <w:szCs w:val="24"/>
        </w:rPr>
        <w:t>164(15</w:t>
      </w:r>
      <w:proofErr w:type="gramStart"/>
      <w:r w:rsidRPr="00BA0F02">
        <w:rPr>
          <w:rFonts w:cs="Arial"/>
          <w:szCs w:val="24"/>
        </w:rPr>
        <w:t>)(</w:t>
      </w:r>
      <w:proofErr w:type="gramEnd"/>
      <w:r w:rsidRPr="00BA0F02">
        <w:rPr>
          <w:rFonts w:cs="Arial"/>
          <w:szCs w:val="24"/>
        </w:rPr>
        <w:t>c) (iii) (bb)</w:t>
      </w:r>
      <w:r>
        <w:rPr>
          <w:rFonts w:cs="Arial"/>
          <w:szCs w:val="24"/>
        </w:rPr>
        <w:t xml:space="preserve"> of the Companies Act. </w:t>
      </w:r>
      <w:r w:rsidR="00DB73BC">
        <w:rPr>
          <w:rFonts w:cs="Arial"/>
          <w:szCs w:val="24"/>
        </w:rPr>
        <w:t xml:space="preserve"> Discretion of court discussed. </w:t>
      </w:r>
      <w:r>
        <w:rPr>
          <w:rFonts w:cs="Arial"/>
          <w:szCs w:val="24"/>
        </w:rPr>
        <w:t xml:space="preserve">Such a case to be made out in the papers as it is a factual issue. Failure to do so means court will not make the award based only on later legal argument. Approach to section considered in light of text and comparative </w:t>
      </w:r>
      <w:r w:rsidR="00DB73BC">
        <w:rPr>
          <w:rFonts w:cs="Arial"/>
          <w:szCs w:val="24"/>
        </w:rPr>
        <w:t>jurisprudence</w:t>
      </w:r>
      <w:r>
        <w:rPr>
          <w:rFonts w:cs="Arial"/>
          <w:szCs w:val="24"/>
        </w:rPr>
        <w:t xml:space="preserve">. </w:t>
      </w:r>
      <w:r w:rsidR="00DB73BC">
        <w:rPr>
          <w:rFonts w:cs="Arial"/>
          <w:szCs w:val="24"/>
        </w:rPr>
        <w:t xml:space="preserve"> Court awarding interest in line with founding papers at prescribed rate of interest without compounding.</w:t>
      </w:r>
    </w:p>
    <w:p w14:paraId="65F01843" w14:textId="0D28505C" w:rsidR="00073955" w:rsidRPr="00073955" w:rsidRDefault="00073955" w:rsidP="00073955">
      <w:pPr>
        <w:tabs>
          <w:tab w:val="left" w:pos="0"/>
        </w:tabs>
        <w:spacing w:after="0" w:line="480" w:lineRule="auto"/>
        <w:ind w:left="-709"/>
        <w:jc w:val="center"/>
        <w:rPr>
          <w:rFonts w:eastAsia="Times New Roman" w:cs="Arial"/>
          <w:b/>
          <w:color w:val="0E101A"/>
          <w:szCs w:val="24"/>
          <w:u w:val="single"/>
          <w:lang w:eastAsia="en-ZA"/>
        </w:rPr>
      </w:pP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p>
    <w:p w14:paraId="46DFC17E" w14:textId="44E008D0" w:rsidR="00073955" w:rsidRPr="00073955" w:rsidRDefault="00073955" w:rsidP="00073955">
      <w:pPr>
        <w:tabs>
          <w:tab w:val="left" w:pos="0"/>
        </w:tabs>
        <w:spacing w:after="0" w:line="240" w:lineRule="auto"/>
        <w:ind w:left="-709"/>
        <w:jc w:val="center"/>
        <w:rPr>
          <w:rFonts w:eastAsia="Times New Roman" w:cs="Arial"/>
          <w:b/>
          <w:color w:val="0E101A"/>
          <w:szCs w:val="24"/>
          <w:lang w:eastAsia="en-ZA"/>
        </w:rPr>
      </w:pPr>
      <w:r w:rsidRPr="00073955">
        <w:rPr>
          <w:rFonts w:eastAsia="Times New Roman" w:cs="Arial"/>
          <w:b/>
          <w:color w:val="0E101A"/>
          <w:szCs w:val="24"/>
          <w:lang w:eastAsia="en-ZA"/>
        </w:rPr>
        <w:t xml:space="preserve">JUDGMENT </w:t>
      </w:r>
      <w:r>
        <w:rPr>
          <w:rFonts w:eastAsia="Times New Roman" w:cs="Arial"/>
          <w:b/>
          <w:color w:val="0E101A"/>
          <w:szCs w:val="24"/>
          <w:lang w:eastAsia="en-ZA"/>
        </w:rPr>
        <w:t>(2)</w:t>
      </w:r>
      <w:r w:rsidR="00077776">
        <w:rPr>
          <w:rStyle w:val="FootnoteReference"/>
          <w:rFonts w:eastAsia="Times New Roman" w:cs="Arial"/>
          <w:b/>
          <w:color w:val="0E101A"/>
          <w:szCs w:val="24"/>
          <w:lang w:eastAsia="en-ZA"/>
        </w:rPr>
        <w:footnoteReference w:id="1"/>
      </w:r>
    </w:p>
    <w:p w14:paraId="110EE1FB" w14:textId="77777777" w:rsidR="00073955" w:rsidRPr="00073955" w:rsidRDefault="00073955" w:rsidP="00077776">
      <w:pPr>
        <w:tabs>
          <w:tab w:val="left" w:pos="0"/>
        </w:tabs>
        <w:spacing w:after="0" w:line="720" w:lineRule="auto"/>
        <w:ind w:left="-709"/>
        <w:jc w:val="center"/>
        <w:rPr>
          <w:rFonts w:eastAsia="Times New Roman" w:cs="Arial"/>
          <w:b/>
          <w:color w:val="0E101A"/>
          <w:szCs w:val="24"/>
          <w:u w:val="single"/>
          <w:lang w:eastAsia="en-ZA"/>
        </w:rPr>
      </w:pP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r w:rsidRPr="00073955">
        <w:rPr>
          <w:rFonts w:eastAsia="Times New Roman" w:cs="Arial"/>
          <w:b/>
          <w:color w:val="0E101A"/>
          <w:szCs w:val="24"/>
          <w:u w:val="single"/>
          <w:lang w:eastAsia="en-ZA"/>
        </w:rPr>
        <w:tab/>
      </w:r>
    </w:p>
    <w:p w14:paraId="1A7CD641" w14:textId="77777777" w:rsidR="00073955" w:rsidRDefault="00073955" w:rsidP="00077776">
      <w:pPr>
        <w:widowControl w:val="0"/>
        <w:autoSpaceDE w:val="0"/>
        <w:autoSpaceDN w:val="0"/>
        <w:adjustRightInd w:val="0"/>
        <w:spacing w:after="0" w:line="600" w:lineRule="auto"/>
        <w:ind w:firstLine="720"/>
        <w:jc w:val="both"/>
        <w:rPr>
          <w:rFonts w:eastAsia="MS Mincho" w:cs="Arial"/>
          <w:b/>
          <w:color w:val="1B1919"/>
          <w:szCs w:val="24"/>
          <w:lang w:val="en-GB" w:eastAsia="ja-JP"/>
        </w:rPr>
      </w:pPr>
      <w:r w:rsidRPr="00073955">
        <w:rPr>
          <w:rFonts w:eastAsia="MS Mincho" w:cs="Arial"/>
          <w:b/>
          <w:color w:val="1B1919"/>
          <w:szCs w:val="24"/>
          <w:lang w:val="en-GB" w:eastAsia="ja-JP"/>
        </w:rPr>
        <w:t xml:space="preserve">MANOIM J: </w:t>
      </w:r>
    </w:p>
    <w:p w14:paraId="167D468E" w14:textId="4629A3C8" w:rsidR="00077776" w:rsidRDefault="00073955" w:rsidP="0041611C">
      <w:pPr>
        <w:widowControl w:val="0"/>
        <w:autoSpaceDE w:val="0"/>
        <w:autoSpaceDN w:val="0"/>
        <w:adjustRightInd w:val="0"/>
        <w:spacing w:after="360" w:line="480" w:lineRule="auto"/>
        <w:ind w:left="720" w:hanging="720"/>
        <w:jc w:val="both"/>
        <w:rPr>
          <w:rFonts w:eastAsia="MS Mincho" w:cs="Arial"/>
          <w:b/>
          <w:color w:val="1B1919"/>
          <w:szCs w:val="24"/>
          <w:lang w:val="en-GB" w:eastAsia="ja-JP"/>
        </w:rPr>
      </w:pPr>
      <w:r w:rsidRPr="00073955">
        <w:rPr>
          <w:rFonts w:eastAsia="MS Mincho" w:cs="Arial"/>
          <w:color w:val="1B1919"/>
          <w:szCs w:val="24"/>
          <w:lang w:val="en-GB" w:eastAsia="ja-JP"/>
        </w:rPr>
        <w:t>[1]</w:t>
      </w:r>
      <w:r>
        <w:rPr>
          <w:rFonts w:eastAsia="MS Mincho" w:cs="Arial"/>
          <w:b/>
          <w:color w:val="1B1919"/>
          <w:szCs w:val="24"/>
          <w:lang w:val="en-GB" w:eastAsia="ja-JP"/>
        </w:rPr>
        <w:tab/>
      </w:r>
      <w:r w:rsidR="000F5AF8" w:rsidRPr="00073955">
        <w:rPr>
          <w:rFonts w:cs="Arial"/>
          <w:szCs w:val="24"/>
        </w:rPr>
        <w:t xml:space="preserve">On </w:t>
      </w:r>
      <w:r w:rsidR="007A352F" w:rsidRPr="00073955">
        <w:rPr>
          <w:rFonts w:cs="Arial"/>
          <w:szCs w:val="24"/>
        </w:rPr>
        <w:t xml:space="preserve">25 October 2022, </w:t>
      </w:r>
      <w:r w:rsidR="000F5AF8" w:rsidRPr="00073955">
        <w:rPr>
          <w:rFonts w:cs="Arial"/>
          <w:szCs w:val="24"/>
        </w:rPr>
        <w:t>I gave judgement in this case in which</w:t>
      </w:r>
      <w:r w:rsidR="000E5BD5" w:rsidRPr="00073955">
        <w:rPr>
          <w:rFonts w:cs="Arial"/>
          <w:szCs w:val="24"/>
        </w:rPr>
        <w:t xml:space="preserve"> the applicants, who are</w:t>
      </w:r>
      <w:r w:rsidR="000F5AF8" w:rsidRPr="00073955">
        <w:rPr>
          <w:rFonts w:cs="Arial"/>
          <w:szCs w:val="24"/>
        </w:rPr>
        <w:t xml:space="preserve"> dissenting shareholders</w:t>
      </w:r>
      <w:r w:rsidR="000E5BD5" w:rsidRPr="00073955">
        <w:rPr>
          <w:rFonts w:cs="Arial"/>
          <w:szCs w:val="24"/>
        </w:rPr>
        <w:t>,</w:t>
      </w:r>
      <w:r w:rsidR="000F5AF8" w:rsidRPr="00073955">
        <w:rPr>
          <w:rFonts w:cs="Arial"/>
          <w:szCs w:val="24"/>
        </w:rPr>
        <w:t xml:space="preserve"> exercised their appraisal rights </w:t>
      </w:r>
      <w:r w:rsidR="00702F0F" w:rsidRPr="00073955">
        <w:rPr>
          <w:rFonts w:cs="Arial"/>
          <w:szCs w:val="24"/>
        </w:rPr>
        <w:t xml:space="preserve">against the </w:t>
      </w:r>
      <w:r w:rsidR="00FB7D44" w:rsidRPr="00073955">
        <w:rPr>
          <w:rFonts w:cs="Arial"/>
          <w:szCs w:val="24"/>
        </w:rPr>
        <w:t xml:space="preserve">first </w:t>
      </w:r>
      <w:r w:rsidR="00702F0F" w:rsidRPr="00073955">
        <w:rPr>
          <w:rFonts w:cs="Arial"/>
          <w:szCs w:val="24"/>
        </w:rPr>
        <w:t>respondent (</w:t>
      </w:r>
      <w:r w:rsidR="00A72989">
        <w:rPr>
          <w:rFonts w:cs="Arial"/>
          <w:szCs w:val="24"/>
        </w:rPr>
        <w:t>“</w:t>
      </w:r>
      <w:r w:rsidR="00702F0F" w:rsidRPr="00073955">
        <w:rPr>
          <w:rFonts w:cs="Arial"/>
          <w:szCs w:val="24"/>
        </w:rPr>
        <w:t>Arrowhead</w:t>
      </w:r>
      <w:r w:rsidR="00A72989">
        <w:rPr>
          <w:rFonts w:cs="Arial"/>
          <w:szCs w:val="24"/>
        </w:rPr>
        <w:t>”</w:t>
      </w:r>
      <w:r w:rsidR="00702F0F" w:rsidRPr="00073955">
        <w:rPr>
          <w:rFonts w:cs="Arial"/>
          <w:szCs w:val="24"/>
        </w:rPr>
        <w:t xml:space="preserve">) </w:t>
      </w:r>
      <w:r w:rsidR="000F5AF8" w:rsidRPr="00073955">
        <w:rPr>
          <w:rFonts w:cs="Arial"/>
          <w:szCs w:val="24"/>
        </w:rPr>
        <w:t xml:space="preserve">in terms of </w:t>
      </w:r>
      <w:r w:rsidR="00FD7A19" w:rsidRPr="00073955">
        <w:rPr>
          <w:rFonts w:cs="Arial"/>
          <w:szCs w:val="24"/>
        </w:rPr>
        <w:t xml:space="preserve">section 164 of </w:t>
      </w:r>
      <w:r w:rsidR="000F5AF8" w:rsidRPr="00073955">
        <w:rPr>
          <w:rFonts w:cs="Arial"/>
          <w:szCs w:val="24"/>
        </w:rPr>
        <w:t>the Companies Act 71 of 2008, (</w:t>
      </w:r>
      <w:r w:rsidR="00A72989">
        <w:rPr>
          <w:rFonts w:cs="Arial"/>
          <w:szCs w:val="24"/>
        </w:rPr>
        <w:t>“</w:t>
      </w:r>
      <w:r w:rsidR="000F5AF8" w:rsidRPr="00073955">
        <w:rPr>
          <w:rFonts w:cs="Arial"/>
          <w:szCs w:val="24"/>
        </w:rPr>
        <w:t>the Act</w:t>
      </w:r>
      <w:r w:rsidR="00A72989">
        <w:rPr>
          <w:rFonts w:cs="Arial"/>
          <w:szCs w:val="24"/>
        </w:rPr>
        <w:t>”</w:t>
      </w:r>
      <w:r w:rsidR="000F5AF8" w:rsidRPr="00073955">
        <w:rPr>
          <w:rFonts w:cs="Arial"/>
          <w:szCs w:val="24"/>
        </w:rPr>
        <w:t>). Omitted from my reasons and the order</w:t>
      </w:r>
      <w:r w:rsidR="00BC31A1" w:rsidRPr="00073955">
        <w:rPr>
          <w:rFonts w:cs="Arial"/>
          <w:szCs w:val="24"/>
        </w:rPr>
        <w:t>,</w:t>
      </w:r>
      <w:r w:rsidR="000F5AF8" w:rsidRPr="00073955">
        <w:rPr>
          <w:rFonts w:cs="Arial"/>
          <w:szCs w:val="24"/>
        </w:rPr>
        <w:t xml:space="preserve"> was whether the </w:t>
      </w:r>
      <w:r w:rsidR="00BC08DC" w:rsidRPr="00073955">
        <w:rPr>
          <w:rFonts w:cs="Arial"/>
          <w:szCs w:val="24"/>
        </w:rPr>
        <w:t xml:space="preserve">applicants </w:t>
      </w:r>
      <w:r w:rsidR="003506F1" w:rsidRPr="00073955">
        <w:rPr>
          <w:rFonts w:cs="Arial"/>
          <w:szCs w:val="24"/>
        </w:rPr>
        <w:t>s</w:t>
      </w:r>
      <w:r w:rsidR="000F5AF8" w:rsidRPr="00073955">
        <w:rPr>
          <w:rFonts w:cs="Arial"/>
          <w:szCs w:val="24"/>
        </w:rPr>
        <w:t>hould receive interest on their shares</w:t>
      </w:r>
      <w:r w:rsidR="00FD7A19" w:rsidRPr="00073955">
        <w:rPr>
          <w:rFonts w:cs="Arial"/>
          <w:szCs w:val="24"/>
        </w:rPr>
        <w:t xml:space="preserve"> in addition to the fair value determined for their shares</w:t>
      </w:r>
      <w:r w:rsidR="000F5AF8" w:rsidRPr="00073955">
        <w:rPr>
          <w:rFonts w:cs="Arial"/>
          <w:szCs w:val="24"/>
        </w:rPr>
        <w:t xml:space="preserve">. </w:t>
      </w:r>
      <w:r w:rsidR="00BF46FD" w:rsidRPr="00073955">
        <w:rPr>
          <w:rFonts w:cs="Arial"/>
          <w:szCs w:val="24"/>
        </w:rPr>
        <w:t>I will refer to this judgment as the main case.</w:t>
      </w:r>
    </w:p>
    <w:p w14:paraId="5A697840" w14:textId="77777777" w:rsidR="00077776" w:rsidRDefault="00077776" w:rsidP="0041611C">
      <w:pPr>
        <w:widowControl w:val="0"/>
        <w:autoSpaceDE w:val="0"/>
        <w:autoSpaceDN w:val="0"/>
        <w:adjustRightInd w:val="0"/>
        <w:spacing w:after="360" w:line="480" w:lineRule="auto"/>
        <w:ind w:left="720" w:hanging="720"/>
        <w:jc w:val="both"/>
        <w:rPr>
          <w:rFonts w:eastAsia="MS Mincho" w:cs="Arial"/>
          <w:b/>
          <w:color w:val="1B1919"/>
          <w:szCs w:val="24"/>
          <w:lang w:val="en-GB" w:eastAsia="ja-JP"/>
        </w:rPr>
      </w:pPr>
      <w:r w:rsidRPr="00077776">
        <w:rPr>
          <w:rFonts w:eastAsia="MS Mincho" w:cs="Arial"/>
          <w:color w:val="1B1919"/>
          <w:szCs w:val="24"/>
          <w:lang w:val="en-GB" w:eastAsia="ja-JP"/>
        </w:rPr>
        <w:t>[2]</w:t>
      </w:r>
      <w:r>
        <w:rPr>
          <w:rFonts w:eastAsia="MS Mincho" w:cs="Arial"/>
          <w:b/>
          <w:color w:val="1B1919"/>
          <w:szCs w:val="24"/>
          <w:lang w:val="en-GB" w:eastAsia="ja-JP"/>
        </w:rPr>
        <w:tab/>
      </w:r>
      <w:r w:rsidR="000F5AF8" w:rsidRPr="00077776">
        <w:rPr>
          <w:rFonts w:cs="Arial"/>
          <w:szCs w:val="24"/>
        </w:rPr>
        <w:t xml:space="preserve">I have since been approached by the </w:t>
      </w:r>
      <w:r w:rsidR="002157B2" w:rsidRPr="00077776">
        <w:rPr>
          <w:rFonts w:cs="Arial"/>
          <w:szCs w:val="24"/>
        </w:rPr>
        <w:t xml:space="preserve">applicants </w:t>
      </w:r>
      <w:r w:rsidR="000F5AF8" w:rsidRPr="00077776">
        <w:rPr>
          <w:rFonts w:cs="Arial"/>
          <w:szCs w:val="24"/>
        </w:rPr>
        <w:t>to consider this issue</w:t>
      </w:r>
      <w:r w:rsidR="00457892" w:rsidRPr="00077776">
        <w:rPr>
          <w:rFonts w:cs="Arial"/>
          <w:szCs w:val="24"/>
        </w:rPr>
        <w:t xml:space="preserve"> of interest </w:t>
      </w:r>
      <w:r w:rsidR="000F5AF8" w:rsidRPr="00077776">
        <w:rPr>
          <w:rFonts w:cs="Arial"/>
          <w:szCs w:val="24"/>
        </w:rPr>
        <w:t>in terms of Rule 42(1) of the Uniform Rules. Following the request</w:t>
      </w:r>
      <w:r w:rsidR="00FD7A19" w:rsidRPr="00077776">
        <w:rPr>
          <w:rFonts w:cs="Arial"/>
          <w:szCs w:val="24"/>
        </w:rPr>
        <w:t>,</w:t>
      </w:r>
      <w:r w:rsidR="000F5AF8" w:rsidRPr="00077776">
        <w:rPr>
          <w:rFonts w:cs="Arial"/>
          <w:szCs w:val="24"/>
        </w:rPr>
        <w:t xml:space="preserve"> I asked the parties to file heads of argument on this issue which both have since done. </w:t>
      </w:r>
    </w:p>
    <w:p w14:paraId="3D5792D7" w14:textId="0F0C86D9" w:rsidR="00B24DF6" w:rsidRPr="00077776" w:rsidRDefault="00077776" w:rsidP="0041611C">
      <w:pPr>
        <w:widowControl w:val="0"/>
        <w:autoSpaceDE w:val="0"/>
        <w:autoSpaceDN w:val="0"/>
        <w:adjustRightInd w:val="0"/>
        <w:spacing w:after="360" w:line="480" w:lineRule="auto"/>
        <w:ind w:left="720" w:hanging="720"/>
        <w:jc w:val="both"/>
        <w:rPr>
          <w:rFonts w:eastAsia="MS Mincho" w:cs="Arial"/>
          <w:b/>
          <w:color w:val="1B1919"/>
          <w:szCs w:val="24"/>
          <w:lang w:val="en-GB" w:eastAsia="ja-JP"/>
        </w:rPr>
      </w:pPr>
      <w:r>
        <w:rPr>
          <w:rFonts w:eastAsia="MS Mincho" w:cs="Arial"/>
          <w:color w:val="1B1919"/>
          <w:szCs w:val="24"/>
          <w:lang w:val="en-GB" w:eastAsia="ja-JP"/>
        </w:rPr>
        <w:lastRenderedPageBreak/>
        <w:t>[3]</w:t>
      </w:r>
      <w:r>
        <w:rPr>
          <w:rFonts w:eastAsia="MS Mincho" w:cs="Arial"/>
          <w:color w:val="1B1919"/>
          <w:szCs w:val="24"/>
          <w:lang w:val="en-GB" w:eastAsia="ja-JP"/>
        </w:rPr>
        <w:tab/>
      </w:r>
      <w:r w:rsidR="00B24DF6" w:rsidRPr="00077776">
        <w:rPr>
          <w:rFonts w:cs="Arial"/>
          <w:szCs w:val="24"/>
        </w:rPr>
        <w:t>The new appraisal rights section in the Companies Act 71 of 2008, (</w:t>
      </w:r>
      <w:r w:rsidR="00A72989">
        <w:rPr>
          <w:rFonts w:cs="Arial"/>
          <w:szCs w:val="24"/>
        </w:rPr>
        <w:t>“</w:t>
      </w:r>
      <w:r w:rsidR="00B24DF6" w:rsidRPr="00077776">
        <w:rPr>
          <w:rFonts w:cs="Arial"/>
          <w:szCs w:val="24"/>
        </w:rPr>
        <w:t>the Act</w:t>
      </w:r>
      <w:r w:rsidR="00A72989">
        <w:rPr>
          <w:rFonts w:cs="Arial"/>
          <w:szCs w:val="24"/>
        </w:rPr>
        <w:t>”</w:t>
      </w:r>
      <w:r w:rsidR="00B24DF6" w:rsidRPr="00077776">
        <w:rPr>
          <w:rFonts w:cs="Arial"/>
          <w:szCs w:val="24"/>
        </w:rPr>
        <w:t>) gives a court a discretion to award a reasonable rate of interest to the dissenting shareholders.</w:t>
      </w:r>
    </w:p>
    <w:p w14:paraId="0FE35C81" w14:textId="02C5A15E" w:rsidR="00B24DF6" w:rsidRPr="00077776" w:rsidRDefault="00077776" w:rsidP="0041611C">
      <w:pPr>
        <w:spacing w:after="360" w:line="480" w:lineRule="auto"/>
        <w:ind w:left="720" w:hanging="720"/>
        <w:jc w:val="both"/>
        <w:rPr>
          <w:rFonts w:cs="Arial"/>
          <w:szCs w:val="24"/>
        </w:rPr>
      </w:pPr>
      <w:r>
        <w:rPr>
          <w:rFonts w:cs="Arial"/>
          <w:szCs w:val="24"/>
        </w:rPr>
        <w:t>[4]</w:t>
      </w:r>
      <w:r>
        <w:rPr>
          <w:rFonts w:cs="Arial"/>
          <w:szCs w:val="24"/>
        </w:rPr>
        <w:tab/>
      </w:r>
      <w:r w:rsidR="00B24DF6" w:rsidRPr="00077776">
        <w:rPr>
          <w:rFonts w:cs="Arial"/>
          <w:szCs w:val="24"/>
        </w:rPr>
        <w:t xml:space="preserve">There is no local case law that I have been made aware of on this point. This case therefore raises several issues; when should interest be awarded, how </w:t>
      </w:r>
      <w:r w:rsidR="009A3E3A" w:rsidRPr="00077776">
        <w:rPr>
          <w:rFonts w:cs="Arial"/>
          <w:szCs w:val="24"/>
        </w:rPr>
        <w:t>is a</w:t>
      </w:r>
      <w:r w:rsidR="00B24DF6" w:rsidRPr="00077776">
        <w:rPr>
          <w:rFonts w:cs="Arial"/>
          <w:szCs w:val="24"/>
        </w:rPr>
        <w:t xml:space="preserve"> reasonable rate to be determined, should the dissenting parties or the company’s conduct be relevant to assessing the rate of interest, should an award of interest be accompanied by an order that it be compounded and if so</w:t>
      </w:r>
      <w:r w:rsidR="00A55EE8" w:rsidRPr="00077776">
        <w:rPr>
          <w:rFonts w:cs="Arial"/>
          <w:szCs w:val="24"/>
        </w:rPr>
        <w:t>,</w:t>
      </w:r>
      <w:r w:rsidR="00B24DF6" w:rsidRPr="00077776">
        <w:rPr>
          <w:rFonts w:cs="Arial"/>
          <w:szCs w:val="24"/>
        </w:rPr>
        <w:t xml:space="preserve"> the period for doing so.</w:t>
      </w:r>
    </w:p>
    <w:p w14:paraId="78D078F6" w14:textId="0D3864D0" w:rsidR="000F5AF8" w:rsidRPr="00077776" w:rsidRDefault="00077776" w:rsidP="0041611C">
      <w:pPr>
        <w:spacing w:after="360" w:line="480" w:lineRule="auto"/>
        <w:ind w:left="720" w:hanging="720"/>
        <w:jc w:val="both"/>
        <w:rPr>
          <w:rFonts w:cs="Arial"/>
          <w:szCs w:val="24"/>
        </w:rPr>
      </w:pPr>
      <w:r>
        <w:rPr>
          <w:rFonts w:cs="Arial"/>
          <w:szCs w:val="24"/>
        </w:rPr>
        <w:t>[5]</w:t>
      </w:r>
      <w:r>
        <w:rPr>
          <w:rFonts w:cs="Arial"/>
          <w:szCs w:val="24"/>
        </w:rPr>
        <w:tab/>
      </w:r>
      <w:r w:rsidR="000F5AF8" w:rsidRPr="00077776">
        <w:rPr>
          <w:rFonts w:cs="Arial"/>
          <w:szCs w:val="24"/>
        </w:rPr>
        <w:t>In this decision I first deal with a short background to the main case to which this decision should be considered ancillary, then the application of Rule 42(1) and thereafter I deal with the merits of the application for interest.</w:t>
      </w:r>
    </w:p>
    <w:p w14:paraId="54E70E33" w14:textId="77777777" w:rsidR="00077776" w:rsidRDefault="00FD7A19" w:rsidP="0041611C">
      <w:pPr>
        <w:spacing w:after="360" w:line="480" w:lineRule="auto"/>
        <w:ind w:firstLine="720"/>
        <w:jc w:val="both"/>
        <w:rPr>
          <w:rFonts w:cs="Arial"/>
          <w:b/>
          <w:bCs/>
          <w:szCs w:val="24"/>
        </w:rPr>
      </w:pPr>
      <w:r w:rsidRPr="008605B0">
        <w:rPr>
          <w:rFonts w:cs="Arial"/>
          <w:b/>
          <w:bCs/>
          <w:szCs w:val="24"/>
        </w:rPr>
        <w:t>The main case</w:t>
      </w:r>
    </w:p>
    <w:p w14:paraId="34944592" w14:textId="672E1516" w:rsidR="00FD7A19" w:rsidRPr="00077776" w:rsidRDefault="00077776" w:rsidP="0041611C">
      <w:pPr>
        <w:spacing w:after="360" w:line="480" w:lineRule="auto"/>
        <w:ind w:left="720" w:hanging="720"/>
        <w:jc w:val="both"/>
        <w:rPr>
          <w:rFonts w:cs="Arial"/>
          <w:b/>
          <w:bCs/>
          <w:szCs w:val="24"/>
        </w:rPr>
      </w:pPr>
      <w:r w:rsidRPr="00077776">
        <w:rPr>
          <w:rFonts w:cs="Arial"/>
          <w:bCs/>
          <w:szCs w:val="24"/>
        </w:rPr>
        <w:t>[6]</w:t>
      </w:r>
      <w:r>
        <w:rPr>
          <w:rFonts w:cs="Arial"/>
          <w:b/>
          <w:bCs/>
          <w:szCs w:val="24"/>
        </w:rPr>
        <w:tab/>
      </w:r>
      <w:r w:rsidR="008605B0" w:rsidRPr="00077776">
        <w:rPr>
          <w:rFonts w:cs="Arial"/>
          <w:szCs w:val="24"/>
        </w:rPr>
        <w:t>In the main case the applicants</w:t>
      </w:r>
      <w:r w:rsidR="00B94A09" w:rsidRPr="00077776">
        <w:rPr>
          <w:rFonts w:cs="Arial"/>
          <w:szCs w:val="24"/>
        </w:rPr>
        <w:t xml:space="preserve"> </w:t>
      </w:r>
      <w:r w:rsidR="008605B0" w:rsidRPr="00077776">
        <w:rPr>
          <w:rFonts w:cs="Arial"/>
          <w:szCs w:val="24"/>
        </w:rPr>
        <w:t xml:space="preserve">applied to the court </w:t>
      </w:r>
      <w:r w:rsidR="00B94A09" w:rsidRPr="00077776">
        <w:rPr>
          <w:rFonts w:cs="Arial"/>
          <w:szCs w:val="24"/>
        </w:rPr>
        <w:t xml:space="preserve">as dissenting shareholders, </w:t>
      </w:r>
      <w:r w:rsidR="008605B0" w:rsidRPr="00077776">
        <w:rPr>
          <w:rFonts w:cs="Arial"/>
          <w:szCs w:val="24"/>
        </w:rPr>
        <w:t xml:space="preserve">to appoint one or more appraisers to assist it in determining fair value in respect of their shares in Arrowhead which had merged with another company </w:t>
      </w:r>
      <w:proofErr w:type="spellStart"/>
      <w:r w:rsidR="008605B0" w:rsidRPr="00077776">
        <w:rPr>
          <w:rFonts w:cs="Arial"/>
          <w:szCs w:val="24"/>
        </w:rPr>
        <w:t>Gemgrow</w:t>
      </w:r>
      <w:proofErr w:type="spellEnd"/>
      <w:r w:rsidR="008605B0" w:rsidRPr="00077776">
        <w:rPr>
          <w:rFonts w:cs="Arial"/>
          <w:szCs w:val="24"/>
        </w:rPr>
        <w:t xml:space="preserve">. The applicants had </w:t>
      </w:r>
      <w:r w:rsidR="00504F68" w:rsidRPr="00077776">
        <w:rPr>
          <w:rFonts w:cs="Arial"/>
          <w:szCs w:val="24"/>
        </w:rPr>
        <w:t>been offered</w:t>
      </w:r>
      <w:r w:rsidR="008605B0" w:rsidRPr="00077776">
        <w:rPr>
          <w:rFonts w:cs="Arial"/>
          <w:szCs w:val="24"/>
        </w:rPr>
        <w:t xml:space="preserve"> R</w:t>
      </w:r>
      <w:r w:rsidR="00884E03" w:rsidRPr="00077776">
        <w:rPr>
          <w:rFonts w:cs="Arial"/>
          <w:szCs w:val="24"/>
        </w:rPr>
        <w:t>3.75</w:t>
      </w:r>
      <w:r w:rsidR="008605B0" w:rsidRPr="00077776">
        <w:rPr>
          <w:rFonts w:cs="Arial"/>
          <w:szCs w:val="24"/>
        </w:rPr>
        <w:t xml:space="preserve"> for their shares</w:t>
      </w:r>
      <w:r w:rsidR="00884E03" w:rsidRPr="00077776">
        <w:rPr>
          <w:rFonts w:cs="Arial"/>
          <w:szCs w:val="24"/>
        </w:rPr>
        <w:t>,</w:t>
      </w:r>
      <w:r w:rsidR="008605B0" w:rsidRPr="00077776">
        <w:rPr>
          <w:rFonts w:cs="Arial"/>
          <w:szCs w:val="24"/>
        </w:rPr>
        <w:t xml:space="preserve"> which whilst a premium on the then market value</w:t>
      </w:r>
      <w:r w:rsidR="00877D3C" w:rsidRPr="00077776">
        <w:rPr>
          <w:rFonts w:cs="Arial"/>
          <w:szCs w:val="24"/>
        </w:rPr>
        <w:t>,</w:t>
      </w:r>
      <w:r w:rsidR="008605B0" w:rsidRPr="00077776">
        <w:rPr>
          <w:rFonts w:cs="Arial"/>
          <w:szCs w:val="24"/>
        </w:rPr>
        <w:t xml:space="preserve"> they considered not to be fair value. Their case was that fair value was closer to net asset value which was then R </w:t>
      </w:r>
      <w:r w:rsidR="005D59F3" w:rsidRPr="00077776">
        <w:rPr>
          <w:rFonts w:cs="Arial"/>
          <w:szCs w:val="24"/>
        </w:rPr>
        <w:t>6.90</w:t>
      </w:r>
      <w:r w:rsidR="008605B0" w:rsidRPr="00077776">
        <w:rPr>
          <w:rFonts w:cs="Arial"/>
          <w:szCs w:val="24"/>
        </w:rPr>
        <w:t xml:space="preserve">. Arrowhead had brought a </w:t>
      </w:r>
      <w:r w:rsidR="002E4CE6" w:rsidRPr="00077776">
        <w:rPr>
          <w:rFonts w:cs="Arial"/>
          <w:szCs w:val="24"/>
        </w:rPr>
        <w:t xml:space="preserve">conditional </w:t>
      </w:r>
      <w:r w:rsidR="008605B0" w:rsidRPr="00077776">
        <w:rPr>
          <w:rFonts w:cs="Arial"/>
          <w:szCs w:val="24"/>
        </w:rPr>
        <w:t>counter application for a declaration that the offer of R</w:t>
      </w:r>
      <w:r w:rsidR="00EB60F3" w:rsidRPr="00077776">
        <w:rPr>
          <w:rFonts w:cs="Arial"/>
          <w:szCs w:val="24"/>
        </w:rPr>
        <w:t>3.75</w:t>
      </w:r>
      <w:r w:rsidR="008605B0" w:rsidRPr="00077776">
        <w:rPr>
          <w:rFonts w:cs="Arial"/>
          <w:szCs w:val="24"/>
        </w:rPr>
        <w:t xml:space="preserve"> represented fair value.</w:t>
      </w:r>
    </w:p>
    <w:p w14:paraId="2997DAC4" w14:textId="77777777" w:rsidR="00077776" w:rsidRDefault="00077776" w:rsidP="0041611C">
      <w:pPr>
        <w:spacing w:after="360" w:line="480" w:lineRule="auto"/>
        <w:ind w:left="720" w:hanging="720"/>
        <w:jc w:val="both"/>
        <w:rPr>
          <w:rFonts w:cs="Arial"/>
          <w:szCs w:val="24"/>
        </w:rPr>
      </w:pPr>
      <w:r>
        <w:rPr>
          <w:rFonts w:cs="Arial"/>
          <w:szCs w:val="24"/>
        </w:rPr>
        <w:lastRenderedPageBreak/>
        <w:t>[7]</w:t>
      </w:r>
      <w:r>
        <w:rPr>
          <w:rFonts w:cs="Arial"/>
          <w:szCs w:val="24"/>
        </w:rPr>
        <w:tab/>
      </w:r>
      <w:r w:rsidR="008605B0" w:rsidRPr="00077776">
        <w:rPr>
          <w:rFonts w:cs="Arial"/>
          <w:szCs w:val="24"/>
        </w:rPr>
        <w:t>I held</w:t>
      </w:r>
      <w:r w:rsidR="00EB60F3" w:rsidRPr="00077776">
        <w:rPr>
          <w:rFonts w:cs="Arial"/>
          <w:szCs w:val="24"/>
        </w:rPr>
        <w:t>,</w:t>
      </w:r>
      <w:r w:rsidR="008605B0" w:rsidRPr="00077776">
        <w:rPr>
          <w:rFonts w:cs="Arial"/>
          <w:szCs w:val="24"/>
        </w:rPr>
        <w:t xml:space="preserve"> for reasons given in </w:t>
      </w:r>
      <w:r w:rsidR="005713F1" w:rsidRPr="00077776">
        <w:rPr>
          <w:rFonts w:cs="Arial"/>
          <w:szCs w:val="24"/>
        </w:rPr>
        <w:t xml:space="preserve">my decision in </w:t>
      </w:r>
      <w:r w:rsidR="00B462C7" w:rsidRPr="00077776">
        <w:rPr>
          <w:rFonts w:cs="Arial"/>
          <w:szCs w:val="24"/>
        </w:rPr>
        <w:t>the main</w:t>
      </w:r>
      <w:r w:rsidR="008605B0" w:rsidRPr="00077776">
        <w:rPr>
          <w:rFonts w:cs="Arial"/>
          <w:szCs w:val="24"/>
        </w:rPr>
        <w:t xml:space="preserve"> </w:t>
      </w:r>
      <w:r w:rsidR="005713F1" w:rsidRPr="00077776">
        <w:rPr>
          <w:rFonts w:cs="Arial"/>
          <w:szCs w:val="24"/>
        </w:rPr>
        <w:t>case</w:t>
      </w:r>
      <w:r w:rsidR="00EB60F3" w:rsidRPr="00077776">
        <w:rPr>
          <w:rFonts w:cs="Arial"/>
          <w:szCs w:val="24"/>
        </w:rPr>
        <w:t>,</w:t>
      </w:r>
      <w:r w:rsidR="005713F1" w:rsidRPr="00077776">
        <w:rPr>
          <w:rFonts w:cs="Arial"/>
          <w:szCs w:val="24"/>
        </w:rPr>
        <w:t xml:space="preserve"> </w:t>
      </w:r>
      <w:r w:rsidR="008605B0" w:rsidRPr="00077776">
        <w:rPr>
          <w:rFonts w:cs="Arial"/>
          <w:szCs w:val="24"/>
        </w:rPr>
        <w:t xml:space="preserve">that </w:t>
      </w:r>
      <w:r w:rsidR="00B237F0" w:rsidRPr="00077776">
        <w:rPr>
          <w:rFonts w:cs="Arial"/>
          <w:szCs w:val="24"/>
        </w:rPr>
        <w:t>R3.75 represented</w:t>
      </w:r>
      <w:r w:rsidR="008605B0" w:rsidRPr="00077776">
        <w:rPr>
          <w:rFonts w:cs="Arial"/>
          <w:szCs w:val="24"/>
        </w:rPr>
        <w:t xml:space="preserve"> fair value. I thus upheld the </w:t>
      </w:r>
      <w:r w:rsidR="00B86F5B" w:rsidRPr="00077776">
        <w:rPr>
          <w:rFonts w:cs="Arial"/>
          <w:szCs w:val="24"/>
        </w:rPr>
        <w:t>conditional</w:t>
      </w:r>
      <w:r w:rsidR="002E4CE6" w:rsidRPr="00077776">
        <w:rPr>
          <w:rFonts w:cs="Arial"/>
          <w:szCs w:val="24"/>
        </w:rPr>
        <w:t xml:space="preserve"> </w:t>
      </w:r>
      <w:r w:rsidR="008605B0" w:rsidRPr="00077776">
        <w:rPr>
          <w:rFonts w:cs="Arial"/>
          <w:szCs w:val="24"/>
        </w:rPr>
        <w:t xml:space="preserve">counter </w:t>
      </w:r>
      <w:r w:rsidR="002E4CE6" w:rsidRPr="00077776">
        <w:rPr>
          <w:rFonts w:cs="Arial"/>
          <w:szCs w:val="24"/>
        </w:rPr>
        <w:t>application</w:t>
      </w:r>
      <w:r w:rsidR="008605B0" w:rsidRPr="00077776">
        <w:rPr>
          <w:rFonts w:cs="Arial"/>
          <w:szCs w:val="24"/>
        </w:rPr>
        <w:t xml:space="preserve"> and dismissed the applicants claim. A number of issues were debated in that case which I had to decide. The question of interest received scant attention from either party once the matter was argued and hence</w:t>
      </w:r>
      <w:r w:rsidR="00D179AC" w:rsidRPr="00077776">
        <w:rPr>
          <w:rFonts w:cs="Arial"/>
          <w:szCs w:val="24"/>
        </w:rPr>
        <w:t>,</w:t>
      </w:r>
      <w:r w:rsidR="008605B0" w:rsidRPr="00077776">
        <w:rPr>
          <w:rFonts w:cs="Arial"/>
          <w:szCs w:val="24"/>
        </w:rPr>
        <w:t xml:space="preserve"> I omitted dealing with it. However</w:t>
      </w:r>
      <w:r w:rsidR="00D179AC" w:rsidRPr="00077776">
        <w:rPr>
          <w:rFonts w:cs="Arial"/>
          <w:szCs w:val="24"/>
        </w:rPr>
        <w:t>,</w:t>
      </w:r>
      <w:r w:rsidR="008605B0" w:rsidRPr="00077776">
        <w:rPr>
          <w:rFonts w:cs="Arial"/>
          <w:szCs w:val="24"/>
        </w:rPr>
        <w:t xml:space="preserve"> in fairness to the applicants it must be pointed out that </w:t>
      </w:r>
      <w:r w:rsidR="00B43D59" w:rsidRPr="00077776">
        <w:rPr>
          <w:rFonts w:cs="Arial"/>
          <w:szCs w:val="24"/>
        </w:rPr>
        <w:t>they did</w:t>
      </w:r>
      <w:r w:rsidR="00E5161E" w:rsidRPr="00077776">
        <w:rPr>
          <w:rFonts w:cs="Arial"/>
          <w:szCs w:val="24"/>
        </w:rPr>
        <w:t xml:space="preserve"> make a </w:t>
      </w:r>
      <w:r w:rsidR="00CA3863" w:rsidRPr="00077776">
        <w:rPr>
          <w:rFonts w:cs="Arial"/>
          <w:szCs w:val="24"/>
        </w:rPr>
        <w:t xml:space="preserve">claim </w:t>
      </w:r>
      <w:r w:rsidR="00C21106" w:rsidRPr="00077776">
        <w:rPr>
          <w:rFonts w:cs="Arial"/>
          <w:szCs w:val="24"/>
        </w:rPr>
        <w:t xml:space="preserve">for an award of </w:t>
      </w:r>
      <w:r w:rsidR="008605B0" w:rsidRPr="00077776">
        <w:rPr>
          <w:rFonts w:cs="Arial"/>
          <w:szCs w:val="24"/>
        </w:rPr>
        <w:t xml:space="preserve">interest </w:t>
      </w:r>
      <w:r w:rsidR="00CA3863" w:rsidRPr="00077776">
        <w:rPr>
          <w:rFonts w:cs="Arial"/>
          <w:szCs w:val="24"/>
        </w:rPr>
        <w:t xml:space="preserve">in their notice of motion </w:t>
      </w:r>
      <w:r w:rsidR="00E5161E" w:rsidRPr="00077776">
        <w:rPr>
          <w:rFonts w:cs="Arial"/>
          <w:szCs w:val="24"/>
        </w:rPr>
        <w:t>and motivated this albeit briefly in their founding affidavit.</w:t>
      </w:r>
      <w:r w:rsidR="00B43D59">
        <w:rPr>
          <w:rStyle w:val="FootnoteReference"/>
          <w:rFonts w:cs="Arial"/>
          <w:szCs w:val="24"/>
        </w:rPr>
        <w:footnoteReference w:id="2"/>
      </w:r>
    </w:p>
    <w:p w14:paraId="42A5F9C3" w14:textId="77777777" w:rsidR="00077776" w:rsidRDefault="00077776" w:rsidP="0041611C">
      <w:pPr>
        <w:spacing w:after="360" w:line="480" w:lineRule="auto"/>
        <w:ind w:left="720" w:hanging="720"/>
        <w:jc w:val="both"/>
        <w:rPr>
          <w:rFonts w:cs="Arial"/>
          <w:szCs w:val="24"/>
        </w:rPr>
      </w:pPr>
      <w:r>
        <w:rPr>
          <w:rFonts w:cs="Arial"/>
          <w:szCs w:val="24"/>
        </w:rPr>
        <w:t>[8]</w:t>
      </w:r>
      <w:r>
        <w:rPr>
          <w:rFonts w:cs="Arial"/>
          <w:szCs w:val="24"/>
        </w:rPr>
        <w:tab/>
      </w:r>
      <w:r w:rsidR="00B43D59" w:rsidRPr="00077776">
        <w:rPr>
          <w:rFonts w:cs="Arial"/>
          <w:szCs w:val="24"/>
        </w:rPr>
        <w:t>However,</w:t>
      </w:r>
      <w:r w:rsidR="008605B0" w:rsidRPr="00077776">
        <w:rPr>
          <w:rFonts w:cs="Arial"/>
          <w:szCs w:val="24"/>
        </w:rPr>
        <w:t xml:space="preserve"> the reason the issue got left behind was that from the </w:t>
      </w:r>
      <w:proofErr w:type="gramStart"/>
      <w:r w:rsidR="008605B0" w:rsidRPr="00077776">
        <w:rPr>
          <w:rFonts w:cs="Arial"/>
          <w:szCs w:val="24"/>
        </w:rPr>
        <w:t>applicants</w:t>
      </w:r>
      <w:proofErr w:type="gramEnd"/>
      <w:r w:rsidR="008605B0" w:rsidRPr="00077776">
        <w:rPr>
          <w:rFonts w:cs="Arial"/>
          <w:szCs w:val="24"/>
        </w:rPr>
        <w:t xml:space="preserve"> point of view the interest issue was to be left for after the determination of the appraiser who they sought to be appointed. Hence</w:t>
      </w:r>
      <w:r w:rsidR="006A497C" w:rsidRPr="00077776">
        <w:rPr>
          <w:rFonts w:cs="Arial"/>
          <w:szCs w:val="24"/>
        </w:rPr>
        <w:t>,</w:t>
      </w:r>
      <w:r w:rsidR="007F08DD" w:rsidRPr="00077776">
        <w:rPr>
          <w:rFonts w:cs="Arial"/>
          <w:szCs w:val="24"/>
        </w:rPr>
        <w:t xml:space="preserve"> since this was their primary relief</w:t>
      </w:r>
      <w:r w:rsidR="006A497C" w:rsidRPr="00077776">
        <w:rPr>
          <w:rFonts w:cs="Arial"/>
          <w:szCs w:val="24"/>
        </w:rPr>
        <w:t>,</w:t>
      </w:r>
      <w:r w:rsidR="007F08DD" w:rsidRPr="00077776">
        <w:rPr>
          <w:rFonts w:cs="Arial"/>
          <w:szCs w:val="24"/>
        </w:rPr>
        <w:t xml:space="preserve"> the interest issue was secondary and not given </w:t>
      </w:r>
      <w:r w:rsidR="00E33A0A" w:rsidRPr="00077776">
        <w:rPr>
          <w:rFonts w:cs="Arial"/>
          <w:szCs w:val="24"/>
        </w:rPr>
        <w:t xml:space="preserve">any </w:t>
      </w:r>
      <w:r w:rsidR="007F08DD" w:rsidRPr="00077776">
        <w:rPr>
          <w:rFonts w:cs="Arial"/>
          <w:szCs w:val="24"/>
        </w:rPr>
        <w:t>mention in the debate before me.</w:t>
      </w:r>
    </w:p>
    <w:p w14:paraId="4DF3EC02" w14:textId="40BAD25D" w:rsidR="00635CF0" w:rsidRPr="00077776" w:rsidRDefault="00077776" w:rsidP="0041611C">
      <w:pPr>
        <w:spacing w:after="360" w:line="480" w:lineRule="auto"/>
        <w:ind w:left="720" w:hanging="720"/>
        <w:jc w:val="both"/>
        <w:rPr>
          <w:rFonts w:cs="Arial"/>
          <w:szCs w:val="24"/>
        </w:rPr>
      </w:pPr>
      <w:r>
        <w:rPr>
          <w:rFonts w:cs="Arial"/>
          <w:szCs w:val="24"/>
        </w:rPr>
        <w:t>[9]</w:t>
      </w:r>
      <w:r>
        <w:rPr>
          <w:rFonts w:cs="Arial"/>
          <w:szCs w:val="24"/>
        </w:rPr>
        <w:tab/>
      </w:r>
      <w:r w:rsidR="007F08DD" w:rsidRPr="00077776">
        <w:rPr>
          <w:rFonts w:cs="Arial"/>
          <w:szCs w:val="24"/>
        </w:rPr>
        <w:t>Nor did Arrowhead give it any</w:t>
      </w:r>
      <w:r w:rsidR="007E76EE" w:rsidRPr="00077776">
        <w:rPr>
          <w:rFonts w:cs="Arial"/>
          <w:szCs w:val="24"/>
        </w:rPr>
        <w:t xml:space="preserve"> more</w:t>
      </w:r>
      <w:r w:rsidR="007F08DD" w:rsidRPr="00077776">
        <w:rPr>
          <w:rFonts w:cs="Arial"/>
          <w:szCs w:val="24"/>
        </w:rPr>
        <w:t xml:space="preserve"> attention. In its answering affidavit it simply denied the relief without anything further. Given their </w:t>
      </w:r>
      <w:r w:rsidR="00962A34" w:rsidRPr="00077776">
        <w:rPr>
          <w:rFonts w:cs="Arial"/>
          <w:szCs w:val="24"/>
        </w:rPr>
        <w:t xml:space="preserve">conditional </w:t>
      </w:r>
      <w:r w:rsidR="007F08DD" w:rsidRPr="00077776">
        <w:rPr>
          <w:rFonts w:cs="Arial"/>
          <w:szCs w:val="24"/>
        </w:rPr>
        <w:t>counter claim</w:t>
      </w:r>
      <w:r w:rsidR="00962A34" w:rsidRPr="00077776">
        <w:rPr>
          <w:rFonts w:cs="Arial"/>
          <w:szCs w:val="24"/>
        </w:rPr>
        <w:t>,</w:t>
      </w:r>
      <w:r w:rsidR="007F08DD" w:rsidRPr="00077776">
        <w:rPr>
          <w:rFonts w:cs="Arial"/>
          <w:szCs w:val="24"/>
        </w:rPr>
        <w:t xml:space="preserve"> the issue of interest was of no concern</w:t>
      </w:r>
      <w:r w:rsidR="00962A34" w:rsidRPr="00077776">
        <w:rPr>
          <w:rFonts w:cs="Arial"/>
          <w:szCs w:val="24"/>
        </w:rPr>
        <w:t>,</w:t>
      </w:r>
      <w:r w:rsidR="007F08DD" w:rsidRPr="00077776">
        <w:rPr>
          <w:rFonts w:cs="Arial"/>
          <w:szCs w:val="24"/>
        </w:rPr>
        <w:t xml:space="preserve"> since it was primarily concerned with getting an order that its offer represented fair value and in this it was successful.</w:t>
      </w:r>
      <w:r w:rsidR="007E76EE" w:rsidRPr="00077776">
        <w:rPr>
          <w:rFonts w:cs="Arial"/>
          <w:szCs w:val="24"/>
        </w:rPr>
        <w:t xml:space="preserve"> I leave open the question whether in relation to a counter claim a </w:t>
      </w:r>
      <w:r w:rsidR="008E4064" w:rsidRPr="00077776">
        <w:rPr>
          <w:rFonts w:cs="Arial"/>
          <w:szCs w:val="24"/>
        </w:rPr>
        <w:t xml:space="preserve">company should </w:t>
      </w:r>
      <w:r w:rsidR="00C033BD" w:rsidRPr="00077776">
        <w:rPr>
          <w:rFonts w:cs="Arial"/>
          <w:szCs w:val="24"/>
        </w:rPr>
        <w:t xml:space="preserve">in future </w:t>
      </w:r>
      <w:r w:rsidR="00BD3C3D" w:rsidRPr="00077776">
        <w:rPr>
          <w:rFonts w:cs="Arial"/>
          <w:szCs w:val="24"/>
        </w:rPr>
        <w:t xml:space="preserve">address </w:t>
      </w:r>
      <w:r w:rsidR="008E4064" w:rsidRPr="00077776">
        <w:rPr>
          <w:rFonts w:cs="Arial"/>
          <w:szCs w:val="24"/>
        </w:rPr>
        <w:t>the issue of interest</w:t>
      </w:r>
      <w:r w:rsidR="00BD3C3D" w:rsidRPr="00077776">
        <w:rPr>
          <w:rFonts w:cs="Arial"/>
          <w:szCs w:val="24"/>
        </w:rPr>
        <w:t xml:space="preserve"> even if it is </w:t>
      </w:r>
      <w:r w:rsidR="0097433D" w:rsidRPr="00077776">
        <w:rPr>
          <w:rFonts w:cs="Arial"/>
          <w:szCs w:val="24"/>
        </w:rPr>
        <w:t xml:space="preserve">only </w:t>
      </w:r>
      <w:r w:rsidR="00BD3C3D" w:rsidRPr="00077776">
        <w:rPr>
          <w:rFonts w:cs="Arial"/>
          <w:szCs w:val="24"/>
        </w:rPr>
        <w:t>to seek an order that interest not be payable</w:t>
      </w:r>
      <w:r w:rsidR="00300B9C" w:rsidRPr="00077776">
        <w:rPr>
          <w:rFonts w:cs="Arial"/>
          <w:szCs w:val="24"/>
        </w:rPr>
        <w:t>.</w:t>
      </w:r>
      <w:r w:rsidR="00B237F0" w:rsidRPr="00077776">
        <w:rPr>
          <w:rFonts w:cs="Arial"/>
          <w:szCs w:val="24"/>
        </w:rPr>
        <w:t xml:space="preserve"> </w:t>
      </w:r>
      <w:r w:rsidR="007F08DD" w:rsidRPr="00077776">
        <w:rPr>
          <w:rFonts w:cs="Arial"/>
          <w:szCs w:val="24"/>
        </w:rPr>
        <w:t xml:space="preserve">The order I gave </w:t>
      </w:r>
      <w:r w:rsidR="009A2D8D" w:rsidRPr="00077776">
        <w:rPr>
          <w:rFonts w:cs="Arial"/>
          <w:szCs w:val="24"/>
        </w:rPr>
        <w:t xml:space="preserve">is silent on the issue of interest. It neither awards interest nor states that interest should </w:t>
      </w:r>
      <w:r w:rsidR="0070678C" w:rsidRPr="00077776">
        <w:rPr>
          <w:rFonts w:cs="Arial"/>
          <w:szCs w:val="24"/>
        </w:rPr>
        <w:t xml:space="preserve">not </w:t>
      </w:r>
      <w:r w:rsidR="009A2D8D" w:rsidRPr="00077776">
        <w:rPr>
          <w:rFonts w:cs="Arial"/>
          <w:szCs w:val="24"/>
        </w:rPr>
        <w:t>be paid</w:t>
      </w:r>
      <w:r w:rsidR="009A2D8D" w:rsidRPr="00077776">
        <w:rPr>
          <w:rFonts w:cs="Arial"/>
          <w:color w:val="FF0000"/>
          <w:szCs w:val="24"/>
        </w:rPr>
        <w:t xml:space="preserve">. </w:t>
      </w:r>
    </w:p>
    <w:p w14:paraId="03A830AF" w14:textId="7449CABF" w:rsidR="007F08DD" w:rsidRPr="00635CF0" w:rsidRDefault="007F08DD" w:rsidP="0041611C">
      <w:pPr>
        <w:pStyle w:val="ListParagraph"/>
        <w:spacing w:after="360" w:line="480" w:lineRule="auto"/>
        <w:ind w:left="360" w:firstLine="360"/>
        <w:jc w:val="both"/>
        <w:rPr>
          <w:rFonts w:cs="Arial"/>
          <w:b/>
          <w:bCs/>
          <w:szCs w:val="24"/>
        </w:rPr>
      </w:pPr>
      <w:r w:rsidRPr="00635CF0">
        <w:rPr>
          <w:rFonts w:cs="Arial"/>
          <w:b/>
          <w:bCs/>
          <w:szCs w:val="24"/>
        </w:rPr>
        <w:lastRenderedPageBreak/>
        <w:t>Application of Rule 42(1)(b)</w:t>
      </w:r>
    </w:p>
    <w:p w14:paraId="1A8D81B4" w14:textId="30FF2F85" w:rsidR="005D593C" w:rsidRPr="00077776" w:rsidRDefault="00077776" w:rsidP="0041611C">
      <w:pPr>
        <w:spacing w:after="360" w:line="480" w:lineRule="auto"/>
        <w:jc w:val="both"/>
        <w:rPr>
          <w:rFonts w:cs="Arial"/>
          <w:szCs w:val="24"/>
        </w:rPr>
      </w:pPr>
      <w:r>
        <w:rPr>
          <w:rFonts w:cs="Arial"/>
          <w:szCs w:val="24"/>
        </w:rPr>
        <w:t>[10]</w:t>
      </w:r>
      <w:r>
        <w:rPr>
          <w:rFonts w:cs="Arial"/>
          <w:szCs w:val="24"/>
        </w:rPr>
        <w:tab/>
      </w:r>
      <w:r w:rsidR="005D593C" w:rsidRPr="00077776">
        <w:rPr>
          <w:rFonts w:cs="Arial"/>
          <w:szCs w:val="24"/>
        </w:rPr>
        <w:t>Rule 42(1)(b) states:</w:t>
      </w:r>
    </w:p>
    <w:p w14:paraId="1010C263" w14:textId="142C47A3" w:rsidR="005E2E80" w:rsidRPr="002164C8" w:rsidRDefault="005E2E80" w:rsidP="0041611C">
      <w:pPr>
        <w:pStyle w:val="ListParagraph"/>
        <w:spacing w:after="360" w:line="480" w:lineRule="auto"/>
        <w:ind w:left="1440"/>
        <w:jc w:val="both"/>
        <w:rPr>
          <w:rFonts w:cs="Arial"/>
          <w:i/>
          <w:iCs/>
          <w:szCs w:val="24"/>
        </w:rPr>
      </w:pPr>
      <w:r w:rsidRPr="002164C8">
        <w:rPr>
          <w:rFonts w:cs="Arial"/>
          <w:i/>
          <w:iCs/>
          <w:szCs w:val="24"/>
        </w:rPr>
        <w:t>“(1) The court may, in addition to any other powers it may have, mero motu or upon the application of any party affected, rescind or vary:</w:t>
      </w:r>
    </w:p>
    <w:p w14:paraId="6DFE156C" w14:textId="27598823" w:rsidR="005E2E80" w:rsidRPr="002164C8" w:rsidRDefault="005E2E80" w:rsidP="0041611C">
      <w:pPr>
        <w:pStyle w:val="ListParagraph"/>
        <w:spacing w:after="360" w:line="480" w:lineRule="auto"/>
        <w:ind w:left="1440"/>
        <w:jc w:val="both"/>
        <w:rPr>
          <w:rFonts w:cs="Arial"/>
          <w:i/>
          <w:iCs/>
          <w:szCs w:val="24"/>
        </w:rPr>
      </w:pPr>
      <w:r w:rsidRPr="002164C8">
        <w:rPr>
          <w:rFonts w:cs="Arial"/>
          <w:i/>
          <w:iCs/>
          <w:szCs w:val="24"/>
        </w:rPr>
        <w:t>(a)   An order or judgment erroneously sought or erroneously granted in the absence of any party affected thereby;</w:t>
      </w:r>
    </w:p>
    <w:p w14:paraId="2AE7CB7F" w14:textId="7FC378C5" w:rsidR="005D593C" w:rsidRPr="002164C8" w:rsidRDefault="005E2E80" w:rsidP="0041611C">
      <w:pPr>
        <w:pStyle w:val="ListParagraph"/>
        <w:spacing w:after="360" w:line="480" w:lineRule="auto"/>
        <w:ind w:left="1440"/>
        <w:jc w:val="both"/>
        <w:rPr>
          <w:rFonts w:cs="Arial"/>
          <w:i/>
          <w:iCs/>
          <w:szCs w:val="24"/>
        </w:rPr>
      </w:pPr>
      <w:r w:rsidRPr="002164C8">
        <w:rPr>
          <w:rFonts w:cs="Arial"/>
          <w:i/>
          <w:iCs/>
          <w:szCs w:val="24"/>
        </w:rPr>
        <w:t>(b)   an order or judgment in which there is an ambiguity, or a patent error or omission, but only to the extent of such ambiguity, error or omission;</w:t>
      </w:r>
      <w:r w:rsidR="002164C8" w:rsidRPr="002164C8">
        <w:rPr>
          <w:rFonts w:cs="Arial"/>
          <w:i/>
          <w:iCs/>
          <w:szCs w:val="24"/>
        </w:rPr>
        <w:t>”</w:t>
      </w:r>
    </w:p>
    <w:p w14:paraId="1FF72163" w14:textId="6063AD30" w:rsidR="00F557B0" w:rsidRPr="00077776" w:rsidRDefault="00077776" w:rsidP="0041611C">
      <w:pPr>
        <w:spacing w:after="360" w:line="480" w:lineRule="auto"/>
        <w:ind w:left="720" w:hanging="720"/>
        <w:jc w:val="both"/>
        <w:rPr>
          <w:rFonts w:cs="Arial"/>
          <w:szCs w:val="24"/>
        </w:rPr>
      </w:pPr>
      <w:r>
        <w:rPr>
          <w:rFonts w:cs="Arial"/>
          <w:szCs w:val="24"/>
        </w:rPr>
        <w:t>[11]</w:t>
      </w:r>
      <w:r>
        <w:rPr>
          <w:rFonts w:cs="Arial"/>
          <w:szCs w:val="24"/>
        </w:rPr>
        <w:tab/>
      </w:r>
      <w:r w:rsidR="007F08DD" w:rsidRPr="00077776">
        <w:rPr>
          <w:rFonts w:cs="Arial"/>
          <w:szCs w:val="24"/>
        </w:rPr>
        <w:t>Courts do not lightly entertain applications to correct judgments.</w:t>
      </w:r>
      <w:r w:rsidR="00DE1026" w:rsidRPr="00077776">
        <w:rPr>
          <w:rFonts w:cs="Arial"/>
          <w:szCs w:val="24"/>
        </w:rPr>
        <w:t xml:space="preserve"> As </w:t>
      </w:r>
      <w:r w:rsidR="00730095" w:rsidRPr="00077776">
        <w:rPr>
          <w:rFonts w:cs="Arial"/>
          <w:szCs w:val="24"/>
        </w:rPr>
        <w:t>explained by</w:t>
      </w:r>
      <w:r w:rsidR="00FE5012" w:rsidRPr="00077776">
        <w:rPr>
          <w:rFonts w:cs="Arial"/>
          <w:szCs w:val="24"/>
        </w:rPr>
        <w:t xml:space="preserve"> Ngcobo J in the Constitutional Court </w:t>
      </w:r>
      <w:r w:rsidR="00DE1026" w:rsidRPr="00077776">
        <w:rPr>
          <w:rFonts w:cs="Arial"/>
          <w:szCs w:val="24"/>
        </w:rPr>
        <w:t>in</w:t>
      </w:r>
      <w:r w:rsidR="00DE1026" w:rsidRPr="00077776">
        <w:rPr>
          <w:rFonts w:cs="Arial"/>
          <w:i/>
          <w:iCs/>
          <w:szCs w:val="24"/>
        </w:rPr>
        <w:t xml:space="preserve"> Zon</w:t>
      </w:r>
      <w:r w:rsidR="00F557B0" w:rsidRPr="00077776">
        <w:rPr>
          <w:rFonts w:cs="Arial"/>
          <w:i/>
          <w:iCs/>
          <w:szCs w:val="24"/>
        </w:rPr>
        <w:t>di</w:t>
      </w:r>
      <w:r w:rsidR="001C1F83" w:rsidRPr="00077776">
        <w:rPr>
          <w:i/>
          <w:iCs/>
        </w:rPr>
        <w:t xml:space="preserve"> </w:t>
      </w:r>
      <w:r w:rsidR="001C1F83" w:rsidRPr="00077776">
        <w:rPr>
          <w:rFonts w:cs="Arial"/>
          <w:i/>
          <w:iCs/>
          <w:szCs w:val="24"/>
        </w:rPr>
        <w:t>v MEC, Traditional and Local Government Affairs</w:t>
      </w:r>
      <w:r w:rsidR="00B0197F">
        <w:rPr>
          <w:rStyle w:val="FootnoteReference"/>
          <w:rFonts w:cs="Arial"/>
          <w:szCs w:val="24"/>
        </w:rPr>
        <w:footnoteReference w:id="3"/>
      </w:r>
      <w:r w:rsidR="00F557B0" w:rsidRPr="00077776">
        <w:rPr>
          <w:rFonts w:cs="Arial"/>
          <w:szCs w:val="24"/>
        </w:rPr>
        <w:t xml:space="preserve"> this is because:</w:t>
      </w:r>
    </w:p>
    <w:p w14:paraId="66C89B0B" w14:textId="1BF32358" w:rsidR="00F557B0" w:rsidRPr="00FE5012" w:rsidRDefault="001E5202" w:rsidP="0041611C">
      <w:pPr>
        <w:pStyle w:val="ListParagraph"/>
        <w:spacing w:after="360" w:line="480" w:lineRule="auto"/>
        <w:ind w:left="1440"/>
        <w:jc w:val="both"/>
        <w:rPr>
          <w:rFonts w:cs="Arial"/>
          <w:i/>
          <w:szCs w:val="24"/>
        </w:rPr>
      </w:pPr>
      <w:r w:rsidRPr="00FE5012">
        <w:rPr>
          <w:rFonts w:eastAsia="Times New Roman" w:cs="Arial"/>
          <w:i/>
          <w:color w:val="000000"/>
          <w:szCs w:val="24"/>
          <w:lang w:eastAsia="en-ZA"/>
        </w:rPr>
        <w:t>“</w:t>
      </w:r>
      <w:r w:rsidR="00F557B0" w:rsidRPr="00FE5012">
        <w:rPr>
          <w:rFonts w:eastAsia="Times New Roman" w:cs="Arial"/>
          <w:i/>
          <w:color w:val="000000"/>
          <w:szCs w:val="24"/>
          <w:lang w:eastAsia="en-ZA"/>
        </w:rPr>
        <w:t>In the first place a Judge who has given a final order is functus officio. Once a Judge has fully exercised his or her jurisdiction, his or her authority over the subject matter ceases.</w:t>
      </w:r>
      <w:bookmarkStart w:id="1" w:name="0-0-0-329911"/>
      <w:bookmarkEnd w:id="1"/>
      <w:r w:rsidR="00F557B0" w:rsidRPr="00FE5012">
        <w:rPr>
          <w:rFonts w:eastAsia="Times New Roman" w:cs="Arial"/>
          <w:i/>
          <w:color w:val="000000"/>
          <w:szCs w:val="24"/>
          <w:lang w:eastAsia="en-ZA"/>
        </w:rPr>
        <w:t>  The other equally important consideration is the public interest in bringing litigation to finality.</w:t>
      </w:r>
      <w:bookmarkStart w:id="2" w:name="0-0-0-329915"/>
      <w:bookmarkEnd w:id="2"/>
      <w:r w:rsidRPr="00FE5012">
        <w:rPr>
          <w:rFonts w:eastAsia="Times New Roman" w:cs="Arial"/>
          <w:i/>
          <w:color w:val="000000"/>
          <w:szCs w:val="24"/>
          <w:lang w:eastAsia="en-ZA"/>
        </w:rPr>
        <w:t>”</w:t>
      </w:r>
      <w:r w:rsidR="00F557B0" w:rsidRPr="00FE5012">
        <w:rPr>
          <w:rFonts w:eastAsia="Times New Roman" w:cs="Arial"/>
          <w:i/>
          <w:color w:val="000000"/>
          <w:szCs w:val="24"/>
          <w:lang w:eastAsia="en-ZA"/>
        </w:rPr>
        <w:t> </w:t>
      </w:r>
      <w:r w:rsidR="00780CFD" w:rsidRPr="00FE5012">
        <w:rPr>
          <w:rFonts w:cs="Arial"/>
          <w:i/>
          <w:szCs w:val="24"/>
        </w:rPr>
        <w:t xml:space="preserve"> </w:t>
      </w:r>
      <w:r w:rsidR="00F557B0" w:rsidRPr="00FE5012">
        <w:rPr>
          <w:rFonts w:eastAsia="Times New Roman" w:cs="Arial"/>
          <w:i/>
          <w:color w:val="000000"/>
          <w:szCs w:val="24"/>
          <w:lang w:eastAsia="en-ZA"/>
        </w:rPr>
        <w:t> The parties must be assured that once an order of Court has been made, it is final and they can arrange their</w:t>
      </w:r>
      <w:r w:rsidR="001C34BF" w:rsidRPr="00FE5012">
        <w:rPr>
          <w:rFonts w:eastAsia="Times New Roman" w:cs="Arial"/>
          <w:i/>
          <w:color w:val="000000"/>
          <w:szCs w:val="24"/>
          <w:lang w:eastAsia="en-ZA"/>
        </w:rPr>
        <w:t xml:space="preserve"> </w:t>
      </w:r>
      <w:r w:rsidR="00F557B0" w:rsidRPr="00FE5012">
        <w:rPr>
          <w:rFonts w:eastAsia="Times New Roman" w:cs="Arial"/>
          <w:i/>
          <w:color w:val="000000"/>
          <w:szCs w:val="24"/>
          <w:lang w:eastAsia="en-ZA"/>
        </w:rPr>
        <w:t>affairs in accordance with that order.</w:t>
      </w:r>
      <w:r w:rsidR="00C5265B">
        <w:rPr>
          <w:rStyle w:val="FootnoteReference"/>
          <w:rFonts w:eastAsia="Times New Roman" w:cs="Arial"/>
          <w:i/>
          <w:color w:val="000000"/>
          <w:szCs w:val="24"/>
          <w:lang w:eastAsia="en-ZA"/>
        </w:rPr>
        <w:footnoteReference w:id="4"/>
      </w:r>
    </w:p>
    <w:p w14:paraId="0933A23A" w14:textId="05B525D6" w:rsidR="001A66A1" w:rsidRPr="00077776" w:rsidRDefault="00077776" w:rsidP="0041611C">
      <w:pPr>
        <w:spacing w:after="360" w:line="480" w:lineRule="auto"/>
        <w:ind w:left="720" w:hanging="720"/>
        <w:jc w:val="both"/>
        <w:rPr>
          <w:rFonts w:eastAsia="Times New Roman" w:cs="Arial"/>
          <w:iCs/>
          <w:color w:val="000000"/>
          <w:szCs w:val="24"/>
          <w:lang w:eastAsia="en-ZA"/>
        </w:rPr>
      </w:pPr>
      <w:r>
        <w:rPr>
          <w:rFonts w:eastAsia="Times New Roman" w:cs="Arial"/>
          <w:iCs/>
          <w:color w:val="000000"/>
          <w:szCs w:val="24"/>
          <w:lang w:eastAsia="en-ZA"/>
        </w:rPr>
        <w:lastRenderedPageBreak/>
        <w:t>[12]</w:t>
      </w:r>
      <w:r>
        <w:rPr>
          <w:rFonts w:eastAsia="Times New Roman" w:cs="Arial"/>
          <w:iCs/>
          <w:color w:val="000000"/>
          <w:szCs w:val="24"/>
          <w:lang w:eastAsia="en-ZA"/>
        </w:rPr>
        <w:tab/>
      </w:r>
      <w:r w:rsidR="001A66A1" w:rsidRPr="00077776">
        <w:rPr>
          <w:rFonts w:eastAsia="Times New Roman" w:cs="Arial"/>
          <w:iCs/>
          <w:color w:val="000000"/>
          <w:szCs w:val="24"/>
          <w:lang w:eastAsia="en-ZA"/>
        </w:rPr>
        <w:t xml:space="preserve">But the court in </w:t>
      </w:r>
      <w:r w:rsidR="001A66A1" w:rsidRPr="00077776">
        <w:rPr>
          <w:rFonts w:eastAsia="Times New Roman" w:cs="Arial"/>
          <w:i/>
          <w:color w:val="000000"/>
          <w:szCs w:val="24"/>
          <w:lang w:eastAsia="en-ZA"/>
        </w:rPr>
        <w:t>Zondi</w:t>
      </w:r>
      <w:r w:rsidR="001A66A1" w:rsidRPr="00077776">
        <w:rPr>
          <w:rFonts w:eastAsia="Times New Roman" w:cs="Arial"/>
          <w:iCs/>
          <w:color w:val="000000"/>
          <w:szCs w:val="24"/>
          <w:lang w:eastAsia="en-ZA"/>
        </w:rPr>
        <w:t xml:space="preserve"> noted that there were exceptions to the general rule </w:t>
      </w:r>
      <w:r w:rsidR="004A563F" w:rsidRPr="00077776">
        <w:rPr>
          <w:rFonts w:eastAsia="Times New Roman" w:cs="Arial"/>
          <w:iCs/>
          <w:color w:val="000000"/>
          <w:szCs w:val="24"/>
          <w:lang w:eastAsia="en-ZA"/>
        </w:rPr>
        <w:t>listing some of them as:</w:t>
      </w:r>
    </w:p>
    <w:p w14:paraId="2235F5E0" w14:textId="2F7823F1" w:rsidR="00D4013B" w:rsidRPr="00077776" w:rsidRDefault="00F378DE" w:rsidP="0041611C">
      <w:pPr>
        <w:spacing w:after="360" w:line="480" w:lineRule="auto"/>
        <w:ind w:left="1440"/>
        <w:jc w:val="both"/>
        <w:rPr>
          <w:rFonts w:eastAsia="Times New Roman" w:cs="Arial"/>
          <w:i/>
          <w:color w:val="000000"/>
          <w:szCs w:val="24"/>
          <w:lang w:eastAsia="en-ZA"/>
        </w:rPr>
      </w:pPr>
      <w:r w:rsidRPr="00077776">
        <w:rPr>
          <w:rFonts w:eastAsia="Times New Roman" w:cs="Arial"/>
          <w:i/>
          <w:color w:val="000000"/>
          <w:szCs w:val="24"/>
          <w:lang w:eastAsia="en-ZA"/>
        </w:rPr>
        <w:t>“(</w:t>
      </w:r>
      <w:r w:rsidR="004A563F" w:rsidRPr="00077776">
        <w:rPr>
          <w:rFonts w:eastAsia="Times New Roman" w:cs="Arial"/>
          <w:i/>
          <w:color w:val="000000"/>
          <w:szCs w:val="24"/>
          <w:lang w:eastAsia="en-ZA"/>
        </w:rPr>
        <w:t xml:space="preserve">…) </w:t>
      </w:r>
      <w:r w:rsidR="00F557B0" w:rsidRPr="00077776">
        <w:rPr>
          <w:rFonts w:eastAsia="Times New Roman" w:cs="Arial"/>
          <w:i/>
          <w:color w:val="000000"/>
          <w:szCs w:val="24"/>
          <w:lang w:eastAsia="en-ZA"/>
        </w:rPr>
        <w:t>supplementing accessory or consequential matters such as costs orders or interest on judgment debts; clarification of a judgment or order so as to give effect to the court's true intention; correcting clerical, arithmetical or other errors in its judgment or order; and altering an order for costs where it was made without hearing the parties.</w:t>
      </w:r>
      <w:bookmarkStart w:id="3" w:name="0-0-0-329919"/>
      <w:bookmarkEnd w:id="3"/>
      <w:r w:rsidR="00185C59" w:rsidRPr="00077776">
        <w:rPr>
          <w:rFonts w:eastAsia="Times New Roman" w:cs="Arial"/>
          <w:i/>
          <w:color w:val="000000"/>
          <w:szCs w:val="24"/>
          <w:lang w:eastAsia="en-ZA"/>
        </w:rPr>
        <w:t>”</w:t>
      </w:r>
      <w:r w:rsidR="00F557B0" w:rsidRPr="00077776">
        <w:rPr>
          <w:rFonts w:eastAsia="Times New Roman" w:cs="Arial"/>
          <w:i/>
          <w:color w:val="000000"/>
          <w:szCs w:val="24"/>
          <w:lang w:eastAsia="en-ZA"/>
        </w:rPr>
        <w:t> </w:t>
      </w:r>
    </w:p>
    <w:p w14:paraId="7B61AB2F" w14:textId="77777777" w:rsidR="00077776" w:rsidRDefault="00077776" w:rsidP="0041611C">
      <w:pPr>
        <w:spacing w:after="360" w:line="480" w:lineRule="auto"/>
        <w:ind w:left="720" w:hanging="720"/>
        <w:jc w:val="both"/>
        <w:rPr>
          <w:rFonts w:eastAsia="Times New Roman" w:cs="Arial"/>
          <w:iCs/>
          <w:color w:val="000000"/>
          <w:szCs w:val="24"/>
          <w:lang w:eastAsia="en-ZA"/>
        </w:rPr>
      </w:pPr>
      <w:r>
        <w:rPr>
          <w:rFonts w:eastAsia="Times New Roman" w:cs="Arial"/>
          <w:iCs/>
          <w:color w:val="000000"/>
          <w:szCs w:val="24"/>
          <w:lang w:eastAsia="en-ZA"/>
        </w:rPr>
        <w:t>[13]</w:t>
      </w:r>
      <w:r>
        <w:rPr>
          <w:rFonts w:eastAsia="Times New Roman" w:cs="Arial"/>
          <w:iCs/>
          <w:color w:val="000000"/>
          <w:szCs w:val="24"/>
          <w:lang w:eastAsia="en-ZA"/>
        </w:rPr>
        <w:tab/>
      </w:r>
      <w:r w:rsidR="008A231E" w:rsidRPr="00077776">
        <w:rPr>
          <w:rFonts w:eastAsia="Times New Roman" w:cs="Arial"/>
          <w:iCs/>
          <w:color w:val="000000"/>
          <w:szCs w:val="24"/>
          <w:lang w:eastAsia="en-ZA"/>
        </w:rPr>
        <w:t xml:space="preserve">It follows from this </w:t>
      </w:r>
      <w:r w:rsidR="00A72842" w:rsidRPr="00077776">
        <w:rPr>
          <w:rFonts w:eastAsia="Times New Roman" w:cs="Arial"/>
          <w:iCs/>
          <w:color w:val="000000"/>
          <w:szCs w:val="24"/>
          <w:lang w:eastAsia="en-ZA"/>
        </w:rPr>
        <w:t xml:space="preserve">that the award of </w:t>
      </w:r>
      <w:r w:rsidR="00E54292" w:rsidRPr="00077776">
        <w:rPr>
          <w:rFonts w:eastAsia="Times New Roman" w:cs="Arial"/>
          <w:iCs/>
          <w:color w:val="000000"/>
          <w:szCs w:val="24"/>
          <w:lang w:eastAsia="en-ZA"/>
        </w:rPr>
        <w:t>interest on judgment debts</w:t>
      </w:r>
      <w:r w:rsidR="00A72842" w:rsidRPr="00077776">
        <w:rPr>
          <w:rFonts w:eastAsia="Times New Roman" w:cs="Arial"/>
          <w:iCs/>
          <w:color w:val="000000"/>
          <w:szCs w:val="24"/>
          <w:lang w:eastAsia="en-ZA"/>
        </w:rPr>
        <w:t xml:space="preserve"> is one example of an exception to the </w:t>
      </w:r>
      <w:r w:rsidR="00A72842" w:rsidRPr="00077776">
        <w:rPr>
          <w:rFonts w:eastAsia="Times New Roman" w:cs="Arial"/>
          <w:i/>
          <w:color w:val="000000"/>
          <w:szCs w:val="24"/>
          <w:lang w:eastAsia="en-ZA"/>
        </w:rPr>
        <w:t>functus officio</w:t>
      </w:r>
      <w:r w:rsidR="00A72842" w:rsidRPr="00077776">
        <w:rPr>
          <w:rFonts w:eastAsia="Times New Roman" w:cs="Arial"/>
          <w:iCs/>
          <w:color w:val="000000"/>
          <w:szCs w:val="24"/>
          <w:lang w:eastAsia="en-ZA"/>
        </w:rPr>
        <w:t xml:space="preserve"> rule</w:t>
      </w:r>
      <w:r w:rsidR="00E54292" w:rsidRPr="00077776">
        <w:rPr>
          <w:rFonts w:eastAsia="Times New Roman" w:cs="Arial"/>
          <w:iCs/>
          <w:color w:val="000000"/>
          <w:szCs w:val="24"/>
          <w:lang w:eastAsia="en-ZA"/>
        </w:rPr>
        <w:t xml:space="preserve">. </w:t>
      </w:r>
      <w:r w:rsidR="00CD6608" w:rsidRPr="00077776">
        <w:rPr>
          <w:rFonts w:eastAsia="Times New Roman" w:cs="Arial"/>
          <w:iCs/>
          <w:color w:val="000000"/>
          <w:szCs w:val="24"/>
          <w:lang w:eastAsia="en-ZA"/>
        </w:rPr>
        <w:t xml:space="preserve">Granted this is </w:t>
      </w:r>
      <w:r w:rsidR="002B4B08" w:rsidRPr="00077776">
        <w:rPr>
          <w:rFonts w:eastAsia="Times New Roman" w:cs="Arial"/>
          <w:iCs/>
          <w:color w:val="000000"/>
          <w:szCs w:val="24"/>
          <w:lang w:eastAsia="en-ZA"/>
        </w:rPr>
        <w:t xml:space="preserve">confined </w:t>
      </w:r>
      <w:r w:rsidR="00A93DB3" w:rsidRPr="00077776">
        <w:rPr>
          <w:rFonts w:eastAsia="Times New Roman" w:cs="Arial"/>
          <w:iCs/>
          <w:color w:val="000000"/>
          <w:szCs w:val="24"/>
          <w:lang w:eastAsia="en-ZA"/>
        </w:rPr>
        <w:t xml:space="preserve">only </w:t>
      </w:r>
      <w:r w:rsidR="002B4B08" w:rsidRPr="00077776">
        <w:rPr>
          <w:rFonts w:eastAsia="Times New Roman" w:cs="Arial"/>
          <w:iCs/>
          <w:color w:val="000000"/>
          <w:szCs w:val="24"/>
          <w:lang w:eastAsia="en-ZA"/>
        </w:rPr>
        <w:t xml:space="preserve">to interest on </w:t>
      </w:r>
      <w:r w:rsidR="000F4026" w:rsidRPr="00077776">
        <w:rPr>
          <w:rFonts w:eastAsia="Times New Roman" w:cs="Arial"/>
          <w:iCs/>
          <w:color w:val="000000"/>
          <w:szCs w:val="24"/>
          <w:lang w:eastAsia="en-ZA"/>
        </w:rPr>
        <w:t>judgment debts</w:t>
      </w:r>
      <w:r w:rsidR="00A317C4" w:rsidRPr="00077776">
        <w:rPr>
          <w:rFonts w:eastAsia="Times New Roman" w:cs="Arial"/>
          <w:iCs/>
          <w:color w:val="000000"/>
          <w:szCs w:val="24"/>
          <w:lang w:eastAsia="en-ZA"/>
        </w:rPr>
        <w:t xml:space="preserve">. </w:t>
      </w:r>
      <w:r w:rsidR="00F83450" w:rsidRPr="00077776">
        <w:rPr>
          <w:rFonts w:eastAsia="Times New Roman" w:cs="Arial"/>
          <w:iCs/>
          <w:color w:val="000000"/>
          <w:szCs w:val="24"/>
          <w:lang w:eastAsia="en-ZA"/>
        </w:rPr>
        <w:t>T</w:t>
      </w:r>
      <w:r w:rsidR="00E54292" w:rsidRPr="00077776">
        <w:rPr>
          <w:rFonts w:eastAsia="Times New Roman" w:cs="Arial"/>
          <w:iCs/>
          <w:color w:val="000000"/>
          <w:szCs w:val="24"/>
          <w:lang w:eastAsia="en-ZA"/>
        </w:rPr>
        <w:t>he type of discretionary debt award contemplated in section 164(15</w:t>
      </w:r>
      <w:proofErr w:type="gramStart"/>
      <w:r w:rsidR="00E54292" w:rsidRPr="00077776">
        <w:rPr>
          <w:rFonts w:eastAsia="Times New Roman" w:cs="Arial"/>
          <w:iCs/>
          <w:color w:val="000000"/>
          <w:szCs w:val="24"/>
          <w:lang w:eastAsia="en-ZA"/>
        </w:rPr>
        <w:t>)(</w:t>
      </w:r>
      <w:proofErr w:type="gramEnd"/>
      <w:r w:rsidR="00E54292" w:rsidRPr="00077776">
        <w:rPr>
          <w:rFonts w:eastAsia="Times New Roman" w:cs="Arial"/>
          <w:iCs/>
          <w:color w:val="000000"/>
          <w:szCs w:val="24"/>
          <w:lang w:eastAsia="en-ZA"/>
        </w:rPr>
        <w:t>c)(</w:t>
      </w:r>
      <w:r w:rsidR="00F378DE" w:rsidRPr="00077776">
        <w:rPr>
          <w:rFonts w:eastAsia="Times New Roman" w:cs="Arial"/>
          <w:iCs/>
          <w:color w:val="000000"/>
          <w:szCs w:val="24"/>
          <w:lang w:eastAsia="en-ZA"/>
        </w:rPr>
        <w:t>iii) (</w:t>
      </w:r>
      <w:r w:rsidR="003E1BD8" w:rsidRPr="00077776">
        <w:rPr>
          <w:rFonts w:eastAsia="Times New Roman" w:cs="Arial"/>
          <w:iCs/>
          <w:color w:val="000000"/>
          <w:szCs w:val="24"/>
          <w:lang w:eastAsia="en-ZA"/>
        </w:rPr>
        <w:t>bb)</w:t>
      </w:r>
      <w:r w:rsidR="00F83450" w:rsidRPr="00077776">
        <w:rPr>
          <w:rFonts w:eastAsia="Times New Roman" w:cs="Arial"/>
          <w:iCs/>
          <w:color w:val="000000"/>
          <w:szCs w:val="24"/>
          <w:lang w:eastAsia="en-ZA"/>
        </w:rPr>
        <w:t xml:space="preserve"> is not </w:t>
      </w:r>
      <w:r w:rsidR="00937D2D" w:rsidRPr="00077776">
        <w:rPr>
          <w:rFonts w:eastAsia="Times New Roman" w:cs="Arial"/>
          <w:iCs/>
          <w:color w:val="000000"/>
          <w:szCs w:val="24"/>
          <w:lang w:eastAsia="en-ZA"/>
        </w:rPr>
        <w:t xml:space="preserve">on a strict application of </w:t>
      </w:r>
      <w:r w:rsidR="003B055D" w:rsidRPr="00077776">
        <w:rPr>
          <w:rFonts w:eastAsia="Times New Roman" w:cs="Arial"/>
          <w:iCs/>
          <w:color w:val="000000"/>
          <w:szCs w:val="24"/>
          <w:lang w:eastAsia="en-ZA"/>
        </w:rPr>
        <w:t>the law</w:t>
      </w:r>
      <w:r w:rsidR="00937D2D" w:rsidRPr="00077776">
        <w:rPr>
          <w:rFonts w:eastAsia="Times New Roman" w:cs="Arial"/>
          <w:iCs/>
          <w:color w:val="000000"/>
          <w:szCs w:val="24"/>
          <w:lang w:eastAsia="en-ZA"/>
        </w:rPr>
        <w:t xml:space="preserve"> a judgment debt. But </w:t>
      </w:r>
      <w:r w:rsidR="00162F3F" w:rsidRPr="00077776">
        <w:rPr>
          <w:rFonts w:eastAsia="Times New Roman" w:cs="Arial"/>
          <w:iCs/>
          <w:color w:val="000000"/>
          <w:szCs w:val="24"/>
          <w:lang w:eastAsia="en-ZA"/>
        </w:rPr>
        <w:t xml:space="preserve">in </w:t>
      </w:r>
      <w:r w:rsidR="00162F3F" w:rsidRPr="00077776">
        <w:rPr>
          <w:rFonts w:eastAsia="Times New Roman" w:cs="Arial"/>
          <w:i/>
          <w:color w:val="000000"/>
          <w:szCs w:val="24"/>
          <w:lang w:eastAsia="en-ZA"/>
        </w:rPr>
        <w:t xml:space="preserve">Zondi </w:t>
      </w:r>
      <w:r w:rsidR="000F4026" w:rsidRPr="00077776">
        <w:rPr>
          <w:rFonts w:eastAsia="Times New Roman" w:cs="Arial"/>
          <w:iCs/>
          <w:color w:val="000000"/>
          <w:szCs w:val="24"/>
          <w:lang w:eastAsia="en-ZA"/>
        </w:rPr>
        <w:t xml:space="preserve">the court </w:t>
      </w:r>
      <w:r w:rsidR="00836D06" w:rsidRPr="00077776">
        <w:rPr>
          <w:rFonts w:eastAsia="Times New Roman" w:cs="Arial"/>
          <w:iCs/>
          <w:color w:val="000000"/>
          <w:szCs w:val="24"/>
          <w:lang w:eastAsia="en-ZA"/>
        </w:rPr>
        <w:t xml:space="preserve">observed that this was the list that existed from </w:t>
      </w:r>
      <w:r w:rsidR="00691A6E" w:rsidRPr="00077776">
        <w:rPr>
          <w:rFonts w:eastAsia="Times New Roman" w:cs="Arial"/>
          <w:iCs/>
          <w:color w:val="000000"/>
          <w:szCs w:val="24"/>
          <w:lang w:eastAsia="en-ZA"/>
        </w:rPr>
        <w:t xml:space="preserve">pre-constitutional case law. The court did not see itself limited in this way and </w:t>
      </w:r>
      <w:r w:rsidR="005851F7" w:rsidRPr="00077776">
        <w:rPr>
          <w:rFonts w:eastAsia="Times New Roman" w:cs="Arial"/>
          <w:iCs/>
          <w:color w:val="000000"/>
          <w:szCs w:val="24"/>
          <w:lang w:eastAsia="en-ZA"/>
        </w:rPr>
        <w:t>went on to remark that</w:t>
      </w:r>
      <w:r w:rsidR="00AD4AB4" w:rsidRPr="00077776">
        <w:rPr>
          <w:rFonts w:eastAsia="Times New Roman" w:cs="Arial"/>
          <w:iCs/>
          <w:color w:val="000000"/>
          <w:szCs w:val="24"/>
          <w:lang w:eastAsia="en-ZA"/>
        </w:rPr>
        <w:t>:</w:t>
      </w:r>
    </w:p>
    <w:p w14:paraId="345C9E86" w14:textId="77777777" w:rsidR="00077776" w:rsidRDefault="00550BAD" w:rsidP="0041611C">
      <w:pPr>
        <w:spacing w:after="360" w:line="480" w:lineRule="auto"/>
        <w:ind w:left="1440"/>
        <w:jc w:val="both"/>
        <w:rPr>
          <w:rFonts w:eastAsia="Times New Roman" w:cs="Arial"/>
          <w:iCs/>
          <w:color w:val="000000"/>
          <w:szCs w:val="24"/>
          <w:lang w:eastAsia="en-ZA"/>
        </w:rPr>
      </w:pPr>
      <w:r w:rsidRPr="00077776">
        <w:rPr>
          <w:rFonts w:eastAsia="Times New Roman" w:cs="Arial"/>
          <w:i/>
          <w:color w:val="000000"/>
          <w:szCs w:val="24"/>
          <w:lang w:eastAsia="en-ZA"/>
        </w:rPr>
        <w:t>“</w:t>
      </w:r>
      <w:r w:rsidR="00F557B0" w:rsidRPr="00077776">
        <w:rPr>
          <w:rFonts w:eastAsia="Times New Roman" w:cs="Arial"/>
          <w:i/>
          <w:color w:val="000000"/>
          <w:szCs w:val="24"/>
          <w:lang w:eastAsia="en-ZA"/>
        </w:rPr>
        <w:t>This</w:t>
      </w:r>
      <w:r w:rsidR="00D4013B" w:rsidRPr="00077776">
        <w:rPr>
          <w:rFonts w:eastAsia="Times New Roman" w:cs="Arial"/>
          <w:i/>
          <w:color w:val="000000"/>
          <w:szCs w:val="24"/>
          <w:lang w:eastAsia="en-ZA"/>
        </w:rPr>
        <w:t xml:space="preserve"> </w:t>
      </w:r>
      <w:r w:rsidR="00F557B0" w:rsidRPr="00077776">
        <w:rPr>
          <w:rFonts w:eastAsia="Times New Roman" w:cs="Arial"/>
          <w:i/>
          <w:color w:val="000000"/>
          <w:szCs w:val="24"/>
          <w:lang w:eastAsia="en-ZA"/>
        </w:rPr>
        <w:t>list of exceptions was not considered exhaustive. It may be extended to</w:t>
      </w:r>
      <w:r w:rsidRPr="00077776">
        <w:rPr>
          <w:rFonts w:eastAsia="Times New Roman" w:cs="Arial"/>
          <w:i/>
          <w:color w:val="000000"/>
          <w:szCs w:val="24"/>
          <w:lang w:eastAsia="en-ZA"/>
        </w:rPr>
        <w:t xml:space="preserve"> </w:t>
      </w:r>
      <w:r w:rsidR="00F557B0" w:rsidRPr="00077776">
        <w:rPr>
          <w:rFonts w:eastAsia="Times New Roman" w:cs="Arial"/>
          <w:i/>
          <w:color w:val="000000"/>
          <w:szCs w:val="24"/>
          <w:lang w:eastAsia="en-ZA"/>
        </w:rPr>
        <w:t>meet the exigencies of modern times.</w:t>
      </w:r>
      <w:bookmarkStart w:id="4" w:name="0-0-0-329923"/>
      <w:bookmarkEnd w:id="4"/>
      <w:r w:rsidRPr="00077776">
        <w:rPr>
          <w:rFonts w:eastAsia="Times New Roman" w:cs="Arial"/>
          <w:i/>
          <w:color w:val="000000"/>
          <w:szCs w:val="24"/>
          <w:lang w:eastAsia="en-ZA"/>
        </w:rPr>
        <w:t>”</w:t>
      </w:r>
      <w:r>
        <w:rPr>
          <w:rStyle w:val="FootnoteReference"/>
          <w:rFonts w:eastAsia="Times New Roman" w:cs="Arial"/>
          <w:i/>
          <w:color w:val="000000"/>
          <w:szCs w:val="24"/>
          <w:lang w:eastAsia="en-ZA"/>
        </w:rPr>
        <w:footnoteReference w:id="5"/>
      </w:r>
      <w:r w:rsidRPr="00077776">
        <w:rPr>
          <w:rFonts w:eastAsia="Times New Roman" w:cs="Arial"/>
          <w:i/>
          <w:color w:val="000000"/>
          <w:szCs w:val="24"/>
          <w:lang w:eastAsia="en-ZA"/>
        </w:rPr>
        <w:t xml:space="preserve"> </w:t>
      </w:r>
    </w:p>
    <w:p w14:paraId="44263CC5" w14:textId="21D7F672" w:rsidR="006D2534" w:rsidRPr="00077776" w:rsidRDefault="00077776" w:rsidP="0041611C">
      <w:pPr>
        <w:spacing w:after="360" w:line="480" w:lineRule="auto"/>
        <w:ind w:left="720" w:hanging="720"/>
        <w:jc w:val="both"/>
        <w:rPr>
          <w:rFonts w:eastAsia="Times New Roman" w:cs="Arial"/>
          <w:iCs/>
          <w:color w:val="000000"/>
          <w:szCs w:val="24"/>
          <w:lang w:eastAsia="en-ZA"/>
        </w:rPr>
      </w:pPr>
      <w:r>
        <w:rPr>
          <w:rFonts w:eastAsia="Times New Roman" w:cs="Arial"/>
          <w:iCs/>
          <w:color w:val="000000"/>
          <w:szCs w:val="24"/>
          <w:lang w:eastAsia="en-ZA"/>
        </w:rPr>
        <w:t>[14]</w:t>
      </w:r>
      <w:r>
        <w:rPr>
          <w:rFonts w:eastAsia="Times New Roman" w:cs="Arial"/>
          <w:iCs/>
          <w:color w:val="000000"/>
          <w:szCs w:val="24"/>
          <w:lang w:eastAsia="en-ZA"/>
        </w:rPr>
        <w:tab/>
      </w:r>
      <w:r w:rsidR="00F248B4" w:rsidRPr="00077776">
        <w:rPr>
          <w:rFonts w:cs="Arial"/>
          <w:szCs w:val="24"/>
        </w:rPr>
        <w:t>T</w:t>
      </w:r>
      <w:r w:rsidR="00547701" w:rsidRPr="00077776">
        <w:rPr>
          <w:rFonts w:cs="Arial"/>
          <w:szCs w:val="24"/>
        </w:rPr>
        <w:t xml:space="preserve">he award of interest in an appraisal rights case is a novel question </w:t>
      </w:r>
      <w:r w:rsidR="00307021" w:rsidRPr="00077776">
        <w:rPr>
          <w:rFonts w:cs="Arial"/>
          <w:szCs w:val="24"/>
        </w:rPr>
        <w:t xml:space="preserve">not previously up for consideration in our law. </w:t>
      </w:r>
      <w:r w:rsidR="00A101B3" w:rsidRPr="00077776">
        <w:rPr>
          <w:rFonts w:cs="Arial"/>
          <w:szCs w:val="24"/>
        </w:rPr>
        <w:t xml:space="preserve">Given the door </w:t>
      </w:r>
      <w:r w:rsidR="005A2030" w:rsidRPr="00077776">
        <w:rPr>
          <w:rFonts w:cs="Arial"/>
          <w:szCs w:val="24"/>
        </w:rPr>
        <w:t xml:space="preserve">left </w:t>
      </w:r>
      <w:r w:rsidR="00A101B3" w:rsidRPr="00077776">
        <w:rPr>
          <w:rFonts w:cs="Arial"/>
          <w:szCs w:val="24"/>
        </w:rPr>
        <w:t xml:space="preserve">open by </w:t>
      </w:r>
      <w:r w:rsidR="00A101B3" w:rsidRPr="00077776">
        <w:rPr>
          <w:rFonts w:cs="Arial"/>
          <w:i/>
          <w:iCs/>
          <w:szCs w:val="24"/>
        </w:rPr>
        <w:t>Zondi</w:t>
      </w:r>
      <w:r w:rsidR="005A2030" w:rsidRPr="00077776">
        <w:rPr>
          <w:rFonts w:cs="Arial"/>
          <w:i/>
          <w:iCs/>
          <w:szCs w:val="24"/>
        </w:rPr>
        <w:t xml:space="preserve"> for </w:t>
      </w:r>
      <w:r w:rsidR="005A2030" w:rsidRPr="00077776">
        <w:rPr>
          <w:rFonts w:cs="Arial"/>
          <w:szCs w:val="24"/>
        </w:rPr>
        <w:t>courts to consider</w:t>
      </w:r>
      <w:r w:rsidR="00A101B3" w:rsidRPr="00077776">
        <w:rPr>
          <w:rFonts w:cs="Arial"/>
          <w:szCs w:val="24"/>
        </w:rPr>
        <w:t xml:space="preserve"> new </w:t>
      </w:r>
      <w:r w:rsidR="00DA12AA" w:rsidRPr="00077776">
        <w:rPr>
          <w:rFonts w:cs="Arial"/>
          <w:szCs w:val="24"/>
        </w:rPr>
        <w:t>exceptions</w:t>
      </w:r>
      <w:r w:rsidR="00F248B4" w:rsidRPr="00077776">
        <w:rPr>
          <w:rFonts w:cs="Arial"/>
          <w:szCs w:val="24"/>
        </w:rPr>
        <w:t>,</w:t>
      </w:r>
      <w:r w:rsidR="00A101B3" w:rsidRPr="00077776">
        <w:rPr>
          <w:rFonts w:cs="Arial"/>
          <w:szCs w:val="24"/>
        </w:rPr>
        <w:t xml:space="preserve"> I consider </w:t>
      </w:r>
      <w:r w:rsidR="00307021" w:rsidRPr="00077776">
        <w:rPr>
          <w:rFonts w:cs="Arial"/>
          <w:szCs w:val="24"/>
        </w:rPr>
        <w:t>determining</w:t>
      </w:r>
      <w:r w:rsidR="00A101B3" w:rsidRPr="00077776">
        <w:rPr>
          <w:rFonts w:cs="Arial"/>
          <w:szCs w:val="24"/>
        </w:rPr>
        <w:t xml:space="preserve"> the interest issue which is a discretionary issue to be of the same </w:t>
      </w:r>
      <w:r w:rsidR="00FB13B3" w:rsidRPr="00077776">
        <w:rPr>
          <w:rFonts w:cs="Arial"/>
          <w:szCs w:val="24"/>
        </w:rPr>
        <w:t xml:space="preserve">genre as the list of exceptions recognised up </w:t>
      </w:r>
      <w:r w:rsidR="00FB13B3" w:rsidRPr="00077776">
        <w:rPr>
          <w:rFonts w:cs="Arial"/>
          <w:szCs w:val="24"/>
        </w:rPr>
        <w:lastRenderedPageBreak/>
        <w:t>till now by the common law</w:t>
      </w:r>
      <w:r w:rsidR="006F280D" w:rsidRPr="00077776">
        <w:rPr>
          <w:rFonts w:cs="Arial"/>
          <w:szCs w:val="24"/>
        </w:rPr>
        <w:t>.</w:t>
      </w:r>
      <w:r w:rsidR="001B29EE" w:rsidRPr="00077776">
        <w:rPr>
          <w:rFonts w:cs="Arial"/>
          <w:szCs w:val="24"/>
        </w:rPr>
        <w:t xml:space="preserve"> </w:t>
      </w:r>
      <w:r w:rsidR="006F280D" w:rsidRPr="00077776">
        <w:rPr>
          <w:rFonts w:cs="Arial"/>
          <w:szCs w:val="24"/>
        </w:rPr>
        <w:t>B</w:t>
      </w:r>
      <w:r w:rsidR="001B29EE" w:rsidRPr="00077776">
        <w:rPr>
          <w:rFonts w:cs="Arial"/>
          <w:szCs w:val="24"/>
        </w:rPr>
        <w:t>ut even if it is not</w:t>
      </w:r>
      <w:r w:rsidR="008D6173" w:rsidRPr="00077776">
        <w:rPr>
          <w:rFonts w:cs="Arial"/>
          <w:szCs w:val="24"/>
        </w:rPr>
        <w:t>,</w:t>
      </w:r>
      <w:r w:rsidR="001B29EE" w:rsidRPr="00077776">
        <w:rPr>
          <w:rFonts w:cs="Arial"/>
          <w:szCs w:val="24"/>
        </w:rPr>
        <w:t xml:space="preserve"> it surely qualifies as an exception that </w:t>
      </w:r>
      <w:r w:rsidR="008B79BE" w:rsidRPr="00077776">
        <w:rPr>
          <w:rFonts w:cs="Arial"/>
          <w:szCs w:val="24"/>
        </w:rPr>
        <w:t xml:space="preserve">meets </w:t>
      </w:r>
      <w:r w:rsidR="006D2534" w:rsidRPr="00077776">
        <w:rPr>
          <w:rFonts w:cs="Arial"/>
          <w:i/>
          <w:iCs/>
          <w:szCs w:val="24"/>
        </w:rPr>
        <w:t>“the</w:t>
      </w:r>
      <w:r w:rsidR="008B79BE" w:rsidRPr="00077776">
        <w:rPr>
          <w:rFonts w:cs="Arial"/>
          <w:i/>
          <w:iCs/>
          <w:szCs w:val="24"/>
        </w:rPr>
        <w:t xml:space="preserve"> </w:t>
      </w:r>
      <w:r w:rsidR="008D6173" w:rsidRPr="00077776">
        <w:rPr>
          <w:rFonts w:cs="Arial"/>
          <w:i/>
          <w:iCs/>
          <w:szCs w:val="24"/>
        </w:rPr>
        <w:t>exigencies</w:t>
      </w:r>
      <w:r w:rsidR="008B79BE" w:rsidRPr="00077776">
        <w:rPr>
          <w:rFonts w:cs="Arial"/>
          <w:i/>
          <w:iCs/>
          <w:szCs w:val="24"/>
        </w:rPr>
        <w:t xml:space="preserve"> of modern times”</w:t>
      </w:r>
      <w:r w:rsidR="00FB13B3" w:rsidRPr="00077776">
        <w:rPr>
          <w:rFonts w:cs="Arial"/>
          <w:szCs w:val="24"/>
        </w:rPr>
        <w:t>.</w:t>
      </w:r>
      <w:r w:rsidR="00A101B3" w:rsidRPr="00077776">
        <w:rPr>
          <w:rFonts w:cs="Arial"/>
          <w:szCs w:val="24"/>
        </w:rPr>
        <w:t xml:space="preserve"> Above all fairness to the applicants requires me to still give this issue </w:t>
      </w:r>
      <w:r w:rsidR="008D6173" w:rsidRPr="00077776">
        <w:rPr>
          <w:rFonts w:cs="Arial"/>
          <w:szCs w:val="24"/>
        </w:rPr>
        <w:t>consideration</w:t>
      </w:r>
      <w:r w:rsidR="00A101B3" w:rsidRPr="00077776">
        <w:rPr>
          <w:rFonts w:cs="Arial"/>
          <w:szCs w:val="24"/>
        </w:rPr>
        <w:t xml:space="preserve"> which I now go on to do.</w:t>
      </w:r>
    </w:p>
    <w:p w14:paraId="63CD825B" w14:textId="6293335C" w:rsidR="0025263C" w:rsidRPr="0025263C" w:rsidRDefault="0025263C" w:rsidP="0041611C">
      <w:pPr>
        <w:pStyle w:val="ListParagraph"/>
        <w:spacing w:after="360" w:line="480" w:lineRule="auto"/>
        <w:ind w:left="360" w:firstLine="360"/>
        <w:jc w:val="both"/>
        <w:rPr>
          <w:rFonts w:cs="Arial"/>
          <w:b/>
          <w:bCs/>
          <w:szCs w:val="24"/>
        </w:rPr>
      </w:pPr>
      <w:r w:rsidRPr="0025263C">
        <w:rPr>
          <w:rFonts w:cs="Arial"/>
          <w:b/>
          <w:bCs/>
          <w:szCs w:val="24"/>
        </w:rPr>
        <w:t>The applicants</w:t>
      </w:r>
      <w:r w:rsidR="00CD6395">
        <w:rPr>
          <w:rFonts w:cs="Arial"/>
          <w:b/>
          <w:bCs/>
          <w:szCs w:val="24"/>
        </w:rPr>
        <w:t>’</w:t>
      </w:r>
      <w:r w:rsidRPr="0025263C">
        <w:rPr>
          <w:rFonts w:cs="Arial"/>
          <w:b/>
          <w:bCs/>
          <w:szCs w:val="24"/>
        </w:rPr>
        <w:t xml:space="preserve"> case</w:t>
      </w:r>
    </w:p>
    <w:p w14:paraId="12D0F033" w14:textId="09B7EB45" w:rsidR="0025263C" w:rsidRPr="00077776" w:rsidRDefault="00077776" w:rsidP="0041611C">
      <w:pPr>
        <w:spacing w:after="360" w:line="480" w:lineRule="auto"/>
        <w:ind w:left="720" w:hanging="720"/>
        <w:jc w:val="both"/>
        <w:rPr>
          <w:rFonts w:cs="Arial"/>
          <w:szCs w:val="24"/>
        </w:rPr>
      </w:pPr>
      <w:r>
        <w:rPr>
          <w:rFonts w:cs="Arial"/>
          <w:szCs w:val="24"/>
        </w:rPr>
        <w:t>[15]</w:t>
      </w:r>
      <w:r>
        <w:rPr>
          <w:rFonts w:cs="Arial"/>
          <w:szCs w:val="24"/>
        </w:rPr>
        <w:tab/>
      </w:r>
      <w:r w:rsidR="00702912" w:rsidRPr="00077776">
        <w:rPr>
          <w:rFonts w:cs="Arial"/>
          <w:szCs w:val="24"/>
        </w:rPr>
        <w:t>The applicants</w:t>
      </w:r>
      <w:r w:rsidR="00690F9A" w:rsidRPr="00077776">
        <w:rPr>
          <w:rFonts w:cs="Arial"/>
          <w:szCs w:val="24"/>
        </w:rPr>
        <w:t xml:space="preserve"> contend </w:t>
      </w:r>
      <w:r w:rsidR="00236F8D" w:rsidRPr="00077776">
        <w:rPr>
          <w:rFonts w:cs="Arial"/>
          <w:szCs w:val="24"/>
        </w:rPr>
        <w:t xml:space="preserve">that the court should award interest </w:t>
      </w:r>
      <w:r w:rsidR="00D80A44" w:rsidRPr="00077776">
        <w:rPr>
          <w:rFonts w:cs="Arial"/>
          <w:szCs w:val="24"/>
        </w:rPr>
        <w:t xml:space="preserve">on the determined fair value of the applicants shares at the rate of 15,5% </w:t>
      </w:r>
      <w:r w:rsidR="00717A70" w:rsidRPr="00077776">
        <w:rPr>
          <w:rFonts w:cs="Arial"/>
          <w:szCs w:val="24"/>
        </w:rPr>
        <w:t>compounded monthly from 23 September 2019 until the date of final payment.</w:t>
      </w:r>
      <w:r w:rsidR="00C33240" w:rsidRPr="00077776">
        <w:rPr>
          <w:rFonts w:cs="Arial"/>
          <w:szCs w:val="24"/>
        </w:rPr>
        <w:t xml:space="preserve"> This is the case made in the recent heads of argument and was not, as I discuss later</w:t>
      </w:r>
      <w:r w:rsidR="00B32381" w:rsidRPr="00077776">
        <w:rPr>
          <w:rFonts w:cs="Arial"/>
          <w:szCs w:val="24"/>
        </w:rPr>
        <w:t>,</w:t>
      </w:r>
      <w:r w:rsidR="00C33240" w:rsidRPr="00077776">
        <w:rPr>
          <w:rFonts w:cs="Arial"/>
          <w:szCs w:val="24"/>
        </w:rPr>
        <w:t xml:space="preserve"> the case made out in their founding papers.</w:t>
      </w:r>
      <w:r w:rsidR="000926E7" w:rsidRPr="00077776">
        <w:rPr>
          <w:rFonts w:cs="Arial"/>
          <w:szCs w:val="24"/>
        </w:rPr>
        <w:t xml:space="preserve"> </w:t>
      </w:r>
    </w:p>
    <w:p w14:paraId="7F3AB37F" w14:textId="77777777" w:rsidR="00077776" w:rsidRDefault="00077776" w:rsidP="0041611C">
      <w:pPr>
        <w:spacing w:after="360" w:line="480" w:lineRule="auto"/>
        <w:ind w:left="720" w:hanging="720"/>
        <w:jc w:val="both"/>
        <w:rPr>
          <w:rFonts w:cs="Arial"/>
          <w:szCs w:val="24"/>
        </w:rPr>
      </w:pPr>
      <w:r>
        <w:rPr>
          <w:rFonts w:cs="Arial"/>
          <w:szCs w:val="24"/>
        </w:rPr>
        <w:t>[16]</w:t>
      </w:r>
      <w:r>
        <w:rPr>
          <w:rFonts w:cs="Arial"/>
          <w:szCs w:val="24"/>
        </w:rPr>
        <w:tab/>
      </w:r>
      <w:r w:rsidR="00CE69D1" w:rsidRPr="00077776">
        <w:rPr>
          <w:rFonts w:cs="Arial"/>
          <w:szCs w:val="24"/>
        </w:rPr>
        <w:t xml:space="preserve">The applicants base their claim on the language in the section which says </w:t>
      </w:r>
      <w:r w:rsidR="00CE69D1" w:rsidRPr="00077776">
        <w:rPr>
          <w:rFonts w:cs="Arial"/>
          <w:i/>
          <w:iCs/>
          <w:szCs w:val="24"/>
        </w:rPr>
        <w:t>‘</w:t>
      </w:r>
      <w:r w:rsidR="00412659" w:rsidRPr="00077776">
        <w:rPr>
          <w:rFonts w:cs="Arial"/>
          <w:i/>
          <w:iCs/>
          <w:szCs w:val="24"/>
        </w:rPr>
        <w:t>…</w:t>
      </w:r>
      <w:r w:rsidR="00CE69D1" w:rsidRPr="00077776">
        <w:rPr>
          <w:rFonts w:cs="Arial"/>
          <w:i/>
          <w:iCs/>
          <w:szCs w:val="24"/>
        </w:rPr>
        <w:t xml:space="preserve"> </w:t>
      </w:r>
      <w:r w:rsidR="00B42F92" w:rsidRPr="00077776">
        <w:rPr>
          <w:rFonts w:cs="Arial"/>
          <w:i/>
          <w:iCs/>
          <w:szCs w:val="24"/>
        </w:rPr>
        <w:t xml:space="preserve">allow a </w:t>
      </w:r>
      <w:r w:rsidR="00CE69D1" w:rsidRPr="00077776">
        <w:rPr>
          <w:rFonts w:cs="Arial"/>
          <w:i/>
          <w:iCs/>
          <w:szCs w:val="24"/>
        </w:rPr>
        <w:t>reasonable interest rate’</w:t>
      </w:r>
      <w:r w:rsidR="00F6084B" w:rsidRPr="00077776">
        <w:rPr>
          <w:rFonts w:cs="Arial"/>
          <w:i/>
          <w:iCs/>
          <w:szCs w:val="24"/>
        </w:rPr>
        <w:t>.</w:t>
      </w:r>
      <w:r w:rsidR="00270EA2" w:rsidRPr="00077776">
        <w:rPr>
          <w:rFonts w:cs="Arial"/>
          <w:szCs w:val="24"/>
        </w:rPr>
        <w:t xml:space="preserve"> They rely on Chancery case</w:t>
      </w:r>
      <w:r w:rsidR="00E26C42" w:rsidRPr="00077776">
        <w:rPr>
          <w:rFonts w:cs="Arial"/>
          <w:szCs w:val="24"/>
        </w:rPr>
        <w:t>s in</w:t>
      </w:r>
      <w:r w:rsidR="003A7D63" w:rsidRPr="00077776">
        <w:rPr>
          <w:rFonts w:cs="Arial"/>
          <w:szCs w:val="24"/>
        </w:rPr>
        <w:t xml:space="preserve"> </w:t>
      </w:r>
      <w:r w:rsidR="00C81B8F" w:rsidRPr="00077776">
        <w:rPr>
          <w:rFonts w:cs="Arial"/>
          <w:szCs w:val="24"/>
        </w:rPr>
        <w:t>the</w:t>
      </w:r>
      <w:r w:rsidR="003A7D63" w:rsidRPr="00077776">
        <w:rPr>
          <w:rFonts w:cs="Arial"/>
          <w:szCs w:val="24"/>
        </w:rPr>
        <w:t xml:space="preserve"> State of Delaware</w:t>
      </w:r>
      <w:r w:rsidR="00412659" w:rsidRPr="00077776">
        <w:rPr>
          <w:rFonts w:cs="Arial"/>
          <w:szCs w:val="24"/>
        </w:rPr>
        <w:t xml:space="preserve"> as authority for an approach to </w:t>
      </w:r>
      <w:r w:rsidR="00312221" w:rsidRPr="00077776">
        <w:rPr>
          <w:rFonts w:cs="Arial"/>
          <w:szCs w:val="24"/>
        </w:rPr>
        <w:t xml:space="preserve">how </w:t>
      </w:r>
      <w:r w:rsidR="00412659" w:rsidRPr="00077776">
        <w:rPr>
          <w:rFonts w:cs="Arial"/>
          <w:szCs w:val="24"/>
        </w:rPr>
        <w:t xml:space="preserve">a reasonable rate of </w:t>
      </w:r>
      <w:r w:rsidR="00312221" w:rsidRPr="00077776">
        <w:rPr>
          <w:rFonts w:cs="Arial"/>
          <w:szCs w:val="24"/>
        </w:rPr>
        <w:t>interest should be calculated</w:t>
      </w:r>
      <w:r w:rsidR="00E26C42" w:rsidRPr="00077776">
        <w:rPr>
          <w:rFonts w:cs="Arial"/>
          <w:szCs w:val="24"/>
        </w:rPr>
        <w:t>. In one case the court explained that there were two reason</w:t>
      </w:r>
      <w:r w:rsidR="005A5120" w:rsidRPr="00077776">
        <w:rPr>
          <w:rFonts w:cs="Arial"/>
          <w:szCs w:val="24"/>
        </w:rPr>
        <w:t>s for</w:t>
      </w:r>
      <w:r w:rsidR="00E26C42" w:rsidRPr="00077776">
        <w:rPr>
          <w:rFonts w:cs="Arial"/>
          <w:szCs w:val="24"/>
        </w:rPr>
        <w:t xml:space="preserve"> </w:t>
      </w:r>
      <w:r w:rsidR="00B504C0" w:rsidRPr="00077776">
        <w:rPr>
          <w:rFonts w:cs="Arial"/>
          <w:szCs w:val="24"/>
        </w:rPr>
        <w:t>adjusting the appraisal payment with a grant of interest:</w:t>
      </w:r>
    </w:p>
    <w:p w14:paraId="7890F04D" w14:textId="0FEF1267" w:rsidR="00161D4F" w:rsidRDefault="00684D7C" w:rsidP="0041611C">
      <w:pPr>
        <w:spacing w:after="360" w:line="480" w:lineRule="auto"/>
        <w:ind w:left="1440"/>
        <w:jc w:val="both"/>
        <w:rPr>
          <w:rFonts w:cs="Arial"/>
          <w:szCs w:val="24"/>
        </w:rPr>
      </w:pPr>
      <w:r w:rsidRPr="00077776">
        <w:rPr>
          <w:szCs w:val="24"/>
        </w:rPr>
        <w:t>“</w:t>
      </w:r>
      <w:r w:rsidR="00B504C0" w:rsidRPr="00077776">
        <w:rPr>
          <w:i/>
          <w:iCs/>
          <w:szCs w:val="24"/>
        </w:rPr>
        <w:t xml:space="preserve">First, “[i]t compensates the plaintiff for the loss of the use of his money during this period [and] . . . </w:t>
      </w:r>
      <w:proofErr w:type="spellStart"/>
      <w:r w:rsidR="00B504C0" w:rsidRPr="00077776">
        <w:rPr>
          <w:i/>
          <w:iCs/>
          <w:szCs w:val="24"/>
        </w:rPr>
        <w:t>endeavors</w:t>
      </w:r>
      <w:proofErr w:type="spellEnd"/>
      <w:r w:rsidR="00B504C0" w:rsidRPr="00077776">
        <w:rPr>
          <w:i/>
          <w:iCs/>
          <w:szCs w:val="24"/>
        </w:rPr>
        <w:t xml:space="preserve"> to place the dissenting stock-holder in the position she would have been in had the corporation promptly paid her</w:t>
      </w:r>
      <w:r w:rsidR="00FA6260" w:rsidRPr="00077776">
        <w:rPr>
          <w:i/>
          <w:iCs/>
          <w:szCs w:val="24"/>
        </w:rPr>
        <w:t xml:space="preserve"> the value of her shares.”3 Second, “[r]</w:t>
      </w:r>
      <w:proofErr w:type="spellStart"/>
      <w:r w:rsidR="00FA6260" w:rsidRPr="00077776">
        <w:rPr>
          <w:i/>
          <w:iCs/>
          <w:szCs w:val="24"/>
        </w:rPr>
        <w:t>equiring</w:t>
      </w:r>
      <w:proofErr w:type="spellEnd"/>
      <w:r w:rsidR="00FA6260" w:rsidRPr="00077776">
        <w:rPr>
          <w:i/>
          <w:iCs/>
          <w:szCs w:val="24"/>
        </w:rPr>
        <w:t xml:space="preserve"> the surviving corporation </w:t>
      </w:r>
      <w:r w:rsidR="00FA6260" w:rsidRPr="00077776">
        <w:rPr>
          <w:i/>
          <w:iCs/>
          <w:szCs w:val="24"/>
        </w:rPr>
        <w:lastRenderedPageBreak/>
        <w:t>to pay interest . . . forces the surviving corporation to disgorge the benefit it received from having use of the plaintiff's funds.</w:t>
      </w:r>
      <w:r w:rsidR="00FA6260" w:rsidRPr="00077776">
        <w:rPr>
          <w:szCs w:val="24"/>
        </w:rPr>
        <w:t>”</w:t>
      </w:r>
      <w:r w:rsidR="00940BDB" w:rsidRPr="001E1B52">
        <w:rPr>
          <w:rStyle w:val="FootnoteReference"/>
          <w:szCs w:val="24"/>
        </w:rPr>
        <w:footnoteReference w:id="6"/>
      </w:r>
    </w:p>
    <w:p w14:paraId="538FFE1F" w14:textId="57479A28" w:rsidR="009C08F0" w:rsidRPr="00161D4F" w:rsidRDefault="00161D4F" w:rsidP="0041611C">
      <w:pPr>
        <w:spacing w:after="360" w:line="480" w:lineRule="auto"/>
        <w:ind w:left="720" w:hanging="720"/>
        <w:jc w:val="both"/>
        <w:rPr>
          <w:rFonts w:cs="Arial"/>
          <w:szCs w:val="24"/>
        </w:rPr>
      </w:pPr>
      <w:r>
        <w:rPr>
          <w:rFonts w:cs="Arial"/>
          <w:szCs w:val="24"/>
        </w:rPr>
        <w:t>[17]</w:t>
      </w:r>
      <w:r>
        <w:rPr>
          <w:rFonts w:cs="Arial"/>
          <w:szCs w:val="24"/>
        </w:rPr>
        <w:tab/>
      </w:r>
      <w:r w:rsidR="009C08F0" w:rsidRPr="00161D4F">
        <w:rPr>
          <w:rFonts w:cs="Arial"/>
          <w:szCs w:val="24"/>
        </w:rPr>
        <w:t>On this approach it is argued the payment of traditional interest at the prescribed rate would under</w:t>
      </w:r>
      <w:r w:rsidR="00A0745B" w:rsidRPr="00161D4F">
        <w:rPr>
          <w:rFonts w:cs="Arial"/>
          <w:szCs w:val="24"/>
        </w:rPr>
        <w:t>-</w:t>
      </w:r>
      <w:r w:rsidR="009C08F0" w:rsidRPr="00161D4F">
        <w:rPr>
          <w:rFonts w:cs="Arial"/>
          <w:szCs w:val="24"/>
        </w:rPr>
        <w:t xml:space="preserve">compensate dissenting shareholders for </w:t>
      </w:r>
      <w:r w:rsidR="00831156" w:rsidRPr="00161D4F">
        <w:rPr>
          <w:rFonts w:cs="Arial"/>
          <w:szCs w:val="24"/>
        </w:rPr>
        <w:t>their</w:t>
      </w:r>
      <w:r w:rsidR="009C08F0" w:rsidRPr="00161D4F">
        <w:rPr>
          <w:rFonts w:cs="Arial"/>
          <w:szCs w:val="24"/>
        </w:rPr>
        <w:t xml:space="preserve"> </w:t>
      </w:r>
      <w:r w:rsidR="009924E1" w:rsidRPr="00161D4F">
        <w:rPr>
          <w:rFonts w:cs="Arial"/>
          <w:szCs w:val="24"/>
        </w:rPr>
        <w:t>loss and over</w:t>
      </w:r>
      <w:r w:rsidR="00A0745B" w:rsidRPr="00161D4F">
        <w:rPr>
          <w:rFonts w:cs="Arial"/>
          <w:szCs w:val="24"/>
        </w:rPr>
        <w:t>-</w:t>
      </w:r>
      <w:r w:rsidR="009924E1" w:rsidRPr="00161D4F">
        <w:rPr>
          <w:rFonts w:cs="Arial"/>
          <w:szCs w:val="24"/>
        </w:rPr>
        <w:t>compensate the company for holding the money during this p</w:t>
      </w:r>
      <w:r w:rsidR="00A0745B" w:rsidRPr="00161D4F">
        <w:rPr>
          <w:rFonts w:cs="Arial"/>
          <w:szCs w:val="24"/>
        </w:rPr>
        <w:t xml:space="preserve">eriod. What then is a better basis for </w:t>
      </w:r>
      <w:r w:rsidR="003B055D" w:rsidRPr="00161D4F">
        <w:rPr>
          <w:rFonts w:cs="Arial"/>
          <w:szCs w:val="24"/>
        </w:rPr>
        <w:t>reaching a</w:t>
      </w:r>
      <w:r w:rsidR="00A0745B" w:rsidRPr="00161D4F">
        <w:rPr>
          <w:rFonts w:cs="Arial"/>
          <w:szCs w:val="24"/>
        </w:rPr>
        <w:t xml:space="preserve"> reasonable rate of interest.</w:t>
      </w:r>
    </w:p>
    <w:p w14:paraId="1803ECAF" w14:textId="4B51ABAD" w:rsidR="00E153CB" w:rsidRPr="00161D4F" w:rsidRDefault="00161D4F" w:rsidP="0041611C">
      <w:pPr>
        <w:spacing w:after="360" w:line="480" w:lineRule="auto"/>
        <w:ind w:left="720" w:hanging="720"/>
        <w:jc w:val="both"/>
        <w:rPr>
          <w:rFonts w:cs="Arial"/>
          <w:szCs w:val="24"/>
        </w:rPr>
      </w:pPr>
      <w:r>
        <w:rPr>
          <w:szCs w:val="24"/>
        </w:rPr>
        <w:t>[18]</w:t>
      </w:r>
      <w:r>
        <w:rPr>
          <w:szCs w:val="24"/>
        </w:rPr>
        <w:tab/>
      </w:r>
      <w:r w:rsidR="00E153CB" w:rsidRPr="00161D4F">
        <w:rPr>
          <w:szCs w:val="24"/>
        </w:rPr>
        <w:t xml:space="preserve">The applicants </w:t>
      </w:r>
      <w:r w:rsidR="0038442D" w:rsidRPr="00161D4F">
        <w:rPr>
          <w:szCs w:val="24"/>
        </w:rPr>
        <w:t xml:space="preserve">solution is </w:t>
      </w:r>
      <w:r w:rsidR="00E153CB" w:rsidRPr="00161D4F">
        <w:rPr>
          <w:szCs w:val="24"/>
        </w:rPr>
        <w:t xml:space="preserve">to argue that the </w:t>
      </w:r>
      <w:r w:rsidR="00457FA0" w:rsidRPr="00161D4F">
        <w:rPr>
          <w:szCs w:val="24"/>
        </w:rPr>
        <w:t xml:space="preserve">compensation should be calculated using </w:t>
      </w:r>
      <w:r w:rsidR="008C5AB1" w:rsidRPr="00161D4F">
        <w:rPr>
          <w:szCs w:val="24"/>
        </w:rPr>
        <w:t>the Capital Asset Pricing Model</w:t>
      </w:r>
      <w:r w:rsidR="0038442D" w:rsidRPr="00161D4F">
        <w:rPr>
          <w:szCs w:val="24"/>
        </w:rPr>
        <w:t xml:space="preserve"> </w:t>
      </w:r>
      <w:r w:rsidR="00A43BEE" w:rsidRPr="00161D4F">
        <w:rPr>
          <w:szCs w:val="24"/>
        </w:rPr>
        <w:t>(CAPM</w:t>
      </w:r>
      <w:r w:rsidR="0038442D" w:rsidRPr="00161D4F">
        <w:rPr>
          <w:szCs w:val="24"/>
        </w:rPr>
        <w:t>)</w:t>
      </w:r>
      <w:r w:rsidR="008C5AB1" w:rsidRPr="00161D4F">
        <w:rPr>
          <w:szCs w:val="24"/>
        </w:rPr>
        <w:t>. I have not gone into detail on the mechanics of this model. However</w:t>
      </w:r>
      <w:r w:rsidR="00C917BF" w:rsidRPr="00161D4F">
        <w:rPr>
          <w:szCs w:val="24"/>
        </w:rPr>
        <w:t>,</w:t>
      </w:r>
      <w:r w:rsidR="008C5AB1" w:rsidRPr="00161D4F">
        <w:rPr>
          <w:szCs w:val="24"/>
        </w:rPr>
        <w:t xml:space="preserve"> it contains the following formula</w:t>
      </w:r>
      <w:r w:rsidR="000A3626" w:rsidRPr="00161D4F">
        <w:rPr>
          <w:szCs w:val="24"/>
        </w:rPr>
        <w:t xml:space="preserve">: </w:t>
      </w:r>
      <w:r w:rsidR="008C5AB1" w:rsidRPr="00161D4F">
        <w:rPr>
          <w:szCs w:val="24"/>
        </w:rPr>
        <w:t xml:space="preserve"> </w:t>
      </w:r>
      <w:proofErr w:type="spellStart"/>
      <w:r w:rsidR="000A3626" w:rsidRPr="00161D4F">
        <w:rPr>
          <w:szCs w:val="24"/>
        </w:rPr>
        <w:t>CoE</w:t>
      </w:r>
      <w:proofErr w:type="spellEnd"/>
      <w:r w:rsidR="000A3626" w:rsidRPr="00161D4F">
        <w:rPr>
          <w:szCs w:val="24"/>
        </w:rPr>
        <w:t xml:space="preserve"> = RFR + ERP </w:t>
      </w:r>
      <w:r w:rsidR="00491B72" w:rsidRPr="00161D4F">
        <w:rPr>
          <w:sz w:val="20"/>
          <w:szCs w:val="20"/>
        </w:rPr>
        <w:t>(</w:t>
      </w:r>
      <w:r w:rsidR="000A3626" w:rsidRPr="00161D4F">
        <w:rPr>
          <w:sz w:val="20"/>
          <w:szCs w:val="20"/>
        </w:rPr>
        <w:t xml:space="preserve">Where </w:t>
      </w:r>
      <w:proofErr w:type="spellStart"/>
      <w:r w:rsidR="000A3626" w:rsidRPr="00161D4F">
        <w:rPr>
          <w:sz w:val="20"/>
          <w:szCs w:val="20"/>
        </w:rPr>
        <w:t>CoE</w:t>
      </w:r>
      <w:proofErr w:type="spellEnd"/>
      <w:r w:rsidR="000A3626" w:rsidRPr="00161D4F">
        <w:rPr>
          <w:sz w:val="20"/>
          <w:szCs w:val="20"/>
        </w:rPr>
        <w:t xml:space="preserve"> = cost of equity</w:t>
      </w:r>
      <w:r w:rsidR="00E3013A" w:rsidRPr="00161D4F">
        <w:rPr>
          <w:sz w:val="20"/>
          <w:szCs w:val="20"/>
        </w:rPr>
        <w:t>;</w:t>
      </w:r>
      <w:r w:rsidR="000A3626" w:rsidRPr="00161D4F">
        <w:rPr>
          <w:sz w:val="20"/>
          <w:szCs w:val="20"/>
        </w:rPr>
        <w:t xml:space="preserve"> RFR = the risk free rate; and ERP = the equity risk premium</w:t>
      </w:r>
      <w:r w:rsidR="00491B72" w:rsidRPr="00161D4F">
        <w:rPr>
          <w:sz w:val="20"/>
          <w:szCs w:val="20"/>
        </w:rPr>
        <w:t>)</w:t>
      </w:r>
    </w:p>
    <w:p w14:paraId="5D4B95FB" w14:textId="0DC61DF6" w:rsidR="0091131D" w:rsidRPr="00161D4F" w:rsidRDefault="00161D4F" w:rsidP="0041611C">
      <w:pPr>
        <w:spacing w:after="360" w:line="480" w:lineRule="auto"/>
        <w:ind w:left="720" w:hanging="720"/>
        <w:jc w:val="both"/>
        <w:rPr>
          <w:rFonts w:cs="Arial"/>
          <w:szCs w:val="24"/>
        </w:rPr>
      </w:pPr>
      <w:r>
        <w:rPr>
          <w:szCs w:val="24"/>
        </w:rPr>
        <w:t>[19]</w:t>
      </w:r>
      <w:r>
        <w:rPr>
          <w:szCs w:val="24"/>
        </w:rPr>
        <w:tab/>
      </w:r>
      <w:r w:rsidR="00CF6175" w:rsidRPr="00161D4F">
        <w:rPr>
          <w:szCs w:val="24"/>
        </w:rPr>
        <w:t xml:space="preserve">The applicants argue that a proxy for the </w:t>
      </w:r>
      <w:r w:rsidR="00797AD9" w:rsidRPr="00161D4F">
        <w:rPr>
          <w:szCs w:val="24"/>
        </w:rPr>
        <w:t xml:space="preserve">RFR would be the average </w:t>
      </w:r>
      <w:r w:rsidRPr="00161D4F">
        <w:rPr>
          <w:szCs w:val="24"/>
        </w:rPr>
        <w:t>10-year</w:t>
      </w:r>
      <w:r w:rsidR="00797AD9" w:rsidRPr="00161D4F">
        <w:rPr>
          <w:szCs w:val="24"/>
        </w:rPr>
        <w:t xml:space="preserve"> government bond rate for this period</w:t>
      </w:r>
      <w:r w:rsidR="00793B8B" w:rsidRPr="00161D4F">
        <w:rPr>
          <w:szCs w:val="24"/>
        </w:rPr>
        <w:t xml:space="preserve">. This they say is 9.3%. Their source for this is </w:t>
      </w:r>
      <w:r w:rsidR="009D1BDE" w:rsidRPr="00161D4F">
        <w:rPr>
          <w:szCs w:val="24"/>
        </w:rPr>
        <w:t xml:space="preserve">a website called </w:t>
      </w:r>
      <w:r w:rsidR="009D1BDE" w:rsidRPr="00161D4F">
        <w:rPr>
          <w:i/>
          <w:iCs/>
          <w:szCs w:val="24"/>
        </w:rPr>
        <w:t>Investing</w:t>
      </w:r>
      <w:r w:rsidR="002528BA" w:rsidRPr="00161D4F">
        <w:rPr>
          <w:i/>
          <w:iCs/>
          <w:szCs w:val="24"/>
        </w:rPr>
        <w:t>.com</w:t>
      </w:r>
      <w:r w:rsidR="00C34886" w:rsidRPr="00161D4F">
        <w:rPr>
          <w:szCs w:val="24"/>
        </w:rPr>
        <w:t xml:space="preserve">. </w:t>
      </w:r>
      <w:r w:rsidR="00810D07" w:rsidRPr="00161D4F">
        <w:rPr>
          <w:szCs w:val="24"/>
        </w:rPr>
        <w:t xml:space="preserve"> The applicants </w:t>
      </w:r>
      <w:r w:rsidR="00C34886" w:rsidRPr="00161D4F">
        <w:rPr>
          <w:szCs w:val="24"/>
        </w:rPr>
        <w:t xml:space="preserve">then </w:t>
      </w:r>
      <w:r w:rsidR="002E365E" w:rsidRPr="00161D4F">
        <w:rPr>
          <w:szCs w:val="24"/>
        </w:rPr>
        <w:t xml:space="preserve">contend for </w:t>
      </w:r>
      <w:r w:rsidR="003B055D" w:rsidRPr="00161D4F">
        <w:rPr>
          <w:szCs w:val="24"/>
        </w:rPr>
        <w:t>an</w:t>
      </w:r>
      <w:r w:rsidR="002E365E" w:rsidRPr="00161D4F">
        <w:rPr>
          <w:szCs w:val="24"/>
        </w:rPr>
        <w:t xml:space="preserve"> </w:t>
      </w:r>
      <w:r w:rsidR="002C66F4" w:rsidRPr="00161D4F">
        <w:rPr>
          <w:szCs w:val="24"/>
        </w:rPr>
        <w:t xml:space="preserve">ERP of 6.25%. This they </w:t>
      </w:r>
      <w:r w:rsidR="00C34886" w:rsidRPr="00161D4F">
        <w:rPr>
          <w:szCs w:val="24"/>
        </w:rPr>
        <w:t>derive</w:t>
      </w:r>
      <w:r w:rsidR="00F30074" w:rsidRPr="00161D4F">
        <w:rPr>
          <w:szCs w:val="24"/>
        </w:rPr>
        <w:t xml:space="preserve"> </w:t>
      </w:r>
      <w:r w:rsidR="00C34886" w:rsidRPr="00161D4F">
        <w:rPr>
          <w:szCs w:val="24"/>
        </w:rPr>
        <w:t>from a report from audit f</w:t>
      </w:r>
      <w:r w:rsidR="002C66F4" w:rsidRPr="00161D4F">
        <w:rPr>
          <w:szCs w:val="24"/>
        </w:rPr>
        <w:t>i</w:t>
      </w:r>
      <w:r w:rsidR="00C34886" w:rsidRPr="00161D4F">
        <w:rPr>
          <w:szCs w:val="24"/>
        </w:rPr>
        <w:t>rm PWC</w:t>
      </w:r>
      <w:r w:rsidR="002C66F4" w:rsidRPr="00161D4F">
        <w:rPr>
          <w:szCs w:val="24"/>
        </w:rPr>
        <w:t>,</w:t>
      </w:r>
      <w:r w:rsidR="00B13BCB" w:rsidRPr="00161D4F">
        <w:rPr>
          <w:szCs w:val="24"/>
        </w:rPr>
        <w:t xml:space="preserve"> who perform a biennial </w:t>
      </w:r>
      <w:r w:rsidR="00BB0177" w:rsidRPr="00161D4F">
        <w:rPr>
          <w:szCs w:val="24"/>
        </w:rPr>
        <w:t>Valuation Methodology Survey</w:t>
      </w:r>
      <w:r w:rsidR="00C9255E" w:rsidRPr="00161D4F">
        <w:rPr>
          <w:szCs w:val="24"/>
        </w:rPr>
        <w:t xml:space="preserve"> </w:t>
      </w:r>
      <w:r w:rsidR="004E3080" w:rsidRPr="00161D4F">
        <w:rPr>
          <w:szCs w:val="24"/>
        </w:rPr>
        <w:t>for ERP</w:t>
      </w:r>
      <w:r w:rsidR="00476B7E" w:rsidRPr="00161D4F">
        <w:rPr>
          <w:szCs w:val="24"/>
        </w:rPr>
        <w:t>.</w:t>
      </w:r>
    </w:p>
    <w:p w14:paraId="344859C3" w14:textId="2A6911BE" w:rsidR="00476B7E" w:rsidRPr="00161D4F" w:rsidRDefault="00161D4F" w:rsidP="0041611C">
      <w:pPr>
        <w:spacing w:after="360" w:line="480" w:lineRule="auto"/>
        <w:ind w:left="720" w:hanging="720"/>
        <w:jc w:val="both"/>
        <w:rPr>
          <w:rFonts w:cs="Arial"/>
          <w:szCs w:val="24"/>
        </w:rPr>
      </w:pPr>
      <w:r>
        <w:rPr>
          <w:szCs w:val="24"/>
        </w:rPr>
        <w:t>[20]</w:t>
      </w:r>
      <w:r>
        <w:rPr>
          <w:szCs w:val="24"/>
        </w:rPr>
        <w:tab/>
      </w:r>
      <w:r w:rsidR="00476B7E" w:rsidRPr="00161D4F">
        <w:rPr>
          <w:szCs w:val="24"/>
        </w:rPr>
        <w:t xml:space="preserve">From this they say </w:t>
      </w:r>
      <w:r w:rsidR="00C34B1C" w:rsidRPr="00161D4F">
        <w:rPr>
          <w:szCs w:val="24"/>
        </w:rPr>
        <w:t>t</w:t>
      </w:r>
      <w:r w:rsidR="00187F7B" w:rsidRPr="00161D4F">
        <w:rPr>
          <w:szCs w:val="24"/>
        </w:rPr>
        <w:t>he</w:t>
      </w:r>
      <w:r w:rsidR="00C34B1C" w:rsidRPr="00161D4F">
        <w:rPr>
          <w:szCs w:val="24"/>
        </w:rPr>
        <w:t>y</w:t>
      </w:r>
      <w:r w:rsidR="00187F7B" w:rsidRPr="00161D4F">
        <w:rPr>
          <w:szCs w:val="24"/>
        </w:rPr>
        <w:t xml:space="preserve"> should be awarded interest at the rate of the sum o</w:t>
      </w:r>
      <w:r w:rsidR="00985DBB" w:rsidRPr="00161D4F">
        <w:rPr>
          <w:szCs w:val="24"/>
        </w:rPr>
        <w:t>f</w:t>
      </w:r>
      <w:r w:rsidR="00187F7B" w:rsidRPr="00161D4F">
        <w:rPr>
          <w:szCs w:val="24"/>
        </w:rPr>
        <w:t xml:space="preserve"> thes</w:t>
      </w:r>
      <w:r w:rsidR="00985DBB" w:rsidRPr="00161D4F">
        <w:rPr>
          <w:szCs w:val="24"/>
        </w:rPr>
        <w:t>e</w:t>
      </w:r>
      <w:r w:rsidR="00187F7B" w:rsidRPr="00161D4F">
        <w:rPr>
          <w:szCs w:val="24"/>
        </w:rPr>
        <w:t xml:space="preserve"> two amounts </w:t>
      </w:r>
      <w:r w:rsidR="00D60CCB" w:rsidRPr="00161D4F">
        <w:rPr>
          <w:szCs w:val="24"/>
        </w:rPr>
        <w:t>yielding an amount of R 15.55 %.</w:t>
      </w:r>
    </w:p>
    <w:p w14:paraId="6BE5208A" w14:textId="5483ECA4" w:rsidR="00D61BAE" w:rsidRPr="00161D4F" w:rsidRDefault="00161D4F" w:rsidP="0041611C">
      <w:pPr>
        <w:spacing w:after="360" w:line="480" w:lineRule="auto"/>
        <w:ind w:left="720" w:hanging="720"/>
        <w:jc w:val="both"/>
        <w:rPr>
          <w:rFonts w:cs="Arial"/>
          <w:szCs w:val="24"/>
        </w:rPr>
      </w:pPr>
      <w:r>
        <w:rPr>
          <w:szCs w:val="24"/>
        </w:rPr>
        <w:t>[21]</w:t>
      </w:r>
      <w:r>
        <w:rPr>
          <w:szCs w:val="24"/>
        </w:rPr>
        <w:tab/>
      </w:r>
      <w:r w:rsidR="00D60CCB" w:rsidRPr="00161D4F">
        <w:rPr>
          <w:szCs w:val="24"/>
        </w:rPr>
        <w:t>But they go further into the issue of compounding. Relying on another</w:t>
      </w:r>
      <w:r w:rsidR="00552012" w:rsidRPr="00161D4F">
        <w:rPr>
          <w:szCs w:val="24"/>
        </w:rPr>
        <w:t xml:space="preserve"> Delaware case</w:t>
      </w:r>
      <w:r w:rsidR="00792FCA" w:rsidRPr="00161D4F">
        <w:rPr>
          <w:szCs w:val="24"/>
        </w:rPr>
        <w:t>,</w:t>
      </w:r>
      <w:r w:rsidR="00552012" w:rsidRPr="00161D4F">
        <w:rPr>
          <w:szCs w:val="24"/>
        </w:rPr>
        <w:t xml:space="preserve"> </w:t>
      </w:r>
      <w:r w:rsidR="00552012" w:rsidRPr="00161D4F">
        <w:rPr>
          <w:i/>
          <w:iCs/>
          <w:szCs w:val="24"/>
        </w:rPr>
        <w:t xml:space="preserve">Gonsalves v Straight Arrow Publishers </w:t>
      </w:r>
      <w:r w:rsidR="00FF7D78" w:rsidRPr="00161D4F">
        <w:rPr>
          <w:i/>
          <w:iCs/>
          <w:szCs w:val="24"/>
        </w:rPr>
        <w:t xml:space="preserve">Inc, </w:t>
      </w:r>
      <w:r w:rsidR="00FF7D78" w:rsidRPr="00161D4F">
        <w:rPr>
          <w:szCs w:val="24"/>
        </w:rPr>
        <w:t>which</w:t>
      </w:r>
      <w:r w:rsidR="00244E6B" w:rsidRPr="00161D4F">
        <w:rPr>
          <w:szCs w:val="24"/>
        </w:rPr>
        <w:t xml:space="preserve"> stated that an award of </w:t>
      </w:r>
      <w:r w:rsidR="00244E6B" w:rsidRPr="00161D4F">
        <w:rPr>
          <w:szCs w:val="24"/>
        </w:rPr>
        <w:lastRenderedPageBreak/>
        <w:t xml:space="preserve">simple interest would not be enough to </w:t>
      </w:r>
      <w:r w:rsidR="00AE48F5" w:rsidRPr="00161D4F">
        <w:rPr>
          <w:szCs w:val="24"/>
        </w:rPr>
        <w:t xml:space="preserve">compensate the shareholder and to disgorge the company. </w:t>
      </w:r>
    </w:p>
    <w:p w14:paraId="050F4149" w14:textId="2B2E8B27" w:rsidR="00D61BAE" w:rsidRPr="00161D4F" w:rsidRDefault="00161D4F" w:rsidP="0041611C">
      <w:pPr>
        <w:spacing w:after="360" w:line="480" w:lineRule="auto"/>
        <w:ind w:left="720" w:hanging="720"/>
        <w:jc w:val="both"/>
        <w:rPr>
          <w:rFonts w:cs="Arial"/>
          <w:szCs w:val="24"/>
        </w:rPr>
      </w:pPr>
      <w:r>
        <w:rPr>
          <w:color w:val="202020"/>
          <w:szCs w:val="24"/>
        </w:rPr>
        <w:t>[22]</w:t>
      </w:r>
      <w:r>
        <w:rPr>
          <w:color w:val="202020"/>
          <w:szCs w:val="24"/>
        </w:rPr>
        <w:tab/>
      </w:r>
      <w:r w:rsidR="00D61BAE" w:rsidRPr="00161D4F">
        <w:rPr>
          <w:color w:val="202020"/>
          <w:szCs w:val="24"/>
        </w:rPr>
        <w:t>Chancellor Chandler</w:t>
      </w:r>
      <w:r w:rsidR="00207C32" w:rsidRPr="00161D4F">
        <w:rPr>
          <w:color w:val="202020"/>
          <w:szCs w:val="24"/>
        </w:rPr>
        <w:t>,</w:t>
      </w:r>
      <w:r w:rsidR="00D61BAE" w:rsidRPr="00161D4F">
        <w:rPr>
          <w:color w:val="202020"/>
          <w:szCs w:val="24"/>
        </w:rPr>
        <w:t xml:space="preserve"> the author of the decision</w:t>
      </w:r>
      <w:r w:rsidR="00FF7D78" w:rsidRPr="00161D4F">
        <w:rPr>
          <w:color w:val="202020"/>
          <w:szCs w:val="24"/>
        </w:rPr>
        <w:t>,</w:t>
      </w:r>
      <w:r w:rsidR="00D61BAE" w:rsidRPr="00161D4F">
        <w:rPr>
          <w:color w:val="202020"/>
          <w:szCs w:val="24"/>
        </w:rPr>
        <w:t xml:space="preserve"> went on to </w:t>
      </w:r>
      <w:r w:rsidR="007972D6" w:rsidRPr="00161D4F">
        <w:rPr>
          <w:color w:val="202020"/>
          <w:szCs w:val="24"/>
        </w:rPr>
        <w:t xml:space="preserve">refer to one of his earlier decisions on the issue of </w:t>
      </w:r>
      <w:r w:rsidR="00A928A1" w:rsidRPr="00161D4F">
        <w:rPr>
          <w:color w:val="202020"/>
          <w:szCs w:val="24"/>
        </w:rPr>
        <w:t>compound interest</w:t>
      </w:r>
      <w:r w:rsidR="007972D6" w:rsidRPr="00161D4F">
        <w:rPr>
          <w:color w:val="202020"/>
          <w:szCs w:val="24"/>
        </w:rPr>
        <w:t xml:space="preserve"> and noted </w:t>
      </w:r>
      <w:r w:rsidR="00D61BAE" w:rsidRPr="00161D4F">
        <w:rPr>
          <w:color w:val="202020"/>
          <w:szCs w:val="24"/>
        </w:rPr>
        <w:t>that</w:t>
      </w:r>
      <w:r w:rsidR="00C92CE2" w:rsidRPr="00161D4F">
        <w:rPr>
          <w:color w:val="202020"/>
          <w:szCs w:val="24"/>
        </w:rPr>
        <w:t>:</w:t>
      </w:r>
      <w:r w:rsidR="00D61BAE" w:rsidRPr="00161D4F">
        <w:rPr>
          <w:color w:val="202020"/>
          <w:szCs w:val="24"/>
        </w:rPr>
        <w:t xml:space="preserve"> </w:t>
      </w:r>
    </w:p>
    <w:p w14:paraId="6A6972CD" w14:textId="50143B59" w:rsidR="00D60CCB" w:rsidRPr="00161D4F" w:rsidRDefault="00BF34B4" w:rsidP="0041611C">
      <w:pPr>
        <w:spacing w:after="360" w:line="480" w:lineRule="auto"/>
        <w:ind w:left="1440"/>
        <w:jc w:val="both"/>
        <w:rPr>
          <w:i/>
          <w:iCs/>
          <w:color w:val="202020"/>
          <w:szCs w:val="24"/>
        </w:rPr>
      </w:pPr>
      <w:r w:rsidRPr="00161D4F">
        <w:rPr>
          <w:i/>
          <w:iCs/>
          <w:color w:val="202020"/>
          <w:szCs w:val="24"/>
        </w:rPr>
        <w:t>“</w:t>
      </w:r>
      <w:r w:rsidR="007972D6" w:rsidRPr="00161D4F">
        <w:rPr>
          <w:i/>
          <w:iCs/>
          <w:color w:val="202020"/>
          <w:szCs w:val="24"/>
        </w:rPr>
        <w:t>Included in that explanation was my opinion that "[i]t is simply not credible in today's financial markets that a person sophisticated enough to perfect his or her appraisal rights would be unsophisticated enough to make an investment at simple interest."</w:t>
      </w:r>
      <w:r w:rsidR="00214FAF" w:rsidRPr="00896F21">
        <w:rPr>
          <w:rStyle w:val="FootnoteReference"/>
          <w:i/>
          <w:iCs/>
          <w:color w:val="202020"/>
          <w:szCs w:val="24"/>
        </w:rPr>
        <w:footnoteReference w:id="7"/>
      </w:r>
    </w:p>
    <w:p w14:paraId="4FEB140E" w14:textId="2D37AF2B" w:rsidR="00764D80" w:rsidRPr="00161D4F" w:rsidRDefault="00161D4F" w:rsidP="0041611C">
      <w:pPr>
        <w:spacing w:after="360" w:line="480" w:lineRule="auto"/>
        <w:ind w:left="720" w:hanging="720"/>
        <w:jc w:val="both"/>
        <w:rPr>
          <w:rFonts w:cs="Arial"/>
          <w:szCs w:val="24"/>
        </w:rPr>
      </w:pPr>
      <w:r>
        <w:rPr>
          <w:rFonts w:cs="Arial"/>
          <w:szCs w:val="24"/>
        </w:rPr>
        <w:t>[23]</w:t>
      </w:r>
      <w:r>
        <w:rPr>
          <w:rFonts w:cs="Arial"/>
          <w:szCs w:val="24"/>
        </w:rPr>
        <w:tab/>
      </w:r>
      <w:r w:rsidR="0041648C" w:rsidRPr="00161D4F">
        <w:rPr>
          <w:rFonts w:cs="Arial"/>
          <w:szCs w:val="24"/>
        </w:rPr>
        <w:t xml:space="preserve">The Chancellor went on to suggest that the interest should be compounded </w:t>
      </w:r>
      <w:r w:rsidR="00D7316D" w:rsidRPr="00161D4F">
        <w:rPr>
          <w:rFonts w:cs="Arial"/>
          <w:szCs w:val="24"/>
        </w:rPr>
        <w:t>monthly</w:t>
      </w:r>
      <w:r w:rsidR="0041648C" w:rsidRPr="00161D4F">
        <w:rPr>
          <w:rFonts w:cs="Arial"/>
          <w:szCs w:val="24"/>
        </w:rPr>
        <w:t xml:space="preserve">. The applicants make the same claim in this matter that once compounding is accepted as </w:t>
      </w:r>
      <w:r w:rsidR="00C272AD" w:rsidRPr="00161D4F">
        <w:rPr>
          <w:rFonts w:cs="Arial"/>
          <w:szCs w:val="24"/>
        </w:rPr>
        <w:t>necessary</w:t>
      </w:r>
      <w:r w:rsidR="00C52273" w:rsidRPr="00161D4F">
        <w:rPr>
          <w:rFonts w:cs="Arial"/>
          <w:szCs w:val="24"/>
        </w:rPr>
        <w:t>,</w:t>
      </w:r>
      <w:r w:rsidR="00C272AD" w:rsidRPr="00161D4F">
        <w:rPr>
          <w:rFonts w:cs="Arial"/>
          <w:szCs w:val="24"/>
        </w:rPr>
        <w:t xml:space="preserve"> the appropriate period for compounding to take place would be monthly.</w:t>
      </w:r>
      <w:r w:rsidR="00FA17CB" w:rsidRPr="00161D4F">
        <w:rPr>
          <w:rFonts w:cs="Arial"/>
          <w:szCs w:val="24"/>
        </w:rPr>
        <w:t xml:space="preserve"> </w:t>
      </w:r>
    </w:p>
    <w:p w14:paraId="00BFDECD" w14:textId="1E99FD50" w:rsidR="00C272AD" w:rsidRPr="00161D4F" w:rsidRDefault="00161D4F" w:rsidP="0041611C">
      <w:pPr>
        <w:spacing w:after="360" w:line="480" w:lineRule="auto"/>
        <w:ind w:left="720" w:hanging="720"/>
        <w:jc w:val="both"/>
        <w:rPr>
          <w:rFonts w:cs="Arial"/>
          <w:szCs w:val="24"/>
        </w:rPr>
      </w:pPr>
      <w:r>
        <w:rPr>
          <w:rFonts w:cs="Arial"/>
          <w:szCs w:val="24"/>
        </w:rPr>
        <w:t>[24]</w:t>
      </w:r>
      <w:r>
        <w:rPr>
          <w:rFonts w:cs="Arial"/>
          <w:szCs w:val="24"/>
        </w:rPr>
        <w:tab/>
      </w:r>
      <w:r w:rsidR="00C272AD" w:rsidRPr="00161D4F">
        <w:rPr>
          <w:rFonts w:cs="Arial"/>
          <w:szCs w:val="24"/>
        </w:rPr>
        <w:t>The applicants</w:t>
      </w:r>
      <w:r w:rsidR="00CD61F9">
        <w:rPr>
          <w:rFonts w:cs="Arial"/>
          <w:szCs w:val="24"/>
        </w:rPr>
        <w:t xml:space="preserve"> do not provide a figure for their interest claim</w:t>
      </w:r>
      <w:r w:rsidR="003E448E" w:rsidRPr="00161D4F">
        <w:rPr>
          <w:rFonts w:cs="Arial"/>
          <w:szCs w:val="24"/>
        </w:rPr>
        <w:t xml:space="preserve">. But </w:t>
      </w:r>
      <w:r w:rsidR="00022ED2" w:rsidRPr="00161D4F">
        <w:rPr>
          <w:rFonts w:cs="Arial"/>
          <w:szCs w:val="24"/>
        </w:rPr>
        <w:t xml:space="preserve">Arrowhead does; </w:t>
      </w:r>
      <w:r w:rsidR="00C272AD" w:rsidRPr="00161D4F">
        <w:rPr>
          <w:rFonts w:cs="Arial"/>
          <w:szCs w:val="24"/>
        </w:rPr>
        <w:t xml:space="preserve">in part because </w:t>
      </w:r>
      <w:r w:rsidR="00022ED2" w:rsidRPr="00161D4F">
        <w:rPr>
          <w:rFonts w:cs="Arial"/>
          <w:szCs w:val="24"/>
        </w:rPr>
        <w:t xml:space="preserve">it wants </w:t>
      </w:r>
      <w:r w:rsidR="00C272AD" w:rsidRPr="00161D4F">
        <w:rPr>
          <w:rFonts w:cs="Arial"/>
          <w:szCs w:val="24"/>
        </w:rPr>
        <w:t xml:space="preserve">to make the point that interest </w:t>
      </w:r>
      <w:r w:rsidR="00B52F80" w:rsidRPr="00161D4F">
        <w:rPr>
          <w:rFonts w:cs="Arial"/>
          <w:szCs w:val="24"/>
        </w:rPr>
        <w:t>based on this approach would have a disproportionate value to the capital amount awarded on the shares as fair value.</w:t>
      </w:r>
      <w:r w:rsidR="00A34082" w:rsidRPr="00161D4F">
        <w:rPr>
          <w:rFonts w:cs="Arial"/>
          <w:szCs w:val="24"/>
        </w:rPr>
        <w:t xml:space="preserve"> If the interest rate of 15.5 % is compounded monthly </w:t>
      </w:r>
      <w:r w:rsidR="000600FE" w:rsidRPr="00161D4F">
        <w:rPr>
          <w:rFonts w:cs="Arial"/>
          <w:szCs w:val="24"/>
        </w:rPr>
        <w:t>to date</w:t>
      </w:r>
      <w:r w:rsidR="005F22DE">
        <w:rPr>
          <w:rStyle w:val="FootnoteReference"/>
          <w:rFonts w:cs="Arial"/>
          <w:szCs w:val="24"/>
        </w:rPr>
        <w:footnoteReference w:id="8"/>
      </w:r>
      <w:r w:rsidR="005F22DE" w:rsidRPr="00161D4F">
        <w:rPr>
          <w:rFonts w:cs="Arial"/>
          <w:szCs w:val="24"/>
        </w:rPr>
        <w:t xml:space="preserve"> </w:t>
      </w:r>
      <w:r w:rsidR="000600FE" w:rsidRPr="00161D4F">
        <w:rPr>
          <w:rFonts w:cs="Arial"/>
          <w:szCs w:val="24"/>
        </w:rPr>
        <w:t xml:space="preserve"> </w:t>
      </w:r>
      <w:r w:rsidR="00463D8D" w:rsidRPr="00161D4F">
        <w:rPr>
          <w:rFonts w:cs="Arial"/>
          <w:szCs w:val="24"/>
        </w:rPr>
        <w:t xml:space="preserve"> then on </w:t>
      </w:r>
      <w:r w:rsidR="006B1E7E" w:rsidRPr="00161D4F">
        <w:rPr>
          <w:rFonts w:cs="Arial"/>
          <w:szCs w:val="24"/>
        </w:rPr>
        <w:t>the</w:t>
      </w:r>
      <w:r w:rsidR="00463D8D" w:rsidRPr="00161D4F">
        <w:rPr>
          <w:rFonts w:cs="Arial"/>
          <w:szCs w:val="24"/>
        </w:rPr>
        <w:t xml:space="preserve"> capital amount of </w:t>
      </w:r>
      <w:r w:rsidR="00AD22AF" w:rsidRPr="00161D4F">
        <w:rPr>
          <w:rFonts w:cs="Arial"/>
          <w:szCs w:val="24"/>
        </w:rPr>
        <w:t>R12,3 million</w:t>
      </w:r>
      <w:r w:rsidR="006B1E7E" w:rsidRPr="00161D4F">
        <w:rPr>
          <w:rFonts w:cs="Arial"/>
          <w:szCs w:val="24"/>
        </w:rPr>
        <w:t xml:space="preserve"> in this case, </w:t>
      </w:r>
      <w:r w:rsidR="00AD22AF" w:rsidRPr="00161D4F">
        <w:rPr>
          <w:rFonts w:cs="Arial"/>
          <w:szCs w:val="24"/>
        </w:rPr>
        <w:t>the interest would amount to R7,8</w:t>
      </w:r>
      <w:r w:rsidR="00BB0443" w:rsidRPr="00161D4F">
        <w:rPr>
          <w:rFonts w:cs="Arial"/>
          <w:szCs w:val="24"/>
        </w:rPr>
        <w:t>44</w:t>
      </w:r>
      <w:r w:rsidR="00D3275E" w:rsidRPr="00161D4F">
        <w:rPr>
          <w:rFonts w:cs="Arial"/>
          <w:szCs w:val="24"/>
        </w:rPr>
        <w:t>,420.</w:t>
      </w:r>
      <w:r w:rsidR="00AD22AF" w:rsidRPr="00161D4F">
        <w:rPr>
          <w:rFonts w:cs="Arial"/>
          <w:szCs w:val="24"/>
        </w:rPr>
        <w:t xml:space="preserve"> million. </w:t>
      </w:r>
      <w:r w:rsidR="00995B35" w:rsidRPr="00161D4F">
        <w:rPr>
          <w:rFonts w:cs="Arial"/>
          <w:szCs w:val="24"/>
        </w:rPr>
        <w:t>But Arrowhead’s other point in calculating the figures is to compare the outcomes between the</w:t>
      </w:r>
      <w:r w:rsidR="00CD61F9">
        <w:rPr>
          <w:rFonts w:cs="Arial"/>
          <w:szCs w:val="24"/>
        </w:rPr>
        <w:t xml:space="preserve"> different approaches to show how significant </w:t>
      </w:r>
      <w:r w:rsidR="00CD61F9">
        <w:rPr>
          <w:rFonts w:cs="Arial"/>
          <w:szCs w:val="24"/>
        </w:rPr>
        <w:lastRenderedPageBreak/>
        <w:t>it is. If the prescribed rate of interest is used without compounding the amount is just over R 3million;</w:t>
      </w:r>
      <w:r w:rsidR="00CD61F9" w:rsidRPr="00CD61F9">
        <w:rPr>
          <w:rStyle w:val="FootnoteReference"/>
          <w:rFonts w:cs="Arial"/>
          <w:szCs w:val="24"/>
        </w:rPr>
        <w:t xml:space="preserve"> </w:t>
      </w:r>
      <w:r w:rsidR="00CD61F9">
        <w:rPr>
          <w:rStyle w:val="FootnoteReference"/>
          <w:rFonts w:cs="Arial"/>
          <w:szCs w:val="24"/>
        </w:rPr>
        <w:footnoteReference w:id="9"/>
      </w:r>
      <w:r w:rsidR="00CD61F9">
        <w:rPr>
          <w:rFonts w:cs="Arial"/>
          <w:szCs w:val="24"/>
        </w:rPr>
        <w:t xml:space="preserve"> roughly 40% of the amount that would be obtained using the CAPM compound interest approach. (R7,8 million).</w:t>
      </w:r>
      <w:r w:rsidR="00B36023" w:rsidRPr="00161D4F">
        <w:rPr>
          <w:rFonts w:cs="Arial"/>
          <w:szCs w:val="24"/>
        </w:rPr>
        <w:t xml:space="preserve"> </w:t>
      </w:r>
    </w:p>
    <w:p w14:paraId="4A19524D" w14:textId="1497A1DC" w:rsidR="004868C8" w:rsidRPr="00161D4F" w:rsidRDefault="00161D4F" w:rsidP="0041611C">
      <w:pPr>
        <w:spacing w:after="360" w:line="480" w:lineRule="auto"/>
        <w:ind w:left="720" w:hanging="720"/>
        <w:jc w:val="both"/>
        <w:rPr>
          <w:rFonts w:cs="Arial"/>
          <w:szCs w:val="24"/>
        </w:rPr>
      </w:pPr>
      <w:r>
        <w:rPr>
          <w:rFonts w:cs="Arial"/>
          <w:szCs w:val="24"/>
        </w:rPr>
        <w:t>[25]</w:t>
      </w:r>
      <w:r>
        <w:rPr>
          <w:rFonts w:cs="Arial"/>
          <w:szCs w:val="24"/>
        </w:rPr>
        <w:tab/>
      </w:r>
      <w:r w:rsidR="004868C8" w:rsidRPr="00161D4F">
        <w:rPr>
          <w:rFonts w:cs="Arial"/>
          <w:szCs w:val="24"/>
        </w:rPr>
        <w:t>Arrowhead’s counsel argue that instead of following what I will term the Delaware approach</w:t>
      </w:r>
      <w:r w:rsidR="00CD61F9">
        <w:rPr>
          <w:rFonts w:cs="Arial"/>
          <w:szCs w:val="24"/>
        </w:rPr>
        <w:t>,</w:t>
      </w:r>
      <w:r w:rsidR="004868C8" w:rsidRPr="00161D4F">
        <w:rPr>
          <w:rFonts w:cs="Arial"/>
          <w:szCs w:val="24"/>
        </w:rPr>
        <w:t xml:space="preserve"> </w:t>
      </w:r>
      <w:r w:rsidR="00DA0052" w:rsidRPr="00161D4F">
        <w:rPr>
          <w:rFonts w:cs="Arial"/>
          <w:szCs w:val="24"/>
        </w:rPr>
        <w:t>I should instead follow that o</w:t>
      </w:r>
      <w:r w:rsidR="00863E70" w:rsidRPr="00161D4F">
        <w:rPr>
          <w:rFonts w:cs="Arial"/>
          <w:szCs w:val="24"/>
        </w:rPr>
        <w:t xml:space="preserve">f certain Canadian courts which have cautioned against </w:t>
      </w:r>
      <w:r w:rsidR="00DD053A" w:rsidRPr="00161D4F">
        <w:rPr>
          <w:rFonts w:cs="Arial"/>
          <w:szCs w:val="24"/>
        </w:rPr>
        <w:t xml:space="preserve">giving shareholders a </w:t>
      </w:r>
      <w:r w:rsidR="003B055D" w:rsidRPr="00161D4F">
        <w:rPr>
          <w:rFonts w:cs="Arial"/>
          <w:i/>
          <w:iCs/>
          <w:szCs w:val="24"/>
        </w:rPr>
        <w:t>“free</w:t>
      </w:r>
      <w:r w:rsidR="00DD053A" w:rsidRPr="00161D4F">
        <w:rPr>
          <w:rFonts w:cs="Arial"/>
          <w:i/>
          <w:iCs/>
          <w:szCs w:val="24"/>
        </w:rPr>
        <w:t xml:space="preserve"> ride”</w:t>
      </w:r>
      <w:r w:rsidR="00A11A95">
        <w:rPr>
          <w:rStyle w:val="FootnoteReference"/>
          <w:rFonts w:cs="Arial"/>
          <w:i/>
          <w:iCs/>
          <w:szCs w:val="24"/>
        </w:rPr>
        <w:footnoteReference w:id="10"/>
      </w:r>
    </w:p>
    <w:p w14:paraId="52A7BD6B" w14:textId="4D6AEA2B" w:rsidR="005B45BD" w:rsidRPr="00161D4F" w:rsidRDefault="00161D4F" w:rsidP="0041611C">
      <w:pPr>
        <w:spacing w:after="360" w:line="480" w:lineRule="auto"/>
        <w:ind w:left="720" w:hanging="720"/>
        <w:jc w:val="both"/>
        <w:rPr>
          <w:rFonts w:cs="Arial"/>
          <w:szCs w:val="24"/>
        </w:rPr>
      </w:pPr>
      <w:r>
        <w:rPr>
          <w:rFonts w:cs="Arial"/>
          <w:szCs w:val="24"/>
        </w:rPr>
        <w:t>[26]</w:t>
      </w:r>
      <w:r>
        <w:rPr>
          <w:rFonts w:cs="Arial"/>
          <w:szCs w:val="24"/>
        </w:rPr>
        <w:tab/>
      </w:r>
      <w:r w:rsidR="00010D1D" w:rsidRPr="00161D4F">
        <w:rPr>
          <w:rFonts w:cs="Arial"/>
          <w:szCs w:val="24"/>
        </w:rPr>
        <w:t>However</w:t>
      </w:r>
      <w:r w:rsidR="00175656" w:rsidRPr="00161D4F">
        <w:rPr>
          <w:rFonts w:cs="Arial"/>
          <w:szCs w:val="24"/>
        </w:rPr>
        <w:t>,</w:t>
      </w:r>
      <w:r w:rsidR="00010D1D" w:rsidRPr="00161D4F">
        <w:rPr>
          <w:rFonts w:cs="Arial"/>
          <w:szCs w:val="24"/>
        </w:rPr>
        <w:t xml:space="preserve"> </w:t>
      </w:r>
      <w:r w:rsidR="00890AB0" w:rsidRPr="00161D4F">
        <w:rPr>
          <w:rFonts w:cs="Arial"/>
          <w:szCs w:val="24"/>
        </w:rPr>
        <w:t xml:space="preserve">interesting as </w:t>
      </w:r>
      <w:r w:rsidR="00CD6E15" w:rsidRPr="00161D4F">
        <w:rPr>
          <w:rFonts w:cs="Arial"/>
          <w:szCs w:val="24"/>
        </w:rPr>
        <w:t xml:space="preserve">these precedents </w:t>
      </w:r>
      <w:r w:rsidR="00BD2171" w:rsidRPr="00161D4F">
        <w:rPr>
          <w:rFonts w:cs="Arial"/>
          <w:szCs w:val="24"/>
        </w:rPr>
        <w:t>are in enriching the debate</w:t>
      </w:r>
      <w:r w:rsidR="00175656" w:rsidRPr="00161D4F">
        <w:rPr>
          <w:rFonts w:cs="Arial"/>
          <w:szCs w:val="24"/>
        </w:rPr>
        <w:t>,</w:t>
      </w:r>
      <w:r w:rsidR="00BD2171" w:rsidRPr="00161D4F">
        <w:rPr>
          <w:rFonts w:cs="Arial"/>
          <w:szCs w:val="24"/>
        </w:rPr>
        <w:t xml:space="preserve"> </w:t>
      </w:r>
      <w:r w:rsidR="008232F2" w:rsidRPr="00161D4F">
        <w:rPr>
          <w:rFonts w:cs="Arial"/>
          <w:szCs w:val="24"/>
        </w:rPr>
        <w:t xml:space="preserve">they </w:t>
      </w:r>
      <w:r w:rsidR="00872690" w:rsidRPr="00161D4F">
        <w:rPr>
          <w:rFonts w:cs="Arial"/>
          <w:szCs w:val="24"/>
        </w:rPr>
        <w:t xml:space="preserve">should be approached with caution when </w:t>
      </w:r>
      <w:r w:rsidR="003C40A2" w:rsidRPr="00161D4F">
        <w:rPr>
          <w:rFonts w:cs="Arial"/>
          <w:szCs w:val="24"/>
        </w:rPr>
        <w:t>deciding matters of interest compensation</w:t>
      </w:r>
      <w:r w:rsidR="00175656" w:rsidRPr="00161D4F">
        <w:rPr>
          <w:rFonts w:cs="Arial"/>
          <w:szCs w:val="24"/>
        </w:rPr>
        <w:t>,</w:t>
      </w:r>
      <w:r w:rsidR="003C40A2" w:rsidRPr="00161D4F">
        <w:rPr>
          <w:rFonts w:cs="Arial"/>
          <w:szCs w:val="24"/>
        </w:rPr>
        <w:t xml:space="preserve"> where country specificity both as to business and legal practice may </w:t>
      </w:r>
      <w:r w:rsidR="002F4281" w:rsidRPr="00161D4F">
        <w:rPr>
          <w:rFonts w:cs="Arial"/>
          <w:szCs w:val="24"/>
        </w:rPr>
        <w:t>provide more important guidance than comparative jurisprudence</w:t>
      </w:r>
      <w:r w:rsidR="00C31296" w:rsidRPr="00161D4F">
        <w:rPr>
          <w:rFonts w:cs="Arial"/>
          <w:szCs w:val="24"/>
        </w:rPr>
        <w:t xml:space="preserve">. For reasons I advance later in this decision it would be premature now to </w:t>
      </w:r>
      <w:r w:rsidR="00C235CC" w:rsidRPr="00161D4F">
        <w:rPr>
          <w:rFonts w:cs="Arial"/>
          <w:szCs w:val="24"/>
        </w:rPr>
        <w:t xml:space="preserve">elect to follow a particular path </w:t>
      </w:r>
      <w:r w:rsidR="00B05E34" w:rsidRPr="00161D4F">
        <w:rPr>
          <w:rFonts w:cs="Arial"/>
          <w:szCs w:val="24"/>
        </w:rPr>
        <w:t xml:space="preserve">commended by either of the parties </w:t>
      </w:r>
      <w:r w:rsidR="00C235CC" w:rsidRPr="00161D4F">
        <w:rPr>
          <w:rFonts w:cs="Arial"/>
          <w:szCs w:val="24"/>
        </w:rPr>
        <w:t>or to decide whether in this country we should forge our own</w:t>
      </w:r>
      <w:r w:rsidR="006F38F2" w:rsidRPr="00161D4F">
        <w:rPr>
          <w:rFonts w:cs="Arial"/>
          <w:szCs w:val="24"/>
        </w:rPr>
        <w:t>.</w:t>
      </w:r>
      <w:r w:rsidR="00C235CC" w:rsidRPr="00161D4F">
        <w:rPr>
          <w:rFonts w:cs="Arial"/>
          <w:szCs w:val="24"/>
        </w:rPr>
        <w:t xml:space="preserve"> </w:t>
      </w:r>
      <w:r w:rsidR="00E4770D" w:rsidRPr="00161D4F">
        <w:rPr>
          <w:rFonts w:cs="Arial"/>
          <w:szCs w:val="24"/>
        </w:rPr>
        <w:t>The point of departure is obviously to</w:t>
      </w:r>
      <w:r w:rsidR="001D2189" w:rsidRPr="00161D4F">
        <w:rPr>
          <w:rFonts w:cs="Arial"/>
          <w:szCs w:val="24"/>
        </w:rPr>
        <w:t xml:space="preserve"> first</w:t>
      </w:r>
      <w:r w:rsidR="00E4770D" w:rsidRPr="00161D4F">
        <w:rPr>
          <w:rFonts w:cs="Arial"/>
          <w:szCs w:val="24"/>
        </w:rPr>
        <w:t xml:space="preserve"> consider the language of our own statute.</w:t>
      </w:r>
    </w:p>
    <w:p w14:paraId="18C1C2E2" w14:textId="18CEDAAC" w:rsidR="00830102" w:rsidRPr="008D6173" w:rsidRDefault="00830102" w:rsidP="0041611C">
      <w:pPr>
        <w:pStyle w:val="ListParagraph"/>
        <w:spacing w:after="360" w:line="480" w:lineRule="auto"/>
        <w:ind w:left="360" w:firstLine="360"/>
        <w:jc w:val="both"/>
        <w:rPr>
          <w:rFonts w:cs="Arial"/>
          <w:b/>
          <w:bCs/>
          <w:szCs w:val="24"/>
        </w:rPr>
      </w:pPr>
      <w:r w:rsidRPr="008D6173">
        <w:rPr>
          <w:rFonts w:cs="Arial"/>
          <w:b/>
          <w:bCs/>
          <w:szCs w:val="24"/>
        </w:rPr>
        <w:t>The legislation</w:t>
      </w:r>
    </w:p>
    <w:p w14:paraId="6FFB4A54" w14:textId="552894D8" w:rsidR="0032249D" w:rsidRPr="00161D4F" w:rsidRDefault="00161D4F" w:rsidP="0041611C">
      <w:pPr>
        <w:spacing w:after="360" w:line="480" w:lineRule="auto"/>
        <w:ind w:left="720" w:hanging="720"/>
        <w:jc w:val="both"/>
        <w:rPr>
          <w:rFonts w:cs="Arial"/>
          <w:szCs w:val="24"/>
        </w:rPr>
      </w:pPr>
      <w:r>
        <w:rPr>
          <w:rFonts w:cs="Arial"/>
          <w:szCs w:val="24"/>
        </w:rPr>
        <w:t>[27]</w:t>
      </w:r>
      <w:r>
        <w:rPr>
          <w:rFonts w:cs="Arial"/>
          <w:szCs w:val="24"/>
        </w:rPr>
        <w:tab/>
      </w:r>
      <w:r w:rsidR="003438C9" w:rsidRPr="00161D4F">
        <w:rPr>
          <w:rFonts w:cs="Arial"/>
          <w:szCs w:val="24"/>
        </w:rPr>
        <w:t>Section 16</w:t>
      </w:r>
      <w:r w:rsidR="00FD3FF1" w:rsidRPr="00161D4F">
        <w:rPr>
          <w:rFonts w:cs="Arial"/>
          <w:szCs w:val="24"/>
        </w:rPr>
        <w:t>4(15</w:t>
      </w:r>
      <w:r w:rsidR="00865A2D" w:rsidRPr="00161D4F">
        <w:rPr>
          <w:rFonts w:cs="Arial"/>
          <w:szCs w:val="24"/>
        </w:rPr>
        <w:t>)</w:t>
      </w:r>
      <w:r w:rsidR="00E33BE3" w:rsidRPr="00161D4F">
        <w:rPr>
          <w:rFonts w:cs="Arial"/>
          <w:szCs w:val="24"/>
        </w:rPr>
        <w:t xml:space="preserve"> of the Act deals with </w:t>
      </w:r>
      <w:r w:rsidR="003E59E7" w:rsidRPr="00161D4F">
        <w:rPr>
          <w:rFonts w:cs="Arial"/>
          <w:szCs w:val="24"/>
        </w:rPr>
        <w:t>applications brought by dissenting shareholders. Section 164</w:t>
      </w:r>
      <w:r w:rsidR="0058013B" w:rsidRPr="00161D4F">
        <w:rPr>
          <w:rFonts w:cs="Arial"/>
          <w:szCs w:val="24"/>
        </w:rPr>
        <w:t>(15</w:t>
      </w:r>
      <w:proofErr w:type="gramStart"/>
      <w:r w:rsidR="0058013B" w:rsidRPr="00161D4F">
        <w:rPr>
          <w:rFonts w:cs="Arial"/>
          <w:szCs w:val="24"/>
        </w:rPr>
        <w:t>)(</w:t>
      </w:r>
      <w:proofErr w:type="gramEnd"/>
      <w:r w:rsidR="0058013B" w:rsidRPr="00161D4F">
        <w:rPr>
          <w:rFonts w:cs="Arial"/>
          <w:szCs w:val="24"/>
        </w:rPr>
        <w:t xml:space="preserve">c) deals </w:t>
      </w:r>
      <w:r w:rsidR="0050651B" w:rsidRPr="00161D4F">
        <w:rPr>
          <w:rFonts w:cs="Arial"/>
          <w:szCs w:val="24"/>
        </w:rPr>
        <w:t>specifically</w:t>
      </w:r>
      <w:r w:rsidR="0058013B" w:rsidRPr="00161D4F">
        <w:rPr>
          <w:rFonts w:cs="Arial"/>
          <w:szCs w:val="24"/>
        </w:rPr>
        <w:t xml:space="preserve"> with the courts </w:t>
      </w:r>
      <w:r w:rsidR="00D6306C" w:rsidRPr="00161D4F">
        <w:rPr>
          <w:rFonts w:cs="Arial"/>
          <w:szCs w:val="24"/>
        </w:rPr>
        <w:t>powers</w:t>
      </w:r>
      <w:r w:rsidR="00AC3008" w:rsidRPr="00161D4F">
        <w:rPr>
          <w:rFonts w:cs="Arial"/>
          <w:szCs w:val="24"/>
        </w:rPr>
        <w:t>.</w:t>
      </w:r>
      <w:r w:rsidR="00FC5742" w:rsidRPr="00161D4F">
        <w:rPr>
          <w:rFonts w:cs="Arial"/>
          <w:szCs w:val="24"/>
        </w:rPr>
        <w:t xml:space="preserve"> </w:t>
      </w:r>
      <w:r w:rsidR="00AC3008" w:rsidRPr="00161D4F">
        <w:rPr>
          <w:rFonts w:cs="Arial"/>
          <w:szCs w:val="24"/>
        </w:rPr>
        <w:t>S</w:t>
      </w:r>
      <w:r w:rsidR="00FC5742" w:rsidRPr="00161D4F">
        <w:rPr>
          <w:rFonts w:cs="Arial"/>
          <w:szCs w:val="24"/>
        </w:rPr>
        <w:t xml:space="preserve">ection </w:t>
      </w:r>
      <w:r w:rsidR="00C87078" w:rsidRPr="00161D4F">
        <w:rPr>
          <w:rFonts w:cs="Arial"/>
          <w:szCs w:val="24"/>
        </w:rPr>
        <w:t>164(15</w:t>
      </w:r>
      <w:proofErr w:type="gramStart"/>
      <w:r w:rsidR="00C87078" w:rsidRPr="00161D4F">
        <w:rPr>
          <w:rFonts w:cs="Arial"/>
          <w:szCs w:val="24"/>
        </w:rPr>
        <w:t>)(</w:t>
      </w:r>
      <w:proofErr w:type="gramEnd"/>
      <w:r w:rsidR="00C87078" w:rsidRPr="00161D4F">
        <w:rPr>
          <w:rFonts w:cs="Arial"/>
          <w:szCs w:val="24"/>
        </w:rPr>
        <w:t>c)(</w:t>
      </w:r>
      <w:r w:rsidR="001E2061" w:rsidRPr="00161D4F">
        <w:rPr>
          <w:rFonts w:cs="Arial"/>
          <w:szCs w:val="24"/>
        </w:rPr>
        <w:t>iii) (</w:t>
      </w:r>
      <w:r w:rsidR="00C87078" w:rsidRPr="00161D4F">
        <w:rPr>
          <w:rFonts w:cs="Arial"/>
          <w:szCs w:val="24"/>
        </w:rPr>
        <w:t>bb)</w:t>
      </w:r>
      <w:r w:rsidR="00AC3008" w:rsidRPr="00161D4F">
        <w:rPr>
          <w:rFonts w:cs="Arial"/>
          <w:szCs w:val="24"/>
        </w:rPr>
        <w:t xml:space="preserve"> is the section that deals with the power to award interest. </w:t>
      </w:r>
      <w:r w:rsidR="003B055D" w:rsidRPr="00161D4F">
        <w:rPr>
          <w:rFonts w:cs="Arial"/>
          <w:szCs w:val="24"/>
        </w:rPr>
        <w:lastRenderedPageBreak/>
        <w:t>However,</w:t>
      </w:r>
      <w:r w:rsidR="00AC3008" w:rsidRPr="00161D4F">
        <w:rPr>
          <w:rFonts w:cs="Arial"/>
          <w:szCs w:val="24"/>
        </w:rPr>
        <w:t xml:space="preserve"> it aids the interpretation of this section if it is read in the context of some other paragraph</w:t>
      </w:r>
      <w:r w:rsidR="001D2189" w:rsidRPr="00161D4F">
        <w:rPr>
          <w:rFonts w:cs="Arial"/>
          <w:szCs w:val="24"/>
        </w:rPr>
        <w:t>s</w:t>
      </w:r>
      <w:r w:rsidR="00AC3008" w:rsidRPr="00161D4F">
        <w:rPr>
          <w:rFonts w:cs="Arial"/>
          <w:szCs w:val="24"/>
        </w:rPr>
        <w:t xml:space="preserve"> in </w:t>
      </w:r>
      <w:r w:rsidR="00014223" w:rsidRPr="00161D4F">
        <w:rPr>
          <w:rFonts w:cs="Arial"/>
          <w:szCs w:val="24"/>
        </w:rPr>
        <w:t>section 164(15</w:t>
      </w:r>
      <w:proofErr w:type="gramStart"/>
      <w:r w:rsidR="00014223" w:rsidRPr="00161D4F">
        <w:rPr>
          <w:rFonts w:cs="Arial"/>
          <w:szCs w:val="24"/>
        </w:rPr>
        <w:t>)(</w:t>
      </w:r>
      <w:proofErr w:type="gramEnd"/>
      <w:r w:rsidR="00014223" w:rsidRPr="00161D4F">
        <w:rPr>
          <w:rFonts w:cs="Arial"/>
          <w:szCs w:val="24"/>
        </w:rPr>
        <w:t>c) and hence I set them out as well below</w:t>
      </w:r>
      <w:r w:rsidR="00C87078" w:rsidRPr="00161D4F">
        <w:rPr>
          <w:rFonts w:cs="Arial"/>
          <w:szCs w:val="24"/>
        </w:rPr>
        <w:t>.</w:t>
      </w:r>
      <w:r w:rsidR="00D6306C" w:rsidRPr="00161D4F">
        <w:rPr>
          <w:rFonts w:cs="Arial"/>
          <w:szCs w:val="24"/>
        </w:rPr>
        <w:t xml:space="preserve"> </w:t>
      </w:r>
    </w:p>
    <w:p w14:paraId="62E27454" w14:textId="3A3AEA39" w:rsidR="0032249D" w:rsidRPr="007D4E86" w:rsidRDefault="00161D4F" w:rsidP="0041611C">
      <w:pPr>
        <w:spacing w:after="360" w:line="276" w:lineRule="auto"/>
        <w:ind w:left="720" w:firstLine="720"/>
        <w:jc w:val="both"/>
        <w:rPr>
          <w:rFonts w:cs="Arial"/>
          <w:i/>
          <w:iCs/>
          <w:color w:val="000000"/>
          <w:szCs w:val="24"/>
        </w:rPr>
      </w:pPr>
      <w:r>
        <w:rPr>
          <w:rFonts w:cs="Arial"/>
          <w:i/>
          <w:iCs/>
          <w:color w:val="000000"/>
          <w:szCs w:val="24"/>
        </w:rPr>
        <w:t>“</w:t>
      </w:r>
      <w:r w:rsidR="0032249D" w:rsidRPr="007D4E86">
        <w:rPr>
          <w:rFonts w:cs="Arial"/>
          <w:i/>
          <w:iCs/>
          <w:color w:val="000000"/>
          <w:szCs w:val="24"/>
        </w:rPr>
        <w:t>(</w:t>
      </w:r>
      <w:r>
        <w:rPr>
          <w:rFonts w:cs="Arial"/>
          <w:i/>
          <w:iCs/>
          <w:color w:val="000000"/>
          <w:szCs w:val="24"/>
        </w:rPr>
        <w:t>15)</w:t>
      </w:r>
      <w:r w:rsidR="0032249D" w:rsidRPr="007D4E86">
        <w:rPr>
          <w:rFonts w:cs="Arial"/>
          <w:i/>
          <w:iCs/>
          <w:color w:val="000000"/>
          <w:szCs w:val="24"/>
        </w:rPr>
        <w:t> On an application to the court under subsection (14)-</w:t>
      </w:r>
    </w:p>
    <w:p w14:paraId="1AFBA6A1" w14:textId="13ECCE44" w:rsidR="0032249D" w:rsidRPr="007D4E86" w:rsidRDefault="0032249D" w:rsidP="0041611C">
      <w:pPr>
        <w:spacing w:after="360" w:line="276" w:lineRule="auto"/>
        <w:ind w:hanging="737"/>
        <w:jc w:val="both"/>
        <w:rPr>
          <w:rFonts w:cs="Arial"/>
          <w:i/>
          <w:iCs/>
          <w:color w:val="000000"/>
          <w:szCs w:val="24"/>
        </w:rPr>
      </w:pPr>
      <w:r w:rsidRPr="007D4E86">
        <w:rPr>
          <w:rFonts w:cs="Arial"/>
          <w:i/>
          <w:iCs/>
          <w:color w:val="000000"/>
          <w:szCs w:val="24"/>
        </w:rPr>
        <w:t>   </w:t>
      </w:r>
      <w:bookmarkStart w:id="5" w:name="0-0-0-69421"/>
      <w:bookmarkEnd w:id="5"/>
      <w:r w:rsidR="00161D4F">
        <w:rPr>
          <w:rFonts w:cs="Arial"/>
          <w:i/>
          <w:iCs/>
          <w:color w:val="000000"/>
          <w:szCs w:val="24"/>
        </w:rPr>
        <w:tab/>
      </w:r>
      <w:r w:rsidR="00161D4F">
        <w:rPr>
          <w:rFonts w:cs="Arial"/>
          <w:i/>
          <w:iCs/>
          <w:color w:val="000000"/>
          <w:szCs w:val="24"/>
        </w:rPr>
        <w:tab/>
      </w:r>
      <w:r w:rsidR="00161D4F">
        <w:rPr>
          <w:rFonts w:cs="Arial"/>
          <w:i/>
          <w:iCs/>
          <w:color w:val="000000"/>
          <w:szCs w:val="24"/>
        </w:rPr>
        <w:tab/>
      </w:r>
      <w:r w:rsidRPr="007D4E86">
        <w:rPr>
          <w:rFonts w:cs="Arial"/>
          <w:i/>
          <w:iCs/>
          <w:color w:val="000000"/>
          <w:szCs w:val="24"/>
        </w:rPr>
        <w:t>(a)   </w:t>
      </w:r>
      <w:r w:rsidR="00264FEA" w:rsidRPr="007D4E86">
        <w:rPr>
          <w:rFonts w:cs="Arial"/>
          <w:i/>
          <w:iCs/>
          <w:color w:val="000000"/>
          <w:szCs w:val="24"/>
        </w:rPr>
        <w:t>…</w:t>
      </w:r>
    </w:p>
    <w:p w14:paraId="43342004" w14:textId="16AD3A0D" w:rsidR="0032249D" w:rsidRPr="007D4E86" w:rsidRDefault="0032249D" w:rsidP="0041611C">
      <w:pPr>
        <w:spacing w:after="360" w:line="276" w:lineRule="auto"/>
        <w:ind w:hanging="737"/>
        <w:jc w:val="both"/>
        <w:rPr>
          <w:rFonts w:cs="Arial"/>
          <w:i/>
          <w:iCs/>
          <w:color w:val="000000"/>
          <w:szCs w:val="24"/>
        </w:rPr>
      </w:pPr>
      <w:r w:rsidRPr="007D4E86">
        <w:rPr>
          <w:rFonts w:cs="Arial"/>
          <w:i/>
          <w:iCs/>
          <w:color w:val="000000"/>
          <w:szCs w:val="24"/>
        </w:rPr>
        <w:t>   </w:t>
      </w:r>
      <w:bookmarkStart w:id="6" w:name="0-0-0-69425"/>
      <w:bookmarkEnd w:id="6"/>
      <w:r w:rsidR="00161D4F">
        <w:rPr>
          <w:rFonts w:cs="Arial"/>
          <w:i/>
          <w:iCs/>
          <w:color w:val="000000"/>
          <w:szCs w:val="24"/>
        </w:rPr>
        <w:tab/>
      </w:r>
      <w:r w:rsidR="00161D4F">
        <w:rPr>
          <w:rFonts w:cs="Arial"/>
          <w:i/>
          <w:iCs/>
          <w:color w:val="000000"/>
          <w:szCs w:val="24"/>
        </w:rPr>
        <w:tab/>
      </w:r>
      <w:r w:rsidR="00161D4F">
        <w:rPr>
          <w:rFonts w:cs="Arial"/>
          <w:i/>
          <w:iCs/>
          <w:color w:val="000000"/>
          <w:szCs w:val="24"/>
        </w:rPr>
        <w:tab/>
      </w:r>
      <w:r w:rsidRPr="007D4E86">
        <w:rPr>
          <w:rFonts w:cs="Arial"/>
          <w:i/>
          <w:iCs/>
          <w:color w:val="000000"/>
          <w:szCs w:val="24"/>
        </w:rPr>
        <w:t>(c)   the court-</w:t>
      </w:r>
    </w:p>
    <w:p w14:paraId="41BD15C4" w14:textId="3E856940" w:rsidR="0032249D" w:rsidRPr="007D4E86" w:rsidRDefault="0032249D" w:rsidP="0041611C">
      <w:pPr>
        <w:spacing w:after="360" w:line="276" w:lineRule="auto"/>
        <w:ind w:left="1440" w:firstLine="1"/>
        <w:jc w:val="both"/>
        <w:rPr>
          <w:rFonts w:cs="Arial"/>
          <w:i/>
          <w:iCs/>
          <w:color w:val="000000"/>
          <w:szCs w:val="24"/>
        </w:rPr>
      </w:pPr>
      <w:r w:rsidRPr="007D4E86">
        <w:rPr>
          <w:rFonts w:cs="Arial"/>
          <w:i/>
          <w:iCs/>
          <w:color w:val="000000"/>
          <w:szCs w:val="24"/>
        </w:rPr>
        <w:t>(i)   may determine whether any other person is a dissenting shareholder who should be joined as a party;</w:t>
      </w:r>
    </w:p>
    <w:p w14:paraId="0DF8D1A7" w14:textId="3890605F" w:rsidR="0032249D" w:rsidRPr="007D4E86" w:rsidRDefault="0032249D" w:rsidP="0041611C">
      <w:pPr>
        <w:spacing w:after="360" w:line="276" w:lineRule="auto"/>
        <w:ind w:left="1440" w:firstLine="1"/>
        <w:jc w:val="both"/>
        <w:rPr>
          <w:rFonts w:cs="Arial"/>
          <w:i/>
          <w:iCs/>
          <w:color w:val="000000"/>
          <w:szCs w:val="24"/>
        </w:rPr>
      </w:pPr>
      <w:r w:rsidRPr="007D4E86">
        <w:rPr>
          <w:rFonts w:cs="Arial"/>
          <w:i/>
          <w:iCs/>
          <w:color w:val="000000"/>
          <w:szCs w:val="24"/>
        </w:rPr>
        <w:t>(ii)   must determine a fair value in respect of the shares of all dissenting shareholders, subject to subsection (16);</w:t>
      </w:r>
    </w:p>
    <w:p w14:paraId="1D8FB828" w14:textId="52509B23" w:rsidR="0032249D" w:rsidRPr="007D4E86" w:rsidRDefault="0032249D" w:rsidP="0041611C">
      <w:pPr>
        <w:spacing w:after="360" w:line="276" w:lineRule="auto"/>
        <w:ind w:hanging="794"/>
        <w:jc w:val="both"/>
        <w:rPr>
          <w:rFonts w:cs="Arial"/>
          <w:i/>
          <w:iCs/>
          <w:color w:val="000000"/>
          <w:szCs w:val="24"/>
        </w:rPr>
      </w:pPr>
      <w:r w:rsidRPr="007D4E86">
        <w:rPr>
          <w:rFonts w:cs="Arial"/>
          <w:i/>
          <w:iCs/>
          <w:color w:val="000000"/>
          <w:szCs w:val="24"/>
        </w:rPr>
        <w:t>   </w:t>
      </w:r>
      <w:bookmarkStart w:id="7" w:name="0-0-0-69431"/>
      <w:bookmarkEnd w:id="7"/>
      <w:r w:rsidR="00161D4F">
        <w:rPr>
          <w:rFonts w:cs="Arial"/>
          <w:i/>
          <w:iCs/>
          <w:color w:val="000000"/>
          <w:szCs w:val="24"/>
        </w:rPr>
        <w:tab/>
      </w:r>
      <w:r w:rsidR="00161D4F">
        <w:rPr>
          <w:rFonts w:cs="Arial"/>
          <w:i/>
          <w:iCs/>
          <w:color w:val="000000"/>
          <w:szCs w:val="24"/>
        </w:rPr>
        <w:tab/>
      </w:r>
      <w:r w:rsidR="00161D4F">
        <w:rPr>
          <w:rFonts w:cs="Arial"/>
          <w:i/>
          <w:iCs/>
          <w:color w:val="000000"/>
          <w:szCs w:val="24"/>
        </w:rPr>
        <w:tab/>
      </w:r>
      <w:r w:rsidRPr="007D4E86">
        <w:rPr>
          <w:rFonts w:cs="Arial"/>
          <w:i/>
          <w:iCs/>
          <w:color w:val="000000"/>
          <w:szCs w:val="24"/>
        </w:rPr>
        <w:t>(iii)   in its discretion may-</w:t>
      </w:r>
    </w:p>
    <w:p w14:paraId="2D988AC2" w14:textId="6CD73345" w:rsidR="0032249D" w:rsidRPr="007D4E86" w:rsidRDefault="0032249D" w:rsidP="0041611C">
      <w:pPr>
        <w:spacing w:after="360" w:line="276" w:lineRule="auto"/>
        <w:ind w:left="1440" w:hanging="851"/>
        <w:jc w:val="both"/>
        <w:rPr>
          <w:rFonts w:cs="Arial"/>
          <w:i/>
          <w:iCs/>
          <w:color w:val="000000"/>
          <w:szCs w:val="24"/>
        </w:rPr>
      </w:pPr>
      <w:r w:rsidRPr="007D4E86">
        <w:rPr>
          <w:rFonts w:cs="Arial"/>
          <w:i/>
          <w:iCs/>
          <w:color w:val="000000"/>
          <w:szCs w:val="24"/>
        </w:rPr>
        <w:t>   </w:t>
      </w:r>
      <w:bookmarkStart w:id="8" w:name="0-0-0-69433"/>
      <w:bookmarkEnd w:id="8"/>
      <w:r w:rsidR="00161D4F">
        <w:rPr>
          <w:rFonts w:cs="Arial"/>
          <w:i/>
          <w:iCs/>
          <w:color w:val="000000"/>
          <w:szCs w:val="24"/>
        </w:rPr>
        <w:tab/>
      </w:r>
      <w:r w:rsidRPr="007D4E86">
        <w:rPr>
          <w:rFonts w:cs="Arial"/>
          <w:i/>
          <w:iCs/>
          <w:color w:val="000000"/>
          <w:szCs w:val="24"/>
        </w:rPr>
        <w:t>(</w:t>
      </w:r>
      <w:r w:rsidR="003B055D" w:rsidRPr="007D4E86">
        <w:rPr>
          <w:rFonts w:cs="Arial"/>
          <w:i/>
          <w:iCs/>
          <w:color w:val="000000"/>
          <w:szCs w:val="24"/>
        </w:rPr>
        <w:t>aa) appoint</w:t>
      </w:r>
      <w:r w:rsidRPr="007D4E86">
        <w:rPr>
          <w:rFonts w:cs="Arial"/>
          <w:i/>
          <w:iCs/>
          <w:color w:val="000000"/>
          <w:szCs w:val="24"/>
        </w:rPr>
        <w:t xml:space="preserve"> one or more appraisers to assist it in determining the fair value in respect of the shares; or</w:t>
      </w:r>
    </w:p>
    <w:p w14:paraId="500FFF1B" w14:textId="12D04015" w:rsidR="0032249D" w:rsidRPr="00F72D88" w:rsidRDefault="0032249D" w:rsidP="0041611C">
      <w:pPr>
        <w:spacing w:after="360" w:line="276" w:lineRule="auto"/>
        <w:ind w:left="1440" w:firstLine="4"/>
        <w:jc w:val="both"/>
        <w:rPr>
          <w:rFonts w:cs="Arial"/>
          <w:i/>
          <w:iCs/>
          <w:color w:val="000000"/>
          <w:szCs w:val="24"/>
        </w:rPr>
      </w:pPr>
      <w:r w:rsidRPr="007D4E86">
        <w:rPr>
          <w:rFonts w:cs="Arial"/>
          <w:i/>
          <w:iCs/>
          <w:color w:val="000000"/>
          <w:szCs w:val="24"/>
        </w:rPr>
        <w:t>(</w:t>
      </w:r>
      <w:r w:rsidR="00161D4F">
        <w:rPr>
          <w:rFonts w:cs="Arial"/>
          <w:i/>
          <w:iCs/>
          <w:color w:val="000000"/>
          <w:szCs w:val="24"/>
        </w:rPr>
        <w:t xml:space="preserve">bb) </w:t>
      </w:r>
      <w:r w:rsidRPr="007D4E86">
        <w:rPr>
          <w:rFonts w:cs="Arial"/>
          <w:i/>
          <w:iCs/>
          <w:color w:val="000000"/>
          <w:szCs w:val="24"/>
        </w:rPr>
        <w:t>allow a reasonable rate of interest on the amount payable to each dissenting shareholder from the date the action approved by the resolution is effective, until the date of payment;</w:t>
      </w:r>
    </w:p>
    <w:p w14:paraId="10BA855B" w14:textId="1B5B2BD9" w:rsidR="0032249D" w:rsidRPr="00014223" w:rsidRDefault="0032249D" w:rsidP="0041611C">
      <w:pPr>
        <w:spacing w:after="360" w:line="276" w:lineRule="auto"/>
        <w:ind w:left="1440"/>
        <w:jc w:val="both"/>
        <w:rPr>
          <w:rFonts w:cs="Arial"/>
          <w:color w:val="000000"/>
          <w:szCs w:val="24"/>
        </w:rPr>
      </w:pPr>
      <w:r w:rsidRPr="00F72D88">
        <w:rPr>
          <w:rFonts w:cs="Arial"/>
          <w:i/>
          <w:iCs/>
          <w:color w:val="000000"/>
          <w:szCs w:val="24"/>
        </w:rPr>
        <w:t>(iv)   may make an appropriate order of costs, having regard to any offer made by the company, and the final determination of the fair value by the court; and</w:t>
      </w:r>
      <w:r w:rsidR="00014223">
        <w:rPr>
          <w:rFonts w:cs="Arial"/>
          <w:color w:val="000000"/>
          <w:szCs w:val="24"/>
        </w:rPr>
        <w:t xml:space="preserve"> </w:t>
      </w:r>
      <w:r w:rsidR="00147820">
        <w:rPr>
          <w:rFonts w:cs="Arial"/>
          <w:color w:val="000000"/>
          <w:szCs w:val="24"/>
        </w:rPr>
        <w:t>…</w:t>
      </w:r>
    </w:p>
    <w:p w14:paraId="64EF5BE3" w14:textId="52C6C748" w:rsidR="0032249D" w:rsidRPr="0041611C" w:rsidRDefault="0041611C" w:rsidP="0041611C">
      <w:pPr>
        <w:spacing w:after="360" w:line="480" w:lineRule="auto"/>
        <w:ind w:left="720" w:hanging="720"/>
        <w:jc w:val="both"/>
        <w:rPr>
          <w:rFonts w:cs="Arial"/>
          <w:szCs w:val="24"/>
        </w:rPr>
      </w:pPr>
      <w:r>
        <w:rPr>
          <w:rFonts w:cs="Arial"/>
          <w:szCs w:val="24"/>
        </w:rPr>
        <w:t>[28]</w:t>
      </w:r>
      <w:r>
        <w:rPr>
          <w:rFonts w:cs="Arial"/>
          <w:szCs w:val="24"/>
        </w:rPr>
        <w:tab/>
      </w:r>
      <w:r w:rsidR="00150BED" w:rsidRPr="0041611C">
        <w:rPr>
          <w:rFonts w:cs="Arial"/>
          <w:szCs w:val="24"/>
        </w:rPr>
        <w:t xml:space="preserve">A textual analysis of the subsection insofar as it relates to the issue in question reveals the following: </w:t>
      </w:r>
    </w:p>
    <w:p w14:paraId="4D5F5E5A" w14:textId="40BC1332" w:rsidR="00EA039D" w:rsidRDefault="00EA039D" w:rsidP="0041611C">
      <w:pPr>
        <w:pStyle w:val="ListParagraph"/>
        <w:numPr>
          <w:ilvl w:val="1"/>
          <w:numId w:val="1"/>
        </w:numPr>
        <w:spacing w:after="360" w:line="480" w:lineRule="auto"/>
        <w:jc w:val="both"/>
        <w:rPr>
          <w:rFonts w:cs="Arial"/>
          <w:szCs w:val="24"/>
        </w:rPr>
      </w:pPr>
      <w:r>
        <w:rPr>
          <w:rFonts w:cs="Arial"/>
          <w:szCs w:val="24"/>
        </w:rPr>
        <w:t>The award of interest is discretionary. Th</w:t>
      </w:r>
      <w:r w:rsidR="005F3561">
        <w:rPr>
          <w:rFonts w:cs="Arial"/>
          <w:szCs w:val="24"/>
        </w:rPr>
        <w:t>is illustrated by</w:t>
      </w:r>
      <w:r>
        <w:rPr>
          <w:rFonts w:cs="Arial"/>
          <w:szCs w:val="24"/>
        </w:rPr>
        <w:t xml:space="preserve"> use of the </w:t>
      </w:r>
      <w:r w:rsidR="00C87AB7">
        <w:rPr>
          <w:rFonts w:cs="Arial"/>
          <w:szCs w:val="24"/>
        </w:rPr>
        <w:t xml:space="preserve">modal </w:t>
      </w:r>
      <w:r w:rsidR="005F3561">
        <w:rPr>
          <w:rFonts w:cs="Arial"/>
          <w:szCs w:val="24"/>
        </w:rPr>
        <w:t>verb ‘</w:t>
      </w:r>
      <w:r w:rsidRPr="005F6DCA">
        <w:rPr>
          <w:rFonts w:cs="Arial"/>
          <w:i/>
          <w:iCs/>
          <w:szCs w:val="24"/>
        </w:rPr>
        <w:t>may</w:t>
      </w:r>
      <w:r w:rsidR="00147820" w:rsidRPr="005F6DCA">
        <w:rPr>
          <w:rFonts w:cs="Arial"/>
          <w:i/>
          <w:iCs/>
          <w:szCs w:val="24"/>
        </w:rPr>
        <w:t>’</w:t>
      </w:r>
      <w:r>
        <w:rPr>
          <w:rFonts w:cs="Arial"/>
          <w:szCs w:val="24"/>
        </w:rPr>
        <w:t xml:space="preserve"> in contradistinction with </w:t>
      </w:r>
      <w:r w:rsidR="005F3561">
        <w:rPr>
          <w:rFonts w:cs="Arial"/>
          <w:szCs w:val="24"/>
        </w:rPr>
        <w:t>‘</w:t>
      </w:r>
      <w:r w:rsidR="005F3561" w:rsidRPr="005F6DCA">
        <w:rPr>
          <w:rFonts w:cs="Arial"/>
          <w:i/>
          <w:iCs/>
          <w:szCs w:val="24"/>
        </w:rPr>
        <w:t>must”</w:t>
      </w:r>
      <w:r w:rsidR="00ED1D4F">
        <w:rPr>
          <w:rFonts w:cs="Arial"/>
          <w:szCs w:val="24"/>
        </w:rPr>
        <w:t xml:space="preserve"> in the same section. This issue of interpretation is not controversial. What it does raise is on what basis that </w:t>
      </w:r>
      <w:r w:rsidR="00ED1D4F">
        <w:rPr>
          <w:rFonts w:cs="Arial"/>
          <w:szCs w:val="24"/>
        </w:rPr>
        <w:lastRenderedPageBreak/>
        <w:t>discretion is to be exercised. For in</w:t>
      </w:r>
      <w:r w:rsidR="001261AF">
        <w:rPr>
          <w:rFonts w:cs="Arial"/>
          <w:szCs w:val="24"/>
        </w:rPr>
        <w:t>stance</w:t>
      </w:r>
      <w:r w:rsidR="005D0BC2">
        <w:rPr>
          <w:rFonts w:cs="Arial"/>
          <w:szCs w:val="24"/>
        </w:rPr>
        <w:t>,</w:t>
      </w:r>
      <w:r w:rsidR="001261AF">
        <w:rPr>
          <w:rFonts w:cs="Arial"/>
          <w:szCs w:val="24"/>
        </w:rPr>
        <w:t xml:space="preserve"> as suggested by Arrowhead</w:t>
      </w:r>
      <w:r w:rsidR="005D0BC2">
        <w:rPr>
          <w:rFonts w:cs="Arial"/>
          <w:szCs w:val="24"/>
        </w:rPr>
        <w:t>,</w:t>
      </w:r>
      <w:r w:rsidR="001261AF">
        <w:rPr>
          <w:rFonts w:cs="Arial"/>
          <w:szCs w:val="24"/>
        </w:rPr>
        <w:t xml:space="preserve"> does it give a court the </w:t>
      </w:r>
      <w:r w:rsidR="005D0BC2">
        <w:rPr>
          <w:rFonts w:cs="Arial"/>
          <w:szCs w:val="24"/>
        </w:rPr>
        <w:t>discretion</w:t>
      </w:r>
      <w:r w:rsidR="001261AF">
        <w:rPr>
          <w:rFonts w:cs="Arial"/>
          <w:szCs w:val="24"/>
        </w:rPr>
        <w:t xml:space="preserve"> to deny interest </w:t>
      </w:r>
      <w:r w:rsidR="008D007B">
        <w:rPr>
          <w:rFonts w:cs="Arial"/>
          <w:szCs w:val="24"/>
        </w:rPr>
        <w:t>to a dissenting shareholder whose claims</w:t>
      </w:r>
      <w:r w:rsidR="00347B9B">
        <w:rPr>
          <w:rFonts w:cs="Arial"/>
          <w:szCs w:val="24"/>
        </w:rPr>
        <w:t xml:space="preserve"> for additional compensation have </w:t>
      </w:r>
      <w:r w:rsidR="008D007B">
        <w:rPr>
          <w:rFonts w:cs="Arial"/>
          <w:szCs w:val="24"/>
        </w:rPr>
        <w:t>proved baseless</w:t>
      </w:r>
      <w:r w:rsidR="00FD3DCA">
        <w:rPr>
          <w:rFonts w:cs="Arial"/>
          <w:szCs w:val="24"/>
        </w:rPr>
        <w:t xml:space="preserve"> </w:t>
      </w:r>
      <w:r w:rsidR="00C66B5F">
        <w:rPr>
          <w:rFonts w:cs="Arial"/>
          <w:szCs w:val="24"/>
        </w:rPr>
        <w:t xml:space="preserve">and thus serve as a means to </w:t>
      </w:r>
      <w:r w:rsidR="00A72989">
        <w:rPr>
          <w:rFonts w:cs="Arial"/>
          <w:szCs w:val="24"/>
        </w:rPr>
        <w:t>disincentives</w:t>
      </w:r>
      <w:r w:rsidR="00C66B5F">
        <w:rPr>
          <w:rFonts w:cs="Arial"/>
          <w:szCs w:val="24"/>
        </w:rPr>
        <w:t xml:space="preserve"> unmeritorious claims</w:t>
      </w:r>
      <w:r w:rsidR="00FD3DCA">
        <w:rPr>
          <w:rFonts w:cs="Arial"/>
          <w:szCs w:val="24"/>
        </w:rPr>
        <w:t>?</w:t>
      </w:r>
    </w:p>
    <w:p w14:paraId="69F9DFB4" w14:textId="74C2DD3E" w:rsidR="00952AB6" w:rsidRDefault="005C571F" w:rsidP="0041611C">
      <w:pPr>
        <w:pStyle w:val="ListParagraph"/>
        <w:numPr>
          <w:ilvl w:val="1"/>
          <w:numId w:val="1"/>
        </w:numPr>
        <w:spacing w:after="360" w:line="480" w:lineRule="auto"/>
        <w:jc w:val="both"/>
        <w:rPr>
          <w:rFonts w:cs="Arial"/>
          <w:szCs w:val="24"/>
        </w:rPr>
      </w:pPr>
      <w:r>
        <w:rPr>
          <w:rFonts w:cs="Arial"/>
          <w:szCs w:val="24"/>
        </w:rPr>
        <w:t>Following from the first issue, i</w:t>
      </w:r>
      <w:r w:rsidR="00952AB6">
        <w:rPr>
          <w:rFonts w:cs="Arial"/>
          <w:szCs w:val="24"/>
        </w:rPr>
        <w:t>f an order of interest is to be viewed as</w:t>
      </w:r>
      <w:r w:rsidR="00343F2F">
        <w:rPr>
          <w:rFonts w:cs="Arial"/>
          <w:szCs w:val="24"/>
        </w:rPr>
        <w:t xml:space="preserve"> </w:t>
      </w:r>
      <w:r w:rsidR="003055FC">
        <w:rPr>
          <w:rFonts w:cs="Arial"/>
          <w:szCs w:val="24"/>
        </w:rPr>
        <w:t>a form of incentive or dis</w:t>
      </w:r>
      <w:r>
        <w:rPr>
          <w:rFonts w:cs="Arial"/>
          <w:szCs w:val="24"/>
        </w:rPr>
        <w:t>in</w:t>
      </w:r>
      <w:r w:rsidR="003055FC">
        <w:rPr>
          <w:rFonts w:cs="Arial"/>
          <w:szCs w:val="24"/>
        </w:rPr>
        <w:t>centive to the parties</w:t>
      </w:r>
      <w:r>
        <w:rPr>
          <w:rFonts w:cs="Arial"/>
          <w:szCs w:val="24"/>
        </w:rPr>
        <w:t>,</w:t>
      </w:r>
      <w:r w:rsidR="003055FC">
        <w:rPr>
          <w:rFonts w:cs="Arial"/>
          <w:szCs w:val="24"/>
        </w:rPr>
        <w:t xml:space="preserve"> depending on the final outcome of the determinati</w:t>
      </w:r>
      <w:r w:rsidR="00C32D7D">
        <w:rPr>
          <w:rFonts w:cs="Arial"/>
          <w:szCs w:val="24"/>
        </w:rPr>
        <w:t>on of fair value</w:t>
      </w:r>
      <w:r w:rsidR="00BA1084">
        <w:rPr>
          <w:rFonts w:cs="Arial"/>
          <w:szCs w:val="24"/>
        </w:rPr>
        <w:t>,</w:t>
      </w:r>
      <w:r w:rsidR="00C32D7D">
        <w:rPr>
          <w:rFonts w:cs="Arial"/>
          <w:szCs w:val="24"/>
        </w:rPr>
        <w:t xml:space="preserve"> why </w:t>
      </w:r>
      <w:r w:rsidR="0096442E">
        <w:rPr>
          <w:rFonts w:cs="Arial"/>
          <w:szCs w:val="24"/>
        </w:rPr>
        <w:t>does</w:t>
      </w:r>
      <w:r w:rsidR="00C32D7D">
        <w:rPr>
          <w:rFonts w:cs="Arial"/>
          <w:szCs w:val="24"/>
        </w:rPr>
        <w:t xml:space="preserve"> the costs discretion in subparagraph (iv</w:t>
      </w:r>
      <w:r w:rsidR="00A44380">
        <w:rPr>
          <w:rFonts w:cs="Arial"/>
          <w:szCs w:val="24"/>
        </w:rPr>
        <w:t>) refer</w:t>
      </w:r>
      <w:r w:rsidR="0096442E">
        <w:rPr>
          <w:rFonts w:cs="Arial"/>
          <w:szCs w:val="24"/>
        </w:rPr>
        <w:t xml:space="preserve"> expressly to </w:t>
      </w:r>
      <w:r w:rsidR="001E2061">
        <w:rPr>
          <w:rFonts w:cs="Arial"/>
          <w:szCs w:val="24"/>
        </w:rPr>
        <w:t>“…</w:t>
      </w:r>
      <w:r w:rsidR="00B666A4">
        <w:rPr>
          <w:rFonts w:cs="Arial"/>
          <w:szCs w:val="24"/>
        </w:rPr>
        <w:t xml:space="preserve"> </w:t>
      </w:r>
      <w:r w:rsidR="00B666A4" w:rsidRPr="00F72D88">
        <w:rPr>
          <w:rFonts w:cs="Arial"/>
          <w:i/>
          <w:iCs/>
          <w:color w:val="000000"/>
          <w:szCs w:val="24"/>
        </w:rPr>
        <w:t>having regard to any offer made by the company, and the final determination of the fair value by the court</w:t>
      </w:r>
      <w:r w:rsidR="003B055D">
        <w:rPr>
          <w:rFonts w:cs="Arial"/>
          <w:i/>
          <w:iCs/>
          <w:color w:val="000000"/>
          <w:szCs w:val="24"/>
        </w:rPr>
        <w:t>”.</w:t>
      </w:r>
      <w:r w:rsidR="00B666A4">
        <w:rPr>
          <w:rFonts w:cs="Arial"/>
          <w:i/>
          <w:iCs/>
          <w:color w:val="000000"/>
          <w:szCs w:val="24"/>
        </w:rPr>
        <w:t xml:space="preserve"> </w:t>
      </w:r>
      <w:r w:rsidR="00B666A4">
        <w:rPr>
          <w:rFonts w:cs="Arial"/>
          <w:color w:val="000000"/>
          <w:szCs w:val="24"/>
        </w:rPr>
        <w:t xml:space="preserve">This phrase does not appear in the interest subparagraph and may suggest that the issue of incentives and disincentives </w:t>
      </w:r>
      <w:r w:rsidR="00BA1084">
        <w:rPr>
          <w:rFonts w:cs="Arial"/>
          <w:color w:val="000000"/>
          <w:szCs w:val="24"/>
        </w:rPr>
        <w:t>is something to be regulated by a costs award</w:t>
      </w:r>
      <w:r w:rsidR="00BE43EA">
        <w:rPr>
          <w:rFonts w:cs="Arial"/>
          <w:color w:val="000000"/>
          <w:szCs w:val="24"/>
        </w:rPr>
        <w:t xml:space="preserve"> and hence is not relevant to the issue of whe</w:t>
      </w:r>
      <w:r w:rsidR="00A44380">
        <w:rPr>
          <w:rFonts w:cs="Arial"/>
          <w:color w:val="000000"/>
          <w:szCs w:val="24"/>
        </w:rPr>
        <w:t>ther</w:t>
      </w:r>
      <w:r w:rsidR="00BE43EA">
        <w:rPr>
          <w:rFonts w:cs="Arial"/>
          <w:color w:val="000000"/>
          <w:szCs w:val="24"/>
        </w:rPr>
        <w:t xml:space="preserve"> interest should be awarded or denied</w:t>
      </w:r>
      <w:r w:rsidR="00BA1084">
        <w:rPr>
          <w:rFonts w:cs="Arial"/>
          <w:color w:val="000000"/>
          <w:szCs w:val="24"/>
        </w:rPr>
        <w:t>.</w:t>
      </w:r>
    </w:p>
    <w:p w14:paraId="38A81776" w14:textId="4E917CA2" w:rsidR="00FD3DCA" w:rsidRDefault="00952AB6" w:rsidP="0041611C">
      <w:pPr>
        <w:pStyle w:val="ListParagraph"/>
        <w:numPr>
          <w:ilvl w:val="1"/>
          <w:numId w:val="1"/>
        </w:numPr>
        <w:spacing w:after="360" w:line="480" w:lineRule="auto"/>
        <w:jc w:val="both"/>
        <w:rPr>
          <w:rFonts w:cs="Arial"/>
          <w:szCs w:val="24"/>
        </w:rPr>
      </w:pPr>
      <w:r>
        <w:rPr>
          <w:rFonts w:cs="Arial"/>
          <w:szCs w:val="24"/>
        </w:rPr>
        <w:t>Third,</w:t>
      </w:r>
      <w:r w:rsidR="00FD3DCA">
        <w:rPr>
          <w:rFonts w:cs="Arial"/>
          <w:szCs w:val="24"/>
        </w:rPr>
        <w:t xml:space="preserve"> </w:t>
      </w:r>
      <w:r w:rsidR="00D27681">
        <w:rPr>
          <w:rFonts w:cs="Arial"/>
          <w:szCs w:val="24"/>
        </w:rPr>
        <w:t xml:space="preserve">the award of interest </w:t>
      </w:r>
      <w:r w:rsidR="00CC2CC1">
        <w:rPr>
          <w:rFonts w:cs="Arial"/>
          <w:szCs w:val="24"/>
        </w:rPr>
        <w:t xml:space="preserve">(subparagraph </w:t>
      </w:r>
      <w:r w:rsidR="00E90D47">
        <w:rPr>
          <w:rFonts w:cs="Arial"/>
          <w:szCs w:val="24"/>
        </w:rPr>
        <w:t>(bb))</w:t>
      </w:r>
      <w:r w:rsidR="004C6FFA">
        <w:rPr>
          <w:rFonts w:cs="Arial"/>
          <w:szCs w:val="24"/>
        </w:rPr>
        <w:t xml:space="preserve"> </w:t>
      </w:r>
      <w:r w:rsidR="00D27681">
        <w:rPr>
          <w:rFonts w:cs="Arial"/>
          <w:szCs w:val="24"/>
        </w:rPr>
        <w:t xml:space="preserve">is provided as an alternative option to the court if it did not go the route of </w:t>
      </w:r>
      <w:r w:rsidR="00182034">
        <w:rPr>
          <w:rFonts w:cs="Arial"/>
          <w:szCs w:val="24"/>
        </w:rPr>
        <w:t xml:space="preserve">appointing the </w:t>
      </w:r>
      <w:r w:rsidR="004C6FFA">
        <w:rPr>
          <w:rFonts w:cs="Arial"/>
          <w:szCs w:val="24"/>
        </w:rPr>
        <w:t>appraiser (subparagraph</w:t>
      </w:r>
      <w:r w:rsidR="00E90D47">
        <w:rPr>
          <w:rFonts w:cs="Arial"/>
          <w:szCs w:val="24"/>
        </w:rPr>
        <w:t xml:space="preserve"> (aa))</w:t>
      </w:r>
      <w:r w:rsidR="00182034">
        <w:rPr>
          <w:rFonts w:cs="Arial"/>
          <w:szCs w:val="24"/>
        </w:rPr>
        <w:t xml:space="preserve">? It is not clear why this is </w:t>
      </w:r>
      <w:r w:rsidR="004C6FFA">
        <w:rPr>
          <w:rFonts w:cs="Arial"/>
          <w:szCs w:val="24"/>
        </w:rPr>
        <w:t>so</w:t>
      </w:r>
      <w:r w:rsidR="00F91D87">
        <w:rPr>
          <w:rFonts w:cs="Arial"/>
          <w:szCs w:val="24"/>
        </w:rPr>
        <w:t>,</w:t>
      </w:r>
      <w:r w:rsidR="004C6FFA">
        <w:rPr>
          <w:rFonts w:cs="Arial"/>
          <w:szCs w:val="24"/>
        </w:rPr>
        <w:t xml:space="preserve"> unless</w:t>
      </w:r>
      <w:r w:rsidR="00182034">
        <w:rPr>
          <w:rFonts w:cs="Arial"/>
          <w:szCs w:val="24"/>
        </w:rPr>
        <w:t xml:space="preserve"> it is contemplated that as part of the exercise in determining fair value</w:t>
      </w:r>
      <w:r w:rsidR="00F91D87">
        <w:rPr>
          <w:rFonts w:cs="Arial"/>
          <w:szCs w:val="24"/>
        </w:rPr>
        <w:t>,</w:t>
      </w:r>
      <w:r w:rsidR="00182034">
        <w:rPr>
          <w:rFonts w:cs="Arial"/>
          <w:szCs w:val="24"/>
        </w:rPr>
        <w:t xml:space="preserve"> the appraiser might also advise the court on whether </w:t>
      </w:r>
      <w:r w:rsidR="00715183">
        <w:rPr>
          <w:rFonts w:cs="Arial"/>
          <w:szCs w:val="24"/>
        </w:rPr>
        <w:t>interest should be taken into account.</w:t>
      </w:r>
    </w:p>
    <w:p w14:paraId="5914F13B" w14:textId="0AA67F67" w:rsidR="00715183" w:rsidRDefault="009B768C" w:rsidP="0041611C">
      <w:pPr>
        <w:pStyle w:val="ListParagraph"/>
        <w:numPr>
          <w:ilvl w:val="1"/>
          <w:numId w:val="1"/>
        </w:numPr>
        <w:spacing w:after="360" w:line="480" w:lineRule="auto"/>
        <w:jc w:val="both"/>
        <w:rPr>
          <w:rFonts w:cs="Arial"/>
          <w:szCs w:val="24"/>
        </w:rPr>
      </w:pPr>
      <w:r>
        <w:rPr>
          <w:rFonts w:cs="Arial"/>
          <w:szCs w:val="24"/>
        </w:rPr>
        <w:t xml:space="preserve">The qualifier </w:t>
      </w:r>
      <w:r w:rsidR="00842155">
        <w:rPr>
          <w:rFonts w:cs="Arial"/>
          <w:szCs w:val="24"/>
        </w:rPr>
        <w:t xml:space="preserve">that the </w:t>
      </w:r>
      <w:r>
        <w:rPr>
          <w:rFonts w:cs="Arial"/>
          <w:szCs w:val="24"/>
        </w:rPr>
        <w:t xml:space="preserve">rate of interest </w:t>
      </w:r>
      <w:r w:rsidR="00842155">
        <w:rPr>
          <w:rFonts w:cs="Arial"/>
          <w:szCs w:val="24"/>
        </w:rPr>
        <w:t xml:space="preserve">is to be </w:t>
      </w:r>
      <w:r w:rsidR="00C8306B">
        <w:rPr>
          <w:rFonts w:cs="Arial"/>
          <w:szCs w:val="24"/>
        </w:rPr>
        <w:t>‘</w:t>
      </w:r>
      <w:r w:rsidR="00842155">
        <w:rPr>
          <w:rFonts w:cs="Arial"/>
          <w:szCs w:val="24"/>
        </w:rPr>
        <w:t>r</w:t>
      </w:r>
      <w:r w:rsidR="00842155" w:rsidRPr="00741F4A">
        <w:rPr>
          <w:rFonts w:cs="Arial"/>
          <w:i/>
          <w:iCs/>
          <w:szCs w:val="24"/>
        </w:rPr>
        <w:t>easonable</w:t>
      </w:r>
      <w:r w:rsidR="00C8306B">
        <w:rPr>
          <w:rFonts w:cs="Arial"/>
          <w:szCs w:val="24"/>
        </w:rPr>
        <w:t xml:space="preserve">’ suggests that the court is not bound to follow the traditional legal rate. </w:t>
      </w:r>
      <w:r w:rsidR="00842155">
        <w:rPr>
          <w:rFonts w:cs="Arial"/>
          <w:szCs w:val="24"/>
        </w:rPr>
        <w:t xml:space="preserve"> </w:t>
      </w:r>
      <w:r>
        <w:rPr>
          <w:rFonts w:cs="Arial"/>
          <w:szCs w:val="24"/>
        </w:rPr>
        <w:t xml:space="preserve"> </w:t>
      </w:r>
      <w:r w:rsidR="00741F4A">
        <w:rPr>
          <w:rFonts w:cs="Arial"/>
          <w:szCs w:val="24"/>
        </w:rPr>
        <w:t>It suggests that evidence may be led on this point</w:t>
      </w:r>
      <w:r w:rsidR="00536291">
        <w:rPr>
          <w:rFonts w:cs="Arial"/>
          <w:szCs w:val="24"/>
        </w:rPr>
        <w:t>, that the standard is objective</w:t>
      </w:r>
      <w:r w:rsidR="00BF1AB0">
        <w:rPr>
          <w:rFonts w:cs="Arial"/>
          <w:szCs w:val="24"/>
        </w:rPr>
        <w:t>,</w:t>
      </w:r>
      <w:r w:rsidR="00536291">
        <w:rPr>
          <w:rFonts w:cs="Arial"/>
          <w:szCs w:val="24"/>
        </w:rPr>
        <w:t xml:space="preserve"> but the rest is left unstated. </w:t>
      </w:r>
    </w:p>
    <w:p w14:paraId="2DB2D18D" w14:textId="2D8218C2" w:rsidR="00543A0B" w:rsidRDefault="00543A0B" w:rsidP="0041611C">
      <w:pPr>
        <w:pStyle w:val="ListParagraph"/>
        <w:numPr>
          <w:ilvl w:val="1"/>
          <w:numId w:val="1"/>
        </w:numPr>
        <w:spacing w:after="360" w:line="480" w:lineRule="auto"/>
        <w:jc w:val="both"/>
        <w:rPr>
          <w:rFonts w:cs="Arial"/>
          <w:szCs w:val="24"/>
        </w:rPr>
      </w:pPr>
      <w:r>
        <w:rPr>
          <w:rFonts w:cs="Arial"/>
          <w:szCs w:val="24"/>
        </w:rPr>
        <w:t>The section does provide clarity on the period over</w:t>
      </w:r>
      <w:r w:rsidR="00A72989">
        <w:rPr>
          <w:rFonts w:cs="Arial"/>
          <w:szCs w:val="24"/>
        </w:rPr>
        <w:t xml:space="preserve"> which interest is to be paid </w:t>
      </w:r>
      <w:r>
        <w:rPr>
          <w:rFonts w:cs="Arial"/>
          <w:szCs w:val="24"/>
        </w:rPr>
        <w:t xml:space="preserve">from </w:t>
      </w:r>
      <w:r w:rsidR="003C469C">
        <w:rPr>
          <w:rFonts w:cs="Arial"/>
          <w:szCs w:val="24"/>
        </w:rPr>
        <w:t xml:space="preserve">the date </w:t>
      </w:r>
      <w:r w:rsidR="00F45999">
        <w:rPr>
          <w:rFonts w:cs="Arial"/>
          <w:szCs w:val="24"/>
        </w:rPr>
        <w:t xml:space="preserve">the company </w:t>
      </w:r>
      <w:r w:rsidR="003C469C">
        <w:rPr>
          <w:rFonts w:cs="Arial"/>
          <w:szCs w:val="24"/>
        </w:rPr>
        <w:t xml:space="preserve">approved the resolution </w:t>
      </w:r>
      <w:r w:rsidR="00F45999">
        <w:rPr>
          <w:rFonts w:cs="Arial"/>
          <w:szCs w:val="24"/>
        </w:rPr>
        <w:t xml:space="preserve">that gave rise to the </w:t>
      </w:r>
      <w:r w:rsidR="00F45999">
        <w:rPr>
          <w:rFonts w:cs="Arial"/>
          <w:szCs w:val="24"/>
        </w:rPr>
        <w:lastRenderedPageBreak/>
        <w:t xml:space="preserve">dissenting shareholders action </w:t>
      </w:r>
      <w:r w:rsidR="003C469C">
        <w:rPr>
          <w:rFonts w:cs="Arial"/>
          <w:szCs w:val="24"/>
        </w:rPr>
        <w:t xml:space="preserve">to the date of payment </w:t>
      </w:r>
      <w:r w:rsidR="00F45999">
        <w:rPr>
          <w:rFonts w:cs="Arial"/>
          <w:szCs w:val="24"/>
        </w:rPr>
        <w:t>for the shares. There is no indication however whether interest should be</w:t>
      </w:r>
      <w:r w:rsidR="008C3ED5">
        <w:rPr>
          <w:rFonts w:cs="Arial"/>
          <w:szCs w:val="24"/>
        </w:rPr>
        <w:t xml:space="preserve"> simple or</w:t>
      </w:r>
      <w:r w:rsidR="00F45999">
        <w:rPr>
          <w:rFonts w:cs="Arial"/>
          <w:szCs w:val="24"/>
        </w:rPr>
        <w:t xml:space="preserve"> compounded.</w:t>
      </w:r>
    </w:p>
    <w:p w14:paraId="7E0F8F8B" w14:textId="5ACE57A7" w:rsidR="005B45BD" w:rsidRPr="0041611C" w:rsidRDefault="005B45BD" w:rsidP="0041611C">
      <w:pPr>
        <w:spacing w:after="360" w:line="480" w:lineRule="auto"/>
        <w:ind w:left="720"/>
        <w:jc w:val="both"/>
        <w:rPr>
          <w:rFonts w:cs="Arial"/>
          <w:b/>
          <w:bCs/>
          <w:szCs w:val="24"/>
        </w:rPr>
      </w:pPr>
      <w:r w:rsidRPr="0041611C">
        <w:rPr>
          <w:rFonts w:cs="Arial"/>
          <w:b/>
          <w:bCs/>
          <w:szCs w:val="24"/>
        </w:rPr>
        <w:t>Analysis</w:t>
      </w:r>
    </w:p>
    <w:p w14:paraId="16252685" w14:textId="25158D1E" w:rsidR="00A866FA" w:rsidRPr="0041611C" w:rsidRDefault="0041611C" w:rsidP="0041611C">
      <w:pPr>
        <w:spacing w:after="360" w:line="480" w:lineRule="auto"/>
        <w:ind w:left="720" w:hanging="720"/>
        <w:jc w:val="both"/>
        <w:rPr>
          <w:rFonts w:cs="Arial"/>
          <w:szCs w:val="24"/>
        </w:rPr>
      </w:pPr>
      <w:r>
        <w:rPr>
          <w:rFonts w:cs="Arial"/>
          <w:szCs w:val="24"/>
        </w:rPr>
        <w:t>[29]</w:t>
      </w:r>
      <w:r>
        <w:rPr>
          <w:rFonts w:cs="Arial"/>
          <w:szCs w:val="24"/>
        </w:rPr>
        <w:tab/>
      </w:r>
      <w:r w:rsidR="003E4B1D" w:rsidRPr="0041611C">
        <w:rPr>
          <w:rFonts w:cs="Arial"/>
          <w:szCs w:val="24"/>
        </w:rPr>
        <w:t xml:space="preserve">These queries are raised to illustrate the </w:t>
      </w:r>
      <w:r w:rsidR="004C5A87" w:rsidRPr="0041611C">
        <w:rPr>
          <w:rFonts w:cs="Arial"/>
          <w:szCs w:val="24"/>
        </w:rPr>
        <w:t xml:space="preserve">conceptual difficulties the interest question raises and hence the </w:t>
      </w:r>
      <w:r w:rsidR="003E4B1D" w:rsidRPr="0041611C">
        <w:rPr>
          <w:rFonts w:cs="Arial"/>
          <w:szCs w:val="24"/>
        </w:rPr>
        <w:t xml:space="preserve">danger of making this </w:t>
      </w:r>
      <w:r w:rsidR="0089326F" w:rsidRPr="0041611C">
        <w:rPr>
          <w:rFonts w:cs="Arial"/>
          <w:szCs w:val="24"/>
        </w:rPr>
        <w:t>decision on an incomplete record.</w:t>
      </w:r>
      <w:r w:rsidR="00307402" w:rsidRPr="0041611C">
        <w:rPr>
          <w:rFonts w:cs="Arial"/>
          <w:szCs w:val="24"/>
        </w:rPr>
        <w:t xml:space="preserve"> </w:t>
      </w:r>
      <w:r w:rsidR="006B6C2B" w:rsidRPr="0041611C">
        <w:rPr>
          <w:rFonts w:cs="Arial"/>
          <w:szCs w:val="24"/>
        </w:rPr>
        <w:t xml:space="preserve"> The reason I say the record is incomplete is this. </w:t>
      </w:r>
      <w:r w:rsidR="00307402" w:rsidRPr="0041611C">
        <w:rPr>
          <w:rFonts w:cs="Arial"/>
          <w:szCs w:val="24"/>
        </w:rPr>
        <w:t xml:space="preserve">The case the applicants now make out for a reasonable rate </w:t>
      </w:r>
      <w:r w:rsidR="007F6FD2" w:rsidRPr="0041611C">
        <w:rPr>
          <w:rFonts w:cs="Arial"/>
          <w:szCs w:val="24"/>
        </w:rPr>
        <w:t xml:space="preserve">of interest </w:t>
      </w:r>
      <w:r w:rsidR="00C438F5" w:rsidRPr="0041611C">
        <w:rPr>
          <w:rFonts w:cs="Arial"/>
          <w:szCs w:val="24"/>
        </w:rPr>
        <w:t>of 15,5% compounded</w:t>
      </w:r>
      <w:r w:rsidR="00505921" w:rsidRPr="0041611C">
        <w:rPr>
          <w:rFonts w:cs="Arial"/>
          <w:szCs w:val="24"/>
        </w:rPr>
        <w:t>,</w:t>
      </w:r>
      <w:r w:rsidR="00C438F5" w:rsidRPr="0041611C">
        <w:rPr>
          <w:rFonts w:cs="Arial"/>
          <w:szCs w:val="24"/>
        </w:rPr>
        <w:t xml:space="preserve"> is </w:t>
      </w:r>
      <w:r w:rsidR="00307402" w:rsidRPr="0041611C">
        <w:rPr>
          <w:rFonts w:cs="Arial"/>
          <w:szCs w:val="24"/>
        </w:rPr>
        <w:t xml:space="preserve">based </w:t>
      </w:r>
      <w:r w:rsidR="00436575" w:rsidRPr="0041611C">
        <w:rPr>
          <w:rFonts w:cs="Arial"/>
          <w:szCs w:val="24"/>
        </w:rPr>
        <w:t xml:space="preserve">partly </w:t>
      </w:r>
      <w:r w:rsidR="00307402" w:rsidRPr="0041611C">
        <w:rPr>
          <w:rFonts w:cs="Arial"/>
          <w:szCs w:val="24"/>
        </w:rPr>
        <w:t>on the application of the capital asset pricing model</w:t>
      </w:r>
      <w:r w:rsidR="00C438F5" w:rsidRPr="0041611C">
        <w:rPr>
          <w:rFonts w:cs="Arial"/>
          <w:szCs w:val="24"/>
        </w:rPr>
        <w:t xml:space="preserve">. This case </w:t>
      </w:r>
      <w:r w:rsidR="007D0D69" w:rsidRPr="0041611C">
        <w:rPr>
          <w:rFonts w:cs="Arial"/>
          <w:szCs w:val="24"/>
        </w:rPr>
        <w:t>was made out in heads of argument</w:t>
      </w:r>
      <w:r w:rsidR="00E3172E" w:rsidRPr="0041611C">
        <w:rPr>
          <w:rFonts w:cs="Arial"/>
          <w:szCs w:val="24"/>
        </w:rPr>
        <w:t>,</w:t>
      </w:r>
      <w:r w:rsidR="007D0D69" w:rsidRPr="0041611C">
        <w:rPr>
          <w:rFonts w:cs="Arial"/>
          <w:szCs w:val="24"/>
        </w:rPr>
        <w:t xml:space="preserve"> furnished after I had made my decision in the main matter. Thus</w:t>
      </w:r>
      <w:r w:rsidR="00387820" w:rsidRPr="0041611C">
        <w:rPr>
          <w:rFonts w:cs="Arial"/>
          <w:szCs w:val="24"/>
        </w:rPr>
        <w:t>,</w:t>
      </w:r>
      <w:r w:rsidR="007D0D69" w:rsidRPr="0041611C">
        <w:rPr>
          <w:rFonts w:cs="Arial"/>
          <w:szCs w:val="24"/>
        </w:rPr>
        <w:t xml:space="preserve"> it was all on paper and I did not have the benefit </w:t>
      </w:r>
      <w:r w:rsidR="00E3172E" w:rsidRPr="0041611C">
        <w:rPr>
          <w:rFonts w:cs="Arial"/>
          <w:szCs w:val="24"/>
        </w:rPr>
        <w:t>of</w:t>
      </w:r>
      <w:r w:rsidR="007D0D69" w:rsidRPr="0041611C">
        <w:rPr>
          <w:rFonts w:cs="Arial"/>
          <w:szCs w:val="24"/>
        </w:rPr>
        <w:t xml:space="preserve"> oral argument. But that is the least of the difficulties. This </w:t>
      </w:r>
      <w:r w:rsidR="00125826" w:rsidRPr="0041611C">
        <w:rPr>
          <w:rFonts w:cs="Arial"/>
          <w:szCs w:val="24"/>
        </w:rPr>
        <w:t xml:space="preserve">was never the case for interest made out in the application. In </w:t>
      </w:r>
      <w:r w:rsidR="00B7344E" w:rsidRPr="0041611C">
        <w:rPr>
          <w:rFonts w:cs="Arial"/>
          <w:szCs w:val="24"/>
        </w:rPr>
        <w:t>their</w:t>
      </w:r>
      <w:r w:rsidR="00125826" w:rsidRPr="0041611C">
        <w:rPr>
          <w:rFonts w:cs="Arial"/>
          <w:szCs w:val="24"/>
        </w:rPr>
        <w:t xml:space="preserve"> notice of </w:t>
      </w:r>
      <w:r w:rsidR="00B7344E" w:rsidRPr="0041611C">
        <w:rPr>
          <w:rFonts w:cs="Arial"/>
          <w:szCs w:val="24"/>
        </w:rPr>
        <w:t>motion,</w:t>
      </w:r>
      <w:r w:rsidR="00125826" w:rsidRPr="0041611C">
        <w:rPr>
          <w:rFonts w:cs="Arial"/>
          <w:szCs w:val="24"/>
        </w:rPr>
        <w:t xml:space="preserve"> </w:t>
      </w:r>
      <w:r w:rsidR="00776978" w:rsidRPr="0041611C">
        <w:rPr>
          <w:rFonts w:cs="Arial"/>
          <w:szCs w:val="24"/>
        </w:rPr>
        <w:t xml:space="preserve">the </w:t>
      </w:r>
      <w:proofErr w:type="gramStart"/>
      <w:r w:rsidR="00776978" w:rsidRPr="0041611C">
        <w:rPr>
          <w:rFonts w:cs="Arial"/>
          <w:szCs w:val="24"/>
        </w:rPr>
        <w:t>applicants</w:t>
      </w:r>
      <w:proofErr w:type="gramEnd"/>
      <w:r w:rsidR="00125826" w:rsidRPr="0041611C">
        <w:rPr>
          <w:rFonts w:cs="Arial"/>
          <w:szCs w:val="24"/>
        </w:rPr>
        <w:t xml:space="preserve"> main relief was</w:t>
      </w:r>
      <w:r w:rsidR="004F2483" w:rsidRPr="0041611C">
        <w:rPr>
          <w:rFonts w:cs="Arial"/>
          <w:szCs w:val="24"/>
        </w:rPr>
        <w:t xml:space="preserve"> to seek</w:t>
      </w:r>
      <w:r w:rsidR="00125826" w:rsidRPr="0041611C">
        <w:rPr>
          <w:rFonts w:cs="Arial"/>
          <w:szCs w:val="24"/>
        </w:rPr>
        <w:t xml:space="preserve"> the appointment of the appraiser. </w:t>
      </w:r>
      <w:r w:rsidR="00956E8B" w:rsidRPr="0041611C">
        <w:rPr>
          <w:rFonts w:cs="Arial"/>
          <w:szCs w:val="24"/>
        </w:rPr>
        <w:t xml:space="preserve">It was only after </w:t>
      </w:r>
      <w:r w:rsidR="001B5A8F" w:rsidRPr="0041611C">
        <w:rPr>
          <w:rFonts w:cs="Arial"/>
          <w:szCs w:val="24"/>
        </w:rPr>
        <w:t>that determination had been made that it sought</w:t>
      </w:r>
      <w:r w:rsidR="004102E7" w:rsidRPr="0041611C">
        <w:rPr>
          <w:rFonts w:cs="Arial"/>
          <w:szCs w:val="24"/>
        </w:rPr>
        <w:t xml:space="preserve"> the following relief in the Notice of </w:t>
      </w:r>
      <w:r w:rsidR="00E613A0" w:rsidRPr="0041611C">
        <w:rPr>
          <w:rFonts w:cs="Arial"/>
          <w:szCs w:val="24"/>
        </w:rPr>
        <w:t>M</w:t>
      </w:r>
      <w:r w:rsidR="004102E7" w:rsidRPr="0041611C">
        <w:rPr>
          <w:rFonts w:cs="Arial"/>
          <w:szCs w:val="24"/>
        </w:rPr>
        <w:t>otion</w:t>
      </w:r>
      <w:r w:rsidR="00A866FA" w:rsidRPr="0041611C">
        <w:rPr>
          <w:rFonts w:cs="Arial"/>
          <w:szCs w:val="24"/>
        </w:rPr>
        <w:t xml:space="preserve"> for the court to:</w:t>
      </w:r>
    </w:p>
    <w:p w14:paraId="5BA80798" w14:textId="1D15D0FA" w:rsidR="003E4B1D" w:rsidRDefault="001B5A8F" w:rsidP="0041611C">
      <w:pPr>
        <w:pStyle w:val="ListParagraph"/>
        <w:spacing w:after="360" w:line="480" w:lineRule="auto"/>
        <w:ind w:left="1440"/>
        <w:jc w:val="both"/>
        <w:rPr>
          <w:rFonts w:cs="Arial"/>
          <w:i/>
          <w:iCs/>
          <w:szCs w:val="24"/>
        </w:rPr>
      </w:pPr>
      <w:r w:rsidRPr="00A866FA">
        <w:rPr>
          <w:rFonts w:cs="Arial"/>
          <w:i/>
          <w:iCs/>
          <w:szCs w:val="24"/>
        </w:rPr>
        <w:t>“</w:t>
      </w:r>
      <w:r w:rsidR="00A866FA" w:rsidRPr="00A866FA">
        <w:rPr>
          <w:rFonts w:cs="Arial"/>
          <w:i/>
          <w:iCs/>
          <w:szCs w:val="24"/>
        </w:rPr>
        <w:t>15.1 allow a reasonable rate of interest on the amount payable to each of the Applicant and the other affected dissenting shareholders from the date the action approved by the special resolution adopted by the First Respondent on 22 August 2019 became effective until the date of final payment;</w:t>
      </w:r>
      <w:r w:rsidRPr="00A866FA">
        <w:rPr>
          <w:rFonts w:cs="Arial"/>
          <w:i/>
          <w:iCs/>
          <w:szCs w:val="24"/>
        </w:rPr>
        <w:t xml:space="preserve"> </w:t>
      </w:r>
    </w:p>
    <w:p w14:paraId="520F4E6F" w14:textId="19ACEA80" w:rsidR="00A866FA" w:rsidRPr="0041611C" w:rsidRDefault="0041611C" w:rsidP="0041611C">
      <w:pPr>
        <w:spacing w:after="360" w:line="480" w:lineRule="auto"/>
        <w:ind w:left="720" w:hanging="720"/>
        <w:jc w:val="both"/>
        <w:rPr>
          <w:rFonts w:cs="Arial"/>
          <w:i/>
          <w:iCs/>
          <w:szCs w:val="24"/>
        </w:rPr>
      </w:pPr>
      <w:r>
        <w:rPr>
          <w:rFonts w:cs="Arial"/>
          <w:szCs w:val="24"/>
        </w:rPr>
        <w:lastRenderedPageBreak/>
        <w:t>[30]</w:t>
      </w:r>
      <w:r>
        <w:rPr>
          <w:rFonts w:cs="Arial"/>
          <w:szCs w:val="24"/>
        </w:rPr>
        <w:tab/>
      </w:r>
      <w:r w:rsidR="00035773" w:rsidRPr="0041611C">
        <w:rPr>
          <w:rFonts w:cs="Arial"/>
          <w:szCs w:val="24"/>
        </w:rPr>
        <w:t>That prayer</w:t>
      </w:r>
      <w:r w:rsidR="004F2483" w:rsidRPr="0041611C">
        <w:rPr>
          <w:rFonts w:cs="Arial"/>
          <w:szCs w:val="24"/>
        </w:rPr>
        <w:t xml:space="preserve"> </w:t>
      </w:r>
      <w:r w:rsidR="00A866FA" w:rsidRPr="0041611C">
        <w:rPr>
          <w:rFonts w:cs="Arial"/>
          <w:szCs w:val="24"/>
        </w:rPr>
        <w:t xml:space="preserve">simply repeats the relevant section in the Act without giving it any flesh. </w:t>
      </w:r>
      <w:r w:rsidR="004F2483" w:rsidRPr="0041611C">
        <w:rPr>
          <w:rFonts w:cs="Arial"/>
          <w:szCs w:val="24"/>
        </w:rPr>
        <w:t>But i</w:t>
      </w:r>
      <w:r w:rsidR="00A866FA" w:rsidRPr="0041611C">
        <w:rPr>
          <w:rFonts w:cs="Arial"/>
          <w:szCs w:val="24"/>
        </w:rPr>
        <w:t xml:space="preserve">n the founding affidavit the </w:t>
      </w:r>
      <w:r w:rsidR="00407D1F" w:rsidRPr="0041611C">
        <w:rPr>
          <w:rFonts w:cs="Arial"/>
          <w:szCs w:val="24"/>
        </w:rPr>
        <w:t>flesh is given in the following paragraphs:</w:t>
      </w:r>
    </w:p>
    <w:p w14:paraId="7311FF4F" w14:textId="386FF19F" w:rsidR="00407D1F" w:rsidRPr="00DF1756" w:rsidRDefault="00DF1756" w:rsidP="0041611C">
      <w:pPr>
        <w:spacing w:after="360" w:line="480" w:lineRule="auto"/>
        <w:ind w:left="1440"/>
        <w:jc w:val="both"/>
        <w:rPr>
          <w:rFonts w:cs="Arial"/>
          <w:i/>
          <w:iCs/>
          <w:szCs w:val="24"/>
        </w:rPr>
      </w:pPr>
      <w:r>
        <w:rPr>
          <w:rFonts w:cs="Arial"/>
          <w:i/>
          <w:iCs/>
          <w:szCs w:val="24"/>
        </w:rPr>
        <w:t>“</w:t>
      </w:r>
      <w:r w:rsidR="00407D1F" w:rsidRPr="00DF1756">
        <w:rPr>
          <w:rFonts w:cs="Arial"/>
          <w:i/>
          <w:iCs/>
          <w:szCs w:val="24"/>
        </w:rPr>
        <w:t>75</w:t>
      </w:r>
      <w:r w:rsidR="002976CC">
        <w:rPr>
          <w:rFonts w:cs="Arial"/>
          <w:i/>
          <w:iCs/>
          <w:szCs w:val="24"/>
        </w:rPr>
        <w:t>.</w:t>
      </w:r>
      <w:r w:rsidR="00407D1F" w:rsidRPr="00DF1756">
        <w:rPr>
          <w:rFonts w:cs="Arial"/>
          <w:i/>
          <w:iCs/>
          <w:szCs w:val="24"/>
        </w:rPr>
        <w:t xml:space="preserve"> In terms of Section 164(15)(c) (iii) (bb), this Honourable Court may in its discretion allow a reasonable rate of interest on the amount payable to each dissenting shareholder from the date the action approved by the resolution is effective, until the date of payment. </w:t>
      </w:r>
    </w:p>
    <w:p w14:paraId="4F8FC1FD" w14:textId="2C5128B6" w:rsidR="00B16D73" w:rsidRPr="00FD3BA9" w:rsidRDefault="00407D1F" w:rsidP="0041611C">
      <w:pPr>
        <w:spacing w:after="360" w:line="480" w:lineRule="auto"/>
        <w:ind w:left="1440"/>
        <w:jc w:val="both"/>
        <w:rPr>
          <w:rFonts w:cs="Arial"/>
          <w:szCs w:val="24"/>
        </w:rPr>
      </w:pPr>
      <w:r w:rsidRPr="00DF1756">
        <w:rPr>
          <w:rFonts w:cs="Arial"/>
          <w:i/>
          <w:iCs/>
          <w:szCs w:val="24"/>
        </w:rPr>
        <w:t xml:space="preserve">76, I respectfully submit </w:t>
      </w:r>
      <w:r w:rsidRPr="00FD3BA9">
        <w:rPr>
          <w:rFonts w:cs="Arial"/>
          <w:i/>
          <w:iCs/>
          <w:szCs w:val="24"/>
          <w:u w:val="single"/>
        </w:rPr>
        <w:t>that the prescribed rate, is the most appropriate rate</w:t>
      </w:r>
      <w:r w:rsidRPr="00DF1756">
        <w:rPr>
          <w:rFonts w:cs="Arial"/>
          <w:i/>
          <w:iCs/>
          <w:szCs w:val="24"/>
        </w:rPr>
        <w:t xml:space="preserve"> of interest to be applied from the applicable date and same has been provided for in the Notice of Motion.</w:t>
      </w:r>
      <w:r w:rsidR="00DF1756">
        <w:rPr>
          <w:rFonts w:cs="Arial"/>
          <w:i/>
          <w:iCs/>
          <w:szCs w:val="24"/>
        </w:rPr>
        <w:t>”</w:t>
      </w:r>
      <w:r w:rsidR="003F4F7F">
        <w:rPr>
          <w:rFonts w:cs="Arial"/>
          <w:szCs w:val="24"/>
        </w:rPr>
        <w:t xml:space="preserve"> </w:t>
      </w:r>
      <w:r w:rsidR="00F079C0">
        <w:rPr>
          <w:rFonts w:cs="Arial"/>
          <w:szCs w:val="24"/>
        </w:rPr>
        <w:t>(My</w:t>
      </w:r>
      <w:r w:rsidR="003F4F7F">
        <w:rPr>
          <w:rFonts w:cs="Arial"/>
          <w:szCs w:val="24"/>
        </w:rPr>
        <w:t xml:space="preserve"> emphasis)</w:t>
      </w:r>
    </w:p>
    <w:p w14:paraId="3A6FAA09" w14:textId="565B3886" w:rsidR="00A069E1" w:rsidRPr="0041611C" w:rsidRDefault="0041611C" w:rsidP="0041611C">
      <w:pPr>
        <w:spacing w:after="360" w:line="480" w:lineRule="auto"/>
        <w:ind w:left="720" w:hanging="720"/>
        <w:jc w:val="both"/>
        <w:rPr>
          <w:rFonts w:cs="Arial"/>
          <w:i/>
          <w:iCs/>
          <w:szCs w:val="24"/>
        </w:rPr>
      </w:pPr>
      <w:r>
        <w:rPr>
          <w:rFonts w:cs="Arial"/>
          <w:szCs w:val="24"/>
        </w:rPr>
        <w:t>[31]</w:t>
      </w:r>
      <w:r>
        <w:rPr>
          <w:rFonts w:cs="Arial"/>
          <w:szCs w:val="24"/>
        </w:rPr>
        <w:tab/>
      </w:r>
      <w:r w:rsidR="00AB00A2" w:rsidRPr="0041611C">
        <w:rPr>
          <w:rFonts w:cs="Arial"/>
          <w:szCs w:val="24"/>
        </w:rPr>
        <w:t>Thus</w:t>
      </w:r>
      <w:r w:rsidR="00604C5D" w:rsidRPr="0041611C">
        <w:rPr>
          <w:rFonts w:cs="Arial"/>
          <w:szCs w:val="24"/>
        </w:rPr>
        <w:t>,</w:t>
      </w:r>
      <w:r w:rsidR="00AB00A2" w:rsidRPr="0041611C">
        <w:rPr>
          <w:rFonts w:cs="Arial"/>
          <w:szCs w:val="24"/>
        </w:rPr>
        <w:t xml:space="preserve"> the applicants never made out the present case they contend for in the founding affidavit</w:t>
      </w:r>
      <w:r w:rsidR="00BD139F" w:rsidRPr="0041611C">
        <w:rPr>
          <w:rFonts w:cs="Arial"/>
          <w:szCs w:val="24"/>
        </w:rPr>
        <w:t xml:space="preserve">. They needed to do so. </w:t>
      </w:r>
      <w:r w:rsidR="00604C5D" w:rsidRPr="0041611C">
        <w:rPr>
          <w:rFonts w:cs="Arial"/>
          <w:szCs w:val="24"/>
        </w:rPr>
        <w:t>What constitutes a reasonable interest rate is not a question of law</w:t>
      </w:r>
      <w:r w:rsidR="003F4F7F" w:rsidRPr="0041611C">
        <w:rPr>
          <w:rFonts w:cs="Arial"/>
          <w:szCs w:val="24"/>
        </w:rPr>
        <w:t>. It is a question of fact</w:t>
      </w:r>
      <w:r w:rsidR="00604C5D" w:rsidRPr="0041611C">
        <w:rPr>
          <w:rFonts w:cs="Arial"/>
          <w:szCs w:val="24"/>
        </w:rPr>
        <w:t xml:space="preserve"> which must be pleaded. Use of particular </w:t>
      </w:r>
      <w:r w:rsidR="00E653BC" w:rsidRPr="0041611C">
        <w:rPr>
          <w:rFonts w:cs="Arial"/>
          <w:szCs w:val="24"/>
        </w:rPr>
        <w:t>pricing model whether it is CAPM or some other is matter for expert evidence</w:t>
      </w:r>
      <w:r w:rsidR="00BE65F1" w:rsidRPr="0041611C">
        <w:rPr>
          <w:rFonts w:cs="Arial"/>
          <w:szCs w:val="24"/>
        </w:rPr>
        <w:t xml:space="preserve"> requiring both motivation and calculation. This is so elementary a legal proposition it does not require aut</w:t>
      </w:r>
      <w:r w:rsidR="00D6180F" w:rsidRPr="0041611C">
        <w:rPr>
          <w:rFonts w:cs="Arial"/>
          <w:szCs w:val="24"/>
        </w:rPr>
        <w:t>hority to establish but to the extent that it does</w:t>
      </w:r>
      <w:r w:rsidR="005C78C6" w:rsidRPr="0041611C">
        <w:rPr>
          <w:rFonts w:cs="Arial"/>
          <w:szCs w:val="24"/>
        </w:rPr>
        <w:t>,</w:t>
      </w:r>
      <w:r w:rsidR="00D6180F" w:rsidRPr="0041611C">
        <w:rPr>
          <w:rFonts w:cs="Arial"/>
          <w:szCs w:val="24"/>
        </w:rPr>
        <w:t xml:space="preserve"> as counsel for Arrowhead point out</w:t>
      </w:r>
      <w:r w:rsidR="005C78C6" w:rsidRPr="0041611C">
        <w:rPr>
          <w:rFonts w:cs="Arial"/>
          <w:szCs w:val="24"/>
        </w:rPr>
        <w:t>,</w:t>
      </w:r>
      <w:r w:rsidR="00D6180F" w:rsidRPr="0041611C">
        <w:rPr>
          <w:rFonts w:cs="Arial"/>
          <w:szCs w:val="24"/>
        </w:rPr>
        <w:t xml:space="preserve"> the case of </w:t>
      </w:r>
      <w:proofErr w:type="spellStart"/>
      <w:r w:rsidR="009557C3" w:rsidRPr="0041611C">
        <w:rPr>
          <w:rFonts w:cs="Arial"/>
          <w:i/>
          <w:iCs/>
          <w:szCs w:val="24"/>
        </w:rPr>
        <w:t>Molusi</w:t>
      </w:r>
      <w:proofErr w:type="spellEnd"/>
      <w:r w:rsidR="009557C3" w:rsidRPr="0041611C">
        <w:rPr>
          <w:rFonts w:cs="Arial"/>
          <w:i/>
          <w:iCs/>
          <w:szCs w:val="24"/>
        </w:rPr>
        <w:t xml:space="preserve"> and Others v Voges NO and Others </w:t>
      </w:r>
      <w:r w:rsidR="00337BBB" w:rsidRPr="0041611C">
        <w:rPr>
          <w:rFonts w:cs="Arial"/>
          <w:szCs w:val="24"/>
        </w:rPr>
        <w:t xml:space="preserve">does </w:t>
      </w:r>
      <w:r w:rsidR="00F079C0" w:rsidRPr="0041611C">
        <w:rPr>
          <w:rFonts w:cs="Arial"/>
          <w:szCs w:val="24"/>
        </w:rPr>
        <w:t>so.</w:t>
      </w:r>
      <w:r w:rsidR="00337BBB" w:rsidRPr="0041611C">
        <w:rPr>
          <w:rFonts w:cs="Arial"/>
          <w:szCs w:val="24"/>
        </w:rPr>
        <w:t xml:space="preserve"> There the Constitutional Court held</w:t>
      </w:r>
      <w:r w:rsidR="005B2C4C" w:rsidRPr="0041611C">
        <w:rPr>
          <w:rFonts w:cs="Arial"/>
          <w:szCs w:val="24"/>
        </w:rPr>
        <w:t>;</w:t>
      </w:r>
    </w:p>
    <w:p w14:paraId="68DAE166" w14:textId="77777777" w:rsidR="00A069E1" w:rsidRPr="00A069E1" w:rsidRDefault="00A069E1" w:rsidP="0041611C">
      <w:pPr>
        <w:pStyle w:val="ListParagraph"/>
        <w:spacing w:after="360" w:line="480" w:lineRule="auto"/>
        <w:ind w:left="1440"/>
        <w:jc w:val="both"/>
        <w:rPr>
          <w:rFonts w:cs="Arial"/>
          <w:i/>
          <w:iCs/>
          <w:szCs w:val="24"/>
        </w:rPr>
      </w:pPr>
      <w:r w:rsidRPr="00A069E1">
        <w:rPr>
          <w:rFonts w:cs="Arial"/>
          <w:i/>
          <w:iCs/>
          <w:szCs w:val="24"/>
        </w:rPr>
        <w:t xml:space="preserve">“It is trite law that in application proceedings the notice of motion and affidavits define the issues between the parties and the affidavits embody evidence. As correctly stated by the Supreme Court of Appeal in </w:t>
      </w:r>
      <w:proofErr w:type="spellStart"/>
      <w:r w:rsidRPr="00A069E1">
        <w:rPr>
          <w:rFonts w:cs="Arial"/>
          <w:i/>
          <w:iCs/>
          <w:szCs w:val="24"/>
        </w:rPr>
        <w:t>Sunker</w:t>
      </w:r>
      <w:proofErr w:type="spellEnd"/>
      <w:r w:rsidRPr="00A069E1">
        <w:rPr>
          <w:rFonts w:cs="Arial"/>
          <w:i/>
          <w:iCs/>
          <w:szCs w:val="24"/>
        </w:rPr>
        <w:t xml:space="preserve">: </w:t>
      </w:r>
    </w:p>
    <w:p w14:paraId="402BA325" w14:textId="04724250" w:rsidR="00A069E1" w:rsidRPr="00337BBB" w:rsidRDefault="00A069E1" w:rsidP="0041611C">
      <w:pPr>
        <w:pStyle w:val="ListParagraph"/>
        <w:spacing w:after="360" w:line="480" w:lineRule="auto"/>
        <w:ind w:left="1440"/>
        <w:jc w:val="both"/>
        <w:rPr>
          <w:rFonts w:cs="Arial"/>
          <w:i/>
          <w:iCs/>
          <w:szCs w:val="24"/>
        </w:rPr>
      </w:pPr>
      <w:r w:rsidRPr="00A069E1">
        <w:rPr>
          <w:rFonts w:cs="Arial"/>
          <w:i/>
          <w:iCs/>
          <w:szCs w:val="24"/>
        </w:rPr>
        <w:lastRenderedPageBreak/>
        <w:t>‘If an issue is not cognisable or derivable from these sources, there is little or no scope for reliance on it. It is a fundamental rule of fair civil proceedings that parties . . . should be apprised of the case which they are required to meet; one of the manifestations of the rule is that he who [asserts] . . . must . . . formulate his case sufficiently clearly so as to indicate what he is relying on.’</w:t>
      </w:r>
      <w:r w:rsidR="009557C3">
        <w:rPr>
          <w:rStyle w:val="FootnoteReference"/>
          <w:rFonts w:cs="Arial"/>
          <w:i/>
          <w:iCs/>
          <w:szCs w:val="24"/>
        </w:rPr>
        <w:footnoteReference w:id="11"/>
      </w:r>
    </w:p>
    <w:p w14:paraId="774EF3AA" w14:textId="6BB01222" w:rsidR="001D502C" w:rsidRPr="0041611C" w:rsidRDefault="0041611C" w:rsidP="0041611C">
      <w:pPr>
        <w:spacing w:after="360" w:line="480" w:lineRule="auto"/>
        <w:ind w:left="720" w:hanging="720"/>
        <w:jc w:val="both"/>
        <w:rPr>
          <w:rFonts w:cs="Arial"/>
          <w:i/>
          <w:iCs/>
          <w:szCs w:val="24"/>
        </w:rPr>
      </w:pPr>
      <w:r>
        <w:rPr>
          <w:rFonts w:cs="Arial"/>
          <w:szCs w:val="24"/>
        </w:rPr>
        <w:t>[32]</w:t>
      </w:r>
      <w:r>
        <w:rPr>
          <w:rFonts w:cs="Arial"/>
          <w:szCs w:val="24"/>
        </w:rPr>
        <w:tab/>
      </w:r>
      <w:r w:rsidR="007B5DE4">
        <w:rPr>
          <w:rFonts w:cs="Arial"/>
          <w:szCs w:val="24"/>
        </w:rPr>
        <w:t>To summarise. The applicants needed to make out in their founding papers what reasonable rate of interest they were contending for and the factual basis for doing so. They did this only in respect of the prescribed rate, not what they now contend for.</w:t>
      </w:r>
      <w:r w:rsidR="00CC15A6" w:rsidRPr="0041611C">
        <w:rPr>
          <w:rFonts w:cs="Arial"/>
          <w:szCs w:val="24"/>
        </w:rPr>
        <w:t xml:space="preserve"> This claim therefore cannot be sustained.</w:t>
      </w:r>
      <w:r w:rsidR="00F079C0" w:rsidRPr="0041611C">
        <w:rPr>
          <w:rFonts w:cs="Arial"/>
          <w:szCs w:val="24"/>
        </w:rPr>
        <w:t xml:space="preserve"> </w:t>
      </w:r>
      <w:r w:rsidR="00337BBB" w:rsidRPr="0041611C">
        <w:rPr>
          <w:rFonts w:cs="Arial"/>
          <w:szCs w:val="24"/>
        </w:rPr>
        <w:t xml:space="preserve">This then leaves the question of whether the applicants should be denied </w:t>
      </w:r>
      <w:r w:rsidR="00284700" w:rsidRPr="0041611C">
        <w:rPr>
          <w:rFonts w:cs="Arial"/>
          <w:szCs w:val="24"/>
        </w:rPr>
        <w:t xml:space="preserve">any interest at all. That was the primary contention advanced by </w:t>
      </w:r>
      <w:r w:rsidR="00F11DE3" w:rsidRPr="0041611C">
        <w:rPr>
          <w:rFonts w:cs="Arial"/>
          <w:szCs w:val="24"/>
        </w:rPr>
        <w:t xml:space="preserve">Arrowhead. The basis for this argument was that </w:t>
      </w:r>
      <w:r w:rsidR="00360C3E" w:rsidRPr="0041611C">
        <w:rPr>
          <w:rFonts w:cs="Arial"/>
          <w:szCs w:val="24"/>
        </w:rPr>
        <w:t xml:space="preserve">the applicants conduct in persisting </w:t>
      </w:r>
      <w:r w:rsidR="00F11DE3" w:rsidRPr="0041611C">
        <w:rPr>
          <w:rFonts w:cs="Arial"/>
          <w:szCs w:val="24"/>
        </w:rPr>
        <w:t xml:space="preserve">with this litigation </w:t>
      </w:r>
      <w:r w:rsidR="007D54C8" w:rsidRPr="0041611C">
        <w:rPr>
          <w:rFonts w:cs="Arial"/>
          <w:szCs w:val="24"/>
        </w:rPr>
        <w:t>should be met with disapproval</w:t>
      </w:r>
      <w:r w:rsidR="00CF0E63" w:rsidRPr="0041611C">
        <w:rPr>
          <w:rFonts w:cs="Arial"/>
          <w:szCs w:val="24"/>
        </w:rPr>
        <w:t>,</w:t>
      </w:r>
      <w:r w:rsidR="007D54C8" w:rsidRPr="0041611C">
        <w:rPr>
          <w:rFonts w:cs="Arial"/>
          <w:szCs w:val="24"/>
        </w:rPr>
        <w:t xml:space="preserve"> and hence a denial of interest</w:t>
      </w:r>
      <w:r w:rsidR="00CF0E63" w:rsidRPr="0041611C">
        <w:rPr>
          <w:rFonts w:cs="Arial"/>
          <w:szCs w:val="24"/>
        </w:rPr>
        <w:t>,</w:t>
      </w:r>
      <w:r w:rsidR="007D54C8" w:rsidRPr="0041611C">
        <w:rPr>
          <w:rFonts w:cs="Arial"/>
          <w:szCs w:val="24"/>
        </w:rPr>
        <w:t xml:space="preserve"> because </w:t>
      </w:r>
      <w:r w:rsidR="00F11DE3" w:rsidRPr="0041611C">
        <w:rPr>
          <w:rFonts w:cs="Arial"/>
          <w:szCs w:val="24"/>
        </w:rPr>
        <w:t xml:space="preserve">the court </w:t>
      </w:r>
      <w:r w:rsidR="007D54C8" w:rsidRPr="0041611C">
        <w:rPr>
          <w:rFonts w:cs="Arial"/>
          <w:szCs w:val="24"/>
        </w:rPr>
        <w:t xml:space="preserve">has </w:t>
      </w:r>
      <w:r w:rsidR="00F11DE3" w:rsidRPr="0041611C">
        <w:rPr>
          <w:rFonts w:cs="Arial"/>
          <w:szCs w:val="24"/>
        </w:rPr>
        <w:t>found the company’s offer reflected fair value</w:t>
      </w:r>
      <w:r w:rsidR="00F47CD9" w:rsidRPr="0041611C">
        <w:rPr>
          <w:rFonts w:cs="Arial"/>
          <w:szCs w:val="24"/>
        </w:rPr>
        <w:t xml:space="preserve"> and hence the litigation was opportunistic</w:t>
      </w:r>
      <w:r w:rsidR="00F11DE3" w:rsidRPr="0041611C">
        <w:rPr>
          <w:rFonts w:cs="Arial"/>
          <w:szCs w:val="24"/>
        </w:rPr>
        <w:t xml:space="preserve">. </w:t>
      </w:r>
    </w:p>
    <w:p w14:paraId="0F54F8A5" w14:textId="35267C43" w:rsidR="00337BBB" w:rsidRPr="0041611C" w:rsidRDefault="0041611C" w:rsidP="0041611C">
      <w:pPr>
        <w:spacing w:after="360" w:line="480" w:lineRule="auto"/>
        <w:ind w:left="720" w:hanging="720"/>
        <w:jc w:val="both"/>
        <w:rPr>
          <w:rFonts w:cs="Arial"/>
          <w:i/>
          <w:iCs/>
          <w:szCs w:val="24"/>
        </w:rPr>
      </w:pPr>
      <w:r>
        <w:rPr>
          <w:rFonts w:cs="Arial"/>
          <w:szCs w:val="24"/>
        </w:rPr>
        <w:t>[33]</w:t>
      </w:r>
      <w:r>
        <w:rPr>
          <w:rFonts w:cs="Arial"/>
          <w:szCs w:val="24"/>
        </w:rPr>
        <w:tab/>
      </w:r>
      <w:r w:rsidR="00F11DE3" w:rsidRPr="0041611C">
        <w:rPr>
          <w:rFonts w:cs="Arial"/>
          <w:szCs w:val="24"/>
        </w:rPr>
        <w:t>But as I remarked ea</w:t>
      </w:r>
      <w:r w:rsidR="008B3F77" w:rsidRPr="0041611C">
        <w:rPr>
          <w:rFonts w:cs="Arial"/>
          <w:szCs w:val="24"/>
        </w:rPr>
        <w:t>rlier</w:t>
      </w:r>
      <w:r w:rsidR="00813D6F" w:rsidRPr="0041611C">
        <w:rPr>
          <w:rFonts w:cs="Arial"/>
          <w:szCs w:val="24"/>
        </w:rPr>
        <w:t>,</w:t>
      </w:r>
      <w:r w:rsidR="008B3F77" w:rsidRPr="0041611C">
        <w:rPr>
          <w:rFonts w:cs="Arial"/>
          <w:szCs w:val="24"/>
        </w:rPr>
        <w:t xml:space="preserve"> the costs award in the section deals specifically with this </w:t>
      </w:r>
      <w:r w:rsidR="00813D6F" w:rsidRPr="0041611C">
        <w:rPr>
          <w:rFonts w:cs="Arial"/>
          <w:szCs w:val="24"/>
        </w:rPr>
        <w:t xml:space="preserve">conduct </w:t>
      </w:r>
      <w:r w:rsidR="008B3F77" w:rsidRPr="0041611C">
        <w:rPr>
          <w:rFonts w:cs="Arial"/>
          <w:szCs w:val="24"/>
        </w:rPr>
        <w:t>issue</w:t>
      </w:r>
      <w:r w:rsidR="00DD09D1" w:rsidRPr="0041611C">
        <w:rPr>
          <w:rFonts w:cs="Arial"/>
          <w:szCs w:val="24"/>
        </w:rPr>
        <w:t>.</w:t>
      </w:r>
      <w:r w:rsidR="008B3F77" w:rsidRPr="0041611C">
        <w:rPr>
          <w:rFonts w:cs="Arial"/>
          <w:szCs w:val="24"/>
        </w:rPr>
        <w:t xml:space="preserve"> </w:t>
      </w:r>
      <w:r w:rsidR="00DD09D1" w:rsidRPr="0041611C">
        <w:rPr>
          <w:rFonts w:cs="Arial"/>
          <w:szCs w:val="24"/>
        </w:rPr>
        <w:t>I</w:t>
      </w:r>
      <w:r w:rsidR="008B3F77" w:rsidRPr="0041611C">
        <w:rPr>
          <w:rFonts w:cs="Arial"/>
          <w:szCs w:val="24"/>
        </w:rPr>
        <w:t>t is not clear that the interest award should be used for this purpose as we</w:t>
      </w:r>
      <w:r w:rsidR="004169E1" w:rsidRPr="0041611C">
        <w:rPr>
          <w:rFonts w:cs="Arial"/>
          <w:szCs w:val="24"/>
        </w:rPr>
        <w:t>ll. Not</w:t>
      </w:r>
      <w:r w:rsidR="007B5DE4">
        <w:rPr>
          <w:rFonts w:cs="Arial"/>
          <w:szCs w:val="24"/>
        </w:rPr>
        <w:t>,</w:t>
      </w:r>
      <w:r w:rsidR="004169E1" w:rsidRPr="0041611C">
        <w:rPr>
          <w:rFonts w:cs="Arial"/>
          <w:szCs w:val="24"/>
        </w:rPr>
        <w:t xml:space="preserve"> at the very least</w:t>
      </w:r>
      <w:r w:rsidR="007B5DE4">
        <w:rPr>
          <w:rFonts w:cs="Arial"/>
          <w:szCs w:val="24"/>
        </w:rPr>
        <w:t>,</w:t>
      </w:r>
      <w:r w:rsidR="004169E1" w:rsidRPr="0041611C">
        <w:rPr>
          <w:rFonts w:cs="Arial"/>
          <w:szCs w:val="24"/>
        </w:rPr>
        <w:t xml:space="preserve"> without Arrowhead making out such a case in its </w:t>
      </w:r>
      <w:r w:rsidR="00DD09D1" w:rsidRPr="0041611C">
        <w:rPr>
          <w:rFonts w:cs="Arial"/>
          <w:szCs w:val="24"/>
        </w:rPr>
        <w:t xml:space="preserve">conditional </w:t>
      </w:r>
      <w:r w:rsidR="004169E1" w:rsidRPr="0041611C">
        <w:rPr>
          <w:rFonts w:cs="Arial"/>
          <w:szCs w:val="24"/>
        </w:rPr>
        <w:t xml:space="preserve">counter claim. It did not do so. In its answering affidavit in the main </w:t>
      </w:r>
      <w:r w:rsidR="009F2029" w:rsidRPr="0041611C">
        <w:rPr>
          <w:rFonts w:cs="Arial"/>
          <w:szCs w:val="24"/>
        </w:rPr>
        <w:t>claim,</w:t>
      </w:r>
      <w:r w:rsidR="004169E1" w:rsidRPr="0041611C">
        <w:rPr>
          <w:rFonts w:cs="Arial"/>
          <w:szCs w:val="24"/>
        </w:rPr>
        <w:t xml:space="preserve"> </w:t>
      </w:r>
      <w:r w:rsidR="00966923" w:rsidRPr="0041611C">
        <w:rPr>
          <w:rFonts w:cs="Arial"/>
          <w:szCs w:val="24"/>
        </w:rPr>
        <w:t xml:space="preserve">it put </w:t>
      </w:r>
      <w:r w:rsidR="00DD09D1" w:rsidRPr="0041611C">
        <w:rPr>
          <w:rFonts w:cs="Arial"/>
          <w:szCs w:val="24"/>
        </w:rPr>
        <w:t xml:space="preserve">up </w:t>
      </w:r>
      <w:r w:rsidR="00966923" w:rsidRPr="0041611C">
        <w:rPr>
          <w:rFonts w:cs="Arial"/>
          <w:szCs w:val="24"/>
        </w:rPr>
        <w:t>a bare denial.</w:t>
      </w:r>
      <w:r w:rsidR="00D7666D">
        <w:rPr>
          <w:rStyle w:val="FootnoteReference"/>
          <w:rFonts w:cs="Arial"/>
          <w:szCs w:val="24"/>
        </w:rPr>
        <w:footnoteReference w:id="12"/>
      </w:r>
      <w:r w:rsidR="00966923" w:rsidRPr="0041611C">
        <w:rPr>
          <w:rFonts w:cs="Arial"/>
          <w:szCs w:val="24"/>
        </w:rPr>
        <w:t xml:space="preserve"> It needed to do more than this to make a case</w:t>
      </w:r>
      <w:r w:rsidR="0040511D">
        <w:rPr>
          <w:rFonts w:cs="Arial"/>
          <w:szCs w:val="24"/>
        </w:rPr>
        <w:t xml:space="preserve">, as </w:t>
      </w:r>
      <w:r w:rsidR="0040511D">
        <w:rPr>
          <w:rFonts w:cs="Arial"/>
          <w:szCs w:val="24"/>
        </w:rPr>
        <w:lastRenderedPageBreak/>
        <w:t xml:space="preserve">it does now in the heads of argument, </w:t>
      </w:r>
      <w:r w:rsidR="00966923" w:rsidRPr="0041611C">
        <w:rPr>
          <w:rFonts w:cs="Arial"/>
          <w:szCs w:val="24"/>
        </w:rPr>
        <w:t xml:space="preserve">for no interest </w:t>
      </w:r>
      <w:r w:rsidR="007B5DE4">
        <w:rPr>
          <w:rFonts w:cs="Arial"/>
          <w:szCs w:val="24"/>
        </w:rPr>
        <w:t xml:space="preserve">to be </w:t>
      </w:r>
      <w:r w:rsidR="00966923" w:rsidRPr="0041611C">
        <w:rPr>
          <w:rFonts w:cs="Arial"/>
          <w:szCs w:val="24"/>
        </w:rPr>
        <w:t>pay</w:t>
      </w:r>
      <w:r w:rsidR="007B5DE4">
        <w:rPr>
          <w:rFonts w:cs="Arial"/>
          <w:szCs w:val="24"/>
        </w:rPr>
        <w:t>able</w:t>
      </w:r>
      <w:r w:rsidR="00966923" w:rsidRPr="0041611C">
        <w:rPr>
          <w:rFonts w:cs="Arial"/>
          <w:szCs w:val="24"/>
        </w:rPr>
        <w:t>.</w:t>
      </w:r>
      <w:r w:rsidR="0040511D">
        <w:rPr>
          <w:rFonts w:cs="Arial"/>
          <w:szCs w:val="24"/>
        </w:rPr>
        <w:t xml:space="preserve"> This is also a factual question – like the applicants, if it wanted the court to exercise this discretion in its favour, it needed to make this case out in the papers.</w:t>
      </w:r>
    </w:p>
    <w:p w14:paraId="04AEE8CE" w14:textId="569F8D05" w:rsidR="005B45BD" w:rsidRPr="0041611C" w:rsidRDefault="0041611C" w:rsidP="0041611C">
      <w:pPr>
        <w:spacing w:after="360" w:line="480" w:lineRule="auto"/>
        <w:ind w:left="720" w:hanging="720"/>
        <w:jc w:val="both"/>
        <w:rPr>
          <w:rFonts w:cs="Arial"/>
          <w:szCs w:val="24"/>
        </w:rPr>
      </w:pPr>
      <w:r>
        <w:rPr>
          <w:rFonts w:cs="Arial"/>
          <w:szCs w:val="24"/>
        </w:rPr>
        <w:t>[34]</w:t>
      </w:r>
      <w:r>
        <w:rPr>
          <w:rFonts w:cs="Arial"/>
          <w:szCs w:val="24"/>
        </w:rPr>
        <w:tab/>
      </w:r>
      <w:r w:rsidR="00640031" w:rsidRPr="0041611C">
        <w:rPr>
          <w:rFonts w:cs="Arial"/>
          <w:szCs w:val="24"/>
        </w:rPr>
        <w:t xml:space="preserve">To be fair to Arrowhead in the alternative it concedes to an award of interest in line with the founding affidavit. </w:t>
      </w:r>
      <w:r w:rsidR="00141E05" w:rsidRPr="0041611C">
        <w:rPr>
          <w:rFonts w:cs="Arial"/>
          <w:szCs w:val="24"/>
        </w:rPr>
        <w:t xml:space="preserve">This is the position I will adopt. This is because in this matter this is the case made out on the papers and which has not been seriously disputed by </w:t>
      </w:r>
      <w:r w:rsidR="00017BCE" w:rsidRPr="0041611C">
        <w:rPr>
          <w:rFonts w:cs="Arial"/>
          <w:szCs w:val="24"/>
        </w:rPr>
        <w:t>Arrowhead. The applicants are entitled</w:t>
      </w:r>
      <w:r w:rsidR="00A91B89" w:rsidRPr="0041611C">
        <w:rPr>
          <w:rFonts w:cs="Arial"/>
          <w:szCs w:val="24"/>
        </w:rPr>
        <w:t>,</w:t>
      </w:r>
      <w:r w:rsidR="00017BCE" w:rsidRPr="0041611C">
        <w:rPr>
          <w:rFonts w:cs="Arial"/>
          <w:szCs w:val="24"/>
        </w:rPr>
        <w:t xml:space="preserve"> absent any evidence </w:t>
      </w:r>
      <w:r w:rsidR="001B0DBC" w:rsidRPr="0041611C">
        <w:rPr>
          <w:rFonts w:cs="Arial"/>
          <w:szCs w:val="24"/>
        </w:rPr>
        <w:t xml:space="preserve">to the contrary, </w:t>
      </w:r>
      <w:r w:rsidR="00017BCE" w:rsidRPr="0041611C">
        <w:rPr>
          <w:rFonts w:cs="Arial"/>
          <w:szCs w:val="24"/>
        </w:rPr>
        <w:t xml:space="preserve">to be compensated by way of interest for the period between the </w:t>
      </w:r>
      <w:r w:rsidR="00661616" w:rsidRPr="0041611C">
        <w:rPr>
          <w:rFonts w:cs="Arial"/>
          <w:szCs w:val="24"/>
        </w:rPr>
        <w:t xml:space="preserve">date of the resolution </w:t>
      </w:r>
      <w:r w:rsidR="008D0F48" w:rsidRPr="0041611C">
        <w:rPr>
          <w:rFonts w:cs="Arial"/>
          <w:szCs w:val="24"/>
        </w:rPr>
        <w:t>(23</w:t>
      </w:r>
      <w:r w:rsidR="0045282A" w:rsidRPr="0041611C">
        <w:rPr>
          <w:rFonts w:cs="Arial"/>
          <w:szCs w:val="24"/>
        </w:rPr>
        <w:t xml:space="preserve"> September 2019) </w:t>
      </w:r>
      <w:r w:rsidR="00017BCE" w:rsidRPr="0041611C">
        <w:rPr>
          <w:rFonts w:cs="Arial"/>
          <w:szCs w:val="24"/>
        </w:rPr>
        <w:t>and</w:t>
      </w:r>
      <w:r w:rsidR="0045282A" w:rsidRPr="0041611C">
        <w:rPr>
          <w:rFonts w:cs="Arial"/>
          <w:szCs w:val="24"/>
        </w:rPr>
        <w:t xml:space="preserve"> the date of payment</w:t>
      </w:r>
      <w:r w:rsidR="00017BCE" w:rsidRPr="0041611C">
        <w:rPr>
          <w:rFonts w:cs="Arial"/>
          <w:szCs w:val="24"/>
        </w:rPr>
        <w:t>.</w:t>
      </w:r>
      <w:r w:rsidR="00E652AA" w:rsidRPr="0041611C">
        <w:rPr>
          <w:rFonts w:cs="Arial"/>
          <w:szCs w:val="24"/>
        </w:rPr>
        <w:t xml:space="preserve"> </w:t>
      </w:r>
      <w:r w:rsidR="0070702F" w:rsidRPr="0041611C">
        <w:rPr>
          <w:rFonts w:cs="Arial"/>
          <w:szCs w:val="24"/>
        </w:rPr>
        <w:t>Their</w:t>
      </w:r>
      <w:r w:rsidR="00E652AA" w:rsidRPr="0041611C">
        <w:rPr>
          <w:rFonts w:cs="Arial"/>
          <w:szCs w:val="24"/>
        </w:rPr>
        <w:t xml:space="preserve"> claim was based on the prescribed rate of </w:t>
      </w:r>
      <w:r w:rsidR="00C46932" w:rsidRPr="0041611C">
        <w:rPr>
          <w:rFonts w:cs="Arial"/>
          <w:szCs w:val="24"/>
        </w:rPr>
        <w:t>interest,</w:t>
      </w:r>
      <w:r w:rsidR="00E652AA" w:rsidRPr="0041611C">
        <w:rPr>
          <w:rFonts w:cs="Arial"/>
          <w:szCs w:val="24"/>
        </w:rPr>
        <w:t xml:space="preserve"> and this </w:t>
      </w:r>
      <w:r w:rsidR="0070702F" w:rsidRPr="0041611C">
        <w:rPr>
          <w:rFonts w:cs="Arial"/>
          <w:szCs w:val="24"/>
        </w:rPr>
        <w:t>serves</w:t>
      </w:r>
      <w:r w:rsidR="003A6397" w:rsidRPr="0041611C">
        <w:rPr>
          <w:rFonts w:cs="Arial"/>
          <w:szCs w:val="24"/>
        </w:rPr>
        <w:t>,</w:t>
      </w:r>
      <w:r w:rsidR="0070702F" w:rsidRPr="0041611C">
        <w:rPr>
          <w:rFonts w:cs="Arial"/>
          <w:szCs w:val="24"/>
        </w:rPr>
        <w:t xml:space="preserve"> at least for the purpose of the record in this case</w:t>
      </w:r>
      <w:r w:rsidR="003A6397" w:rsidRPr="0041611C">
        <w:rPr>
          <w:rFonts w:cs="Arial"/>
          <w:szCs w:val="24"/>
        </w:rPr>
        <w:t>,</w:t>
      </w:r>
      <w:r w:rsidR="0070702F" w:rsidRPr="0041611C">
        <w:rPr>
          <w:rFonts w:cs="Arial"/>
          <w:szCs w:val="24"/>
        </w:rPr>
        <w:t xml:space="preserve"> to be a</w:t>
      </w:r>
      <w:r w:rsidR="003A6397" w:rsidRPr="0041611C">
        <w:rPr>
          <w:rFonts w:cs="Arial"/>
          <w:szCs w:val="24"/>
        </w:rPr>
        <w:t>n adequate</w:t>
      </w:r>
      <w:r w:rsidR="0070702F" w:rsidRPr="0041611C">
        <w:rPr>
          <w:rFonts w:cs="Arial"/>
          <w:szCs w:val="24"/>
        </w:rPr>
        <w:t xml:space="preserve"> proxy for a reasonable rate.</w:t>
      </w:r>
    </w:p>
    <w:p w14:paraId="251609AA" w14:textId="43E00865" w:rsidR="00017BCE" w:rsidRPr="00E652AA" w:rsidRDefault="00017BCE" w:rsidP="0041611C">
      <w:pPr>
        <w:pStyle w:val="ListParagraph"/>
        <w:spacing w:after="360" w:line="480" w:lineRule="auto"/>
        <w:ind w:left="360" w:firstLine="360"/>
        <w:jc w:val="both"/>
        <w:rPr>
          <w:rFonts w:cs="Arial"/>
          <w:b/>
          <w:bCs/>
          <w:i/>
          <w:iCs/>
          <w:szCs w:val="24"/>
        </w:rPr>
      </w:pPr>
      <w:r w:rsidRPr="00E652AA">
        <w:rPr>
          <w:rFonts w:cs="Arial"/>
          <w:b/>
          <w:bCs/>
          <w:szCs w:val="24"/>
        </w:rPr>
        <w:t xml:space="preserve">Costs </w:t>
      </w:r>
    </w:p>
    <w:p w14:paraId="6924BDA9" w14:textId="7CBEBBE2" w:rsidR="008D0F48" w:rsidRPr="0041611C" w:rsidRDefault="0041611C" w:rsidP="0041611C">
      <w:pPr>
        <w:spacing w:after="360" w:line="480" w:lineRule="auto"/>
        <w:jc w:val="both"/>
        <w:rPr>
          <w:rFonts w:cs="Arial"/>
          <w:szCs w:val="24"/>
        </w:rPr>
      </w:pPr>
      <w:r>
        <w:rPr>
          <w:rFonts w:cs="Arial"/>
          <w:szCs w:val="24"/>
        </w:rPr>
        <w:t>[35]</w:t>
      </w:r>
      <w:r>
        <w:rPr>
          <w:rFonts w:cs="Arial"/>
          <w:szCs w:val="24"/>
        </w:rPr>
        <w:tab/>
      </w:r>
      <w:r w:rsidR="00E663C1" w:rsidRPr="0041611C">
        <w:rPr>
          <w:rFonts w:cs="Arial"/>
          <w:szCs w:val="24"/>
        </w:rPr>
        <w:t>Since neither party was entirely successful each can bear its own costs.</w:t>
      </w:r>
    </w:p>
    <w:p w14:paraId="5E897A54" w14:textId="77777777" w:rsidR="0041611C" w:rsidRPr="0041611C" w:rsidRDefault="0041611C" w:rsidP="0041611C">
      <w:pPr>
        <w:spacing w:after="360" w:line="480" w:lineRule="auto"/>
        <w:ind w:firstLine="720"/>
        <w:jc w:val="both"/>
        <w:rPr>
          <w:rFonts w:eastAsia="MS Mincho" w:cs="Arial"/>
          <w:b/>
          <w:szCs w:val="24"/>
          <w:u w:val="single"/>
          <w:lang w:val="en-GB" w:eastAsia="ja-JP"/>
        </w:rPr>
      </w:pPr>
      <w:r w:rsidRPr="0041611C">
        <w:rPr>
          <w:rFonts w:eastAsia="MS Mincho" w:cs="Arial"/>
          <w:b/>
          <w:szCs w:val="24"/>
          <w:u w:val="single"/>
          <w:lang w:val="en-GB" w:eastAsia="ja-JP"/>
        </w:rPr>
        <w:t>ORDER: -</w:t>
      </w:r>
    </w:p>
    <w:p w14:paraId="668B038C" w14:textId="5B6A808E" w:rsidR="00011646" w:rsidRPr="00B00627" w:rsidRDefault="0041611C" w:rsidP="00C252B0">
      <w:pPr>
        <w:spacing w:after="120" w:line="480" w:lineRule="auto"/>
        <w:jc w:val="both"/>
        <w:rPr>
          <w:rFonts w:eastAsia="MS Mincho" w:cs="Arial"/>
          <w:szCs w:val="24"/>
          <w:lang w:val="en-GB" w:eastAsia="ja-JP"/>
        </w:rPr>
      </w:pPr>
      <w:r>
        <w:rPr>
          <w:rFonts w:eastAsia="MS Mincho" w:cs="Arial"/>
          <w:szCs w:val="24"/>
          <w:lang w:val="en-GB" w:eastAsia="ja-JP"/>
        </w:rPr>
        <w:t>[36</w:t>
      </w:r>
      <w:r w:rsidRPr="0041611C">
        <w:rPr>
          <w:rFonts w:eastAsia="MS Mincho" w:cs="Arial"/>
          <w:szCs w:val="24"/>
          <w:lang w:val="en-GB" w:eastAsia="ja-JP"/>
        </w:rPr>
        <w:t xml:space="preserve">] </w:t>
      </w:r>
      <w:r w:rsidRPr="0041611C">
        <w:rPr>
          <w:rFonts w:eastAsia="MS Mincho" w:cs="Arial"/>
          <w:szCs w:val="24"/>
          <w:lang w:val="en-GB" w:eastAsia="ja-JP"/>
        </w:rPr>
        <w:tab/>
        <w:t>In the result the following order is made:</w:t>
      </w:r>
    </w:p>
    <w:p w14:paraId="1263C47A" w14:textId="3F4B3F5C" w:rsidR="00300981" w:rsidRPr="00E663C1" w:rsidRDefault="003A1783" w:rsidP="00B00627">
      <w:pPr>
        <w:pStyle w:val="ListParagraph"/>
        <w:spacing w:after="360" w:line="480" w:lineRule="auto"/>
        <w:jc w:val="both"/>
        <w:rPr>
          <w:rFonts w:cs="Arial"/>
          <w:b/>
          <w:bCs/>
          <w:i/>
          <w:iCs/>
          <w:szCs w:val="24"/>
        </w:rPr>
      </w:pPr>
      <w:r>
        <w:rPr>
          <w:rFonts w:cs="Arial"/>
          <w:szCs w:val="24"/>
        </w:rPr>
        <w:t>In terms of Rule 42(1)(b) of the Uniform Rules</w:t>
      </w:r>
      <w:r w:rsidR="00011646">
        <w:rPr>
          <w:rFonts w:cs="Arial"/>
          <w:szCs w:val="24"/>
        </w:rPr>
        <w:t>,</w:t>
      </w:r>
      <w:r>
        <w:rPr>
          <w:rFonts w:cs="Arial"/>
          <w:szCs w:val="24"/>
        </w:rPr>
        <w:t xml:space="preserve"> </w:t>
      </w:r>
      <w:r w:rsidR="00715F78">
        <w:rPr>
          <w:rFonts w:cs="Arial"/>
          <w:szCs w:val="24"/>
        </w:rPr>
        <w:t xml:space="preserve">read with section </w:t>
      </w:r>
      <w:r w:rsidR="00715F78" w:rsidRPr="00BA0F02">
        <w:rPr>
          <w:rFonts w:cs="Arial"/>
          <w:szCs w:val="24"/>
        </w:rPr>
        <w:t>164(15)(c) (iii) (bb)</w:t>
      </w:r>
      <w:r w:rsidR="00715F78">
        <w:rPr>
          <w:rFonts w:cs="Arial"/>
          <w:szCs w:val="24"/>
        </w:rPr>
        <w:t xml:space="preserve"> of the Act, </w:t>
      </w:r>
      <w:r>
        <w:rPr>
          <w:rFonts w:cs="Arial"/>
          <w:szCs w:val="24"/>
        </w:rPr>
        <w:t>t</w:t>
      </w:r>
      <w:r w:rsidR="00300981">
        <w:rPr>
          <w:rFonts w:cs="Arial"/>
          <w:szCs w:val="24"/>
        </w:rPr>
        <w:t>he C</w:t>
      </w:r>
      <w:r w:rsidR="009B7FBF">
        <w:rPr>
          <w:rFonts w:cs="Arial"/>
          <w:szCs w:val="24"/>
        </w:rPr>
        <w:t xml:space="preserve">ourt’s order </w:t>
      </w:r>
      <w:r w:rsidR="004E3D2F">
        <w:rPr>
          <w:rFonts w:cs="Arial"/>
          <w:szCs w:val="24"/>
        </w:rPr>
        <w:t xml:space="preserve">of 22 October 2022 </w:t>
      </w:r>
      <w:r w:rsidR="001E2061">
        <w:rPr>
          <w:rFonts w:cs="Arial"/>
          <w:szCs w:val="24"/>
        </w:rPr>
        <w:t>is varied</w:t>
      </w:r>
      <w:r w:rsidR="001F5FA3">
        <w:rPr>
          <w:rFonts w:cs="Arial"/>
          <w:szCs w:val="24"/>
        </w:rPr>
        <w:t>,</w:t>
      </w:r>
      <w:r w:rsidR="00370352">
        <w:rPr>
          <w:rFonts w:cs="Arial"/>
          <w:szCs w:val="24"/>
        </w:rPr>
        <w:t xml:space="preserve"> </w:t>
      </w:r>
      <w:r w:rsidR="007F5CB6">
        <w:rPr>
          <w:rFonts w:cs="Arial"/>
          <w:szCs w:val="24"/>
        </w:rPr>
        <w:t>by the</w:t>
      </w:r>
      <w:r w:rsidR="001F5FA3">
        <w:rPr>
          <w:rFonts w:cs="Arial"/>
          <w:szCs w:val="24"/>
        </w:rPr>
        <w:t xml:space="preserve"> addition of the </w:t>
      </w:r>
      <w:r w:rsidR="007F5CB6">
        <w:rPr>
          <w:rFonts w:cs="Arial"/>
          <w:szCs w:val="24"/>
        </w:rPr>
        <w:t>following additional paragraph</w:t>
      </w:r>
      <w:r w:rsidR="002806C2">
        <w:rPr>
          <w:rFonts w:cs="Arial"/>
          <w:szCs w:val="24"/>
        </w:rPr>
        <w:t>s</w:t>
      </w:r>
      <w:r w:rsidR="0008157B">
        <w:rPr>
          <w:rFonts w:cs="Arial"/>
          <w:szCs w:val="24"/>
        </w:rPr>
        <w:t>,</w:t>
      </w:r>
      <w:r w:rsidR="00AA5DAE">
        <w:rPr>
          <w:rFonts w:cs="Arial"/>
          <w:szCs w:val="24"/>
        </w:rPr>
        <w:t xml:space="preserve"> which will become paragraph</w:t>
      </w:r>
      <w:r w:rsidR="00380390">
        <w:rPr>
          <w:rFonts w:cs="Arial"/>
          <w:szCs w:val="24"/>
        </w:rPr>
        <w:t>s</w:t>
      </w:r>
      <w:r w:rsidR="00AA5DAE">
        <w:rPr>
          <w:rFonts w:cs="Arial"/>
          <w:szCs w:val="24"/>
        </w:rPr>
        <w:t xml:space="preserve"> 4 </w:t>
      </w:r>
      <w:r w:rsidR="00380390">
        <w:rPr>
          <w:rFonts w:cs="Arial"/>
          <w:szCs w:val="24"/>
        </w:rPr>
        <w:t xml:space="preserve">and 5 </w:t>
      </w:r>
      <w:r w:rsidR="00AA5DAE">
        <w:rPr>
          <w:rFonts w:cs="Arial"/>
          <w:szCs w:val="24"/>
        </w:rPr>
        <w:t>of that order:</w:t>
      </w:r>
    </w:p>
    <w:p w14:paraId="7A3F9FB2" w14:textId="177723FB" w:rsidR="00E663C1" w:rsidRPr="00380390" w:rsidRDefault="006D64AF" w:rsidP="0041611C">
      <w:pPr>
        <w:pStyle w:val="ListParagraph"/>
        <w:numPr>
          <w:ilvl w:val="0"/>
          <w:numId w:val="4"/>
        </w:numPr>
        <w:spacing w:after="360" w:line="480" w:lineRule="auto"/>
        <w:jc w:val="both"/>
        <w:rPr>
          <w:rFonts w:cs="Arial"/>
          <w:b/>
          <w:bCs/>
          <w:i/>
          <w:iCs/>
          <w:szCs w:val="24"/>
        </w:rPr>
      </w:pPr>
      <w:r>
        <w:rPr>
          <w:rFonts w:cs="Arial"/>
          <w:szCs w:val="24"/>
        </w:rPr>
        <w:lastRenderedPageBreak/>
        <w:t xml:space="preserve">The applicants are awarded interest on </w:t>
      </w:r>
      <w:r w:rsidR="00681871">
        <w:rPr>
          <w:rFonts w:cs="Arial"/>
          <w:szCs w:val="24"/>
        </w:rPr>
        <w:t>the determined fair value of their shares</w:t>
      </w:r>
      <w:r w:rsidR="0008157B">
        <w:rPr>
          <w:rFonts w:cs="Arial"/>
          <w:szCs w:val="24"/>
        </w:rPr>
        <w:t xml:space="preserve">, for the period </w:t>
      </w:r>
      <w:r w:rsidR="00C4435B">
        <w:rPr>
          <w:rFonts w:cs="Arial"/>
          <w:szCs w:val="24"/>
        </w:rPr>
        <w:t>from 23 September 2019</w:t>
      </w:r>
      <w:r w:rsidR="00681871">
        <w:rPr>
          <w:rFonts w:cs="Arial"/>
          <w:szCs w:val="24"/>
        </w:rPr>
        <w:t xml:space="preserve"> to the date of payment. This amount is payable at the </w:t>
      </w:r>
      <w:r w:rsidR="00F37503">
        <w:rPr>
          <w:rFonts w:cs="Arial"/>
          <w:szCs w:val="24"/>
        </w:rPr>
        <w:t xml:space="preserve">prescribed </w:t>
      </w:r>
      <w:r w:rsidR="00681871">
        <w:rPr>
          <w:rFonts w:cs="Arial"/>
          <w:szCs w:val="24"/>
        </w:rPr>
        <w:t xml:space="preserve">legal rate </w:t>
      </w:r>
      <w:r w:rsidR="00F37503">
        <w:rPr>
          <w:rFonts w:cs="Arial"/>
          <w:szCs w:val="24"/>
        </w:rPr>
        <w:t xml:space="preserve">of interest </w:t>
      </w:r>
      <w:r w:rsidR="00681871">
        <w:rPr>
          <w:rFonts w:cs="Arial"/>
          <w:szCs w:val="24"/>
        </w:rPr>
        <w:t>applicable during this time period</w:t>
      </w:r>
      <w:r w:rsidR="00AB72C4">
        <w:rPr>
          <w:rFonts w:cs="Arial"/>
          <w:szCs w:val="24"/>
        </w:rPr>
        <w:t>,</w:t>
      </w:r>
      <w:r w:rsidR="00681871">
        <w:rPr>
          <w:rFonts w:cs="Arial"/>
          <w:szCs w:val="24"/>
        </w:rPr>
        <w:t xml:space="preserve"> without compounding. </w:t>
      </w:r>
    </w:p>
    <w:p w14:paraId="68921E56" w14:textId="6B189C33" w:rsidR="00380390" w:rsidRPr="00681871" w:rsidRDefault="00AB72C4" w:rsidP="0041611C">
      <w:pPr>
        <w:pStyle w:val="ListParagraph"/>
        <w:numPr>
          <w:ilvl w:val="0"/>
          <w:numId w:val="4"/>
        </w:numPr>
        <w:spacing w:after="360" w:line="480" w:lineRule="auto"/>
        <w:jc w:val="both"/>
        <w:rPr>
          <w:rFonts w:cs="Arial"/>
          <w:b/>
          <w:bCs/>
          <w:i/>
          <w:iCs/>
          <w:szCs w:val="24"/>
        </w:rPr>
      </w:pPr>
      <w:r>
        <w:rPr>
          <w:rFonts w:cs="Arial"/>
          <w:szCs w:val="24"/>
        </w:rPr>
        <w:t>There is no order as to costs i</w:t>
      </w:r>
      <w:r w:rsidR="003506F1">
        <w:rPr>
          <w:rFonts w:cs="Arial"/>
          <w:szCs w:val="24"/>
        </w:rPr>
        <w:t xml:space="preserve">n respect of the application for interest payment in terms of section </w:t>
      </w:r>
      <w:r w:rsidR="00BA0F02" w:rsidRPr="00BA0F02">
        <w:rPr>
          <w:rFonts w:cs="Arial"/>
          <w:szCs w:val="24"/>
        </w:rPr>
        <w:t>164(15</w:t>
      </w:r>
      <w:proofErr w:type="gramStart"/>
      <w:r w:rsidR="00BA0F02" w:rsidRPr="00BA0F02">
        <w:rPr>
          <w:rFonts w:cs="Arial"/>
          <w:szCs w:val="24"/>
        </w:rPr>
        <w:t>)(</w:t>
      </w:r>
      <w:proofErr w:type="gramEnd"/>
      <w:r w:rsidR="00BA0F02" w:rsidRPr="00BA0F02">
        <w:rPr>
          <w:rFonts w:cs="Arial"/>
          <w:szCs w:val="24"/>
        </w:rPr>
        <w:t>c) (iii) (bb)</w:t>
      </w:r>
      <w:r w:rsidR="00BA0F02">
        <w:rPr>
          <w:rFonts w:cs="Arial"/>
          <w:szCs w:val="24"/>
        </w:rPr>
        <w:t xml:space="preserve"> of the Act</w:t>
      </w:r>
      <w:r w:rsidR="001A3DE2">
        <w:rPr>
          <w:rFonts w:cs="Arial"/>
          <w:szCs w:val="24"/>
        </w:rPr>
        <w:t>.</w:t>
      </w:r>
      <w:r w:rsidR="00BA0F02">
        <w:rPr>
          <w:rFonts w:cs="Arial"/>
          <w:szCs w:val="24"/>
        </w:rPr>
        <w:t xml:space="preserve"> </w:t>
      </w:r>
    </w:p>
    <w:p w14:paraId="718E1885" w14:textId="77777777" w:rsidR="00681871" w:rsidRDefault="00681871" w:rsidP="00077776">
      <w:pPr>
        <w:spacing w:line="360" w:lineRule="auto"/>
        <w:jc w:val="both"/>
        <w:rPr>
          <w:rFonts w:cs="Arial"/>
          <w:szCs w:val="24"/>
        </w:rPr>
      </w:pPr>
    </w:p>
    <w:p w14:paraId="3380269D" w14:textId="77777777" w:rsidR="00C74A31" w:rsidRDefault="00C74A31" w:rsidP="00077776">
      <w:pPr>
        <w:spacing w:line="360" w:lineRule="auto"/>
        <w:jc w:val="both"/>
        <w:rPr>
          <w:rFonts w:cs="Arial"/>
          <w:szCs w:val="24"/>
        </w:rPr>
      </w:pPr>
    </w:p>
    <w:p w14:paraId="514A427D" w14:textId="77777777" w:rsidR="007614D0" w:rsidRPr="007614D0" w:rsidRDefault="007614D0" w:rsidP="007614D0">
      <w:pPr>
        <w:spacing w:after="0" w:line="480" w:lineRule="auto"/>
        <w:jc w:val="right"/>
        <w:rPr>
          <w:rFonts w:eastAsia="MS Mincho" w:cs="Arial"/>
          <w:b/>
          <w:szCs w:val="24"/>
          <w:lang w:val="en-GB" w:eastAsia="ja-JP"/>
        </w:rPr>
      </w:pPr>
      <w:r w:rsidRPr="007614D0">
        <w:rPr>
          <w:rFonts w:eastAsia="MS Mincho" w:cs="Arial"/>
          <w:b/>
          <w:szCs w:val="24"/>
          <w:lang w:val="en-GB" w:eastAsia="ja-JP"/>
        </w:rPr>
        <w:t>_____________________________</w:t>
      </w:r>
    </w:p>
    <w:p w14:paraId="28E59804" w14:textId="77777777" w:rsidR="007614D0" w:rsidRPr="007614D0" w:rsidRDefault="007614D0" w:rsidP="007614D0">
      <w:pPr>
        <w:spacing w:after="0" w:line="360" w:lineRule="auto"/>
        <w:jc w:val="right"/>
        <w:rPr>
          <w:rFonts w:eastAsia="MS Mincho" w:cs="Arial"/>
          <w:b/>
          <w:szCs w:val="24"/>
          <w:lang w:val="en-GB" w:eastAsia="ja-JP"/>
        </w:rPr>
      </w:pPr>
      <w:r w:rsidRPr="007614D0">
        <w:rPr>
          <w:rFonts w:eastAsia="MS Mincho" w:cs="Arial"/>
          <w:b/>
          <w:szCs w:val="24"/>
          <w:lang w:val="en-GB" w:eastAsia="ja-JP"/>
        </w:rPr>
        <w:t>N.  MANOIM</w:t>
      </w:r>
    </w:p>
    <w:p w14:paraId="0B05ACCB" w14:textId="77777777" w:rsidR="007614D0" w:rsidRPr="007614D0" w:rsidRDefault="007614D0" w:rsidP="007614D0">
      <w:pPr>
        <w:spacing w:after="0" w:line="360" w:lineRule="auto"/>
        <w:jc w:val="right"/>
        <w:rPr>
          <w:rFonts w:eastAsia="MS Mincho" w:cs="Arial"/>
          <w:b/>
          <w:szCs w:val="24"/>
          <w:lang w:val="en-GB" w:eastAsia="ja-JP"/>
        </w:rPr>
      </w:pPr>
      <w:r w:rsidRPr="007614D0">
        <w:rPr>
          <w:rFonts w:eastAsia="MS Mincho" w:cs="Arial"/>
          <w:b/>
          <w:szCs w:val="24"/>
          <w:lang w:val="en-GB" w:eastAsia="ja-JP"/>
        </w:rPr>
        <w:t>JUDGE OF THE HIGH COURT</w:t>
      </w:r>
    </w:p>
    <w:p w14:paraId="73C2AB54" w14:textId="77777777" w:rsidR="007614D0" w:rsidRPr="007614D0" w:rsidRDefault="007614D0" w:rsidP="007614D0">
      <w:pPr>
        <w:spacing w:after="0" w:line="360" w:lineRule="auto"/>
        <w:jc w:val="right"/>
        <w:rPr>
          <w:rFonts w:eastAsia="MS Mincho" w:cs="Arial"/>
          <w:b/>
          <w:szCs w:val="24"/>
          <w:lang w:val="en-GB" w:eastAsia="ja-JP"/>
        </w:rPr>
      </w:pPr>
      <w:r w:rsidRPr="007614D0">
        <w:rPr>
          <w:rFonts w:eastAsia="MS Mincho" w:cs="Arial"/>
          <w:b/>
          <w:szCs w:val="24"/>
          <w:lang w:val="en-GB" w:eastAsia="ja-JP"/>
        </w:rPr>
        <w:t xml:space="preserve">GAUTENG DIVISION </w:t>
      </w:r>
    </w:p>
    <w:p w14:paraId="0E33AF94" w14:textId="77777777" w:rsidR="007614D0" w:rsidRPr="007614D0" w:rsidRDefault="007614D0" w:rsidP="007614D0">
      <w:pPr>
        <w:spacing w:after="200" w:line="360" w:lineRule="auto"/>
        <w:jc w:val="right"/>
        <w:rPr>
          <w:rFonts w:eastAsia="MS Mincho" w:cs="Arial"/>
          <w:b/>
          <w:szCs w:val="24"/>
          <w:lang w:val="en-GB" w:eastAsia="ja-JP"/>
        </w:rPr>
      </w:pPr>
      <w:r w:rsidRPr="007614D0">
        <w:rPr>
          <w:rFonts w:eastAsia="MS Mincho" w:cs="Arial"/>
          <w:b/>
          <w:szCs w:val="24"/>
          <w:lang w:val="en-GB" w:eastAsia="ja-JP"/>
        </w:rPr>
        <w:t>JOHNANNESBURG</w:t>
      </w:r>
    </w:p>
    <w:p w14:paraId="23AE1125" w14:textId="77777777" w:rsidR="00AF24DE" w:rsidRDefault="00AF24DE" w:rsidP="00077776">
      <w:pPr>
        <w:spacing w:line="360" w:lineRule="auto"/>
        <w:ind w:left="2880"/>
        <w:jc w:val="both"/>
        <w:rPr>
          <w:b/>
          <w:bCs/>
          <w:sz w:val="23"/>
          <w:szCs w:val="23"/>
        </w:rPr>
      </w:pPr>
    </w:p>
    <w:p w14:paraId="5C84994C" w14:textId="51AC9A05" w:rsidR="00AF24DE" w:rsidRPr="00EE6687" w:rsidRDefault="00AF24DE" w:rsidP="00077776">
      <w:pPr>
        <w:spacing w:line="360" w:lineRule="auto"/>
        <w:jc w:val="both"/>
        <w:rPr>
          <w:szCs w:val="24"/>
        </w:rPr>
      </w:pPr>
      <w:r w:rsidRPr="00EE6687">
        <w:rPr>
          <w:b/>
          <w:bCs/>
          <w:szCs w:val="24"/>
        </w:rPr>
        <w:t>Date of applicants heads of argument:</w:t>
      </w:r>
      <w:r w:rsidR="001A390E" w:rsidRPr="00EE6687">
        <w:rPr>
          <w:b/>
          <w:bCs/>
          <w:szCs w:val="24"/>
        </w:rPr>
        <w:t xml:space="preserve"> </w:t>
      </w:r>
      <w:r w:rsidR="001A390E" w:rsidRPr="00EE6687">
        <w:rPr>
          <w:szCs w:val="24"/>
        </w:rPr>
        <w:t>11 November 2022.</w:t>
      </w:r>
    </w:p>
    <w:p w14:paraId="2794EB2F" w14:textId="5A735F47" w:rsidR="00AF24DE" w:rsidRPr="00EE6687" w:rsidRDefault="00AF24DE" w:rsidP="00077776">
      <w:pPr>
        <w:spacing w:line="360" w:lineRule="auto"/>
        <w:jc w:val="both"/>
        <w:rPr>
          <w:szCs w:val="24"/>
        </w:rPr>
      </w:pPr>
      <w:r w:rsidRPr="00EE6687">
        <w:rPr>
          <w:b/>
          <w:bCs/>
          <w:szCs w:val="24"/>
        </w:rPr>
        <w:t>Date of first respondent</w:t>
      </w:r>
      <w:r w:rsidR="005E048F" w:rsidRPr="00EE6687">
        <w:rPr>
          <w:b/>
          <w:bCs/>
          <w:szCs w:val="24"/>
        </w:rPr>
        <w:t>’</w:t>
      </w:r>
      <w:r w:rsidRPr="00EE6687">
        <w:rPr>
          <w:b/>
          <w:bCs/>
          <w:szCs w:val="24"/>
        </w:rPr>
        <w:t>s heads of argument:</w:t>
      </w:r>
      <w:r w:rsidR="00692DD9" w:rsidRPr="00EE6687">
        <w:rPr>
          <w:b/>
          <w:bCs/>
          <w:szCs w:val="24"/>
        </w:rPr>
        <w:t xml:space="preserve"> </w:t>
      </w:r>
      <w:r w:rsidR="00692DD9" w:rsidRPr="00EE6687">
        <w:rPr>
          <w:szCs w:val="24"/>
        </w:rPr>
        <w:t>21 November 2022</w:t>
      </w:r>
    </w:p>
    <w:p w14:paraId="15763702" w14:textId="662FA0CB" w:rsidR="008612A7" w:rsidRPr="00EE6687" w:rsidRDefault="005E048F" w:rsidP="00C252B0">
      <w:pPr>
        <w:spacing w:after="120" w:line="720" w:lineRule="auto"/>
        <w:jc w:val="both"/>
        <w:rPr>
          <w:szCs w:val="24"/>
        </w:rPr>
      </w:pPr>
      <w:r w:rsidRPr="00EE6687">
        <w:rPr>
          <w:b/>
          <w:bCs/>
          <w:szCs w:val="24"/>
        </w:rPr>
        <w:t>Date of judgement</w:t>
      </w:r>
      <w:r w:rsidRPr="00EE6687">
        <w:rPr>
          <w:szCs w:val="24"/>
        </w:rPr>
        <w:t xml:space="preserve">: </w:t>
      </w:r>
      <w:r w:rsidR="00C252B0">
        <w:rPr>
          <w:szCs w:val="24"/>
        </w:rPr>
        <w:t>24 January 2023</w:t>
      </w:r>
    </w:p>
    <w:p w14:paraId="127907FE" w14:textId="6822E35E" w:rsidR="008612A7" w:rsidRPr="00EE6687" w:rsidRDefault="00E92CCA" w:rsidP="00077776">
      <w:pPr>
        <w:spacing w:line="360" w:lineRule="auto"/>
        <w:jc w:val="both"/>
        <w:rPr>
          <w:rFonts w:cs="Arial"/>
          <w:b/>
          <w:bCs/>
          <w:szCs w:val="24"/>
        </w:rPr>
      </w:pPr>
      <w:r w:rsidRPr="00EE6687">
        <w:rPr>
          <w:rFonts w:cs="Arial"/>
          <w:b/>
          <w:bCs/>
          <w:szCs w:val="24"/>
        </w:rPr>
        <w:t>Representations</w:t>
      </w:r>
      <w:r w:rsidR="008612A7" w:rsidRPr="00EE6687">
        <w:rPr>
          <w:rFonts w:cs="Arial"/>
          <w:b/>
          <w:bCs/>
          <w:szCs w:val="24"/>
        </w:rPr>
        <w:t>:</w:t>
      </w:r>
    </w:p>
    <w:p w14:paraId="48345F02" w14:textId="73896F0F" w:rsidR="008612A7" w:rsidRPr="00EE6687" w:rsidRDefault="008612A7" w:rsidP="00077776">
      <w:pPr>
        <w:spacing w:line="360" w:lineRule="auto"/>
        <w:jc w:val="both"/>
        <w:rPr>
          <w:rFonts w:cs="Arial"/>
          <w:szCs w:val="24"/>
        </w:rPr>
      </w:pPr>
      <w:r w:rsidRPr="00EE6687">
        <w:rPr>
          <w:rFonts w:cs="Arial"/>
          <w:szCs w:val="24"/>
        </w:rPr>
        <w:t xml:space="preserve">Counsel for the Applicant: </w:t>
      </w:r>
      <w:r w:rsidR="007614D0">
        <w:rPr>
          <w:rFonts w:cs="Arial"/>
          <w:szCs w:val="24"/>
        </w:rPr>
        <w:tab/>
      </w:r>
      <w:r w:rsidR="007614D0">
        <w:rPr>
          <w:rFonts w:cs="Arial"/>
          <w:szCs w:val="24"/>
        </w:rPr>
        <w:tab/>
      </w:r>
      <w:r w:rsidR="007614D0">
        <w:rPr>
          <w:rFonts w:cs="Arial"/>
          <w:szCs w:val="24"/>
        </w:rPr>
        <w:tab/>
      </w:r>
      <w:r w:rsidRPr="00EE6687">
        <w:rPr>
          <w:rFonts w:cs="Arial"/>
          <w:szCs w:val="24"/>
        </w:rPr>
        <w:t>R D E Gordon</w:t>
      </w:r>
    </w:p>
    <w:p w14:paraId="1C2DB15C" w14:textId="27780E9E" w:rsidR="008612A7" w:rsidRPr="00EE6687" w:rsidRDefault="008612A7" w:rsidP="007614D0">
      <w:pPr>
        <w:spacing w:line="720" w:lineRule="auto"/>
        <w:jc w:val="both"/>
        <w:rPr>
          <w:rFonts w:cs="Arial"/>
          <w:szCs w:val="24"/>
        </w:rPr>
      </w:pPr>
      <w:r w:rsidRPr="00EE6687">
        <w:rPr>
          <w:rFonts w:cs="Arial"/>
          <w:szCs w:val="24"/>
        </w:rPr>
        <w:t xml:space="preserve">Instructed by. </w:t>
      </w:r>
      <w:r w:rsidR="007614D0">
        <w:rPr>
          <w:rFonts w:cs="Arial"/>
          <w:szCs w:val="24"/>
        </w:rPr>
        <w:tab/>
      </w:r>
      <w:r w:rsidR="007614D0">
        <w:rPr>
          <w:rFonts w:cs="Arial"/>
          <w:szCs w:val="24"/>
        </w:rPr>
        <w:tab/>
      </w:r>
      <w:r w:rsidR="007614D0">
        <w:rPr>
          <w:rFonts w:cs="Arial"/>
          <w:szCs w:val="24"/>
        </w:rPr>
        <w:tab/>
      </w:r>
      <w:r w:rsidR="007614D0">
        <w:rPr>
          <w:rFonts w:cs="Arial"/>
          <w:szCs w:val="24"/>
        </w:rPr>
        <w:tab/>
      </w:r>
      <w:r w:rsidRPr="00EE6687">
        <w:rPr>
          <w:rFonts w:cs="Arial"/>
          <w:szCs w:val="24"/>
        </w:rPr>
        <w:t>Pike Law</w:t>
      </w:r>
    </w:p>
    <w:p w14:paraId="50A8C15A" w14:textId="74A99015" w:rsidR="008612A7" w:rsidRPr="00EE6687" w:rsidRDefault="008612A7" w:rsidP="00077776">
      <w:pPr>
        <w:spacing w:line="360" w:lineRule="auto"/>
        <w:jc w:val="both"/>
        <w:rPr>
          <w:rFonts w:cs="Arial"/>
          <w:szCs w:val="24"/>
        </w:rPr>
      </w:pPr>
      <w:r w:rsidRPr="00EE6687">
        <w:rPr>
          <w:rFonts w:cs="Arial"/>
          <w:szCs w:val="24"/>
        </w:rPr>
        <w:t>Counsel for the First Respondent</w:t>
      </w:r>
      <w:r w:rsidR="001465D3" w:rsidRPr="00EE6687">
        <w:rPr>
          <w:rFonts w:cs="Arial"/>
          <w:szCs w:val="24"/>
        </w:rPr>
        <w:t>:</w:t>
      </w:r>
      <w:r w:rsidRPr="00EE6687">
        <w:rPr>
          <w:rFonts w:cs="Arial"/>
          <w:szCs w:val="24"/>
        </w:rPr>
        <w:t xml:space="preserve"> </w:t>
      </w:r>
      <w:r w:rsidR="007614D0">
        <w:rPr>
          <w:rFonts w:cs="Arial"/>
          <w:szCs w:val="24"/>
        </w:rPr>
        <w:tab/>
      </w:r>
      <w:r w:rsidRPr="00EE6687">
        <w:rPr>
          <w:rFonts w:cs="Arial"/>
          <w:szCs w:val="24"/>
        </w:rPr>
        <w:t>A Cockrell SC</w:t>
      </w:r>
      <w:r w:rsidR="001465D3" w:rsidRPr="00EE6687">
        <w:rPr>
          <w:rFonts w:cs="Arial"/>
          <w:szCs w:val="24"/>
        </w:rPr>
        <w:t xml:space="preserve"> with </w:t>
      </w:r>
      <w:r w:rsidRPr="00EE6687">
        <w:rPr>
          <w:rFonts w:cs="Arial"/>
          <w:szCs w:val="24"/>
        </w:rPr>
        <w:t>N Ferreira</w:t>
      </w:r>
    </w:p>
    <w:p w14:paraId="07423FAB" w14:textId="6029E524" w:rsidR="008612A7" w:rsidRPr="00EE6687" w:rsidRDefault="008612A7" w:rsidP="00077776">
      <w:pPr>
        <w:spacing w:line="360" w:lineRule="auto"/>
        <w:jc w:val="both"/>
        <w:rPr>
          <w:rFonts w:cs="Arial"/>
          <w:szCs w:val="24"/>
        </w:rPr>
      </w:pPr>
      <w:r w:rsidRPr="00EE6687">
        <w:rPr>
          <w:rFonts w:cs="Arial"/>
          <w:szCs w:val="24"/>
        </w:rPr>
        <w:t xml:space="preserve">Instructed by: </w:t>
      </w:r>
      <w:r w:rsidR="007614D0">
        <w:rPr>
          <w:rFonts w:cs="Arial"/>
          <w:szCs w:val="24"/>
        </w:rPr>
        <w:tab/>
      </w:r>
      <w:r w:rsidR="007614D0">
        <w:rPr>
          <w:rFonts w:cs="Arial"/>
          <w:szCs w:val="24"/>
        </w:rPr>
        <w:tab/>
      </w:r>
      <w:r w:rsidR="007614D0">
        <w:rPr>
          <w:rFonts w:cs="Arial"/>
          <w:szCs w:val="24"/>
        </w:rPr>
        <w:tab/>
      </w:r>
      <w:r w:rsidR="007614D0">
        <w:rPr>
          <w:rFonts w:cs="Arial"/>
          <w:szCs w:val="24"/>
        </w:rPr>
        <w:tab/>
      </w:r>
      <w:r w:rsidRPr="00EE6687">
        <w:rPr>
          <w:rFonts w:cs="Arial"/>
          <w:szCs w:val="24"/>
        </w:rPr>
        <w:t>Cliffe Dekker Hofmeyr</w:t>
      </w:r>
    </w:p>
    <w:sectPr w:rsidR="008612A7" w:rsidRPr="00EE6687" w:rsidSect="0007395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717FA" w14:textId="77777777" w:rsidR="00C31ED4" w:rsidRDefault="00C31ED4" w:rsidP="00C165F0">
      <w:pPr>
        <w:spacing w:after="0" w:line="240" w:lineRule="auto"/>
      </w:pPr>
      <w:r>
        <w:separator/>
      </w:r>
    </w:p>
  </w:endnote>
  <w:endnote w:type="continuationSeparator" w:id="0">
    <w:p w14:paraId="7A6BA78E" w14:textId="77777777" w:rsidR="00C31ED4" w:rsidRDefault="00C31ED4" w:rsidP="00C1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D03A4" w14:textId="77777777" w:rsidR="00C31ED4" w:rsidRDefault="00C31ED4" w:rsidP="00C165F0">
      <w:pPr>
        <w:spacing w:after="0" w:line="240" w:lineRule="auto"/>
      </w:pPr>
      <w:r>
        <w:separator/>
      </w:r>
    </w:p>
  </w:footnote>
  <w:footnote w:type="continuationSeparator" w:id="0">
    <w:p w14:paraId="486A7268" w14:textId="77777777" w:rsidR="00C31ED4" w:rsidRDefault="00C31ED4" w:rsidP="00C165F0">
      <w:pPr>
        <w:spacing w:after="0" w:line="240" w:lineRule="auto"/>
      </w:pPr>
      <w:r>
        <w:continuationSeparator/>
      </w:r>
    </w:p>
  </w:footnote>
  <w:footnote w:id="1">
    <w:p w14:paraId="61BEE1F0" w14:textId="28973ADE" w:rsidR="00077776" w:rsidRDefault="00077776" w:rsidP="00077776">
      <w:pPr>
        <w:pStyle w:val="FootnoteText"/>
        <w:jc w:val="both"/>
      </w:pPr>
      <w:r>
        <w:rPr>
          <w:rStyle w:val="FootnoteReference"/>
        </w:rPr>
        <w:footnoteRef/>
      </w:r>
      <w:r>
        <w:t xml:space="preserve"> </w:t>
      </w:r>
      <w:r>
        <w:rPr>
          <w:lang w:val="en-US"/>
        </w:rPr>
        <w:t>The judgment in the main application dated 22 October 2022 is the first judgment hence the reference to (2).</w:t>
      </w:r>
    </w:p>
  </w:footnote>
  <w:footnote w:id="2">
    <w:p w14:paraId="352FC15E" w14:textId="59EF84C5" w:rsidR="00B43D59" w:rsidRPr="00B43D59" w:rsidRDefault="00B43D59" w:rsidP="00077776">
      <w:pPr>
        <w:pStyle w:val="FootnoteText"/>
        <w:jc w:val="both"/>
        <w:rPr>
          <w:lang w:val="en-US"/>
        </w:rPr>
      </w:pPr>
      <w:r>
        <w:rPr>
          <w:rStyle w:val="FootnoteReference"/>
        </w:rPr>
        <w:footnoteRef/>
      </w:r>
      <w:r>
        <w:t xml:space="preserve"> </w:t>
      </w:r>
      <w:r>
        <w:rPr>
          <w:lang w:val="en-US"/>
        </w:rPr>
        <w:t>I deal with this more fully later in this decision.</w:t>
      </w:r>
    </w:p>
  </w:footnote>
  <w:footnote w:id="3">
    <w:p w14:paraId="2BD0F390" w14:textId="7471BE63" w:rsidR="00B0197F" w:rsidRPr="00B0197F" w:rsidRDefault="00B0197F" w:rsidP="00077776">
      <w:pPr>
        <w:pStyle w:val="FootnoteText"/>
        <w:jc w:val="both"/>
        <w:rPr>
          <w:lang w:val="en-US"/>
        </w:rPr>
      </w:pPr>
      <w:r>
        <w:rPr>
          <w:rStyle w:val="FootnoteReference"/>
        </w:rPr>
        <w:footnoteRef/>
      </w:r>
      <w:r>
        <w:t xml:space="preserve"> </w:t>
      </w:r>
      <w:r w:rsidRPr="00F557B0">
        <w:rPr>
          <w:rFonts w:ascii="Verdana" w:hAnsi="Verdana"/>
          <w:color w:val="000000"/>
        </w:rPr>
        <w:t xml:space="preserve">2006 (3) SA 1 (CC) </w:t>
      </w:r>
    </w:p>
  </w:footnote>
  <w:footnote w:id="4">
    <w:p w14:paraId="14B3F576" w14:textId="0DFEFE6F" w:rsidR="00C5265B" w:rsidRPr="00C5265B" w:rsidRDefault="00C5265B" w:rsidP="00077776">
      <w:pPr>
        <w:pStyle w:val="FootnoteText"/>
        <w:jc w:val="both"/>
        <w:rPr>
          <w:lang w:val="en-US"/>
        </w:rPr>
      </w:pPr>
      <w:r>
        <w:rPr>
          <w:rStyle w:val="FootnoteReference"/>
        </w:rPr>
        <w:footnoteRef/>
      </w:r>
      <w:r>
        <w:t xml:space="preserve"> </w:t>
      </w:r>
      <w:r>
        <w:rPr>
          <w:lang w:val="en-US"/>
        </w:rPr>
        <w:t>Supra, paragraph 28</w:t>
      </w:r>
    </w:p>
  </w:footnote>
  <w:footnote w:id="5">
    <w:p w14:paraId="3F69C4A5" w14:textId="260E3637" w:rsidR="00550BAD" w:rsidRPr="00550BAD" w:rsidRDefault="00550BAD">
      <w:pPr>
        <w:pStyle w:val="FootnoteText"/>
        <w:rPr>
          <w:lang w:val="en-US"/>
        </w:rPr>
      </w:pPr>
      <w:r>
        <w:rPr>
          <w:rStyle w:val="FootnoteReference"/>
        </w:rPr>
        <w:footnoteRef/>
      </w:r>
      <w:r>
        <w:t xml:space="preserve"> </w:t>
      </w:r>
      <w:r>
        <w:rPr>
          <w:lang w:val="en-US"/>
        </w:rPr>
        <w:t>Supra, paragraph 29.</w:t>
      </w:r>
    </w:p>
  </w:footnote>
  <w:footnote w:id="6">
    <w:p w14:paraId="5D9B2D8B" w14:textId="30EB8177" w:rsidR="00940BDB" w:rsidRPr="00940BDB" w:rsidRDefault="00940BDB" w:rsidP="00161D4F">
      <w:pPr>
        <w:pStyle w:val="FootnoteText"/>
        <w:jc w:val="both"/>
        <w:rPr>
          <w:lang w:val="en-US"/>
        </w:rPr>
      </w:pPr>
      <w:r>
        <w:rPr>
          <w:rStyle w:val="FootnoteReference"/>
        </w:rPr>
        <w:footnoteRef/>
      </w:r>
      <w:r>
        <w:t xml:space="preserve"> </w:t>
      </w:r>
      <w:r w:rsidR="00161D4F">
        <w:rPr>
          <w:i/>
          <w:iCs/>
          <w:sz w:val="22"/>
          <w:szCs w:val="22"/>
        </w:rPr>
        <w:t>Chang's Holdings v</w:t>
      </w:r>
      <w:r>
        <w:rPr>
          <w:i/>
          <w:iCs/>
          <w:sz w:val="22"/>
          <w:szCs w:val="22"/>
        </w:rPr>
        <w:t xml:space="preserve"> Universal </w:t>
      </w:r>
      <w:proofErr w:type="spellStart"/>
      <w:r>
        <w:rPr>
          <w:i/>
          <w:iCs/>
          <w:sz w:val="22"/>
          <w:szCs w:val="22"/>
        </w:rPr>
        <w:t>Chems</w:t>
      </w:r>
      <w:proofErr w:type="spellEnd"/>
      <w:r>
        <w:rPr>
          <w:i/>
          <w:iCs/>
          <w:sz w:val="22"/>
          <w:szCs w:val="22"/>
        </w:rPr>
        <w:t>. &amp; Coatings, Inc.</w:t>
      </w:r>
      <w:r>
        <w:rPr>
          <w:sz w:val="22"/>
          <w:szCs w:val="22"/>
        </w:rPr>
        <w:t>, C.A. No. 10856 (Del. Ch. Nov. 22, 1994)</w:t>
      </w:r>
      <w:r w:rsidR="00161D4F">
        <w:rPr>
          <w:sz w:val="22"/>
          <w:szCs w:val="22"/>
        </w:rPr>
        <w:t>.</w:t>
      </w:r>
      <w:r>
        <w:rPr>
          <w:sz w:val="22"/>
          <w:szCs w:val="22"/>
        </w:rPr>
        <w:t xml:space="preserve"> </w:t>
      </w:r>
      <w:r>
        <w:t xml:space="preserve"> </w:t>
      </w:r>
    </w:p>
  </w:footnote>
  <w:footnote w:id="7">
    <w:p w14:paraId="5E65ADF1" w14:textId="62516246" w:rsidR="00214FAF" w:rsidRPr="00161D4F" w:rsidRDefault="00214FAF" w:rsidP="00161D4F">
      <w:pPr>
        <w:pStyle w:val="FootnoteText"/>
        <w:jc w:val="both"/>
        <w:rPr>
          <w:lang w:val="en-US"/>
        </w:rPr>
      </w:pPr>
      <w:r w:rsidRPr="00161D4F">
        <w:rPr>
          <w:rStyle w:val="FootnoteReference"/>
        </w:rPr>
        <w:footnoteRef/>
      </w:r>
      <w:r w:rsidRPr="00161D4F">
        <w:t xml:space="preserve"> Civil Action No. 8474 (Del. Ch. Sep 10, 2002)  </w:t>
      </w:r>
    </w:p>
  </w:footnote>
  <w:footnote w:id="8">
    <w:p w14:paraId="15F0C1A8" w14:textId="0BAFF179" w:rsidR="005F22DE" w:rsidRPr="00161D4F" w:rsidRDefault="005F22DE" w:rsidP="00161D4F">
      <w:pPr>
        <w:pStyle w:val="FootnoteText"/>
        <w:jc w:val="both"/>
        <w:rPr>
          <w:lang w:val="en-US"/>
        </w:rPr>
      </w:pPr>
      <w:r w:rsidRPr="00161D4F">
        <w:rPr>
          <w:rStyle w:val="FootnoteReference"/>
        </w:rPr>
        <w:footnoteRef/>
      </w:r>
      <w:r w:rsidRPr="00161D4F">
        <w:t xml:space="preserve"> </w:t>
      </w:r>
      <w:r w:rsidR="003E448E" w:rsidRPr="00161D4F">
        <w:rPr>
          <w:rFonts w:cs="Arial"/>
        </w:rPr>
        <w:t xml:space="preserve"> I am assuming this is at the date of the fling of the Arrowhead heads of argumen</w:t>
      </w:r>
      <w:r w:rsidR="00963C1C" w:rsidRPr="00161D4F">
        <w:rPr>
          <w:rFonts w:cs="Arial"/>
        </w:rPr>
        <w:t>t on</w:t>
      </w:r>
      <w:r w:rsidR="009E54F1" w:rsidRPr="00161D4F">
        <w:rPr>
          <w:lang w:val="en-US"/>
        </w:rPr>
        <w:t>21 November 2022.</w:t>
      </w:r>
    </w:p>
  </w:footnote>
  <w:footnote w:id="9">
    <w:p w14:paraId="137B1A5F" w14:textId="77777777" w:rsidR="00CD61F9" w:rsidRPr="002A65CC" w:rsidRDefault="00CD61F9" w:rsidP="00CD61F9">
      <w:pPr>
        <w:pStyle w:val="FootnoteText"/>
        <w:jc w:val="both"/>
        <w:rPr>
          <w:lang w:val="en-US"/>
        </w:rPr>
      </w:pPr>
      <w:r>
        <w:rPr>
          <w:rStyle w:val="FootnoteReference"/>
        </w:rPr>
        <w:footnoteRef/>
      </w:r>
      <w:r>
        <w:t xml:space="preserve"> More precisely this figure is </w:t>
      </w:r>
      <w:r w:rsidRPr="00590E12">
        <w:rPr>
          <w:rFonts w:cs="Arial"/>
          <w:szCs w:val="24"/>
        </w:rPr>
        <w:t>R 3,065,371</w:t>
      </w:r>
    </w:p>
  </w:footnote>
  <w:footnote w:id="10">
    <w:p w14:paraId="21903776" w14:textId="5487D898" w:rsidR="00A11A95" w:rsidRPr="00A11A95" w:rsidRDefault="00A11A95" w:rsidP="00161D4F">
      <w:pPr>
        <w:pStyle w:val="FootnoteText"/>
        <w:jc w:val="both"/>
        <w:rPr>
          <w:lang w:val="en-US"/>
        </w:rPr>
      </w:pPr>
      <w:r>
        <w:rPr>
          <w:rStyle w:val="FootnoteReference"/>
        </w:rPr>
        <w:footnoteRef/>
      </w:r>
      <w:r>
        <w:t xml:space="preserve"> </w:t>
      </w:r>
      <w:proofErr w:type="spellStart"/>
      <w:r w:rsidRPr="00B20D5C">
        <w:rPr>
          <w:i/>
          <w:iCs/>
          <w:lang w:val="en-US"/>
        </w:rPr>
        <w:t>Smeenk</w:t>
      </w:r>
      <w:proofErr w:type="spellEnd"/>
      <w:r w:rsidRPr="00B20D5C">
        <w:rPr>
          <w:i/>
          <w:iCs/>
          <w:lang w:val="en-US"/>
        </w:rPr>
        <w:t xml:space="preserve"> v </w:t>
      </w:r>
      <w:proofErr w:type="spellStart"/>
      <w:r w:rsidRPr="00B20D5C">
        <w:rPr>
          <w:i/>
          <w:iCs/>
          <w:lang w:val="en-US"/>
        </w:rPr>
        <w:t>Dexliegh</w:t>
      </w:r>
      <w:proofErr w:type="spellEnd"/>
      <w:r w:rsidRPr="00B20D5C">
        <w:rPr>
          <w:i/>
          <w:iCs/>
          <w:lang w:val="en-US"/>
        </w:rPr>
        <w:t xml:space="preserve"> </w:t>
      </w:r>
      <w:r w:rsidR="00161D4F" w:rsidRPr="00B20D5C">
        <w:rPr>
          <w:i/>
          <w:iCs/>
          <w:lang w:val="en-US"/>
        </w:rPr>
        <w:t>Corp</w:t>
      </w:r>
      <w:r w:rsidR="00161D4F">
        <w:rPr>
          <w:lang w:val="en-US"/>
        </w:rPr>
        <w:t>(H.C.J.</w:t>
      </w:r>
      <w:r>
        <w:rPr>
          <w:lang w:val="en-US"/>
        </w:rPr>
        <w:t xml:space="preserve">) 1990 </w:t>
      </w:r>
      <w:r w:rsidR="00B20D5C">
        <w:rPr>
          <w:lang w:val="en-US"/>
        </w:rPr>
        <w:t>Can II 6935 (ON SC</w:t>
      </w:r>
      <w:r w:rsidR="001F21CD">
        <w:rPr>
          <w:lang w:val="en-US"/>
        </w:rPr>
        <w:t>)</w:t>
      </w:r>
      <w:r w:rsidR="00A72989">
        <w:rPr>
          <w:lang w:val="en-US"/>
        </w:rPr>
        <w:t>.</w:t>
      </w:r>
    </w:p>
  </w:footnote>
  <w:footnote w:id="11">
    <w:p w14:paraId="2E669C87" w14:textId="6D060EC5" w:rsidR="009557C3" w:rsidRPr="009557C3" w:rsidRDefault="009557C3" w:rsidP="0041611C">
      <w:pPr>
        <w:pStyle w:val="FootnoteText"/>
        <w:jc w:val="both"/>
        <w:rPr>
          <w:lang w:val="en-US"/>
        </w:rPr>
      </w:pPr>
      <w:r>
        <w:rPr>
          <w:rStyle w:val="FootnoteReference"/>
        </w:rPr>
        <w:footnoteRef/>
      </w:r>
      <w:r>
        <w:t xml:space="preserve"> </w:t>
      </w:r>
      <w:r w:rsidRPr="009557C3">
        <w:t xml:space="preserve">2016 (3) SA 370 (CC) at paras 27-28.  </w:t>
      </w:r>
    </w:p>
  </w:footnote>
  <w:footnote w:id="12">
    <w:p w14:paraId="565AE1DC" w14:textId="2602B664" w:rsidR="00D7666D" w:rsidRPr="00F079C0" w:rsidRDefault="00D7666D" w:rsidP="0041611C">
      <w:pPr>
        <w:jc w:val="both"/>
        <w:rPr>
          <w:rFonts w:cs="Arial"/>
          <w:b/>
          <w:bCs/>
          <w:color w:val="000000"/>
          <w:sz w:val="20"/>
          <w:szCs w:val="20"/>
        </w:rPr>
      </w:pPr>
      <w:r>
        <w:rPr>
          <w:rStyle w:val="FootnoteReference"/>
        </w:rPr>
        <w:footnoteRef/>
      </w:r>
      <w:r>
        <w:t xml:space="preserve">  </w:t>
      </w:r>
      <w:r w:rsidRPr="00F079C0">
        <w:rPr>
          <w:sz w:val="20"/>
          <w:szCs w:val="20"/>
        </w:rPr>
        <w:t>See s</w:t>
      </w:r>
      <w:r w:rsidRPr="00F079C0">
        <w:rPr>
          <w:rFonts w:cs="Arial"/>
          <w:color w:val="000000"/>
          <w:sz w:val="20"/>
          <w:szCs w:val="20"/>
        </w:rPr>
        <w:t xml:space="preserve">upplementary answering affidavit </w:t>
      </w:r>
      <w:r w:rsidR="006B5BF9" w:rsidRPr="00F079C0">
        <w:rPr>
          <w:rFonts w:cs="Arial"/>
          <w:color w:val="000000"/>
          <w:sz w:val="20"/>
          <w:szCs w:val="20"/>
        </w:rPr>
        <w:t xml:space="preserve">Case Lines </w:t>
      </w:r>
      <w:r w:rsidRPr="00F079C0">
        <w:rPr>
          <w:rFonts w:cs="Arial"/>
          <w:color w:val="000000"/>
          <w:sz w:val="20"/>
          <w:szCs w:val="20"/>
        </w:rPr>
        <w:t>001-35.</w:t>
      </w:r>
    </w:p>
    <w:p w14:paraId="3FE6FFC0" w14:textId="0B442C6A" w:rsidR="00D7666D" w:rsidRPr="00D7666D" w:rsidRDefault="00D7666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5613"/>
      <w:docPartObj>
        <w:docPartGallery w:val="Page Numbers (Top of Page)"/>
        <w:docPartUnique/>
      </w:docPartObj>
    </w:sdtPr>
    <w:sdtEndPr>
      <w:rPr>
        <w:noProof/>
      </w:rPr>
    </w:sdtEndPr>
    <w:sdtContent>
      <w:p w14:paraId="5E219E16" w14:textId="23F12433" w:rsidR="00C165F0" w:rsidRDefault="00C165F0">
        <w:pPr>
          <w:pStyle w:val="Header"/>
          <w:jc w:val="right"/>
        </w:pPr>
        <w:r>
          <w:fldChar w:fldCharType="begin"/>
        </w:r>
        <w:r>
          <w:instrText xml:space="preserve"> PAGE   \* MERGEFORMAT </w:instrText>
        </w:r>
        <w:r>
          <w:fldChar w:fldCharType="separate"/>
        </w:r>
        <w:r w:rsidR="00C475D2">
          <w:rPr>
            <w:noProof/>
          </w:rPr>
          <w:t>17</w:t>
        </w:r>
        <w:r>
          <w:rPr>
            <w:noProof/>
          </w:rPr>
          <w:fldChar w:fldCharType="end"/>
        </w:r>
      </w:p>
    </w:sdtContent>
  </w:sdt>
  <w:p w14:paraId="5A852F08" w14:textId="77777777" w:rsidR="00C165F0" w:rsidRDefault="00C1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1D"/>
    <w:multiLevelType w:val="hybridMultilevel"/>
    <w:tmpl w:val="A030DF36"/>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584A659F"/>
    <w:multiLevelType w:val="hybridMultilevel"/>
    <w:tmpl w:val="55D4FE12"/>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DB75512"/>
    <w:multiLevelType w:val="hybridMultilevel"/>
    <w:tmpl w:val="1442693C"/>
    <w:lvl w:ilvl="0" w:tplc="18468B0E">
      <w:start w:val="4"/>
      <w:numFmt w:val="decimal"/>
      <w:lvlText w:val="(%1)"/>
      <w:lvlJc w:val="left"/>
      <w:pPr>
        <w:ind w:left="1440" w:hanging="360"/>
      </w:pPr>
      <w:rPr>
        <w:rFonts w:hint="default"/>
        <w:b w:val="0"/>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6E0C09AF"/>
    <w:multiLevelType w:val="hybridMultilevel"/>
    <w:tmpl w:val="69542886"/>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07"/>
    <w:rsid w:val="00007A4B"/>
    <w:rsid w:val="00010D1D"/>
    <w:rsid w:val="00011646"/>
    <w:rsid w:val="00014223"/>
    <w:rsid w:val="00017BCE"/>
    <w:rsid w:val="00022ED2"/>
    <w:rsid w:val="00035773"/>
    <w:rsid w:val="000600FE"/>
    <w:rsid w:val="00073955"/>
    <w:rsid w:val="00077776"/>
    <w:rsid w:val="00077F8D"/>
    <w:rsid w:val="0008157B"/>
    <w:rsid w:val="00087E00"/>
    <w:rsid w:val="000926E7"/>
    <w:rsid w:val="000A3626"/>
    <w:rsid w:val="000A73BE"/>
    <w:rsid w:val="000B7EA8"/>
    <w:rsid w:val="000C4F4E"/>
    <w:rsid w:val="000E0093"/>
    <w:rsid w:val="000E4D0C"/>
    <w:rsid w:val="000E5BD5"/>
    <w:rsid w:val="000F104F"/>
    <w:rsid w:val="000F307B"/>
    <w:rsid w:val="000F4026"/>
    <w:rsid w:val="000F5AF8"/>
    <w:rsid w:val="001002F6"/>
    <w:rsid w:val="00106035"/>
    <w:rsid w:val="00125826"/>
    <w:rsid w:val="001261AF"/>
    <w:rsid w:val="00141E05"/>
    <w:rsid w:val="00144AE2"/>
    <w:rsid w:val="001465D3"/>
    <w:rsid w:val="00147820"/>
    <w:rsid w:val="00150BED"/>
    <w:rsid w:val="00154D8F"/>
    <w:rsid w:val="00161D4F"/>
    <w:rsid w:val="00162F3F"/>
    <w:rsid w:val="001674E3"/>
    <w:rsid w:val="00175656"/>
    <w:rsid w:val="00182034"/>
    <w:rsid w:val="00185C59"/>
    <w:rsid w:val="001873D3"/>
    <w:rsid w:val="00187F7B"/>
    <w:rsid w:val="00195571"/>
    <w:rsid w:val="001A390E"/>
    <w:rsid w:val="001A3DE2"/>
    <w:rsid w:val="001A66A1"/>
    <w:rsid w:val="001A710D"/>
    <w:rsid w:val="001B0DBC"/>
    <w:rsid w:val="001B29EE"/>
    <w:rsid w:val="001B526D"/>
    <w:rsid w:val="001B57D5"/>
    <w:rsid w:val="001B5A8F"/>
    <w:rsid w:val="001C1F83"/>
    <w:rsid w:val="001C34BF"/>
    <w:rsid w:val="001D2189"/>
    <w:rsid w:val="001D502C"/>
    <w:rsid w:val="001E1B52"/>
    <w:rsid w:val="001E2061"/>
    <w:rsid w:val="001E5202"/>
    <w:rsid w:val="001F21CD"/>
    <w:rsid w:val="001F5FA3"/>
    <w:rsid w:val="0020748D"/>
    <w:rsid w:val="00207C32"/>
    <w:rsid w:val="00214FAF"/>
    <w:rsid w:val="002157B2"/>
    <w:rsid w:val="002164C8"/>
    <w:rsid w:val="00236F8D"/>
    <w:rsid w:val="0024246F"/>
    <w:rsid w:val="00244E6B"/>
    <w:rsid w:val="0025263C"/>
    <w:rsid w:val="002528BA"/>
    <w:rsid w:val="00264FEA"/>
    <w:rsid w:val="00270EA2"/>
    <w:rsid w:val="002806C2"/>
    <w:rsid w:val="00284700"/>
    <w:rsid w:val="002976CC"/>
    <w:rsid w:val="002A65CC"/>
    <w:rsid w:val="002B4B08"/>
    <w:rsid w:val="002C66F4"/>
    <w:rsid w:val="002D56C7"/>
    <w:rsid w:val="002E365E"/>
    <w:rsid w:val="002E4CE6"/>
    <w:rsid w:val="002F4281"/>
    <w:rsid w:val="00300981"/>
    <w:rsid w:val="00300B9C"/>
    <w:rsid w:val="003055FC"/>
    <w:rsid w:val="00307021"/>
    <w:rsid w:val="00307402"/>
    <w:rsid w:val="00312221"/>
    <w:rsid w:val="003146E8"/>
    <w:rsid w:val="0032249D"/>
    <w:rsid w:val="00337BBB"/>
    <w:rsid w:val="00337D7D"/>
    <w:rsid w:val="003438C9"/>
    <w:rsid w:val="00343F2F"/>
    <w:rsid w:val="00347B9B"/>
    <w:rsid w:val="003506F1"/>
    <w:rsid w:val="00360C3E"/>
    <w:rsid w:val="00370352"/>
    <w:rsid w:val="00380390"/>
    <w:rsid w:val="00380E92"/>
    <w:rsid w:val="0038442D"/>
    <w:rsid w:val="003872C1"/>
    <w:rsid w:val="00387820"/>
    <w:rsid w:val="003A1783"/>
    <w:rsid w:val="003A6397"/>
    <w:rsid w:val="003A7D63"/>
    <w:rsid w:val="003B055D"/>
    <w:rsid w:val="003C3980"/>
    <w:rsid w:val="003C40A2"/>
    <w:rsid w:val="003C469C"/>
    <w:rsid w:val="003E1BD8"/>
    <w:rsid w:val="003E448E"/>
    <w:rsid w:val="003E4B1D"/>
    <w:rsid w:val="003E51BB"/>
    <w:rsid w:val="003E59E7"/>
    <w:rsid w:val="003F4F7F"/>
    <w:rsid w:val="0040511D"/>
    <w:rsid w:val="00407D1F"/>
    <w:rsid w:val="004102E7"/>
    <w:rsid w:val="00412659"/>
    <w:rsid w:val="0041611C"/>
    <w:rsid w:val="0041648C"/>
    <w:rsid w:val="004169E1"/>
    <w:rsid w:val="00416E85"/>
    <w:rsid w:val="004314CC"/>
    <w:rsid w:val="00436575"/>
    <w:rsid w:val="0045282A"/>
    <w:rsid w:val="00457892"/>
    <w:rsid w:val="00457FA0"/>
    <w:rsid w:val="00463D8D"/>
    <w:rsid w:val="00476B7E"/>
    <w:rsid w:val="004868C8"/>
    <w:rsid w:val="0049011B"/>
    <w:rsid w:val="00491B72"/>
    <w:rsid w:val="00491CAA"/>
    <w:rsid w:val="004A51A7"/>
    <w:rsid w:val="004A533D"/>
    <w:rsid w:val="004A563F"/>
    <w:rsid w:val="004B60BD"/>
    <w:rsid w:val="004B7D99"/>
    <w:rsid w:val="004C548B"/>
    <w:rsid w:val="004C5A87"/>
    <w:rsid w:val="004C6FFA"/>
    <w:rsid w:val="004D6CFC"/>
    <w:rsid w:val="004E0F7C"/>
    <w:rsid w:val="004E3080"/>
    <w:rsid w:val="004E3D2F"/>
    <w:rsid w:val="004F2483"/>
    <w:rsid w:val="004F5086"/>
    <w:rsid w:val="00504F68"/>
    <w:rsid w:val="00505921"/>
    <w:rsid w:val="0050651B"/>
    <w:rsid w:val="00507778"/>
    <w:rsid w:val="00536291"/>
    <w:rsid w:val="00541070"/>
    <w:rsid w:val="00542995"/>
    <w:rsid w:val="0054341E"/>
    <w:rsid w:val="00543A0B"/>
    <w:rsid w:val="00545BB5"/>
    <w:rsid w:val="00547701"/>
    <w:rsid w:val="00550BAD"/>
    <w:rsid w:val="00552012"/>
    <w:rsid w:val="005713F1"/>
    <w:rsid w:val="0058013B"/>
    <w:rsid w:val="00581023"/>
    <w:rsid w:val="0058167E"/>
    <w:rsid w:val="00584131"/>
    <w:rsid w:val="005851F7"/>
    <w:rsid w:val="00590E12"/>
    <w:rsid w:val="005957B5"/>
    <w:rsid w:val="005A2030"/>
    <w:rsid w:val="005A5120"/>
    <w:rsid w:val="005B2C4C"/>
    <w:rsid w:val="005B45BD"/>
    <w:rsid w:val="005B4ECE"/>
    <w:rsid w:val="005B6B0A"/>
    <w:rsid w:val="005C571F"/>
    <w:rsid w:val="005C7253"/>
    <w:rsid w:val="005C78C6"/>
    <w:rsid w:val="005C7F2D"/>
    <w:rsid w:val="005D0BC2"/>
    <w:rsid w:val="005D593C"/>
    <w:rsid w:val="005D59F3"/>
    <w:rsid w:val="005E048F"/>
    <w:rsid w:val="005E2E80"/>
    <w:rsid w:val="005F058D"/>
    <w:rsid w:val="005F0E81"/>
    <w:rsid w:val="005F22DE"/>
    <w:rsid w:val="005F3561"/>
    <w:rsid w:val="005F4D3A"/>
    <w:rsid w:val="005F6DCA"/>
    <w:rsid w:val="00604C5D"/>
    <w:rsid w:val="00607D82"/>
    <w:rsid w:val="00635CF0"/>
    <w:rsid w:val="00640031"/>
    <w:rsid w:val="00661616"/>
    <w:rsid w:val="00667F13"/>
    <w:rsid w:val="00671384"/>
    <w:rsid w:val="0067307D"/>
    <w:rsid w:val="00681871"/>
    <w:rsid w:val="00684D7C"/>
    <w:rsid w:val="00690F9A"/>
    <w:rsid w:val="00691A6E"/>
    <w:rsid w:val="00692DD9"/>
    <w:rsid w:val="006A20AF"/>
    <w:rsid w:val="006A497C"/>
    <w:rsid w:val="006B1E7E"/>
    <w:rsid w:val="006B411B"/>
    <w:rsid w:val="006B5BF9"/>
    <w:rsid w:val="006B6C2B"/>
    <w:rsid w:val="006D2534"/>
    <w:rsid w:val="006D64AF"/>
    <w:rsid w:val="006E61A3"/>
    <w:rsid w:val="006F280D"/>
    <w:rsid w:val="006F38F2"/>
    <w:rsid w:val="00702912"/>
    <w:rsid w:val="00702F0F"/>
    <w:rsid w:val="0070678C"/>
    <w:rsid w:val="0070702F"/>
    <w:rsid w:val="00715183"/>
    <w:rsid w:val="0071553E"/>
    <w:rsid w:val="00715F78"/>
    <w:rsid w:val="00717A70"/>
    <w:rsid w:val="00730095"/>
    <w:rsid w:val="00735E37"/>
    <w:rsid w:val="00741F4A"/>
    <w:rsid w:val="007614D0"/>
    <w:rsid w:val="00764D80"/>
    <w:rsid w:val="00776978"/>
    <w:rsid w:val="00780CFD"/>
    <w:rsid w:val="00792FCA"/>
    <w:rsid w:val="00793B8B"/>
    <w:rsid w:val="00795E49"/>
    <w:rsid w:val="007972D6"/>
    <w:rsid w:val="00797AD9"/>
    <w:rsid w:val="007A352F"/>
    <w:rsid w:val="007B5DE4"/>
    <w:rsid w:val="007C1DDF"/>
    <w:rsid w:val="007D0D69"/>
    <w:rsid w:val="007D4E86"/>
    <w:rsid w:val="007D54C8"/>
    <w:rsid w:val="007E5592"/>
    <w:rsid w:val="007E76EE"/>
    <w:rsid w:val="007F08DD"/>
    <w:rsid w:val="007F410C"/>
    <w:rsid w:val="007F5CB6"/>
    <w:rsid w:val="007F6FD2"/>
    <w:rsid w:val="00810D07"/>
    <w:rsid w:val="008137CA"/>
    <w:rsid w:val="00813D6F"/>
    <w:rsid w:val="008174B3"/>
    <w:rsid w:val="008232F2"/>
    <w:rsid w:val="00830102"/>
    <w:rsid w:val="00831156"/>
    <w:rsid w:val="00836D06"/>
    <w:rsid w:val="00842155"/>
    <w:rsid w:val="00844D44"/>
    <w:rsid w:val="008605B0"/>
    <w:rsid w:val="008612A7"/>
    <w:rsid w:val="00863E70"/>
    <w:rsid w:val="00865A2D"/>
    <w:rsid w:val="00872690"/>
    <w:rsid w:val="00877D3C"/>
    <w:rsid w:val="00884E03"/>
    <w:rsid w:val="0088527A"/>
    <w:rsid w:val="00890AB0"/>
    <w:rsid w:val="0089326F"/>
    <w:rsid w:val="00896F21"/>
    <w:rsid w:val="008A185D"/>
    <w:rsid w:val="008A231E"/>
    <w:rsid w:val="008A5029"/>
    <w:rsid w:val="008A5506"/>
    <w:rsid w:val="008B2707"/>
    <w:rsid w:val="008B3F77"/>
    <w:rsid w:val="008B79BE"/>
    <w:rsid w:val="008C3ED5"/>
    <w:rsid w:val="008C439F"/>
    <w:rsid w:val="008C5AB1"/>
    <w:rsid w:val="008D007B"/>
    <w:rsid w:val="008D0F48"/>
    <w:rsid w:val="008D32F9"/>
    <w:rsid w:val="008D6173"/>
    <w:rsid w:val="008D6968"/>
    <w:rsid w:val="008D7613"/>
    <w:rsid w:val="008E1614"/>
    <w:rsid w:val="008E4064"/>
    <w:rsid w:val="008E54E7"/>
    <w:rsid w:val="008F124F"/>
    <w:rsid w:val="008F6896"/>
    <w:rsid w:val="0091131D"/>
    <w:rsid w:val="00914792"/>
    <w:rsid w:val="00937D2D"/>
    <w:rsid w:val="00940BDB"/>
    <w:rsid w:val="0094487E"/>
    <w:rsid w:val="00952AB6"/>
    <w:rsid w:val="009557C3"/>
    <w:rsid w:val="00956E8B"/>
    <w:rsid w:val="00957583"/>
    <w:rsid w:val="00962A34"/>
    <w:rsid w:val="00963B20"/>
    <w:rsid w:val="00963C1C"/>
    <w:rsid w:val="0096442E"/>
    <w:rsid w:val="00966923"/>
    <w:rsid w:val="00972FCC"/>
    <w:rsid w:val="0097433D"/>
    <w:rsid w:val="00984105"/>
    <w:rsid w:val="00985DBB"/>
    <w:rsid w:val="009924E1"/>
    <w:rsid w:val="00995B35"/>
    <w:rsid w:val="009A2D8D"/>
    <w:rsid w:val="009A3E3A"/>
    <w:rsid w:val="009B768C"/>
    <w:rsid w:val="009B7FBF"/>
    <w:rsid w:val="009C08F0"/>
    <w:rsid w:val="009D1BDE"/>
    <w:rsid w:val="009E54F1"/>
    <w:rsid w:val="009F2029"/>
    <w:rsid w:val="00A01440"/>
    <w:rsid w:val="00A069E1"/>
    <w:rsid w:val="00A0745B"/>
    <w:rsid w:val="00A101B3"/>
    <w:rsid w:val="00A11A95"/>
    <w:rsid w:val="00A317C4"/>
    <w:rsid w:val="00A34082"/>
    <w:rsid w:val="00A43BEE"/>
    <w:rsid w:val="00A44380"/>
    <w:rsid w:val="00A505E1"/>
    <w:rsid w:val="00A50B80"/>
    <w:rsid w:val="00A55EE8"/>
    <w:rsid w:val="00A57FD5"/>
    <w:rsid w:val="00A72842"/>
    <w:rsid w:val="00A72989"/>
    <w:rsid w:val="00A866FA"/>
    <w:rsid w:val="00A875AB"/>
    <w:rsid w:val="00A91B89"/>
    <w:rsid w:val="00A928A1"/>
    <w:rsid w:val="00A93DB3"/>
    <w:rsid w:val="00AA5DAE"/>
    <w:rsid w:val="00AB00A2"/>
    <w:rsid w:val="00AB4BD3"/>
    <w:rsid w:val="00AB57C3"/>
    <w:rsid w:val="00AB72C4"/>
    <w:rsid w:val="00AC3008"/>
    <w:rsid w:val="00AD22AF"/>
    <w:rsid w:val="00AD4AB4"/>
    <w:rsid w:val="00AE2FA9"/>
    <w:rsid w:val="00AE393F"/>
    <w:rsid w:val="00AE4648"/>
    <w:rsid w:val="00AE48F5"/>
    <w:rsid w:val="00AE505B"/>
    <w:rsid w:val="00AF24DE"/>
    <w:rsid w:val="00AF569B"/>
    <w:rsid w:val="00B00627"/>
    <w:rsid w:val="00B0197F"/>
    <w:rsid w:val="00B05E34"/>
    <w:rsid w:val="00B07A3C"/>
    <w:rsid w:val="00B13BCB"/>
    <w:rsid w:val="00B16D73"/>
    <w:rsid w:val="00B20D5C"/>
    <w:rsid w:val="00B237F0"/>
    <w:rsid w:val="00B241BC"/>
    <w:rsid w:val="00B24DF6"/>
    <w:rsid w:val="00B31236"/>
    <w:rsid w:val="00B32381"/>
    <w:rsid w:val="00B336C0"/>
    <w:rsid w:val="00B36023"/>
    <w:rsid w:val="00B42F92"/>
    <w:rsid w:val="00B43D59"/>
    <w:rsid w:val="00B462C7"/>
    <w:rsid w:val="00B504C0"/>
    <w:rsid w:val="00B52F80"/>
    <w:rsid w:val="00B666A4"/>
    <w:rsid w:val="00B7078B"/>
    <w:rsid w:val="00B7344E"/>
    <w:rsid w:val="00B86F5B"/>
    <w:rsid w:val="00B92B50"/>
    <w:rsid w:val="00B94A09"/>
    <w:rsid w:val="00BA0F02"/>
    <w:rsid w:val="00BA1084"/>
    <w:rsid w:val="00BB0177"/>
    <w:rsid w:val="00BB0443"/>
    <w:rsid w:val="00BB121A"/>
    <w:rsid w:val="00BC08DC"/>
    <w:rsid w:val="00BC31A1"/>
    <w:rsid w:val="00BC61FF"/>
    <w:rsid w:val="00BD139F"/>
    <w:rsid w:val="00BD2171"/>
    <w:rsid w:val="00BD3C3D"/>
    <w:rsid w:val="00BE43EA"/>
    <w:rsid w:val="00BE65F1"/>
    <w:rsid w:val="00BF0540"/>
    <w:rsid w:val="00BF1AB0"/>
    <w:rsid w:val="00BF34B4"/>
    <w:rsid w:val="00BF46FD"/>
    <w:rsid w:val="00C033BD"/>
    <w:rsid w:val="00C158C9"/>
    <w:rsid w:val="00C165F0"/>
    <w:rsid w:val="00C21106"/>
    <w:rsid w:val="00C235CC"/>
    <w:rsid w:val="00C252B0"/>
    <w:rsid w:val="00C272AD"/>
    <w:rsid w:val="00C31296"/>
    <w:rsid w:val="00C31ED4"/>
    <w:rsid w:val="00C32D7D"/>
    <w:rsid w:val="00C33240"/>
    <w:rsid w:val="00C34886"/>
    <w:rsid w:val="00C34B1C"/>
    <w:rsid w:val="00C4019F"/>
    <w:rsid w:val="00C438F5"/>
    <w:rsid w:val="00C4435B"/>
    <w:rsid w:val="00C46932"/>
    <w:rsid w:val="00C475D2"/>
    <w:rsid w:val="00C52273"/>
    <w:rsid w:val="00C5265B"/>
    <w:rsid w:val="00C57B97"/>
    <w:rsid w:val="00C66B5F"/>
    <w:rsid w:val="00C74A31"/>
    <w:rsid w:val="00C81B8F"/>
    <w:rsid w:val="00C8306B"/>
    <w:rsid w:val="00C87078"/>
    <w:rsid w:val="00C87AB7"/>
    <w:rsid w:val="00C917BF"/>
    <w:rsid w:val="00C9255E"/>
    <w:rsid w:val="00C92CE2"/>
    <w:rsid w:val="00CA3863"/>
    <w:rsid w:val="00CB1C78"/>
    <w:rsid w:val="00CB1DF1"/>
    <w:rsid w:val="00CC15A6"/>
    <w:rsid w:val="00CC2CC1"/>
    <w:rsid w:val="00CD61F9"/>
    <w:rsid w:val="00CD6395"/>
    <w:rsid w:val="00CD6608"/>
    <w:rsid w:val="00CD6E15"/>
    <w:rsid w:val="00CE69D1"/>
    <w:rsid w:val="00CF0E63"/>
    <w:rsid w:val="00CF6175"/>
    <w:rsid w:val="00D05C2D"/>
    <w:rsid w:val="00D152BA"/>
    <w:rsid w:val="00D179AC"/>
    <w:rsid w:val="00D27681"/>
    <w:rsid w:val="00D3275E"/>
    <w:rsid w:val="00D4013B"/>
    <w:rsid w:val="00D56F05"/>
    <w:rsid w:val="00D60CCB"/>
    <w:rsid w:val="00D6180F"/>
    <w:rsid w:val="00D61BAE"/>
    <w:rsid w:val="00D6306C"/>
    <w:rsid w:val="00D6557D"/>
    <w:rsid w:val="00D65ED3"/>
    <w:rsid w:val="00D7316D"/>
    <w:rsid w:val="00D7666D"/>
    <w:rsid w:val="00D80A44"/>
    <w:rsid w:val="00D918A8"/>
    <w:rsid w:val="00D9252A"/>
    <w:rsid w:val="00D92B2D"/>
    <w:rsid w:val="00DA0052"/>
    <w:rsid w:val="00DA12AA"/>
    <w:rsid w:val="00DB1879"/>
    <w:rsid w:val="00DB73BC"/>
    <w:rsid w:val="00DD053A"/>
    <w:rsid w:val="00DD09D1"/>
    <w:rsid w:val="00DE1026"/>
    <w:rsid w:val="00DF1756"/>
    <w:rsid w:val="00E05918"/>
    <w:rsid w:val="00E153CB"/>
    <w:rsid w:val="00E26C42"/>
    <w:rsid w:val="00E3013A"/>
    <w:rsid w:val="00E3172E"/>
    <w:rsid w:val="00E33A0A"/>
    <w:rsid w:val="00E33BE3"/>
    <w:rsid w:val="00E43850"/>
    <w:rsid w:val="00E4770D"/>
    <w:rsid w:val="00E5161E"/>
    <w:rsid w:val="00E54292"/>
    <w:rsid w:val="00E613A0"/>
    <w:rsid w:val="00E652AA"/>
    <w:rsid w:val="00E653BC"/>
    <w:rsid w:val="00E663C1"/>
    <w:rsid w:val="00E820B2"/>
    <w:rsid w:val="00E90D47"/>
    <w:rsid w:val="00E92CCA"/>
    <w:rsid w:val="00EA039D"/>
    <w:rsid w:val="00EA1244"/>
    <w:rsid w:val="00EB5712"/>
    <w:rsid w:val="00EB60F3"/>
    <w:rsid w:val="00ED1D4F"/>
    <w:rsid w:val="00EE3C8C"/>
    <w:rsid w:val="00EE6687"/>
    <w:rsid w:val="00F05699"/>
    <w:rsid w:val="00F079C0"/>
    <w:rsid w:val="00F11DE3"/>
    <w:rsid w:val="00F248B4"/>
    <w:rsid w:val="00F30074"/>
    <w:rsid w:val="00F37503"/>
    <w:rsid w:val="00F378DE"/>
    <w:rsid w:val="00F45999"/>
    <w:rsid w:val="00F47CD9"/>
    <w:rsid w:val="00F557B0"/>
    <w:rsid w:val="00F6084B"/>
    <w:rsid w:val="00F63187"/>
    <w:rsid w:val="00F72D88"/>
    <w:rsid w:val="00F8148E"/>
    <w:rsid w:val="00F83450"/>
    <w:rsid w:val="00F85ACB"/>
    <w:rsid w:val="00F91D87"/>
    <w:rsid w:val="00FA17CB"/>
    <w:rsid w:val="00FA6260"/>
    <w:rsid w:val="00FB13B3"/>
    <w:rsid w:val="00FB7D44"/>
    <w:rsid w:val="00FC3E6B"/>
    <w:rsid w:val="00FC5742"/>
    <w:rsid w:val="00FD3BA9"/>
    <w:rsid w:val="00FD3DCA"/>
    <w:rsid w:val="00FD3FF1"/>
    <w:rsid w:val="00FD730E"/>
    <w:rsid w:val="00FD7A19"/>
    <w:rsid w:val="00FE1F5C"/>
    <w:rsid w:val="00FE2F63"/>
    <w:rsid w:val="00FE5012"/>
    <w:rsid w:val="00FF34C0"/>
    <w:rsid w:val="00FF7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3F74"/>
  <w15:chartTrackingRefBased/>
  <w15:docId w15:val="{B36DDE2C-2082-4CFE-97F8-0537591B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CB1DF1"/>
    <w:pPr>
      <w:spacing w:line="259" w:lineRule="auto"/>
    </w:pPr>
    <w:rPr>
      <w:rFonts w:ascii="Arial" w:hAnsi="Arial" w:cs="Arial"/>
      <w:b/>
      <w:iCs w:val="0"/>
    </w:rPr>
  </w:style>
  <w:style w:type="character" w:customStyle="1" w:styleId="Style1Char">
    <w:name w:val="Style1 Char"/>
    <w:basedOn w:val="IntenseQuoteChar"/>
    <w:link w:val="Style1"/>
    <w:rsid w:val="00CB1DF1"/>
    <w:rPr>
      <w:rFonts w:ascii="Times New Roman" w:eastAsia="Times New Roman" w:hAnsi="Times New Roman" w:cs="Arial"/>
      <w:b/>
      <w:iCs w:val="0"/>
      <w:color w:val="000000" w:themeColor="text1"/>
      <w:szCs w:val="24"/>
      <w:lang w:val="en-US"/>
    </w:rPr>
  </w:style>
  <w:style w:type="paragraph" w:styleId="NormalWeb">
    <w:name w:val="Normal (Web)"/>
    <w:basedOn w:val="Normal"/>
    <w:uiPriority w:val="99"/>
    <w:semiHidden/>
    <w:unhideWhenUsed/>
    <w:rsid w:val="008B2707"/>
    <w:pPr>
      <w:spacing w:before="100" w:beforeAutospacing="1" w:after="100" w:afterAutospacing="1" w:line="240" w:lineRule="auto"/>
    </w:pPr>
    <w:rPr>
      <w:rFonts w:ascii="Times New Roman" w:eastAsia="Times New Roman" w:hAnsi="Times New Roman" w:cs="Times New Roman"/>
      <w:szCs w:val="24"/>
      <w:lang w:eastAsia="en-ZA"/>
    </w:rPr>
  </w:style>
  <w:style w:type="paragraph" w:styleId="ListParagraph">
    <w:name w:val="List Paragraph"/>
    <w:basedOn w:val="Normal"/>
    <w:uiPriority w:val="34"/>
    <w:qFormat/>
    <w:rsid w:val="00B24DF6"/>
    <w:pPr>
      <w:ind w:left="720"/>
      <w:contextualSpacing/>
    </w:pPr>
  </w:style>
  <w:style w:type="paragraph" w:styleId="Header">
    <w:name w:val="header"/>
    <w:basedOn w:val="Normal"/>
    <w:link w:val="HeaderChar"/>
    <w:uiPriority w:val="99"/>
    <w:unhideWhenUsed/>
    <w:rsid w:val="00C1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5F0"/>
  </w:style>
  <w:style w:type="paragraph" w:styleId="Footer">
    <w:name w:val="footer"/>
    <w:basedOn w:val="Normal"/>
    <w:link w:val="FooterChar"/>
    <w:uiPriority w:val="99"/>
    <w:unhideWhenUsed/>
    <w:rsid w:val="00C1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5F0"/>
  </w:style>
  <w:style w:type="paragraph" w:styleId="FootnoteText">
    <w:name w:val="footnote text"/>
    <w:basedOn w:val="Normal"/>
    <w:link w:val="FootnoteTextChar"/>
    <w:uiPriority w:val="99"/>
    <w:semiHidden/>
    <w:unhideWhenUsed/>
    <w:rsid w:val="00D7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66D"/>
    <w:rPr>
      <w:sz w:val="20"/>
      <w:szCs w:val="20"/>
    </w:rPr>
  </w:style>
  <w:style w:type="character" w:styleId="FootnoteReference">
    <w:name w:val="footnote reference"/>
    <w:basedOn w:val="DefaultParagraphFont"/>
    <w:uiPriority w:val="99"/>
    <w:semiHidden/>
    <w:unhideWhenUsed/>
    <w:rsid w:val="00D7666D"/>
    <w:rPr>
      <w:vertAlign w:val="superscript"/>
    </w:rPr>
  </w:style>
  <w:style w:type="character" w:styleId="Hyperlink">
    <w:name w:val="Hyperlink"/>
    <w:basedOn w:val="DefaultParagraphFont"/>
    <w:uiPriority w:val="99"/>
    <w:unhideWhenUsed/>
    <w:rsid w:val="00F557B0"/>
    <w:rPr>
      <w:color w:val="0563C1" w:themeColor="hyperlink"/>
      <w:u w:val="single"/>
    </w:rPr>
  </w:style>
  <w:style w:type="character" w:customStyle="1" w:styleId="UnresolvedMention1">
    <w:name w:val="Unresolved Mention1"/>
    <w:basedOn w:val="DefaultParagraphFont"/>
    <w:uiPriority w:val="99"/>
    <w:semiHidden/>
    <w:unhideWhenUsed/>
    <w:rsid w:val="00F63187"/>
    <w:rPr>
      <w:color w:val="605E5C"/>
      <w:shd w:val="clear" w:color="auto" w:fill="E1DFDD"/>
    </w:rPr>
  </w:style>
  <w:style w:type="paragraph" w:customStyle="1" w:styleId="Default">
    <w:name w:val="Default"/>
    <w:rsid w:val="005957B5"/>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5896">
      <w:bodyDiv w:val="1"/>
      <w:marLeft w:val="0"/>
      <w:marRight w:val="0"/>
      <w:marTop w:val="0"/>
      <w:marBottom w:val="0"/>
      <w:divBdr>
        <w:top w:val="none" w:sz="0" w:space="0" w:color="auto"/>
        <w:left w:val="none" w:sz="0" w:space="0" w:color="auto"/>
        <w:bottom w:val="none" w:sz="0" w:space="0" w:color="auto"/>
        <w:right w:val="none" w:sz="0" w:space="0" w:color="auto"/>
      </w:divBdr>
    </w:div>
    <w:div w:id="1005478964">
      <w:bodyDiv w:val="1"/>
      <w:marLeft w:val="0"/>
      <w:marRight w:val="0"/>
      <w:marTop w:val="0"/>
      <w:marBottom w:val="0"/>
      <w:divBdr>
        <w:top w:val="none" w:sz="0" w:space="0" w:color="auto"/>
        <w:left w:val="none" w:sz="0" w:space="0" w:color="auto"/>
        <w:bottom w:val="none" w:sz="0" w:space="0" w:color="auto"/>
        <w:right w:val="none" w:sz="0" w:space="0" w:color="auto"/>
      </w:divBdr>
    </w:div>
    <w:div w:id="1075317612">
      <w:bodyDiv w:val="1"/>
      <w:marLeft w:val="0"/>
      <w:marRight w:val="0"/>
      <w:marTop w:val="0"/>
      <w:marBottom w:val="0"/>
      <w:divBdr>
        <w:top w:val="none" w:sz="0" w:space="0" w:color="auto"/>
        <w:left w:val="none" w:sz="0" w:space="0" w:color="auto"/>
        <w:bottom w:val="none" w:sz="0" w:space="0" w:color="auto"/>
        <w:right w:val="none" w:sz="0" w:space="0" w:color="auto"/>
      </w:divBdr>
    </w:div>
    <w:div w:id="1275291259">
      <w:bodyDiv w:val="1"/>
      <w:marLeft w:val="0"/>
      <w:marRight w:val="0"/>
      <w:marTop w:val="0"/>
      <w:marBottom w:val="0"/>
      <w:divBdr>
        <w:top w:val="none" w:sz="0" w:space="0" w:color="auto"/>
        <w:left w:val="none" w:sz="0" w:space="0" w:color="auto"/>
        <w:bottom w:val="none" w:sz="0" w:space="0" w:color="auto"/>
        <w:right w:val="none" w:sz="0" w:space="0" w:color="auto"/>
      </w:divBdr>
    </w:div>
    <w:div w:id="20625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D568-4574-4367-9EC2-FCA7BFD6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2</cp:revision>
  <dcterms:created xsi:type="dcterms:W3CDTF">2023-01-27T04:13:00Z</dcterms:created>
  <dcterms:modified xsi:type="dcterms:W3CDTF">2023-01-27T04:13:00Z</dcterms:modified>
</cp:coreProperties>
</file>