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1108" w:rsidRPr="00A81108" w:rsidRDefault="00134F5F" w:rsidP="00A81108">
      <w:pPr>
        <w:spacing w:after="120" w:line="360" w:lineRule="auto"/>
        <w:jc w:val="center"/>
        <w:rPr>
          <w:rFonts w:cs="Arial"/>
          <w:b/>
          <w:bCs/>
          <w:sz w:val="22"/>
        </w:rPr>
      </w:pPr>
      <w:r>
        <w:rPr>
          <w:rFonts w:cs="Arial"/>
          <w:b/>
          <w:bCs/>
          <w:sz w:val="22"/>
        </w:rPr>
        <w:t xml:space="preserve"> </w:t>
      </w:r>
      <w:r w:rsidR="00A81108" w:rsidRPr="00A81108">
        <w:rPr>
          <w:rFonts w:cs="Arial"/>
          <w:b/>
          <w:bCs/>
          <w:noProof/>
          <w:sz w:val="22"/>
          <w:lang w:val="en-US"/>
        </w:rPr>
        <w:drawing>
          <wp:inline distT="0" distB="0" distL="0" distR="0" wp14:anchorId="75BDA8DB" wp14:editId="0803CFB9">
            <wp:extent cx="1536065" cy="1536065"/>
            <wp:effectExtent l="0" t="0" r="6985" b="6985"/>
            <wp:docPr id="2" name="Picture 2"/>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36065" cy="1536065"/>
                    </a:xfrm>
                    <a:prstGeom prst="rect">
                      <a:avLst/>
                    </a:prstGeom>
                    <a:noFill/>
                  </pic:spPr>
                </pic:pic>
              </a:graphicData>
            </a:graphic>
          </wp:inline>
        </w:drawing>
      </w:r>
    </w:p>
    <w:p w:rsidR="00A81108" w:rsidRPr="00A81108" w:rsidRDefault="00A81108" w:rsidP="00A81108">
      <w:pPr>
        <w:jc w:val="center"/>
        <w:rPr>
          <w:b/>
          <w:sz w:val="22"/>
        </w:rPr>
      </w:pPr>
      <w:r w:rsidRPr="00A81108">
        <w:rPr>
          <w:b/>
          <w:sz w:val="22"/>
        </w:rPr>
        <w:t xml:space="preserve">IN THE HIGH COURT OF SOUTH AFRICA, </w:t>
      </w:r>
    </w:p>
    <w:p w:rsidR="00A81108" w:rsidRPr="00A81108" w:rsidRDefault="00A81108" w:rsidP="00A81108">
      <w:pPr>
        <w:jc w:val="center"/>
        <w:rPr>
          <w:b/>
          <w:sz w:val="22"/>
        </w:rPr>
      </w:pPr>
      <w:r w:rsidRPr="00A81108">
        <w:rPr>
          <w:b/>
          <w:sz w:val="22"/>
        </w:rPr>
        <w:t>GAUTENG LOCAL DIVISION, JOHANNESBURG</w:t>
      </w:r>
    </w:p>
    <w:p w:rsidR="00A81108" w:rsidRPr="00A81108" w:rsidRDefault="00A81108" w:rsidP="00A81108">
      <w:pPr>
        <w:jc w:val="both"/>
        <w:rPr>
          <w:b/>
          <w:sz w:val="22"/>
        </w:rPr>
      </w:pPr>
    </w:p>
    <w:p w:rsidR="00A81108" w:rsidRPr="00A81108" w:rsidRDefault="00622C68" w:rsidP="00A81108">
      <w:pPr>
        <w:spacing w:line="360" w:lineRule="auto"/>
        <w:jc w:val="right"/>
        <w:rPr>
          <w:b/>
          <w:sz w:val="22"/>
        </w:rPr>
      </w:pPr>
      <w:r w:rsidRPr="00A81108">
        <w:rPr>
          <w:noProof/>
          <w:sz w:val="22"/>
          <w:lang w:val="en-US"/>
        </w:rPr>
        <mc:AlternateContent>
          <mc:Choice Requires="wps">
            <w:drawing>
              <wp:anchor distT="0" distB="0" distL="114300" distR="114300" simplePos="0" relativeHeight="251659264" behindDoc="0" locked="0" layoutInCell="1" allowOverlap="1" wp14:anchorId="4CDE2DBE" wp14:editId="028D9E9B">
                <wp:simplePos x="0" y="0"/>
                <wp:positionH relativeFrom="column">
                  <wp:posOffset>-4445</wp:posOffset>
                </wp:positionH>
                <wp:positionV relativeFrom="paragraph">
                  <wp:posOffset>175863</wp:posOffset>
                </wp:positionV>
                <wp:extent cx="3314700" cy="1371600"/>
                <wp:effectExtent l="0" t="0" r="19050" b="1905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371600"/>
                        </a:xfrm>
                        <a:prstGeom prst="rect">
                          <a:avLst/>
                        </a:prstGeom>
                        <a:solidFill>
                          <a:srgbClr val="FFFFFF"/>
                        </a:solidFill>
                        <a:ln w="9525">
                          <a:solidFill>
                            <a:srgbClr val="000000"/>
                          </a:solidFill>
                          <a:miter lim="800000"/>
                          <a:headEnd/>
                          <a:tailEnd/>
                        </a:ln>
                      </wps:spPr>
                      <wps:txbx>
                        <w:txbxContent>
                          <w:p w:rsidR="005C7270" w:rsidRPr="00913F95" w:rsidRDefault="005C7270" w:rsidP="00A81108">
                            <w:pPr>
                              <w:jc w:val="center"/>
                              <w:rPr>
                                <w:rFonts w:ascii="Century Gothic" w:hAnsi="Century Gothic"/>
                                <w:b/>
                                <w:sz w:val="20"/>
                                <w:szCs w:val="20"/>
                              </w:rPr>
                            </w:pPr>
                          </w:p>
                          <w:p w:rsidR="005C7270" w:rsidRDefault="00CA5BDF" w:rsidP="00CA5BDF">
                            <w:pPr>
                              <w:tabs>
                                <w:tab w:val="left" w:pos="900"/>
                              </w:tabs>
                              <w:ind w:left="900" w:hanging="720"/>
                              <w:rPr>
                                <w:rFonts w:ascii="Century Gothic" w:hAnsi="Century Gothic"/>
                                <w:sz w:val="20"/>
                                <w:szCs w:val="20"/>
                              </w:rPr>
                            </w:pPr>
                            <w:r>
                              <w:rPr>
                                <w:rFonts w:ascii="Century Gothic" w:hAnsi="Century Gothic"/>
                                <w:sz w:val="20"/>
                                <w:szCs w:val="20"/>
                              </w:rPr>
                              <w:t>(1)</w:t>
                            </w:r>
                            <w:r>
                              <w:rPr>
                                <w:rFonts w:ascii="Century Gothic" w:hAnsi="Century Gothic"/>
                                <w:sz w:val="20"/>
                                <w:szCs w:val="20"/>
                              </w:rPr>
                              <w:tab/>
                            </w:r>
                            <w:r w:rsidR="005C7270">
                              <w:rPr>
                                <w:rFonts w:ascii="Century Gothic" w:hAnsi="Century Gothic"/>
                                <w:sz w:val="20"/>
                                <w:szCs w:val="20"/>
                              </w:rPr>
                              <w:t>REPORTABLE: NO</w:t>
                            </w:r>
                          </w:p>
                          <w:p w:rsidR="005C7270" w:rsidRPr="00913F95" w:rsidRDefault="00CA5BDF" w:rsidP="00CA5BDF">
                            <w:pPr>
                              <w:tabs>
                                <w:tab w:val="left" w:pos="900"/>
                              </w:tabs>
                              <w:ind w:left="900" w:hanging="720"/>
                              <w:rPr>
                                <w:rFonts w:ascii="Century Gothic" w:hAnsi="Century Gothic"/>
                                <w:sz w:val="20"/>
                                <w:szCs w:val="20"/>
                              </w:rPr>
                            </w:pPr>
                            <w:r w:rsidRPr="00913F95">
                              <w:rPr>
                                <w:rFonts w:ascii="Century Gothic" w:hAnsi="Century Gothic"/>
                                <w:sz w:val="20"/>
                                <w:szCs w:val="20"/>
                              </w:rPr>
                              <w:t>(2)</w:t>
                            </w:r>
                            <w:r w:rsidRPr="00913F95">
                              <w:rPr>
                                <w:rFonts w:ascii="Century Gothic" w:hAnsi="Century Gothic"/>
                                <w:sz w:val="20"/>
                                <w:szCs w:val="20"/>
                              </w:rPr>
                              <w:tab/>
                            </w:r>
                            <w:r w:rsidR="005C7270" w:rsidRPr="00913F95">
                              <w:rPr>
                                <w:rFonts w:ascii="Century Gothic" w:hAnsi="Century Gothic"/>
                                <w:sz w:val="20"/>
                                <w:szCs w:val="20"/>
                              </w:rPr>
                              <w:t>OF INTEREST TO OTHER JUDGES</w:t>
                            </w:r>
                            <w:r w:rsidR="005C7270">
                              <w:rPr>
                                <w:rFonts w:ascii="Century Gothic" w:hAnsi="Century Gothic"/>
                                <w:sz w:val="20"/>
                                <w:szCs w:val="20"/>
                              </w:rPr>
                              <w:t xml:space="preserve">: </w:t>
                            </w:r>
                            <w:r w:rsidR="005C7270" w:rsidRPr="00913F95">
                              <w:rPr>
                                <w:rFonts w:ascii="Century Gothic" w:hAnsi="Century Gothic"/>
                                <w:sz w:val="20"/>
                                <w:szCs w:val="20"/>
                              </w:rPr>
                              <w:t>NO</w:t>
                            </w:r>
                          </w:p>
                          <w:p w:rsidR="005C7270" w:rsidRPr="00913F95" w:rsidRDefault="00CA5BDF" w:rsidP="00CA5BDF">
                            <w:pPr>
                              <w:tabs>
                                <w:tab w:val="left" w:pos="900"/>
                              </w:tabs>
                              <w:ind w:left="900" w:hanging="720"/>
                              <w:rPr>
                                <w:rFonts w:ascii="Century Gothic" w:hAnsi="Century Gothic"/>
                                <w:sz w:val="20"/>
                                <w:szCs w:val="20"/>
                              </w:rPr>
                            </w:pPr>
                            <w:r w:rsidRPr="00913F95">
                              <w:rPr>
                                <w:rFonts w:ascii="Century Gothic" w:hAnsi="Century Gothic"/>
                                <w:sz w:val="20"/>
                                <w:szCs w:val="20"/>
                              </w:rPr>
                              <w:t>(3)</w:t>
                            </w:r>
                            <w:r w:rsidRPr="00913F95">
                              <w:rPr>
                                <w:rFonts w:ascii="Century Gothic" w:hAnsi="Century Gothic"/>
                                <w:sz w:val="20"/>
                                <w:szCs w:val="20"/>
                              </w:rPr>
                              <w:tab/>
                            </w:r>
                            <w:r w:rsidR="005C7270" w:rsidRPr="00913F95">
                              <w:rPr>
                                <w:rFonts w:ascii="Century Gothic" w:hAnsi="Century Gothic"/>
                                <w:sz w:val="20"/>
                                <w:szCs w:val="20"/>
                              </w:rPr>
                              <w:t>REVISED</w:t>
                            </w:r>
                            <w:r w:rsidR="005C7270">
                              <w:rPr>
                                <w:rFonts w:ascii="Century Gothic" w:hAnsi="Century Gothic"/>
                                <w:sz w:val="20"/>
                                <w:szCs w:val="20"/>
                              </w:rPr>
                              <w:t xml:space="preserve">. </w:t>
                            </w:r>
                          </w:p>
                          <w:p w:rsidR="005C7270" w:rsidRDefault="005C7270" w:rsidP="00A81108">
                            <w:pPr>
                              <w:rPr>
                                <w:rFonts w:ascii="Century Gothic" w:hAnsi="Century Gothic"/>
                                <w:b/>
                                <w:sz w:val="18"/>
                                <w:szCs w:val="18"/>
                              </w:rPr>
                            </w:pPr>
                          </w:p>
                          <w:p w:rsidR="005C7270" w:rsidRPr="00084341" w:rsidRDefault="005C7270" w:rsidP="00A81108">
                            <w:pPr>
                              <w:rPr>
                                <w:rFonts w:ascii="Century Gothic" w:hAnsi="Century Gothic"/>
                                <w:b/>
                                <w:sz w:val="18"/>
                                <w:szCs w:val="18"/>
                              </w:rPr>
                            </w:pPr>
                            <w:r w:rsidRPr="00A022D7">
                              <w:rPr>
                                <w:rFonts w:ascii="Century Gothic" w:hAnsi="Century Gothic"/>
                                <w:sz w:val="18"/>
                                <w:szCs w:val="18"/>
                              </w:rPr>
                              <w:t xml:space="preserve">         </w:t>
                            </w:r>
                            <w:r w:rsidR="00A022D7" w:rsidRPr="00A022D7">
                              <w:rPr>
                                <w:rFonts w:ascii="Century Gothic" w:hAnsi="Century Gothic"/>
                                <w:sz w:val="18"/>
                                <w:szCs w:val="18"/>
                              </w:rPr>
                              <w:t xml:space="preserve">  26 April 2023</w:t>
                            </w:r>
                            <w:r w:rsidRPr="00A022D7">
                              <w:rPr>
                                <w:rFonts w:ascii="Century Gothic" w:hAnsi="Century Gothic"/>
                                <w:sz w:val="18"/>
                                <w:szCs w:val="18"/>
                              </w:rPr>
                              <w:tab/>
                            </w:r>
                            <w:r w:rsidRPr="00084341">
                              <w:rPr>
                                <w:rFonts w:ascii="Century Gothic" w:hAnsi="Century Gothic"/>
                                <w:b/>
                                <w:sz w:val="18"/>
                                <w:szCs w:val="18"/>
                              </w:rPr>
                              <w:tab/>
                              <w:t>………………………...</w:t>
                            </w:r>
                          </w:p>
                          <w:p w:rsidR="005C7270" w:rsidRPr="00084341" w:rsidRDefault="005C7270" w:rsidP="00A81108">
                            <w:pPr>
                              <w:rPr>
                                <w:rFonts w:ascii="Century Gothic" w:hAnsi="Century Gothic"/>
                                <w:sz w:val="18"/>
                                <w:szCs w:val="18"/>
                              </w:rPr>
                            </w:pPr>
                            <w:r w:rsidRPr="00084341">
                              <w:rPr>
                                <w:rFonts w:ascii="Century Gothic" w:hAnsi="Century Gothic"/>
                                <w:sz w:val="18"/>
                                <w:szCs w:val="18"/>
                              </w:rPr>
                              <w:t xml:space="preserve">                   DATE</w:t>
                            </w:r>
                            <w:r w:rsidRPr="00084341">
                              <w:rPr>
                                <w:rFonts w:ascii="Century Gothic" w:hAnsi="Century Gothic"/>
                                <w:sz w:val="18"/>
                                <w:szCs w:val="18"/>
                              </w:rPr>
                              <w:tab/>
                            </w:r>
                            <w:r w:rsidRPr="00084341">
                              <w:rPr>
                                <w:rFonts w:ascii="Century Gothic" w:hAnsi="Century Gothic"/>
                                <w:sz w:val="18"/>
                                <w:szCs w:val="18"/>
                              </w:rPr>
                              <w:tab/>
                            </w:r>
                            <w:r w:rsidRPr="00084341">
                              <w:rPr>
                                <w:rFonts w:ascii="Century Gothic" w:hAnsi="Century Gothic"/>
                                <w:sz w:val="18"/>
                                <w:szCs w:val="18"/>
                              </w:rPr>
                              <w:tab/>
                              <w:t xml:space="preserve">        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DE2DBE" id="_x0000_t202" coordsize="21600,21600" o:spt="202" path="m,l,21600r21600,l21600,xe">
                <v:stroke joinstyle="miter"/>
                <v:path gradientshapeok="t" o:connecttype="rect"/>
              </v:shapetype>
              <v:shape id="Text Box 4" o:spid="_x0000_s1026" type="#_x0000_t202" style="position:absolute;left:0;text-align:left;margin-left:-.35pt;margin-top:13.85pt;width:261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ge0KgIAAFEEAAAOAAAAZHJzL2Uyb0RvYy54bWysVNtu2zAMfR+wfxD0vtjOpWmNOEWXLsOA&#10;7gK0+wBZlm1hsqhJSuzs60vJaWpsexrmB0EUj47IQ9Kb26FT5Cisk6ALms1SSoTmUEndFPT70/7d&#10;NSXOM10xBVoU9CQcvd2+fbPpTS7m0IKqhCVIol3em4K23ps8SRxvRcfcDIzQ6KzBdsyjaZuksqxH&#10;9k4l8zS9SnqwlbHAhXN4ej866Tby17Xg/mtdO+GJKijG5uNq41qGNdluWN5YZlrJz2Gwf4iiY1Lj&#10;oxeqe+YZOVj5B1UnuQUHtZ9x6BKoa8lFzAGzydLfsnlsmRExFxTHmYtM7v/R8i/Hb5bICmtHiWYd&#10;luhJDJ68h4Esgzq9cTmCHg3C/IDHARkydeYB+A9HNOxaphtxZy30rWAVRpeFm8nk6sjjAknZf4YK&#10;n2EHD5FoqG0XCFEMguxYpdOlMiEUjoeLRbZcp+ji6MsW6+wKjfAGy1+uG+v8RwEdCZuCWix9pGfH&#10;B+dH6Askhg9KVnupVDRsU+6UJUeGbbKP35ndTWFKk76gN6v5alRg6nNTijR+f6PopMd+V7Ir6PUF&#10;xPKg2wddYZgs90yqcY/ZKX0WMmg3quiHckBgULeE6oSSWhj7GucQNy3YX5T02NMFdT8PzApK1CeN&#10;ZbnJlsswBNFYrtZzNOzUU049THOkKqinZNzu/Dg4B2Nl0+JLYyNouMNS1jKK/BrVOW7s21im84yF&#10;wZjaEfX6J9g+AwAA//8DAFBLAwQUAAYACAAAACEAFR+WQt8AAAAIAQAADwAAAGRycy9kb3ducmV2&#10;LnhtbEyPQU/DMAyF70j8h8hIXNCWrh3rKE0nhARiNxgIrlnjtRWJU5qsK/8ec4KTZb+n5++Vm8lZ&#10;MeIQOk8KFvMEBFLtTUeNgrfXh9kaRIiajLaeUME3BthU52elLow/0QuOu9gIDqFQaAVtjH0hZahb&#10;dDrMfY/E2sEPTkdeh0aaQZ843FmZJslKOt0Rf2h1j/ct1p+7o1OwXj6NH2GbPb/Xq4O9iVf5+Pg1&#10;KHV5Md3dgog4xT8z/OIzOlTMtPdHMkFYBbOcjQrSnCfL1+kiA7HnwzLLQVal/F+g+gEAAP//AwBQ&#10;SwECLQAUAAYACAAAACEAtoM4kv4AAADhAQAAEwAAAAAAAAAAAAAAAAAAAAAAW0NvbnRlbnRfVHlw&#10;ZXNdLnhtbFBLAQItABQABgAIAAAAIQA4/SH/1gAAAJQBAAALAAAAAAAAAAAAAAAAAC8BAABfcmVs&#10;cy8ucmVsc1BLAQItABQABgAIAAAAIQC80ge0KgIAAFEEAAAOAAAAAAAAAAAAAAAAAC4CAABkcnMv&#10;ZTJvRG9jLnhtbFBLAQItABQABgAIAAAAIQAVH5ZC3wAAAAgBAAAPAAAAAAAAAAAAAAAAAIQEAABk&#10;cnMvZG93bnJldi54bWxQSwUGAAAAAAQABADzAAAAkAUAAAAA&#10;">
                <v:textbox>
                  <w:txbxContent>
                    <w:p w:rsidR="005C7270" w:rsidRPr="00913F95" w:rsidRDefault="005C7270" w:rsidP="00A81108">
                      <w:pPr>
                        <w:jc w:val="center"/>
                        <w:rPr>
                          <w:rFonts w:ascii="Century Gothic" w:hAnsi="Century Gothic"/>
                          <w:b/>
                          <w:sz w:val="20"/>
                          <w:szCs w:val="20"/>
                        </w:rPr>
                      </w:pPr>
                    </w:p>
                    <w:p w:rsidR="005C7270" w:rsidRDefault="00CA5BDF" w:rsidP="00CA5BDF">
                      <w:pPr>
                        <w:tabs>
                          <w:tab w:val="left" w:pos="900"/>
                        </w:tabs>
                        <w:ind w:left="900" w:hanging="720"/>
                        <w:rPr>
                          <w:rFonts w:ascii="Century Gothic" w:hAnsi="Century Gothic"/>
                          <w:sz w:val="20"/>
                          <w:szCs w:val="20"/>
                        </w:rPr>
                      </w:pPr>
                      <w:r>
                        <w:rPr>
                          <w:rFonts w:ascii="Century Gothic" w:hAnsi="Century Gothic"/>
                          <w:sz w:val="20"/>
                          <w:szCs w:val="20"/>
                        </w:rPr>
                        <w:t>(1)</w:t>
                      </w:r>
                      <w:r>
                        <w:rPr>
                          <w:rFonts w:ascii="Century Gothic" w:hAnsi="Century Gothic"/>
                          <w:sz w:val="20"/>
                          <w:szCs w:val="20"/>
                        </w:rPr>
                        <w:tab/>
                      </w:r>
                      <w:r w:rsidR="005C7270">
                        <w:rPr>
                          <w:rFonts w:ascii="Century Gothic" w:hAnsi="Century Gothic"/>
                          <w:sz w:val="20"/>
                          <w:szCs w:val="20"/>
                        </w:rPr>
                        <w:t>REPORTABLE: NO</w:t>
                      </w:r>
                    </w:p>
                    <w:p w:rsidR="005C7270" w:rsidRPr="00913F95" w:rsidRDefault="00CA5BDF" w:rsidP="00CA5BDF">
                      <w:pPr>
                        <w:tabs>
                          <w:tab w:val="left" w:pos="900"/>
                        </w:tabs>
                        <w:ind w:left="900" w:hanging="720"/>
                        <w:rPr>
                          <w:rFonts w:ascii="Century Gothic" w:hAnsi="Century Gothic"/>
                          <w:sz w:val="20"/>
                          <w:szCs w:val="20"/>
                        </w:rPr>
                      </w:pPr>
                      <w:r w:rsidRPr="00913F95">
                        <w:rPr>
                          <w:rFonts w:ascii="Century Gothic" w:hAnsi="Century Gothic"/>
                          <w:sz w:val="20"/>
                          <w:szCs w:val="20"/>
                        </w:rPr>
                        <w:t>(2)</w:t>
                      </w:r>
                      <w:r w:rsidRPr="00913F95">
                        <w:rPr>
                          <w:rFonts w:ascii="Century Gothic" w:hAnsi="Century Gothic"/>
                          <w:sz w:val="20"/>
                          <w:szCs w:val="20"/>
                        </w:rPr>
                        <w:tab/>
                      </w:r>
                      <w:r w:rsidR="005C7270" w:rsidRPr="00913F95">
                        <w:rPr>
                          <w:rFonts w:ascii="Century Gothic" w:hAnsi="Century Gothic"/>
                          <w:sz w:val="20"/>
                          <w:szCs w:val="20"/>
                        </w:rPr>
                        <w:t>OF INTEREST TO OTHER JUDGES</w:t>
                      </w:r>
                      <w:r w:rsidR="005C7270">
                        <w:rPr>
                          <w:rFonts w:ascii="Century Gothic" w:hAnsi="Century Gothic"/>
                          <w:sz w:val="20"/>
                          <w:szCs w:val="20"/>
                        </w:rPr>
                        <w:t xml:space="preserve">: </w:t>
                      </w:r>
                      <w:r w:rsidR="005C7270" w:rsidRPr="00913F95">
                        <w:rPr>
                          <w:rFonts w:ascii="Century Gothic" w:hAnsi="Century Gothic"/>
                          <w:sz w:val="20"/>
                          <w:szCs w:val="20"/>
                        </w:rPr>
                        <w:t>NO</w:t>
                      </w:r>
                    </w:p>
                    <w:p w:rsidR="005C7270" w:rsidRPr="00913F95" w:rsidRDefault="00CA5BDF" w:rsidP="00CA5BDF">
                      <w:pPr>
                        <w:tabs>
                          <w:tab w:val="left" w:pos="900"/>
                        </w:tabs>
                        <w:ind w:left="900" w:hanging="720"/>
                        <w:rPr>
                          <w:rFonts w:ascii="Century Gothic" w:hAnsi="Century Gothic"/>
                          <w:sz w:val="20"/>
                          <w:szCs w:val="20"/>
                        </w:rPr>
                      </w:pPr>
                      <w:r w:rsidRPr="00913F95">
                        <w:rPr>
                          <w:rFonts w:ascii="Century Gothic" w:hAnsi="Century Gothic"/>
                          <w:sz w:val="20"/>
                          <w:szCs w:val="20"/>
                        </w:rPr>
                        <w:t>(3)</w:t>
                      </w:r>
                      <w:r w:rsidRPr="00913F95">
                        <w:rPr>
                          <w:rFonts w:ascii="Century Gothic" w:hAnsi="Century Gothic"/>
                          <w:sz w:val="20"/>
                          <w:szCs w:val="20"/>
                        </w:rPr>
                        <w:tab/>
                      </w:r>
                      <w:r w:rsidR="005C7270" w:rsidRPr="00913F95">
                        <w:rPr>
                          <w:rFonts w:ascii="Century Gothic" w:hAnsi="Century Gothic"/>
                          <w:sz w:val="20"/>
                          <w:szCs w:val="20"/>
                        </w:rPr>
                        <w:t>REVISED</w:t>
                      </w:r>
                      <w:r w:rsidR="005C7270">
                        <w:rPr>
                          <w:rFonts w:ascii="Century Gothic" w:hAnsi="Century Gothic"/>
                          <w:sz w:val="20"/>
                          <w:szCs w:val="20"/>
                        </w:rPr>
                        <w:t xml:space="preserve">. </w:t>
                      </w:r>
                    </w:p>
                    <w:p w:rsidR="005C7270" w:rsidRDefault="005C7270" w:rsidP="00A81108">
                      <w:pPr>
                        <w:rPr>
                          <w:rFonts w:ascii="Century Gothic" w:hAnsi="Century Gothic"/>
                          <w:b/>
                          <w:sz w:val="18"/>
                          <w:szCs w:val="18"/>
                        </w:rPr>
                      </w:pPr>
                    </w:p>
                    <w:p w:rsidR="005C7270" w:rsidRPr="00084341" w:rsidRDefault="005C7270" w:rsidP="00A81108">
                      <w:pPr>
                        <w:rPr>
                          <w:rFonts w:ascii="Century Gothic" w:hAnsi="Century Gothic"/>
                          <w:b/>
                          <w:sz w:val="18"/>
                          <w:szCs w:val="18"/>
                        </w:rPr>
                      </w:pPr>
                      <w:r w:rsidRPr="00A022D7">
                        <w:rPr>
                          <w:rFonts w:ascii="Century Gothic" w:hAnsi="Century Gothic"/>
                          <w:sz w:val="18"/>
                          <w:szCs w:val="18"/>
                        </w:rPr>
                        <w:t xml:space="preserve">         </w:t>
                      </w:r>
                      <w:r w:rsidR="00A022D7" w:rsidRPr="00A022D7">
                        <w:rPr>
                          <w:rFonts w:ascii="Century Gothic" w:hAnsi="Century Gothic"/>
                          <w:sz w:val="18"/>
                          <w:szCs w:val="18"/>
                        </w:rPr>
                        <w:t xml:space="preserve">  26 April 2023</w:t>
                      </w:r>
                      <w:r w:rsidRPr="00A022D7">
                        <w:rPr>
                          <w:rFonts w:ascii="Century Gothic" w:hAnsi="Century Gothic"/>
                          <w:sz w:val="18"/>
                          <w:szCs w:val="18"/>
                        </w:rPr>
                        <w:tab/>
                      </w:r>
                      <w:r w:rsidRPr="00084341">
                        <w:rPr>
                          <w:rFonts w:ascii="Century Gothic" w:hAnsi="Century Gothic"/>
                          <w:b/>
                          <w:sz w:val="18"/>
                          <w:szCs w:val="18"/>
                        </w:rPr>
                        <w:tab/>
                        <w:t>………………………...</w:t>
                      </w:r>
                    </w:p>
                    <w:p w:rsidR="005C7270" w:rsidRPr="00084341" w:rsidRDefault="005C7270" w:rsidP="00A81108">
                      <w:pPr>
                        <w:rPr>
                          <w:rFonts w:ascii="Century Gothic" w:hAnsi="Century Gothic"/>
                          <w:sz w:val="18"/>
                          <w:szCs w:val="18"/>
                        </w:rPr>
                      </w:pPr>
                      <w:r w:rsidRPr="00084341">
                        <w:rPr>
                          <w:rFonts w:ascii="Century Gothic" w:hAnsi="Century Gothic"/>
                          <w:sz w:val="18"/>
                          <w:szCs w:val="18"/>
                        </w:rPr>
                        <w:t xml:space="preserve">                   DATE</w:t>
                      </w:r>
                      <w:r w:rsidRPr="00084341">
                        <w:rPr>
                          <w:rFonts w:ascii="Century Gothic" w:hAnsi="Century Gothic"/>
                          <w:sz w:val="18"/>
                          <w:szCs w:val="18"/>
                        </w:rPr>
                        <w:tab/>
                      </w:r>
                      <w:r w:rsidRPr="00084341">
                        <w:rPr>
                          <w:rFonts w:ascii="Century Gothic" w:hAnsi="Century Gothic"/>
                          <w:sz w:val="18"/>
                          <w:szCs w:val="18"/>
                        </w:rPr>
                        <w:tab/>
                      </w:r>
                      <w:r w:rsidRPr="00084341">
                        <w:rPr>
                          <w:rFonts w:ascii="Century Gothic" w:hAnsi="Century Gothic"/>
                          <w:sz w:val="18"/>
                          <w:szCs w:val="18"/>
                        </w:rPr>
                        <w:tab/>
                        <w:t xml:space="preserve">        SIGNATURE</w:t>
                      </w:r>
                    </w:p>
                  </w:txbxContent>
                </v:textbox>
              </v:shape>
            </w:pict>
          </mc:Fallback>
        </mc:AlternateContent>
      </w:r>
      <w:r w:rsidR="00A81108" w:rsidRPr="00A81108">
        <w:rPr>
          <w:b/>
          <w:sz w:val="22"/>
        </w:rPr>
        <w:t xml:space="preserve">CASE NO:  </w:t>
      </w:r>
      <w:r w:rsidR="001D1C9D">
        <w:rPr>
          <w:b/>
          <w:sz w:val="22"/>
        </w:rPr>
        <w:t>A3025/2022</w:t>
      </w:r>
    </w:p>
    <w:p w:rsidR="00A81108" w:rsidRPr="00A81108" w:rsidRDefault="00A81108" w:rsidP="00A81108">
      <w:pPr>
        <w:spacing w:line="360" w:lineRule="auto"/>
        <w:jc w:val="right"/>
        <w:rPr>
          <w:sz w:val="22"/>
        </w:rPr>
      </w:pPr>
    </w:p>
    <w:p w:rsidR="00A81108" w:rsidRPr="00A81108" w:rsidRDefault="00A81108" w:rsidP="00A81108">
      <w:pPr>
        <w:spacing w:line="360" w:lineRule="auto"/>
        <w:jc w:val="both"/>
        <w:rPr>
          <w:sz w:val="22"/>
        </w:rPr>
      </w:pPr>
    </w:p>
    <w:p w:rsidR="00A81108" w:rsidRPr="00A81108" w:rsidRDefault="00A81108" w:rsidP="00A81108">
      <w:pPr>
        <w:spacing w:line="360" w:lineRule="auto"/>
        <w:jc w:val="both"/>
        <w:rPr>
          <w:sz w:val="22"/>
        </w:rPr>
      </w:pPr>
    </w:p>
    <w:p w:rsidR="00A81108" w:rsidRPr="00A81108" w:rsidRDefault="00A81108" w:rsidP="00A81108">
      <w:pPr>
        <w:spacing w:line="360" w:lineRule="auto"/>
        <w:jc w:val="both"/>
        <w:rPr>
          <w:sz w:val="22"/>
        </w:rPr>
      </w:pPr>
    </w:p>
    <w:p w:rsidR="00A81108" w:rsidRPr="00A81108" w:rsidRDefault="00A81108" w:rsidP="00A81108">
      <w:pPr>
        <w:spacing w:line="480" w:lineRule="auto"/>
        <w:jc w:val="both"/>
        <w:rPr>
          <w:sz w:val="22"/>
        </w:rPr>
      </w:pPr>
    </w:p>
    <w:p w:rsidR="00A81108" w:rsidRPr="00A81108" w:rsidRDefault="00A81108" w:rsidP="00A81108">
      <w:pPr>
        <w:spacing w:line="480" w:lineRule="auto"/>
        <w:jc w:val="both"/>
        <w:rPr>
          <w:sz w:val="22"/>
        </w:rPr>
      </w:pPr>
    </w:p>
    <w:p w:rsidR="00A81108" w:rsidRPr="00A81108" w:rsidRDefault="00A81108" w:rsidP="00A81108">
      <w:pPr>
        <w:spacing w:line="480" w:lineRule="auto"/>
        <w:jc w:val="both"/>
        <w:rPr>
          <w:rFonts w:cs="Arial"/>
          <w:sz w:val="22"/>
          <w:szCs w:val="22"/>
        </w:rPr>
      </w:pPr>
      <w:r w:rsidRPr="00A81108">
        <w:rPr>
          <w:rFonts w:cs="Arial"/>
          <w:sz w:val="22"/>
          <w:szCs w:val="22"/>
        </w:rPr>
        <w:t>In the matter between:</w:t>
      </w:r>
    </w:p>
    <w:p w:rsidR="00A81108" w:rsidRPr="00A81108" w:rsidRDefault="00A81108" w:rsidP="00A81108">
      <w:pPr>
        <w:spacing w:line="480" w:lineRule="auto"/>
        <w:jc w:val="both"/>
        <w:rPr>
          <w:rFonts w:cs="Arial"/>
          <w:sz w:val="22"/>
          <w:szCs w:val="22"/>
        </w:rPr>
      </w:pPr>
    </w:p>
    <w:tbl>
      <w:tblPr>
        <w:tblW w:w="0" w:type="auto"/>
        <w:tblLook w:val="0000" w:firstRow="0" w:lastRow="0" w:firstColumn="0" w:lastColumn="0" w:noHBand="0" w:noVBand="0"/>
      </w:tblPr>
      <w:tblGrid>
        <w:gridCol w:w="6179"/>
        <w:gridCol w:w="2372"/>
      </w:tblGrid>
      <w:tr w:rsidR="00A81108" w:rsidRPr="00A81108" w:rsidTr="00F54313">
        <w:tc>
          <w:tcPr>
            <w:tcW w:w="6345" w:type="dxa"/>
          </w:tcPr>
          <w:p w:rsidR="00A81108" w:rsidRPr="00A81108" w:rsidRDefault="001D1C9D" w:rsidP="00AD19A0">
            <w:pPr>
              <w:rPr>
                <w:rFonts w:cs="Arial"/>
                <w:b/>
                <w:bCs/>
                <w:sz w:val="22"/>
                <w:szCs w:val="22"/>
              </w:rPr>
            </w:pPr>
            <w:r>
              <w:rPr>
                <w:rFonts w:cs="Arial"/>
                <w:b/>
                <w:bCs/>
                <w:sz w:val="22"/>
                <w:szCs w:val="22"/>
              </w:rPr>
              <w:t>MEIR GONEN</w:t>
            </w:r>
          </w:p>
        </w:tc>
        <w:tc>
          <w:tcPr>
            <w:tcW w:w="2410" w:type="dxa"/>
          </w:tcPr>
          <w:p w:rsidR="00A81108" w:rsidRPr="00A81108" w:rsidRDefault="001D1C9D" w:rsidP="00A81108">
            <w:pPr>
              <w:jc w:val="right"/>
              <w:rPr>
                <w:rFonts w:cs="Arial"/>
                <w:sz w:val="22"/>
                <w:szCs w:val="22"/>
              </w:rPr>
            </w:pPr>
            <w:r>
              <w:rPr>
                <w:rFonts w:cs="Arial"/>
                <w:sz w:val="22"/>
                <w:szCs w:val="22"/>
              </w:rPr>
              <w:t>Appellant</w:t>
            </w:r>
          </w:p>
        </w:tc>
      </w:tr>
      <w:tr w:rsidR="00A81108" w:rsidRPr="00A81108" w:rsidTr="00F54313">
        <w:tc>
          <w:tcPr>
            <w:tcW w:w="6345" w:type="dxa"/>
          </w:tcPr>
          <w:p w:rsidR="00A81108" w:rsidRPr="00A81108" w:rsidRDefault="00A81108" w:rsidP="00A81108">
            <w:pPr>
              <w:rPr>
                <w:sz w:val="22"/>
                <w:szCs w:val="22"/>
              </w:rPr>
            </w:pPr>
          </w:p>
          <w:p w:rsidR="00A81108" w:rsidRPr="00A81108" w:rsidRDefault="00A81108" w:rsidP="00A81108">
            <w:pPr>
              <w:rPr>
                <w:sz w:val="22"/>
                <w:szCs w:val="22"/>
              </w:rPr>
            </w:pPr>
          </w:p>
        </w:tc>
        <w:tc>
          <w:tcPr>
            <w:tcW w:w="2410" w:type="dxa"/>
          </w:tcPr>
          <w:p w:rsidR="00A81108" w:rsidRPr="00A81108" w:rsidRDefault="00A81108" w:rsidP="00A81108">
            <w:pPr>
              <w:jc w:val="right"/>
              <w:rPr>
                <w:rFonts w:cs="Arial"/>
                <w:sz w:val="22"/>
                <w:szCs w:val="22"/>
              </w:rPr>
            </w:pPr>
          </w:p>
        </w:tc>
      </w:tr>
      <w:tr w:rsidR="00A81108" w:rsidRPr="00A81108" w:rsidTr="00F54313">
        <w:tc>
          <w:tcPr>
            <w:tcW w:w="6345" w:type="dxa"/>
          </w:tcPr>
          <w:p w:rsidR="00A81108" w:rsidRPr="00A81108" w:rsidRDefault="00A81108" w:rsidP="00A81108">
            <w:pPr>
              <w:rPr>
                <w:sz w:val="22"/>
                <w:szCs w:val="22"/>
              </w:rPr>
            </w:pPr>
            <w:r w:rsidRPr="00A81108">
              <w:rPr>
                <w:sz w:val="22"/>
                <w:szCs w:val="22"/>
              </w:rPr>
              <w:t xml:space="preserve">and  </w:t>
            </w:r>
          </w:p>
        </w:tc>
        <w:tc>
          <w:tcPr>
            <w:tcW w:w="2410" w:type="dxa"/>
          </w:tcPr>
          <w:p w:rsidR="00A81108" w:rsidRPr="00A81108" w:rsidRDefault="00A81108" w:rsidP="00A81108">
            <w:pPr>
              <w:jc w:val="right"/>
              <w:rPr>
                <w:rFonts w:cs="Arial"/>
                <w:sz w:val="22"/>
                <w:szCs w:val="22"/>
              </w:rPr>
            </w:pPr>
          </w:p>
        </w:tc>
      </w:tr>
      <w:tr w:rsidR="00A81108" w:rsidRPr="00A81108" w:rsidTr="00F54313">
        <w:tc>
          <w:tcPr>
            <w:tcW w:w="6345" w:type="dxa"/>
          </w:tcPr>
          <w:p w:rsidR="00A81108" w:rsidRPr="00A81108" w:rsidRDefault="00A81108" w:rsidP="00A81108">
            <w:pPr>
              <w:rPr>
                <w:sz w:val="22"/>
                <w:szCs w:val="22"/>
              </w:rPr>
            </w:pPr>
          </w:p>
          <w:p w:rsidR="00A81108" w:rsidRPr="00A81108" w:rsidRDefault="00A81108" w:rsidP="00A81108">
            <w:pPr>
              <w:rPr>
                <w:sz w:val="22"/>
                <w:szCs w:val="22"/>
              </w:rPr>
            </w:pPr>
          </w:p>
        </w:tc>
        <w:tc>
          <w:tcPr>
            <w:tcW w:w="2410" w:type="dxa"/>
          </w:tcPr>
          <w:p w:rsidR="00A81108" w:rsidRPr="00A81108" w:rsidRDefault="00A81108" w:rsidP="00A81108">
            <w:pPr>
              <w:jc w:val="right"/>
              <w:rPr>
                <w:rFonts w:cs="Arial"/>
                <w:sz w:val="22"/>
                <w:szCs w:val="22"/>
              </w:rPr>
            </w:pPr>
          </w:p>
        </w:tc>
      </w:tr>
      <w:tr w:rsidR="00A81108" w:rsidRPr="00A81108" w:rsidTr="00F54313">
        <w:tc>
          <w:tcPr>
            <w:tcW w:w="6345" w:type="dxa"/>
          </w:tcPr>
          <w:p w:rsidR="00A81108" w:rsidRPr="00AD19A0" w:rsidRDefault="001D1C9D" w:rsidP="002B3D33">
            <w:pPr>
              <w:rPr>
                <w:b/>
                <w:sz w:val="22"/>
                <w:szCs w:val="22"/>
              </w:rPr>
            </w:pPr>
            <w:r>
              <w:rPr>
                <w:b/>
                <w:sz w:val="22"/>
                <w:szCs w:val="22"/>
              </w:rPr>
              <w:t>TRUSTEES FOR THE TIME BE</w:t>
            </w:r>
            <w:r w:rsidR="002B3D33">
              <w:rPr>
                <w:b/>
                <w:sz w:val="22"/>
                <w:szCs w:val="22"/>
              </w:rPr>
              <w:t>I</w:t>
            </w:r>
            <w:r>
              <w:rPr>
                <w:b/>
                <w:sz w:val="22"/>
                <w:szCs w:val="22"/>
              </w:rPr>
              <w:t>NG OF THE MELVILLE BODY CORPORATE</w:t>
            </w:r>
          </w:p>
        </w:tc>
        <w:tc>
          <w:tcPr>
            <w:tcW w:w="2410" w:type="dxa"/>
          </w:tcPr>
          <w:p w:rsidR="001D1C9D" w:rsidRDefault="001D1C9D" w:rsidP="00A81108">
            <w:pPr>
              <w:jc w:val="right"/>
              <w:rPr>
                <w:rFonts w:cs="Arial"/>
                <w:sz w:val="22"/>
                <w:szCs w:val="22"/>
              </w:rPr>
            </w:pPr>
          </w:p>
          <w:p w:rsidR="00A81108" w:rsidRPr="00A81108" w:rsidRDefault="00BB280F" w:rsidP="00A81108">
            <w:pPr>
              <w:jc w:val="right"/>
              <w:rPr>
                <w:rFonts w:cs="Arial"/>
                <w:sz w:val="22"/>
                <w:szCs w:val="22"/>
              </w:rPr>
            </w:pPr>
            <w:r>
              <w:rPr>
                <w:rFonts w:cs="Arial"/>
                <w:sz w:val="22"/>
                <w:szCs w:val="22"/>
              </w:rPr>
              <w:t xml:space="preserve">First </w:t>
            </w:r>
            <w:r w:rsidR="00A81108" w:rsidRPr="00A81108">
              <w:rPr>
                <w:rFonts w:cs="Arial"/>
                <w:sz w:val="22"/>
                <w:szCs w:val="22"/>
              </w:rPr>
              <w:t>Respondent</w:t>
            </w:r>
          </w:p>
        </w:tc>
      </w:tr>
      <w:tr w:rsidR="00BB280F" w:rsidRPr="00A81108" w:rsidTr="00F54313">
        <w:tc>
          <w:tcPr>
            <w:tcW w:w="6345" w:type="dxa"/>
          </w:tcPr>
          <w:p w:rsidR="00BB280F" w:rsidRDefault="00BB280F" w:rsidP="00A81108">
            <w:pPr>
              <w:rPr>
                <w:b/>
                <w:sz w:val="22"/>
                <w:szCs w:val="22"/>
              </w:rPr>
            </w:pPr>
          </w:p>
        </w:tc>
        <w:tc>
          <w:tcPr>
            <w:tcW w:w="2410" w:type="dxa"/>
          </w:tcPr>
          <w:p w:rsidR="00BB280F" w:rsidRDefault="00BB280F" w:rsidP="00A81108">
            <w:pPr>
              <w:jc w:val="right"/>
              <w:rPr>
                <w:rFonts w:cs="Arial"/>
                <w:sz w:val="22"/>
                <w:szCs w:val="22"/>
              </w:rPr>
            </w:pPr>
          </w:p>
        </w:tc>
      </w:tr>
      <w:tr w:rsidR="00BB280F" w:rsidRPr="00A81108" w:rsidTr="00F54313">
        <w:tc>
          <w:tcPr>
            <w:tcW w:w="6345" w:type="dxa"/>
          </w:tcPr>
          <w:p w:rsidR="00BB280F" w:rsidRDefault="001D1C9D" w:rsidP="00A81108">
            <w:pPr>
              <w:rPr>
                <w:b/>
                <w:sz w:val="22"/>
                <w:szCs w:val="22"/>
              </w:rPr>
            </w:pPr>
            <w:r>
              <w:rPr>
                <w:b/>
                <w:sz w:val="22"/>
                <w:szCs w:val="22"/>
              </w:rPr>
              <w:t>THE BODY CORPORATE OF THE MELVILLE (SS 979/2005)</w:t>
            </w:r>
          </w:p>
        </w:tc>
        <w:tc>
          <w:tcPr>
            <w:tcW w:w="2410" w:type="dxa"/>
          </w:tcPr>
          <w:p w:rsidR="00BB280F" w:rsidRDefault="00BB280F" w:rsidP="00A81108">
            <w:pPr>
              <w:jc w:val="right"/>
              <w:rPr>
                <w:rFonts w:cs="Arial"/>
                <w:sz w:val="22"/>
                <w:szCs w:val="22"/>
              </w:rPr>
            </w:pPr>
            <w:r>
              <w:rPr>
                <w:rFonts w:cs="Arial"/>
                <w:sz w:val="22"/>
                <w:szCs w:val="22"/>
              </w:rPr>
              <w:t>Second Respondent</w:t>
            </w:r>
          </w:p>
        </w:tc>
      </w:tr>
      <w:tr w:rsidR="00413122" w:rsidRPr="00A81108" w:rsidTr="00F54313">
        <w:tc>
          <w:tcPr>
            <w:tcW w:w="6345" w:type="dxa"/>
          </w:tcPr>
          <w:p w:rsidR="00413122" w:rsidRDefault="00413122" w:rsidP="00A81108">
            <w:pPr>
              <w:rPr>
                <w:b/>
                <w:sz w:val="22"/>
                <w:szCs w:val="22"/>
              </w:rPr>
            </w:pPr>
          </w:p>
        </w:tc>
        <w:tc>
          <w:tcPr>
            <w:tcW w:w="2410" w:type="dxa"/>
          </w:tcPr>
          <w:p w:rsidR="00413122" w:rsidRDefault="00413122" w:rsidP="00A81108">
            <w:pPr>
              <w:jc w:val="right"/>
              <w:rPr>
                <w:rFonts w:cs="Arial"/>
                <w:sz w:val="22"/>
                <w:szCs w:val="22"/>
              </w:rPr>
            </w:pPr>
          </w:p>
        </w:tc>
      </w:tr>
      <w:tr w:rsidR="00413122" w:rsidRPr="00A81108" w:rsidTr="00F54313">
        <w:tc>
          <w:tcPr>
            <w:tcW w:w="6345" w:type="dxa"/>
          </w:tcPr>
          <w:p w:rsidR="00413122" w:rsidRDefault="001D1C9D" w:rsidP="00A81108">
            <w:pPr>
              <w:rPr>
                <w:b/>
                <w:sz w:val="22"/>
                <w:szCs w:val="22"/>
              </w:rPr>
            </w:pPr>
            <w:r>
              <w:rPr>
                <w:b/>
                <w:sz w:val="22"/>
                <w:szCs w:val="22"/>
              </w:rPr>
              <w:t>THE COMMUNITY SCHEMES OMBUD SERVICE (CSOS)</w:t>
            </w:r>
          </w:p>
        </w:tc>
        <w:tc>
          <w:tcPr>
            <w:tcW w:w="2410" w:type="dxa"/>
          </w:tcPr>
          <w:p w:rsidR="00413122" w:rsidRDefault="00413122" w:rsidP="00A81108">
            <w:pPr>
              <w:jc w:val="right"/>
              <w:rPr>
                <w:rFonts w:cs="Arial"/>
                <w:sz w:val="22"/>
                <w:szCs w:val="22"/>
              </w:rPr>
            </w:pPr>
            <w:r>
              <w:rPr>
                <w:rFonts w:cs="Arial"/>
                <w:sz w:val="22"/>
                <w:szCs w:val="22"/>
              </w:rPr>
              <w:t>Third Respondent</w:t>
            </w:r>
          </w:p>
        </w:tc>
      </w:tr>
      <w:tr w:rsidR="00413122" w:rsidRPr="00A81108" w:rsidTr="00F54313">
        <w:tc>
          <w:tcPr>
            <w:tcW w:w="6345" w:type="dxa"/>
          </w:tcPr>
          <w:p w:rsidR="00413122" w:rsidRDefault="00413122" w:rsidP="00A81108">
            <w:pPr>
              <w:rPr>
                <w:b/>
                <w:sz w:val="22"/>
                <w:szCs w:val="22"/>
              </w:rPr>
            </w:pPr>
          </w:p>
        </w:tc>
        <w:tc>
          <w:tcPr>
            <w:tcW w:w="2410" w:type="dxa"/>
          </w:tcPr>
          <w:p w:rsidR="00413122" w:rsidRDefault="00413122" w:rsidP="00A81108">
            <w:pPr>
              <w:jc w:val="right"/>
              <w:rPr>
                <w:rFonts w:cs="Arial"/>
                <w:sz w:val="22"/>
                <w:szCs w:val="22"/>
              </w:rPr>
            </w:pPr>
          </w:p>
        </w:tc>
      </w:tr>
      <w:tr w:rsidR="00413122" w:rsidRPr="00A81108" w:rsidTr="00F54313">
        <w:tc>
          <w:tcPr>
            <w:tcW w:w="6345" w:type="dxa"/>
          </w:tcPr>
          <w:p w:rsidR="00413122" w:rsidRDefault="001D1C9D" w:rsidP="00A81108">
            <w:pPr>
              <w:rPr>
                <w:b/>
                <w:sz w:val="22"/>
                <w:szCs w:val="22"/>
              </w:rPr>
            </w:pPr>
            <w:r>
              <w:rPr>
                <w:b/>
                <w:sz w:val="22"/>
                <w:szCs w:val="22"/>
              </w:rPr>
              <w:t>THE COMMUNITY SCHEMES OMBUD SERVICE ADJUDICATOR, DR MOHAMED ALLI CHICKTAY</w:t>
            </w:r>
          </w:p>
        </w:tc>
        <w:tc>
          <w:tcPr>
            <w:tcW w:w="2410" w:type="dxa"/>
          </w:tcPr>
          <w:p w:rsidR="001D1C9D" w:rsidRDefault="001D1C9D" w:rsidP="00A81108">
            <w:pPr>
              <w:jc w:val="right"/>
              <w:rPr>
                <w:rFonts w:cs="Arial"/>
                <w:sz w:val="22"/>
                <w:szCs w:val="22"/>
              </w:rPr>
            </w:pPr>
          </w:p>
          <w:p w:rsidR="00413122" w:rsidRDefault="00413122" w:rsidP="00A81108">
            <w:pPr>
              <w:jc w:val="right"/>
              <w:rPr>
                <w:rFonts w:cs="Arial"/>
                <w:sz w:val="22"/>
                <w:szCs w:val="22"/>
              </w:rPr>
            </w:pPr>
            <w:r>
              <w:rPr>
                <w:rFonts w:cs="Arial"/>
                <w:sz w:val="22"/>
                <w:szCs w:val="22"/>
              </w:rPr>
              <w:t>Fourth Respondent</w:t>
            </w:r>
          </w:p>
        </w:tc>
      </w:tr>
    </w:tbl>
    <w:p w:rsidR="00A81108" w:rsidRPr="00A81108" w:rsidRDefault="00A81108" w:rsidP="00A81108">
      <w:pPr>
        <w:pBdr>
          <w:bottom w:val="single" w:sz="4" w:space="1" w:color="auto"/>
        </w:pBdr>
        <w:spacing w:line="360" w:lineRule="auto"/>
        <w:jc w:val="both"/>
        <w:rPr>
          <w:rFonts w:cs="Arial"/>
          <w:sz w:val="22"/>
          <w:szCs w:val="22"/>
        </w:rPr>
      </w:pPr>
    </w:p>
    <w:p w:rsidR="00A81108" w:rsidRPr="00A81108" w:rsidRDefault="00A81108" w:rsidP="00A81108">
      <w:pPr>
        <w:spacing w:line="276" w:lineRule="auto"/>
        <w:jc w:val="both"/>
        <w:rPr>
          <w:rFonts w:cs="Arial"/>
          <w:sz w:val="22"/>
          <w:szCs w:val="22"/>
        </w:rPr>
      </w:pPr>
    </w:p>
    <w:p w:rsidR="00A81108" w:rsidRPr="00A81108" w:rsidRDefault="00A81108" w:rsidP="00A81108">
      <w:pPr>
        <w:keepNext/>
        <w:spacing w:line="276" w:lineRule="auto"/>
        <w:jc w:val="center"/>
        <w:outlineLvl w:val="1"/>
        <w:rPr>
          <w:rFonts w:cs="Arial"/>
          <w:b/>
          <w:bCs/>
          <w:sz w:val="22"/>
          <w:szCs w:val="22"/>
        </w:rPr>
      </w:pPr>
      <w:r w:rsidRPr="00A81108">
        <w:rPr>
          <w:rFonts w:cs="Arial"/>
          <w:b/>
          <w:bCs/>
          <w:sz w:val="22"/>
          <w:szCs w:val="22"/>
        </w:rPr>
        <w:t>JUDGMENT</w:t>
      </w:r>
    </w:p>
    <w:p w:rsidR="00A81108" w:rsidRPr="00A81108" w:rsidRDefault="00A81108" w:rsidP="00A81108">
      <w:pPr>
        <w:pBdr>
          <w:bottom w:val="single" w:sz="4" w:space="1" w:color="auto"/>
        </w:pBdr>
        <w:jc w:val="both"/>
        <w:rPr>
          <w:rFonts w:cs="Arial"/>
          <w:sz w:val="22"/>
          <w:szCs w:val="22"/>
        </w:rPr>
      </w:pPr>
    </w:p>
    <w:p w:rsidR="00622C68" w:rsidRPr="00882FAE" w:rsidRDefault="00622C68" w:rsidP="00882FAE">
      <w:pPr>
        <w:spacing w:after="480" w:line="276" w:lineRule="auto"/>
        <w:jc w:val="both"/>
        <w:rPr>
          <w:rFonts w:cs="Arial"/>
          <w:i/>
          <w:sz w:val="22"/>
          <w:szCs w:val="22"/>
        </w:rPr>
      </w:pPr>
      <w:r>
        <w:rPr>
          <w:rFonts w:cs="Arial"/>
          <w:b/>
          <w:i/>
          <w:sz w:val="22"/>
          <w:szCs w:val="22"/>
        </w:rPr>
        <w:t xml:space="preserve">Neutral Citation: </w:t>
      </w:r>
      <w:r>
        <w:rPr>
          <w:rFonts w:cs="Arial"/>
          <w:b/>
          <w:i/>
          <w:sz w:val="22"/>
          <w:szCs w:val="22"/>
        </w:rPr>
        <w:tab/>
      </w:r>
      <w:r w:rsidRPr="00882FAE">
        <w:rPr>
          <w:rFonts w:cs="Arial"/>
          <w:i/>
          <w:sz w:val="22"/>
          <w:szCs w:val="22"/>
        </w:rPr>
        <w:t xml:space="preserve">Meir Gonen v Trustees For The Time Being Of The Melville </w:t>
      </w:r>
      <w:r w:rsidRPr="00882FAE">
        <w:rPr>
          <w:rFonts w:cs="Arial"/>
          <w:i/>
          <w:sz w:val="22"/>
          <w:szCs w:val="22"/>
        </w:rPr>
        <w:tab/>
      </w:r>
      <w:r w:rsidRPr="00882FAE">
        <w:rPr>
          <w:rFonts w:cs="Arial"/>
          <w:i/>
          <w:sz w:val="22"/>
          <w:szCs w:val="22"/>
        </w:rPr>
        <w:tab/>
      </w:r>
      <w:r w:rsidRPr="00882FAE">
        <w:rPr>
          <w:rFonts w:cs="Arial"/>
          <w:i/>
          <w:sz w:val="22"/>
          <w:szCs w:val="22"/>
        </w:rPr>
        <w:tab/>
      </w:r>
      <w:r w:rsidR="00482823" w:rsidRPr="00882FAE">
        <w:rPr>
          <w:rFonts w:cs="Arial"/>
          <w:i/>
          <w:sz w:val="22"/>
          <w:szCs w:val="22"/>
        </w:rPr>
        <w:tab/>
      </w:r>
      <w:r w:rsidRPr="00882FAE">
        <w:rPr>
          <w:rFonts w:cs="Arial"/>
          <w:i/>
          <w:sz w:val="22"/>
          <w:szCs w:val="22"/>
        </w:rPr>
        <w:t xml:space="preserve">Body Corporate and Others </w:t>
      </w:r>
      <w:r w:rsidRPr="00882FAE">
        <w:rPr>
          <w:rFonts w:cs="Arial"/>
          <w:sz w:val="22"/>
          <w:szCs w:val="22"/>
        </w:rPr>
        <w:t xml:space="preserve">(Case no: A3025/2022) [2023] </w:t>
      </w:r>
      <w:r w:rsidRPr="00882FAE">
        <w:rPr>
          <w:rFonts w:cs="Arial"/>
          <w:sz w:val="22"/>
          <w:szCs w:val="22"/>
        </w:rPr>
        <w:tab/>
      </w:r>
      <w:r w:rsidRPr="00882FAE">
        <w:rPr>
          <w:rFonts w:cs="Arial"/>
          <w:sz w:val="22"/>
          <w:szCs w:val="22"/>
        </w:rPr>
        <w:tab/>
      </w:r>
      <w:r w:rsidRPr="00882FAE">
        <w:rPr>
          <w:rFonts w:cs="Arial"/>
          <w:sz w:val="22"/>
          <w:szCs w:val="22"/>
        </w:rPr>
        <w:tab/>
      </w:r>
      <w:r w:rsidR="00482823" w:rsidRPr="00882FAE">
        <w:rPr>
          <w:rFonts w:cs="Arial"/>
          <w:sz w:val="22"/>
          <w:szCs w:val="22"/>
        </w:rPr>
        <w:tab/>
      </w:r>
      <w:r w:rsidR="00714ABF" w:rsidRPr="00882FAE">
        <w:rPr>
          <w:rFonts w:cs="Arial"/>
          <w:sz w:val="22"/>
          <w:szCs w:val="22"/>
        </w:rPr>
        <w:t>ZAGPJHC 363</w:t>
      </w:r>
      <w:r w:rsidRPr="00882FAE">
        <w:rPr>
          <w:rFonts w:cs="Arial"/>
          <w:sz w:val="22"/>
          <w:szCs w:val="22"/>
        </w:rPr>
        <w:t xml:space="preserve"> (26 April 2023)</w:t>
      </w:r>
    </w:p>
    <w:p w:rsidR="00A81108" w:rsidRPr="00A81108" w:rsidRDefault="00A81108" w:rsidP="00A81108">
      <w:pPr>
        <w:spacing w:after="480" w:line="480" w:lineRule="auto"/>
        <w:jc w:val="both"/>
        <w:rPr>
          <w:rFonts w:cs="Arial"/>
          <w:b/>
          <w:sz w:val="22"/>
          <w:szCs w:val="22"/>
        </w:rPr>
      </w:pPr>
      <w:r w:rsidRPr="00A81108">
        <w:rPr>
          <w:rFonts w:cs="Arial"/>
          <w:b/>
          <w:sz w:val="22"/>
          <w:szCs w:val="22"/>
        </w:rPr>
        <w:lastRenderedPageBreak/>
        <w:t>CRUTCHFIELD J:</w:t>
      </w:r>
    </w:p>
    <w:p w:rsidR="0004776D" w:rsidRDefault="00CA5BDF" w:rsidP="00CA5BDF">
      <w:pPr>
        <w:tabs>
          <w:tab w:val="left" w:pos="680"/>
        </w:tabs>
        <w:spacing w:before="360" w:after="360" w:line="480" w:lineRule="auto"/>
        <w:jc w:val="both"/>
        <w:rPr>
          <w:rFonts w:cs="Arial"/>
          <w:bCs/>
          <w:sz w:val="22"/>
          <w:szCs w:val="22"/>
        </w:rPr>
      </w:pPr>
      <w:r>
        <w:rPr>
          <w:rFonts w:cs="Arial"/>
          <w:bCs/>
          <w:sz w:val="21"/>
          <w:szCs w:val="21"/>
        </w:rPr>
        <w:t>[1]</w:t>
      </w:r>
      <w:r>
        <w:rPr>
          <w:rFonts w:cs="Arial"/>
          <w:bCs/>
          <w:sz w:val="21"/>
          <w:szCs w:val="21"/>
        </w:rPr>
        <w:tab/>
      </w:r>
      <w:r w:rsidR="00F810A0" w:rsidRPr="0004776D">
        <w:rPr>
          <w:rFonts w:cs="Arial"/>
          <w:bCs/>
          <w:sz w:val="22"/>
          <w:szCs w:val="22"/>
        </w:rPr>
        <w:t>The appellant</w:t>
      </w:r>
      <w:r w:rsidR="009A264B" w:rsidRPr="0004776D">
        <w:rPr>
          <w:rFonts w:cs="Arial"/>
          <w:bCs/>
          <w:sz w:val="22"/>
          <w:szCs w:val="22"/>
        </w:rPr>
        <w:t xml:space="preserve"> appeal</w:t>
      </w:r>
      <w:r w:rsidR="00F810A0" w:rsidRPr="0004776D">
        <w:rPr>
          <w:rFonts w:cs="Arial"/>
          <w:bCs/>
          <w:sz w:val="22"/>
          <w:szCs w:val="22"/>
        </w:rPr>
        <w:t>ed</w:t>
      </w:r>
      <w:r w:rsidR="009A264B" w:rsidRPr="0004776D">
        <w:rPr>
          <w:rFonts w:cs="Arial"/>
          <w:bCs/>
          <w:sz w:val="22"/>
          <w:szCs w:val="22"/>
        </w:rPr>
        <w:t xml:space="preserve"> in terms of s</w:t>
      </w:r>
      <w:r w:rsidR="00757105" w:rsidRPr="0004776D">
        <w:rPr>
          <w:rFonts w:cs="Arial"/>
          <w:bCs/>
          <w:sz w:val="22"/>
          <w:szCs w:val="22"/>
        </w:rPr>
        <w:t>ection 57 of the Comm</w:t>
      </w:r>
      <w:r w:rsidR="001E2B6D" w:rsidRPr="0004776D">
        <w:rPr>
          <w:rFonts w:cs="Arial"/>
          <w:bCs/>
          <w:sz w:val="22"/>
          <w:szCs w:val="22"/>
        </w:rPr>
        <w:t>unity Schemes Ombud Service Act</w:t>
      </w:r>
      <w:r w:rsidR="00757105" w:rsidRPr="0004776D">
        <w:rPr>
          <w:rFonts w:cs="Arial"/>
          <w:bCs/>
          <w:sz w:val="22"/>
          <w:szCs w:val="22"/>
        </w:rPr>
        <w:t xml:space="preserve"> 9 of 2011 (‘the CSOS Act’), </w:t>
      </w:r>
      <w:r w:rsidR="00F810A0" w:rsidRPr="0004776D">
        <w:rPr>
          <w:rFonts w:cs="Arial"/>
          <w:bCs/>
          <w:sz w:val="22"/>
          <w:szCs w:val="22"/>
        </w:rPr>
        <w:t>against the order of the fourth resp</w:t>
      </w:r>
      <w:r w:rsidR="00A6798E" w:rsidRPr="0004776D">
        <w:rPr>
          <w:rFonts w:cs="Arial"/>
          <w:bCs/>
          <w:sz w:val="22"/>
          <w:szCs w:val="22"/>
        </w:rPr>
        <w:t xml:space="preserve">ondent. </w:t>
      </w:r>
    </w:p>
    <w:p w:rsidR="00D05CEF" w:rsidRPr="0004776D" w:rsidRDefault="00CA5BDF" w:rsidP="00CA5BDF">
      <w:pPr>
        <w:tabs>
          <w:tab w:val="left" w:pos="680"/>
        </w:tabs>
        <w:spacing w:before="360" w:after="360" w:line="480" w:lineRule="auto"/>
        <w:jc w:val="both"/>
        <w:rPr>
          <w:rFonts w:cs="Arial"/>
          <w:bCs/>
          <w:sz w:val="22"/>
          <w:szCs w:val="22"/>
        </w:rPr>
      </w:pPr>
      <w:r w:rsidRPr="0004776D">
        <w:rPr>
          <w:rFonts w:cs="Arial"/>
          <w:bCs/>
          <w:sz w:val="21"/>
          <w:szCs w:val="21"/>
        </w:rPr>
        <w:t>[2]</w:t>
      </w:r>
      <w:r w:rsidRPr="0004776D">
        <w:rPr>
          <w:rFonts w:cs="Arial"/>
          <w:bCs/>
          <w:sz w:val="21"/>
          <w:szCs w:val="21"/>
        </w:rPr>
        <w:tab/>
      </w:r>
      <w:r w:rsidR="00D05CEF">
        <w:rPr>
          <w:rFonts w:cs="Arial"/>
          <w:bCs/>
          <w:sz w:val="22"/>
          <w:szCs w:val="22"/>
        </w:rPr>
        <w:t>Th</w:t>
      </w:r>
      <w:r w:rsidR="0017228E">
        <w:rPr>
          <w:rFonts w:cs="Arial"/>
          <w:bCs/>
          <w:sz w:val="22"/>
          <w:szCs w:val="22"/>
        </w:rPr>
        <w:t>e l</w:t>
      </w:r>
      <w:r w:rsidR="00D05CEF">
        <w:rPr>
          <w:rFonts w:cs="Arial"/>
          <w:bCs/>
          <w:sz w:val="22"/>
          <w:szCs w:val="22"/>
        </w:rPr>
        <w:t>at</w:t>
      </w:r>
      <w:r w:rsidR="0017228E">
        <w:rPr>
          <w:rFonts w:cs="Arial"/>
          <w:bCs/>
          <w:sz w:val="22"/>
          <w:szCs w:val="22"/>
        </w:rPr>
        <w:t>ter</w:t>
      </w:r>
      <w:r w:rsidR="00D05CEF" w:rsidRPr="0004776D">
        <w:rPr>
          <w:rFonts w:cs="Arial"/>
          <w:bCs/>
          <w:sz w:val="22"/>
          <w:szCs w:val="22"/>
        </w:rPr>
        <w:t xml:space="preserve"> order pr</w:t>
      </w:r>
      <w:r w:rsidR="00C601DE">
        <w:rPr>
          <w:rFonts w:cs="Arial"/>
          <w:bCs/>
          <w:sz w:val="22"/>
          <w:szCs w:val="22"/>
        </w:rPr>
        <w:t>ovided that a security protocol</w:t>
      </w:r>
      <w:r w:rsidR="00D05CEF" w:rsidRPr="0004776D">
        <w:rPr>
          <w:rFonts w:cs="Arial"/>
          <w:bCs/>
          <w:sz w:val="22"/>
          <w:szCs w:val="22"/>
        </w:rPr>
        <w:t xml:space="preserve"> implemented at The Melville</w:t>
      </w:r>
      <w:r w:rsidR="00D05CEF" w:rsidRPr="00D05CEF">
        <w:rPr>
          <w:rFonts w:cs="Arial"/>
          <w:bCs/>
          <w:sz w:val="22"/>
          <w:szCs w:val="22"/>
        </w:rPr>
        <w:t xml:space="preserve"> </w:t>
      </w:r>
      <w:r w:rsidR="0017228E">
        <w:rPr>
          <w:rFonts w:cs="Arial"/>
          <w:bCs/>
          <w:sz w:val="22"/>
          <w:szCs w:val="22"/>
        </w:rPr>
        <w:t xml:space="preserve">sectional title scheme </w:t>
      </w:r>
      <w:r w:rsidR="00D05CEF" w:rsidRPr="0004776D">
        <w:rPr>
          <w:rFonts w:cs="Arial"/>
          <w:bCs/>
          <w:sz w:val="22"/>
          <w:szCs w:val="22"/>
        </w:rPr>
        <w:t>SS979/2005 (‘The Melville’), was valid, enforceable and, in effect, not a conduct rule as envisaged i</w:t>
      </w:r>
      <w:r w:rsidR="00D05CEF">
        <w:rPr>
          <w:rFonts w:cs="Arial"/>
          <w:bCs/>
          <w:sz w:val="22"/>
          <w:szCs w:val="22"/>
        </w:rPr>
        <w:t>n s</w:t>
      </w:r>
      <w:r w:rsidR="00D05CEF" w:rsidRPr="0004776D">
        <w:rPr>
          <w:rFonts w:cs="Arial"/>
          <w:bCs/>
          <w:sz w:val="22"/>
          <w:szCs w:val="22"/>
        </w:rPr>
        <w:t xml:space="preserve">10 of the Sectional Title Schemes Management Act 8 of 2011 (‘the Management Act’), as alleged by the appellant. </w:t>
      </w:r>
    </w:p>
    <w:p w:rsidR="0004776D" w:rsidRPr="00D05CEF" w:rsidRDefault="00CA5BDF" w:rsidP="00CA5BDF">
      <w:pPr>
        <w:tabs>
          <w:tab w:val="left" w:pos="680"/>
        </w:tabs>
        <w:spacing w:before="360" w:after="360" w:line="480" w:lineRule="auto"/>
        <w:jc w:val="both"/>
        <w:rPr>
          <w:rFonts w:cs="Arial"/>
          <w:bCs/>
          <w:sz w:val="22"/>
          <w:szCs w:val="22"/>
        </w:rPr>
      </w:pPr>
      <w:r w:rsidRPr="00D05CEF">
        <w:rPr>
          <w:rFonts w:cs="Arial"/>
          <w:bCs/>
          <w:sz w:val="21"/>
          <w:szCs w:val="21"/>
        </w:rPr>
        <w:t>[3]</w:t>
      </w:r>
      <w:r w:rsidRPr="00D05CEF">
        <w:rPr>
          <w:rFonts w:cs="Arial"/>
          <w:bCs/>
          <w:sz w:val="21"/>
          <w:szCs w:val="21"/>
        </w:rPr>
        <w:tab/>
      </w:r>
      <w:r w:rsidR="0066280A" w:rsidRPr="00D05CEF">
        <w:rPr>
          <w:rFonts w:cs="Arial"/>
          <w:bCs/>
          <w:sz w:val="22"/>
          <w:szCs w:val="22"/>
        </w:rPr>
        <w:t xml:space="preserve">The appellant, Meir Gonen, </w:t>
      </w:r>
      <w:r w:rsidR="00F810A0" w:rsidRPr="00D05CEF">
        <w:rPr>
          <w:rFonts w:cs="Arial"/>
          <w:bCs/>
          <w:sz w:val="22"/>
          <w:szCs w:val="22"/>
        </w:rPr>
        <w:t xml:space="preserve">a resident </w:t>
      </w:r>
      <w:r w:rsidR="00B43B02" w:rsidRPr="00D05CEF">
        <w:rPr>
          <w:rFonts w:cs="Arial"/>
          <w:bCs/>
          <w:sz w:val="22"/>
          <w:szCs w:val="22"/>
        </w:rPr>
        <w:t>of</w:t>
      </w:r>
      <w:r w:rsidR="00F810A0" w:rsidRPr="00D05CEF">
        <w:rPr>
          <w:rFonts w:cs="Arial"/>
          <w:bCs/>
          <w:sz w:val="22"/>
          <w:szCs w:val="22"/>
        </w:rPr>
        <w:t xml:space="preserve"> </w:t>
      </w:r>
      <w:r w:rsidR="0017228E">
        <w:rPr>
          <w:rFonts w:cs="Arial"/>
          <w:bCs/>
          <w:sz w:val="22"/>
          <w:szCs w:val="22"/>
        </w:rPr>
        <w:t>The Melville,</w:t>
      </w:r>
      <w:r w:rsidR="0066280A" w:rsidRPr="00D05CEF">
        <w:rPr>
          <w:rFonts w:cs="Arial"/>
          <w:bCs/>
          <w:sz w:val="22"/>
          <w:szCs w:val="22"/>
        </w:rPr>
        <w:t xml:space="preserve"> </w:t>
      </w:r>
      <w:r w:rsidR="00A81E81" w:rsidRPr="00D05CEF">
        <w:rPr>
          <w:rFonts w:cs="Arial"/>
          <w:bCs/>
          <w:sz w:val="22"/>
          <w:szCs w:val="22"/>
        </w:rPr>
        <w:t xml:space="preserve">sought the setting aside of </w:t>
      </w:r>
      <w:r w:rsidR="0004776D" w:rsidRPr="00D05CEF">
        <w:rPr>
          <w:rFonts w:cs="Arial"/>
          <w:bCs/>
          <w:sz w:val="22"/>
          <w:szCs w:val="22"/>
        </w:rPr>
        <w:t xml:space="preserve">the fourth respondent’s order </w:t>
      </w:r>
      <w:r w:rsidR="00A6798E" w:rsidRPr="00D05CEF">
        <w:rPr>
          <w:rFonts w:cs="Arial"/>
          <w:bCs/>
          <w:sz w:val="22"/>
          <w:szCs w:val="22"/>
        </w:rPr>
        <w:t xml:space="preserve">dated 27 December 2021, </w:t>
      </w:r>
      <w:r w:rsidR="00A81E81" w:rsidRPr="00D05CEF">
        <w:rPr>
          <w:rFonts w:cs="Arial"/>
          <w:bCs/>
          <w:sz w:val="22"/>
          <w:szCs w:val="22"/>
        </w:rPr>
        <w:t xml:space="preserve">delivered to the appellant on 1 February 2022 (the ‘order’), and the replacement thereof with an </w:t>
      </w:r>
      <w:r w:rsidR="001A30C6" w:rsidRPr="00D05CEF">
        <w:rPr>
          <w:rFonts w:cs="Arial"/>
          <w:bCs/>
          <w:sz w:val="22"/>
          <w:szCs w:val="22"/>
        </w:rPr>
        <w:t xml:space="preserve">alternate </w:t>
      </w:r>
      <w:r w:rsidR="00A81E81" w:rsidRPr="00D05CEF">
        <w:rPr>
          <w:rFonts w:cs="Arial"/>
          <w:bCs/>
          <w:sz w:val="22"/>
          <w:szCs w:val="22"/>
        </w:rPr>
        <w:t>order</w:t>
      </w:r>
      <w:r w:rsidR="001A30C6" w:rsidRPr="00D05CEF">
        <w:rPr>
          <w:rFonts w:cs="Arial"/>
          <w:bCs/>
          <w:sz w:val="22"/>
          <w:szCs w:val="22"/>
        </w:rPr>
        <w:t xml:space="preserve"> referred to herein.</w:t>
      </w:r>
      <w:bookmarkStart w:id="0" w:name="_GoBack"/>
      <w:bookmarkEnd w:id="0"/>
    </w:p>
    <w:p w:rsidR="00A81E81" w:rsidRPr="0004776D" w:rsidRDefault="00CA5BDF" w:rsidP="00CA5BDF">
      <w:pPr>
        <w:tabs>
          <w:tab w:val="left" w:pos="680"/>
        </w:tabs>
        <w:spacing w:before="360" w:after="360" w:line="480" w:lineRule="auto"/>
        <w:jc w:val="both"/>
        <w:rPr>
          <w:rFonts w:cs="Arial"/>
          <w:bCs/>
          <w:sz w:val="22"/>
          <w:szCs w:val="22"/>
        </w:rPr>
      </w:pPr>
      <w:r w:rsidRPr="0004776D">
        <w:rPr>
          <w:rFonts w:cs="Arial"/>
          <w:bCs/>
          <w:sz w:val="21"/>
          <w:szCs w:val="21"/>
        </w:rPr>
        <w:t>[4]</w:t>
      </w:r>
      <w:r w:rsidRPr="0004776D">
        <w:rPr>
          <w:rFonts w:cs="Arial"/>
          <w:bCs/>
          <w:sz w:val="21"/>
          <w:szCs w:val="21"/>
        </w:rPr>
        <w:tab/>
      </w:r>
      <w:r w:rsidR="00A81E81" w:rsidRPr="0004776D">
        <w:rPr>
          <w:rFonts w:cs="Arial"/>
          <w:bCs/>
          <w:sz w:val="22"/>
          <w:szCs w:val="22"/>
        </w:rPr>
        <w:t>The first respondent, the Trustees for the time being of the Melville Body Corporate, (‘the Trustees’) opposed the appeal together with the second respondent, the Body Corporate of The Melville (SS979/2005) (‘the Body Corporate’).</w:t>
      </w:r>
    </w:p>
    <w:p w:rsidR="00A81E81" w:rsidRPr="007E02CA" w:rsidRDefault="00CA5BDF" w:rsidP="00CA5BDF">
      <w:pPr>
        <w:tabs>
          <w:tab w:val="left" w:pos="680"/>
        </w:tabs>
        <w:spacing w:before="360" w:after="360" w:line="480" w:lineRule="auto"/>
        <w:jc w:val="both"/>
        <w:rPr>
          <w:rFonts w:cs="Arial"/>
          <w:bCs/>
          <w:sz w:val="22"/>
          <w:szCs w:val="22"/>
        </w:rPr>
      </w:pPr>
      <w:r w:rsidRPr="007E02CA">
        <w:rPr>
          <w:rFonts w:cs="Arial"/>
          <w:bCs/>
          <w:sz w:val="21"/>
          <w:szCs w:val="21"/>
        </w:rPr>
        <w:t>[5]</w:t>
      </w:r>
      <w:r w:rsidRPr="007E02CA">
        <w:rPr>
          <w:rFonts w:cs="Arial"/>
          <w:bCs/>
          <w:sz w:val="21"/>
          <w:szCs w:val="21"/>
        </w:rPr>
        <w:tab/>
      </w:r>
      <w:r w:rsidR="00A81E81">
        <w:rPr>
          <w:rFonts w:cs="Arial"/>
          <w:bCs/>
          <w:sz w:val="22"/>
          <w:szCs w:val="22"/>
        </w:rPr>
        <w:t xml:space="preserve">The Community Schemes Ombud Service (‘CSOS’), was cited as the third respondent and the Community Schemes Ombud Service Adjudicator, Dr Mohamed Alli </w:t>
      </w:r>
      <w:r w:rsidR="00A81E81" w:rsidRPr="007E02CA">
        <w:rPr>
          <w:rFonts w:cs="Arial"/>
          <w:bCs/>
          <w:sz w:val="22"/>
          <w:szCs w:val="22"/>
        </w:rPr>
        <w:t>Chicktay, as the fourth respondent (‘the Adjudicator’). The third and fourth respondents abided the decisio</w:t>
      </w:r>
      <w:r w:rsidR="00AF4A88" w:rsidRPr="007E02CA">
        <w:rPr>
          <w:rFonts w:cs="Arial"/>
          <w:bCs/>
          <w:sz w:val="22"/>
          <w:szCs w:val="22"/>
        </w:rPr>
        <w:t>n of this Court and</w:t>
      </w:r>
      <w:r w:rsidR="00A81E81" w:rsidRPr="007E02CA">
        <w:rPr>
          <w:rFonts w:cs="Arial"/>
          <w:bCs/>
          <w:sz w:val="22"/>
          <w:szCs w:val="22"/>
        </w:rPr>
        <w:t xml:space="preserve"> did not participate in the appeal.</w:t>
      </w:r>
      <w:r w:rsidR="00AF4A88">
        <w:rPr>
          <w:rFonts w:cs="Arial"/>
          <w:b/>
          <w:bCs/>
          <w:sz w:val="22"/>
          <w:szCs w:val="22"/>
        </w:rPr>
        <w:t xml:space="preserve"> </w:t>
      </w:r>
      <w:r w:rsidR="00AF4A88" w:rsidRPr="007E02CA">
        <w:rPr>
          <w:rFonts w:cs="Arial"/>
          <w:bCs/>
          <w:sz w:val="22"/>
          <w:szCs w:val="22"/>
        </w:rPr>
        <w:t>Accordingly, the first and second respondents jointly are referred to</w:t>
      </w:r>
      <w:r w:rsidR="00126CB1">
        <w:rPr>
          <w:rFonts w:cs="Arial"/>
          <w:bCs/>
          <w:sz w:val="22"/>
          <w:szCs w:val="22"/>
        </w:rPr>
        <w:t xml:space="preserve"> as</w:t>
      </w:r>
      <w:r w:rsidR="00AF4A88" w:rsidRPr="007E02CA">
        <w:rPr>
          <w:rFonts w:cs="Arial"/>
          <w:bCs/>
          <w:sz w:val="22"/>
          <w:szCs w:val="22"/>
        </w:rPr>
        <w:t xml:space="preserve"> ‘the respondents.’</w:t>
      </w:r>
    </w:p>
    <w:p w:rsidR="00152DDF" w:rsidRPr="00152DDF" w:rsidRDefault="00CA5BDF" w:rsidP="00CA5BDF">
      <w:pPr>
        <w:tabs>
          <w:tab w:val="left" w:pos="680"/>
        </w:tabs>
        <w:spacing w:before="360" w:after="360" w:line="480" w:lineRule="auto"/>
        <w:jc w:val="both"/>
        <w:rPr>
          <w:rFonts w:cs="Arial"/>
          <w:bCs/>
          <w:sz w:val="22"/>
          <w:szCs w:val="22"/>
        </w:rPr>
      </w:pPr>
      <w:r w:rsidRPr="00152DDF">
        <w:rPr>
          <w:rFonts w:cs="Arial"/>
          <w:bCs/>
          <w:sz w:val="21"/>
          <w:szCs w:val="21"/>
        </w:rPr>
        <w:lastRenderedPageBreak/>
        <w:t>[6]</w:t>
      </w:r>
      <w:r w:rsidRPr="00152DDF">
        <w:rPr>
          <w:rFonts w:cs="Arial"/>
          <w:bCs/>
          <w:sz w:val="21"/>
          <w:szCs w:val="21"/>
        </w:rPr>
        <w:tab/>
      </w:r>
      <w:r w:rsidR="00C12EDE">
        <w:rPr>
          <w:rFonts w:cs="Arial"/>
          <w:bCs/>
          <w:sz w:val="22"/>
          <w:szCs w:val="22"/>
        </w:rPr>
        <w:t>The appeal</w:t>
      </w:r>
      <w:r w:rsidR="00870BA8" w:rsidRPr="00976122">
        <w:rPr>
          <w:rFonts w:cs="Arial"/>
          <w:bCs/>
          <w:sz w:val="22"/>
          <w:szCs w:val="22"/>
        </w:rPr>
        <w:t xml:space="preserve"> is a narrow appeal,</w:t>
      </w:r>
      <w:r w:rsidR="00870BA8">
        <w:rPr>
          <w:rStyle w:val="FootnoteReference"/>
          <w:rFonts w:cs="Arial"/>
          <w:bCs/>
          <w:sz w:val="22"/>
          <w:szCs w:val="22"/>
        </w:rPr>
        <w:footnoteReference w:id="1"/>
      </w:r>
      <w:r w:rsidR="0066280A">
        <w:rPr>
          <w:rFonts w:cs="Arial"/>
          <w:bCs/>
          <w:sz w:val="22"/>
          <w:szCs w:val="22"/>
        </w:rPr>
        <w:t xml:space="preserve"> limited to issues of law,</w:t>
      </w:r>
      <w:r w:rsidR="00152DDF">
        <w:rPr>
          <w:rStyle w:val="FootnoteReference"/>
          <w:rFonts w:cs="Arial"/>
          <w:bCs/>
          <w:sz w:val="22"/>
          <w:szCs w:val="22"/>
        </w:rPr>
        <w:footnoteReference w:id="2"/>
      </w:r>
      <w:r w:rsidR="00F63718">
        <w:rPr>
          <w:rFonts w:cs="Arial"/>
          <w:bCs/>
          <w:sz w:val="22"/>
          <w:szCs w:val="22"/>
        </w:rPr>
        <w:t xml:space="preserve"> t</w:t>
      </w:r>
      <w:r w:rsidR="00870BA8" w:rsidRPr="00976122">
        <w:rPr>
          <w:rFonts w:cs="Arial"/>
          <w:bCs/>
          <w:sz w:val="22"/>
          <w:szCs w:val="22"/>
        </w:rPr>
        <w:t xml:space="preserve">he facts </w:t>
      </w:r>
      <w:r w:rsidR="0066280A">
        <w:rPr>
          <w:rFonts w:cs="Arial"/>
          <w:bCs/>
          <w:sz w:val="22"/>
          <w:szCs w:val="22"/>
        </w:rPr>
        <w:t xml:space="preserve">before the Adjudicator </w:t>
      </w:r>
      <w:r w:rsidR="00D673EE" w:rsidRPr="00976122">
        <w:rPr>
          <w:rFonts w:cs="Arial"/>
          <w:bCs/>
          <w:sz w:val="22"/>
          <w:szCs w:val="22"/>
        </w:rPr>
        <w:t>be</w:t>
      </w:r>
      <w:r w:rsidR="0066280A">
        <w:rPr>
          <w:rFonts w:cs="Arial"/>
          <w:bCs/>
          <w:sz w:val="22"/>
          <w:szCs w:val="22"/>
        </w:rPr>
        <w:t>ing</w:t>
      </w:r>
      <w:r w:rsidR="00152DDF">
        <w:rPr>
          <w:rFonts w:cs="Arial"/>
          <w:bCs/>
          <w:sz w:val="22"/>
          <w:szCs w:val="22"/>
        </w:rPr>
        <w:t xml:space="preserve"> accepted by this Court.</w:t>
      </w:r>
    </w:p>
    <w:p w:rsidR="009D0A79" w:rsidRDefault="00CA5BDF" w:rsidP="00CA5BDF">
      <w:pPr>
        <w:tabs>
          <w:tab w:val="left" w:pos="680"/>
        </w:tabs>
        <w:spacing w:before="360" w:after="360" w:line="480" w:lineRule="auto"/>
        <w:jc w:val="both"/>
        <w:rPr>
          <w:rFonts w:cs="Arial"/>
          <w:bCs/>
          <w:sz w:val="22"/>
          <w:szCs w:val="22"/>
        </w:rPr>
      </w:pPr>
      <w:r>
        <w:rPr>
          <w:rFonts w:cs="Arial"/>
          <w:bCs/>
          <w:sz w:val="21"/>
          <w:szCs w:val="21"/>
        </w:rPr>
        <w:t>[7]</w:t>
      </w:r>
      <w:r>
        <w:rPr>
          <w:rFonts w:cs="Arial"/>
          <w:bCs/>
          <w:sz w:val="21"/>
          <w:szCs w:val="21"/>
        </w:rPr>
        <w:tab/>
      </w:r>
      <w:r w:rsidR="009D0A79" w:rsidRPr="00A61F54">
        <w:rPr>
          <w:rFonts w:cs="Arial"/>
          <w:bCs/>
          <w:sz w:val="22"/>
          <w:szCs w:val="22"/>
        </w:rPr>
        <w:t>The question before us is whether the Adjudicator’s finding that the security protocol was not a</w:t>
      </w:r>
      <w:r w:rsidR="00AF4A88">
        <w:rPr>
          <w:rFonts w:cs="Arial"/>
          <w:bCs/>
          <w:sz w:val="22"/>
          <w:szCs w:val="22"/>
        </w:rPr>
        <w:t xml:space="preserve"> conduct rule as envisaged in s</w:t>
      </w:r>
      <w:r w:rsidR="009D0A79" w:rsidRPr="00A61F54">
        <w:rPr>
          <w:rFonts w:cs="Arial"/>
          <w:bCs/>
          <w:sz w:val="22"/>
          <w:szCs w:val="22"/>
        </w:rPr>
        <w:t>10 of the Management Act and alleged by the</w:t>
      </w:r>
      <w:r w:rsidR="00126CB1">
        <w:rPr>
          <w:rFonts w:cs="Arial"/>
          <w:bCs/>
          <w:sz w:val="22"/>
          <w:szCs w:val="22"/>
        </w:rPr>
        <w:t xml:space="preserve"> appellant, was correct or not </w:t>
      </w:r>
      <w:r w:rsidR="009D0A79" w:rsidRPr="00A61F54">
        <w:rPr>
          <w:rFonts w:cs="Arial"/>
          <w:bCs/>
          <w:sz w:val="22"/>
          <w:szCs w:val="22"/>
        </w:rPr>
        <w:t xml:space="preserve">on the facts as they appeared before the Adjudicator. </w:t>
      </w:r>
    </w:p>
    <w:p w:rsidR="0017228E" w:rsidRPr="00907774" w:rsidRDefault="00CA5BDF" w:rsidP="00CA5BDF">
      <w:pPr>
        <w:tabs>
          <w:tab w:val="left" w:pos="680"/>
        </w:tabs>
        <w:spacing w:before="360" w:after="360" w:line="480" w:lineRule="auto"/>
        <w:jc w:val="both"/>
        <w:rPr>
          <w:rFonts w:cs="Arial"/>
          <w:bCs/>
          <w:sz w:val="22"/>
          <w:szCs w:val="22"/>
        </w:rPr>
      </w:pPr>
      <w:r w:rsidRPr="00907774">
        <w:rPr>
          <w:rFonts w:cs="Arial"/>
          <w:bCs/>
          <w:sz w:val="21"/>
          <w:szCs w:val="21"/>
        </w:rPr>
        <w:t>[8]</w:t>
      </w:r>
      <w:r w:rsidRPr="00907774">
        <w:rPr>
          <w:rFonts w:cs="Arial"/>
          <w:bCs/>
          <w:sz w:val="21"/>
          <w:szCs w:val="21"/>
        </w:rPr>
        <w:tab/>
      </w:r>
      <w:r w:rsidR="0017228E" w:rsidRPr="00907774">
        <w:rPr>
          <w:rFonts w:cs="Arial"/>
          <w:bCs/>
          <w:sz w:val="22"/>
          <w:szCs w:val="22"/>
        </w:rPr>
        <w:t>In the ev</w:t>
      </w:r>
      <w:r w:rsidR="00C601DE">
        <w:rPr>
          <w:rFonts w:cs="Arial"/>
          <w:bCs/>
          <w:sz w:val="22"/>
          <w:szCs w:val="22"/>
        </w:rPr>
        <w:t>ent that the security protocol wa</w:t>
      </w:r>
      <w:r w:rsidR="0017228E">
        <w:rPr>
          <w:rFonts w:cs="Arial"/>
          <w:bCs/>
          <w:sz w:val="22"/>
          <w:szCs w:val="22"/>
        </w:rPr>
        <w:t xml:space="preserve">s </w:t>
      </w:r>
      <w:r w:rsidR="0017228E" w:rsidRPr="00907774">
        <w:rPr>
          <w:rFonts w:cs="Arial"/>
          <w:bCs/>
          <w:sz w:val="22"/>
          <w:szCs w:val="22"/>
        </w:rPr>
        <w:t>a conduct rule, then</w:t>
      </w:r>
      <w:r w:rsidR="0017228E">
        <w:rPr>
          <w:rFonts w:cs="Arial"/>
          <w:bCs/>
          <w:sz w:val="22"/>
          <w:szCs w:val="22"/>
        </w:rPr>
        <w:t xml:space="preserve"> the appellant argued</w:t>
      </w:r>
      <w:r w:rsidR="0017228E" w:rsidRPr="00907774">
        <w:rPr>
          <w:rFonts w:cs="Arial"/>
          <w:bCs/>
          <w:sz w:val="22"/>
          <w:szCs w:val="22"/>
        </w:rPr>
        <w:t xml:space="preserve"> that the security protocol was not corre</w:t>
      </w:r>
      <w:r w:rsidR="0017228E">
        <w:rPr>
          <w:rFonts w:cs="Arial"/>
          <w:bCs/>
          <w:sz w:val="22"/>
          <w:szCs w:val="22"/>
        </w:rPr>
        <w:t>ctly passed in terms of s</w:t>
      </w:r>
      <w:r w:rsidR="0017228E" w:rsidRPr="00907774">
        <w:rPr>
          <w:rFonts w:cs="Arial"/>
          <w:bCs/>
          <w:sz w:val="22"/>
          <w:szCs w:val="22"/>
        </w:rPr>
        <w:t>10 of the</w:t>
      </w:r>
      <w:r w:rsidR="0017228E">
        <w:rPr>
          <w:rFonts w:cs="Arial"/>
          <w:bCs/>
          <w:sz w:val="22"/>
          <w:szCs w:val="22"/>
        </w:rPr>
        <w:t xml:space="preserve"> Management Act and wa</w:t>
      </w:r>
      <w:r w:rsidR="0017228E" w:rsidRPr="00907774">
        <w:rPr>
          <w:rFonts w:cs="Arial"/>
          <w:bCs/>
          <w:sz w:val="22"/>
          <w:szCs w:val="22"/>
        </w:rPr>
        <w:t>s invalid on that basis.</w:t>
      </w:r>
    </w:p>
    <w:p w:rsidR="00D673EE" w:rsidRPr="0017228E" w:rsidRDefault="00CA5BDF" w:rsidP="00CA5BDF">
      <w:pPr>
        <w:tabs>
          <w:tab w:val="left" w:pos="680"/>
        </w:tabs>
        <w:spacing w:before="360" w:after="360" w:line="480" w:lineRule="auto"/>
        <w:jc w:val="both"/>
        <w:rPr>
          <w:rFonts w:cs="Arial"/>
          <w:bCs/>
          <w:sz w:val="22"/>
          <w:szCs w:val="22"/>
        </w:rPr>
      </w:pPr>
      <w:r w:rsidRPr="0017228E">
        <w:rPr>
          <w:rFonts w:cs="Arial"/>
          <w:bCs/>
          <w:sz w:val="21"/>
          <w:szCs w:val="21"/>
        </w:rPr>
        <w:t>[9]</w:t>
      </w:r>
      <w:r w:rsidRPr="0017228E">
        <w:rPr>
          <w:rFonts w:cs="Arial"/>
          <w:bCs/>
          <w:sz w:val="21"/>
          <w:szCs w:val="21"/>
        </w:rPr>
        <w:tab/>
      </w:r>
      <w:r w:rsidR="00907774" w:rsidRPr="0017228E">
        <w:rPr>
          <w:rFonts w:cs="Arial"/>
          <w:bCs/>
          <w:sz w:val="22"/>
          <w:szCs w:val="22"/>
        </w:rPr>
        <w:t>The appellant contended</w:t>
      </w:r>
      <w:r w:rsidR="00D163B2" w:rsidRPr="0017228E">
        <w:rPr>
          <w:rFonts w:cs="Arial"/>
          <w:bCs/>
          <w:sz w:val="22"/>
          <w:szCs w:val="22"/>
        </w:rPr>
        <w:t xml:space="preserve"> that a</w:t>
      </w:r>
      <w:r w:rsidR="00907774" w:rsidRPr="0017228E">
        <w:rPr>
          <w:rFonts w:cs="Arial"/>
          <w:bCs/>
          <w:sz w:val="22"/>
          <w:szCs w:val="22"/>
        </w:rPr>
        <w:t xml:space="preserve"> </w:t>
      </w:r>
      <w:r w:rsidR="000E2B83" w:rsidRPr="0017228E">
        <w:rPr>
          <w:rFonts w:cs="Arial"/>
          <w:bCs/>
          <w:sz w:val="22"/>
          <w:szCs w:val="22"/>
        </w:rPr>
        <w:t>r</w:t>
      </w:r>
      <w:r w:rsidR="00907774" w:rsidRPr="0017228E">
        <w:rPr>
          <w:rFonts w:cs="Arial"/>
          <w:bCs/>
          <w:sz w:val="22"/>
          <w:szCs w:val="22"/>
        </w:rPr>
        <w:t>elated</w:t>
      </w:r>
      <w:r w:rsidR="00F63718" w:rsidRPr="0017228E">
        <w:rPr>
          <w:rFonts w:cs="Arial"/>
          <w:bCs/>
          <w:sz w:val="22"/>
          <w:szCs w:val="22"/>
        </w:rPr>
        <w:t xml:space="preserve"> issue</w:t>
      </w:r>
      <w:r w:rsidR="00AF67A6" w:rsidRPr="0017228E">
        <w:rPr>
          <w:rFonts w:cs="Arial"/>
          <w:bCs/>
          <w:sz w:val="22"/>
          <w:szCs w:val="22"/>
        </w:rPr>
        <w:t>,</w:t>
      </w:r>
      <w:r w:rsidR="00D163B2" w:rsidRPr="0017228E">
        <w:rPr>
          <w:rFonts w:cs="Arial"/>
          <w:bCs/>
          <w:sz w:val="22"/>
          <w:szCs w:val="22"/>
        </w:rPr>
        <w:t xml:space="preserve"> </w:t>
      </w:r>
      <w:r w:rsidR="00907774" w:rsidRPr="0017228E">
        <w:rPr>
          <w:rFonts w:cs="Arial"/>
          <w:bCs/>
          <w:sz w:val="22"/>
          <w:szCs w:val="22"/>
        </w:rPr>
        <w:t>not raised by the appellant before the Adjudicator</w:t>
      </w:r>
      <w:r w:rsidR="00AF67A6" w:rsidRPr="0017228E">
        <w:rPr>
          <w:rFonts w:cs="Arial"/>
          <w:bCs/>
          <w:sz w:val="22"/>
          <w:szCs w:val="22"/>
        </w:rPr>
        <w:t>,</w:t>
      </w:r>
      <w:r w:rsidR="00D163B2" w:rsidRPr="0017228E">
        <w:rPr>
          <w:rFonts w:cs="Arial"/>
          <w:bCs/>
          <w:sz w:val="22"/>
          <w:szCs w:val="22"/>
        </w:rPr>
        <w:t xml:space="preserve"> should be dealt with by this Court</w:t>
      </w:r>
      <w:r w:rsidR="00126CB1">
        <w:rPr>
          <w:rFonts w:cs="Arial"/>
          <w:bCs/>
          <w:sz w:val="22"/>
          <w:szCs w:val="22"/>
        </w:rPr>
        <w:t xml:space="preserve"> </w:t>
      </w:r>
      <w:r w:rsidR="00D163B2" w:rsidRPr="0017228E">
        <w:rPr>
          <w:rFonts w:cs="Arial"/>
          <w:bCs/>
          <w:sz w:val="22"/>
          <w:szCs w:val="22"/>
        </w:rPr>
        <w:t xml:space="preserve">notwithstanding that it was </w:t>
      </w:r>
      <w:r w:rsidR="00907774" w:rsidRPr="0017228E">
        <w:rPr>
          <w:rFonts w:cs="Arial"/>
          <w:bCs/>
          <w:sz w:val="22"/>
          <w:szCs w:val="22"/>
        </w:rPr>
        <w:t xml:space="preserve">raised for the first time </w:t>
      </w:r>
      <w:r w:rsidR="00126CB1">
        <w:rPr>
          <w:rFonts w:cs="Arial"/>
          <w:bCs/>
          <w:sz w:val="22"/>
          <w:szCs w:val="22"/>
        </w:rPr>
        <w:t>dur</w:t>
      </w:r>
      <w:r w:rsidR="00CB4588" w:rsidRPr="0017228E">
        <w:rPr>
          <w:rFonts w:cs="Arial"/>
          <w:bCs/>
          <w:sz w:val="22"/>
          <w:szCs w:val="22"/>
        </w:rPr>
        <w:t>in</w:t>
      </w:r>
      <w:r w:rsidR="00126CB1">
        <w:rPr>
          <w:rFonts w:cs="Arial"/>
          <w:bCs/>
          <w:sz w:val="22"/>
          <w:szCs w:val="22"/>
        </w:rPr>
        <w:t>g</w:t>
      </w:r>
      <w:r w:rsidR="00CB4588" w:rsidRPr="0017228E">
        <w:rPr>
          <w:rFonts w:cs="Arial"/>
          <w:bCs/>
          <w:sz w:val="22"/>
          <w:szCs w:val="22"/>
        </w:rPr>
        <w:t xml:space="preserve"> the course of this appeal</w:t>
      </w:r>
      <w:r w:rsidR="005E4E9F">
        <w:rPr>
          <w:rFonts w:cs="Arial"/>
          <w:bCs/>
          <w:sz w:val="22"/>
          <w:szCs w:val="22"/>
        </w:rPr>
        <w:t>.</w:t>
      </w:r>
    </w:p>
    <w:p w:rsidR="00403D22" w:rsidRDefault="00CA5BDF" w:rsidP="00CA5BDF">
      <w:pPr>
        <w:tabs>
          <w:tab w:val="left" w:pos="680"/>
        </w:tabs>
        <w:spacing w:before="360" w:after="360" w:line="480" w:lineRule="auto"/>
        <w:jc w:val="both"/>
        <w:rPr>
          <w:rFonts w:cs="Arial"/>
          <w:bCs/>
          <w:sz w:val="22"/>
          <w:szCs w:val="22"/>
        </w:rPr>
      </w:pPr>
      <w:r>
        <w:rPr>
          <w:rFonts w:cs="Arial"/>
          <w:bCs/>
          <w:sz w:val="21"/>
          <w:szCs w:val="21"/>
        </w:rPr>
        <w:t>[10]</w:t>
      </w:r>
      <w:r>
        <w:rPr>
          <w:rFonts w:cs="Arial"/>
          <w:bCs/>
          <w:sz w:val="21"/>
          <w:szCs w:val="21"/>
        </w:rPr>
        <w:tab/>
      </w:r>
      <w:r w:rsidR="0017228E">
        <w:rPr>
          <w:rFonts w:cs="Arial"/>
          <w:bCs/>
          <w:sz w:val="22"/>
          <w:szCs w:val="22"/>
        </w:rPr>
        <w:t>The</w:t>
      </w:r>
      <w:r w:rsidR="004E2259">
        <w:rPr>
          <w:rFonts w:cs="Arial"/>
          <w:bCs/>
          <w:sz w:val="22"/>
          <w:szCs w:val="22"/>
        </w:rPr>
        <w:t xml:space="preserve"> related issue wa</w:t>
      </w:r>
      <w:r w:rsidR="00074734">
        <w:rPr>
          <w:rFonts w:cs="Arial"/>
          <w:bCs/>
          <w:sz w:val="22"/>
          <w:szCs w:val="22"/>
        </w:rPr>
        <w:t>s whether</w:t>
      </w:r>
      <w:r w:rsidR="000E2B83">
        <w:rPr>
          <w:rFonts w:cs="Arial"/>
          <w:bCs/>
          <w:sz w:val="22"/>
          <w:szCs w:val="22"/>
        </w:rPr>
        <w:t xml:space="preserve"> rule 9(e)</w:t>
      </w:r>
      <w:r w:rsidR="005E4E9F">
        <w:rPr>
          <w:rFonts w:cs="Arial"/>
          <w:bCs/>
          <w:sz w:val="22"/>
          <w:szCs w:val="22"/>
        </w:rPr>
        <w:t xml:space="preserve"> of T</w:t>
      </w:r>
      <w:r w:rsidR="00074734">
        <w:rPr>
          <w:rFonts w:cs="Arial"/>
          <w:bCs/>
          <w:sz w:val="22"/>
          <w:szCs w:val="22"/>
        </w:rPr>
        <w:t xml:space="preserve">he </w:t>
      </w:r>
      <w:r w:rsidR="00074734" w:rsidRPr="004E2259">
        <w:rPr>
          <w:rFonts w:cs="Arial"/>
          <w:bCs/>
          <w:sz w:val="22"/>
          <w:szCs w:val="22"/>
        </w:rPr>
        <w:t xml:space="preserve">Melville House </w:t>
      </w:r>
      <w:r w:rsidR="00525D8F">
        <w:rPr>
          <w:rFonts w:cs="Arial"/>
          <w:bCs/>
          <w:sz w:val="22"/>
          <w:szCs w:val="22"/>
        </w:rPr>
        <w:t>Rules</w:t>
      </w:r>
      <w:r w:rsidR="005E4E9F">
        <w:rPr>
          <w:rFonts w:cs="Arial"/>
          <w:bCs/>
          <w:sz w:val="22"/>
          <w:szCs w:val="22"/>
        </w:rPr>
        <w:t xml:space="preserve"> 2011</w:t>
      </w:r>
      <w:r w:rsidR="00074734">
        <w:rPr>
          <w:rFonts w:cs="Arial"/>
          <w:bCs/>
          <w:sz w:val="22"/>
          <w:szCs w:val="22"/>
        </w:rPr>
        <w:t xml:space="preserve"> </w:t>
      </w:r>
      <w:r w:rsidR="004E2259">
        <w:rPr>
          <w:rFonts w:cs="Arial"/>
          <w:bCs/>
          <w:sz w:val="22"/>
          <w:szCs w:val="22"/>
        </w:rPr>
        <w:t>(‘rule 9(e)’)</w:t>
      </w:r>
      <w:r w:rsidR="00525D8F">
        <w:rPr>
          <w:rFonts w:cs="Arial"/>
          <w:bCs/>
          <w:sz w:val="22"/>
          <w:szCs w:val="22"/>
        </w:rPr>
        <w:t>,</w:t>
      </w:r>
      <w:r w:rsidR="004E2259">
        <w:rPr>
          <w:rFonts w:cs="Arial"/>
          <w:bCs/>
          <w:sz w:val="22"/>
          <w:szCs w:val="22"/>
        </w:rPr>
        <w:t xml:space="preserve"> was valid or not as alleged by the appellant. Rule 9(e) was the </w:t>
      </w:r>
      <w:r w:rsidR="00AF67A6">
        <w:rPr>
          <w:rFonts w:cs="Arial"/>
          <w:bCs/>
          <w:sz w:val="22"/>
          <w:szCs w:val="22"/>
        </w:rPr>
        <w:t xml:space="preserve">mechanism </w:t>
      </w:r>
      <w:r w:rsidR="00074734">
        <w:rPr>
          <w:rFonts w:cs="Arial"/>
          <w:bCs/>
          <w:sz w:val="22"/>
          <w:szCs w:val="22"/>
        </w:rPr>
        <w:t>by means of which</w:t>
      </w:r>
      <w:r w:rsidR="00126CB1" w:rsidRPr="00126CB1">
        <w:rPr>
          <w:rFonts w:cs="Arial"/>
          <w:bCs/>
          <w:sz w:val="22"/>
          <w:szCs w:val="22"/>
        </w:rPr>
        <w:t xml:space="preserve"> </w:t>
      </w:r>
      <w:r w:rsidR="00126CB1">
        <w:rPr>
          <w:rFonts w:cs="Arial"/>
          <w:bCs/>
          <w:sz w:val="22"/>
          <w:szCs w:val="22"/>
        </w:rPr>
        <w:t>the Trustees</w:t>
      </w:r>
      <w:r w:rsidR="00074734">
        <w:rPr>
          <w:rFonts w:cs="Arial"/>
          <w:bCs/>
          <w:sz w:val="22"/>
          <w:szCs w:val="22"/>
        </w:rPr>
        <w:t xml:space="preserve"> </w:t>
      </w:r>
      <w:r w:rsidR="00126CB1">
        <w:rPr>
          <w:rFonts w:cs="Arial"/>
          <w:bCs/>
          <w:sz w:val="22"/>
          <w:szCs w:val="22"/>
        </w:rPr>
        <w:t xml:space="preserve">adopted and implemented </w:t>
      </w:r>
      <w:r w:rsidR="00074734">
        <w:rPr>
          <w:rFonts w:cs="Arial"/>
          <w:bCs/>
          <w:sz w:val="22"/>
          <w:szCs w:val="22"/>
        </w:rPr>
        <w:t>the</w:t>
      </w:r>
      <w:r w:rsidR="000E2B83">
        <w:rPr>
          <w:rFonts w:cs="Arial"/>
          <w:bCs/>
          <w:sz w:val="22"/>
          <w:szCs w:val="22"/>
        </w:rPr>
        <w:t xml:space="preserve"> security protocol</w:t>
      </w:r>
      <w:r w:rsidR="00126CB1">
        <w:rPr>
          <w:rFonts w:cs="Arial"/>
          <w:bCs/>
          <w:sz w:val="22"/>
          <w:szCs w:val="22"/>
        </w:rPr>
        <w:t xml:space="preserve">. </w:t>
      </w:r>
      <w:r w:rsidR="000E2B83">
        <w:rPr>
          <w:rFonts w:cs="Arial"/>
          <w:bCs/>
          <w:sz w:val="22"/>
          <w:szCs w:val="22"/>
        </w:rPr>
        <w:t xml:space="preserve">The </w:t>
      </w:r>
      <w:r w:rsidR="00074734">
        <w:rPr>
          <w:rFonts w:cs="Arial"/>
          <w:bCs/>
          <w:sz w:val="22"/>
          <w:szCs w:val="22"/>
        </w:rPr>
        <w:t xml:space="preserve">appellant argued that the </w:t>
      </w:r>
      <w:r w:rsidR="000E2B83">
        <w:rPr>
          <w:rFonts w:cs="Arial"/>
          <w:bCs/>
          <w:sz w:val="22"/>
          <w:szCs w:val="22"/>
        </w:rPr>
        <w:t xml:space="preserve">power </w:t>
      </w:r>
      <w:r w:rsidR="00074734">
        <w:rPr>
          <w:rFonts w:cs="Arial"/>
          <w:bCs/>
          <w:sz w:val="22"/>
          <w:szCs w:val="22"/>
        </w:rPr>
        <w:t>that rule 9(e) purported</w:t>
      </w:r>
      <w:r w:rsidR="000E2B83">
        <w:rPr>
          <w:rFonts w:cs="Arial"/>
          <w:bCs/>
          <w:sz w:val="22"/>
          <w:szCs w:val="22"/>
        </w:rPr>
        <w:t xml:space="preserve"> to c</w:t>
      </w:r>
      <w:r w:rsidR="004E2259">
        <w:rPr>
          <w:rFonts w:cs="Arial"/>
          <w:bCs/>
          <w:sz w:val="22"/>
          <w:szCs w:val="22"/>
        </w:rPr>
        <w:t xml:space="preserve">onfer on the Body Corporate and, </w:t>
      </w:r>
      <w:r w:rsidR="00C601DE">
        <w:rPr>
          <w:rFonts w:cs="Arial"/>
          <w:bCs/>
          <w:sz w:val="22"/>
          <w:szCs w:val="22"/>
        </w:rPr>
        <w:t>according to the Trustees</w:t>
      </w:r>
      <w:r w:rsidR="00126CB1">
        <w:rPr>
          <w:rFonts w:cs="Arial"/>
          <w:bCs/>
          <w:sz w:val="22"/>
          <w:szCs w:val="22"/>
        </w:rPr>
        <w:t>,</w:t>
      </w:r>
      <w:r w:rsidR="00525D8F">
        <w:rPr>
          <w:rFonts w:cs="Arial"/>
          <w:bCs/>
          <w:sz w:val="22"/>
          <w:szCs w:val="22"/>
        </w:rPr>
        <w:t xml:space="preserve"> </w:t>
      </w:r>
      <w:r w:rsidR="00C601DE">
        <w:rPr>
          <w:rFonts w:cs="Arial"/>
          <w:bCs/>
          <w:sz w:val="22"/>
          <w:szCs w:val="22"/>
        </w:rPr>
        <w:t>on the</w:t>
      </w:r>
      <w:r w:rsidR="00126CB1">
        <w:rPr>
          <w:rFonts w:cs="Arial"/>
          <w:bCs/>
          <w:sz w:val="22"/>
          <w:szCs w:val="22"/>
        </w:rPr>
        <w:t xml:space="preserve"> Trustees</w:t>
      </w:r>
      <w:r w:rsidR="00C601DE">
        <w:rPr>
          <w:rFonts w:cs="Arial"/>
          <w:bCs/>
          <w:sz w:val="22"/>
          <w:szCs w:val="22"/>
        </w:rPr>
        <w:t xml:space="preserve">, </w:t>
      </w:r>
      <w:r w:rsidR="00074734">
        <w:rPr>
          <w:rFonts w:cs="Arial"/>
          <w:bCs/>
          <w:sz w:val="22"/>
          <w:szCs w:val="22"/>
        </w:rPr>
        <w:t>wa</w:t>
      </w:r>
      <w:r w:rsidR="004E2259">
        <w:rPr>
          <w:rFonts w:cs="Arial"/>
          <w:bCs/>
          <w:sz w:val="22"/>
          <w:szCs w:val="22"/>
        </w:rPr>
        <w:t>s i</w:t>
      </w:r>
      <w:r w:rsidR="00D163B2">
        <w:rPr>
          <w:rFonts w:cs="Arial"/>
          <w:bCs/>
          <w:sz w:val="22"/>
          <w:szCs w:val="22"/>
        </w:rPr>
        <w:t>tself invalid.</w:t>
      </w:r>
      <w:r w:rsidR="006E1102" w:rsidRPr="006E1102">
        <w:rPr>
          <w:rFonts w:cs="Arial"/>
          <w:bCs/>
          <w:sz w:val="22"/>
          <w:szCs w:val="22"/>
        </w:rPr>
        <w:t xml:space="preserve"> </w:t>
      </w:r>
    </w:p>
    <w:p w:rsidR="000E2B83" w:rsidRDefault="00CA5BDF" w:rsidP="00CA5BDF">
      <w:pPr>
        <w:tabs>
          <w:tab w:val="left" w:pos="680"/>
        </w:tabs>
        <w:spacing w:before="360" w:after="360" w:line="480" w:lineRule="auto"/>
        <w:jc w:val="both"/>
        <w:rPr>
          <w:rFonts w:cs="Arial"/>
          <w:bCs/>
          <w:sz w:val="22"/>
          <w:szCs w:val="22"/>
        </w:rPr>
      </w:pPr>
      <w:r>
        <w:rPr>
          <w:rFonts w:cs="Arial"/>
          <w:bCs/>
          <w:sz w:val="21"/>
          <w:szCs w:val="21"/>
        </w:rPr>
        <w:t>[11]</w:t>
      </w:r>
      <w:r>
        <w:rPr>
          <w:rFonts w:cs="Arial"/>
          <w:bCs/>
          <w:sz w:val="21"/>
          <w:szCs w:val="21"/>
        </w:rPr>
        <w:tab/>
      </w:r>
      <w:r w:rsidR="006E1102">
        <w:rPr>
          <w:rFonts w:cs="Arial"/>
          <w:bCs/>
          <w:sz w:val="22"/>
          <w:szCs w:val="22"/>
        </w:rPr>
        <w:t>The respondents argued that the appellant did not raise the issue before the Adjudicator and</w:t>
      </w:r>
      <w:r w:rsidR="00B53174">
        <w:rPr>
          <w:rFonts w:cs="Arial"/>
          <w:bCs/>
          <w:sz w:val="22"/>
          <w:szCs w:val="22"/>
        </w:rPr>
        <w:t xml:space="preserve"> thus was not permitted to deal with</w:t>
      </w:r>
      <w:r w:rsidR="006E1102">
        <w:rPr>
          <w:rFonts w:cs="Arial"/>
          <w:bCs/>
          <w:sz w:val="22"/>
          <w:szCs w:val="22"/>
        </w:rPr>
        <w:t xml:space="preserve"> </w:t>
      </w:r>
      <w:r w:rsidR="00403D22">
        <w:rPr>
          <w:rFonts w:cs="Arial"/>
          <w:bCs/>
          <w:sz w:val="22"/>
          <w:szCs w:val="22"/>
        </w:rPr>
        <w:t xml:space="preserve">it on appeal for the first time. Furthermore, </w:t>
      </w:r>
      <w:r w:rsidR="006E1102">
        <w:rPr>
          <w:rFonts w:cs="Arial"/>
          <w:bCs/>
          <w:sz w:val="22"/>
          <w:szCs w:val="22"/>
        </w:rPr>
        <w:t>and in any event, that clause 9(e) was valid and reasonable.</w:t>
      </w:r>
    </w:p>
    <w:p w:rsidR="000E2B83" w:rsidRDefault="00CA5BDF" w:rsidP="00CA5BDF">
      <w:pPr>
        <w:tabs>
          <w:tab w:val="left" w:pos="680"/>
        </w:tabs>
        <w:spacing w:before="360" w:after="360" w:line="480" w:lineRule="auto"/>
        <w:jc w:val="both"/>
        <w:rPr>
          <w:rFonts w:cs="Arial"/>
          <w:bCs/>
          <w:sz w:val="22"/>
          <w:szCs w:val="22"/>
        </w:rPr>
      </w:pPr>
      <w:r>
        <w:rPr>
          <w:rFonts w:cs="Arial"/>
          <w:bCs/>
          <w:sz w:val="21"/>
          <w:szCs w:val="21"/>
        </w:rPr>
        <w:lastRenderedPageBreak/>
        <w:t>[12]</w:t>
      </w:r>
      <w:r>
        <w:rPr>
          <w:rFonts w:cs="Arial"/>
          <w:bCs/>
          <w:sz w:val="21"/>
          <w:szCs w:val="21"/>
        </w:rPr>
        <w:tab/>
      </w:r>
      <w:r w:rsidR="000E2B83">
        <w:rPr>
          <w:rFonts w:cs="Arial"/>
          <w:bCs/>
          <w:sz w:val="22"/>
          <w:szCs w:val="22"/>
        </w:rPr>
        <w:t xml:space="preserve">As to whether the point can be </w:t>
      </w:r>
      <w:r w:rsidR="00D163B2">
        <w:rPr>
          <w:rFonts w:cs="Arial"/>
          <w:bCs/>
          <w:sz w:val="22"/>
          <w:szCs w:val="22"/>
        </w:rPr>
        <w:t xml:space="preserve">raised on appeal for the first time, </w:t>
      </w:r>
      <w:r w:rsidR="000E2B83">
        <w:rPr>
          <w:rFonts w:cs="Arial"/>
          <w:bCs/>
          <w:sz w:val="22"/>
          <w:szCs w:val="22"/>
        </w:rPr>
        <w:t xml:space="preserve">the appellant referred to </w:t>
      </w:r>
      <w:r w:rsidR="000E2B83">
        <w:rPr>
          <w:rFonts w:cs="Arial"/>
          <w:bCs/>
          <w:i/>
          <w:sz w:val="22"/>
          <w:szCs w:val="22"/>
        </w:rPr>
        <w:t>Donelly v Barclays National Bank Ltd</w:t>
      </w:r>
      <w:r w:rsidR="000E2B83">
        <w:rPr>
          <w:rFonts w:cs="Arial"/>
          <w:bCs/>
          <w:sz w:val="22"/>
          <w:szCs w:val="22"/>
        </w:rPr>
        <w:t>.</w:t>
      </w:r>
      <w:r w:rsidR="000E2B83">
        <w:rPr>
          <w:rStyle w:val="FootnoteReference"/>
          <w:rFonts w:cs="Arial"/>
          <w:bCs/>
          <w:sz w:val="22"/>
          <w:szCs w:val="22"/>
        </w:rPr>
        <w:footnoteReference w:id="3"/>
      </w:r>
      <w:r w:rsidR="001D6D01">
        <w:rPr>
          <w:rFonts w:cs="Arial"/>
          <w:bCs/>
          <w:sz w:val="22"/>
          <w:szCs w:val="22"/>
        </w:rPr>
        <w:t xml:space="preserve"> </w:t>
      </w:r>
      <w:r w:rsidR="00403D22">
        <w:rPr>
          <w:rFonts w:cs="Arial"/>
          <w:bCs/>
          <w:sz w:val="22"/>
          <w:szCs w:val="22"/>
        </w:rPr>
        <w:t xml:space="preserve"> </w:t>
      </w:r>
    </w:p>
    <w:p w:rsidR="00403D22" w:rsidRDefault="00CA5BDF" w:rsidP="00CA5BDF">
      <w:pPr>
        <w:tabs>
          <w:tab w:val="left" w:pos="680"/>
        </w:tabs>
        <w:spacing w:before="360" w:after="360" w:line="480" w:lineRule="auto"/>
        <w:jc w:val="both"/>
        <w:rPr>
          <w:rFonts w:cs="Arial"/>
          <w:bCs/>
          <w:sz w:val="22"/>
          <w:szCs w:val="22"/>
        </w:rPr>
      </w:pPr>
      <w:r>
        <w:rPr>
          <w:rFonts w:cs="Arial"/>
          <w:bCs/>
          <w:sz w:val="21"/>
          <w:szCs w:val="21"/>
        </w:rPr>
        <w:t>[13]</w:t>
      </w:r>
      <w:r>
        <w:rPr>
          <w:rFonts w:cs="Arial"/>
          <w:bCs/>
          <w:sz w:val="21"/>
          <w:szCs w:val="21"/>
        </w:rPr>
        <w:tab/>
      </w:r>
      <w:r w:rsidR="004E2259">
        <w:rPr>
          <w:rFonts w:cs="Arial"/>
          <w:bCs/>
          <w:sz w:val="22"/>
          <w:szCs w:val="22"/>
        </w:rPr>
        <w:t>A</w:t>
      </w:r>
      <w:r w:rsidR="001D6D01">
        <w:rPr>
          <w:rFonts w:cs="Arial"/>
          <w:bCs/>
          <w:sz w:val="22"/>
          <w:szCs w:val="22"/>
        </w:rPr>
        <w:t xml:space="preserve"> </w:t>
      </w:r>
      <w:r w:rsidR="004E2259">
        <w:rPr>
          <w:rFonts w:cs="Arial"/>
          <w:bCs/>
          <w:sz w:val="22"/>
          <w:szCs w:val="22"/>
        </w:rPr>
        <w:t>further</w:t>
      </w:r>
      <w:r w:rsidR="000E2B83">
        <w:rPr>
          <w:rFonts w:cs="Arial"/>
          <w:bCs/>
          <w:sz w:val="22"/>
          <w:szCs w:val="22"/>
        </w:rPr>
        <w:t xml:space="preserve"> related issue</w:t>
      </w:r>
      <w:r w:rsidR="00CB4588">
        <w:rPr>
          <w:rFonts w:cs="Arial"/>
          <w:bCs/>
          <w:sz w:val="22"/>
          <w:szCs w:val="22"/>
        </w:rPr>
        <w:t>,</w:t>
      </w:r>
      <w:r w:rsidR="001D6D01">
        <w:rPr>
          <w:rFonts w:cs="Arial"/>
          <w:bCs/>
          <w:sz w:val="22"/>
          <w:szCs w:val="22"/>
        </w:rPr>
        <w:t xml:space="preserve"> </w:t>
      </w:r>
      <w:r w:rsidR="006E1102">
        <w:rPr>
          <w:rFonts w:cs="Arial"/>
          <w:bCs/>
          <w:sz w:val="22"/>
          <w:szCs w:val="22"/>
        </w:rPr>
        <w:t xml:space="preserve">claimed </w:t>
      </w:r>
      <w:r w:rsidR="001D6D01">
        <w:rPr>
          <w:rFonts w:cs="Arial"/>
          <w:bCs/>
          <w:sz w:val="22"/>
          <w:szCs w:val="22"/>
        </w:rPr>
        <w:t>by the appellant</w:t>
      </w:r>
      <w:r w:rsidR="00B53174">
        <w:rPr>
          <w:rFonts w:cs="Arial"/>
          <w:b/>
          <w:bCs/>
          <w:sz w:val="22"/>
          <w:szCs w:val="22"/>
        </w:rPr>
        <w:t xml:space="preserve"> </w:t>
      </w:r>
      <w:r w:rsidR="00403D22">
        <w:rPr>
          <w:rFonts w:cs="Arial"/>
          <w:bCs/>
          <w:sz w:val="22"/>
          <w:szCs w:val="22"/>
        </w:rPr>
        <w:t>in</w:t>
      </w:r>
      <w:r w:rsidR="00C601DE">
        <w:rPr>
          <w:rFonts w:cs="Arial"/>
          <w:bCs/>
          <w:sz w:val="22"/>
          <w:szCs w:val="22"/>
        </w:rPr>
        <w:t xml:space="preserve"> terms of the alternate relief and</w:t>
      </w:r>
      <w:r w:rsidR="00403D22">
        <w:rPr>
          <w:rFonts w:cs="Arial"/>
          <w:bCs/>
          <w:sz w:val="22"/>
          <w:szCs w:val="22"/>
        </w:rPr>
        <w:t xml:space="preserve"> </w:t>
      </w:r>
      <w:r w:rsidR="00126CB1">
        <w:rPr>
          <w:rFonts w:cs="Arial"/>
          <w:bCs/>
          <w:sz w:val="22"/>
          <w:szCs w:val="22"/>
        </w:rPr>
        <w:t xml:space="preserve">in </w:t>
      </w:r>
      <w:r w:rsidR="00403D22">
        <w:rPr>
          <w:rFonts w:cs="Arial"/>
          <w:bCs/>
          <w:sz w:val="22"/>
          <w:szCs w:val="22"/>
        </w:rPr>
        <w:t>the event of the Adjudicator finding that the security protocol was not a conduct rule,</w:t>
      </w:r>
      <w:r w:rsidR="00403D22" w:rsidRPr="00403D22">
        <w:rPr>
          <w:rFonts w:cs="Arial"/>
          <w:b/>
          <w:bCs/>
          <w:sz w:val="22"/>
          <w:szCs w:val="22"/>
        </w:rPr>
        <w:t xml:space="preserve"> </w:t>
      </w:r>
      <w:r w:rsidR="001D6D01">
        <w:rPr>
          <w:rFonts w:cs="Arial"/>
          <w:bCs/>
          <w:sz w:val="22"/>
          <w:szCs w:val="22"/>
        </w:rPr>
        <w:t>was the appella</w:t>
      </w:r>
      <w:r w:rsidR="00B53174">
        <w:rPr>
          <w:rFonts w:cs="Arial"/>
          <w:bCs/>
          <w:sz w:val="22"/>
          <w:szCs w:val="22"/>
        </w:rPr>
        <w:t>nt’s contention that rule 9(e) wa</w:t>
      </w:r>
      <w:r w:rsidR="001D6D01">
        <w:rPr>
          <w:rFonts w:cs="Arial"/>
          <w:bCs/>
          <w:sz w:val="22"/>
          <w:szCs w:val="22"/>
        </w:rPr>
        <w:t>s invalid</w:t>
      </w:r>
      <w:r w:rsidR="000E2B83">
        <w:rPr>
          <w:rFonts w:cs="Arial"/>
          <w:bCs/>
          <w:sz w:val="22"/>
          <w:szCs w:val="22"/>
        </w:rPr>
        <w:t xml:space="preserve"> b</w:t>
      </w:r>
      <w:r w:rsidR="00B53174">
        <w:rPr>
          <w:rFonts w:cs="Arial"/>
          <w:bCs/>
          <w:sz w:val="22"/>
          <w:szCs w:val="22"/>
        </w:rPr>
        <w:t>ecause it wa</w:t>
      </w:r>
      <w:r w:rsidR="001D6D01">
        <w:rPr>
          <w:rFonts w:cs="Arial"/>
          <w:bCs/>
          <w:sz w:val="22"/>
          <w:szCs w:val="22"/>
        </w:rPr>
        <w:t xml:space="preserve">s unreasonable. The Adjudicator did not deal with this issue </w:t>
      </w:r>
      <w:r w:rsidR="00CB4588">
        <w:rPr>
          <w:rFonts w:cs="Arial"/>
          <w:bCs/>
          <w:sz w:val="22"/>
          <w:szCs w:val="22"/>
        </w:rPr>
        <w:t>n</w:t>
      </w:r>
      <w:r w:rsidR="001D6D01">
        <w:rPr>
          <w:rFonts w:cs="Arial"/>
          <w:bCs/>
          <w:sz w:val="22"/>
          <w:szCs w:val="22"/>
        </w:rPr>
        <w:t>or</w:t>
      </w:r>
      <w:r w:rsidR="000E2B83">
        <w:rPr>
          <w:rFonts w:cs="Arial"/>
          <w:bCs/>
          <w:sz w:val="22"/>
          <w:szCs w:val="22"/>
        </w:rPr>
        <w:t xml:space="preserve"> </w:t>
      </w:r>
      <w:r w:rsidR="001D6D01">
        <w:rPr>
          <w:rFonts w:cs="Arial"/>
          <w:bCs/>
          <w:sz w:val="22"/>
          <w:szCs w:val="22"/>
        </w:rPr>
        <w:t xml:space="preserve">with </w:t>
      </w:r>
      <w:r w:rsidR="000E2B83">
        <w:rPr>
          <w:rFonts w:cs="Arial"/>
          <w:bCs/>
          <w:sz w:val="22"/>
          <w:szCs w:val="22"/>
        </w:rPr>
        <w:t xml:space="preserve">the facts underlying </w:t>
      </w:r>
      <w:r w:rsidR="00B53174">
        <w:rPr>
          <w:rFonts w:cs="Arial"/>
          <w:bCs/>
          <w:sz w:val="22"/>
          <w:szCs w:val="22"/>
        </w:rPr>
        <w:t>i</w:t>
      </w:r>
      <w:r w:rsidR="000E2B83">
        <w:rPr>
          <w:rFonts w:cs="Arial"/>
          <w:bCs/>
          <w:sz w:val="22"/>
          <w:szCs w:val="22"/>
        </w:rPr>
        <w:t>t</w:t>
      </w:r>
      <w:r w:rsidR="00B53174">
        <w:rPr>
          <w:rFonts w:cs="Arial"/>
          <w:bCs/>
          <w:sz w:val="22"/>
          <w:szCs w:val="22"/>
        </w:rPr>
        <w:t xml:space="preserve">.  </w:t>
      </w:r>
      <w:r w:rsidR="00403D22" w:rsidRPr="00403D22">
        <w:rPr>
          <w:rFonts w:cs="Arial"/>
          <w:bCs/>
          <w:sz w:val="22"/>
          <w:szCs w:val="22"/>
        </w:rPr>
        <w:t xml:space="preserve"> </w:t>
      </w:r>
    </w:p>
    <w:p w:rsidR="00525D8F" w:rsidRDefault="00CA5BDF" w:rsidP="00CA5BDF">
      <w:pPr>
        <w:tabs>
          <w:tab w:val="left" w:pos="680"/>
        </w:tabs>
        <w:spacing w:before="360" w:after="360" w:line="480" w:lineRule="auto"/>
        <w:jc w:val="both"/>
        <w:rPr>
          <w:rFonts w:cs="Arial"/>
          <w:bCs/>
          <w:sz w:val="22"/>
          <w:szCs w:val="22"/>
        </w:rPr>
      </w:pPr>
      <w:r>
        <w:rPr>
          <w:rFonts w:cs="Arial"/>
          <w:bCs/>
          <w:sz w:val="21"/>
          <w:szCs w:val="21"/>
        </w:rPr>
        <w:t>[14]</w:t>
      </w:r>
      <w:r>
        <w:rPr>
          <w:rFonts w:cs="Arial"/>
          <w:bCs/>
          <w:sz w:val="21"/>
          <w:szCs w:val="21"/>
        </w:rPr>
        <w:tab/>
      </w:r>
      <w:r w:rsidR="00403D22">
        <w:rPr>
          <w:rFonts w:cs="Arial"/>
          <w:bCs/>
          <w:sz w:val="22"/>
          <w:szCs w:val="22"/>
        </w:rPr>
        <w:t xml:space="preserve"> Accordingly, the appellant sought that the alternate relief be considered by this Court</w:t>
      </w:r>
      <w:r w:rsidR="0044343A">
        <w:rPr>
          <w:rFonts w:cs="Arial"/>
          <w:bCs/>
          <w:sz w:val="22"/>
          <w:szCs w:val="22"/>
        </w:rPr>
        <w:t xml:space="preserve"> in the event of a</w:t>
      </w:r>
      <w:r w:rsidR="00403D22" w:rsidRPr="00403D22">
        <w:rPr>
          <w:rFonts w:cs="Arial"/>
          <w:bCs/>
          <w:sz w:val="22"/>
          <w:szCs w:val="22"/>
        </w:rPr>
        <w:t xml:space="preserve"> finding against the appellant</w:t>
      </w:r>
      <w:r w:rsidR="0044343A">
        <w:rPr>
          <w:rFonts w:cs="Arial"/>
          <w:bCs/>
          <w:sz w:val="22"/>
          <w:szCs w:val="22"/>
        </w:rPr>
        <w:t>.</w:t>
      </w:r>
      <w:r w:rsidR="00403D22" w:rsidRPr="00403D22">
        <w:rPr>
          <w:rFonts w:cs="Arial"/>
          <w:bCs/>
          <w:sz w:val="22"/>
          <w:szCs w:val="22"/>
        </w:rPr>
        <w:t xml:space="preserve"> </w:t>
      </w:r>
      <w:r w:rsidR="0044343A">
        <w:rPr>
          <w:rFonts w:cs="Arial"/>
          <w:bCs/>
          <w:sz w:val="22"/>
          <w:szCs w:val="22"/>
        </w:rPr>
        <w:t xml:space="preserve"> </w:t>
      </w:r>
      <w:r w:rsidR="005C77B5">
        <w:rPr>
          <w:rFonts w:cs="Arial"/>
          <w:bCs/>
          <w:sz w:val="22"/>
          <w:szCs w:val="22"/>
        </w:rPr>
        <w:t xml:space="preserve"> </w:t>
      </w:r>
    </w:p>
    <w:p w:rsidR="005E4E9F" w:rsidRPr="00B35A0B" w:rsidRDefault="00CA5BDF" w:rsidP="00CA5BDF">
      <w:pPr>
        <w:tabs>
          <w:tab w:val="left" w:pos="680"/>
        </w:tabs>
        <w:spacing w:before="360" w:after="360" w:line="480" w:lineRule="auto"/>
        <w:jc w:val="both"/>
        <w:rPr>
          <w:rFonts w:cs="Arial"/>
          <w:b/>
          <w:bCs/>
          <w:sz w:val="22"/>
          <w:szCs w:val="22"/>
        </w:rPr>
      </w:pPr>
      <w:r w:rsidRPr="00B35A0B">
        <w:rPr>
          <w:rFonts w:cs="Arial"/>
          <w:bCs/>
          <w:sz w:val="21"/>
          <w:szCs w:val="21"/>
        </w:rPr>
        <w:t>[15]</w:t>
      </w:r>
      <w:r w:rsidRPr="00B35A0B">
        <w:rPr>
          <w:rFonts w:cs="Arial"/>
          <w:bCs/>
          <w:sz w:val="21"/>
          <w:szCs w:val="21"/>
        </w:rPr>
        <w:tab/>
      </w:r>
      <w:r w:rsidR="005C77B5">
        <w:rPr>
          <w:rFonts w:cs="Arial"/>
          <w:bCs/>
          <w:sz w:val="22"/>
          <w:szCs w:val="22"/>
        </w:rPr>
        <w:t>It was common cause</w:t>
      </w:r>
      <w:r w:rsidR="00C601DE">
        <w:rPr>
          <w:rFonts w:cs="Arial"/>
          <w:bCs/>
          <w:sz w:val="22"/>
          <w:szCs w:val="22"/>
        </w:rPr>
        <w:t xml:space="preserve"> between the parties</w:t>
      </w:r>
      <w:r w:rsidR="005C77B5">
        <w:rPr>
          <w:rFonts w:cs="Arial"/>
          <w:bCs/>
          <w:sz w:val="22"/>
          <w:szCs w:val="22"/>
        </w:rPr>
        <w:t xml:space="preserve"> that the Trustees unilaterally </w:t>
      </w:r>
      <w:r w:rsidR="007D6610">
        <w:rPr>
          <w:rFonts w:cs="Arial"/>
          <w:bCs/>
          <w:sz w:val="22"/>
          <w:szCs w:val="22"/>
        </w:rPr>
        <w:t xml:space="preserve">adopted and </w:t>
      </w:r>
      <w:r w:rsidR="00C601DE">
        <w:rPr>
          <w:rFonts w:cs="Arial"/>
          <w:bCs/>
          <w:sz w:val="22"/>
          <w:szCs w:val="22"/>
        </w:rPr>
        <w:t>implemented the</w:t>
      </w:r>
      <w:r w:rsidR="005C77B5">
        <w:rPr>
          <w:rFonts w:cs="Arial"/>
          <w:bCs/>
          <w:sz w:val="22"/>
          <w:szCs w:val="22"/>
        </w:rPr>
        <w:t xml:space="preserve"> security pro</w:t>
      </w:r>
      <w:r w:rsidR="00C601DE">
        <w:rPr>
          <w:rFonts w:cs="Arial"/>
          <w:bCs/>
          <w:sz w:val="22"/>
          <w:szCs w:val="22"/>
        </w:rPr>
        <w:t>tocol, albeit only in relation to food deliveries to occupiers of the Melville,</w:t>
      </w:r>
      <w:r w:rsidR="00CB3648">
        <w:rPr>
          <w:rFonts w:cs="Arial"/>
          <w:bCs/>
          <w:sz w:val="22"/>
          <w:szCs w:val="22"/>
        </w:rPr>
        <w:t xml:space="preserve"> in </w:t>
      </w:r>
      <w:r w:rsidR="00C601DE">
        <w:rPr>
          <w:rFonts w:cs="Arial"/>
          <w:bCs/>
          <w:sz w:val="22"/>
          <w:szCs w:val="22"/>
        </w:rPr>
        <w:t>order to</w:t>
      </w:r>
      <w:r w:rsidR="00980947">
        <w:rPr>
          <w:rFonts w:cs="Arial"/>
          <w:bCs/>
          <w:sz w:val="22"/>
          <w:szCs w:val="22"/>
        </w:rPr>
        <w:t xml:space="preserve"> heighten </w:t>
      </w:r>
      <w:r w:rsidR="007D6610">
        <w:rPr>
          <w:rFonts w:cs="Arial"/>
          <w:bCs/>
          <w:sz w:val="22"/>
          <w:szCs w:val="22"/>
        </w:rPr>
        <w:t>security at the M</w:t>
      </w:r>
      <w:r w:rsidR="00CB3648">
        <w:rPr>
          <w:rFonts w:cs="Arial"/>
          <w:bCs/>
          <w:sz w:val="22"/>
          <w:szCs w:val="22"/>
        </w:rPr>
        <w:t xml:space="preserve">elville. The </w:t>
      </w:r>
      <w:r w:rsidR="00980947">
        <w:rPr>
          <w:rFonts w:cs="Arial"/>
          <w:bCs/>
          <w:sz w:val="22"/>
          <w:szCs w:val="22"/>
        </w:rPr>
        <w:t xml:space="preserve">Body Corporate </w:t>
      </w:r>
      <w:r w:rsidR="005C77B5">
        <w:rPr>
          <w:rFonts w:cs="Arial"/>
          <w:bCs/>
          <w:sz w:val="22"/>
          <w:szCs w:val="22"/>
        </w:rPr>
        <w:t xml:space="preserve">subsequently approved </w:t>
      </w:r>
      <w:r w:rsidR="00980947">
        <w:rPr>
          <w:rFonts w:cs="Arial"/>
          <w:bCs/>
          <w:sz w:val="22"/>
          <w:szCs w:val="22"/>
        </w:rPr>
        <w:t xml:space="preserve">the security protocol </w:t>
      </w:r>
      <w:r w:rsidR="00A67805">
        <w:rPr>
          <w:rFonts w:cs="Arial"/>
          <w:bCs/>
          <w:sz w:val="22"/>
          <w:szCs w:val="22"/>
        </w:rPr>
        <w:t xml:space="preserve">by a </w:t>
      </w:r>
      <w:r w:rsidR="00E50650">
        <w:rPr>
          <w:rFonts w:cs="Arial"/>
          <w:bCs/>
          <w:sz w:val="22"/>
          <w:szCs w:val="22"/>
        </w:rPr>
        <w:t xml:space="preserve">simple </w:t>
      </w:r>
      <w:r w:rsidR="00A67805">
        <w:rPr>
          <w:rFonts w:cs="Arial"/>
          <w:bCs/>
          <w:sz w:val="22"/>
          <w:szCs w:val="22"/>
        </w:rPr>
        <w:t xml:space="preserve">majority vote of </w:t>
      </w:r>
      <w:r w:rsidR="00E50650" w:rsidRPr="002B0EF4">
        <w:rPr>
          <w:rFonts w:cs="Arial"/>
          <w:bCs/>
          <w:sz w:val="22"/>
          <w:szCs w:val="22"/>
        </w:rPr>
        <w:t>15 of the 24 units at The Melville</w:t>
      </w:r>
      <w:r w:rsidR="00126CB1">
        <w:rPr>
          <w:rFonts w:cs="Arial"/>
          <w:bCs/>
          <w:sz w:val="22"/>
          <w:szCs w:val="22"/>
        </w:rPr>
        <w:t xml:space="preserve"> represented at the meeting</w:t>
      </w:r>
      <w:r w:rsidR="00E50650">
        <w:rPr>
          <w:rFonts w:cs="Arial"/>
          <w:bCs/>
          <w:sz w:val="22"/>
          <w:szCs w:val="22"/>
        </w:rPr>
        <w:t>,</w:t>
      </w:r>
      <w:r w:rsidR="00E50650" w:rsidRPr="002B0EF4">
        <w:rPr>
          <w:rFonts w:cs="Arial"/>
          <w:bCs/>
          <w:sz w:val="22"/>
          <w:szCs w:val="22"/>
        </w:rPr>
        <w:t xml:space="preserve"> all </w:t>
      </w:r>
      <w:r w:rsidR="00126CB1">
        <w:rPr>
          <w:rFonts w:cs="Arial"/>
          <w:bCs/>
          <w:sz w:val="22"/>
          <w:szCs w:val="22"/>
        </w:rPr>
        <w:t>15 of which</w:t>
      </w:r>
      <w:r w:rsidR="00E50650" w:rsidRPr="002B0EF4">
        <w:rPr>
          <w:rFonts w:cs="Arial"/>
          <w:bCs/>
          <w:sz w:val="22"/>
          <w:szCs w:val="22"/>
        </w:rPr>
        <w:t xml:space="preserve"> voted in </w:t>
      </w:r>
      <w:r w:rsidR="00E50650">
        <w:rPr>
          <w:rFonts w:cs="Arial"/>
          <w:bCs/>
          <w:sz w:val="22"/>
          <w:szCs w:val="22"/>
        </w:rPr>
        <w:t>favour of the security protocol</w:t>
      </w:r>
      <w:r w:rsidR="00A67805">
        <w:rPr>
          <w:rFonts w:cs="Arial"/>
          <w:bCs/>
          <w:sz w:val="22"/>
          <w:szCs w:val="22"/>
        </w:rPr>
        <w:t xml:space="preserve"> at a special general meeting on 17 June 2021.</w:t>
      </w:r>
      <w:r w:rsidR="005C77B5">
        <w:rPr>
          <w:rFonts w:cs="Arial"/>
          <w:bCs/>
          <w:sz w:val="22"/>
          <w:szCs w:val="22"/>
        </w:rPr>
        <w:t xml:space="preserve"> </w:t>
      </w:r>
      <w:r w:rsidR="007D6610">
        <w:rPr>
          <w:rFonts w:cs="Arial"/>
          <w:bCs/>
          <w:sz w:val="22"/>
          <w:szCs w:val="22"/>
        </w:rPr>
        <w:t>(‘</w:t>
      </w:r>
      <w:r w:rsidR="007D6610" w:rsidRPr="00A67805">
        <w:rPr>
          <w:rFonts w:cs="Arial"/>
          <w:bCs/>
          <w:sz w:val="22"/>
          <w:szCs w:val="22"/>
        </w:rPr>
        <w:t>the security protocol’).</w:t>
      </w:r>
    </w:p>
    <w:p w:rsidR="00ED2774" w:rsidRPr="00B35A0B" w:rsidRDefault="00CA5BDF" w:rsidP="00CA5BDF">
      <w:pPr>
        <w:tabs>
          <w:tab w:val="left" w:pos="680"/>
        </w:tabs>
        <w:spacing w:before="360" w:after="360" w:line="480" w:lineRule="auto"/>
        <w:jc w:val="both"/>
        <w:rPr>
          <w:rFonts w:cs="Arial"/>
          <w:bCs/>
          <w:sz w:val="22"/>
          <w:szCs w:val="22"/>
        </w:rPr>
      </w:pPr>
      <w:r w:rsidRPr="00B35A0B">
        <w:rPr>
          <w:rFonts w:cs="Arial"/>
          <w:bCs/>
          <w:sz w:val="21"/>
          <w:szCs w:val="21"/>
        </w:rPr>
        <w:t>[16]</w:t>
      </w:r>
      <w:r w:rsidRPr="00B35A0B">
        <w:rPr>
          <w:rFonts w:cs="Arial"/>
          <w:bCs/>
          <w:sz w:val="21"/>
          <w:szCs w:val="21"/>
        </w:rPr>
        <w:tab/>
      </w:r>
      <w:r w:rsidR="00F71FCB" w:rsidRPr="005E4E9F">
        <w:rPr>
          <w:rFonts w:cs="Arial"/>
          <w:bCs/>
          <w:sz w:val="22"/>
          <w:szCs w:val="22"/>
        </w:rPr>
        <w:t>The CSOS Act provides a statutory mechanism by means of which residents of community schemes including sectional title schemes may resolve disputes without resorting to</w:t>
      </w:r>
      <w:r w:rsidR="00CB4588" w:rsidRPr="005E4E9F">
        <w:rPr>
          <w:rFonts w:cs="Arial"/>
          <w:bCs/>
          <w:sz w:val="22"/>
          <w:szCs w:val="22"/>
        </w:rPr>
        <w:t xml:space="preserve"> more</w:t>
      </w:r>
      <w:r w:rsidR="00F71FCB" w:rsidRPr="005E4E9F">
        <w:rPr>
          <w:rFonts w:cs="Arial"/>
          <w:bCs/>
          <w:sz w:val="22"/>
          <w:szCs w:val="22"/>
        </w:rPr>
        <w:t xml:space="preserve"> formal </w:t>
      </w:r>
      <w:r w:rsidR="00CB4588" w:rsidRPr="005E4E9F">
        <w:rPr>
          <w:rFonts w:cs="Arial"/>
          <w:bCs/>
          <w:sz w:val="22"/>
          <w:szCs w:val="22"/>
        </w:rPr>
        <w:t>proceedings including</w:t>
      </w:r>
      <w:r w:rsidR="00F71FCB" w:rsidRPr="005E4E9F">
        <w:rPr>
          <w:rFonts w:cs="Arial"/>
          <w:bCs/>
          <w:sz w:val="22"/>
          <w:szCs w:val="22"/>
        </w:rPr>
        <w:t xml:space="preserve"> </w:t>
      </w:r>
      <w:r w:rsidR="00CB4588" w:rsidRPr="005E4E9F">
        <w:rPr>
          <w:rFonts w:cs="Arial"/>
          <w:bCs/>
          <w:sz w:val="22"/>
          <w:szCs w:val="22"/>
        </w:rPr>
        <w:t xml:space="preserve">court proceedings. </w:t>
      </w:r>
      <w:r w:rsidR="000E2B83" w:rsidRPr="005E4E9F">
        <w:rPr>
          <w:rFonts w:cs="Arial"/>
          <w:bCs/>
          <w:sz w:val="22"/>
          <w:szCs w:val="22"/>
        </w:rPr>
        <w:t xml:space="preserve">The dispute resolution process before the CSOS Adjudicator is an informal inquisitorial process. </w:t>
      </w:r>
      <w:r w:rsidR="00FA7426" w:rsidRPr="005E4E9F">
        <w:rPr>
          <w:rFonts w:cs="Arial"/>
          <w:bCs/>
          <w:sz w:val="22"/>
          <w:szCs w:val="22"/>
        </w:rPr>
        <w:t xml:space="preserve">An </w:t>
      </w:r>
      <w:r w:rsidR="00ED2774" w:rsidRPr="00B35A0B">
        <w:rPr>
          <w:rFonts w:cs="Arial"/>
          <w:bCs/>
          <w:sz w:val="22"/>
          <w:szCs w:val="22"/>
        </w:rPr>
        <w:t>a</w:t>
      </w:r>
      <w:r w:rsidR="00FA7426" w:rsidRPr="00B35A0B">
        <w:rPr>
          <w:rFonts w:cs="Arial"/>
          <w:bCs/>
          <w:sz w:val="22"/>
          <w:szCs w:val="22"/>
        </w:rPr>
        <w:t>djudicator is “</w:t>
      </w:r>
      <w:r w:rsidR="000E2B83" w:rsidRPr="00B35A0B">
        <w:rPr>
          <w:rFonts w:cs="Arial"/>
          <w:bCs/>
          <w:sz w:val="22"/>
          <w:szCs w:val="22"/>
        </w:rPr>
        <w:t>empowered to investigate, adjudicate and issue an adjudication order</w:t>
      </w:r>
      <w:r w:rsidR="00ED2774" w:rsidRPr="00B35A0B">
        <w:rPr>
          <w:rFonts w:cs="Arial"/>
          <w:bCs/>
          <w:sz w:val="22"/>
          <w:szCs w:val="22"/>
        </w:rPr>
        <w:t>.“</w:t>
      </w:r>
      <w:r w:rsidR="00FA7426" w:rsidRPr="00B35A0B">
        <w:rPr>
          <w:rStyle w:val="FootnoteReference"/>
          <w:rFonts w:cs="Arial"/>
          <w:bCs/>
          <w:sz w:val="22"/>
          <w:szCs w:val="22"/>
        </w:rPr>
        <w:footnoteReference w:id="4"/>
      </w:r>
      <w:r w:rsidR="000E2B83" w:rsidRPr="00B35A0B">
        <w:rPr>
          <w:rFonts w:cs="Arial"/>
          <w:bCs/>
          <w:sz w:val="22"/>
          <w:szCs w:val="22"/>
        </w:rPr>
        <w:t xml:space="preserve"> </w:t>
      </w:r>
      <w:r w:rsidR="004D7961" w:rsidRPr="00B35A0B">
        <w:rPr>
          <w:rFonts w:cs="Arial"/>
          <w:bCs/>
          <w:sz w:val="22"/>
          <w:szCs w:val="22"/>
        </w:rPr>
        <w:t>An adjudicator is empowered with a wide mandate</w:t>
      </w:r>
      <w:r w:rsidR="00F71FCB" w:rsidRPr="00B35A0B">
        <w:rPr>
          <w:rFonts w:cs="Arial"/>
          <w:bCs/>
          <w:sz w:val="22"/>
          <w:szCs w:val="22"/>
        </w:rPr>
        <w:t xml:space="preserve"> and obliged</w:t>
      </w:r>
      <w:r w:rsidR="004D7961" w:rsidRPr="00B35A0B">
        <w:rPr>
          <w:rFonts w:cs="Arial"/>
          <w:bCs/>
          <w:sz w:val="22"/>
          <w:szCs w:val="22"/>
        </w:rPr>
        <w:t xml:space="preserve"> to consider all relevant evidence.</w:t>
      </w:r>
      <w:r w:rsidR="004D7961" w:rsidRPr="00B35A0B">
        <w:rPr>
          <w:rStyle w:val="FootnoteReference"/>
          <w:rFonts w:cs="Arial"/>
          <w:bCs/>
          <w:sz w:val="22"/>
          <w:szCs w:val="22"/>
        </w:rPr>
        <w:footnoteReference w:id="5"/>
      </w:r>
    </w:p>
    <w:p w:rsidR="006C2652" w:rsidRPr="006C2652" w:rsidRDefault="00CA5BDF" w:rsidP="00CA5BDF">
      <w:pPr>
        <w:tabs>
          <w:tab w:val="left" w:pos="680"/>
        </w:tabs>
        <w:spacing w:before="360" w:after="360" w:line="480" w:lineRule="auto"/>
        <w:jc w:val="both"/>
        <w:rPr>
          <w:rFonts w:cs="Arial"/>
          <w:bCs/>
          <w:sz w:val="22"/>
          <w:szCs w:val="22"/>
        </w:rPr>
      </w:pPr>
      <w:r w:rsidRPr="006C2652">
        <w:rPr>
          <w:rFonts w:cs="Arial"/>
          <w:bCs/>
          <w:sz w:val="21"/>
          <w:szCs w:val="21"/>
        </w:rPr>
        <w:lastRenderedPageBreak/>
        <w:t>[17]</w:t>
      </w:r>
      <w:r w:rsidRPr="006C2652">
        <w:rPr>
          <w:rFonts w:cs="Arial"/>
          <w:bCs/>
          <w:sz w:val="21"/>
          <w:szCs w:val="21"/>
        </w:rPr>
        <w:tab/>
      </w:r>
      <w:r w:rsidR="006C2652">
        <w:rPr>
          <w:rFonts w:cs="Arial"/>
          <w:bCs/>
          <w:sz w:val="22"/>
          <w:szCs w:val="22"/>
        </w:rPr>
        <w:t>Notwithstanding the</w:t>
      </w:r>
      <w:r w:rsidR="00214893">
        <w:rPr>
          <w:rFonts w:cs="Arial"/>
          <w:bCs/>
          <w:sz w:val="22"/>
          <w:szCs w:val="22"/>
        </w:rPr>
        <w:t xml:space="preserve"> informal and</w:t>
      </w:r>
      <w:r w:rsidR="006C2652">
        <w:rPr>
          <w:rFonts w:cs="Arial"/>
          <w:bCs/>
          <w:sz w:val="22"/>
          <w:szCs w:val="22"/>
        </w:rPr>
        <w:t xml:space="preserve"> inquisitorial nature of the </w:t>
      </w:r>
      <w:r w:rsidR="00CB4588">
        <w:rPr>
          <w:rFonts w:cs="Arial"/>
          <w:bCs/>
          <w:sz w:val="22"/>
          <w:szCs w:val="22"/>
        </w:rPr>
        <w:t xml:space="preserve">adjudication </w:t>
      </w:r>
      <w:r w:rsidR="006C2652">
        <w:rPr>
          <w:rFonts w:cs="Arial"/>
          <w:bCs/>
          <w:sz w:val="22"/>
          <w:szCs w:val="22"/>
        </w:rPr>
        <w:t>proce</w:t>
      </w:r>
      <w:r w:rsidR="00CB4588">
        <w:rPr>
          <w:rFonts w:cs="Arial"/>
          <w:bCs/>
          <w:sz w:val="22"/>
          <w:szCs w:val="22"/>
        </w:rPr>
        <w:t>ss,</w:t>
      </w:r>
      <w:r w:rsidR="004D7961">
        <w:rPr>
          <w:rFonts w:cs="Arial"/>
          <w:bCs/>
          <w:sz w:val="22"/>
          <w:szCs w:val="22"/>
        </w:rPr>
        <w:t xml:space="preserve"> </w:t>
      </w:r>
      <w:r w:rsidR="006C2652">
        <w:rPr>
          <w:rFonts w:cs="Arial"/>
          <w:bCs/>
          <w:sz w:val="22"/>
          <w:szCs w:val="22"/>
        </w:rPr>
        <w:t xml:space="preserve">the nature and ambit of the </w:t>
      </w:r>
      <w:r w:rsidR="006E2848">
        <w:rPr>
          <w:rFonts w:cs="Arial"/>
          <w:bCs/>
          <w:sz w:val="22"/>
          <w:szCs w:val="22"/>
        </w:rPr>
        <w:t xml:space="preserve">parties’ </w:t>
      </w:r>
      <w:r w:rsidR="006C2652">
        <w:rPr>
          <w:rFonts w:cs="Arial"/>
          <w:bCs/>
          <w:sz w:val="22"/>
          <w:szCs w:val="22"/>
        </w:rPr>
        <w:t>dispute and the relief claimed must be defined with reasonable clarity.</w:t>
      </w:r>
      <w:r w:rsidR="006C2652">
        <w:rPr>
          <w:rStyle w:val="FootnoteReference"/>
          <w:rFonts w:cs="Arial"/>
          <w:bCs/>
          <w:sz w:val="22"/>
          <w:szCs w:val="22"/>
        </w:rPr>
        <w:footnoteReference w:id="6"/>
      </w:r>
    </w:p>
    <w:p w:rsidR="00FA7426" w:rsidRPr="00ED2774" w:rsidRDefault="00CA5BDF" w:rsidP="00CA5BDF">
      <w:pPr>
        <w:tabs>
          <w:tab w:val="left" w:pos="680"/>
        </w:tabs>
        <w:spacing w:before="360" w:after="360" w:line="480" w:lineRule="auto"/>
        <w:jc w:val="both"/>
        <w:rPr>
          <w:rFonts w:cs="Arial"/>
          <w:bCs/>
          <w:sz w:val="22"/>
          <w:szCs w:val="22"/>
        </w:rPr>
      </w:pPr>
      <w:r w:rsidRPr="00ED2774">
        <w:rPr>
          <w:rFonts w:cs="Arial"/>
          <w:bCs/>
          <w:sz w:val="21"/>
          <w:szCs w:val="21"/>
        </w:rPr>
        <w:t>[18]</w:t>
      </w:r>
      <w:r w:rsidRPr="00ED2774">
        <w:rPr>
          <w:rFonts w:cs="Arial"/>
          <w:bCs/>
          <w:sz w:val="21"/>
          <w:szCs w:val="21"/>
        </w:rPr>
        <w:tab/>
      </w:r>
      <w:r w:rsidR="00FA7426" w:rsidRPr="00ED2774">
        <w:rPr>
          <w:rFonts w:cs="Arial"/>
          <w:bCs/>
          <w:sz w:val="22"/>
          <w:szCs w:val="22"/>
        </w:rPr>
        <w:t>The Adjudicator determined the issues</w:t>
      </w:r>
      <w:r w:rsidR="00CB3648">
        <w:rPr>
          <w:rFonts w:cs="Arial"/>
          <w:bCs/>
          <w:sz w:val="22"/>
          <w:szCs w:val="22"/>
        </w:rPr>
        <w:t xml:space="preserve"> in this matter</w:t>
      </w:r>
      <w:r w:rsidR="00FA7426" w:rsidRPr="00ED2774">
        <w:rPr>
          <w:rFonts w:cs="Arial"/>
          <w:bCs/>
          <w:sz w:val="22"/>
          <w:szCs w:val="22"/>
        </w:rPr>
        <w:t xml:space="preserve"> </w:t>
      </w:r>
      <w:r w:rsidR="00F72289">
        <w:rPr>
          <w:rFonts w:cs="Arial"/>
          <w:bCs/>
          <w:sz w:val="22"/>
          <w:szCs w:val="22"/>
        </w:rPr>
        <w:t>with</w:t>
      </w:r>
      <w:r w:rsidR="00ED2774">
        <w:rPr>
          <w:rFonts w:cs="Arial"/>
          <w:bCs/>
          <w:sz w:val="22"/>
          <w:szCs w:val="22"/>
        </w:rPr>
        <w:t xml:space="preserve"> reference to the </w:t>
      </w:r>
      <w:r w:rsidR="00ED2774" w:rsidRPr="004D7961">
        <w:rPr>
          <w:rFonts w:cs="Arial"/>
          <w:bCs/>
          <w:sz w:val="22"/>
          <w:szCs w:val="22"/>
        </w:rPr>
        <w:t xml:space="preserve">parties’ </w:t>
      </w:r>
      <w:r w:rsidR="004D7961" w:rsidRPr="004D7961">
        <w:rPr>
          <w:rFonts w:cs="Arial"/>
          <w:bCs/>
          <w:sz w:val="22"/>
          <w:szCs w:val="22"/>
        </w:rPr>
        <w:t>application</w:t>
      </w:r>
      <w:r w:rsidR="00CB3648">
        <w:rPr>
          <w:rFonts w:cs="Arial"/>
          <w:bCs/>
          <w:sz w:val="22"/>
          <w:szCs w:val="22"/>
        </w:rPr>
        <w:t xml:space="preserve"> and</w:t>
      </w:r>
      <w:r w:rsidR="00ED2774">
        <w:rPr>
          <w:rFonts w:cs="Arial"/>
          <w:bCs/>
          <w:sz w:val="22"/>
          <w:szCs w:val="22"/>
        </w:rPr>
        <w:t xml:space="preserve"> </w:t>
      </w:r>
      <w:r w:rsidR="00FA7426" w:rsidRPr="00ED2774">
        <w:rPr>
          <w:rFonts w:cs="Arial"/>
          <w:bCs/>
          <w:sz w:val="22"/>
          <w:szCs w:val="22"/>
        </w:rPr>
        <w:t xml:space="preserve">without hearing evidence or oral submissions from the parties. </w:t>
      </w:r>
    </w:p>
    <w:p w:rsidR="0049076A" w:rsidRDefault="00CA5BDF" w:rsidP="00CA5BDF">
      <w:pPr>
        <w:tabs>
          <w:tab w:val="left" w:pos="680"/>
        </w:tabs>
        <w:spacing w:before="360" w:after="360" w:line="480" w:lineRule="auto"/>
        <w:jc w:val="both"/>
        <w:rPr>
          <w:rFonts w:cs="Arial"/>
          <w:bCs/>
          <w:sz w:val="22"/>
          <w:szCs w:val="22"/>
        </w:rPr>
      </w:pPr>
      <w:r>
        <w:rPr>
          <w:rFonts w:cs="Arial"/>
          <w:bCs/>
          <w:sz w:val="21"/>
          <w:szCs w:val="21"/>
        </w:rPr>
        <w:t>[19]</w:t>
      </w:r>
      <w:r>
        <w:rPr>
          <w:rFonts w:cs="Arial"/>
          <w:bCs/>
          <w:sz w:val="21"/>
          <w:szCs w:val="21"/>
        </w:rPr>
        <w:tab/>
      </w:r>
      <w:r w:rsidR="0049076A">
        <w:rPr>
          <w:rFonts w:cs="Arial"/>
          <w:bCs/>
          <w:sz w:val="22"/>
          <w:szCs w:val="22"/>
        </w:rPr>
        <w:t>The</w:t>
      </w:r>
      <w:r w:rsidR="00ED2774">
        <w:rPr>
          <w:rFonts w:cs="Arial"/>
          <w:bCs/>
          <w:sz w:val="22"/>
          <w:szCs w:val="22"/>
        </w:rPr>
        <w:t xml:space="preserve"> Adjudicator</w:t>
      </w:r>
      <w:r w:rsidR="004D7961">
        <w:rPr>
          <w:rFonts w:cs="Arial"/>
          <w:bCs/>
          <w:sz w:val="22"/>
          <w:szCs w:val="22"/>
        </w:rPr>
        <w:t xml:space="preserve"> concluded that</w:t>
      </w:r>
      <w:r w:rsidR="0049076A">
        <w:rPr>
          <w:rFonts w:cs="Arial"/>
          <w:bCs/>
          <w:sz w:val="22"/>
          <w:szCs w:val="22"/>
        </w:rPr>
        <w:t>:</w:t>
      </w:r>
    </w:p>
    <w:p w:rsidR="0049076A" w:rsidRPr="00A61F54" w:rsidRDefault="0049076A" w:rsidP="0049076A">
      <w:pPr>
        <w:spacing w:before="360" w:after="360"/>
        <w:jc w:val="both"/>
        <w:rPr>
          <w:rFonts w:cs="Arial"/>
          <w:bCs/>
          <w:sz w:val="20"/>
          <w:szCs w:val="22"/>
        </w:rPr>
      </w:pPr>
      <w:r w:rsidRPr="00A61F54">
        <w:rPr>
          <w:rFonts w:cs="Arial"/>
          <w:bCs/>
          <w:sz w:val="20"/>
          <w:szCs w:val="22"/>
        </w:rPr>
        <w:t>“</w:t>
      </w:r>
      <w:r w:rsidR="000C5C8E">
        <w:rPr>
          <w:rFonts w:cs="Arial"/>
          <w:bCs/>
          <w:sz w:val="20"/>
          <w:szCs w:val="22"/>
        </w:rPr>
        <w:t>(By</w:t>
      </w:r>
      <w:r w:rsidR="00152DDF" w:rsidRPr="00A61F54">
        <w:rPr>
          <w:rFonts w:cs="Arial"/>
          <w:bCs/>
          <w:sz w:val="20"/>
          <w:szCs w:val="22"/>
        </w:rPr>
        <w:t xml:space="preserve"> adopting the security protocol) (t)</w:t>
      </w:r>
      <w:r w:rsidRPr="00A61F54">
        <w:rPr>
          <w:rFonts w:cs="Arial"/>
          <w:bCs/>
          <w:sz w:val="20"/>
          <w:szCs w:val="22"/>
        </w:rPr>
        <w:t xml:space="preserve">here was thus no amendment to the conduct rules. The </w:t>
      </w:r>
      <w:r w:rsidR="00FA7426" w:rsidRPr="00A61F54">
        <w:rPr>
          <w:rFonts w:cs="Arial"/>
          <w:bCs/>
          <w:sz w:val="20"/>
          <w:szCs w:val="22"/>
        </w:rPr>
        <w:t xml:space="preserve">(security protocol) </w:t>
      </w:r>
      <w:r w:rsidRPr="00A61F54">
        <w:rPr>
          <w:rFonts w:cs="Arial"/>
          <w:bCs/>
          <w:sz w:val="20"/>
          <w:szCs w:val="22"/>
        </w:rPr>
        <w:t>measures were adopted by the Trustees and by the owners at a special general meeting. The Respondents were merely adopting security measures in accordance with</w:t>
      </w:r>
      <w:r w:rsidRPr="0049076A">
        <w:rPr>
          <w:rFonts w:cs="Arial"/>
          <w:bCs/>
          <w:sz w:val="20"/>
          <w:szCs w:val="22"/>
        </w:rPr>
        <w:t xml:space="preserve"> section 9 of its rules. Since it was not an amendment to the conduct rules there was no need for it to be approved by CSOS.</w:t>
      </w:r>
    </w:p>
    <w:p w:rsidR="00152DDF" w:rsidRPr="00B35A0B" w:rsidRDefault="00CA5BDF" w:rsidP="00CA5BDF">
      <w:pPr>
        <w:tabs>
          <w:tab w:val="left" w:pos="680"/>
        </w:tabs>
        <w:spacing w:before="360" w:after="360" w:line="480" w:lineRule="auto"/>
        <w:jc w:val="both"/>
        <w:rPr>
          <w:rFonts w:cs="Arial"/>
          <w:bCs/>
          <w:sz w:val="22"/>
          <w:szCs w:val="22"/>
        </w:rPr>
      </w:pPr>
      <w:r w:rsidRPr="00B35A0B">
        <w:rPr>
          <w:rFonts w:cs="Arial"/>
          <w:bCs/>
          <w:sz w:val="21"/>
          <w:szCs w:val="21"/>
        </w:rPr>
        <w:t>[20]</w:t>
      </w:r>
      <w:r w:rsidRPr="00B35A0B">
        <w:rPr>
          <w:rFonts w:cs="Arial"/>
          <w:bCs/>
          <w:sz w:val="21"/>
          <w:szCs w:val="21"/>
        </w:rPr>
        <w:tab/>
      </w:r>
      <w:r w:rsidR="0049076A" w:rsidRPr="00B35A0B">
        <w:rPr>
          <w:rFonts w:cs="Arial"/>
          <w:bCs/>
          <w:sz w:val="22"/>
          <w:szCs w:val="22"/>
        </w:rPr>
        <w:t>Accordingly, the</w:t>
      </w:r>
      <w:r w:rsidR="00152DDF" w:rsidRPr="00B35A0B">
        <w:rPr>
          <w:rFonts w:cs="Arial"/>
          <w:bCs/>
          <w:sz w:val="22"/>
          <w:szCs w:val="22"/>
        </w:rPr>
        <w:t xml:space="preserve"> Adjudicator dismis</w:t>
      </w:r>
      <w:r w:rsidR="00F72289" w:rsidRPr="00B35A0B">
        <w:rPr>
          <w:rFonts w:cs="Arial"/>
          <w:bCs/>
          <w:sz w:val="22"/>
          <w:szCs w:val="22"/>
        </w:rPr>
        <w:t>sed the appellant’s application. The Adjudicator did not grant</w:t>
      </w:r>
      <w:r w:rsidR="00152DDF" w:rsidRPr="00B35A0B">
        <w:rPr>
          <w:rFonts w:cs="Arial"/>
          <w:bCs/>
          <w:sz w:val="22"/>
          <w:szCs w:val="22"/>
        </w:rPr>
        <w:t xml:space="preserve"> a costs order as the respondents acted ‘’within the law.”</w:t>
      </w:r>
    </w:p>
    <w:p w:rsidR="0036625E" w:rsidRDefault="00CA5BDF" w:rsidP="00CA5BDF">
      <w:pPr>
        <w:tabs>
          <w:tab w:val="left" w:pos="680"/>
        </w:tabs>
        <w:spacing w:before="360" w:after="360" w:line="480" w:lineRule="auto"/>
        <w:jc w:val="both"/>
        <w:rPr>
          <w:rFonts w:cs="Arial"/>
          <w:bCs/>
          <w:sz w:val="22"/>
          <w:szCs w:val="22"/>
        </w:rPr>
      </w:pPr>
      <w:r>
        <w:rPr>
          <w:rFonts w:cs="Arial"/>
          <w:bCs/>
          <w:sz w:val="21"/>
          <w:szCs w:val="21"/>
        </w:rPr>
        <w:t>[21]</w:t>
      </w:r>
      <w:r>
        <w:rPr>
          <w:rFonts w:cs="Arial"/>
          <w:bCs/>
          <w:sz w:val="21"/>
          <w:szCs w:val="21"/>
        </w:rPr>
        <w:tab/>
      </w:r>
      <w:r w:rsidR="005E4E9F">
        <w:rPr>
          <w:rFonts w:cs="Arial"/>
          <w:bCs/>
          <w:sz w:val="22"/>
          <w:szCs w:val="22"/>
        </w:rPr>
        <w:t>The</w:t>
      </w:r>
      <w:r w:rsidR="00A61F54">
        <w:rPr>
          <w:rFonts w:cs="Arial"/>
          <w:bCs/>
          <w:sz w:val="22"/>
          <w:szCs w:val="22"/>
        </w:rPr>
        <w:t xml:space="preserve"> security protocol </w:t>
      </w:r>
      <w:r w:rsidR="00F54313">
        <w:rPr>
          <w:rFonts w:cs="Arial"/>
          <w:bCs/>
          <w:sz w:val="22"/>
          <w:szCs w:val="22"/>
        </w:rPr>
        <w:t>provides as follows:</w:t>
      </w:r>
    </w:p>
    <w:p w:rsidR="00870BA8" w:rsidRPr="00A61F54" w:rsidRDefault="00F54313" w:rsidP="00A61F54">
      <w:pPr>
        <w:spacing w:before="360" w:after="360"/>
        <w:jc w:val="both"/>
        <w:rPr>
          <w:rFonts w:cs="Arial"/>
          <w:bCs/>
          <w:sz w:val="20"/>
          <w:szCs w:val="22"/>
        </w:rPr>
      </w:pPr>
      <w:r w:rsidRPr="00F54313">
        <w:rPr>
          <w:rFonts w:cs="Arial"/>
          <w:bCs/>
          <w:sz w:val="20"/>
          <w:szCs w:val="22"/>
        </w:rPr>
        <w:t xml:space="preserve">“All delivery personnel </w:t>
      </w:r>
      <w:r>
        <w:rPr>
          <w:rFonts w:cs="Arial"/>
          <w:bCs/>
          <w:sz w:val="20"/>
          <w:szCs w:val="22"/>
        </w:rPr>
        <w:t>are to report to the guard on duty via the intercom system. The guard on duty will then endeavour to contact the relevant resident by telephone to meet the delivery personnel at the gate to collect the package. If the package is of such a nature that it may not reasonably be collected at the gate by the resident and requires delivery to the resident’s unit by the delivery personnel, the delivery personnel will only be granted access to the complex if accompanied by the relevant resident. This will require that the relevant resident meet the delivery personnel at the gate and escort him/her to the resident’s unit. The resident is then responsible to escort the delivery personnel back to the gate once the package has been delivered to his/her unit.”</w:t>
      </w:r>
    </w:p>
    <w:p w:rsidR="00F54313" w:rsidRDefault="00CA5BDF" w:rsidP="00CA5BDF">
      <w:pPr>
        <w:tabs>
          <w:tab w:val="left" w:pos="680"/>
        </w:tabs>
        <w:spacing w:before="360" w:after="360" w:line="480" w:lineRule="auto"/>
        <w:jc w:val="both"/>
        <w:rPr>
          <w:rFonts w:cs="Arial"/>
          <w:bCs/>
          <w:sz w:val="22"/>
          <w:szCs w:val="22"/>
        </w:rPr>
      </w:pPr>
      <w:r>
        <w:rPr>
          <w:rFonts w:cs="Arial"/>
          <w:bCs/>
          <w:sz w:val="21"/>
          <w:szCs w:val="21"/>
        </w:rPr>
        <w:t>[22]</w:t>
      </w:r>
      <w:r>
        <w:rPr>
          <w:rFonts w:cs="Arial"/>
          <w:bCs/>
          <w:sz w:val="21"/>
          <w:szCs w:val="21"/>
        </w:rPr>
        <w:tab/>
      </w:r>
      <w:r w:rsidR="00A67805">
        <w:rPr>
          <w:rFonts w:cs="Arial"/>
          <w:bCs/>
          <w:sz w:val="22"/>
          <w:szCs w:val="22"/>
        </w:rPr>
        <w:t>T</w:t>
      </w:r>
      <w:r w:rsidR="00A61F54">
        <w:rPr>
          <w:rFonts w:cs="Arial"/>
          <w:bCs/>
          <w:sz w:val="22"/>
          <w:szCs w:val="22"/>
        </w:rPr>
        <w:t xml:space="preserve">he Trustees and subsequently the Body Corporate </w:t>
      </w:r>
      <w:r w:rsidR="006E1102">
        <w:rPr>
          <w:rFonts w:cs="Arial"/>
          <w:bCs/>
          <w:sz w:val="22"/>
          <w:szCs w:val="22"/>
        </w:rPr>
        <w:t xml:space="preserve">adopted </w:t>
      </w:r>
      <w:r w:rsidR="0044343A">
        <w:rPr>
          <w:rFonts w:cs="Arial"/>
          <w:bCs/>
          <w:sz w:val="22"/>
          <w:szCs w:val="22"/>
        </w:rPr>
        <w:t xml:space="preserve">and implemented </w:t>
      </w:r>
      <w:r w:rsidR="00A67805">
        <w:rPr>
          <w:rFonts w:cs="Arial"/>
          <w:bCs/>
          <w:sz w:val="22"/>
          <w:szCs w:val="22"/>
        </w:rPr>
        <w:t xml:space="preserve">the security protocol in terms of rule 9(e) of </w:t>
      </w:r>
      <w:r w:rsidR="00C145A9">
        <w:rPr>
          <w:rFonts w:cs="Arial"/>
          <w:bCs/>
          <w:sz w:val="22"/>
          <w:szCs w:val="22"/>
        </w:rPr>
        <w:t>“The Melville House Rules 2011”</w:t>
      </w:r>
      <w:r w:rsidR="00C145A9">
        <w:rPr>
          <w:rStyle w:val="FootnoteReference"/>
          <w:rFonts w:cs="Arial"/>
          <w:bCs/>
          <w:sz w:val="22"/>
          <w:szCs w:val="22"/>
        </w:rPr>
        <w:footnoteReference w:id="7"/>
      </w:r>
      <w:r w:rsidR="00C145A9">
        <w:rPr>
          <w:rFonts w:cs="Arial"/>
          <w:bCs/>
          <w:sz w:val="22"/>
          <w:szCs w:val="22"/>
        </w:rPr>
        <w:t xml:space="preserve"> (‘the Melville rules’). Rule 9(e) provides</w:t>
      </w:r>
      <w:r w:rsidR="006E1102">
        <w:rPr>
          <w:rFonts w:cs="Arial"/>
          <w:bCs/>
          <w:sz w:val="22"/>
          <w:szCs w:val="22"/>
        </w:rPr>
        <w:t xml:space="preserve"> the following: </w:t>
      </w:r>
    </w:p>
    <w:p w:rsidR="00F54313" w:rsidRPr="00F54313" w:rsidRDefault="00F54313" w:rsidP="00F54313">
      <w:pPr>
        <w:spacing w:before="360" w:after="360"/>
        <w:jc w:val="both"/>
        <w:rPr>
          <w:rFonts w:cs="Arial"/>
          <w:bCs/>
          <w:sz w:val="20"/>
          <w:szCs w:val="22"/>
        </w:rPr>
      </w:pPr>
      <w:r w:rsidRPr="00F54313">
        <w:rPr>
          <w:rFonts w:cs="Arial"/>
          <w:bCs/>
          <w:sz w:val="20"/>
          <w:szCs w:val="22"/>
        </w:rPr>
        <w:lastRenderedPageBreak/>
        <w:t>“All security procedures, which may be instituted from time to time</w:t>
      </w:r>
      <w:r w:rsidR="006E1102">
        <w:rPr>
          <w:rFonts w:cs="Arial"/>
          <w:bCs/>
          <w:sz w:val="20"/>
          <w:szCs w:val="22"/>
        </w:rPr>
        <w:t>,</w:t>
      </w:r>
      <w:r w:rsidRPr="00F54313">
        <w:rPr>
          <w:rFonts w:cs="Arial"/>
          <w:bCs/>
          <w:sz w:val="20"/>
          <w:szCs w:val="22"/>
        </w:rPr>
        <w:t xml:space="preserve"> including any operating procedures agreed to between the Body Corporate and any security company charged with rendering security services at the complex shall be abided by.”</w:t>
      </w:r>
      <w:r w:rsidR="000C7288">
        <w:rPr>
          <w:rStyle w:val="FootnoteReference"/>
          <w:rFonts w:cs="Arial"/>
          <w:bCs/>
          <w:sz w:val="20"/>
          <w:szCs w:val="22"/>
        </w:rPr>
        <w:footnoteReference w:id="8"/>
      </w:r>
    </w:p>
    <w:p w:rsidR="00926026" w:rsidRPr="00B35A0B" w:rsidRDefault="00CA5BDF" w:rsidP="00CA5BDF">
      <w:pPr>
        <w:tabs>
          <w:tab w:val="left" w:pos="680"/>
        </w:tabs>
        <w:spacing w:before="360" w:after="360" w:line="480" w:lineRule="auto"/>
        <w:jc w:val="both"/>
        <w:rPr>
          <w:rFonts w:cs="Arial"/>
          <w:bCs/>
          <w:sz w:val="22"/>
          <w:szCs w:val="22"/>
        </w:rPr>
      </w:pPr>
      <w:r w:rsidRPr="00B35A0B">
        <w:rPr>
          <w:rFonts w:cs="Arial"/>
          <w:bCs/>
          <w:sz w:val="21"/>
          <w:szCs w:val="21"/>
        </w:rPr>
        <w:t>[23]</w:t>
      </w:r>
      <w:r w:rsidRPr="00B35A0B">
        <w:rPr>
          <w:rFonts w:cs="Arial"/>
          <w:bCs/>
          <w:sz w:val="21"/>
          <w:szCs w:val="21"/>
        </w:rPr>
        <w:tab/>
      </w:r>
      <w:r w:rsidR="00926026" w:rsidRPr="00B35A0B">
        <w:rPr>
          <w:rFonts w:cs="Arial"/>
          <w:bCs/>
          <w:sz w:val="22"/>
          <w:szCs w:val="22"/>
        </w:rPr>
        <w:t xml:space="preserve">The statutory rules governing sectional title schemes fall </w:t>
      </w:r>
      <w:r w:rsidR="00643282" w:rsidRPr="00B35A0B">
        <w:rPr>
          <w:rFonts w:cs="Arial"/>
          <w:bCs/>
          <w:sz w:val="22"/>
          <w:szCs w:val="22"/>
        </w:rPr>
        <w:t>in</w:t>
      </w:r>
      <w:r w:rsidR="00926026" w:rsidRPr="00B35A0B">
        <w:rPr>
          <w:rFonts w:cs="Arial"/>
          <w:bCs/>
          <w:sz w:val="22"/>
          <w:szCs w:val="22"/>
        </w:rPr>
        <w:t>to</w:t>
      </w:r>
      <w:r w:rsidR="00643282" w:rsidRPr="00B35A0B">
        <w:rPr>
          <w:rFonts w:cs="Arial"/>
          <w:bCs/>
          <w:sz w:val="22"/>
          <w:szCs w:val="22"/>
        </w:rPr>
        <w:t xml:space="preserve"> either man</w:t>
      </w:r>
      <w:r w:rsidR="00926026" w:rsidRPr="00B35A0B">
        <w:rPr>
          <w:rFonts w:cs="Arial"/>
          <w:bCs/>
          <w:sz w:val="22"/>
          <w:szCs w:val="22"/>
        </w:rPr>
        <w:t>agement rules or conduct rules.</w:t>
      </w:r>
      <w:r w:rsidR="00B74EBE" w:rsidRPr="00B35A0B">
        <w:rPr>
          <w:rStyle w:val="FootnoteReference"/>
          <w:rFonts w:cs="Arial"/>
          <w:bCs/>
          <w:sz w:val="22"/>
          <w:szCs w:val="22"/>
        </w:rPr>
        <w:footnoteReference w:id="9"/>
      </w:r>
      <w:r w:rsidR="00926026" w:rsidRPr="00B35A0B">
        <w:rPr>
          <w:rFonts w:cs="Arial"/>
          <w:bCs/>
          <w:sz w:val="22"/>
          <w:szCs w:val="22"/>
        </w:rPr>
        <w:t xml:space="preserve"> </w:t>
      </w:r>
      <w:r w:rsidR="00643282" w:rsidRPr="00B35A0B">
        <w:rPr>
          <w:rFonts w:cs="Arial"/>
          <w:bCs/>
          <w:sz w:val="22"/>
          <w:szCs w:val="22"/>
        </w:rPr>
        <w:t xml:space="preserve">The </w:t>
      </w:r>
      <w:r w:rsidR="00926026" w:rsidRPr="00B35A0B">
        <w:rPr>
          <w:rFonts w:cs="Arial"/>
          <w:bCs/>
          <w:sz w:val="22"/>
          <w:szCs w:val="22"/>
        </w:rPr>
        <w:t xml:space="preserve">purpose, </w:t>
      </w:r>
      <w:r w:rsidR="00643282" w:rsidRPr="00B35A0B">
        <w:rPr>
          <w:rFonts w:cs="Arial"/>
          <w:bCs/>
          <w:sz w:val="22"/>
          <w:szCs w:val="22"/>
        </w:rPr>
        <w:t xml:space="preserve">nature and scope of </w:t>
      </w:r>
      <w:r w:rsidR="00B74EBE" w:rsidRPr="00B35A0B">
        <w:rPr>
          <w:rFonts w:cs="Arial"/>
          <w:bCs/>
          <w:sz w:val="22"/>
          <w:szCs w:val="22"/>
        </w:rPr>
        <w:t xml:space="preserve">the </w:t>
      </w:r>
      <w:r w:rsidR="00643282" w:rsidRPr="00B35A0B">
        <w:rPr>
          <w:rFonts w:cs="Arial"/>
          <w:bCs/>
          <w:sz w:val="22"/>
          <w:szCs w:val="22"/>
        </w:rPr>
        <w:t xml:space="preserve">conduct rules can be gleaned from the </w:t>
      </w:r>
      <w:r w:rsidR="00926026" w:rsidRPr="00B35A0B">
        <w:rPr>
          <w:rFonts w:cs="Arial"/>
          <w:bCs/>
          <w:sz w:val="22"/>
          <w:szCs w:val="22"/>
        </w:rPr>
        <w:t xml:space="preserve">statutorily </w:t>
      </w:r>
      <w:r w:rsidR="00643282" w:rsidRPr="00B35A0B">
        <w:rPr>
          <w:rFonts w:cs="Arial"/>
          <w:bCs/>
          <w:sz w:val="22"/>
          <w:szCs w:val="22"/>
        </w:rPr>
        <w:t>prescribed c</w:t>
      </w:r>
      <w:r w:rsidR="00926026" w:rsidRPr="00B35A0B">
        <w:rPr>
          <w:rFonts w:cs="Arial"/>
          <w:bCs/>
          <w:sz w:val="22"/>
          <w:szCs w:val="22"/>
        </w:rPr>
        <w:t>onduct rules</w:t>
      </w:r>
      <w:r w:rsidR="008E0A7E" w:rsidRPr="00B35A0B">
        <w:rPr>
          <w:rFonts w:cs="Arial"/>
          <w:bCs/>
          <w:sz w:val="22"/>
          <w:szCs w:val="22"/>
        </w:rPr>
        <w:t>,</w:t>
      </w:r>
      <w:r w:rsidR="00B74EBE" w:rsidRPr="00B35A0B">
        <w:rPr>
          <w:rStyle w:val="FootnoteReference"/>
          <w:rFonts w:cs="Arial"/>
          <w:b/>
          <w:bCs/>
          <w:sz w:val="22"/>
          <w:szCs w:val="22"/>
        </w:rPr>
        <w:footnoteReference w:id="10"/>
      </w:r>
      <w:r w:rsidR="008E0A7E" w:rsidRPr="00B35A0B">
        <w:rPr>
          <w:rFonts w:cs="Arial"/>
          <w:bCs/>
          <w:sz w:val="22"/>
          <w:szCs w:val="22"/>
        </w:rPr>
        <w:t xml:space="preserve"> which </w:t>
      </w:r>
      <w:r w:rsidR="00643282" w:rsidRPr="00B35A0B">
        <w:rPr>
          <w:rFonts w:cs="Arial"/>
          <w:bCs/>
          <w:sz w:val="22"/>
          <w:szCs w:val="22"/>
        </w:rPr>
        <w:t>serve to regulate</w:t>
      </w:r>
      <w:r w:rsidR="00B74EBE" w:rsidRPr="00B35A0B">
        <w:rPr>
          <w:rFonts w:cs="Arial"/>
          <w:bCs/>
          <w:sz w:val="22"/>
          <w:szCs w:val="22"/>
        </w:rPr>
        <w:t xml:space="preserve"> the conduct of the occupiers of</w:t>
      </w:r>
      <w:r w:rsidR="00643282" w:rsidRPr="00B35A0B">
        <w:rPr>
          <w:rFonts w:cs="Arial"/>
          <w:bCs/>
          <w:sz w:val="22"/>
          <w:szCs w:val="22"/>
        </w:rPr>
        <w:t xml:space="preserve"> the </w:t>
      </w:r>
      <w:r w:rsidR="00926026" w:rsidRPr="00B35A0B">
        <w:rPr>
          <w:rFonts w:cs="Arial"/>
          <w:bCs/>
          <w:sz w:val="22"/>
          <w:szCs w:val="22"/>
        </w:rPr>
        <w:t xml:space="preserve">relevant </w:t>
      </w:r>
      <w:r w:rsidR="00643282" w:rsidRPr="00B35A0B">
        <w:rPr>
          <w:rFonts w:cs="Arial"/>
          <w:bCs/>
          <w:sz w:val="22"/>
          <w:szCs w:val="22"/>
        </w:rPr>
        <w:t xml:space="preserve">scheme. </w:t>
      </w:r>
    </w:p>
    <w:p w:rsidR="00926026" w:rsidRPr="00B35A0B" w:rsidRDefault="00CA5BDF" w:rsidP="00CA5BDF">
      <w:pPr>
        <w:tabs>
          <w:tab w:val="left" w:pos="680"/>
        </w:tabs>
        <w:spacing w:before="360" w:after="360" w:line="480" w:lineRule="auto"/>
        <w:jc w:val="both"/>
        <w:rPr>
          <w:rFonts w:cs="Arial"/>
          <w:bCs/>
          <w:sz w:val="22"/>
          <w:szCs w:val="22"/>
        </w:rPr>
      </w:pPr>
      <w:r w:rsidRPr="00B35A0B">
        <w:rPr>
          <w:rFonts w:cs="Arial"/>
          <w:bCs/>
          <w:sz w:val="21"/>
          <w:szCs w:val="21"/>
        </w:rPr>
        <w:t>[24]</w:t>
      </w:r>
      <w:r w:rsidRPr="00B35A0B">
        <w:rPr>
          <w:rFonts w:cs="Arial"/>
          <w:bCs/>
          <w:sz w:val="21"/>
          <w:szCs w:val="21"/>
        </w:rPr>
        <w:tab/>
      </w:r>
      <w:r w:rsidR="00274BCD" w:rsidRPr="00B35A0B">
        <w:rPr>
          <w:rFonts w:cs="Arial"/>
          <w:bCs/>
          <w:sz w:val="22"/>
          <w:szCs w:val="22"/>
        </w:rPr>
        <w:t>The Melville rules</w:t>
      </w:r>
      <w:r w:rsidR="00926026" w:rsidRPr="00B35A0B">
        <w:rPr>
          <w:rFonts w:cs="Arial"/>
          <w:bCs/>
          <w:sz w:val="22"/>
          <w:szCs w:val="22"/>
        </w:rPr>
        <w:t xml:space="preserve"> </w:t>
      </w:r>
      <w:r w:rsidR="00B74EBE" w:rsidRPr="00B35A0B">
        <w:rPr>
          <w:rFonts w:cs="Arial"/>
          <w:bCs/>
          <w:sz w:val="22"/>
          <w:szCs w:val="22"/>
        </w:rPr>
        <w:t xml:space="preserve">serve to </w:t>
      </w:r>
      <w:r w:rsidR="00926026" w:rsidRPr="00B35A0B">
        <w:rPr>
          <w:rFonts w:cs="Arial"/>
          <w:bCs/>
          <w:sz w:val="22"/>
          <w:szCs w:val="22"/>
        </w:rPr>
        <w:t>regulate the conduct of the occupiers of The Melville and are, in effect, conduct rules as envisag</w:t>
      </w:r>
      <w:r w:rsidR="004A4B0F">
        <w:rPr>
          <w:rFonts w:cs="Arial"/>
          <w:bCs/>
          <w:sz w:val="22"/>
          <w:szCs w:val="22"/>
        </w:rPr>
        <w:t xml:space="preserve">ed in s10 of the Management Act. The respondents </w:t>
      </w:r>
      <w:r w:rsidR="00274BCD" w:rsidRPr="00B35A0B">
        <w:rPr>
          <w:rFonts w:cs="Arial"/>
          <w:bCs/>
          <w:sz w:val="22"/>
          <w:szCs w:val="22"/>
        </w:rPr>
        <w:t xml:space="preserve">accepted </w:t>
      </w:r>
      <w:r w:rsidR="004A4B0F">
        <w:rPr>
          <w:rFonts w:cs="Arial"/>
          <w:bCs/>
          <w:sz w:val="22"/>
          <w:szCs w:val="22"/>
        </w:rPr>
        <w:t>that</w:t>
      </w:r>
      <w:r w:rsidR="004A4B0F" w:rsidRPr="004A4B0F">
        <w:rPr>
          <w:rFonts w:cs="Arial"/>
          <w:bCs/>
          <w:sz w:val="22"/>
          <w:szCs w:val="22"/>
        </w:rPr>
        <w:t xml:space="preserve"> </w:t>
      </w:r>
      <w:r w:rsidR="004A4B0F" w:rsidRPr="00B35A0B">
        <w:rPr>
          <w:rFonts w:cs="Arial"/>
          <w:bCs/>
          <w:sz w:val="22"/>
          <w:szCs w:val="22"/>
        </w:rPr>
        <w:t>The Melville rules</w:t>
      </w:r>
      <w:r w:rsidR="004A4B0F">
        <w:rPr>
          <w:rFonts w:cs="Arial"/>
          <w:bCs/>
          <w:sz w:val="22"/>
          <w:szCs w:val="22"/>
        </w:rPr>
        <w:t xml:space="preserve"> ae conduct rules.</w:t>
      </w:r>
    </w:p>
    <w:p w:rsidR="00A11FA8" w:rsidRPr="00B35A0B" w:rsidRDefault="00CA5BDF" w:rsidP="00CA5BDF">
      <w:pPr>
        <w:tabs>
          <w:tab w:val="left" w:pos="680"/>
        </w:tabs>
        <w:spacing w:before="360" w:after="360" w:line="480" w:lineRule="auto"/>
        <w:jc w:val="both"/>
        <w:rPr>
          <w:rFonts w:cs="Arial"/>
          <w:bCs/>
          <w:sz w:val="22"/>
          <w:szCs w:val="22"/>
        </w:rPr>
      </w:pPr>
      <w:r w:rsidRPr="00B35A0B">
        <w:rPr>
          <w:rFonts w:cs="Arial"/>
          <w:bCs/>
          <w:sz w:val="21"/>
          <w:szCs w:val="21"/>
        </w:rPr>
        <w:t>[25]</w:t>
      </w:r>
      <w:r w:rsidRPr="00B35A0B">
        <w:rPr>
          <w:rFonts w:cs="Arial"/>
          <w:bCs/>
          <w:sz w:val="21"/>
          <w:szCs w:val="21"/>
        </w:rPr>
        <w:tab/>
      </w:r>
      <w:r w:rsidR="00643282" w:rsidRPr="00B35A0B">
        <w:rPr>
          <w:rFonts w:cs="Arial"/>
          <w:bCs/>
          <w:sz w:val="22"/>
          <w:szCs w:val="22"/>
        </w:rPr>
        <w:t xml:space="preserve">The appellant </w:t>
      </w:r>
      <w:r w:rsidR="00A11FA8" w:rsidRPr="00B35A0B">
        <w:rPr>
          <w:rFonts w:cs="Arial"/>
          <w:bCs/>
          <w:sz w:val="22"/>
          <w:szCs w:val="22"/>
        </w:rPr>
        <w:t xml:space="preserve">contended that </w:t>
      </w:r>
      <w:r w:rsidR="00B74EBE" w:rsidRPr="00B35A0B">
        <w:rPr>
          <w:rFonts w:cs="Arial"/>
          <w:bCs/>
          <w:sz w:val="22"/>
          <w:szCs w:val="22"/>
        </w:rPr>
        <w:t>the security protocol re</w:t>
      </w:r>
      <w:r w:rsidR="00643282" w:rsidRPr="00B35A0B">
        <w:rPr>
          <w:rFonts w:cs="Arial"/>
          <w:bCs/>
          <w:sz w:val="22"/>
          <w:szCs w:val="22"/>
        </w:rPr>
        <w:t>gulat</w:t>
      </w:r>
      <w:r w:rsidR="00B74EBE" w:rsidRPr="00B35A0B">
        <w:rPr>
          <w:rFonts w:cs="Arial"/>
          <w:bCs/>
          <w:sz w:val="22"/>
          <w:szCs w:val="22"/>
        </w:rPr>
        <w:t xml:space="preserve">ed </w:t>
      </w:r>
      <w:r w:rsidR="00643282" w:rsidRPr="00B35A0B">
        <w:rPr>
          <w:rFonts w:cs="Arial"/>
          <w:bCs/>
          <w:sz w:val="22"/>
          <w:szCs w:val="22"/>
        </w:rPr>
        <w:t>th</w:t>
      </w:r>
      <w:r w:rsidR="00B74EBE" w:rsidRPr="00B35A0B">
        <w:rPr>
          <w:rFonts w:cs="Arial"/>
          <w:bCs/>
          <w:sz w:val="22"/>
          <w:szCs w:val="22"/>
        </w:rPr>
        <w:t>e method and manner of occupiers receiving</w:t>
      </w:r>
      <w:r w:rsidR="00643282" w:rsidRPr="00B35A0B">
        <w:rPr>
          <w:rFonts w:cs="Arial"/>
          <w:bCs/>
          <w:sz w:val="22"/>
          <w:szCs w:val="22"/>
        </w:rPr>
        <w:t xml:space="preserve"> deliveries </w:t>
      </w:r>
      <w:r w:rsidR="00B74EBE" w:rsidRPr="00B35A0B">
        <w:rPr>
          <w:rFonts w:cs="Arial"/>
          <w:bCs/>
          <w:sz w:val="22"/>
          <w:szCs w:val="22"/>
        </w:rPr>
        <w:t>at The M</w:t>
      </w:r>
      <w:r w:rsidR="00A11FA8" w:rsidRPr="00B35A0B">
        <w:rPr>
          <w:rFonts w:cs="Arial"/>
          <w:bCs/>
          <w:sz w:val="22"/>
          <w:szCs w:val="22"/>
        </w:rPr>
        <w:t>elville. The security protocol requires</w:t>
      </w:r>
      <w:r w:rsidR="00B74EBE" w:rsidRPr="00B35A0B">
        <w:rPr>
          <w:rFonts w:cs="Arial"/>
          <w:bCs/>
          <w:sz w:val="22"/>
          <w:szCs w:val="22"/>
        </w:rPr>
        <w:t xml:space="preserve"> </w:t>
      </w:r>
      <w:r w:rsidR="00A11FA8" w:rsidRPr="00B35A0B">
        <w:rPr>
          <w:rFonts w:cs="Arial"/>
          <w:bCs/>
          <w:sz w:val="22"/>
          <w:szCs w:val="22"/>
        </w:rPr>
        <w:t xml:space="preserve">occupiers of The Melville </w:t>
      </w:r>
      <w:r w:rsidR="00B74EBE" w:rsidRPr="00B35A0B">
        <w:rPr>
          <w:rFonts w:cs="Arial"/>
          <w:bCs/>
          <w:sz w:val="22"/>
          <w:szCs w:val="22"/>
        </w:rPr>
        <w:t>to meet</w:t>
      </w:r>
      <w:r w:rsidR="00A11FA8" w:rsidRPr="00B35A0B">
        <w:rPr>
          <w:rFonts w:cs="Arial"/>
          <w:bCs/>
          <w:sz w:val="22"/>
          <w:szCs w:val="22"/>
        </w:rPr>
        <w:t xml:space="preserve"> delivery personnel at</w:t>
      </w:r>
      <w:r w:rsidR="00643282" w:rsidRPr="00B35A0B">
        <w:rPr>
          <w:rFonts w:cs="Arial"/>
          <w:bCs/>
          <w:sz w:val="22"/>
          <w:szCs w:val="22"/>
        </w:rPr>
        <w:t xml:space="preserve"> </w:t>
      </w:r>
      <w:r w:rsidR="00A11FA8" w:rsidRPr="00B35A0B">
        <w:rPr>
          <w:rFonts w:cs="Arial"/>
          <w:bCs/>
          <w:sz w:val="22"/>
          <w:szCs w:val="22"/>
        </w:rPr>
        <w:t xml:space="preserve">the </w:t>
      </w:r>
      <w:r w:rsidR="00643282" w:rsidRPr="00B35A0B">
        <w:rPr>
          <w:rFonts w:cs="Arial"/>
          <w:bCs/>
          <w:sz w:val="22"/>
          <w:szCs w:val="22"/>
        </w:rPr>
        <w:t>main g</w:t>
      </w:r>
      <w:r w:rsidR="00A11FA8" w:rsidRPr="00B35A0B">
        <w:rPr>
          <w:rFonts w:cs="Arial"/>
          <w:bCs/>
          <w:sz w:val="22"/>
          <w:szCs w:val="22"/>
        </w:rPr>
        <w:t>ate. I</w:t>
      </w:r>
      <w:r w:rsidR="00643282" w:rsidRPr="00B35A0B">
        <w:rPr>
          <w:rFonts w:cs="Arial"/>
          <w:bCs/>
          <w:sz w:val="22"/>
          <w:szCs w:val="22"/>
        </w:rPr>
        <w:t>f necessary,</w:t>
      </w:r>
      <w:r w:rsidR="00A11FA8" w:rsidRPr="00B35A0B">
        <w:rPr>
          <w:rFonts w:cs="Arial"/>
          <w:bCs/>
          <w:sz w:val="22"/>
          <w:szCs w:val="22"/>
        </w:rPr>
        <w:t xml:space="preserve"> the occupier must</w:t>
      </w:r>
      <w:r w:rsidR="00643282" w:rsidRPr="00B35A0B">
        <w:rPr>
          <w:rFonts w:cs="Arial"/>
          <w:bCs/>
          <w:sz w:val="22"/>
          <w:szCs w:val="22"/>
        </w:rPr>
        <w:t xml:space="preserve"> escort the delivery personnel to the occupier’s unit </w:t>
      </w:r>
      <w:r w:rsidR="00A11FA8" w:rsidRPr="00B35A0B">
        <w:rPr>
          <w:rFonts w:cs="Arial"/>
          <w:bCs/>
          <w:sz w:val="22"/>
          <w:szCs w:val="22"/>
        </w:rPr>
        <w:t xml:space="preserve">for purposes of offloading the delivery </w:t>
      </w:r>
      <w:r w:rsidR="00643282" w:rsidRPr="00B35A0B">
        <w:rPr>
          <w:rFonts w:cs="Arial"/>
          <w:bCs/>
          <w:sz w:val="22"/>
          <w:szCs w:val="22"/>
        </w:rPr>
        <w:t xml:space="preserve">and </w:t>
      </w:r>
      <w:r w:rsidR="00ED1FA5">
        <w:rPr>
          <w:rFonts w:cs="Arial"/>
          <w:bCs/>
          <w:sz w:val="22"/>
          <w:szCs w:val="22"/>
        </w:rPr>
        <w:t>thereafter</w:t>
      </w:r>
      <w:r w:rsidR="00A11FA8" w:rsidRPr="00B35A0B">
        <w:rPr>
          <w:rFonts w:cs="Arial"/>
          <w:bCs/>
          <w:sz w:val="22"/>
          <w:szCs w:val="22"/>
        </w:rPr>
        <w:t xml:space="preserve"> </w:t>
      </w:r>
      <w:r w:rsidR="00643282" w:rsidRPr="00B35A0B">
        <w:rPr>
          <w:rFonts w:cs="Arial"/>
          <w:bCs/>
          <w:sz w:val="22"/>
          <w:szCs w:val="22"/>
        </w:rPr>
        <w:t>escort the delivery personnel back to the gate</w:t>
      </w:r>
      <w:r w:rsidR="00A11FA8" w:rsidRPr="00B35A0B">
        <w:rPr>
          <w:rFonts w:cs="Arial"/>
          <w:bCs/>
          <w:sz w:val="22"/>
          <w:szCs w:val="22"/>
        </w:rPr>
        <w:t xml:space="preserve">. </w:t>
      </w:r>
    </w:p>
    <w:p w:rsidR="00274BCD" w:rsidRPr="00B35A0B" w:rsidRDefault="00CA5BDF" w:rsidP="00CA5BDF">
      <w:pPr>
        <w:tabs>
          <w:tab w:val="left" w:pos="680"/>
        </w:tabs>
        <w:spacing w:before="360" w:after="360" w:line="480" w:lineRule="auto"/>
        <w:jc w:val="both"/>
        <w:rPr>
          <w:rFonts w:cs="Arial"/>
          <w:bCs/>
          <w:sz w:val="22"/>
          <w:szCs w:val="22"/>
        </w:rPr>
      </w:pPr>
      <w:r w:rsidRPr="00B35A0B">
        <w:rPr>
          <w:rFonts w:cs="Arial"/>
          <w:bCs/>
          <w:sz w:val="21"/>
          <w:szCs w:val="21"/>
        </w:rPr>
        <w:t>[26]</w:t>
      </w:r>
      <w:r w:rsidRPr="00B35A0B">
        <w:rPr>
          <w:rFonts w:cs="Arial"/>
          <w:bCs/>
          <w:sz w:val="21"/>
          <w:szCs w:val="21"/>
        </w:rPr>
        <w:tab/>
      </w:r>
      <w:r w:rsidR="00394A0A" w:rsidRPr="00B35A0B">
        <w:rPr>
          <w:rFonts w:cs="Arial"/>
          <w:bCs/>
          <w:sz w:val="22"/>
          <w:szCs w:val="22"/>
        </w:rPr>
        <w:t>Accordingly, the appellant contended that the security protocol fell within the definition of a condu</w:t>
      </w:r>
      <w:r w:rsidR="00472525" w:rsidRPr="00B35A0B">
        <w:rPr>
          <w:rFonts w:cs="Arial"/>
          <w:bCs/>
          <w:sz w:val="22"/>
          <w:szCs w:val="22"/>
        </w:rPr>
        <w:t>ct rule as envisaged in s</w:t>
      </w:r>
      <w:r w:rsidR="00394A0A" w:rsidRPr="00B35A0B">
        <w:rPr>
          <w:rFonts w:cs="Arial"/>
          <w:bCs/>
          <w:sz w:val="22"/>
          <w:szCs w:val="22"/>
        </w:rPr>
        <w:t>10 of the Management Act and</w:t>
      </w:r>
      <w:r w:rsidR="00274BCD" w:rsidRPr="00B35A0B">
        <w:rPr>
          <w:rFonts w:cs="Arial"/>
          <w:bCs/>
          <w:sz w:val="22"/>
          <w:szCs w:val="22"/>
        </w:rPr>
        <w:t xml:space="preserve"> that the respondents adopted and</w:t>
      </w:r>
      <w:r w:rsidR="00394A0A" w:rsidRPr="00B35A0B">
        <w:rPr>
          <w:rFonts w:cs="Arial"/>
          <w:bCs/>
          <w:sz w:val="22"/>
          <w:szCs w:val="22"/>
        </w:rPr>
        <w:t xml:space="preserve"> implemented </w:t>
      </w:r>
      <w:r w:rsidR="00274BCD" w:rsidRPr="00B35A0B">
        <w:rPr>
          <w:rFonts w:cs="Arial"/>
          <w:bCs/>
          <w:sz w:val="22"/>
          <w:szCs w:val="22"/>
        </w:rPr>
        <w:t xml:space="preserve">it </w:t>
      </w:r>
      <w:r w:rsidR="00394A0A" w:rsidRPr="00B35A0B">
        <w:rPr>
          <w:rFonts w:cs="Arial"/>
          <w:bCs/>
          <w:sz w:val="22"/>
          <w:szCs w:val="22"/>
        </w:rPr>
        <w:t>in a manner that con</w:t>
      </w:r>
      <w:r w:rsidR="00274BCD" w:rsidRPr="00B35A0B">
        <w:rPr>
          <w:rFonts w:cs="Arial"/>
          <w:bCs/>
          <w:sz w:val="22"/>
          <w:szCs w:val="22"/>
        </w:rPr>
        <w:t xml:space="preserve">flicted with the Management Act. </w:t>
      </w:r>
    </w:p>
    <w:p w:rsidR="00274BCD" w:rsidRPr="00B35A0B" w:rsidRDefault="00CA5BDF" w:rsidP="00CA5BDF">
      <w:pPr>
        <w:tabs>
          <w:tab w:val="left" w:pos="680"/>
        </w:tabs>
        <w:spacing w:before="360" w:after="360" w:line="480" w:lineRule="auto"/>
        <w:jc w:val="both"/>
        <w:rPr>
          <w:rFonts w:cs="Arial"/>
          <w:bCs/>
          <w:sz w:val="22"/>
          <w:szCs w:val="22"/>
        </w:rPr>
      </w:pPr>
      <w:r w:rsidRPr="00B35A0B">
        <w:rPr>
          <w:rFonts w:cs="Arial"/>
          <w:bCs/>
          <w:sz w:val="21"/>
          <w:szCs w:val="21"/>
        </w:rPr>
        <w:t>[27]</w:t>
      </w:r>
      <w:r w:rsidRPr="00B35A0B">
        <w:rPr>
          <w:rFonts w:cs="Arial"/>
          <w:bCs/>
          <w:sz w:val="21"/>
          <w:szCs w:val="21"/>
        </w:rPr>
        <w:tab/>
      </w:r>
      <w:r w:rsidR="00274BCD" w:rsidRPr="00B35A0B">
        <w:rPr>
          <w:rFonts w:cs="Arial"/>
          <w:bCs/>
          <w:sz w:val="22"/>
          <w:szCs w:val="22"/>
        </w:rPr>
        <w:t xml:space="preserve">The respondents’ adoption and implementation of the security protocol utilising rule 9(e). </w:t>
      </w:r>
      <w:r w:rsidR="000D611A" w:rsidRPr="00B35A0B">
        <w:rPr>
          <w:rFonts w:cs="Arial"/>
          <w:bCs/>
          <w:sz w:val="22"/>
          <w:szCs w:val="22"/>
        </w:rPr>
        <w:t>circumvented s</w:t>
      </w:r>
      <w:r w:rsidR="00627401" w:rsidRPr="00B35A0B">
        <w:rPr>
          <w:rFonts w:cs="Arial"/>
          <w:bCs/>
          <w:sz w:val="22"/>
          <w:szCs w:val="22"/>
        </w:rPr>
        <w:t xml:space="preserve">10(2)(b) </w:t>
      </w:r>
      <w:r w:rsidR="000D611A" w:rsidRPr="00B35A0B">
        <w:rPr>
          <w:rFonts w:cs="Arial"/>
          <w:bCs/>
          <w:sz w:val="22"/>
          <w:szCs w:val="22"/>
        </w:rPr>
        <w:t xml:space="preserve">of the Management Act in that the </w:t>
      </w:r>
      <w:r w:rsidR="00843FF1" w:rsidRPr="00B35A0B">
        <w:rPr>
          <w:rFonts w:cs="Arial"/>
          <w:bCs/>
          <w:sz w:val="22"/>
          <w:szCs w:val="22"/>
        </w:rPr>
        <w:t xml:space="preserve">respondents created </w:t>
      </w:r>
      <w:r w:rsidR="00843FF1" w:rsidRPr="00B35A0B">
        <w:rPr>
          <w:rFonts w:cs="Arial"/>
          <w:bCs/>
          <w:sz w:val="22"/>
          <w:szCs w:val="22"/>
        </w:rPr>
        <w:lastRenderedPageBreak/>
        <w:t>a conduct rule</w:t>
      </w:r>
      <w:r w:rsidR="000D611A" w:rsidRPr="00B35A0B">
        <w:rPr>
          <w:rFonts w:cs="Arial"/>
          <w:bCs/>
          <w:sz w:val="22"/>
          <w:szCs w:val="22"/>
        </w:rPr>
        <w:t xml:space="preserve"> alternatively amended T</w:t>
      </w:r>
      <w:r w:rsidR="00627401" w:rsidRPr="00B35A0B">
        <w:rPr>
          <w:rFonts w:cs="Arial"/>
          <w:bCs/>
          <w:sz w:val="22"/>
          <w:szCs w:val="22"/>
        </w:rPr>
        <w:t xml:space="preserve">he </w:t>
      </w:r>
      <w:r w:rsidR="000D611A" w:rsidRPr="00B35A0B">
        <w:rPr>
          <w:rFonts w:cs="Arial"/>
          <w:bCs/>
          <w:sz w:val="22"/>
          <w:szCs w:val="22"/>
        </w:rPr>
        <w:t>Melville rules</w:t>
      </w:r>
      <w:r w:rsidR="00843FF1" w:rsidRPr="00B35A0B">
        <w:rPr>
          <w:rFonts w:cs="Arial"/>
          <w:bCs/>
          <w:sz w:val="22"/>
          <w:szCs w:val="22"/>
        </w:rPr>
        <w:t xml:space="preserve"> as they existed</w:t>
      </w:r>
      <w:r w:rsidR="000D611A" w:rsidRPr="00B35A0B">
        <w:rPr>
          <w:rFonts w:cs="Arial"/>
          <w:bCs/>
          <w:sz w:val="22"/>
          <w:szCs w:val="22"/>
        </w:rPr>
        <w:t>, by di</w:t>
      </w:r>
      <w:r w:rsidR="005E4E9F" w:rsidRPr="00B35A0B">
        <w:rPr>
          <w:rFonts w:cs="Arial"/>
          <w:bCs/>
          <w:sz w:val="22"/>
          <w:szCs w:val="22"/>
        </w:rPr>
        <w:t xml:space="preserve">sguising the security protocol </w:t>
      </w:r>
      <w:r w:rsidR="00ED1FA5">
        <w:rPr>
          <w:rFonts w:cs="Arial"/>
          <w:bCs/>
          <w:sz w:val="22"/>
          <w:szCs w:val="22"/>
        </w:rPr>
        <w:t>in terms of r</w:t>
      </w:r>
      <w:r w:rsidR="000D611A" w:rsidRPr="00B35A0B">
        <w:rPr>
          <w:rFonts w:cs="Arial"/>
          <w:bCs/>
          <w:sz w:val="22"/>
          <w:szCs w:val="22"/>
        </w:rPr>
        <w:t xml:space="preserve">ule 9(e). </w:t>
      </w:r>
    </w:p>
    <w:p w:rsidR="000B3E61" w:rsidRPr="00B35A0B" w:rsidRDefault="00CA5BDF" w:rsidP="00CA5BDF">
      <w:pPr>
        <w:tabs>
          <w:tab w:val="left" w:pos="680"/>
        </w:tabs>
        <w:spacing w:before="360" w:after="360" w:line="480" w:lineRule="auto"/>
        <w:jc w:val="both"/>
        <w:rPr>
          <w:rFonts w:cs="Arial"/>
          <w:bCs/>
          <w:sz w:val="22"/>
          <w:szCs w:val="22"/>
        </w:rPr>
      </w:pPr>
      <w:r w:rsidRPr="00B35A0B">
        <w:rPr>
          <w:rFonts w:cs="Arial"/>
          <w:bCs/>
          <w:sz w:val="21"/>
          <w:szCs w:val="21"/>
        </w:rPr>
        <w:t>[28]</w:t>
      </w:r>
      <w:r w:rsidRPr="00B35A0B">
        <w:rPr>
          <w:rFonts w:cs="Arial"/>
          <w:bCs/>
          <w:sz w:val="21"/>
          <w:szCs w:val="21"/>
        </w:rPr>
        <w:tab/>
      </w:r>
      <w:r w:rsidR="000D611A" w:rsidRPr="00B35A0B">
        <w:rPr>
          <w:rFonts w:cs="Arial"/>
          <w:bCs/>
          <w:sz w:val="22"/>
          <w:szCs w:val="22"/>
        </w:rPr>
        <w:t>Thus,</w:t>
      </w:r>
      <w:r w:rsidR="00627401" w:rsidRPr="00B35A0B">
        <w:rPr>
          <w:rFonts w:cs="Arial"/>
          <w:bCs/>
          <w:sz w:val="22"/>
          <w:szCs w:val="22"/>
        </w:rPr>
        <w:t xml:space="preserve"> the appellant </w:t>
      </w:r>
      <w:r w:rsidR="000D611A" w:rsidRPr="00B35A0B">
        <w:rPr>
          <w:rFonts w:cs="Arial"/>
          <w:bCs/>
          <w:sz w:val="22"/>
          <w:szCs w:val="22"/>
        </w:rPr>
        <w:t>contended that the</w:t>
      </w:r>
      <w:r w:rsidR="00627401" w:rsidRPr="00B35A0B">
        <w:rPr>
          <w:rFonts w:cs="Arial"/>
          <w:bCs/>
          <w:sz w:val="22"/>
          <w:szCs w:val="22"/>
        </w:rPr>
        <w:t xml:space="preserve"> respondents avoided submitting the</w:t>
      </w:r>
      <w:r w:rsidR="000D611A" w:rsidRPr="00B35A0B">
        <w:rPr>
          <w:rFonts w:cs="Arial"/>
          <w:bCs/>
          <w:sz w:val="22"/>
          <w:szCs w:val="22"/>
        </w:rPr>
        <w:t xml:space="preserve"> security protocol, a</w:t>
      </w:r>
      <w:r w:rsidR="00627401" w:rsidRPr="00B35A0B">
        <w:rPr>
          <w:rFonts w:cs="Arial"/>
          <w:bCs/>
          <w:sz w:val="22"/>
          <w:szCs w:val="22"/>
        </w:rPr>
        <w:t xml:space="preserve"> </w:t>
      </w:r>
      <w:r w:rsidR="000D611A" w:rsidRPr="00B35A0B">
        <w:rPr>
          <w:rFonts w:cs="Arial"/>
          <w:bCs/>
          <w:sz w:val="22"/>
          <w:szCs w:val="22"/>
        </w:rPr>
        <w:t>new or amended conduct rule, to</w:t>
      </w:r>
      <w:r w:rsidR="00627401" w:rsidRPr="00B35A0B">
        <w:rPr>
          <w:rFonts w:cs="Arial"/>
          <w:bCs/>
          <w:sz w:val="22"/>
          <w:szCs w:val="22"/>
        </w:rPr>
        <w:t xml:space="preserve"> the Chief</w:t>
      </w:r>
      <w:r w:rsidR="000D611A" w:rsidRPr="00B35A0B">
        <w:rPr>
          <w:rFonts w:cs="Arial"/>
          <w:bCs/>
          <w:sz w:val="22"/>
          <w:szCs w:val="22"/>
        </w:rPr>
        <w:t xml:space="preserve"> Ombud of CSOS. The respondents </w:t>
      </w:r>
      <w:r w:rsidR="00843FF1" w:rsidRPr="00B35A0B">
        <w:rPr>
          <w:rFonts w:cs="Arial"/>
          <w:bCs/>
          <w:sz w:val="22"/>
          <w:szCs w:val="22"/>
        </w:rPr>
        <w:t xml:space="preserve">allegedly </w:t>
      </w:r>
      <w:r w:rsidR="000D611A" w:rsidRPr="00B35A0B">
        <w:rPr>
          <w:rFonts w:cs="Arial"/>
          <w:bCs/>
          <w:sz w:val="22"/>
          <w:szCs w:val="22"/>
        </w:rPr>
        <w:t xml:space="preserve">thereby evaded CSOS’s scrutiny and </w:t>
      </w:r>
      <w:r w:rsidR="000B3E61" w:rsidRPr="00B35A0B">
        <w:rPr>
          <w:rFonts w:cs="Arial"/>
          <w:bCs/>
          <w:sz w:val="22"/>
          <w:szCs w:val="22"/>
        </w:rPr>
        <w:t xml:space="preserve">the </w:t>
      </w:r>
      <w:r w:rsidR="00627401" w:rsidRPr="00B35A0B">
        <w:rPr>
          <w:rFonts w:cs="Arial"/>
          <w:bCs/>
          <w:sz w:val="22"/>
          <w:szCs w:val="22"/>
        </w:rPr>
        <w:t>mechanisms utilised by CSOS</w:t>
      </w:r>
      <w:r w:rsidR="000D611A" w:rsidRPr="00B35A0B">
        <w:rPr>
          <w:rFonts w:cs="Arial"/>
          <w:bCs/>
          <w:sz w:val="22"/>
          <w:szCs w:val="22"/>
        </w:rPr>
        <w:t xml:space="preserve"> to approve and</w:t>
      </w:r>
      <w:r w:rsidR="00627401" w:rsidRPr="00B35A0B">
        <w:rPr>
          <w:rFonts w:cs="Arial"/>
          <w:bCs/>
          <w:sz w:val="22"/>
          <w:szCs w:val="22"/>
        </w:rPr>
        <w:t xml:space="preserve"> certif</w:t>
      </w:r>
      <w:r w:rsidR="000D611A" w:rsidRPr="00B35A0B">
        <w:rPr>
          <w:rFonts w:cs="Arial"/>
          <w:bCs/>
          <w:sz w:val="22"/>
          <w:szCs w:val="22"/>
        </w:rPr>
        <w:t xml:space="preserve">y a new or </w:t>
      </w:r>
      <w:r w:rsidR="00627401" w:rsidRPr="00B35A0B">
        <w:rPr>
          <w:rFonts w:cs="Arial"/>
          <w:bCs/>
          <w:sz w:val="22"/>
          <w:szCs w:val="22"/>
        </w:rPr>
        <w:t>amended conduct rule</w:t>
      </w:r>
      <w:r w:rsidR="000D611A" w:rsidRPr="00B35A0B">
        <w:rPr>
          <w:rFonts w:cs="Arial"/>
          <w:bCs/>
          <w:sz w:val="22"/>
          <w:szCs w:val="22"/>
        </w:rPr>
        <w:t>.</w:t>
      </w:r>
      <w:r w:rsidR="00627401" w:rsidRPr="00B35A0B">
        <w:rPr>
          <w:rFonts w:cs="Arial"/>
          <w:bCs/>
          <w:sz w:val="22"/>
          <w:szCs w:val="22"/>
        </w:rPr>
        <w:t xml:space="preserve"> </w:t>
      </w:r>
      <w:r w:rsidR="000D611A" w:rsidRPr="00B35A0B">
        <w:rPr>
          <w:rFonts w:cs="Arial"/>
          <w:bCs/>
          <w:sz w:val="22"/>
          <w:szCs w:val="22"/>
        </w:rPr>
        <w:t xml:space="preserve"> </w:t>
      </w:r>
      <w:r w:rsidR="00627401" w:rsidRPr="00B35A0B">
        <w:rPr>
          <w:rFonts w:cs="Arial"/>
          <w:bCs/>
          <w:sz w:val="22"/>
          <w:szCs w:val="22"/>
        </w:rPr>
        <w:t xml:space="preserve"> </w:t>
      </w:r>
    </w:p>
    <w:p w:rsidR="00627401" w:rsidRPr="00B35A0B" w:rsidRDefault="00CA5BDF" w:rsidP="00CA5BDF">
      <w:pPr>
        <w:tabs>
          <w:tab w:val="left" w:pos="680"/>
        </w:tabs>
        <w:spacing w:before="360" w:after="360" w:line="480" w:lineRule="auto"/>
        <w:jc w:val="both"/>
        <w:rPr>
          <w:rFonts w:cs="Arial"/>
          <w:bCs/>
          <w:sz w:val="22"/>
          <w:szCs w:val="22"/>
        </w:rPr>
      </w:pPr>
      <w:r w:rsidRPr="00B35A0B">
        <w:rPr>
          <w:rFonts w:cs="Arial"/>
          <w:bCs/>
          <w:sz w:val="21"/>
          <w:szCs w:val="21"/>
        </w:rPr>
        <w:t>[29]</w:t>
      </w:r>
      <w:r w:rsidRPr="00B35A0B">
        <w:rPr>
          <w:rFonts w:cs="Arial"/>
          <w:bCs/>
          <w:sz w:val="21"/>
          <w:szCs w:val="21"/>
        </w:rPr>
        <w:tab/>
      </w:r>
      <w:r w:rsidR="00ED1FA5">
        <w:rPr>
          <w:rFonts w:cs="Arial"/>
          <w:bCs/>
          <w:sz w:val="22"/>
          <w:szCs w:val="22"/>
        </w:rPr>
        <w:t xml:space="preserve">The </w:t>
      </w:r>
      <w:r w:rsidR="000B3E61" w:rsidRPr="00B35A0B">
        <w:rPr>
          <w:rFonts w:cs="Arial"/>
          <w:bCs/>
          <w:sz w:val="22"/>
          <w:szCs w:val="22"/>
        </w:rPr>
        <w:t xml:space="preserve">respondents </w:t>
      </w:r>
      <w:r w:rsidR="00843FF1" w:rsidRPr="00B35A0B">
        <w:rPr>
          <w:rFonts w:cs="Arial"/>
          <w:bCs/>
          <w:sz w:val="22"/>
          <w:szCs w:val="22"/>
        </w:rPr>
        <w:t xml:space="preserve">allegedly </w:t>
      </w:r>
      <w:r w:rsidR="000B3E61" w:rsidRPr="00B35A0B">
        <w:rPr>
          <w:rFonts w:cs="Arial"/>
          <w:bCs/>
          <w:sz w:val="22"/>
          <w:szCs w:val="22"/>
        </w:rPr>
        <w:t>avoided s</w:t>
      </w:r>
      <w:r w:rsidR="00627401" w:rsidRPr="00B35A0B">
        <w:rPr>
          <w:rFonts w:cs="Arial"/>
          <w:bCs/>
          <w:sz w:val="22"/>
          <w:szCs w:val="22"/>
        </w:rPr>
        <w:t xml:space="preserve">10(2)(b) of the Management Act by utilising a simple majority vote at a special general meeting </w:t>
      </w:r>
      <w:r w:rsidR="000B3E61" w:rsidRPr="00B35A0B">
        <w:rPr>
          <w:rFonts w:cs="Arial"/>
          <w:bCs/>
          <w:sz w:val="22"/>
          <w:szCs w:val="22"/>
        </w:rPr>
        <w:t xml:space="preserve">of the Body Corporate </w:t>
      </w:r>
      <w:r w:rsidR="002B0EF4" w:rsidRPr="00B35A0B">
        <w:rPr>
          <w:rFonts w:cs="Arial"/>
          <w:bCs/>
          <w:sz w:val="22"/>
          <w:szCs w:val="22"/>
        </w:rPr>
        <w:t xml:space="preserve">convened on 17 June 2021. </w:t>
      </w:r>
    </w:p>
    <w:p w:rsidR="000B3E61" w:rsidRPr="00B35A0B" w:rsidRDefault="00CA5BDF" w:rsidP="00CA5BDF">
      <w:pPr>
        <w:tabs>
          <w:tab w:val="left" w:pos="680"/>
        </w:tabs>
        <w:spacing w:before="360" w:after="360" w:line="480" w:lineRule="auto"/>
        <w:jc w:val="both"/>
        <w:rPr>
          <w:rFonts w:cs="Arial"/>
          <w:bCs/>
          <w:sz w:val="22"/>
          <w:szCs w:val="22"/>
        </w:rPr>
      </w:pPr>
      <w:r w:rsidRPr="00B35A0B">
        <w:rPr>
          <w:rFonts w:cs="Arial"/>
          <w:bCs/>
          <w:sz w:val="21"/>
          <w:szCs w:val="21"/>
        </w:rPr>
        <w:t>[30]</w:t>
      </w:r>
      <w:r w:rsidRPr="00B35A0B">
        <w:rPr>
          <w:rFonts w:cs="Arial"/>
          <w:bCs/>
          <w:sz w:val="21"/>
          <w:szCs w:val="21"/>
        </w:rPr>
        <w:tab/>
      </w:r>
      <w:r w:rsidR="000B3E61" w:rsidRPr="00B35A0B">
        <w:rPr>
          <w:rFonts w:cs="Arial"/>
          <w:bCs/>
          <w:sz w:val="22"/>
          <w:szCs w:val="22"/>
        </w:rPr>
        <w:t>The appellant argued that the respondents conduct was unlawful and ought to be set aside.</w:t>
      </w:r>
    </w:p>
    <w:p w:rsidR="00367F71" w:rsidRPr="00B35A0B" w:rsidRDefault="00CA5BDF" w:rsidP="00CA5BDF">
      <w:pPr>
        <w:tabs>
          <w:tab w:val="left" w:pos="680"/>
        </w:tabs>
        <w:spacing w:before="360" w:after="360" w:line="480" w:lineRule="auto"/>
        <w:jc w:val="both"/>
        <w:rPr>
          <w:rFonts w:cs="Arial"/>
          <w:bCs/>
          <w:sz w:val="22"/>
          <w:szCs w:val="22"/>
        </w:rPr>
      </w:pPr>
      <w:r w:rsidRPr="00B35A0B">
        <w:rPr>
          <w:rFonts w:cs="Arial"/>
          <w:bCs/>
          <w:sz w:val="21"/>
          <w:szCs w:val="21"/>
        </w:rPr>
        <w:t>[31]</w:t>
      </w:r>
      <w:r w:rsidRPr="00B35A0B">
        <w:rPr>
          <w:rFonts w:cs="Arial"/>
          <w:bCs/>
          <w:sz w:val="21"/>
          <w:szCs w:val="21"/>
        </w:rPr>
        <w:tab/>
      </w:r>
      <w:r w:rsidR="002B0EF4" w:rsidRPr="00B35A0B">
        <w:rPr>
          <w:rFonts w:cs="Arial"/>
          <w:bCs/>
          <w:sz w:val="22"/>
          <w:szCs w:val="22"/>
        </w:rPr>
        <w:t xml:space="preserve">The respondents </w:t>
      </w:r>
      <w:r w:rsidR="00367F71" w:rsidRPr="00B35A0B">
        <w:rPr>
          <w:rFonts w:cs="Arial"/>
          <w:bCs/>
          <w:sz w:val="22"/>
          <w:szCs w:val="22"/>
        </w:rPr>
        <w:t>contended</w:t>
      </w:r>
      <w:r w:rsidR="002B0EF4" w:rsidRPr="00B35A0B">
        <w:rPr>
          <w:rFonts w:cs="Arial"/>
          <w:bCs/>
          <w:sz w:val="22"/>
          <w:szCs w:val="22"/>
        </w:rPr>
        <w:t xml:space="preserve"> that the purpose of the security protocol was to tighten security at The Melville, that the protocol was recommended by the re</w:t>
      </w:r>
      <w:r w:rsidR="00367F71" w:rsidRPr="00B35A0B">
        <w:rPr>
          <w:rFonts w:cs="Arial"/>
          <w:bCs/>
          <w:sz w:val="22"/>
          <w:szCs w:val="22"/>
        </w:rPr>
        <w:t xml:space="preserve">sident security company and </w:t>
      </w:r>
      <w:r w:rsidR="002B0EF4" w:rsidRPr="00B35A0B">
        <w:rPr>
          <w:rFonts w:cs="Arial"/>
          <w:bCs/>
          <w:sz w:val="22"/>
          <w:szCs w:val="22"/>
        </w:rPr>
        <w:t>stood</w:t>
      </w:r>
      <w:r w:rsidR="00ED1FA5">
        <w:rPr>
          <w:rFonts w:cs="Arial"/>
          <w:bCs/>
          <w:sz w:val="22"/>
          <w:szCs w:val="22"/>
        </w:rPr>
        <w:t xml:space="preserve"> to be implemented in terms of r</w:t>
      </w:r>
      <w:r w:rsidR="002B0EF4" w:rsidRPr="00B35A0B">
        <w:rPr>
          <w:rFonts w:cs="Arial"/>
          <w:bCs/>
          <w:sz w:val="22"/>
          <w:szCs w:val="22"/>
        </w:rPr>
        <w:t xml:space="preserve">ule 9(e). </w:t>
      </w:r>
    </w:p>
    <w:p w:rsidR="00367F71" w:rsidRPr="00B35A0B" w:rsidRDefault="00CA5BDF" w:rsidP="00CA5BDF">
      <w:pPr>
        <w:tabs>
          <w:tab w:val="left" w:pos="680"/>
        </w:tabs>
        <w:spacing w:before="360" w:after="360" w:line="480" w:lineRule="auto"/>
        <w:jc w:val="both"/>
        <w:rPr>
          <w:rFonts w:cs="Arial"/>
          <w:bCs/>
          <w:sz w:val="22"/>
          <w:szCs w:val="22"/>
        </w:rPr>
      </w:pPr>
      <w:r w:rsidRPr="00B35A0B">
        <w:rPr>
          <w:rFonts w:cs="Arial"/>
          <w:bCs/>
          <w:sz w:val="21"/>
          <w:szCs w:val="21"/>
        </w:rPr>
        <w:t>[32]</w:t>
      </w:r>
      <w:r w:rsidRPr="00B35A0B">
        <w:rPr>
          <w:rFonts w:cs="Arial"/>
          <w:bCs/>
          <w:sz w:val="21"/>
          <w:szCs w:val="21"/>
        </w:rPr>
        <w:tab/>
      </w:r>
      <w:r w:rsidR="00A54201" w:rsidRPr="00B35A0B">
        <w:rPr>
          <w:rFonts w:cs="Arial"/>
          <w:bCs/>
          <w:sz w:val="22"/>
          <w:szCs w:val="22"/>
        </w:rPr>
        <w:t>T</w:t>
      </w:r>
      <w:r w:rsidR="00FE27AF" w:rsidRPr="00B35A0B">
        <w:rPr>
          <w:rFonts w:cs="Arial"/>
          <w:bCs/>
          <w:sz w:val="22"/>
          <w:szCs w:val="22"/>
        </w:rPr>
        <w:t>he respondents relied on s3 of the Management Act</w:t>
      </w:r>
      <w:r w:rsidR="00D60F48" w:rsidRPr="00B35A0B">
        <w:rPr>
          <w:rFonts w:cs="Arial"/>
          <w:bCs/>
          <w:sz w:val="22"/>
          <w:szCs w:val="22"/>
        </w:rPr>
        <w:t xml:space="preserve"> relating to the functions of bodies corporate, including that they control</w:t>
      </w:r>
      <w:r w:rsidR="00ED1FA5">
        <w:rPr>
          <w:rFonts w:cs="Arial"/>
          <w:bCs/>
          <w:sz w:val="22"/>
          <w:szCs w:val="22"/>
        </w:rPr>
        <w:t>,</w:t>
      </w:r>
      <w:r w:rsidR="00D60F48" w:rsidRPr="00B35A0B">
        <w:rPr>
          <w:rFonts w:cs="Arial"/>
          <w:bCs/>
          <w:sz w:val="22"/>
          <w:szCs w:val="22"/>
        </w:rPr>
        <w:t xml:space="preserve"> manage and administer the common property for the benefit of all owners of a scheme. </w:t>
      </w:r>
    </w:p>
    <w:p w:rsidR="00D60F48" w:rsidRPr="00B35A0B" w:rsidRDefault="00CA5BDF" w:rsidP="00CA5BDF">
      <w:pPr>
        <w:tabs>
          <w:tab w:val="left" w:pos="680"/>
        </w:tabs>
        <w:spacing w:before="360" w:after="360" w:line="480" w:lineRule="auto"/>
        <w:jc w:val="both"/>
        <w:rPr>
          <w:rFonts w:cs="Arial"/>
          <w:bCs/>
          <w:sz w:val="22"/>
          <w:szCs w:val="22"/>
        </w:rPr>
      </w:pPr>
      <w:r w:rsidRPr="00B35A0B">
        <w:rPr>
          <w:rFonts w:cs="Arial"/>
          <w:bCs/>
          <w:sz w:val="21"/>
          <w:szCs w:val="21"/>
        </w:rPr>
        <w:t>[33]</w:t>
      </w:r>
      <w:r w:rsidRPr="00B35A0B">
        <w:rPr>
          <w:rFonts w:cs="Arial"/>
          <w:bCs/>
          <w:sz w:val="21"/>
          <w:szCs w:val="21"/>
        </w:rPr>
        <w:tab/>
      </w:r>
      <w:r w:rsidR="00D60F48" w:rsidRPr="00B35A0B">
        <w:rPr>
          <w:rFonts w:cs="Arial"/>
          <w:bCs/>
          <w:sz w:val="22"/>
          <w:szCs w:val="22"/>
        </w:rPr>
        <w:t>Security related matters in respect of</w:t>
      </w:r>
      <w:r w:rsidR="00A54201" w:rsidRPr="00B35A0B">
        <w:rPr>
          <w:rFonts w:cs="Arial"/>
          <w:bCs/>
          <w:sz w:val="22"/>
          <w:szCs w:val="22"/>
        </w:rPr>
        <w:t xml:space="preserve"> </w:t>
      </w:r>
      <w:r w:rsidR="00D60F48" w:rsidRPr="00B35A0B">
        <w:rPr>
          <w:rFonts w:cs="Arial"/>
          <w:bCs/>
          <w:sz w:val="22"/>
          <w:szCs w:val="22"/>
        </w:rPr>
        <w:t>The Melville fall within the control, management and administration of the common property for the benefit of all owners of a scheme.</w:t>
      </w:r>
    </w:p>
    <w:p w:rsidR="00D60F48" w:rsidRPr="00B35A0B" w:rsidRDefault="00CA5BDF" w:rsidP="00CA5BDF">
      <w:pPr>
        <w:tabs>
          <w:tab w:val="left" w:pos="680"/>
        </w:tabs>
        <w:spacing w:before="360" w:after="360" w:line="480" w:lineRule="auto"/>
        <w:jc w:val="both"/>
        <w:rPr>
          <w:rFonts w:cs="Arial"/>
          <w:bCs/>
          <w:sz w:val="22"/>
          <w:szCs w:val="22"/>
        </w:rPr>
      </w:pPr>
      <w:r w:rsidRPr="00B35A0B">
        <w:rPr>
          <w:rFonts w:cs="Arial"/>
          <w:bCs/>
          <w:sz w:val="21"/>
          <w:szCs w:val="21"/>
        </w:rPr>
        <w:lastRenderedPageBreak/>
        <w:t>[34]</w:t>
      </w:r>
      <w:r w:rsidRPr="00B35A0B">
        <w:rPr>
          <w:rFonts w:cs="Arial"/>
          <w:bCs/>
          <w:sz w:val="21"/>
          <w:szCs w:val="21"/>
        </w:rPr>
        <w:tab/>
      </w:r>
      <w:r w:rsidR="002B0EF4" w:rsidRPr="00B35A0B">
        <w:rPr>
          <w:rFonts w:cs="Arial"/>
          <w:bCs/>
          <w:sz w:val="22"/>
          <w:szCs w:val="22"/>
        </w:rPr>
        <w:t xml:space="preserve">The respondents relied upon </w:t>
      </w:r>
      <w:r w:rsidR="002B0EF4" w:rsidRPr="00B35A0B">
        <w:rPr>
          <w:rFonts w:cs="Arial"/>
          <w:bCs/>
          <w:i/>
          <w:sz w:val="22"/>
          <w:szCs w:val="22"/>
        </w:rPr>
        <w:t>Barzani 53 (Pty) Ltd v Body Corporate Whitfield Ridge</w:t>
      </w:r>
      <w:r w:rsidR="002B0EF4" w:rsidRPr="00B35A0B">
        <w:rPr>
          <w:rStyle w:val="FootnoteReference"/>
          <w:rFonts w:cs="Arial"/>
          <w:bCs/>
          <w:i/>
          <w:sz w:val="22"/>
          <w:szCs w:val="22"/>
        </w:rPr>
        <w:footnoteReference w:id="11"/>
      </w:r>
      <w:r w:rsidR="002B0EF4" w:rsidRPr="00B35A0B">
        <w:rPr>
          <w:rFonts w:cs="Arial"/>
          <w:bCs/>
          <w:sz w:val="22"/>
          <w:szCs w:val="22"/>
        </w:rPr>
        <w:t xml:space="preserve"> in which Moorcroft AJ dealt with the importanc</w:t>
      </w:r>
      <w:r w:rsidR="00D60F48" w:rsidRPr="00B35A0B">
        <w:rPr>
          <w:rFonts w:cs="Arial"/>
          <w:bCs/>
          <w:sz w:val="22"/>
          <w:szCs w:val="22"/>
        </w:rPr>
        <w:t xml:space="preserve">e of access control to a scheme. </w:t>
      </w:r>
    </w:p>
    <w:p w:rsidR="002B0EF4" w:rsidRPr="00B35A0B" w:rsidRDefault="00CA5BDF" w:rsidP="00CA5BDF">
      <w:pPr>
        <w:tabs>
          <w:tab w:val="left" w:pos="680"/>
        </w:tabs>
        <w:spacing w:before="360" w:after="360" w:line="480" w:lineRule="auto"/>
        <w:jc w:val="both"/>
        <w:rPr>
          <w:rFonts w:cs="Arial"/>
          <w:bCs/>
          <w:sz w:val="22"/>
          <w:szCs w:val="22"/>
        </w:rPr>
      </w:pPr>
      <w:r w:rsidRPr="00B35A0B">
        <w:rPr>
          <w:rFonts w:cs="Arial"/>
          <w:bCs/>
          <w:sz w:val="21"/>
          <w:szCs w:val="21"/>
        </w:rPr>
        <w:t>[35]</w:t>
      </w:r>
      <w:r w:rsidRPr="00B35A0B">
        <w:rPr>
          <w:rFonts w:cs="Arial"/>
          <w:bCs/>
          <w:sz w:val="21"/>
          <w:szCs w:val="21"/>
        </w:rPr>
        <w:tab/>
      </w:r>
      <w:r w:rsidR="00D60F48" w:rsidRPr="00B35A0B">
        <w:rPr>
          <w:rFonts w:cs="Arial"/>
          <w:bCs/>
          <w:sz w:val="22"/>
          <w:szCs w:val="22"/>
        </w:rPr>
        <w:t xml:space="preserve">Whilst </w:t>
      </w:r>
      <w:r w:rsidR="002B0EF4" w:rsidRPr="00B35A0B">
        <w:rPr>
          <w:rFonts w:cs="Arial"/>
          <w:bCs/>
          <w:sz w:val="22"/>
          <w:szCs w:val="22"/>
        </w:rPr>
        <w:t xml:space="preserve">Moorcroft AJ was correct insofar as he emphasised the importance of access control into and out of </w:t>
      </w:r>
      <w:r w:rsidR="00B03C3B" w:rsidRPr="00B35A0B">
        <w:rPr>
          <w:rFonts w:cs="Arial"/>
          <w:bCs/>
          <w:sz w:val="22"/>
          <w:szCs w:val="22"/>
        </w:rPr>
        <w:t>a scheme and that it fell</w:t>
      </w:r>
      <w:r w:rsidR="002B0EF4" w:rsidRPr="00B35A0B">
        <w:rPr>
          <w:rFonts w:cs="Arial"/>
          <w:bCs/>
          <w:sz w:val="22"/>
          <w:szCs w:val="22"/>
        </w:rPr>
        <w:t xml:space="preserve"> with</w:t>
      </w:r>
      <w:r w:rsidR="00B03C3B" w:rsidRPr="00B35A0B">
        <w:rPr>
          <w:rFonts w:cs="Arial"/>
          <w:bCs/>
          <w:sz w:val="22"/>
          <w:szCs w:val="22"/>
        </w:rPr>
        <w:t xml:space="preserve">in a management function for purposes of </w:t>
      </w:r>
      <w:r w:rsidR="00E50650" w:rsidRPr="00B35A0B">
        <w:rPr>
          <w:rFonts w:cs="Arial"/>
          <w:bCs/>
          <w:sz w:val="22"/>
          <w:szCs w:val="22"/>
        </w:rPr>
        <w:t>that</w:t>
      </w:r>
      <w:r w:rsidR="002B0EF4" w:rsidRPr="00B35A0B">
        <w:rPr>
          <w:rFonts w:cs="Arial"/>
          <w:bCs/>
          <w:sz w:val="22"/>
          <w:szCs w:val="22"/>
        </w:rPr>
        <w:t xml:space="preserve"> case</w:t>
      </w:r>
      <w:r w:rsidR="00B03C3B" w:rsidRPr="00B35A0B">
        <w:rPr>
          <w:rFonts w:cs="Arial"/>
          <w:bCs/>
          <w:sz w:val="22"/>
          <w:szCs w:val="22"/>
        </w:rPr>
        <w:t>, the matter does</w:t>
      </w:r>
      <w:r w:rsidR="002B0EF4" w:rsidRPr="00B35A0B">
        <w:rPr>
          <w:rFonts w:cs="Arial"/>
          <w:bCs/>
          <w:sz w:val="22"/>
          <w:szCs w:val="22"/>
        </w:rPr>
        <w:t xml:space="preserve"> not appear to have dealt with the requirements of and re</w:t>
      </w:r>
      <w:r w:rsidR="00B03C3B" w:rsidRPr="00B35A0B">
        <w:rPr>
          <w:rFonts w:cs="Arial"/>
          <w:bCs/>
          <w:sz w:val="22"/>
          <w:szCs w:val="22"/>
        </w:rPr>
        <w:t xml:space="preserve">gulation of conduct required by occupiers of a scheme in </w:t>
      </w:r>
      <w:r w:rsidR="00950BBF" w:rsidRPr="00B35A0B">
        <w:rPr>
          <w:rFonts w:cs="Arial"/>
          <w:bCs/>
          <w:sz w:val="22"/>
          <w:szCs w:val="22"/>
        </w:rPr>
        <w:t xml:space="preserve">respect of access control.  </w:t>
      </w:r>
      <w:r w:rsidR="002B0EF4" w:rsidRPr="00B35A0B">
        <w:rPr>
          <w:rFonts w:cs="Arial"/>
          <w:bCs/>
          <w:i/>
          <w:sz w:val="22"/>
          <w:szCs w:val="22"/>
        </w:rPr>
        <w:t xml:space="preserve">Barzani </w:t>
      </w:r>
      <w:r w:rsidR="002B0EF4" w:rsidRPr="00B35A0B">
        <w:rPr>
          <w:rFonts w:cs="Arial"/>
          <w:bCs/>
          <w:sz w:val="22"/>
          <w:szCs w:val="22"/>
        </w:rPr>
        <w:t xml:space="preserve">is </w:t>
      </w:r>
      <w:r w:rsidR="00950BBF" w:rsidRPr="00B35A0B">
        <w:rPr>
          <w:rFonts w:cs="Arial"/>
          <w:bCs/>
          <w:sz w:val="22"/>
          <w:szCs w:val="22"/>
        </w:rPr>
        <w:t xml:space="preserve">thus </w:t>
      </w:r>
      <w:r w:rsidR="002B0EF4" w:rsidRPr="00B35A0B">
        <w:rPr>
          <w:rFonts w:cs="Arial"/>
          <w:bCs/>
          <w:sz w:val="22"/>
          <w:szCs w:val="22"/>
        </w:rPr>
        <w:t>distinguishable from the current issues before me and does not serve to assist the respondents.</w:t>
      </w:r>
      <w:r w:rsidR="00B03C3B" w:rsidRPr="00B35A0B">
        <w:rPr>
          <w:rFonts w:cs="Arial"/>
          <w:bCs/>
          <w:sz w:val="22"/>
          <w:szCs w:val="22"/>
        </w:rPr>
        <w:t xml:space="preserve"> </w:t>
      </w:r>
    </w:p>
    <w:p w:rsidR="00A54201" w:rsidRPr="00B35A0B" w:rsidRDefault="00CA5BDF" w:rsidP="00CA5BDF">
      <w:pPr>
        <w:tabs>
          <w:tab w:val="left" w:pos="680"/>
        </w:tabs>
        <w:spacing w:before="360" w:after="360" w:line="480" w:lineRule="auto"/>
        <w:jc w:val="both"/>
        <w:rPr>
          <w:rFonts w:cs="Arial"/>
          <w:bCs/>
          <w:sz w:val="22"/>
          <w:szCs w:val="22"/>
        </w:rPr>
      </w:pPr>
      <w:r w:rsidRPr="00B35A0B">
        <w:rPr>
          <w:rFonts w:cs="Arial"/>
          <w:bCs/>
          <w:sz w:val="21"/>
          <w:szCs w:val="21"/>
        </w:rPr>
        <w:t>[36]</w:t>
      </w:r>
      <w:r w:rsidRPr="00B35A0B">
        <w:rPr>
          <w:rFonts w:cs="Arial"/>
          <w:bCs/>
          <w:sz w:val="21"/>
          <w:szCs w:val="21"/>
        </w:rPr>
        <w:tab/>
      </w:r>
      <w:r w:rsidR="00A54201" w:rsidRPr="00B35A0B">
        <w:rPr>
          <w:rFonts w:cs="Arial"/>
          <w:bCs/>
          <w:sz w:val="22"/>
          <w:szCs w:val="22"/>
        </w:rPr>
        <w:t>The respondents invoked s7 of the Management Act</w:t>
      </w:r>
      <w:r w:rsidR="00E50650" w:rsidRPr="00B35A0B">
        <w:rPr>
          <w:rFonts w:cs="Arial"/>
          <w:bCs/>
          <w:sz w:val="22"/>
          <w:szCs w:val="22"/>
        </w:rPr>
        <w:t xml:space="preserve"> in respect of</w:t>
      </w:r>
      <w:r w:rsidR="00A54201" w:rsidRPr="00B35A0B">
        <w:rPr>
          <w:rFonts w:cs="Arial"/>
          <w:bCs/>
          <w:sz w:val="22"/>
          <w:szCs w:val="22"/>
        </w:rPr>
        <w:t xml:space="preserve"> trustees of bodies corporate. Section 7(1) provides that the functions and powers of the body corporate must, subject to the provisions of the Management Act, the rules and any restriction imposed or direction given at a general meeting of the owners of </w:t>
      </w:r>
      <w:r w:rsidR="00E50650" w:rsidRPr="00B35A0B">
        <w:rPr>
          <w:rFonts w:cs="Arial"/>
          <w:bCs/>
          <w:sz w:val="22"/>
          <w:szCs w:val="22"/>
        </w:rPr>
        <w:t xml:space="preserve">sections or units in a scheme, </w:t>
      </w:r>
      <w:r w:rsidR="00A54201" w:rsidRPr="00B35A0B">
        <w:rPr>
          <w:rFonts w:cs="Arial"/>
          <w:bCs/>
          <w:sz w:val="22"/>
          <w:szCs w:val="22"/>
        </w:rPr>
        <w:t>be performed and exercised by the trustees of the body corporate holding office in terms of the rules.</w:t>
      </w:r>
    </w:p>
    <w:p w:rsidR="00A54201" w:rsidRPr="00B35A0B" w:rsidRDefault="00CA5BDF" w:rsidP="00CA5BDF">
      <w:pPr>
        <w:tabs>
          <w:tab w:val="left" w:pos="680"/>
        </w:tabs>
        <w:spacing w:before="360" w:after="360" w:line="480" w:lineRule="auto"/>
        <w:jc w:val="both"/>
        <w:rPr>
          <w:rFonts w:cs="Arial"/>
          <w:bCs/>
          <w:sz w:val="22"/>
          <w:szCs w:val="22"/>
        </w:rPr>
      </w:pPr>
      <w:r w:rsidRPr="00B35A0B">
        <w:rPr>
          <w:rFonts w:cs="Arial"/>
          <w:bCs/>
          <w:sz w:val="21"/>
          <w:szCs w:val="21"/>
        </w:rPr>
        <w:t>[37]</w:t>
      </w:r>
      <w:r w:rsidRPr="00B35A0B">
        <w:rPr>
          <w:rFonts w:cs="Arial"/>
          <w:bCs/>
          <w:sz w:val="21"/>
          <w:szCs w:val="21"/>
        </w:rPr>
        <w:tab/>
      </w:r>
      <w:r w:rsidR="00A54201" w:rsidRPr="00B35A0B">
        <w:rPr>
          <w:rFonts w:cs="Arial"/>
          <w:bCs/>
          <w:sz w:val="22"/>
          <w:szCs w:val="22"/>
        </w:rPr>
        <w:t>The respondents a</w:t>
      </w:r>
      <w:r w:rsidR="00E50650" w:rsidRPr="00B35A0B">
        <w:rPr>
          <w:rFonts w:cs="Arial"/>
          <w:bCs/>
          <w:sz w:val="22"/>
          <w:szCs w:val="22"/>
        </w:rPr>
        <w:t xml:space="preserve">rgued that the resolution passed </w:t>
      </w:r>
      <w:r w:rsidR="00A54201" w:rsidRPr="00B35A0B">
        <w:rPr>
          <w:rFonts w:cs="Arial"/>
          <w:bCs/>
          <w:sz w:val="22"/>
          <w:szCs w:val="22"/>
        </w:rPr>
        <w:t>at the special general meeting   of the Body Corporate on 17 June 2021, constituted a restriction imposed or a direction given at a general meeting of the owners of The Melville and that the Trustees were obliged to implement and enforce the security protocol accordingly.</w:t>
      </w:r>
    </w:p>
    <w:p w:rsidR="00950BBF" w:rsidRPr="00B35A0B" w:rsidRDefault="00CA5BDF" w:rsidP="00CA5BDF">
      <w:pPr>
        <w:tabs>
          <w:tab w:val="left" w:pos="680"/>
        </w:tabs>
        <w:spacing w:before="360" w:after="360" w:line="480" w:lineRule="auto"/>
        <w:jc w:val="both"/>
        <w:rPr>
          <w:rFonts w:cs="Arial"/>
          <w:bCs/>
          <w:sz w:val="22"/>
          <w:szCs w:val="22"/>
        </w:rPr>
      </w:pPr>
      <w:r w:rsidRPr="00B35A0B">
        <w:rPr>
          <w:rFonts w:cs="Arial"/>
          <w:bCs/>
          <w:sz w:val="21"/>
          <w:szCs w:val="21"/>
        </w:rPr>
        <w:t>[38]</w:t>
      </w:r>
      <w:r w:rsidRPr="00B35A0B">
        <w:rPr>
          <w:rFonts w:cs="Arial"/>
          <w:bCs/>
          <w:sz w:val="21"/>
          <w:szCs w:val="21"/>
        </w:rPr>
        <w:tab/>
      </w:r>
      <w:r w:rsidR="00950BBF" w:rsidRPr="00B35A0B">
        <w:rPr>
          <w:rFonts w:cs="Arial"/>
          <w:bCs/>
          <w:sz w:val="22"/>
          <w:szCs w:val="22"/>
        </w:rPr>
        <w:t>I turn to consider the issues raised in the appeal.</w:t>
      </w:r>
    </w:p>
    <w:p w:rsidR="00950BBF" w:rsidRPr="00B35A0B" w:rsidRDefault="00CA5BDF" w:rsidP="00CA5BDF">
      <w:pPr>
        <w:tabs>
          <w:tab w:val="left" w:pos="680"/>
        </w:tabs>
        <w:spacing w:before="360" w:after="360" w:line="480" w:lineRule="auto"/>
        <w:jc w:val="both"/>
        <w:rPr>
          <w:rFonts w:cs="Arial"/>
          <w:bCs/>
          <w:sz w:val="22"/>
          <w:szCs w:val="22"/>
        </w:rPr>
      </w:pPr>
      <w:r w:rsidRPr="00B35A0B">
        <w:rPr>
          <w:rFonts w:cs="Arial"/>
          <w:bCs/>
          <w:sz w:val="21"/>
          <w:szCs w:val="21"/>
        </w:rPr>
        <w:t>[39]</w:t>
      </w:r>
      <w:r w:rsidRPr="00B35A0B">
        <w:rPr>
          <w:rFonts w:cs="Arial"/>
          <w:bCs/>
          <w:sz w:val="21"/>
          <w:szCs w:val="21"/>
        </w:rPr>
        <w:tab/>
      </w:r>
      <w:r w:rsidR="00950BBF" w:rsidRPr="00B35A0B">
        <w:rPr>
          <w:rFonts w:cs="Arial"/>
          <w:bCs/>
          <w:sz w:val="22"/>
          <w:szCs w:val="22"/>
        </w:rPr>
        <w:t>As stated afore, the respondent</w:t>
      </w:r>
      <w:r w:rsidR="00ED1FA5">
        <w:rPr>
          <w:rFonts w:cs="Arial"/>
          <w:bCs/>
          <w:sz w:val="22"/>
          <w:szCs w:val="22"/>
        </w:rPr>
        <w:t>s</w:t>
      </w:r>
      <w:r w:rsidR="00950BBF" w:rsidRPr="00B35A0B">
        <w:rPr>
          <w:rFonts w:cs="Arial"/>
          <w:bCs/>
          <w:sz w:val="22"/>
          <w:szCs w:val="22"/>
        </w:rPr>
        <w:t xml:space="preserve"> accepted that The Melville rules were conduct rules.</w:t>
      </w:r>
    </w:p>
    <w:p w:rsidR="00EB21FA" w:rsidRPr="00D87E29" w:rsidRDefault="00CA5BDF" w:rsidP="00CA5BDF">
      <w:pPr>
        <w:tabs>
          <w:tab w:val="left" w:pos="680"/>
        </w:tabs>
        <w:spacing w:before="360" w:after="360" w:line="480" w:lineRule="auto"/>
        <w:jc w:val="both"/>
        <w:rPr>
          <w:rFonts w:cs="Arial"/>
          <w:bCs/>
          <w:sz w:val="22"/>
          <w:szCs w:val="22"/>
        </w:rPr>
      </w:pPr>
      <w:r w:rsidRPr="00D87E29">
        <w:rPr>
          <w:rFonts w:cs="Arial"/>
          <w:bCs/>
          <w:sz w:val="21"/>
          <w:szCs w:val="21"/>
        </w:rPr>
        <w:lastRenderedPageBreak/>
        <w:t>[40]</w:t>
      </w:r>
      <w:r w:rsidRPr="00D87E29">
        <w:rPr>
          <w:rFonts w:cs="Arial"/>
          <w:bCs/>
          <w:sz w:val="21"/>
          <w:szCs w:val="21"/>
        </w:rPr>
        <w:tab/>
      </w:r>
      <w:r w:rsidR="00D7587C" w:rsidRPr="00B35A0B">
        <w:rPr>
          <w:rFonts w:cs="Arial"/>
          <w:bCs/>
          <w:sz w:val="22"/>
          <w:szCs w:val="22"/>
        </w:rPr>
        <w:t>C</w:t>
      </w:r>
      <w:r w:rsidR="000500E5" w:rsidRPr="00B35A0B">
        <w:rPr>
          <w:rFonts w:cs="Arial"/>
          <w:bCs/>
          <w:sz w:val="22"/>
          <w:szCs w:val="22"/>
        </w:rPr>
        <w:t>onduct rules, as their name implies, regulate the cond</w:t>
      </w:r>
      <w:r w:rsidR="00ED1FA5">
        <w:rPr>
          <w:rFonts w:cs="Arial"/>
          <w:bCs/>
          <w:sz w:val="22"/>
          <w:szCs w:val="22"/>
        </w:rPr>
        <w:t>uct of residents of</w:t>
      </w:r>
      <w:r w:rsidR="00EB21FA" w:rsidRPr="00B35A0B">
        <w:rPr>
          <w:rFonts w:cs="Arial"/>
          <w:bCs/>
          <w:sz w:val="22"/>
          <w:szCs w:val="22"/>
        </w:rPr>
        <w:t xml:space="preserve"> a scheme. A perusal of the prescribed conduct rules</w:t>
      </w:r>
      <w:r w:rsidR="00EB21FA" w:rsidRPr="00B35A0B">
        <w:rPr>
          <w:rStyle w:val="FootnoteReference"/>
          <w:rFonts w:cs="Arial"/>
          <w:bCs/>
          <w:sz w:val="22"/>
          <w:szCs w:val="22"/>
        </w:rPr>
        <w:footnoteReference w:id="12"/>
      </w:r>
      <w:r w:rsidR="00EB21FA" w:rsidRPr="00B35A0B">
        <w:rPr>
          <w:rFonts w:cs="Arial"/>
          <w:bCs/>
          <w:sz w:val="22"/>
          <w:szCs w:val="22"/>
        </w:rPr>
        <w:t xml:space="preserve"> evidences that they provide what residents of a scheme may or may not do in respect of various aspects of community </w:t>
      </w:r>
      <w:r w:rsidR="00EB21FA" w:rsidRPr="00D87E29">
        <w:rPr>
          <w:rFonts w:cs="Arial"/>
          <w:bCs/>
          <w:sz w:val="22"/>
          <w:szCs w:val="22"/>
        </w:rPr>
        <w:t xml:space="preserve">living, including </w:t>
      </w:r>
      <w:r w:rsidR="00ED1FA5">
        <w:rPr>
          <w:rFonts w:cs="Arial"/>
          <w:bCs/>
          <w:sz w:val="22"/>
          <w:szCs w:val="22"/>
        </w:rPr>
        <w:t xml:space="preserve">in respect of </w:t>
      </w:r>
      <w:r w:rsidR="00EB21FA" w:rsidRPr="00D87E29">
        <w:rPr>
          <w:rFonts w:cs="Arial"/>
          <w:bCs/>
          <w:sz w:val="22"/>
          <w:szCs w:val="22"/>
        </w:rPr>
        <w:t xml:space="preserve">rubbish, pets and maintaining the common area. The purpose of conduct rules is to promote harmonious communal living of residents in a scheme. </w:t>
      </w:r>
    </w:p>
    <w:p w:rsidR="00EB21FA" w:rsidRDefault="00CA5BDF" w:rsidP="00CA5BDF">
      <w:pPr>
        <w:tabs>
          <w:tab w:val="left" w:pos="680"/>
        </w:tabs>
        <w:spacing w:before="360" w:after="360" w:line="480" w:lineRule="auto"/>
        <w:jc w:val="both"/>
        <w:rPr>
          <w:rFonts w:cs="Arial"/>
          <w:bCs/>
          <w:sz w:val="22"/>
          <w:szCs w:val="22"/>
        </w:rPr>
      </w:pPr>
      <w:r>
        <w:rPr>
          <w:rFonts w:cs="Arial"/>
          <w:bCs/>
          <w:sz w:val="21"/>
          <w:szCs w:val="21"/>
        </w:rPr>
        <w:t>[41]</w:t>
      </w:r>
      <w:r>
        <w:rPr>
          <w:rFonts w:cs="Arial"/>
          <w:bCs/>
          <w:sz w:val="21"/>
          <w:szCs w:val="21"/>
        </w:rPr>
        <w:tab/>
      </w:r>
      <w:r w:rsidR="00EB21FA">
        <w:rPr>
          <w:rFonts w:cs="Arial"/>
          <w:bCs/>
          <w:sz w:val="22"/>
          <w:szCs w:val="22"/>
        </w:rPr>
        <w:t>Accordingly, conduct rule</w:t>
      </w:r>
      <w:r w:rsidR="00D87E29">
        <w:rPr>
          <w:rFonts w:cs="Arial"/>
          <w:bCs/>
          <w:sz w:val="22"/>
          <w:szCs w:val="22"/>
        </w:rPr>
        <w:t>s, including The Melville r</w:t>
      </w:r>
      <w:r w:rsidR="00D87E29" w:rsidRPr="00EB21FA">
        <w:rPr>
          <w:rFonts w:cs="Arial"/>
          <w:bCs/>
          <w:sz w:val="22"/>
          <w:szCs w:val="22"/>
        </w:rPr>
        <w:t>ules</w:t>
      </w:r>
      <w:r w:rsidR="00D87E29">
        <w:rPr>
          <w:rFonts w:cs="Arial"/>
          <w:bCs/>
          <w:sz w:val="22"/>
          <w:szCs w:val="22"/>
        </w:rPr>
        <w:t>,</w:t>
      </w:r>
      <w:r w:rsidR="00D87E29" w:rsidRPr="00EB21FA">
        <w:rPr>
          <w:rFonts w:cs="Arial"/>
          <w:bCs/>
          <w:sz w:val="22"/>
          <w:szCs w:val="22"/>
        </w:rPr>
        <w:t xml:space="preserve"> </w:t>
      </w:r>
      <w:r w:rsidR="00D87E29">
        <w:rPr>
          <w:rFonts w:cs="Arial"/>
          <w:bCs/>
          <w:sz w:val="22"/>
          <w:szCs w:val="22"/>
        </w:rPr>
        <w:t>regulate what residents in a</w:t>
      </w:r>
      <w:r w:rsidR="00EB21FA">
        <w:rPr>
          <w:rFonts w:cs="Arial"/>
          <w:bCs/>
          <w:sz w:val="22"/>
          <w:szCs w:val="22"/>
        </w:rPr>
        <w:t xml:space="preserve"> scheme may and may not do. </w:t>
      </w:r>
    </w:p>
    <w:p w:rsidR="00627401" w:rsidRPr="00DB2585" w:rsidRDefault="00CA5BDF" w:rsidP="00CA5BDF">
      <w:pPr>
        <w:tabs>
          <w:tab w:val="left" w:pos="680"/>
        </w:tabs>
        <w:spacing w:before="360" w:after="360" w:line="480" w:lineRule="auto"/>
        <w:jc w:val="both"/>
        <w:rPr>
          <w:rFonts w:cs="Arial"/>
          <w:bCs/>
          <w:sz w:val="22"/>
          <w:szCs w:val="22"/>
        </w:rPr>
      </w:pPr>
      <w:r w:rsidRPr="00DB2585">
        <w:rPr>
          <w:rFonts w:cs="Arial"/>
          <w:bCs/>
          <w:sz w:val="21"/>
          <w:szCs w:val="21"/>
        </w:rPr>
        <w:t>[42]</w:t>
      </w:r>
      <w:r w:rsidRPr="00DB2585">
        <w:rPr>
          <w:rFonts w:cs="Arial"/>
          <w:bCs/>
          <w:sz w:val="21"/>
          <w:szCs w:val="21"/>
        </w:rPr>
        <w:tab/>
      </w:r>
      <w:r w:rsidR="00DB2585" w:rsidRPr="00DB2585">
        <w:rPr>
          <w:rFonts w:cs="Arial"/>
          <w:bCs/>
          <w:sz w:val="22"/>
          <w:szCs w:val="22"/>
        </w:rPr>
        <w:t xml:space="preserve">It is instructive to have regard to the </w:t>
      </w:r>
      <w:r w:rsidR="00D87E29" w:rsidRPr="00DB2585">
        <w:rPr>
          <w:rFonts w:cs="Arial"/>
          <w:bCs/>
          <w:sz w:val="22"/>
          <w:szCs w:val="22"/>
        </w:rPr>
        <w:t>exis</w:t>
      </w:r>
      <w:r w:rsidR="00DB2585" w:rsidRPr="00DB2585">
        <w:rPr>
          <w:rFonts w:cs="Arial"/>
          <w:bCs/>
          <w:sz w:val="22"/>
          <w:szCs w:val="22"/>
        </w:rPr>
        <w:t xml:space="preserve">ting The Melville rules in respect of access of visitors, contractors and the like into The Melville. </w:t>
      </w:r>
      <w:r w:rsidR="00B528F3" w:rsidRPr="00DB2585">
        <w:rPr>
          <w:rFonts w:cs="Arial"/>
          <w:bCs/>
          <w:sz w:val="22"/>
          <w:szCs w:val="22"/>
        </w:rPr>
        <w:t>R</w:t>
      </w:r>
      <w:r w:rsidR="0037358B" w:rsidRPr="00DB2585">
        <w:rPr>
          <w:rFonts w:cs="Arial"/>
          <w:bCs/>
          <w:sz w:val="22"/>
          <w:szCs w:val="22"/>
        </w:rPr>
        <w:t xml:space="preserve">ule 9(b) </w:t>
      </w:r>
      <w:r w:rsidR="00DB2585" w:rsidRPr="00DB2585">
        <w:rPr>
          <w:rFonts w:cs="Arial"/>
          <w:bCs/>
          <w:sz w:val="22"/>
          <w:szCs w:val="22"/>
        </w:rPr>
        <w:t>of The Melville r</w:t>
      </w:r>
      <w:r w:rsidR="00B528F3" w:rsidRPr="00DB2585">
        <w:rPr>
          <w:rFonts w:cs="Arial"/>
          <w:bCs/>
          <w:sz w:val="22"/>
          <w:szCs w:val="22"/>
        </w:rPr>
        <w:t xml:space="preserve">ules </w:t>
      </w:r>
      <w:r w:rsidR="0037358B" w:rsidRPr="00DB2585">
        <w:rPr>
          <w:rFonts w:cs="Arial"/>
          <w:bCs/>
          <w:sz w:val="22"/>
          <w:szCs w:val="22"/>
        </w:rPr>
        <w:t>provides that all visitors and contractors, being persons attending at</w:t>
      </w:r>
      <w:r w:rsidR="00B528F3" w:rsidRPr="00DB2585">
        <w:rPr>
          <w:rFonts w:cs="Arial"/>
          <w:bCs/>
          <w:sz w:val="22"/>
          <w:szCs w:val="22"/>
        </w:rPr>
        <w:t xml:space="preserve"> The </w:t>
      </w:r>
      <w:r w:rsidR="00EB21FA" w:rsidRPr="00DB2585">
        <w:rPr>
          <w:rFonts w:cs="Arial"/>
          <w:bCs/>
          <w:sz w:val="22"/>
          <w:szCs w:val="22"/>
        </w:rPr>
        <w:t>Melville</w:t>
      </w:r>
      <w:r w:rsidR="00B528F3" w:rsidRPr="00DB2585">
        <w:rPr>
          <w:rFonts w:cs="Arial"/>
          <w:bCs/>
          <w:sz w:val="22"/>
          <w:szCs w:val="22"/>
        </w:rPr>
        <w:t>,</w:t>
      </w:r>
      <w:r w:rsidR="0037358B" w:rsidRPr="00DB2585">
        <w:rPr>
          <w:rFonts w:cs="Arial"/>
          <w:bCs/>
          <w:sz w:val="22"/>
          <w:szCs w:val="22"/>
        </w:rPr>
        <w:t xml:space="preserve"> are entitled to access </w:t>
      </w:r>
      <w:r w:rsidR="00DB2585" w:rsidRPr="00DB2585">
        <w:rPr>
          <w:rFonts w:cs="Arial"/>
          <w:bCs/>
          <w:sz w:val="22"/>
          <w:szCs w:val="22"/>
        </w:rPr>
        <w:t>The Melville</w:t>
      </w:r>
      <w:r w:rsidR="0037358B" w:rsidRPr="00DB2585">
        <w:rPr>
          <w:rFonts w:cs="Arial"/>
          <w:bCs/>
          <w:sz w:val="22"/>
          <w:szCs w:val="22"/>
        </w:rPr>
        <w:t xml:space="preserve"> subject to the relevant </w:t>
      </w:r>
      <w:r w:rsidR="00DB2585" w:rsidRPr="00DB2585">
        <w:rPr>
          <w:rFonts w:cs="Arial"/>
          <w:bCs/>
          <w:sz w:val="22"/>
          <w:szCs w:val="22"/>
        </w:rPr>
        <w:t>occupier of The Melville</w:t>
      </w:r>
      <w:r w:rsidR="0037358B" w:rsidRPr="00DB2585">
        <w:rPr>
          <w:rFonts w:cs="Arial"/>
          <w:bCs/>
          <w:sz w:val="22"/>
          <w:szCs w:val="22"/>
        </w:rPr>
        <w:t xml:space="preserve"> permitting the visitor or contractor to do so. </w:t>
      </w:r>
    </w:p>
    <w:p w:rsidR="0084316F" w:rsidRDefault="00CA5BDF" w:rsidP="00CA5BDF">
      <w:pPr>
        <w:tabs>
          <w:tab w:val="left" w:pos="680"/>
        </w:tabs>
        <w:spacing w:before="360" w:after="360" w:line="480" w:lineRule="auto"/>
        <w:jc w:val="both"/>
        <w:rPr>
          <w:rFonts w:cs="Arial"/>
          <w:bCs/>
          <w:sz w:val="22"/>
          <w:szCs w:val="22"/>
        </w:rPr>
      </w:pPr>
      <w:r>
        <w:rPr>
          <w:rFonts w:cs="Arial"/>
          <w:bCs/>
          <w:sz w:val="21"/>
          <w:szCs w:val="21"/>
        </w:rPr>
        <w:t>[43]</w:t>
      </w:r>
      <w:r>
        <w:rPr>
          <w:rFonts w:cs="Arial"/>
          <w:bCs/>
          <w:sz w:val="21"/>
          <w:szCs w:val="21"/>
        </w:rPr>
        <w:tab/>
      </w:r>
      <w:r w:rsidR="0037358B" w:rsidRPr="00DB2585">
        <w:rPr>
          <w:rFonts w:cs="Arial"/>
          <w:bCs/>
          <w:sz w:val="22"/>
          <w:szCs w:val="22"/>
        </w:rPr>
        <w:t xml:space="preserve">The </w:t>
      </w:r>
      <w:r w:rsidR="00DB2585" w:rsidRPr="00DB2585">
        <w:rPr>
          <w:rFonts w:cs="Arial"/>
          <w:bCs/>
          <w:sz w:val="22"/>
          <w:szCs w:val="22"/>
        </w:rPr>
        <w:t>respondent</w:t>
      </w:r>
      <w:r w:rsidR="00ED1FA5">
        <w:rPr>
          <w:rFonts w:cs="Arial"/>
          <w:bCs/>
          <w:sz w:val="22"/>
          <w:szCs w:val="22"/>
        </w:rPr>
        <w:t>s</w:t>
      </w:r>
      <w:r w:rsidR="00DB2585" w:rsidRPr="00DB2585">
        <w:rPr>
          <w:rFonts w:cs="Arial"/>
          <w:bCs/>
          <w:sz w:val="22"/>
          <w:szCs w:val="22"/>
        </w:rPr>
        <w:t xml:space="preserve"> acknowledged that </w:t>
      </w:r>
      <w:r w:rsidR="0037358B" w:rsidRPr="00DB2585">
        <w:rPr>
          <w:rFonts w:cs="Arial"/>
          <w:bCs/>
          <w:sz w:val="22"/>
          <w:szCs w:val="22"/>
        </w:rPr>
        <w:t xml:space="preserve">deliveries and delivery personnel that are the subject of the security protocol, </w:t>
      </w:r>
      <w:r w:rsidR="00D43CD3">
        <w:rPr>
          <w:rFonts w:cs="Arial"/>
          <w:bCs/>
          <w:sz w:val="22"/>
          <w:szCs w:val="22"/>
        </w:rPr>
        <w:t>qualified</w:t>
      </w:r>
      <w:r w:rsidR="00DB2585" w:rsidRPr="00DB2585">
        <w:rPr>
          <w:rFonts w:cs="Arial"/>
          <w:bCs/>
          <w:sz w:val="22"/>
          <w:szCs w:val="22"/>
        </w:rPr>
        <w:t xml:space="preserve"> as </w:t>
      </w:r>
      <w:r w:rsidR="00D43CD3">
        <w:rPr>
          <w:rFonts w:cs="Arial"/>
          <w:bCs/>
          <w:sz w:val="22"/>
          <w:szCs w:val="22"/>
        </w:rPr>
        <w:t>‘contractors’</w:t>
      </w:r>
      <w:r w:rsidR="0084316F" w:rsidRPr="00DB2585">
        <w:rPr>
          <w:rFonts w:cs="Arial"/>
          <w:bCs/>
          <w:sz w:val="22"/>
          <w:szCs w:val="22"/>
        </w:rPr>
        <w:t xml:space="preserve"> as envisaged in</w:t>
      </w:r>
      <w:r w:rsidR="00DB2585" w:rsidRPr="00DB2585">
        <w:rPr>
          <w:rFonts w:cs="Arial"/>
          <w:bCs/>
          <w:sz w:val="22"/>
          <w:szCs w:val="22"/>
        </w:rPr>
        <w:t xml:space="preserve"> rule 9(b) of The Melville rules.</w:t>
      </w:r>
      <w:r w:rsidR="0084316F" w:rsidRPr="00DB2585">
        <w:rPr>
          <w:rFonts w:cs="Arial"/>
          <w:bCs/>
          <w:sz w:val="22"/>
          <w:szCs w:val="22"/>
        </w:rPr>
        <w:t xml:space="preserve"> </w:t>
      </w:r>
    </w:p>
    <w:p w:rsidR="00DB2585" w:rsidRPr="00DB2585" w:rsidRDefault="00CA5BDF" w:rsidP="00CA5BDF">
      <w:pPr>
        <w:tabs>
          <w:tab w:val="left" w:pos="680"/>
        </w:tabs>
        <w:spacing w:before="360" w:after="360" w:line="480" w:lineRule="auto"/>
        <w:jc w:val="both"/>
        <w:rPr>
          <w:rFonts w:cs="Arial"/>
          <w:bCs/>
          <w:sz w:val="22"/>
          <w:szCs w:val="22"/>
        </w:rPr>
      </w:pPr>
      <w:r w:rsidRPr="00DB2585">
        <w:rPr>
          <w:rFonts w:cs="Arial"/>
          <w:bCs/>
          <w:sz w:val="21"/>
          <w:szCs w:val="21"/>
        </w:rPr>
        <w:t>[44]</w:t>
      </w:r>
      <w:r w:rsidRPr="00DB2585">
        <w:rPr>
          <w:rFonts w:cs="Arial"/>
          <w:bCs/>
          <w:sz w:val="21"/>
          <w:szCs w:val="21"/>
        </w:rPr>
        <w:tab/>
      </w:r>
      <w:r w:rsidR="00DB2585">
        <w:rPr>
          <w:rFonts w:cs="Arial"/>
          <w:bCs/>
          <w:sz w:val="22"/>
          <w:szCs w:val="22"/>
        </w:rPr>
        <w:t xml:space="preserve">Hence, </w:t>
      </w:r>
      <w:r w:rsidR="00D43CD3">
        <w:rPr>
          <w:rFonts w:cs="Arial"/>
          <w:bCs/>
          <w:sz w:val="22"/>
          <w:szCs w:val="22"/>
        </w:rPr>
        <w:t xml:space="preserve">as with contractors in terms of rule 9(b), </w:t>
      </w:r>
      <w:r w:rsidR="00DB2585">
        <w:rPr>
          <w:rFonts w:cs="Arial"/>
          <w:bCs/>
          <w:sz w:val="22"/>
          <w:szCs w:val="22"/>
        </w:rPr>
        <w:t xml:space="preserve">the delivery </w:t>
      </w:r>
      <w:r w:rsidR="00D43CD3">
        <w:rPr>
          <w:rFonts w:cs="Arial"/>
          <w:bCs/>
          <w:sz w:val="22"/>
          <w:szCs w:val="22"/>
        </w:rPr>
        <w:t>personnel t</w:t>
      </w:r>
      <w:r w:rsidR="00DB2585">
        <w:rPr>
          <w:rFonts w:cs="Arial"/>
          <w:bCs/>
          <w:sz w:val="22"/>
          <w:szCs w:val="22"/>
        </w:rPr>
        <w:t xml:space="preserve">hat </w:t>
      </w:r>
      <w:r w:rsidR="00D43CD3">
        <w:rPr>
          <w:rFonts w:cs="Arial"/>
          <w:bCs/>
          <w:sz w:val="22"/>
          <w:szCs w:val="22"/>
        </w:rPr>
        <w:t>are</w:t>
      </w:r>
      <w:r w:rsidR="00DB2585">
        <w:rPr>
          <w:rFonts w:cs="Arial"/>
          <w:bCs/>
          <w:sz w:val="22"/>
          <w:szCs w:val="22"/>
        </w:rPr>
        <w:t xml:space="preserve"> the subject of the security protocol, are otherwise entitled to access </w:t>
      </w:r>
      <w:r w:rsidR="00DB2585" w:rsidRPr="00DB2585">
        <w:rPr>
          <w:rFonts w:cs="Arial"/>
          <w:bCs/>
          <w:sz w:val="22"/>
          <w:szCs w:val="22"/>
        </w:rPr>
        <w:t>The Melville subject to the relevant occupier of The Melville permitting the</w:t>
      </w:r>
      <w:r w:rsidR="00D43CD3" w:rsidRPr="00D43CD3">
        <w:rPr>
          <w:rFonts w:cs="Arial"/>
          <w:bCs/>
          <w:sz w:val="22"/>
          <w:szCs w:val="22"/>
        </w:rPr>
        <w:t xml:space="preserve"> </w:t>
      </w:r>
      <w:r w:rsidR="00D43CD3">
        <w:rPr>
          <w:rFonts w:cs="Arial"/>
          <w:bCs/>
          <w:sz w:val="22"/>
          <w:szCs w:val="22"/>
        </w:rPr>
        <w:t>delivery personnel</w:t>
      </w:r>
      <w:r w:rsidR="00DB2585" w:rsidRPr="00DB2585">
        <w:rPr>
          <w:rFonts w:cs="Arial"/>
          <w:bCs/>
          <w:sz w:val="22"/>
          <w:szCs w:val="22"/>
        </w:rPr>
        <w:t xml:space="preserve"> to do so. </w:t>
      </w:r>
    </w:p>
    <w:p w:rsidR="0084316F" w:rsidRDefault="00CA5BDF" w:rsidP="00CA5BDF">
      <w:pPr>
        <w:tabs>
          <w:tab w:val="left" w:pos="680"/>
        </w:tabs>
        <w:spacing w:before="360" w:after="360" w:line="480" w:lineRule="auto"/>
        <w:jc w:val="both"/>
        <w:rPr>
          <w:rFonts w:cs="Arial"/>
          <w:bCs/>
          <w:sz w:val="22"/>
          <w:szCs w:val="22"/>
        </w:rPr>
      </w:pPr>
      <w:r>
        <w:rPr>
          <w:rFonts w:cs="Arial"/>
          <w:bCs/>
          <w:sz w:val="21"/>
          <w:szCs w:val="21"/>
        </w:rPr>
        <w:t>[45]</w:t>
      </w:r>
      <w:r>
        <w:rPr>
          <w:rFonts w:cs="Arial"/>
          <w:bCs/>
          <w:sz w:val="21"/>
          <w:szCs w:val="21"/>
        </w:rPr>
        <w:tab/>
      </w:r>
      <w:r w:rsidR="00D43CD3">
        <w:rPr>
          <w:rFonts w:cs="Arial"/>
          <w:bCs/>
          <w:sz w:val="22"/>
          <w:szCs w:val="22"/>
        </w:rPr>
        <w:t>R</w:t>
      </w:r>
      <w:r w:rsidR="0084316F">
        <w:rPr>
          <w:rFonts w:cs="Arial"/>
          <w:bCs/>
          <w:sz w:val="22"/>
          <w:szCs w:val="22"/>
        </w:rPr>
        <w:t>ule</w:t>
      </w:r>
      <w:r w:rsidR="00D43CD3">
        <w:rPr>
          <w:rFonts w:cs="Arial"/>
          <w:bCs/>
          <w:sz w:val="22"/>
          <w:szCs w:val="22"/>
        </w:rPr>
        <w:t xml:space="preserve"> 9(b) continues to stand in </w:t>
      </w:r>
      <w:r w:rsidR="00D43CD3" w:rsidRPr="00DB2585">
        <w:rPr>
          <w:rFonts w:cs="Arial"/>
          <w:bCs/>
          <w:sz w:val="22"/>
          <w:szCs w:val="22"/>
        </w:rPr>
        <w:t xml:space="preserve">The Melville </w:t>
      </w:r>
      <w:r w:rsidR="00D43CD3">
        <w:rPr>
          <w:rFonts w:cs="Arial"/>
          <w:bCs/>
          <w:sz w:val="22"/>
          <w:szCs w:val="22"/>
        </w:rPr>
        <w:t>rules</w:t>
      </w:r>
      <w:r w:rsidR="0084316F">
        <w:rPr>
          <w:rFonts w:cs="Arial"/>
          <w:bCs/>
          <w:sz w:val="22"/>
          <w:szCs w:val="22"/>
        </w:rPr>
        <w:t xml:space="preserve"> notwithstanding the adoption and implementation of the security protocol. </w:t>
      </w:r>
      <w:r w:rsidR="00D43CD3">
        <w:rPr>
          <w:rFonts w:cs="Arial"/>
          <w:bCs/>
          <w:sz w:val="22"/>
          <w:szCs w:val="22"/>
        </w:rPr>
        <w:t xml:space="preserve">It is </w:t>
      </w:r>
      <w:r w:rsidR="001D6DA9">
        <w:rPr>
          <w:rFonts w:cs="Arial"/>
          <w:bCs/>
          <w:sz w:val="22"/>
          <w:szCs w:val="22"/>
        </w:rPr>
        <w:t>evident that rule 9(b)</w:t>
      </w:r>
      <w:r w:rsidR="00D43CD3">
        <w:rPr>
          <w:rFonts w:cs="Arial"/>
          <w:bCs/>
          <w:sz w:val="22"/>
          <w:szCs w:val="22"/>
        </w:rPr>
        <w:t xml:space="preserve">, </w:t>
      </w:r>
      <w:r w:rsidR="001D6DA9">
        <w:rPr>
          <w:rFonts w:cs="Arial"/>
          <w:bCs/>
          <w:sz w:val="22"/>
          <w:szCs w:val="22"/>
        </w:rPr>
        <w:t xml:space="preserve">insofar as it </w:t>
      </w:r>
      <w:r w:rsidR="00D43CD3">
        <w:rPr>
          <w:rFonts w:cs="Arial"/>
          <w:bCs/>
          <w:sz w:val="22"/>
          <w:szCs w:val="22"/>
        </w:rPr>
        <w:t>relates to delivery personnel</w:t>
      </w:r>
      <w:r w:rsidR="001D6DA9">
        <w:rPr>
          <w:rFonts w:cs="Arial"/>
          <w:bCs/>
          <w:sz w:val="22"/>
          <w:szCs w:val="22"/>
        </w:rPr>
        <w:t xml:space="preserve">, contradicts the security protocol. In the event that the security </w:t>
      </w:r>
      <w:r w:rsidR="001D6DA9">
        <w:rPr>
          <w:rFonts w:cs="Arial"/>
          <w:bCs/>
          <w:sz w:val="22"/>
          <w:szCs w:val="22"/>
        </w:rPr>
        <w:lastRenderedPageBreak/>
        <w:t xml:space="preserve">protocol is to </w:t>
      </w:r>
      <w:r w:rsidR="00D43CD3">
        <w:rPr>
          <w:rFonts w:cs="Arial"/>
          <w:bCs/>
          <w:sz w:val="22"/>
          <w:szCs w:val="22"/>
        </w:rPr>
        <w:t>prevail over the enforcement of</w:t>
      </w:r>
      <w:r w:rsidR="001D6DA9">
        <w:rPr>
          <w:rFonts w:cs="Arial"/>
          <w:bCs/>
          <w:sz w:val="22"/>
          <w:szCs w:val="22"/>
        </w:rPr>
        <w:t xml:space="preserve"> rule 9(b) </w:t>
      </w:r>
      <w:r w:rsidR="00D77556">
        <w:rPr>
          <w:rFonts w:cs="Arial"/>
          <w:bCs/>
          <w:sz w:val="22"/>
          <w:szCs w:val="22"/>
        </w:rPr>
        <w:t>in respect of delivery personnel,</w:t>
      </w:r>
      <w:r w:rsidR="001D6DA9">
        <w:rPr>
          <w:rFonts w:cs="Arial"/>
          <w:bCs/>
          <w:sz w:val="22"/>
          <w:szCs w:val="22"/>
        </w:rPr>
        <w:t xml:space="preserve"> then rule 9(b) must be </w:t>
      </w:r>
      <w:r w:rsidR="004950DA">
        <w:rPr>
          <w:rFonts w:cs="Arial"/>
          <w:bCs/>
          <w:sz w:val="22"/>
          <w:szCs w:val="22"/>
        </w:rPr>
        <w:t xml:space="preserve">understood as being </w:t>
      </w:r>
      <w:r w:rsidR="001D6DA9">
        <w:rPr>
          <w:rFonts w:cs="Arial"/>
          <w:bCs/>
          <w:sz w:val="22"/>
          <w:szCs w:val="22"/>
        </w:rPr>
        <w:t>amended by the terms of the</w:t>
      </w:r>
      <w:r w:rsidR="00D77556">
        <w:rPr>
          <w:rFonts w:cs="Arial"/>
          <w:bCs/>
          <w:sz w:val="22"/>
          <w:szCs w:val="22"/>
        </w:rPr>
        <w:t xml:space="preserve"> security protocol insofar as the security protocol </w:t>
      </w:r>
      <w:r w:rsidR="001D6DA9">
        <w:rPr>
          <w:rFonts w:cs="Arial"/>
          <w:bCs/>
          <w:sz w:val="22"/>
          <w:szCs w:val="22"/>
        </w:rPr>
        <w:t xml:space="preserve">regulates access and egress of </w:t>
      </w:r>
      <w:r w:rsidR="00D77556">
        <w:rPr>
          <w:rFonts w:cs="Arial"/>
          <w:bCs/>
          <w:sz w:val="22"/>
          <w:szCs w:val="22"/>
        </w:rPr>
        <w:t xml:space="preserve">delivery personnel </w:t>
      </w:r>
      <w:r w:rsidR="00D77556" w:rsidRPr="00D77556">
        <w:rPr>
          <w:rFonts w:cs="Arial"/>
          <w:bCs/>
          <w:i/>
          <w:sz w:val="22"/>
          <w:szCs w:val="22"/>
        </w:rPr>
        <w:t>qua</w:t>
      </w:r>
      <w:r w:rsidR="00D77556">
        <w:rPr>
          <w:rFonts w:cs="Arial"/>
          <w:bCs/>
          <w:sz w:val="22"/>
          <w:szCs w:val="22"/>
        </w:rPr>
        <w:t xml:space="preserve"> contractors</w:t>
      </w:r>
      <w:r w:rsidR="004950DA">
        <w:rPr>
          <w:rFonts w:cs="Arial"/>
          <w:bCs/>
          <w:sz w:val="22"/>
          <w:szCs w:val="22"/>
        </w:rPr>
        <w:t>,</w:t>
      </w:r>
      <w:r w:rsidR="00D77556">
        <w:rPr>
          <w:rFonts w:cs="Arial"/>
          <w:bCs/>
          <w:sz w:val="22"/>
          <w:szCs w:val="22"/>
        </w:rPr>
        <w:t xml:space="preserve"> </w:t>
      </w:r>
      <w:r w:rsidR="001D6DA9">
        <w:rPr>
          <w:rFonts w:cs="Arial"/>
          <w:bCs/>
          <w:sz w:val="22"/>
          <w:szCs w:val="22"/>
        </w:rPr>
        <w:t xml:space="preserve">into and out of </w:t>
      </w:r>
      <w:r w:rsidR="00D77556" w:rsidRPr="00DB2585">
        <w:rPr>
          <w:rFonts w:cs="Arial"/>
          <w:bCs/>
          <w:sz w:val="22"/>
          <w:szCs w:val="22"/>
        </w:rPr>
        <w:t>The Melville</w:t>
      </w:r>
      <w:r w:rsidR="00D77556">
        <w:rPr>
          <w:rFonts w:cs="Arial"/>
          <w:bCs/>
          <w:sz w:val="22"/>
          <w:szCs w:val="22"/>
        </w:rPr>
        <w:t>.</w:t>
      </w:r>
      <w:r w:rsidR="001D6DA9">
        <w:rPr>
          <w:rFonts w:cs="Arial"/>
          <w:bCs/>
          <w:sz w:val="22"/>
          <w:szCs w:val="22"/>
        </w:rPr>
        <w:t xml:space="preserve"> </w:t>
      </w:r>
    </w:p>
    <w:p w:rsidR="00D77556" w:rsidRDefault="00CA5BDF" w:rsidP="00CA5BDF">
      <w:pPr>
        <w:tabs>
          <w:tab w:val="left" w:pos="680"/>
        </w:tabs>
        <w:spacing w:before="360" w:after="360" w:line="480" w:lineRule="auto"/>
        <w:jc w:val="both"/>
        <w:rPr>
          <w:rFonts w:cs="Arial"/>
          <w:bCs/>
          <w:sz w:val="22"/>
          <w:szCs w:val="22"/>
        </w:rPr>
      </w:pPr>
      <w:r>
        <w:rPr>
          <w:rFonts w:cs="Arial"/>
          <w:bCs/>
          <w:sz w:val="21"/>
          <w:szCs w:val="21"/>
        </w:rPr>
        <w:t>[46]</w:t>
      </w:r>
      <w:r>
        <w:rPr>
          <w:rFonts w:cs="Arial"/>
          <w:bCs/>
          <w:sz w:val="21"/>
          <w:szCs w:val="21"/>
        </w:rPr>
        <w:tab/>
      </w:r>
      <w:r w:rsidR="00D77556">
        <w:rPr>
          <w:rFonts w:cs="Arial"/>
          <w:bCs/>
          <w:sz w:val="22"/>
          <w:szCs w:val="22"/>
        </w:rPr>
        <w:t xml:space="preserve">The reference to contractors in rule 9(b) permits </w:t>
      </w:r>
      <w:r w:rsidR="001D6DA9">
        <w:rPr>
          <w:rFonts w:cs="Arial"/>
          <w:bCs/>
          <w:sz w:val="22"/>
          <w:szCs w:val="22"/>
        </w:rPr>
        <w:t>a wider</w:t>
      </w:r>
      <w:r w:rsidR="00D77556">
        <w:rPr>
          <w:rFonts w:cs="Arial"/>
          <w:bCs/>
          <w:sz w:val="22"/>
          <w:szCs w:val="22"/>
        </w:rPr>
        <w:t xml:space="preserve"> definition of contractors than merely</w:t>
      </w:r>
      <w:r w:rsidR="001D6DA9">
        <w:rPr>
          <w:rFonts w:cs="Arial"/>
          <w:bCs/>
          <w:sz w:val="22"/>
          <w:szCs w:val="22"/>
        </w:rPr>
        <w:t xml:space="preserve"> deliveries and delivery personnel. Contractors such as builders</w:t>
      </w:r>
      <w:r w:rsidR="00D77556">
        <w:rPr>
          <w:rFonts w:cs="Arial"/>
          <w:bCs/>
          <w:sz w:val="22"/>
          <w:szCs w:val="22"/>
        </w:rPr>
        <w:t xml:space="preserve">, plumbers </w:t>
      </w:r>
      <w:r w:rsidR="001D6DA9">
        <w:rPr>
          <w:rFonts w:cs="Arial"/>
          <w:bCs/>
          <w:sz w:val="22"/>
          <w:szCs w:val="22"/>
        </w:rPr>
        <w:t xml:space="preserve">and the like would </w:t>
      </w:r>
      <w:r w:rsidR="00D77556">
        <w:rPr>
          <w:rFonts w:cs="Arial"/>
          <w:bCs/>
          <w:sz w:val="22"/>
          <w:szCs w:val="22"/>
        </w:rPr>
        <w:t xml:space="preserve">be included in the term </w:t>
      </w:r>
      <w:r w:rsidR="001D6DA9">
        <w:rPr>
          <w:rFonts w:cs="Arial"/>
          <w:bCs/>
          <w:sz w:val="22"/>
          <w:szCs w:val="22"/>
        </w:rPr>
        <w:t>contractors i</w:t>
      </w:r>
      <w:r w:rsidR="00D77556">
        <w:rPr>
          <w:rFonts w:cs="Arial"/>
          <w:bCs/>
          <w:sz w:val="22"/>
          <w:szCs w:val="22"/>
        </w:rPr>
        <w:t xml:space="preserve">n </w:t>
      </w:r>
      <w:r w:rsidR="001D6DA9">
        <w:rPr>
          <w:rFonts w:cs="Arial"/>
          <w:bCs/>
          <w:sz w:val="22"/>
          <w:szCs w:val="22"/>
        </w:rPr>
        <w:t xml:space="preserve">rule 9(b). </w:t>
      </w:r>
    </w:p>
    <w:p w:rsidR="00627401" w:rsidRPr="00D77556" w:rsidRDefault="00CA5BDF" w:rsidP="00CA5BDF">
      <w:pPr>
        <w:tabs>
          <w:tab w:val="left" w:pos="680"/>
        </w:tabs>
        <w:spacing w:before="360" w:after="360" w:line="480" w:lineRule="auto"/>
        <w:jc w:val="both"/>
        <w:rPr>
          <w:rFonts w:cs="Arial"/>
          <w:bCs/>
          <w:sz w:val="22"/>
          <w:szCs w:val="22"/>
        </w:rPr>
      </w:pPr>
      <w:r w:rsidRPr="00D77556">
        <w:rPr>
          <w:rFonts w:cs="Arial"/>
          <w:bCs/>
          <w:sz w:val="21"/>
          <w:szCs w:val="21"/>
        </w:rPr>
        <w:t>[47]</w:t>
      </w:r>
      <w:r w:rsidRPr="00D77556">
        <w:rPr>
          <w:rFonts w:cs="Arial"/>
          <w:bCs/>
          <w:sz w:val="21"/>
          <w:szCs w:val="21"/>
        </w:rPr>
        <w:tab/>
      </w:r>
      <w:r w:rsidR="00D77556">
        <w:rPr>
          <w:rFonts w:cs="Arial"/>
          <w:bCs/>
          <w:sz w:val="22"/>
          <w:szCs w:val="22"/>
        </w:rPr>
        <w:t>R</w:t>
      </w:r>
      <w:r w:rsidR="001D6DA9" w:rsidRPr="00D77556">
        <w:rPr>
          <w:rFonts w:cs="Arial"/>
          <w:bCs/>
          <w:sz w:val="22"/>
          <w:szCs w:val="22"/>
        </w:rPr>
        <w:t xml:space="preserve">ule 9(b) permits access by delivery personnel in express and </w:t>
      </w:r>
      <w:r w:rsidR="00645CA2">
        <w:rPr>
          <w:rFonts w:cs="Arial"/>
          <w:bCs/>
          <w:sz w:val="22"/>
          <w:szCs w:val="22"/>
        </w:rPr>
        <w:t xml:space="preserve">unequivocal  </w:t>
      </w:r>
      <w:r w:rsidR="001D6DA9" w:rsidRPr="00D77556">
        <w:rPr>
          <w:rFonts w:cs="Arial"/>
          <w:bCs/>
          <w:sz w:val="22"/>
          <w:szCs w:val="22"/>
        </w:rPr>
        <w:t xml:space="preserve"> terms subject to the relevant </w:t>
      </w:r>
      <w:r w:rsidR="00645CA2">
        <w:rPr>
          <w:rFonts w:cs="Arial"/>
          <w:bCs/>
          <w:sz w:val="22"/>
          <w:szCs w:val="22"/>
        </w:rPr>
        <w:t xml:space="preserve">occupier </w:t>
      </w:r>
      <w:r w:rsidR="001D6DA9" w:rsidRPr="00D77556">
        <w:rPr>
          <w:rFonts w:cs="Arial"/>
          <w:bCs/>
          <w:sz w:val="22"/>
          <w:szCs w:val="22"/>
        </w:rPr>
        <w:t>permitting the delivery personnel access to</w:t>
      </w:r>
      <w:r w:rsidR="00645CA2" w:rsidRPr="00645CA2">
        <w:rPr>
          <w:rFonts w:cs="Arial"/>
          <w:bCs/>
          <w:sz w:val="22"/>
          <w:szCs w:val="22"/>
        </w:rPr>
        <w:t xml:space="preserve"> </w:t>
      </w:r>
      <w:r w:rsidR="00645CA2" w:rsidRPr="00DB2585">
        <w:rPr>
          <w:rFonts w:cs="Arial"/>
          <w:bCs/>
          <w:sz w:val="22"/>
          <w:szCs w:val="22"/>
        </w:rPr>
        <w:t>The Melville</w:t>
      </w:r>
      <w:r w:rsidR="00645CA2">
        <w:rPr>
          <w:rFonts w:cs="Arial"/>
          <w:bCs/>
          <w:sz w:val="22"/>
          <w:szCs w:val="22"/>
        </w:rPr>
        <w:t>.</w:t>
      </w:r>
      <w:r w:rsidR="001D6DA9" w:rsidRPr="00D77556">
        <w:rPr>
          <w:rFonts w:cs="Arial"/>
          <w:bCs/>
          <w:sz w:val="22"/>
          <w:szCs w:val="22"/>
        </w:rPr>
        <w:t xml:space="preserve"> </w:t>
      </w:r>
      <w:r w:rsidR="00D77556">
        <w:rPr>
          <w:rFonts w:cs="Arial"/>
          <w:bCs/>
          <w:sz w:val="22"/>
          <w:szCs w:val="22"/>
        </w:rPr>
        <w:t>T</w:t>
      </w:r>
      <w:r w:rsidR="001D6DA9" w:rsidRPr="00D77556">
        <w:rPr>
          <w:rFonts w:cs="Arial"/>
          <w:bCs/>
          <w:sz w:val="22"/>
          <w:szCs w:val="22"/>
        </w:rPr>
        <w:t>he security protocol</w:t>
      </w:r>
      <w:r w:rsidR="004950DA">
        <w:rPr>
          <w:rFonts w:cs="Arial"/>
          <w:bCs/>
          <w:sz w:val="22"/>
          <w:szCs w:val="22"/>
        </w:rPr>
        <w:t>,</w:t>
      </w:r>
      <w:r w:rsidR="001D6DA9" w:rsidRPr="00D77556">
        <w:rPr>
          <w:rFonts w:cs="Arial"/>
          <w:bCs/>
          <w:sz w:val="22"/>
          <w:szCs w:val="22"/>
        </w:rPr>
        <w:t xml:space="preserve"> </w:t>
      </w:r>
      <w:r w:rsidR="00D77556">
        <w:rPr>
          <w:rFonts w:cs="Arial"/>
          <w:bCs/>
          <w:sz w:val="22"/>
          <w:szCs w:val="22"/>
        </w:rPr>
        <w:t xml:space="preserve">however, </w:t>
      </w:r>
      <w:r w:rsidR="001D6DA9" w:rsidRPr="00D77556">
        <w:rPr>
          <w:rFonts w:cs="Arial"/>
          <w:bCs/>
          <w:sz w:val="22"/>
          <w:szCs w:val="22"/>
        </w:rPr>
        <w:t xml:space="preserve">prohibits access to </w:t>
      </w:r>
      <w:r w:rsidR="00645CA2" w:rsidRPr="00DB2585">
        <w:rPr>
          <w:rFonts w:cs="Arial"/>
          <w:bCs/>
          <w:sz w:val="22"/>
          <w:szCs w:val="22"/>
        </w:rPr>
        <w:t>The Melville</w:t>
      </w:r>
      <w:r w:rsidR="001D6DA9" w:rsidRPr="00D77556">
        <w:rPr>
          <w:rFonts w:cs="Arial"/>
          <w:bCs/>
          <w:sz w:val="22"/>
          <w:szCs w:val="22"/>
        </w:rPr>
        <w:t xml:space="preserve"> by delivery </w:t>
      </w:r>
      <w:r w:rsidR="001D6DA9" w:rsidRPr="00C27D7D">
        <w:rPr>
          <w:rFonts w:cs="Arial"/>
          <w:bCs/>
          <w:sz w:val="22"/>
          <w:szCs w:val="22"/>
        </w:rPr>
        <w:t>personnel unless certain restrictive and onerous conditions</w:t>
      </w:r>
      <w:r w:rsidR="00D77556" w:rsidRPr="00C27D7D">
        <w:rPr>
          <w:rFonts w:cs="Arial"/>
          <w:bCs/>
          <w:sz w:val="22"/>
          <w:szCs w:val="22"/>
        </w:rPr>
        <w:t xml:space="preserve"> </w:t>
      </w:r>
      <w:r w:rsidR="001D6DA9" w:rsidRPr="00C27D7D">
        <w:rPr>
          <w:rFonts w:cs="Arial"/>
          <w:bCs/>
          <w:sz w:val="22"/>
          <w:szCs w:val="22"/>
        </w:rPr>
        <w:t>are compli</w:t>
      </w:r>
      <w:r w:rsidR="003F0F6A" w:rsidRPr="00C27D7D">
        <w:rPr>
          <w:rFonts w:cs="Arial"/>
          <w:bCs/>
          <w:sz w:val="22"/>
          <w:szCs w:val="22"/>
        </w:rPr>
        <w:t>ed with by the</w:t>
      </w:r>
      <w:r w:rsidR="003F0F6A">
        <w:rPr>
          <w:rFonts w:cs="Arial"/>
          <w:bCs/>
          <w:sz w:val="22"/>
          <w:szCs w:val="22"/>
        </w:rPr>
        <w:t xml:space="preserve"> relevant occupier</w:t>
      </w:r>
      <w:r w:rsidR="009C06E1">
        <w:rPr>
          <w:rFonts w:cs="Arial"/>
          <w:bCs/>
          <w:sz w:val="22"/>
          <w:szCs w:val="22"/>
        </w:rPr>
        <w:t>, without exception or mediation.</w:t>
      </w:r>
    </w:p>
    <w:p w:rsidR="002751EF" w:rsidRDefault="00CA5BDF" w:rsidP="00CA5BDF">
      <w:pPr>
        <w:tabs>
          <w:tab w:val="left" w:pos="680"/>
        </w:tabs>
        <w:spacing w:before="360" w:after="360" w:line="480" w:lineRule="auto"/>
        <w:jc w:val="both"/>
        <w:rPr>
          <w:rFonts w:cs="Arial"/>
          <w:bCs/>
          <w:sz w:val="22"/>
          <w:szCs w:val="22"/>
        </w:rPr>
      </w:pPr>
      <w:r>
        <w:rPr>
          <w:rFonts w:cs="Arial"/>
          <w:bCs/>
          <w:sz w:val="21"/>
          <w:szCs w:val="21"/>
        </w:rPr>
        <w:t>[48]</w:t>
      </w:r>
      <w:r>
        <w:rPr>
          <w:rFonts w:cs="Arial"/>
          <w:bCs/>
          <w:sz w:val="21"/>
          <w:szCs w:val="21"/>
        </w:rPr>
        <w:tab/>
      </w:r>
      <w:r w:rsidR="003F0F6A">
        <w:rPr>
          <w:rFonts w:cs="Arial"/>
          <w:bCs/>
          <w:sz w:val="22"/>
          <w:szCs w:val="22"/>
        </w:rPr>
        <w:t>The security protocol</w:t>
      </w:r>
      <w:r w:rsidR="002751EF">
        <w:rPr>
          <w:rFonts w:cs="Arial"/>
          <w:bCs/>
          <w:sz w:val="22"/>
          <w:szCs w:val="22"/>
        </w:rPr>
        <w:t xml:space="preserve"> imposes a procedure that departs significantly from</w:t>
      </w:r>
      <w:r w:rsidR="003F0F6A">
        <w:rPr>
          <w:rFonts w:cs="Arial"/>
          <w:bCs/>
          <w:sz w:val="22"/>
          <w:szCs w:val="22"/>
        </w:rPr>
        <w:t xml:space="preserve"> rule 9(b). </w:t>
      </w:r>
    </w:p>
    <w:p w:rsidR="002751EF" w:rsidRDefault="00CA5BDF" w:rsidP="00CA5BDF">
      <w:pPr>
        <w:tabs>
          <w:tab w:val="left" w:pos="680"/>
        </w:tabs>
        <w:spacing w:before="360" w:after="360" w:line="480" w:lineRule="auto"/>
        <w:jc w:val="both"/>
        <w:rPr>
          <w:rFonts w:cs="Arial"/>
          <w:bCs/>
          <w:sz w:val="22"/>
          <w:szCs w:val="22"/>
        </w:rPr>
      </w:pPr>
      <w:r>
        <w:rPr>
          <w:rFonts w:cs="Arial"/>
          <w:bCs/>
          <w:sz w:val="21"/>
          <w:szCs w:val="21"/>
        </w:rPr>
        <w:t>[49]</w:t>
      </w:r>
      <w:r>
        <w:rPr>
          <w:rFonts w:cs="Arial"/>
          <w:bCs/>
          <w:sz w:val="21"/>
          <w:szCs w:val="21"/>
        </w:rPr>
        <w:tab/>
      </w:r>
      <w:r w:rsidR="002751EF">
        <w:rPr>
          <w:rFonts w:cs="Arial"/>
          <w:bCs/>
          <w:sz w:val="22"/>
          <w:szCs w:val="22"/>
        </w:rPr>
        <w:t>In addition, t</w:t>
      </w:r>
      <w:r w:rsidR="002751EF" w:rsidRPr="002751EF">
        <w:rPr>
          <w:rFonts w:cs="Arial"/>
          <w:bCs/>
          <w:sz w:val="22"/>
          <w:szCs w:val="22"/>
        </w:rPr>
        <w:t>he security protocol</w:t>
      </w:r>
      <w:r w:rsidR="002751EF">
        <w:rPr>
          <w:rFonts w:cs="Arial"/>
          <w:bCs/>
          <w:sz w:val="22"/>
          <w:szCs w:val="22"/>
        </w:rPr>
        <w:t xml:space="preserve"> varies markedly</w:t>
      </w:r>
      <w:r w:rsidR="002751EF" w:rsidRPr="002751EF">
        <w:rPr>
          <w:rFonts w:cs="Arial"/>
          <w:bCs/>
          <w:sz w:val="22"/>
          <w:szCs w:val="22"/>
        </w:rPr>
        <w:t xml:space="preserve"> not only</w:t>
      </w:r>
      <w:r w:rsidR="002751EF">
        <w:rPr>
          <w:rFonts w:cs="Arial"/>
          <w:bCs/>
          <w:sz w:val="22"/>
          <w:szCs w:val="22"/>
        </w:rPr>
        <w:t xml:space="preserve"> from</w:t>
      </w:r>
      <w:r w:rsidR="002751EF" w:rsidRPr="002751EF">
        <w:rPr>
          <w:rFonts w:cs="Arial"/>
          <w:bCs/>
          <w:sz w:val="22"/>
          <w:szCs w:val="22"/>
        </w:rPr>
        <w:t xml:space="preserve"> rul</w:t>
      </w:r>
      <w:r w:rsidR="002751EF">
        <w:rPr>
          <w:rFonts w:cs="Arial"/>
          <w:bCs/>
          <w:sz w:val="22"/>
          <w:szCs w:val="22"/>
        </w:rPr>
        <w:t>e</w:t>
      </w:r>
      <w:r w:rsidR="002751EF" w:rsidRPr="002751EF">
        <w:rPr>
          <w:rFonts w:cs="Arial"/>
          <w:bCs/>
          <w:sz w:val="22"/>
          <w:szCs w:val="22"/>
        </w:rPr>
        <w:t xml:space="preserve"> 9(b) but also from </w:t>
      </w:r>
      <w:r w:rsidR="0007480D" w:rsidRPr="002751EF">
        <w:rPr>
          <w:rFonts w:cs="Arial"/>
          <w:bCs/>
          <w:sz w:val="22"/>
          <w:szCs w:val="22"/>
        </w:rPr>
        <w:t>rule 9(i), rule 9(l), rule 11(b)(i) and rule 28</w:t>
      </w:r>
      <w:r w:rsidR="00645CA2">
        <w:rPr>
          <w:rFonts w:cs="Arial"/>
          <w:bCs/>
          <w:sz w:val="22"/>
          <w:szCs w:val="22"/>
        </w:rPr>
        <w:t>, which</w:t>
      </w:r>
      <w:r w:rsidR="0007480D" w:rsidRPr="002751EF">
        <w:rPr>
          <w:rFonts w:cs="Arial"/>
          <w:bCs/>
          <w:sz w:val="22"/>
          <w:szCs w:val="22"/>
        </w:rPr>
        <w:t xml:space="preserve"> provide for the access of visitors and contractors including workers and workmen</w:t>
      </w:r>
      <w:r w:rsidR="002751EF">
        <w:rPr>
          <w:rFonts w:cs="Arial"/>
          <w:bCs/>
          <w:sz w:val="22"/>
          <w:szCs w:val="22"/>
        </w:rPr>
        <w:t xml:space="preserve"> more generally, to </w:t>
      </w:r>
      <w:r w:rsidR="0007480D" w:rsidRPr="002751EF">
        <w:rPr>
          <w:rFonts w:cs="Arial"/>
          <w:bCs/>
          <w:sz w:val="22"/>
          <w:szCs w:val="22"/>
        </w:rPr>
        <w:t>The Melville</w:t>
      </w:r>
      <w:r w:rsidR="002751EF">
        <w:rPr>
          <w:rFonts w:cs="Arial"/>
          <w:bCs/>
          <w:sz w:val="22"/>
          <w:szCs w:val="22"/>
        </w:rPr>
        <w:t xml:space="preserve"> subject to access being granted</w:t>
      </w:r>
      <w:r w:rsidR="0007480D" w:rsidRPr="002751EF">
        <w:rPr>
          <w:rFonts w:cs="Arial"/>
          <w:bCs/>
          <w:sz w:val="22"/>
          <w:szCs w:val="22"/>
        </w:rPr>
        <w:t xml:space="preserve"> by the relevant</w:t>
      </w:r>
      <w:r w:rsidR="002751EF">
        <w:rPr>
          <w:rFonts w:cs="Arial"/>
          <w:bCs/>
          <w:sz w:val="22"/>
          <w:szCs w:val="22"/>
        </w:rPr>
        <w:t xml:space="preserve"> occupier.</w:t>
      </w:r>
      <w:r w:rsidR="0007480D" w:rsidRPr="002751EF">
        <w:rPr>
          <w:rFonts w:cs="Arial"/>
          <w:bCs/>
          <w:sz w:val="22"/>
          <w:szCs w:val="22"/>
        </w:rPr>
        <w:t xml:space="preserve"> </w:t>
      </w:r>
    </w:p>
    <w:p w:rsidR="00E06F57" w:rsidRDefault="00CA5BDF" w:rsidP="00CA5BDF">
      <w:pPr>
        <w:tabs>
          <w:tab w:val="left" w:pos="680"/>
        </w:tabs>
        <w:spacing w:before="360" w:after="360" w:line="480" w:lineRule="auto"/>
        <w:jc w:val="both"/>
        <w:rPr>
          <w:rFonts w:cs="Arial"/>
          <w:bCs/>
          <w:sz w:val="22"/>
          <w:szCs w:val="22"/>
        </w:rPr>
      </w:pPr>
      <w:r>
        <w:rPr>
          <w:rFonts w:cs="Arial"/>
          <w:bCs/>
          <w:sz w:val="21"/>
          <w:szCs w:val="21"/>
        </w:rPr>
        <w:t>[50]</w:t>
      </w:r>
      <w:r>
        <w:rPr>
          <w:rFonts w:cs="Arial"/>
          <w:bCs/>
          <w:sz w:val="21"/>
          <w:szCs w:val="21"/>
        </w:rPr>
        <w:tab/>
      </w:r>
      <w:r w:rsidR="00F62825">
        <w:rPr>
          <w:rFonts w:cs="Arial"/>
          <w:bCs/>
          <w:sz w:val="22"/>
          <w:szCs w:val="22"/>
        </w:rPr>
        <w:t>Furthermore, r</w:t>
      </w:r>
      <w:r w:rsidR="0007480D" w:rsidRPr="002751EF">
        <w:rPr>
          <w:rFonts w:cs="Arial"/>
          <w:bCs/>
          <w:sz w:val="22"/>
          <w:szCs w:val="22"/>
        </w:rPr>
        <w:t>ule</w:t>
      </w:r>
      <w:r w:rsidR="002751EF">
        <w:rPr>
          <w:rFonts w:cs="Arial"/>
          <w:bCs/>
          <w:sz w:val="22"/>
          <w:szCs w:val="22"/>
        </w:rPr>
        <w:t xml:space="preserve"> 23</w:t>
      </w:r>
      <w:r w:rsidR="0007480D" w:rsidRPr="002751EF">
        <w:rPr>
          <w:rFonts w:cs="Arial"/>
          <w:bCs/>
          <w:sz w:val="22"/>
          <w:szCs w:val="22"/>
        </w:rPr>
        <w:t xml:space="preserve">(a) permits the vehicles of visitors and contractors </w:t>
      </w:r>
      <w:r w:rsidR="002751EF" w:rsidRPr="002751EF">
        <w:rPr>
          <w:rFonts w:cs="Arial"/>
          <w:bCs/>
          <w:sz w:val="22"/>
          <w:szCs w:val="22"/>
        </w:rPr>
        <w:t>to</w:t>
      </w:r>
      <w:r w:rsidR="0007480D" w:rsidRPr="002751EF">
        <w:rPr>
          <w:rFonts w:cs="Arial"/>
          <w:bCs/>
          <w:sz w:val="22"/>
          <w:szCs w:val="22"/>
        </w:rPr>
        <w:t xml:space="preserve"> be parked in demarcated visitor parking bays in The Melville. Rule 23(h) provides that motorbikes, trailers and motor vehicles, </w:t>
      </w:r>
      <w:r w:rsidR="002751EF" w:rsidRPr="002751EF">
        <w:rPr>
          <w:rFonts w:cs="Arial"/>
          <w:bCs/>
          <w:sz w:val="22"/>
          <w:szCs w:val="22"/>
        </w:rPr>
        <w:t xml:space="preserve">all </w:t>
      </w:r>
      <w:r w:rsidR="0007480D" w:rsidRPr="002751EF">
        <w:rPr>
          <w:rFonts w:cs="Arial"/>
          <w:bCs/>
          <w:sz w:val="22"/>
          <w:szCs w:val="22"/>
        </w:rPr>
        <w:t>vehicles comm</w:t>
      </w:r>
      <w:r w:rsidR="00645CA2">
        <w:rPr>
          <w:rFonts w:cs="Arial"/>
          <w:bCs/>
          <w:sz w:val="22"/>
          <w:szCs w:val="22"/>
        </w:rPr>
        <w:t xml:space="preserve">only used by delivery personnel, </w:t>
      </w:r>
      <w:r w:rsidR="0007480D" w:rsidRPr="002751EF">
        <w:rPr>
          <w:rFonts w:cs="Arial"/>
          <w:bCs/>
          <w:sz w:val="22"/>
          <w:szCs w:val="22"/>
        </w:rPr>
        <w:t>are permitted entry into the scheme</w:t>
      </w:r>
      <w:r w:rsidR="002751EF" w:rsidRPr="002751EF">
        <w:rPr>
          <w:rFonts w:cs="Arial"/>
          <w:bCs/>
          <w:sz w:val="22"/>
          <w:szCs w:val="22"/>
        </w:rPr>
        <w:t>,</w:t>
      </w:r>
      <w:r w:rsidR="0007480D" w:rsidRPr="002751EF">
        <w:rPr>
          <w:rFonts w:cs="Arial"/>
          <w:bCs/>
          <w:sz w:val="22"/>
          <w:szCs w:val="22"/>
        </w:rPr>
        <w:t xml:space="preserve"> without any exclusion in respect of contractors or delivery personnel. </w:t>
      </w:r>
    </w:p>
    <w:p w:rsidR="0007480D" w:rsidRPr="00E06F57" w:rsidRDefault="00CA5BDF" w:rsidP="00CA5BDF">
      <w:pPr>
        <w:tabs>
          <w:tab w:val="left" w:pos="680"/>
        </w:tabs>
        <w:spacing w:before="360" w:after="360" w:line="480" w:lineRule="auto"/>
        <w:jc w:val="both"/>
        <w:rPr>
          <w:rFonts w:cs="Arial"/>
          <w:bCs/>
          <w:sz w:val="22"/>
          <w:szCs w:val="22"/>
        </w:rPr>
      </w:pPr>
      <w:r w:rsidRPr="00E06F57">
        <w:rPr>
          <w:rFonts w:cs="Arial"/>
          <w:bCs/>
          <w:sz w:val="21"/>
          <w:szCs w:val="21"/>
        </w:rPr>
        <w:lastRenderedPageBreak/>
        <w:t>[51]</w:t>
      </w:r>
      <w:r w:rsidRPr="00E06F57">
        <w:rPr>
          <w:rFonts w:cs="Arial"/>
          <w:bCs/>
          <w:sz w:val="21"/>
          <w:szCs w:val="21"/>
        </w:rPr>
        <w:tab/>
      </w:r>
      <w:r w:rsidR="002751EF" w:rsidRPr="00E06F57">
        <w:rPr>
          <w:rFonts w:cs="Arial"/>
          <w:bCs/>
          <w:sz w:val="22"/>
          <w:szCs w:val="22"/>
        </w:rPr>
        <w:t xml:space="preserve">It is evident that the security protocol provides for a </w:t>
      </w:r>
      <w:r w:rsidR="00174FD5" w:rsidRPr="00E06F57">
        <w:rPr>
          <w:rFonts w:cs="Arial"/>
          <w:bCs/>
          <w:sz w:val="22"/>
          <w:szCs w:val="22"/>
        </w:rPr>
        <w:t>procedure in respect of deliver</w:t>
      </w:r>
      <w:r w:rsidR="002751EF" w:rsidRPr="00E06F57">
        <w:rPr>
          <w:rFonts w:cs="Arial"/>
          <w:bCs/>
          <w:sz w:val="22"/>
          <w:szCs w:val="22"/>
        </w:rPr>
        <w:t>ies</w:t>
      </w:r>
      <w:r w:rsidR="00174FD5" w:rsidRPr="00E06F57">
        <w:rPr>
          <w:rFonts w:cs="Arial"/>
          <w:bCs/>
          <w:sz w:val="22"/>
          <w:szCs w:val="22"/>
        </w:rPr>
        <w:t xml:space="preserve"> and delivery personnel</w:t>
      </w:r>
      <w:r w:rsidR="002751EF" w:rsidRPr="00E06F57">
        <w:rPr>
          <w:rFonts w:cs="Arial"/>
          <w:bCs/>
          <w:sz w:val="22"/>
          <w:szCs w:val="22"/>
        </w:rPr>
        <w:t xml:space="preserve"> that </w:t>
      </w:r>
      <w:r w:rsidR="004950DA">
        <w:rPr>
          <w:rFonts w:cs="Arial"/>
          <w:bCs/>
          <w:sz w:val="22"/>
          <w:szCs w:val="22"/>
        </w:rPr>
        <w:t>departs</w:t>
      </w:r>
      <w:r w:rsidR="00645CA2" w:rsidRPr="00E06F57">
        <w:rPr>
          <w:rFonts w:cs="Arial"/>
          <w:bCs/>
          <w:sz w:val="22"/>
          <w:szCs w:val="22"/>
        </w:rPr>
        <w:t xml:space="preserve"> </w:t>
      </w:r>
      <w:r w:rsidR="00F62825" w:rsidRPr="00E06F57">
        <w:rPr>
          <w:rFonts w:cs="Arial"/>
          <w:bCs/>
          <w:sz w:val="22"/>
          <w:szCs w:val="22"/>
        </w:rPr>
        <w:t>significant</w:t>
      </w:r>
      <w:r w:rsidR="004950DA">
        <w:rPr>
          <w:rFonts w:cs="Arial"/>
          <w:bCs/>
          <w:sz w:val="22"/>
          <w:szCs w:val="22"/>
        </w:rPr>
        <w:t>ly</w:t>
      </w:r>
      <w:r w:rsidR="00F62825" w:rsidRPr="00E06F57">
        <w:rPr>
          <w:rFonts w:cs="Arial"/>
          <w:bCs/>
          <w:sz w:val="22"/>
          <w:szCs w:val="22"/>
        </w:rPr>
        <w:t xml:space="preserve"> </w:t>
      </w:r>
      <w:r w:rsidR="00671276" w:rsidRPr="00E06F57">
        <w:rPr>
          <w:rFonts w:cs="Arial"/>
          <w:bCs/>
          <w:sz w:val="22"/>
          <w:szCs w:val="22"/>
        </w:rPr>
        <w:t>from</w:t>
      </w:r>
      <w:r w:rsidR="00645CA2" w:rsidRPr="00E06F57">
        <w:rPr>
          <w:rFonts w:cs="Arial"/>
          <w:bCs/>
          <w:sz w:val="22"/>
          <w:szCs w:val="22"/>
        </w:rPr>
        <w:t xml:space="preserve"> </w:t>
      </w:r>
      <w:r w:rsidR="00174FD5" w:rsidRPr="00E06F57">
        <w:rPr>
          <w:rFonts w:cs="Arial"/>
          <w:bCs/>
          <w:sz w:val="22"/>
          <w:szCs w:val="22"/>
        </w:rPr>
        <w:t>multiple of the existing The Melville rules.</w:t>
      </w:r>
      <w:r w:rsidR="00F62825" w:rsidRPr="00E06F57">
        <w:rPr>
          <w:rFonts w:cs="Arial"/>
          <w:bCs/>
          <w:sz w:val="22"/>
          <w:szCs w:val="22"/>
        </w:rPr>
        <w:t xml:space="preserve"> This </w:t>
      </w:r>
      <w:r w:rsidR="004950DA">
        <w:rPr>
          <w:rFonts w:cs="Arial"/>
          <w:bCs/>
          <w:sz w:val="22"/>
          <w:szCs w:val="22"/>
        </w:rPr>
        <w:t xml:space="preserve">variance </w:t>
      </w:r>
      <w:r w:rsidR="00F62825" w:rsidRPr="00E06F57">
        <w:rPr>
          <w:rFonts w:cs="Arial"/>
          <w:bCs/>
          <w:sz w:val="22"/>
          <w:szCs w:val="22"/>
        </w:rPr>
        <w:t>applies not only to the access of deliveries and delivery personnel</w:t>
      </w:r>
      <w:r w:rsidR="005559AC" w:rsidRPr="00E06F57">
        <w:rPr>
          <w:rFonts w:cs="Arial"/>
          <w:bCs/>
          <w:sz w:val="22"/>
          <w:szCs w:val="22"/>
        </w:rPr>
        <w:t xml:space="preserve"> to T</w:t>
      </w:r>
      <w:r w:rsidR="00F62825" w:rsidRPr="00E06F57">
        <w:rPr>
          <w:rFonts w:cs="Arial"/>
          <w:bCs/>
          <w:sz w:val="22"/>
          <w:szCs w:val="22"/>
        </w:rPr>
        <w:t>he Melville but also to the conduct required of occupiers, in order to accept deliveries made to</w:t>
      </w:r>
      <w:r w:rsidR="004950DA">
        <w:rPr>
          <w:rFonts w:cs="Arial"/>
          <w:bCs/>
          <w:sz w:val="22"/>
          <w:szCs w:val="22"/>
        </w:rPr>
        <w:t xml:space="preserve"> them at</w:t>
      </w:r>
      <w:r w:rsidR="00F62825" w:rsidRPr="00E06F57">
        <w:rPr>
          <w:rFonts w:cs="Arial"/>
          <w:bCs/>
          <w:sz w:val="22"/>
          <w:szCs w:val="22"/>
        </w:rPr>
        <w:t xml:space="preserve"> The Melville.</w:t>
      </w:r>
    </w:p>
    <w:p w:rsidR="00F62825" w:rsidRPr="00C27D7D" w:rsidRDefault="00CA5BDF" w:rsidP="00CA5BDF">
      <w:pPr>
        <w:tabs>
          <w:tab w:val="left" w:pos="680"/>
        </w:tabs>
        <w:spacing w:before="360" w:after="360" w:line="480" w:lineRule="auto"/>
        <w:jc w:val="both"/>
        <w:rPr>
          <w:rFonts w:cs="Arial"/>
          <w:bCs/>
          <w:sz w:val="22"/>
          <w:szCs w:val="22"/>
        </w:rPr>
      </w:pPr>
      <w:r w:rsidRPr="00C27D7D">
        <w:rPr>
          <w:rFonts w:cs="Arial"/>
          <w:bCs/>
          <w:sz w:val="21"/>
          <w:szCs w:val="21"/>
        </w:rPr>
        <w:t>[52]</w:t>
      </w:r>
      <w:r w:rsidRPr="00C27D7D">
        <w:rPr>
          <w:rFonts w:cs="Arial"/>
          <w:bCs/>
          <w:sz w:val="21"/>
          <w:szCs w:val="21"/>
        </w:rPr>
        <w:tab/>
      </w:r>
      <w:r w:rsidR="00F62825" w:rsidRPr="00C27D7D">
        <w:rPr>
          <w:rFonts w:cs="Arial"/>
          <w:bCs/>
          <w:sz w:val="22"/>
          <w:szCs w:val="22"/>
        </w:rPr>
        <w:t xml:space="preserve">The security protocol requires the relevant occupier to exit their unit </w:t>
      </w:r>
      <w:r w:rsidR="00671276" w:rsidRPr="00C27D7D">
        <w:rPr>
          <w:rFonts w:cs="Arial"/>
          <w:bCs/>
          <w:sz w:val="22"/>
          <w:szCs w:val="22"/>
        </w:rPr>
        <w:t xml:space="preserve">to </w:t>
      </w:r>
      <w:r w:rsidR="00F62825" w:rsidRPr="00C27D7D">
        <w:rPr>
          <w:rFonts w:cs="Arial"/>
          <w:bCs/>
          <w:sz w:val="22"/>
          <w:szCs w:val="22"/>
        </w:rPr>
        <w:t xml:space="preserve">meet the delivery personnel at the main gate, and if necessary, to escort the delivery personnel to the unit </w:t>
      </w:r>
      <w:r w:rsidR="00671276" w:rsidRPr="00C27D7D">
        <w:rPr>
          <w:rFonts w:cs="Arial"/>
          <w:bCs/>
          <w:sz w:val="22"/>
          <w:szCs w:val="22"/>
        </w:rPr>
        <w:t xml:space="preserve">in order </w:t>
      </w:r>
      <w:r w:rsidR="00F62825" w:rsidRPr="00C27D7D">
        <w:rPr>
          <w:rFonts w:cs="Arial"/>
          <w:bCs/>
          <w:sz w:val="22"/>
          <w:szCs w:val="22"/>
        </w:rPr>
        <w:t>to offl</w:t>
      </w:r>
      <w:r w:rsidR="00671276" w:rsidRPr="00C27D7D">
        <w:rPr>
          <w:rFonts w:cs="Arial"/>
          <w:bCs/>
          <w:sz w:val="22"/>
          <w:szCs w:val="22"/>
        </w:rPr>
        <w:t>oad the delivery at the unit. T</w:t>
      </w:r>
      <w:r w:rsidR="00F62825" w:rsidRPr="00C27D7D">
        <w:rPr>
          <w:rFonts w:cs="Arial"/>
          <w:bCs/>
          <w:sz w:val="22"/>
          <w:szCs w:val="22"/>
        </w:rPr>
        <w:t>hereafter</w:t>
      </w:r>
      <w:r w:rsidR="004950DA">
        <w:rPr>
          <w:rFonts w:cs="Arial"/>
          <w:bCs/>
          <w:sz w:val="22"/>
          <w:szCs w:val="22"/>
        </w:rPr>
        <w:t xml:space="preserve">, </w:t>
      </w:r>
      <w:r w:rsidR="00671276" w:rsidRPr="00C27D7D">
        <w:rPr>
          <w:rFonts w:cs="Arial"/>
          <w:bCs/>
          <w:sz w:val="22"/>
          <w:szCs w:val="22"/>
        </w:rPr>
        <w:t>the occupier must</w:t>
      </w:r>
      <w:r w:rsidR="00F62825" w:rsidRPr="00C27D7D">
        <w:rPr>
          <w:rFonts w:cs="Arial"/>
          <w:bCs/>
          <w:sz w:val="22"/>
          <w:szCs w:val="22"/>
        </w:rPr>
        <w:t xml:space="preserve"> </w:t>
      </w:r>
      <w:r w:rsidR="00E066C0" w:rsidRPr="00C27D7D">
        <w:rPr>
          <w:rFonts w:cs="Arial"/>
          <w:bCs/>
          <w:sz w:val="22"/>
          <w:szCs w:val="22"/>
        </w:rPr>
        <w:t>escort</w:t>
      </w:r>
      <w:r w:rsidR="00F62825" w:rsidRPr="00C27D7D">
        <w:rPr>
          <w:rFonts w:cs="Arial"/>
          <w:bCs/>
          <w:sz w:val="22"/>
          <w:szCs w:val="22"/>
        </w:rPr>
        <w:t xml:space="preserve"> the delivery personnel </w:t>
      </w:r>
      <w:r w:rsidR="00E066C0" w:rsidRPr="00C27D7D">
        <w:rPr>
          <w:rFonts w:cs="Arial"/>
          <w:bCs/>
          <w:sz w:val="22"/>
          <w:szCs w:val="22"/>
        </w:rPr>
        <w:t>back to</w:t>
      </w:r>
      <w:r w:rsidR="00F62825" w:rsidRPr="00C27D7D">
        <w:rPr>
          <w:rFonts w:cs="Arial"/>
          <w:bCs/>
          <w:sz w:val="22"/>
          <w:szCs w:val="22"/>
        </w:rPr>
        <w:t xml:space="preserve"> the main gate. </w:t>
      </w:r>
    </w:p>
    <w:p w:rsidR="00671276" w:rsidRPr="005559AC" w:rsidRDefault="00CA5BDF" w:rsidP="00CA5BDF">
      <w:pPr>
        <w:tabs>
          <w:tab w:val="left" w:pos="680"/>
        </w:tabs>
        <w:spacing w:before="360" w:after="360" w:line="480" w:lineRule="auto"/>
        <w:jc w:val="both"/>
        <w:rPr>
          <w:rFonts w:cs="Arial"/>
          <w:bCs/>
          <w:sz w:val="22"/>
          <w:szCs w:val="22"/>
        </w:rPr>
      </w:pPr>
      <w:r w:rsidRPr="005559AC">
        <w:rPr>
          <w:rFonts w:cs="Arial"/>
          <w:bCs/>
          <w:sz w:val="21"/>
          <w:szCs w:val="21"/>
        </w:rPr>
        <w:t>[53]</w:t>
      </w:r>
      <w:r w:rsidRPr="005559AC">
        <w:rPr>
          <w:rFonts w:cs="Arial"/>
          <w:bCs/>
          <w:sz w:val="21"/>
          <w:szCs w:val="21"/>
        </w:rPr>
        <w:tab/>
      </w:r>
      <w:r w:rsidR="00671276">
        <w:rPr>
          <w:rFonts w:cs="Arial"/>
          <w:bCs/>
          <w:sz w:val="22"/>
          <w:szCs w:val="22"/>
        </w:rPr>
        <w:t xml:space="preserve">The existing </w:t>
      </w:r>
      <w:r w:rsidR="00671276" w:rsidRPr="00C27D7D">
        <w:rPr>
          <w:rFonts w:cs="Arial"/>
          <w:bCs/>
          <w:sz w:val="22"/>
          <w:szCs w:val="22"/>
        </w:rPr>
        <w:t>The Melville</w:t>
      </w:r>
      <w:r w:rsidR="00671276" w:rsidRPr="00C27D7D">
        <w:rPr>
          <w:rFonts w:cs="Arial"/>
          <w:b/>
          <w:bCs/>
          <w:sz w:val="22"/>
          <w:szCs w:val="22"/>
        </w:rPr>
        <w:t xml:space="preserve"> </w:t>
      </w:r>
      <w:r w:rsidR="00671276">
        <w:rPr>
          <w:rFonts w:cs="Arial"/>
          <w:bCs/>
          <w:sz w:val="22"/>
          <w:szCs w:val="22"/>
        </w:rPr>
        <w:t xml:space="preserve">rules in respect of the manner in which delivery </w:t>
      </w:r>
      <w:r w:rsidR="00671276" w:rsidRPr="005559AC">
        <w:rPr>
          <w:rFonts w:cs="Arial"/>
          <w:bCs/>
          <w:sz w:val="22"/>
          <w:szCs w:val="22"/>
        </w:rPr>
        <w:t>personnel, being contractors, gain access to The Melville is amended by way of the security protocol. That amendment entails regulating the manner of access by delivery personnel such that the relevant occupier is obliged to adhere to</w:t>
      </w:r>
      <w:r w:rsidR="005559AC" w:rsidRPr="005559AC">
        <w:rPr>
          <w:rFonts w:cs="Arial"/>
          <w:bCs/>
          <w:sz w:val="22"/>
          <w:szCs w:val="22"/>
        </w:rPr>
        <w:t xml:space="preserve"> onerous and restrictions </w:t>
      </w:r>
      <w:r w:rsidR="00671276" w:rsidRPr="005559AC">
        <w:rPr>
          <w:rFonts w:cs="Arial"/>
          <w:bCs/>
          <w:sz w:val="22"/>
          <w:szCs w:val="22"/>
        </w:rPr>
        <w:t xml:space="preserve">conditions in order to accept their delivery. </w:t>
      </w:r>
    </w:p>
    <w:p w:rsidR="00D43CD3" w:rsidRDefault="00CA5BDF" w:rsidP="00CA5BDF">
      <w:pPr>
        <w:tabs>
          <w:tab w:val="left" w:pos="680"/>
        </w:tabs>
        <w:spacing w:before="360" w:after="360" w:line="480" w:lineRule="auto"/>
        <w:jc w:val="both"/>
        <w:rPr>
          <w:rFonts w:cs="Arial"/>
          <w:bCs/>
          <w:sz w:val="22"/>
          <w:szCs w:val="22"/>
        </w:rPr>
      </w:pPr>
      <w:r>
        <w:rPr>
          <w:rFonts w:cs="Arial"/>
          <w:bCs/>
          <w:sz w:val="21"/>
          <w:szCs w:val="21"/>
        </w:rPr>
        <w:t>[54]</w:t>
      </w:r>
      <w:r>
        <w:rPr>
          <w:rFonts w:cs="Arial"/>
          <w:bCs/>
          <w:sz w:val="21"/>
          <w:szCs w:val="21"/>
        </w:rPr>
        <w:tab/>
      </w:r>
      <w:r w:rsidR="00671276" w:rsidRPr="005559AC">
        <w:rPr>
          <w:rFonts w:cs="Arial"/>
          <w:bCs/>
          <w:sz w:val="22"/>
          <w:szCs w:val="22"/>
        </w:rPr>
        <w:t>T</w:t>
      </w:r>
      <w:r w:rsidR="00E066C0" w:rsidRPr="005559AC">
        <w:rPr>
          <w:rFonts w:cs="Arial"/>
          <w:bCs/>
          <w:sz w:val="22"/>
          <w:szCs w:val="22"/>
        </w:rPr>
        <w:t>he respondents, in adopting and implementing the</w:t>
      </w:r>
      <w:r w:rsidR="00B53C4E">
        <w:rPr>
          <w:rFonts w:cs="Arial"/>
          <w:bCs/>
          <w:sz w:val="22"/>
          <w:szCs w:val="22"/>
        </w:rPr>
        <w:t xml:space="preserve"> security protocol</w:t>
      </w:r>
      <w:r w:rsidR="004950DA">
        <w:rPr>
          <w:rFonts w:cs="Arial"/>
          <w:bCs/>
          <w:sz w:val="22"/>
          <w:szCs w:val="22"/>
        </w:rPr>
        <w:t>,</w:t>
      </w:r>
      <w:r w:rsidR="00581710">
        <w:rPr>
          <w:rFonts w:cs="Arial"/>
          <w:bCs/>
          <w:sz w:val="22"/>
          <w:szCs w:val="22"/>
        </w:rPr>
        <w:t xml:space="preserve"> created</w:t>
      </w:r>
      <w:r w:rsidR="004950DA">
        <w:rPr>
          <w:rFonts w:cs="Arial"/>
          <w:bCs/>
          <w:sz w:val="22"/>
          <w:szCs w:val="22"/>
        </w:rPr>
        <w:t xml:space="preserve"> in substance,</w:t>
      </w:r>
      <w:r w:rsidR="00581710">
        <w:rPr>
          <w:rFonts w:cs="Arial"/>
          <w:bCs/>
          <w:sz w:val="22"/>
          <w:szCs w:val="22"/>
        </w:rPr>
        <w:t xml:space="preserve"> a</w:t>
      </w:r>
      <w:r w:rsidR="005559AC">
        <w:rPr>
          <w:rFonts w:cs="Arial"/>
          <w:bCs/>
          <w:sz w:val="22"/>
          <w:szCs w:val="22"/>
        </w:rPr>
        <w:t xml:space="preserve"> new conduct rule</w:t>
      </w:r>
      <w:r w:rsidR="00E066C0" w:rsidRPr="005559AC">
        <w:rPr>
          <w:rFonts w:cs="Arial"/>
          <w:bCs/>
          <w:sz w:val="22"/>
          <w:szCs w:val="22"/>
        </w:rPr>
        <w:t xml:space="preserve"> al</w:t>
      </w:r>
      <w:r w:rsidR="00581710">
        <w:rPr>
          <w:rFonts w:cs="Arial"/>
          <w:bCs/>
          <w:sz w:val="22"/>
          <w:szCs w:val="22"/>
        </w:rPr>
        <w:t>ternatively</w:t>
      </w:r>
      <w:r w:rsidR="005559AC">
        <w:rPr>
          <w:rFonts w:cs="Arial"/>
          <w:bCs/>
          <w:sz w:val="22"/>
          <w:szCs w:val="22"/>
        </w:rPr>
        <w:t xml:space="preserve"> amend</w:t>
      </w:r>
      <w:r w:rsidR="00581710">
        <w:rPr>
          <w:rFonts w:cs="Arial"/>
          <w:bCs/>
          <w:sz w:val="22"/>
          <w:szCs w:val="22"/>
        </w:rPr>
        <w:t>ed</w:t>
      </w:r>
      <w:r w:rsidR="00E06F57">
        <w:rPr>
          <w:rFonts w:cs="Arial"/>
          <w:bCs/>
          <w:sz w:val="22"/>
          <w:szCs w:val="22"/>
        </w:rPr>
        <w:t xml:space="preserve"> the </w:t>
      </w:r>
      <w:r w:rsidR="00B53C4E">
        <w:rPr>
          <w:rFonts w:cs="Arial"/>
          <w:bCs/>
          <w:sz w:val="22"/>
          <w:szCs w:val="22"/>
        </w:rPr>
        <w:t>existing</w:t>
      </w:r>
      <w:r w:rsidR="005559AC">
        <w:rPr>
          <w:rFonts w:cs="Arial"/>
          <w:bCs/>
          <w:sz w:val="22"/>
          <w:szCs w:val="22"/>
        </w:rPr>
        <w:t xml:space="preserve"> </w:t>
      </w:r>
      <w:r w:rsidR="00671276" w:rsidRPr="005559AC">
        <w:rPr>
          <w:rFonts w:cs="Arial"/>
          <w:bCs/>
          <w:sz w:val="22"/>
          <w:szCs w:val="22"/>
        </w:rPr>
        <w:t>The Melville rules</w:t>
      </w:r>
      <w:r w:rsidR="00E066C0" w:rsidRPr="005559AC">
        <w:rPr>
          <w:rFonts w:cs="Arial"/>
          <w:bCs/>
          <w:sz w:val="22"/>
          <w:szCs w:val="22"/>
        </w:rPr>
        <w:t xml:space="preserve"> </w:t>
      </w:r>
      <w:r w:rsidR="00671276" w:rsidRPr="005559AC">
        <w:rPr>
          <w:rFonts w:cs="Arial"/>
          <w:bCs/>
          <w:sz w:val="22"/>
          <w:szCs w:val="22"/>
        </w:rPr>
        <w:t>impacted by the s</w:t>
      </w:r>
      <w:r w:rsidR="005559AC" w:rsidRPr="005559AC">
        <w:rPr>
          <w:rFonts w:cs="Arial"/>
          <w:bCs/>
          <w:sz w:val="22"/>
          <w:szCs w:val="22"/>
        </w:rPr>
        <w:t>ecurity protocol</w:t>
      </w:r>
      <w:r w:rsidR="00E066C0" w:rsidRPr="005559AC">
        <w:rPr>
          <w:rFonts w:cs="Arial"/>
          <w:bCs/>
          <w:sz w:val="22"/>
          <w:szCs w:val="22"/>
        </w:rPr>
        <w:t xml:space="preserve"> referred to afore, in terms of the security protocol. </w:t>
      </w:r>
    </w:p>
    <w:p w:rsidR="009311C1" w:rsidRPr="009311C1" w:rsidRDefault="00CA5BDF" w:rsidP="00CA5BDF">
      <w:pPr>
        <w:tabs>
          <w:tab w:val="left" w:pos="680"/>
        </w:tabs>
        <w:spacing w:before="360" w:after="360" w:line="480" w:lineRule="auto"/>
        <w:jc w:val="both"/>
        <w:rPr>
          <w:rFonts w:cs="Arial"/>
          <w:bCs/>
          <w:sz w:val="22"/>
          <w:szCs w:val="22"/>
        </w:rPr>
      </w:pPr>
      <w:r w:rsidRPr="009311C1">
        <w:rPr>
          <w:rFonts w:cs="Arial"/>
          <w:bCs/>
          <w:sz w:val="21"/>
          <w:szCs w:val="21"/>
        </w:rPr>
        <w:t>[55]</w:t>
      </w:r>
      <w:r w:rsidRPr="009311C1">
        <w:rPr>
          <w:rFonts w:cs="Arial"/>
          <w:bCs/>
          <w:sz w:val="21"/>
          <w:szCs w:val="21"/>
        </w:rPr>
        <w:tab/>
      </w:r>
      <w:r w:rsidR="009311C1" w:rsidRPr="009311C1">
        <w:rPr>
          <w:rFonts w:cs="Arial"/>
          <w:bCs/>
          <w:sz w:val="22"/>
          <w:szCs w:val="22"/>
        </w:rPr>
        <w:t xml:space="preserve">The appellant’s counsel conceded that the purpose of the security protocol was an attempt to improve the security regulating access into </w:t>
      </w:r>
      <w:r w:rsidR="009311C1" w:rsidRPr="00E06F57">
        <w:rPr>
          <w:rFonts w:cs="Arial"/>
          <w:bCs/>
          <w:sz w:val="22"/>
          <w:szCs w:val="22"/>
        </w:rPr>
        <w:t xml:space="preserve">and within The Melville’s </w:t>
      </w:r>
      <w:r w:rsidR="009311C1" w:rsidRPr="009311C1">
        <w:rPr>
          <w:rFonts w:cs="Arial"/>
          <w:bCs/>
          <w:sz w:val="22"/>
          <w:szCs w:val="22"/>
        </w:rPr>
        <w:t>premises. Notwithstandi</w:t>
      </w:r>
      <w:r w:rsidR="009311C1">
        <w:rPr>
          <w:rFonts w:cs="Arial"/>
          <w:bCs/>
          <w:sz w:val="22"/>
          <w:szCs w:val="22"/>
        </w:rPr>
        <w:t xml:space="preserve">ng, </w:t>
      </w:r>
      <w:r w:rsidR="009311C1" w:rsidRPr="009311C1">
        <w:rPr>
          <w:rFonts w:cs="Arial"/>
          <w:bCs/>
          <w:sz w:val="22"/>
          <w:szCs w:val="22"/>
        </w:rPr>
        <w:t>whilst that may</w:t>
      </w:r>
      <w:r w:rsidR="004950DA">
        <w:rPr>
          <w:rFonts w:cs="Arial"/>
          <w:bCs/>
          <w:sz w:val="22"/>
          <w:szCs w:val="22"/>
        </w:rPr>
        <w:t xml:space="preserve"> be a commendable intention, it</w:t>
      </w:r>
      <w:r w:rsidR="009311C1" w:rsidRPr="009311C1">
        <w:rPr>
          <w:rFonts w:cs="Arial"/>
          <w:bCs/>
          <w:sz w:val="22"/>
          <w:szCs w:val="22"/>
        </w:rPr>
        <w:t xml:space="preserve"> ought not </w:t>
      </w:r>
      <w:r w:rsidR="009311C1">
        <w:rPr>
          <w:rFonts w:cs="Arial"/>
          <w:bCs/>
          <w:sz w:val="22"/>
          <w:szCs w:val="22"/>
        </w:rPr>
        <w:t>to be used to disguise the fundamental character of the security protocol</w:t>
      </w:r>
      <w:r w:rsidR="009311C1" w:rsidRPr="009311C1">
        <w:rPr>
          <w:rFonts w:cs="Arial"/>
          <w:bCs/>
          <w:sz w:val="22"/>
          <w:szCs w:val="22"/>
        </w:rPr>
        <w:t xml:space="preserve"> as a conduct rule and the manner in which such a rule should </w:t>
      </w:r>
      <w:r w:rsidR="009311C1">
        <w:rPr>
          <w:rFonts w:cs="Arial"/>
          <w:bCs/>
          <w:sz w:val="22"/>
          <w:szCs w:val="22"/>
        </w:rPr>
        <w:t xml:space="preserve">be legislated </w:t>
      </w:r>
      <w:r w:rsidR="004950DA" w:rsidRPr="009311C1">
        <w:rPr>
          <w:rFonts w:cs="Arial"/>
          <w:bCs/>
          <w:sz w:val="22"/>
          <w:szCs w:val="22"/>
        </w:rPr>
        <w:t>corre</w:t>
      </w:r>
      <w:r w:rsidR="004950DA">
        <w:rPr>
          <w:rFonts w:cs="Arial"/>
          <w:bCs/>
          <w:sz w:val="22"/>
          <w:szCs w:val="22"/>
        </w:rPr>
        <w:t xml:space="preserve">ctly </w:t>
      </w:r>
      <w:r w:rsidR="009311C1">
        <w:rPr>
          <w:rFonts w:cs="Arial"/>
          <w:bCs/>
          <w:sz w:val="22"/>
          <w:szCs w:val="22"/>
        </w:rPr>
        <w:t>and enforced by the respondents.</w:t>
      </w:r>
    </w:p>
    <w:p w:rsidR="00B53C4E" w:rsidRDefault="00CA5BDF" w:rsidP="00CA5BDF">
      <w:pPr>
        <w:tabs>
          <w:tab w:val="left" w:pos="680"/>
        </w:tabs>
        <w:spacing w:before="480" w:after="360" w:line="480" w:lineRule="auto"/>
        <w:jc w:val="both"/>
        <w:rPr>
          <w:rFonts w:cs="Arial"/>
          <w:bCs/>
          <w:sz w:val="22"/>
          <w:szCs w:val="22"/>
        </w:rPr>
      </w:pPr>
      <w:r>
        <w:rPr>
          <w:rFonts w:cs="Arial"/>
          <w:bCs/>
          <w:sz w:val="21"/>
          <w:szCs w:val="21"/>
        </w:rPr>
        <w:lastRenderedPageBreak/>
        <w:t>[56]</w:t>
      </w:r>
      <w:r>
        <w:rPr>
          <w:rFonts w:cs="Arial"/>
          <w:bCs/>
          <w:sz w:val="21"/>
          <w:szCs w:val="21"/>
        </w:rPr>
        <w:tab/>
      </w:r>
      <w:r w:rsidR="009311C1">
        <w:rPr>
          <w:rFonts w:cs="Arial"/>
          <w:bCs/>
          <w:sz w:val="22"/>
          <w:szCs w:val="22"/>
        </w:rPr>
        <w:t>Having found that the security protocol is substantively a conduct rule</w:t>
      </w:r>
      <w:r w:rsidR="00B53C4E">
        <w:rPr>
          <w:rFonts w:cs="Arial"/>
          <w:bCs/>
          <w:sz w:val="22"/>
          <w:szCs w:val="22"/>
        </w:rPr>
        <w:t xml:space="preserve"> and that it is irrelevant that it was implemented in terms of rule 9(e) in order to improve security at The Melville</w:t>
      </w:r>
      <w:r w:rsidR="009311C1">
        <w:rPr>
          <w:rFonts w:cs="Arial"/>
          <w:bCs/>
          <w:sz w:val="22"/>
          <w:szCs w:val="22"/>
        </w:rPr>
        <w:t>,</w:t>
      </w:r>
      <w:r w:rsidR="00B53C4E">
        <w:rPr>
          <w:rFonts w:cs="Arial"/>
          <w:bCs/>
          <w:sz w:val="22"/>
          <w:szCs w:val="22"/>
        </w:rPr>
        <w:t xml:space="preserve"> it follows that the finding of the Adjudicator was incorrect and stands to be set aside.  </w:t>
      </w:r>
    </w:p>
    <w:p w:rsidR="009311C1" w:rsidRDefault="00CA5BDF" w:rsidP="00CA5BDF">
      <w:pPr>
        <w:tabs>
          <w:tab w:val="left" w:pos="680"/>
        </w:tabs>
        <w:spacing w:before="480" w:after="360" w:line="480" w:lineRule="auto"/>
        <w:jc w:val="both"/>
        <w:rPr>
          <w:rFonts w:cs="Arial"/>
          <w:bCs/>
          <w:sz w:val="22"/>
          <w:szCs w:val="22"/>
        </w:rPr>
      </w:pPr>
      <w:r>
        <w:rPr>
          <w:rFonts w:cs="Arial"/>
          <w:bCs/>
          <w:sz w:val="21"/>
          <w:szCs w:val="21"/>
        </w:rPr>
        <w:t>[57]</w:t>
      </w:r>
      <w:r>
        <w:rPr>
          <w:rFonts w:cs="Arial"/>
          <w:bCs/>
          <w:sz w:val="21"/>
          <w:szCs w:val="21"/>
        </w:rPr>
        <w:tab/>
      </w:r>
      <w:r w:rsidR="00B53C4E">
        <w:rPr>
          <w:rFonts w:cs="Arial"/>
          <w:bCs/>
          <w:sz w:val="22"/>
          <w:szCs w:val="22"/>
        </w:rPr>
        <w:t>T</w:t>
      </w:r>
      <w:r w:rsidR="009311C1">
        <w:rPr>
          <w:rFonts w:cs="Arial"/>
          <w:bCs/>
          <w:sz w:val="22"/>
          <w:szCs w:val="22"/>
        </w:rPr>
        <w:t xml:space="preserve">he </w:t>
      </w:r>
      <w:r w:rsidR="009F6A29">
        <w:rPr>
          <w:rFonts w:cs="Arial"/>
          <w:bCs/>
          <w:sz w:val="22"/>
          <w:szCs w:val="22"/>
        </w:rPr>
        <w:t>next issue i</w:t>
      </w:r>
      <w:r w:rsidR="009311C1">
        <w:rPr>
          <w:rFonts w:cs="Arial"/>
          <w:bCs/>
          <w:sz w:val="22"/>
          <w:szCs w:val="22"/>
        </w:rPr>
        <w:t xml:space="preserve">s whether the </w:t>
      </w:r>
      <w:r w:rsidR="009F6A29">
        <w:rPr>
          <w:rFonts w:cs="Arial"/>
          <w:bCs/>
          <w:sz w:val="22"/>
          <w:szCs w:val="22"/>
        </w:rPr>
        <w:t>security protocol, a conduct rule,</w:t>
      </w:r>
      <w:r w:rsidR="009311C1">
        <w:rPr>
          <w:rFonts w:cs="Arial"/>
          <w:bCs/>
          <w:sz w:val="22"/>
          <w:szCs w:val="22"/>
        </w:rPr>
        <w:t xml:space="preserve"> was adopted and implemented in a </w:t>
      </w:r>
      <w:r w:rsidR="009F6A29">
        <w:rPr>
          <w:rFonts w:cs="Arial"/>
          <w:bCs/>
          <w:sz w:val="22"/>
          <w:szCs w:val="22"/>
        </w:rPr>
        <w:t xml:space="preserve">valid </w:t>
      </w:r>
      <w:r w:rsidR="009311C1">
        <w:rPr>
          <w:rFonts w:cs="Arial"/>
          <w:bCs/>
          <w:sz w:val="22"/>
          <w:szCs w:val="22"/>
        </w:rPr>
        <w:t>manner</w:t>
      </w:r>
      <w:r w:rsidR="009F6A29">
        <w:rPr>
          <w:rFonts w:cs="Arial"/>
          <w:bCs/>
          <w:sz w:val="22"/>
          <w:szCs w:val="22"/>
        </w:rPr>
        <w:t>.</w:t>
      </w:r>
    </w:p>
    <w:p w:rsidR="00A6260D" w:rsidRDefault="00CA5BDF" w:rsidP="00CA5BDF">
      <w:pPr>
        <w:tabs>
          <w:tab w:val="left" w:pos="680"/>
        </w:tabs>
        <w:spacing w:before="480" w:after="360" w:line="480" w:lineRule="auto"/>
        <w:jc w:val="both"/>
        <w:rPr>
          <w:rFonts w:cs="Arial"/>
          <w:bCs/>
          <w:sz w:val="22"/>
          <w:szCs w:val="22"/>
        </w:rPr>
      </w:pPr>
      <w:r>
        <w:rPr>
          <w:rFonts w:cs="Arial"/>
          <w:bCs/>
          <w:sz w:val="21"/>
          <w:szCs w:val="21"/>
        </w:rPr>
        <w:t>[58]</w:t>
      </w:r>
      <w:r>
        <w:rPr>
          <w:rFonts w:cs="Arial"/>
          <w:bCs/>
          <w:sz w:val="21"/>
          <w:szCs w:val="21"/>
        </w:rPr>
        <w:tab/>
      </w:r>
      <w:r w:rsidR="009311C1">
        <w:rPr>
          <w:rFonts w:cs="Arial"/>
          <w:bCs/>
          <w:sz w:val="22"/>
          <w:szCs w:val="22"/>
        </w:rPr>
        <w:t xml:space="preserve"> </w:t>
      </w:r>
      <w:r w:rsidR="004950DA">
        <w:rPr>
          <w:rFonts w:cs="Arial"/>
          <w:bCs/>
          <w:sz w:val="22"/>
          <w:szCs w:val="22"/>
        </w:rPr>
        <w:t>The Trustees initially</w:t>
      </w:r>
      <w:r w:rsidR="009311C1" w:rsidRPr="00E06F57">
        <w:rPr>
          <w:rFonts w:cs="Arial"/>
          <w:bCs/>
          <w:sz w:val="22"/>
          <w:szCs w:val="22"/>
        </w:rPr>
        <w:t xml:space="preserve"> </w:t>
      </w:r>
      <w:r w:rsidR="009F6A29">
        <w:rPr>
          <w:rFonts w:cs="Arial"/>
          <w:bCs/>
          <w:sz w:val="22"/>
          <w:szCs w:val="22"/>
        </w:rPr>
        <w:t>adopted and implemented</w:t>
      </w:r>
      <w:r w:rsidR="009311C1" w:rsidRPr="00E06F57">
        <w:rPr>
          <w:rFonts w:cs="Arial"/>
          <w:bCs/>
          <w:sz w:val="22"/>
          <w:szCs w:val="22"/>
        </w:rPr>
        <w:t xml:space="preserve"> the security </w:t>
      </w:r>
      <w:r w:rsidR="009F6A29">
        <w:rPr>
          <w:rFonts w:cs="Arial"/>
          <w:bCs/>
          <w:sz w:val="22"/>
          <w:szCs w:val="22"/>
        </w:rPr>
        <w:t>protocol in terms of rule 9(e)</w:t>
      </w:r>
      <w:r w:rsidR="004950DA">
        <w:rPr>
          <w:rFonts w:cs="Arial"/>
          <w:bCs/>
          <w:sz w:val="22"/>
          <w:szCs w:val="22"/>
        </w:rPr>
        <w:t>. The latter</w:t>
      </w:r>
      <w:r w:rsidR="009F6A29">
        <w:rPr>
          <w:rFonts w:cs="Arial"/>
          <w:bCs/>
          <w:sz w:val="22"/>
          <w:szCs w:val="22"/>
        </w:rPr>
        <w:t xml:space="preserve"> </w:t>
      </w:r>
      <w:r w:rsidR="009311C1" w:rsidRPr="00E06F57">
        <w:rPr>
          <w:rFonts w:cs="Arial"/>
          <w:bCs/>
          <w:sz w:val="22"/>
          <w:szCs w:val="22"/>
        </w:rPr>
        <w:t xml:space="preserve">provides that security procedures agreed to by and between the body corporate </w:t>
      </w:r>
      <w:r w:rsidR="009F6A29">
        <w:rPr>
          <w:rFonts w:cs="Arial"/>
          <w:bCs/>
          <w:sz w:val="22"/>
          <w:szCs w:val="22"/>
        </w:rPr>
        <w:t xml:space="preserve">and any security company are to </w:t>
      </w:r>
      <w:r w:rsidR="009311C1" w:rsidRPr="00E06F57">
        <w:rPr>
          <w:rFonts w:cs="Arial"/>
          <w:bCs/>
          <w:sz w:val="22"/>
          <w:szCs w:val="22"/>
        </w:rPr>
        <w:t xml:space="preserve">be abided by. It was common cause that the security protocol was proposed by the security company in an </w:t>
      </w:r>
      <w:r w:rsidR="005F0A90">
        <w:rPr>
          <w:rFonts w:cs="Arial"/>
          <w:bCs/>
          <w:sz w:val="22"/>
          <w:szCs w:val="22"/>
        </w:rPr>
        <w:t>attempt to improve the security of</w:t>
      </w:r>
      <w:r w:rsidR="009311C1" w:rsidRPr="00E06F57">
        <w:rPr>
          <w:rFonts w:cs="Arial"/>
          <w:bCs/>
          <w:sz w:val="22"/>
          <w:szCs w:val="22"/>
        </w:rPr>
        <w:t xml:space="preserve"> the scheme.</w:t>
      </w:r>
      <w:r w:rsidR="00E06F57">
        <w:rPr>
          <w:rFonts w:cs="Arial"/>
          <w:bCs/>
          <w:sz w:val="22"/>
          <w:szCs w:val="22"/>
        </w:rPr>
        <w:t xml:space="preserve"> I</w:t>
      </w:r>
      <w:r w:rsidR="009F6A29">
        <w:rPr>
          <w:rFonts w:cs="Arial"/>
          <w:bCs/>
          <w:sz w:val="22"/>
          <w:szCs w:val="22"/>
        </w:rPr>
        <w:t xml:space="preserve"> have found already that the purpose of the security protocol does not alter its</w:t>
      </w:r>
      <w:r w:rsidR="00E06F57">
        <w:rPr>
          <w:rFonts w:cs="Arial"/>
          <w:bCs/>
          <w:sz w:val="22"/>
          <w:szCs w:val="22"/>
        </w:rPr>
        <w:t xml:space="preserve"> true </w:t>
      </w:r>
      <w:r w:rsidR="009F6A29">
        <w:rPr>
          <w:rFonts w:cs="Arial"/>
          <w:bCs/>
          <w:sz w:val="22"/>
          <w:szCs w:val="22"/>
        </w:rPr>
        <w:t>nature</w:t>
      </w:r>
      <w:r w:rsidR="00E06F57">
        <w:rPr>
          <w:rFonts w:cs="Arial"/>
          <w:bCs/>
          <w:sz w:val="22"/>
          <w:szCs w:val="22"/>
        </w:rPr>
        <w:t xml:space="preserve"> as a conduct rule. </w:t>
      </w:r>
    </w:p>
    <w:p w:rsidR="00E06F57" w:rsidRDefault="00CA5BDF" w:rsidP="00CA5BDF">
      <w:pPr>
        <w:tabs>
          <w:tab w:val="left" w:pos="680"/>
        </w:tabs>
        <w:spacing w:before="360" w:after="360" w:line="480" w:lineRule="auto"/>
        <w:jc w:val="both"/>
        <w:rPr>
          <w:rFonts w:cs="Arial"/>
          <w:bCs/>
          <w:sz w:val="22"/>
          <w:szCs w:val="22"/>
        </w:rPr>
      </w:pPr>
      <w:r>
        <w:rPr>
          <w:rFonts w:cs="Arial"/>
          <w:bCs/>
          <w:sz w:val="21"/>
          <w:szCs w:val="21"/>
        </w:rPr>
        <w:t>[59]</w:t>
      </w:r>
      <w:r>
        <w:rPr>
          <w:rFonts w:cs="Arial"/>
          <w:bCs/>
          <w:sz w:val="21"/>
          <w:szCs w:val="21"/>
        </w:rPr>
        <w:tab/>
      </w:r>
      <w:r w:rsidR="00A02B39">
        <w:rPr>
          <w:rFonts w:cs="Arial"/>
          <w:bCs/>
          <w:sz w:val="22"/>
          <w:szCs w:val="22"/>
        </w:rPr>
        <w:t>Section 7</w:t>
      </w:r>
      <w:r w:rsidR="00E06F57" w:rsidRPr="00E50650">
        <w:rPr>
          <w:rFonts w:cs="Arial"/>
          <w:bCs/>
          <w:sz w:val="22"/>
          <w:szCs w:val="22"/>
        </w:rPr>
        <w:t xml:space="preserve"> </w:t>
      </w:r>
      <w:r w:rsidR="00E06F57">
        <w:rPr>
          <w:rFonts w:cs="Arial"/>
          <w:bCs/>
          <w:sz w:val="22"/>
          <w:szCs w:val="22"/>
        </w:rPr>
        <w:t xml:space="preserve">of the Management Act </w:t>
      </w:r>
      <w:r w:rsidR="00E06F57" w:rsidRPr="00E50650">
        <w:rPr>
          <w:rFonts w:cs="Arial"/>
          <w:bCs/>
          <w:sz w:val="22"/>
          <w:szCs w:val="22"/>
        </w:rPr>
        <w:t>provides</w:t>
      </w:r>
      <w:r w:rsidR="00E06F57">
        <w:rPr>
          <w:rFonts w:cs="Arial"/>
          <w:bCs/>
          <w:sz w:val="22"/>
          <w:szCs w:val="22"/>
        </w:rPr>
        <w:t xml:space="preserve"> for the functions and powers of trustees.</w:t>
      </w:r>
      <w:r w:rsidR="00E06F57" w:rsidRPr="00E50650">
        <w:rPr>
          <w:rFonts w:cs="Arial"/>
          <w:bCs/>
          <w:sz w:val="22"/>
          <w:szCs w:val="22"/>
        </w:rPr>
        <w:t xml:space="preserve"> </w:t>
      </w:r>
      <w:r w:rsidR="005F0A90">
        <w:rPr>
          <w:rFonts w:cs="Arial"/>
          <w:bCs/>
          <w:sz w:val="22"/>
          <w:szCs w:val="22"/>
        </w:rPr>
        <w:t xml:space="preserve">They </w:t>
      </w:r>
      <w:r w:rsidR="00A02B39">
        <w:rPr>
          <w:rFonts w:cs="Arial"/>
          <w:bCs/>
          <w:sz w:val="22"/>
          <w:szCs w:val="22"/>
        </w:rPr>
        <w:t>act on the decisions and d</w:t>
      </w:r>
      <w:r w:rsidR="005F0A90">
        <w:rPr>
          <w:rFonts w:cs="Arial"/>
          <w:bCs/>
          <w:sz w:val="22"/>
          <w:szCs w:val="22"/>
        </w:rPr>
        <w:t xml:space="preserve">irections of the body corporate </w:t>
      </w:r>
      <w:r w:rsidR="00E06F57">
        <w:rPr>
          <w:rFonts w:cs="Arial"/>
          <w:bCs/>
          <w:sz w:val="22"/>
          <w:szCs w:val="22"/>
        </w:rPr>
        <w:t>subject to the pr</w:t>
      </w:r>
      <w:r w:rsidR="00A02B39">
        <w:rPr>
          <w:rFonts w:cs="Arial"/>
          <w:bCs/>
          <w:sz w:val="22"/>
          <w:szCs w:val="22"/>
        </w:rPr>
        <w:t xml:space="preserve">ovisions of the Management Act and </w:t>
      </w:r>
      <w:r w:rsidR="00E06F57">
        <w:rPr>
          <w:rFonts w:cs="Arial"/>
          <w:bCs/>
          <w:sz w:val="22"/>
          <w:szCs w:val="22"/>
        </w:rPr>
        <w:t>the rules</w:t>
      </w:r>
      <w:r w:rsidR="00A02B39">
        <w:rPr>
          <w:rFonts w:cs="Arial"/>
          <w:bCs/>
          <w:sz w:val="22"/>
          <w:szCs w:val="22"/>
        </w:rPr>
        <w:t>,</w:t>
      </w:r>
      <w:r w:rsidR="00E06F57">
        <w:rPr>
          <w:rFonts w:cs="Arial"/>
          <w:bCs/>
          <w:sz w:val="22"/>
          <w:szCs w:val="22"/>
        </w:rPr>
        <w:t xml:space="preserve"> and any restriction</w:t>
      </w:r>
      <w:r w:rsidR="005F0A90">
        <w:rPr>
          <w:rFonts w:cs="Arial"/>
          <w:bCs/>
          <w:sz w:val="22"/>
          <w:szCs w:val="22"/>
        </w:rPr>
        <w:t>s</w:t>
      </w:r>
      <w:r w:rsidR="00A02B39">
        <w:rPr>
          <w:rFonts w:cs="Arial"/>
          <w:bCs/>
          <w:sz w:val="22"/>
          <w:szCs w:val="22"/>
        </w:rPr>
        <w:t xml:space="preserve"> </w:t>
      </w:r>
      <w:r w:rsidR="00E06F57">
        <w:rPr>
          <w:rFonts w:cs="Arial"/>
          <w:bCs/>
          <w:sz w:val="22"/>
          <w:szCs w:val="22"/>
        </w:rPr>
        <w:t xml:space="preserve">given at a general meeting of the owners of </w:t>
      </w:r>
      <w:r w:rsidR="00A02B39">
        <w:rPr>
          <w:rFonts w:cs="Arial"/>
          <w:bCs/>
          <w:sz w:val="22"/>
          <w:szCs w:val="22"/>
        </w:rPr>
        <w:t>sections or units in a scheme.</w:t>
      </w:r>
      <w:r w:rsidR="00A02B39">
        <w:rPr>
          <w:rStyle w:val="FootnoteReference"/>
          <w:rFonts w:cs="Arial"/>
          <w:bCs/>
          <w:sz w:val="22"/>
          <w:szCs w:val="22"/>
        </w:rPr>
        <w:footnoteReference w:id="13"/>
      </w:r>
    </w:p>
    <w:p w:rsidR="00A6260D" w:rsidRDefault="00CA5BDF" w:rsidP="00CA5BDF">
      <w:pPr>
        <w:tabs>
          <w:tab w:val="left" w:pos="680"/>
        </w:tabs>
        <w:spacing w:before="480" w:after="360" w:line="480" w:lineRule="auto"/>
        <w:jc w:val="both"/>
        <w:rPr>
          <w:rFonts w:cs="Arial"/>
          <w:bCs/>
          <w:sz w:val="22"/>
          <w:szCs w:val="22"/>
        </w:rPr>
      </w:pPr>
      <w:r>
        <w:rPr>
          <w:rFonts w:cs="Arial"/>
          <w:bCs/>
          <w:sz w:val="21"/>
          <w:szCs w:val="21"/>
        </w:rPr>
        <w:t>[60]</w:t>
      </w:r>
      <w:r>
        <w:rPr>
          <w:rFonts w:cs="Arial"/>
          <w:bCs/>
          <w:sz w:val="21"/>
          <w:szCs w:val="21"/>
        </w:rPr>
        <w:tab/>
      </w:r>
      <w:r w:rsidR="005F0A90">
        <w:rPr>
          <w:rFonts w:cs="Arial"/>
          <w:bCs/>
          <w:sz w:val="22"/>
          <w:szCs w:val="22"/>
        </w:rPr>
        <w:t xml:space="preserve">Accordingly, the </w:t>
      </w:r>
      <w:r w:rsidR="00A02B39">
        <w:rPr>
          <w:rFonts w:cs="Arial"/>
          <w:bCs/>
          <w:sz w:val="22"/>
          <w:szCs w:val="22"/>
        </w:rPr>
        <w:t xml:space="preserve">Trustees had no power to unilaterally, absent a decision or direction </w:t>
      </w:r>
      <w:r w:rsidR="00A6260D">
        <w:rPr>
          <w:rFonts w:cs="Arial"/>
          <w:bCs/>
          <w:sz w:val="22"/>
          <w:szCs w:val="22"/>
        </w:rPr>
        <w:t>of the Body C</w:t>
      </w:r>
      <w:r w:rsidR="00A02B39">
        <w:rPr>
          <w:rFonts w:cs="Arial"/>
          <w:bCs/>
          <w:sz w:val="22"/>
          <w:szCs w:val="22"/>
        </w:rPr>
        <w:t>orporate in general meeting, to</w:t>
      </w:r>
      <w:r w:rsidR="00A6260D">
        <w:rPr>
          <w:rFonts w:cs="Arial"/>
          <w:bCs/>
          <w:sz w:val="22"/>
          <w:szCs w:val="22"/>
        </w:rPr>
        <w:t xml:space="preserve"> agree to the security protocol and to</w:t>
      </w:r>
      <w:r w:rsidR="00A02B39">
        <w:rPr>
          <w:rFonts w:cs="Arial"/>
          <w:bCs/>
          <w:sz w:val="22"/>
          <w:szCs w:val="22"/>
        </w:rPr>
        <w:t xml:space="preserve"> adopt, implement and enforce</w:t>
      </w:r>
      <w:r w:rsidR="00A6260D">
        <w:rPr>
          <w:rFonts w:cs="Arial"/>
          <w:bCs/>
          <w:sz w:val="22"/>
          <w:szCs w:val="22"/>
        </w:rPr>
        <w:t xml:space="preserve"> it in terms of s 10(2)(b) of the Management Act.</w:t>
      </w:r>
    </w:p>
    <w:p w:rsidR="00A6260D" w:rsidRDefault="00CA5BDF" w:rsidP="00CA5BDF">
      <w:pPr>
        <w:tabs>
          <w:tab w:val="left" w:pos="680"/>
        </w:tabs>
        <w:spacing w:before="480" w:after="360" w:line="480" w:lineRule="auto"/>
        <w:jc w:val="both"/>
        <w:rPr>
          <w:rFonts w:cs="Arial"/>
          <w:bCs/>
          <w:sz w:val="22"/>
          <w:szCs w:val="22"/>
        </w:rPr>
      </w:pPr>
      <w:r>
        <w:rPr>
          <w:rFonts w:cs="Arial"/>
          <w:bCs/>
          <w:sz w:val="21"/>
          <w:szCs w:val="21"/>
        </w:rPr>
        <w:t>[61]</w:t>
      </w:r>
      <w:r>
        <w:rPr>
          <w:rFonts w:cs="Arial"/>
          <w:bCs/>
          <w:sz w:val="21"/>
          <w:szCs w:val="21"/>
        </w:rPr>
        <w:tab/>
      </w:r>
      <w:r w:rsidR="00A6260D">
        <w:rPr>
          <w:rFonts w:cs="Arial"/>
          <w:bCs/>
          <w:sz w:val="22"/>
          <w:szCs w:val="22"/>
        </w:rPr>
        <w:t xml:space="preserve">The Trustees were not empowered to unilaterally adopt and implement the security protocol as they did.  </w:t>
      </w:r>
    </w:p>
    <w:p w:rsidR="00917161" w:rsidRDefault="00CA5BDF" w:rsidP="00CA5BDF">
      <w:pPr>
        <w:tabs>
          <w:tab w:val="left" w:pos="680"/>
        </w:tabs>
        <w:spacing w:before="480" w:after="360" w:line="480" w:lineRule="auto"/>
        <w:jc w:val="both"/>
        <w:rPr>
          <w:rFonts w:cs="Arial"/>
          <w:bCs/>
          <w:sz w:val="22"/>
          <w:szCs w:val="22"/>
        </w:rPr>
      </w:pPr>
      <w:r>
        <w:rPr>
          <w:rFonts w:cs="Arial"/>
          <w:bCs/>
          <w:sz w:val="21"/>
          <w:szCs w:val="21"/>
        </w:rPr>
        <w:lastRenderedPageBreak/>
        <w:t>[62]</w:t>
      </w:r>
      <w:r>
        <w:rPr>
          <w:rFonts w:cs="Arial"/>
          <w:bCs/>
          <w:sz w:val="21"/>
          <w:szCs w:val="21"/>
        </w:rPr>
        <w:tab/>
      </w:r>
      <w:r w:rsidR="00A6260D">
        <w:rPr>
          <w:rFonts w:cs="Arial"/>
          <w:bCs/>
          <w:sz w:val="22"/>
          <w:szCs w:val="22"/>
        </w:rPr>
        <w:t xml:space="preserve"> As to the respondents’ argument that the</w:t>
      </w:r>
      <w:r w:rsidR="00917161">
        <w:rPr>
          <w:rFonts w:cs="Arial"/>
          <w:bCs/>
          <w:sz w:val="22"/>
          <w:szCs w:val="22"/>
        </w:rPr>
        <w:t xml:space="preserve"> unanimous adoption of the security protocol by all 15 units represented at the</w:t>
      </w:r>
      <w:r w:rsidR="00A6260D">
        <w:rPr>
          <w:rFonts w:cs="Arial"/>
          <w:bCs/>
          <w:sz w:val="22"/>
          <w:szCs w:val="22"/>
        </w:rPr>
        <w:t xml:space="preserve"> spe</w:t>
      </w:r>
      <w:r w:rsidR="005F0A90">
        <w:rPr>
          <w:rFonts w:cs="Arial"/>
          <w:bCs/>
          <w:sz w:val="22"/>
          <w:szCs w:val="22"/>
        </w:rPr>
        <w:t>cial general meeting on 17 June 2021</w:t>
      </w:r>
      <w:r w:rsidR="00917161">
        <w:rPr>
          <w:rFonts w:cs="Arial"/>
          <w:bCs/>
          <w:sz w:val="22"/>
          <w:szCs w:val="22"/>
        </w:rPr>
        <w:t>, constituted a</w:t>
      </w:r>
      <w:r w:rsidR="00A6260D">
        <w:rPr>
          <w:rFonts w:cs="Arial"/>
          <w:bCs/>
          <w:sz w:val="22"/>
          <w:szCs w:val="22"/>
        </w:rPr>
        <w:t xml:space="preserve"> resolution of the Body Corporate in terms of s7(1) of the Management Act</w:t>
      </w:r>
      <w:r w:rsidR="00917161">
        <w:rPr>
          <w:rFonts w:cs="Arial"/>
          <w:bCs/>
          <w:sz w:val="22"/>
          <w:szCs w:val="22"/>
        </w:rPr>
        <w:t>, that resolution</w:t>
      </w:r>
      <w:r w:rsidR="00A6260D">
        <w:rPr>
          <w:rFonts w:cs="Arial"/>
          <w:bCs/>
          <w:sz w:val="22"/>
          <w:szCs w:val="22"/>
        </w:rPr>
        <w:t xml:space="preserve"> did not suffice in the face of s10(2)(b) of the Management Act, to validly adopt and implement the security protocol. N</w:t>
      </w:r>
      <w:r w:rsidR="00917161">
        <w:rPr>
          <w:rFonts w:cs="Arial"/>
          <w:bCs/>
          <w:sz w:val="22"/>
          <w:szCs w:val="22"/>
        </w:rPr>
        <w:t>or did</w:t>
      </w:r>
      <w:r w:rsidR="00A6260D">
        <w:rPr>
          <w:rFonts w:cs="Arial"/>
          <w:bCs/>
          <w:sz w:val="22"/>
          <w:szCs w:val="22"/>
        </w:rPr>
        <w:t xml:space="preserve"> it permit the Trustees to depart from the requirements of validly introducing a new conduct rule or amending an existing conduct rule.</w:t>
      </w:r>
    </w:p>
    <w:p w:rsidR="00E06F57" w:rsidRPr="00917161" w:rsidRDefault="00CA5BDF" w:rsidP="00CA5BDF">
      <w:pPr>
        <w:tabs>
          <w:tab w:val="left" w:pos="680"/>
        </w:tabs>
        <w:spacing w:before="480" w:after="360" w:line="480" w:lineRule="auto"/>
        <w:jc w:val="both"/>
        <w:rPr>
          <w:rFonts w:cs="Arial"/>
          <w:bCs/>
          <w:sz w:val="22"/>
          <w:szCs w:val="22"/>
        </w:rPr>
      </w:pPr>
      <w:r w:rsidRPr="00917161">
        <w:rPr>
          <w:rFonts w:cs="Arial"/>
          <w:bCs/>
          <w:sz w:val="21"/>
          <w:szCs w:val="21"/>
        </w:rPr>
        <w:t>[63]</w:t>
      </w:r>
      <w:r w:rsidRPr="00917161">
        <w:rPr>
          <w:rFonts w:cs="Arial"/>
          <w:bCs/>
          <w:sz w:val="21"/>
          <w:szCs w:val="21"/>
        </w:rPr>
        <w:tab/>
      </w:r>
      <w:r w:rsidR="00917161" w:rsidRPr="00917161">
        <w:rPr>
          <w:rFonts w:cs="Arial"/>
          <w:bCs/>
          <w:sz w:val="22"/>
          <w:szCs w:val="22"/>
        </w:rPr>
        <w:t>T</w:t>
      </w:r>
      <w:r w:rsidR="00E06F57" w:rsidRPr="00917161">
        <w:rPr>
          <w:rFonts w:cs="Arial"/>
          <w:bCs/>
          <w:sz w:val="22"/>
          <w:szCs w:val="22"/>
        </w:rPr>
        <w:t>he respondents</w:t>
      </w:r>
      <w:r w:rsidR="00917161">
        <w:rPr>
          <w:rFonts w:cs="Arial"/>
          <w:bCs/>
          <w:sz w:val="22"/>
          <w:szCs w:val="22"/>
        </w:rPr>
        <w:t>’</w:t>
      </w:r>
      <w:r w:rsidR="00E06F57" w:rsidRPr="00917161">
        <w:rPr>
          <w:rFonts w:cs="Arial"/>
          <w:bCs/>
          <w:sz w:val="22"/>
          <w:szCs w:val="22"/>
        </w:rPr>
        <w:t xml:space="preserve"> </w:t>
      </w:r>
      <w:r w:rsidR="00A02B39" w:rsidRPr="00917161">
        <w:rPr>
          <w:rFonts w:cs="Arial"/>
          <w:bCs/>
          <w:sz w:val="22"/>
          <w:szCs w:val="22"/>
        </w:rPr>
        <w:t xml:space="preserve">argument that the trustees were obliged to act on </w:t>
      </w:r>
      <w:r w:rsidR="00917161">
        <w:rPr>
          <w:rFonts w:cs="Arial"/>
          <w:bCs/>
          <w:sz w:val="22"/>
          <w:szCs w:val="22"/>
        </w:rPr>
        <w:t>the resolution approving the security protocol</w:t>
      </w:r>
      <w:r w:rsidR="00A02B39" w:rsidRPr="00917161">
        <w:rPr>
          <w:rFonts w:cs="Arial"/>
          <w:bCs/>
          <w:sz w:val="22"/>
          <w:szCs w:val="22"/>
        </w:rPr>
        <w:t xml:space="preserve"> was without merit as the </w:t>
      </w:r>
      <w:r w:rsidR="00917161">
        <w:rPr>
          <w:rFonts w:cs="Arial"/>
          <w:bCs/>
          <w:sz w:val="22"/>
          <w:szCs w:val="22"/>
        </w:rPr>
        <w:t>respondents</w:t>
      </w:r>
      <w:r w:rsidR="00A02B39" w:rsidRPr="00917161">
        <w:rPr>
          <w:rFonts w:cs="Arial"/>
          <w:bCs/>
          <w:sz w:val="22"/>
          <w:szCs w:val="22"/>
        </w:rPr>
        <w:t xml:space="preserve"> did not comply with s 10(2)(b) of the Management A</w:t>
      </w:r>
      <w:r w:rsidR="00C54168" w:rsidRPr="00917161">
        <w:rPr>
          <w:rFonts w:cs="Arial"/>
          <w:bCs/>
          <w:sz w:val="22"/>
          <w:szCs w:val="22"/>
        </w:rPr>
        <w:t>ct.</w:t>
      </w:r>
    </w:p>
    <w:p w:rsidR="009311C1" w:rsidRPr="00C54168" w:rsidRDefault="00CA5BDF" w:rsidP="00CA5BDF">
      <w:pPr>
        <w:tabs>
          <w:tab w:val="left" w:pos="680"/>
        </w:tabs>
        <w:spacing w:before="480" w:after="360" w:line="480" w:lineRule="auto"/>
        <w:jc w:val="both"/>
        <w:rPr>
          <w:rFonts w:cs="Arial"/>
          <w:bCs/>
          <w:sz w:val="22"/>
          <w:szCs w:val="22"/>
        </w:rPr>
      </w:pPr>
      <w:r w:rsidRPr="00C54168">
        <w:rPr>
          <w:rFonts w:cs="Arial"/>
          <w:bCs/>
          <w:sz w:val="21"/>
          <w:szCs w:val="21"/>
        </w:rPr>
        <w:t>[64]</w:t>
      </w:r>
      <w:r w:rsidRPr="00C54168">
        <w:rPr>
          <w:rFonts w:cs="Arial"/>
          <w:bCs/>
          <w:sz w:val="21"/>
          <w:szCs w:val="21"/>
        </w:rPr>
        <w:tab/>
      </w:r>
      <w:r w:rsidR="005F0A90">
        <w:rPr>
          <w:rFonts w:cs="Arial"/>
          <w:bCs/>
          <w:sz w:val="22"/>
          <w:szCs w:val="22"/>
        </w:rPr>
        <w:t>That section</w:t>
      </w:r>
      <w:r w:rsidR="005F0A90">
        <w:rPr>
          <w:rStyle w:val="FootnoteReference"/>
          <w:rFonts w:cs="Arial"/>
          <w:bCs/>
          <w:sz w:val="22"/>
          <w:szCs w:val="22"/>
        </w:rPr>
        <w:footnoteReference w:id="14"/>
      </w:r>
      <w:r w:rsidR="009311C1" w:rsidRPr="00C54168">
        <w:rPr>
          <w:rFonts w:cs="Arial"/>
          <w:bCs/>
          <w:sz w:val="22"/>
          <w:szCs w:val="22"/>
        </w:rPr>
        <w:t xml:space="preserve"> provides that subject to the approval of the Chief Ombud, the conduct rules of a scheme may be amended by a special resolution of a Body Corporate as prescribed. </w:t>
      </w:r>
    </w:p>
    <w:p w:rsidR="009311C1" w:rsidRDefault="00CA5BDF" w:rsidP="00CA5BDF">
      <w:pPr>
        <w:tabs>
          <w:tab w:val="left" w:pos="680"/>
        </w:tabs>
        <w:spacing w:before="360" w:after="360" w:line="480" w:lineRule="auto"/>
        <w:jc w:val="both"/>
        <w:rPr>
          <w:rFonts w:cs="Arial"/>
          <w:bCs/>
          <w:sz w:val="22"/>
          <w:szCs w:val="22"/>
        </w:rPr>
      </w:pPr>
      <w:r>
        <w:rPr>
          <w:rFonts w:cs="Arial"/>
          <w:bCs/>
          <w:sz w:val="21"/>
          <w:szCs w:val="21"/>
        </w:rPr>
        <w:t>[65]</w:t>
      </w:r>
      <w:r>
        <w:rPr>
          <w:rFonts w:cs="Arial"/>
          <w:bCs/>
          <w:sz w:val="21"/>
          <w:szCs w:val="21"/>
        </w:rPr>
        <w:tab/>
      </w:r>
      <w:r w:rsidR="009311C1">
        <w:rPr>
          <w:rFonts w:cs="Arial"/>
          <w:bCs/>
          <w:sz w:val="22"/>
          <w:szCs w:val="22"/>
        </w:rPr>
        <w:t>Special resolution is defined in terms of s1 of the Management Act as a resolution that is passed by 75% calculated both in value and in number, of the votes of the members of a body corporate who are represented at a general meeting, or, agreed to in writing by members of a body corporate holding at least 75%</w:t>
      </w:r>
      <w:r w:rsidR="009311C1" w:rsidRPr="00B528F3">
        <w:rPr>
          <w:rFonts w:cs="Arial"/>
          <w:bCs/>
          <w:sz w:val="22"/>
          <w:szCs w:val="22"/>
        </w:rPr>
        <w:t xml:space="preserve"> </w:t>
      </w:r>
      <w:r w:rsidR="009311C1">
        <w:rPr>
          <w:rFonts w:cs="Arial"/>
          <w:bCs/>
          <w:sz w:val="22"/>
          <w:szCs w:val="22"/>
        </w:rPr>
        <w:t>calculated both in value and in number of all the votes.</w:t>
      </w:r>
    </w:p>
    <w:p w:rsidR="00C54168" w:rsidRPr="00D14D51" w:rsidRDefault="00CA5BDF" w:rsidP="00CA5BDF">
      <w:pPr>
        <w:tabs>
          <w:tab w:val="left" w:pos="680"/>
        </w:tabs>
        <w:spacing w:before="360" w:after="360" w:line="480" w:lineRule="auto"/>
        <w:jc w:val="both"/>
        <w:rPr>
          <w:rFonts w:cs="Arial"/>
          <w:bCs/>
          <w:sz w:val="22"/>
          <w:szCs w:val="22"/>
        </w:rPr>
      </w:pPr>
      <w:r w:rsidRPr="00D14D51">
        <w:rPr>
          <w:rFonts w:cs="Arial"/>
          <w:bCs/>
          <w:sz w:val="21"/>
          <w:szCs w:val="21"/>
        </w:rPr>
        <w:t>[66]</w:t>
      </w:r>
      <w:r w:rsidRPr="00D14D51">
        <w:rPr>
          <w:rFonts w:cs="Arial"/>
          <w:bCs/>
          <w:sz w:val="21"/>
          <w:szCs w:val="21"/>
        </w:rPr>
        <w:tab/>
      </w:r>
      <w:r w:rsidR="00C54168">
        <w:rPr>
          <w:rFonts w:cs="Arial"/>
          <w:bCs/>
          <w:sz w:val="22"/>
          <w:szCs w:val="22"/>
        </w:rPr>
        <w:t xml:space="preserve">The resolution was approved </w:t>
      </w:r>
      <w:r w:rsidR="009E0CB0">
        <w:rPr>
          <w:rFonts w:cs="Arial"/>
          <w:bCs/>
          <w:sz w:val="22"/>
          <w:szCs w:val="22"/>
        </w:rPr>
        <w:t xml:space="preserve">unanimously </w:t>
      </w:r>
      <w:r w:rsidR="00C54168">
        <w:rPr>
          <w:rFonts w:cs="Arial"/>
          <w:bCs/>
          <w:sz w:val="22"/>
          <w:szCs w:val="22"/>
        </w:rPr>
        <w:t xml:space="preserve">by </w:t>
      </w:r>
      <w:r w:rsidR="009E0CB0">
        <w:rPr>
          <w:rFonts w:cs="Arial"/>
          <w:bCs/>
          <w:sz w:val="22"/>
          <w:szCs w:val="22"/>
        </w:rPr>
        <w:t xml:space="preserve">the </w:t>
      </w:r>
      <w:r w:rsidR="00C54168">
        <w:rPr>
          <w:rFonts w:cs="Arial"/>
          <w:bCs/>
          <w:sz w:val="22"/>
          <w:szCs w:val="22"/>
        </w:rPr>
        <w:t xml:space="preserve">15 units represented at the </w:t>
      </w:r>
      <w:r w:rsidR="009E0CB0">
        <w:rPr>
          <w:rFonts w:cs="Arial"/>
          <w:bCs/>
          <w:sz w:val="22"/>
          <w:szCs w:val="22"/>
        </w:rPr>
        <w:t xml:space="preserve">general </w:t>
      </w:r>
      <w:r w:rsidR="00C54168">
        <w:rPr>
          <w:rFonts w:cs="Arial"/>
          <w:bCs/>
          <w:sz w:val="22"/>
          <w:szCs w:val="22"/>
        </w:rPr>
        <w:t>meeting</w:t>
      </w:r>
      <w:r w:rsidR="009E0CB0">
        <w:rPr>
          <w:rFonts w:cs="Arial"/>
          <w:bCs/>
          <w:sz w:val="22"/>
          <w:szCs w:val="22"/>
        </w:rPr>
        <w:t>. However, the minut</w:t>
      </w:r>
      <w:r w:rsidR="00905408">
        <w:rPr>
          <w:rFonts w:cs="Arial"/>
          <w:bCs/>
          <w:sz w:val="22"/>
          <w:szCs w:val="22"/>
        </w:rPr>
        <w:t xml:space="preserve">es of the meeting reflect that </w:t>
      </w:r>
      <w:r w:rsidR="009E0CB0">
        <w:rPr>
          <w:rFonts w:cs="Arial"/>
          <w:bCs/>
          <w:sz w:val="22"/>
          <w:szCs w:val="22"/>
        </w:rPr>
        <w:t xml:space="preserve">the meeting was not considering an amendment to a conduct rule (and by implication was not considering the </w:t>
      </w:r>
      <w:r w:rsidR="009E0CB0">
        <w:rPr>
          <w:rFonts w:cs="Arial"/>
          <w:bCs/>
          <w:sz w:val="22"/>
          <w:szCs w:val="22"/>
        </w:rPr>
        <w:lastRenderedPageBreak/>
        <w:t>adoption of a new conduct rule)</w:t>
      </w:r>
      <w:r w:rsidR="005F0A90">
        <w:rPr>
          <w:rFonts w:cs="Arial"/>
          <w:bCs/>
          <w:sz w:val="22"/>
          <w:szCs w:val="22"/>
        </w:rPr>
        <w:t>,</w:t>
      </w:r>
      <w:r w:rsidR="00905408">
        <w:rPr>
          <w:rFonts w:cs="Arial"/>
          <w:bCs/>
          <w:sz w:val="22"/>
          <w:szCs w:val="22"/>
        </w:rPr>
        <w:t xml:space="preserve"> and accordingly a special resolution was not up for consideration.</w:t>
      </w:r>
    </w:p>
    <w:p w:rsidR="009C4D14" w:rsidRPr="00905408" w:rsidRDefault="00CA5BDF" w:rsidP="00CA5BDF">
      <w:pPr>
        <w:tabs>
          <w:tab w:val="left" w:pos="680"/>
        </w:tabs>
        <w:spacing w:before="360" w:after="360" w:line="480" w:lineRule="auto"/>
        <w:jc w:val="both"/>
        <w:rPr>
          <w:rFonts w:cs="Arial"/>
          <w:bCs/>
          <w:sz w:val="22"/>
          <w:szCs w:val="22"/>
        </w:rPr>
      </w:pPr>
      <w:r w:rsidRPr="00905408">
        <w:rPr>
          <w:rFonts w:cs="Arial"/>
          <w:bCs/>
          <w:sz w:val="21"/>
          <w:szCs w:val="21"/>
        </w:rPr>
        <w:t>[67]</w:t>
      </w:r>
      <w:r w:rsidRPr="00905408">
        <w:rPr>
          <w:rFonts w:cs="Arial"/>
          <w:bCs/>
          <w:sz w:val="21"/>
          <w:szCs w:val="21"/>
        </w:rPr>
        <w:tab/>
      </w:r>
      <w:r w:rsidR="009C4D14" w:rsidRPr="00905408">
        <w:rPr>
          <w:rFonts w:cs="Arial"/>
          <w:bCs/>
          <w:sz w:val="22"/>
          <w:szCs w:val="22"/>
        </w:rPr>
        <w:t>Section 10(5)</w:t>
      </w:r>
      <w:r w:rsidR="00905408">
        <w:rPr>
          <w:rFonts w:cs="Arial"/>
          <w:bCs/>
          <w:sz w:val="22"/>
          <w:szCs w:val="22"/>
        </w:rPr>
        <w:t xml:space="preserve"> of the Management Act</w:t>
      </w:r>
      <w:r w:rsidR="009C4D14" w:rsidRPr="00905408">
        <w:rPr>
          <w:rFonts w:cs="Arial"/>
          <w:bCs/>
          <w:sz w:val="22"/>
          <w:szCs w:val="22"/>
        </w:rPr>
        <w:t xml:space="preserve"> provides for the process of substituting, adding to, amending or repealing the man</w:t>
      </w:r>
      <w:r w:rsidR="005F0A90">
        <w:rPr>
          <w:rFonts w:cs="Arial"/>
          <w:bCs/>
          <w:sz w:val="22"/>
          <w:szCs w:val="22"/>
        </w:rPr>
        <w:t xml:space="preserve">agement or conduct rules. It </w:t>
      </w:r>
      <w:r w:rsidR="00905408">
        <w:rPr>
          <w:rFonts w:cs="Arial"/>
          <w:bCs/>
          <w:sz w:val="22"/>
          <w:szCs w:val="22"/>
        </w:rPr>
        <w:t>imposes certain obligations upon a body corporate</w:t>
      </w:r>
      <w:r w:rsidR="00581710" w:rsidRPr="00905408">
        <w:rPr>
          <w:rFonts w:cs="Arial"/>
          <w:bCs/>
          <w:sz w:val="22"/>
          <w:szCs w:val="22"/>
        </w:rPr>
        <w:t xml:space="preserve"> to lodge</w:t>
      </w:r>
      <w:r w:rsidR="00905408">
        <w:rPr>
          <w:rFonts w:cs="Arial"/>
          <w:bCs/>
          <w:sz w:val="22"/>
          <w:szCs w:val="22"/>
        </w:rPr>
        <w:t xml:space="preserve"> a notification</w:t>
      </w:r>
      <w:r w:rsidR="009C4D14" w:rsidRPr="00905408">
        <w:rPr>
          <w:rFonts w:cs="Arial"/>
          <w:bCs/>
          <w:sz w:val="22"/>
          <w:szCs w:val="22"/>
        </w:rPr>
        <w:t xml:space="preserve"> with the chief Ombud</w:t>
      </w:r>
      <w:r w:rsidR="00905408">
        <w:rPr>
          <w:rFonts w:cs="Arial"/>
          <w:bCs/>
          <w:sz w:val="22"/>
          <w:szCs w:val="22"/>
        </w:rPr>
        <w:t xml:space="preserve"> and that the latter</w:t>
      </w:r>
      <w:r w:rsidR="009C4D14" w:rsidRPr="00905408">
        <w:rPr>
          <w:rFonts w:cs="Arial"/>
          <w:bCs/>
          <w:sz w:val="22"/>
          <w:szCs w:val="22"/>
        </w:rPr>
        <w:t xml:space="preserve"> examine the proposed substitution, addition, amendment or repe</w:t>
      </w:r>
      <w:r w:rsidR="00581710" w:rsidRPr="00905408">
        <w:rPr>
          <w:rFonts w:cs="Arial"/>
          <w:bCs/>
          <w:sz w:val="22"/>
          <w:szCs w:val="22"/>
        </w:rPr>
        <w:t xml:space="preserve">al referred to </w:t>
      </w:r>
      <w:r w:rsidR="009C4D14" w:rsidRPr="00905408">
        <w:rPr>
          <w:rFonts w:cs="Arial"/>
          <w:bCs/>
          <w:sz w:val="22"/>
          <w:szCs w:val="22"/>
        </w:rPr>
        <w:t>and must not approve it for filing unless satisfied that such variation is reasonable and appropriate to the scheme.</w:t>
      </w:r>
      <w:r w:rsidR="009C4D14">
        <w:rPr>
          <w:rStyle w:val="FootnoteReference"/>
          <w:rFonts w:cs="Arial"/>
          <w:bCs/>
          <w:sz w:val="22"/>
          <w:szCs w:val="22"/>
        </w:rPr>
        <w:footnoteReference w:id="15"/>
      </w:r>
      <w:r w:rsidR="00905408">
        <w:rPr>
          <w:rFonts w:cs="Arial"/>
          <w:bCs/>
          <w:sz w:val="22"/>
          <w:szCs w:val="22"/>
        </w:rPr>
        <w:t xml:space="preserve">  </w:t>
      </w:r>
    </w:p>
    <w:p w:rsidR="001C60A1" w:rsidRDefault="00CA5BDF" w:rsidP="00CA5BDF">
      <w:pPr>
        <w:tabs>
          <w:tab w:val="left" w:pos="680"/>
        </w:tabs>
        <w:spacing w:before="360" w:after="360" w:line="480" w:lineRule="auto"/>
        <w:jc w:val="both"/>
        <w:rPr>
          <w:rFonts w:cs="Arial"/>
          <w:bCs/>
          <w:sz w:val="22"/>
          <w:szCs w:val="22"/>
        </w:rPr>
      </w:pPr>
      <w:r>
        <w:rPr>
          <w:rFonts w:cs="Arial"/>
          <w:bCs/>
          <w:sz w:val="21"/>
          <w:szCs w:val="21"/>
        </w:rPr>
        <w:t>[68]</w:t>
      </w:r>
      <w:r>
        <w:rPr>
          <w:rFonts w:cs="Arial"/>
          <w:bCs/>
          <w:sz w:val="21"/>
          <w:szCs w:val="21"/>
        </w:rPr>
        <w:tab/>
      </w:r>
      <w:r w:rsidR="009311C1">
        <w:rPr>
          <w:rFonts w:cs="Arial"/>
          <w:bCs/>
          <w:sz w:val="22"/>
          <w:szCs w:val="22"/>
        </w:rPr>
        <w:t xml:space="preserve">The respondents did not comply with the provisions of </w:t>
      </w:r>
      <w:r w:rsidR="00905408">
        <w:rPr>
          <w:rFonts w:cs="Arial"/>
          <w:bCs/>
          <w:sz w:val="22"/>
          <w:szCs w:val="22"/>
        </w:rPr>
        <w:t>s</w:t>
      </w:r>
      <w:r w:rsidR="009311C1">
        <w:rPr>
          <w:rFonts w:cs="Arial"/>
          <w:bCs/>
          <w:sz w:val="22"/>
          <w:szCs w:val="22"/>
        </w:rPr>
        <w:t>10(</w:t>
      </w:r>
      <w:r w:rsidR="00917161">
        <w:rPr>
          <w:rFonts w:cs="Arial"/>
          <w:bCs/>
          <w:sz w:val="22"/>
          <w:szCs w:val="22"/>
        </w:rPr>
        <w:t>2</w:t>
      </w:r>
      <w:r w:rsidR="009311C1">
        <w:rPr>
          <w:rFonts w:cs="Arial"/>
          <w:bCs/>
          <w:sz w:val="22"/>
          <w:szCs w:val="22"/>
        </w:rPr>
        <w:t>)</w:t>
      </w:r>
      <w:r w:rsidR="00917161">
        <w:rPr>
          <w:rFonts w:cs="Arial"/>
          <w:bCs/>
          <w:sz w:val="22"/>
          <w:szCs w:val="22"/>
        </w:rPr>
        <w:t xml:space="preserve"> and </w:t>
      </w:r>
      <w:r w:rsidR="005F0A90">
        <w:rPr>
          <w:rFonts w:cs="Arial"/>
          <w:bCs/>
          <w:sz w:val="22"/>
          <w:szCs w:val="22"/>
        </w:rPr>
        <w:t>s</w:t>
      </w:r>
      <w:r w:rsidR="00917161">
        <w:rPr>
          <w:rFonts w:cs="Arial"/>
          <w:bCs/>
          <w:sz w:val="22"/>
          <w:szCs w:val="22"/>
        </w:rPr>
        <w:t>10(5)</w:t>
      </w:r>
      <w:r w:rsidR="009311C1">
        <w:rPr>
          <w:rFonts w:cs="Arial"/>
          <w:bCs/>
          <w:sz w:val="22"/>
          <w:szCs w:val="22"/>
        </w:rPr>
        <w:t xml:space="preserve"> of the </w:t>
      </w:r>
      <w:r w:rsidR="00905408" w:rsidRPr="001C60A1">
        <w:rPr>
          <w:rFonts w:cs="Arial"/>
          <w:bCs/>
          <w:sz w:val="22"/>
          <w:szCs w:val="22"/>
        </w:rPr>
        <w:t>M</w:t>
      </w:r>
      <w:r w:rsidR="009311C1" w:rsidRPr="001C60A1">
        <w:rPr>
          <w:rFonts w:cs="Arial"/>
          <w:bCs/>
          <w:sz w:val="22"/>
          <w:szCs w:val="22"/>
        </w:rPr>
        <w:t xml:space="preserve">anagement </w:t>
      </w:r>
      <w:r w:rsidR="00905408" w:rsidRPr="001C60A1">
        <w:rPr>
          <w:rFonts w:cs="Arial"/>
          <w:bCs/>
          <w:sz w:val="22"/>
          <w:szCs w:val="22"/>
        </w:rPr>
        <w:t xml:space="preserve">Act and thus </w:t>
      </w:r>
      <w:r w:rsidR="00917161" w:rsidRPr="001C60A1">
        <w:rPr>
          <w:rFonts w:cs="Arial"/>
          <w:bCs/>
          <w:sz w:val="22"/>
          <w:szCs w:val="22"/>
        </w:rPr>
        <w:t xml:space="preserve">did not </w:t>
      </w:r>
      <w:r w:rsidR="00B53C4E" w:rsidRPr="001C60A1">
        <w:rPr>
          <w:rFonts w:cs="Arial"/>
          <w:bCs/>
          <w:sz w:val="22"/>
          <w:szCs w:val="22"/>
        </w:rPr>
        <w:t>validly</w:t>
      </w:r>
      <w:r w:rsidR="00905408" w:rsidRPr="001C60A1">
        <w:rPr>
          <w:rFonts w:cs="Arial"/>
          <w:bCs/>
          <w:sz w:val="22"/>
          <w:szCs w:val="22"/>
        </w:rPr>
        <w:t xml:space="preserve"> ad</w:t>
      </w:r>
      <w:r w:rsidR="00917161" w:rsidRPr="001C60A1">
        <w:rPr>
          <w:rFonts w:cs="Arial"/>
          <w:bCs/>
          <w:sz w:val="22"/>
          <w:szCs w:val="22"/>
        </w:rPr>
        <w:t xml:space="preserve">opt and implement the security protocol.  </w:t>
      </w:r>
    </w:p>
    <w:p w:rsidR="00DD111B" w:rsidRPr="001C60A1" w:rsidRDefault="00CA5BDF" w:rsidP="00CA5BDF">
      <w:pPr>
        <w:tabs>
          <w:tab w:val="left" w:pos="680"/>
        </w:tabs>
        <w:spacing w:before="360" w:after="360" w:line="480" w:lineRule="auto"/>
        <w:jc w:val="both"/>
        <w:rPr>
          <w:rFonts w:cs="Arial"/>
          <w:bCs/>
          <w:sz w:val="22"/>
          <w:szCs w:val="22"/>
        </w:rPr>
      </w:pPr>
      <w:r w:rsidRPr="001C60A1">
        <w:rPr>
          <w:rFonts w:cs="Arial"/>
          <w:bCs/>
          <w:sz w:val="21"/>
          <w:szCs w:val="21"/>
        </w:rPr>
        <w:t>[69]</w:t>
      </w:r>
      <w:r w:rsidRPr="001C60A1">
        <w:rPr>
          <w:rFonts w:cs="Arial"/>
          <w:bCs/>
          <w:sz w:val="21"/>
          <w:szCs w:val="21"/>
        </w:rPr>
        <w:tab/>
      </w:r>
      <w:r w:rsidR="00B53C4E" w:rsidRPr="001C60A1">
        <w:rPr>
          <w:rFonts w:cs="Arial"/>
          <w:bCs/>
          <w:sz w:val="22"/>
          <w:szCs w:val="22"/>
        </w:rPr>
        <w:t xml:space="preserve">Accordingly, the security protocol </w:t>
      </w:r>
      <w:r w:rsidR="00DD111B" w:rsidRPr="001C60A1">
        <w:rPr>
          <w:rFonts w:cs="Arial"/>
          <w:bCs/>
          <w:sz w:val="22"/>
          <w:szCs w:val="22"/>
        </w:rPr>
        <w:t xml:space="preserve">is </w:t>
      </w:r>
      <w:r w:rsidR="005F0A90">
        <w:rPr>
          <w:rFonts w:cs="Arial"/>
          <w:bCs/>
          <w:sz w:val="22"/>
          <w:szCs w:val="22"/>
        </w:rPr>
        <w:t xml:space="preserve">to be </w:t>
      </w:r>
      <w:r w:rsidR="001C60A1" w:rsidRPr="001C60A1">
        <w:rPr>
          <w:rFonts w:cs="Arial"/>
          <w:bCs/>
          <w:sz w:val="22"/>
          <w:szCs w:val="22"/>
        </w:rPr>
        <w:t xml:space="preserve">declared </w:t>
      </w:r>
      <w:r w:rsidR="00DD111B" w:rsidRPr="001C60A1">
        <w:rPr>
          <w:rFonts w:cs="Arial"/>
          <w:bCs/>
          <w:sz w:val="22"/>
          <w:szCs w:val="22"/>
        </w:rPr>
        <w:t xml:space="preserve">invalid </w:t>
      </w:r>
      <w:r w:rsidR="005F0A90">
        <w:rPr>
          <w:rFonts w:cs="Arial"/>
          <w:bCs/>
          <w:sz w:val="22"/>
          <w:szCs w:val="22"/>
        </w:rPr>
        <w:t>and the Body Corporate</w:t>
      </w:r>
      <w:r w:rsidR="001C60A1" w:rsidRPr="001C60A1">
        <w:rPr>
          <w:rFonts w:cs="Arial"/>
          <w:bCs/>
          <w:sz w:val="22"/>
          <w:szCs w:val="22"/>
        </w:rPr>
        <w:t xml:space="preserve"> required to approve and record a </w:t>
      </w:r>
      <w:r w:rsidR="00DD111B" w:rsidRPr="001C60A1">
        <w:rPr>
          <w:rFonts w:cs="Arial"/>
          <w:bCs/>
          <w:sz w:val="22"/>
          <w:szCs w:val="22"/>
        </w:rPr>
        <w:t>n</w:t>
      </w:r>
      <w:r w:rsidR="001C60A1" w:rsidRPr="001C60A1">
        <w:rPr>
          <w:rFonts w:cs="Arial"/>
          <w:bCs/>
          <w:sz w:val="22"/>
          <w:szCs w:val="22"/>
        </w:rPr>
        <w:t xml:space="preserve">ew scheme governance provision </w:t>
      </w:r>
      <w:r w:rsidR="00DD111B" w:rsidRPr="001C60A1">
        <w:rPr>
          <w:rFonts w:cs="Arial"/>
          <w:bCs/>
          <w:sz w:val="22"/>
          <w:szCs w:val="22"/>
        </w:rPr>
        <w:t xml:space="preserve">to </w:t>
      </w:r>
      <w:r w:rsidR="001C60A1" w:rsidRPr="001C60A1">
        <w:rPr>
          <w:rFonts w:cs="Arial"/>
          <w:bCs/>
          <w:sz w:val="22"/>
          <w:szCs w:val="22"/>
        </w:rPr>
        <w:t>remov</w:t>
      </w:r>
      <w:r w:rsidR="001C60A1">
        <w:rPr>
          <w:rFonts w:cs="Arial"/>
          <w:bCs/>
          <w:sz w:val="22"/>
          <w:szCs w:val="22"/>
        </w:rPr>
        <w:t>e the invalid security protocol</w:t>
      </w:r>
      <w:r w:rsidR="005F0A90">
        <w:rPr>
          <w:rFonts w:cs="Arial"/>
          <w:bCs/>
          <w:sz w:val="22"/>
          <w:szCs w:val="22"/>
        </w:rPr>
        <w:t>,</w:t>
      </w:r>
      <w:r w:rsidR="001C60A1" w:rsidRPr="001C60A1">
        <w:rPr>
          <w:rFonts w:cs="Arial"/>
          <w:bCs/>
          <w:sz w:val="22"/>
          <w:szCs w:val="22"/>
        </w:rPr>
        <w:t xml:space="preserve"> in terms of s 39(3)(c) of the CSOS Act</w:t>
      </w:r>
      <w:r w:rsidR="001C60A1">
        <w:rPr>
          <w:rFonts w:cs="Arial"/>
          <w:bCs/>
          <w:sz w:val="22"/>
          <w:szCs w:val="22"/>
        </w:rPr>
        <w:t>.</w:t>
      </w:r>
    </w:p>
    <w:p w:rsidR="00A27BDE" w:rsidRPr="001C60A1" w:rsidRDefault="00CA5BDF" w:rsidP="00CA5BDF">
      <w:pPr>
        <w:tabs>
          <w:tab w:val="left" w:pos="680"/>
        </w:tabs>
        <w:spacing w:before="360" w:after="360" w:line="480" w:lineRule="auto"/>
        <w:jc w:val="both"/>
        <w:rPr>
          <w:rFonts w:cs="Arial"/>
          <w:bCs/>
          <w:color w:val="FF0000"/>
          <w:sz w:val="22"/>
          <w:szCs w:val="22"/>
        </w:rPr>
      </w:pPr>
      <w:r w:rsidRPr="001C60A1">
        <w:rPr>
          <w:rFonts w:cs="Arial"/>
          <w:bCs/>
          <w:sz w:val="21"/>
          <w:szCs w:val="21"/>
        </w:rPr>
        <w:t>[70]</w:t>
      </w:r>
      <w:r w:rsidRPr="001C60A1">
        <w:rPr>
          <w:rFonts w:cs="Arial"/>
          <w:bCs/>
          <w:sz w:val="21"/>
          <w:szCs w:val="21"/>
        </w:rPr>
        <w:tab/>
      </w:r>
      <w:r w:rsidR="00377CEE" w:rsidRPr="001C60A1">
        <w:rPr>
          <w:rFonts w:cs="Arial"/>
          <w:bCs/>
          <w:sz w:val="22"/>
          <w:szCs w:val="22"/>
        </w:rPr>
        <w:t xml:space="preserve">Turning to the appellant’s argument in respect of rule 9(e), </w:t>
      </w:r>
      <w:r w:rsidR="00A27BDE" w:rsidRPr="001C60A1">
        <w:rPr>
          <w:rFonts w:cs="Arial"/>
          <w:bCs/>
          <w:sz w:val="22"/>
          <w:szCs w:val="22"/>
        </w:rPr>
        <w:t>the appellant conceded that it</w:t>
      </w:r>
      <w:r w:rsidR="005F0A90">
        <w:rPr>
          <w:rFonts w:cs="Arial"/>
          <w:bCs/>
          <w:sz w:val="22"/>
          <w:szCs w:val="22"/>
        </w:rPr>
        <w:t xml:space="preserve"> did not raise the issue of </w:t>
      </w:r>
      <w:r w:rsidR="00A27BDE" w:rsidRPr="001C60A1">
        <w:rPr>
          <w:rFonts w:cs="Arial"/>
          <w:bCs/>
          <w:sz w:val="22"/>
          <w:szCs w:val="22"/>
        </w:rPr>
        <w:t>rule 9(e) being unreasonable before the Adjudicator. As a result, the Adjudicator did not grant an order in respect of the unreasonableness or otherwise of rule 9(e) and there is no order, in terms of s 57(1) of the CSOS Act, in respect of the issue.</w:t>
      </w:r>
    </w:p>
    <w:p w:rsidR="00582F52" w:rsidRDefault="00CA5BDF" w:rsidP="00CA5BDF">
      <w:pPr>
        <w:tabs>
          <w:tab w:val="left" w:pos="680"/>
        </w:tabs>
        <w:spacing w:before="360" w:after="360" w:line="480" w:lineRule="auto"/>
        <w:jc w:val="both"/>
        <w:rPr>
          <w:rFonts w:cs="Arial"/>
          <w:bCs/>
          <w:sz w:val="22"/>
          <w:szCs w:val="22"/>
        </w:rPr>
      </w:pPr>
      <w:r>
        <w:rPr>
          <w:rFonts w:cs="Arial"/>
          <w:bCs/>
          <w:sz w:val="21"/>
          <w:szCs w:val="21"/>
        </w:rPr>
        <w:t>[71]</w:t>
      </w:r>
      <w:r>
        <w:rPr>
          <w:rFonts w:cs="Arial"/>
          <w:bCs/>
          <w:sz w:val="21"/>
          <w:szCs w:val="21"/>
        </w:rPr>
        <w:tab/>
      </w:r>
      <w:r w:rsidR="00A27BDE">
        <w:rPr>
          <w:rFonts w:cs="Arial"/>
          <w:bCs/>
          <w:sz w:val="22"/>
          <w:szCs w:val="22"/>
        </w:rPr>
        <w:t>In the circumstances. the jurisdictional facts necessary for this Court to determine whether rule 9(e) is unreasonable or not in terms of s57(1) of the CSOS Act, have not been met and this Court is not empowered to d</w:t>
      </w:r>
      <w:r w:rsidR="00DD111B">
        <w:rPr>
          <w:rFonts w:cs="Arial"/>
          <w:bCs/>
          <w:sz w:val="22"/>
          <w:szCs w:val="22"/>
        </w:rPr>
        <w:t xml:space="preserve">etermine the issue. </w:t>
      </w:r>
      <w:r w:rsidR="00A27BDE">
        <w:rPr>
          <w:rFonts w:cs="Arial"/>
          <w:bCs/>
          <w:sz w:val="22"/>
          <w:szCs w:val="22"/>
        </w:rPr>
        <w:t xml:space="preserve">  </w:t>
      </w:r>
    </w:p>
    <w:p w:rsidR="0081046C" w:rsidRPr="00921E9C" w:rsidRDefault="00CA5BDF" w:rsidP="00CA5BDF">
      <w:pPr>
        <w:tabs>
          <w:tab w:val="left" w:pos="680"/>
        </w:tabs>
        <w:spacing w:before="360" w:after="360" w:line="480" w:lineRule="auto"/>
        <w:jc w:val="both"/>
        <w:rPr>
          <w:rFonts w:cs="Arial"/>
          <w:bCs/>
          <w:sz w:val="22"/>
          <w:szCs w:val="22"/>
        </w:rPr>
      </w:pPr>
      <w:r w:rsidRPr="00921E9C">
        <w:rPr>
          <w:rFonts w:cs="Arial"/>
          <w:bCs/>
          <w:sz w:val="21"/>
          <w:szCs w:val="21"/>
        </w:rPr>
        <w:lastRenderedPageBreak/>
        <w:t>[72]</w:t>
      </w:r>
      <w:r w:rsidRPr="00921E9C">
        <w:rPr>
          <w:rFonts w:cs="Arial"/>
          <w:bCs/>
          <w:sz w:val="21"/>
          <w:szCs w:val="21"/>
        </w:rPr>
        <w:tab/>
      </w:r>
      <w:r w:rsidR="00582F52" w:rsidRPr="00582F52">
        <w:rPr>
          <w:rFonts w:cs="Arial"/>
          <w:bCs/>
          <w:sz w:val="22"/>
          <w:szCs w:val="22"/>
        </w:rPr>
        <w:t xml:space="preserve">As to the costs of this </w:t>
      </w:r>
      <w:r w:rsidR="00921E9C" w:rsidRPr="00582F52">
        <w:rPr>
          <w:rFonts w:cs="Arial"/>
          <w:bCs/>
          <w:sz w:val="22"/>
          <w:szCs w:val="22"/>
        </w:rPr>
        <w:t>appe</w:t>
      </w:r>
      <w:r w:rsidR="00921E9C">
        <w:rPr>
          <w:rFonts w:cs="Arial"/>
          <w:bCs/>
          <w:sz w:val="22"/>
          <w:szCs w:val="22"/>
        </w:rPr>
        <w:t>al,</w:t>
      </w:r>
      <w:r w:rsidR="00582F52" w:rsidRPr="00582F52">
        <w:rPr>
          <w:rFonts w:cs="Arial"/>
          <w:bCs/>
          <w:sz w:val="22"/>
          <w:szCs w:val="22"/>
        </w:rPr>
        <w:t xml:space="preserve"> there is no reason why the costs</w:t>
      </w:r>
      <w:r w:rsidR="00921E9C">
        <w:rPr>
          <w:rFonts w:cs="Arial"/>
          <w:bCs/>
          <w:sz w:val="22"/>
          <w:szCs w:val="22"/>
        </w:rPr>
        <w:t xml:space="preserve"> should not follow the outcome on the merits. </w:t>
      </w:r>
      <w:r w:rsidR="00582F52" w:rsidRPr="00921E9C">
        <w:rPr>
          <w:rFonts w:cs="Arial"/>
          <w:bCs/>
          <w:sz w:val="22"/>
          <w:szCs w:val="22"/>
        </w:rPr>
        <w:t xml:space="preserve">In </w:t>
      </w:r>
      <w:r w:rsidR="00921E9C" w:rsidRPr="00921E9C">
        <w:rPr>
          <w:rFonts w:cs="Arial"/>
          <w:bCs/>
          <w:sz w:val="22"/>
          <w:szCs w:val="22"/>
        </w:rPr>
        <w:t xml:space="preserve">so far as the appellant sought </w:t>
      </w:r>
      <w:r w:rsidR="00582F52" w:rsidRPr="00921E9C">
        <w:rPr>
          <w:rFonts w:cs="Arial"/>
          <w:bCs/>
          <w:sz w:val="22"/>
          <w:szCs w:val="22"/>
        </w:rPr>
        <w:t xml:space="preserve">an order </w:t>
      </w:r>
      <w:r w:rsidR="00921E9C" w:rsidRPr="00921E9C">
        <w:rPr>
          <w:rFonts w:cs="Arial"/>
          <w:bCs/>
          <w:sz w:val="22"/>
          <w:szCs w:val="22"/>
        </w:rPr>
        <w:t xml:space="preserve">in respect of the costs of the Adjudication, the matter was dealt with absent legal representation. Such legal costs as were incurred by the appellant, if any, will not have been wasted. Accordingly, I am not inclined to order costs of the Adjudication.  </w:t>
      </w:r>
    </w:p>
    <w:p w:rsidR="00CF3A31" w:rsidRDefault="00CA5BDF" w:rsidP="00CA5BDF">
      <w:pPr>
        <w:tabs>
          <w:tab w:val="left" w:pos="680"/>
        </w:tabs>
        <w:spacing w:before="360" w:after="360" w:line="480" w:lineRule="auto"/>
        <w:jc w:val="both"/>
        <w:rPr>
          <w:rFonts w:cs="Arial"/>
          <w:bCs/>
          <w:sz w:val="22"/>
          <w:szCs w:val="22"/>
        </w:rPr>
      </w:pPr>
      <w:r>
        <w:rPr>
          <w:rFonts w:cs="Arial"/>
          <w:bCs/>
          <w:sz w:val="21"/>
          <w:szCs w:val="21"/>
        </w:rPr>
        <w:t>[73]</w:t>
      </w:r>
      <w:r>
        <w:rPr>
          <w:rFonts w:cs="Arial"/>
          <w:bCs/>
          <w:sz w:val="21"/>
          <w:szCs w:val="21"/>
        </w:rPr>
        <w:tab/>
      </w:r>
      <w:r w:rsidR="00CF3A31">
        <w:rPr>
          <w:rFonts w:cs="Arial"/>
          <w:bCs/>
          <w:sz w:val="22"/>
          <w:szCs w:val="22"/>
        </w:rPr>
        <w:t>In the circumstances, the following order will issue:</w:t>
      </w:r>
    </w:p>
    <w:p w:rsidR="00C83FB4" w:rsidRPr="00CA5BDF" w:rsidRDefault="00CA5BDF" w:rsidP="00CA5BDF">
      <w:pPr>
        <w:tabs>
          <w:tab w:val="left" w:pos="1134"/>
        </w:tabs>
        <w:spacing w:before="360" w:after="360" w:line="480" w:lineRule="auto"/>
        <w:ind w:left="1701" w:hanging="567"/>
        <w:jc w:val="both"/>
        <w:rPr>
          <w:rFonts w:cs="Arial"/>
          <w:bCs/>
          <w:sz w:val="22"/>
          <w:szCs w:val="22"/>
        </w:rPr>
      </w:pPr>
      <w:r>
        <w:rPr>
          <w:rFonts w:cs="Arial"/>
          <w:bCs/>
          <w:sz w:val="22"/>
          <w:szCs w:val="22"/>
        </w:rPr>
        <w:t>1.</w:t>
      </w:r>
      <w:r>
        <w:rPr>
          <w:rFonts w:cs="Arial"/>
          <w:bCs/>
          <w:sz w:val="22"/>
          <w:szCs w:val="22"/>
        </w:rPr>
        <w:tab/>
      </w:r>
      <w:r w:rsidR="001D1C9D" w:rsidRPr="00CA5BDF">
        <w:rPr>
          <w:rFonts w:cs="Arial"/>
          <w:bCs/>
          <w:sz w:val="22"/>
          <w:szCs w:val="22"/>
        </w:rPr>
        <w:t>The appeal is upheld.</w:t>
      </w:r>
    </w:p>
    <w:p w:rsidR="001D1C9D" w:rsidRPr="00CA5BDF" w:rsidRDefault="00CA5BDF" w:rsidP="00CA5BDF">
      <w:pPr>
        <w:tabs>
          <w:tab w:val="left" w:pos="1134"/>
        </w:tabs>
        <w:spacing w:before="360" w:after="360" w:line="480" w:lineRule="auto"/>
        <w:ind w:left="1701" w:hanging="567"/>
        <w:jc w:val="both"/>
        <w:rPr>
          <w:rFonts w:cs="Arial"/>
          <w:bCs/>
          <w:sz w:val="22"/>
          <w:szCs w:val="22"/>
        </w:rPr>
      </w:pPr>
      <w:r>
        <w:rPr>
          <w:rFonts w:cs="Arial"/>
          <w:bCs/>
          <w:sz w:val="22"/>
          <w:szCs w:val="22"/>
        </w:rPr>
        <w:t>2.</w:t>
      </w:r>
      <w:r>
        <w:rPr>
          <w:rFonts w:cs="Arial"/>
          <w:bCs/>
          <w:sz w:val="22"/>
          <w:szCs w:val="22"/>
        </w:rPr>
        <w:tab/>
      </w:r>
      <w:r w:rsidR="001D1C9D" w:rsidRPr="00CA5BDF">
        <w:rPr>
          <w:rFonts w:cs="Arial"/>
          <w:bCs/>
          <w:sz w:val="22"/>
          <w:szCs w:val="22"/>
        </w:rPr>
        <w:t>The adjudication order of the fourth respondent dated 27 December 2021 is set aside and replaced with the following order:</w:t>
      </w:r>
    </w:p>
    <w:p w:rsidR="001D1C9D" w:rsidRPr="00CA5BDF" w:rsidRDefault="00CA5BDF" w:rsidP="00CA5BDF">
      <w:pPr>
        <w:tabs>
          <w:tab w:val="left" w:pos="2381"/>
        </w:tabs>
        <w:spacing w:before="360" w:after="360" w:line="480" w:lineRule="auto"/>
        <w:ind w:left="2381" w:hanging="680"/>
        <w:jc w:val="both"/>
        <w:rPr>
          <w:rFonts w:cs="Arial"/>
          <w:bCs/>
          <w:sz w:val="22"/>
          <w:szCs w:val="22"/>
        </w:rPr>
      </w:pPr>
      <w:r>
        <w:rPr>
          <w:rFonts w:cs="Arial"/>
          <w:bCs/>
          <w:sz w:val="22"/>
          <w:szCs w:val="22"/>
        </w:rPr>
        <w:t>2.1.</w:t>
      </w:r>
      <w:r>
        <w:rPr>
          <w:rFonts w:cs="Arial"/>
          <w:bCs/>
          <w:sz w:val="22"/>
          <w:szCs w:val="22"/>
        </w:rPr>
        <w:tab/>
      </w:r>
      <w:r w:rsidR="001D1C9D" w:rsidRPr="00CA5BDF">
        <w:rPr>
          <w:rFonts w:cs="Arial"/>
          <w:bCs/>
          <w:sz w:val="22"/>
          <w:szCs w:val="22"/>
        </w:rPr>
        <w:t>The security protocol approved by ordinary resolution of the second respondent at its special general meeting on 17 June 2021 is declared to be –</w:t>
      </w:r>
    </w:p>
    <w:p w:rsidR="001D1C9D" w:rsidRPr="00CA5BDF" w:rsidRDefault="00CA5BDF" w:rsidP="00CA5BDF">
      <w:pPr>
        <w:tabs>
          <w:tab w:val="left" w:pos="3119"/>
        </w:tabs>
        <w:spacing w:before="360" w:after="360" w:line="480" w:lineRule="auto"/>
        <w:ind w:left="3119" w:hanging="738"/>
        <w:jc w:val="both"/>
        <w:rPr>
          <w:rFonts w:cs="Arial"/>
          <w:bCs/>
          <w:sz w:val="22"/>
          <w:szCs w:val="22"/>
        </w:rPr>
      </w:pPr>
      <w:r>
        <w:rPr>
          <w:rFonts w:cs="Arial"/>
          <w:bCs/>
          <w:sz w:val="22"/>
          <w:szCs w:val="22"/>
        </w:rPr>
        <w:t>2.1.1.</w:t>
      </w:r>
      <w:r>
        <w:rPr>
          <w:rFonts w:cs="Arial"/>
          <w:bCs/>
          <w:sz w:val="22"/>
          <w:szCs w:val="22"/>
        </w:rPr>
        <w:tab/>
      </w:r>
      <w:r w:rsidR="001D1C9D" w:rsidRPr="00CA5BDF">
        <w:rPr>
          <w:rFonts w:cs="Arial"/>
          <w:bCs/>
          <w:sz w:val="22"/>
          <w:szCs w:val="22"/>
        </w:rPr>
        <w:t>A conduct rule as contemplated in the Sectional</w:t>
      </w:r>
      <w:r w:rsidR="001C60A1" w:rsidRPr="00CA5BDF">
        <w:rPr>
          <w:rFonts w:cs="Arial"/>
          <w:bCs/>
          <w:sz w:val="22"/>
          <w:szCs w:val="22"/>
        </w:rPr>
        <w:t xml:space="preserve"> Titles Schemes Management Act </w:t>
      </w:r>
      <w:r w:rsidR="001D1C9D" w:rsidRPr="00CA5BDF">
        <w:rPr>
          <w:rFonts w:cs="Arial"/>
          <w:bCs/>
          <w:sz w:val="22"/>
          <w:szCs w:val="22"/>
        </w:rPr>
        <w:t>8 of 2011;</w:t>
      </w:r>
    </w:p>
    <w:p w:rsidR="001D1C9D" w:rsidRPr="00CA5BDF" w:rsidRDefault="00CA5BDF" w:rsidP="00CA5BDF">
      <w:pPr>
        <w:tabs>
          <w:tab w:val="left" w:pos="3119"/>
        </w:tabs>
        <w:spacing w:before="360" w:after="360" w:line="480" w:lineRule="auto"/>
        <w:ind w:left="3119" w:hanging="738"/>
        <w:jc w:val="both"/>
        <w:rPr>
          <w:rFonts w:cs="Arial"/>
          <w:bCs/>
          <w:sz w:val="22"/>
          <w:szCs w:val="22"/>
        </w:rPr>
      </w:pPr>
      <w:r w:rsidRPr="001C60A1">
        <w:rPr>
          <w:rFonts w:cs="Arial"/>
          <w:bCs/>
          <w:sz w:val="22"/>
          <w:szCs w:val="22"/>
        </w:rPr>
        <w:t>2.1.2.</w:t>
      </w:r>
      <w:r w:rsidRPr="001C60A1">
        <w:rPr>
          <w:rFonts w:cs="Arial"/>
          <w:bCs/>
          <w:sz w:val="22"/>
          <w:szCs w:val="22"/>
        </w:rPr>
        <w:tab/>
      </w:r>
      <w:r w:rsidR="001D1C9D" w:rsidRPr="00CA5BDF">
        <w:rPr>
          <w:rFonts w:cs="Arial"/>
          <w:bCs/>
          <w:sz w:val="22"/>
          <w:szCs w:val="22"/>
        </w:rPr>
        <w:t>Invalid in terms of section 39(3)(c) of the Community Schemes Ombud Services Act, 9 of 2011 (“CSOS Act”);</w:t>
      </w:r>
    </w:p>
    <w:p w:rsidR="001D1C9D" w:rsidRPr="00CA5BDF" w:rsidRDefault="00CA5BDF" w:rsidP="00CA5BDF">
      <w:pPr>
        <w:tabs>
          <w:tab w:val="left" w:pos="2381"/>
        </w:tabs>
        <w:spacing w:before="360" w:after="360" w:line="480" w:lineRule="auto"/>
        <w:ind w:left="2381" w:hanging="680"/>
        <w:jc w:val="both"/>
        <w:rPr>
          <w:rFonts w:cs="Arial"/>
          <w:bCs/>
          <w:sz w:val="22"/>
          <w:szCs w:val="22"/>
        </w:rPr>
      </w:pPr>
      <w:r>
        <w:rPr>
          <w:rFonts w:cs="Arial"/>
          <w:bCs/>
          <w:sz w:val="22"/>
          <w:szCs w:val="22"/>
        </w:rPr>
        <w:t>2.2.</w:t>
      </w:r>
      <w:r>
        <w:rPr>
          <w:rFonts w:cs="Arial"/>
          <w:bCs/>
          <w:sz w:val="22"/>
          <w:szCs w:val="22"/>
        </w:rPr>
        <w:tab/>
      </w:r>
      <w:r w:rsidR="001D1C9D" w:rsidRPr="00CA5BDF">
        <w:rPr>
          <w:rFonts w:cs="Arial"/>
          <w:bCs/>
          <w:sz w:val="22"/>
          <w:szCs w:val="22"/>
        </w:rPr>
        <w:t>The second respondent is directed –</w:t>
      </w:r>
    </w:p>
    <w:p w:rsidR="001D1C9D" w:rsidRPr="00CA5BDF" w:rsidRDefault="00CA5BDF" w:rsidP="00CA5BDF">
      <w:pPr>
        <w:tabs>
          <w:tab w:val="left" w:pos="3119"/>
        </w:tabs>
        <w:spacing w:before="360" w:after="360" w:line="480" w:lineRule="auto"/>
        <w:ind w:left="3119" w:hanging="738"/>
        <w:jc w:val="both"/>
        <w:rPr>
          <w:rFonts w:cs="Arial"/>
          <w:bCs/>
          <w:sz w:val="22"/>
          <w:szCs w:val="22"/>
        </w:rPr>
      </w:pPr>
      <w:r w:rsidRPr="001C60A1">
        <w:rPr>
          <w:rFonts w:cs="Arial"/>
          <w:bCs/>
          <w:sz w:val="22"/>
          <w:szCs w:val="22"/>
        </w:rPr>
        <w:t>2.2.1.</w:t>
      </w:r>
      <w:r w:rsidRPr="001C60A1">
        <w:rPr>
          <w:rFonts w:cs="Arial"/>
          <w:bCs/>
          <w:sz w:val="22"/>
          <w:szCs w:val="22"/>
        </w:rPr>
        <w:tab/>
      </w:r>
      <w:r w:rsidR="001D1C9D" w:rsidRPr="00CA5BDF">
        <w:rPr>
          <w:rFonts w:cs="Arial"/>
          <w:bCs/>
          <w:sz w:val="22"/>
          <w:szCs w:val="22"/>
        </w:rPr>
        <w:t>to approve and record a new scheme governance provision to remove the security protocol;</w:t>
      </w:r>
    </w:p>
    <w:p w:rsidR="001D1C9D" w:rsidRPr="00CA5BDF" w:rsidRDefault="00CA5BDF" w:rsidP="00CA5BDF">
      <w:pPr>
        <w:tabs>
          <w:tab w:val="left" w:pos="3119"/>
        </w:tabs>
        <w:spacing w:before="360" w:after="360" w:line="480" w:lineRule="auto"/>
        <w:ind w:left="3119" w:hanging="738"/>
        <w:jc w:val="both"/>
        <w:rPr>
          <w:rFonts w:cs="Arial"/>
          <w:bCs/>
          <w:sz w:val="22"/>
          <w:szCs w:val="22"/>
        </w:rPr>
      </w:pPr>
      <w:r>
        <w:rPr>
          <w:rFonts w:cs="Arial"/>
          <w:bCs/>
          <w:sz w:val="22"/>
          <w:szCs w:val="22"/>
        </w:rPr>
        <w:t>2.2.2.</w:t>
      </w:r>
      <w:r>
        <w:rPr>
          <w:rFonts w:cs="Arial"/>
          <w:bCs/>
          <w:sz w:val="22"/>
          <w:szCs w:val="22"/>
        </w:rPr>
        <w:tab/>
      </w:r>
      <w:r w:rsidR="001D1C9D" w:rsidRPr="00CA5BDF">
        <w:rPr>
          <w:rFonts w:cs="Arial"/>
          <w:bCs/>
          <w:sz w:val="22"/>
          <w:szCs w:val="22"/>
        </w:rPr>
        <w:t xml:space="preserve">immediately to allow all deliveries and </w:t>
      </w:r>
      <w:r w:rsidR="001C60A1" w:rsidRPr="00CA5BDF">
        <w:rPr>
          <w:rFonts w:cs="Arial"/>
          <w:bCs/>
          <w:sz w:val="22"/>
          <w:szCs w:val="22"/>
        </w:rPr>
        <w:t>delivery personnel</w:t>
      </w:r>
      <w:r w:rsidR="001D1C9D" w:rsidRPr="00CA5BDF">
        <w:rPr>
          <w:rFonts w:cs="Arial"/>
          <w:bCs/>
          <w:sz w:val="22"/>
          <w:szCs w:val="22"/>
        </w:rPr>
        <w:t xml:space="preserve"> access to The Melville sectional title scheme, in </w:t>
      </w:r>
      <w:r w:rsidR="001D1C9D" w:rsidRPr="00CA5BDF">
        <w:rPr>
          <w:rFonts w:cs="Arial"/>
          <w:bCs/>
          <w:sz w:val="22"/>
          <w:szCs w:val="22"/>
        </w:rPr>
        <w:lastRenderedPageBreak/>
        <w:t>accordance with the existing conduct rules</w:t>
      </w:r>
      <w:r w:rsidR="001C60A1" w:rsidRPr="00CA5BDF">
        <w:rPr>
          <w:rFonts w:cs="Arial"/>
          <w:bCs/>
          <w:sz w:val="22"/>
          <w:szCs w:val="22"/>
        </w:rPr>
        <w:t xml:space="preserve"> of The Melville</w:t>
      </w:r>
      <w:r w:rsidR="001D1C9D" w:rsidRPr="00CA5BDF">
        <w:rPr>
          <w:rFonts w:cs="Arial"/>
          <w:bCs/>
          <w:sz w:val="22"/>
          <w:szCs w:val="22"/>
        </w:rPr>
        <w:t>;</w:t>
      </w:r>
    </w:p>
    <w:p w:rsidR="001D1C9D" w:rsidRPr="00CA5BDF" w:rsidRDefault="00CA5BDF" w:rsidP="00CA5BDF">
      <w:pPr>
        <w:tabs>
          <w:tab w:val="left" w:pos="3119"/>
        </w:tabs>
        <w:spacing w:before="360" w:after="360" w:line="480" w:lineRule="auto"/>
        <w:ind w:left="3119" w:hanging="738"/>
        <w:jc w:val="both"/>
        <w:rPr>
          <w:rFonts w:cs="Arial"/>
          <w:bCs/>
          <w:sz w:val="22"/>
          <w:szCs w:val="22"/>
        </w:rPr>
      </w:pPr>
      <w:r>
        <w:rPr>
          <w:rFonts w:cs="Arial"/>
          <w:bCs/>
          <w:sz w:val="22"/>
          <w:szCs w:val="22"/>
        </w:rPr>
        <w:t>2.2.3.</w:t>
      </w:r>
      <w:r>
        <w:rPr>
          <w:rFonts w:cs="Arial"/>
          <w:bCs/>
          <w:sz w:val="22"/>
          <w:szCs w:val="22"/>
        </w:rPr>
        <w:tab/>
      </w:r>
      <w:r w:rsidR="001C60A1" w:rsidRPr="00CA5BDF">
        <w:rPr>
          <w:rFonts w:cs="Arial"/>
          <w:bCs/>
          <w:sz w:val="22"/>
          <w:szCs w:val="22"/>
        </w:rPr>
        <w:t>to submit T</w:t>
      </w:r>
      <w:r w:rsidR="001D1C9D" w:rsidRPr="00CA5BDF">
        <w:rPr>
          <w:rFonts w:cs="Arial"/>
          <w:bCs/>
          <w:sz w:val="22"/>
          <w:szCs w:val="22"/>
        </w:rPr>
        <w:t>he Melville conduct rules to the Community Schemes Ombud in accordance with section 10(5)(a) of the Sectional Titles Scheme Management Act, 8 of 2011.</w:t>
      </w:r>
    </w:p>
    <w:p w:rsidR="001D1C9D" w:rsidRPr="00CA5BDF" w:rsidRDefault="00CA5BDF" w:rsidP="00CA5BDF">
      <w:pPr>
        <w:tabs>
          <w:tab w:val="left" w:pos="1134"/>
        </w:tabs>
        <w:spacing w:before="360" w:after="360" w:line="480" w:lineRule="auto"/>
        <w:ind w:left="1701" w:hanging="567"/>
        <w:jc w:val="both"/>
        <w:rPr>
          <w:rFonts w:cs="Arial"/>
          <w:bCs/>
          <w:sz w:val="22"/>
          <w:szCs w:val="22"/>
        </w:rPr>
      </w:pPr>
      <w:r>
        <w:rPr>
          <w:rFonts w:cs="Arial"/>
          <w:bCs/>
          <w:sz w:val="22"/>
          <w:szCs w:val="22"/>
        </w:rPr>
        <w:t>3.</w:t>
      </w:r>
      <w:r>
        <w:rPr>
          <w:rFonts w:cs="Arial"/>
          <w:bCs/>
          <w:sz w:val="22"/>
          <w:szCs w:val="22"/>
        </w:rPr>
        <w:tab/>
      </w:r>
      <w:r w:rsidR="001D1C9D" w:rsidRPr="00CA5BDF">
        <w:rPr>
          <w:rFonts w:cs="Arial"/>
          <w:bCs/>
          <w:sz w:val="22"/>
          <w:szCs w:val="22"/>
        </w:rPr>
        <w:t xml:space="preserve">The </w:t>
      </w:r>
      <w:r w:rsidR="00921E9C" w:rsidRPr="00CA5BDF">
        <w:rPr>
          <w:rFonts w:cs="Arial"/>
          <w:bCs/>
          <w:sz w:val="22"/>
          <w:szCs w:val="22"/>
        </w:rPr>
        <w:t>first and second</w:t>
      </w:r>
      <w:r w:rsidR="001D1C9D" w:rsidRPr="00CA5BDF">
        <w:rPr>
          <w:rFonts w:cs="Arial"/>
          <w:bCs/>
          <w:sz w:val="22"/>
          <w:szCs w:val="22"/>
        </w:rPr>
        <w:t xml:space="preserve"> respondents are to pay, jointly and severally, the appellant’s party-and-party costs of this appeal.</w:t>
      </w:r>
    </w:p>
    <w:p w:rsidR="00A81108" w:rsidRPr="00CA5BDF" w:rsidRDefault="00CA5BDF" w:rsidP="00CA5BDF">
      <w:pPr>
        <w:tabs>
          <w:tab w:val="left" w:pos="1134"/>
        </w:tabs>
        <w:spacing w:before="360" w:after="360" w:line="480" w:lineRule="auto"/>
        <w:ind w:left="1701" w:hanging="567"/>
        <w:jc w:val="both"/>
        <w:rPr>
          <w:rFonts w:cs="Arial"/>
          <w:bCs/>
          <w:sz w:val="22"/>
          <w:szCs w:val="22"/>
        </w:rPr>
      </w:pPr>
      <w:r>
        <w:rPr>
          <w:rFonts w:cs="Arial"/>
          <w:bCs/>
          <w:sz w:val="22"/>
          <w:szCs w:val="22"/>
        </w:rPr>
        <w:t>4.</w:t>
      </w:r>
      <w:r>
        <w:rPr>
          <w:rFonts w:cs="Arial"/>
          <w:bCs/>
          <w:sz w:val="22"/>
          <w:szCs w:val="22"/>
        </w:rPr>
        <w:tab/>
      </w:r>
      <w:r w:rsidR="001D1C9D" w:rsidRPr="00CA5BDF">
        <w:rPr>
          <w:rFonts w:cs="Arial"/>
          <w:bCs/>
          <w:sz w:val="22"/>
          <w:szCs w:val="22"/>
        </w:rPr>
        <w:t xml:space="preserve">The first and second respondents shall not recover a </w:t>
      </w:r>
      <w:r w:rsidR="001D1C9D" w:rsidRPr="00CA5BDF">
        <w:rPr>
          <w:rFonts w:cs="Arial"/>
          <w:bCs/>
          <w:i/>
          <w:sz w:val="22"/>
          <w:szCs w:val="22"/>
        </w:rPr>
        <w:t xml:space="preserve">pro rata </w:t>
      </w:r>
      <w:r w:rsidR="001D1C9D" w:rsidRPr="00CA5BDF">
        <w:rPr>
          <w:rFonts w:cs="Arial"/>
          <w:bCs/>
          <w:sz w:val="22"/>
          <w:szCs w:val="22"/>
        </w:rPr>
        <w:t xml:space="preserve">share of the contribution towards </w:t>
      </w:r>
      <w:r w:rsidR="00921E9C" w:rsidRPr="00CA5BDF">
        <w:rPr>
          <w:rFonts w:cs="Arial"/>
          <w:bCs/>
          <w:sz w:val="22"/>
          <w:szCs w:val="22"/>
        </w:rPr>
        <w:t xml:space="preserve">the </w:t>
      </w:r>
      <w:r w:rsidR="001D1C9D" w:rsidRPr="00CA5BDF">
        <w:rPr>
          <w:rFonts w:cs="Arial"/>
          <w:bCs/>
          <w:sz w:val="22"/>
          <w:szCs w:val="22"/>
        </w:rPr>
        <w:t>costs from the appellant.</w:t>
      </w:r>
    </w:p>
    <w:p w:rsidR="00914257" w:rsidRPr="00914257" w:rsidRDefault="00914257" w:rsidP="00914257">
      <w:pPr>
        <w:pStyle w:val="ListParagraph"/>
        <w:spacing w:before="360" w:after="360" w:line="480" w:lineRule="auto"/>
        <w:ind w:left="1701"/>
        <w:contextualSpacing w:val="0"/>
        <w:jc w:val="both"/>
        <w:rPr>
          <w:rFonts w:cs="Arial"/>
          <w:bCs/>
          <w:sz w:val="22"/>
          <w:szCs w:val="22"/>
        </w:rPr>
      </w:pPr>
    </w:p>
    <w:p w:rsidR="00A81108" w:rsidRPr="00A81108" w:rsidRDefault="00A81108" w:rsidP="00A81108">
      <w:pPr>
        <w:keepNext/>
        <w:tabs>
          <w:tab w:val="right" w:pos="0"/>
        </w:tabs>
        <w:spacing w:line="360" w:lineRule="auto"/>
        <w:contextualSpacing/>
        <w:jc w:val="right"/>
        <w:rPr>
          <w:rFonts w:cs="Arial"/>
        </w:rPr>
      </w:pPr>
      <w:r w:rsidRPr="00A81108">
        <w:rPr>
          <w:rFonts w:cs="Arial"/>
        </w:rPr>
        <w:t>___</w:t>
      </w:r>
      <w:r w:rsidR="001C60A1">
        <w:rPr>
          <w:rFonts w:cs="Arial"/>
        </w:rPr>
        <w:t>_________________</w:t>
      </w:r>
    </w:p>
    <w:p w:rsidR="00A81108" w:rsidRPr="00A81108" w:rsidRDefault="001C60A1" w:rsidP="00A81108">
      <w:pPr>
        <w:tabs>
          <w:tab w:val="right" w:pos="0"/>
        </w:tabs>
        <w:spacing w:line="360" w:lineRule="auto"/>
        <w:contextualSpacing/>
        <w:jc w:val="right"/>
        <w:rPr>
          <w:rFonts w:cs="Arial"/>
          <w:b/>
        </w:rPr>
      </w:pPr>
      <w:r>
        <w:rPr>
          <w:rFonts w:cs="Arial"/>
          <w:b/>
        </w:rPr>
        <w:t xml:space="preserve"> </w:t>
      </w:r>
      <w:r w:rsidR="00A81108" w:rsidRPr="00A81108">
        <w:rPr>
          <w:rFonts w:cs="Arial"/>
          <w:b/>
        </w:rPr>
        <w:t xml:space="preserve"> CRUTCHFIELD</w:t>
      </w:r>
      <w:r>
        <w:rPr>
          <w:rFonts w:cs="Arial"/>
          <w:b/>
        </w:rPr>
        <w:t xml:space="preserve"> J </w:t>
      </w:r>
    </w:p>
    <w:p w:rsidR="00A81108" w:rsidRPr="00A81108" w:rsidRDefault="00A81108" w:rsidP="00A81108">
      <w:pPr>
        <w:tabs>
          <w:tab w:val="right" w:pos="0"/>
        </w:tabs>
        <w:spacing w:line="360" w:lineRule="auto"/>
        <w:contextualSpacing/>
        <w:jc w:val="right"/>
        <w:rPr>
          <w:rFonts w:cs="Arial"/>
          <w:b/>
        </w:rPr>
      </w:pPr>
      <w:r w:rsidRPr="00A81108">
        <w:rPr>
          <w:rFonts w:cs="Arial"/>
          <w:b/>
        </w:rPr>
        <w:t>JUDGE OF THE HIGH COURT OF SOUTH AFRICA</w:t>
      </w:r>
    </w:p>
    <w:p w:rsidR="00A81108" w:rsidRPr="00A81108" w:rsidRDefault="00A81108" w:rsidP="00A81108">
      <w:pPr>
        <w:tabs>
          <w:tab w:val="right" w:pos="0"/>
          <w:tab w:val="left" w:pos="4253"/>
        </w:tabs>
        <w:spacing w:line="360" w:lineRule="auto"/>
        <w:contextualSpacing/>
        <w:jc w:val="right"/>
        <w:rPr>
          <w:rFonts w:cs="Arial"/>
          <w:b/>
        </w:rPr>
      </w:pPr>
      <w:r w:rsidRPr="00A81108">
        <w:rPr>
          <w:rFonts w:cs="Arial"/>
          <w:b/>
        </w:rPr>
        <w:t>GAUTENG LOCAL DIVISION</w:t>
      </w:r>
    </w:p>
    <w:p w:rsidR="00A81108" w:rsidRPr="00A81108" w:rsidRDefault="00A81108" w:rsidP="00A81108">
      <w:pPr>
        <w:tabs>
          <w:tab w:val="right" w:pos="0"/>
          <w:tab w:val="left" w:pos="4253"/>
        </w:tabs>
        <w:spacing w:line="360" w:lineRule="auto"/>
        <w:contextualSpacing/>
        <w:jc w:val="right"/>
        <w:rPr>
          <w:rFonts w:cs="Arial"/>
          <w:b/>
        </w:rPr>
      </w:pPr>
      <w:r w:rsidRPr="00A81108">
        <w:rPr>
          <w:rFonts w:cs="Arial"/>
          <w:b/>
        </w:rPr>
        <w:t>JOHANNESBURG</w:t>
      </w:r>
    </w:p>
    <w:p w:rsidR="00A81108" w:rsidRPr="00A81108" w:rsidRDefault="00A81108" w:rsidP="00A81108">
      <w:pPr>
        <w:tabs>
          <w:tab w:val="right" w:pos="0"/>
          <w:tab w:val="left" w:pos="4253"/>
        </w:tabs>
        <w:spacing w:line="360" w:lineRule="auto"/>
        <w:contextualSpacing/>
        <w:jc w:val="center"/>
        <w:rPr>
          <w:rFonts w:cs="Arial"/>
          <w:b/>
        </w:rPr>
      </w:pPr>
    </w:p>
    <w:p w:rsidR="00A81108" w:rsidRPr="00A81108" w:rsidRDefault="001C60A1" w:rsidP="00A81108">
      <w:pPr>
        <w:spacing w:after="200" w:line="480" w:lineRule="auto"/>
        <w:contextualSpacing/>
        <w:jc w:val="right"/>
        <w:rPr>
          <w:rFonts w:cs="Arial"/>
          <w:b/>
          <w:i/>
          <w:iCs/>
          <w:sz w:val="22"/>
        </w:rPr>
      </w:pPr>
      <w:r>
        <w:rPr>
          <w:rFonts w:cs="Arial"/>
          <w:b/>
          <w:i/>
          <w:iCs/>
          <w:sz w:val="22"/>
        </w:rPr>
        <w:t xml:space="preserve"> </w:t>
      </w:r>
    </w:p>
    <w:p w:rsidR="00A81108" w:rsidRDefault="001C60A1" w:rsidP="00A81108">
      <w:pPr>
        <w:spacing w:after="200" w:line="360" w:lineRule="auto"/>
        <w:contextualSpacing/>
        <w:jc w:val="both"/>
        <w:rPr>
          <w:rFonts w:eastAsia="Arial Unicode MS" w:cs="Arial"/>
          <w:bCs/>
          <w:sz w:val="22"/>
        </w:rPr>
      </w:pPr>
      <w:r>
        <w:rPr>
          <w:rFonts w:eastAsia="Arial Unicode MS" w:cs="Arial"/>
          <w:bCs/>
          <w:sz w:val="22"/>
        </w:rPr>
        <w:t>I agree.</w:t>
      </w:r>
    </w:p>
    <w:p w:rsidR="001C60A1" w:rsidRPr="00A81108" w:rsidRDefault="001C60A1" w:rsidP="001C60A1">
      <w:pPr>
        <w:spacing w:after="480" w:line="480" w:lineRule="auto"/>
        <w:jc w:val="both"/>
        <w:rPr>
          <w:rFonts w:cs="Arial"/>
          <w:bCs/>
          <w:sz w:val="22"/>
          <w:szCs w:val="22"/>
        </w:rPr>
      </w:pPr>
    </w:p>
    <w:p w:rsidR="001C60A1" w:rsidRPr="00A81108" w:rsidRDefault="001C60A1" w:rsidP="001C60A1">
      <w:pPr>
        <w:keepNext/>
        <w:tabs>
          <w:tab w:val="right" w:pos="0"/>
        </w:tabs>
        <w:spacing w:line="360" w:lineRule="auto"/>
        <w:contextualSpacing/>
        <w:jc w:val="right"/>
        <w:rPr>
          <w:rFonts w:cs="Arial"/>
        </w:rPr>
      </w:pPr>
      <w:r w:rsidRPr="00A81108">
        <w:rPr>
          <w:rFonts w:cs="Arial"/>
        </w:rPr>
        <w:t>___</w:t>
      </w:r>
      <w:r>
        <w:rPr>
          <w:rFonts w:cs="Arial"/>
        </w:rPr>
        <w:t>_________________</w:t>
      </w:r>
    </w:p>
    <w:p w:rsidR="001C60A1" w:rsidRPr="00A81108" w:rsidRDefault="001C60A1" w:rsidP="001C60A1">
      <w:pPr>
        <w:tabs>
          <w:tab w:val="right" w:pos="0"/>
        </w:tabs>
        <w:spacing w:line="360" w:lineRule="auto"/>
        <w:contextualSpacing/>
        <w:jc w:val="right"/>
        <w:rPr>
          <w:rFonts w:cs="Arial"/>
          <w:b/>
        </w:rPr>
      </w:pPr>
      <w:r>
        <w:rPr>
          <w:rFonts w:cs="Arial"/>
          <w:b/>
        </w:rPr>
        <w:t xml:space="preserve"> DLAMINI J </w:t>
      </w:r>
    </w:p>
    <w:p w:rsidR="001C60A1" w:rsidRPr="00A81108" w:rsidRDefault="001C60A1" w:rsidP="001C60A1">
      <w:pPr>
        <w:tabs>
          <w:tab w:val="right" w:pos="0"/>
        </w:tabs>
        <w:spacing w:line="360" w:lineRule="auto"/>
        <w:contextualSpacing/>
        <w:jc w:val="right"/>
        <w:rPr>
          <w:rFonts w:cs="Arial"/>
          <w:b/>
        </w:rPr>
      </w:pPr>
      <w:r w:rsidRPr="00A81108">
        <w:rPr>
          <w:rFonts w:cs="Arial"/>
          <w:b/>
        </w:rPr>
        <w:t>JUDGE OF THE HIGH COURT OF SOUTH AFRICA</w:t>
      </w:r>
    </w:p>
    <w:p w:rsidR="001C60A1" w:rsidRPr="00A81108" w:rsidRDefault="001C60A1" w:rsidP="001C60A1">
      <w:pPr>
        <w:tabs>
          <w:tab w:val="right" w:pos="0"/>
          <w:tab w:val="left" w:pos="4253"/>
        </w:tabs>
        <w:spacing w:line="360" w:lineRule="auto"/>
        <w:contextualSpacing/>
        <w:jc w:val="right"/>
        <w:rPr>
          <w:rFonts w:cs="Arial"/>
          <w:b/>
        </w:rPr>
      </w:pPr>
      <w:r w:rsidRPr="00A81108">
        <w:rPr>
          <w:rFonts w:cs="Arial"/>
          <w:b/>
        </w:rPr>
        <w:t>GAUTENG LOCAL DIVISION</w:t>
      </w:r>
    </w:p>
    <w:p w:rsidR="001C60A1" w:rsidRPr="00A81108" w:rsidRDefault="001C60A1" w:rsidP="001C60A1">
      <w:pPr>
        <w:tabs>
          <w:tab w:val="right" w:pos="0"/>
          <w:tab w:val="left" w:pos="4253"/>
        </w:tabs>
        <w:spacing w:line="360" w:lineRule="auto"/>
        <w:contextualSpacing/>
        <w:jc w:val="right"/>
        <w:rPr>
          <w:rFonts w:cs="Arial"/>
          <w:b/>
        </w:rPr>
      </w:pPr>
      <w:r w:rsidRPr="00A81108">
        <w:rPr>
          <w:rFonts w:cs="Arial"/>
          <w:b/>
        </w:rPr>
        <w:t>JOHANNESBURG</w:t>
      </w:r>
    </w:p>
    <w:p w:rsidR="001C60A1" w:rsidRPr="00A81108" w:rsidRDefault="001C60A1" w:rsidP="001C60A1">
      <w:pPr>
        <w:spacing w:after="200" w:line="360" w:lineRule="auto"/>
        <w:contextualSpacing/>
        <w:jc w:val="both"/>
        <w:rPr>
          <w:rFonts w:eastAsia="Arial Unicode MS" w:cs="Arial"/>
          <w:bCs/>
          <w:sz w:val="22"/>
        </w:rPr>
      </w:pPr>
    </w:p>
    <w:p w:rsidR="00A81108" w:rsidRPr="00A81108" w:rsidRDefault="00A81108" w:rsidP="00A81108">
      <w:pPr>
        <w:spacing w:after="200" w:line="360" w:lineRule="auto"/>
        <w:contextualSpacing/>
        <w:jc w:val="both"/>
        <w:rPr>
          <w:rFonts w:eastAsia="Arial Unicode MS" w:cs="Arial"/>
          <w:bCs/>
          <w:sz w:val="22"/>
        </w:rPr>
      </w:pPr>
    </w:p>
    <w:p w:rsidR="00A81108" w:rsidRPr="00A81108" w:rsidRDefault="00A81108" w:rsidP="00A81108">
      <w:pPr>
        <w:spacing w:after="200" w:line="360" w:lineRule="auto"/>
        <w:contextualSpacing/>
        <w:jc w:val="both"/>
        <w:rPr>
          <w:rFonts w:eastAsia="Arial Unicode MS" w:cs="Arial"/>
          <w:bCs/>
          <w:sz w:val="22"/>
        </w:rPr>
      </w:pPr>
      <w:r w:rsidRPr="00A81108">
        <w:rPr>
          <w:rFonts w:eastAsia="Arial Unicode MS" w:cs="Arial"/>
          <w:bCs/>
          <w:sz w:val="22"/>
        </w:rPr>
        <w:t xml:space="preserve">Delivered: This judgment was prepared and authored by the Judge whose name is reflected and is handed down electronically by circulation to the Parties / their legal representatives by email and by uploading it to the electronic file of this matter on </w:t>
      </w:r>
      <w:r w:rsidR="006416D8" w:rsidRPr="00A81108">
        <w:rPr>
          <w:rFonts w:eastAsia="Arial Unicode MS" w:cs="Arial"/>
          <w:bCs/>
          <w:sz w:val="22"/>
        </w:rPr>
        <w:t>Caselines</w:t>
      </w:r>
      <w:r w:rsidRPr="00A81108">
        <w:rPr>
          <w:rFonts w:eastAsia="Arial Unicode MS" w:cs="Arial"/>
          <w:bCs/>
          <w:sz w:val="22"/>
        </w:rPr>
        <w:t xml:space="preserve">. The date of the judgment is deemed to be </w:t>
      </w:r>
      <w:r w:rsidR="005370D0">
        <w:rPr>
          <w:rFonts w:eastAsia="Arial Unicode MS" w:cs="Arial"/>
          <w:b/>
          <w:bCs/>
          <w:sz w:val="22"/>
        </w:rPr>
        <w:t>26</w:t>
      </w:r>
      <w:r w:rsidR="001C60A1">
        <w:rPr>
          <w:rFonts w:eastAsia="Arial Unicode MS" w:cs="Arial"/>
          <w:b/>
          <w:bCs/>
          <w:sz w:val="22"/>
        </w:rPr>
        <w:t xml:space="preserve"> April </w:t>
      </w:r>
      <w:r w:rsidRPr="00A81108">
        <w:rPr>
          <w:rFonts w:eastAsia="Arial Unicode MS" w:cs="Arial"/>
          <w:b/>
          <w:bCs/>
          <w:sz w:val="22"/>
        </w:rPr>
        <w:t>202</w:t>
      </w:r>
      <w:r w:rsidR="00457A56">
        <w:rPr>
          <w:rFonts w:eastAsia="Arial Unicode MS" w:cs="Arial"/>
          <w:b/>
          <w:bCs/>
          <w:sz w:val="22"/>
        </w:rPr>
        <w:t>3</w:t>
      </w:r>
      <w:r w:rsidRPr="00A81108">
        <w:rPr>
          <w:rFonts w:eastAsia="Arial Unicode MS" w:cs="Arial"/>
          <w:bCs/>
          <w:sz w:val="22"/>
        </w:rPr>
        <w:t>.</w:t>
      </w:r>
    </w:p>
    <w:p w:rsidR="00A81108" w:rsidRPr="00A81108" w:rsidRDefault="00A81108" w:rsidP="00A81108">
      <w:pPr>
        <w:tabs>
          <w:tab w:val="right" w:pos="0"/>
          <w:tab w:val="left" w:pos="4253"/>
        </w:tabs>
        <w:spacing w:line="360" w:lineRule="auto"/>
        <w:contextualSpacing/>
        <w:jc w:val="center"/>
        <w:rPr>
          <w:rFonts w:cs="Arial"/>
          <w:b/>
        </w:rPr>
      </w:pPr>
    </w:p>
    <w:p w:rsidR="00A81108" w:rsidRPr="00A81108" w:rsidRDefault="00A81108" w:rsidP="00A81108">
      <w:pPr>
        <w:tabs>
          <w:tab w:val="right" w:pos="0"/>
          <w:tab w:val="left" w:pos="4253"/>
        </w:tabs>
        <w:spacing w:line="360" w:lineRule="auto"/>
        <w:contextualSpacing/>
        <w:jc w:val="center"/>
        <w:rPr>
          <w:rFonts w:cs="Arial"/>
          <w:b/>
        </w:rPr>
      </w:pPr>
    </w:p>
    <w:p w:rsidR="00A81108" w:rsidRPr="00A81108" w:rsidRDefault="00A81108" w:rsidP="00A81108">
      <w:pPr>
        <w:tabs>
          <w:tab w:val="right" w:pos="0"/>
          <w:tab w:val="left" w:pos="4253"/>
        </w:tabs>
        <w:spacing w:line="360" w:lineRule="auto"/>
        <w:contextualSpacing/>
        <w:jc w:val="both"/>
        <w:rPr>
          <w:rFonts w:cs="Arial"/>
        </w:rPr>
      </w:pPr>
    </w:p>
    <w:p w:rsidR="006416D8" w:rsidRDefault="00C83FB4" w:rsidP="00A81108">
      <w:pPr>
        <w:tabs>
          <w:tab w:val="right" w:pos="8647"/>
        </w:tabs>
        <w:spacing w:line="360" w:lineRule="auto"/>
        <w:contextualSpacing/>
        <w:jc w:val="both"/>
        <w:rPr>
          <w:rFonts w:cs="Arial"/>
        </w:rPr>
      </w:pPr>
      <w:r>
        <w:rPr>
          <w:rFonts w:cs="Arial"/>
        </w:rPr>
        <w:t xml:space="preserve">COUNSEL </w:t>
      </w:r>
      <w:r w:rsidR="00A81108" w:rsidRPr="00A81108">
        <w:rPr>
          <w:rFonts w:cs="Arial"/>
        </w:rPr>
        <w:t xml:space="preserve">FOR THE APPLICANT: </w:t>
      </w:r>
      <w:r w:rsidR="006416D8">
        <w:rPr>
          <w:rFonts w:cs="Arial"/>
        </w:rPr>
        <w:t xml:space="preserve">                                            Mr D C </w:t>
      </w:r>
      <w:r w:rsidR="005370D0">
        <w:rPr>
          <w:rFonts w:cs="Arial"/>
        </w:rPr>
        <w:t>Ainslie.</w:t>
      </w:r>
    </w:p>
    <w:p w:rsidR="00A81108" w:rsidRPr="00A81108" w:rsidRDefault="00A81108" w:rsidP="00A81108">
      <w:pPr>
        <w:tabs>
          <w:tab w:val="right" w:pos="8647"/>
        </w:tabs>
        <w:spacing w:line="360" w:lineRule="auto"/>
        <w:contextualSpacing/>
        <w:jc w:val="both"/>
        <w:rPr>
          <w:rFonts w:cs="Arial"/>
        </w:rPr>
      </w:pPr>
      <w:r w:rsidRPr="00A81108">
        <w:rPr>
          <w:rFonts w:cs="Arial"/>
        </w:rPr>
        <w:tab/>
      </w:r>
    </w:p>
    <w:p w:rsidR="00A81108" w:rsidRPr="00A81108" w:rsidRDefault="006416D8" w:rsidP="006416D8">
      <w:pPr>
        <w:tabs>
          <w:tab w:val="right" w:pos="8647"/>
        </w:tabs>
        <w:spacing w:line="360" w:lineRule="auto"/>
        <w:ind w:left="3119" w:hanging="3119"/>
        <w:contextualSpacing/>
        <w:rPr>
          <w:rFonts w:cs="Arial"/>
        </w:rPr>
      </w:pPr>
      <w:r>
        <w:rPr>
          <w:rFonts w:cs="Arial"/>
        </w:rPr>
        <w:t>INSTRUCTEDBY:</w:t>
      </w:r>
      <w:r>
        <w:rPr>
          <w:rFonts w:cs="Arial"/>
        </w:rPr>
        <w:tab/>
        <w:t xml:space="preserve">                                  LHL Attorneys </w:t>
      </w:r>
      <w:r w:rsidR="000B1B60">
        <w:rPr>
          <w:rFonts w:cs="Arial"/>
        </w:rPr>
        <w:t>Incorporated.</w:t>
      </w:r>
    </w:p>
    <w:p w:rsidR="00A81108" w:rsidRPr="00A81108" w:rsidRDefault="00A81108" w:rsidP="00A81108">
      <w:pPr>
        <w:tabs>
          <w:tab w:val="right" w:pos="0"/>
          <w:tab w:val="right" w:pos="8647"/>
        </w:tabs>
        <w:spacing w:line="360" w:lineRule="auto"/>
        <w:contextualSpacing/>
        <w:jc w:val="both"/>
        <w:rPr>
          <w:rFonts w:cs="Arial"/>
        </w:rPr>
      </w:pPr>
    </w:p>
    <w:p w:rsidR="00A81108" w:rsidRPr="00A81108" w:rsidRDefault="005370D0" w:rsidP="006416D8">
      <w:pPr>
        <w:tabs>
          <w:tab w:val="right" w:pos="0"/>
          <w:tab w:val="right" w:pos="8647"/>
        </w:tabs>
        <w:spacing w:line="360" w:lineRule="auto"/>
        <w:contextualSpacing/>
        <w:rPr>
          <w:rFonts w:cs="Arial"/>
        </w:rPr>
      </w:pPr>
      <w:r>
        <w:rPr>
          <w:rFonts w:cs="Arial"/>
        </w:rPr>
        <w:t>ATTORNEY</w:t>
      </w:r>
      <w:r w:rsidR="00A81108" w:rsidRPr="00A81108">
        <w:rPr>
          <w:rFonts w:cs="Arial"/>
        </w:rPr>
        <w:t xml:space="preserve"> FOR THE RESPONDENT</w:t>
      </w:r>
      <w:r w:rsidR="00171D32">
        <w:rPr>
          <w:rFonts w:cs="Arial"/>
        </w:rPr>
        <w:t>S</w:t>
      </w:r>
      <w:r w:rsidR="00A81108" w:rsidRPr="00A81108">
        <w:rPr>
          <w:rFonts w:cs="Arial"/>
        </w:rPr>
        <w:t>:</w:t>
      </w:r>
      <w:r w:rsidR="006416D8">
        <w:rPr>
          <w:rFonts w:cs="Arial"/>
        </w:rPr>
        <w:t xml:space="preserve">                                      </w:t>
      </w:r>
      <w:r w:rsidR="00A81108" w:rsidRPr="00A81108">
        <w:rPr>
          <w:rFonts w:cs="Arial"/>
        </w:rPr>
        <w:t xml:space="preserve"> </w:t>
      </w:r>
      <w:r w:rsidR="006416D8">
        <w:rPr>
          <w:rFonts w:cs="Arial"/>
        </w:rPr>
        <w:t xml:space="preserve">Mr </w:t>
      </w:r>
      <w:r>
        <w:rPr>
          <w:rFonts w:cs="Arial"/>
        </w:rPr>
        <w:t>J Dorning.</w:t>
      </w:r>
    </w:p>
    <w:p w:rsidR="00A81108" w:rsidRPr="00A81108" w:rsidRDefault="00A81108" w:rsidP="00A81108">
      <w:pPr>
        <w:tabs>
          <w:tab w:val="right" w:pos="0"/>
          <w:tab w:val="right" w:pos="8647"/>
        </w:tabs>
        <w:spacing w:line="360" w:lineRule="auto"/>
        <w:contextualSpacing/>
        <w:jc w:val="both"/>
        <w:rPr>
          <w:rFonts w:cs="Arial"/>
        </w:rPr>
      </w:pPr>
    </w:p>
    <w:p w:rsidR="00A81108" w:rsidRPr="00A81108" w:rsidRDefault="00A81108" w:rsidP="00A81108">
      <w:pPr>
        <w:tabs>
          <w:tab w:val="right" w:pos="8647"/>
        </w:tabs>
        <w:spacing w:line="360" w:lineRule="auto"/>
        <w:contextualSpacing/>
        <w:jc w:val="both"/>
        <w:rPr>
          <w:rFonts w:cs="Arial"/>
        </w:rPr>
      </w:pPr>
      <w:r w:rsidRPr="00A81108">
        <w:rPr>
          <w:rFonts w:cs="Arial"/>
        </w:rPr>
        <w:t xml:space="preserve">INSTRUCTED BY: </w:t>
      </w:r>
      <w:r w:rsidR="006416D8">
        <w:rPr>
          <w:rFonts w:cs="Arial"/>
        </w:rPr>
        <w:t xml:space="preserve">                                                           MJD </w:t>
      </w:r>
      <w:r w:rsidR="000B1B60">
        <w:rPr>
          <w:rFonts w:cs="Arial"/>
        </w:rPr>
        <w:t>Law Incorporated.</w:t>
      </w:r>
      <w:r w:rsidRPr="00A81108">
        <w:rPr>
          <w:rFonts w:cs="Arial"/>
        </w:rPr>
        <w:tab/>
      </w:r>
    </w:p>
    <w:p w:rsidR="00A81108" w:rsidRPr="00A81108" w:rsidRDefault="00A81108" w:rsidP="00A81108">
      <w:pPr>
        <w:tabs>
          <w:tab w:val="right" w:pos="8647"/>
        </w:tabs>
        <w:spacing w:line="360" w:lineRule="auto"/>
        <w:contextualSpacing/>
        <w:jc w:val="both"/>
        <w:rPr>
          <w:rFonts w:cs="Arial"/>
        </w:rPr>
      </w:pPr>
    </w:p>
    <w:p w:rsidR="00A81108" w:rsidRPr="00A81108" w:rsidRDefault="00A81108" w:rsidP="00A81108">
      <w:pPr>
        <w:tabs>
          <w:tab w:val="right" w:pos="0"/>
          <w:tab w:val="right" w:pos="8647"/>
        </w:tabs>
        <w:spacing w:line="360" w:lineRule="auto"/>
        <w:contextualSpacing/>
        <w:jc w:val="both"/>
        <w:rPr>
          <w:rFonts w:cs="Arial"/>
        </w:rPr>
      </w:pPr>
      <w:r w:rsidRPr="00A81108">
        <w:rPr>
          <w:rFonts w:cs="Arial"/>
        </w:rPr>
        <w:t>DATE OF THE HEARING:</w:t>
      </w:r>
      <w:r w:rsidR="006416D8">
        <w:rPr>
          <w:rFonts w:cs="Arial"/>
        </w:rPr>
        <w:t xml:space="preserve"> 1</w:t>
      </w:r>
      <w:r w:rsidR="004E24CC">
        <w:rPr>
          <w:rFonts w:cs="Arial"/>
        </w:rPr>
        <w:t>6</w:t>
      </w:r>
      <w:r w:rsidR="006416D8">
        <w:rPr>
          <w:rFonts w:cs="Arial"/>
        </w:rPr>
        <w:t xml:space="preserve"> </w:t>
      </w:r>
      <w:r w:rsidR="00914257">
        <w:rPr>
          <w:rFonts w:cs="Arial"/>
        </w:rPr>
        <w:t>August 2022.</w:t>
      </w:r>
      <w:r w:rsidRPr="00A81108">
        <w:rPr>
          <w:rFonts w:cs="Arial"/>
        </w:rPr>
        <w:tab/>
      </w:r>
    </w:p>
    <w:p w:rsidR="00A81108" w:rsidRPr="00A81108" w:rsidRDefault="00A81108" w:rsidP="00A81108">
      <w:pPr>
        <w:tabs>
          <w:tab w:val="right" w:pos="0"/>
          <w:tab w:val="right" w:pos="8647"/>
        </w:tabs>
        <w:spacing w:line="360" w:lineRule="auto"/>
        <w:contextualSpacing/>
        <w:jc w:val="both"/>
        <w:rPr>
          <w:rFonts w:cs="Arial"/>
        </w:rPr>
      </w:pPr>
    </w:p>
    <w:p w:rsidR="00C27D7D" w:rsidRPr="00914257" w:rsidRDefault="00A81108" w:rsidP="00914257">
      <w:pPr>
        <w:tabs>
          <w:tab w:val="right" w:pos="0"/>
          <w:tab w:val="right" w:pos="8647"/>
        </w:tabs>
        <w:spacing w:line="360" w:lineRule="auto"/>
        <w:contextualSpacing/>
        <w:jc w:val="both"/>
        <w:rPr>
          <w:rFonts w:cs="Arial"/>
        </w:rPr>
      </w:pPr>
      <w:r w:rsidRPr="00A81108">
        <w:rPr>
          <w:rFonts w:cs="Arial"/>
        </w:rPr>
        <w:t>DATE OF JUDGMENT:</w:t>
      </w:r>
      <w:r w:rsidR="00BF5DC2">
        <w:rPr>
          <w:rFonts w:cs="Arial"/>
        </w:rPr>
        <w:t>26</w:t>
      </w:r>
      <w:r w:rsidR="006416D8">
        <w:rPr>
          <w:rFonts w:cs="Arial"/>
        </w:rPr>
        <w:t xml:space="preserve"> </w:t>
      </w:r>
      <w:r w:rsidR="00914257">
        <w:rPr>
          <w:rFonts w:cs="Arial"/>
        </w:rPr>
        <w:t>April 2023.</w:t>
      </w:r>
      <w:r w:rsidRPr="00A81108">
        <w:rPr>
          <w:rFonts w:cs="Arial"/>
        </w:rPr>
        <w:tab/>
      </w:r>
    </w:p>
    <w:p w:rsidR="00AA6E8C" w:rsidRPr="00A81108" w:rsidRDefault="00AA6E8C" w:rsidP="00C27D7D"/>
    <w:sectPr w:rsidR="00AA6E8C" w:rsidRPr="00A81108" w:rsidSect="00A81108">
      <w:headerReference w:type="default" r:id="rId9"/>
      <w:pgSz w:w="11906" w:h="16838"/>
      <w:pgMar w:top="1440" w:right="1558" w:bottom="1440"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5726" w:rsidRDefault="00735726">
      <w:r>
        <w:separator/>
      </w:r>
    </w:p>
  </w:endnote>
  <w:endnote w:type="continuationSeparator" w:id="0">
    <w:p w:rsidR="00735726" w:rsidRDefault="007357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5726" w:rsidRDefault="00735726">
      <w:r>
        <w:separator/>
      </w:r>
    </w:p>
  </w:footnote>
  <w:footnote w:type="continuationSeparator" w:id="0">
    <w:p w:rsidR="00735726" w:rsidRDefault="00735726">
      <w:r>
        <w:continuationSeparator/>
      </w:r>
    </w:p>
  </w:footnote>
  <w:footnote w:id="1">
    <w:p w:rsidR="005C7270" w:rsidRPr="00870BA8" w:rsidRDefault="005C7270">
      <w:pPr>
        <w:pStyle w:val="FootnoteText"/>
        <w:rPr>
          <w:lang w:val="en-GB"/>
        </w:rPr>
      </w:pPr>
      <w:r>
        <w:rPr>
          <w:rStyle w:val="FootnoteReference"/>
        </w:rPr>
        <w:footnoteRef/>
      </w:r>
      <w:r>
        <w:t xml:space="preserve"> </w:t>
      </w:r>
      <w:r>
        <w:rPr>
          <w:lang w:val="en-GB"/>
        </w:rPr>
        <w:tab/>
      </w:r>
      <w:r>
        <w:rPr>
          <w:i/>
          <w:lang w:val="en-GB"/>
        </w:rPr>
        <w:t xml:space="preserve">Stenersen &amp; Tulleken Administration CC v Linton Body Corporate </w:t>
      </w:r>
      <w:r>
        <w:rPr>
          <w:lang w:val="en-GB"/>
        </w:rPr>
        <w:t>2020 (1) SA 651 (GJ).</w:t>
      </w:r>
    </w:p>
  </w:footnote>
  <w:footnote w:id="2">
    <w:p w:rsidR="00152DDF" w:rsidRPr="00152DDF" w:rsidRDefault="00152DDF">
      <w:pPr>
        <w:pStyle w:val="FootnoteText"/>
        <w:rPr>
          <w:lang w:val="en-GB"/>
        </w:rPr>
      </w:pPr>
      <w:r>
        <w:rPr>
          <w:rStyle w:val="FootnoteReference"/>
        </w:rPr>
        <w:footnoteRef/>
      </w:r>
      <w:r>
        <w:t xml:space="preserve"> </w:t>
      </w:r>
      <w:r>
        <w:rPr>
          <w:lang w:val="en-GB"/>
        </w:rPr>
        <w:tab/>
        <w:t>S 57 of the CSOS Act.</w:t>
      </w:r>
    </w:p>
  </w:footnote>
  <w:footnote w:id="3">
    <w:p w:rsidR="005C7270" w:rsidRPr="000E2B83" w:rsidRDefault="005C7270">
      <w:pPr>
        <w:pStyle w:val="FootnoteText"/>
        <w:rPr>
          <w:lang w:val="en-GB"/>
        </w:rPr>
      </w:pPr>
      <w:r>
        <w:rPr>
          <w:rStyle w:val="FootnoteReference"/>
        </w:rPr>
        <w:footnoteRef/>
      </w:r>
      <w:r>
        <w:t xml:space="preserve"> </w:t>
      </w:r>
      <w:r>
        <w:rPr>
          <w:lang w:val="en-GB"/>
        </w:rPr>
        <w:tab/>
      </w:r>
      <w:r>
        <w:rPr>
          <w:rFonts w:cs="Arial"/>
          <w:bCs/>
          <w:i/>
          <w:sz w:val="22"/>
          <w:szCs w:val="22"/>
        </w:rPr>
        <w:t>Donelly v Barclays National Bank Ltd</w:t>
      </w:r>
      <w:r>
        <w:rPr>
          <w:rFonts w:cs="Arial"/>
          <w:bCs/>
          <w:sz w:val="22"/>
          <w:szCs w:val="22"/>
        </w:rPr>
        <w:t xml:space="preserve"> 1990 (1) SA 375 (W).</w:t>
      </w:r>
    </w:p>
  </w:footnote>
  <w:footnote w:id="4">
    <w:p w:rsidR="00FA7426" w:rsidRPr="00FA7426" w:rsidRDefault="00FA7426">
      <w:pPr>
        <w:pStyle w:val="FootnoteText"/>
        <w:rPr>
          <w:lang w:val="en-GB"/>
        </w:rPr>
      </w:pPr>
      <w:r>
        <w:rPr>
          <w:rStyle w:val="FootnoteReference"/>
        </w:rPr>
        <w:footnoteRef/>
      </w:r>
      <w:r>
        <w:t xml:space="preserve"> </w:t>
      </w:r>
      <w:r w:rsidR="00ED2774">
        <w:tab/>
        <w:t xml:space="preserve">Sections </w:t>
      </w:r>
      <w:r w:rsidR="00ED2774" w:rsidRPr="00ED2774">
        <w:rPr>
          <w:rFonts w:cs="Arial"/>
          <w:bCs/>
          <w:sz w:val="18"/>
          <w:szCs w:val="18"/>
        </w:rPr>
        <w:t>50, 51, 53, 54 and 55</w:t>
      </w:r>
      <w:r w:rsidR="00ED2774">
        <w:rPr>
          <w:rFonts w:cs="Arial"/>
          <w:bCs/>
          <w:sz w:val="18"/>
          <w:szCs w:val="18"/>
        </w:rPr>
        <w:t xml:space="preserve"> of the CSOS Act.</w:t>
      </w:r>
    </w:p>
  </w:footnote>
  <w:footnote w:id="5">
    <w:p w:rsidR="004D7961" w:rsidRPr="004D7961" w:rsidRDefault="004D7961">
      <w:pPr>
        <w:pStyle w:val="FootnoteText"/>
        <w:rPr>
          <w:lang w:val="en-GB"/>
        </w:rPr>
      </w:pPr>
      <w:r>
        <w:rPr>
          <w:rStyle w:val="FootnoteReference"/>
        </w:rPr>
        <w:footnoteRef/>
      </w:r>
      <w:r>
        <w:t xml:space="preserve"> </w:t>
      </w:r>
      <w:r>
        <w:rPr>
          <w:lang w:val="en-GB"/>
        </w:rPr>
        <w:tab/>
        <w:t xml:space="preserve">Section 50 </w:t>
      </w:r>
      <w:r>
        <w:rPr>
          <w:rFonts w:cs="Arial"/>
          <w:bCs/>
          <w:sz w:val="18"/>
          <w:szCs w:val="18"/>
        </w:rPr>
        <w:t>of the CSOS Act.</w:t>
      </w:r>
    </w:p>
  </w:footnote>
  <w:footnote w:id="6">
    <w:p w:rsidR="006C2652" w:rsidRPr="006C2652" w:rsidRDefault="006C2652">
      <w:pPr>
        <w:pStyle w:val="FootnoteText"/>
        <w:rPr>
          <w:lang w:val="en-GB"/>
        </w:rPr>
      </w:pPr>
      <w:r>
        <w:rPr>
          <w:rStyle w:val="FootnoteReference"/>
        </w:rPr>
        <w:footnoteRef/>
      </w:r>
      <w:r>
        <w:t xml:space="preserve"> </w:t>
      </w:r>
      <w:r>
        <w:rPr>
          <w:lang w:val="en-GB"/>
        </w:rPr>
        <w:tab/>
      </w:r>
      <w:r w:rsidR="004D7961" w:rsidRPr="004D7961">
        <w:rPr>
          <w:i/>
          <w:lang w:val="en-GB"/>
        </w:rPr>
        <w:t xml:space="preserve">The Rapallo </w:t>
      </w:r>
      <w:r w:rsidR="00152DDF">
        <w:rPr>
          <w:i/>
          <w:lang w:val="en-GB"/>
        </w:rPr>
        <w:t xml:space="preserve">Body </w:t>
      </w:r>
      <w:r w:rsidR="004D7961" w:rsidRPr="004D7961">
        <w:rPr>
          <w:i/>
          <w:lang w:val="en-GB"/>
        </w:rPr>
        <w:t>Corporate v Dhlamini N.O. and Others</w:t>
      </w:r>
      <w:r w:rsidR="004D7961">
        <w:rPr>
          <w:lang w:val="en-GB"/>
        </w:rPr>
        <w:t xml:space="preserve"> [2020] ZAWCHC 97 paras 15,17 and 18 (‘</w:t>
      </w:r>
      <w:r w:rsidR="004D7961" w:rsidRPr="004D7961">
        <w:rPr>
          <w:i/>
          <w:lang w:val="en-GB"/>
        </w:rPr>
        <w:t>Rapallo</w:t>
      </w:r>
      <w:r w:rsidR="004D7961">
        <w:rPr>
          <w:lang w:val="en-GB"/>
        </w:rPr>
        <w:t>’).</w:t>
      </w:r>
    </w:p>
  </w:footnote>
  <w:footnote w:id="7">
    <w:p w:rsidR="00C145A9" w:rsidRPr="000C7288" w:rsidRDefault="00C145A9" w:rsidP="00C145A9">
      <w:pPr>
        <w:pStyle w:val="FootnoteText"/>
        <w:rPr>
          <w:lang w:val="en-GB"/>
        </w:rPr>
      </w:pPr>
      <w:r>
        <w:rPr>
          <w:rStyle w:val="FootnoteReference"/>
        </w:rPr>
        <w:footnoteRef/>
      </w:r>
      <w:r>
        <w:t xml:space="preserve"> </w:t>
      </w:r>
      <w:r>
        <w:tab/>
      </w:r>
      <w:r>
        <w:rPr>
          <w:lang w:val="en-GB"/>
        </w:rPr>
        <w:t>Caselines 005-22.</w:t>
      </w:r>
    </w:p>
  </w:footnote>
  <w:footnote w:id="8">
    <w:p w:rsidR="000C7288" w:rsidRPr="000C7288" w:rsidRDefault="000C7288">
      <w:pPr>
        <w:pStyle w:val="FootnoteText"/>
        <w:rPr>
          <w:lang w:val="en-GB"/>
        </w:rPr>
      </w:pPr>
      <w:r>
        <w:rPr>
          <w:rStyle w:val="FootnoteReference"/>
        </w:rPr>
        <w:footnoteRef/>
      </w:r>
      <w:r>
        <w:t xml:space="preserve"> </w:t>
      </w:r>
      <w:r>
        <w:rPr>
          <w:lang w:val="en-GB"/>
        </w:rPr>
        <w:tab/>
        <w:t>Caselines 005-23.</w:t>
      </w:r>
    </w:p>
  </w:footnote>
  <w:footnote w:id="9">
    <w:p w:rsidR="00B74EBE" w:rsidRPr="00B74EBE" w:rsidRDefault="00B74EBE">
      <w:pPr>
        <w:pStyle w:val="FootnoteText"/>
        <w:rPr>
          <w:lang w:val="en-GB"/>
        </w:rPr>
      </w:pPr>
      <w:r>
        <w:rPr>
          <w:rStyle w:val="FootnoteReference"/>
        </w:rPr>
        <w:footnoteRef/>
      </w:r>
      <w:r>
        <w:t xml:space="preserve"> </w:t>
      </w:r>
      <w:r>
        <w:rPr>
          <w:lang w:val="en-GB"/>
        </w:rPr>
        <w:tab/>
        <w:t>S10 of the Management Act.</w:t>
      </w:r>
    </w:p>
  </w:footnote>
  <w:footnote w:id="10">
    <w:p w:rsidR="00B74EBE" w:rsidRPr="00B74EBE" w:rsidRDefault="00B74EBE">
      <w:pPr>
        <w:pStyle w:val="FootnoteText"/>
        <w:rPr>
          <w:lang w:val="en-GB"/>
        </w:rPr>
      </w:pPr>
      <w:r>
        <w:rPr>
          <w:rStyle w:val="FootnoteReference"/>
        </w:rPr>
        <w:footnoteRef/>
      </w:r>
      <w:r>
        <w:t xml:space="preserve"> </w:t>
      </w:r>
      <w:r>
        <w:rPr>
          <w:lang w:val="en-GB"/>
        </w:rPr>
        <w:tab/>
        <w:t>Schedule 2 of the Regulations to the Management Act.</w:t>
      </w:r>
    </w:p>
  </w:footnote>
  <w:footnote w:id="11">
    <w:p w:rsidR="002B0EF4" w:rsidRPr="00967079" w:rsidRDefault="002B0EF4" w:rsidP="002B0EF4">
      <w:pPr>
        <w:pStyle w:val="FootnoteText"/>
      </w:pPr>
      <w:r>
        <w:rPr>
          <w:rStyle w:val="FootnoteReference"/>
        </w:rPr>
        <w:footnoteRef/>
      </w:r>
      <w:r>
        <w:t xml:space="preserve"> </w:t>
      </w:r>
      <w:r>
        <w:tab/>
      </w:r>
      <w:r>
        <w:rPr>
          <w:rFonts w:cs="Arial"/>
          <w:bCs/>
          <w:i/>
          <w:sz w:val="22"/>
          <w:szCs w:val="22"/>
        </w:rPr>
        <w:t xml:space="preserve">Barzani 53 (Pty) Ltd v Body Corporate Whitfield Ridge </w:t>
      </w:r>
      <w:r>
        <w:rPr>
          <w:rFonts w:cs="Arial"/>
          <w:bCs/>
          <w:sz w:val="22"/>
          <w:szCs w:val="22"/>
        </w:rPr>
        <w:t>[2022] ZAGPJHC 146</w:t>
      </w:r>
      <w:r w:rsidR="00ED1FA5">
        <w:rPr>
          <w:rFonts w:cs="Arial"/>
          <w:bCs/>
          <w:sz w:val="22"/>
          <w:szCs w:val="22"/>
        </w:rPr>
        <w:t>.</w:t>
      </w:r>
    </w:p>
  </w:footnote>
  <w:footnote w:id="12">
    <w:p w:rsidR="00EB21FA" w:rsidRPr="00EB21FA" w:rsidRDefault="00EB21FA">
      <w:pPr>
        <w:pStyle w:val="FootnoteText"/>
        <w:rPr>
          <w:lang w:val="en-GB"/>
        </w:rPr>
      </w:pPr>
      <w:r>
        <w:rPr>
          <w:rStyle w:val="FootnoteReference"/>
        </w:rPr>
        <w:footnoteRef/>
      </w:r>
      <w:r>
        <w:t xml:space="preserve"> </w:t>
      </w:r>
      <w:r>
        <w:rPr>
          <w:lang w:val="en-GB"/>
        </w:rPr>
        <w:tab/>
      </w:r>
      <w:r w:rsidRPr="00EB21FA">
        <w:rPr>
          <w:rFonts w:cs="Arial"/>
          <w:bCs/>
        </w:rPr>
        <w:t>Schedule 2 of the Regulations to the Management Act.</w:t>
      </w:r>
    </w:p>
  </w:footnote>
  <w:footnote w:id="13">
    <w:p w:rsidR="00A02B39" w:rsidRPr="00A02B39" w:rsidRDefault="00A02B39">
      <w:pPr>
        <w:pStyle w:val="FootnoteText"/>
        <w:rPr>
          <w:lang w:val="en-GB"/>
        </w:rPr>
      </w:pPr>
      <w:r>
        <w:rPr>
          <w:rStyle w:val="FootnoteReference"/>
        </w:rPr>
        <w:footnoteRef/>
      </w:r>
      <w:r>
        <w:t xml:space="preserve"> </w:t>
      </w:r>
      <w:r>
        <w:rPr>
          <w:lang w:val="en-GB"/>
        </w:rPr>
        <w:tab/>
        <w:t>Section 7(1) of the Management Act.</w:t>
      </w:r>
    </w:p>
  </w:footnote>
  <w:footnote w:id="14">
    <w:p w:rsidR="005F0A90" w:rsidRPr="005F0A90" w:rsidRDefault="005F0A90">
      <w:pPr>
        <w:pStyle w:val="FootnoteText"/>
        <w:rPr>
          <w:lang w:val="en-GB"/>
        </w:rPr>
      </w:pPr>
      <w:r>
        <w:rPr>
          <w:rStyle w:val="FootnoteReference"/>
        </w:rPr>
        <w:footnoteRef/>
      </w:r>
      <w:r>
        <w:t xml:space="preserve"> </w:t>
      </w:r>
      <w:r>
        <w:tab/>
        <w:t>Section 10(2)(b) of the Management Act.</w:t>
      </w:r>
    </w:p>
  </w:footnote>
  <w:footnote w:id="15">
    <w:p w:rsidR="005C7270" w:rsidRDefault="005C7270">
      <w:pPr>
        <w:pStyle w:val="FootnoteText"/>
      </w:pPr>
      <w:r>
        <w:rPr>
          <w:rStyle w:val="FootnoteReference"/>
        </w:rPr>
        <w:footnoteRef/>
      </w:r>
      <w:r>
        <w:t xml:space="preserve"> </w:t>
      </w:r>
      <w:r>
        <w:tab/>
        <w:t>Section 10(5)(b) of the Management Act.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7270" w:rsidRDefault="005C7270">
    <w:pPr>
      <w:pStyle w:val="Header"/>
      <w:spacing w:line="480" w:lineRule="auto"/>
      <w:jc w:val="right"/>
      <w:rPr>
        <w:rStyle w:val="PageNumber"/>
        <w:rFonts w:cs="Arial"/>
      </w:rPr>
    </w:pPr>
    <w:r>
      <w:rPr>
        <w:rFonts w:cs="Arial"/>
        <w:lang w:val="en-US"/>
      </w:rPr>
      <w:t xml:space="preserve">Page </w:t>
    </w:r>
    <w:r>
      <w:rPr>
        <w:rStyle w:val="PageNumber"/>
        <w:rFonts w:cs="Arial"/>
      </w:rPr>
      <w:fldChar w:fldCharType="begin"/>
    </w:r>
    <w:r>
      <w:rPr>
        <w:rStyle w:val="PageNumber"/>
        <w:rFonts w:cs="Arial"/>
      </w:rPr>
      <w:instrText xml:space="preserve"> PAGE </w:instrText>
    </w:r>
    <w:r>
      <w:rPr>
        <w:rStyle w:val="PageNumber"/>
        <w:rFonts w:cs="Arial"/>
      </w:rPr>
      <w:fldChar w:fldCharType="separate"/>
    </w:r>
    <w:r w:rsidR="00CA5BDF">
      <w:rPr>
        <w:rStyle w:val="PageNumber"/>
        <w:rFonts w:cs="Arial"/>
        <w:noProof/>
      </w:rPr>
      <w:t>2</w:t>
    </w:r>
    <w:r>
      <w:rPr>
        <w:rStyle w:val="PageNumber"/>
        <w:rFonts w:cs="Arial"/>
      </w:rPr>
      <w:fldChar w:fldCharType="end"/>
    </w:r>
  </w:p>
  <w:p w:rsidR="005C7270" w:rsidRDefault="005C7270">
    <w:pPr>
      <w:pStyle w:val="Header"/>
      <w:jc w:val="right"/>
      <w:rPr>
        <w:rFonts w:cs="Arial"/>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
    <w:nsid w:val="2FFC1874"/>
    <w:multiLevelType w:val="multilevel"/>
    <w:tmpl w:val="9964028C"/>
    <w:lvl w:ilvl="0">
      <w:start w:val="1"/>
      <w:numFmt w:val="decimal"/>
      <w:lvlText w:val="[%1]"/>
      <w:lvlJc w:val="left"/>
      <w:pPr>
        <w:tabs>
          <w:tab w:val="num" w:pos="680"/>
        </w:tabs>
        <w:ind w:left="0" w:firstLine="0"/>
      </w:pPr>
      <w:rPr>
        <w:rFonts w:hint="default"/>
        <w:b w:val="0"/>
        <w:i w:val="0"/>
        <w:color w:val="auto"/>
        <w:sz w:val="21"/>
        <w:szCs w:val="21"/>
      </w:rPr>
    </w:lvl>
    <w:lvl w:ilvl="1">
      <w:start w:val="1"/>
      <w:numFmt w:val="decimal"/>
      <w:lvlText w:val="%1.%2"/>
      <w:lvlJc w:val="left"/>
      <w:pPr>
        <w:tabs>
          <w:tab w:val="num" w:pos="1531"/>
        </w:tabs>
        <w:ind w:left="1531" w:hanging="851"/>
      </w:pPr>
      <w:rPr>
        <w:rFonts w:hint="default"/>
        <w:b w:val="0"/>
        <w:i w:val="0"/>
        <w:iCs w:val="0"/>
        <w:color w:val="auto"/>
      </w:rPr>
    </w:lvl>
    <w:lvl w:ilvl="2">
      <w:start w:val="1"/>
      <w:numFmt w:val="decimal"/>
      <w:lvlText w:val="%1.%2.%3"/>
      <w:lvlJc w:val="left"/>
      <w:pPr>
        <w:tabs>
          <w:tab w:val="num" w:pos="2381"/>
        </w:tabs>
        <w:ind w:left="2381" w:hanging="850"/>
      </w:pPr>
      <w:rPr>
        <w:rFonts w:hint="default"/>
        <w:color w:val="auto"/>
      </w:rPr>
    </w:lvl>
    <w:lvl w:ilvl="3">
      <w:start w:val="1"/>
      <w:numFmt w:val="decimal"/>
      <w:lvlText w:val="%1.%2.%3.%4."/>
      <w:lvlJc w:val="left"/>
      <w:pPr>
        <w:tabs>
          <w:tab w:val="num" w:pos="3402"/>
        </w:tabs>
        <w:ind w:left="3515" w:hanging="1134"/>
      </w:pPr>
      <w:rPr>
        <w:rFonts w:hint="default"/>
      </w:rPr>
    </w:lvl>
    <w:lvl w:ilvl="4">
      <w:start w:val="1"/>
      <w:numFmt w:val="decimal"/>
      <w:lvlText w:val="%1.%2.%3.%4.%5."/>
      <w:lvlJc w:val="left"/>
      <w:pPr>
        <w:tabs>
          <w:tab w:val="num" w:pos="4933"/>
        </w:tabs>
        <w:ind w:left="4933" w:hanging="1418"/>
      </w:pPr>
      <w:rPr>
        <w:rFonts w:hint="default"/>
      </w:rPr>
    </w:lvl>
    <w:lvl w:ilvl="5">
      <w:start w:val="1"/>
      <w:numFmt w:val="decimal"/>
      <w:lvlText w:val="%1.%2.%3.%4.%5.%6."/>
      <w:lvlJc w:val="left"/>
      <w:pPr>
        <w:tabs>
          <w:tab w:val="num" w:pos="5760"/>
        </w:tabs>
        <w:ind w:left="5760" w:hanging="115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nsid w:val="4BB345E5"/>
    <w:multiLevelType w:val="multilevel"/>
    <w:tmpl w:val="5E5A0D06"/>
    <w:lvl w:ilvl="0">
      <w:start w:val="1"/>
      <w:numFmt w:val="decimal"/>
      <w:lvlText w:val="%1."/>
      <w:lvlJc w:val="left"/>
      <w:pPr>
        <w:tabs>
          <w:tab w:val="num" w:pos="1134"/>
        </w:tabs>
        <w:ind w:left="1701" w:hanging="567"/>
      </w:pPr>
      <w:rPr>
        <w:rFonts w:hint="default"/>
      </w:rPr>
    </w:lvl>
    <w:lvl w:ilvl="1">
      <w:start w:val="1"/>
      <w:numFmt w:val="decimal"/>
      <w:lvlText w:val="%1.%2."/>
      <w:lvlJc w:val="left"/>
      <w:pPr>
        <w:tabs>
          <w:tab w:val="num" w:pos="1701"/>
        </w:tabs>
        <w:ind w:left="2552" w:hanging="851"/>
      </w:pPr>
      <w:rPr>
        <w:rFonts w:hint="default"/>
      </w:rPr>
    </w:lvl>
    <w:lvl w:ilvl="2">
      <w:start w:val="1"/>
      <w:numFmt w:val="decimal"/>
      <w:lvlText w:val="%1.%2.%3."/>
      <w:lvlJc w:val="left"/>
      <w:pPr>
        <w:ind w:left="3402" w:hanging="85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6DB1770F"/>
    <w:multiLevelType w:val="multilevel"/>
    <w:tmpl w:val="EE82B9DA"/>
    <w:lvl w:ilvl="0">
      <w:start w:val="1"/>
      <w:numFmt w:val="decimal"/>
      <w:lvlText w:val="%1."/>
      <w:lvlJc w:val="left"/>
      <w:pPr>
        <w:tabs>
          <w:tab w:val="num" w:pos="1134"/>
        </w:tabs>
        <w:ind w:left="1701" w:hanging="567"/>
      </w:pPr>
      <w:rPr>
        <w:rFonts w:hint="default"/>
      </w:rPr>
    </w:lvl>
    <w:lvl w:ilvl="1">
      <w:start w:val="1"/>
      <w:numFmt w:val="decimal"/>
      <w:lvlText w:val="%1.%2."/>
      <w:lvlJc w:val="left"/>
      <w:pPr>
        <w:tabs>
          <w:tab w:val="num" w:pos="2381"/>
        </w:tabs>
        <w:ind w:left="2381" w:hanging="680"/>
      </w:pPr>
      <w:rPr>
        <w:rFonts w:hint="default"/>
      </w:rPr>
    </w:lvl>
    <w:lvl w:ilvl="2">
      <w:start w:val="1"/>
      <w:numFmt w:val="decimal"/>
      <w:lvlText w:val="%1.%2.%3."/>
      <w:lvlJc w:val="left"/>
      <w:pPr>
        <w:tabs>
          <w:tab w:val="num" w:pos="3119"/>
        </w:tabs>
        <w:ind w:left="3119" w:hanging="738"/>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9A0"/>
    <w:rsid w:val="0001111B"/>
    <w:rsid w:val="00022F92"/>
    <w:rsid w:val="000319E3"/>
    <w:rsid w:val="0004776D"/>
    <w:rsid w:val="000500E5"/>
    <w:rsid w:val="00063F25"/>
    <w:rsid w:val="00074734"/>
    <w:rsid w:val="0007480D"/>
    <w:rsid w:val="00085A34"/>
    <w:rsid w:val="000B1B60"/>
    <w:rsid w:val="000B26DA"/>
    <w:rsid w:val="000B3E61"/>
    <w:rsid w:val="000C5C8E"/>
    <w:rsid w:val="000C7288"/>
    <w:rsid w:val="000D5A6E"/>
    <w:rsid w:val="000D611A"/>
    <w:rsid w:val="000E2B83"/>
    <w:rsid w:val="000E778E"/>
    <w:rsid w:val="0012283C"/>
    <w:rsid w:val="00126CB1"/>
    <w:rsid w:val="00134F5F"/>
    <w:rsid w:val="00152DDF"/>
    <w:rsid w:val="00171D32"/>
    <w:rsid w:val="0017228E"/>
    <w:rsid w:val="00174FD5"/>
    <w:rsid w:val="00180056"/>
    <w:rsid w:val="00194F47"/>
    <w:rsid w:val="001A2224"/>
    <w:rsid w:val="001A30C6"/>
    <w:rsid w:val="001C60A1"/>
    <w:rsid w:val="001D1C9D"/>
    <w:rsid w:val="001D6D01"/>
    <w:rsid w:val="001D6DA9"/>
    <w:rsid w:val="001E2B6D"/>
    <w:rsid w:val="002029C9"/>
    <w:rsid w:val="00214893"/>
    <w:rsid w:val="0022218D"/>
    <w:rsid w:val="00241114"/>
    <w:rsid w:val="00257E5A"/>
    <w:rsid w:val="00262819"/>
    <w:rsid w:val="00274BCD"/>
    <w:rsid w:val="002751EF"/>
    <w:rsid w:val="002754F9"/>
    <w:rsid w:val="002956C7"/>
    <w:rsid w:val="002B0EF4"/>
    <w:rsid w:val="002B3D33"/>
    <w:rsid w:val="002C20D3"/>
    <w:rsid w:val="002C2AA5"/>
    <w:rsid w:val="002C669B"/>
    <w:rsid w:val="002C67C3"/>
    <w:rsid w:val="00312EBC"/>
    <w:rsid w:val="00336FF3"/>
    <w:rsid w:val="00346DE6"/>
    <w:rsid w:val="003476E8"/>
    <w:rsid w:val="0036625E"/>
    <w:rsid w:val="00367F71"/>
    <w:rsid w:val="0037358B"/>
    <w:rsid w:val="00377CEE"/>
    <w:rsid w:val="0038232D"/>
    <w:rsid w:val="00394A0A"/>
    <w:rsid w:val="003F0F6A"/>
    <w:rsid w:val="00403D22"/>
    <w:rsid w:val="00413122"/>
    <w:rsid w:val="004164A3"/>
    <w:rsid w:val="0044343A"/>
    <w:rsid w:val="00457A56"/>
    <w:rsid w:val="00472525"/>
    <w:rsid w:val="00482823"/>
    <w:rsid w:val="0049076A"/>
    <w:rsid w:val="004950DA"/>
    <w:rsid w:val="004A38E1"/>
    <w:rsid w:val="004A4B0F"/>
    <w:rsid w:val="004A4D22"/>
    <w:rsid w:val="004D2154"/>
    <w:rsid w:val="004D7961"/>
    <w:rsid w:val="004E2259"/>
    <w:rsid w:val="004E24CC"/>
    <w:rsid w:val="00506FE2"/>
    <w:rsid w:val="0052527A"/>
    <w:rsid w:val="00525D8F"/>
    <w:rsid w:val="005370D0"/>
    <w:rsid w:val="005559AC"/>
    <w:rsid w:val="00581710"/>
    <w:rsid w:val="00582F52"/>
    <w:rsid w:val="005C7270"/>
    <w:rsid w:val="005C77B5"/>
    <w:rsid w:val="005C7FC2"/>
    <w:rsid w:val="005E20AF"/>
    <w:rsid w:val="005E4E9F"/>
    <w:rsid w:val="005F0A90"/>
    <w:rsid w:val="00622C68"/>
    <w:rsid w:val="00627401"/>
    <w:rsid w:val="006416D8"/>
    <w:rsid w:val="00643282"/>
    <w:rsid w:val="00645CA2"/>
    <w:rsid w:val="00660C84"/>
    <w:rsid w:val="0066280A"/>
    <w:rsid w:val="00671276"/>
    <w:rsid w:val="00672B17"/>
    <w:rsid w:val="006752A2"/>
    <w:rsid w:val="00690BC6"/>
    <w:rsid w:val="006C2652"/>
    <w:rsid w:val="006C5694"/>
    <w:rsid w:val="006E1102"/>
    <w:rsid w:val="006E2848"/>
    <w:rsid w:val="006F0C56"/>
    <w:rsid w:val="006F2FCE"/>
    <w:rsid w:val="007013A7"/>
    <w:rsid w:val="00713696"/>
    <w:rsid w:val="00714ABF"/>
    <w:rsid w:val="00735726"/>
    <w:rsid w:val="00757105"/>
    <w:rsid w:val="007821F1"/>
    <w:rsid w:val="007A3C69"/>
    <w:rsid w:val="007B0D50"/>
    <w:rsid w:val="007D6040"/>
    <w:rsid w:val="007D6610"/>
    <w:rsid w:val="007E02CA"/>
    <w:rsid w:val="007E0B00"/>
    <w:rsid w:val="007E5807"/>
    <w:rsid w:val="00806C8D"/>
    <w:rsid w:val="0081046C"/>
    <w:rsid w:val="00842AED"/>
    <w:rsid w:val="0084316F"/>
    <w:rsid w:val="00843FF1"/>
    <w:rsid w:val="00870BA8"/>
    <w:rsid w:val="00882FAE"/>
    <w:rsid w:val="00890907"/>
    <w:rsid w:val="008B1DA9"/>
    <w:rsid w:val="008E0A7E"/>
    <w:rsid w:val="008F653F"/>
    <w:rsid w:val="00905408"/>
    <w:rsid w:val="00907774"/>
    <w:rsid w:val="00914257"/>
    <w:rsid w:val="00917161"/>
    <w:rsid w:val="00921E9C"/>
    <w:rsid w:val="00926026"/>
    <w:rsid w:val="009311C1"/>
    <w:rsid w:val="00944804"/>
    <w:rsid w:val="00950BBF"/>
    <w:rsid w:val="00952038"/>
    <w:rsid w:val="00967079"/>
    <w:rsid w:val="00976122"/>
    <w:rsid w:val="009774C0"/>
    <w:rsid w:val="00980947"/>
    <w:rsid w:val="009A264B"/>
    <w:rsid w:val="009B08AF"/>
    <w:rsid w:val="009B3DFC"/>
    <w:rsid w:val="009C06E1"/>
    <w:rsid w:val="009C4D14"/>
    <w:rsid w:val="009D0A79"/>
    <w:rsid w:val="009E0CB0"/>
    <w:rsid w:val="009E45AA"/>
    <w:rsid w:val="009E6A15"/>
    <w:rsid w:val="009F6A29"/>
    <w:rsid w:val="00A022D7"/>
    <w:rsid w:val="00A02B39"/>
    <w:rsid w:val="00A11FA8"/>
    <w:rsid w:val="00A27BDE"/>
    <w:rsid w:val="00A37BA4"/>
    <w:rsid w:val="00A54201"/>
    <w:rsid w:val="00A61F54"/>
    <w:rsid w:val="00A6260D"/>
    <w:rsid w:val="00A67805"/>
    <w:rsid w:val="00A6798E"/>
    <w:rsid w:val="00A72A15"/>
    <w:rsid w:val="00A73DEF"/>
    <w:rsid w:val="00A81108"/>
    <w:rsid w:val="00A81E81"/>
    <w:rsid w:val="00AA6E8C"/>
    <w:rsid w:val="00AD19A0"/>
    <w:rsid w:val="00AF4A88"/>
    <w:rsid w:val="00AF67A6"/>
    <w:rsid w:val="00B03C3B"/>
    <w:rsid w:val="00B14778"/>
    <w:rsid w:val="00B21DAA"/>
    <w:rsid w:val="00B30F34"/>
    <w:rsid w:val="00B35A0B"/>
    <w:rsid w:val="00B41297"/>
    <w:rsid w:val="00B43B02"/>
    <w:rsid w:val="00B528F3"/>
    <w:rsid w:val="00B53174"/>
    <w:rsid w:val="00B53C4E"/>
    <w:rsid w:val="00B72A13"/>
    <w:rsid w:val="00B74EBE"/>
    <w:rsid w:val="00BA04B3"/>
    <w:rsid w:val="00BB280F"/>
    <w:rsid w:val="00BF5DC2"/>
    <w:rsid w:val="00C03ED4"/>
    <w:rsid w:val="00C12EDE"/>
    <w:rsid w:val="00C145A9"/>
    <w:rsid w:val="00C27D7D"/>
    <w:rsid w:val="00C455E1"/>
    <w:rsid w:val="00C458AF"/>
    <w:rsid w:val="00C50340"/>
    <w:rsid w:val="00C54168"/>
    <w:rsid w:val="00C601DE"/>
    <w:rsid w:val="00C639CE"/>
    <w:rsid w:val="00C83FB4"/>
    <w:rsid w:val="00C96F5F"/>
    <w:rsid w:val="00CA5BDF"/>
    <w:rsid w:val="00CA7EF7"/>
    <w:rsid w:val="00CB3648"/>
    <w:rsid w:val="00CB4588"/>
    <w:rsid w:val="00CF3A31"/>
    <w:rsid w:val="00D05CEF"/>
    <w:rsid w:val="00D14D51"/>
    <w:rsid w:val="00D163B2"/>
    <w:rsid w:val="00D43CD3"/>
    <w:rsid w:val="00D60F48"/>
    <w:rsid w:val="00D62C37"/>
    <w:rsid w:val="00D673EE"/>
    <w:rsid w:val="00D7587C"/>
    <w:rsid w:val="00D77556"/>
    <w:rsid w:val="00D87300"/>
    <w:rsid w:val="00D87E29"/>
    <w:rsid w:val="00D93200"/>
    <w:rsid w:val="00D94745"/>
    <w:rsid w:val="00DB2585"/>
    <w:rsid w:val="00DB473F"/>
    <w:rsid w:val="00DC6A98"/>
    <w:rsid w:val="00DD016E"/>
    <w:rsid w:val="00DD111B"/>
    <w:rsid w:val="00DD4E1D"/>
    <w:rsid w:val="00E066C0"/>
    <w:rsid w:val="00E06F57"/>
    <w:rsid w:val="00E32EB3"/>
    <w:rsid w:val="00E50650"/>
    <w:rsid w:val="00E56D13"/>
    <w:rsid w:val="00E6166B"/>
    <w:rsid w:val="00E6644B"/>
    <w:rsid w:val="00EB21FA"/>
    <w:rsid w:val="00EC70BC"/>
    <w:rsid w:val="00ED1FA5"/>
    <w:rsid w:val="00ED2774"/>
    <w:rsid w:val="00F2115A"/>
    <w:rsid w:val="00F221FC"/>
    <w:rsid w:val="00F30423"/>
    <w:rsid w:val="00F4555B"/>
    <w:rsid w:val="00F54313"/>
    <w:rsid w:val="00F62825"/>
    <w:rsid w:val="00F63718"/>
    <w:rsid w:val="00F71FCB"/>
    <w:rsid w:val="00F72289"/>
    <w:rsid w:val="00F810A0"/>
    <w:rsid w:val="00FA7426"/>
    <w:rsid w:val="00FE0B1E"/>
    <w:rsid w:val="00FE27AF"/>
    <w:rsid w:val="00FF23A7"/>
    <w:rsid w:val="00FF6E4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59CE340-E7E6-4BCA-A2D3-92619E60A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3DFC"/>
    <w:rPr>
      <w:rFonts w:ascii="Arial" w:hAnsi="Arial"/>
      <w:sz w:val="24"/>
      <w:szCs w:val="24"/>
      <w:lang w:eastAsia="en-US"/>
    </w:rPr>
  </w:style>
  <w:style w:type="paragraph" w:styleId="Heading1">
    <w:name w:val="heading 1"/>
    <w:basedOn w:val="Normal"/>
    <w:next w:val="Normal"/>
    <w:qFormat/>
    <w:pPr>
      <w:keepNext/>
      <w:spacing w:line="480" w:lineRule="auto"/>
      <w:jc w:val="both"/>
      <w:outlineLvl w:val="0"/>
    </w:pPr>
    <w:rPr>
      <w:rFonts w:cs="Arial"/>
      <w:b/>
      <w:bCs/>
    </w:rPr>
  </w:style>
  <w:style w:type="paragraph" w:styleId="Heading2">
    <w:name w:val="heading 2"/>
    <w:basedOn w:val="Normal"/>
    <w:next w:val="Normal"/>
    <w:qFormat/>
    <w:rsid w:val="009B08AF"/>
    <w:pPr>
      <w:keepNext/>
      <w:spacing w:after="480" w:line="480" w:lineRule="auto"/>
      <w:outlineLvl w:val="1"/>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spacing w:line="480" w:lineRule="auto"/>
      <w:jc w:val="center"/>
    </w:pPr>
    <w:rPr>
      <w:rFonts w:cs="Arial"/>
      <w:b/>
      <w:bCs/>
    </w:rPr>
  </w:style>
  <w:style w:type="paragraph" w:styleId="Header">
    <w:name w:val="header"/>
    <w:basedOn w:val="Normal"/>
    <w:semiHidden/>
    <w:pPr>
      <w:tabs>
        <w:tab w:val="center" w:pos="4153"/>
        <w:tab w:val="right" w:pos="8306"/>
      </w:tabs>
    </w:pPr>
    <w:rPr>
      <w:lang w:val="en-GB"/>
    </w:rPr>
  </w:style>
  <w:style w:type="character" w:styleId="PageNumber">
    <w:name w:val="page number"/>
    <w:basedOn w:val="DefaultParagraphFont"/>
    <w:semiHidden/>
  </w:style>
  <w:style w:type="paragraph" w:styleId="BodyText">
    <w:name w:val="Body Text"/>
    <w:basedOn w:val="Normal"/>
    <w:semiHidden/>
    <w:pPr>
      <w:jc w:val="both"/>
    </w:pPr>
    <w:rPr>
      <w:bCs/>
    </w:rPr>
  </w:style>
  <w:style w:type="paragraph" w:styleId="Footer">
    <w:name w:val="footer"/>
    <w:basedOn w:val="Normal"/>
    <w:link w:val="FooterChar"/>
    <w:uiPriority w:val="99"/>
    <w:unhideWhenUsed/>
    <w:rsid w:val="008B1DA9"/>
    <w:pPr>
      <w:tabs>
        <w:tab w:val="center" w:pos="4513"/>
        <w:tab w:val="right" w:pos="9026"/>
      </w:tabs>
    </w:pPr>
  </w:style>
  <w:style w:type="character" w:customStyle="1" w:styleId="FooterChar">
    <w:name w:val="Footer Char"/>
    <w:basedOn w:val="DefaultParagraphFont"/>
    <w:link w:val="Footer"/>
    <w:uiPriority w:val="99"/>
    <w:rsid w:val="008B1DA9"/>
    <w:rPr>
      <w:sz w:val="24"/>
      <w:szCs w:val="24"/>
      <w:lang w:eastAsia="en-US"/>
    </w:rPr>
  </w:style>
  <w:style w:type="paragraph" w:styleId="BalloonText">
    <w:name w:val="Balloon Text"/>
    <w:basedOn w:val="Normal"/>
    <w:link w:val="BalloonTextChar"/>
    <w:uiPriority w:val="99"/>
    <w:semiHidden/>
    <w:unhideWhenUsed/>
    <w:rsid w:val="00A81108"/>
    <w:rPr>
      <w:rFonts w:ascii="Tahoma" w:hAnsi="Tahoma" w:cs="Tahoma"/>
      <w:sz w:val="16"/>
      <w:szCs w:val="16"/>
    </w:rPr>
  </w:style>
  <w:style w:type="character" w:customStyle="1" w:styleId="BalloonTextChar">
    <w:name w:val="Balloon Text Char"/>
    <w:basedOn w:val="DefaultParagraphFont"/>
    <w:link w:val="BalloonText"/>
    <w:uiPriority w:val="99"/>
    <w:semiHidden/>
    <w:rsid w:val="00A81108"/>
    <w:rPr>
      <w:rFonts w:ascii="Tahoma" w:hAnsi="Tahoma" w:cs="Tahoma"/>
      <w:sz w:val="16"/>
      <w:szCs w:val="16"/>
      <w:lang w:eastAsia="en-US"/>
    </w:rPr>
  </w:style>
  <w:style w:type="paragraph" w:styleId="FootnoteText">
    <w:name w:val="footnote text"/>
    <w:basedOn w:val="Normal"/>
    <w:link w:val="FootnoteTextChar"/>
    <w:uiPriority w:val="99"/>
    <w:unhideWhenUsed/>
    <w:rsid w:val="00457A56"/>
    <w:pPr>
      <w:ind w:left="340" w:hanging="340"/>
    </w:pPr>
    <w:rPr>
      <w:sz w:val="20"/>
      <w:szCs w:val="20"/>
    </w:rPr>
  </w:style>
  <w:style w:type="character" w:customStyle="1" w:styleId="FootnoteTextChar">
    <w:name w:val="Footnote Text Char"/>
    <w:basedOn w:val="DefaultParagraphFont"/>
    <w:link w:val="FootnoteText"/>
    <w:uiPriority w:val="99"/>
    <w:rsid w:val="00457A56"/>
    <w:rPr>
      <w:rFonts w:ascii="Arial" w:hAnsi="Arial"/>
      <w:lang w:eastAsia="en-US"/>
    </w:rPr>
  </w:style>
  <w:style w:type="character" w:styleId="FootnoteReference">
    <w:name w:val="footnote reference"/>
    <w:basedOn w:val="DefaultParagraphFont"/>
    <w:uiPriority w:val="99"/>
    <w:semiHidden/>
    <w:unhideWhenUsed/>
    <w:rsid w:val="00457A56"/>
    <w:rPr>
      <w:vertAlign w:val="superscript"/>
    </w:rPr>
  </w:style>
  <w:style w:type="paragraph" w:styleId="ListParagraph">
    <w:name w:val="List Paragraph"/>
    <w:basedOn w:val="Normal"/>
    <w:uiPriority w:val="34"/>
    <w:qFormat/>
    <w:rsid w:val="001D1C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JR%20TYPING%20SERVICES\CRUTCHFIELD,%20ALLYSON\Judgment%20Crutchfiel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CFEBF0-35AF-40AD-BA65-90A1BC583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 Crutchfield</Template>
  <TotalTime>1</TotalTime>
  <Pages>17</Pages>
  <Words>3642</Words>
  <Characters>20762</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JUDGMENT</vt:lpstr>
    </vt:vector>
  </TitlesOfParts>
  <Company>Group21</Company>
  <LinksUpToDate>false</LinksUpToDate>
  <CharactersWithSpaces>24356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JUDGMENT</dc:title>
  <dc:creator>JR TYPING SERVICES</dc:creator>
  <cp:keywords>A A CRUTCHFIELD J</cp:keywords>
  <cp:lastModifiedBy>Mokone</cp:lastModifiedBy>
  <cp:revision>3</cp:revision>
  <cp:lastPrinted>2023-04-25T13:16:00Z</cp:lastPrinted>
  <dcterms:created xsi:type="dcterms:W3CDTF">2023-05-02T14:53:00Z</dcterms:created>
  <dcterms:modified xsi:type="dcterms:W3CDTF">2023-05-02T14:54:00Z</dcterms:modified>
</cp:coreProperties>
</file>