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13D6E83E" w14:textId="70018BD8" w:rsidR="006C43D7" w:rsidRPr="0009745A" w:rsidRDefault="006C43D7" w:rsidP="00652C04">
      <w:pPr>
        <w:jc w:val="center"/>
        <w:rPr>
          <w:rFonts w:cs="Arial"/>
          <w:b/>
          <w:szCs w:val="22"/>
        </w:rPr>
      </w:pPr>
      <w:r w:rsidRPr="0009745A">
        <w:rPr>
          <w:rFonts w:cs="Arial"/>
          <w:b/>
          <w:szCs w:val="22"/>
        </w:rPr>
        <w:t>GAUTENG DIVISION, JOHANNESBURG</w:t>
      </w:r>
      <w:r w:rsidR="00652C04">
        <w:rPr>
          <w:rFonts w:cs="Arial"/>
          <w:b/>
          <w:szCs w:val="22"/>
        </w:rPr>
        <w:t>2</w:t>
      </w:r>
    </w:p>
    <w:p w14:paraId="3698476C" w14:textId="46B92D4F" w:rsidR="006C43D7" w:rsidRPr="0009745A" w:rsidRDefault="006C43D7" w:rsidP="006C43D7">
      <w:pPr>
        <w:spacing w:line="360" w:lineRule="auto"/>
        <w:jc w:val="right"/>
        <w:rPr>
          <w:rFonts w:cs="Arial"/>
          <w:b/>
          <w:szCs w:val="22"/>
        </w:rPr>
      </w:pPr>
      <w:r w:rsidRPr="0009745A">
        <w:rPr>
          <w:rFonts w:cs="Arial"/>
          <w:b/>
          <w:szCs w:val="22"/>
        </w:rPr>
        <w:t xml:space="preserve">CASE NO: </w:t>
      </w:r>
      <w:bookmarkStart w:id="0" w:name="_GoBack"/>
      <w:r w:rsidR="00652C04">
        <w:rPr>
          <w:rFonts w:cs="Arial"/>
          <w:b/>
          <w:szCs w:val="22"/>
        </w:rPr>
        <w:t xml:space="preserve">A02030- </w:t>
      </w:r>
      <w:r w:rsidR="003518A3" w:rsidRPr="0009745A">
        <w:rPr>
          <w:rFonts w:cs="Arial"/>
          <w:b/>
          <w:szCs w:val="22"/>
        </w:rPr>
        <w:t>202</w:t>
      </w:r>
      <w:r w:rsidR="00C905EB">
        <w:rPr>
          <w:rFonts w:cs="Arial"/>
          <w:b/>
          <w:szCs w:val="22"/>
        </w:rPr>
        <w:t>0</w:t>
      </w:r>
    </w:p>
    <w:bookmarkEnd w:id="0"/>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9165D0" w:rsidRPr="00913F95" w:rsidRDefault="009165D0" w:rsidP="006C43D7">
                            <w:pPr>
                              <w:jc w:val="center"/>
                              <w:rPr>
                                <w:rFonts w:ascii="Century Gothic" w:hAnsi="Century Gothic"/>
                                <w:b/>
                                <w:sz w:val="20"/>
                                <w:szCs w:val="20"/>
                              </w:rPr>
                            </w:pPr>
                          </w:p>
                          <w:p w14:paraId="01FDAE28" w14:textId="76B811B0" w:rsidR="009165D0" w:rsidRDefault="006F0847" w:rsidP="006F084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3C6B2D5D" w:rsidR="009165D0" w:rsidRPr="001D3CC2" w:rsidRDefault="006F0847" w:rsidP="006F084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9165D0" w:rsidRPr="00913F95" w:rsidRDefault="009165D0" w:rsidP="006C43D7">
                      <w:pPr>
                        <w:jc w:val="center"/>
                        <w:rPr>
                          <w:rFonts w:ascii="Century Gothic" w:hAnsi="Century Gothic"/>
                          <w:b/>
                          <w:sz w:val="20"/>
                          <w:szCs w:val="20"/>
                        </w:rPr>
                      </w:pPr>
                    </w:p>
                    <w:p w14:paraId="01FDAE28" w14:textId="76B811B0" w:rsidR="009165D0" w:rsidRDefault="006F0847" w:rsidP="006F084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165D0" w:rsidRPr="001D3CC2">
                        <w:rPr>
                          <w:rFonts w:ascii="Century Gothic" w:hAnsi="Century Gothic"/>
                          <w:sz w:val="20"/>
                          <w:szCs w:val="20"/>
                        </w:rPr>
                        <w:t xml:space="preserve">REPORTABLE: </w:t>
                      </w:r>
                      <w:r w:rsidR="0099709D">
                        <w:rPr>
                          <w:rFonts w:ascii="Century Gothic" w:hAnsi="Century Gothic"/>
                          <w:sz w:val="20"/>
                          <w:szCs w:val="20"/>
                        </w:rPr>
                        <w:t>NO</w:t>
                      </w:r>
                    </w:p>
                    <w:p w14:paraId="3A4C7296" w14:textId="3C6B2D5D" w:rsidR="009165D0" w:rsidRPr="001D3CC2" w:rsidRDefault="006F0847" w:rsidP="006F084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9165D0" w:rsidRPr="001D3CC2">
                        <w:rPr>
                          <w:rFonts w:ascii="Century Gothic" w:hAnsi="Century Gothic"/>
                          <w:sz w:val="20"/>
                          <w:szCs w:val="20"/>
                        </w:rPr>
                        <w:t>OF INTEREST TO OTHER JUDGES</w:t>
                      </w:r>
                      <w:r w:rsidR="009165D0">
                        <w:rPr>
                          <w:rFonts w:ascii="Century Gothic" w:hAnsi="Century Gothic"/>
                          <w:sz w:val="20"/>
                          <w:szCs w:val="20"/>
                        </w:rPr>
                        <w:t xml:space="preserve">: </w:t>
                      </w:r>
                      <w:r w:rsidR="0099709D">
                        <w:rPr>
                          <w:rFonts w:ascii="Century Gothic" w:hAnsi="Century Gothic"/>
                          <w:sz w:val="20"/>
                          <w:szCs w:val="20"/>
                        </w:rPr>
                        <w:t>NO</w:t>
                      </w:r>
                    </w:p>
                    <w:p w14:paraId="21D4A71B" w14:textId="5B58BFC8" w:rsidR="009165D0" w:rsidRPr="00913F95" w:rsidRDefault="009165D0" w:rsidP="001D3CC2">
                      <w:pPr>
                        <w:ind w:left="180"/>
                        <w:rPr>
                          <w:rFonts w:ascii="Century Gothic" w:hAnsi="Century Gothic"/>
                          <w:sz w:val="20"/>
                          <w:szCs w:val="20"/>
                        </w:rPr>
                      </w:pPr>
                    </w:p>
                    <w:p w14:paraId="761B7CA4" w14:textId="77777777" w:rsidR="009165D0" w:rsidRDefault="009165D0" w:rsidP="006C43D7">
                      <w:pPr>
                        <w:rPr>
                          <w:rFonts w:ascii="Century Gothic" w:hAnsi="Century Gothic"/>
                          <w:b/>
                          <w:sz w:val="18"/>
                          <w:szCs w:val="18"/>
                        </w:rPr>
                      </w:pPr>
                    </w:p>
                    <w:p w14:paraId="0EC4BA5C" w14:textId="61945B0D" w:rsidR="009165D0" w:rsidRPr="001D3CC2" w:rsidRDefault="009165D0"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9165D0" w:rsidRPr="00084341" w:rsidRDefault="009165D0"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04919B1B" w14:textId="18AF742C" w:rsidR="001D3CC2" w:rsidRDefault="001D3CC2" w:rsidP="006C43D7">
      <w:pPr>
        <w:spacing w:line="480" w:lineRule="auto"/>
        <w:jc w:val="both"/>
        <w:rPr>
          <w:rFonts w:cs="Arial"/>
          <w:szCs w:val="22"/>
        </w:rPr>
      </w:pPr>
    </w:p>
    <w:p w14:paraId="2A3E8EC7" w14:textId="35BFF3B1" w:rsidR="00CC48E3" w:rsidRPr="0009745A" w:rsidRDefault="00CC48E3" w:rsidP="00CC48E3">
      <w:pPr>
        <w:rPr>
          <w:rFonts w:cs="Arial"/>
          <w:szCs w:val="22"/>
        </w:rPr>
      </w:pPr>
    </w:p>
    <w:p w14:paraId="3CF828F5" w14:textId="3E94AA10" w:rsidR="00CC48E3" w:rsidRDefault="00CC48E3" w:rsidP="00CC48E3">
      <w:pPr>
        <w:rPr>
          <w:rFonts w:cs="Arial"/>
          <w:szCs w:val="22"/>
        </w:rPr>
      </w:pPr>
      <w:r w:rsidRPr="0009745A">
        <w:rPr>
          <w:rFonts w:cs="Arial"/>
          <w:szCs w:val="22"/>
        </w:rPr>
        <w:t>In the matter between –</w:t>
      </w:r>
    </w:p>
    <w:p w14:paraId="684CF908" w14:textId="6BFAA436" w:rsidR="002369D8" w:rsidRDefault="002369D8" w:rsidP="00CC48E3">
      <w:pPr>
        <w:rPr>
          <w:rFonts w:cs="Arial"/>
          <w:szCs w:val="22"/>
        </w:rPr>
      </w:pPr>
    </w:p>
    <w:p w14:paraId="5CA8F57B" w14:textId="3A5CECEB" w:rsidR="006C43D7" w:rsidRPr="0009745A" w:rsidRDefault="006C43D7" w:rsidP="00016C5A">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00"/>
      </w:tblGrid>
      <w:tr w:rsidR="00C35C76" w:rsidRPr="0009745A" w14:paraId="3F391BAE" w14:textId="77777777" w:rsidTr="00016C5A">
        <w:tc>
          <w:tcPr>
            <w:tcW w:w="6516" w:type="dxa"/>
          </w:tcPr>
          <w:p w14:paraId="14A5291F" w14:textId="77888543" w:rsidR="00C35C76" w:rsidRPr="0009745A" w:rsidRDefault="008F63DB" w:rsidP="00B7031E">
            <w:pPr>
              <w:autoSpaceDE w:val="0"/>
              <w:autoSpaceDN w:val="0"/>
              <w:adjustRightInd w:val="0"/>
              <w:spacing w:before="120" w:after="120"/>
              <w:rPr>
                <w:rFonts w:cs="Arial"/>
                <w:b/>
                <w:bCs/>
                <w:szCs w:val="22"/>
              </w:rPr>
            </w:pPr>
            <w:r>
              <w:rPr>
                <w:rFonts w:ascii="Arial-BoldMT" w:hAnsi="Arial-BoldMT" w:cs="Arial-BoldMT"/>
                <w:b/>
                <w:bCs/>
                <w:sz w:val="24"/>
                <w:lang w:eastAsia="en-ZA"/>
              </w:rPr>
              <w:t xml:space="preserve">MBATHA, </w:t>
            </w:r>
            <w:r w:rsidR="00A022C3">
              <w:rPr>
                <w:rFonts w:ascii="Arial-BoldMT" w:hAnsi="Arial-BoldMT" w:cs="Arial-BoldMT"/>
                <w:b/>
                <w:bCs/>
                <w:sz w:val="24"/>
                <w:lang w:eastAsia="en-ZA"/>
              </w:rPr>
              <w:t xml:space="preserve">NKOSINATHI SBONELO </w:t>
            </w:r>
          </w:p>
        </w:tc>
        <w:tc>
          <w:tcPr>
            <w:tcW w:w="2500" w:type="dxa"/>
          </w:tcPr>
          <w:p w14:paraId="1F273C18" w14:textId="57B5EC85" w:rsidR="00C35C76" w:rsidRPr="0009745A" w:rsidRDefault="00A022C3" w:rsidP="00B7031E">
            <w:pPr>
              <w:spacing w:before="120" w:after="120"/>
              <w:jc w:val="both"/>
              <w:rPr>
                <w:rFonts w:cs="Arial"/>
                <w:szCs w:val="22"/>
              </w:rPr>
            </w:pPr>
            <w:r>
              <w:rPr>
                <w:rFonts w:cs="Arial"/>
                <w:szCs w:val="22"/>
              </w:rPr>
              <w:t>APPELLANT</w:t>
            </w:r>
          </w:p>
        </w:tc>
      </w:tr>
      <w:tr w:rsidR="00C35C76" w:rsidRPr="0009745A" w14:paraId="4FC5C5F1" w14:textId="77777777" w:rsidTr="00016C5A">
        <w:tc>
          <w:tcPr>
            <w:tcW w:w="6516" w:type="dxa"/>
          </w:tcPr>
          <w:p w14:paraId="66607EB5" w14:textId="77777777" w:rsidR="00B7031E" w:rsidRPr="0009745A" w:rsidRDefault="00B7031E" w:rsidP="00B7031E">
            <w:pPr>
              <w:autoSpaceDE w:val="0"/>
              <w:autoSpaceDN w:val="0"/>
              <w:adjustRightInd w:val="0"/>
              <w:spacing w:before="120" w:after="120"/>
              <w:rPr>
                <w:rFonts w:cs="Arial"/>
                <w:szCs w:val="22"/>
              </w:rPr>
            </w:pPr>
          </w:p>
          <w:p w14:paraId="7FC1C32A" w14:textId="6C968B07" w:rsidR="00C35C76" w:rsidRPr="0009745A" w:rsidRDefault="00C35C76" w:rsidP="00B7031E">
            <w:pPr>
              <w:autoSpaceDE w:val="0"/>
              <w:autoSpaceDN w:val="0"/>
              <w:adjustRightInd w:val="0"/>
              <w:spacing w:before="120" w:after="120"/>
              <w:rPr>
                <w:rFonts w:cs="Arial"/>
                <w:szCs w:val="22"/>
              </w:rPr>
            </w:pPr>
            <w:r w:rsidRPr="0009745A">
              <w:rPr>
                <w:rFonts w:cs="Arial"/>
                <w:szCs w:val="22"/>
              </w:rPr>
              <w:t>AND</w:t>
            </w:r>
          </w:p>
          <w:p w14:paraId="0CE7B1D3" w14:textId="77777777" w:rsidR="00C35C76" w:rsidRPr="0009745A" w:rsidRDefault="00C35C76" w:rsidP="00B7031E">
            <w:pPr>
              <w:spacing w:before="120" w:after="120"/>
              <w:jc w:val="both"/>
              <w:rPr>
                <w:rFonts w:cs="Arial"/>
                <w:szCs w:val="22"/>
              </w:rPr>
            </w:pPr>
          </w:p>
        </w:tc>
        <w:tc>
          <w:tcPr>
            <w:tcW w:w="2500" w:type="dxa"/>
          </w:tcPr>
          <w:p w14:paraId="2F9DB216" w14:textId="77777777" w:rsidR="00C35C76" w:rsidRPr="0009745A" w:rsidRDefault="00C35C76" w:rsidP="00B7031E">
            <w:pPr>
              <w:spacing w:before="120" w:after="120"/>
              <w:jc w:val="both"/>
              <w:rPr>
                <w:rFonts w:cs="Arial"/>
                <w:szCs w:val="22"/>
              </w:rPr>
            </w:pPr>
          </w:p>
        </w:tc>
      </w:tr>
      <w:tr w:rsidR="00C35C76" w:rsidRPr="0009745A" w14:paraId="049E5813" w14:textId="77777777" w:rsidTr="00016C5A">
        <w:tc>
          <w:tcPr>
            <w:tcW w:w="6516" w:type="dxa"/>
          </w:tcPr>
          <w:p w14:paraId="7147811E" w14:textId="5A439C3D" w:rsidR="00C35C76" w:rsidRPr="0009745A" w:rsidRDefault="00A022C3" w:rsidP="00B7031E">
            <w:pPr>
              <w:spacing w:before="120" w:after="120"/>
              <w:jc w:val="both"/>
              <w:rPr>
                <w:rFonts w:cs="Arial"/>
                <w:szCs w:val="22"/>
              </w:rPr>
            </w:pPr>
            <w:r>
              <w:rPr>
                <w:rFonts w:ascii="Arial-BoldMT" w:hAnsi="Arial-BoldMT" w:cs="Arial-BoldMT"/>
                <w:b/>
                <w:bCs/>
                <w:sz w:val="24"/>
                <w:lang w:eastAsia="en-ZA"/>
              </w:rPr>
              <w:t xml:space="preserve">VERMAAK, CELESTE </w:t>
            </w:r>
          </w:p>
        </w:tc>
        <w:tc>
          <w:tcPr>
            <w:tcW w:w="2500" w:type="dxa"/>
          </w:tcPr>
          <w:p w14:paraId="5F31628B" w14:textId="1D053F01" w:rsidR="00C35C76" w:rsidRPr="0009745A" w:rsidRDefault="00A022C3" w:rsidP="003C3AC6">
            <w:pPr>
              <w:autoSpaceDE w:val="0"/>
              <w:autoSpaceDN w:val="0"/>
              <w:adjustRightInd w:val="0"/>
              <w:spacing w:before="120" w:after="120"/>
              <w:rPr>
                <w:rFonts w:cs="Arial"/>
                <w:szCs w:val="22"/>
              </w:rPr>
            </w:pPr>
            <w:r>
              <w:rPr>
                <w:rFonts w:cs="Arial"/>
                <w:szCs w:val="22"/>
              </w:rPr>
              <w:t>RESPONDENT</w:t>
            </w:r>
          </w:p>
        </w:tc>
      </w:tr>
    </w:tbl>
    <w:p w14:paraId="16C27F88" w14:textId="5B46DEF4" w:rsidR="003A0BED" w:rsidRPr="003A0BED" w:rsidRDefault="003A0BED" w:rsidP="006C43D7">
      <w:pPr>
        <w:pBdr>
          <w:bottom w:val="single" w:sz="4" w:space="1" w:color="auto"/>
        </w:pBdr>
        <w:spacing w:line="360" w:lineRule="auto"/>
        <w:jc w:val="both"/>
      </w:pPr>
      <w:r w:rsidRPr="003A0BED">
        <w:rPr>
          <w:b/>
        </w:rPr>
        <w:t>Neutral Citation</w:t>
      </w:r>
      <w:r>
        <w:t xml:space="preserve">: </w:t>
      </w:r>
      <w:proofErr w:type="spellStart"/>
      <w:r w:rsidRPr="003A0BED">
        <w:rPr>
          <w:i/>
        </w:rPr>
        <w:t>Mbatha</w:t>
      </w:r>
      <w:proofErr w:type="spellEnd"/>
      <w:r w:rsidRPr="003A0BED">
        <w:rPr>
          <w:i/>
        </w:rPr>
        <w:t xml:space="preserve"> v </w:t>
      </w:r>
      <w:proofErr w:type="spellStart"/>
      <w:r w:rsidRPr="003A0BED">
        <w:rPr>
          <w:i/>
        </w:rPr>
        <w:t>Vermaak</w:t>
      </w:r>
      <w:proofErr w:type="spellEnd"/>
      <w:r w:rsidRPr="003A0BED">
        <w:rPr>
          <w:i/>
        </w:rPr>
        <w:t xml:space="preserve"> </w:t>
      </w:r>
      <w:r>
        <w:t>(Case No. A02030-2020) [2023] ZAGPJHC 399 (</w:t>
      </w:r>
      <w:r w:rsidR="00217480">
        <w:t>4</w:t>
      </w:r>
      <w:r>
        <w:t xml:space="preserve"> May 2023)</w:t>
      </w:r>
    </w:p>
    <w:p w14:paraId="1B1F619E" w14:textId="59C06589" w:rsidR="00FE03CE" w:rsidRDefault="00FE03CE" w:rsidP="006C43D7">
      <w:pPr>
        <w:pBdr>
          <w:bottom w:val="single" w:sz="4" w:space="1" w:color="auto"/>
        </w:pBdr>
        <w:spacing w:line="360" w:lineRule="auto"/>
        <w:jc w:val="both"/>
        <w:rPr>
          <w:rFonts w:cs="Arial"/>
          <w:szCs w:val="22"/>
        </w:rPr>
      </w:pPr>
    </w:p>
    <w:p w14:paraId="58DE5549" w14:textId="77777777" w:rsidR="006C43D7" w:rsidRPr="0009745A" w:rsidRDefault="006C43D7" w:rsidP="006C43D7">
      <w:pPr>
        <w:spacing w:line="276" w:lineRule="auto"/>
        <w:jc w:val="both"/>
        <w:rPr>
          <w:rFonts w:cs="Arial"/>
          <w:szCs w:val="22"/>
        </w:rPr>
      </w:pPr>
    </w:p>
    <w:p w14:paraId="647AB70C" w14:textId="77777777" w:rsidR="006C43D7" w:rsidRPr="0009745A" w:rsidRDefault="006C43D7" w:rsidP="006C43D7">
      <w:pPr>
        <w:keepNext/>
        <w:spacing w:line="276" w:lineRule="auto"/>
        <w:jc w:val="center"/>
        <w:outlineLvl w:val="1"/>
        <w:rPr>
          <w:rFonts w:cs="Arial"/>
          <w:b/>
          <w:bCs/>
          <w:szCs w:val="22"/>
        </w:rPr>
      </w:pPr>
      <w:r w:rsidRPr="0009745A">
        <w:rPr>
          <w:rFonts w:cs="Arial"/>
          <w:b/>
          <w:bCs/>
          <w:szCs w:val="22"/>
        </w:rPr>
        <w:t>JUDGMENT</w:t>
      </w:r>
    </w:p>
    <w:p w14:paraId="52CD25EB" w14:textId="77777777" w:rsidR="006C43D7" w:rsidRPr="0009745A" w:rsidRDefault="006C43D7" w:rsidP="006C43D7">
      <w:pPr>
        <w:pBdr>
          <w:bottom w:val="single" w:sz="4" w:space="1" w:color="auto"/>
        </w:pBdr>
        <w:jc w:val="both"/>
        <w:rPr>
          <w:rFonts w:cs="Arial"/>
          <w:szCs w:val="22"/>
        </w:rPr>
      </w:pPr>
    </w:p>
    <w:p w14:paraId="5BD82EFE" w14:textId="1528D2DD" w:rsidR="00BE6AB8" w:rsidRDefault="00C676F3" w:rsidP="00250A46">
      <w:pPr>
        <w:widowControl w:val="0"/>
        <w:spacing w:after="480" w:line="480" w:lineRule="auto"/>
        <w:jc w:val="both"/>
        <w:rPr>
          <w:rFonts w:cs="Arial"/>
          <w:b/>
          <w:szCs w:val="22"/>
        </w:rPr>
      </w:pPr>
      <w:r w:rsidRPr="0009745A">
        <w:rPr>
          <w:rFonts w:cs="Arial"/>
          <w:b/>
          <w:szCs w:val="22"/>
        </w:rPr>
        <w:t>MOORCROFT</w:t>
      </w:r>
      <w:r w:rsidR="006C43D7" w:rsidRPr="0009745A">
        <w:rPr>
          <w:rFonts w:cs="Arial"/>
          <w:b/>
          <w:szCs w:val="22"/>
        </w:rPr>
        <w:t xml:space="preserve"> AJ</w:t>
      </w:r>
      <w:r w:rsidR="00A022C3">
        <w:rPr>
          <w:rFonts w:cs="Arial"/>
          <w:b/>
          <w:szCs w:val="22"/>
        </w:rPr>
        <w:t xml:space="preserve"> [DLAMINI J CONCURRING]</w:t>
      </w:r>
      <w:r w:rsidR="004F28EE">
        <w:rPr>
          <w:rFonts w:cs="Arial"/>
          <w:b/>
          <w:szCs w:val="22"/>
        </w:rPr>
        <w:t>:</w:t>
      </w:r>
    </w:p>
    <w:p w14:paraId="5A2E2B7F" w14:textId="77777777" w:rsidR="003A0BED" w:rsidRPr="0009745A" w:rsidRDefault="003A0BED" w:rsidP="00250A46">
      <w:pPr>
        <w:widowControl w:val="0"/>
        <w:spacing w:after="480" w:line="480" w:lineRule="auto"/>
        <w:jc w:val="both"/>
        <w:rPr>
          <w:rFonts w:cs="Arial"/>
          <w:b/>
          <w:szCs w:val="22"/>
        </w:rPr>
      </w:pPr>
    </w:p>
    <w:p w14:paraId="10D6BD31" w14:textId="4154D151" w:rsidR="00131957" w:rsidRDefault="00131957" w:rsidP="00250A46">
      <w:pPr>
        <w:widowControl w:val="0"/>
        <w:spacing w:after="480" w:line="480" w:lineRule="auto"/>
        <w:jc w:val="both"/>
        <w:rPr>
          <w:rFonts w:cs="Arial"/>
          <w:bCs/>
          <w:i/>
          <w:iCs/>
          <w:szCs w:val="22"/>
          <w:u w:val="single"/>
        </w:rPr>
      </w:pPr>
      <w:r w:rsidRPr="0009745A">
        <w:rPr>
          <w:rFonts w:cs="Arial"/>
          <w:bCs/>
          <w:i/>
          <w:iCs/>
          <w:szCs w:val="22"/>
          <w:u w:val="single"/>
        </w:rPr>
        <w:lastRenderedPageBreak/>
        <w:t>Summary</w:t>
      </w:r>
    </w:p>
    <w:p w14:paraId="6DEEE791" w14:textId="67DB7707" w:rsidR="007E69D8" w:rsidRPr="007E69D8" w:rsidRDefault="007E69D8" w:rsidP="00250A46">
      <w:pPr>
        <w:widowControl w:val="0"/>
        <w:spacing w:after="480" w:line="480" w:lineRule="auto"/>
        <w:jc w:val="both"/>
        <w:rPr>
          <w:rFonts w:cs="Arial"/>
          <w:bCs/>
          <w:i/>
          <w:iCs/>
          <w:szCs w:val="22"/>
        </w:rPr>
      </w:pPr>
      <w:r>
        <w:rPr>
          <w:rFonts w:cs="Arial"/>
          <w:bCs/>
          <w:i/>
          <w:iCs/>
          <w:szCs w:val="22"/>
        </w:rPr>
        <w:t>Rescission of judgment – good cause – encompasses reasonable explanation for default and a bona fide defence</w:t>
      </w:r>
    </w:p>
    <w:p w14:paraId="32DA3C2C" w14:textId="5C20EB22" w:rsidR="003A6F23" w:rsidRPr="0009745A" w:rsidRDefault="003A6F23" w:rsidP="008C724C">
      <w:pPr>
        <w:keepNext/>
        <w:widowControl w:val="0"/>
        <w:spacing w:after="480" w:line="480" w:lineRule="auto"/>
        <w:jc w:val="both"/>
        <w:rPr>
          <w:rFonts w:cs="Arial"/>
          <w:bCs/>
          <w:szCs w:val="22"/>
          <w:u w:val="single"/>
        </w:rPr>
      </w:pPr>
      <w:r w:rsidRPr="0009745A">
        <w:rPr>
          <w:rFonts w:cs="Arial"/>
          <w:bCs/>
          <w:szCs w:val="22"/>
          <w:u w:val="single"/>
        </w:rPr>
        <w:t>Order</w:t>
      </w:r>
    </w:p>
    <w:p w14:paraId="794327A4" w14:textId="25FB8006" w:rsidR="003A6F23" w:rsidRDefault="006F0847" w:rsidP="006F0847">
      <w:pPr>
        <w:keepNext/>
        <w:widowControl w:val="0"/>
        <w:tabs>
          <w:tab w:val="left" w:pos="567"/>
        </w:tabs>
        <w:spacing w:after="480" w:line="480" w:lineRule="auto"/>
        <w:jc w:val="both"/>
        <w:rPr>
          <w:rFonts w:cs="Arial"/>
          <w:bCs/>
          <w:szCs w:val="22"/>
        </w:rPr>
      </w:pPr>
      <w:r>
        <w:rPr>
          <w:rFonts w:cs="Arial"/>
          <w:bCs/>
          <w:szCs w:val="22"/>
        </w:rPr>
        <w:t>[1]</w:t>
      </w:r>
      <w:r>
        <w:rPr>
          <w:rFonts w:cs="Arial"/>
          <w:bCs/>
          <w:szCs w:val="22"/>
        </w:rPr>
        <w:tab/>
      </w:r>
      <w:r w:rsidR="00B87B26" w:rsidRPr="0009745A">
        <w:rPr>
          <w:rFonts w:cs="Arial"/>
          <w:bCs/>
          <w:szCs w:val="22"/>
        </w:rPr>
        <w:t>I ma</w:t>
      </w:r>
      <w:r w:rsidR="00FA2987" w:rsidRPr="0009745A">
        <w:rPr>
          <w:rFonts w:cs="Arial"/>
          <w:bCs/>
          <w:szCs w:val="22"/>
        </w:rPr>
        <w:t>k</w:t>
      </w:r>
      <w:r w:rsidR="00B87B26" w:rsidRPr="0009745A">
        <w:rPr>
          <w:rFonts w:cs="Arial"/>
          <w:bCs/>
          <w:szCs w:val="22"/>
        </w:rPr>
        <w:t>e the following order</w:t>
      </w:r>
      <w:r w:rsidR="005A27EF" w:rsidRPr="0009745A">
        <w:rPr>
          <w:rFonts w:cs="Arial"/>
          <w:bCs/>
          <w:szCs w:val="22"/>
        </w:rPr>
        <w:t>:</w:t>
      </w:r>
    </w:p>
    <w:p w14:paraId="4F7F94E8" w14:textId="0D3ADB4B" w:rsidR="00476754" w:rsidRPr="006F0847" w:rsidRDefault="006F0847" w:rsidP="006F0847">
      <w:pPr>
        <w:widowControl w:val="0"/>
        <w:spacing w:after="480" w:line="480" w:lineRule="auto"/>
        <w:ind w:left="720" w:hanging="720"/>
        <w:jc w:val="both"/>
        <w:rPr>
          <w:rFonts w:cs="Arial"/>
          <w:bCs/>
          <w:i/>
          <w:iCs/>
          <w:szCs w:val="22"/>
        </w:rPr>
      </w:pPr>
      <w:r w:rsidRPr="00B10CCF">
        <w:rPr>
          <w:rFonts w:cs="Arial"/>
          <w:bCs/>
          <w:i/>
          <w:iCs/>
          <w:szCs w:val="22"/>
        </w:rPr>
        <w:t>1.</w:t>
      </w:r>
      <w:r w:rsidRPr="00B10CCF">
        <w:rPr>
          <w:rFonts w:cs="Arial"/>
          <w:bCs/>
          <w:i/>
          <w:iCs/>
          <w:szCs w:val="22"/>
        </w:rPr>
        <w:tab/>
      </w:r>
      <w:r w:rsidR="008F63DB" w:rsidRPr="006F0847">
        <w:rPr>
          <w:rFonts w:cs="Arial"/>
          <w:bCs/>
          <w:i/>
          <w:iCs/>
          <w:szCs w:val="22"/>
        </w:rPr>
        <w:t>The appeal is upheld;</w:t>
      </w:r>
    </w:p>
    <w:p w14:paraId="74A8B097" w14:textId="3BF0F25F" w:rsidR="008F63DB" w:rsidRPr="006F0847" w:rsidRDefault="006F0847" w:rsidP="006F0847">
      <w:pPr>
        <w:widowControl w:val="0"/>
        <w:spacing w:after="480" w:line="480" w:lineRule="auto"/>
        <w:ind w:left="720" w:hanging="720"/>
        <w:jc w:val="both"/>
        <w:rPr>
          <w:rFonts w:cs="Arial"/>
          <w:bCs/>
          <w:i/>
          <w:iCs/>
          <w:szCs w:val="22"/>
        </w:rPr>
      </w:pPr>
      <w:r w:rsidRPr="00B10CCF">
        <w:rPr>
          <w:rFonts w:cs="Arial"/>
          <w:bCs/>
          <w:i/>
          <w:iCs/>
          <w:szCs w:val="22"/>
        </w:rPr>
        <w:t>2.</w:t>
      </w:r>
      <w:r w:rsidRPr="00B10CCF">
        <w:rPr>
          <w:rFonts w:cs="Arial"/>
          <w:bCs/>
          <w:i/>
          <w:iCs/>
          <w:szCs w:val="22"/>
        </w:rPr>
        <w:tab/>
      </w:r>
      <w:r w:rsidR="008F63DB" w:rsidRPr="006F0847">
        <w:rPr>
          <w:rFonts w:cs="Arial"/>
          <w:bCs/>
          <w:i/>
          <w:iCs/>
          <w:szCs w:val="22"/>
        </w:rPr>
        <w:t>The following order is substituted for the order of the Magistrates’ Court for the District of Eku</w:t>
      </w:r>
      <w:r w:rsidR="009E0C10" w:rsidRPr="006F0847">
        <w:rPr>
          <w:rFonts w:cs="Arial"/>
          <w:bCs/>
          <w:i/>
          <w:iCs/>
          <w:szCs w:val="22"/>
        </w:rPr>
        <w:t>r</w:t>
      </w:r>
      <w:r w:rsidR="008F63DB" w:rsidRPr="006F0847">
        <w:rPr>
          <w:rFonts w:cs="Arial"/>
          <w:bCs/>
          <w:i/>
          <w:iCs/>
          <w:szCs w:val="22"/>
        </w:rPr>
        <w:t xml:space="preserve">huleni East held at </w:t>
      </w:r>
      <w:proofErr w:type="gramStart"/>
      <w:r w:rsidR="008F63DB" w:rsidRPr="006F0847">
        <w:rPr>
          <w:rFonts w:cs="Arial"/>
          <w:bCs/>
          <w:i/>
          <w:iCs/>
          <w:szCs w:val="22"/>
        </w:rPr>
        <w:t>Springs</w:t>
      </w:r>
      <w:proofErr w:type="gramEnd"/>
      <w:r w:rsidR="008F63DB" w:rsidRPr="006F0847">
        <w:rPr>
          <w:rFonts w:cs="Arial"/>
          <w:bCs/>
          <w:i/>
          <w:iCs/>
          <w:szCs w:val="22"/>
        </w:rPr>
        <w:t xml:space="preserve"> under case number 578/19 </w:t>
      </w:r>
      <w:r w:rsidR="009E0C10" w:rsidRPr="006F0847">
        <w:rPr>
          <w:rFonts w:cs="Arial"/>
          <w:bCs/>
          <w:i/>
          <w:iCs/>
          <w:szCs w:val="22"/>
        </w:rPr>
        <w:t xml:space="preserve">and </w:t>
      </w:r>
      <w:r w:rsidR="008F63DB" w:rsidRPr="006F0847">
        <w:rPr>
          <w:rFonts w:cs="Arial"/>
          <w:bCs/>
          <w:i/>
          <w:iCs/>
          <w:szCs w:val="22"/>
        </w:rPr>
        <w:t xml:space="preserve">granted on </w:t>
      </w:r>
      <w:r w:rsidR="00BA78C0" w:rsidRPr="006F0847">
        <w:rPr>
          <w:rFonts w:cs="Arial"/>
          <w:bCs/>
          <w:i/>
          <w:iCs/>
          <w:szCs w:val="22"/>
        </w:rPr>
        <w:t>20 July 2022</w:t>
      </w:r>
      <w:r w:rsidR="008F63DB" w:rsidRPr="006F0847">
        <w:rPr>
          <w:rFonts w:cs="Arial"/>
          <w:bCs/>
          <w:i/>
          <w:iCs/>
          <w:szCs w:val="22"/>
        </w:rPr>
        <w:t xml:space="preserve">: </w:t>
      </w:r>
    </w:p>
    <w:p w14:paraId="39FC317F" w14:textId="17BE2299" w:rsidR="008F63DB" w:rsidRPr="006F0847" w:rsidRDefault="006F0847" w:rsidP="006F0847">
      <w:pPr>
        <w:widowControl w:val="0"/>
        <w:spacing w:after="480" w:line="480" w:lineRule="auto"/>
        <w:ind w:left="1440" w:hanging="1080"/>
        <w:jc w:val="both"/>
        <w:rPr>
          <w:rFonts w:cs="Arial"/>
          <w:bCs/>
          <w:i/>
          <w:iCs/>
          <w:szCs w:val="22"/>
        </w:rPr>
      </w:pPr>
      <w:r w:rsidRPr="00B10CCF">
        <w:rPr>
          <w:rFonts w:cs="Arial"/>
          <w:bCs/>
          <w:i/>
          <w:iCs/>
          <w:szCs w:val="22"/>
        </w:rPr>
        <w:t>2.1.</w:t>
      </w:r>
      <w:r w:rsidRPr="00B10CCF">
        <w:rPr>
          <w:rFonts w:cs="Arial"/>
          <w:bCs/>
          <w:i/>
          <w:iCs/>
          <w:szCs w:val="22"/>
        </w:rPr>
        <w:tab/>
      </w:r>
      <w:r w:rsidR="008F63DB" w:rsidRPr="006F0847">
        <w:rPr>
          <w:rFonts w:cs="Arial"/>
          <w:bCs/>
          <w:i/>
          <w:iCs/>
          <w:szCs w:val="22"/>
        </w:rPr>
        <w:t>The late filing of the condonation application brought by the applicant is condoned;</w:t>
      </w:r>
    </w:p>
    <w:p w14:paraId="15B1ACA3" w14:textId="7BD088F5" w:rsidR="008F63DB" w:rsidRPr="006F0847" w:rsidRDefault="006F0847" w:rsidP="006F0847">
      <w:pPr>
        <w:widowControl w:val="0"/>
        <w:spacing w:after="480" w:line="480" w:lineRule="auto"/>
        <w:ind w:left="1440" w:hanging="1080"/>
        <w:jc w:val="both"/>
        <w:rPr>
          <w:rFonts w:cs="Arial"/>
          <w:bCs/>
          <w:i/>
          <w:iCs/>
          <w:szCs w:val="22"/>
        </w:rPr>
      </w:pPr>
      <w:r w:rsidRPr="00B10CCF">
        <w:rPr>
          <w:rFonts w:cs="Arial"/>
          <w:bCs/>
          <w:i/>
          <w:iCs/>
          <w:szCs w:val="22"/>
        </w:rPr>
        <w:t>2.2.</w:t>
      </w:r>
      <w:r w:rsidRPr="00B10CCF">
        <w:rPr>
          <w:rFonts w:cs="Arial"/>
          <w:bCs/>
          <w:i/>
          <w:iCs/>
          <w:szCs w:val="22"/>
        </w:rPr>
        <w:tab/>
      </w:r>
      <w:r w:rsidR="008F63DB" w:rsidRPr="006F0847">
        <w:rPr>
          <w:rFonts w:cs="Arial"/>
          <w:bCs/>
          <w:i/>
          <w:iCs/>
          <w:szCs w:val="22"/>
        </w:rPr>
        <w:t>The default judgement granted on 9 October 2019 is rescinded</w:t>
      </w:r>
      <w:r w:rsidR="00BA78C0" w:rsidRPr="006F0847">
        <w:rPr>
          <w:rFonts w:cs="Arial"/>
          <w:bCs/>
          <w:i/>
          <w:iCs/>
          <w:szCs w:val="22"/>
        </w:rPr>
        <w:t>;</w:t>
      </w:r>
    </w:p>
    <w:p w14:paraId="166B8BBA" w14:textId="1A3D40BB" w:rsidR="00BA78C0" w:rsidRPr="006F0847" w:rsidRDefault="006F0847" w:rsidP="006F0847">
      <w:pPr>
        <w:widowControl w:val="0"/>
        <w:spacing w:after="480" w:line="480" w:lineRule="auto"/>
        <w:ind w:left="1440" w:hanging="1080"/>
        <w:jc w:val="both"/>
        <w:rPr>
          <w:rFonts w:cs="Arial"/>
          <w:bCs/>
          <w:i/>
          <w:iCs/>
          <w:szCs w:val="22"/>
        </w:rPr>
      </w:pPr>
      <w:r w:rsidRPr="00B10CCF">
        <w:rPr>
          <w:rFonts w:cs="Arial"/>
          <w:bCs/>
          <w:i/>
          <w:iCs/>
          <w:szCs w:val="22"/>
        </w:rPr>
        <w:t>2.3.</w:t>
      </w:r>
      <w:r w:rsidRPr="00B10CCF">
        <w:rPr>
          <w:rFonts w:cs="Arial"/>
          <w:bCs/>
          <w:i/>
          <w:iCs/>
          <w:szCs w:val="22"/>
        </w:rPr>
        <w:tab/>
      </w:r>
      <w:r w:rsidR="00BA78C0" w:rsidRPr="006F0847">
        <w:rPr>
          <w:rFonts w:cs="Arial"/>
          <w:bCs/>
          <w:i/>
          <w:iCs/>
          <w:szCs w:val="22"/>
        </w:rPr>
        <w:t>The applicant is ordered to file a plea within ten days of the date of this order;</w:t>
      </w:r>
    </w:p>
    <w:p w14:paraId="4DFCF616" w14:textId="35A5A6B0" w:rsidR="00BA78C0" w:rsidRPr="006F0847" w:rsidRDefault="006F0847" w:rsidP="006F0847">
      <w:pPr>
        <w:widowControl w:val="0"/>
        <w:spacing w:after="480" w:line="480" w:lineRule="auto"/>
        <w:ind w:left="1440" w:hanging="1080"/>
        <w:jc w:val="both"/>
        <w:rPr>
          <w:rFonts w:cs="Arial"/>
          <w:bCs/>
          <w:i/>
          <w:iCs/>
          <w:szCs w:val="22"/>
        </w:rPr>
      </w:pPr>
      <w:r w:rsidRPr="00B10CCF">
        <w:rPr>
          <w:rFonts w:cs="Arial"/>
          <w:bCs/>
          <w:i/>
          <w:iCs/>
          <w:szCs w:val="22"/>
        </w:rPr>
        <w:t>2.4.</w:t>
      </w:r>
      <w:r w:rsidRPr="00B10CCF">
        <w:rPr>
          <w:rFonts w:cs="Arial"/>
          <w:bCs/>
          <w:i/>
          <w:iCs/>
          <w:szCs w:val="22"/>
        </w:rPr>
        <w:tab/>
      </w:r>
      <w:r w:rsidR="00BA78C0" w:rsidRPr="006F0847">
        <w:rPr>
          <w:rFonts w:cs="Arial"/>
          <w:bCs/>
          <w:i/>
          <w:iCs/>
          <w:szCs w:val="22"/>
        </w:rPr>
        <w:t>The costs of the rescission application shall be costs in the cause of the action.</w:t>
      </w:r>
    </w:p>
    <w:p w14:paraId="7D74B297" w14:textId="448DAEBC" w:rsidR="00BA78C0" w:rsidRPr="006F0847" w:rsidRDefault="006F0847" w:rsidP="006F0847">
      <w:pPr>
        <w:widowControl w:val="0"/>
        <w:spacing w:after="480" w:line="480" w:lineRule="auto"/>
        <w:ind w:left="720" w:hanging="720"/>
        <w:jc w:val="both"/>
        <w:rPr>
          <w:rFonts w:cs="Arial"/>
          <w:bCs/>
          <w:i/>
          <w:iCs/>
          <w:szCs w:val="22"/>
        </w:rPr>
      </w:pPr>
      <w:r w:rsidRPr="00B10CCF">
        <w:rPr>
          <w:rFonts w:cs="Arial"/>
          <w:bCs/>
          <w:i/>
          <w:iCs/>
          <w:szCs w:val="22"/>
        </w:rPr>
        <w:t>3.</w:t>
      </w:r>
      <w:r w:rsidRPr="00B10CCF">
        <w:rPr>
          <w:rFonts w:cs="Arial"/>
          <w:bCs/>
          <w:i/>
          <w:iCs/>
          <w:szCs w:val="22"/>
        </w:rPr>
        <w:tab/>
      </w:r>
      <w:r w:rsidR="00BA78C0" w:rsidRPr="006F0847">
        <w:rPr>
          <w:rFonts w:cs="Arial"/>
          <w:bCs/>
          <w:i/>
          <w:iCs/>
          <w:szCs w:val="22"/>
        </w:rPr>
        <w:t>The costs of the appeal shall be paid by the respondent in the appeal.</w:t>
      </w:r>
    </w:p>
    <w:p w14:paraId="0A3A4650" w14:textId="7C005D2C" w:rsidR="008C724C" w:rsidRPr="00D65C4C" w:rsidRDefault="006F0847" w:rsidP="006F0847">
      <w:pPr>
        <w:keepNext/>
        <w:widowControl w:val="0"/>
        <w:tabs>
          <w:tab w:val="left" w:pos="567"/>
        </w:tabs>
        <w:spacing w:before="480" w:after="480" w:line="480" w:lineRule="auto"/>
        <w:jc w:val="both"/>
        <w:rPr>
          <w:rFonts w:cs="Arial"/>
          <w:bCs/>
          <w:szCs w:val="22"/>
          <w:u w:val="single"/>
        </w:rPr>
      </w:pPr>
      <w:r w:rsidRPr="00D65C4C">
        <w:rPr>
          <w:rFonts w:cs="Arial"/>
          <w:bCs/>
          <w:szCs w:val="22"/>
        </w:rPr>
        <w:lastRenderedPageBreak/>
        <w:t>[2]</w:t>
      </w:r>
      <w:r w:rsidRPr="00D65C4C">
        <w:rPr>
          <w:rFonts w:cs="Arial"/>
          <w:bCs/>
          <w:szCs w:val="22"/>
        </w:rPr>
        <w:tab/>
      </w:r>
      <w:r w:rsidR="003A6F23" w:rsidRPr="00D65C4C">
        <w:rPr>
          <w:rFonts w:cs="Arial"/>
          <w:bCs/>
          <w:szCs w:val="22"/>
        </w:rPr>
        <w:t xml:space="preserve">The reasons for the order </w:t>
      </w:r>
      <w:r w:rsidR="006145CE" w:rsidRPr="00D65C4C">
        <w:rPr>
          <w:rFonts w:cs="Arial"/>
          <w:bCs/>
          <w:szCs w:val="22"/>
        </w:rPr>
        <w:t>follow</w:t>
      </w:r>
      <w:r w:rsidR="003A6F23" w:rsidRPr="00D65C4C">
        <w:rPr>
          <w:rFonts w:cs="Arial"/>
          <w:bCs/>
          <w:szCs w:val="22"/>
        </w:rPr>
        <w:t xml:space="preserve"> below.</w:t>
      </w:r>
    </w:p>
    <w:p w14:paraId="4C8D7BAB" w14:textId="10182B1A" w:rsidR="003A6F23" w:rsidRPr="0009745A" w:rsidRDefault="003A6F23" w:rsidP="008C724C">
      <w:pPr>
        <w:keepNext/>
        <w:widowControl w:val="0"/>
        <w:spacing w:before="480" w:after="480" w:line="480" w:lineRule="auto"/>
        <w:jc w:val="both"/>
        <w:rPr>
          <w:rFonts w:cs="Arial"/>
          <w:bCs/>
          <w:szCs w:val="22"/>
          <w:u w:val="single"/>
        </w:rPr>
      </w:pPr>
      <w:r w:rsidRPr="0009745A">
        <w:rPr>
          <w:rFonts w:cs="Arial"/>
          <w:bCs/>
          <w:szCs w:val="22"/>
          <w:u w:val="single"/>
        </w:rPr>
        <w:t>Introduction</w:t>
      </w:r>
    </w:p>
    <w:p w14:paraId="714B900E" w14:textId="6C00F693" w:rsidR="00584A03" w:rsidRDefault="006F0847" w:rsidP="006F0847">
      <w:pPr>
        <w:keepNext/>
        <w:widowControl w:val="0"/>
        <w:tabs>
          <w:tab w:val="left" w:pos="567"/>
        </w:tabs>
        <w:spacing w:before="480" w:after="480" w:line="480" w:lineRule="auto"/>
        <w:jc w:val="both"/>
        <w:rPr>
          <w:rFonts w:cs="Arial"/>
          <w:bCs/>
          <w:szCs w:val="22"/>
        </w:rPr>
      </w:pPr>
      <w:r>
        <w:rPr>
          <w:rFonts w:cs="Arial"/>
          <w:bCs/>
          <w:szCs w:val="22"/>
        </w:rPr>
        <w:t>[3]</w:t>
      </w:r>
      <w:r>
        <w:rPr>
          <w:rFonts w:cs="Arial"/>
          <w:bCs/>
          <w:szCs w:val="22"/>
        </w:rPr>
        <w:tab/>
      </w:r>
      <w:r w:rsidR="00D61ABA">
        <w:rPr>
          <w:rFonts w:cs="Arial"/>
          <w:bCs/>
          <w:szCs w:val="22"/>
        </w:rPr>
        <w:t>This is an appeal</w:t>
      </w:r>
      <w:r w:rsidR="00584A03">
        <w:rPr>
          <w:rStyle w:val="FootnoteReference"/>
          <w:rFonts w:cs="Arial"/>
          <w:bCs/>
          <w:szCs w:val="22"/>
        </w:rPr>
        <w:footnoteReference w:id="1"/>
      </w:r>
      <w:r w:rsidR="00D61ABA">
        <w:rPr>
          <w:rFonts w:cs="Arial"/>
          <w:bCs/>
          <w:szCs w:val="22"/>
        </w:rPr>
        <w:t xml:space="preserve"> against a judgment by the Learned Additional Mag</w:t>
      </w:r>
      <w:r w:rsidR="00D61ABA" w:rsidRPr="00D61ABA">
        <w:rPr>
          <w:rFonts w:cs="Arial"/>
          <w:bCs/>
          <w:szCs w:val="22"/>
        </w:rPr>
        <w:t>istrate for the District of Eku</w:t>
      </w:r>
      <w:r w:rsidR="009E0C10">
        <w:rPr>
          <w:rFonts w:cs="Arial"/>
          <w:bCs/>
          <w:szCs w:val="22"/>
        </w:rPr>
        <w:t>r</w:t>
      </w:r>
      <w:r w:rsidR="00D61ABA" w:rsidRPr="00D61ABA">
        <w:rPr>
          <w:rFonts w:cs="Arial"/>
          <w:bCs/>
          <w:szCs w:val="22"/>
        </w:rPr>
        <w:t xml:space="preserve">huleni East </w:t>
      </w:r>
      <w:r w:rsidR="00D61ABA">
        <w:rPr>
          <w:rFonts w:cs="Arial"/>
          <w:bCs/>
          <w:szCs w:val="22"/>
        </w:rPr>
        <w:t>handed down on 20 July 2022</w:t>
      </w:r>
      <w:r w:rsidR="00471FAC">
        <w:rPr>
          <w:rFonts w:cs="Arial"/>
          <w:bCs/>
          <w:szCs w:val="22"/>
        </w:rPr>
        <w:t>, in which the Court dismissed an application for the rescission of a default judgment brought</w:t>
      </w:r>
      <w:r w:rsidR="00616BCF">
        <w:rPr>
          <w:rFonts w:cs="Arial"/>
          <w:bCs/>
          <w:szCs w:val="22"/>
        </w:rPr>
        <w:t xml:space="preserve"> in terms of Rule 49(1)</w:t>
      </w:r>
      <w:r w:rsidR="00471FAC">
        <w:rPr>
          <w:rFonts w:cs="Arial"/>
          <w:bCs/>
          <w:szCs w:val="22"/>
        </w:rPr>
        <w:t xml:space="preserve"> of the Rules of the Magistrates’ Court</w:t>
      </w:r>
      <w:r w:rsidR="008C724C">
        <w:t>.</w:t>
      </w:r>
    </w:p>
    <w:p w14:paraId="585020B7" w14:textId="2ED2E752" w:rsidR="00616BCF" w:rsidRDefault="006F0847" w:rsidP="006F0847">
      <w:pPr>
        <w:keepNext/>
        <w:widowControl w:val="0"/>
        <w:tabs>
          <w:tab w:val="left" w:pos="567"/>
        </w:tabs>
        <w:spacing w:before="480" w:after="480" w:line="480" w:lineRule="auto"/>
        <w:jc w:val="both"/>
        <w:rPr>
          <w:rFonts w:cs="Arial"/>
          <w:bCs/>
          <w:szCs w:val="22"/>
        </w:rPr>
      </w:pPr>
      <w:r>
        <w:rPr>
          <w:rFonts w:cs="Arial"/>
          <w:bCs/>
          <w:szCs w:val="22"/>
        </w:rPr>
        <w:t>[4]</w:t>
      </w:r>
      <w:r>
        <w:rPr>
          <w:rFonts w:cs="Arial"/>
          <w:bCs/>
          <w:szCs w:val="22"/>
        </w:rPr>
        <w:tab/>
      </w:r>
      <w:r w:rsidR="00616BCF">
        <w:rPr>
          <w:rFonts w:cs="Arial"/>
          <w:bCs/>
          <w:szCs w:val="22"/>
        </w:rPr>
        <w:t>The Rule</w:t>
      </w:r>
      <w:r w:rsidR="00CA1FB7">
        <w:rPr>
          <w:rStyle w:val="FootnoteReference"/>
          <w:rFonts w:cs="Arial"/>
          <w:bCs/>
          <w:szCs w:val="22"/>
        </w:rPr>
        <w:footnoteReference w:id="2"/>
      </w:r>
      <w:r w:rsidR="00616BCF">
        <w:rPr>
          <w:rFonts w:cs="Arial"/>
          <w:bCs/>
          <w:szCs w:val="22"/>
        </w:rPr>
        <w:t xml:space="preserve"> reads as follows:</w:t>
      </w:r>
    </w:p>
    <w:p w14:paraId="108B65E9" w14:textId="67183334" w:rsidR="00616BCF" w:rsidRPr="00616BCF" w:rsidRDefault="00616BCF" w:rsidP="00616BCF">
      <w:pPr>
        <w:keepNext/>
        <w:widowControl w:val="0"/>
        <w:spacing w:before="480" w:after="480" w:line="480" w:lineRule="auto"/>
        <w:ind w:left="720"/>
        <w:jc w:val="both"/>
        <w:rPr>
          <w:rFonts w:cs="Arial"/>
          <w:bCs/>
          <w:i/>
          <w:iCs/>
          <w:szCs w:val="22"/>
        </w:rPr>
      </w:pPr>
      <w:r w:rsidRPr="00616BCF">
        <w:rPr>
          <w:i/>
          <w:iCs/>
        </w:rPr>
        <w:t xml:space="preserve">(1) A party to proceedings in which a default judgment has been given, or any person affected by such judgment, </w:t>
      </w:r>
      <w:r w:rsidRPr="00913160">
        <w:rPr>
          <w:i/>
          <w:iCs/>
          <w:u w:val="single"/>
        </w:rPr>
        <w:t>may within 20 days</w:t>
      </w:r>
      <w:r w:rsidRPr="00616BCF">
        <w:rPr>
          <w:i/>
          <w:iCs/>
        </w:rPr>
        <w:t xml:space="preserve"> after obtaining </w:t>
      </w:r>
      <w:r w:rsidRPr="00471FAC">
        <w:rPr>
          <w:i/>
          <w:iCs/>
          <w:u w:val="single"/>
        </w:rPr>
        <w:t>knowledge</w:t>
      </w:r>
      <w:r w:rsidRPr="00616BCF">
        <w:rPr>
          <w:i/>
          <w:iCs/>
        </w:rPr>
        <w:t xml:space="preserve"> of the judgment serve and file an application to court, on notice to all parties to the proceedings, for a </w:t>
      </w:r>
      <w:r w:rsidRPr="00471FAC">
        <w:rPr>
          <w:i/>
          <w:iCs/>
          <w:u w:val="single"/>
        </w:rPr>
        <w:t>rescission</w:t>
      </w:r>
      <w:r w:rsidRPr="00616BCF">
        <w:rPr>
          <w:i/>
          <w:iCs/>
        </w:rPr>
        <w:t xml:space="preserve"> or variation of the judgment and the court may, upon </w:t>
      </w:r>
      <w:r w:rsidRPr="00913160">
        <w:rPr>
          <w:i/>
          <w:iCs/>
          <w:u w:val="single"/>
        </w:rPr>
        <w:t>good cause</w:t>
      </w:r>
      <w:r w:rsidRPr="00616BCF">
        <w:rPr>
          <w:i/>
          <w:iCs/>
        </w:rPr>
        <w:t xml:space="preserve"> shown, or if it is satisfied that there is </w:t>
      </w:r>
      <w:r w:rsidRPr="00913160">
        <w:rPr>
          <w:i/>
          <w:iCs/>
        </w:rPr>
        <w:t>good reason</w:t>
      </w:r>
      <w:r w:rsidRPr="00616BCF">
        <w:rPr>
          <w:i/>
          <w:iCs/>
        </w:rPr>
        <w:t xml:space="preserve"> to do so, rescind or vary the default judgment on such terms as it deems fit: Provided that the 20 days' period shall not be applicable to a request for rescission or variation of judgment brought in terms of sub-rule (5) or (5A).</w:t>
      </w:r>
      <w:r w:rsidR="00471FAC" w:rsidRPr="00471FAC">
        <w:t xml:space="preserve"> [emphasis added]</w:t>
      </w:r>
    </w:p>
    <w:p w14:paraId="59C80CD5" w14:textId="018D8FD1" w:rsidR="00913160" w:rsidRPr="00913160" w:rsidRDefault="006F0847" w:rsidP="006F0847">
      <w:pPr>
        <w:keepNext/>
        <w:widowControl w:val="0"/>
        <w:tabs>
          <w:tab w:val="left" w:pos="567"/>
        </w:tabs>
        <w:spacing w:before="480" w:after="480" w:line="480" w:lineRule="auto"/>
        <w:jc w:val="both"/>
        <w:rPr>
          <w:rFonts w:cs="Arial"/>
          <w:bCs/>
          <w:color w:val="000000" w:themeColor="text1"/>
          <w:szCs w:val="22"/>
        </w:rPr>
      </w:pPr>
      <w:r w:rsidRPr="00913160">
        <w:rPr>
          <w:rFonts w:cs="Arial"/>
          <w:bCs/>
          <w:szCs w:val="22"/>
        </w:rPr>
        <w:t>[5]</w:t>
      </w:r>
      <w:r w:rsidRPr="00913160">
        <w:rPr>
          <w:rFonts w:cs="Arial"/>
          <w:bCs/>
          <w:szCs w:val="22"/>
        </w:rPr>
        <w:tab/>
      </w:r>
      <w:r w:rsidR="00913160" w:rsidRPr="00913160">
        <w:rPr>
          <w:rFonts w:cs="Arial"/>
          <w:bCs/>
          <w:szCs w:val="22"/>
        </w:rPr>
        <w:t>The concept of ‘good cause’ or ‘sufficient cause’ has received the attention of the Courts over many years. I</w:t>
      </w:r>
      <w:r w:rsidR="00913160" w:rsidRPr="00913160">
        <w:rPr>
          <w:rFonts w:cs="Arial"/>
          <w:bCs/>
          <w:color w:val="000000" w:themeColor="text1"/>
          <w:szCs w:val="22"/>
        </w:rPr>
        <w:t xml:space="preserve">n </w:t>
      </w:r>
      <w:r w:rsidR="00913160" w:rsidRPr="00913160">
        <w:rPr>
          <w:rFonts w:cs="Arial"/>
          <w:i/>
          <w:iCs/>
          <w:color w:val="000000" w:themeColor="text1"/>
          <w:szCs w:val="22"/>
          <w:shd w:val="clear" w:color="auto" w:fill="FFFFFF"/>
        </w:rPr>
        <w:t>Grant v Plumbers (Pty) Ltd</w:t>
      </w:r>
      <w:r w:rsidR="00913160" w:rsidRPr="005D2B93">
        <w:rPr>
          <w:rStyle w:val="FootnoteReference"/>
          <w:rFonts w:cs="Arial"/>
          <w:i/>
          <w:iCs/>
          <w:color w:val="000000" w:themeColor="text1"/>
          <w:szCs w:val="22"/>
          <w:shd w:val="clear" w:color="auto" w:fill="FFFFFF"/>
        </w:rPr>
        <w:footnoteReference w:id="3"/>
      </w:r>
      <w:r w:rsidR="00913160" w:rsidRPr="00913160">
        <w:rPr>
          <w:rFonts w:cs="Arial"/>
          <w:color w:val="000000" w:themeColor="text1"/>
          <w:szCs w:val="22"/>
          <w:shd w:val="clear" w:color="auto" w:fill="FFFFFF"/>
        </w:rPr>
        <w:t> Brink J was dealing with the equivalent Rule</w:t>
      </w:r>
      <w:r w:rsidR="00913160" w:rsidRPr="005D2B93">
        <w:rPr>
          <w:rStyle w:val="FootnoteReference"/>
          <w:rFonts w:cs="Arial"/>
          <w:color w:val="000000" w:themeColor="text1"/>
          <w:szCs w:val="22"/>
          <w:shd w:val="clear" w:color="auto" w:fill="FFFFFF"/>
        </w:rPr>
        <w:footnoteReference w:id="4"/>
      </w:r>
      <w:r w:rsidR="00913160" w:rsidRPr="00913160">
        <w:rPr>
          <w:rFonts w:cs="Arial"/>
          <w:color w:val="000000" w:themeColor="text1"/>
          <w:szCs w:val="22"/>
          <w:shd w:val="clear" w:color="auto" w:fill="FFFFFF"/>
        </w:rPr>
        <w:t xml:space="preserve"> </w:t>
      </w:r>
      <w:r w:rsidR="00913160" w:rsidRPr="00913160">
        <w:rPr>
          <w:rFonts w:cs="Arial"/>
          <w:color w:val="000000" w:themeColor="text1"/>
          <w:szCs w:val="22"/>
          <w:shd w:val="clear" w:color="auto" w:fill="FFFFFF"/>
        </w:rPr>
        <w:lastRenderedPageBreak/>
        <w:t>in the Free State Division of the High Court. He said:</w:t>
      </w:r>
    </w:p>
    <w:p w14:paraId="6AA11B12" w14:textId="77777777" w:rsidR="00913160" w:rsidRPr="005D2B93" w:rsidRDefault="00913160" w:rsidP="00913160">
      <w:pPr>
        <w:pStyle w:val="lrpara"/>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5D2B93">
        <w:rPr>
          <w:rFonts w:ascii="Arial" w:hAnsi="Arial" w:cs="Arial"/>
          <w:i/>
          <w:iCs/>
          <w:color w:val="000000" w:themeColor="text1"/>
          <w:sz w:val="22"/>
          <w:szCs w:val="22"/>
        </w:rPr>
        <w:t>“Having regard to the decisions above referred to,</w:t>
      </w:r>
      <w:r w:rsidRPr="005D2B93">
        <w:rPr>
          <w:rStyle w:val="FootnoteReference"/>
          <w:rFonts w:ascii="Arial" w:hAnsi="Arial" w:cs="Arial"/>
          <w:i/>
          <w:iCs/>
          <w:color w:val="000000" w:themeColor="text1"/>
          <w:sz w:val="22"/>
          <w:szCs w:val="22"/>
        </w:rPr>
        <w:footnoteReference w:id="5"/>
      </w:r>
      <w:r w:rsidRPr="005D2B93">
        <w:rPr>
          <w:rFonts w:ascii="Arial" w:hAnsi="Arial" w:cs="Arial"/>
          <w:i/>
          <w:iCs/>
          <w:color w:val="000000" w:themeColor="text1"/>
          <w:sz w:val="22"/>
          <w:szCs w:val="22"/>
        </w:rPr>
        <w:t xml:space="preserve"> I am of opinion that an applicant who claims relief under Rule 43 should comply with the following requirements:</w:t>
      </w:r>
    </w:p>
    <w:p w14:paraId="41987D9F" w14:textId="77777777" w:rsidR="00913160" w:rsidRPr="005D2B93" w:rsidRDefault="00913160" w:rsidP="00913160">
      <w:pPr>
        <w:pStyle w:val="NormalWeb"/>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5D2B93">
        <w:rPr>
          <w:rFonts w:ascii="Arial" w:hAnsi="Arial" w:cs="Arial"/>
          <w:i/>
          <w:iCs/>
          <w:color w:val="000000" w:themeColor="text1"/>
          <w:sz w:val="22"/>
          <w:szCs w:val="22"/>
        </w:rPr>
        <w:t xml:space="preserve">(a) He must give a </w:t>
      </w:r>
      <w:r w:rsidRPr="005D2B93">
        <w:rPr>
          <w:rFonts w:ascii="Arial" w:hAnsi="Arial" w:cs="Arial"/>
          <w:i/>
          <w:iCs/>
          <w:color w:val="000000" w:themeColor="text1"/>
          <w:sz w:val="22"/>
          <w:szCs w:val="22"/>
          <w:u w:val="single"/>
        </w:rPr>
        <w:t>reasonable explanation of his default</w:t>
      </w:r>
      <w:r w:rsidRPr="005D2B93">
        <w:rPr>
          <w:rFonts w:ascii="Arial" w:hAnsi="Arial" w:cs="Arial"/>
          <w:i/>
          <w:iCs/>
          <w:color w:val="000000" w:themeColor="text1"/>
          <w:sz w:val="22"/>
          <w:szCs w:val="22"/>
        </w:rPr>
        <w:t>. If it appears that his default was wilful or that it was due to gross negligence the Court should not come to his assistance.</w:t>
      </w:r>
    </w:p>
    <w:p w14:paraId="12180ED0" w14:textId="77777777" w:rsidR="00913160" w:rsidRPr="005D2B93" w:rsidRDefault="00913160" w:rsidP="00913160">
      <w:pPr>
        <w:pStyle w:val="NormalWeb"/>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5D2B93">
        <w:rPr>
          <w:rFonts w:ascii="Arial" w:hAnsi="Arial" w:cs="Arial"/>
          <w:i/>
          <w:iCs/>
          <w:color w:val="000000" w:themeColor="text1"/>
          <w:sz w:val="22"/>
          <w:szCs w:val="22"/>
        </w:rPr>
        <w:t>(b) His application must be </w:t>
      </w:r>
      <w:r w:rsidRPr="005D2B93">
        <w:rPr>
          <w:rFonts w:ascii="Arial" w:hAnsi="Arial" w:cs="Arial"/>
          <w:i/>
          <w:iCs/>
          <w:color w:val="000000" w:themeColor="text1"/>
          <w:sz w:val="22"/>
          <w:szCs w:val="22"/>
          <w:u w:val="single"/>
        </w:rPr>
        <w:t>bona fide</w:t>
      </w:r>
      <w:r w:rsidRPr="005D2B93">
        <w:rPr>
          <w:rFonts w:ascii="Arial" w:hAnsi="Arial" w:cs="Arial"/>
          <w:i/>
          <w:iCs/>
          <w:color w:val="000000" w:themeColor="text1"/>
          <w:sz w:val="22"/>
          <w:szCs w:val="22"/>
        </w:rPr>
        <w:t> and not made with the intention of merely delaying plaintiff's claim.</w:t>
      </w:r>
    </w:p>
    <w:p w14:paraId="3FFCF111" w14:textId="77777777" w:rsidR="00913160" w:rsidRPr="005D2B93" w:rsidRDefault="00913160" w:rsidP="00913160">
      <w:pPr>
        <w:pStyle w:val="NormalWeb"/>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5D2B93">
        <w:rPr>
          <w:rFonts w:ascii="Arial" w:hAnsi="Arial" w:cs="Arial"/>
          <w:i/>
          <w:iCs/>
          <w:color w:val="000000" w:themeColor="text1"/>
          <w:sz w:val="22"/>
          <w:szCs w:val="22"/>
        </w:rPr>
        <w:t xml:space="preserve">(c) He must show that he has </w:t>
      </w:r>
      <w:r w:rsidRPr="005D2B93">
        <w:rPr>
          <w:rFonts w:ascii="Arial" w:hAnsi="Arial" w:cs="Arial"/>
          <w:i/>
          <w:iCs/>
          <w:color w:val="000000" w:themeColor="text1"/>
          <w:sz w:val="22"/>
          <w:szCs w:val="22"/>
          <w:u w:val="single"/>
        </w:rPr>
        <w:t>a bona fide defence</w:t>
      </w:r>
      <w:r w:rsidRPr="005D2B93">
        <w:rPr>
          <w:rFonts w:ascii="Arial" w:hAnsi="Arial" w:cs="Arial"/>
          <w:i/>
          <w:iCs/>
          <w:color w:val="000000" w:themeColor="text1"/>
          <w:sz w:val="22"/>
          <w:szCs w:val="22"/>
        </w:rPr>
        <w:t xml:space="preserve"> to plaintiff's claim. It is sufficient if he makes out a </w:t>
      </w:r>
      <w:r w:rsidRPr="005D2B93">
        <w:rPr>
          <w:rFonts w:ascii="Arial" w:hAnsi="Arial" w:cs="Arial"/>
          <w:i/>
          <w:iCs/>
          <w:color w:val="000000" w:themeColor="text1"/>
          <w:sz w:val="22"/>
          <w:szCs w:val="22"/>
          <w:u w:val="single"/>
        </w:rPr>
        <w:t>prima facie defence</w:t>
      </w:r>
      <w:r w:rsidRPr="005D2B93">
        <w:rPr>
          <w:rFonts w:ascii="Arial" w:hAnsi="Arial" w:cs="Arial"/>
          <w:i/>
          <w:iCs/>
          <w:color w:val="000000" w:themeColor="text1"/>
          <w:sz w:val="22"/>
          <w:szCs w:val="22"/>
        </w:rPr>
        <w:t xml:space="preserve"> in the sense of setting out averments which, if established at the trial, would entitle him to the relief asked for. He need not deal fully with the merits of the case and produce evidence that the probabilities are actually in his favour. (Brown v Chapman (1938 TPD 320 at p. 325).”</w:t>
      </w:r>
      <w:r w:rsidRPr="005D2B93">
        <w:rPr>
          <w:rFonts w:ascii="Arial" w:hAnsi="Arial" w:cs="Arial"/>
          <w:color w:val="000000" w:themeColor="text1"/>
          <w:sz w:val="22"/>
          <w:szCs w:val="22"/>
        </w:rPr>
        <w:t xml:space="preserve"> [emphasis added]</w:t>
      </w:r>
    </w:p>
    <w:p w14:paraId="65B8F928" w14:textId="08A01D38" w:rsidR="00913160" w:rsidRPr="005D2B93" w:rsidRDefault="006F0847" w:rsidP="006F0847">
      <w:pPr>
        <w:keepNext/>
        <w:widowControl w:val="0"/>
        <w:tabs>
          <w:tab w:val="left" w:pos="567"/>
        </w:tabs>
        <w:spacing w:before="480" w:after="480" w:line="480" w:lineRule="auto"/>
        <w:jc w:val="both"/>
        <w:rPr>
          <w:rFonts w:cs="Arial"/>
          <w:bCs/>
          <w:color w:val="000000" w:themeColor="text1"/>
          <w:szCs w:val="22"/>
        </w:rPr>
      </w:pPr>
      <w:r w:rsidRPr="005D2B93">
        <w:rPr>
          <w:rFonts w:cs="Arial"/>
          <w:bCs/>
          <w:szCs w:val="22"/>
        </w:rPr>
        <w:t>[6]</w:t>
      </w:r>
      <w:r w:rsidRPr="005D2B93">
        <w:rPr>
          <w:rFonts w:cs="Arial"/>
          <w:bCs/>
          <w:szCs w:val="22"/>
        </w:rPr>
        <w:tab/>
      </w:r>
      <w:r w:rsidR="00913160" w:rsidRPr="005D2B93">
        <w:rPr>
          <w:rFonts w:cs="Arial"/>
          <w:bCs/>
          <w:color w:val="000000" w:themeColor="text1"/>
          <w:szCs w:val="22"/>
        </w:rPr>
        <w:t xml:space="preserve">One of the cases referred to by Brink J is </w:t>
      </w:r>
      <w:r w:rsidR="00913160" w:rsidRPr="005D2B93">
        <w:rPr>
          <w:rFonts w:cs="Arial"/>
          <w:i/>
          <w:iCs/>
          <w:color w:val="000000" w:themeColor="text1"/>
          <w:szCs w:val="22"/>
        </w:rPr>
        <w:t xml:space="preserve">Cairns' Executors v </w:t>
      </w:r>
      <w:proofErr w:type="spellStart"/>
      <w:r w:rsidR="00913160" w:rsidRPr="005D2B93">
        <w:rPr>
          <w:rFonts w:cs="Arial"/>
          <w:i/>
          <w:iCs/>
          <w:color w:val="000000" w:themeColor="text1"/>
          <w:szCs w:val="22"/>
        </w:rPr>
        <w:t>Gaarn</w:t>
      </w:r>
      <w:proofErr w:type="spellEnd"/>
      <w:r w:rsidR="00913160" w:rsidRPr="005D2B93">
        <w:rPr>
          <w:rStyle w:val="FootnoteReference"/>
          <w:rFonts w:cs="Arial"/>
          <w:color w:val="000000" w:themeColor="text1"/>
          <w:szCs w:val="22"/>
        </w:rPr>
        <w:footnoteReference w:id="6"/>
      </w:r>
      <w:r w:rsidR="00913160" w:rsidRPr="005D2B93">
        <w:rPr>
          <w:rFonts w:cs="Arial"/>
          <w:i/>
          <w:iCs/>
          <w:color w:val="000000" w:themeColor="text1"/>
          <w:szCs w:val="22"/>
        </w:rPr>
        <w:t xml:space="preserve"> </w:t>
      </w:r>
      <w:r w:rsidR="00913160" w:rsidRPr="005D2B93">
        <w:rPr>
          <w:rFonts w:cs="Arial"/>
          <w:color w:val="000000" w:themeColor="text1"/>
          <w:szCs w:val="22"/>
        </w:rPr>
        <w:t xml:space="preserve">where Innes JA </w:t>
      </w:r>
      <w:r w:rsidR="00913160" w:rsidRPr="005D2B93">
        <w:rPr>
          <w:rFonts w:cs="Arial"/>
          <w:color w:val="000000" w:themeColor="text1"/>
          <w:szCs w:val="22"/>
        </w:rPr>
        <w:lastRenderedPageBreak/>
        <w:t>(as he then was) said:</w:t>
      </w:r>
    </w:p>
    <w:p w14:paraId="043B6786" w14:textId="77777777" w:rsidR="00913160" w:rsidRPr="005D2B93" w:rsidRDefault="00913160" w:rsidP="00913160">
      <w:pPr>
        <w:keepNext/>
        <w:widowControl w:val="0"/>
        <w:spacing w:before="120" w:after="120" w:line="360" w:lineRule="auto"/>
        <w:ind w:left="1440"/>
        <w:jc w:val="both"/>
        <w:rPr>
          <w:rFonts w:cs="Arial"/>
          <w:bCs/>
          <w:i/>
          <w:iCs/>
          <w:color w:val="000000" w:themeColor="text1"/>
          <w:szCs w:val="22"/>
        </w:rPr>
      </w:pPr>
      <w:r w:rsidRPr="005D2B93">
        <w:rPr>
          <w:rFonts w:cs="Arial"/>
          <w:i/>
          <w:iCs/>
          <w:color w:val="000000" w:themeColor="text1"/>
          <w:szCs w:val="22"/>
        </w:rPr>
        <w:t xml:space="preserve">“It would be quite impossible to frame an exhaustive definition of what would constitute sufficient cause to justify the grant of indulgence. Any attempt to do so would merely hamper the exercise of a discretion which the Rules have purposely made very extensive and which it is highly desirable not to abridge. All that can be said is that the applicant must show, in the words of COTTON, L.J. (In re Manchester Economic Building Society (24 Ch. D. at p. 491)) </w:t>
      </w:r>
      <w:r w:rsidRPr="005D2B93">
        <w:rPr>
          <w:rFonts w:cs="Arial"/>
          <w:i/>
          <w:iCs/>
          <w:color w:val="000000" w:themeColor="text1"/>
          <w:szCs w:val="22"/>
          <w:u w:val="single"/>
        </w:rPr>
        <w:t>'something which entitles him to ask for the indulgence of the Court'.</w:t>
      </w:r>
      <w:r w:rsidRPr="005D2B93">
        <w:rPr>
          <w:rFonts w:cs="Arial"/>
          <w:i/>
          <w:iCs/>
          <w:color w:val="000000" w:themeColor="text1"/>
          <w:szCs w:val="22"/>
        </w:rPr>
        <w:t xml:space="preserve"> What that something is must be decided upon the circumstances of each particular application.” </w:t>
      </w:r>
      <w:r w:rsidRPr="005D2B93">
        <w:rPr>
          <w:rFonts w:cs="Arial"/>
          <w:color w:val="000000" w:themeColor="text1"/>
          <w:szCs w:val="22"/>
        </w:rPr>
        <w:t>[emphasis added]</w:t>
      </w:r>
    </w:p>
    <w:p w14:paraId="031252D1" w14:textId="21244CB9" w:rsidR="00913160" w:rsidRDefault="006F0847" w:rsidP="006F0847">
      <w:pPr>
        <w:keepNext/>
        <w:widowControl w:val="0"/>
        <w:tabs>
          <w:tab w:val="left" w:pos="567"/>
        </w:tabs>
        <w:spacing w:before="480" w:after="480" w:line="480" w:lineRule="auto"/>
        <w:jc w:val="both"/>
        <w:rPr>
          <w:rFonts w:cs="Arial"/>
          <w:bCs/>
          <w:szCs w:val="22"/>
        </w:rPr>
      </w:pPr>
      <w:r>
        <w:rPr>
          <w:rFonts w:cs="Arial"/>
          <w:bCs/>
          <w:szCs w:val="22"/>
        </w:rPr>
        <w:t>[7]</w:t>
      </w:r>
      <w:r>
        <w:rPr>
          <w:rFonts w:cs="Arial"/>
          <w:bCs/>
          <w:szCs w:val="22"/>
        </w:rPr>
        <w:tab/>
      </w:r>
      <w:r w:rsidR="00913160">
        <w:rPr>
          <w:rFonts w:cs="Arial"/>
          <w:bCs/>
          <w:szCs w:val="22"/>
        </w:rPr>
        <w:t>Good cause includes, but is not limited to the existence of a substantial defence.</w:t>
      </w:r>
      <w:r w:rsidR="00913160">
        <w:rPr>
          <w:rStyle w:val="FootnoteReference"/>
          <w:rFonts w:cs="Arial"/>
          <w:bCs/>
          <w:szCs w:val="22"/>
        </w:rPr>
        <w:footnoteReference w:id="7"/>
      </w:r>
      <w:r w:rsidR="00351809">
        <w:rPr>
          <w:rFonts w:cs="Arial"/>
          <w:bCs/>
          <w:szCs w:val="22"/>
        </w:rPr>
        <w:t xml:space="preserve"> It is therefore necessary to determine whether there is a satisfactory explanation of the delay, and whether the appellant raised a bona fide and reasonable defence.</w:t>
      </w:r>
    </w:p>
    <w:p w14:paraId="04D77C4B" w14:textId="75F3B2EE" w:rsidR="00913160" w:rsidRDefault="006F0847" w:rsidP="006F0847">
      <w:pPr>
        <w:keepNext/>
        <w:widowControl w:val="0"/>
        <w:tabs>
          <w:tab w:val="left" w:pos="567"/>
        </w:tabs>
        <w:spacing w:before="480" w:after="480" w:line="480" w:lineRule="auto"/>
        <w:jc w:val="both"/>
        <w:rPr>
          <w:rFonts w:cs="Arial"/>
          <w:bCs/>
          <w:szCs w:val="22"/>
        </w:rPr>
      </w:pPr>
      <w:r>
        <w:rPr>
          <w:rFonts w:cs="Arial"/>
          <w:bCs/>
          <w:szCs w:val="22"/>
        </w:rPr>
        <w:t>[8]</w:t>
      </w:r>
      <w:r>
        <w:rPr>
          <w:rFonts w:cs="Arial"/>
          <w:bCs/>
          <w:szCs w:val="22"/>
        </w:rPr>
        <w:tab/>
      </w:r>
      <w:r w:rsidR="00913160">
        <w:rPr>
          <w:rFonts w:cs="Arial"/>
          <w:bCs/>
          <w:szCs w:val="22"/>
        </w:rPr>
        <w:t>The application for rescission was brought after the expiry of the 20—day period in Rule 49 and the appellant also applied for condonation</w:t>
      </w:r>
      <w:r w:rsidR="00101EE2">
        <w:rPr>
          <w:rFonts w:cs="Arial"/>
          <w:bCs/>
          <w:szCs w:val="22"/>
        </w:rPr>
        <w:t>.</w:t>
      </w:r>
      <w:r w:rsidR="000D1E55">
        <w:rPr>
          <w:rFonts w:cs="Arial"/>
          <w:bCs/>
          <w:szCs w:val="22"/>
        </w:rPr>
        <w:t xml:space="preserve"> The applicant must show sufficient cause and it has been held that in that in this context condonation requires a reasonable explanation </w:t>
      </w:r>
      <w:r w:rsidR="000D1E55">
        <w:rPr>
          <w:rFonts w:cs="Arial"/>
          <w:bCs/>
          <w:szCs w:val="22"/>
        </w:rPr>
        <w:lastRenderedPageBreak/>
        <w:t>for the delay</w:t>
      </w:r>
      <w:r w:rsidR="000D1E55">
        <w:rPr>
          <w:rStyle w:val="FootnoteReference"/>
          <w:rFonts w:cs="Arial"/>
          <w:bCs/>
          <w:szCs w:val="22"/>
        </w:rPr>
        <w:footnoteReference w:id="8"/>
      </w:r>
      <w:r w:rsidR="000D1E55">
        <w:rPr>
          <w:rFonts w:cs="Arial"/>
          <w:bCs/>
          <w:szCs w:val="22"/>
        </w:rPr>
        <w:t xml:space="preserve"> and that a good defence need not be shown</w:t>
      </w:r>
      <w:r w:rsidR="00351809">
        <w:rPr>
          <w:rFonts w:cs="Arial"/>
          <w:bCs/>
          <w:szCs w:val="22"/>
        </w:rPr>
        <w:t xml:space="preserve"> in the context of Rule 60.</w:t>
      </w:r>
      <w:r w:rsidR="00351809">
        <w:rPr>
          <w:rStyle w:val="FootnoteReference"/>
          <w:rFonts w:cs="Arial"/>
          <w:bCs/>
          <w:szCs w:val="22"/>
        </w:rPr>
        <w:footnoteReference w:id="9"/>
      </w:r>
    </w:p>
    <w:p w14:paraId="2F24E4A9" w14:textId="47ED4EC5" w:rsidR="00CA1FB7" w:rsidRDefault="006F0847" w:rsidP="006F0847">
      <w:pPr>
        <w:keepNext/>
        <w:widowControl w:val="0"/>
        <w:tabs>
          <w:tab w:val="left" w:pos="567"/>
        </w:tabs>
        <w:spacing w:before="480" w:after="480" w:line="480" w:lineRule="auto"/>
        <w:jc w:val="both"/>
        <w:rPr>
          <w:rFonts w:cs="Arial"/>
          <w:bCs/>
          <w:szCs w:val="22"/>
        </w:rPr>
      </w:pPr>
      <w:r>
        <w:rPr>
          <w:rFonts w:cs="Arial"/>
          <w:bCs/>
          <w:szCs w:val="22"/>
        </w:rPr>
        <w:t>[9]</w:t>
      </w:r>
      <w:r>
        <w:rPr>
          <w:rFonts w:cs="Arial"/>
          <w:bCs/>
          <w:szCs w:val="22"/>
        </w:rPr>
        <w:tab/>
      </w:r>
      <w:r w:rsidR="00CA1FB7">
        <w:rPr>
          <w:rFonts w:cs="Arial"/>
          <w:bCs/>
          <w:szCs w:val="22"/>
        </w:rPr>
        <w:t xml:space="preserve">The application for </w:t>
      </w:r>
      <w:proofErr w:type="spellStart"/>
      <w:r w:rsidR="00CA1FB7">
        <w:rPr>
          <w:rFonts w:cs="Arial"/>
          <w:bCs/>
          <w:szCs w:val="22"/>
        </w:rPr>
        <w:t>condonation</w:t>
      </w:r>
      <w:proofErr w:type="spellEnd"/>
      <w:r w:rsidR="00CA1FB7">
        <w:rPr>
          <w:rFonts w:cs="Arial"/>
          <w:bCs/>
          <w:szCs w:val="22"/>
        </w:rPr>
        <w:t xml:space="preserve"> and rescission was successfully opposed but the respondent chose not to oppose the appeal.</w:t>
      </w:r>
    </w:p>
    <w:p w14:paraId="0BA28B0A" w14:textId="0E8485E8" w:rsidR="00CA1FB7" w:rsidRPr="00CA1FB7" w:rsidRDefault="00CA1FB7" w:rsidP="008C724C">
      <w:pPr>
        <w:keepNext/>
        <w:widowControl w:val="0"/>
        <w:spacing w:before="480" w:after="480" w:line="480" w:lineRule="auto"/>
        <w:jc w:val="both"/>
        <w:rPr>
          <w:rFonts w:cs="Arial"/>
          <w:bCs/>
          <w:szCs w:val="22"/>
          <w:u w:val="single"/>
        </w:rPr>
      </w:pPr>
      <w:r w:rsidRPr="00CA1FB7">
        <w:rPr>
          <w:rFonts w:cs="Arial"/>
          <w:bCs/>
          <w:szCs w:val="22"/>
          <w:u w:val="single"/>
        </w:rPr>
        <w:t>The facts</w:t>
      </w:r>
    </w:p>
    <w:p w14:paraId="508CCD3B" w14:textId="1762E4B9" w:rsidR="002C2AC0" w:rsidRDefault="006F0847" w:rsidP="006F0847">
      <w:pPr>
        <w:keepNext/>
        <w:widowControl w:val="0"/>
        <w:tabs>
          <w:tab w:val="left" w:pos="567"/>
        </w:tabs>
        <w:spacing w:before="480" w:after="480" w:line="480" w:lineRule="auto"/>
        <w:jc w:val="both"/>
        <w:rPr>
          <w:rFonts w:cs="Arial"/>
          <w:bCs/>
          <w:szCs w:val="22"/>
        </w:rPr>
      </w:pPr>
      <w:r>
        <w:rPr>
          <w:rFonts w:cs="Arial"/>
          <w:bCs/>
          <w:szCs w:val="22"/>
        </w:rPr>
        <w:t>[10]</w:t>
      </w:r>
      <w:r>
        <w:rPr>
          <w:rFonts w:cs="Arial"/>
          <w:bCs/>
          <w:szCs w:val="22"/>
        </w:rPr>
        <w:tab/>
      </w:r>
      <w:r w:rsidR="00E842CE" w:rsidRPr="00D61ABA">
        <w:rPr>
          <w:rFonts w:cs="Arial"/>
          <w:bCs/>
          <w:szCs w:val="22"/>
        </w:rPr>
        <w:t xml:space="preserve">On </w:t>
      </w:r>
      <w:r w:rsidR="005503A8" w:rsidRPr="00D61ABA">
        <w:rPr>
          <w:rFonts w:cs="Arial"/>
          <w:bCs/>
          <w:szCs w:val="22"/>
        </w:rPr>
        <w:t>11 January 2019</w:t>
      </w:r>
      <w:r w:rsidR="00E842CE" w:rsidRPr="00D61ABA">
        <w:rPr>
          <w:rFonts w:cs="Arial"/>
          <w:bCs/>
          <w:szCs w:val="22"/>
        </w:rPr>
        <w:t xml:space="preserve"> the appellant and the respond</w:t>
      </w:r>
      <w:r w:rsidR="00E842CE">
        <w:rPr>
          <w:rFonts w:cs="Arial"/>
          <w:bCs/>
          <w:szCs w:val="22"/>
        </w:rPr>
        <w:t xml:space="preserve">ent were involved in a road accident </w:t>
      </w:r>
      <w:r w:rsidR="009251F6">
        <w:rPr>
          <w:rFonts w:cs="Arial"/>
          <w:bCs/>
          <w:szCs w:val="22"/>
        </w:rPr>
        <w:t>in</w:t>
      </w:r>
      <w:r w:rsidR="005503A8">
        <w:rPr>
          <w:rFonts w:cs="Arial"/>
          <w:bCs/>
          <w:szCs w:val="22"/>
        </w:rPr>
        <w:t xml:space="preserve"> </w:t>
      </w:r>
      <w:proofErr w:type="gramStart"/>
      <w:r w:rsidR="005503A8">
        <w:rPr>
          <w:rFonts w:cs="Arial"/>
          <w:bCs/>
          <w:szCs w:val="22"/>
        </w:rPr>
        <w:t>Springs</w:t>
      </w:r>
      <w:proofErr w:type="gramEnd"/>
      <w:r w:rsidR="005E40A0" w:rsidRPr="005503A8">
        <w:rPr>
          <w:rFonts w:cs="Arial"/>
          <w:bCs/>
          <w:szCs w:val="22"/>
        </w:rPr>
        <w:t xml:space="preserve">. </w:t>
      </w:r>
      <w:r w:rsidR="00B10CCF">
        <w:rPr>
          <w:rFonts w:cs="Arial"/>
          <w:bCs/>
          <w:szCs w:val="22"/>
        </w:rPr>
        <w:t>An</w:t>
      </w:r>
      <w:r w:rsidR="005E40A0" w:rsidRPr="005503A8">
        <w:rPr>
          <w:rFonts w:cs="Arial"/>
          <w:bCs/>
          <w:szCs w:val="22"/>
        </w:rPr>
        <w:t xml:space="preserve"> accident report </w:t>
      </w:r>
      <w:r w:rsidR="00B10CCF">
        <w:rPr>
          <w:rFonts w:cs="Arial"/>
          <w:bCs/>
          <w:szCs w:val="22"/>
        </w:rPr>
        <w:t xml:space="preserve">was compiled reflecting details of both parties and the </w:t>
      </w:r>
      <w:r w:rsidR="005E40A0" w:rsidRPr="005503A8">
        <w:rPr>
          <w:rFonts w:cs="Arial"/>
          <w:bCs/>
          <w:szCs w:val="22"/>
        </w:rPr>
        <w:t>appellant’s address was reflected as No. 114</w:t>
      </w:r>
      <w:r w:rsidR="003E0BF4" w:rsidRPr="005503A8">
        <w:rPr>
          <w:rFonts w:cs="Arial"/>
          <w:bCs/>
          <w:szCs w:val="22"/>
        </w:rPr>
        <w:t xml:space="preserve">, </w:t>
      </w:r>
      <w:r w:rsidR="00CA46CF" w:rsidRPr="005503A8">
        <w:rPr>
          <w:rFonts w:cs="Arial"/>
          <w:bCs/>
          <w:szCs w:val="22"/>
        </w:rPr>
        <w:t>3</w:t>
      </w:r>
      <w:r w:rsidR="00CA46CF" w:rsidRPr="005503A8">
        <w:rPr>
          <w:rFonts w:cs="Arial"/>
          <w:bCs/>
          <w:szCs w:val="22"/>
          <w:vertAlign w:val="superscript"/>
        </w:rPr>
        <w:t>rd</w:t>
      </w:r>
      <w:r w:rsidR="00CA46CF" w:rsidRPr="005503A8">
        <w:rPr>
          <w:rFonts w:cs="Arial"/>
          <w:bCs/>
          <w:szCs w:val="22"/>
        </w:rPr>
        <w:t xml:space="preserve"> Street, </w:t>
      </w:r>
      <w:proofErr w:type="spellStart"/>
      <w:r w:rsidR="00CA46CF" w:rsidRPr="005503A8">
        <w:rPr>
          <w:rFonts w:cs="Arial"/>
          <w:bCs/>
          <w:szCs w:val="22"/>
        </w:rPr>
        <w:t>Geduld</w:t>
      </w:r>
      <w:proofErr w:type="spellEnd"/>
      <w:r w:rsidR="00CA46CF" w:rsidRPr="005503A8">
        <w:rPr>
          <w:rFonts w:cs="Arial"/>
          <w:bCs/>
          <w:szCs w:val="22"/>
        </w:rPr>
        <w:t xml:space="preserve">, </w:t>
      </w:r>
      <w:proofErr w:type="gramStart"/>
      <w:r w:rsidR="00CA46CF" w:rsidRPr="005503A8">
        <w:rPr>
          <w:rFonts w:cs="Arial"/>
          <w:bCs/>
          <w:szCs w:val="22"/>
        </w:rPr>
        <w:t>Springs</w:t>
      </w:r>
      <w:proofErr w:type="gramEnd"/>
      <w:r w:rsidR="00CA46CF" w:rsidRPr="005503A8">
        <w:rPr>
          <w:rFonts w:cs="Arial"/>
          <w:bCs/>
          <w:szCs w:val="22"/>
        </w:rPr>
        <w:t>.</w:t>
      </w:r>
      <w:r w:rsidR="00203CE8">
        <w:rPr>
          <w:rFonts w:cs="Arial"/>
          <w:bCs/>
          <w:szCs w:val="22"/>
        </w:rPr>
        <w:t xml:space="preserve"> </w:t>
      </w:r>
    </w:p>
    <w:p w14:paraId="7AC4BEDF" w14:textId="70FC3AA6" w:rsidR="002C2AC0" w:rsidRDefault="006F0847" w:rsidP="006F0847">
      <w:pPr>
        <w:keepNext/>
        <w:widowControl w:val="0"/>
        <w:tabs>
          <w:tab w:val="left" w:pos="567"/>
        </w:tabs>
        <w:spacing w:before="480" w:after="480" w:line="480" w:lineRule="auto"/>
        <w:jc w:val="both"/>
        <w:rPr>
          <w:rFonts w:cs="Arial"/>
          <w:bCs/>
          <w:szCs w:val="22"/>
        </w:rPr>
      </w:pPr>
      <w:r>
        <w:rPr>
          <w:rFonts w:cs="Arial"/>
          <w:bCs/>
          <w:szCs w:val="22"/>
        </w:rPr>
        <w:t>[11]</w:t>
      </w:r>
      <w:r>
        <w:rPr>
          <w:rFonts w:cs="Arial"/>
          <w:bCs/>
          <w:szCs w:val="22"/>
        </w:rPr>
        <w:tab/>
      </w:r>
      <w:r w:rsidR="00203CE8">
        <w:rPr>
          <w:rFonts w:cs="Arial"/>
          <w:bCs/>
          <w:szCs w:val="22"/>
        </w:rPr>
        <w:t xml:space="preserve">On 27 March </w:t>
      </w:r>
      <w:r w:rsidR="00040E18">
        <w:rPr>
          <w:rFonts w:cs="Arial"/>
          <w:bCs/>
          <w:szCs w:val="22"/>
        </w:rPr>
        <w:t>2019 the respondent caused a summons to be served on No. 14, 3</w:t>
      </w:r>
      <w:r w:rsidR="00040E18" w:rsidRPr="002778A1">
        <w:rPr>
          <w:rFonts w:cs="Arial"/>
          <w:bCs/>
          <w:szCs w:val="22"/>
          <w:vertAlign w:val="superscript"/>
        </w:rPr>
        <w:t>rd</w:t>
      </w:r>
      <w:r w:rsidR="002778A1">
        <w:rPr>
          <w:rFonts w:cs="Arial"/>
          <w:bCs/>
          <w:szCs w:val="22"/>
        </w:rPr>
        <w:t xml:space="preserve"> </w:t>
      </w:r>
      <w:r w:rsidR="008F63DB">
        <w:rPr>
          <w:rFonts w:cs="Arial"/>
          <w:bCs/>
          <w:szCs w:val="22"/>
        </w:rPr>
        <w:t>Avenue</w:t>
      </w:r>
      <w:r w:rsidR="00DC2409">
        <w:rPr>
          <w:rFonts w:cs="Arial"/>
          <w:bCs/>
          <w:szCs w:val="22"/>
        </w:rPr>
        <w:t xml:space="preserve">, </w:t>
      </w:r>
      <w:proofErr w:type="spellStart"/>
      <w:r w:rsidR="00DC2409">
        <w:rPr>
          <w:rFonts w:cs="Arial"/>
          <w:bCs/>
          <w:szCs w:val="22"/>
        </w:rPr>
        <w:t>Welgedacht</w:t>
      </w:r>
      <w:proofErr w:type="spellEnd"/>
      <w:r w:rsidR="00DC2409">
        <w:rPr>
          <w:rFonts w:cs="Arial"/>
          <w:bCs/>
          <w:szCs w:val="22"/>
        </w:rPr>
        <w:t xml:space="preserve">, </w:t>
      </w:r>
      <w:proofErr w:type="gramStart"/>
      <w:r w:rsidR="00DC2409">
        <w:rPr>
          <w:rFonts w:cs="Arial"/>
          <w:bCs/>
          <w:szCs w:val="22"/>
        </w:rPr>
        <w:t>Spring</w:t>
      </w:r>
      <w:r w:rsidR="008F63DB">
        <w:rPr>
          <w:rFonts w:cs="Arial"/>
          <w:bCs/>
          <w:szCs w:val="22"/>
        </w:rPr>
        <w:t>s</w:t>
      </w:r>
      <w:proofErr w:type="gramEnd"/>
      <w:r w:rsidR="008F63DB">
        <w:rPr>
          <w:rFonts w:cs="Arial"/>
          <w:bCs/>
          <w:szCs w:val="22"/>
        </w:rPr>
        <w:t xml:space="preserve">, the address alleged to be the address of the appellant in </w:t>
      </w:r>
      <w:r w:rsidR="002C2AC0">
        <w:rPr>
          <w:rFonts w:cs="Arial"/>
          <w:bCs/>
          <w:szCs w:val="22"/>
        </w:rPr>
        <w:t>paragraph 2 of the particulars of claim</w:t>
      </w:r>
      <w:r w:rsidR="004F28EE">
        <w:rPr>
          <w:rFonts w:cs="Arial"/>
          <w:bCs/>
          <w:szCs w:val="22"/>
        </w:rPr>
        <w:t>.</w:t>
      </w:r>
      <w:r w:rsidR="002C2AC0">
        <w:rPr>
          <w:rStyle w:val="FootnoteReference"/>
          <w:rFonts w:cs="Arial"/>
          <w:bCs/>
          <w:szCs w:val="22"/>
        </w:rPr>
        <w:footnoteReference w:id="10"/>
      </w:r>
    </w:p>
    <w:p w14:paraId="28767249" w14:textId="7B07B01D" w:rsidR="00B10CCF" w:rsidRDefault="006F0847" w:rsidP="006F0847">
      <w:pPr>
        <w:keepNext/>
        <w:widowControl w:val="0"/>
        <w:tabs>
          <w:tab w:val="left" w:pos="567"/>
        </w:tabs>
        <w:spacing w:before="480" w:after="480" w:line="480" w:lineRule="auto"/>
        <w:jc w:val="both"/>
        <w:rPr>
          <w:rFonts w:cs="Arial"/>
          <w:bCs/>
          <w:szCs w:val="22"/>
        </w:rPr>
      </w:pPr>
      <w:r>
        <w:rPr>
          <w:rFonts w:cs="Arial"/>
          <w:bCs/>
          <w:szCs w:val="22"/>
        </w:rPr>
        <w:t>[12]</w:t>
      </w:r>
      <w:r>
        <w:rPr>
          <w:rFonts w:cs="Arial"/>
          <w:bCs/>
          <w:szCs w:val="22"/>
        </w:rPr>
        <w:tab/>
      </w:r>
      <w:r w:rsidR="00B10CCF">
        <w:rPr>
          <w:rFonts w:cs="Arial"/>
          <w:bCs/>
          <w:szCs w:val="22"/>
        </w:rPr>
        <w:t>In the particulars of claim the</w:t>
      </w:r>
      <w:r w:rsidR="002778A1" w:rsidRPr="002C2AC0">
        <w:rPr>
          <w:rFonts w:cs="Arial"/>
          <w:bCs/>
          <w:szCs w:val="22"/>
        </w:rPr>
        <w:t xml:space="preserve"> respondent alleged that the appellant’s negligent conduct was the sole cause of the collision and she claimed</w:t>
      </w:r>
      <w:r w:rsidR="0080156E" w:rsidRPr="002C2AC0">
        <w:rPr>
          <w:rFonts w:cs="Arial"/>
          <w:bCs/>
          <w:szCs w:val="22"/>
        </w:rPr>
        <w:t xml:space="preserve"> damages in the amount of</w:t>
      </w:r>
      <w:r w:rsidR="002778A1" w:rsidRPr="002C2AC0">
        <w:rPr>
          <w:rFonts w:cs="Arial"/>
          <w:bCs/>
          <w:szCs w:val="22"/>
        </w:rPr>
        <w:t xml:space="preserve"> R56</w:t>
      </w:r>
      <w:r w:rsidR="00A81C8D" w:rsidRPr="002C2AC0">
        <w:rPr>
          <w:rFonts w:cs="Arial"/>
          <w:bCs/>
          <w:szCs w:val="22"/>
        </w:rPr>
        <w:t> 000 from him</w:t>
      </w:r>
      <w:r w:rsidR="0080156E" w:rsidRPr="002C2AC0">
        <w:rPr>
          <w:rFonts w:cs="Arial"/>
          <w:bCs/>
          <w:szCs w:val="22"/>
        </w:rPr>
        <w:t>.</w:t>
      </w:r>
      <w:r w:rsidR="00AE4618" w:rsidRPr="002C2AC0">
        <w:rPr>
          <w:rFonts w:cs="Arial"/>
          <w:bCs/>
          <w:szCs w:val="22"/>
        </w:rPr>
        <w:t xml:space="preserve"> </w:t>
      </w:r>
    </w:p>
    <w:p w14:paraId="26F49BEE" w14:textId="65800333" w:rsidR="003408B0" w:rsidRDefault="006F0847" w:rsidP="006F0847">
      <w:pPr>
        <w:keepNext/>
        <w:widowControl w:val="0"/>
        <w:tabs>
          <w:tab w:val="left" w:pos="567"/>
        </w:tabs>
        <w:spacing w:before="480" w:after="480" w:line="480" w:lineRule="auto"/>
        <w:jc w:val="both"/>
        <w:rPr>
          <w:rFonts w:cs="Arial"/>
          <w:bCs/>
          <w:szCs w:val="22"/>
        </w:rPr>
      </w:pPr>
      <w:r>
        <w:rPr>
          <w:rFonts w:cs="Arial"/>
          <w:bCs/>
          <w:szCs w:val="22"/>
        </w:rPr>
        <w:t>[13]</w:t>
      </w:r>
      <w:r>
        <w:rPr>
          <w:rFonts w:cs="Arial"/>
          <w:bCs/>
          <w:szCs w:val="22"/>
        </w:rPr>
        <w:tab/>
      </w:r>
      <w:r w:rsidR="00AE4618" w:rsidRPr="00B10CCF">
        <w:rPr>
          <w:rFonts w:cs="Arial"/>
          <w:bCs/>
          <w:szCs w:val="22"/>
        </w:rPr>
        <w:t xml:space="preserve">The summons was served </w:t>
      </w:r>
      <w:r w:rsidR="00DC2409" w:rsidRPr="00B10CCF">
        <w:rPr>
          <w:rFonts w:cs="Arial"/>
          <w:bCs/>
          <w:szCs w:val="22"/>
        </w:rPr>
        <w:t>on a man whose identity was not known to the Sheriff and who refused to identify himself</w:t>
      </w:r>
      <w:r w:rsidR="003408B0" w:rsidRPr="00B10CCF">
        <w:rPr>
          <w:rFonts w:cs="Arial"/>
          <w:bCs/>
          <w:szCs w:val="22"/>
        </w:rPr>
        <w:t>.</w:t>
      </w:r>
      <w:r w:rsidR="00B10CCF" w:rsidRPr="00B10CCF">
        <w:rPr>
          <w:rFonts w:cs="Arial"/>
          <w:bCs/>
          <w:szCs w:val="22"/>
        </w:rPr>
        <w:t xml:space="preserve"> </w:t>
      </w:r>
      <w:r w:rsidR="003408B0" w:rsidRPr="00B10CCF">
        <w:rPr>
          <w:rFonts w:cs="Arial"/>
          <w:bCs/>
          <w:szCs w:val="22"/>
        </w:rPr>
        <w:t xml:space="preserve">The respondent assumed that the unidentified man must have been the appellant and sought default judgment when no </w:t>
      </w:r>
      <w:r w:rsidR="00992269" w:rsidRPr="00B10CCF">
        <w:rPr>
          <w:rFonts w:cs="Arial"/>
          <w:bCs/>
          <w:szCs w:val="22"/>
        </w:rPr>
        <w:t xml:space="preserve">intention to defend was received. The averment that the unidentified man was in fact the appellant also found its way into the respondent’s subsequent </w:t>
      </w:r>
      <w:r w:rsidR="005434F6" w:rsidRPr="00B10CCF">
        <w:rPr>
          <w:rFonts w:cs="Arial"/>
          <w:bCs/>
          <w:szCs w:val="22"/>
        </w:rPr>
        <w:t>affidavit resisting an application to rescind the default judgment</w:t>
      </w:r>
      <w:r w:rsidR="00EE2E8C" w:rsidRPr="00B10CCF">
        <w:rPr>
          <w:rFonts w:cs="Arial"/>
          <w:bCs/>
          <w:szCs w:val="22"/>
        </w:rPr>
        <w:t xml:space="preserve">, but </w:t>
      </w:r>
      <w:r w:rsidR="00EE2E8C" w:rsidRPr="00B10CCF">
        <w:rPr>
          <w:rFonts w:cs="Arial"/>
          <w:bCs/>
          <w:szCs w:val="22"/>
        </w:rPr>
        <w:lastRenderedPageBreak/>
        <w:t>there is no basis for the assumption on the evidence.</w:t>
      </w:r>
    </w:p>
    <w:p w14:paraId="50E30DBB" w14:textId="5B1F9410" w:rsidR="00B10CCF" w:rsidRPr="00B10CCF" w:rsidRDefault="006F0847" w:rsidP="006F0847">
      <w:pPr>
        <w:keepNext/>
        <w:widowControl w:val="0"/>
        <w:tabs>
          <w:tab w:val="left" w:pos="567"/>
        </w:tabs>
        <w:spacing w:before="480" w:after="480" w:line="480" w:lineRule="auto"/>
        <w:jc w:val="both"/>
        <w:rPr>
          <w:rFonts w:cs="Arial"/>
          <w:bCs/>
          <w:szCs w:val="22"/>
        </w:rPr>
      </w:pPr>
      <w:r w:rsidRPr="00B10CCF">
        <w:rPr>
          <w:rFonts w:cs="Arial"/>
          <w:bCs/>
          <w:szCs w:val="22"/>
        </w:rPr>
        <w:t>[14]</w:t>
      </w:r>
      <w:r w:rsidRPr="00B10CCF">
        <w:rPr>
          <w:rFonts w:cs="Arial"/>
          <w:bCs/>
          <w:szCs w:val="22"/>
        </w:rPr>
        <w:tab/>
      </w:r>
      <w:r w:rsidR="00B10CCF" w:rsidRPr="00B10CCF">
        <w:rPr>
          <w:rFonts w:cs="Arial"/>
          <w:bCs/>
          <w:szCs w:val="22"/>
        </w:rPr>
        <w:t xml:space="preserve">The appellant states </w:t>
      </w:r>
      <w:r w:rsidR="00B10CCF">
        <w:rPr>
          <w:rFonts w:cs="Arial"/>
          <w:bCs/>
          <w:szCs w:val="22"/>
        </w:rPr>
        <w:t xml:space="preserve">under oath </w:t>
      </w:r>
      <w:r w:rsidR="00B10CCF" w:rsidRPr="00B10CCF">
        <w:rPr>
          <w:rFonts w:cs="Arial"/>
          <w:bCs/>
          <w:szCs w:val="22"/>
        </w:rPr>
        <w:t xml:space="preserve">that he had never lived at the </w:t>
      </w:r>
      <w:proofErr w:type="spellStart"/>
      <w:r w:rsidR="00B10CCF" w:rsidRPr="00B10CCF">
        <w:rPr>
          <w:rFonts w:cs="Arial"/>
          <w:bCs/>
          <w:szCs w:val="22"/>
        </w:rPr>
        <w:t>Welgedacht</w:t>
      </w:r>
      <w:proofErr w:type="spellEnd"/>
      <w:r w:rsidR="00B10CCF" w:rsidRPr="00B10CCF">
        <w:rPr>
          <w:rFonts w:cs="Arial"/>
          <w:bCs/>
          <w:szCs w:val="22"/>
        </w:rPr>
        <w:t xml:space="preserve"> address</w:t>
      </w:r>
      <w:r w:rsidR="00B10CCF">
        <w:rPr>
          <w:rFonts w:cs="Arial"/>
          <w:bCs/>
          <w:szCs w:val="22"/>
        </w:rPr>
        <w:t xml:space="preserve"> and this evidence is uncontroverted save for the </w:t>
      </w:r>
      <w:r w:rsidR="004F28EE">
        <w:rPr>
          <w:rFonts w:cs="Arial"/>
          <w:bCs/>
          <w:szCs w:val="22"/>
        </w:rPr>
        <w:t xml:space="preserve">bald </w:t>
      </w:r>
      <w:r w:rsidR="00B10CCF">
        <w:rPr>
          <w:rFonts w:cs="Arial"/>
          <w:bCs/>
          <w:szCs w:val="22"/>
        </w:rPr>
        <w:t xml:space="preserve">averment that he must have been the person upon whom the summons was served in </w:t>
      </w:r>
      <w:proofErr w:type="spellStart"/>
      <w:r w:rsidR="00B10CCF">
        <w:rPr>
          <w:rFonts w:cs="Arial"/>
          <w:bCs/>
          <w:szCs w:val="22"/>
        </w:rPr>
        <w:t>Welgedacht</w:t>
      </w:r>
      <w:proofErr w:type="spellEnd"/>
      <w:r w:rsidR="00B10CCF">
        <w:rPr>
          <w:rFonts w:cs="Arial"/>
          <w:bCs/>
          <w:szCs w:val="22"/>
        </w:rPr>
        <w:t>.</w:t>
      </w:r>
    </w:p>
    <w:p w14:paraId="5BB28E2D" w14:textId="49A85DB4" w:rsidR="00497D8E" w:rsidRDefault="006F0847" w:rsidP="006F0847">
      <w:pPr>
        <w:keepNext/>
        <w:widowControl w:val="0"/>
        <w:tabs>
          <w:tab w:val="left" w:pos="567"/>
        </w:tabs>
        <w:spacing w:before="480" w:after="480" w:line="480" w:lineRule="auto"/>
        <w:jc w:val="both"/>
        <w:rPr>
          <w:rFonts w:cs="Arial"/>
          <w:bCs/>
          <w:szCs w:val="22"/>
        </w:rPr>
      </w:pPr>
      <w:r>
        <w:rPr>
          <w:rFonts w:cs="Arial"/>
          <w:bCs/>
          <w:szCs w:val="22"/>
        </w:rPr>
        <w:t>[15]</w:t>
      </w:r>
      <w:r>
        <w:rPr>
          <w:rFonts w:cs="Arial"/>
          <w:bCs/>
          <w:szCs w:val="22"/>
        </w:rPr>
        <w:tab/>
      </w:r>
      <w:r w:rsidR="00497D8E">
        <w:rPr>
          <w:rFonts w:cs="Arial"/>
          <w:bCs/>
          <w:szCs w:val="22"/>
        </w:rPr>
        <w:t>Default judgment was granted in the magistrates’ court on 9 Octo</w:t>
      </w:r>
      <w:r w:rsidR="00E77F48">
        <w:rPr>
          <w:rFonts w:cs="Arial"/>
          <w:bCs/>
          <w:szCs w:val="22"/>
        </w:rPr>
        <w:t>ber 2019.</w:t>
      </w:r>
      <w:r w:rsidR="005D36AF">
        <w:rPr>
          <w:rFonts w:cs="Arial"/>
          <w:bCs/>
          <w:szCs w:val="22"/>
        </w:rPr>
        <w:t xml:space="preserve"> The judgment only came to the notice of the appellant </w:t>
      </w:r>
      <w:r w:rsidR="000D1B7A">
        <w:rPr>
          <w:rFonts w:cs="Arial"/>
          <w:bCs/>
          <w:szCs w:val="22"/>
        </w:rPr>
        <w:t>o</w:t>
      </w:r>
      <w:r w:rsidR="004F7E8C">
        <w:rPr>
          <w:rFonts w:cs="Arial"/>
          <w:bCs/>
          <w:szCs w:val="22"/>
        </w:rPr>
        <w:t>n</w:t>
      </w:r>
      <w:r w:rsidR="005D36AF">
        <w:rPr>
          <w:rFonts w:cs="Arial"/>
          <w:bCs/>
          <w:szCs w:val="22"/>
        </w:rPr>
        <w:t xml:space="preserve"> </w:t>
      </w:r>
      <w:r w:rsidR="00664516">
        <w:rPr>
          <w:rFonts w:cs="Arial"/>
          <w:bCs/>
          <w:szCs w:val="22"/>
        </w:rPr>
        <w:t xml:space="preserve">18 </w:t>
      </w:r>
      <w:r w:rsidR="002A47CD">
        <w:rPr>
          <w:rFonts w:cs="Arial"/>
          <w:bCs/>
          <w:szCs w:val="22"/>
        </w:rPr>
        <w:t xml:space="preserve">February 2022 when </w:t>
      </w:r>
      <w:r w:rsidR="00D41CD7">
        <w:rPr>
          <w:rFonts w:cs="Arial"/>
          <w:bCs/>
          <w:szCs w:val="22"/>
        </w:rPr>
        <w:t xml:space="preserve">an application in terms of section 65J of the Magistrates’ Court Act, </w:t>
      </w:r>
      <w:r w:rsidR="00B661F0">
        <w:rPr>
          <w:rFonts w:cs="Arial"/>
          <w:bCs/>
          <w:szCs w:val="22"/>
        </w:rPr>
        <w:t>32 of 1944 was served at his place of work</w:t>
      </w:r>
      <w:r w:rsidR="00460EF7">
        <w:rPr>
          <w:rFonts w:cs="Arial"/>
          <w:bCs/>
          <w:szCs w:val="22"/>
        </w:rPr>
        <w:t>. He attended at court on 25 February 202</w:t>
      </w:r>
      <w:r w:rsidR="00DF4B88">
        <w:rPr>
          <w:rFonts w:cs="Arial"/>
          <w:bCs/>
          <w:szCs w:val="22"/>
        </w:rPr>
        <w:t>2 and the matter was postponed</w:t>
      </w:r>
      <w:r w:rsidR="00853C22">
        <w:rPr>
          <w:rFonts w:cs="Arial"/>
          <w:bCs/>
          <w:szCs w:val="22"/>
        </w:rPr>
        <w:t xml:space="preserve"> to 22 April 2022.</w:t>
      </w:r>
      <w:r w:rsidR="00805AB6">
        <w:rPr>
          <w:rFonts w:cs="Arial"/>
          <w:bCs/>
          <w:szCs w:val="22"/>
        </w:rPr>
        <w:t xml:space="preserve"> On that date the application was postponed to 13 May 2022 to allow the appellant to appoint an attorney, an approach to the Legal Aid Board having been </w:t>
      </w:r>
      <w:r w:rsidR="00F1765E">
        <w:rPr>
          <w:rFonts w:cs="Arial"/>
          <w:bCs/>
          <w:szCs w:val="22"/>
        </w:rPr>
        <w:t>unsuccessful.</w:t>
      </w:r>
      <w:r w:rsidR="00DF1080">
        <w:rPr>
          <w:rFonts w:cs="Arial"/>
          <w:bCs/>
          <w:szCs w:val="22"/>
        </w:rPr>
        <w:t xml:space="preserve"> On 13 May 2022 the appellant brought a self-penned and abortive rescission application and the </w:t>
      </w:r>
      <w:r w:rsidR="00686840">
        <w:rPr>
          <w:rFonts w:cs="Arial"/>
          <w:bCs/>
          <w:szCs w:val="22"/>
        </w:rPr>
        <w:t xml:space="preserve">Court advised him to obtain the services of an attorney. </w:t>
      </w:r>
      <w:r w:rsidR="004F2682">
        <w:rPr>
          <w:rFonts w:cs="Arial"/>
          <w:bCs/>
          <w:szCs w:val="22"/>
        </w:rPr>
        <w:t xml:space="preserve">A proper application was then brought, out of time by </w:t>
      </w:r>
      <w:r w:rsidR="00630BF2">
        <w:rPr>
          <w:rFonts w:cs="Arial"/>
          <w:bCs/>
          <w:szCs w:val="22"/>
        </w:rPr>
        <w:t>72 days on the respondent’s calculations.</w:t>
      </w:r>
    </w:p>
    <w:p w14:paraId="3D2A520C" w14:textId="01CB8793" w:rsidR="00F94337" w:rsidRPr="00F94337" w:rsidRDefault="00F94337" w:rsidP="00F94337">
      <w:pPr>
        <w:keepNext/>
        <w:widowControl w:val="0"/>
        <w:spacing w:before="480" w:after="480" w:line="480" w:lineRule="auto"/>
        <w:jc w:val="both"/>
        <w:rPr>
          <w:rFonts w:cs="Arial"/>
          <w:bCs/>
          <w:szCs w:val="22"/>
          <w:u w:val="single"/>
        </w:rPr>
      </w:pPr>
      <w:r>
        <w:rPr>
          <w:rFonts w:cs="Arial"/>
          <w:bCs/>
          <w:szCs w:val="22"/>
          <w:u w:val="single"/>
        </w:rPr>
        <w:t>A reasonable explanation for the default in respect of the condonation application and the rescission application.</w:t>
      </w:r>
    </w:p>
    <w:p w14:paraId="2DEA712B" w14:textId="67E7FB80" w:rsidR="00EE16FB" w:rsidRDefault="006F0847" w:rsidP="006F0847">
      <w:pPr>
        <w:keepNext/>
        <w:widowControl w:val="0"/>
        <w:tabs>
          <w:tab w:val="left" w:pos="567"/>
        </w:tabs>
        <w:spacing w:before="480" w:after="480" w:line="480" w:lineRule="auto"/>
        <w:jc w:val="both"/>
        <w:rPr>
          <w:rFonts w:cs="Arial"/>
          <w:bCs/>
          <w:szCs w:val="22"/>
        </w:rPr>
      </w:pPr>
      <w:r>
        <w:rPr>
          <w:rFonts w:cs="Arial"/>
          <w:bCs/>
          <w:szCs w:val="22"/>
        </w:rPr>
        <w:t>[16]</w:t>
      </w:r>
      <w:r>
        <w:rPr>
          <w:rFonts w:cs="Arial"/>
          <w:bCs/>
          <w:szCs w:val="22"/>
        </w:rPr>
        <w:tab/>
      </w:r>
      <w:r w:rsidR="00630BF2" w:rsidRPr="00EE16FB">
        <w:rPr>
          <w:rFonts w:cs="Arial"/>
          <w:bCs/>
          <w:szCs w:val="22"/>
        </w:rPr>
        <w:t>This is not a matter where the appellant did nothing to for a long period of time</w:t>
      </w:r>
      <w:r w:rsidR="0086462D" w:rsidRPr="00EE16FB">
        <w:rPr>
          <w:rFonts w:cs="Arial"/>
          <w:bCs/>
          <w:szCs w:val="22"/>
        </w:rPr>
        <w:t xml:space="preserve">. He immediately reacted to the section 65J application and attended at Court. </w:t>
      </w:r>
      <w:r w:rsidR="00903492" w:rsidRPr="00EE16FB">
        <w:rPr>
          <w:rFonts w:cs="Arial"/>
          <w:bCs/>
          <w:szCs w:val="22"/>
        </w:rPr>
        <w:t xml:space="preserve">He applied for Legal Aid, attempted his own application that was </w:t>
      </w:r>
      <w:r w:rsidR="00EE16FB" w:rsidRPr="00EE16FB">
        <w:rPr>
          <w:rFonts w:cs="Arial"/>
          <w:bCs/>
          <w:szCs w:val="22"/>
        </w:rPr>
        <w:t>an abortive one</w:t>
      </w:r>
      <w:r w:rsidR="00903492" w:rsidRPr="00EE16FB">
        <w:rPr>
          <w:rFonts w:cs="Arial"/>
          <w:bCs/>
          <w:szCs w:val="22"/>
        </w:rPr>
        <w:t xml:space="preserve">, and finally appointed </w:t>
      </w:r>
      <w:r w:rsidR="00EE16FB" w:rsidRPr="00EE16FB">
        <w:rPr>
          <w:rFonts w:cs="Arial"/>
          <w:bCs/>
          <w:szCs w:val="22"/>
        </w:rPr>
        <w:t xml:space="preserve">an attorney to bring an application for rescission in terms of the </w:t>
      </w:r>
      <w:r w:rsidR="00EE16FB">
        <w:rPr>
          <w:rFonts w:cs="Arial"/>
          <w:bCs/>
          <w:szCs w:val="22"/>
        </w:rPr>
        <w:t>Rules of Court.</w:t>
      </w:r>
      <w:r w:rsidR="009E0C10">
        <w:rPr>
          <w:rFonts w:cs="Arial"/>
          <w:bCs/>
          <w:szCs w:val="22"/>
        </w:rPr>
        <w:t xml:space="preserve"> The explanation is a reasonable one.</w:t>
      </w:r>
    </w:p>
    <w:p w14:paraId="7386D07A" w14:textId="670C8F72" w:rsidR="00EE16FB" w:rsidRDefault="006F0847" w:rsidP="006F0847">
      <w:pPr>
        <w:keepNext/>
        <w:widowControl w:val="0"/>
        <w:tabs>
          <w:tab w:val="left" w:pos="567"/>
        </w:tabs>
        <w:spacing w:before="480" w:after="480" w:line="480" w:lineRule="auto"/>
        <w:jc w:val="both"/>
        <w:rPr>
          <w:rFonts w:cs="Arial"/>
          <w:bCs/>
          <w:szCs w:val="22"/>
        </w:rPr>
      </w:pPr>
      <w:r>
        <w:rPr>
          <w:rFonts w:cs="Arial"/>
          <w:bCs/>
          <w:szCs w:val="22"/>
        </w:rPr>
        <w:t>[17]</w:t>
      </w:r>
      <w:r>
        <w:rPr>
          <w:rFonts w:cs="Arial"/>
          <w:bCs/>
          <w:szCs w:val="22"/>
        </w:rPr>
        <w:tab/>
      </w:r>
      <w:r w:rsidR="002C2AC0">
        <w:rPr>
          <w:rFonts w:cs="Arial"/>
          <w:bCs/>
          <w:szCs w:val="22"/>
        </w:rPr>
        <w:t xml:space="preserve">The appellant has shown good reason for not defending the action in 2019 – he simply did not know of the summons and it was never served on him – and he has given an adequate explanation for the delay between the day on which he became aware of the action and the </w:t>
      </w:r>
      <w:r w:rsidR="002C2AC0">
        <w:rPr>
          <w:rFonts w:cs="Arial"/>
          <w:bCs/>
          <w:szCs w:val="22"/>
        </w:rPr>
        <w:lastRenderedPageBreak/>
        <w:t>launch of the application for rescission.</w:t>
      </w:r>
    </w:p>
    <w:p w14:paraId="004DD808" w14:textId="1CCC5CB0" w:rsidR="00F94337" w:rsidRDefault="006F0847" w:rsidP="006F0847">
      <w:pPr>
        <w:keepNext/>
        <w:widowControl w:val="0"/>
        <w:tabs>
          <w:tab w:val="left" w:pos="567"/>
        </w:tabs>
        <w:spacing w:before="480" w:after="480" w:line="480" w:lineRule="auto"/>
        <w:jc w:val="both"/>
        <w:rPr>
          <w:rFonts w:cs="Arial"/>
          <w:bCs/>
          <w:szCs w:val="22"/>
        </w:rPr>
      </w:pPr>
      <w:r>
        <w:rPr>
          <w:rFonts w:cs="Arial"/>
          <w:bCs/>
          <w:szCs w:val="22"/>
        </w:rPr>
        <w:t>[18]</w:t>
      </w:r>
      <w:r>
        <w:rPr>
          <w:rFonts w:cs="Arial"/>
          <w:bCs/>
          <w:szCs w:val="22"/>
        </w:rPr>
        <w:tab/>
      </w:r>
      <w:r w:rsidR="00F94337">
        <w:rPr>
          <w:rFonts w:cs="Arial"/>
          <w:bCs/>
          <w:szCs w:val="22"/>
        </w:rPr>
        <w:t xml:space="preserve">The appellant has therefore given a reasonable explanation both for his delay in bringing the rescission application, and his failure to oppose the </w:t>
      </w:r>
      <w:r w:rsidR="008D4D2A">
        <w:rPr>
          <w:rFonts w:cs="Arial"/>
          <w:bCs/>
          <w:szCs w:val="22"/>
        </w:rPr>
        <w:t>claim after service of the summons.</w:t>
      </w:r>
    </w:p>
    <w:p w14:paraId="3B85D890" w14:textId="2E010450" w:rsidR="008D4D2A" w:rsidRPr="008D4D2A" w:rsidRDefault="008D4D2A" w:rsidP="008D4D2A">
      <w:pPr>
        <w:keepNext/>
        <w:widowControl w:val="0"/>
        <w:spacing w:before="480" w:after="480" w:line="480" w:lineRule="auto"/>
        <w:jc w:val="both"/>
        <w:rPr>
          <w:rFonts w:cs="Arial"/>
          <w:bCs/>
          <w:color w:val="000000" w:themeColor="text1"/>
          <w:szCs w:val="22"/>
          <w:u w:val="single"/>
        </w:rPr>
      </w:pPr>
      <w:r w:rsidRPr="004F28EE">
        <w:rPr>
          <w:rFonts w:cs="Arial"/>
          <w:bCs/>
          <w:i/>
          <w:iCs/>
          <w:color w:val="000000" w:themeColor="text1"/>
          <w:szCs w:val="22"/>
          <w:u w:val="single"/>
        </w:rPr>
        <w:t>Bona fide</w:t>
      </w:r>
      <w:r w:rsidRPr="008D4D2A">
        <w:rPr>
          <w:rFonts w:cs="Arial"/>
          <w:bCs/>
          <w:color w:val="000000" w:themeColor="text1"/>
          <w:szCs w:val="22"/>
          <w:u w:val="single"/>
        </w:rPr>
        <w:t xml:space="preserve"> defence</w:t>
      </w:r>
    </w:p>
    <w:p w14:paraId="29ECD468" w14:textId="65FFAE3E" w:rsidR="00BB29BA" w:rsidRPr="00BB29BA" w:rsidRDefault="006F0847" w:rsidP="006F0847">
      <w:pPr>
        <w:keepNext/>
        <w:widowControl w:val="0"/>
        <w:tabs>
          <w:tab w:val="left" w:pos="567"/>
        </w:tabs>
        <w:spacing w:before="480" w:after="480" w:line="480" w:lineRule="auto"/>
        <w:jc w:val="both"/>
        <w:rPr>
          <w:rFonts w:cs="Arial"/>
          <w:bCs/>
          <w:szCs w:val="22"/>
        </w:rPr>
      </w:pPr>
      <w:r w:rsidRPr="00BB29BA">
        <w:rPr>
          <w:rFonts w:cs="Arial"/>
          <w:bCs/>
          <w:szCs w:val="22"/>
        </w:rPr>
        <w:t>[19]</w:t>
      </w:r>
      <w:r w:rsidRPr="00BB29BA">
        <w:rPr>
          <w:rFonts w:cs="Arial"/>
          <w:bCs/>
          <w:szCs w:val="22"/>
        </w:rPr>
        <w:tab/>
      </w:r>
      <w:r w:rsidR="004E4275">
        <w:rPr>
          <w:rFonts w:cs="Arial"/>
          <w:bCs/>
          <w:szCs w:val="22"/>
        </w:rPr>
        <w:t xml:space="preserve">In his affidavit in the rescission application the appellant deals rather cursorily with the defence to the claim. He alleges that he was not negligent but that it was the respondent who was negligent on a number of grounds briefly stated in his affidavit. </w:t>
      </w:r>
      <w:r w:rsidR="006621F8">
        <w:rPr>
          <w:rFonts w:cs="Arial"/>
          <w:bCs/>
          <w:szCs w:val="22"/>
        </w:rPr>
        <w:t>The respondent failed to seize the opportunity to deal in detail with the accident and merely denies t</w:t>
      </w:r>
      <w:r w:rsidR="00BB29BA">
        <w:rPr>
          <w:rFonts w:cs="Arial"/>
          <w:bCs/>
          <w:szCs w:val="22"/>
        </w:rPr>
        <w:t xml:space="preserve">he appellant’s averments. The only version before the Court, </w:t>
      </w:r>
      <w:r w:rsidR="00471FAC">
        <w:rPr>
          <w:rFonts w:cs="Arial"/>
          <w:bCs/>
          <w:szCs w:val="22"/>
        </w:rPr>
        <w:t>sparse</w:t>
      </w:r>
      <w:r w:rsidR="00BB29BA">
        <w:rPr>
          <w:rFonts w:cs="Arial"/>
          <w:bCs/>
          <w:szCs w:val="22"/>
        </w:rPr>
        <w:t xml:space="preserve"> though it is, </w:t>
      </w:r>
      <w:r w:rsidR="004F28EE">
        <w:rPr>
          <w:rFonts w:cs="Arial"/>
          <w:bCs/>
          <w:szCs w:val="22"/>
        </w:rPr>
        <w:t>is that</w:t>
      </w:r>
      <w:r w:rsidR="00BB29BA">
        <w:rPr>
          <w:rFonts w:cs="Arial"/>
          <w:bCs/>
          <w:szCs w:val="22"/>
        </w:rPr>
        <w:t xml:space="preserve"> of the </w:t>
      </w:r>
      <w:r w:rsidR="004F28EE">
        <w:rPr>
          <w:rFonts w:cs="Arial"/>
          <w:bCs/>
          <w:szCs w:val="22"/>
        </w:rPr>
        <w:t>appellant.</w:t>
      </w:r>
    </w:p>
    <w:p w14:paraId="2FF598E9" w14:textId="2A38F444" w:rsidR="004459CF" w:rsidRDefault="006F0847" w:rsidP="006F0847">
      <w:pPr>
        <w:keepNext/>
        <w:widowControl w:val="0"/>
        <w:tabs>
          <w:tab w:val="left" w:pos="567"/>
        </w:tabs>
        <w:spacing w:before="480" w:after="480" w:line="480" w:lineRule="auto"/>
        <w:jc w:val="both"/>
        <w:rPr>
          <w:rFonts w:cs="Arial"/>
          <w:bCs/>
          <w:szCs w:val="22"/>
        </w:rPr>
      </w:pPr>
      <w:r>
        <w:rPr>
          <w:rFonts w:cs="Arial"/>
          <w:bCs/>
          <w:szCs w:val="22"/>
        </w:rPr>
        <w:t>[20]</w:t>
      </w:r>
      <w:r>
        <w:rPr>
          <w:rFonts w:cs="Arial"/>
          <w:bCs/>
          <w:szCs w:val="22"/>
        </w:rPr>
        <w:tab/>
      </w:r>
      <w:r w:rsidR="004F28EE">
        <w:rPr>
          <w:rFonts w:cs="Arial"/>
          <w:bCs/>
          <w:szCs w:val="22"/>
        </w:rPr>
        <w:t xml:space="preserve">The appellant has set out averments which </w:t>
      </w:r>
      <w:r w:rsidR="004F28EE" w:rsidRPr="004F28EE">
        <w:rPr>
          <w:rFonts w:cs="Arial"/>
          <w:color w:val="000000" w:themeColor="text1"/>
          <w:szCs w:val="22"/>
        </w:rPr>
        <w:t xml:space="preserve">if established at the trial would </w:t>
      </w:r>
      <w:r w:rsidR="004F28EE">
        <w:rPr>
          <w:rFonts w:cs="Arial"/>
          <w:color w:val="000000" w:themeColor="text1"/>
          <w:szCs w:val="22"/>
        </w:rPr>
        <w:t>constitute a defenc</w:t>
      </w:r>
      <w:r w:rsidR="009E0C10">
        <w:rPr>
          <w:rFonts w:cs="Arial"/>
          <w:color w:val="000000" w:themeColor="text1"/>
          <w:szCs w:val="22"/>
        </w:rPr>
        <w:t xml:space="preserve">e, and is </w:t>
      </w:r>
      <w:r w:rsidR="009E0C10">
        <w:rPr>
          <w:rFonts w:cs="Arial"/>
          <w:bCs/>
          <w:szCs w:val="22"/>
        </w:rPr>
        <w:t>entitled to an order that the appeal be upheld.</w:t>
      </w:r>
      <w:r w:rsidR="009003C2">
        <w:rPr>
          <w:rFonts w:cs="Arial"/>
          <w:bCs/>
          <w:szCs w:val="22"/>
        </w:rPr>
        <w:t xml:space="preserve"> The appellant is entitled also to his costs as the appellant had no option but to appeal after the rescission application was opposed and dismissed.</w:t>
      </w:r>
    </w:p>
    <w:p w14:paraId="57B05A6B" w14:textId="4B24DB7F" w:rsidR="007C6DF0" w:rsidRDefault="007C6DF0" w:rsidP="00473024">
      <w:pPr>
        <w:widowControl w:val="0"/>
        <w:tabs>
          <w:tab w:val="right" w:pos="0"/>
        </w:tabs>
        <w:spacing w:line="360" w:lineRule="auto"/>
        <w:contextualSpacing/>
        <w:jc w:val="both"/>
        <w:rPr>
          <w:rFonts w:cs="Arial"/>
          <w:b/>
          <w:szCs w:val="22"/>
        </w:rPr>
      </w:pPr>
    </w:p>
    <w:p w14:paraId="60056596" w14:textId="4A170C26" w:rsidR="00D74D08" w:rsidRDefault="00D74D08" w:rsidP="00473024">
      <w:pPr>
        <w:widowControl w:val="0"/>
        <w:tabs>
          <w:tab w:val="right" w:pos="0"/>
        </w:tabs>
        <w:spacing w:line="360" w:lineRule="auto"/>
        <w:contextualSpacing/>
        <w:jc w:val="both"/>
        <w:rPr>
          <w:rFonts w:cs="Arial"/>
          <w:b/>
          <w:szCs w:val="22"/>
        </w:rPr>
      </w:pPr>
    </w:p>
    <w:p w14:paraId="7139F3C8" w14:textId="574A21A9" w:rsidR="00D74D08" w:rsidRDefault="00D74D08" w:rsidP="00473024">
      <w:pPr>
        <w:widowControl w:val="0"/>
        <w:tabs>
          <w:tab w:val="right" w:pos="0"/>
        </w:tabs>
        <w:spacing w:line="360" w:lineRule="auto"/>
        <w:contextualSpacing/>
        <w:jc w:val="both"/>
        <w:rPr>
          <w:rFonts w:cs="Arial"/>
          <w:b/>
          <w:szCs w:val="22"/>
        </w:rPr>
      </w:pPr>
    </w:p>
    <w:p w14:paraId="51FA40B6" w14:textId="77777777" w:rsidR="00D74D08" w:rsidRPr="0009745A" w:rsidRDefault="00D74D08" w:rsidP="00473024">
      <w:pPr>
        <w:widowControl w:val="0"/>
        <w:tabs>
          <w:tab w:val="right" w:pos="0"/>
        </w:tabs>
        <w:spacing w:line="360" w:lineRule="auto"/>
        <w:contextualSpacing/>
        <w:jc w:val="both"/>
        <w:rPr>
          <w:rFonts w:cs="Arial"/>
          <w:b/>
          <w:szCs w:val="22"/>
        </w:rPr>
      </w:pPr>
    </w:p>
    <w:p w14:paraId="740EAE43" w14:textId="77777777" w:rsidR="007C6DF0" w:rsidRPr="0009745A" w:rsidRDefault="007C6DF0" w:rsidP="005E09BA">
      <w:pPr>
        <w:widowControl w:val="0"/>
        <w:tabs>
          <w:tab w:val="right" w:pos="0"/>
        </w:tabs>
        <w:spacing w:line="360" w:lineRule="auto"/>
        <w:contextualSpacing/>
        <w:jc w:val="both"/>
        <w:rPr>
          <w:rFonts w:cs="Arial"/>
          <w:b/>
          <w:szCs w:val="22"/>
        </w:rPr>
      </w:pPr>
    </w:p>
    <w:p w14:paraId="162481B2" w14:textId="3E18B653" w:rsidR="00581C59" w:rsidRPr="0009745A" w:rsidRDefault="00581C59" w:rsidP="009E0C10">
      <w:pPr>
        <w:keepNext/>
        <w:widowControl w:val="0"/>
        <w:tabs>
          <w:tab w:val="right" w:pos="0"/>
        </w:tabs>
        <w:spacing w:line="360" w:lineRule="auto"/>
        <w:contextualSpacing/>
        <w:jc w:val="right"/>
        <w:rPr>
          <w:rFonts w:cs="Arial"/>
          <w:b/>
          <w:szCs w:val="22"/>
        </w:rPr>
      </w:pPr>
      <w:bookmarkStart w:id="1" w:name="_Hlk133312695"/>
      <w:r w:rsidRPr="0009745A">
        <w:rPr>
          <w:rFonts w:cs="Arial"/>
          <w:b/>
          <w:szCs w:val="22"/>
        </w:rPr>
        <w:lastRenderedPageBreak/>
        <w:t>_____________</w:t>
      </w:r>
    </w:p>
    <w:p w14:paraId="0CCB9BFE" w14:textId="2B9BE171" w:rsidR="006C43D7" w:rsidRPr="0009745A" w:rsidRDefault="00C676F3" w:rsidP="009E0C10">
      <w:pPr>
        <w:keepNext/>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9E0C10">
      <w:pPr>
        <w:keepNext/>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bookmarkEnd w:id="1"/>
    <w:p w14:paraId="077C2590" w14:textId="7C2C605F" w:rsidR="006C43D7" w:rsidRPr="0009745A" w:rsidRDefault="006C43D7" w:rsidP="009E0C10">
      <w:pPr>
        <w:keepNext/>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29CE1DDB" w:rsidR="006C43D7" w:rsidRDefault="006C43D7" w:rsidP="009E0C10">
      <w:pPr>
        <w:keepNext/>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635C191F" w14:textId="5F3CADCD" w:rsidR="009E0C10" w:rsidRDefault="009E0C10" w:rsidP="009E0C10">
      <w:pPr>
        <w:keepNext/>
        <w:widowControl w:val="0"/>
        <w:tabs>
          <w:tab w:val="right" w:pos="0"/>
          <w:tab w:val="left" w:pos="4253"/>
        </w:tabs>
        <w:spacing w:line="360" w:lineRule="auto"/>
        <w:contextualSpacing/>
        <w:jc w:val="right"/>
        <w:rPr>
          <w:rFonts w:cs="Arial"/>
          <w:b/>
          <w:szCs w:val="22"/>
        </w:rPr>
      </w:pPr>
    </w:p>
    <w:p w14:paraId="1779E7CA" w14:textId="77777777" w:rsidR="009E0C10" w:rsidRPr="009E0C10" w:rsidRDefault="009E0C10" w:rsidP="009E0C10">
      <w:pPr>
        <w:keepNext/>
        <w:widowControl w:val="0"/>
        <w:spacing w:before="480" w:after="480" w:line="480" w:lineRule="auto"/>
        <w:jc w:val="both"/>
        <w:rPr>
          <w:rFonts w:cs="Arial"/>
          <w:bCs/>
          <w:i/>
          <w:iCs/>
          <w:szCs w:val="22"/>
        </w:rPr>
      </w:pPr>
      <w:r w:rsidRPr="009E0C10">
        <w:rPr>
          <w:rFonts w:cs="Arial"/>
          <w:bCs/>
          <w:i/>
          <w:iCs/>
          <w:szCs w:val="22"/>
        </w:rPr>
        <w:t>I agree and it is so ordered</w:t>
      </w:r>
    </w:p>
    <w:p w14:paraId="3ABDE5A8" w14:textId="77777777" w:rsidR="009E0C10" w:rsidRPr="00473024" w:rsidRDefault="009E0C10" w:rsidP="009E0C10">
      <w:pPr>
        <w:widowControl w:val="0"/>
        <w:tabs>
          <w:tab w:val="right" w:pos="0"/>
        </w:tabs>
        <w:spacing w:line="360" w:lineRule="auto"/>
        <w:jc w:val="right"/>
        <w:rPr>
          <w:rFonts w:cs="Arial"/>
          <w:b/>
          <w:szCs w:val="22"/>
        </w:rPr>
      </w:pPr>
      <w:r w:rsidRPr="00473024">
        <w:rPr>
          <w:rFonts w:cs="Arial"/>
          <w:b/>
          <w:szCs w:val="22"/>
        </w:rPr>
        <w:t>_____________</w:t>
      </w:r>
    </w:p>
    <w:p w14:paraId="22203D7E" w14:textId="77777777" w:rsidR="009E0C10" w:rsidRPr="00473024" w:rsidRDefault="009E0C10" w:rsidP="009E0C10">
      <w:pPr>
        <w:widowControl w:val="0"/>
        <w:tabs>
          <w:tab w:val="right" w:pos="0"/>
        </w:tabs>
        <w:spacing w:line="360" w:lineRule="auto"/>
        <w:jc w:val="right"/>
        <w:rPr>
          <w:rFonts w:cs="Arial"/>
          <w:b/>
          <w:szCs w:val="22"/>
        </w:rPr>
      </w:pPr>
      <w:r>
        <w:rPr>
          <w:rFonts w:cs="Arial"/>
          <w:b/>
          <w:szCs w:val="22"/>
        </w:rPr>
        <w:t>J E DLAMINI</w:t>
      </w:r>
    </w:p>
    <w:p w14:paraId="49E3CDFC" w14:textId="379BBD6F" w:rsidR="009E0C10" w:rsidRDefault="009E0C10" w:rsidP="009E0C10">
      <w:pPr>
        <w:widowControl w:val="0"/>
        <w:tabs>
          <w:tab w:val="right" w:pos="0"/>
        </w:tabs>
        <w:spacing w:line="360" w:lineRule="auto"/>
        <w:jc w:val="right"/>
        <w:rPr>
          <w:rFonts w:cs="Arial"/>
          <w:b/>
          <w:szCs w:val="22"/>
        </w:rPr>
      </w:pPr>
      <w:r w:rsidRPr="00473024">
        <w:rPr>
          <w:rFonts w:cs="Arial"/>
          <w:b/>
          <w:szCs w:val="22"/>
        </w:rPr>
        <w:t>JUDGE OF THE HIGH COURT OF SOUTH AFRICA</w:t>
      </w:r>
    </w:p>
    <w:p w14:paraId="784CF89B" w14:textId="77777777" w:rsidR="009E0C10" w:rsidRPr="0009745A" w:rsidRDefault="009E0C10" w:rsidP="009E0C10">
      <w:pPr>
        <w:keepNext/>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3BEA3CEF" w14:textId="77777777" w:rsidR="009E0C10" w:rsidRDefault="009E0C10" w:rsidP="009E0C10">
      <w:pPr>
        <w:keepNext/>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6CBF0C6F" w14:textId="77777777" w:rsidR="009E0C10" w:rsidRPr="00473024" w:rsidRDefault="009E0C10" w:rsidP="009E0C10">
      <w:pPr>
        <w:widowControl w:val="0"/>
        <w:tabs>
          <w:tab w:val="right" w:pos="0"/>
        </w:tabs>
        <w:spacing w:line="360" w:lineRule="auto"/>
        <w:jc w:val="right"/>
        <w:rPr>
          <w:rFonts w:cs="Arial"/>
          <w:b/>
          <w:szCs w:val="22"/>
        </w:rPr>
      </w:pPr>
    </w:p>
    <w:p w14:paraId="35E46EC2" w14:textId="77777777" w:rsidR="009E0C10" w:rsidRPr="0009745A" w:rsidRDefault="009E0C10" w:rsidP="009E0C10">
      <w:pPr>
        <w:keepNext/>
        <w:widowControl w:val="0"/>
        <w:tabs>
          <w:tab w:val="right" w:pos="0"/>
          <w:tab w:val="left" w:pos="4253"/>
        </w:tabs>
        <w:spacing w:line="360" w:lineRule="auto"/>
        <w:contextualSpacing/>
        <w:jc w:val="right"/>
        <w:rPr>
          <w:rFonts w:cs="Arial"/>
          <w:b/>
          <w:szCs w:val="22"/>
        </w:rPr>
      </w:pPr>
    </w:p>
    <w:p w14:paraId="326B529B"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p>
    <w:p w14:paraId="5A4CC56C" w14:textId="051C4E22" w:rsidR="006C43D7" w:rsidRPr="0009745A" w:rsidRDefault="006C43D7" w:rsidP="005E09BA">
      <w:pPr>
        <w:widowControl w:val="0"/>
        <w:spacing w:after="200" w:line="480" w:lineRule="auto"/>
        <w:contextualSpacing/>
        <w:jc w:val="right"/>
        <w:rPr>
          <w:rFonts w:cs="Arial"/>
          <w:b/>
          <w:i/>
          <w:iCs/>
          <w:szCs w:val="22"/>
        </w:rPr>
      </w:pPr>
      <w:r w:rsidRPr="0009745A">
        <w:rPr>
          <w:rFonts w:cs="Arial"/>
          <w:b/>
          <w:i/>
          <w:iCs/>
          <w:szCs w:val="22"/>
        </w:rPr>
        <w:t>Electronically submitted</w:t>
      </w:r>
    </w:p>
    <w:p w14:paraId="4E3E9427" w14:textId="77777777" w:rsidR="006C43D7" w:rsidRPr="0009745A" w:rsidRDefault="006C43D7" w:rsidP="00250A46">
      <w:pPr>
        <w:widowControl w:val="0"/>
        <w:spacing w:after="200" w:line="360" w:lineRule="auto"/>
        <w:contextualSpacing/>
        <w:jc w:val="both"/>
        <w:rPr>
          <w:rFonts w:eastAsia="Arial Unicode MS" w:cs="Arial"/>
          <w:bCs/>
          <w:szCs w:val="22"/>
        </w:rPr>
      </w:pPr>
    </w:p>
    <w:p w14:paraId="51C686CA" w14:textId="66B385B6" w:rsidR="006C43D7" w:rsidRPr="0009745A" w:rsidRDefault="006C43D7" w:rsidP="00250A46">
      <w:pPr>
        <w:widowControl w:val="0"/>
        <w:spacing w:after="200" w:line="360" w:lineRule="auto"/>
        <w:contextualSpacing/>
        <w:jc w:val="both"/>
        <w:rPr>
          <w:rFonts w:eastAsia="Arial Unicode MS" w:cs="Arial"/>
          <w:bCs/>
          <w:szCs w:val="22"/>
        </w:rPr>
      </w:pPr>
      <w:r w:rsidRPr="0009745A">
        <w:rPr>
          <w:rFonts w:eastAsia="Arial Unicode MS" w:cs="Arial"/>
          <w:bCs/>
          <w:szCs w:val="22"/>
        </w:rPr>
        <w:t>Delivered: This judgement was prepared and authored by the Judge</w:t>
      </w:r>
      <w:r w:rsidR="007B0FB8">
        <w:rPr>
          <w:rFonts w:eastAsia="Arial Unicode MS" w:cs="Arial"/>
          <w:bCs/>
          <w:szCs w:val="22"/>
        </w:rPr>
        <w:t>s</w:t>
      </w:r>
      <w:r w:rsidRPr="0009745A">
        <w:rPr>
          <w:rFonts w:eastAsia="Arial Unicode MS" w:cs="Arial"/>
          <w:bCs/>
          <w:szCs w:val="22"/>
        </w:rPr>
        <w:t xml:space="preserve"> whose name</w:t>
      </w:r>
      <w:r w:rsidR="009C4484">
        <w:rPr>
          <w:rFonts w:eastAsia="Arial Unicode MS" w:cs="Arial"/>
          <w:bCs/>
          <w:szCs w:val="22"/>
        </w:rPr>
        <w:t>s are</w:t>
      </w:r>
      <w:r w:rsidRPr="0009745A">
        <w:rPr>
          <w:rFonts w:eastAsia="Arial Unicode MS" w:cs="Arial"/>
          <w:bCs/>
          <w:szCs w:val="22"/>
        </w:rPr>
        <w:t xml:space="preserve"> reflected and is handed down electronically by circulation to the Parties / their legal representatives by email and by uploading it to the electronic file of this matter on </w:t>
      </w:r>
      <w:proofErr w:type="spellStart"/>
      <w:r w:rsidRPr="0009745A">
        <w:rPr>
          <w:rFonts w:eastAsia="Arial Unicode MS" w:cs="Arial"/>
          <w:bCs/>
          <w:szCs w:val="22"/>
        </w:rPr>
        <w:t>Case</w:t>
      </w:r>
      <w:r w:rsidR="000C1421" w:rsidRPr="0009745A">
        <w:rPr>
          <w:rFonts w:eastAsia="Arial Unicode MS" w:cs="Arial"/>
          <w:bCs/>
          <w:szCs w:val="22"/>
        </w:rPr>
        <w:t>L</w:t>
      </w:r>
      <w:r w:rsidRPr="0009745A">
        <w:rPr>
          <w:rFonts w:eastAsia="Arial Unicode MS" w:cs="Arial"/>
          <w:bCs/>
          <w:szCs w:val="22"/>
        </w:rPr>
        <w:t>ines</w:t>
      </w:r>
      <w:proofErr w:type="spellEnd"/>
      <w:r w:rsidRPr="0009745A">
        <w:rPr>
          <w:rFonts w:eastAsia="Arial Unicode MS" w:cs="Arial"/>
          <w:bCs/>
          <w:szCs w:val="22"/>
        </w:rPr>
        <w:t>. The date of the judgment is deemed to be</w:t>
      </w:r>
      <w:r w:rsidR="00357D35" w:rsidRPr="00F057D3">
        <w:rPr>
          <w:rFonts w:eastAsia="Arial Unicode MS" w:cs="Arial"/>
          <w:b/>
          <w:bCs/>
          <w:szCs w:val="22"/>
        </w:rPr>
        <w:t xml:space="preserve"> </w:t>
      </w:r>
      <w:r w:rsidR="00543052">
        <w:rPr>
          <w:rFonts w:eastAsia="Arial Unicode MS" w:cs="Arial"/>
          <w:b/>
          <w:bCs/>
          <w:szCs w:val="22"/>
        </w:rPr>
        <w:t>4</w:t>
      </w:r>
      <w:r w:rsidR="00F057D3" w:rsidRPr="00F057D3">
        <w:rPr>
          <w:rFonts w:eastAsia="Arial Unicode MS" w:cs="Arial"/>
          <w:b/>
          <w:bCs/>
          <w:szCs w:val="22"/>
        </w:rPr>
        <w:t xml:space="preserve"> </w:t>
      </w:r>
      <w:r w:rsidR="008A42E5">
        <w:rPr>
          <w:rFonts w:eastAsia="Arial Unicode MS" w:cs="Arial"/>
          <w:b/>
          <w:bCs/>
          <w:szCs w:val="22"/>
        </w:rPr>
        <w:t>MAY</w:t>
      </w:r>
      <w:r w:rsidR="00991B1A" w:rsidRPr="0009745A">
        <w:rPr>
          <w:rFonts w:eastAsia="Arial Unicode MS" w:cs="Arial"/>
          <w:b/>
          <w:bCs/>
          <w:szCs w:val="22"/>
        </w:rPr>
        <w:t xml:space="preserve"> 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62F7" w:rsidRPr="0009745A" w14:paraId="6CDD4926" w14:textId="77777777" w:rsidTr="0098739F">
        <w:tc>
          <w:tcPr>
            <w:tcW w:w="4508" w:type="dxa"/>
          </w:tcPr>
          <w:p w14:paraId="0F4C5124" w14:textId="4DE074BB" w:rsidR="009B62F7" w:rsidRPr="0009745A" w:rsidRDefault="00245819" w:rsidP="0098739F">
            <w:pPr>
              <w:widowControl w:val="0"/>
              <w:spacing w:before="120" w:after="120"/>
              <w:jc w:val="both"/>
              <w:rPr>
                <w:rFonts w:eastAsia="Arial Unicode MS" w:cs="Arial"/>
                <w:b/>
                <w:bCs/>
                <w:szCs w:val="22"/>
              </w:rPr>
            </w:pPr>
            <w:r>
              <w:rPr>
                <w:rFonts w:cs="Arial"/>
                <w:szCs w:val="22"/>
              </w:rPr>
              <w:t>APPEARANCE</w:t>
            </w:r>
            <w:r w:rsidR="009B62F7" w:rsidRPr="0009745A">
              <w:rPr>
                <w:rFonts w:cs="Arial"/>
                <w:szCs w:val="22"/>
              </w:rPr>
              <w:t xml:space="preserve"> FOR THE </w:t>
            </w:r>
            <w:r w:rsidR="00F51F27">
              <w:rPr>
                <w:rFonts w:cs="Arial"/>
                <w:szCs w:val="22"/>
              </w:rPr>
              <w:t>APPELLANT</w:t>
            </w:r>
            <w:r w:rsidR="009B62F7" w:rsidRPr="0009745A">
              <w:rPr>
                <w:rFonts w:cs="Arial"/>
                <w:szCs w:val="22"/>
              </w:rPr>
              <w:t>:</w:t>
            </w:r>
          </w:p>
        </w:tc>
        <w:tc>
          <w:tcPr>
            <w:tcW w:w="4508" w:type="dxa"/>
          </w:tcPr>
          <w:p w14:paraId="7DD198BB" w14:textId="3101D8DE" w:rsidR="009B62F7" w:rsidRPr="00C905EB" w:rsidRDefault="00245819" w:rsidP="0098739F">
            <w:pPr>
              <w:widowControl w:val="0"/>
              <w:spacing w:before="120" w:after="120"/>
              <w:jc w:val="right"/>
              <w:rPr>
                <w:rFonts w:eastAsia="Arial Unicode MS" w:cs="Arial"/>
                <w:szCs w:val="22"/>
              </w:rPr>
            </w:pPr>
            <w:r>
              <w:rPr>
                <w:rFonts w:eastAsia="Arial Unicode MS" w:cs="Arial"/>
                <w:szCs w:val="22"/>
              </w:rPr>
              <w:t>K J SELALA</w:t>
            </w:r>
          </w:p>
        </w:tc>
      </w:tr>
      <w:tr w:rsidR="009B62F7" w:rsidRPr="0009745A" w14:paraId="6B458BBE" w14:textId="77777777" w:rsidTr="0098739F">
        <w:tc>
          <w:tcPr>
            <w:tcW w:w="4508" w:type="dxa"/>
          </w:tcPr>
          <w:p w14:paraId="004C2388" w14:textId="4D252395"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INSTRUCTED BY: </w:t>
            </w:r>
          </w:p>
        </w:tc>
        <w:tc>
          <w:tcPr>
            <w:tcW w:w="4508" w:type="dxa"/>
          </w:tcPr>
          <w:p w14:paraId="03FBBB1A" w14:textId="054E6DEF" w:rsidR="009B62F7" w:rsidRPr="00C905EB" w:rsidRDefault="00245819" w:rsidP="0098739F">
            <w:pPr>
              <w:widowControl w:val="0"/>
              <w:spacing w:before="120" w:after="120"/>
              <w:jc w:val="right"/>
              <w:rPr>
                <w:rFonts w:eastAsia="Arial Unicode MS" w:cs="Arial"/>
                <w:szCs w:val="22"/>
              </w:rPr>
            </w:pPr>
            <w:r>
              <w:rPr>
                <w:rFonts w:eastAsia="Arial Unicode MS" w:cs="Arial"/>
                <w:szCs w:val="22"/>
              </w:rPr>
              <w:t>K J SELALA ATTORNEYS</w:t>
            </w:r>
          </w:p>
        </w:tc>
      </w:tr>
      <w:tr w:rsidR="009B62F7" w:rsidRPr="0009745A" w14:paraId="2094B6A6" w14:textId="77777777" w:rsidTr="0098739F">
        <w:tc>
          <w:tcPr>
            <w:tcW w:w="4508" w:type="dxa"/>
          </w:tcPr>
          <w:p w14:paraId="660EE22E" w14:textId="02F34240" w:rsidR="009B62F7" w:rsidRPr="0009745A" w:rsidRDefault="009B62F7" w:rsidP="0098739F">
            <w:pPr>
              <w:widowControl w:val="0"/>
              <w:spacing w:before="120" w:after="120"/>
              <w:jc w:val="both"/>
              <w:rPr>
                <w:rFonts w:eastAsia="Arial Unicode MS" w:cs="Arial"/>
                <w:b/>
                <w:bCs/>
                <w:szCs w:val="22"/>
              </w:rPr>
            </w:pPr>
            <w:r w:rsidRPr="0009745A">
              <w:rPr>
                <w:rFonts w:cs="Arial"/>
                <w:szCs w:val="22"/>
              </w:rPr>
              <w:t>COUNSEL FOR TH</w:t>
            </w:r>
            <w:r w:rsidR="00F51F27">
              <w:rPr>
                <w:rFonts w:cs="Arial"/>
                <w:szCs w:val="22"/>
              </w:rPr>
              <w:t>E RESPONDENT</w:t>
            </w:r>
            <w:r w:rsidR="00502CBC" w:rsidRPr="00502CBC">
              <w:rPr>
                <w:rFonts w:eastAsia="Arial Unicode MS" w:cs="Arial"/>
                <w:szCs w:val="22"/>
              </w:rPr>
              <w:t>:</w:t>
            </w:r>
          </w:p>
        </w:tc>
        <w:tc>
          <w:tcPr>
            <w:tcW w:w="4508" w:type="dxa"/>
          </w:tcPr>
          <w:p w14:paraId="6407F6D2" w14:textId="40DE27FA" w:rsidR="009B62F7" w:rsidRPr="00C905EB" w:rsidRDefault="00245819" w:rsidP="0098739F">
            <w:pPr>
              <w:autoSpaceDE w:val="0"/>
              <w:autoSpaceDN w:val="0"/>
              <w:adjustRightInd w:val="0"/>
              <w:spacing w:before="120" w:after="120"/>
              <w:jc w:val="right"/>
              <w:rPr>
                <w:rFonts w:eastAsia="Arial Unicode MS" w:cs="Arial"/>
                <w:szCs w:val="22"/>
              </w:rPr>
            </w:pPr>
            <w:r>
              <w:rPr>
                <w:rFonts w:eastAsia="Arial Unicode MS" w:cs="Arial"/>
                <w:szCs w:val="22"/>
              </w:rPr>
              <w:t>NO APPEARANCE</w:t>
            </w:r>
          </w:p>
        </w:tc>
      </w:tr>
      <w:tr w:rsidR="009B62F7" w:rsidRPr="0009745A" w14:paraId="78D0B5E2" w14:textId="77777777" w:rsidTr="0098739F">
        <w:tc>
          <w:tcPr>
            <w:tcW w:w="4508" w:type="dxa"/>
          </w:tcPr>
          <w:p w14:paraId="042FC86A" w14:textId="24C629D6" w:rsidR="009B62F7" w:rsidRPr="0009745A" w:rsidRDefault="009B62F7" w:rsidP="0098739F">
            <w:pPr>
              <w:widowControl w:val="0"/>
              <w:spacing w:before="120" w:after="120"/>
              <w:jc w:val="both"/>
              <w:rPr>
                <w:rFonts w:eastAsia="Arial Unicode MS" w:cs="Arial"/>
                <w:b/>
                <w:bCs/>
                <w:szCs w:val="22"/>
              </w:rPr>
            </w:pPr>
            <w:r w:rsidRPr="0009745A">
              <w:rPr>
                <w:rFonts w:cs="Arial"/>
                <w:szCs w:val="22"/>
              </w:rPr>
              <w:t>INSTRUCTED BY:</w:t>
            </w:r>
          </w:p>
        </w:tc>
        <w:tc>
          <w:tcPr>
            <w:tcW w:w="4508" w:type="dxa"/>
          </w:tcPr>
          <w:p w14:paraId="38283046" w14:textId="25B082B4" w:rsidR="009B62F7" w:rsidRPr="00C905EB" w:rsidRDefault="00245819" w:rsidP="0098739F">
            <w:pPr>
              <w:widowControl w:val="0"/>
              <w:spacing w:before="120" w:after="120"/>
              <w:jc w:val="right"/>
              <w:rPr>
                <w:rFonts w:eastAsia="Arial Unicode MS" w:cs="Arial"/>
                <w:szCs w:val="22"/>
              </w:rPr>
            </w:pPr>
            <w:r>
              <w:rPr>
                <w:rFonts w:eastAsia="Arial Unicode MS" w:cs="Arial"/>
                <w:szCs w:val="22"/>
              </w:rPr>
              <w:t>-</w:t>
            </w:r>
          </w:p>
        </w:tc>
      </w:tr>
      <w:tr w:rsidR="009B62F7" w:rsidRPr="0009745A" w14:paraId="4AAB18B9" w14:textId="77777777" w:rsidTr="0098739F">
        <w:tc>
          <w:tcPr>
            <w:tcW w:w="4508" w:type="dxa"/>
          </w:tcPr>
          <w:p w14:paraId="79DE91BD" w14:textId="2E42E4A5" w:rsidR="009B62F7" w:rsidRPr="0009745A" w:rsidRDefault="0098739F" w:rsidP="0098739F">
            <w:pPr>
              <w:widowControl w:val="0"/>
              <w:spacing w:before="120" w:after="120"/>
              <w:jc w:val="both"/>
              <w:rPr>
                <w:rFonts w:eastAsia="Arial Unicode MS" w:cs="Arial"/>
                <w:b/>
                <w:bCs/>
                <w:szCs w:val="22"/>
              </w:rPr>
            </w:pPr>
            <w:r w:rsidRPr="0009745A">
              <w:rPr>
                <w:rFonts w:cs="Arial"/>
                <w:szCs w:val="22"/>
              </w:rPr>
              <w:t>DATE OF THE HEARING:</w:t>
            </w:r>
          </w:p>
        </w:tc>
        <w:tc>
          <w:tcPr>
            <w:tcW w:w="4508" w:type="dxa"/>
          </w:tcPr>
          <w:p w14:paraId="6A89FC90" w14:textId="45604593" w:rsidR="009B62F7" w:rsidRPr="00C905EB" w:rsidRDefault="009C4484" w:rsidP="0098739F">
            <w:pPr>
              <w:widowControl w:val="0"/>
              <w:spacing w:before="120" w:after="120"/>
              <w:jc w:val="right"/>
              <w:rPr>
                <w:rFonts w:eastAsia="Arial Unicode MS" w:cs="Arial"/>
                <w:szCs w:val="22"/>
              </w:rPr>
            </w:pPr>
            <w:r>
              <w:rPr>
                <w:rFonts w:cs="Arial"/>
                <w:szCs w:val="22"/>
              </w:rPr>
              <w:t>25</w:t>
            </w:r>
            <w:r w:rsidR="00C905EB" w:rsidRPr="00C905EB">
              <w:rPr>
                <w:rFonts w:cs="Arial"/>
                <w:szCs w:val="22"/>
              </w:rPr>
              <w:t xml:space="preserve"> APRIL </w:t>
            </w:r>
            <w:r w:rsidR="0098739F" w:rsidRPr="00C905EB">
              <w:rPr>
                <w:rFonts w:cs="Arial"/>
                <w:szCs w:val="22"/>
              </w:rPr>
              <w:t>2023</w:t>
            </w:r>
          </w:p>
        </w:tc>
      </w:tr>
      <w:tr w:rsidR="0098739F" w:rsidRPr="0009745A" w14:paraId="32221BF2" w14:textId="77777777" w:rsidTr="0098739F">
        <w:tc>
          <w:tcPr>
            <w:tcW w:w="4508" w:type="dxa"/>
          </w:tcPr>
          <w:p w14:paraId="0EFD4A3E" w14:textId="0FD2ACFD" w:rsidR="0098739F" w:rsidRPr="0009745A" w:rsidRDefault="0098739F" w:rsidP="0098739F">
            <w:pPr>
              <w:widowControl w:val="0"/>
              <w:spacing w:before="120" w:after="120"/>
              <w:jc w:val="both"/>
              <w:rPr>
                <w:rFonts w:cs="Arial"/>
                <w:szCs w:val="22"/>
              </w:rPr>
            </w:pPr>
            <w:r w:rsidRPr="0009745A">
              <w:rPr>
                <w:rFonts w:cs="Arial"/>
                <w:szCs w:val="22"/>
              </w:rPr>
              <w:t>DATE OF JUDGMENT:</w:t>
            </w:r>
          </w:p>
        </w:tc>
        <w:tc>
          <w:tcPr>
            <w:tcW w:w="4508" w:type="dxa"/>
          </w:tcPr>
          <w:p w14:paraId="2615EC97" w14:textId="6F7B4FF8" w:rsidR="0098739F" w:rsidRPr="00C905EB" w:rsidRDefault="00F057D3" w:rsidP="0098739F">
            <w:pPr>
              <w:widowControl w:val="0"/>
              <w:spacing w:before="120" w:after="120"/>
              <w:jc w:val="right"/>
              <w:rPr>
                <w:rFonts w:cs="Arial"/>
                <w:szCs w:val="22"/>
              </w:rPr>
            </w:pPr>
            <w:r>
              <w:rPr>
                <w:rFonts w:cs="Arial"/>
                <w:szCs w:val="22"/>
              </w:rPr>
              <w:t>3</w:t>
            </w:r>
            <w:r w:rsidR="008A42E5">
              <w:rPr>
                <w:rFonts w:cs="Arial"/>
                <w:szCs w:val="22"/>
              </w:rPr>
              <w:t xml:space="preserve"> MAY</w:t>
            </w:r>
            <w:r w:rsidR="00C905EB" w:rsidRPr="00C905EB">
              <w:rPr>
                <w:rFonts w:cs="Arial"/>
                <w:szCs w:val="22"/>
              </w:rPr>
              <w:t xml:space="preserve"> </w:t>
            </w:r>
            <w:r w:rsidR="0098739F" w:rsidRPr="00C905EB">
              <w:rPr>
                <w:rFonts w:cs="Arial"/>
                <w:szCs w:val="22"/>
              </w:rPr>
              <w:t>2023</w:t>
            </w:r>
          </w:p>
        </w:tc>
      </w:tr>
    </w:tbl>
    <w:p w14:paraId="6D7F3969" w14:textId="76A86C9F" w:rsidR="00A675FB" w:rsidRPr="0009745A" w:rsidRDefault="00A675FB" w:rsidP="0098739F">
      <w:pPr>
        <w:widowControl w:val="0"/>
        <w:spacing w:after="200" w:line="360" w:lineRule="auto"/>
        <w:contextualSpacing/>
        <w:jc w:val="both"/>
        <w:rPr>
          <w:rFonts w:cs="Arial"/>
          <w:szCs w:val="22"/>
        </w:rPr>
      </w:pPr>
    </w:p>
    <w:sectPr w:rsidR="00A675FB" w:rsidRPr="0009745A" w:rsidSect="00A675FB">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98995" w14:textId="77777777" w:rsidR="0008780C" w:rsidRDefault="0008780C">
      <w:r>
        <w:separator/>
      </w:r>
    </w:p>
  </w:endnote>
  <w:endnote w:type="continuationSeparator" w:id="0">
    <w:p w14:paraId="66AE635D" w14:textId="77777777" w:rsidR="0008780C" w:rsidRDefault="0008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CE9A" w14:textId="77777777" w:rsidR="0008780C" w:rsidRDefault="0008780C">
      <w:r>
        <w:separator/>
      </w:r>
    </w:p>
  </w:footnote>
  <w:footnote w:type="continuationSeparator" w:id="0">
    <w:p w14:paraId="0C2CFB8A" w14:textId="77777777" w:rsidR="0008780C" w:rsidRDefault="0008780C">
      <w:r>
        <w:continuationSeparator/>
      </w:r>
    </w:p>
  </w:footnote>
  <w:footnote w:id="1">
    <w:p w14:paraId="1FAF99D6" w14:textId="402C07F5" w:rsidR="00584A03" w:rsidRDefault="00584A03">
      <w:pPr>
        <w:pStyle w:val="FootnoteText"/>
      </w:pPr>
      <w:r>
        <w:rPr>
          <w:rStyle w:val="FootnoteReference"/>
        </w:rPr>
        <w:footnoteRef/>
      </w:r>
      <w:r>
        <w:t xml:space="preserve"> </w:t>
      </w:r>
      <w:r>
        <w:tab/>
        <w:t xml:space="preserve">In terms of section 83 of the Magistrates’ Court Act, 32 of 1944. See </w:t>
      </w:r>
      <w:r w:rsidRPr="000C0EEC">
        <w:t xml:space="preserve">Van </w:t>
      </w:r>
      <w:proofErr w:type="spellStart"/>
      <w:r w:rsidRPr="000C0EEC">
        <w:t>Loggerenberg</w:t>
      </w:r>
      <w:proofErr w:type="spellEnd"/>
      <w:r w:rsidRPr="000C0EEC">
        <w:t xml:space="preserve"> </w:t>
      </w:r>
      <w:r w:rsidRPr="000C0EEC">
        <w:rPr>
          <w:i/>
          <w:iCs/>
        </w:rPr>
        <w:t>Jones and Buckle: Civil Practice of the Magistrates' Courts in South Africa</w:t>
      </w:r>
      <w:r>
        <w:rPr>
          <w:i/>
          <w:iCs/>
        </w:rPr>
        <w:t xml:space="preserve"> </w:t>
      </w:r>
      <w:r>
        <w:t>10</w:t>
      </w:r>
      <w:r w:rsidRPr="000C0EEC">
        <w:rPr>
          <w:vertAlign w:val="superscript"/>
        </w:rPr>
        <w:t>th</w:t>
      </w:r>
      <w:r>
        <w:t xml:space="preserve">. Ed, </w:t>
      </w:r>
      <w:r w:rsidRPr="00B14616">
        <w:t>2022, RS 26, 2022 Act-p583</w:t>
      </w:r>
      <w:r>
        <w:t>.</w:t>
      </w:r>
    </w:p>
  </w:footnote>
  <w:footnote w:id="2">
    <w:p w14:paraId="04B63340" w14:textId="563AE117" w:rsidR="00CA1FB7" w:rsidRDefault="00CA1FB7" w:rsidP="00CA1FB7">
      <w:pPr>
        <w:pStyle w:val="FootnoteText"/>
      </w:pPr>
      <w:r>
        <w:rPr>
          <w:rStyle w:val="FootnoteReference"/>
        </w:rPr>
        <w:footnoteRef/>
      </w:r>
      <w:r>
        <w:t xml:space="preserve"> </w:t>
      </w:r>
      <w:r>
        <w:tab/>
      </w:r>
      <w:r w:rsidRPr="000C0EEC">
        <w:t xml:space="preserve">Van </w:t>
      </w:r>
      <w:proofErr w:type="spellStart"/>
      <w:r w:rsidRPr="000C0EEC">
        <w:t>Loggerenberg</w:t>
      </w:r>
      <w:proofErr w:type="spellEnd"/>
      <w:r w:rsidRPr="000C0EEC">
        <w:t xml:space="preserve"> </w:t>
      </w:r>
      <w:r w:rsidRPr="000C0EEC">
        <w:rPr>
          <w:i/>
          <w:iCs/>
        </w:rPr>
        <w:t>Jones and Buckle: Civil Practice of the Magistrates' Courts in South Africa</w:t>
      </w:r>
      <w:r>
        <w:rPr>
          <w:i/>
          <w:iCs/>
        </w:rPr>
        <w:t xml:space="preserve"> </w:t>
      </w:r>
      <w:r>
        <w:t>10</w:t>
      </w:r>
      <w:r w:rsidRPr="000C0EEC">
        <w:rPr>
          <w:vertAlign w:val="superscript"/>
        </w:rPr>
        <w:t>th</w:t>
      </w:r>
      <w:r>
        <w:t xml:space="preserve">. Ed, </w:t>
      </w:r>
      <w:r w:rsidRPr="00B14616">
        <w:t xml:space="preserve">2022, </w:t>
      </w:r>
      <w:r w:rsidRPr="00930AEB">
        <w:t>RS 18, 2018 Rule-p49-1</w:t>
      </w:r>
      <w:r>
        <w:t>.</w:t>
      </w:r>
    </w:p>
  </w:footnote>
  <w:footnote w:id="3">
    <w:p w14:paraId="75FF3A0C" w14:textId="77777777" w:rsidR="00913160" w:rsidRDefault="00913160" w:rsidP="00913160">
      <w:pPr>
        <w:pStyle w:val="FootnoteText"/>
      </w:pPr>
      <w:r>
        <w:rPr>
          <w:rStyle w:val="FootnoteReference"/>
        </w:rPr>
        <w:footnoteRef/>
      </w:r>
      <w:r>
        <w:t xml:space="preserve"> </w:t>
      </w:r>
      <w:r>
        <w:tab/>
      </w:r>
      <w:r w:rsidRPr="00B45EF0">
        <w:rPr>
          <w:rFonts w:cs="Arial"/>
          <w:i/>
          <w:iCs/>
          <w:color w:val="000000" w:themeColor="text1"/>
          <w:shd w:val="clear" w:color="auto" w:fill="FFFFFF"/>
        </w:rPr>
        <w:t>Grant v Plumbers (Pty) Ltd</w:t>
      </w:r>
      <w:r w:rsidRPr="00B45EF0">
        <w:rPr>
          <w:rFonts w:cs="Arial"/>
          <w:color w:val="000000" w:themeColor="text1"/>
          <w:shd w:val="clear" w:color="auto" w:fill="FFFFFF"/>
        </w:rPr>
        <w:t> </w:t>
      </w:r>
      <w:hyperlink r:id="rId1" w:anchor="unresolved-internal/scpr-SCPR_492470" w:history="1">
        <w:r w:rsidRPr="00B45EF0">
          <w:rPr>
            <w:rStyle w:val="Hyperlink"/>
            <w:rFonts w:cs="Arial"/>
            <w:color w:val="000000" w:themeColor="text1"/>
            <w:u w:val="none"/>
            <w:shd w:val="clear" w:color="auto" w:fill="FFFFFF"/>
          </w:rPr>
          <w:t>1949 (2) SA 470 (O)</w:t>
        </w:r>
      </w:hyperlink>
      <w:r w:rsidRPr="00B45EF0">
        <w:rPr>
          <w:rFonts w:cs="Arial"/>
          <w:color w:val="000000" w:themeColor="text1"/>
          <w:shd w:val="clear" w:color="auto" w:fill="FFFFFF"/>
        </w:rPr>
        <w:t xml:space="preserve"> 476–7</w:t>
      </w:r>
      <w:r>
        <w:rPr>
          <w:rFonts w:cs="Arial"/>
          <w:color w:val="000000" w:themeColor="text1"/>
          <w:shd w:val="clear" w:color="auto" w:fill="FFFFFF"/>
        </w:rPr>
        <w:t>.</w:t>
      </w:r>
    </w:p>
  </w:footnote>
  <w:footnote w:id="4">
    <w:p w14:paraId="5B62CB4E" w14:textId="77777777" w:rsidR="00913160" w:rsidRDefault="00913160" w:rsidP="00913160">
      <w:pPr>
        <w:pStyle w:val="FootnoteText"/>
      </w:pPr>
      <w:r>
        <w:rPr>
          <w:rStyle w:val="FootnoteReference"/>
        </w:rPr>
        <w:footnoteRef/>
      </w:r>
      <w:r>
        <w:t xml:space="preserve"> </w:t>
      </w:r>
      <w:r>
        <w:tab/>
        <w:t>Rule 43 (O.F.S.).</w:t>
      </w:r>
    </w:p>
  </w:footnote>
  <w:footnote w:id="5">
    <w:p w14:paraId="781E4D5E" w14:textId="77777777" w:rsidR="00913160" w:rsidRPr="00530C11" w:rsidRDefault="00913160" w:rsidP="00913160">
      <w:pPr>
        <w:pStyle w:val="FootnoteText"/>
        <w:rPr>
          <w:rFonts w:cs="Arial"/>
          <w:color w:val="000000" w:themeColor="text1"/>
        </w:rPr>
      </w:pPr>
      <w:r>
        <w:rPr>
          <w:rStyle w:val="FootnoteReference"/>
        </w:rPr>
        <w:footnoteRef/>
      </w:r>
      <w:r>
        <w:t xml:space="preserve"> </w:t>
      </w:r>
      <w:r>
        <w:tab/>
        <w:t xml:space="preserve">The Judge referred to </w:t>
      </w:r>
      <w:proofErr w:type="spellStart"/>
      <w:r w:rsidRPr="00530C11">
        <w:rPr>
          <w:rFonts w:cs="Arial"/>
          <w:i/>
          <w:iCs/>
          <w:color w:val="000000" w:themeColor="text1"/>
        </w:rPr>
        <w:t>Joosub</w:t>
      </w:r>
      <w:proofErr w:type="spellEnd"/>
      <w:r w:rsidRPr="00530C11">
        <w:rPr>
          <w:rFonts w:cs="Arial"/>
          <w:i/>
          <w:iCs/>
          <w:color w:val="000000" w:themeColor="text1"/>
        </w:rPr>
        <w:t xml:space="preserve"> v Natal Bank</w:t>
      </w:r>
      <w:r w:rsidRPr="00530C11">
        <w:rPr>
          <w:rFonts w:cs="Arial"/>
          <w:color w:val="000000" w:themeColor="text1"/>
        </w:rPr>
        <w:t> 1908 TS 375</w:t>
      </w:r>
      <w:r>
        <w:rPr>
          <w:rFonts w:cs="Arial"/>
          <w:color w:val="000000" w:themeColor="text1"/>
        </w:rPr>
        <w:t xml:space="preserve">, </w:t>
      </w:r>
      <w:r w:rsidRPr="00530C11">
        <w:rPr>
          <w:rFonts w:cs="Arial"/>
          <w:i/>
          <w:iCs/>
          <w:color w:val="000000" w:themeColor="text1"/>
        </w:rPr>
        <w:t xml:space="preserve">Cairns' Executors v </w:t>
      </w:r>
      <w:proofErr w:type="spellStart"/>
      <w:r w:rsidRPr="00530C11">
        <w:rPr>
          <w:rFonts w:cs="Arial"/>
          <w:i/>
          <w:iCs/>
          <w:color w:val="000000" w:themeColor="text1"/>
        </w:rPr>
        <w:t>Gaarn</w:t>
      </w:r>
      <w:proofErr w:type="spellEnd"/>
      <w:r w:rsidRPr="00530C11">
        <w:rPr>
          <w:rFonts w:cs="Arial"/>
          <w:color w:val="000000" w:themeColor="text1"/>
        </w:rPr>
        <w:t> </w:t>
      </w:r>
      <w:hyperlink r:id="rId2" w:history="1">
        <w:r w:rsidRPr="00530C11">
          <w:rPr>
            <w:rStyle w:val="Hyperlink"/>
            <w:rFonts w:cs="Arial"/>
            <w:color w:val="000000" w:themeColor="text1"/>
            <w:u w:val="none"/>
          </w:rPr>
          <w:t>1912 AD 181</w:t>
        </w:r>
      </w:hyperlink>
      <w:r w:rsidRPr="00530C11">
        <w:rPr>
          <w:rFonts w:cs="Arial"/>
          <w:color w:val="000000" w:themeColor="text1"/>
        </w:rPr>
        <w:t xml:space="preserve">, </w:t>
      </w:r>
      <w:proofErr w:type="spellStart"/>
      <w:r w:rsidRPr="00530C11">
        <w:rPr>
          <w:rFonts w:cs="Arial"/>
          <w:i/>
          <w:iCs/>
          <w:color w:val="000000" w:themeColor="text1"/>
        </w:rPr>
        <w:t>Abdool</w:t>
      </w:r>
      <w:proofErr w:type="spellEnd"/>
      <w:r w:rsidRPr="00530C11">
        <w:rPr>
          <w:rFonts w:cs="Arial"/>
          <w:i/>
          <w:iCs/>
          <w:color w:val="000000" w:themeColor="text1"/>
        </w:rPr>
        <w:t xml:space="preserve"> </w:t>
      </w:r>
      <w:proofErr w:type="spellStart"/>
      <w:r w:rsidRPr="00530C11">
        <w:rPr>
          <w:rFonts w:cs="Arial"/>
          <w:i/>
          <w:iCs/>
          <w:color w:val="000000" w:themeColor="text1"/>
        </w:rPr>
        <w:t>Latieb</w:t>
      </w:r>
      <w:proofErr w:type="spellEnd"/>
      <w:r w:rsidRPr="00530C11">
        <w:rPr>
          <w:rFonts w:cs="Arial"/>
          <w:i/>
          <w:iCs/>
          <w:color w:val="000000" w:themeColor="text1"/>
        </w:rPr>
        <w:t xml:space="preserve"> &amp; Co v Jones</w:t>
      </w:r>
      <w:r w:rsidRPr="00530C11">
        <w:rPr>
          <w:rFonts w:cs="Arial"/>
          <w:color w:val="000000" w:themeColor="text1"/>
        </w:rPr>
        <w:t> 1918 TPD 215</w:t>
      </w:r>
      <w:r>
        <w:rPr>
          <w:rFonts w:cs="Arial"/>
          <w:color w:val="000000" w:themeColor="text1"/>
        </w:rPr>
        <w:t xml:space="preserve">, </w:t>
      </w:r>
      <w:proofErr w:type="spellStart"/>
      <w:r w:rsidRPr="00530C11">
        <w:rPr>
          <w:rFonts w:cs="Arial"/>
          <w:i/>
          <w:iCs/>
          <w:color w:val="000000" w:themeColor="text1"/>
        </w:rPr>
        <w:t>Thlobelo</w:t>
      </w:r>
      <w:proofErr w:type="spellEnd"/>
      <w:r w:rsidRPr="00530C11">
        <w:rPr>
          <w:rFonts w:cs="Arial"/>
          <w:i/>
          <w:iCs/>
          <w:color w:val="000000" w:themeColor="text1"/>
        </w:rPr>
        <w:t xml:space="preserve"> v </w:t>
      </w:r>
      <w:proofErr w:type="spellStart"/>
      <w:r w:rsidRPr="00530C11">
        <w:rPr>
          <w:rFonts w:cs="Arial"/>
          <w:i/>
          <w:iCs/>
          <w:color w:val="000000" w:themeColor="text1"/>
        </w:rPr>
        <w:t>Kehiloe</w:t>
      </w:r>
      <w:proofErr w:type="spellEnd"/>
      <w:r w:rsidRPr="00530C11">
        <w:rPr>
          <w:rFonts w:cs="Arial"/>
          <w:color w:val="000000" w:themeColor="text1"/>
        </w:rPr>
        <w:t> (2) 1932 OPD 24</w:t>
      </w:r>
      <w:r>
        <w:rPr>
          <w:rFonts w:cs="Arial"/>
          <w:color w:val="000000" w:themeColor="text1"/>
        </w:rPr>
        <w:t xml:space="preserve">, </w:t>
      </w:r>
      <w:r w:rsidRPr="00530C11">
        <w:rPr>
          <w:rFonts w:cs="Arial"/>
          <w:i/>
          <w:iCs/>
          <w:color w:val="000000" w:themeColor="text1"/>
        </w:rPr>
        <w:t xml:space="preserve">Scott v Trustee, Insolvent Estate </w:t>
      </w:r>
      <w:proofErr w:type="spellStart"/>
      <w:r w:rsidRPr="00530C11">
        <w:rPr>
          <w:rFonts w:cs="Arial"/>
          <w:i/>
          <w:iCs/>
          <w:color w:val="000000" w:themeColor="text1"/>
        </w:rPr>
        <w:t>Comerma</w:t>
      </w:r>
      <w:proofErr w:type="spellEnd"/>
      <w:r w:rsidRPr="00530C11">
        <w:rPr>
          <w:rFonts w:cs="Arial"/>
          <w:color w:val="000000" w:themeColor="text1"/>
        </w:rPr>
        <w:t> 1938 WLD 129,</w:t>
      </w:r>
      <w:r>
        <w:rPr>
          <w:rFonts w:cs="Arial"/>
          <w:color w:val="000000" w:themeColor="text1"/>
        </w:rPr>
        <w:t xml:space="preserve"> and</w:t>
      </w:r>
      <w:r w:rsidRPr="00530C11">
        <w:rPr>
          <w:rFonts w:cs="Arial"/>
          <w:color w:val="000000" w:themeColor="text1"/>
        </w:rPr>
        <w:t xml:space="preserve"> </w:t>
      </w:r>
      <w:proofErr w:type="spellStart"/>
      <w:r w:rsidRPr="00530C11">
        <w:rPr>
          <w:rFonts w:cs="Arial"/>
          <w:i/>
          <w:iCs/>
          <w:color w:val="000000" w:themeColor="text1"/>
        </w:rPr>
        <w:t>Schabort</w:t>
      </w:r>
      <w:proofErr w:type="spellEnd"/>
      <w:r w:rsidRPr="00530C11">
        <w:rPr>
          <w:rFonts w:cs="Arial"/>
          <w:i/>
          <w:iCs/>
          <w:color w:val="000000" w:themeColor="text1"/>
        </w:rPr>
        <w:t xml:space="preserve"> v </w:t>
      </w:r>
      <w:proofErr w:type="spellStart"/>
      <w:r w:rsidRPr="00530C11">
        <w:rPr>
          <w:rFonts w:cs="Arial"/>
          <w:i/>
          <w:iCs/>
          <w:color w:val="000000" w:themeColor="text1"/>
        </w:rPr>
        <w:t>Pocock</w:t>
      </w:r>
      <w:proofErr w:type="spellEnd"/>
      <w:r w:rsidRPr="00530C11">
        <w:rPr>
          <w:rFonts w:cs="Arial"/>
          <w:color w:val="000000" w:themeColor="text1"/>
        </w:rPr>
        <w:t> 1946 CPD 363</w:t>
      </w:r>
      <w:r>
        <w:rPr>
          <w:rFonts w:cs="Arial"/>
          <w:color w:val="000000" w:themeColor="text1"/>
        </w:rPr>
        <w:t>.</w:t>
      </w:r>
    </w:p>
  </w:footnote>
  <w:footnote w:id="6">
    <w:p w14:paraId="3D8B0DC7" w14:textId="77777777" w:rsidR="00913160" w:rsidRPr="00530C11" w:rsidRDefault="00913160" w:rsidP="00913160">
      <w:pPr>
        <w:pStyle w:val="FootnoteText"/>
        <w:rPr>
          <w:color w:val="000000" w:themeColor="text1"/>
        </w:rPr>
      </w:pPr>
      <w:r w:rsidRPr="00530C11">
        <w:rPr>
          <w:rStyle w:val="FootnoteReference"/>
          <w:color w:val="000000" w:themeColor="text1"/>
        </w:rPr>
        <w:footnoteRef/>
      </w:r>
      <w:r w:rsidRPr="00530C11">
        <w:rPr>
          <w:color w:val="000000" w:themeColor="text1"/>
        </w:rPr>
        <w:t xml:space="preserve"> </w:t>
      </w:r>
      <w:r w:rsidRPr="00530C11">
        <w:rPr>
          <w:color w:val="000000" w:themeColor="text1"/>
        </w:rPr>
        <w:tab/>
      </w:r>
      <w:r w:rsidRPr="00530C11">
        <w:rPr>
          <w:i/>
          <w:iCs/>
          <w:color w:val="000000" w:themeColor="text1"/>
        </w:rPr>
        <w:t xml:space="preserve">Cairns' Executors v </w:t>
      </w:r>
      <w:proofErr w:type="spellStart"/>
      <w:r w:rsidRPr="00530C11">
        <w:rPr>
          <w:i/>
          <w:iCs/>
          <w:color w:val="000000" w:themeColor="text1"/>
        </w:rPr>
        <w:t>Gaarn</w:t>
      </w:r>
      <w:proofErr w:type="spellEnd"/>
      <w:r w:rsidRPr="00530C11">
        <w:rPr>
          <w:color w:val="000000" w:themeColor="text1"/>
        </w:rPr>
        <w:t> </w:t>
      </w:r>
      <w:hyperlink r:id="rId3" w:history="1">
        <w:r w:rsidRPr="00530C11">
          <w:rPr>
            <w:rStyle w:val="Hyperlink"/>
            <w:color w:val="000000" w:themeColor="text1"/>
            <w:u w:val="none"/>
          </w:rPr>
          <w:t>1912 AD 181</w:t>
        </w:r>
      </w:hyperlink>
      <w:r w:rsidRPr="00530C11">
        <w:rPr>
          <w:color w:val="000000" w:themeColor="text1"/>
        </w:rPr>
        <w:t xml:space="preserve"> at 186.</w:t>
      </w:r>
    </w:p>
  </w:footnote>
  <w:footnote w:id="7">
    <w:p w14:paraId="10D2814B" w14:textId="6F78A7E6" w:rsidR="00913160" w:rsidRPr="00C82E44" w:rsidRDefault="00913160">
      <w:pPr>
        <w:pStyle w:val="FootnoteText"/>
        <w:rPr>
          <w:color w:val="000000" w:themeColor="text1"/>
        </w:rPr>
      </w:pPr>
      <w:r>
        <w:rPr>
          <w:rStyle w:val="FootnoteReference"/>
        </w:rPr>
        <w:footnoteRef/>
      </w:r>
      <w:r>
        <w:t xml:space="preserve"> </w:t>
      </w:r>
      <w:r>
        <w:tab/>
      </w:r>
      <w:r w:rsidR="00C82E44" w:rsidRPr="00C82E44">
        <w:rPr>
          <w:i/>
          <w:iCs/>
        </w:rPr>
        <w:t xml:space="preserve">Silber v </w:t>
      </w:r>
      <w:proofErr w:type="spellStart"/>
      <w:r w:rsidR="00C82E44" w:rsidRPr="00C82E44">
        <w:rPr>
          <w:i/>
          <w:iCs/>
        </w:rPr>
        <w:t>Ozen</w:t>
      </w:r>
      <w:proofErr w:type="spellEnd"/>
      <w:r w:rsidR="00C82E44" w:rsidRPr="00C82E44">
        <w:rPr>
          <w:i/>
          <w:iCs/>
        </w:rPr>
        <w:t xml:space="preserve"> Wholesalers (Pty) Ltd</w:t>
      </w:r>
      <w:proofErr w:type="gramStart"/>
      <w:r w:rsidR="00C82E44" w:rsidRPr="00C82E44">
        <w:rPr>
          <w:i/>
          <w:iCs/>
        </w:rPr>
        <w:t> </w:t>
      </w:r>
      <w:r w:rsidR="00C82E44" w:rsidRPr="00C82E44">
        <w:rPr>
          <w:color w:val="000000" w:themeColor="text1"/>
        </w:rPr>
        <w:t> </w:t>
      </w:r>
      <w:proofErr w:type="gramEnd"/>
      <w:hyperlink r:id="rId4" w:anchor="y1954v2SApg345" w:history="1">
        <w:r w:rsidR="00C82E44" w:rsidRPr="00C82E44">
          <w:rPr>
            <w:rStyle w:val="Hyperlink"/>
            <w:color w:val="000000" w:themeColor="text1"/>
            <w:u w:val="none"/>
          </w:rPr>
          <w:t>1954 (2) SA 345 (A)</w:t>
        </w:r>
      </w:hyperlink>
      <w:r w:rsidR="00C82E44" w:rsidRPr="00C82E44">
        <w:rPr>
          <w:color w:val="000000" w:themeColor="text1"/>
        </w:rPr>
        <w:t> 352G</w:t>
      </w:r>
      <w:r w:rsidR="004F28EE">
        <w:rPr>
          <w:color w:val="000000" w:themeColor="text1"/>
        </w:rPr>
        <w:t>.</w:t>
      </w:r>
    </w:p>
  </w:footnote>
  <w:footnote w:id="8">
    <w:p w14:paraId="0B904827" w14:textId="6EB3E9DE" w:rsidR="000D1E55" w:rsidRPr="00351809" w:rsidRDefault="000D1E55">
      <w:pPr>
        <w:pStyle w:val="FootnoteText"/>
      </w:pPr>
      <w:r>
        <w:rPr>
          <w:rStyle w:val="FootnoteReference"/>
        </w:rPr>
        <w:footnoteRef/>
      </w:r>
      <w:r>
        <w:t xml:space="preserve"> </w:t>
      </w:r>
      <w:r>
        <w:tab/>
      </w:r>
      <w:proofErr w:type="spellStart"/>
      <w:r w:rsidR="00351809" w:rsidRPr="00351809">
        <w:rPr>
          <w:i/>
          <w:iCs/>
          <w:color w:val="000000" w:themeColor="text1"/>
        </w:rPr>
        <w:t>Athlone</w:t>
      </w:r>
      <w:proofErr w:type="spellEnd"/>
      <w:r w:rsidR="00351809" w:rsidRPr="00351809">
        <w:rPr>
          <w:i/>
          <w:iCs/>
          <w:color w:val="000000" w:themeColor="text1"/>
        </w:rPr>
        <w:t xml:space="preserve"> Agencies v Strauss</w:t>
      </w:r>
      <w:r w:rsidR="00351809" w:rsidRPr="00351809">
        <w:rPr>
          <w:color w:val="000000" w:themeColor="text1"/>
        </w:rPr>
        <w:t> </w:t>
      </w:r>
      <w:hyperlink r:id="rId5" w:anchor="y1962v4SApg624" w:history="1">
        <w:r w:rsidR="00351809" w:rsidRPr="00351809">
          <w:rPr>
            <w:rStyle w:val="Hyperlink"/>
            <w:color w:val="000000" w:themeColor="text1"/>
            <w:u w:val="none"/>
          </w:rPr>
          <w:t>1962 (4) SA 624 (D)</w:t>
        </w:r>
      </w:hyperlink>
      <w:r w:rsidR="00351809" w:rsidRPr="00351809">
        <w:rPr>
          <w:color w:val="000000" w:themeColor="text1"/>
        </w:rPr>
        <w:t> 628; </w:t>
      </w:r>
      <w:r w:rsidR="00351809" w:rsidRPr="00351809">
        <w:rPr>
          <w:i/>
          <w:iCs/>
          <w:color w:val="000000" w:themeColor="text1"/>
        </w:rPr>
        <w:t xml:space="preserve">Evander Caterers (Pty) Ltd v </w:t>
      </w:r>
      <w:proofErr w:type="spellStart"/>
      <w:r w:rsidR="00351809" w:rsidRPr="00351809">
        <w:rPr>
          <w:i/>
          <w:iCs/>
          <w:color w:val="000000" w:themeColor="text1"/>
        </w:rPr>
        <w:t>Potgieter</w:t>
      </w:r>
      <w:proofErr w:type="spellEnd"/>
      <w:r w:rsidR="00351809" w:rsidRPr="00351809">
        <w:rPr>
          <w:color w:val="000000" w:themeColor="text1"/>
        </w:rPr>
        <w:t> </w:t>
      </w:r>
      <w:hyperlink r:id="rId6" w:anchor="y1970v3SApg312" w:history="1">
        <w:r w:rsidR="00351809" w:rsidRPr="00351809">
          <w:rPr>
            <w:rStyle w:val="Hyperlink"/>
            <w:color w:val="000000" w:themeColor="text1"/>
            <w:u w:val="none"/>
          </w:rPr>
          <w:t>1970 (3) SA 312 (T)</w:t>
        </w:r>
      </w:hyperlink>
      <w:r w:rsidR="00351809" w:rsidRPr="00351809">
        <w:rPr>
          <w:color w:val="000000" w:themeColor="text1"/>
        </w:rPr>
        <w:t>; </w:t>
      </w:r>
      <w:r w:rsidR="00351809" w:rsidRPr="00351809">
        <w:rPr>
          <w:i/>
          <w:iCs/>
          <w:color w:val="000000" w:themeColor="text1"/>
        </w:rPr>
        <w:t xml:space="preserve">Duncan t/a San Sales v </w:t>
      </w:r>
      <w:proofErr w:type="spellStart"/>
      <w:r w:rsidR="00351809" w:rsidRPr="00351809">
        <w:rPr>
          <w:i/>
          <w:iCs/>
          <w:color w:val="000000" w:themeColor="text1"/>
        </w:rPr>
        <w:t>Herbor</w:t>
      </w:r>
      <w:proofErr w:type="spellEnd"/>
      <w:r w:rsidR="00351809" w:rsidRPr="00351809">
        <w:rPr>
          <w:i/>
          <w:iCs/>
          <w:color w:val="000000" w:themeColor="text1"/>
        </w:rPr>
        <w:t xml:space="preserve"> Investments (Pty) Ltd</w:t>
      </w:r>
      <w:r w:rsidR="00351809" w:rsidRPr="00351809">
        <w:rPr>
          <w:color w:val="000000" w:themeColor="text1"/>
        </w:rPr>
        <w:t> </w:t>
      </w:r>
      <w:hyperlink r:id="rId7" w:anchor="y1974v2SApg214" w:history="1">
        <w:r w:rsidR="00351809" w:rsidRPr="00351809">
          <w:rPr>
            <w:rStyle w:val="Hyperlink"/>
            <w:color w:val="000000" w:themeColor="text1"/>
            <w:u w:val="none"/>
          </w:rPr>
          <w:t>1974 (2) SA 214 (T)</w:t>
        </w:r>
      </w:hyperlink>
      <w:r w:rsidR="00351809" w:rsidRPr="00351809">
        <w:rPr>
          <w:color w:val="000000" w:themeColor="text1"/>
        </w:rPr>
        <w:t xml:space="preserve">. But see </w:t>
      </w:r>
      <w:proofErr w:type="spellStart"/>
      <w:r w:rsidR="00351809" w:rsidRPr="00351809">
        <w:rPr>
          <w:i/>
          <w:iCs/>
          <w:color w:val="000000" w:themeColor="text1"/>
        </w:rPr>
        <w:t>Iveta</w:t>
      </w:r>
      <w:proofErr w:type="spellEnd"/>
      <w:r w:rsidR="00351809" w:rsidRPr="00351809">
        <w:rPr>
          <w:i/>
          <w:iCs/>
          <w:color w:val="000000" w:themeColor="text1"/>
        </w:rPr>
        <w:t xml:space="preserve"> Farms (Pty) Ltd v Murray</w:t>
      </w:r>
      <w:r w:rsidR="00351809" w:rsidRPr="00351809">
        <w:rPr>
          <w:color w:val="000000" w:themeColor="text1"/>
        </w:rPr>
        <w:t> </w:t>
      </w:r>
      <w:hyperlink r:id="rId8" w:anchor="y1976v1SApg939" w:history="1">
        <w:r w:rsidR="00351809" w:rsidRPr="00351809">
          <w:rPr>
            <w:rStyle w:val="Hyperlink"/>
            <w:color w:val="000000" w:themeColor="text1"/>
            <w:u w:val="none"/>
          </w:rPr>
          <w:t>1976 (1) SA 939 (T)</w:t>
        </w:r>
      </w:hyperlink>
      <w:r w:rsidR="00351809" w:rsidRPr="00351809">
        <w:rPr>
          <w:color w:val="000000" w:themeColor="text1"/>
        </w:rPr>
        <w:t xml:space="preserve"> 941</w:t>
      </w:r>
      <w:r w:rsidR="00351809">
        <w:rPr>
          <w:color w:val="000000" w:themeColor="text1"/>
        </w:rPr>
        <w:t>.</w:t>
      </w:r>
    </w:p>
  </w:footnote>
  <w:footnote w:id="9">
    <w:p w14:paraId="6CFF67B4" w14:textId="1BA7929A" w:rsidR="00351809" w:rsidRDefault="00351809" w:rsidP="00351809">
      <w:pPr>
        <w:pStyle w:val="FootnoteText"/>
      </w:pPr>
      <w:r>
        <w:rPr>
          <w:rStyle w:val="FootnoteReference"/>
        </w:rPr>
        <w:footnoteRef/>
      </w:r>
      <w:r>
        <w:t xml:space="preserve"> </w:t>
      </w:r>
      <w:r>
        <w:tab/>
        <w:t xml:space="preserve">See </w:t>
      </w:r>
      <w:r w:rsidRPr="000C0EEC">
        <w:t xml:space="preserve">Van </w:t>
      </w:r>
      <w:proofErr w:type="spellStart"/>
      <w:r w:rsidRPr="000C0EEC">
        <w:t>Loggerenberg</w:t>
      </w:r>
      <w:proofErr w:type="spellEnd"/>
      <w:r w:rsidRPr="000C0EEC">
        <w:t xml:space="preserve"> </w:t>
      </w:r>
      <w:r w:rsidRPr="000C0EEC">
        <w:rPr>
          <w:i/>
          <w:iCs/>
        </w:rPr>
        <w:t>Jones and Buckle: Civil Practice of the Magistrates' Courts in South Africa</w:t>
      </w:r>
      <w:r>
        <w:rPr>
          <w:i/>
          <w:iCs/>
        </w:rPr>
        <w:t xml:space="preserve"> </w:t>
      </w:r>
      <w:r>
        <w:t>10</w:t>
      </w:r>
      <w:r w:rsidRPr="000C0EEC">
        <w:rPr>
          <w:vertAlign w:val="superscript"/>
        </w:rPr>
        <w:t>th</w:t>
      </w:r>
      <w:r>
        <w:t xml:space="preserve">. Ed, </w:t>
      </w:r>
      <w:r w:rsidR="00D64AC3" w:rsidRPr="00930AEB">
        <w:t>RS 28, 2021 Rule-p60</w:t>
      </w:r>
      <w:r>
        <w:t>.</w:t>
      </w:r>
    </w:p>
  </w:footnote>
  <w:footnote w:id="10">
    <w:p w14:paraId="44E6A47D" w14:textId="57DA2CC0" w:rsidR="002C2AC0" w:rsidRPr="002C2AC0" w:rsidRDefault="002C2AC0">
      <w:pPr>
        <w:pStyle w:val="FootnoteText"/>
        <w:rPr>
          <w:lang w:val="en-GB"/>
        </w:rPr>
      </w:pPr>
      <w:r>
        <w:rPr>
          <w:rStyle w:val="FootnoteReference"/>
        </w:rPr>
        <w:footnoteRef/>
      </w:r>
      <w:r>
        <w:t xml:space="preserve"> </w:t>
      </w:r>
      <w:r>
        <w:rPr>
          <w:lang w:val="en-GB"/>
        </w:rPr>
        <w:tab/>
        <w:t xml:space="preserve">Particulars of claim, </w:t>
      </w:r>
      <w:proofErr w:type="spellStart"/>
      <w:r>
        <w:rPr>
          <w:lang w:val="en-GB"/>
        </w:rPr>
        <w:t>CaseLines</w:t>
      </w:r>
      <w:proofErr w:type="spellEnd"/>
      <w:r>
        <w:rPr>
          <w:lang w:val="en-GB"/>
        </w:rPr>
        <w:t xml:space="preserve"> 03-113</w:t>
      </w:r>
      <w:r w:rsidR="008F63DB">
        <w:rPr>
          <w:lang w:val="en-GB"/>
        </w:rPr>
        <w:t xml:space="preserve"> and return of service, </w:t>
      </w:r>
      <w:proofErr w:type="spellStart"/>
      <w:r w:rsidR="008F63DB">
        <w:rPr>
          <w:lang w:val="en-GB"/>
        </w:rPr>
        <w:t>CaseLines</w:t>
      </w:r>
      <w:proofErr w:type="spellEnd"/>
      <w:r w:rsidR="008F63DB">
        <w:rPr>
          <w:lang w:val="en-GB"/>
        </w:rPr>
        <w:t xml:space="preserve"> 03-128</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34D9EBFA" w:rsidR="009165D0" w:rsidRPr="006C43D7" w:rsidRDefault="009165D0"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23000C">
      <w:rPr>
        <w:rFonts w:cs="Arial"/>
        <w:noProof/>
        <w:sz w:val="20"/>
        <w:szCs w:val="20"/>
        <w:lang w:val="en-GB"/>
      </w:rPr>
      <w:t>9</w:t>
    </w:r>
    <w:r w:rsidRPr="006C43D7">
      <w:rPr>
        <w:rFonts w:cs="Arial"/>
        <w:sz w:val="20"/>
        <w:szCs w:val="20"/>
        <w:lang w:val="en-GB"/>
      </w:rPr>
      <w:fldChar w:fldCharType="end"/>
    </w:r>
  </w:p>
  <w:p w14:paraId="08C008E5" w14:textId="77777777" w:rsidR="009165D0" w:rsidRPr="006C43D7" w:rsidRDefault="009165D0" w:rsidP="006C43D7">
    <w:pPr>
      <w:tabs>
        <w:tab w:val="center" w:pos="4153"/>
        <w:tab w:val="right" w:pos="8306"/>
      </w:tabs>
      <w:spacing w:line="276" w:lineRule="auto"/>
      <w:jc w:val="right"/>
      <w:rPr>
        <w:rFonts w:cs="Arial"/>
        <w:lang w:val="en-US"/>
      </w:rPr>
    </w:pPr>
  </w:p>
  <w:p w14:paraId="4A21EF97" w14:textId="77777777" w:rsidR="009165D0" w:rsidRPr="006C43D7" w:rsidRDefault="009165D0"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4FA360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8">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5"/>
  </w:num>
  <w:num w:numId="2">
    <w:abstractNumId w:val="1"/>
  </w:num>
  <w:num w:numId="3">
    <w:abstractNumId w:val="12"/>
  </w:num>
  <w:num w:numId="4">
    <w:abstractNumId w:val="6"/>
  </w:num>
  <w:num w:numId="5">
    <w:abstractNumId w:val="11"/>
  </w:num>
  <w:num w:numId="6">
    <w:abstractNumId w:val="8"/>
  </w:num>
  <w:num w:numId="7">
    <w:abstractNumId w:val="0"/>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9"/>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6113"/>
    <w:rsid w:val="00007CC6"/>
    <w:rsid w:val="0001111B"/>
    <w:rsid w:val="0001140A"/>
    <w:rsid w:val="00013B7F"/>
    <w:rsid w:val="000153E9"/>
    <w:rsid w:val="00015C47"/>
    <w:rsid w:val="00016C5A"/>
    <w:rsid w:val="000207F6"/>
    <w:rsid w:val="000226ED"/>
    <w:rsid w:val="000248F1"/>
    <w:rsid w:val="00024A29"/>
    <w:rsid w:val="00034AE8"/>
    <w:rsid w:val="00040E18"/>
    <w:rsid w:val="00047055"/>
    <w:rsid w:val="00047AA2"/>
    <w:rsid w:val="00050086"/>
    <w:rsid w:val="000504F1"/>
    <w:rsid w:val="0005465E"/>
    <w:rsid w:val="00054804"/>
    <w:rsid w:val="00063F7B"/>
    <w:rsid w:val="00072E89"/>
    <w:rsid w:val="000737E1"/>
    <w:rsid w:val="00073D6B"/>
    <w:rsid w:val="00073E30"/>
    <w:rsid w:val="00075AA1"/>
    <w:rsid w:val="00080688"/>
    <w:rsid w:val="00083242"/>
    <w:rsid w:val="000833BB"/>
    <w:rsid w:val="0008526A"/>
    <w:rsid w:val="00085A94"/>
    <w:rsid w:val="0008780C"/>
    <w:rsid w:val="00091FAD"/>
    <w:rsid w:val="00093F79"/>
    <w:rsid w:val="0009488C"/>
    <w:rsid w:val="0009745A"/>
    <w:rsid w:val="0009787A"/>
    <w:rsid w:val="00097968"/>
    <w:rsid w:val="00097AD1"/>
    <w:rsid w:val="000A1CEC"/>
    <w:rsid w:val="000A2D03"/>
    <w:rsid w:val="000A6AD8"/>
    <w:rsid w:val="000B03EB"/>
    <w:rsid w:val="000B580F"/>
    <w:rsid w:val="000C1421"/>
    <w:rsid w:val="000D10C0"/>
    <w:rsid w:val="000D1B7A"/>
    <w:rsid w:val="000D1E55"/>
    <w:rsid w:val="000D45F0"/>
    <w:rsid w:val="000D7D6A"/>
    <w:rsid w:val="000E1813"/>
    <w:rsid w:val="000E254E"/>
    <w:rsid w:val="000F0BBE"/>
    <w:rsid w:val="000F11F9"/>
    <w:rsid w:val="000F23B3"/>
    <w:rsid w:val="000F39F6"/>
    <w:rsid w:val="000F59F8"/>
    <w:rsid w:val="000F6007"/>
    <w:rsid w:val="000F71C2"/>
    <w:rsid w:val="00101EE2"/>
    <w:rsid w:val="0010288A"/>
    <w:rsid w:val="00104142"/>
    <w:rsid w:val="00111EFC"/>
    <w:rsid w:val="00112301"/>
    <w:rsid w:val="001135E7"/>
    <w:rsid w:val="00114E52"/>
    <w:rsid w:val="00120FB1"/>
    <w:rsid w:val="0012741F"/>
    <w:rsid w:val="00131957"/>
    <w:rsid w:val="001330D2"/>
    <w:rsid w:val="001410DC"/>
    <w:rsid w:val="00147BD7"/>
    <w:rsid w:val="00147FF5"/>
    <w:rsid w:val="0015003D"/>
    <w:rsid w:val="0015788C"/>
    <w:rsid w:val="00162F4F"/>
    <w:rsid w:val="00170A22"/>
    <w:rsid w:val="00177D8F"/>
    <w:rsid w:val="00185ACF"/>
    <w:rsid w:val="00190579"/>
    <w:rsid w:val="00196E14"/>
    <w:rsid w:val="001A1819"/>
    <w:rsid w:val="001A1A55"/>
    <w:rsid w:val="001A464D"/>
    <w:rsid w:val="001A522A"/>
    <w:rsid w:val="001B1D39"/>
    <w:rsid w:val="001B4217"/>
    <w:rsid w:val="001B5D3E"/>
    <w:rsid w:val="001B606B"/>
    <w:rsid w:val="001B62D3"/>
    <w:rsid w:val="001B6FFC"/>
    <w:rsid w:val="001C01DF"/>
    <w:rsid w:val="001C2E20"/>
    <w:rsid w:val="001D12D9"/>
    <w:rsid w:val="001D3CC2"/>
    <w:rsid w:val="001D68D9"/>
    <w:rsid w:val="001E2EED"/>
    <w:rsid w:val="001F0A29"/>
    <w:rsid w:val="001F11EA"/>
    <w:rsid w:val="001F2072"/>
    <w:rsid w:val="001F2C31"/>
    <w:rsid w:val="001F3DBD"/>
    <w:rsid w:val="001F45CB"/>
    <w:rsid w:val="001F648A"/>
    <w:rsid w:val="001F6E8E"/>
    <w:rsid w:val="002014D0"/>
    <w:rsid w:val="00201620"/>
    <w:rsid w:val="00203CE8"/>
    <w:rsid w:val="0020571A"/>
    <w:rsid w:val="00210971"/>
    <w:rsid w:val="002133DC"/>
    <w:rsid w:val="00215824"/>
    <w:rsid w:val="00216BC8"/>
    <w:rsid w:val="00217480"/>
    <w:rsid w:val="0022218D"/>
    <w:rsid w:val="00224EF0"/>
    <w:rsid w:val="00226926"/>
    <w:rsid w:val="0023000C"/>
    <w:rsid w:val="00232528"/>
    <w:rsid w:val="002369D8"/>
    <w:rsid w:val="00237FF9"/>
    <w:rsid w:val="00245819"/>
    <w:rsid w:val="00250A46"/>
    <w:rsid w:val="00262819"/>
    <w:rsid w:val="002778A1"/>
    <w:rsid w:val="00281213"/>
    <w:rsid w:val="00285040"/>
    <w:rsid w:val="00285062"/>
    <w:rsid w:val="00285DE9"/>
    <w:rsid w:val="00290B89"/>
    <w:rsid w:val="00294B84"/>
    <w:rsid w:val="00294ED8"/>
    <w:rsid w:val="0029606F"/>
    <w:rsid w:val="002A0160"/>
    <w:rsid w:val="002A2AE7"/>
    <w:rsid w:val="002A47CD"/>
    <w:rsid w:val="002A5EEA"/>
    <w:rsid w:val="002A7485"/>
    <w:rsid w:val="002B7824"/>
    <w:rsid w:val="002C05F2"/>
    <w:rsid w:val="002C115B"/>
    <w:rsid w:val="002C15AC"/>
    <w:rsid w:val="002C2597"/>
    <w:rsid w:val="002C2AC0"/>
    <w:rsid w:val="002C3500"/>
    <w:rsid w:val="002C364B"/>
    <w:rsid w:val="002C4638"/>
    <w:rsid w:val="002C4687"/>
    <w:rsid w:val="002C481E"/>
    <w:rsid w:val="002D10E4"/>
    <w:rsid w:val="002D5C85"/>
    <w:rsid w:val="002D77CC"/>
    <w:rsid w:val="002E1342"/>
    <w:rsid w:val="002E4B98"/>
    <w:rsid w:val="002E5B57"/>
    <w:rsid w:val="002E6CD7"/>
    <w:rsid w:val="002E77C4"/>
    <w:rsid w:val="002F3010"/>
    <w:rsid w:val="002F465B"/>
    <w:rsid w:val="002F4CCC"/>
    <w:rsid w:val="002F6D39"/>
    <w:rsid w:val="003005DF"/>
    <w:rsid w:val="003016BE"/>
    <w:rsid w:val="00302290"/>
    <w:rsid w:val="00302C31"/>
    <w:rsid w:val="00303A63"/>
    <w:rsid w:val="0030653F"/>
    <w:rsid w:val="00307471"/>
    <w:rsid w:val="0031024B"/>
    <w:rsid w:val="00310A3B"/>
    <w:rsid w:val="0031117B"/>
    <w:rsid w:val="0031170D"/>
    <w:rsid w:val="00311B1E"/>
    <w:rsid w:val="00312EBC"/>
    <w:rsid w:val="00313056"/>
    <w:rsid w:val="00320DD8"/>
    <w:rsid w:val="00321F7F"/>
    <w:rsid w:val="00323DD7"/>
    <w:rsid w:val="0033376C"/>
    <w:rsid w:val="00337135"/>
    <w:rsid w:val="003408B0"/>
    <w:rsid w:val="00341086"/>
    <w:rsid w:val="0034147B"/>
    <w:rsid w:val="00345211"/>
    <w:rsid w:val="003463D6"/>
    <w:rsid w:val="003469B6"/>
    <w:rsid w:val="00346D31"/>
    <w:rsid w:val="00346DE6"/>
    <w:rsid w:val="00351809"/>
    <w:rsid w:val="003518A3"/>
    <w:rsid w:val="00351ABE"/>
    <w:rsid w:val="003543C5"/>
    <w:rsid w:val="00354EF2"/>
    <w:rsid w:val="00357081"/>
    <w:rsid w:val="00357D35"/>
    <w:rsid w:val="00357E01"/>
    <w:rsid w:val="00357F9E"/>
    <w:rsid w:val="003605A3"/>
    <w:rsid w:val="00363FCD"/>
    <w:rsid w:val="00364C43"/>
    <w:rsid w:val="00367720"/>
    <w:rsid w:val="0037029D"/>
    <w:rsid w:val="0037153E"/>
    <w:rsid w:val="00381213"/>
    <w:rsid w:val="003840EC"/>
    <w:rsid w:val="00387F78"/>
    <w:rsid w:val="00390C3F"/>
    <w:rsid w:val="003A0BED"/>
    <w:rsid w:val="003A6F23"/>
    <w:rsid w:val="003A7864"/>
    <w:rsid w:val="003B080A"/>
    <w:rsid w:val="003B142D"/>
    <w:rsid w:val="003B323E"/>
    <w:rsid w:val="003B4100"/>
    <w:rsid w:val="003B78E3"/>
    <w:rsid w:val="003C1A16"/>
    <w:rsid w:val="003C1E91"/>
    <w:rsid w:val="003C3AC6"/>
    <w:rsid w:val="003D5739"/>
    <w:rsid w:val="003E0BF4"/>
    <w:rsid w:val="003E1423"/>
    <w:rsid w:val="003E1436"/>
    <w:rsid w:val="003E3B27"/>
    <w:rsid w:val="003F5560"/>
    <w:rsid w:val="004026CF"/>
    <w:rsid w:val="0040795A"/>
    <w:rsid w:val="00407F28"/>
    <w:rsid w:val="004131C5"/>
    <w:rsid w:val="00417D72"/>
    <w:rsid w:val="00422DDD"/>
    <w:rsid w:val="004239DA"/>
    <w:rsid w:val="0042423E"/>
    <w:rsid w:val="00431DD4"/>
    <w:rsid w:val="0043256C"/>
    <w:rsid w:val="004339E6"/>
    <w:rsid w:val="0043683A"/>
    <w:rsid w:val="0044085B"/>
    <w:rsid w:val="00441422"/>
    <w:rsid w:val="004450BD"/>
    <w:rsid w:val="004459CF"/>
    <w:rsid w:val="00445DCB"/>
    <w:rsid w:val="004460B9"/>
    <w:rsid w:val="00456542"/>
    <w:rsid w:val="00460EF7"/>
    <w:rsid w:val="004630B6"/>
    <w:rsid w:val="00467D30"/>
    <w:rsid w:val="00471FAC"/>
    <w:rsid w:val="00473024"/>
    <w:rsid w:val="00474607"/>
    <w:rsid w:val="00474910"/>
    <w:rsid w:val="004749AF"/>
    <w:rsid w:val="004766B3"/>
    <w:rsid w:val="00476754"/>
    <w:rsid w:val="00483E40"/>
    <w:rsid w:val="00484116"/>
    <w:rsid w:val="0048424E"/>
    <w:rsid w:val="0048507B"/>
    <w:rsid w:val="00486F42"/>
    <w:rsid w:val="00487D14"/>
    <w:rsid w:val="00487FAD"/>
    <w:rsid w:val="00497938"/>
    <w:rsid w:val="00497D8E"/>
    <w:rsid w:val="00497FF4"/>
    <w:rsid w:val="004A2C7E"/>
    <w:rsid w:val="004A33EC"/>
    <w:rsid w:val="004A7DFE"/>
    <w:rsid w:val="004B21D9"/>
    <w:rsid w:val="004B4621"/>
    <w:rsid w:val="004C368B"/>
    <w:rsid w:val="004C6492"/>
    <w:rsid w:val="004D262A"/>
    <w:rsid w:val="004D2C6F"/>
    <w:rsid w:val="004D2E01"/>
    <w:rsid w:val="004D7AE9"/>
    <w:rsid w:val="004E173B"/>
    <w:rsid w:val="004E4275"/>
    <w:rsid w:val="004E568C"/>
    <w:rsid w:val="004E5AD8"/>
    <w:rsid w:val="004F12D8"/>
    <w:rsid w:val="004F22A6"/>
    <w:rsid w:val="004F2682"/>
    <w:rsid w:val="004F28EE"/>
    <w:rsid w:val="004F5E43"/>
    <w:rsid w:val="004F7E8C"/>
    <w:rsid w:val="00502CBC"/>
    <w:rsid w:val="00503FE7"/>
    <w:rsid w:val="00504B53"/>
    <w:rsid w:val="00506B31"/>
    <w:rsid w:val="00507D49"/>
    <w:rsid w:val="0051015D"/>
    <w:rsid w:val="00510323"/>
    <w:rsid w:val="0051292D"/>
    <w:rsid w:val="0051622D"/>
    <w:rsid w:val="00516C44"/>
    <w:rsid w:val="00516CF0"/>
    <w:rsid w:val="0052179E"/>
    <w:rsid w:val="005262C2"/>
    <w:rsid w:val="0052705A"/>
    <w:rsid w:val="005363ED"/>
    <w:rsid w:val="00537A72"/>
    <w:rsid w:val="00543052"/>
    <w:rsid w:val="005434F6"/>
    <w:rsid w:val="00545A74"/>
    <w:rsid w:val="00545B01"/>
    <w:rsid w:val="00546A0D"/>
    <w:rsid w:val="005503A8"/>
    <w:rsid w:val="005503CC"/>
    <w:rsid w:val="00551687"/>
    <w:rsid w:val="00553AC4"/>
    <w:rsid w:val="0055729D"/>
    <w:rsid w:val="00573759"/>
    <w:rsid w:val="005802B7"/>
    <w:rsid w:val="00581C59"/>
    <w:rsid w:val="00584A03"/>
    <w:rsid w:val="0059024D"/>
    <w:rsid w:val="005914E2"/>
    <w:rsid w:val="00596509"/>
    <w:rsid w:val="00597E64"/>
    <w:rsid w:val="005A27EF"/>
    <w:rsid w:val="005A313A"/>
    <w:rsid w:val="005A637B"/>
    <w:rsid w:val="005A680F"/>
    <w:rsid w:val="005A75D7"/>
    <w:rsid w:val="005B53B0"/>
    <w:rsid w:val="005B62A6"/>
    <w:rsid w:val="005B6D81"/>
    <w:rsid w:val="005B7DD3"/>
    <w:rsid w:val="005C657D"/>
    <w:rsid w:val="005C7FC2"/>
    <w:rsid w:val="005D2408"/>
    <w:rsid w:val="005D36AF"/>
    <w:rsid w:val="005D4FE0"/>
    <w:rsid w:val="005D6122"/>
    <w:rsid w:val="005D6E80"/>
    <w:rsid w:val="005E004E"/>
    <w:rsid w:val="005E0323"/>
    <w:rsid w:val="005E035E"/>
    <w:rsid w:val="005E09BA"/>
    <w:rsid w:val="005E2F7B"/>
    <w:rsid w:val="005E40A0"/>
    <w:rsid w:val="005E5C01"/>
    <w:rsid w:val="005E7118"/>
    <w:rsid w:val="005F03F7"/>
    <w:rsid w:val="005F2B59"/>
    <w:rsid w:val="005F2C91"/>
    <w:rsid w:val="005F37A4"/>
    <w:rsid w:val="005F62CB"/>
    <w:rsid w:val="006000D8"/>
    <w:rsid w:val="0060139C"/>
    <w:rsid w:val="00603CD1"/>
    <w:rsid w:val="006041A4"/>
    <w:rsid w:val="0061089B"/>
    <w:rsid w:val="00613721"/>
    <w:rsid w:val="006145CE"/>
    <w:rsid w:val="00616BCF"/>
    <w:rsid w:val="00617F98"/>
    <w:rsid w:val="00623C9B"/>
    <w:rsid w:val="00623D75"/>
    <w:rsid w:val="00626F12"/>
    <w:rsid w:val="0062754A"/>
    <w:rsid w:val="006275B4"/>
    <w:rsid w:val="00630BF2"/>
    <w:rsid w:val="00630DD5"/>
    <w:rsid w:val="00647DDD"/>
    <w:rsid w:val="00652C04"/>
    <w:rsid w:val="00653BA4"/>
    <w:rsid w:val="00654654"/>
    <w:rsid w:val="00654D4B"/>
    <w:rsid w:val="00657EDA"/>
    <w:rsid w:val="00660C84"/>
    <w:rsid w:val="0066194B"/>
    <w:rsid w:val="006621F8"/>
    <w:rsid w:val="00664516"/>
    <w:rsid w:val="00666D4D"/>
    <w:rsid w:val="00671C76"/>
    <w:rsid w:val="006858DA"/>
    <w:rsid w:val="0068621A"/>
    <w:rsid w:val="00686840"/>
    <w:rsid w:val="006902F1"/>
    <w:rsid w:val="006918E9"/>
    <w:rsid w:val="00694C71"/>
    <w:rsid w:val="006951CE"/>
    <w:rsid w:val="006A0C2E"/>
    <w:rsid w:val="006A1756"/>
    <w:rsid w:val="006C3A24"/>
    <w:rsid w:val="006C4213"/>
    <w:rsid w:val="006C43D7"/>
    <w:rsid w:val="006C5694"/>
    <w:rsid w:val="006D797F"/>
    <w:rsid w:val="006D7CD4"/>
    <w:rsid w:val="006E2346"/>
    <w:rsid w:val="006E323B"/>
    <w:rsid w:val="006E32B4"/>
    <w:rsid w:val="006E38D7"/>
    <w:rsid w:val="006E68E6"/>
    <w:rsid w:val="006F0847"/>
    <w:rsid w:val="006F0BB6"/>
    <w:rsid w:val="006F25E5"/>
    <w:rsid w:val="006F2FCE"/>
    <w:rsid w:val="006F415C"/>
    <w:rsid w:val="006F72F0"/>
    <w:rsid w:val="00701BBE"/>
    <w:rsid w:val="007046F8"/>
    <w:rsid w:val="00706D06"/>
    <w:rsid w:val="00710D76"/>
    <w:rsid w:val="0071137C"/>
    <w:rsid w:val="0071253E"/>
    <w:rsid w:val="007148A5"/>
    <w:rsid w:val="00720436"/>
    <w:rsid w:val="0072142E"/>
    <w:rsid w:val="007241D4"/>
    <w:rsid w:val="0073191E"/>
    <w:rsid w:val="00732130"/>
    <w:rsid w:val="00732A6F"/>
    <w:rsid w:val="007349CA"/>
    <w:rsid w:val="007404AE"/>
    <w:rsid w:val="007407CE"/>
    <w:rsid w:val="00742764"/>
    <w:rsid w:val="0075156A"/>
    <w:rsid w:val="00751F90"/>
    <w:rsid w:val="00752759"/>
    <w:rsid w:val="00756E65"/>
    <w:rsid w:val="00761C35"/>
    <w:rsid w:val="00762FCF"/>
    <w:rsid w:val="00764B50"/>
    <w:rsid w:val="007659FB"/>
    <w:rsid w:val="00766026"/>
    <w:rsid w:val="00772B54"/>
    <w:rsid w:val="00781AA0"/>
    <w:rsid w:val="00783072"/>
    <w:rsid w:val="007844CD"/>
    <w:rsid w:val="00785746"/>
    <w:rsid w:val="00792386"/>
    <w:rsid w:val="007A3A09"/>
    <w:rsid w:val="007B0648"/>
    <w:rsid w:val="007B0FB8"/>
    <w:rsid w:val="007B13BB"/>
    <w:rsid w:val="007B165A"/>
    <w:rsid w:val="007B3410"/>
    <w:rsid w:val="007B6964"/>
    <w:rsid w:val="007B78C2"/>
    <w:rsid w:val="007C5008"/>
    <w:rsid w:val="007C5673"/>
    <w:rsid w:val="007C6DF0"/>
    <w:rsid w:val="007D1E79"/>
    <w:rsid w:val="007D27CF"/>
    <w:rsid w:val="007D31A3"/>
    <w:rsid w:val="007D400E"/>
    <w:rsid w:val="007D710C"/>
    <w:rsid w:val="007D7528"/>
    <w:rsid w:val="007E1D3C"/>
    <w:rsid w:val="007E3AB4"/>
    <w:rsid w:val="007E468A"/>
    <w:rsid w:val="007E58FC"/>
    <w:rsid w:val="007E69D8"/>
    <w:rsid w:val="007E6D02"/>
    <w:rsid w:val="007F207F"/>
    <w:rsid w:val="0080156E"/>
    <w:rsid w:val="00802357"/>
    <w:rsid w:val="00803CEC"/>
    <w:rsid w:val="00804759"/>
    <w:rsid w:val="00805AB6"/>
    <w:rsid w:val="00807ECB"/>
    <w:rsid w:val="00812F92"/>
    <w:rsid w:val="008135EC"/>
    <w:rsid w:val="0081475E"/>
    <w:rsid w:val="00815C5A"/>
    <w:rsid w:val="00822050"/>
    <w:rsid w:val="008246E5"/>
    <w:rsid w:val="00825F6C"/>
    <w:rsid w:val="00830952"/>
    <w:rsid w:val="00831234"/>
    <w:rsid w:val="008443A9"/>
    <w:rsid w:val="00846EF4"/>
    <w:rsid w:val="00853C22"/>
    <w:rsid w:val="0085548F"/>
    <w:rsid w:val="00856289"/>
    <w:rsid w:val="00860576"/>
    <w:rsid w:val="00861FA9"/>
    <w:rsid w:val="00862564"/>
    <w:rsid w:val="0086345E"/>
    <w:rsid w:val="0086462D"/>
    <w:rsid w:val="008674AA"/>
    <w:rsid w:val="00867E6F"/>
    <w:rsid w:val="008761FC"/>
    <w:rsid w:val="0088094C"/>
    <w:rsid w:val="00881004"/>
    <w:rsid w:val="00882C40"/>
    <w:rsid w:val="008972E2"/>
    <w:rsid w:val="0089779E"/>
    <w:rsid w:val="008A082A"/>
    <w:rsid w:val="008A4152"/>
    <w:rsid w:val="008A42E5"/>
    <w:rsid w:val="008A4DF4"/>
    <w:rsid w:val="008A6783"/>
    <w:rsid w:val="008A7E58"/>
    <w:rsid w:val="008B0DB3"/>
    <w:rsid w:val="008B1BB7"/>
    <w:rsid w:val="008B1DA9"/>
    <w:rsid w:val="008B21EB"/>
    <w:rsid w:val="008B235C"/>
    <w:rsid w:val="008B526B"/>
    <w:rsid w:val="008B7FFC"/>
    <w:rsid w:val="008C62B2"/>
    <w:rsid w:val="008C724C"/>
    <w:rsid w:val="008D33A3"/>
    <w:rsid w:val="008D4715"/>
    <w:rsid w:val="008D4D2A"/>
    <w:rsid w:val="008E03F7"/>
    <w:rsid w:val="008E0638"/>
    <w:rsid w:val="008F189C"/>
    <w:rsid w:val="008F1BBC"/>
    <w:rsid w:val="008F1FE1"/>
    <w:rsid w:val="008F4486"/>
    <w:rsid w:val="008F4FC6"/>
    <w:rsid w:val="008F5A82"/>
    <w:rsid w:val="008F63DB"/>
    <w:rsid w:val="009003C2"/>
    <w:rsid w:val="00903492"/>
    <w:rsid w:val="00903F5D"/>
    <w:rsid w:val="009055B0"/>
    <w:rsid w:val="009108D0"/>
    <w:rsid w:val="00913160"/>
    <w:rsid w:val="0091544C"/>
    <w:rsid w:val="009165D0"/>
    <w:rsid w:val="00920D43"/>
    <w:rsid w:val="009251F6"/>
    <w:rsid w:val="00927FD9"/>
    <w:rsid w:val="00933065"/>
    <w:rsid w:val="00933569"/>
    <w:rsid w:val="0093799C"/>
    <w:rsid w:val="00940652"/>
    <w:rsid w:val="00942835"/>
    <w:rsid w:val="00944003"/>
    <w:rsid w:val="00944804"/>
    <w:rsid w:val="009473D8"/>
    <w:rsid w:val="0095427F"/>
    <w:rsid w:val="00960ADF"/>
    <w:rsid w:val="00962B21"/>
    <w:rsid w:val="00963A0C"/>
    <w:rsid w:val="00964367"/>
    <w:rsid w:val="00964A4A"/>
    <w:rsid w:val="009653C0"/>
    <w:rsid w:val="00974A92"/>
    <w:rsid w:val="00974AB5"/>
    <w:rsid w:val="00976BB2"/>
    <w:rsid w:val="0097721C"/>
    <w:rsid w:val="009773E8"/>
    <w:rsid w:val="00980CE6"/>
    <w:rsid w:val="00982F3F"/>
    <w:rsid w:val="009835E3"/>
    <w:rsid w:val="00986050"/>
    <w:rsid w:val="00986455"/>
    <w:rsid w:val="0098739F"/>
    <w:rsid w:val="00987CDB"/>
    <w:rsid w:val="00991B1A"/>
    <w:rsid w:val="00992269"/>
    <w:rsid w:val="00994C5C"/>
    <w:rsid w:val="00994D8A"/>
    <w:rsid w:val="0099709D"/>
    <w:rsid w:val="009A1034"/>
    <w:rsid w:val="009A30E0"/>
    <w:rsid w:val="009A3619"/>
    <w:rsid w:val="009A524B"/>
    <w:rsid w:val="009A6493"/>
    <w:rsid w:val="009B08AF"/>
    <w:rsid w:val="009B241C"/>
    <w:rsid w:val="009B2FB6"/>
    <w:rsid w:val="009B3DFC"/>
    <w:rsid w:val="009B62F7"/>
    <w:rsid w:val="009B7A7B"/>
    <w:rsid w:val="009C28AC"/>
    <w:rsid w:val="009C37B9"/>
    <w:rsid w:val="009C38E7"/>
    <w:rsid w:val="009C4484"/>
    <w:rsid w:val="009C5BEF"/>
    <w:rsid w:val="009D32BD"/>
    <w:rsid w:val="009D4486"/>
    <w:rsid w:val="009D5DAE"/>
    <w:rsid w:val="009E0C10"/>
    <w:rsid w:val="009E140F"/>
    <w:rsid w:val="009F1A7F"/>
    <w:rsid w:val="009F211E"/>
    <w:rsid w:val="009F294E"/>
    <w:rsid w:val="009F30F1"/>
    <w:rsid w:val="009F37C7"/>
    <w:rsid w:val="009F50AB"/>
    <w:rsid w:val="009F5FBB"/>
    <w:rsid w:val="00A000A9"/>
    <w:rsid w:val="00A005F6"/>
    <w:rsid w:val="00A010F7"/>
    <w:rsid w:val="00A022C3"/>
    <w:rsid w:val="00A0424F"/>
    <w:rsid w:val="00A048C6"/>
    <w:rsid w:val="00A06D09"/>
    <w:rsid w:val="00A11958"/>
    <w:rsid w:val="00A130D6"/>
    <w:rsid w:val="00A1488A"/>
    <w:rsid w:val="00A17A3E"/>
    <w:rsid w:val="00A2193F"/>
    <w:rsid w:val="00A225EE"/>
    <w:rsid w:val="00A3693F"/>
    <w:rsid w:val="00A37BA4"/>
    <w:rsid w:val="00A40357"/>
    <w:rsid w:val="00A43739"/>
    <w:rsid w:val="00A533E3"/>
    <w:rsid w:val="00A539CB"/>
    <w:rsid w:val="00A63078"/>
    <w:rsid w:val="00A649AA"/>
    <w:rsid w:val="00A65124"/>
    <w:rsid w:val="00A660AF"/>
    <w:rsid w:val="00A675FB"/>
    <w:rsid w:val="00A70A95"/>
    <w:rsid w:val="00A72651"/>
    <w:rsid w:val="00A73821"/>
    <w:rsid w:val="00A77EE7"/>
    <w:rsid w:val="00A809F0"/>
    <w:rsid w:val="00A81C8D"/>
    <w:rsid w:val="00A85602"/>
    <w:rsid w:val="00A93351"/>
    <w:rsid w:val="00A93A39"/>
    <w:rsid w:val="00A97CE6"/>
    <w:rsid w:val="00AA36D1"/>
    <w:rsid w:val="00AA6E8C"/>
    <w:rsid w:val="00AA6F19"/>
    <w:rsid w:val="00AA7A76"/>
    <w:rsid w:val="00AB03EF"/>
    <w:rsid w:val="00AB50EE"/>
    <w:rsid w:val="00AD2631"/>
    <w:rsid w:val="00AD58C5"/>
    <w:rsid w:val="00AE3320"/>
    <w:rsid w:val="00AE4618"/>
    <w:rsid w:val="00AE63BD"/>
    <w:rsid w:val="00AE70A9"/>
    <w:rsid w:val="00AE7682"/>
    <w:rsid w:val="00AF0711"/>
    <w:rsid w:val="00AF0B2B"/>
    <w:rsid w:val="00AF0FA7"/>
    <w:rsid w:val="00AF2914"/>
    <w:rsid w:val="00AF3136"/>
    <w:rsid w:val="00AF363F"/>
    <w:rsid w:val="00AF3A71"/>
    <w:rsid w:val="00AF3E4F"/>
    <w:rsid w:val="00B071FF"/>
    <w:rsid w:val="00B10CCF"/>
    <w:rsid w:val="00B11505"/>
    <w:rsid w:val="00B11DC2"/>
    <w:rsid w:val="00B121D2"/>
    <w:rsid w:val="00B15CAA"/>
    <w:rsid w:val="00B1673B"/>
    <w:rsid w:val="00B17897"/>
    <w:rsid w:val="00B201A8"/>
    <w:rsid w:val="00B20ABA"/>
    <w:rsid w:val="00B20C42"/>
    <w:rsid w:val="00B22CE8"/>
    <w:rsid w:val="00B27C5D"/>
    <w:rsid w:val="00B3585E"/>
    <w:rsid w:val="00B37BB0"/>
    <w:rsid w:val="00B40CD3"/>
    <w:rsid w:val="00B41247"/>
    <w:rsid w:val="00B42807"/>
    <w:rsid w:val="00B428A6"/>
    <w:rsid w:val="00B53913"/>
    <w:rsid w:val="00B56906"/>
    <w:rsid w:val="00B57FCC"/>
    <w:rsid w:val="00B61782"/>
    <w:rsid w:val="00B63D44"/>
    <w:rsid w:val="00B65AF6"/>
    <w:rsid w:val="00B661F0"/>
    <w:rsid w:val="00B7031E"/>
    <w:rsid w:val="00B72922"/>
    <w:rsid w:val="00B72A13"/>
    <w:rsid w:val="00B75196"/>
    <w:rsid w:val="00B824C4"/>
    <w:rsid w:val="00B84DD5"/>
    <w:rsid w:val="00B87538"/>
    <w:rsid w:val="00B87B26"/>
    <w:rsid w:val="00B91EA6"/>
    <w:rsid w:val="00B94CAA"/>
    <w:rsid w:val="00B95910"/>
    <w:rsid w:val="00B97F7D"/>
    <w:rsid w:val="00BA24FC"/>
    <w:rsid w:val="00BA394B"/>
    <w:rsid w:val="00BA3A4C"/>
    <w:rsid w:val="00BA78C0"/>
    <w:rsid w:val="00BB0F20"/>
    <w:rsid w:val="00BB29BA"/>
    <w:rsid w:val="00BB5B8A"/>
    <w:rsid w:val="00BC3B5C"/>
    <w:rsid w:val="00BD2CDE"/>
    <w:rsid w:val="00BD41CF"/>
    <w:rsid w:val="00BD7CC1"/>
    <w:rsid w:val="00BE0164"/>
    <w:rsid w:val="00BE0251"/>
    <w:rsid w:val="00BE12BD"/>
    <w:rsid w:val="00BE2554"/>
    <w:rsid w:val="00BE2ED7"/>
    <w:rsid w:val="00BE464D"/>
    <w:rsid w:val="00BE6AB8"/>
    <w:rsid w:val="00BF086D"/>
    <w:rsid w:val="00BF2167"/>
    <w:rsid w:val="00BF2774"/>
    <w:rsid w:val="00BF4013"/>
    <w:rsid w:val="00C02D96"/>
    <w:rsid w:val="00C0551D"/>
    <w:rsid w:val="00C12767"/>
    <w:rsid w:val="00C12883"/>
    <w:rsid w:val="00C20A22"/>
    <w:rsid w:val="00C21632"/>
    <w:rsid w:val="00C221AE"/>
    <w:rsid w:val="00C25581"/>
    <w:rsid w:val="00C264E3"/>
    <w:rsid w:val="00C2788D"/>
    <w:rsid w:val="00C34803"/>
    <w:rsid w:val="00C35C76"/>
    <w:rsid w:val="00C361F6"/>
    <w:rsid w:val="00C3669A"/>
    <w:rsid w:val="00C423E3"/>
    <w:rsid w:val="00C44428"/>
    <w:rsid w:val="00C458AF"/>
    <w:rsid w:val="00C50A80"/>
    <w:rsid w:val="00C52D48"/>
    <w:rsid w:val="00C54642"/>
    <w:rsid w:val="00C676F3"/>
    <w:rsid w:val="00C72A4C"/>
    <w:rsid w:val="00C72C0C"/>
    <w:rsid w:val="00C731BF"/>
    <w:rsid w:val="00C77EFD"/>
    <w:rsid w:val="00C8009F"/>
    <w:rsid w:val="00C82759"/>
    <w:rsid w:val="00C829DF"/>
    <w:rsid w:val="00C82E44"/>
    <w:rsid w:val="00C84021"/>
    <w:rsid w:val="00C84EB7"/>
    <w:rsid w:val="00C86C26"/>
    <w:rsid w:val="00C875AE"/>
    <w:rsid w:val="00C905EB"/>
    <w:rsid w:val="00C91188"/>
    <w:rsid w:val="00C9208E"/>
    <w:rsid w:val="00C92700"/>
    <w:rsid w:val="00C92A2F"/>
    <w:rsid w:val="00C9634D"/>
    <w:rsid w:val="00CA1FB7"/>
    <w:rsid w:val="00CA28E0"/>
    <w:rsid w:val="00CA46CF"/>
    <w:rsid w:val="00CA7B11"/>
    <w:rsid w:val="00CB4F4C"/>
    <w:rsid w:val="00CB5DEF"/>
    <w:rsid w:val="00CB5E49"/>
    <w:rsid w:val="00CC0C54"/>
    <w:rsid w:val="00CC1016"/>
    <w:rsid w:val="00CC48E3"/>
    <w:rsid w:val="00CD0E32"/>
    <w:rsid w:val="00CD4424"/>
    <w:rsid w:val="00CE1966"/>
    <w:rsid w:val="00CE2983"/>
    <w:rsid w:val="00CF171D"/>
    <w:rsid w:val="00CF2008"/>
    <w:rsid w:val="00CF40D1"/>
    <w:rsid w:val="00CF4188"/>
    <w:rsid w:val="00CF42BA"/>
    <w:rsid w:val="00D06213"/>
    <w:rsid w:val="00D07D6A"/>
    <w:rsid w:val="00D20C45"/>
    <w:rsid w:val="00D228D0"/>
    <w:rsid w:val="00D24425"/>
    <w:rsid w:val="00D2585F"/>
    <w:rsid w:val="00D277A3"/>
    <w:rsid w:val="00D277C2"/>
    <w:rsid w:val="00D31882"/>
    <w:rsid w:val="00D31BAB"/>
    <w:rsid w:val="00D327FF"/>
    <w:rsid w:val="00D34F24"/>
    <w:rsid w:val="00D35A03"/>
    <w:rsid w:val="00D37377"/>
    <w:rsid w:val="00D41CD7"/>
    <w:rsid w:val="00D457F9"/>
    <w:rsid w:val="00D45B09"/>
    <w:rsid w:val="00D45B8C"/>
    <w:rsid w:val="00D51538"/>
    <w:rsid w:val="00D532F2"/>
    <w:rsid w:val="00D5375D"/>
    <w:rsid w:val="00D567E0"/>
    <w:rsid w:val="00D5756F"/>
    <w:rsid w:val="00D578D9"/>
    <w:rsid w:val="00D61ABA"/>
    <w:rsid w:val="00D630DE"/>
    <w:rsid w:val="00D64AC3"/>
    <w:rsid w:val="00D65C4C"/>
    <w:rsid w:val="00D664AD"/>
    <w:rsid w:val="00D71B57"/>
    <w:rsid w:val="00D72C82"/>
    <w:rsid w:val="00D7327A"/>
    <w:rsid w:val="00D74D08"/>
    <w:rsid w:val="00D87625"/>
    <w:rsid w:val="00D92504"/>
    <w:rsid w:val="00D94745"/>
    <w:rsid w:val="00DA41B2"/>
    <w:rsid w:val="00DA4EE5"/>
    <w:rsid w:val="00DA508B"/>
    <w:rsid w:val="00DA5D06"/>
    <w:rsid w:val="00DA7B20"/>
    <w:rsid w:val="00DB0D4D"/>
    <w:rsid w:val="00DB2CE4"/>
    <w:rsid w:val="00DB2E02"/>
    <w:rsid w:val="00DB37CF"/>
    <w:rsid w:val="00DB407F"/>
    <w:rsid w:val="00DC19F5"/>
    <w:rsid w:val="00DC2409"/>
    <w:rsid w:val="00DC6A98"/>
    <w:rsid w:val="00DC7016"/>
    <w:rsid w:val="00DC7245"/>
    <w:rsid w:val="00DC730A"/>
    <w:rsid w:val="00DD12FC"/>
    <w:rsid w:val="00DD296E"/>
    <w:rsid w:val="00DE130A"/>
    <w:rsid w:val="00DE38B2"/>
    <w:rsid w:val="00DE4148"/>
    <w:rsid w:val="00DE44F5"/>
    <w:rsid w:val="00DF1080"/>
    <w:rsid w:val="00DF4B88"/>
    <w:rsid w:val="00DF52E3"/>
    <w:rsid w:val="00E00F46"/>
    <w:rsid w:val="00E12D6B"/>
    <w:rsid w:val="00E1303E"/>
    <w:rsid w:val="00E145ED"/>
    <w:rsid w:val="00E15596"/>
    <w:rsid w:val="00E166FD"/>
    <w:rsid w:val="00E17247"/>
    <w:rsid w:val="00E17EC3"/>
    <w:rsid w:val="00E24560"/>
    <w:rsid w:val="00E264BB"/>
    <w:rsid w:val="00E26CE0"/>
    <w:rsid w:val="00E276DF"/>
    <w:rsid w:val="00E37870"/>
    <w:rsid w:val="00E4050D"/>
    <w:rsid w:val="00E420BE"/>
    <w:rsid w:val="00E427C7"/>
    <w:rsid w:val="00E45E6A"/>
    <w:rsid w:val="00E50A42"/>
    <w:rsid w:val="00E537FA"/>
    <w:rsid w:val="00E549A2"/>
    <w:rsid w:val="00E55311"/>
    <w:rsid w:val="00E5663F"/>
    <w:rsid w:val="00E56D64"/>
    <w:rsid w:val="00E611CC"/>
    <w:rsid w:val="00E65F64"/>
    <w:rsid w:val="00E66A30"/>
    <w:rsid w:val="00E712B1"/>
    <w:rsid w:val="00E75DDF"/>
    <w:rsid w:val="00E76641"/>
    <w:rsid w:val="00E77F48"/>
    <w:rsid w:val="00E80193"/>
    <w:rsid w:val="00E81B17"/>
    <w:rsid w:val="00E82722"/>
    <w:rsid w:val="00E842CE"/>
    <w:rsid w:val="00E85BF7"/>
    <w:rsid w:val="00E87A28"/>
    <w:rsid w:val="00E941E6"/>
    <w:rsid w:val="00E95AB3"/>
    <w:rsid w:val="00EA2187"/>
    <w:rsid w:val="00EA3035"/>
    <w:rsid w:val="00EA5E85"/>
    <w:rsid w:val="00EB5058"/>
    <w:rsid w:val="00EB7EB6"/>
    <w:rsid w:val="00EC194E"/>
    <w:rsid w:val="00EC496C"/>
    <w:rsid w:val="00EC5057"/>
    <w:rsid w:val="00EC70BC"/>
    <w:rsid w:val="00ED018E"/>
    <w:rsid w:val="00ED1A67"/>
    <w:rsid w:val="00ED3283"/>
    <w:rsid w:val="00EE16FB"/>
    <w:rsid w:val="00EE2E8C"/>
    <w:rsid w:val="00EE55F9"/>
    <w:rsid w:val="00EE62A5"/>
    <w:rsid w:val="00EF0734"/>
    <w:rsid w:val="00EF1709"/>
    <w:rsid w:val="00EF32C4"/>
    <w:rsid w:val="00EF39AD"/>
    <w:rsid w:val="00EF3D9B"/>
    <w:rsid w:val="00EF5F63"/>
    <w:rsid w:val="00F057D3"/>
    <w:rsid w:val="00F05C27"/>
    <w:rsid w:val="00F11454"/>
    <w:rsid w:val="00F125DA"/>
    <w:rsid w:val="00F15575"/>
    <w:rsid w:val="00F1765E"/>
    <w:rsid w:val="00F1782F"/>
    <w:rsid w:val="00F221FC"/>
    <w:rsid w:val="00F33859"/>
    <w:rsid w:val="00F43BDB"/>
    <w:rsid w:val="00F51F27"/>
    <w:rsid w:val="00F53254"/>
    <w:rsid w:val="00F627E4"/>
    <w:rsid w:val="00F6377B"/>
    <w:rsid w:val="00F65D8E"/>
    <w:rsid w:val="00F665A8"/>
    <w:rsid w:val="00F669B9"/>
    <w:rsid w:val="00F72573"/>
    <w:rsid w:val="00F84B1C"/>
    <w:rsid w:val="00F853F2"/>
    <w:rsid w:val="00F86BC7"/>
    <w:rsid w:val="00F87DD4"/>
    <w:rsid w:val="00F94337"/>
    <w:rsid w:val="00FA0D89"/>
    <w:rsid w:val="00FA2987"/>
    <w:rsid w:val="00FA584E"/>
    <w:rsid w:val="00FA6D24"/>
    <w:rsid w:val="00FB3ABD"/>
    <w:rsid w:val="00FB59A0"/>
    <w:rsid w:val="00FB6596"/>
    <w:rsid w:val="00FC42BD"/>
    <w:rsid w:val="00FC62D7"/>
    <w:rsid w:val="00FD2E9B"/>
    <w:rsid w:val="00FD3552"/>
    <w:rsid w:val="00FD3D6E"/>
    <w:rsid w:val="00FE008D"/>
    <w:rsid w:val="00FE03CE"/>
    <w:rsid w:val="00FE065B"/>
    <w:rsid w:val="00FE090E"/>
    <w:rsid w:val="00FE0E9D"/>
    <w:rsid w:val="00FE2BBF"/>
    <w:rsid w:val="00FE703A"/>
    <w:rsid w:val="00FE7A4D"/>
    <w:rsid w:val="00FF1F53"/>
    <w:rsid w:val="00FF59F3"/>
    <w:rsid w:val="00FF6D2A"/>
    <w:rsid w:val="00FF7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D542374B-B11F-4280-8EF6-916DD26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semiHidden/>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semiHidden/>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paragraph" w:styleId="NormalWeb">
    <w:name w:val="Normal (Web)"/>
    <w:basedOn w:val="Normal"/>
    <w:uiPriority w:val="99"/>
    <w:unhideWhenUsed/>
    <w:rsid w:val="00913160"/>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1976v1SApg939" TargetMode="External"/><Relationship Id="rId3" Type="http://schemas.openxmlformats.org/officeDocument/2006/relationships/hyperlink" Target="https://app.jutastatevolve.co.za/y1912ADpg181" TargetMode="External"/><Relationship Id="rId7" Type="http://schemas.openxmlformats.org/officeDocument/2006/relationships/hyperlink" Target="https://app.jutastatevolve.co.za/y1974v2SApg214" TargetMode="External"/><Relationship Id="rId2" Type="http://schemas.openxmlformats.org/officeDocument/2006/relationships/hyperlink" Target="https://app.jutastatevolve.co.za/y1912ADpg181" TargetMode="External"/><Relationship Id="rId1" Type="http://schemas.openxmlformats.org/officeDocument/2006/relationships/hyperlink" Target="https://app.jutastatevolve.co.za/" TargetMode="External"/><Relationship Id="rId6" Type="http://schemas.openxmlformats.org/officeDocument/2006/relationships/hyperlink" Target="https://app.jutastatevolve.co.za/y1970v3SApg312" TargetMode="External"/><Relationship Id="rId5" Type="http://schemas.openxmlformats.org/officeDocument/2006/relationships/hyperlink" Target="https://app.jutastatevolve.co.za/y1962v4SApg624" TargetMode="External"/><Relationship Id="rId4" Type="http://schemas.openxmlformats.org/officeDocument/2006/relationships/hyperlink" Target="https://app.jutastatevolve.co.za/y1954v2SApg3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5FB4-5024-4371-91E0-04A01FB5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86</TotalTime>
  <Pages>1</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Mokone</cp:lastModifiedBy>
  <cp:revision>5</cp:revision>
  <cp:lastPrinted>2023-05-03T11:36:00Z</cp:lastPrinted>
  <dcterms:created xsi:type="dcterms:W3CDTF">2023-05-05T06:22:00Z</dcterms:created>
  <dcterms:modified xsi:type="dcterms:W3CDTF">2023-05-05T10:08:00Z</dcterms:modified>
</cp:coreProperties>
</file>