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9016D" w14:textId="589E6441" w:rsidR="00BB117B" w:rsidRPr="003829F4" w:rsidRDefault="00386CF6" w:rsidP="00403ABF">
      <w:pPr>
        <w:widowControl w:val="0"/>
        <w:spacing w:after="0" w:line="480" w:lineRule="auto"/>
        <w:jc w:val="center"/>
        <w:rPr>
          <w:rFonts w:ascii="Arial" w:hAnsi="Arial" w:cs="Arial"/>
          <w:lang w:val="en-GB"/>
        </w:rPr>
      </w:pPr>
      <w:r w:rsidRPr="003829F4">
        <w:rPr>
          <w:rFonts w:ascii="Arial" w:hAnsi="Arial" w:cs="Arial"/>
          <w:noProof/>
          <w:lang w:val="en-US"/>
        </w:rPr>
        <w:drawing>
          <wp:inline distT="0" distB="0" distL="0" distR="0" wp14:anchorId="4D53EE37" wp14:editId="27E68162">
            <wp:extent cx="1597152" cy="15971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8">
                      <a:extLst>
                        <a:ext uri="{28A0092B-C50C-407E-A947-70E740481C1C}">
                          <a14:useLocalDpi xmlns:a14="http://schemas.microsoft.com/office/drawing/2010/main" val="0"/>
                        </a:ext>
                      </a:extLst>
                    </a:blip>
                    <a:stretch>
                      <a:fillRect/>
                    </a:stretch>
                  </pic:blipFill>
                  <pic:spPr>
                    <a:xfrm>
                      <a:off x="0" y="0"/>
                      <a:ext cx="1596334" cy="1596334"/>
                    </a:xfrm>
                    <a:prstGeom prst="rect">
                      <a:avLst/>
                    </a:prstGeom>
                  </pic:spPr>
                </pic:pic>
              </a:graphicData>
            </a:graphic>
          </wp:inline>
        </w:drawing>
      </w:r>
    </w:p>
    <w:p w14:paraId="75C8B87E" w14:textId="77777777" w:rsidR="00386CF6" w:rsidRPr="003829F4" w:rsidRDefault="00386CF6" w:rsidP="00403ABF">
      <w:pPr>
        <w:widowControl w:val="0"/>
        <w:spacing w:after="0" w:line="480" w:lineRule="auto"/>
        <w:jc w:val="center"/>
        <w:rPr>
          <w:rFonts w:ascii="Verdana" w:hAnsi="Verdana" w:cs="Arial"/>
          <w:b/>
          <w:lang w:val="en-GB"/>
        </w:rPr>
      </w:pPr>
      <w:r w:rsidRPr="003829F4">
        <w:rPr>
          <w:rFonts w:ascii="Verdana" w:hAnsi="Verdana" w:cs="Arial"/>
          <w:b/>
          <w:lang w:val="en-GB"/>
        </w:rPr>
        <w:t>IN THE HIGH COURT OF SOUTH AFRICA</w:t>
      </w:r>
    </w:p>
    <w:p w14:paraId="305AAA64" w14:textId="3A101DDC" w:rsidR="00386CF6" w:rsidRPr="003829F4" w:rsidRDefault="00723BCA" w:rsidP="00403ABF">
      <w:pPr>
        <w:widowControl w:val="0"/>
        <w:spacing w:line="480" w:lineRule="auto"/>
        <w:jc w:val="center"/>
        <w:rPr>
          <w:rFonts w:ascii="Verdana" w:hAnsi="Verdana" w:cs="Arial"/>
          <w:b/>
          <w:lang w:val="en-GB"/>
        </w:rPr>
      </w:pPr>
      <w:r w:rsidRPr="003829F4">
        <w:rPr>
          <w:rFonts w:ascii="Verdana" w:hAnsi="Verdana" w:cs="Arial"/>
          <w:b/>
          <w:lang w:val="en-GB"/>
        </w:rPr>
        <w:t>GAUTENG</w:t>
      </w:r>
      <w:r w:rsidR="0036664D" w:rsidRPr="003829F4">
        <w:rPr>
          <w:rFonts w:ascii="Verdana" w:hAnsi="Verdana" w:cs="Arial"/>
          <w:b/>
          <w:lang w:val="en-GB"/>
        </w:rPr>
        <w:t xml:space="preserve"> </w:t>
      </w:r>
      <w:r w:rsidR="00386CF6" w:rsidRPr="003829F4">
        <w:rPr>
          <w:rFonts w:ascii="Verdana" w:hAnsi="Verdana" w:cs="Arial"/>
          <w:b/>
          <w:lang w:val="en-GB"/>
        </w:rPr>
        <w:t xml:space="preserve">DIVISION, </w:t>
      </w:r>
      <w:r w:rsidR="0036664D" w:rsidRPr="003829F4">
        <w:rPr>
          <w:rFonts w:ascii="Verdana" w:hAnsi="Verdana" w:cs="Arial"/>
          <w:b/>
          <w:lang w:val="en-GB"/>
        </w:rPr>
        <w:t>JOHANNESBURG</w:t>
      </w:r>
    </w:p>
    <w:p w14:paraId="21479878" w14:textId="4AB87DAA" w:rsidR="00545AB4" w:rsidRPr="003829F4" w:rsidRDefault="00545AB4" w:rsidP="00403ABF">
      <w:pPr>
        <w:widowControl w:val="0"/>
        <w:spacing w:after="0" w:line="480" w:lineRule="auto"/>
        <w:jc w:val="right"/>
        <w:rPr>
          <w:rFonts w:ascii="Verdana" w:hAnsi="Verdana" w:cs="Arial"/>
          <w:b/>
          <w:lang w:val="en-GB"/>
        </w:rPr>
      </w:pPr>
      <w:r w:rsidRPr="003829F4">
        <w:rPr>
          <w:rFonts w:ascii="Verdana" w:hAnsi="Verdana" w:cs="Arial"/>
          <w:b/>
          <w:lang w:val="en-GB"/>
        </w:rPr>
        <w:t>CASE N</w:t>
      </w:r>
      <w:r w:rsidR="000733E2" w:rsidRPr="003829F4">
        <w:rPr>
          <w:rFonts w:ascii="Verdana" w:hAnsi="Verdana" w:cs="Arial"/>
          <w:b/>
          <w:lang w:val="en-GB"/>
        </w:rPr>
        <w:t>UMBER</w:t>
      </w:r>
      <w:r w:rsidRPr="003829F4">
        <w:rPr>
          <w:rFonts w:ascii="Verdana" w:hAnsi="Verdana" w:cs="Arial"/>
          <w:b/>
          <w:lang w:val="en-GB"/>
        </w:rPr>
        <w:t xml:space="preserve">: </w:t>
      </w:r>
      <w:r w:rsidR="0036664D" w:rsidRPr="003829F4">
        <w:rPr>
          <w:rFonts w:ascii="Verdana" w:hAnsi="Verdana" w:cs="Arial"/>
          <w:b/>
          <w:lang w:val="en-GB"/>
        </w:rPr>
        <w:t xml:space="preserve"> </w:t>
      </w:r>
      <w:r w:rsidR="00603F5C" w:rsidRPr="003829F4">
        <w:rPr>
          <w:rFonts w:ascii="Verdana" w:hAnsi="Verdana" w:cs="Arial"/>
          <w:b/>
          <w:lang w:val="en-GB"/>
        </w:rPr>
        <w:t>202</w:t>
      </w:r>
      <w:r w:rsidR="00461251" w:rsidRPr="003829F4">
        <w:rPr>
          <w:rFonts w:ascii="Verdana" w:hAnsi="Verdana" w:cs="Arial"/>
          <w:b/>
          <w:lang w:val="en-GB"/>
        </w:rPr>
        <w:t>2</w:t>
      </w:r>
      <w:r w:rsidR="00603F5C" w:rsidRPr="003829F4">
        <w:rPr>
          <w:rFonts w:ascii="Verdana" w:hAnsi="Verdana" w:cs="Arial"/>
          <w:b/>
          <w:lang w:val="en-GB"/>
        </w:rPr>
        <w:t>/</w:t>
      </w:r>
      <w:r w:rsidR="00263063" w:rsidRPr="003829F4">
        <w:rPr>
          <w:rFonts w:ascii="Verdana" w:hAnsi="Verdana" w:cs="Arial"/>
          <w:b/>
          <w:lang w:val="en-GB"/>
        </w:rPr>
        <w:t>9405</w:t>
      </w:r>
    </w:p>
    <w:p w14:paraId="79FD3A76" w14:textId="61B64C87" w:rsidR="004D3F47" w:rsidRPr="003829F4" w:rsidRDefault="004D3F47" w:rsidP="00403ABF">
      <w:pPr>
        <w:widowControl w:val="0"/>
        <w:spacing w:line="480" w:lineRule="auto"/>
        <w:jc w:val="right"/>
        <w:rPr>
          <w:rFonts w:ascii="Verdana" w:hAnsi="Verdana" w:cs="Arial"/>
          <w:b/>
          <w:lang w:val="en-GB"/>
        </w:rPr>
      </w:pPr>
      <w:r w:rsidRPr="003829F4">
        <w:rPr>
          <w:rFonts w:ascii="Verdana" w:hAnsi="Verdana"/>
          <w:noProof/>
          <w:lang w:val="en-US"/>
        </w:rPr>
        <mc:AlternateContent>
          <mc:Choice Requires="wps">
            <w:drawing>
              <wp:anchor distT="0" distB="0" distL="114300" distR="114300" simplePos="0" relativeHeight="251659264" behindDoc="0" locked="0" layoutInCell="1" allowOverlap="1" wp14:anchorId="50FE586E" wp14:editId="6CCBA714">
                <wp:simplePos x="0" y="0"/>
                <wp:positionH relativeFrom="column">
                  <wp:posOffset>71718</wp:posOffset>
                </wp:positionH>
                <wp:positionV relativeFrom="paragraph">
                  <wp:posOffset>122032</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7E208079" w14:textId="77777777" w:rsidR="00490AC0" w:rsidRDefault="00490AC0" w:rsidP="00386CF6">
                            <w:pPr>
                              <w:jc w:val="center"/>
                              <w:rPr>
                                <w:rFonts w:ascii="Century Gothic" w:hAnsi="Century Gothic"/>
                                <w:b/>
                                <w:sz w:val="20"/>
                                <w:szCs w:val="20"/>
                              </w:rPr>
                            </w:pPr>
                          </w:p>
                          <w:p w14:paraId="3FEDA994" w14:textId="523FD9FA" w:rsidR="00490AC0" w:rsidRDefault="00AF1307" w:rsidP="00AF130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0AC0">
                              <w:rPr>
                                <w:rFonts w:ascii="Century Gothic" w:hAnsi="Century Gothic"/>
                                <w:sz w:val="20"/>
                                <w:szCs w:val="20"/>
                              </w:rPr>
                              <w:t xml:space="preserve">REPORTABLE:  </w:t>
                            </w:r>
                            <w:r w:rsidR="008F64CD">
                              <w:rPr>
                                <w:rFonts w:ascii="Century Gothic" w:hAnsi="Century Gothic"/>
                                <w:sz w:val="20"/>
                                <w:szCs w:val="20"/>
                              </w:rPr>
                              <w:t>YES</w:t>
                            </w:r>
                          </w:p>
                          <w:p w14:paraId="1B8F63EA" w14:textId="39321AED" w:rsidR="00490AC0" w:rsidRDefault="00AF1307" w:rsidP="00AF130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0AC0">
                              <w:rPr>
                                <w:rFonts w:ascii="Century Gothic" w:hAnsi="Century Gothic"/>
                                <w:sz w:val="20"/>
                                <w:szCs w:val="20"/>
                              </w:rPr>
                              <w:t xml:space="preserve">OF INTEREST TO OTHER JUDGES:  </w:t>
                            </w:r>
                            <w:r w:rsidR="008F64CD">
                              <w:rPr>
                                <w:rFonts w:ascii="Century Gothic" w:hAnsi="Century Gothic"/>
                                <w:sz w:val="20"/>
                                <w:szCs w:val="20"/>
                              </w:rPr>
                              <w:t>YES</w:t>
                            </w:r>
                          </w:p>
                          <w:p w14:paraId="66F8D6FB" w14:textId="39FCFAE6" w:rsidR="00490AC0" w:rsidRDefault="00AF1307" w:rsidP="00AF130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0AC0">
                              <w:rPr>
                                <w:rFonts w:ascii="Century Gothic" w:hAnsi="Century Gothic"/>
                                <w:sz w:val="20"/>
                                <w:szCs w:val="20"/>
                              </w:rPr>
                              <w:t>REVISED</w:t>
                            </w:r>
                            <w:r w:rsidR="00603F5C">
                              <w:rPr>
                                <w:rFonts w:ascii="Century Gothic" w:hAnsi="Century Gothic"/>
                                <w:sz w:val="20"/>
                                <w:szCs w:val="20"/>
                              </w:rPr>
                              <w:t>: YES</w:t>
                            </w:r>
                            <w:r w:rsidR="004D0E40">
                              <w:rPr>
                                <w:rFonts w:ascii="Century Gothic" w:hAnsi="Century Gothic"/>
                                <w:sz w:val="20"/>
                                <w:szCs w:val="20"/>
                              </w:rPr>
                              <w:t>.</w:t>
                            </w:r>
                          </w:p>
                          <w:p w14:paraId="75E0B5B2" w14:textId="45EFCF1D" w:rsidR="00490AC0" w:rsidRDefault="00490AC0" w:rsidP="00650EFA">
                            <w:pPr>
                              <w:spacing w:after="0" w:line="240" w:lineRule="auto"/>
                              <w:ind w:left="180"/>
                              <w:rPr>
                                <w:rFonts w:ascii="Century Gothic" w:hAnsi="Century Gothic"/>
                                <w:sz w:val="20"/>
                                <w:szCs w:val="20"/>
                              </w:rPr>
                            </w:pPr>
                            <w:r>
                              <w:rPr>
                                <w:rFonts w:ascii="Century Gothic" w:hAnsi="Century Gothic"/>
                                <w:sz w:val="20"/>
                                <w:szCs w:val="20"/>
                              </w:rPr>
                              <w:t xml:space="preserve">DATE: </w:t>
                            </w:r>
                            <w:r w:rsidR="006A5488">
                              <w:rPr>
                                <w:rFonts w:ascii="Century Gothic" w:hAnsi="Century Gothic"/>
                                <w:sz w:val="20"/>
                                <w:szCs w:val="20"/>
                              </w:rPr>
                              <w:t>2</w:t>
                            </w:r>
                            <w:r w:rsidR="008F64CD">
                              <w:rPr>
                                <w:rFonts w:ascii="Century Gothic" w:hAnsi="Century Gothic"/>
                                <w:sz w:val="20"/>
                                <w:szCs w:val="20"/>
                              </w:rPr>
                              <w:t>8</w:t>
                            </w:r>
                            <w:r w:rsidR="006A5488">
                              <w:rPr>
                                <w:rFonts w:ascii="Century Gothic" w:hAnsi="Century Gothic"/>
                                <w:sz w:val="20"/>
                                <w:szCs w:val="20"/>
                              </w:rPr>
                              <w:t xml:space="preserve"> APRIL</w:t>
                            </w:r>
                            <w:r w:rsidR="004D3F47">
                              <w:rPr>
                                <w:rFonts w:ascii="Century Gothic" w:hAnsi="Century Gothic"/>
                                <w:sz w:val="20"/>
                                <w:szCs w:val="20"/>
                              </w:rPr>
                              <w:t xml:space="preserve"> </w:t>
                            </w:r>
                            <w:r>
                              <w:rPr>
                                <w:rFonts w:ascii="Century Gothic" w:hAnsi="Century Gothic"/>
                                <w:sz w:val="20"/>
                                <w:szCs w:val="20"/>
                              </w:rPr>
                              <w:t>202</w:t>
                            </w:r>
                            <w:r w:rsidR="004D0E40">
                              <w:rPr>
                                <w:rFonts w:ascii="Century Gothic" w:hAnsi="Century Gothic"/>
                                <w:sz w:val="20"/>
                                <w:szCs w:val="20"/>
                              </w:rPr>
                              <w:t>3</w:t>
                            </w:r>
                            <w:r>
                              <w:rPr>
                                <w:noProof/>
                                <w:lang w:val="en-US"/>
                              </w:rPr>
                              <w:drawing>
                                <wp:inline distT="0" distB="0" distL="0" distR="0" wp14:anchorId="75398979" wp14:editId="16D7DAFD">
                                  <wp:extent cx="1361374" cy="36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3448" cy="422968"/>
                                          </a:xfrm>
                                          <a:prstGeom prst="rect">
                                            <a:avLst/>
                                          </a:prstGeom>
                                          <a:noFill/>
                                          <a:ln>
                                            <a:noFill/>
                                          </a:ln>
                                        </pic:spPr>
                                      </pic:pic>
                                    </a:graphicData>
                                  </a:graphic>
                                </wp:inline>
                              </w:drawing>
                            </w:r>
                          </w:p>
                          <w:p w14:paraId="735C4641" w14:textId="2FF22218" w:rsidR="00490AC0" w:rsidRDefault="00490AC0" w:rsidP="00386CF6">
                            <w:pPr>
                              <w:spacing w:after="0" w:line="240" w:lineRule="auto"/>
                              <w:rPr>
                                <w:rFonts w:ascii="Century Gothic" w:hAnsi="Century Gothic"/>
                                <w:sz w:val="20"/>
                                <w:szCs w:val="20"/>
                              </w:rPr>
                            </w:pPr>
                          </w:p>
                          <w:p w14:paraId="002C27C2" w14:textId="78398221" w:rsidR="00490AC0" w:rsidRPr="00C40125" w:rsidRDefault="00490AC0" w:rsidP="00386CF6">
                            <w:pPr>
                              <w:spacing w:after="0" w:line="240" w:lineRule="auto"/>
                              <w:ind w:firstLine="180"/>
                              <w:rPr>
                                <w:rFonts w:ascii="Blackadder ITC" w:hAnsi="Blackadder ITC"/>
                                <w:b/>
                                <w:bCs/>
                                <w:sz w:val="20"/>
                                <w:szCs w:val="20"/>
                              </w:rPr>
                            </w:pPr>
                            <w:r>
                              <w:rPr>
                                <w:rFonts w:ascii="Century Gothic" w:hAnsi="Century Gothic"/>
                                <w:sz w:val="20"/>
                                <w:szCs w:val="20"/>
                              </w:rPr>
                              <w:t>___________________</w:t>
                            </w:r>
                            <w:r>
                              <w:rPr>
                                <w:rFonts w:ascii="Century Gothic" w:hAnsi="Century Gothic"/>
                                <w:sz w:val="20"/>
                                <w:szCs w:val="20"/>
                              </w:rPr>
                              <w:tab/>
                            </w:r>
                          </w:p>
                          <w:p w14:paraId="36001B1C" w14:textId="5DFD1783" w:rsidR="00490AC0" w:rsidRDefault="00490AC0" w:rsidP="00386CF6">
                            <w:pPr>
                              <w:spacing w:after="0" w:line="240" w:lineRule="auto"/>
                              <w:ind w:firstLine="180"/>
                              <w:rPr>
                                <w:rFonts w:ascii="Century Gothic" w:hAnsi="Century Gothic"/>
                                <w:sz w:val="20"/>
                                <w:szCs w:val="20"/>
                              </w:rPr>
                            </w:pPr>
                          </w:p>
                          <w:p w14:paraId="3D1CBF70" w14:textId="77777777" w:rsidR="00490AC0" w:rsidRDefault="00490AC0" w:rsidP="00386CF6">
                            <w:pPr>
                              <w:rPr>
                                <w:rFonts w:ascii="Century Gothic" w:hAnsi="Century Gothic"/>
                                <w:b/>
                                <w:sz w:val="18"/>
                                <w:szCs w:val="18"/>
                              </w:rPr>
                            </w:pPr>
                          </w:p>
                          <w:p w14:paraId="12E9035B" w14:textId="77777777" w:rsidR="00490AC0" w:rsidRDefault="00490AC0" w:rsidP="00386CF6">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E586E" id="_x0000_t202" coordsize="21600,21600" o:spt="202" path="m,l,21600r21600,l21600,xe">
                <v:stroke joinstyle="miter"/>
                <v:path gradientshapeok="t" o:connecttype="rect"/>
              </v:shapetype>
              <v:shape id="Text Box 2" o:spid="_x0000_s1026" type="#_x0000_t202" style="position:absolute;left:0;text-align:left;margin-left:5.65pt;margin-top:9.6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10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">
                <v:textbox>
                  <w:txbxContent>
                    <w:p w14:paraId="7E208079" w14:textId="77777777" w:rsidR="00490AC0" w:rsidRDefault="00490AC0" w:rsidP="00386CF6">
                      <w:pPr>
                        <w:jc w:val="center"/>
                        <w:rPr>
                          <w:rFonts w:ascii="Century Gothic" w:hAnsi="Century Gothic"/>
                          <w:b/>
                          <w:sz w:val="20"/>
                          <w:szCs w:val="20"/>
                        </w:rPr>
                      </w:pPr>
                    </w:p>
                    <w:p w14:paraId="3FEDA994" w14:textId="523FD9FA" w:rsidR="00490AC0" w:rsidRDefault="00AF1307" w:rsidP="00AF130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0AC0">
                        <w:rPr>
                          <w:rFonts w:ascii="Century Gothic" w:hAnsi="Century Gothic"/>
                          <w:sz w:val="20"/>
                          <w:szCs w:val="20"/>
                        </w:rPr>
                        <w:t xml:space="preserve">REPORTABLE:  </w:t>
                      </w:r>
                      <w:r w:rsidR="008F64CD">
                        <w:rPr>
                          <w:rFonts w:ascii="Century Gothic" w:hAnsi="Century Gothic"/>
                          <w:sz w:val="20"/>
                          <w:szCs w:val="20"/>
                        </w:rPr>
                        <w:t>YES</w:t>
                      </w:r>
                    </w:p>
                    <w:p w14:paraId="1B8F63EA" w14:textId="39321AED" w:rsidR="00490AC0" w:rsidRDefault="00AF1307" w:rsidP="00AF130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0AC0">
                        <w:rPr>
                          <w:rFonts w:ascii="Century Gothic" w:hAnsi="Century Gothic"/>
                          <w:sz w:val="20"/>
                          <w:szCs w:val="20"/>
                        </w:rPr>
                        <w:t xml:space="preserve">OF INTEREST TO OTHER JUDGES:  </w:t>
                      </w:r>
                      <w:r w:rsidR="008F64CD">
                        <w:rPr>
                          <w:rFonts w:ascii="Century Gothic" w:hAnsi="Century Gothic"/>
                          <w:sz w:val="20"/>
                          <w:szCs w:val="20"/>
                        </w:rPr>
                        <w:t>YES</w:t>
                      </w:r>
                    </w:p>
                    <w:p w14:paraId="66F8D6FB" w14:textId="39FCFAE6" w:rsidR="00490AC0" w:rsidRDefault="00AF1307" w:rsidP="00AF130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0AC0">
                        <w:rPr>
                          <w:rFonts w:ascii="Century Gothic" w:hAnsi="Century Gothic"/>
                          <w:sz w:val="20"/>
                          <w:szCs w:val="20"/>
                        </w:rPr>
                        <w:t>REVISED</w:t>
                      </w:r>
                      <w:r w:rsidR="00603F5C">
                        <w:rPr>
                          <w:rFonts w:ascii="Century Gothic" w:hAnsi="Century Gothic"/>
                          <w:sz w:val="20"/>
                          <w:szCs w:val="20"/>
                        </w:rPr>
                        <w:t>: YES</w:t>
                      </w:r>
                      <w:r w:rsidR="004D0E40">
                        <w:rPr>
                          <w:rFonts w:ascii="Century Gothic" w:hAnsi="Century Gothic"/>
                          <w:sz w:val="20"/>
                          <w:szCs w:val="20"/>
                        </w:rPr>
                        <w:t>.</w:t>
                      </w:r>
                    </w:p>
                    <w:p w14:paraId="75E0B5B2" w14:textId="45EFCF1D" w:rsidR="00490AC0" w:rsidRDefault="00490AC0" w:rsidP="00650EFA">
                      <w:pPr>
                        <w:spacing w:after="0" w:line="240" w:lineRule="auto"/>
                        <w:ind w:left="180"/>
                        <w:rPr>
                          <w:rFonts w:ascii="Century Gothic" w:hAnsi="Century Gothic"/>
                          <w:sz w:val="20"/>
                          <w:szCs w:val="20"/>
                        </w:rPr>
                      </w:pPr>
                      <w:r>
                        <w:rPr>
                          <w:rFonts w:ascii="Century Gothic" w:hAnsi="Century Gothic"/>
                          <w:sz w:val="20"/>
                          <w:szCs w:val="20"/>
                        </w:rPr>
                        <w:t xml:space="preserve">DATE: </w:t>
                      </w:r>
                      <w:r w:rsidR="006A5488">
                        <w:rPr>
                          <w:rFonts w:ascii="Century Gothic" w:hAnsi="Century Gothic"/>
                          <w:sz w:val="20"/>
                          <w:szCs w:val="20"/>
                        </w:rPr>
                        <w:t>2</w:t>
                      </w:r>
                      <w:r w:rsidR="008F64CD">
                        <w:rPr>
                          <w:rFonts w:ascii="Century Gothic" w:hAnsi="Century Gothic"/>
                          <w:sz w:val="20"/>
                          <w:szCs w:val="20"/>
                        </w:rPr>
                        <w:t>8</w:t>
                      </w:r>
                      <w:r w:rsidR="006A5488">
                        <w:rPr>
                          <w:rFonts w:ascii="Century Gothic" w:hAnsi="Century Gothic"/>
                          <w:sz w:val="20"/>
                          <w:szCs w:val="20"/>
                        </w:rPr>
                        <w:t xml:space="preserve"> APRIL</w:t>
                      </w:r>
                      <w:r w:rsidR="004D3F47">
                        <w:rPr>
                          <w:rFonts w:ascii="Century Gothic" w:hAnsi="Century Gothic"/>
                          <w:sz w:val="20"/>
                          <w:szCs w:val="20"/>
                        </w:rPr>
                        <w:t xml:space="preserve"> </w:t>
                      </w:r>
                      <w:r>
                        <w:rPr>
                          <w:rFonts w:ascii="Century Gothic" w:hAnsi="Century Gothic"/>
                          <w:sz w:val="20"/>
                          <w:szCs w:val="20"/>
                        </w:rPr>
                        <w:t>202</w:t>
                      </w:r>
                      <w:r w:rsidR="004D0E40">
                        <w:rPr>
                          <w:rFonts w:ascii="Century Gothic" w:hAnsi="Century Gothic"/>
                          <w:sz w:val="20"/>
                          <w:szCs w:val="20"/>
                        </w:rPr>
                        <w:t>3</w:t>
                      </w:r>
                      <w:r>
                        <w:rPr>
                          <w:noProof/>
                          <w:lang w:val="en-US"/>
                        </w:rPr>
                        <w:drawing>
                          <wp:inline distT="0" distB="0" distL="0" distR="0" wp14:anchorId="75398979" wp14:editId="16D7DAFD">
                            <wp:extent cx="1361374" cy="36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3448" cy="422968"/>
                                    </a:xfrm>
                                    <a:prstGeom prst="rect">
                                      <a:avLst/>
                                    </a:prstGeom>
                                    <a:noFill/>
                                    <a:ln>
                                      <a:noFill/>
                                    </a:ln>
                                  </pic:spPr>
                                </pic:pic>
                              </a:graphicData>
                            </a:graphic>
                          </wp:inline>
                        </w:drawing>
                      </w:r>
                    </w:p>
                    <w:p w14:paraId="735C4641" w14:textId="2FF22218" w:rsidR="00490AC0" w:rsidRDefault="00490AC0" w:rsidP="00386CF6">
                      <w:pPr>
                        <w:spacing w:after="0" w:line="240" w:lineRule="auto"/>
                        <w:rPr>
                          <w:rFonts w:ascii="Century Gothic" w:hAnsi="Century Gothic"/>
                          <w:sz w:val="20"/>
                          <w:szCs w:val="20"/>
                        </w:rPr>
                      </w:pPr>
                    </w:p>
                    <w:p w14:paraId="002C27C2" w14:textId="78398221" w:rsidR="00490AC0" w:rsidRPr="00C40125" w:rsidRDefault="00490AC0" w:rsidP="00386CF6">
                      <w:pPr>
                        <w:spacing w:after="0" w:line="240" w:lineRule="auto"/>
                        <w:ind w:firstLine="180"/>
                        <w:rPr>
                          <w:rFonts w:ascii="Blackadder ITC" w:hAnsi="Blackadder ITC"/>
                          <w:b/>
                          <w:bCs/>
                          <w:sz w:val="20"/>
                          <w:szCs w:val="20"/>
                        </w:rPr>
                      </w:pPr>
                      <w:r>
                        <w:rPr>
                          <w:rFonts w:ascii="Century Gothic" w:hAnsi="Century Gothic"/>
                          <w:sz w:val="20"/>
                          <w:szCs w:val="20"/>
                        </w:rPr>
                        <w:t>___________________</w:t>
                      </w:r>
                      <w:r>
                        <w:rPr>
                          <w:rFonts w:ascii="Century Gothic" w:hAnsi="Century Gothic"/>
                          <w:sz w:val="20"/>
                          <w:szCs w:val="20"/>
                        </w:rPr>
                        <w:tab/>
                      </w:r>
                    </w:p>
                    <w:p w14:paraId="36001B1C" w14:textId="5DFD1783" w:rsidR="00490AC0" w:rsidRDefault="00490AC0" w:rsidP="00386CF6">
                      <w:pPr>
                        <w:spacing w:after="0" w:line="240" w:lineRule="auto"/>
                        <w:ind w:firstLine="180"/>
                        <w:rPr>
                          <w:rFonts w:ascii="Century Gothic" w:hAnsi="Century Gothic"/>
                          <w:sz w:val="20"/>
                          <w:szCs w:val="20"/>
                        </w:rPr>
                      </w:pPr>
                    </w:p>
                    <w:p w14:paraId="3D1CBF70" w14:textId="77777777" w:rsidR="00490AC0" w:rsidRDefault="00490AC0" w:rsidP="00386CF6">
                      <w:pPr>
                        <w:rPr>
                          <w:rFonts w:ascii="Century Gothic" w:hAnsi="Century Gothic"/>
                          <w:b/>
                          <w:sz w:val="18"/>
                          <w:szCs w:val="18"/>
                        </w:rPr>
                      </w:pPr>
                    </w:p>
                    <w:p w14:paraId="12E9035B" w14:textId="77777777" w:rsidR="00490AC0" w:rsidRDefault="00490AC0" w:rsidP="00386CF6">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52B0FAC6" w14:textId="6317EDC8" w:rsidR="00386CF6" w:rsidRPr="003829F4" w:rsidRDefault="00386CF6" w:rsidP="00403ABF">
      <w:pPr>
        <w:widowControl w:val="0"/>
        <w:spacing w:line="480" w:lineRule="auto"/>
        <w:jc w:val="right"/>
        <w:rPr>
          <w:rFonts w:ascii="Verdana" w:hAnsi="Verdana" w:cs="Arial"/>
          <w:b/>
          <w:lang w:val="en-GB"/>
        </w:rPr>
      </w:pPr>
    </w:p>
    <w:p w14:paraId="6A916D32" w14:textId="77777777" w:rsidR="00386CF6" w:rsidRPr="003829F4" w:rsidRDefault="00386CF6" w:rsidP="00403ABF">
      <w:pPr>
        <w:widowControl w:val="0"/>
        <w:spacing w:line="480" w:lineRule="auto"/>
        <w:jc w:val="center"/>
        <w:rPr>
          <w:rFonts w:ascii="Verdana" w:hAnsi="Verdana" w:cs="Arial"/>
          <w:b/>
          <w:lang w:val="en-GB"/>
        </w:rPr>
      </w:pPr>
    </w:p>
    <w:p w14:paraId="68170D40" w14:textId="77777777" w:rsidR="00386CF6" w:rsidRPr="003829F4" w:rsidRDefault="00386CF6" w:rsidP="00403ABF">
      <w:pPr>
        <w:widowControl w:val="0"/>
        <w:spacing w:line="480" w:lineRule="auto"/>
        <w:jc w:val="center"/>
        <w:rPr>
          <w:rFonts w:ascii="Verdana" w:hAnsi="Verdana" w:cs="Arial"/>
          <w:b/>
          <w:lang w:val="en-GB"/>
        </w:rPr>
      </w:pPr>
    </w:p>
    <w:p w14:paraId="53C547D1" w14:textId="77777777" w:rsidR="004D3F47" w:rsidRPr="003829F4" w:rsidRDefault="004D3F47" w:rsidP="00403ABF">
      <w:pPr>
        <w:widowControl w:val="0"/>
        <w:spacing w:after="0" w:line="240" w:lineRule="auto"/>
        <w:rPr>
          <w:rFonts w:ascii="Verdana" w:hAnsi="Verdana" w:cs="Arial"/>
          <w:lang w:val="en-GB"/>
        </w:rPr>
      </w:pPr>
    </w:p>
    <w:p w14:paraId="561DD510" w14:textId="77777777" w:rsidR="00386CF6" w:rsidRPr="003829F4" w:rsidRDefault="00386CF6" w:rsidP="00403ABF">
      <w:pPr>
        <w:widowControl w:val="0"/>
        <w:spacing w:after="0" w:line="312" w:lineRule="auto"/>
        <w:rPr>
          <w:rFonts w:ascii="Verdana" w:hAnsi="Verdana" w:cs="Arial"/>
          <w:lang w:val="en-GB"/>
        </w:rPr>
      </w:pPr>
      <w:r w:rsidRPr="003829F4">
        <w:rPr>
          <w:rFonts w:ascii="Verdana" w:hAnsi="Verdana" w:cs="Arial"/>
          <w:lang w:val="en-GB"/>
        </w:rPr>
        <w:t xml:space="preserve">In the </w:t>
      </w:r>
      <w:r w:rsidR="00545AB4" w:rsidRPr="003829F4">
        <w:rPr>
          <w:rFonts w:ascii="Verdana" w:hAnsi="Verdana" w:cs="Arial"/>
          <w:lang w:val="en-GB"/>
        </w:rPr>
        <w:t xml:space="preserve">matter </w:t>
      </w:r>
      <w:r w:rsidRPr="003829F4">
        <w:rPr>
          <w:rFonts w:ascii="Verdana" w:hAnsi="Verdana" w:cs="Arial"/>
          <w:lang w:val="en-GB"/>
        </w:rPr>
        <w:t>between:</w:t>
      </w:r>
      <w:r w:rsidR="003F5965" w:rsidRPr="003829F4">
        <w:rPr>
          <w:rFonts w:ascii="Verdana" w:hAnsi="Verdana" w:cs="Arial"/>
          <w:lang w:val="en-GB"/>
        </w:rPr>
        <w:t xml:space="preserve"> -</w:t>
      </w:r>
    </w:p>
    <w:p w14:paraId="5183A1A0" w14:textId="77777777" w:rsidR="0036664D" w:rsidRPr="003829F4" w:rsidRDefault="0036664D" w:rsidP="00403ABF">
      <w:pPr>
        <w:widowControl w:val="0"/>
        <w:spacing w:after="0" w:line="312" w:lineRule="auto"/>
        <w:rPr>
          <w:rFonts w:ascii="Verdana" w:hAnsi="Verdana" w:cs="Arial"/>
          <w:lang w:val="en-GB"/>
        </w:rPr>
      </w:pPr>
    </w:p>
    <w:p w14:paraId="41DC56A9" w14:textId="3ABF92F5" w:rsidR="003F5965" w:rsidRPr="003829F4" w:rsidRDefault="00263063" w:rsidP="00403ABF">
      <w:pPr>
        <w:widowControl w:val="0"/>
        <w:tabs>
          <w:tab w:val="right" w:pos="9026"/>
        </w:tabs>
        <w:spacing w:after="0" w:line="312" w:lineRule="auto"/>
        <w:rPr>
          <w:rFonts w:ascii="Verdana" w:hAnsi="Verdana" w:cs="Arial"/>
          <w:lang w:val="en-GB"/>
        </w:rPr>
      </w:pPr>
      <w:r w:rsidRPr="003829F4">
        <w:rPr>
          <w:rFonts w:ascii="Verdana" w:hAnsi="Verdana" w:cs="Arial"/>
          <w:b/>
          <w:lang w:val="en-GB"/>
        </w:rPr>
        <w:t>BJM</w:t>
      </w:r>
      <w:r w:rsidR="003F5965" w:rsidRPr="003829F4">
        <w:rPr>
          <w:rFonts w:ascii="Verdana" w:hAnsi="Verdana" w:cs="Arial"/>
          <w:lang w:val="en-GB"/>
        </w:rPr>
        <w:tab/>
      </w:r>
      <w:r w:rsidR="006671C5" w:rsidRPr="003829F4">
        <w:rPr>
          <w:rFonts w:ascii="Verdana" w:hAnsi="Verdana" w:cs="Arial"/>
          <w:lang w:val="en-GB"/>
        </w:rPr>
        <w:t>A</w:t>
      </w:r>
      <w:r w:rsidR="002532C2" w:rsidRPr="003829F4">
        <w:rPr>
          <w:rFonts w:ascii="Verdana" w:hAnsi="Verdana" w:cs="Arial"/>
          <w:lang w:val="en-GB"/>
        </w:rPr>
        <w:t>pplicant</w:t>
      </w:r>
    </w:p>
    <w:p w14:paraId="32D55830" w14:textId="77777777" w:rsidR="00603F5C" w:rsidRPr="003829F4" w:rsidRDefault="00603F5C" w:rsidP="00403ABF">
      <w:pPr>
        <w:widowControl w:val="0"/>
        <w:tabs>
          <w:tab w:val="right" w:pos="9026"/>
        </w:tabs>
        <w:spacing w:after="0" w:line="312" w:lineRule="auto"/>
        <w:rPr>
          <w:rFonts w:ascii="Verdana" w:hAnsi="Verdana" w:cs="Arial"/>
          <w:lang w:val="en-GB"/>
        </w:rPr>
      </w:pPr>
    </w:p>
    <w:p w14:paraId="08F897D7" w14:textId="36DD9BC8" w:rsidR="003F5965" w:rsidRPr="003829F4" w:rsidRDefault="003F5965" w:rsidP="00403ABF">
      <w:pPr>
        <w:widowControl w:val="0"/>
        <w:tabs>
          <w:tab w:val="right" w:pos="9026"/>
        </w:tabs>
        <w:spacing w:after="0" w:line="312" w:lineRule="auto"/>
        <w:rPr>
          <w:rFonts w:ascii="Verdana" w:hAnsi="Verdana" w:cs="Arial"/>
          <w:lang w:val="en-GB"/>
        </w:rPr>
      </w:pPr>
      <w:r w:rsidRPr="003829F4">
        <w:rPr>
          <w:rFonts w:ascii="Verdana" w:hAnsi="Verdana" w:cs="Arial"/>
          <w:lang w:val="en-GB"/>
        </w:rPr>
        <w:t>and</w:t>
      </w:r>
    </w:p>
    <w:p w14:paraId="43E5B965" w14:textId="66F32A2A" w:rsidR="0036664D" w:rsidRPr="003829F4" w:rsidRDefault="0036664D" w:rsidP="00403ABF">
      <w:pPr>
        <w:widowControl w:val="0"/>
        <w:tabs>
          <w:tab w:val="right" w:pos="9026"/>
        </w:tabs>
        <w:spacing w:after="0" w:line="312" w:lineRule="auto"/>
        <w:rPr>
          <w:rFonts w:ascii="Verdana" w:hAnsi="Verdana" w:cs="Arial"/>
          <w:b/>
          <w:lang w:val="en-GB"/>
        </w:rPr>
      </w:pPr>
    </w:p>
    <w:p w14:paraId="5F062A8F" w14:textId="5F64A3A1" w:rsidR="003F5965" w:rsidRPr="003829F4" w:rsidRDefault="00263063" w:rsidP="00403ABF">
      <w:pPr>
        <w:widowControl w:val="0"/>
        <w:tabs>
          <w:tab w:val="right" w:pos="9026"/>
        </w:tabs>
        <w:spacing w:after="0" w:line="312" w:lineRule="auto"/>
        <w:rPr>
          <w:rFonts w:ascii="Verdana" w:hAnsi="Verdana" w:cs="Arial"/>
          <w:lang w:val="en-GB"/>
        </w:rPr>
      </w:pPr>
      <w:r w:rsidRPr="003829F4">
        <w:rPr>
          <w:rFonts w:ascii="Verdana" w:hAnsi="Verdana" w:cs="Arial"/>
          <w:b/>
          <w:lang w:val="en-GB"/>
        </w:rPr>
        <w:t>WRM</w:t>
      </w:r>
      <w:r w:rsidR="003F5965" w:rsidRPr="003829F4">
        <w:rPr>
          <w:rFonts w:ascii="Verdana" w:hAnsi="Verdana" w:cs="Arial"/>
          <w:b/>
          <w:lang w:val="en-GB"/>
        </w:rPr>
        <w:tab/>
      </w:r>
      <w:r w:rsidR="00461251" w:rsidRPr="003829F4">
        <w:rPr>
          <w:rFonts w:ascii="Verdana" w:hAnsi="Verdana" w:cs="Arial"/>
          <w:bCs/>
          <w:lang w:val="en-GB"/>
        </w:rPr>
        <w:t>R</w:t>
      </w:r>
      <w:r w:rsidR="002532C2" w:rsidRPr="003829F4">
        <w:rPr>
          <w:rFonts w:ascii="Verdana" w:hAnsi="Verdana" w:cs="Arial"/>
          <w:lang w:val="en-GB"/>
        </w:rPr>
        <w:t>espondent</w:t>
      </w:r>
    </w:p>
    <w:p w14:paraId="50B26976" w14:textId="5CB5DB8D" w:rsidR="005B4095" w:rsidRDefault="005B4095" w:rsidP="005B4095">
      <w:pPr>
        <w:widowControl w:val="0"/>
        <w:tabs>
          <w:tab w:val="right" w:pos="9026"/>
        </w:tabs>
        <w:spacing w:after="0" w:line="240" w:lineRule="auto"/>
        <w:rPr>
          <w:rFonts w:ascii="Verdana" w:hAnsi="Verdana" w:cs="Arial"/>
          <w:lang w:val="en-GB"/>
        </w:rPr>
      </w:pPr>
    </w:p>
    <w:p w14:paraId="66BB596D" w14:textId="77777777" w:rsidR="005B4095" w:rsidRPr="003829F4" w:rsidRDefault="005B4095" w:rsidP="00403ABF">
      <w:pPr>
        <w:widowControl w:val="0"/>
        <w:tabs>
          <w:tab w:val="right" w:pos="9026"/>
        </w:tabs>
        <w:spacing w:after="0" w:line="240" w:lineRule="auto"/>
        <w:rPr>
          <w:rFonts w:ascii="Verdana" w:hAnsi="Verdana" w:cs="Arial"/>
          <w:lang w:val="en-GB"/>
        </w:rPr>
      </w:pPr>
    </w:p>
    <w:p w14:paraId="70FB2EAD" w14:textId="3ADE40DC" w:rsidR="005B4095" w:rsidRPr="00B415C3" w:rsidRDefault="005B4095" w:rsidP="005B4095">
      <w:pPr>
        <w:widowControl w:val="0"/>
        <w:pBdr>
          <w:bottom w:val="single" w:sz="12" w:space="1" w:color="auto"/>
        </w:pBdr>
        <w:spacing w:after="240" w:line="480" w:lineRule="auto"/>
        <w:jc w:val="both"/>
        <w:rPr>
          <w:i/>
          <w:iCs/>
        </w:rPr>
      </w:pPr>
      <w:r w:rsidRPr="00B415C3">
        <w:rPr>
          <w:b/>
          <w:bCs/>
        </w:rPr>
        <w:t>Neutral citation</w:t>
      </w:r>
      <w:r>
        <w:t xml:space="preserve">: </w:t>
      </w:r>
      <w:r>
        <w:rPr>
          <w:i/>
          <w:iCs/>
        </w:rPr>
        <w:t>BJM v WRM (Case number: 9405/2022) [2023] ZAGPJHC 401 (24 April 2023)</w:t>
      </w:r>
    </w:p>
    <w:p w14:paraId="32188F40" w14:textId="78B41469" w:rsidR="00BA3AA2" w:rsidRDefault="005B4095" w:rsidP="005B4095">
      <w:pPr>
        <w:widowControl w:val="0"/>
        <w:tabs>
          <w:tab w:val="right" w:pos="9026"/>
        </w:tabs>
        <w:spacing w:after="0" w:line="360" w:lineRule="auto"/>
        <w:jc w:val="center"/>
        <w:rPr>
          <w:rFonts w:ascii="Verdana" w:hAnsi="Verdana" w:cs="Arial"/>
          <w:lang w:val="en-GB"/>
        </w:rPr>
      </w:pPr>
      <w:r>
        <w:rPr>
          <w:rFonts w:ascii="Verdana" w:hAnsi="Verdana" w:cs="Arial"/>
          <w:lang w:val="en-GB"/>
        </w:rPr>
        <w:t>JUDGEMENT</w:t>
      </w:r>
    </w:p>
    <w:p w14:paraId="7F1FD8E6" w14:textId="4191D17B" w:rsidR="005B4095" w:rsidRPr="003829F4" w:rsidRDefault="005B4095" w:rsidP="00403ABF">
      <w:pPr>
        <w:widowControl w:val="0"/>
        <w:tabs>
          <w:tab w:val="right" w:pos="9026"/>
        </w:tabs>
        <w:spacing w:after="0" w:line="360" w:lineRule="auto"/>
        <w:rPr>
          <w:rFonts w:ascii="Verdana" w:hAnsi="Verdana" w:cs="Arial"/>
          <w:lang w:val="en-GB"/>
        </w:rPr>
      </w:pPr>
      <w:r>
        <w:rPr>
          <w:rFonts w:ascii="Verdana" w:hAnsi="Verdana" w:cs="Arial"/>
          <w:lang w:val="en-GB"/>
        </w:rPr>
        <w:t>________________________________________________________________</w:t>
      </w:r>
    </w:p>
    <w:p w14:paraId="776B82AA" w14:textId="50750A48" w:rsidR="00E4432D" w:rsidRPr="003829F4" w:rsidRDefault="00E4432D" w:rsidP="00403ABF">
      <w:pPr>
        <w:widowControl w:val="0"/>
        <w:spacing w:before="600" w:after="360" w:line="312" w:lineRule="auto"/>
        <w:jc w:val="both"/>
        <w:rPr>
          <w:rFonts w:ascii="Verdana" w:hAnsi="Verdana" w:cs="Arial"/>
          <w:b/>
          <w:bCs/>
          <w:lang w:val="en-GB"/>
        </w:rPr>
      </w:pPr>
      <w:r w:rsidRPr="003829F4">
        <w:rPr>
          <w:rFonts w:ascii="Verdana" w:hAnsi="Verdana" w:cs="Arial"/>
          <w:b/>
          <w:bCs/>
          <w:u w:val="single"/>
          <w:lang w:val="en-GB"/>
        </w:rPr>
        <w:t>DELIVERED</w:t>
      </w:r>
      <w:r w:rsidRPr="003829F4">
        <w:rPr>
          <w:rFonts w:ascii="Verdana" w:hAnsi="Verdana" w:cs="Arial"/>
          <w:b/>
          <w:bCs/>
          <w:lang w:val="en-GB"/>
        </w:rPr>
        <w:t xml:space="preserve">: </w:t>
      </w:r>
      <w:r w:rsidR="001356F3" w:rsidRPr="003829F4">
        <w:rPr>
          <w:rFonts w:ascii="Verdana" w:hAnsi="Verdana" w:cs="Arial"/>
          <w:b/>
          <w:bCs/>
          <w:lang w:val="en-GB"/>
        </w:rPr>
        <w:t xml:space="preserve"> </w:t>
      </w:r>
      <w:r w:rsidRPr="003829F4">
        <w:rPr>
          <w:rFonts w:ascii="Verdana" w:hAnsi="Verdana"/>
          <w:lang w:val="en-GB"/>
        </w:rPr>
        <w:t>This judgment was handed down electronically by circulation to the parties’ legal representatives by e</w:t>
      </w:r>
      <w:r w:rsidR="001356F3" w:rsidRPr="003829F4">
        <w:rPr>
          <w:rFonts w:ascii="Verdana" w:hAnsi="Verdana"/>
          <w:lang w:val="en-GB"/>
        </w:rPr>
        <w:noBreakHyphen/>
      </w:r>
      <w:r w:rsidRPr="003829F4">
        <w:rPr>
          <w:rFonts w:ascii="Verdana" w:hAnsi="Verdana"/>
          <w:lang w:val="en-GB"/>
        </w:rPr>
        <w:t xml:space="preserve">mail and publication on CaseLines. </w:t>
      </w:r>
      <w:r w:rsidR="001356F3" w:rsidRPr="003829F4">
        <w:rPr>
          <w:rFonts w:ascii="Verdana" w:hAnsi="Verdana"/>
          <w:lang w:val="en-GB"/>
        </w:rPr>
        <w:t xml:space="preserve"> </w:t>
      </w:r>
      <w:r w:rsidRPr="003829F4">
        <w:rPr>
          <w:rFonts w:ascii="Verdana" w:hAnsi="Verdana"/>
          <w:lang w:val="en-GB"/>
        </w:rPr>
        <w:t xml:space="preserve">The date and time for hand-down is deemed to be </w:t>
      </w:r>
      <w:r w:rsidR="00F15BAF" w:rsidRPr="003829F4">
        <w:rPr>
          <w:rFonts w:ascii="Verdana" w:hAnsi="Verdana"/>
          <w:lang w:val="en-GB"/>
        </w:rPr>
        <w:t>14</w:t>
      </w:r>
      <w:r w:rsidR="0000665E" w:rsidRPr="003829F4">
        <w:rPr>
          <w:rFonts w:ascii="Verdana" w:hAnsi="Verdana"/>
          <w:lang w:val="en-GB"/>
        </w:rPr>
        <w:t xml:space="preserve">h00 </w:t>
      </w:r>
      <w:r w:rsidRPr="003829F4">
        <w:rPr>
          <w:rFonts w:ascii="Verdana" w:hAnsi="Verdana"/>
          <w:lang w:val="en-GB"/>
        </w:rPr>
        <w:t>on</w:t>
      </w:r>
      <w:r w:rsidR="004D0E40" w:rsidRPr="003829F4">
        <w:rPr>
          <w:rFonts w:ascii="Verdana" w:hAnsi="Verdana"/>
          <w:lang w:val="en-GB"/>
        </w:rPr>
        <w:t xml:space="preserve"> </w:t>
      </w:r>
      <w:r w:rsidR="006A5488" w:rsidRPr="003829F4">
        <w:rPr>
          <w:rFonts w:ascii="Verdana" w:hAnsi="Verdana"/>
          <w:lang w:val="en-GB"/>
        </w:rPr>
        <w:t>26</w:t>
      </w:r>
      <w:r w:rsidR="00BD0444" w:rsidRPr="003829F4">
        <w:rPr>
          <w:rFonts w:ascii="Verdana" w:hAnsi="Verdana"/>
          <w:lang w:val="en-GB"/>
        </w:rPr>
        <w:t> </w:t>
      </w:r>
      <w:r w:rsidR="006A5488" w:rsidRPr="003829F4">
        <w:rPr>
          <w:rFonts w:ascii="Verdana" w:hAnsi="Verdana"/>
          <w:lang w:val="en-GB"/>
        </w:rPr>
        <w:t>April</w:t>
      </w:r>
      <w:r w:rsidR="00BD0444" w:rsidRPr="003829F4">
        <w:rPr>
          <w:rFonts w:ascii="Verdana" w:hAnsi="Verdana"/>
          <w:lang w:val="en-GB"/>
        </w:rPr>
        <w:t> </w:t>
      </w:r>
      <w:r w:rsidRPr="003829F4">
        <w:rPr>
          <w:rFonts w:ascii="Verdana" w:hAnsi="Verdana"/>
          <w:lang w:val="en-GB"/>
        </w:rPr>
        <w:t>202</w:t>
      </w:r>
      <w:r w:rsidR="002A3DF0" w:rsidRPr="003829F4">
        <w:rPr>
          <w:rFonts w:ascii="Verdana" w:hAnsi="Verdana"/>
          <w:lang w:val="en-GB"/>
        </w:rPr>
        <w:t>3</w:t>
      </w:r>
      <w:r w:rsidR="00335840" w:rsidRPr="003829F4">
        <w:rPr>
          <w:rFonts w:ascii="Verdana" w:hAnsi="Verdana"/>
          <w:lang w:val="en-GB"/>
        </w:rPr>
        <w:t>.</w:t>
      </w:r>
    </w:p>
    <w:p w14:paraId="4481D702" w14:textId="3C5D9D8D" w:rsidR="00386CF6" w:rsidRPr="003829F4" w:rsidRDefault="00CC79D8" w:rsidP="00403ABF">
      <w:pPr>
        <w:keepNext/>
        <w:widowControl w:val="0"/>
        <w:spacing w:after="320" w:line="432" w:lineRule="auto"/>
        <w:rPr>
          <w:rFonts w:ascii="Verdana" w:hAnsi="Verdana" w:cs="Arial"/>
          <w:u w:val="single"/>
          <w:lang w:val="en-GB"/>
        </w:rPr>
      </w:pPr>
      <w:r w:rsidRPr="003829F4">
        <w:rPr>
          <w:rFonts w:ascii="Verdana" w:hAnsi="Verdana" w:cs="Arial"/>
          <w:u w:val="single"/>
          <w:lang w:val="en-GB"/>
        </w:rPr>
        <w:lastRenderedPageBreak/>
        <w:t xml:space="preserve">F. </w:t>
      </w:r>
      <w:r w:rsidR="00F46B89" w:rsidRPr="003829F4">
        <w:rPr>
          <w:rFonts w:ascii="Verdana" w:hAnsi="Verdana" w:cs="Arial"/>
          <w:u w:val="single"/>
          <w:lang w:val="en-GB"/>
        </w:rPr>
        <w:t xml:space="preserve">BEZUIDENHOUT </w:t>
      </w:r>
      <w:r w:rsidR="00225130" w:rsidRPr="003829F4">
        <w:rPr>
          <w:rFonts w:ascii="Verdana" w:hAnsi="Verdana" w:cs="Arial"/>
          <w:u w:val="single"/>
          <w:lang w:val="en-GB"/>
        </w:rPr>
        <w:t>AJ:</w:t>
      </w:r>
    </w:p>
    <w:p w14:paraId="57C37267" w14:textId="14D63073" w:rsidR="008F1271" w:rsidRPr="003829F4" w:rsidRDefault="008F1271" w:rsidP="00403ABF">
      <w:pPr>
        <w:pStyle w:val="Indent"/>
        <w:keepNext/>
        <w:widowControl w:val="0"/>
        <w:spacing w:after="320" w:line="432" w:lineRule="auto"/>
        <w:jc w:val="both"/>
        <w:rPr>
          <w:rFonts w:ascii="Verdana" w:hAnsi="Verdana" w:cs="Arial"/>
          <w:b/>
          <w:sz w:val="22"/>
          <w:szCs w:val="22"/>
          <w:lang w:val="en-GB"/>
        </w:rPr>
      </w:pPr>
      <w:r w:rsidRPr="003829F4">
        <w:rPr>
          <w:rFonts w:ascii="Verdana" w:hAnsi="Verdana" w:cs="Arial"/>
          <w:b/>
          <w:sz w:val="22"/>
          <w:szCs w:val="22"/>
          <w:lang w:val="en-GB"/>
        </w:rPr>
        <w:t>INTRODUCTION</w:t>
      </w:r>
    </w:p>
    <w:p w14:paraId="6CEFC507" w14:textId="46E0D29F" w:rsidR="006A5488"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[1]</w:t>
      </w:r>
      <w:r w:rsidRPr="003829F4">
        <w:rPr>
          <w:rFonts w:ascii="Verdana" w:hAnsi="Verdana" w:cs="Arial"/>
          <w:color w:val="000000" w:themeColor="text1"/>
          <w:sz w:val="22"/>
          <w:szCs w:val="22"/>
          <w:lang w:val="en-GB"/>
        </w:rPr>
        <w:tab/>
      </w:r>
      <w:r w:rsidR="00CD282A" w:rsidRPr="003829F4">
        <w:rPr>
          <w:rFonts w:ascii="Verdana" w:hAnsi="Verdana" w:cs="Arial"/>
          <w:sz w:val="22"/>
          <w:szCs w:val="22"/>
          <w:lang w:val="en-GB"/>
        </w:rPr>
        <w:t xml:space="preserve">This </w:t>
      </w:r>
      <w:r w:rsidR="006A5488" w:rsidRPr="003829F4">
        <w:rPr>
          <w:rFonts w:ascii="Verdana" w:hAnsi="Verdana" w:cs="Arial"/>
          <w:sz w:val="22"/>
          <w:szCs w:val="22"/>
          <w:lang w:val="en-GB"/>
        </w:rPr>
        <w:t xml:space="preserve">dispute initiated in terms of rule 43 </w:t>
      </w:r>
      <w:r w:rsidR="00F15BAF" w:rsidRPr="003829F4">
        <w:rPr>
          <w:rFonts w:ascii="Verdana" w:hAnsi="Verdana" w:cs="Arial"/>
          <w:sz w:val="22"/>
          <w:szCs w:val="22"/>
          <w:lang w:val="en-GB"/>
        </w:rPr>
        <w:t xml:space="preserve">mainly </w:t>
      </w:r>
      <w:r w:rsidR="006A5488" w:rsidRPr="003829F4">
        <w:rPr>
          <w:rFonts w:ascii="Verdana" w:hAnsi="Verdana" w:cs="Arial"/>
          <w:sz w:val="22"/>
          <w:szCs w:val="22"/>
          <w:lang w:val="en-GB"/>
        </w:rPr>
        <w:t xml:space="preserve">centres around the quantification of </w:t>
      </w:r>
      <w:r w:rsidR="00F447D3" w:rsidRPr="003829F4">
        <w:rPr>
          <w:rFonts w:ascii="Verdana" w:hAnsi="Verdana" w:cs="Arial"/>
          <w:sz w:val="22"/>
          <w:szCs w:val="22"/>
          <w:lang w:val="en-GB"/>
        </w:rPr>
        <w:t xml:space="preserve">the cash component of </w:t>
      </w:r>
      <w:r w:rsidR="006A5488" w:rsidRPr="003829F4">
        <w:rPr>
          <w:rFonts w:ascii="Verdana" w:hAnsi="Verdana" w:cs="Arial"/>
          <w:sz w:val="22"/>
          <w:szCs w:val="22"/>
          <w:lang w:val="en-GB"/>
        </w:rPr>
        <w:t xml:space="preserve">the applicant’s spousal maintenance and a contribution towards her legal costs. </w:t>
      </w:r>
    </w:p>
    <w:p w14:paraId="06500FD2" w14:textId="737ABE3B" w:rsidR="006A5488"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[2]</w:t>
      </w:r>
      <w:r w:rsidRPr="003829F4">
        <w:rPr>
          <w:rFonts w:ascii="Verdana" w:hAnsi="Verdana" w:cs="Arial"/>
          <w:color w:val="000000" w:themeColor="text1"/>
          <w:sz w:val="22"/>
          <w:szCs w:val="22"/>
          <w:lang w:val="en-GB"/>
        </w:rPr>
        <w:tab/>
      </w:r>
      <w:r w:rsidR="006A5488" w:rsidRPr="003829F4">
        <w:rPr>
          <w:rFonts w:ascii="Verdana" w:hAnsi="Verdana" w:cs="Arial"/>
          <w:sz w:val="22"/>
          <w:szCs w:val="22"/>
          <w:lang w:val="en-GB"/>
        </w:rPr>
        <w:t xml:space="preserve">Affordability on the part of the respondent is not in issue. </w:t>
      </w:r>
    </w:p>
    <w:p w14:paraId="61CB47B8" w14:textId="42E20230" w:rsidR="004916FA"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[3]</w:t>
      </w:r>
      <w:r w:rsidRPr="003829F4">
        <w:rPr>
          <w:rFonts w:ascii="Verdana" w:hAnsi="Verdana" w:cs="Arial"/>
          <w:color w:val="000000" w:themeColor="text1"/>
          <w:sz w:val="22"/>
          <w:szCs w:val="22"/>
          <w:lang w:val="en-GB"/>
        </w:rPr>
        <w:tab/>
      </w:r>
      <w:r w:rsidR="004916FA" w:rsidRPr="003829F4">
        <w:rPr>
          <w:rFonts w:ascii="Verdana" w:hAnsi="Verdana" w:cs="Arial"/>
          <w:sz w:val="22"/>
          <w:szCs w:val="22"/>
          <w:lang w:val="en-GB"/>
        </w:rPr>
        <w:t xml:space="preserve">The applicant sought leave to file a further affidavit in terms of Rule 43(5). The application was not vehemently opposed by the respondent. The further affidavit speaks to </w:t>
      </w:r>
      <w:r w:rsidR="004916FA" w:rsidRPr="003829F4">
        <w:rPr>
          <w:rFonts w:ascii="Verdana" w:hAnsi="Verdana" w:cs="Arial"/>
          <w:i/>
          <w:iCs/>
          <w:sz w:val="22"/>
          <w:szCs w:val="22"/>
          <w:lang w:val="en-GB"/>
        </w:rPr>
        <w:t>inter alia</w:t>
      </w:r>
      <w:r w:rsidR="004916FA" w:rsidRPr="003829F4">
        <w:rPr>
          <w:rFonts w:ascii="Verdana" w:hAnsi="Verdana" w:cs="Arial"/>
          <w:sz w:val="22"/>
          <w:szCs w:val="22"/>
          <w:lang w:val="en-GB"/>
        </w:rPr>
        <w:t xml:space="preserve"> rental income earned by the applicant which is information relevant to the disputed issues between the parties.  Leave was accordingly granted and the further affidavit </w:t>
      </w:r>
      <w:r w:rsidR="00FA7C8E" w:rsidRPr="003829F4">
        <w:rPr>
          <w:rFonts w:ascii="Verdana" w:hAnsi="Verdana" w:cs="Arial"/>
          <w:sz w:val="22"/>
          <w:szCs w:val="22"/>
          <w:lang w:val="en-GB"/>
        </w:rPr>
        <w:t xml:space="preserve">accepted in </w:t>
      </w:r>
      <w:r w:rsidR="004916FA" w:rsidRPr="003829F4">
        <w:rPr>
          <w:rFonts w:ascii="Verdana" w:hAnsi="Verdana" w:cs="Arial"/>
          <w:sz w:val="22"/>
          <w:szCs w:val="22"/>
          <w:lang w:val="en-GB"/>
        </w:rPr>
        <w:t>evidence.</w:t>
      </w:r>
    </w:p>
    <w:p w14:paraId="38B22306" w14:textId="01E40B95" w:rsidR="00F447D3" w:rsidRPr="003829F4" w:rsidRDefault="00F447D3" w:rsidP="00F447D3">
      <w:pPr>
        <w:pStyle w:val="Indent"/>
        <w:widowControl w:val="0"/>
        <w:spacing w:after="360" w:line="480" w:lineRule="auto"/>
        <w:jc w:val="both"/>
        <w:rPr>
          <w:rFonts w:ascii="Verdana" w:hAnsi="Verdana" w:cs="Arial"/>
          <w:b/>
          <w:bCs/>
          <w:sz w:val="22"/>
          <w:szCs w:val="22"/>
          <w:lang w:val="en-GB"/>
        </w:rPr>
      </w:pPr>
      <w:r w:rsidRPr="003829F4">
        <w:rPr>
          <w:rFonts w:ascii="Verdana" w:hAnsi="Verdana" w:cs="Arial"/>
          <w:b/>
          <w:bCs/>
          <w:sz w:val="22"/>
          <w:szCs w:val="22"/>
          <w:lang w:val="en-GB"/>
        </w:rPr>
        <w:t>THE RESPONDENT’S TENDER</w:t>
      </w:r>
    </w:p>
    <w:p w14:paraId="2CBD8A98" w14:textId="0382902F" w:rsidR="00F447D3"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[4]</w:t>
      </w:r>
      <w:r w:rsidRPr="003829F4">
        <w:rPr>
          <w:rFonts w:ascii="Verdana" w:hAnsi="Verdana" w:cs="Arial"/>
          <w:color w:val="000000" w:themeColor="text1"/>
          <w:sz w:val="22"/>
          <w:szCs w:val="22"/>
          <w:lang w:val="en-GB"/>
        </w:rPr>
        <w:tab/>
      </w:r>
      <w:r w:rsidR="00F447D3" w:rsidRPr="003829F4">
        <w:rPr>
          <w:rFonts w:ascii="Verdana" w:hAnsi="Verdana" w:cs="Arial"/>
          <w:sz w:val="22"/>
          <w:szCs w:val="22"/>
          <w:lang w:val="en-GB"/>
        </w:rPr>
        <w:t>The respondent has tendered to continue maintaining the dependent major children born of the marriage as he has done historically, although he avers that two of the three major children are self-supporting.  He has also undertaken to continue paying the costs associated with the former matrimonial home where the applicant and the children (some permanently and others intermittently) still reside, to retain the applicant and the children on his current medical aid scheme, the pay for the applicant’s current cell phone contract and all costs associated with her motor vehicle.</w:t>
      </w:r>
    </w:p>
    <w:p w14:paraId="379A53E8" w14:textId="5D5AE7FC" w:rsidR="00F447D3"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[5]</w:t>
      </w:r>
      <w:r w:rsidRPr="003829F4">
        <w:rPr>
          <w:rFonts w:ascii="Verdana" w:hAnsi="Verdana" w:cs="Arial"/>
          <w:color w:val="000000" w:themeColor="text1"/>
          <w:sz w:val="22"/>
          <w:szCs w:val="22"/>
          <w:lang w:val="en-GB"/>
        </w:rPr>
        <w:tab/>
      </w:r>
      <w:r w:rsidR="00F447D3" w:rsidRPr="003829F4">
        <w:rPr>
          <w:rFonts w:ascii="Verdana" w:hAnsi="Verdana" w:cs="Arial"/>
          <w:sz w:val="22"/>
          <w:szCs w:val="22"/>
          <w:lang w:val="en-GB"/>
        </w:rPr>
        <w:t xml:space="preserve">The applicant claims an amount of R 100,000.00 as a cash component towards her monthly maintenance. The respondent tenders to pay an </w:t>
      </w:r>
      <w:r w:rsidR="00F447D3" w:rsidRPr="003829F4">
        <w:rPr>
          <w:rFonts w:ascii="Verdana" w:hAnsi="Verdana" w:cs="Arial"/>
          <w:sz w:val="22"/>
          <w:szCs w:val="22"/>
          <w:lang w:val="en-GB"/>
        </w:rPr>
        <w:lastRenderedPageBreak/>
        <w:t>amount of R 50,000.00.  The applicant claims an amount of R 2,926,693.96 as a first contribution towards her legal costs.  The respondent tenders an amount of R 200,000.00.</w:t>
      </w:r>
    </w:p>
    <w:p w14:paraId="2348C163" w14:textId="34E7729F" w:rsidR="00CD282A" w:rsidRPr="003829F4" w:rsidRDefault="006A5488" w:rsidP="00403ABF">
      <w:pPr>
        <w:pStyle w:val="Indent"/>
        <w:keepNext/>
        <w:widowControl w:val="0"/>
        <w:spacing w:after="360" w:line="480" w:lineRule="auto"/>
        <w:jc w:val="both"/>
        <w:rPr>
          <w:rFonts w:ascii="Verdana" w:hAnsi="Verdana" w:cs="Arial"/>
          <w:b/>
          <w:bCs/>
          <w:sz w:val="22"/>
          <w:szCs w:val="22"/>
          <w:lang w:val="en-GB"/>
        </w:rPr>
      </w:pPr>
      <w:r w:rsidRPr="003829F4">
        <w:rPr>
          <w:rFonts w:ascii="Verdana" w:hAnsi="Verdana" w:cs="Arial"/>
          <w:b/>
          <w:bCs/>
          <w:sz w:val="22"/>
          <w:szCs w:val="22"/>
          <w:lang w:val="en-GB"/>
        </w:rPr>
        <w:t>SALIENT BACKGROUND FACTS</w:t>
      </w:r>
    </w:p>
    <w:p w14:paraId="09444CB3" w14:textId="0653F140" w:rsidR="00EC6DF5"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[6]</w:t>
      </w:r>
      <w:r w:rsidRPr="003829F4">
        <w:rPr>
          <w:rFonts w:ascii="Verdana" w:hAnsi="Verdana" w:cs="Arial"/>
          <w:color w:val="000000" w:themeColor="text1"/>
          <w:sz w:val="22"/>
          <w:szCs w:val="22"/>
          <w:lang w:val="en-GB"/>
        </w:rPr>
        <w:tab/>
      </w:r>
      <w:r w:rsidR="00EC6DF5" w:rsidRPr="003829F4">
        <w:rPr>
          <w:rFonts w:ascii="Verdana" w:hAnsi="Verdana" w:cs="Arial"/>
          <w:sz w:val="22"/>
          <w:szCs w:val="22"/>
          <w:lang w:val="en-GB"/>
        </w:rPr>
        <w:t xml:space="preserve">The </w:t>
      </w:r>
      <w:r w:rsidR="006A5488" w:rsidRPr="003829F4">
        <w:rPr>
          <w:rFonts w:ascii="Verdana" w:hAnsi="Verdana" w:cs="Arial"/>
          <w:sz w:val="22"/>
          <w:szCs w:val="22"/>
          <w:lang w:val="en-GB"/>
        </w:rPr>
        <w:t>applicant and the respondent married each other on the 26</w:t>
      </w:r>
      <w:r w:rsidR="006A5488" w:rsidRPr="003829F4">
        <w:rPr>
          <w:rFonts w:ascii="Verdana" w:hAnsi="Verdana" w:cs="Arial"/>
          <w:sz w:val="22"/>
          <w:szCs w:val="22"/>
          <w:vertAlign w:val="superscript"/>
          <w:lang w:val="en-GB"/>
        </w:rPr>
        <w:t>th</w:t>
      </w:r>
      <w:r w:rsidR="006A5488" w:rsidRPr="003829F4">
        <w:rPr>
          <w:rFonts w:ascii="Verdana" w:hAnsi="Verdana" w:cs="Arial"/>
          <w:sz w:val="22"/>
          <w:szCs w:val="22"/>
          <w:lang w:val="en-GB"/>
        </w:rPr>
        <w:t xml:space="preserve"> of August 2002 in community of property. The applicant was 29 and the respondent 32 years of age at the time. </w:t>
      </w:r>
    </w:p>
    <w:p w14:paraId="4C9DD79D" w14:textId="1C0EFEDC" w:rsidR="004004BB"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[7]</w:t>
      </w:r>
      <w:r w:rsidRPr="003829F4">
        <w:rPr>
          <w:rFonts w:ascii="Verdana" w:hAnsi="Verdana" w:cs="Arial"/>
          <w:color w:val="000000" w:themeColor="text1"/>
          <w:sz w:val="22"/>
          <w:szCs w:val="22"/>
          <w:lang w:val="en-GB"/>
        </w:rPr>
        <w:tab/>
      </w:r>
      <w:r w:rsidR="004004BB" w:rsidRPr="003829F4">
        <w:rPr>
          <w:rFonts w:ascii="Verdana" w:hAnsi="Verdana" w:cs="Arial"/>
          <w:sz w:val="22"/>
          <w:szCs w:val="22"/>
          <w:lang w:val="en-GB"/>
        </w:rPr>
        <w:t xml:space="preserve">The applicant is currently 49 years of </w:t>
      </w:r>
      <w:r w:rsidR="00D07D9E" w:rsidRPr="003829F4">
        <w:rPr>
          <w:rFonts w:ascii="Verdana" w:hAnsi="Verdana" w:cs="Arial"/>
          <w:sz w:val="22"/>
          <w:szCs w:val="22"/>
          <w:lang w:val="en-GB"/>
        </w:rPr>
        <w:t>age,</w:t>
      </w:r>
      <w:r w:rsidR="004004BB" w:rsidRPr="003829F4">
        <w:rPr>
          <w:rFonts w:ascii="Verdana" w:hAnsi="Verdana" w:cs="Arial"/>
          <w:sz w:val="22"/>
          <w:szCs w:val="22"/>
          <w:lang w:val="en-GB"/>
        </w:rPr>
        <w:t xml:space="preserve"> and the respondent is 53 years’ old.</w:t>
      </w:r>
    </w:p>
    <w:p w14:paraId="03CA276E" w14:textId="580D94B6" w:rsidR="006A5488"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[8]</w:t>
      </w:r>
      <w:r w:rsidRPr="003829F4">
        <w:rPr>
          <w:rFonts w:ascii="Verdana" w:hAnsi="Verdana" w:cs="Arial"/>
          <w:color w:val="000000" w:themeColor="text1"/>
          <w:sz w:val="22"/>
          <w:szCs w:val="22"/>
          <w:lang w:val="en-GB"/>
        </w:rPr>
        <w:tab/>
      </w:r>
      <w:r w:rsidR="006A5488" w:rsidRPr="003829F4">
        <w:rPr>
          <w:rFonts w:ascii="Verdana" w:hAnsi="Verdana" w:cs="Arial"/>
          <w:sz w:val="22"/>
          <w:szCs w:val="22"/>
          <w:lang w:val="en-GB"/>
        </w:rPr>
        <w:t xml:space="preserve">Three children were born of the relationship. Whilst all three of them have reached the age of majority, they all remain financially dependent on their parents. </w:t>
      </w:r>
    </w:p>
    <w:p w14:paraId="35EC0302" w14:textId="56B0CF4D" w:rsidR="006A5488"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[9]</w:t>
      </w:r>
      <w:r w:rsidRPr="003829F4">
        <w:rPr>
          <w:rFonts w:ascii="Verdana" w:hAnsi="Verdana" w:cs="Arial"/>
          <w:color w:val="000000" w:themeColor="text1"/>
          <w:sz w:val="22"/>
          <w:szCs w:val="22"/>
          <w:lang w:val="en-GB"/>
        </w:rPr>
        <w:tab/>
      </w:r>
      <w:r w:rsidR="006A5488" w:rsidRPr="003829F4">
        <w:rPr>
          <w:rFonts w:ascii="Verdana" w:hAnsi="Verdana" w:cs="Arial"/>
          <w:sz w:val="22"/>
          <w:szCs w:val="22"/>
          <w:lang w:val="en-GB"/>
        </w:rPr>
        <w:t xml:space="preserve">It is common cause that the marriage relationship has broken down irretrievably. The respondent vacated the former matrimonial home during March 2022. </w:t>
      </w:r>
    </w:p>
    <w:p w14:paraId="1B33E2BB" w14:textId="777821AD" w:rsidR="004004BB"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[1</w:t>
      </w:r>
      <w:bookmarkStart w:id="0" w:name="_GoBack"/>
      <w:bookmarkEnd w:id="0"/>
      <w:r w:rsidRPr="003829F4">
        <w:rPr>
          <w:rFonts w:ascii="Verdana" w:hAnsi="Verdana" w:cs="Arial"/>
          <w:color w:val="000000" w:themeColor="text1"/>
          <w:sz w:val="22"/>
          <w:szCs w:val="22"/>
          <w:lang w:val="en-GB"/>
        </w:rPr>
        <w:t>0]</w:t>
      </w:r>
      <w:r w:rsidRPr="003829F4">
        <w:rPr>
          <w:rFonts w:ascii="Verdana" w:hAnsi="Verdana" w:cs="Arial"/>
          <w:color w:val="000000" w:themeColor="text1"/>
          <w:sz w:val="22"/>
          <w:szCs w:val="22"/>
          <w:lang w:val="en-GB"/>
        </w:rPr>
        <w:tab/>
      </w:r>
      <w:r w:rsidR="004004BB" w:rsidRPr="003829F4">
        <w:rPr>
          <w:rFonts w:ascii="Verdana" w:hAnsi="Verdana" w:cs="Arial"/>
          <w:sz w:val="22"/>
          <w:szCs w:val="22"/>
          <w:lang w:val="en-GB"/>
        </w:rPr>
        <w:t>It is also common cause that the respondent has always maintained the applicant and the children at an opulent standard, and that the applicant has never been gainfully employed throughout the 20-year marriage relationship. It is not disputed either, that the respondent is a very successful senior advocate with various business interests.</w:t>
      </w:r>
    </w:p>
    <w:p w14:paraId="5D7AC3ED" w14:textId="443EB831" w:rsidR="006A5488" w:rsidRPr="003829F4" w:rsidRDefault="006A5488" w:rsidP="006A5488">
      <w:pPr>
        <w:pStyle w:val="Indent"/>
        <w:keepNext/>
        <w:widowControl w:val="0"/>
        <w:spacing w:after="360" w:line="480" w:lineRule="auto"/>
        <w:jc w:val="both"/>
        <w:rPr>
          <w:rFonts w:ascii="Verdana" w:hAnsi="Verdana" w:cs="Arial"/>
          <w:b/>
          <w:bCs/>
          <w:sz w:val="22"/>
          <w:szCs w:val="22"/>
          <w:lang w:val="en-GB"/>
        </w:rPr>
      </w:pPr>
      <w:r w:rsidRPr="003829F4">
        <w:rPr>
          <w:rFonts w:ascii="Verdana" w:hAnsi="Verdana" w:cs="Arial"/>
          <w:b/>
          <w:bCs/>
          <w:sz w:val="22"/>
          <w:szCs w:val="22"/>
          <w:lang w:val="en-GB"/>
        </w:rPr>
        <w:lastRenderedPageBreak/>
        <w:t>ISSUES IN THE DIVORCE</w:t>
      </w:r>
    </w:p>
    <w:p w14:paraId="3220E892" w14:textId="5805F440" w:rsidR="006A5488"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[11]</w:t>
      </w:r>
      <w:r w:rsidRPr="003829F4">
        <w:rPr>
          <w:rFonts w:ascii="Verdana" w:hAnsi="Verdana" w:cs="Arial"/>
          <w:color w:val="000000" w:themeColor="text1"/>
          <w:sz w:val="22"/>
          <w:szCs w:val="22"/>
          <w:lang w:val="en-GB"/>
        </w:rPr>
        <w:tab/>
      </w:r>
      <w:r w:rsidR="006A5488" w:rsidRPr="003829F4">
        <w:rPr>
          <w:rFonts w:ascii="Verdana" w:hAnsi="Verdana" w:cs="Arial"/>
          <w:sz w:val="22"/>
          <w:szCs w:val="22"/>
          <w:lang w:val="en-GB"/>
        </w:rPr>
        <w:t xml:space="preserve">The respondent instituted divorce proceedings against the applicant in early March 2022. He claims a decree of divorce and a division of the joint estate. </w:t>
      </w:r>
    </w:p>
    <w:p w14:paraId="3BF657EB" w14:textId="6D89BC33" w:rsidR="006A5488"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[12]</w:t>
      </w:r>
      <w:r w:rsidRPr="003829F4">
        <w:rPr>
          <w:rFonts w:ascii="Verdana" w:hAnsi="Verdana" w:cs="Arial"/>
          <w:color w:val="000000" w:themeColor="text1"/>
          <w:sz w:val="22"/>
          <w:szCs w:val="22"/>
          <w:lang w:val="en-GB"/>
        </w:rPr>
        <w:tab/>
      </w:r>
      <w:r w:rsidR="006A5488" w:rsidRPr="003829F4">
        <w:rPr>
          <w:rFonts w:ascii="Verdana" w:hAnsi="Verdana" w:cs="Arial"/>
          <w:sz w:val="22"/>
          <w:szCs w:val="22"/>
          <w:lang w:val="en-GB"/>
        </w:rPr>
        <w:t>The applicant served her plea and counterclaim on the 3</w:t>
      </w:r>
      <w:r w:rsidR="006A5488" w:rsidRPr="003829F4">
        <w:rPr>
          <w:rFonts w:ascii="Verdana" w:hAnsi="Verdana" w:cs="Arial"/>
          <w:sz w:val="22"/>
          <w:szCs w:val="22"/>
          <w:vertAlign w:val="superscript"/>
          <w:lang w:val="en-GB"/>
        </w:rPr>
        <w:t>rd</w:t>
      </w:r>
      <w:r w:rsidR="006A5488" w:rsidRPr="003829F4">
        <w:rPr>
          <w:rFonts w:ascii="Verdana" w:hAnsi="Verdana" w:cs="Arial"/>
          <w:sz w:val="22"/>
          <w:szCs w:val="22"/>
          <w:lang w:val="en-GB"/>
        </w:rPr>
        <w:t xml:space="preserve"> of May 2022. She claims the following relief: -</w:t>
      </w:r>
    </w:p>
    <w:p w14:paraId="43CF882E" w14:textId="493ABDA2" w:rsidR="00EC6DF5" w:rsidRPr="003829F4" w:rsidRDefault="00AF1307" w:rsidP="00AF1307">
      <w:pPr>
        <w:pStyle w:val="Indent"/>
        <w:widowControl w:val="0"/>
        <w:tabs>
          <w:tab w:val="left" w:pos="7371"/>
        </w:tabs>
        <w:spacing w:after="360" w:line="480" w:lineRule="auto"/>
        <w:ind w:left="1701" w:hanging="981"/>
        <w:jc w:val="both"/>
        <w:rPr>
          <w:rFonts w:ascii="Verdana" w:hAnsi="Verdana" w:cs="Arial"/>
          <w:sz w:val="22"/>
          <w:szCs w:val="22"/>
          <w:lang w:val="en-GB"/>
        </w:rPr>
      </w:pPr>
      <w:r w:rsidRPr="003829F4">
        <w:rPr>
          <w:rFonts w:ascii="Verdana" w:hAnsi="Verdana" w:cs="Arial"/>
          <w:sz w:val="22"/>
          <w:szCs w:val="22"/>
          <w:lang w:val="en-GB"/>
        </w:rPr>
        <w:t>[12.1]</w:t>
      </w:r>
      <w:r w:rsidRPr="003829F4">
        <w:rPr>
          <w:rFonts w:ascii="Verdana" w:hAnsi="Verdana" w:cs="Arial"/>
          <w:sz w:val="22"/>
          <w:szCs w:val="22"/>
          <w:lang w:val="en-GB"/>
        </w:rPr>
        <w:tab/>
      </w:r>
      <w:r w:rsidR="006A5488" w:rsidRPr="003829F4">
        <w:rPr>
          <w:rFonts w:ascii="Verdana" w:hAnsi="Verdana" w:cs="Arial"/>
          <w:sz w:val="22"/>
          <w:szCs w:val="22"/>
          <w:lang w:val="en-GB"/>
        </w:rPr>
        <w:t xml:space="preserve">An order declaring that the Trust is a sham and set aside and that the assets of the Trust and the assets ostensibly transferred to the Trust by the respondent are assets of the joint estate; </w:t>
      </w:r>
    </w:p>
    <w:p w14:paraId="3F6EA1D8" w14:textId="72307D10" w:rsidR="00EC6DF5" w:rsidRPr="003829F4" w:rsidRDefault="00AF1307" w:rsidP="00AF1307">
      <w:pPr>
        <w:pStyle w:val="Indent"/>
        <w:widowControl w:val="0"/>
        <w:tabs>
          <w:tab w:val="left" w:pos="7371"/>
        </w:tabs>
        <w:spacing w:after="360" w:line="480" w:lineRule="auto"/>
        <w:ind w:left="1701" w:hanging="981"/>
        <w:jc w:val="both"/>
        <w:rPr>
          <w:rFonts w:ascii="Verdana" w:hAnsi="Verdana" w:cs="Arial"/>
          <w:sz w:val="22"/>
          <w:szCs w:val="22"/>
          <w:lang w:val="en-GB"/>
        </w:rPr>
      </w:pPr>
      <w:r w:rsidRPr="003829F4">
        <w:rPr>
          <w:rFonts w:ascii="Verdana" w:hAnsi="Verdana" w:cs="Arial"/>
          <w:sz w:val="22"/>
          <w:szCs w:val="22"/>
          <w:lang w:val="en-GB"/>
        </w:rPr>
        <w:t>[12.2]</w:t>
      </w:r>
      <w:r w:rsidRPr="003829F4">
        <w:rPr>
          <w:rFonts w:ascii="Verdana" w:hAnsi="Verdana" w:cs="Arial"/>
          <w:sz w:val="22"/>
          <w:szCs w:val="22"/>
          <w:lang w:val="en-GB"/>
        </w:rPr>
        <w:tab/>
      </w:r>
      <w:r w:rsidR="006A5488" w:rsidRPr="003829F4">
        <w:rPr>
          <w:rFonts w:ascii="Verdana" w:hAnsi="Verdana" w:cs="Arial"/>
          <w:sz w:val="22"/>
          <w:szCs w:val="22"/>
          <w:lang w:val="en-GB"/>
        </w:rPr>
        <w:t xml:space="preserve">In the alternative, an order declaring that the assets of the Trust and the assets ostensibly transferred by the respondent to the Trust are not Trust assets and are assets of the joint estate; </w:t>
      </w:r>
    </w:p>
    <w:p w14:paraId="00AED102" w14:textId="07D785B1" w:rsidR="006A5488" w:rsidRPr="003829F4" w:rsidRDefault="00AF1307" w:rsidP="00AF1307">
      <w:pPr>
        <w:pStyle w:val="Indent"/>
        <w:widowControl w:val="0"/>
        <w:tabs>
          <w:tab w:val="left" w:pos="7371"/>
        </w:tabs>
        <w:spacing w:after="360" w:line="480" w:lineRule="auto"/>
        <w:ind w:left="1701" w:hanging="981"/>
        <w:jc w:val="both"/>
        <w:rPr>
          <w:rFonts w:ascii="Verdana" w:hAnsi="Verdana" w:cs="Arial"/>
          <w:sz w:val="22"/>
          <w:szCs w:val="22"/>
          <w:lang w:val="en-GB"/>
        </w:rPr>
      </w:pPr>
      <w:r w:rsidRPr="003829F4">
        <w:rPr>
          <w:rFonts w:ascii="Verdana" w:hAnsi="Verdana" w:cs="Arial"/>
          <w:sz w:val="22"/>
          <w:szCs w:val="22"/>
          <w:lang w:val="en-GB"/>
        </w:rPr>
        <w:t>[12.3]</w:t>
      </w:r>
      <w:r w:rsidRPr="003829F4">
        <w:rPr>
          <w:rFonts w:ascii="Verdana" w:hAnsi="Verdana" w:cs="Arial"/>
          <w:sz w:val="22"/>
          <w:szCs w:val="22"/>
          <w:lang w:val="en-GB"/>
        </w:rPr>
        <w:tab/>
      </w:r>
      <w:r w:rsidR="006A5488" w:rsidRPr="003829F4">
        <w:rPr>
          <w:rFonts w:ascii="Verdana" w:hAnsi="Verdana" w:cs="Arial"/>
          <w:sz w:val="22"/>
          <w:szCs w:val="22"/>
          <w:lang w:val="en-GB"/>
        </w:rPr>
        <w:t xml:space="preserve">An order directing that the respondent and his co-trustee render an account to the applicant of the management of the Trust’s affairs in respect of all transactions between the respondent and the Trust, including all donations and/or alienations and/or transfers of assets between the respondent and the Trust; </w:t>
      </w:r>
    </w:p>
    <w:p w14:paraId="26018F75" w14:textId="4EEA2698" w:rsidR="006A5488" w:rsidRPr="003829F4" w:rsidRDefault="00AF1307" w:rsidP="00AF1307">
      <w:pPr>
        <w:pStyle w:val="Indent"/>
        <w:widowControl w:val="0"/>
        <w:tabs>
          <w:tab w:val="left" w:pos="7371"/>
        </w:tabs>
        <w:spacing w:after="360" w:line="480" w:lineRule="auto"/>
        <w:ind w:left="1701" w:hanging="981"/>
        <w:jc w:val="both"/>
        <w:rPr>
          <w:rFonts w:ascii="Verdana" w:hAnsi="Verdana" w:cs="Arial"/>
          <w:sz w:val="22"/>
          <w:szCs w:val="22"/>
          <w:lang w:val="en-GB"/>
        </w:rPr>
      </w:pPr>
      <w:r w:rsidRPr="003829F4">
        <w:rPr>
          <w:rFonts w:ascii="Verdana" w:hAnsi="Verdana" w:cs="Arial"/>
          <w:sz w:val="22"/>
          <w:szCs w:val="22"/>
          <w:lang w:val="en-GB"/>
        </w:rPr>
        <w:t>[12.4]</w:t>
      </w:r>
      <w:r w:rsidRPr="003829F4">
        <w:rPr>
          <w:rFonts w:ascii="Verdana" w:hAnsi="Verdana" w:cs="Arial"/>
          <w:sz w:val="22"/>
          <w:szCs w:val="22"/>
          <w:lang w:val="en-GB"/>
        </w:rPr>
        <w:tab/>
      </w:r>
      <w:r w:rsidR="006A5488" w:rsidRPr="003829F4">
        <w:rPr>
          <w:rFonts w:ascii="Verdana" w:hAnsi="Verdana" w:cs="Arial"/>
          <w:sz w:val="22"/>
          <w:szCs w:val="22"/>
          <w:lang w:val="en-GB"/>
        </w:rPr>
        <w:t xml:space="preserve">An order directing the respondent to render a statement of account reflecting all the transactions between him and the three children and other third parties of whom the full particulars are not at present known; </w:t>
      </w:r>
    </w:p>
    <w:p w14:paraId="004BB035" w14:textId="2B03E162" w:rsidR="006A5488" w:rsidRPr="003829F4" w:rsidRDefault="00AF1307" w:rsidP="00AF1307">
      <w:pPr>
        <w:pStyle w:val="Indent"/>
        <w:widowControl w:val="0"/>
        <w:tabs>
          <w:tab w:val="left" w:pos="7371"/>
        </w:tabs>
        <w:spacing w:after="360" w:line="480" w:lineRule="auto"/>
        <w:ind w:left="1701" w:hanging="981"/>
        <w:jc w:val="both"/>
        <w:rPr>
          <w:rFonts w:ascii="Verdana" w:hAnsi="Verdana" w:cs="Arial"/>
          <w:sz w:val="22"/>
          <w:szCs w:val="22"/>
          <w:lang w:val="en-GB"/>
        </w:rPr>
      </w:pPr>
      <w:r w:rsidRPr="003829F4">
        <w:rPr>
          <w:rFonts w:ascii="Verdana" w:hAnsi="Verdana" w:cs="Arial"/>
          <w:sz w:val="22"/>
          <w:szCs w:val="22"/>
          <w:lang w:val="en-GB"/>
        </w:rPr>
        <w:t>[12.5]</w:t>
      </w:r>
      <w:r w:rsidRPr="003829F4">
        <w:rPr>
          <w:rFonts w:ascii="Verdana" w:hAnsi="Verdana" w:cs="Arial"/>
          <w:sz w:val="22"/>
          <w:szCs w:val="22"/>
          <w:lang w:val="en-GB"/>
        </w:rPr>
        <w:tab/>
      </w:r>
      <w:r w:rsidR="006A5488" w:rsidRPr="003829F4">
        <w:rPr>
          <w:rFonts w:ascii="Verdana" w:hAnsi="Verdana" w:cs="Arial"/>
          <w:sz w:val="22"/>
          <w:szCs w:val="22"/>
          <w:lang w:val="en-GB"/>
        </w:rPr>
        <w:t xml:space="preserve">An order setting aside in terms of the provisions of section 15 of the Matrimonial Property Act, 1984, all the donations and/or alienations and/or transfer of assets between the respondent and the Trust, the three children, and other third parties, the full particulars of whom are not at present known; </w:t>
      </w:r>
    </w:p>
    <w:p w14:paraId="2FDEE7E0" w14:textId="5352D00A" w:rsidR="006A5488" w:rsidRPr="003829F4" w:rsidRDefault="00AF1307" w:rsidP="00AF1307">
      <w:pPr>
        <w:pStyle w:val="Indent"/>
        <w:widowControl w:val="0"/>
        <w:tabs>
          <w:tab w:val="left" w:pos="7371"/>
        </w:tabs>
        <w:spacing w:after="360" w:line="480" w:lineRule="auto"/>
        <w:ind w:left="1701" w:hanging="981"/>
        <w:jc w:val="both"/>
        <w:rPr>
          <w:rFonts w:ascii="Verdana" w:hAnsi="Verdana" w:cs="Arial"/>
          <w:sz w:val="22"/>
          <w:szCs w:val="22"/>
          <w:lang w:val="en-GB"/>
        </w:rPr>
      </w:pPr>
      <w:r w:rsidRPr="003829F4">
        <w:rPr>
          <w:rFonts w:ascii="Verdana" w:hAnsi="Verdana" w:cs="Arial"/>
          <w:sz w:val="22"/>
          <w:szCs w:val="22"/>
          <w:lang w:val="en-GB"/>
        </w:rPr>
        <w:t>[12.6]</w:t>
      </w:r>
      <w:r w:rsidRPr="003829F4">
        <w:rPr>
          <w:rFonts w:ascii="Verdana" w:hAnsi="Verdana" w:cs="Arial"/>
          <w:sz w:val="22"/>
          <w:szCs w:val="22"/>
          <w:lang w:val="en-GB"/>
        </w:rPr>
        <w:tab/>
      </w:r>
      <w:r w:rsidR="006A5488" w:rsidRPr="003829F4">
        <w:rPr>
          <w:rFonts w:ascii="Verdana" w:hAnsi="Verdana" w:cs="Arial"/>
          <w:sz w:val="22"/>
          <w:szCs w:val="22"/>
          <w:lang w:val="en-GB"/>
        </w:rPr>
        <w:t xml:space="preserve">In the alternative, an order effecting an adjustment in terms of section 15 of the Matrimonial Property Act in favour of the applicant upon the division of the joint estate in an amount equal to half of the value of the assets donated and/or alienated and/or transferred by the respondent to the Trust, to the three minor children, and other third parties; </w:t>
      </w:r>
    </w:p>
    <w:p w14:paraId="0EBB9C7A" w14:textId="4F7B96BE" w:rsidR="006A5488" w:rsidRPr="003829F4" w:rsidRDefault="00AF1307" w:rsidP="00AF1307">
      <w:pPr>
        <w:pStyle w:val="Indent"/>
        <w:widowControl w:val="0"/>
        <w:tabs>
          <w:tab w:val="left" w:pos="7371"/>
        </w:tabs>
        <w:spacing w:after="360" w:line="480" w:lineRule="auto"/>
        <w:ind w:left="1701" w:hanging="981"/>
        <w:jc w:val="both"/>
        <w:rPr>
          <w:rFonts w:ascii="Verdana" w:hAnsi="Verdana" w:cs="Arial"/>
          <w:sz w:val="22"/>
          <w:szCs w:val="22"/>
          <w:lang w:val="en-GB"/>
        </w:rPr>
      </w:pPr>
      <w:r w:rsidRPr="003829F4">
        <w:rPr>
          <w:rFonts w:ascii="Verdana" w:hAnsi="Verdana" w:cs="Arial"/>
          <w:sz w:val="22"/>
          <w:szCs w:val="22"/>
          <w:lang w:val="en-GB"/>
        </w:rPr>
        <w:t>[12.7]</w:t>
      </w:r>
      <w:r w:rsidRPr="003829F4">
        <w:rPr>
          <w:rFonts w:ascii="Verdana" w:hAnsi="Verdana" w:cs="Arial"/>
          <w:sz w:val="22"/>
          <w:szCs w:val="22"/>
          <w:lang w:val="en-GB"/>
        </w:rPr>
        <w:tab/>
      </w:r>
      <w:r w:rsidR="006A5488" w:rsidRPr="003829F4">
        <w:rPr>
          <w:rFonts w:ascii="Verdana" w:hAnsi="Verdana" w:cs="Arial"/>
          <w:sz w:val="22"/>
          <w:szCs w:val="22"/>
          <w:lang w:val="en-GB"/>
        </w:rPr>
        <w:t xml:space="preserve">Division of the joint estate; </w:t>
      </w:r>
    </w:p>
    <w:p w14:paraId="17C3D4A3" w14:textId="29236F8F" w:rsidR="006A5488" w:rsidRPr="003829F4" w:rsidRDefault="00AF1307" w:rsidP="00AF1307">
      <w:pPr>
        <w:pStyle w:val="Indent"/>
        <w:widowControl w:val="0"/>
        <w:tabs>
          <w:tab w:val="left" w:pos="7371"/>
        </w:tabs>
        <w:spacing w:after="360" w:line="480" w:lineRule="auto"/>
        <w:ind w:left="1701" w:hanging="981"/>
        <w:jc w:val="both"/>
        <w:rPr>
          <w:rFonts w:ascii="Verdana" w:hAnsi="Verdana" w:cs="Arial"/>
          <w:sz w:val="22"/>
          <w:szCs w:val="22"/>
          <w:lang w:val="en-GB"/>
        </w:rPr>
      </w:pPr>
      <w:r w:rsidRPr="003829F4">
        <w:rPr>
          <w:rFonts w:ascii="Verdana" w:hAnsi="Verdana" w:cs="Arial"/>
          <w:sz w:val="22"/>
          <w:szCs w:val="22"/>
          <w:lang w:val="en-GB"/>
        </w:rPr>
        <w:t>[12.8]</w:t>
      </w:r>
      <w:r w:rsidRPr="003829F4">
        <w:rPr>
          <w:rFonts w:ascii="Verdana" w:hAnsi="Verdana" w:cs="Arial"/>
          <w:sz w:val="22"/>
          <w:szCs w:val="22"/>
          <w:lang w:val="en-GB"/>
        </w:rPr>
        <w:tab/>
      </w:r>
      <w:r w:rsidR="006A5488" w:rsidRPr="003829F4">
        <w:rPr>
          <w:rFonts w:ascii="Verdana" w:hAnsi="Verdana" w:cs="Arial"/>
          <w:sz w:val="22"/>
          <w:szCs w:val="22"/>
          <w:lang w:val="en-GB"/>
        </w:rPr>
        <w:t xml:space="preserve">An order for the payment of maintenance to the applicant in the amount of R100 000.00 with an annual escalation of 10 % and an order </w:t>
      </w:r>
      <w:r w:rsidR="002D1606" w:rsidRPr="003829F4">
        <w:rPr>
          <w:rFonts w:ascii="Verdana" w:hAnsi="Verdana" w:cs="Arial"/>
          <w:sz w:val="22"/>
          <w:szCs w:val="22"/>
          <w:lang w:val="en-GB"/>
        </w:rPr>
        <w:t xml:space="preserve">in terms whereof the respondent shall retain the applicant on a fully comprehensive medical aid scheme and pay all medical and related expenses of the applicant not covered by the medical aid scheme; </w:t>
      </w:r>
    </w:p>
    <w:p w14:paraId="29C3F6FE" w14:textId="4797E470" w:rsidR="002D1606" w:rsidRPr="003829F4" w:rsidRDefault="00AF1307" w:rsidP="00AF1307">
      <w:pPr>
        <w:pStyle w:val="Indent"/>
        <w:widowControl w:val="0"/>
        <w:tabs>
          <w:tab w:val="left" w:pos="7371"/>
        </w:tabs>
        <w:spacing w:after="360" w:line="480" w:lineRule="auto"/>
        <w:ind w:left="1701" w:hanging="981"/>
        <w:jc w:val="both"/>
        <w:rPr>
          <w:rFonts w:ascii="Verdana" w:hAnsi="Verdana" w:cs="Arial"/>
          <w:sz w:val="22"/>
          <w:szCs w:val="22"/>
          <w:lang w:val="en-GB"/>
        </w:rPr>
      </w:pPr>
      <w:r w:rsidRPr="003829F4">
        <w:rPr>
          <w:rFonts w:ascii="Verdana" w:hAnsi="Verdana" w:cs="Arial"/>
          <w:sz w:val="22"/>
          <w:szCs w:val="22"/>
          <w:lang w:val="en-GB"/>
        </w:rPr>
        <w:t>[12.9]</w:t>
      </w:r>
      <w:r w:rsidRPr="003829F4">
        <w:rPr>
          <w:rFonts w:ascii="Verdana" w:hAnsi="Verdana" w:cs="Arial"/>
          <w:sz w:val="22"/>
          <w:szCs w:val="22"/>
          <w:lang w:val="en-GB"/>
        </w:rPr>
        <w:tab/>
      </w:r>
      <w:r w:rsidR="002D1606" w:rsidRPr="003829F4">
        <w:rPr>
          <w:rFonts w:ascii="Verdana" w:hAnsi="Verdana" w:cs="Arial"/>
          <w:sz w:val="22"/>
          <w:szCs w:val="22"/>
          <w:lang w:val="en-GB"/>
        </w:rPr>
        <w:t xml:space="preserve">An order that the respondent shall contribute to the maintenance of the major dependent children in the amount of R40 000.00 per month per child with an annual escalation of 10 % and an order that he retains all three dependent children on a fully comprehensive medical aid scheme and pay all medical and related expenses of the children not covered by the scheme; </w:t>
      </w:r>
    </w:p>
    <w:p w14:paraId="6A973B58" w14:textId="474F485D" w:rsidR="002D1606" w:rsidRPr="003829F4" w:rsidRDefault="00AF1307" w:rsidP="00AF1307">
      <w:pPr>
        <w:pStyle w:val="Indent"/>
        <w:widowControl w:val="0"/>
        <w:tabs>
          <w:tab w:val="left" w:pos="7371"/>
        </w:tabs>
        <w:spacing w:after="360" w:line="480" w:lineRule="auto"/>
        <w:ind w:left="1701" w:hanging="981"/>
        <w:jc w:val="both"/>
        <w:rPr>
          <w:rFonts w:ascii="Verdana" w:hAnsi="Verdana" w:cs="Arial"/>
          <w:sz w:val="22"/>
          <w:szCs w:val="22"/>
          <w:lang w:val="en-GB"/>
        </w:rPr>
      </w:pPr>
      <w:r w:rsidRPr="003829F4">
        <w:rPr>
          <w:rFonts w:ascii="Verdana" w:hAnsi="Verdana" w:cs="Arial"/>
          <w:sz w:val="22"/>
          <w:szCs w:val="22"/>
          <w:lang w:val="en-GB"/>
        </w:rPr>
        <w:t>[12.10]</w:t>
      </w:r>
      <w:r w:rsidRPr="003829F4">
        <w:rPr>
          <w:rFonts w:ascii="Verdana" w:hAnsi="Verdana" w:cs="Arial"/>
          <w:sz w:val="22"/>
          <w:szCs w:val="22"/>
          <w:lang w:val="en-GB"/>
        </w:rPr>
        <w:tab/>
      </w:r>
      <w:r w:rsidR="002D1606" w:rsidRPr="003829F4">
        <w:rPr>
          <w:rFonts w:ascii="Verdana" w:hAnsi="Verdana" w:cs="Arial"/>
          <w:sz w:val="22"/>
          <w:szCs w:val="22"/>
          <w:lang w:val="en-GB"/>
        </w:rPr>
        <w:t xml:space="preserve">An order that the respondent shall pay all of the children’s educational expenses, including but not limited to private school and tertiary education fees. </w:t>
      </w:r>
    </w:p>
    <w:p w14:paraId="7BF68981" w14:textId="739F74C3" w:rsidR="006A5488"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[13]</w:t>
      </w:r>
      <w:r w:rsidRPr="003829F4">
        <w:rPr>
          <w:rFonts w:ascii="Verdana" w:hAnsi="Verdana" w:cs="Arial"/>
          <w:color w:val="000000" w:themeColor="text1"/>
          <w:sz w:val="22"/>
          <w:szCs w:val="22"/>
          <w:lang w:val="en-GB"/>
        </w:rPr>
        <w:tab/>
      </w:r>
      <w:r w:rsidR="002D1606" w:rsidRPr="003829F4">
        <w:rPr>
          <w:rFonts w:ascii="Verdana" w:hAnsi="Verdana" w:cs="Arial"/>
          <w:sz w:val="22"/>
          <w:szCs w:val="22"/>
          <w:lang w:val="en-GB"/>
        </w:rPr>
        <w:t>In replication, the respondent avers that the dependent children do not form part of the divorce proceedings and are in any event adequately maintained by him.</w:t>
      </w:r>
      <w:r w:rsidR="002D1606" w:rsidRPr="003829F4">
        <w:rPr>
          <w:rStyle w:val="FootnoteReference"/>
          <w:rFonts w:ascii="Verdana" w:hAnsi="Verdana" w:cs="Arial"/>
          <w:sz w:val="22"/>
          <w:szCs w:val="22"/>
          <w:lang w:val="en-GB"/>
        </w:rPr>
        <w:footnoteReference w:id="1"/>
      </w:r>
      <w:r w:rsidR="002D1606" w:rsidRPr="003829F4">
        <w:rPr>
          <w:rFonts w:ascii="Verdana" w:hAnsi="Verdana" w:cs="Arial"/>
          <w:sz w:val="22"/>
          <w:szCs w:val="22"/>
          <w:lang w:val="en-GB"/>
        </w:rPr>
        <w:t xml:space="preserve"> </w:t>
      </w:r>
    </w:p>
    <w:p w14:paraId="2F302886" w14:textId="64FDB1EB" w:rsidR="002D1606"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[14]</w:t>
      </w:r>
      <w:r w:rsidRPr="003829F4">
        <w:rPr>
          <w:rFonts w:ascii="Verdana" w:hAnsi="Verdana" w:cs="Arial"/>
          <w:color w:val="000000" w:themeColor="text1"/>
          <w:sz w:val="22"/>
          <w:szCs w:val="22"/>
          <w:lang w:val="en-GB"/>
        </w:rPr>
        <w:tab/>
      </w:r>
      <w:r w:rsidR="002D1606" w:rsidRPr="003829F4">
        <w:rPr>
          <w:rFonts w:ascii="Verdana" w:hAnsi="Verdana" w:cs="Arial"/>
          <w:sz w:val="22"/>
          <w:szCs w:val="22"/>
          <w:lang w:val="en-GB"/>
        </w:rPr>
        <w:t>The respondent denies that there is any legal obligation on him to pay maintenance to the applicant until her death or remarriage or at all.</w:t>
      </w:r>
      <w:r w:rsidR="002D1606" w:rsidRPr="003829F4">
        <w:rPr>
          <w:rStyle w:val="FootnoteReference"/>
          <w:rFonts w:ascii="Verdana" w:hAnsi="Verdana" w:cs="Arial"/>
          <w:sz w:val="22"/>
          <w:szCs w:val="22"/>
          <w:lang w:val="en-GB"/>
        </w:rPr>
        <w:footnoteReference w:id="2"/>
      </w:r>
      <w:r w:rsidR="002D1606" w:rsidRPr="003829F4">
        <w:rPr>
          <w:rFonts w:ascii="Verdana" w:hAnsi="Verdana" w:cs="Arial"/>
          <w:sz w:val="22"/>
          <w:szCs w:val="22"/>
          <w:lang w:val="en-GB"/>
        </w:rPr>
        <w:t xml:space="preserve"> </w:t>
      </w:r>
    </w:p>
    <w:p w14:paraId="528E6136" w14:textId="5332F569" w:rsidR="002D1606"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[15]</w:t>
      </w:r>
      <w:r w:rsidRPr="003829F4">
        <w:rPr>
          <w:rFonts w:ascii="Verdana" w:hAnsi="Verdana" w:cs="Arial"/>
          <w:color w:val="000000" w:themeColor="text1"/>
          <w:sz w:val="22"/>
          <w:szCs w:val="22"/>
          <w:lang w:val="en-GB"/>
        </w:rPr>
        <w:tab/>
      </w:r>
      <w:r w:rsidR="002D1606" w:rsidRPr="003829F4">
        <w:rPr>
          <w:rFonts w:ascii="Verdana" w:hAnsi="Verdana" w:cs="Arial"/>
          <w:sz w:val="22"/>
          <w:szCs w:val="22"/>
          <w:lang w:val="en-GB"/>
        </w:rPr>
        <w:t>He asserts that the applicant, upon a division of the joint estate, will be in a position to maintain herself and still live a lavish lifestyle that she was accustomed to during the subsistence of the marriage.</w:t>
      </w:r>
      <w:r w:rsidR="002D1606" w:rsidRPr="003829F4">
        <w:rPr>
          <w:rStyle w:val="FootnoteReference"/>
          <w:rFonts w:ascii="Verdana" w:hAnsi="Verdana" w:cs="Arial"/>
          <w:sz w:val="22"/>
          <w:szCs w:val="22"/>
          <w:lang w:val="en-GB"/>
        </w:rPr>
        <w:footnoteReference w:id="3"/>
      </w:r>
      <w:r w:rsidR="002D1606" w:rsidRPr="003829F4">
        <w:rPr>
          <w:rFonts w:ascii="Verdana" w:hAnsi="Verdana" w:cs="Arial"/>
          <w:sz w:val="22"/>
          <w:szCs w:val="22"/>
          <w:lang w:val="en-GB"/>
        </w:rPr>
        <w:t xml:space="preserve"> </w:t>
      </w:r>
    </w:p>
    <w:p w14:paraId="7B00D4CF" w14:textId="0DD8DA14" w:rsidR="002D1606"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[16]</w:t>
      </w:r>
      <w:r w:rsidRPr="003829F4">
        <w:rPr>
          <w:rFonts w:ascii="Verdana" w:hAnsi="Verdana" w:cs="Arial"/>
          <w:color w:val="000000" w:themeColor="text1"/>
          <w:sz w:val="22"/>
          <w:szCs w:val="22"/>
          <w:lang w:val="en-GB"/>
        </w:rPr>
        <w:tab/>
      </w:r>
      <w:r w:rsidR="002D1606" w:rsidRPr="003829F4">
        <w:rPr>
          <w:rFonts w:ascii="Verdana" w:hAnsi="Verdana" w:cs="Arial"/>
          <w:sz w:val="22"/>
          <w:szCs w:val="22"/>
          <w:lang w:val="en-GB"/>
        </w:rPr>
        <w:t>Insofar as it relates to the Trust, the respondent pleaded a bald denial and asserts that the Divorce Court does not have the requisite jurisdiction to entertain matters pertaining to the Trust as the relief sought is legally incompetent in a Divorce Court.</w:t>
      </w:r>
      <w:r w:rsidR="002D1606" w:rsidRPr="003829F4">
        <w:rPr>
          <w:rStyle w:val="FootnoteReference"/>
          <w:rFonts w:ascii="Verdana" w:hAnsi="Verdana" w:cs="Arial"/>
          <w:sz w:val="22"/>
          <w:szCs w:val="22"/>
          <w:lang w:val="en-GB"/>
        </w:rPr>
        <w:footnoteReference w:id="4"/>
      </w:r>
      <w:r w:rsidR="002D1606" w:rsidRPr="003829F4">
        <w:rPr>
          <w:rFonts w:ascii="Verdana" w:hAnsi="Verdana" w:cs="Arial"/>
          <w:sz w:val="22"/>
          <w:szCs w:val="22"/>
          <w:lang w:val="en-GB"/>
        </w:rPr>
        <w:t xml:space="preserve"> </w:t>
      </w:r>
    </w:p>
    <w:p w14:paraId="53348E87" w14:textId="2AFB82E2" w:rsidR="002D1606"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[17]</w:t>
      </w:r>
      <w:r w:rsidRPr="003829F4">
        <w:rPr>
          <w:rFonts w:ascii="Verdana" w:hAnsi="Verdana" w:cs="Arial"/>
          <w:color w:val="000000" w:themeColor="text1"/>
          <w:sz w:val="22"/>
          <w:szCs w:val="22"/>
          <w:lang w:val="en-GB"/>
        </w:rPr>
        <w:tab/>
      </w:r>
      <w:r w:rsidR="002D1606" w:rsidRPr="003829F4">
        <w:rPr>
          <w:rFonts w:ascii="Verdana" w:hAnsi="Verdana" w:cs="Arial"/>
          <w:sz w:val="22"/>
          <w:szCs w:val="22"/>
          <w:lang w:val="en-GB"/>
        </w:rPr>
        <w:t>On the 3</w:t>
      </w:r>
      <w:r w:rsidR="002D1606" w:rsidRPr="003829F4">
        <w:rPr>
          <w:rFonts w:ascii="Verdana" w:hAnsi="Verdana" w:cs="Arial"/>
          <w:sz w:val="22"/>
          <w:szCs w:val="22"/>
          <w:vertAlign w:val="superscript"/>
          <w:lang w:val="en-GB"/>
        </w:rPr>
        <w:t>rd</w:t>
      </w:r>
      <w:r w:rsidR="002D1606" w:rsidRPr="003829F4">
        <w:rPr>
          <w:rFonts w:ascii="Verdana" w:hAnsi="Verdana" w:cs="Arial"/>
          <w:sz w:val="22"/>
          <w:szCs w:val="22"/>
          <w:lang w:val="en-GB"/>
        </w:rPr>
        <w:t xml:space="preserve"> of May 2022 the applicant served a third party notice calling upon the Trust to dispute her grounds or claim against the Trust. </w:t>
      </w:r>
    </w:p>
    <w:p w14:paraId="41EEF4F6" w14:textId="0E88A3AB" w:rsidR="002D1606"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[18]</w:t>
      </w:r>
      <w:r w:rsidRPr="003829F4">
        <w:rPr>
          <w:rFonts w:ascii="Verdana" w:hAnsi="Verdana" w:cs="Arial"/>
          <w:color w:val="000000" w:themeColor="text1"/>
          <w:sz w:val="22"/>
          <w:szCs w:val="22"/>
          <w:lang w:val="en-GB"/>
        </w:rPr>
        <w:tab/>
      </w:r>
      <w:r w:rsidR="002D1606" w:rsidRPr="003829F4">
        <w:rPr>
          <w:rFonts w:ascii="Verdana" w:hAnsi="Verdana" w:cs="Arial"/>
          <w:sz w:val="22"/>
          <w:szCs w:val="22"/>
          <w:lang w:val="en-GB"/>
        </w:rPr>
        <w:t>On the 9</w:t>
      </w:r>
      <w:r w:rsidR="002D1606" w:rsidRPr="003829F4">
        <w:rPr>
          <w:rFonts w:ascii="Verdana" w:hAnsi="Verdana" w:cs="Arial"/>
          <w:sz w:val="22"/>
          <w:szCs w:val="22"/>
          <w:vertAlign w:val="superscript"/>
          <w:lang w:val="en-GB"/>
        </w:rPr>
        <w:t>th</w:t>
      </w:r>
      <w:r w:rsidR="002D1606" w:rsidRPr="003829F4">
        <w:rPr>
          <w:rFonts w:ascii="Verdana" w:hAnsi="Verdana" w:cs="Arial"/>
          <w:sz w:val="22"/>
          <w:szCs w:val="22"/>
          <w:lang w:val="en-GB"/>
        </w:rPr>
        <w:t xml:space="preserve"> of May 2022 the respondent served a notice in terms of rule 30(2) and called upon the applicant to remove the cause of complaint which renders the applicant’s third party notice irregular. However, on the 28</w:t>
      </w:r>
      <w:r w:rsidR="002D1606" w:rsidRPr="003829F4">
        <w:rPr>
          <w:rFonts w:ascii="Verdana" w:hAnsi="Verdana" w:cs="Arial"/>
          <w:sz w:val="22"/>
          <w:szCs w:val="22"/>
          <w:vertAlign w:val="superscript"/>
          <w:lang w:val="en-GB"/>
        </w:rPr>
        <w:t>th</w:t>
      </w:r>
      <w:r w:rsidR="002D1606" w:rsidRPr="003829F4">
        <w:rPr>
          <w:rFonts w:ascii="Verdana" w:hAnsi="Verdana" w:cs="Arial"/>
          <w:sz w:val="22"/>
          <w:szCs w:val="22"/>
          <w:lang w:val="en-GB"/>
        </w:rPr>
        <w:t> of March 2023, the respondent withdrew his rule 30 notice and amended his plea to the applicant’s counterclaim. At paragraph 29 of his amended plea, the respondent denies that the Trust is a sham, and specifically pleads that he has no objection in the event that the court sets aside the Trust.</w:t>
      </w:r>
      <w:r w:rsidR="002D1606" w:rsidRPr="003829F4">
        <w:rPr>
          <w:rStyle w:val="FootnoteReference"/>
          <w:rFonts w:ascii="Verdana" w:hAnsi="Verdana" w:cs="Arial"/>
          <w:sz w:val="22"/>
          <w:szCs w:val="22"/>
          <w:lang w:val="en-GB"/>
        </w:rPr>
        <w:footnoteReference w:id="5"/>
      </w:r>
      <w:r w:rsidR="002D1606" w:rsidRPr="003829F4">
        <w:rPr>
          <w:rFonts w:ascii="Verdana" w:hAnsi="Verdana" w:cs="Arial"/>
          <w:sz w:val="22"/>
          <w:szCs w:val="22"/>
          <w:lang w:val="en-GB"/>
        </w:rPr>
        <w:t xml:space="preserve">  He repeats this at paragraph 33.1.4 of his amended plea where he explicitly states that he will not oppose an order against the Trust as he has no interest therein.</w:t>
      </w:r>
      <w:r w:rsidR="002D1606" w:rsidRPr="003829F4">
        <w:rPr>
          <w:rStyle w:val="FootnoteReference"/>
          <w:rFonts w:ascii="Verdana" w:hAnsi="Verdana" w:cs="Arial"/>
          <w:sz w:val="22"/>
          <w:szCs w:val="22"/>
          <w:lang w:val="en-GB"/>
        </w:rPr>
        <w:footnoteReference w:id="6"/>
      </w:r>
      <w:r w:rsidR="002D1606" w:rsidRPr="003829F4">
        <w:rPr>
          <w:rFonts w:ascii="Verdana" w:hAnsi="Verdana" w:cs="Arial"/>
          <w:sz w:val="22"/>
          <w:szCs w:val="22"/>
          <w:lang w:val="en-GB"/>
        </w:rPr>
        <w:t xml:space="preserve"> </w:t>
      </w:r>
    </w:p>
    <w:p w14:paraId="6E49B0CF" w14:textId="0121F38A" w:rsidR="00FB55A0"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[19]</w:t>
      </w:r>
      <w:r w:rsidRPr="003829F4">
        <w:rPr>
          <w:rFonts w:ascii="Verdana" w:hAnsi="Verdana" w:cs="Arial"/>
          <w:color w:val="000000" w:themeColor="text1"/>
          <w:sz w:val="22"/>
          <w:szCs w:val="22"/>
          <w:lang w:val="en-GB"/>
        </w:rPr>
        <w:tab/>
      </w:r>
      <w:r w:rsidR="00FB55A0" w:rsidRPr="003829F4">
        <w:rPr>
          <w:rFonts w:ascii="Verdana" w:hAnsi="Verdana" w:cs="Arial"/>
          <w:sz w:val="22"/>
          <w:szCs w:val="22"/>
          <w:lang w:val="en-GB"/>
        </w:rPr>
        <w:t>At paragraph 32 the respondent repeats that he has no objection to the assets of the Trust forming part of the joint estate.</w:t>
      </w:r>
      <w:r w:rsidR="00FB55A0" w:rsidRPr="003829F4">
        <w:rPr>
          <w:rStyle w:val="FootnoteReference"/>
          <w:rFonts w:ascii="Verdana" w:hAnsi="Verdana" w:cs="Arial"/>
          <w:sz w:val="22"/>
          <w:szCs w:val="22"/>
          <w:lang w:val="en-GB"/>
        </w:rPr>
        <w:footnoteReference w:id="7"/>
      </w:r>
      <w:r w:rsidR="00FB55A0" w:rsidRPr="003829F4">
        <w:rPr>
          <w:rFonts w:ascii="Verdana" w:hAnsi="Verdana" w:cs="Arial"/>
          <w:sz w:val="22"/>
          <w:szCs w:val="22"/>
          <w:lang w:val="en-GB"/>
        </w:rPr>
        <w:t xml:space="preserve"> </w:t>
      </w:r>
      <w:r w:rsidR="00131E8A" w:rsidRPr="003829F4">
        <w:rPr>
          <w:rFonts w:ascii="Verdana" w:hAnsi="Verdana" w:cs="Arial"/>
          <w:sz w:val="22"/>
          <w:szCs w:val="22"/>
          <w:lang w:val="en-GB"/>
        </w:rPr>
        <w:t xml:space="preserve"> </w:t>
      </w:r>
    </w:p>
    <w:p w14:paraId="42CB28CC" w14:textId="1CDDB97F" w:rsidR="001D6520"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[20]</w:t>
      </w:r>
      <w:r w:rsidRPr="003829F4">
        <w:rPr>
          <w:rFonts w:ascii="Verdana" w:hAnsi="Verdana" w:cs="Arial"/>
          <w:color w:val="000000" w:themeColor="text1"/>
          <w:sz w:val="22"/>
          <w:szCs w:val="22"/>
          <w:lang w:val="en-GB"/>
        </w:rPr>
        <w:tab/>
      </w:r>
      <w:r w:rsidR="001D6520" w:rsidRPr="003829F4">
        <w:rPr>
          <w:rFonts w:ascii="Verdana" w:hAnsi="Verdana" w:cs="Arial"/>
          <w:sz w:val="22"/>
          <w:szCs w:val="22"/>
          <w:lang w:val="en-GB"/>
        </w:rPr>
        <w:t>The respondent brought an application for a separation of issues in terms of Rule 33(4). The applicant successfully opposed the application. The respondent was ordered to pay the costs.</w:t>
      </w:r>
      <w:r w:rsidR="004916FA" w:rsidRPr="003829F4">
        <w:rPr>
          <w:rFonts w:ascii="Verdana" w:hAnsi="Verdana" w:cs="Arial"/>
          <w:sz w:val="22"/>
          <w:szCs w:val="22"/>
          <w:lang w:val="en-GB"/>
        </w:rPr>
        <w:t xml:space="preserve"> Judgment was handed down on the 13</w:t>
      </w:r>
      <w:r w:rsidR="004916FA" w:rsidRPr="003829F4">
        <w:rPr>
          <w:rFonts w:ascii="Verdana" w:hAnsi="Verdana" w:cs="Arial"/>
          <w:sz w:val="22"/>
          <w:szCs w:val="22"/>
          <w:vertAlign w:val="superscript"/>
          <w:lang w:val="en-GB"/>
        </w:rPr>
        <w:t>th</w:t>
      </w:r>
      <w:r w:rsidR="004916FA" w:rsidRPr="003829F4">
        <w:rPr>
          <w:rFonts w:ascii="Verdana" w:hAnsi="Verdana" w:cs="Arial"/>
          <w:sz w:val="22"/>
          <w:szCs w:val="22"/>
          <w:lang w:val="en-GB"/>
        </w:rPr>
        <w:t xml:space="preserve"> of February 2023.</w:t>
      </w:r>
    </w:p>
    <w:p w14:paraId="36718B02" w14:textId="18FF7FFD" w:rsidR="004004BB"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[21]</w:t>
      </w:r>
      <w:r w:rsidRPr="003829F4">
        <w:rPr>
          <w:rFonts w:ascii="Verdana" w:hAnsi="Verdana" w:cs="Arial"/>
          <w:color w:val="000000" w:themeColor="text1"/>
          <w:sz w:val="22"/>
          <w:szCs w:val="22"/>
          <w:lang w:val="en-GB"/>
        </w:rPr>
        <w:tab/>
      </w:r>
      <w:r w:rsidR="004916FA" w:rsidRPr="003829F4">
        <w:rPr>
          <w:rFonts w:ascii="Verdana" w:hAnsi="Verdana" w:cs="Arial"/>
          <w:sz w:val="22"/>
          <w:szCs w:val="22"/>
          <w:lang w:val="en-GB"/>
        </w:rPr>
        <w:t>On the 1</w:t>
      </w:r>
      <w:r w:rsidR="004916FA" w:rsidRPr="003829F4">
        <w:rPr>
          <w:rFonts w:ascii="Verdana" w:hAnsi="Verdana" w:cs="Arial"/>
          <w:sz w:val="22"/>
          <w:szCs w:val="22"/>
          <w:vertAlign w:val="superscript"/>
          <w:lang w:val="en-GB"/>
        </w:rPr>
        <w:t>st</w:t>
      </w:r>
      <w:r w:rsidR="004916FA" w:rsidRPr="003829F4">
        <w:rPr>
          <w:rFonts w:ascii="Verdana" w:hAnsi="Verdana" w:cs="Arial"/>
          <w:sz w:val="22"/>
          <w:szCs w:val="22"/>
          <w:lang w:val="en-GB"/>
        </w:rPr>
        <w:t xml:space="preserve"> of February 2023, a</w:t>
      </w:r>
      <w:r w:rsidR="004004BB" w:rsidRPr="003829F4">
        <w:rPr>
          <w:rFonts w:ascii="Verdana" w:hAnsi="Verdana" w:cs="Arial"/>
          <w:sz w:val="22"/>
          <w:szCs w:val="22"/>
          <w:lang w:val="en-GB"/>
        </w:rPr>
        <w:t xml:space="preserve"> trial date for the 21</w:t>
      </w:r>
      <w:r w:rsidR="004004BB" w:rsidRPr="003829F4">
        <w:rPr>
          <w:rFonts w:ascii="Verdana" w:hAnsi="Verdana" w:cs="Arial"/>
          <w:sz w:val="22"/>
          <w:szCs w:val="22"/>
          <w:vertAlign w:val="superscript"/>
          <w:lang w:val="en-GB"/>
        </w:rPr>
        <w:t>st</w:t>
      </w:r>
      <w:r w:rsidR="004004BB" w:rsidRPr="003829F4">
        <w:rPr>
          <w:rFonts w:ascii="Verdana" w:hAnsi="Verdana" w:cs="Arial"/>
          <w:sz w:val="22"/>
          <w:szCs w:val="22"/>
          <w:lang w:val="en-GB"/>
        </w:rPr>
        <w:t xml:space="preserve"> of August 2023 </w:t>
      </w:r>
      <w:r w:rsidR="004916FA" w:rsidRPr="003829F4">
        <w:rPr>
          <w:rFonts w:ascii="Verdana" w:hAnsi="Verdana" w:cs="Arial"/>
          <w:sz w:val="22"/>
          <w:szCs w:val="22"/>
          <w:lang w:val="en-GB"/>
        </w:rPr>
        <w:t>was</w:t>
      </w:r>
      <w:r w:rsidR="004004BB" w:rsidRPr="003829F4">
        <w:rPr>
          <w:rFonts w:ascii="Verdana" w:hAnsi="Verdana" w:cs="Arial"/>
          <w:sz w:val="22"/>
          <w:szCs w:val="22"/>
          <w:lang w:val="en-GB"/>
        </w:rPr>
        <w:t xml:space="preserve"> allocated pursuant to an application made by the respondent who is the </w:t>
      </w:r>
      <w:r w:rsidR="005A1CE5" w:rsidRPr="003829F4">
        <w:rPr>
          <w:rFonts w:ascii="Verdana" w:hAnsi="Verdana" w:cs="Arial"/>
          <w:sz w:val="22"/>
          <w:szCs w:val="22"/>
          <w:lang w:val="en-GB"/>
        </w:rPr>
        <w:t>plaintiff</w:t>
      </w:r>
      <w:r w:rsidR="004004BB" w:rsidRPr="003829F4">
        <w:rPr>
          <w:rFonts w:ascii="Verdana" w:hAnsi="Verdana" w:cs="Arial"/>
          <w:sz w:val="22"/>
          <w:szCs w:val="22"/>
          <w:lang w:val="en-GB"/>
        </w:rPr>
        <w:t xml:space="preserve"> in the pending divorce action.</w:t>
      </w:r>
      <w:r w:rsidR="005A1CE5" w:rsidRPr="003829F4">
        <w:rPr>
          <w:rFonts w:ascii="Verdana" w:hAnsi="Verdana" w:cs="Arial"/>
          <w:sz w:val="22"/>
          <w:szCs w:val="22"/>
          <w:lang w:val="en-GB"/>
        </w:rPr>
        <w:t xml:space="preserve"> </w:t>
      </w:r>
      <w:r w:rsidR="004916FA" w:rsidRPr="003829F4">
        <w:rPr>
          <w:rFonts w:ascii="Verdana" w:hAnsi="Verdana" w:cs="Arial"/>
          <w:sz w:val="22"/>
          <w:szCs w:val="22"/>
          <w:lang w:val="en-GB"/>
        </w:rPr>
        <w:t xml:space="preserve">The trial date was applied for in the midst of the pending Rule 43 application brought on 28 November 2022. </w:t>
      </w:r>
      <w:r w:rsidR="000D3A43" w:rsidRPr="003829F4">
        <w:rPr>
          <w:rFonts w:ascii="Verdana" w:hAnsi="Verdana" w:cs="Arial"/>
          <w:sz w:val="22"/>
          <w:szCs w:val="22"/>
          <w:lang w:val="en-GB"/>
        </w:rPr>
        <w:t>Peculiarly, and seemingly in his</w:t>
      </w:r>
      <w:r w:rsidR="005A1CE5" w:rsidRPr="003829F4">
        <w:rPr>
          <w:rFonts w:ascii="Verdana" w:hAnsi="Verdana" w:cs="Arial"/>
          <w:sz w:val="22"/>
          <w:szCs w:val="22"/>
          <w:lang w:val="en-GB"/>
        </w:rPr>
        <w:t xml:space="preserve"> pursuit </w:t>
      </w:r>
      <w:r w:rsidR="00D07D9E">
        <w:rPr>
          <w:rFonts w:ascii="Verdana" w:hAnsi="Verdana" w:cs="Arial"/>
          <w:sz w:val="22"/>
          <w:szCs w:val="22"/>
          <w:lang w:val="en-GB"/>
        </w:rPr>
        <w:t>of ripening</w:t>
      </w:r>
      <w:r w:rsidR="005A1CE5" w:rsidRPr="003829F4">
        <w:rPr>
          <w:rFonts w:ascii="Verdana" w:hAnsi="Verdana" w:cs="Arial"/>
          <w:sz w:val="22"/>
          <w:szCs w:val="22"/>
          <w:lang w:val="en-GB"/>
        </w:rPr>
        <w:t xml:space="preserve"> the matter for trial, the respondent filed notices to inform the applicant that he does not intend </w:t>
      </w:r>
      <w:r w:rsidR="000D3A43" w:rsidRPr="003829F4">
        <w:rPr>
          <w:rFonts w:ascii="Verdana" w:hAnsi="Verdana" w:cs="Arial"/>
          <w:sz w:val="22"/>
          <w:szCs w:val="22"/>
          <w:lang w:val="en-GB"/>
        </w:rPr>
        <w:t xml:space="preserve">calling </w:t>
      </w:r>
      <w:r w:rsidR="005A1CE5" w:rsidRPr="003829F4">
        <w:rPr>
          <w:rFonts w:ascii="Verdana" w:hAnsi="Verdana" w:cs="Arial"/>
          <w:sz w:val="22"/>
          <w:szCs w:val="22"/>
          <w:lang w:val="en-GB"/>
        </w:rPr>
        <w:t>any expert witnesses or request further particulars for trial.</w:t>
      </w:r>
      <w:r w:rsidR="000D3A43" w:rsidRPr="003829F4">
        <w:rPr>
          <w:rFonts w:ascii="Verdana" w:hAnsi="Verdana" w:cs="Arial"/>
          <w:sz w:val="22"/>
          <w:szCs w:val="22"/>
          <w:lang w:val="en-GB"/>
        </w:rPr>
        <w:t xml:space="preserve"> This was done on the 6</w:t>
      </w:r>
      <w:r w:rsidR="000D3A43" w:rsidRPr="003829F4">
        <w:rPr>
          <w:rFonts w:ascii="Verdana" w:hAnsi="Verdana" w:cs="Arial"/>
          <w:sz w:val="22"/>
          <w:szCs w:val="22"/>
          <w:vertAlign w:val="superscript"/>
          <w:lang w:val="en-GB"/>
        </w:rPr>
        <w:t>th</w:t>
      </w:r>
      <w:r w:rsidR="000D3A43" w:rsidRPr="003829F4">
        <w:rPr>
          <w:rFonts w:ascii="Verdana" w:hAnsi="Verdana" w:cs="Arial"/>
          <w:sz w:val="22"/>
          <w:szCs w:val="22"/>
          <w:lang w:val="en-GB"/>
        </w:rPr>
        <w:t xml:space="preserve"> of April 2023.</w:t>
      </w:r>
    </w:p>
    <w:p w14:paraId="7EC4AC92" w14:textId="49206D2A" w:rsidR="00EC7780" w:rsidRPr="003829F4" w:rsidRDefault="002D1606" w:rsidP="00F31097">
      <w:pPr>
        <w:pStyle w:val="Indent"/>
        <w:keepNext/>
        <w:widowControl w:val="0"/>
        <w:spacing w:after="360" w:line="480" w:lineRule="auto"/>
        <w:jc w:val="both"/>
        <w:rPr>
          <w:rFonts w:ascii="Verdana" w:hAnsi="Verdana" w:cs="Arial"/>
          <w:b/>
          <w:bCs/>
          <w:sz w:val="22"/>
          <w:szCs w:val="22"/>
          <w:lang w:val="en-GB"/>
        </w:rPr>
      </w:pPr>
      <w:r w:rsidRPr="003829F4">
        <w:rPr>
          <w:rFonts w:ascii="Verdana" w:hAnsi="Verdana" w:cs="Arial"/>
          <w:b/>
          <w:bCs/>
          <w:sz w:val="22"/>
          <w:szCs w:val="22"/>
          <w:lang w:val="en-GB"/>
        </w:rPr>
        <w:t>STANDARD OF LIVING</w:t>
      </w:r>
    </w:p>
    <w:p w14:paraId="6FE54C4E" w14:textId="5DF4F247" w:rsidR="002D1606"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[22]</w:t>
      </w:r>
      <w:r w:rsidRPr="003829F4">
        <w:rPr>
          <w:rFonts w:ascii="Verdana" w:hAnsi="Verdana" w:cs="Arial"/>
          <w:color w:val="000000" w:themeColor="text1"/>
          <w:sz w:val="22"/>
          <w:szCs w:val="22"/>
          <w:lang w:val="en-GB"/>
        </w:rPr>
        <w:tab/>
      </w:r>
      <w:r w:rsidR="002D1606" w:rsidRPr="003829F4">
        <w:rPr>
          <w:rFonts w:ascii="Verdana" w:hAnsi="Verdana" w:cs="Arial"/>
          <w:sz w:val="22"/>
          <w:szCs w:val="22"/>
          <w:lang w:val="en-GB"/>
        </w:rPr>
        <w:t>The respondent himself describes the standard of living of the family, and hence the applicant, as follows: -</w:t>
      </w:r>
    </w:p>
    <w:p w14:paraId="017BECC6" w14:textId="3EB98A45" w:rsidR="002D1606" w:rsidRPr="003829F4" w:rsidRDefault="002D1606" w:rsidP="002D1606">
      <w:pPr>
        <w:pStyle w:val="Indent"/>
        <w:widowControl w:val="0"/>
        <w:spacing w:after="240" w:line="360" w:lineRule="auto"/>
        <w:ind w:left="2160" w:hanging="720"/>
        <w:jc w:val="both"/>
        <w:rPr>
          <w:rFonts w:ascii="Verdana" w:hAnsi="Verdana" w:cs="Arial"/>
          <w:i/>
          <w:iCs/>
          <w:sz w:val="22"/>
          <w:szCs w:val="22"/>
          <w:lang w:val="en-GB"/>
        </w:rPr>
      </w:pPr>
      <w:r w:rsidRPr="003829F4">
        <w:rPr>
          <w:rFonts w:ascii="Verdana" w:hAnsi="Verdana" w:cs="Arial"/>
          <w:i/>
          <w:iCs/>
          <w:sz w:val="22"/>
          <w:szCs w:val="22"/>
          <w:lang w:val="en-GB"/>
        </w:rPr>
        <w:t xml:space="preserve">“7.4 </w:t>
      </w:r>
      <w:r w:rsidRPr="003829F4">
        <w:rPr>
          <w:rFonts w:ascii="Verdana" w:hAnsi="Verdana" w:cs="Arial"/>
          <w:i/>
          <w:iCs/>
          <w:sz w:val="22"/>
          <w:szCs w:val="22"/>
          <w:lang w:val="en-GB"/>
        </w:rPr>
        <w:tab/>
        <w:t>What is evident is that throughout the marriage, the plaintiff conducted a lucrative practice as an Advocate which translated to a luxury (sic) and lavish lifestyle for the defendant and the children who went overseas for holidays every year they wanted to, travelling first class in the plane when travelling overseas, driving expensive cars and expensive holidays, getting monthly allowances which even well educated professionals do not earn for their hard work. In brief, the defendant lived a luxurious lifestyle that many people can only dream of.</w:t>
      </w:r>
    </w:p>
    <w:p w14:paraId="11FB3A99" w14:textId="791C4AB1" w:rsidR="002D1606" w:rsidRPr="003829F4" w:rsidRDefault="002D1606" w:rsidP="002D1606">
      <w:pPr>
        <w:pStyle w:val="Indent"/>
        <w:widowControl w:val="0"/>
        <w:spacing w:after="240" w:line="360" w:lineRule="auto"/>
        <w:ind w:left="2160" w:hanging="720"/>
        <w:jc w:val="both"/>
        <w:rPr>
          <w:rFonts w:ascii="Verdana" w:hAnsi="Verdana" w:cs="Arial"/>
          <w:i/>
          <w:iCs/>
          <w:sz w:val="22"/>
          <w:szCs w:val="22"/>
          <w:lang w:val="en-GB"/>
        </w:rPr>
      </w:pPr>
      <w:r w:rsidRPr="003829F4">
        <w:rPr>
          <w:rFonts w:ascii="Verdana" w:hAnsi="Verdana" w:cs="Arial"/>
          <w:i/>
          <w:iCs/>
          <w:sz w:val="22"/>
          <w:szCs w:val="22"/>
          <w:lang w:val="en-GB"/>
        </w:rPr>
        <w:t xml:space="preserve">7.5 </w:t>
      </w:r>
      <w:r w:rsidRPr="003829F4">
        <w:rPr>
          <w:rFonts w:ascii="Verdana" w:hAnsi="Verdana" w:cs="Arial"/>
          <w:i/>
          <w:iCs/>
          <w:sz w:val="22"/>
          <w:szCs w:val="22"/>
          <w:lang w:val="en-GB"/>
        </w:rPr>
        <w:tab/>
        <w:t>From the sale of the properties and with the half share that the defendant is in law entitled, she will be in a position to maintain herself and still live a lavish lifestyle that she was accustomed to during the subsistence of the marriage…”</w:t>
      </w:r>
    </w:p>
    <w:p w14:paraId="0304B38C" w14:textId="0BFB9FE9" w:rsidR="002D1606" w:rsidRPr="003829F4" w:rsidRDefault="002D1606" w:rsidP="002D1606">
      <w:pPr>
        <w:pStyle w:val="Indent"/>
        <w:widowControl w:val="0"/>
        <w:spacing w:after="480" w:line="360" w:lineRule="auto"/>
        <w:ind w:left="2160" w:hanging="720"/>
        <w:jc w:val="both"/>
        <w:rPr>
          <w:rFonts w:ascii="Verdana" w:hAnsi="Verdana" w:cs="Arial"/>
          <w:i/>
          <w:iCs/>
          <w:sz w:val="22"/>
          <w:szCs w:val="22"/>
          <w:lang w:val="en-GB"/>
        </w:rPr>
      </w:pPr>
      <w:r w:rsidRPr="003829F4">
        <w:rPr>
          <w:rFonts w:ascii="Verdana" w:hAnsi="Verdana" w:cs="Arial"/>
          <w:i/>
          <w:iCs/>
          <w:sz w:val="22"/>
          <w:szCs w:val="22"/>
          <w:lang w:val="en-GB"/>
        </w:rPr>
        <w:t xml:space="preserve">13. </w:t>
      </w:r>
      <w:r w:rsidRPr="003829F4">
        <w:rPr>
          <w:rFonts w:ascii="Verdana" w:hAnsi="Verdana" w:cs="Arial"/>
          <w:i/>
          <w:iCs/>
          <w:sz w:val="22"/>
          <w:szCs w:val="22"/>
          <w:lang w:val="en-GB"/>
        </w:rPr>
        <w:tab/>
        <w:t xml:space="preserve">… As a result of the successful practice that the plaintiff conducted as an Advocate, the defendant and the children maintained a very high living standard, and a lavish lifestyle with </w:t>
      </w:r>
      <w:r w:rsidR="00FB55A0" w:rsidRPr="003829F4">
        <w:rPr>
          <w:rFonts w:ascii="Verdana" w:hAnsi="Verdana" w:cs="Arial"/>
          <w:i/>
          <w:iCs/>
          <w:sz w:val="22"/>
          <w:szCs w:val="22"/>
          <w:lang w:val="en-GB"/>
        </w:rPr>
        <w:t xml:space="preserve">(sic) </w:t>
      </w:r>
      <w:r w:rsidRPr="003829F4">
        <w:rPr>
          <w:rFonts w:ascii="Verdana" w:hAnsi="Verdana" w:cs="Arial"/>
          <w:i/>
          <w:iCs/>
          <w:sz w:val="22"/>
          <w:szCs w:val="22"/>
          <w:lang w:val="en-GB"/>
        </w:rPr>
        <w:t xml:space="preserve">the defendant never worked </w:t>
      </w:r>
      <w:r w:rsidR="00FB55A0" w:rsidRPr="003829F4">
        <w:rPr>
          <w:rFonts w:ascii="Verdana" w:hAnsi="Verdana" w:cs="Arial"/>
          <w:i/>
          <w:iCs/>
          <w:sz w:val="22"/>
          <w:szCs w:val="22"/>
          <w:lang w:val="en-GB"/>
        </w:rPr>
        <w:t>in her life but enjoying everything the luxuries of life can provide.”</w:t>
      </w:r>
    </w:p>
    <w:p w14:paraId="40F0254F" w14:textId="0F8749A7" w:rsidR="002D1606" w:rsidRPr="003829F4" w:rsidRDefault="00FB55A0" w:rsidP="00FB55A0">
      <w:pPr>
        <w:pStyle w:val="Indent"/>
        <w:keepNext/>
        <w:widowControl w:val="0"/>
        <w:spacing w:after="360" w:line="480" w:lineRule="auto"/>
        <w:jc w:val="both"/>
        <w:rPr>
          <w:rFonts w:ascii="Verdana" w:hAnsi="Verdana" w:cs="Arial"/>
          <w:b/>
          <w:bCs/>
          <w:sz w:val="22"/>
          <w:szCs w:val="22"/>
          <w:lang w:val="en-GB"/>
        </w:rPr>
      </w:pPr>
      <w:r w:rsidRPr="003829F4">
        <w:rPr>
          <w:rFonts w:ascii="Verdana" w:hAnsi="Verdana" w:cs="Arial"/>
          <w:b/>
          <w:bCs/>
          <w:sz w:val="22"/>
          <w:szCs w:val="22"/>
          <w:lang w:val="en-GB"/>
        </w:rPr>
        <w:t>THE JOINT ESTATE</w:t>
      </w:r>
    </w:p>
    <w:p w14:paraId="77D04D8D" w14:textId="4CC28855" w:rsidR="002D1606"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[23]</w:t>
      </w:r>
      <w:r w:rsidRPr="003829F4">
        <w:rPr>
          <w:rFonts w:ascii="Verdana" w:hAnsi="Verdana" w:cs="Arial"/>
          <w:color w:val="000000" w:themeColor="text1"/>
          <w:sz w:val="22"/>
          <w:szCs w:val="22"/>
          <w:lang w:val="en-GB"/>
        </w:rPr>
        <w:tab/>
      </w:r>
      <w:r w:rsidR="00FB55A0" w:rsidRPr="003829F4">
        <w:rPr>
          <w:rFonts w:ascii="Verdana" w:hAnsi="Verdana" w:cs="Arial"/>
          <w:sz w:val="22"/>
          <w:szCs w:val="22"/>
          <w:lang w:val="en-GB"/>
        </w:rPr>
        <w:t xml:space="preserve">In his plea to the counterclaim, the respondent admits that the defendant is by law entitled to 50 % of the joint estate, which according to him </w:t>
      </w:r>
      <w:r w:rsidR="00FB55A0" w:rsidRPr="003829F4">
        <w:rPr>
          <w:rFonts w:ascii="Verdana" w:hAnsi="Verdana" w:cs="Arial"/>
          <w:i/>
          <w:iCs/>
          <w:sz w:val="22"/>
          <w:szCs w:val="22"/>
          <w:lang w:val="en-GB"/>
        </w:rPr>
        <w:t>“is worth millions of rands”</w:t>
      </w:r>
      <w:r w:rsidR="00FB55A0" w:rsidRPr="003829F4">
        <w:rPr>
          <w:rStyle w:val="FootnoteReference"/>
          <w:rFonts w:ascii="Verdana" w:hAnsi="Verdana" w:cs="Arial"/>
          <w:sz w:val="22"/>
          <w:szCs w:val="22"/>
          <w:lang w:val="en-GB"/>
        </w:rPr>
        <w:footnoteReference w:id="8"/>
      </w:r>
      <w:r w:rsidR="00FB55A0" w:rsidRPr="003829F4">
        <w:rPr>
          <w:rFonts w:ascii="Verdana" w:hAnsi="Verdana" w:cs="Arial"/>
          <w:i/>
          <w:iCs/>
          <w:sz w:val="22"/>
          <w:szCs w:val="22"/>
          <w:lang w:val="en-GB"/>
        </w:rPr>
        <w:t xml:space="preserve"> </w:t>
      </w:r>
      <w:r w:rsidR="00FB55A0" w:rsidRPr="003829F4">
        <w:rPr>
          <w:rFonts w:ascii="Verdana" w:hAnsi="Verdana" w:cs="Arial"/>
          <w:sz w:val="22"/>
          <w:szCs w:val="22"/>
          <w:lang w:val="en-GB"/>
        </w:rPr>
        <w:t>and consists of the following immovable properties: -</w:t>
      </w:r>
    </w:p>
    <w:p w14:paraId="35169027" w14:textId="4CEA1F60" w:rsidR="00FB55A0"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[23.1]</w:t>
      </w:r>
      <w:r w:rsidRPr="003829F4">
        <w:rPr>
          <w:rFonts w:ascii="Verdana" w:hAnsi="Verdana" w:cs="Arial"/>
          <w:sz w:val="22"/>
          <w:szCs w:val="22"/>
          <w:lang w:val="en-GB"/>
        </w:rPr>
        <w:tab/>
      </w:r>
      <w:r w:rsidR="00FB55A0" w:rsidRPr="003829F4">
        <w:rPr>
          <w:rFonts w:ascii="Verdana" w:hAnsi="Verdana" w:cs="Arial"/>
          <w:sz w:val="22"/>
          <w:szCs w:val="22"/>
          <w:lang w:val="en-GB"/>
        </w:rPr>
        <w:t>The former matrimonial home valued at approximately R20 million;</w:t>
      </w:r>
    </w:p>
    <w:p w14:paraId="322A501F" w14:textId="0AE6A239" w:rsidR="00FB55A0"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[23.2]</w:t>
      </w:r>
      <w:r w:rsidRPr="003829F4">
        <w:rPr>
          <w:rFonts w:ascii="Verdana" w:hAnsi="Verdana" w:cs="Arial"/>
          <w:sz w:val="22"/>
          <w:szCs w:val="22"/>
          <w:lang w:val="en-GB"/>
        </w:rPr>
        <w:tab/>
      </w:r>
      <w:r w:rsidR="00FB55A0" w:rsidRPr="003829F4">
        <w:rPr>
          <w:rFonts w:ascii="Verdana" w:hAnsi="Verdana" w:cs="Arial"/>
          <w:sz w:val="22"/>
          <w:szCs w:val="22"/>
          <w:lang w:val="en-GB"/>
        </w:rPr>
        <w:t xml:space="preserve">An immovable property situated in a golf estate valued at approximately R5 million; </w:t>
      </w:r>
    </w:p>
    <w:p w14:paraId="1850A500" w14:textId="7FEB8F55" w:rsidR="00FB55A0"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[23.3]</w:t>
      </w:r>
      <w:r w:rsidRPr="003829F4">
        <w:rPr>
          <w:rFonts w:ascii="Verdana" w:hAnsi="Verdana" w:cs="Arial"/>
          <w:sz w:val="22"/>
          <w:szCs w:val="22"/>
          <w:lang w:val="en-GB"/>
        </w:rPr>
        <w:tab/>
      </w:r>
      <w:r w:rsidR="00FB55A0" w:rsidRPr="003829F4">
        <w:rPr>
          <w:rFonts w:ascii="Verdana" w:hAnsi="Verdana" w:cs="Arial"/>
          <w:sz w:val="22"/>
          <w:szCs w:val="22"/>
          <w:lang w:val="en-GB"/>
        </w:rPr>
        <w:t xml:space="preserve">A property situated on a coastal resort valued at approximately R12 million; </w:t>
      </w:r>
    </w:p>
    <w:p w14:paraId="3193AB4A" w14:textId="0CFDCE9A" w:rsidR="00FB55A0"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[23.4]</w:t>
      </w:r>
      <w:r w:rsidRPr="003829F4">
        <w:rPr>
          <w:rFonts w:ascii="Verdana" w:hAnsi="Verdana" w:cs="Arial"/>
          <w:sz w:val="22"/>
          <w:szCs w:val="22"/>
          <w:lang w:val="en-GB"/>
        </w:rPr>
        <w:tab/>
      </w:r>
      <w:r w:rsidR="00FB55A0" w:rsidRPr="003829F4">
        <w:rPr>
          <w:rFonts w:ascii="Verdana" w:hAnsi="Verdana" w:cs="Arial"/>
          <w:sz w:val="22"/>
          <w:szCs w:val="22"/>
          <w:lang w:val="en-GB"/>
        </w:rPr>
        <w:t xml:space="preserve">Vacant land situated at a golf estate which was purchased for a value of R2 million; </w:t>
      </w:r>
    </w:p>
    <w:p w14:paraId="07BEF460" w14:textId="73227C0C" w:rsidR="00FB55A0"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[23.5]</w:t>
      </w:r>
      <w:r w:rsidRPr="003829F4">
        <w:rPr>
          <w:rFonts w:ascii="Verdana" w:hAnsi="Verdana" w:cs="Arial"/>
          <w:sz w:val="22"/>
          <w:szCs w:val="22"/>
          <w:lang w:val="en-GB"/>
        </w:rPr>
        <w:tab/>
      </w:r>
      <w:r w:rsidR="00FB55A0" w:rsidRPr="003829F4">
        <w:rPr>
          <w:rFonts w:ascii="Verdana" w:hAnsi="Verdana" w:cs="Arial"/>
          <w:sz w:val="22"/>
          <w:szCs w:val="22"/>
          <w:lang w:val="en-GB"/>
        </w:rPr>
        <w:t xml:space="preserve">Vacant land in a country estate valued at R500 000.00; </w:t>
      </w:r>
    </w:p>
    <w:p w14:paraId="0E381AEA" w14:textId="41444547" w:rsidR="00FB55A0"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[23.6]</w:t>
      </w:r>
      <w:r w:rsidRPr="003829F4">
        <w:rPr>
          <w:rFonts w:ascii="Verdana" w:hAnsi="Verdana" w:cs="Arial"/>
          <w:sz w:val="22"/>
          <w:szCs w:val="22"/>
          <w:lang w:val="en-GB"/>
        </w:rPr>
        <w:tab/>
      </w:r>
      <w:r w:rsidR="00FB55A0" w:rsidRPr="003829F4">
        <w:rPr>
          <w:rFonts w:ascii="Verdana" w:hAnsi="Verdana" w:cs="Arial"/>
          <w:sz w:val="22"/>
          <w:szCs w:val="22"/>
          <w:lang w:val="en-GB"/>
        </w:rPr>
        <w:t xml:space="preserve">Vacant land in the Eastern Cape Province valued at R500 000.00; </w:t>
      </w:r>
    </w:p>
    <w:p w14:paraId="6A0D169C" w14:textId="6D49BF7E" w:rsidR="00FB55A0"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[23.7]</w:t>
      </w:r>
      <w:r w:rsidRPr="003829F4">
        <w:rPr>
          <w:rFonts w:ascii="Verdana" w:hAnsi="Verdana" w:cs="Arial"/>
          <w:sz w:val="22"/>
          <w:szCs w:val="22"/>
          <w:lang w:val="en-GB"/>
        </w:rPr>
        <w:tab/>
      </w:r>
      <w:r w:rsidR="00FB55A0" w:rsidRPr="003829F4">
        <w:rPr>
          <w:rFonts w:ascii="Verdana" w:hAnsi="Verdana" w:cs="Arial"/>
          <w:sz w:val="22"/>
          <w:szCs w:val="22"/>
          <w:lang w:val="en-GB"/>
        </w:rPr>
        <w:t xml:space="preserve">An immovable property situated in an estate valued at R2 million. </w:t>
      </w:r>
    </w:p>
    <w:p w14:paraId="5BC398CC" w14:textId="1CB52B45" w:rsidR="00325C04"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[24]</w:t>
      </w:r>
      <w:r w:rsidRPr="003829F4">
        <w:rPr>
          <w:rFonts w:ascii="Verdana" w:hAnsi="Verdana" w:cs="Arial"/>
          <w:color w:val="000000" w:themeColor="text1"/>
          <w:sz w:val="22"/>
          <w:szCs w:val="22"/>
          <w:lang w:val="en-GB"/>
        </w:rPr>
        <w:tab/>
      </w:r>
      <w:r w:rsidR="00FB55A0" w:rsidRPr="003829F4">
        <w:rPr>
          <w:rFonts w:ascii="Verdana" w:hAnsi="Verdana" w:cs="Arial"/>
          <w:sz w:val="22"/>
          <w:szCs w:val="22"/>
          <w:lang w:val="en-GB"/>
        </w:rPr>
        <w:t xml:space="preserve">Of all the properties, only the property situate at the coastal resort is bonded with an outstanding balance of R6 million and which is serviced by the respondent with monthly payments of R90 000.00 per month. </w:t>
      </w:r>
    </w:p>
    <w:p w14:paraId="5DB1FB45" w14:textId="040A5D97" w:rsidR="00131E8A"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[25]</w:t>
      </w:r>
      <w:r w:rsidRPr="003829F4">
        <w:rPr>
          <w:rFonts w:ascii="Verdana" w:hAnsi="Verdana" w:cs="Arial"/>
          <w:color w:val="000000" w:themeColor="text1"/>
          <w:sz w:val="22"/>
          <w:szCs w:val="22"/>
          <w:lang w:val="en-GB"/>
        </w:rPr>
        <w:tab/>
      </w:r>
      <w:r w:rsidR="00131E8A" w:rsidRPr="003829F4">
        <w:rPr>
          <w:rFonts w:ascii="Verdana" w:hAnsi="Verdana" w:cs="Arial"/>
          <w:sz w:val="22"/>
          <w:szCs w:val="22"/>
          <w:lang w:val="en-GB"/>
        </w:rPr>
        <w:t xml:space="preserve">Sworn valuators have been appointed to value 9 immovable properties. The respondent has tendered to pay for the valuations. </w:t>
      </w:r>
    </w:p>
    <w:p w14:paraId="11F5A560" w14:textId="0B13F5D9" w:rsidR="00D07D26" w:rsidRPr="003829F4" w:rsidRDefault="00D07D26" w:rsidP="00D07D26">
      <w:pPr>
        <w:pStyle w:val="Indent"/>
        <w:widowControl w:val="0"/>
        <w:spacing w:after="360" w:line="480" w:lineRule="auto"/>
        <w:jc w:val="both"/>
        <w:rPr>
          <w:rFonts w:ascii="Verdana" w:hAnsi="Verdana" w:cs="Arial"/>
          <w:b/>
          <w:bCs/>
          <w:sz w:val="22"/>
          <w:szCs w:val="22"/>
          <w:lang w:val="en-GB"/>
        </w:rPr>
      </w:pPr>
      <w:r w:rsidRPr="003829F4">
        <w:rPr>
          <w:rFonts w:ascii="Verdana" w:hAnsi="Verdana" w:cs="Arial"/>
          <w:b/>
          <w:bCs/>
          <w:sz w:val="22"/>
          <w:szCs w:val="22"/>
          <w:lang w:val="en-GB"/>
        </w:rPr>
        <w:t>THE LAW ON SPOUSAL MAINTENANCE</w:t>
      </w:r>
    </w:p>
    <w:p w14:paraId="3A48DEE1" w14:textId="6F64AB3E" w:rsidR="00D07D26"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[26]</w:t>
      </w:r>
      <w:r w:rsidRPr="003829F4">
        <w:rPr>
          <w:rFonts w:ascii="Verdana" w:hAnsi="Verdana" w:cs="Arial"/>
          <w:color w:val="000000" w:themeColor="text1"/>
          <w:sz w:val="22"/>
          <w:szCs w:val="22"/>
          <w:lang w:val="en-GB"/>
        </w:rPr>
        <w:tab/>
      </w:r>
      <w:r w:rsidR="00FA7C8E" w:rsidRPr="003829F4">
        <w:rPr>
          <w:rFonts w:ascii="Verdana" w:hAnsi="Verdana" w:cs="Arial"/>
          <w:sz w:val="22"/>
          <w:szCs w:val="22"/>
          <w:lang w:val="en-GB"/>
        </w:rPr>
        <w:t>The principle considerations when awarding spousal maintenance is trite.</w:t>
      </w:r>
      <w:r w:rsidR="00FA7C8E" w:rsidRPr="003829F4">
        <w:rPr>
          <w:rStyle w:val="FootnoteReference"/>
          <w:rFonts w:ascii="Verdana" w:hAnsi="Verdana" w:cs="Arial"/>
          <w:sz w:val="22"/>
          <w:szCs w:val="22"/>
          <w:lang w:val="en-GB"/>
        </w:rPr>
        <w:footnoteReference w:id="9"/>
      </w:r>
    </w:p>
    <w:p w14:paraId="0A08604E" w14:textId="048B4F0F" w:rsidR="00D301A4" w:rsidRPr="003829F4" w:rsidRDefault="00AF1307" w:rsidP="00AF1307">
      <w:pPr>
        <w:pStyle w:val="Indent"/>
        <w:widowControl w:val="0"/>
        <w:spacing w:after="360" w:line="480" w:lineRule="auto"/>
        <w:ind w:left="720" w:hanging="720"/>
        <w:jc w:val="both"/>
        <w:rPr>
          <w:rFonts w:ascii="Verdana" w:hAnsi="Verdana" w:cs="Arial"/>
          <w:color w:val="000000" w:themeColor="text1"/>
          <w:sz w:val="22"/>
          <w:szCs w:val="22"/>
          <w:lang w:val="en-GB"/>
        </w:rPr>
      </w:pPr>
      <w:r w:rsidRPr="003829F4">
        <w:rPr>
          <w:rFonts w:ascii="Verdana" w:hAnsi="Verdana" w:cs="Arial"/>
          <w:color w:val="000000" w:themeColor="text1"/>
          <w:sz w:val="22"/>
          <w:szCs w:val="22"/>
          <w:lang w:val="en-GB"/>
        </w:rPr>
        <w:t>[27]</w:t>
      </w:r>
      <w:r w:rsidRPr="003829F4">
        <w:rPr>
          <w:rFonts w:ascii="Verdana" w:hAnsi="Verdana" w:cs="Arial"/>
          <w:color w:val="000000" w:themeColor="text1"/>
          <w:sz w:val="22"/>
          <w:szCs w:val="22"/>
          <w:lang w:val="en-GB"/>
        </w:rPr>
        <w:tab/>
      </w:r>
      <w:r w:rsidR="00FA7C8E" w:rsidRPr="003829F4">
        <w:rPr>
          <w:rFonts w:ascii="Verdana" w:hAnsi="Verdana" w:cs="Arial"/>
          <w:color w:val="000000" w:themeColor="text1"/>
          <w:sz w:val="22"/>
          <w:szCs w:val="22"/>
          <w:lang w:val="en-GB"/>
        </w:rPr>
        <w:t xml:space="preserve">In </w:t>
      </w:r>
      <w:r w:rsidR="00FA7C8E" w:rsidRPr="003829F4">
        <w:rPr>
          <w:rFonts w:ascii="Verdana" w:hAnsi="Verdana" w:cs="Arial"/>
          <w:i/>
          <w:iCs/>
          <w:color w:val="000000" w:themeColor="text1"/>
          <w:sz w:val="22"/>
          <w:szCs w:val="22"/>
          <w:lang w:val="en-GB"/>
        </w:rPr>
        <w:t>Grasso</w:t>
      </w:r>
      <w:r w:rsidR="00FA7C8E" w:rsidRPr="003829F4">
        <w:rPr>
          <w:rStyle w:val="FootnoteReference"/>
          <w:rFonts w:ascii="Verdana" w:hAnsi="Verdana" w:cs="Arial"/>
          <w:i/>
          <w:iCs/>
          <w:color w:val="000000" w:themeColor="text1"/>
          <w:sz w:val="22"/>
          <w:szCs w:val="22"/>
          <w:lang w:val="en-GB"/>
        </w:rPr>
        <w:footnoteReference w:id="10"/>
      </w:r>
      <w:r w:rsidR="00FA7C8E" w:rsidRPr="003829F4">
        <w:rPr>
          <w:rFonts w:ascii="Verdana" w:hAnsi="Verdana" w:cs="Arial"/>
          <w:i/>
          <w:iCs/>
          <w:color w:val="000000" w:themeColor="text1"/>
          <w:sz w:val="22"/>
          <w:szCs w:val="22"/>
          <w:lang w:val="en-GB"/>
        </w:rPr>
        <w:t xml:space="preserve"> </w:t>
      </w:r>
      <w:r w:rsidR="00FA7C8E" w:rsidRPr="003829F4">
        <w:rPr>
          <w:rFonts w:ascii="Verdana" w:hAnsi="Verdana" w:cs="Arial"/>
          <w:color w:val="000000" w:themeColor="text1"/>
          <w:sz w:val="22"/>
          <w:szCs w:val="22"/>
          <w:lang w:val="en-GB"/>
        </w:rPr>
        <w:t xml:space="preserve">the court found </w:t>
      </w:r>
      <w:r w:rsidR="00FA7C8E" w:rsidRPr="003829F4">
        <w:rPr>
          <w:rFonts w:ascii="Verdana" w:hAnsi="Verdana" w:cs="Arial"/>
          <w:color w:val="000000" w:themeColor="text1"/>
          <w:sz w:val="22"/>
          <w:szCs w:val="22"/>
          <w:shd w:val="clear" w:color="auto" w:fill="FFFFFF"/>
          <w:lang w:val="en-GB"/>
        </w:rPr>
        <w:t>w</w:t>
      </w:r>
      <w:r w:rsidR="00FA7C8E" w:rsidRPr="003829F4">
        <w:rPr>
          <w:rFonts w:ascii="Verdana" w:hAnsi="Verdana" w:cs="Arial"/>
          <w:color w:val="000000" w:themeColor="text1"/>
          <w:sz w:val="22"/>
          <w:szCs w:val="22"/>
          <w:shd w:val="clear" w:color="auto" w:fill="FFFFFF"/>
        </w:rPr>
        <w:t>here money is no </w:t>
      </w:r>
      <w:r w:rsidR="00FA7C8E" w:rsidRPr="003829F4">
        <w:rPr>
          <w:rFonts w:ascii="Verdana" w:hAnsi="Verdana" w:cs="Arial"/>
          <w:color w:val="000000" w:themeColor="text1"/>
          <w:sz w:val="22"/>
          <w:szCs w:val="22"/>
        </w:rPr>
        <w:t>object</w:t>
      </w:r>
      <w:r w:rsidR="00FA7C8E" w:rsidRPr="003829F4">
        <w:rPr>
          <w:rFonts w:ascii="Verdana" w:hAnsi="Verdana" w:cs="Arial"/>
          <w:color w:val="000000" w:themeColor="text1"/>
          <w:sz w:val="22"/>
          <w:szCs w:val="22"/>
          <w:shd w:val="clear" w:color="auto" w:fill="FFFFFF"/>
        </w:rPr>
        <w:t xml:space="preserve">, there is no reason why a wife, on becoming an ex-wife, should not, in appropriate circumstances, continue to enjoy the same standard of living and the same good things in life she did whilst the marriage subsisted. In my view the principle even more so applies </w:t>
      </w:r>
      <w:r w:rsidR="00FA7C8E" w:rsidRPr="003829F4">
        <w:rPr>
          <w:rFonts w:ascii="Verdana" w:hAnsi="Verdana" w:cs="Arial"/>
          <w:i/>
          <w:iCs/>
          <w:color w:val="000000" w:themeColor="text1"/>
          <w:sz w:val="22"/>
          <w:szCs w:val="22"/>
          <w:shd w:val="clear" w:color="auto" w:fill="FFFFFF"/>
        </w:rPr>
        <w:t xml:space="preserve">pendente lite </w:t>
      </w:r>
      <w:r w:rsidR="00FA7C8E" w:rsidRPr="003829F4">
        <w:rPr>
          <w:rFonts w:ascii="Verdana" w:hAnsi="Verdana" w:cs="Arial"/>
          <w:color w:val="000000" w:themeColor="text1"/>
          <w:sz w:val="22"/>
          <w:szCs w:val="22"/>
          <w:shd w:val="clear" w:color="auto" w:fill="FFFFFF"/>
        </w:rPr>
        <w:t xml:space="preserve">where the Court’s main concern is to maintain the </w:t>
      </w:r>
      <w:r w:rsidR="00FA7C8E" w:rsidRPr="003829F4">
        <w:rPr>
          <w:rFonts w:ascii="Verdana" w:hAnsi="Verdana" w:cs="Arial"/>
          <w:i/>
          <w:iCs/>
          <w:color w:val="000000" w:themeColor="text1"/>
          <w:sz w:val="22"/>
          <w:szCs w:val="22"/>
          <w:shd w:val="clear" w:color="auto" w:fill="FFFFFF"/>
        </w:rPr>
        <w:t>status quo</w:t>
      </w:r>
      <w:r w:rsidR="001935E3" w:rsidRPr="003829F4">
        <w:rPr>
          <w:rFonts w:ascii="Verdana" w:hAnsi="Verdana" w:cs="Arial"/>
          <w:color w:val="000000" w:themeColor="text1"/>
          <w:sz w:val="22"/>
          <w:szCs w:val="22"/>
          <w:shd w:val="clear" w:color="auto" w:fill="FFFFFF"/>
        </w:rPr>
        <w:t xml:space="preserve"> as far as is practicably and financially possible.</w:t>
      </w:r>
      <w:r w:rsidR="00FA7C8E" w:rsidRPr="003829F4">
        <w:rPr>
          <w:rFonts w:ascii="Verdana" w:hAnsi="Verdana" w:cs="Arial"/>
          <w:color w:val="000000" w:themeColor="text1"/>
          <w:sz w:val="22"/>
          <w:szCs w:val="22"/>
          <w:shd w:val="clear" w:color="auto" w:fill="FFFFFF"/>
        </w:rPr>
        <w:t> </w:t>
      </w:r>
    </w:p>
    <w:p w14:paraId="1DC850BA" w14:textId="350B10AB" w:rsidR="001935E3" w:rsidRPr="003829F4" w:rsidRDefault="00AF1307" w:rsidP="00AF1307">
      <w:pPr>
        <w:pStyle w:val="Indent"/>
        <w:widowControl w:val="0"/>
        <w:spacing w:after="360" w:line="480" w:lineRule="auto"/>
        <w:ind w:left="720" w:hanging="720"/>
        <w:jc w:val="both"/>
        <w:rPr>
          <w:rFonts w:ascii="Verdana" w:hAnsi="Verdana" w:cs="Arial"/>
          <w:color w:val="000000" w:themeColor="text1"/>
          <w:sz w:val="22"/>
          <w:szCs w:val="22"/>
          <w:lang w:val="en-GB"/>
        </w:rPr>
      </w:pPr>
      <w:r w:rsidRPr="003829F4">
        <w:rPr>
          <w:rFonts w:ascii="Verdana" w:hAnsi="Verdana" w:cs="Arial"/>
          <w:color w:val="000000" w:themeColor="text1"/>
          <w:sz w:val="22"/>
          <w:szCs w:val="22"/>
          <w:lang w:val="en-GB"/>
        </w:rPr>
        <w:t>[28]</w:t>
      </w:r>
      <w:r w:rsidRPr="003829F4">
        <w:rPr>
          <w:rFonts w:ascii="Verdana" w:hAnsi="Verdana" w:cs="Arial"/>
          <w:color w:val="000000" w:themeColor="text1"/>
          <w:sz w:val="22"/>
          <w:szCs w:val="22"/>
          <w:lang w:val="en-GB"/>
        </w:rPr>
        <w:tab/>
      </w:r>
      <w:r w:rsidR="001935E3" w:rsidRPr="003829F4">
        <w:rPr>
          <w:rFonts w:ascii="Verdana" w:hAnsi="Verdana" w:cs="Arial"/>
          <w:color w:val="000000" w:themeColor="text1"/>
          <w:sz w:val="22"/>
          <w:szCs w:val="22"/>
          <w:lang w:val="en-GB"/>
        </w:rPr>
        <w:t>It is however equally important to remember that a spouse claiming maintenance must establish a need.</w:t>
      </w:r>
      <w:r w:rsidR="001935E3" w:rsidRPr="003829F4">
        <w:rPr>
          <w:rStyle w:val="FootnoteReference"/>
          <w:rFonts w:ascii="Verdana" w:hAnsi="Verdana" w:cs="Arial"/>
          <w:color w:val="000000" w:themeColor="text1"/>
          <w:sz w:val="22"/>
          <w:szCs w:val="22"/>
          <w:lang w:val="en-GB"/>
        </w:rPr>
        <w:footnoteReference w:id="11"/>
      </w:r>
      <w:r w:rsidR="001935E3" w:rsidRPr="003829F4">
        <w:rPr>
          <w:rFonts w:ascii="Verdana" w:hAnsi="Verdana" w:cs="Arial"/>
          <w:color w:val="000000" w:themeColor="text1"/>
          <w:sz w:val="22"/>
          <w:szCs w:val="22"/>
          <w:lang w:val="en-GB"/>
        </w:rPr>
        <w:t xml:space="preserve"> </w:t>
      </w:r>
      <w:r w:rsidR="001935E3" w:rsidRPr="003829F4">
        <w:rPr>
          <w:rFonts w:ascii="Verdana" w:hAnsi="Verdana"/>
          <w:color w:val="000000" w:themeColor="text1"/>
          <w:sz w:val="22"/>
          <w:szCs w:val="22"/>
          <w:shd w:val="clear" w:color="auto" w:fill="FFFFFF"/>
        </w:rPr>
        <w:t>A claim supported by reasonable and moderate details carries more weight than one which includes extravagant or extortionate demands. Similarly, more weight will be attached to the affidavit of a respondent who evinces a willingness to implement his lawful obligations than to one which is obviously, albeit on paper, seeking to evade them.</w:t>
      </w:r>
      <w:r w:rsidR="001935E3" w:rsidRPr="003829F4">
        <w:rPr>
          <w:rStyle w:val="FootnoteReference"/>
          <w:rFonts w:ascii="Verdana" w:hAnsi="Verdana"/>
          <w:color w:val="000000" w:themeColor="text1"/>
          <w:sz w:val="22"/>
          <w:szCs w:val="22"/>
          <w:shd w:val="clear" w:color="auto" w:fill="FFFFFF"/>
        </w:rPr>
        <w:footnoteReference w:id="12"/>
      </w:r>
    </w:p>
    <w:p w14:paraId="6BC78FF8" w14:textId="6EC92130" w:rsidR="00F770C8" w:rsidRPr="003829F4" w:rsidRDefault="00AF1307" w:rsidP="00AF1307">
      <w:pPr>
        <w:pStyle w:val="Indent"/>
        <w:widowControl w:val="0"/>
        <w:spacing w:after="360" w:line="480" w:lineRule="auto"/>
        <w:ind w:left="720" w:hanging="720"/>
        <w:jc w:val="both"/>
        <w:rPr>
          <w:rFonts w:ascii="Verdana" w:hAnsi="Verdana" w:cs="Arial"/>
          <w:color w:val="000000" w:themeColor="text1"/>
          <w:sz w:val="22"/>
          <w:szCs w:val="22"/>
          <w:lang w:val="en-GB"/>
        </w:rPr>
      </w:pPr>
      <w:r w:rsidRPr="003829F4">
        <w:rPr>
          <w:rFonts w:ascii="Verdana" w:hAnsi="Verdana" w:cs="Arial"/>
          <w:color w:val="000000" w:themeColor="text1"/>
          <w:sz w:val="22"/>
          <w:szCs w:val="22"/>
          <w:lang w:val="en-GB"/>
        </w:rPr>
        <w:t>[29]</w:t>
      </w:r>
      <w:r w:rsidRPr="003829F4">
        <w:rPr>
          <w:rFonts w:ascii="Verdana" w:hAnsi="Verdana" w:cs="Arial"/>
          <w:color w:val="000000" w:themeColor="text1"/>
          <w:sz w:val="22"/>
          <w:szCs w:val="22"/>
          <w:lang w:val="en-GB"/>
        </w:rPr>
        <w:tab/>
      </w:r>
      <w:r w:rsidR="001935E3" w:rsidRPr="003829F4">
        <w:rPr>
          <w:rFonts w:ascii="Verdana" w:hAnsi="Verdana" w:cs="Arial"/>
          <w:sz w:val="22"/>
          <w:szCs w:val="22"/>
          <w:lang w:val="en-GB"/>
        </w:rPr>
        <w:t>The respondent did not attack the reasonableness or need of the monthly expenses scheduled by the applicant in any significant way. He took issue with the maintenance that the applicant pays towards her elderly mother</w:t>
      </w:r>
      <w:r w:rsidR="00177273" w:rsidRPr="003829F4">
        <w:rPr>
          <w:rFonts w:ascii="Verdana" w:hAnsi="Verdana" w:cs="Arial"/>
          <w:sz w:val="22"/>
          <w:szCs w:val="22"/>
          <w:lang w:val="en-GB"/>
        </w:rPr>
        <w:t xml:space="preserve"> and the school transport for the niece</w:t>
      </w:r>
      <w:r w:rsidR="00D717E3" w:rsidRPr="003829F4">
        <w:rPr>
          <w:rFonts w:ascii="Verdana" w:hAnsi="Verdana" w:cs="Arial"/>
          <w:sz w:val="22"/>
          <w:szCs w:val="22"/>
          <w:lang w:val="en-GB"/>
        </w:rPr>
        <w:t xml:space="preserve">, but could not refute the </w:t>
      </w:r>
      <w:r w:rsidR="001543B0" w:rsidRPr="003829F4">
        <w:rPr>
          <w:rFonts w:ascii="Verdana" w:hAnsi="Verdana" w:cs="Arial"/>
          <w:sz w:val="22"/>
          <w:szCs w:val="22"/>
          <w:lang w:val="en-GB"/>
        </w:rPr>
        <w:t>factual reality</w:t>
      </w:r>
      <w:r w:rsidR="00D717E3" w:rsidRPr="003829F4">
        <w:rPr>
          <w:rFonts w:ascii="Verdana" w:hAnsi="Verdana" w:cs="Arial"/>
          <w:sz w:val="22"/>
          <w:szCs w:val="22"/>
          <w:lang w:val="en-GB"/>
        </w:rPr>
        <w:t xml:space="preserve"> that t</w:t>
      </w:r>
      <w:r w:rsidR="00177273" w:rsidRPr="003829F4">
        <w:rPr>
          <w:rFonts w:ascii="Verdana" w:hAnsi="Verdana" w:cs="Arial"/>
          <w:sz w:val="22"/>
          <w:szCs w:val="22"/>
          <w:lang w:val="en-GB"/>
        </w:rPr>
        <w:t>hese</w:t>
      </w:r>
      <w:r w:rsidR="00D717E3" w:rsidRPr="003829F4">
        <w:rPr>
          <w:rFonts w:ascii="Verdana" w:hAnsi="Verdana" w:cs="Arial"/>
          <w:sz w:val="22"/>
          <w:szCs w:val="22"/>
          <w:lang w:val="en-GB"/>
        </w:rPr>
        <w:t xml:space="preserve"> w</w:t>
      </w:r>
      <w:r w:rsidR="00177273" w:rsidRPr="003829F4">
        <w:rPr>
          <w:rFonts w:ascii="Verdana" w:hAnsi="Verdana" w:cs="Arial"/>
          <w:sz w:val="22"/>
          <w:szCs w:val="22"/>
          <w:lang w:val="en-GB"/>
        </w:rPr>
        <w:t>ere expenses</w:t>
      </w:r>
      <w:r w:rsidR="00D717E3" w:rsidRPr="003829F4">
        <w:rPr>
          <w:rFonts w:ascii="Verdana" w:hAnsi="Verdana" w:cs="Arial"/>
          <w:sz w:val="22"/>
          <w:szCs w:val="22"/>
          <w:lang w:val="en-GB"/>
        </w:rPr>
        <w:t xml:space="preserve"> that w</w:t>
      </w:r>
      <w:r w:rsidR="00177273" w:rsidRPr="003829F4">
        <w:rPr>
          <w:rFonts w:ascii="Verdana" w:hAnsi="Verdana" w:cs="Arial"/>
          <w:sz w:val="22"/>
          <w:szCs w:val="22"/>
          <w:lang w:val="en-GB"/>
        </w:rPr>
        <w:t>ere</w:t>
      </w:r>
      <w:r w:rsidR="00D717E3" w:rsidRPr="003829F4">
        <w:rPr>
          <w:rFonts w:ascii="Verdana" w:hAnsi="Verdana" w:cs="Arial"/>
          <w:sz w:val="22"/>
          <w:szCs w:val="22"/>
          <w:lang w:val="en-GB"/>
        </w:rPr>
        <w:t xml:space="preserve"> always incurred and with his blessing.</w:t>
      </w:r>
      <w:r w:rsidR="001543B0" w:rsidRPr="003829F4">
        <w:rPr>
          <w:rFonts w:ascii="Verdana" w:hAnsi="Verdana" w:cs="Arial"/>
          <w:sz w:val="22"/>
          <w:szCs w:val="22"/>
          <w:lang w:val="en-GB"/>
        </w:rPr>
        <w:t xml:space="preserve"> The respondent’s argument was rather that he contested the principle that the applicant had a duty to maintain her mother. </w:t>
      </w:r>
      <w:r w:rsidR="001543B0" w:rsidRPr="003829F4">
        <w:rPr>
          <w:rFonts w:ascii="Verdana" w:hAnsi="Verdana" w:cs="Arial"/>
          <w:color w:val="000000" w:themeColor="text1"/>
          <w:sz w:val="22"/>
          <w:szCs w:val="22"/>
          <w:shd w:val="clear" w:color="auto" w:fill="FFFFFF"/>
        </w:rPr>
        <w:t>The basis of a child’s duty to support parents is the sense of dutifulness or filial piety</w:t>
      </w:r>
      <w:r w:rsidR="00D07D9E" w:rsidRPr="003829F4">
        <w:rPr>
          <w:rFonts w:ascii="Verdana" w:hAnsi="Verdana" w:cs="Arial"/>
          <w:color w:val="000000" w:themeColor="text1"/>
          <w:sz w:val="22"/>
          <w:szCs w:val="22"/>
          <w:shd w:val="clear" w:color="auto" w:fill="FFFFFF"/>
        </w:rPr>
        <w:t xml:space="preserve">. </w:t>
      </w:r>
      <w:r w:rsidR="001543B0" w:rsidRPr="003829F4">
        <w:rPr>
          <w:rFonts w:ascii="Verdana" w:hAnsi="Verdana" w:cs="Arial"/>
          <w:color w:val="000000" w:themeColor="text1"/>
          <w:sz w:val="22"/>
          <w:szCs w:val="22"/>
          <w:shd w:val="clear" w:color="auto" w:fill="FFFFFF"/>
        </w:rPr>
        <w:t>The principle is certainly not a foreign concept in our Court</w:t>
      </w:r>
      <w:r w:rsidR="00D07D9E">
        <w:rPr>
          <w:rFonts w:ascii="Verdana" w:hAnsi="Verdana" w:cs="Arial"/>
          <w:color w:val="000000" w:themeColor="text1"/>
          <w:sz w:val="22"/>
          <w:szCs w:val="22"/>
          <w:shd w:val="clear" w:color="auto" w:fill="FFFFFF"/>
        </w:rPr>
        <w:t>s</w:t>
      </w:r>
      <w:r w:rsidR="001543B0" w:rsidRPr="003829F4">
        <w:rPr>
          <w:rFonts w:ascii="Verdana" w:hAnsi="Verdana" w:cs="Arial"/>
          <w:color w:val="000000" w:themeColor="text1"/>
          <w:sz w:val="22"/>
          <w:szCs w:val="22"/>
          <w:shd w:val="clear" w:color="auto" w:fill="FFFFFF"/>
        </w:rPr>
        <w:t xml:space="preserve"> either. The Supreme Court of Appeal pronounced on th</w:t>
      </w:r>
      <w:r w:rsidR="00D07D9E">
        <w:rPr>
          <w:rFonts w:ascii="Verdana" w:hAnsi="Verdana" w:cs="Arial"/>
          <w:color w:val="000000" w:themeColor="text1"/>
          <w:sz w:val="22"/>
          <w:szCs w:val="22"/>
          <w:shd w:val="clear" w:color="auto" w:fill="FFFFFF"/>
        </w:rPr>
        <w:t>e</w:t>
      </w:r>
      <w:r w:rsidR="001543B0" w:rsidRPr="003829F4">
        <w:rPr>
          <w:rFonts w:ascii="Verdana" w:hAnsi="Verdana" w:cs="Arial"/>
          <w:color w:val="000000" w:themeColor="text1"/>
          <w:sz w:val="22"/>
          <w:szCs w:val="22"/>
          <w:shd w:val="clear" w:color="auto" w:fill="FFFFFF"/>
        </w:rPr>
        <w:t xml:space="preserve"> existence of such duty </w:t>
      </w:r>
      <w:r w:rsidR="00D07D9E" w:rsidRPr="003829F4">
        <w:rPr>
          <w:rFonts w:ascii="Verdana" w:hAnsi="Verdana" w:cs="Arial"/>
          <w:color w:val="000000" w:themeColor="text1"/>
          <w:sz w:val="22"/>
          <w:szCs w:val="22"/>
          <w:shd w:val="clear" w:color="auto" w:fill="FFFFFF"/>
        </w:rPr>
        <w:t>more</w:t>
      </w:r>
      <w:r w:rsidR="001543B0" w:rsidRPr="003829F4">
        <w:rPr>
          <w:rFonts w:ascii="Verdana" w:hAnsi="Verdana" w:cs="Arial"/>
          <w:color w:val="000000" w:themeColor="text1"/>
          <w:sz w:val="22"/>
          <w:szCs w:val="22"/>
          <w:shd w:val="clear" w:color="auto" w:fill="FFFFFF"/>
        </w:rPr>
        <w:t xml:space="preserve"> than a half-century ago.</w:t>
      </w:r>
      <w:r w:rsidR="001543B0" w:rsidRPr="003829F4">
        <w:rPr>
          <w:rStyle w:val="FootnoteReference"/>
          <w:rFonts w:ascii="Verdana" w:hAnsi="Verdana" w:cs="Arial"/>
          <w:color w:val="000000" w:themeColor="text1"/>
          <w:sz w:val="22"/>
          <w:szCs w:val="22"/>
          <w:shd w:val="clear" w:color="auto" w:fill="FFFFFF"/>
        </w:rPr>
        <w:footnoteReference w:id="13"/>
      </w:r>
      <w:r w:rsidR="00C70CCB" w:rsidRPr="003829F4">
        <w:rPr>
          <w:rFonts w:ascii="Verdana" w:hAnsi="Verdana" w:cs="Arial"/>
          <w:color w:val="000000" w:themeColor="text1"/>
          <w:sz w:val="22"/>
          <w:szCs w:val="22"/>
          <w:shd w:val="clear" w:color="auto" w:fill="FFFFFF"/>
        </w:rPr>
        <w:t xml:space="preserve"> The respondent’s contention is accordingly of no moment.</w:t>
      </w:r>
    </w:p>
    <w:p w14:paraId="1D6721D9" w14:textId="750C2A8C" w:rsidR="00F770C8"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[30]</w:t>
      </w:r>
      <w:r w:rsidRPr="003829F4">
        <w:rPr>
          <w:rFonts w:ascii="Verdana" w:hAnsi="Verdana" w:cs="Arial"/>
          <w:color w:val="000000" w:themeColor="text1"/>
          <w:sz w:val="22"/>
          <w:szCs w:val="22"/>
          <w:lang w:val="en-GB"/>
        </w:rPr>
        <w:tab/>
      </w:r>
      <w:r w:rsidR="00C70CCB" w:rsidRPr="003829F4">
        <w:rPr>
          <w:rFonts w:ascii="Verdana" w:hAnsi="Verdana" w:cs="Arial"/>
          <w:sz w:val="22"/>
          <w:szCs w:val="22"/>
          <w:lang w:val="en-GB"/>
        </w:rPr>
        <w:t xml:space="preserve">Notably, the respondent asserts that R 50,000.00 per month is a sufficient amount of maintenance for the applicant, but he </w:t>
      </w:r>
      <w:r w:rsidR="000E2D1E" w:rsidRPr="003829F4">
        <w:rPr>
          <w:rFonts w:ascii="Verdana" w:hAnsi="Verdana" w:cs="Arial"/>
          <w:sz w:val="22"/>
          <w:szCs w:val="22"/>
          <w:lang w:val="en-GB"/>
        </w:rPr>
        <w:t>was unable to state what exactly her monthly maintenance needs are.  He also argued that the applicant’s derives a fair amount of income from the rental holiday properties and has access to an amount in her Flexi Fixed Deposit.</w:t>
      </w:r>
    </w:p>
    <w:p w14:paraId="632A69B1" w14:textId="5BE4D6AA" w:rsidR="000E2D1E"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[31]</w:t>
      </w:r>
      <w:r w:rsidRPr="003829F4">
        <w:rPr>
          <w:rFonts w:ascii="Verdana" w:hAnsi="Verdana" w:cs="Arial"/>
          <w:color w:val="000000" w:themeColor="text1"/>
          <w:sz w:val="22"/>
          <w:szCs w:val="22"/>
          <w:lang w:val="en-GB"/>
        </w:rPr>
        <w:tab/>
      </w:r>
      <w:r w:rsidR="000E2D1E" w:rsidRPr="003829F4">
        <w:rPr>
          <w:rFonts w:ascii="Verdana" w:hAnsi="Verdana" w:cs="Arial"/>
          <w:sz w:val="22"/>
          <w:szCs w:val="22"/>
          <w:lang w:val="en-GB"/>
        </w:rPr>
        <w:t>In reply, it was argued on behalf of the applicant that the rental income fluctuates drastically from month to month and is largely dependent on demand and the season. The average rental income disclosed by the applicant attests to this fact. The fact remains that the respondent historically never expected the applicant to maintain herself with this rental income and why this position should alter now is incomprehensible and not supported by any evidence.</w:t>
      </w:r>
    </w:p>
    <w:p w14:paraId="3D855E01" w14:textId="58D4198B" w:rsidR="00604535"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[32]</w:t>
      </w:r>
      <w:r w:rsidRPr="003829F4">
        <w:rPr>
          <w:rFonts w:ascii="Verdana" w:hAnsi="Verdana" w:cs="Arial"/>
          <w:color w:val="000000" w:themeColor="text1"/>
          <w:sz w:val="22"/>
          <w:szCs w:val="22"/>
          <w:lang w:val="en-GB"/>
        </w:rPr>
        <w:tab/>
      </w:r>
      <w:r w:rsidR="00D07DBD" w:rsidRPr="003829F4">
        <w:rPr>
          <w:rFonts w:ascii="Verdana" w:hAnsi="Verdana" w:cs="Arial"/>
          <w:sz w:val="22"/>
          <w:szCs w:val="22"/>
          <w:lang w:val="en-GB"/>
        </w:rPr>
        <w:t>It was also argued on behalf of the respondent that the medical excess payment claimed by the applicant is exorbitant. The Court debated this issue with the respondent’s counsel: If the excesses are as insignificant as the respondent professes, then he would certainly not have any objection to an order that he should pay these expenses.  The concession was made.</w:t>
      </w:r>
    </w:p>
    <w:p w14:paraId="7F8CC5DA" w14:textId="6402C1DD" w:rsidR="00CC6924"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[33]</w:t>
      </w:r>
      <w:r w:rsidRPr="003829F4">
        <w:rPr>
          <w:rFonts w:ascii="Verdana" w:hAnsi="Verdana" w:cs="Arial"/>
          <w:color w:val="000000" w:themeColor="text1"/>
          <w:sz w:val="22"/>
          <w:szCs w:val="22"/>
          <w:lang w:val="en-GB"/>
        </w:rPr>
        <w:tab/>
      </w:r>
      <w:r w:rsidR="00F55765" w:rsidRPr="003829F4">
        <w:rPr>
          <w:rFonts w:ascii="Verdana" w:hAnsi="Verdana" w:cs="Arial"/>
          <w:sz w:val="22"/>
          <w:szCs w:val="22"/>
          <w:lang w:val="en-GB"/>
        </w:rPr>
        <w:t xml:space="preserve">I </w:t>
      </w:r>
      <w:r w:rsidR="00176F7E" w:rsidRPr="003829F4">
        <w:rPr>
          <w:rFonts w:ascii="Verdana" w:hAnsi="Verdana" w:cs="Arial"/>
          <w:sz w:val="22"/>
          <w:szCs w:val="22"/>
          <w:lang w:val="en-GB"/>
        </w:rPr>
        <w:t>took heed of</w:t>
      </w:r>
      <w:r w:rsidR="00F55765" w:rsidRPr="003829F4">
        <w:rPr>
          <w:rFonts w:ascii="Verdana" w:hAnsi="Verdana" w:cs="Arial"/>
          <w:sz w:val="22"/>
          <w:szCs w:val="22"/>
          <w:lang w:val="en-GB"/>
        </w:rPr>
        <w:t xml:space="preserve"> the respondent’s objections to some of the items of expenses. Some I have accepted and some I have rejected. Regardless, t</w:t>
      </w:r>
      <w:r w:rsidR="00AE7148" w:rsidRPr="003829F4">
        <w:rPr>
          <w:rFonts w:ascii="Verdana" w:hAnsi="Verdana" w:cs="Arial"/>
          <w:sz w:val="22"/>
          <w:szCs w:val="22"/>
          <w:lang w:val="en-GB"/>
        </w:rPr>
        <w:t>he Court</w:t>
      </w:r>
      <w:r w:rsidR="00F55765" w:rsidRPr="003829F4">
        <w:rPr>
          <w:rFonts w:ascii="Verdana" w:hAnsi="Verdana" w:cs="Arial"/>
          <w:sz w:val="22"/>
          <w:szCs w:val="22"/>
          <w:lang w:val="en-GB"/>
        </w:rPr>
        <w:t xml:space="preserve"> has a duty to conduct its own independent analysis of an applicant’s list of expenses and satisfy itself that the expenses are reasonable and in the case of spousal maintenance, necessary.  </w:t>
      </w:r>
      <w:r w:rsidR="00176F7E" w:rsidRPr="003829F4">
        <w:rPr>
          <w:rFonts w:ascii="Verdana" w:hAnsi="Verdana" w:cs="Arial"/>
          <w:sz w:val="22"/>
          <w:szCs w:val="22"/>
          <w:lang w:val="en-GB"/>
        </w:rPr>
        <w:t>Therefore, I</w:t>
      </w:r>
      <w:r w:rsidR="00AE7148" w:rsidRPr="003829F4">
        <w:rPr>
          <w:rFonts w:ascii="Verdana" w:hAnsi="Verdana" w:cs="Arial"/>
          <w:sz w:val="22"/>
          <w:szCs w:val="22"/>
          <w:lang w:val="en-GB"/>
        </w:rPr>
        <w:t xml:space="preserve"> have carefully considered the applicant’s expenses together with the supporting financial documentation provided </w:t>
      </w:r>
      <w:r w:rsidR="001E220E" w:rsidRPr="003829F4">
        <w:rPr>
          <w:rFonts w:ascii="Verdana" w:hAnsi="Verdana" w:cs="Arial"/>
          <w:sz w:val="22"/>
          <w:szCs w:val="22"/>
          <w:lang w:val="en-GB"/>
        </w:rPr>
        <w:t xml:space="preserve">and what follows </w:t>
      </w:r>
      <w:r w:rsidR="00176F7E" w:rsidRPr="003829F4">
        <w:rPr>
          <w:rFonts w:ascii="Verdana" w:hAnsi="Verdana" w:cs="Arial"/>
          <w:sz w:val="22"/>
          <w:szCs w:val="22"/>
          <w:lang w:val="en-GB"/>
        </w:rPr>
        <w:t>is a schedule of those items which the Court has either reduced or disallowed.</w:t>
      </w:r>
    </w:p>
    <w:p w14:paraId="2F4D4673" w14:textId="77777777" w:rsidR="001E220E" w:rsidRPr="003829F4" w:rsidRDefault="001E220E" w:rsidP="001E220E">
      <w:pPr>
        <w:widowControl w:val="0"/>
        <w:tabs>
          <w:tab w:val="left" w:pos="3969"/>
        </w:tabs>
        <w:spacing w:after="120" w:line="240" w:lineRule="auto"/>
        <w:rPr>
          <w:rFonts w:ascii="Verdana" w:hAnsi="Verdana" w:cs="Arial"/>
          <w:lang w:val="en-GB"/>
        </w:rPr>
      </w:pPr>
    </w:p>
    <w:tbl>
      <w:tblPr>
        <w:tblStyle w:val="TableGrid"/>
        <w:tblW w:w="0" w:type="auto"/>
        <w:tblLook w:val="04A0" w:firstRow="1" w:lastRow="0" w:firstColumn="1" w:lastColumn="0" w:noHBand="0" w:noVBand="1"/>
      </w:tblPr>
      <w:tblGrid>
        <w:gridCol w:w="845"/>
        <w:gridCol w:w="2176"/>
        <w:gridCol w:w="1466"/>
        <w:gridCol w:w="2047"/>
        <w:gridCol w:w="1466"/>
      </w:tblGrid>
      <w:tr w:rsidR="003048B0" w:rsidRPr="003829F4" w14:paraId="7DCFFFBD" w14:textId="58BAC340" w:rsidTr="003C56F6">
        <w:trPr>
          <w:tblHeader/>
        </w:trPr>
        <w:tc>
          <w:tcPr>
            <w:tcW w:w="731" w:type="dxa"/>
            <w:shd w:val="pct5" w:color="auto" w:fill="auto"/>
          </w:tcPr>
          <w:p w14:paraId="42948231" w14:textId="77777777" w:rsidR="003048B0" w:rsidRPr="003829F4" w:rsidRDefault="003048B0" w:rsidP="008D2B54">
            <w:pPr>
              <w:widowControl w:val="0"/>
              <w:tabs>
                <w:tab w:val="left" w:pos="3969"/>
              </w:tabs>
              <w:spacing w:after="120"/>
              <w:jc w:val="center"/>
              <w:rPr>
                <w:rFonts w:ascii="Verdana" w:hAnsi="Verdana" w:cs="Arial"/>
                <w:b/>
                <w:bCs/>
                <w:lang w:val="en-GB"/>
              </w:rPr>
            </w:pPr>
            <w:r w:rsidRPr="003829F4">
              <w:rPr>
                <w:rFonts w:ascii="Verdana" w:hAnsi="Verdana" w:cs="Arial"/>
                <w:b/>
                <w:bCs/>
                <w:lang w:val="en-GB"/>
              </w:rPr>
              <w:t>ITEM</w:t>
            </w:r>
          </w:p>
        </w:tc>
        <w:tc>
          <w:tcPr>
            <w:tcW w:w="2176" w:type="dxa"/>
            <w:shd w:val="pct5" w:color="auto" w:fill="auto"/>
          </w:tcPr>
          <w:p w14:paraId="56537887" w14:textId="77777777" w:rsidR="003048B0" w:rsidRPr="003829F4" w:rsidRDefault="003048B0" w:rsidP="008D2B54">
            <w:pPr>
              <w:widowControl w:val="0"/>
              <w:tabs>
                <w:tab w:val="left" w:pos="3969"/>
              </w:tabs>
              <w:spacing w:after="120"/>
              <w:jc w:val="center"/>
              <w:rPr>
                <w:rFonts w:ascii="Verdana" w:hAnsi="Verdana" w:cs="Arial"/>
                <w:b/>
                <w:bCs/>
                <w:lang w:val="en-GB"/>
              </w:rPr>
            </w:pPr>
            <w:r w:rsidRPr="003829F4">
              <w:rPr>
                <w:rFonts w:ascii="Verdana" w:hAnsi="Verdana" w:cs="Arial"/>
                <w:b/>
                <w:bCs/>
                <w:lang w:val="en-GB"/>
              </w:rPr>
              <w:t>EXPENDITURE</w:t>
            </w:r>
          </w:p>
        </w:tc>
        <w:tc>
          <w:tcPr>
            <w:tcW w:w="1457" w:type="dxa"/>
            <w:shd w:val="pct5" w:color="auto" w:fill="auto"/>
          </w:tcPr>
          <w:p w14:paraId="454EDF0E" w14:textId="6D0FA53D" w:rsidR="003048B0" w:rsidRPr="003829F4" w:rsidRDefault="003048B0" w:rsidP="008D2B54">
            <w:pPr>
              <w:widowControl w:val="0"/>
              <w:tabs>
                <w:tab w:val="left" w:pos="3969"/>
              </w:tabs>
              <w:spacing w:after="120"/>
              <w:jc w:val="center"/>
              <w:rPr>
                <w:rFonts w:ascii="Verdana" w:hAnsi="Verdana" w:cs="Arial"/>
                <w:b/>
                <w:bCs/>
                <w:lang w:val="en-GB"/>
              </w:rPr>
            </w:pPr>
            <w:r w:rsidRPr="003829F4">
              <w:rPr>
                <w:rFonts w:ascii="Verdana" w:hAnsi="Verdana" w:cs="Arial"/>
                <w:b/>
                <w:bCs/>
                <w:lang w:val="en-GB"/>
              </w:rPr>
              <w:t>TOTAL CLAIMED</w:t>
            </w:r>
          </w:p>
        </w:tc>
        <w:tc>
          <w:tcPr>
            <w:tcW w:w="1457" w:type="dxa"/>
            <w:shd w:val="pct5" w:color="auto" w:fill="auto"/>
          </w:tcPr>
          <w:p w14:paraId="647F1480" w14:textId="77777777" w:rsidR="003048B0" w:rsidRPr="003829F4" w:rsidRDefault="003048B0" w:rsidP="008D2B54">
            <w:pPr>
              <w:widowControl w:val="0"/>
              <w:tabs>
                <w:tab w:val="left" w:pos="3969"/>
              </w:tabs>
              <w:spacing w:after="120"/>
              <w:jc w:val="center"/>
              <w:rPr>
                <w:rFonts w:ascii="Verdana" w:hAnsi="Verdana" w:cs="Arial"/>
                <w:b/>
                <w:bCs/>
                <w:lang w:val="en-GB"/>
              </w:rPr>
            </w:pPr>
            <w:r w:rsidRPr="003829F4">
              <w:rPr>
                <w:rFonts w:ascii="Verdana" w:hAnsi="Verdana" w:cs="Arial"/>
                <w:b/>
                <w:bCs/>
                <w:lang w:val="en-GB"/>
              </w:rPr>
              <w:t>DISALLOWED/</w:t>
            </w:r>
          </w:p>
          <w:p w14:paraId="0FE16131" w14:textId="32B11A9B" w:rsidR="003048B0" w:rsidRPr="003829F4" w:rsidRDefault="003048B0" w:rsidP="008D2B54">
            <w:pPr>
              <w:widowControl w:val="0"/>
              <w:tabs>
                <w:tab w:val="left" w:pos="3969"/>
              </w:tabs>
              <w:spacing w:after="120"/>
              <w:jc w:val="center"/>
              <w:rPr>
                <w:rFonts w:ascii="Verdana" w:hAnsi="Verdana" w:cs="Arial"/>
                <w:b/>
                <w:bCs/>
                <w:lang w:val="en-GB"/>
              </w:rPr>
            </w:pPr>
            <w:r w:rsidRPr="003829F4">
              <w:rPr>
                <w:rFonts w:ascii="Verdana" w:hAnsi="Verdana" w:cs="Arial"/>
                <w:b/>
                <w:bCs/>
                <w:lang w:val="en-GB"/>
              </w:rPr>
              <w:t>DEDUCTED</w:t>
            </w:r>
          </w:p>
        </w:tc>
        <w:tc>
          <w:tcPr>
            <w:tcW w:w="1457" w:type="dxa"/>
            <w:shd w:val="pct5" w:color="auto" w:fill="auto"/>
          </w:tcPr>
          <w:p w14:paraId="545A60B4" w14:textId="636B2C12" w:rsidR="003048B0" w:rsidRPr="003829F4" w:rsidRDefault="003048B0" w:rsidP="008D2B54">
            <w:pPr>
              <w:widowControl w:val="0"/>
              <w:tabs>
                <w:tab w:val="left" w:pos="3969"/>
              </w:tabs>
              <w:spacing w:after="120"/>
              <w:jc w:val="center"/>
              <w:rPr>
                <w:rFonts w:ascii="Verdana" w:hAnsi="Verdana" w:cs="Arial"/>
                <w:b/>
                <w:bCs/>
                <w:lang w:val="en-GB"/>
              </w:rPr>
            </w:pPr>
            <w:r w:rsidRPr="003829F4">
              <w:rPr>
                <w:rFonts w:ascii="Verdana" w:hAnsi="Verdana" w:cs="Arial"/>
                <w:b/>
                <w:bCs/>
                <w:lang w:val="en-GB"/>
              </w:rPr>
              <w:t>NEW TOTAL</w:t>
            </w:r>
          </w:p>
        </w:tc>
      </w:tr>
      <w:tr w:rsidR="003048B0" w:rsidRPr="003829F4" w14:paraId="75CF3CC1" w14:textId="1E1B3F17" w:rsidTr="003C56F6">
        <w:tc>
          <w:tcPr>
            <w:tcW w:w="731" w:type="dxa"/>
          </w:tcPr>
          <w:p w14:paraId="2F92E5D4" w14:textId="0F705893" w:rsidR="003048B0" w:rsidRPr="00AF1307" w:rsidRDefault="00AF1307" w:rsidP="00AF1307">
            <w:pPr>
              <w:widowControl w:val="0"/>
              <w:tabs>
                <w:tab w:val="left" w:pos="3969"/>
              </w:tabs>
              <w:spacing w:after="120"/>
              <w:ind w:left="360" w:hanging="360"/>
              <w:jc w:val="center"/>
              <w:rPr>
                <w:rFonts w:ascii="Verdana" w:hAnsi="Verdana" w:cs="Arial"/>
                <w:lang w:val="en-GB"/>
              </w:rPr>
            </w:pPr>
            <w:r w:rsidRPr="003829F4">
              <w:rPr>
                <w:rFonts w:ascii="Verdana" w:hAnsi="Verdana" w:cs="Arial"/>
                <w:lang w:val="en-GB"/>
              </w:rPr>
              <w:t>1.</w:t>
            </w:r>
            <w:r w:rsidRPr="003829F4">
              <w:rPr>
                <w:rFonts w:ascii="Verdana" w:hAnsi="Verdana" w:cs="Arial"/>
                <w:lang w:val="en-GB"/>
              </w:rPr>
              <w:tab/>
            </w:r>
          </w:p>
        </w:tc>
        <w:tc>
          <w:tcPr>
            <w:tcW w:w="2176" w:type="dxa"/>
          </w:tcPr>
          <w:p w14:paraId="3187CCB5" w14:textId="77777777" w:rsidR="003048B0" w:rsidRPr="003829F4" w:rsidRDefault="003048B0" w:rsidP="008D2B54">
            <w:pPr>
              <w:widowControl w:val="0"/>
              <w:tabs>
                <w:tab w:val="left" w:pos="3969"/>
              </w:tabs>
              <w:spacing w:after="120"/>
              <w:rPr>
                <w:rFonts w:ascii="Verdana" w:hAnsi="Verdana" w:cs="Arial"/>
                <w:lang w:val="en-GB"/>
              </w:rPr>
            </w:pPr>
            <w:r w:rsidRPr="003829F4">
              <w:rPr>
                <w:rFonts w:ascii="Verdana" w:hAnsi="Verdana" w:cs="Arial"/>
                <w:lang w:val="en-GB"/>
              </w:rPr>
              <w:t>Food, groceries and cleaning materials</w:t>
            </w:r>
          </w:p>
        </w:tc>
        <w:tc>
          <w:tcPr>
            <w:tcW w:w="1457" w:type="dxa"/>
          </w:tcPr>
          <w:p w14:paraId="0F52C7FF" w14:textId="051D65F5" w:rsidR="003048B0" w:rsidRPr="003829F4" w:rsidRDefault="003048B0" w:rsidP="008D2B54">
            <w:pPr>
              <w:widowControl w:val="0"/>
              <w:tabs>
                <w:tab w:val="left" w:pos="3969"/>
              </w:tabs>
              <w:spacing w:after="120"/>
              <w:jc w:val="center"/>
              <w:rPr>
                <w:rFonts w:ascii="Verdana" w:hAnsi="Verdana" w:cs="Arial"/>
                <w:lang w:val="en-GB"/>
              </w:rPr>
            </w:pPr>
            <w:r w:rsidRPr="003829F4">
              <w:rPr>
                <w:rFonts w:ascii="Verdana" w:hAnsi="Verdana" w:cs="Arial"/>
                <w:lang w:val="en-GB"/>
              </w:rPr>
              <w:t>15</w:t>
            </w:r>
            <w:r w:rsidR="00F55765" w:rsidRPr="003829F4">
              <w:rPr>
                <w:rFonts w:ascii="Verdana" w:hAnsi="Verdana" w:cs="Arial"/>
                <w:lang w:val="en-GB"/>
              </w:rPr>
              <w:t xml:space="preserve"> </w:t>
            </w:r>
            <w:r w:rsidRPr="003829F4">
              <w:rPr>
                <w:rFonts w:ascii="Verdana" w:hAnsi="Verdana" w:cs="Arial"/>
                <w:lang w:val="en-GB"/>
              </w:rPr>
              <w:t>132.40</w:t>
            </w:r>
          </w:p>
        </w:tc>
        <w:tc>
          <w:tcPr>
            <w:tcW w:w="1457" w:type="dxa"/>
          </w:tcPr>
          <w:p w14:paraId="1650241C" w14:textId="4B4E7F0C" w:rsidR="003048B0" w:rsidRPr="003829F4" w:rsidRDefault="00F55765" w:rsidP="008D2B54">
            <w:pPr>
              <w:widowControl w:val="0"/>
              <w:tabs>
                <w:tab w:val="left" w:pos="3969"/>
              </w:tabs>
              <w:spacing w:after="120"/>
              <w:jc w:val="center"/>
              <w:rPr>
                <w:rFonts w:ascii="Verdana" w:hAnsi="Verdana" w:cs="Arial"/>
                <w:lang w:val="en-GB"/>
              </w:rPr>
            </w:pPr>
            <w:r w:rsidRPr="003829F4">
              <w:rPr>
                <w:rFonts w:ascii="Verdana" w:hAnsi="Verdana" w:cs="Arial"/>
                <w:lang w:val="en-GB"/>
              </w:rPr>
              <w:t>5 000.00</w:t>
            </w:r>
          </w:p>
        </w:tc>
        <w:tc>
          <w:tcPr>
            <w:tcW w:w="1457" w:type="dxa"/>
          </w:tcPr>
          <w:p w14:paraId="1B85F5FB" w14:textId="541D5A48" w:rsidR="003048B0" w:rsidRPr="003829F4" w:rsidRDefault="00F55765" w:rsidP="008D2B54">
            <w:pPr>
              <w:widowControl w:val="0"/>
              <w:tabs>
                <w:tab w:val="left" w:pos="3969"/>
              </w:tabs>
              <w:spacing w:after="120"/>
              <w:jc w:val="center"/>
              <w:rPr>
                <w:rFonts w:ascii="Verdana" w:hAnsi="Verdana" w:cs="Arial"/>
                <w:lang w:val="en-GB"/>
              </w:rPr>
            </w:pPr>
            <w:r w:rsidRPr="003829F4">
              <w:rPr>
                <w:rFonts w:ascii="Verdana" w:hAnsi="Verdana" w:cs="Arial"/>
                <w:lang w:val="en-GB"/>
              </w:rPr>
              <w:t>10 132.40</w:t>
            </w:r>
          </w:p>
        </w:tc>
      </w:tr>
      <w:tr w:rsidR="003048B0" w:rsidRPr="003829F4" w14:paraId="113438EC" w14:textId="750B71E7" w:rsidTr="003C56F6">
        <w:tc>
          <w:tcPr>
            <w:tcW w:w="731" w:type="dxa"/>
          </w:tcPr>
          <w:p w14:paraId="2AF3FBAB" w14:textId="72BF2256" w:rsidR="003048B0" w:rsidRPr="00AF1307" w:rsidRDefault="00AF1307" w:rsidP="00AF1307">
            <w:pPr>
              <w:widowControl w:val="0"/>
              <w:tabs>
                <w:tab w:val="left" w:pos="3969"/>
              </w:tabs>
              <w:spacing w:after="120"/>
              <w:ind w:left="360" w:hanging="360"/>
              <w:jc w:val="center"/>
              <w:rPr>
                <w:rFonts w:ascii="Verdana" w:hAnsi="Verdana" w:cs="Arial"/>
                <w:lang w:val="en-GB"/>
              </w:rPr>
            </w:pPr>
            <w:r w:rsidRPr="003829F4">
              <w:rPr>
                <w:rFonts w:ascii="Verdana" w:hAnsi="Verdana" w:cs="Arial"/>
                <w:lang w:val="en-GB"/>
              </w:rPr>
              <w:t>2.</w:t>
            </w:r>
            <w:r w:rsidRPr="003829F4">
              <w:rPr>
                <w:rFonts w:ascii="Verdana" w:hAnsi="Verdana" w:cs="Arial"/>
                <w:lang w:val="en-GB"/>
              </w:rPr>
              <w:tab/>
            </w:r>
          </w:p>
        </w:tc>
        <w:tc>
          <w:tcPr>
            <w:tcW w:w="2176" w:type="dxa"/>
          </w:tcPr>
          <w:p w14:paraId="6D0AA9C8" w14:textId="3CA97F12" w:rsidR="003048B0" w:rsidRPr="003829F4" w:rsidRDefault="003048B0" w:rsidP="008D2B54">
            <w:pPr>
              <w:widowControl w:val="0"/>
              <w:tabs>
                <w:tab w:val="left" w:pos="3969"/>
              </w:tabs>
              <w:spacing w:after="120"/>
              <w:rPr>
                <w:rFonts w:ascii="Verdana" w:hAnsi="Verdana" w:cs="Arial"/>
                <w:lang w:val="en-GB"/>
              </w:rPr>
            </w:pPr>
            <w:r w:rsidRPr="003829F4">
              <w:rPr>
                <w:rFonts w:ascii="Verdana" w:hAnsi="Verdana" w:cs="Arial"/>
                <w:lang w:val="en-GB"/>
              </w:rPr>
              <w:t>Cell phone</w:t>
            </w:r>
          </w:p>
        </w:tc>
        <w:tc>
          <w:tcPr>
            <w:tcW w:w="1457" w:type="dxa"/>
          </w:tcPr>
          <w:p w14:paraId="50F2E47C" w14:textId="53DD2DC3" w:rsidR="003048B0" w:rsidRPr="003829F4" w:rsidRDefault="003048B0" w:rsidP="008D2B54">
            <w:pPr>
              <w:widowControl w:val="0"/>
              <w:tabs>
                <w:tab w:val="left" w:pos="3969"/>
              </w:tabs>
              <w:spacing w:after="120"/>
              <w:jc w:val="center"/>
              <w:rPr>
                <w:rFonts w:ascii="Verdana" w:hAnsi="Verdana" w:cs="Arial"/>
                <w:lang w:val="en-GB"/>
              </w:rPr>
            </w:pPr>
            <w:r w:rsidRPr="003829F4">
              <w:rPr>
                <w:rFonts w:ascii="Verdana" w:hAnsi="Verdana" w:cs="Arial"/>
                <w:lang w:val="en-GB"/>
              </w:rPr>
              <w:t>1</w:t>
            </w:r>
            <w:r w:rsidR="00F55765" w:rsidRPr="003829F4">
              <w:rPr>
                <w:rFonts w:ascii="Verdana" w:hAnsi="Verdana" w:cs="Arial"/>
                <w:lang w:val="en-GB"/>
              </w:rPr>
              <w:t xml:space="preserve"> </w:t>
            </w:r>
            <w:r w:rsidRPr="003829F4">
              <w:rPr>
                <w:rFonts w:ascii="Verdana" w:hAnsi="Verdana" w:cs="Arial"/>
                <w:lang w:val="en-GB"/>
              </w:rPr>
              <w:t>378.55</w:t>
            </w:r>
          </w:p>
        </w:tc>
        <w:tc>
          <w:tcPr>
            <w:tcW w:w="1457" w:type="dxa"/>
          </w:tcPr>
          <w:p w14:paraId="531DB024" w14:textId="1D6CCCF2" w:rsidR="003048B0" w:rsidRPr="003829F4" w:rsidRDefault="00F55765" w:rsidP="008D2B54">
            <w:pPr>
              <w:widowControl w:val="0"/>
              <w:tabs>
                <w:tab w:val="left" w:pos="3969"/>
              </w:tabs>
              <w:spacing w:after="120"/>
              <w:jc w:val="center"/>
              <w:rPr>
                <w:rFonts w:ascii="Verdana" w:hAnsi="Verdana" w:cs="Arial"/>
                <w:lang w:val="en-GB"/>
              </w:rPr>
            </w:pPr>
            <w:r w:rsidRPr="003829F4">
              <w:rPr>
                <w:rFonts w:ascii="Verdana" w:hAnsi="Verdana" w:cs="Arial"/>
                <w:lang w:val="en-GB"/>
              </w:rPr>
              <w:t>1 378.55</w:t>
            </w:r>
          </w:p>
        </w:tc>
        <w:tc>
          <w:tcPr>
            <w:tcW w:w="1457" w:type="dxa"/>
          </w:tcPr>
          <w:p w14:paraId="34FB2D6B" w14:textId="63807B3D" w:rsidR="003048B0" w:rsidRPr="003829F4" w:rsidRDefault="00176F7E" w:rsidP="008D2B54">
            <w:pPr>
              <w:widowControl w:val="0"/>
              <w:tabs>
                <w:tab w:val="left" w:pos="3969"/>
              </w:tabs>
              <w:spacing w:after="120"/>
              <w:jc w:val="center"/>
              <w:rPr>
                <w:rFonts w:ascii="Verdana" w:hAnsi="Verdana" w:cs="Arial"/>
                <w:lang w:val="en-GB"/>
              </w:rPr>
            </w:pPr>
            <w:r w:rsidRPr="003829F4">
              <w:rPr>
                <w:rFonts w:ascii="Verdana" w:hAnsi="Verdana" w:cs="Arial"/>
                <w:lang w:val="en-GB"/>
              </w:rPr>
              <w:t>0.00</w:t>
            </w:r>
          </w:p>
        </w:tc>
      </w:tr>
      <w:tr w:rsidR="003048B0" w:rsidRPr="003829F4" w14:paraId="66AD1E75" w14:textId="09777A23" w:rsidTr="003C56F6">
        <w:tc>
          <w:tcPr>
            <w:tcW w:w="731" w:type="dxa"/>
          </w:tcPr>
          <w:p w14:paraId="767ECE1E" w14:textId="38F600CA" w:rsidR="003048B0" w:rsidRPr="00AF1307" w:rsidRDefault="00AF1307" w:rsidP="00AF1307">
            <w:pPr>
              <w:widowControl w:val="0"/>
              <w:tabs>
                <w:tab w:val="left" w:pos="3969"/>
              </w:tabs>
              <w:spacing w:after="120"/>
              <w:ind w:left="360" w:hanging="360"/>
              <w:jc w:val="center"/>
              <w:rPr>
                <w:rFonts w:ascii="Verdana" w:hAnsi="Verdana" w:cs="Arial"/>
                <w:lang w:val="en-GB"/>
              </w:rPr>
            </w:pPr>
            <w:r w:rsidRPr="003829F4">
              <w:rPr>
                <w:rFonts w:ascii="Verdana" w:hAnsi="Verdana" w:cs="Arial"/>
                <w:lang w:val="en-GB"/>
              </w:rPr>
              <w:t>3.</w:t>
            </w:r>
            <w:r w:rsidRPr="003829F4">
              <w:rPr>
                <w:rFonts w:ascii="Verdana" w:hAnsi="Verdana" w:cs="Arial"/>
                <w:lang w:val="en-GB"/>
              </w:rPr>
              <w:tab/>
            </w:r>
          </w:p>
        </w:tc>
        <w:tc>
          <w:tcPr>
            <w:tcW w:w="2176" w:type="dxa"/>
          </w:tcPr>
          <w:p w14:paraId="79B64669" w14:textId="77777777" w:rsidR="003048B0" w:rsidRPr="003829F4" w:rsidRDefault="003048B0" w:rsidP="008D2B54">
            <w:pPr>
              <w:widowControl w:val="0"/>
              <w:tabs>
                <w:tab w:val="left" w:pos="3969"/>
              </w:tabs>
              <w:spacing w:after="120"/>
              <w:rPr>
                <w:rFonts w:ascii="Verdana" w:hAnsi="Verdana" w:cs="Arial"/>
                <w:lang w:val="en-GB"/>
              </w:rPr>
            </w:pPr>
            <w:r w:rsidRPr="003829F4">
              <w:rPr>
                <w:rFonts w:ascii="Verdana" w:hAnsi="Verdana" w:cs="Arial"/>
                <w:lang w:val="en-GB"/>
              </w:rPr>
              <w:t>Transport:</w:t>
            </w:r>
          </w:p>
          <w:p w14:paraId="60B8318A" w14:textId="77777777" w:rsidR="003048B0" w:rsidRPr="003829F4" w:rsidRDefault="003048B0" w:rsidP="008D2B54">
            <w:pPr>
              <w:widowControl w:val="0"/>
              <w:tabs>
                <w:tab w:val="left" w:pos="3969"/>
              </w:tabs>
              <w:spacing w:after="120"/>
              <w:rPr>
                <w:rFonts w:ascii="Verdana" w:hAnsi="Verdana" w:cs="Arial"/>
                <w:lang w:val="en-GB"/>
              </w:rPr>
            </w:pPr>
            <w:r w:rsidRPr="003829F4">
              <w:rPr>
                <w:rFonts w:ascii="Verdana" w:hAnsi="Verdana" w:cs="Arial"/>
                <w:lang w:val="en-GB"/>
              </w:rPr>
              <w:t>Fuel</w:t>
            </w:r>
          </w:p>
          <w:p w14:paraId="15515DAB" w14:textId="77777777" w:rsidR="003048B0" w:rsidRPr="003829F4" w:rsidRDefault="003048B0" w:rsidP="008D2B54">
            <w:pPr>
              <w:widowControl w:val="0"/>
              <w:tabs>
                <w:tab w:val="left" w:pos="3969"/>
              </w:tabs>
              <w:spacing w:after="120"/>
              <w:rPr>
                <w:rFonts w:ascii="Verdana" w:hAnsi="Verdana" w:cs="Arial"/>
                <w:lang w:val="en-GB"/>
              </w:rPr>
            </w:pPr>
            <w:r w:rsidRPr="003829F4">
              <w:rPr>
                <w:rFonts w:ascii="Verdana" w:hAnsi="Verdana" w:cs="Arial"/>
                <w:lang w:val="en-GB"/>
              </w:rPr>
              <w:t>Parking and tolls</w:t>
            </w:r>
          </w:p>
          <w:p w14:paraId="6D831720" w14:textId="77777777" w:rsidR="003048B0" w:rsidRPr="003829F4" w:rsidRDefault="003048B0" w:rsidP="008D2B54">
            <w:pPr>
              <w:widowControl w:val="0"/>
              <w:tabs>
                <w:tab w:val="left" w:pos="3969"/>
              </w:tabs>
              <w:spacing w:after="120"/>
              <w:rPr>
                <w:rFonts w:ascii="Verdana" w:hAnsi="Verdana" w:cs="Arial"/>
                <w:lang w:val="en-GB"/>
              </w:rPr>
            </w:pPr>
            <w:r w:rsidRPr="003829F4">
              <w:rPr>
                <w:rFonts w:ascii="Verdana" w:hAnsi="Verdana" w:cs="Arial"/>
                <w:lang w:val="en-GB"/>
              </w:rPr>
              <w:t>Gautrain &amp; Uber</w:t>
            </w:r>
          </w:p>
        </w:tc>
        <w:tc>
          <w:tcPr>
            <w:tcW w:w="1457" w:type="dxa"/>
          </w:tcPr>
          <w:p w14:paraId="0022A4E4" w14:textId="77777777" w:rsidR="003048B0" w:rsidRPr="003829F4" w:rsidRDefault="003048B0" w:rsidP="008D2B54">
            <w:pPr>
              <w:widowControl w:val="0"/>
              <w:tabs>
                <w:tab w:val="left" w:pos="3969"/>
              </w:tabs>
              <w:spacing w:after="120"/>
              <w:jc w:val="center"/>
              <w:rPr>
                <w:rFonts w:ascii="Verdana" w:hAnsi="Verdana" w:cs="Arial"/>
                <w:lang w:val="en-GB"/>
              </w:rPr>
            </w:pPr>
          </w:p>
          <w:p w14:paraId="4C1C668A" w14:textId="67316FCC" w:rsidR="003048B0" w:rsidRPr="003829F4" w:rsidRDefault="00F55765" w:rsidP="008D2B54">
            <w:pPr>
              <w:widowControl w:val="0"/>
              <w:tabs>
                <w:tab w:val="left" w:pos="3969"/>
              </w:tabs>
              <w:spacing w:after="120"/>
              <w:jc w:val="center"/>
              <w:rPr>
                <w:rFonts w:ascii="Verdana" w:hAnsi="Verdana" w:cs="Arial"/>
                <w:lang w:val="en-GB"/>
              </w:rPr>
            </w:pPr>
            <w:r w:rsidRPr="003829F4">
              <w:rPr>
                <w:rFonts w:ascii="Verdana" w:hAnsi="Verdana" w:cs="Arial"/>
                <w:lang w:val="en-GB"/>
              </w:rPr>
              <w:t xml:space="preserve">8 </w:t>
            </w:r>
            <w:r w:rsidR="003048B0" w:rsidRPr="003829F4">
              <w:rPr>
                <w:rFonts w:ascii="Verdana" w:hAnsi="Verdana" w:cs="Arial"/>
                <w:lang w:val="en-GB"/>
              </w:rPr>
              <w:t>000.00</w:t>
            </w:r>
          </w:p>
          <w:p w14:paraId="7896A04F" w14:textId="77777777" w:rsidR="003048B0" w:rsidRPr="003829F4" w:rsidRDefault="003048B0" w:rsidP="008D2B54">
            <w:pPr>
              <w:widowControl w:val="0"/>
              <w:tabs>
                <w:tab w:val="left" w:pos="3969"/>
              </w:tabs>
              <w:spacing w:after="120"/>
              <w:jc w:val="center"/>
              <w:rPr>
                <w:rFonts w:ascii="Verdana" w:hAnsi="Verdana" w:cs="Arial"/>
                <w:lang w:val="en-GB"/>
              </w:rPr>
            </w:pPr>
            <w:r w:rsidRPr="003829F4">
              <w:rPr>
                <w:rFonts w:ascii="Verdana" w:hAnsi="Verdana" w:cs="Arial"/>
                <w:lang w:val="en-GB"/>
              </w:rPr>
              <w:t>24.83</w:t>
            </w:r>
          </w:p>
          <w:p w14:paraId="4590FFAB" w14:textId="77777777" w:rsidR="003048B0" w:rsidRPr="003829F4" w:rsidRDefault="003048B0" w:rsidP="008D2B54">
            <w:pPr>
              <w:widowControl w:val="0"/>
              <w:tabs>
                <w:tab w:val="left" w:pos="3969"/>
              </w:tabs>
              <w:spacing w:after="120"/>
              <w:jc w:val="center"/>
              <w:rPr>
                <w:rFonts w:ascii="Verdana" w:hAnsi="Verdana" w:cs="Arial"/>
                <w:lang w:val="en-GB"/>
              </w:rPr>
            </w:pPr>
            <w:r w:rsidRPr="003829F4">
              <w:rPr>
                <w:rFonts w:ascii="Verdana" w:hAnsi="Verdana" w:cs="Arial"/>
                <w:lang w:val="en-GB"/>
              </w:rPr>
              <w:t>300.00</w:t>
            </w:r>
          </w:p>
        </w:tc>
        <w:tc>
          <w:tcPr>
            <w:tcW w:w="1457" w:type="dxa"/>
          </w:tcPr>
          <w:p w14:paraId="143C192A" w14:textId="77777777" w:rsidR="003048B0" w:rsidRPr="003829F4" w:rsidRDefault="003048B0" w:rsidP="008D2B54">
            <w:pPr>
              <w:widowControl w:val="0"/>
              <w:tabs>
                <w:tab w:val="left" w:pos="3969"/>
              </w:tabs>
              <w:spacing w:after="120"/>
              <w:jc w:val="center"/>
              <w:rPr>
                <w:rFonts w:ascii="Verdana" w:hAnsi="Verdana" w:cs="Arial"/>
                <w:lang w:val="en-GB"/>
              </w:rPr>
            </w:pPr>
          </w:p>
          <w:p w14:paraId="4795562C" w14:textId="71FF34BB" w:rsidR="00F55765" w:rsidRPr="003829F4" w:rsidRDefault="00F55765" w:rsidP="008D2B54">
            <w:pPr>
              <w:widowControl w:val="0"/>
              <w:tabs>
                <w:tab w:val="left" w:pos="3969"/>
              </w:tabs>
              <w:spacing w:after="120"/>
              <w:jc w:val="center"/>
              <w:rPr>
                <w:rFonts w:ascii="Verdana" w:hAnsi="Verdana" w:cs="Arial"/>
                <w:lang w:val="en-GB"/>
              </w:rPr>
            </w:pPr>
            <w:r w:rsidRPr="003829F4">
              <w:rPr>
                <w:rFonts w:ascii="Verdana" w:hAnsi="Verdana" w:cs="Arial"/>
                <w:lang w:val="en-GB"/>
              </w:rPr>
              <w:t>3 000.00</w:t>
            </w:r>
          </w:p>
        </w:tc>
        <w:tc>
          <w:tcPr>
            <w:tcW w:w="1457" w:type="dxa"/>
          </w:tcPr>
          <w:p w14:paraId="126C7A53" w14:textId="77777777" w:rsidR="003048B0" w:rsidRPr="003829F4" w:rsidRDefault="003048B0" w:rsidP="008D2B54">
            <w:pPr>
              <w:widowControl w:val="0"/>
              <w:tabs>
                <w:tab w:val="left" w:pos="3969"/>
              </w:tabs>
              <w:spacing w:after="120"/>
              <w:jc w:val="center"/>
              <w:rPr>
                <w:rFonts w:ascii="Verdana" w:hAnsi="Verdana" w:cs="Arial"/>
                <w:lang w:val="en-GB"/>
              </w:rPr>
            </w:pPr>
          </w:p>
          <w:p w14:paraId="1E5410B4" w14:textId="77777777" w:rsidR="00F55765" w:rsidRPr="003829F4" w:rsidRDefault="00F55765" w:rsidP="008D2B54">
            <w:pPr>
              <w:widowControl w:val="0"/>
              <w:tabs>
                <w:tab w:val="left" w:pos="3969"/>
              </w:tabs>
              <w:spacing w:after="120"/>
              <w:jc w:val="center"/>
              <w:rPr>
                <w:rFonts w:ascii="Verdana" w:hAnsi="Verdana" w:cs="Arial"/>
                <w:lang w:val="en-GB"/>
              </w:rPr>
            </w:pPr>
            <w:r w:rsidRPr="003829F4">
              <w:rPr>
                <w:rFonts w:ascii="Verdana" w:hAnsi="Verdana" w:cs="Arial"/>
                <w:lang w:val="en-GB"/>
              </w:rPr>
              <w:t>5 000.00</w:t>
            </w:r>
          </w:p>
          <w:p w14:paraId="3F7349CF" w14:textId="77777777" w:rsidR="00F55765" w:rsidRPr="003829F4" w:rsidRDefault="00F55765" w:rsidP="008D2B54">
            <w:pPr>
              <w:widowControl w:val="0"/>
              <w:tabs>
                <w:tab w:val="left" w:pos="3969"/>
              </w:tabs>
              <w:spacing w:after="120"/>
              <w:jc w:val="center"/>
              <w:rPr>
                <w:rFonts w:ascii="Verdana" w:hAnsi="Verdana" w:cs="Arial"/>
                <w:lang w:val="en-GB"/>
              </w:rPr>
            </w:pPr>
            <w:r w:rsidRPr="003829F4">
              <w:rPr>
                <w:rFonts w:ascii="Verdana" w:hAnsi="Verdana" w:cs="Arial"/>
                <w:lang w:val="en-GB"/>
              </w:rPr>
              <w:t>24.83</w:t>
            </w:r>
          </w:p>
          <w:p w14:paraId="4717BE6F" w14:textId="0A6B7923" w:rsidR="00F55765" w:rsidRPr="003829F4" w:rsidRDefault="00F55765" w:rsidP="008D2B54">
            <w:pPr>
              <w:widowControl w:val="0"/>
              <w:tabs>
                <w:tab w:val="left" w:pos="3969"/>
              </w:tabs>
              <w:spacing w:after="120"/>
              <w:jc w:val="center"/>
              <w:rPr>
                <w:rFonts w:ascii="Verdana" w:hAnsi="Verdana" w:cs="Arial"/>
                <w:lang w:val="en-GB"/>
              </w:rPr>
            </w:pPr>
            <w:r w:rsidRPr="003829F4">
              <w:rPr>
                <w:rFonts w:ascii="Verdana" w:hAnsi="Verdana" w:cs="Arial"/>
                <w:lang w:val="en-GB"/>
              </w:rPr>
              <w:t>300.00</w:t>
            </w:r>
          </w:p>
        </w:tc>
      </w:tr>
      <w:tr w:rsidR="003048B0" w:rsidRPr="003829F4" w14:paraId="19C27842" w14:textId="0D0A9A44" w:rsidTr="003C56F6">
        <w:tc>
          <w:tcPr>
            <w:tcW w:w="731" w:type="dxa"/>
          </w:tcPr>
          <w:p w14:paraId="4DFDABAB" w14:textId="3B6C3531" w:rsidR="003048B0" w:rsidRPr="00AF1307" w:rsidRDefault="00AF1307" w:rsidP="00AF1307">
            <w:pPr>
              <w:widowControl w:val="0"/>
              <w:tabs>
                <w:tab w:val="left" w:pos="3969"/>
              </w:tabs>
              <w:spacing w:after="120"/>
              <w:ind w:left="360" w:hanging="360"/>
              <w:jc w:val="center"/>
              <w:rPr>
                <w:rFonts w:ascii="Verdana" w:hAnsi="Verdana" w:cs="Arial"/>
                <w:lang w:val="en-GB"/>
              </w:rPr>
            </w:pPr>
            <w:r w:rsidRPr="003829F4">
              <w:rPr>
                <w:rFonts w:ascii="Verdana" w:hAnsi="Verdana" w:cs="Arial"/>
                <w:lang w:val="en-GB"/>
              </w:rPr>
              <w:t>4.</w:t>
            </w:r>
            <w:r w:rsidRPr="003829F4">
              <w:rPr>
                <w:rFonts w:ascii="Verdana" w:hAnsi="Verdana" w:cs="Arial"/>
                <w:lang w:val="en-GB"/>
              </w:rPr>
              <w:tab/>
            </w:r>
          </w:p>
        </w:tc>
        <w:tc>
          <w:tcPr>
            <w:tcW w:w="2176" w:type="dxa"/>
          </w:tcPr>
          <w:p w14:paraId="17AFA6D3" w14:textId="77777777" w:rsidR="003048B0" w:rsidRPr="003829F4" w:rsidRDefault="003048B0" w:rsidP="008D2B54">
            <w:pPr>
              <w:widowControl w:val="0"/>
              <w:tabs>
                <w:tab w:val="left" w:pos="3969"/>
              </w:tabs>
              <w:spacing w:after="120"/>
              <w:rPr>
                <w:rFonts w:ascii="Verdana" w:hAnsi="Verdana" w:cs="Arial"/>
                <w:lang w:val="en-GB"/>
              </w:rPr>
            </w:pPr>
            <w:r w:rsidRPr="003829F4">
              <w:rPr>
                <w:rFonts w:ascii="Verdana" w:hAnsi="Verdana" w:cs="Arial"/>
                <w:lang w:val="en-GB"/>
              </w:rPr>
              <w:t>Medical expenditure:</w:t>
            </w:r>
          </w:p>
          <w:p w14:paraId="489FAF1D" w14:textId="77777777" w:rsidR="003048B0" w:rsidRPr="003829F4" w:rsidRDefault="003048B0" w:rsidP="008D2B54">
            <w:pPr>
              <w:widowControl w:val="0"/>
              <w:tabs>
                <w:tab w:val="left" w:pos="3969"/>
              </w:tabs>
              <w:spacing w:after="120"/>
              <w:rPr>
                <w:rFonts w:ascii="Verdana" w:hAnsi="Verdana" w:cs="Arial"/>
                <w:lang w:val="en-GB"/>
              </w:rPr>
            </w:pPr>
            <w:r w:rsidRPr="003829F4">
              <w:rPr>
                <w:rFonts w:ascii="Verdana" w:hAnsi="Verdana" w:cs="Arial"/>
                <w:lang w:val="en-GB"/>
              </w:rPr>
              <w:t>Doctors and dentists (excess)</w:t>
            </w:r>
          </w:p>
          <w:p w14:paraId="310DC9CC" w14:textId="77777777" w:rsidR="003048B0" w:rsidRPr="003829F4" w:rsidRDefault="003048B0" w:rsidP="008D2B54">
            <w:pPr>
              <w:widowControl w:val="0"/>
              <w:tabs>
                <w:tab w:val="left" w:pos="3969"/>
              </w:tabs>
              <w:spacing w:after="120"/>
              <w:rPr>
                <w:rFonts w:ascii="Verdana" w:hAnsi="Verdana" w:cs="Arial"/>
                <w:lang w:val="en-GB"/>
              </w:rPr>
            </w:pPr>
            <w:r w:rsidRPr="003829F4">
              <w:rPr>
                <w:rFonts w:ascii="Verdana" w:hAnsi="Verdana" w:cs="Arial"/>
                <w:lang w:val="en-GB"/>
              </w:rPr>
              <w:t>Other (blood tests)</w:t>
            </w:r>
          </w:p>
        </w:tc>
        <w:tc>
          <w:tcPr>
            <w:tcW w:w="1457" w:type="dxa"/>
          </w:tcPr>
          <w:p w14:paraId="489E7C47" w14:textId="77777777" w:rsidR="003048B0" w:rsidRPr="003829F4" w:rsidRDefault="003048B0" w:rsidP="008D2B54">
            <w:pPr>
              <w:widowControl w:val="0"/>
              <w:tabs>
                <w:tab w:val="left" w:pos="3969"/>
              </w:tabs>
              <w:spacing w:after="120"/>
              <w:jc w:val="center"/>
              <w:rPr>
                <w:rFonts w:ascii="Verdana" w:hAnsi="Verdana" w:cs="Arial"/>
                <w:lang w:val="en-GB"/>
              </w:rPr>
            </w:pPr>
          </w:p>
          <w:p w14:paraId="03128358" w14:textId="168030E7" w:rsidR="003048B0" w:rsidRPr="003829F4" w:rsidRDefault="00F55765" w:rsidP="008D2B54">
            <w:pPr>
              <w:widowControl w:val="0"/>
              <w:tabs>
                <w:tab w:val="left" w:pos="3969"/>
              </w:tabs>
              <w:spacing w:after="320"/>
              <w:jc w:val="center"/>
              <w:rPr>
                <w:rFonts w:ascii="Verdana" w:hAnsi="Verdana" w:cs="Arial"/>
                <w:lang w:val="en-GB"/>
              </w:rPr>
            </w:pPr>
            <w:r w:rsidRPr="003829F4">
              <w:rPr>
                <w:rFonts w:ascii="Verdana" w:hAnsi="Verdana" w:cs="Arial"/>
                <w:lang w:val="en-GB"/>
              </w:rPr>
              <w:t>430</w:t>
            </w:r>
            <w:r w:rsidR="003048B0" w:rsidRPr="003829F4">
              <w:rPr>
                <w:rFonts w:ascii="Verdana" w:hAnsi="Verdana" w:cs="Arial"/>
                <w:lang w:val="en-GB"/>
              </w:rPr>
              <w:t>.</w:t>
            </w:r>
            <w:r w:rsidRPr="003829F4">
              <w:rPr>
                <w:rFonts w:ascii="Verdana" w:hAnsi="Verdana" w:cs="Arial"/>
                <w:lang w:val="en-GB"/>
              </w:rPr>
              <w:t>65</w:t>
            </w:r>
          </w:p>
          <w:p w14:paraId="78456862" w14:textId="65B08F2C" w:rsidR="003048B0" w:rsidRPr="003829F4" w:rsidRDefault="00F55765" w:rsidP="008D2B54">
            <w:pPr>
              <w:widowControl w:val="0"/>
              <w:tabs>
                <w:tab w:val="left" w:pos="3969"/>
              </w:tabs>
              <w:spacing w:after="120"/>
              <w:jc w:val="center"/>
              <w:rPr>
                <w:rFonts w:ascii="Verdana" w:hAnsi="Verdana" w:cs="Arial"/>
                <w:lang w:val="en-GB"/>
              </w:rPr>
            </w:pPr>
            <w:r w:rsidRPr="003829F4">
              <w:rPr>
                <w:rFonts w:ascii="Verdana" w:hAnsi="Verdana" w:cs="Arial"/>
                <w:lang w:val="en-GB"/>
              </w:rPr>
              <w:t>443.65</w:t>
            </w:r>
          </w:p>
        </w:tc>
        <w:tc>
          <w:tcPr>
            <w:tcW w:w="1457" w:type="dxa"/>
          </w:tcPr>
          <w:p w14:paraId="4A3A624B" w14:textId="77777777" w:rsidR="003048B0" w:rsidRPr="003829F4" w:rsidRDefault="003048B0" w:rsidP="008D2B54">
            <w:pPr>
              <w:widowControl w:val="0"/>
              <w:tabs>
                <w:tab w:val="left" w:pos="3969"/>
              </w:tabs>
              <w:spacing w:after="120"/>
              <w:jc w:val="center"/>
              <w:rPr>
                <w:rFonts w:ascii="Verdana" w:hAnsi="Verdana" w:cs="Arial"/>
                <w:lang w:val="en-GB"/>
              </w:rPr>
            </w:pPr>
          </w:p>
          <w:p w14:paraId="6C38F97A" w14:textId="77777777" w:rsidR="00F55765" w:rsidRPr="003829F4" w:rsidRDefault="00F55765" w:rsidP="00F55765">
            <w:pPr>
              <w:widowControl w:val="0"/>
              <w:tabs>
                <w:tab w:val="left" w:pos="3969"/>
              </w:tabs>
              <w:spacing w:after="120"/>
              <w:jc w:val="center"/>
              <w:rPr>
                <w:rFonts w:ascii="Verdana" w:hAnsi="Verdana" w:cs="Arial"/>
                <w:lang w:val="en-GB"/>
              </w:rPr>
            </w:pPr>
            <w:r w:rsidRPr="003829F4">
              <w:rPr>
                <w:rFonts w:ascii="Verdana" w:hAnsi="Verdana" w:cs="Arial"/>
                <w:lang w:val="en-GB"/>
              </w:rPr>
              <w:t>430.65</w:t>
            </w:r>
          </w:p>
          <w:p w14:paraId="6ACCCBFD" w14:textId="4C040CBF" w:rsidR="00F55765" w:rsidRPr="003829F4" w:rsidRDefault="00F55765" w:rsidP="00F55765">
            <w:pPr>
              <w:widowControl w:val="0"/>
              <w:tabs>
                <w:tab w:val="left" w:pos="3969"/>
              </w:tabs>
              <w:spacing w:after="120"/>
              <w:jc w:val="center"/>
              <w:rPr>
                <w:rFonts w:ascii="Verdana" w:hAnsi="Verdana" w:cs="Arial"/>
                <w:lang w:val="en-GB"/>
              </w:rPr>
            </w:pPr>
            <w:r w:rsidRPr="003829F4">
              <w:rPr>
                <w:rFonts w:ascii="Verdana" w:hAnsi="Verdana" w:cs="Arial"/>
                <w:lang w:val="en-GB"/>
              </w:rPr>
              <w:t>443.65</w:t>
            </w:r>
          </w:p>
        </w:tc>
        <w:tc>
          <w:tcPr>
            <w:tcW w:w="1457" w:type="dxa"/>
          </w:tcPr>
          <w:p w14:paraId="7933EC1C" w14:textId="77777777" w:rsidR="003048B0" w:rsidRPr="003829F4" w:rsidRDefault="003048B0" w:rsidP="008D2B54">
            <w:pPr>
              <w:widowControl w:val="0"/>
              <w:tabs>
                <w:tab w:val="left" w:pos="3969"/>
              </w:tabs>
              <w:spacing w:after="120"/>
              <w:jc w:val="center"/>
              <w:rPr>
                <w:rFonts w:ascii="Verdana" w:hAnsi="Verdana" w:cs="Arial"/>
                <w:lang w:val="en-GB"/>
              </w:rPr>
            </w:pPr>
          </w:p>
          <w:p w14:paraId="4DBA85F8" w14:textId="460A4AF3" w:rsidR="00F55765" w:rsidRPr="003829F4" w:rsidRDefault="00F55765" w:rsidP="008D2B54">
            <w:pPr>
              <w:widowControl w:val="0"/>
              <w:tabs>
                <w:tab w:val="left" w:pos="3969"/>
              </w:tabs>
              <w:spacing w:after="120"/>
              <w:jc w:val="center"/>
              <w:rPr>
                <w:rFonts w:ascii="Verdana" w:hAnsi="Verdana" w:cs="Arial"/>
                <w:lang w:val="en-GB"/>
              </w:rPr>
            </w:pPr>
            <w:r w:rsidRPr="003829F4">
              <w:rPr>
                <w:rFonts w:ascii="Verdana" w:hAnsi="Verdana" w:cs="Arial"/>
                <w:lang w:val="en-GB"/>
              </w:rPr>
              <w:t>0.00</w:t>
            </w:r>
          </w:p>
        </w:tc>
      </w:tr>
      <w:tr w:rsidR="003048B0" w:rsidRPr="003829F4" w14:paraId="06959A48" w14:textId="3F9615DA" w:rsidTr="003C56F6">
        <w:tc>
          <w:tcPr>
            <w:tcW w:w="731" w:type="dxa"/>
          </w:tcPr>
          <w:p w14:paraId="05300F2F" w14:textId="0EB52D77" w:rsidR="003048B0" w:rsidRPr="00AF1307" w:rsidRDefault="00AF1307" w:rsidP="00AF1307">
            <w:pPr>
              <w:widowControl w:val="0"/>
              <w:tabs>
                <w:tab w:val="left" w:pos="3969"/>
              </w:tabs>
              <w:spacing w:after="120"/>
              <w:ind w:left="360" w:hanging="360"/>
              <w:jc w:val="center"/>
              <w:rPr>
                <w:rFonts w:ascii="Verdana" w:hAnsi="Verdana" w:cs="Arial"/>
                <w:lang w:val="en-GB"/>
              </w:rPr>
            </w:pPr>
            <w:r w:rsidRPr="003829F4">
              <w:rPr>
                <w:rFonts w:ascii="Verdana" w:hAnsi="Verdana" w:cs="Arial"/>
                <w:lang w:val="en-GB"/>
              </w:rPr>
              <w:t>5.</w:t>
            </w:r>
            <w:r w:rsidRPr="003829F4">
              <w:rPr>
                <w:rFonts w:ascii="Verdana" w:hAnsi="Verdana" w:cs="Arial"/>
                <w:lang w:val="en-GB"/>
              </w:rPr>
              <w:tab/>
            </w:r>
          </w:p>
        </w:tc>
        <w:tc>
          <w:tcPr>
            <w:tcW w:w="2176" w:type="dxa"/>
          </w:tcPr>
          <w:p w14:paraId="1FC3403D" w14:textId="69E110A9" w:rsidR="003048B0" w:rsidRPr="003829F4" w:rsidRDefault="003048B0" w:rsidP="008D2B54">
            <w:pPr>
              <w:widowControl w:val="0"/>
              <w:tabs>
                <w:tab w:val="left" w:pos="3969"/>
              </w:tabs>
              <w:spacing w:after="120"/>
              <w:rPr>
                <w:rFonts w:ascii="Verdana" w:hAnsi="Verdana" w:cs="Arial"/>
                <w:lang w:val="en-GB"/>
              </w:rPr>
            </w:pPr>
            <w:r w:rsidRPr="003829F4">
              <w:rPr>
                <w:rFonts w:ascii="Verdana" w:hAnsi="Verdana" w:cs="Arial"/>
                <w:lang w:val="en-GB"/>
              </w:rPr>
              <w:t>House Maintenance</w:t>
            </w:r>
          </w:p>
        </w:tc>
        <w:tc>
          <w:tcPr>
            <w:tcW w:w="1457" w:type="dxa"/>
          </w:tcPr>
          <w:p w14:paraId="5AE46222" w14:textId="6E9ADCC4" w:rsidR="003048B0" w:rsidRPr="003829F4" w:rsidRDefault="00F55765" w:rsidP="008D2B54">
            <w:pPr>
              <w:widowControl w:val="0"/>
              <w:tabs>
                <w:tab w:val="left" w:pos="3969"/>
              </w:tabs>
              <w:spacing w:after="120"/>
              <w:jc w:val="center"/>
              <w:rPr>
                <w:rFonts w:ascii="Verdana" w:hAnsi="Verdana" w:cs="Arial"/>
                <w:lang w:val="en-GB"/>
              </w:rPr>
            </w:pPr>
            <w:r w:rsidRPr="003829F4">
              <w:rPr>
                <w:rFonts w:ascii="Verdana" w:hAnsi="Verdana" w:cs="Arial"/>
                <w:lang w:val="en-GB"/>
              </w:rPr>
              <w:t>5 000</w:t>
            </w:r>
            <w:r w:rsidR="003048B0" w:rsidRPr="003829F4">
              <w:rPr>
                <w:rFonts w:ascii="Verdana" w:hAnsi="Verdana" w:cs="Arial"/>
                <w:lang w:val="en-GB"/>
              </w:rPr>
              <w:t>.00</w:t>
            </w:r>
          </w:p>
        </w:tc>
        <w:tc>
          <w:tcPr>
            <w:tcW w:w="1457" w:type="dxa"/>
          </w:tcPr>
          <w:p w14:paraId="7BD11AB8" w14:textId="6696DB73" w:rsidR="003048B0" w:rsidRPr="003829F4" w:rsidRDefault="00F55765" w:rsidP="008D2B54">
            <w:pPr>
              <w:widowControl w:val="0"/>
              <w:tabs>
                <w:tab w:val="left" w:pos="3969"/>
              </w:tabs>
              <w:spacing w:after="120"/>
              <w:jc w:val="center"/>
              <w:rPr>
                <w:rFonts w:ascii="Verdana" w:hAnsi="Verdana" w:cs="Arial"/>
                <w:lang w:val="en-GB"/>
              </w:rPr>
            </w:pPr>
            <w:r w:rsidRPr="003829F4">
              <w:rPr>
                <w:rFonts w:ascii="Verdana" w:hAnsi="Verdana" w:cs="Arial"/>
                <w:lang w:val="en-GB"/>
              </w:rPr>
              <w:t>5 000.00</w:t>
            </w:r>
          </w:p>
        </w:tc>
        <w:tc>
          <w:tcPr>
            <w:tcW w:w="1457" w:type="dxa"/>
          </w:tcPr>
          <w:p w14:paraId="1FFAEC79" w14:textId="67E33172" w:rsidR="003048B0" w:rsidRPr="003829F4" w:rsidRDefault="00F55765" w:rsidP="008D2B54">
            <w:pPr>
              <w:widowControl w:val="0"/>
              <w:tabs>
                <w:tab w:val="left" w:pos="3969"/>
              </w:tabs>
              <w:spacing w:after="120"/>
              <w:jc w:val="center"/>
              <w:rPr>
                <w:rFonts w:ascii="Verdana" w:hAnsi="Verdana" w:cs="Arial"/>
                <w:lang w:val="en-GB"/>
              </w:rPr>
            </w:pPr>
            <w:r w:rsidRPr="003829F4">
              <w:rPr>
                <w:rFonts w:ascii="Verdana" w:hAnsi="Verdana" w:cs="Arial"/>
                <w:lang w:val="en-GB"/>
              </w:rPr>
              <w:t>0.00</w:t>
            </w:r>
          </w:p>
        </w:tc>
      </w:tr>
      <w:tr w:rsidR="003048B0" w:rsidRPr="003829F4" w14:paraId="077F1835" w14:textId="7F695C5D" w:rsidTr="003C56F6">
        <w:tc>
          <w:tcPr>
            <w:tcW w:w="731" w:type="dxa"/>
          </w:tcPr>
          <w:p w14:paraId="50A3093B" w14:textId="736D1063" w:rsidR="003048B0" w:rsidRPr="00AF1307" w:rsidRDefault="00AF1307" w:rsidP="00AF1307">
            <w:pPr>
              <w:widowControl w:val="0"/>
              <w:tabs>
                <w:tab w:val="left" w:pos="3969"/>
              </w:tabs>
              <w:spacing w:after="120"/>
              <w:ind w:left="360" w:hanging="360"/>
              <w:jc w:val="center"/>
              <w:rPr>
                <w:rFonts w:ascii="Verdana" w:hAnsi="Verdana" w:cs="Arial"/>
                <w:lang w:val="en-GB"/>
              </w:rPr>
            </w:pPr>
            <w:r w:rsidRPr="003829F4">
              <w:rPr>
                <w:rFonts w:ascii="Verdana" w:hAnsi="Verdana" w:cs="Arial"/>
                <w:lang w:val="en-GB"/>
              </w:rPr>
              <w:t>6.</w:t>
            </w:r>
            <w:r w:rsidRPr="003829F4">
              <w:rPr>
                <w:rFonts w:ascii="Verdana" w:hAnsi="Verdana" w:cs="Arial"/>
                <w:lang w:val="en-GB"/>
              </w:rPr>
              <w:tab/>
            </w:r>
          </w:p>
        </w:tc>
        <w:tc>
          <w:tcPr>
            <w:tcW w:w="2176" w:type="dxa"/>
          </w:tcPr>
          <w:p w14:paraId="19A609FB" w14:textId="77777777" w:rsidR="003048B0" w:rsidRPr="003829F4" w:rsidRDefault="003048B0" w:rsidP="008D2B54">
            <w:pPr>
              <w:widowControl w:val="0"/>
              <w:tabs>
                <w:tab w:val="left" w:pos="3969"/>
              </w:tabs>
              <w:spacing w:after="120"/>
              <w:rPr>
                <w:rFonts w:ascii="Verdana" w:hAnsi="Verdana" w:cs="Arial"/>
                <w:lang w:val="en-GB"/>
              </w:rPr>
            </w:pPr>
            <w:r w:rsidRPr="003829F4">
              <w:rPr>
                <w:rFonts w:ascii="Verdana" w:hAnsi="Verdana" w:cs="Arial"/>
                <w:lang w:val="en-GB"/>
              </w:rPr>
              <w:t>Pocket money</w:t>
            </w:r>
          </w:p>
        </w:tc>
        <w:tc>
          <w:tcPr>
            <w:tcW w:w="1457" w:type="dxa"/>
          </w:tcPr>
          <w:p w14:paraId="21E5C9E5" w14:textId="46144E7A" w:rsidR="003048B0" w:rsidRPr="003829F4" w:rsidRDefault="00F55765" w:rsidP="008D2B54">
            <w:pPr>
              <w:widowControl w:val="0"/>
              <w:tabs>
                <w:tab w:val="left" w:pos="3969"/>
              </w:tabs>
              <w:spacing w:after="120"/>
              <w:jc w:val="center"/>
              <w:rPr>
                <w:rFonts w:ascii="Verdana" w:hAnsi="Verdana" w:cs="Arial"/>
                <w:lang w:val="en-GB"/>
              </w:rPr>
            </w:pPr>
            <w:r w:rsidRPr="003829F4">
              <w:rPr>
                <w:rFonts w:ascii="Verdana" w:hAnsi="Verdana" w:cs="Arial"/>
                <w:lang w:val="en-GB"/>
              </w:rPr>
              <w:t>13 642.23</w:t>
            </w:r>
          </w:p>
        </w:tc>
        <w:tc>
          <w:tcPr>
            <w:tcW w:w="1457" w:type="dxa"/>
          </w:tcPr>
          <w:p w14:paraId="0809607D" w14:textId="446DABCF" w:rsidR="003048B0" w:rsidRPr="003829F4" w:rsidRDefault="00F55765" w:rsidP="008D2B54">
            <w:pPr>
              <w:widowControl w:val="0"/>
              <w:tabs>
                <w:tab w:val="left" w:pos="3969"/>
              </w:tabs>
              <w:spacing w:after="120"/>
              <w:jc w:val="center"/>
              <w:rPr>
                <w:rFonts w:ascii="Verdana" w:hAnsi="Verdana" w:cs="Arial"/>
                <w:lang w:val="en-GB"/>
              </w:rPr>
            </w:pPr>
            <w:r w:rsidRPr="003829F4">
              <w:rPr>
                <w:rFonts w:ascii="Verdana" w:hAnsi="Verdana" w:cs="Arial"/>
                <w:lang w:val="en-GB"/>
              </w:rPr>
              <w:t>4 000.00</w:t>
            </w:r>
          </w:p>
        </w:tc>
        <w:tc>
          <w:tcPr>
            <w:tcW w:w="1457" w:type="dxa"/>
          </w:tcPr>
          <w:p w14:paraId="6AC742E5" w14:textId="6ACA1AF0" w:rsidR="003048B0" w:rsidRPr="003829F4" w:rsidRDefault="00F55765" w:rsidP="008D2B54">
            <w:pPr>
              <w:widowControl w:val="0"/>
              <w:tabs>
                <w:tab w:val="left" w:pos="3969"/>
              </w:tabs>
              <w:spacing w:after="120"/>
              <w:jc w:val="center"/>
              <w:rPr>
                <w:rFonts w:ascii="Verdana" w:hAnsi="Verdana" w:cs="Arial"/>
                <w:lang w:val="en-GB"/>
              </w:rPr>
            </w:pPr>
            <w:r w:rsidRPr="003829F4">
              <w:rPr>
                <w:rFonts w:ascii="Verdana" w:hAnsi="Verdana" w:cs="Arial"/>
                <w:lang w:val="en-GB"/>
              </w:rPr>
              <w:t>9 642.23</w:t>
            </w:r>
          </w:p>
        </w:tc>
      </w:tr>
      <w:tr w:rsidR="003048B0" w:rsidRPr="003829F4" w14:paraId="78EBFF5A" w14:textId="3B1FBD68" w:rsidTr="003C56F6">
        <w:tc>
          <w:tcPr>
            <w:tcW w:w="731" w:type="dxa"/>
          </w:tcPr>
          <w:p w14:paraId="48D4785A" w14:textId="42FFA82F" w:rsidR="003048B0" w:rsidRPr="00AF1307" w:rsidRDefault="00AF1307" w:rsidP="00AF1307">
            <w:pPr>
              <w:widowControl w:val="0"/>
              <w:tabs>
                <w:tab w:val="left" w:pos="3969"/>
              </w:tabs>
              <w:spacing w:after="120"/>
              <w:ind w:left="360" w:hanging="360"/>
              <w:jc w:val="center"/>
              <w:rPr>
                <w:rFonts w:ascii="Verdana" w:hAnsi="Verdana" w:cs="Arial"/>
                <w:lang w:val="en-GB"/>
              </w:rPr>
            </w:pPr>
            <w:r w:rsidRPr="003829F4">
              <w:rPr>
                <w:rFonts w:ascii="Verdana" w:hAnsi="Verdana" w:cs="Arial"/>
                <w:lang w:val="en-GB"/>
              </w:rPr>
              <w:t>7.</w:t>
            </w:r>
            <w:r w:rsidRPr="003829F4">
              <w:rPr>
                <w:rFonts w:ascii="Verdana" w:hAnsi="Verdana" w:cs="Arial"/>
                <w:lang w:val="en-GB"/>
              </w:rPr>
              <w:tab/>
            </w:r>
          </w:p>
        </w:tc>
        <w:tc>
          <w:tcPr>
            <w:tcW w:w="2176" w:type="dxa"/>
          </w:tcPr>
          <w:p w14:paraId="1A1A0158" w14:textId="77777777" w:rsidR="003048B0" w:rsidRPr="003829F4" w:rsidRDefault="003048B0" w:rsidP="008D2B54">
            <w:pPr>
              <w:widowControl w:val="0"/>
              <w:tabs>
                <w:tab w:val="left" w:pos="3969"/>
              </w:tabs>
              <w:spacing w:after="120"/>
              <w:rPr>
                <w:rFonts w:ascii="Verdana" w:hAnsi="Verdana" w:cs="Arial"/>
                <w:lang w:val="en-GB"/>
              </w:rPr>
            </w:pPr>
            <w:r w:rsidRPr="003829F4">
              <w:rPr>
                <w:rFonts w:ascii="Verdana" w:hAnsi="Verdana" w:cs="Arial"/>
                <w:lang w:val="en-GB"/>
              </w:rPr>
              <w:t xml:space="preserve">Cash withdrawals and miscellaneous </w:t>
            </w:r>
            <w:r w:rsidRPr="003829F4">
              <w:rPr>
                <w:rFonts w:ascii="Verdana" w:hAnsi="Verdana" w:cs="Arial"/>
                <w:i/>
                <w:iCs/>
                <w:lang w:val="en-GB"/>
              </w:rPr>
              <w:t>ad hoc</w:t>
            </w:r>
            <w:r w:rsidRPr="003829F4">
              <w:rPr>
                <w:rFonts w:ascii="Verdana" w:hAnsi="Verdana" w:cs="Arial"/>
                <w:lang w:val="en-GB"/>
              </w:rPr>
              <w:t xml:space="preserve"> expenses</w:t>
            </w:r>
          </w:p>
        </w:tc>
        <w:tc>
          <w:tcPr>
            <w:tcW w:w="1457" w:type="dxa"/>
          </w:tcPr>
          <w:p w14:paraId="4BCC552A" w14:textId="14138127" w:rsidR="003048B0" w:rsidRPr="003829F4" w:rsidRDefault="00F55765" w:rsidP="008D2B54">
            <w:pPr>
              <w:widowControl w:val="0"/>
              <w:tabs>
                <w:tab w:val="left" w:pos="3969"/>
              </w:tabs>
              <w:spacing w:after="120"/>
              <w:jc w:val="center"/>
              <w:rPr>
                <w:rFonts w:ascii="Verdana" w:hAnsi="Verdana" w:cs="Arial"/>
                <w:lang w:val="en-GB"/>
              </w:rPr>
            </w:pPr>
            <w:r w:rsidRPr="003829F4">
              <w:rPr>
                <w:rFonts w:ascii="Verdana" w:hAnsi="Verdana" w:cs="Arial"/>
                <w:lang w:val="en-GB"/>
              </w:rPr>
              <w:t>3 483.12</w:t>
            </w:r>
          </w:p>
        </w:tc>
        <w:tc>
          <w:tcPr>
            <w:tcW w:w="1457" w:type="dxa"/>
          </w:tcPr>
          <w:p w14:paraId="4BB223A2" w14:textId="3E6506A8" w:rsidR="003048B0" w:rsidRPr="003829F4" w:rsidRDefault="00F55765" w:rsidP="008D2B54">
            <w:pPr>
              <w:widowControl w:val="0"/>
              <w:tabs>
                <w:tab w:val="left" w:pos="3969"/>
              </w:tabs>
              <w:spacing w:after="120"/>
              <w:jc w:val="center"/>
              <w:rPr>
                <w:rFonts w:ascii="Verdana" w:hAnsi="Verdana" w:cs="Arial"/>
                <w:lang w:val="en-GB"/>
              </w:rPr>
            </w:pPr>
            <w:r w:rsidRPr="003829F4">
              <w:rPr>
                <w:rFonts w:ascii="Verdana" w:hAnsi="Verdana" w:cs="Arial"/>
                <w:lang w:val="en-GB"/>
              </w:rPr>
              <w:t>1 000.00</w:t>
            </w:r>
          </w:p>
        </w:tc>
        <w:tc>
          <w:tcPr>
            <w:tcW w:w="1457" w:type="dxa"/>
          </w:tcPr>
          <w:p w14:paraId="0C0DEA6D" w14:textId="41FA2624" w:rsidR="003048B0" w:rsidRPr="003829F4" w:rsidRDefault="00F55765" w:rsidP="008D2B54">
            <w:pPr>
              <w:widowControl w:val="0"/>
              <w:tabs>
                <w:tab w:val="left" w:pos="3969"/>
              </w:tabs>
              <w:spacing w:after="120"/>
              <w:jc w:val="center"/>
              <w:rPr>
                <w:rFonts w:ascii="Verdana" w:hAnsi="Verdana" w:cs="Arial"/>
                <w:lang w:val="en-GB"/>
              </w:rPr>
            </w:pPr>
            <w:r w:rsidRPr="003829F4">
              <w:rPr>
                <w:rFonts w:ascii="Verdana" w:hAnsi="Verdana" w:cs="Arial"/>
                <w:lang w:val="en-GB"/>
              </w:rPr>
              <w:t>2 483.12</w:t>
            </w:r>
          </w:p>
        </w:tc>
      </w:tr>
      <w:tr w:rsidR="003048B0" w:rsidRPr="003829F4" w14:paraId="452B9961" w14:textId="2E5E0CC0" w:rsidTr="003C56F6">
        <w:tc>
          <w:tcPr>
            <w:tcW w:w="731" w:type="dxa"/>
          </w:tcPr>
          <w:p w14:paraId="10B00A65" w14:textId="77777777" w:rsidR="003048B0" w:rsidRPr="003829F4" w:rsidRDefault="003048B0" w:rsidP="008D2B54">
            <w:pPr>
              <w:pStyle w:val="ListParagraph"/>
              <w:widowControl w:val="0"/>
              <w:tabs>
                <w:tab w:val="left" w:pos="3969"/>
              </w:tabs>
              <w:spacing w:after="120"/>
              <w:ind w:left="360"/>
              <w:rPr>
                <w:rFonts w:ascii="Verdana" w:hAnsi="Verdana" w:cs="Arial"/>
                <w:lang w:val="en-GB"/>
              </w:rPr>
            </w:pPr>
          </w:p>
        </w:tc>
        <w:tc>
          <w:tcPr>
            <w:tcW w:w="2176" w:type="dxa"/>
          </w:tcPr>
          <w:p w14:paraId="4C8B9158" w14:textId="77777777" w:rsidR="003048B0" w:rsidRPr="003829F4" w:rsidRDefault="003048B0" w:rsidP="008D2B54">
            <w:pPr>
              <w:widowControl w:val="0"/>
              <w:tabs>
                <w:tab w:val="left" w:pos="3969"/>
              </w:tabs>
              <w:spacing w:after="120"/>
              <w:rPr>
                <w:rFonts w:ascii="Verdana" w:hAnsi="Verdana" w:cs="Arial"/>
                <w:b/>
                <w:bCs/>
                <w:lang w:val="en-GB"/>
              </w:rPr>
            </w:pPr>
            <w:r w:rsidRPr="003829F4">
              <w:rPr>
                <w:rFonts w:ascii="Verdana" w:hAnsi="Verdana" w:cs="Arial"/>
                <w:b/>
                <w:bCs/>
                <w:lang w:val="en-GB"/>
              </w:rPr>
              <w:t>TOTAL</w:t>
            </w:r>
          </w:p>
        </w:tc>
        <w:tc>
          <w:tcPr>
            <w:tcW w:w="1457" w:type="dxa"/>
          </w:tcPr>
          <w:p w14:paraId="118562CA" w14:textId="070DC680" w:rsidR="003048B0" w:rsidRPr="003829F4" w:rsidRDefault="00F55765" w:rsidP="008D2B54">
            <w:pPr>
              <w:widowControl w:val="0"/>
              <w:tabs>
                <w:tab w:val="left" w:pos="3969"/>
              </w:tabs>
              <w:spacing w:after="120"/>
              <w:jc w:val="center"/>
              <w:rPr>
                <w:rFonts w:ascii="Verdana" w:hAnsi="Verdana" w:cs="Arial"/>
                <w:b/>
                <w:bCs/>
                <w:lang w:val="en-GB"/>
              </w:rPr>
            </w:pPr>
            <w:r w:rsidRPr="003829F4">
              <w:rPr>
                <w:rFonts w:ascii="Verdana" w:hAnsi="Verdana" w:cs="Arial"/>
                <w:b/>
                <w:bCs/>
                <w:lang w:val="en-GB"/>
              </w:rPr>
              <w:t>47 835.43</w:t>
            </w:r>
          </w:p>
        </w:tc>
        <w:tc>
          <w:tcPr>
            <w:tcW w:w="1457" w:type="dxa"/>
          </w:tcPr>
          <w:p w14:paraId="691BEF73" w14:textId="36B71CB7" w:rsidR="003048B0" w:rsidRPr="003829F4" w:rsidRDefault="00F55765" w:rsidP="008D2B54">
            <w:pPr>
              <w:widowControl w:val="0"/>
              <w:tabs>
                <w:tab w:val="left" w:pos="3969"/>
              </w:tabs>
              <w:spacing w:after="120"/>
              <w:jc w:val="center"/>
              <w:rPr>
                <w:rFonts w:ascii="Verdana" w:hAnsi="Verdana" w:cs="Arial"/>
                <w:b/>
                <w:bCs/>
                <w:lang w:val="en-GB"/>
              </w:rPr>
            </w:pPr>
            <w:r w:rsidRPr="003829F4">
              <w:rPr>
                <w:rFonts w:ascii="Verdana" w:hAnsi="Verdana" w:cs="Arial"/>
                <w:b/>
                <w:bCs/>
                <w:lang w:val="en-GB"/>
              </w:rPr>
              <w:t>20 252.85</w:t>
            </w:r>
          </w:p>
        </w:tc>
        <w:tc>
          <w:tcPr>
            <w:tcW w:w="1457" w:type="dxa"/>
          </w:tcPr>
          <w:p w14:paraId="6FBDF67A" w14:textId="4ECE94BE" w:rsidR="003048B0" w:rsidRPr="003829F4" w:rsidRDefault="00F55765" w:rsidP="008D2B54">
            <w:pPr>
              <w:widowControl w:val="0"/>
              <w:tabs>
                <w:tab w:val="left" w:pos="3969"/>
              </w:tabs>
              <w:spacing w:after="120"/>
              <w:jc w:val="center"/>
              <w:rPr>
                <w:rFonts w:ascii="Verdana" w:hAnsi="Verdana" w:cs="Arial"/>
                <w:b/>
                <w:bCs/>
                <w:lang w:val="en-GB"/>
              </w:rPr>
            </w:pPr>
            <w:r w:rsidRPr="003829F4">
              <w:rPr>
                <w:rFonts w:ascii="Verdana" w:hAnsi="Verdana" w:cs="Arial"/>
                <w:b/>
                <w:bCs/>
                <w:lang w:val="en-GB"/>
              </w:rPr>
              <w:t>27 582.58</w:t>
            </w:r>
          </w:p>
        </w:tc>
      </w:tr>
    </w:tbl>
    <w:p w14:paraId="34A7E858" w14:textId="77777777" w:rsidR="001E220E" w:rsidRPr="003829F4" w:rsidRDefault="001E220E" w:rsidP="001E220E">
      <w:pPr>
        <w:widowControl w:val="0"/>
        <w:tabs>
          <w:tab w:val="left" w:pos="3969"/>
        </w:tabs>
        <w:spacing w:after="120" w:line="240" w:lineRule="auto"/>
        <w:rPr>
          <w:rFonts w:ascii="Verdana" w:hAnsi="Verdana" w:cs="Arial"/>
          <w:lang w:val="en-GB"/>
        </w:rPr>
      </w:pPr>
    </w:p>
    <w:p w14:paraId="12A41745" w14:textId="77777777" w:rsidR="00176F7E" w:rsidRPr="003829F4" w:rsidRDefault="00176F7E" w:rsidP="001E220E">
      <w:pPr>
        <w:widowControl w:val="0"/>
        <w:tabs>
          <w:tab w:val="left" w:pos="3969"/>
        </w:tabs>
        <w:spacing w:after="120" w:line="240" w:lineRule="auto"/>
        <w:rPr>
          <w:rFonts w:ascii="Verdana" w:hAnsi="Verdana" w:cs="Arial"/>
          <w:lang w:val="en-GB"/>
        </w:rPr>
      </w:pPr>
    </w:p>
    <w:p w14:paraId="685585B3" w14:textId="163E5EF3" w:rsidR="00176F7E"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[34]</w:t>
      </w:r>
      <w:r w:rsidRPr="003829F4">
        <w:rPr>
          <w:rFonts w:ascii="Verdana" w:hAnsi="Verdana" w:cs="Arial"/>
          <w:color w:val="000000" w:themeColor="text1"/>
          <w:sz w:val="22"/>
          <w:szCs w:val="22"/>
          <w:lang w:val="en-GB"/>
        </w:rPr>
        <w:tab/>
      </w:r>
      <w:r w:rsidR="00D07D9E">
        <w:rPr>
          <w:rFonts w:ascii="Verdana" w:hAnsi="Verdana" w:cs="Arial"/>
          <w:sz w:val="22"/>
          <w:szCs w:val="22"/>
          <w:lang w:val="en-GB"/>
        </w:rPr>
        <w:t xml:space="preserve">My reasons are as follows. </w:t>
      </w:r>
      <w:r w:rsidR="00176F7E" w:rsidRPr="003829F4">
        <w:rPr>
          <w:rFonts w:ascii="Verdana" w:hAnsi="Verdana" w:cs="Arial"/>
          <w:sz w:val="22"/>
          <w:szCs w:val="22"/>
          <w:lang w:val="en-GB"/>
        </w:rPr>
        <w:t xml:space="preserve">Items 1, 4 and 5 have been disallowed completely as the respondent has tendered to pay for them. The children are not always with the respondent and are majors with their own allowances received from their father. I have therefore adjusted the claim for groceries and pocket money accordingly. I have simply reduced the fuel and </w:t>
      </w:r>
      <w:r w:rsidR="00176F7E" w:rsidRPr="003829F4">
        <w:rPr>
          <w:rFonts w:ascii="Verdana" w:hAnsi="Verdana" w:cs="Arial"/>
          <w:i/>
          <w:iCs/>
          <w:sz w:val="22"/>
          <w:szCs w:val="22"/>
          <w:lang w:val="en-GB"/>
        </w:rPr>
        <w:t xml:space="preserve">ad hoc </w:t>
      </w:r>
      <w:r w:rsidR="00176F7E" w:rsidRPr="003829F4">
        <w:rPr>
          <w:rFonts w:ascii="Verdana" w:hAnsi="Verdana" w:cs="Arial"/>
          <w:sz w:val="22"/>
          <w:szCs w:val="22"/>
          <w:lang w:val="en-GB"/>
        </w:rPr>
        <w:t>expense claim to an amount which I deem reasonable under the circumstances.</w:t>
      </w:r>
    </w:p>
    <w:p w14:paraId="65455150" w14:textId="20812A3E" w:rsidR="001E220E"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[35]</w:t>
      </w:r>
      <w:r w:rsidRPr="003829F4">
        <w:rPr>
          <w:rFonts w:ascii="Verdana" w:hAnsi="Verdana" w:cs="Arial"/>
          <w:color w:val="000000" w:themeColor="text1"/>
          <w:sz w:val="22"/>
          <w:szCs w:val="22"/>
          <w:lang w:val="en-GB"/>
        </w:rPr>
        <w:tab/>
      </w:r>
      <w:r w:rsidR="00416FA9" w:rsidRPr="003829F4">
        <w:rPr>
          <w:rFonts w:ascii="Verdana" w:hAnsi="Verdana" w:cs="Arial"/>
          <w:sz w:val="22"/>
          <w:szCs w:val="22"/>
          <w:lang w:val="en-GB"/>
        </w:rPr>
        <w:t>In the premises, the amount that I intend to award to the applicant for her cash maintenance is an amount of R 75,000.00 per month.</w:t>
      </w:r>
    </w:p>
    <w:p w14:paraId="35AA9AD0" w14:textId="4EF64C11" w:rsidR="00416FA9" w:rsidRPr="003829F4" w:rsidRDefault="00416FA9" w:rsidP="00416FA9">
      <w:pPr>
        <w:pStyle w:val="Indent"/>
        <w:widowControl w:val="0"/>
        <w:spacing w:after="360" w:line="480" w:lineRule="auto"/>
        <w:jc w:val="both"/>
        <w:rPr>
          <w:rFonts w:ascii="Verdana" w:hAnsi="Verdana" w:cs="Arial"/>
          <w:b/>
          <w:bCs/>
          <w:sz w:val="22"/>
          <w:szCs w:val="22"/>
          <w:lang w:val="en-GB"/>
        </w:rPr>
      </w:pPr>
      <w:r w:rsidRPr="003829F4">
        <w:rPr>
          <w:rFonts w:ascii="Verdana" w:hAnsi="Verdana" w:cs="Arial"/>
          <w:b/>
          <w:bCs/>
          <w:sz w:val="22"/>
          <w:szCs w:val="22"/>
          <w:lang w:val="en-GB"/>
        </w:rPr>
        <w:t>CONTRIBUTION TOWARDS LEGAL COSTS</w:t>
      </w:r>
    </w:p>
    <w:p w14:paraId="0DFA147F" w14:textId="10E446EA" w:rsidR="00416FA9"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[36]</w:t>
      </w:r>
      <w:r w:rsidRPr="003829F4">
        <w:rPr>
          <w:rFonts w:ascii="Verdana" w:hAnsi="Verdana" w:cs="Arial"/>
          <w:color w:val="000000" w:themeColor="text1"/>
          <w:sz w:val="22"/>
          <w:szCs w:val="22"/>
          <w:lang w:val="en-GB"/>
        </w:rPr>
        <w:tab/>
      </w:r>
      <w:r w:rsidR="00416FA9" w:rsidRPr="003829F4">
        <w:rPr>
          <w:rFonts w:ascii="Verdana" w:hAnsi="Verdana" w:cs="Arial"/>
          <w:sz w:val="22"/>
          <w:szCs w:val="22"/>
          <w:lang w:val="en-GB"/>
        </w:rPr>
        <w:t>The more contentious part of the applicant’s claim is the amount that she seeks as a first contribution toward her legal costs.</w:t>
      </w:r>
    </w:p>
    <w:p w14:paraId="69D3A60B" w14:textId="4FFBFB4B" w:rsidR="00416FA9"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[37]</w:t>
      </w:r>
      <w:r w:rsidRPr="003829F4">
        <w:rPr>
          <w:rFonts w:ascii="Verdana" w:hAnsi="Verdana" w:cs="Arial"/>
          <w:color w:val="000000" w:themeColor="text1"/>
          <w:sz w:val="22"/>
          <w:szCs w:val="22"/>
          <w:lang w:val="en-GB"/>
        </w:rPr>
        <w:tab/>
      </w:r>
      <w:r w:rsidR="00416FA9" w:rsidRPr="003829F4">
        <w:rPr>
          <w:rFonts w:ascii="Verdana" w:hAnsi="Verdana" w:cs="Arial"/>
          <w:sz w:val="22"/>
          <w:szCs w:val="22"/>
          <w:lang w:val="en-GB"/>
        </w:rPr>
        <w:t xml:space="preserve">Counsel for the respondent prepared a note identifying those contested items contained in the applicant’s </w:t>
      </w:r>
      <w:r w:rsidR="00416FA9" w:rsidRPr="003829F4">
        <w:rPr>
          <w:rFonts w:ascii="Verdana" w:hAnsi="Verdana" w:cs="Arial"/>
          <w:i/>
          <w:iCs/>
          <w:sz w:val="22"/>
          <w:szCs w:val="22"/>
          <w:lang w:val="en-GB"/>
        </w:rPr>
        <w:t>pro forma</w:t>
      </w:r>
      <w:r w:rsidR="00416FA9" w:rsidRPr="003829F4">
        <w:rPr>
          <w:rFonts w:ascii="Verdana" w:hAnsi="Verdana" w:cs="Arial"/>
          <w:sz w:val="22"/>
          <w:szCs w:val="22"/>
          <w:lang w:val="en-GB"/>
        </w:rPr>
        <w:t xml:space="preserve"> account. The applicant’s counsel replied with a note containing certain concessions. </w:t>
      </w:r>
      <w:r w:rsidR="003D110B" w:rsidRPr="003829F4">
        <w:rPr>
          <w:rFonts w:ascii="Verdana" w:hAnsi="Verdana" w:cs="Arial"/>
          <w:sz w:val="22"/>
          <w:szCs w:val="22"/>
          <w:lang w:val="en-GB"/>
        </w:rPr>
        <w:t>I am grateful to counsel for this helpful exercise.</w:t>
      </w:r>
    </w:p>
    <w:p w14:paraId="66FC91F3" w14:textId="37E464CE" w:rsidR="007A0DE1"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[38]</w:t>
      </w:r>
      <w:r w:rsidRPr="003829F4">
        <w:rPr>
          <w:rFonts w:ascii="Verdana" w:hAnsi="Verdana" w:cs="Arial"/>
          <w:color w:val="000000" w:themeColor="text1"/>
          <w:sz w:val="22"/>
          <w:szCs w:val="22"/>
          <w:lang w:val="en-GB"/>
        </w:rPr>
        <w:tab/>
      </w:r>
      <w:r w:rsidR="00416FA9" w:rsidRPr="003829F4">
        <w:rPr>
          <w:rFonts w:ascii="Verdana" w:hAnsi="Verdana" w:cs="Arial"/>
          <w:sz w:val="22"/>
          <w:szCs w:val="22"/>
          <w:lang w:val="en-GB"/>
        </w:rPr>
        <w:t xml:space="preserve">The respondent’s disallowed items total an amount of R </w:t>
      </w:r>
      <w:r w:rsidR="007A0DE1" w:rsidRPr="003829F4">
        <w:rPr>
          <w:rFonts w:ascii="Verdana" w:hAnsi="Verdana" w:cs="Arial"/>
          <w:sz w:val="22"/>
          <w:szCs w:val="22"/>
          <w:lang w:val="en-GB"/>
        </w:rPr>
        <w:t>3</w:t>
      </w:r>
      <w:r w:rsidR="00B45B46" w:rsidRPr="003829F4">
        <w:rPr>
          <w:rFonts w:ascii="Verdana" w:hAnsi="Verdana" w:cs="Arial"/>
          <w:sz w:val="22"/>
          <w:szCs w:val="22"/>
          <w:lang w:val="en-GB"/>
        </w:rPr>
        <w:t>,303</w:t>
      </w:r>
      <w:r w:rsidR="007A0DE1" w:rsidRPr="003829F4">
        <w:rPr>
          <w:rFonts w:ascii="Verdana" w:hAnsi="Verdana" w:cs="Arial"/>
          <w:sz w:val="22"/>
          <w:szCs w:val="22"/>
          <w:lang w:val="en-GB"/>
        </w:rPr>
        <w:t>,</w:t>
      </w:r>
      <w:r w:rsidR="00B45B46" w:rsidRPr="003829F4">
        <w:rPr>
          <w:rFonts w:ascii="Verdana" w:hAnsi="Verdana" w:cs="Arial"/>
          <w:sz w:val="22"/>
          <w:szCs w:val="22"/>
          <w:lang w:val="en-GB"/>
        </w:rPr>
        <w:t>310</w:t>
      </w:r>
      <w:r w:rsidR="007A0DE1" w:rsidRPr="003829F4">
        <w:rPr>
          <w:rFonts w:ascii="Verdana" w:hAnsi="Verdana" w:cs="Arial"/>
          <w:sz w:val="22"/>
          <w:szCs w:val="22"/>
          <w:lang w:val="en-GB"/>
        </w:rPr>
        <w:t>.</w:t>
      </w:r>
      <w:r w:rsidR="00B45B46" w:rsidRPr="003829F4">
        <w:rPr>
          <w:rFonts w:ascii="Verdana" w:hAnsi="Verdana" w:cs="Arial"/>
          <w:sz w:val="22"/>
          <w:szCs w:val="22"/>
          <w:lang w:val="en-GB"/>
        </w:rPr>
        <w:t>71</w:t>
      </w:r>
      <w:r w:rsidR="007A0DE1" w:rsidRPr="003829F4">
        <w:rPr>
          <w:rFonts w:ascii="Verdana" w:hAnsi="Verdana" w:cs="Arial"/>
          <w:sz w:val="22"/>
          <w:szCs w:val="22"/>
          <w:lang w:val="en-GB"/>
        </w:rPr>
        <w:t>, made up as follows:</w:t>
      </w:r>
    </w:p>
    <w:p w14:paraId="45EE60A2" w14:textId="1AD4A834" w:rsidR="007A0DE1" w:rsidRPr="003829F4" w:rsidRDefault="007A0DE1" w:rsidP="007A0DE1">
      <w:pPr>
        <w:pStyle w:val="Indent"/>
        <w:widowControl w:val="0"/>
        <w:spacing w:after="360" w:line="480" w:lineRule="auto"/>
        <w:ind w:left="720"/>
        <w:jc w:val="both"/>
        <w:rPr>
          <w:rFonts w:ascii="Verdana" w:hAnsi="Verdana" w:cs="Arial"/>
          <w:sz w:val="22"/>
          <w:szCs w:val="22"/>
          <w:lang w:val="en-GB"/>
        </w:rPr>
      </w:pPr>
      <w:r w:rsidRPr="003829F4">
        <w:rPr>
          <w:rFonts w:ascii="Verdana" w:hAnsi="Verdana" w:cs="Arial"/>
          <w:sz w:val="22"/>
          <w:szCs w:val="22"/>
          <w:lang w:val="en-GB"/>
        </w:rPr>
        <w:t>[i]</w:t>
      </w:r>
      <w:r w:rsidRPr="003829F4">
        <w:rPr>
          <w:rFonts w:ascii="Verdana" w:hAnsi="Verdana" w:cs="Arial"/>
          <w:sz w:val="22"/>
          <w:szCs w:val="22"/>
          <w:lang w:val="en-GB"/>
        </w:rPr>
        <w:tab/>
        <w:t>R 2,397,276.00 (fees).</w:t>
      </w:r>
    </w:p>
    <w:p w14:paraId="0B69460C" w14:textId="6B4589F6" w:rsidR="007A0DE1" w:rsidRPr="003829F4" w:rsidRDefault="007A0DE1" w:rsidP="007A0DE1">
      <w:pPr>
        <w:pStyle w:val="Indent"/>
        <w:widowControl w:val="0"/>
        <w:spacing w:after="360" w:line="480" w:lineRule="auto"/>
        <w:ind w:left="720"/>
        <w:jc w:val="both"/>
        <w:rPr>
          <w:rFonts w:ascii="Verdana" w:hAnsi="Verdana" w:cs="Arial"/>
          <w:sz w:val="22"/>
          <w:szCs w:val="22"/>
          <w:lang w:val="en-GB"/>
        </w:rPr>
      </w:pPr>
      <w:r w:rsidRPr="003829F4">
        <w:rPr>
          <w:rFonts w:ascii="Verdana" w:hAnsi="Verdana" w:cs="Arial"/>
          <w:sz w:val="22"/>
          <w:szCs w:val="22"/>
          <w:lang w:val="en-GB"/>
        </w:rPr>
        <w:t>[ii]</w:t>
      </w:r>
      <w:r w:rsidRPr="003829F4">
        <w:rPr>
          <w:rFonts w:ascii="Verdana" w:hAnsi="Verdana" w:cs="Arial"/>
          <w:sz w:val="22"/>
          <w:szCs w:val="22"/>
          <w:lang w:val="en-GB"/>
        </w:rPr>
        <w:tab/>
        <w:t>R 134,038.41 (drawing fees).</w:t>
      </w:r>
    </w:p>
    <w:p w14:paraId="64562E6C" w14:textId="0AF2AC9D" w:rsidR="007A0DE1" w:rsidRPr="003829F4" w:rsidRDefault="007A0DE1" w:rsidP="007A0DE1">
      <w:pPr>
        <w:pStyle w:val="Indent"/>
        <w:widowControl w:val="0"/>
        <w:spacing w:after="360" w:line="480" w:lineRule="auto"/>
        <w:ind w:left="720"/>
        <w:jc w:val="both"/>
        <w:rPr>
          <w:rFonts w:ascii="Verdana" w:hAnsi="Verdana" w:cs="Arial"/>
          <w:sz w:val="22"/>
          <w:szCs w:val="22"/>
          <w:lang w:val="en-GB"/>
        </w:rPr>
      </w:pPr>
      <w:r w:rsidRPr="003829F4">
        <w:rPr>
          <w:rFonts w:ascii="Verdana" w:hAnsi="Verdana" w:cs="Arial"/>
          <w:sz w:val="22"/>
          <w:szCs w:val="22"/>
          <w:lang w:val="en-GB"/>
        </w:rPr>
        <w:t>[iii]</w:t>
      </w:r>
      <w:r w:rsidRPr="003829F4">
        <w:rPr>
          <w:rFonts w:ascii="Verdana" w:hAnsi="Verdana" w:cs="Arial"/>
          <w:sz w:val="22"/>
          <w:szCs w:val="22"/>
          <w:lang w:val="en-GB"/>
        </w:rPr>
        <w:tab/>
        <w:t>R 555,609.00 (expert fees).</w:t>
      </w:r>
    </w:p>
    <w:p w14:paraId="5234E9A4" w14:textId="002F7692" w:rsidR="007A0DE1"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[39]</w:t>
      </w:r>
      <w:r w:rsidRPr="003829F4">
        <w:rPr>
          <w:rFonts w:ascii="Verdana" w:hAnsi="Verdana" w:cs="Arial"/>
          <w:color w:val="000000" w:themeColor="text1"/>
          <w:sz w:val="22"/>
          <w:szCs w:val="22"/>
          <w:lang w:val="en-GB"/>
        </w:rPr>
        <w:tab/>
      </w:r>
      <w:r w:rsidR="004C1261" w:rsidRPr="003829F4">
        <w:rPr>
          <w:rFonts w:ascii="Verdana" w:hAnsi="Verdana" w:cs="Arial"/>
          <w:sz w:val="22"/>
          <w:szCs w:val="22"/>
          <w:lang w:val="en-GB"/>
        </w:rPr>
        <w:t xml:space="preserve">According to the respondent, </w:t>
      </w:r>
      <w:r w:rsidR="007A0DE1" w:rsidRPr="003829F4">
        <w:rPr>
          <w:rFonts w:ascii="Verdana" w:hAnsi="Verdana" w:cs="Arial"/>
          <w:sz w:val="22"/>
          <w:szCs w:val="22"/>
          <w:lang w:val="en-GB"/>
        </w:rPr>
        <w:t>the applicant</w:t>
      </w:r>
      <w:r w:rsidR="004C1261" w:rsidRPr="003829F4">
        <w:rPr>
          <w:rFonts w:ascii="Verdana" w:hAnsi="Verdana" w:cs="Arial"/>
          <w:sz w:val="22"/>
          <w:szCs w:val="22"/>
          <w:lang w:val="en-GB"/>
        </w:rPr>
        <w:t xml:space="preserve">’s best case scenario entitles her to an </w:t>
      </w:r>
      <w:r w:rsidR="007A0DE1" w:rsidRPr="003829F4">
        <w:rPr>
          <w:rFonts w:ascii="Verdana" w:hAnsi="Verdana" w:cs="Arial"/>
          <w:sz w:val="22"/>
          <w:szCs w:val="22"/>
          <w:lang w:val="en-GB"/>
        </w:rPr>
        <w:t xml:space="preserve">amount of R 172,282.00, which is inclusive of the first day of trial. He therefore contends that his tender of R 200,000.00 is </w:t>
      </w:r>
      <w:r w:rsidR="00792FCF" w:rsidRPr="003829F4">
        <w:rPr>
          <w:rFonts w:ascii="Verdana" w:hAnsi="Verdana" w:cs="Arial"/>
          <w:sz w:val="22"/>
          <w:szCs w:val="22"/>
          <w:lang w:val="en-GB"/>
        </w:rPr>
        <w:t>not only on</w:t>
      </w:r>
      <w:r w:rsidR="007A0DE1" w:rsidRPr="003829F4">
        <w:rPr>
          <w:rFonts w:ascii="Verdana" w:hAnsi="Verdana" w:cs="Arial"/>
          <w:sz w:val="22"/>
          <w:szCs w:val="22"/>
          <w:lang w:val="en-GB"/>
        </w:rPr>
        <w:t xml:space="preserve"> </w:t>
      </w:r>
      <w:r w:rsidR="00792FCF" w:rsidRPr="003829F4">
        <w:rPr>
          <w:rFonts w:ascii="Verdana" w:hAnsi="Verdana" w:cs="Arial"/>
          <w:sz w:val="22"/>
          <w:szCs w:val="22"/>
          <w:lang w:val="en-GB"/>
        </w:rPr>
        <w:t>par, but gratuitous.</w:t>
      </w:r>
    </w:p>
    <w:p w14:paraId="04AA0DC8" w14:textId="0EC6EAEE" w:rsidR="007A0DE1"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[40]</w:t>
      </w:r>
      <w:r w:rsidRPr="003829F4">
        <w:rPr>
          <w:rFonts w:ascii="Verdana" w:hAnsi="Verdana" w:cs="Arial"/>
          <w:color w:val="000000" w:themeColor="text1"/>
          <w:sz w:val="22"/>
          <w:szCs w:val="22"/>
          <w:lang w:val="en-GB"/>
        </w:rPr>
        <w:tab/>
      </w:r>
      <w:r w:rsidR="00B45B46" w:rsidRPr="003829F4">
        <w:rPr>
          <w:rFonts w:ascii="Verdana" w:hAnsi="Verdana" w:cs="Arial"/>
          <w:sz w:val="22"/>
          <w:szCs w:val="22"/>
          <w:lang w:val="en-GB"/>
        </w:rPr>
        <w:t xml:space="preserve">Having taken into account some of the respondent’s objections, the applicant has reduced her claim for a legal costs contribution from                   R 3,303,310.71 to R 2 926 693.96, which is a </w:t>
      </w:r>
      <w:r w:rsidR="00860EF6" w:rsidRPr="003829F4">
        <w:rPr>
          <w:rFonts w:ascii="Verdana" w:hAnsi="Verdana" w:cs="Arial"/>
          <w:sz w:val="22"/>
          <w:szCs w:val="22"/>
          <w:lang w:val="en-GB"/>
        </w:rPr>
        <w:t>difference of R 376 616.75.</w:t>
      </w:r>
      <w:r w:rsidR="005776D2" w:rsidRPr="003829F4">
        <w:rPr>
          <w:rFonts w:ascii="Verdana" w:hAnsi="Verdana" w:cs="Arial"/>
          <w:sz w:val="22"/>
          <w:szCs w:val="22"/>
          <w:lang w:val="en-GB"/>
        </w:rPr>
        <w:t xml:space="preserve"> The concessions made relate to the following:-</w:t>
      </w:r>
    </w:p>
    <w:p w14:paraId="4EB77486" w14:textId="6AE92F42" w:rsidR="005776D2"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[40.1]</w:t>
      </w:r>
      <w:r w:rsidRPr="003829F4">
        <w:rPr>
          <w:rFonts w:ascii="Verdana" w:hAnsi="Verdana" w:cs="Arial"/>
          <w:sz w:val="22"/>
          <w:szCs w:val="22"/>
          <w:lang w:val="en-GB"/>
        </w:rPr>
        <w:tab/>
      </w:r>
      <w:r w:rsidR="005776D2" w:rsidRPr="003829F4">
        <w:rPr>
          <w:rFonts w:ascii="Verdana" w:hAnsi="Verdana" w:cs="Arial"/>
          <w:sz w:val="22"/>
          <w:szCs w:val="22"/>
          <w:lang w:val="en-GB"/>
        </w:rPr>
        <w:t>The rule 30 proceedings</w:t>
      </w:r>
      <w:r w:rsidR="00BB6EB0" w:rsidRPr="003829F4">
        <w:rPr>
          <w:rFonts w:ascii="Verdana" w:hAnsi="Verdana" w:cs="Arial"/>
          <w:sz w:val="22"/>
          <w:szCs w:val="22"/>
          <w:lang w:val="en-GB"/>
        </w:rPr>
        <w:t xml:space="preserve"> (items 1 to 25).</w:t>
      </w:r>
    </w:p>
    <w:p w14:paraId="7D9D18B0" w14:textId="29743A31" w:rsidR="005776D2"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[40.2]</w:t>
      </w:r>
      <w:r w:rsidRPr="003829F4">
        <w:rPr>
          <w:rFonts w:ascii="Verdana" w:hAnsi="Verdana" w:cs="Arial"/>
          <w:sz w:val="22"/>
          <w:szCs w:val="22"/>
          <w:lang w:val="en-GB"/>
        </w:rPr>
        <w:tab/>
      </w:r>
      <w:r w:rsidR="005776D2" w:rsidRPr="003829F4">
        <w:rPr>
          <w:rFonts w:ascii="Verdana" w:hAnsi="Verdana" w:cs="Arial"/>
          <w:sz w:val="22"/>
          <w:szCs w:val="22"/>
          <w:lang w:val="en-GB"/>
        </w:rPr>
        <w:t xml:space="preserve">The </w:t>
      </w:r>
      <w:r w:rsidR="00BB6EB0" w:rsidRPr="003829F4">
        <w:rPr>
          <w:rFonts w:ascii="Verdana" w:hAnsi="Verdana" w:cs="Arial"/>
          <w:sz w:val="22"/>
          <w:szCs w:val="22"/>
          <w:lang w:val="en-GB"/>
        </w:rPr>
        <w:t>t</w:t>
      </w:r>
      <w:r w:rsidR="005776D2" w:rsidRPr="003829F4">
        <w:rPr>
          <w:rFonts w:ascii="Verdana" w:hAnsi="Verdana" w:cs="Arial"/>
          <w:sz w:val="22"/>
          <w:szCs w:val="22"/>
          <w:lang w:val="en-GB"/>
        </w:rPr>
        <w:t>hird party proceedings</w:t>
      </w:r>
      <w:r w:rsidR="00BB6EB0" w:rsidRPr="003829F4">
        <w:rPr>
          <w:rFonts w:ascii="Verdana" w:hAnsi="Verdana" w:cs="Arial"/>
          <w:sz w:val="22"/>
          <w:szCs w:val="22"/>
          <w:lang w:val="en-GB"/>
        </w:rPr>
        <w:t xml:space="preserve"> (items 82 to 85).</w:t>
      </w:r>
    </w:p>
    <w:p w14:paraId="00DC75D2" w14:textId="00827FFA" w:rsidR="005776D2"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[40.3]</w:t>
      </w:r>
      <w:r w:rsidRPr="003829F4">
        <w:rPr>
          <w:rFonts w:ascii="Verdana" w:hAnsi="Verdana" w:cs="Arial"/>
          <w:sz w:val="22"/>
          <w:szCs w:val="22"/>
          <w:lang w:val="en-GB"/>
        </w:rPr>
        <w:tab/>
      </w:r>
      <w:r w:rsidR="005776D2" w:rsidRPr="003829F4">
        <w:rPr>
          <w:rFonts w:ascii="Verdana" w:hAnsi="Verdana" w:cs="Arial"/>
          <w:sz w:val="22"/>
          <w:szCs w:val="22"/>
          <w:lang w:val="en-GB"/>
        </w:rPr>
        <w:t>The third party Rule 35(3) proceedings</w:t>
      </w:r>
      <w:r w:rsidR="00BB6EB0" w:rsidRPr="003829F4">
        <w:rPr>
          <w:rFonts w:ascii="Verdana" w:hAnsi="Verdana" w:cs="Arial"/>
          <w:sz w:val="22"/>
          <w:szCs w:val="22"/>
          <w:lang w:val="en-GB"/>
        </w:rPr>
        <w:t xml:space="preserve"> (items 52 to 69).</w:t>
      </w:r>
    </w:p>
    <w:p w14:paraId="571FAFC5" w14:textId="25F9F040" w:rsidR="00BB6EB0"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[40.4]</w:t>
      </w:r>
      <w:r w:rsidRPr="003829F4">
        <w:rPr>
          <w:rFonts w:ascii="Verdana" w:hAnsi="Verdana" w:cs="Arial"/>
          <w:sz w:val="22"/>
          <w:szCs w:val="22"/>
          <w:lang w:val="en-GB"/>
        </w:rPr>
        <w:tab/>
      </w:r>
      <w:r w:rsidR="00BB6EB0" w:rsidRPr="003829F4">
        <w:rPr>
          <w:rFonts w:ascii="Verdana" w:hAnsi="Verdana" w:cs="Arial"/>
          <w:sz w:val="22"/>
          <w:szCs w:val="22"/>
          <w:lang w:val="en-GB"/>
        </w:rPr>
        <w:t>Attendance at trial beyond the first day – attorney and counsel (items 190 and 193).</w:t>
      </w:r>
    </w:p>
    <w:p w14:paraId="2F9DF811" w14:textId="7DCFBFB1" w:rsidR="00BB6EB0"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[40.5]</w:t>
      </w:r>
      <w:r w:rsidRPr="003829F4">
        <w:rPr>
          <w:rFonts w:ascii="Verdana" w:hAnsi="Verdana" w:cs="Arial"/>
          <w:sz w:val="22"/>
          <w:szCs w:val="22"/>
          <w:lang w:val="en-GB"/>
        </w:rPr>
        <w:tab/>
      </w:r>
      <w:r w:rsidR="00BB6EB0" w:rsidRPr="003829F4">
        <w:rPr>
          <w:rFonts w:ascii="Verdana" w:hAnsi="Verdana" w:cs="Arial"/>
          <w:sz w:val="22"/>
          <w:szCs w:val="22"/>
          <w:lang w:val="en-GB"/>
        </w:rPr>
        <w:t>Expert witness attendances (items 191 to 192).</w:t>
      </w:r>
    </w:p>
    <w:p w14:paraId="56D3DEC7" w14:textId="2109535C" w:rsidR="005776D2"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[40.6]</w:t>
      </w:r>
      <w:r w:rsidRPr="003829F4">
        <w:rPr>
          <w:rFonts w:ascii="Verdana" w:hAnsi="Verdana" w:cs="Arial"/>
          <w:sz w:val="22"/>
          <w:szCs w:val="22"/>
          <w:lang w:val="en-GB"/>
        </w:rPr>
        <w:tab/>
      </w:r>
      <w:r w:rsidR="00BB6EB0" w:rsidRPr="003829F4">
        <w:rPr>
          <w:rFonts w:ascii="Verdana" w:hAnsi="Verdana" w:cs="Arial"/>
          <w:sz w:val="22"/>
          <w:szCs w:val="22"/>
          <w:lang w:val="en-GB"/>
        </w:rPr>
        <w:t>The noting of the judgment (items 194 to 196).</w:t>
      </w:r>
      <w:r w:rsidR="005776D2" w:rsidRPr="003829F4">
        <w:rPr>
          <w:rFonts w:ascii="Verdana" w:hAnsi="Verdana" w:cs="Arial"/>
          <w:sz w:val="22"/>
          <w:szCs w:val="22"/>
          <w:lang w:val="en-GB"/>
        </w:rPr>
        <w:tab/>
      </w:r>
    </w:p>
    <w:p w14:paraId="0B12504A" w14:textId="372EFF6A" w:rsidR="007A0DE1"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[41]</w:t>
      </w:r>
      <w:r w:rsidRPr="003829F4">
        <w:rPr>
          <w:rFonts w:ascii="Verdana" w:hAnsi="Verdana" w:cs="Arial"/>
          <w:color w:val="000000" w:themeColor="text1"/>
          <w:sz w:val="22"/>
          <w:szCs w:val="22"/>
          <w:lang w:val="en-GB"/>
        </w:rPr>
        <w:tab/>
      </w:r>
      <w:r w:rsidR="00860EF6" w:rsidRPr="003829F4">
        <w:rPr>
          <w:rFonts w:ascii="Verdana" w:hAnsi="Verdana" w:cs="Arial"/>
          <w:sz w:val="22"/>
          <w:szCs w:val="22"/>
          <w:lang w:val="en-GB"/>
        </w:rPr>
        <w:t>The respondent’s main objections may be summarised as follows:-</w:t>
      </w:r>
    </w:p>
    <w:p w14:paraId="0686AE66" w14:textId="71CBEC23" w:rsidR="005776D2"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[41.1]</w:t>
      </w:r>
      <w:r w:rsidRPr="003829F4">
        <w:rPr>
          <w:rFonts w:ascii="Verdana" w:hAnsi="Verdana" w:cs="Arial"/>
          <w:sz w:val="22"/>
          <w:szCs w:val="22"/>
          <w:lang w:val="en-GB"/>
        </w:rPr>
        <w:tab/>
      </w:r>
      <w:r w:rsidR="005776D2" w:rsidRPr="003829F4">
        <w:rPr>
          <w:rFonts w:ascii="Verdana" w:hAnsi="Verdana" w:cs="Arial"/>
          <w:sz w:val="22"/>
          <w:szCs w:val="22"/>
          <w:lang w:val="en-GB"/>
        </w:rPr>
        <w:t>The trial date is looming, and the action will finalise soon.</w:t>
      </w:r>
    </w:p>
    <w:p w14:paraId="7FAC383B" w14:textId="74B22896" w:rsidR="005776D2"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[41.2]</w:t>
      </w:r>
      <w:r w:rsidRPr="003829F4">
        <w:rPr>
          <w:rFonts w:ascii="Verdana" w:hAnsi="Verdana" w:cs="Arial"/>
          <w:sz w:val="22"/>
          <w:szCs w:val="22"/>
          <w:lang w:val="en-GB"/>
        </w:rPr>
        <w:tab/>
      </w:r>
      <w:r w:rsidR="005776D2" w:rsidRPr="003829F4">
        <w:rPr>
          <w:rFonts w:ascii="Verdana" w:hAnsi="Verdana" w:cs="Arial"/>
          <w:sz w:val="22"/>
          <w:szCs w:val="22"/>
          <w:lang w:val="en-GB"/>
        </w:rPr>
        <w:t>Discovery, more particularly further and better discovery, has already occurred.</w:t>
      </w:r>
    </w:p>
    <w:p w14:paraId="69E71EAF" w14:textId="177B6A85" w:rsidR="00BB6EB0"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[41.3]</w:t>
      </w:r>
      <w:r w:rsidRPr="003829F4">
        <w:rPr>
          <w:rFonts w:ascii="Verdana" w:hAnsi="Verdana" w:cs="Arial"/>
          <w:sz w:val="22"/>
          <w:szCs w:val="22"/>
          <w:lang w:val="en-GB"/>
        </w:rPr>
        <w:tab/>
      </w:r>
      <w:r w:rsidR="00BB6EB0" w:rsidRPr="003829F4">
        <w:rPr>
          <w:rFonts w:ascii="Verdana" w:hAnsi="Verdana" w:cs="Arial"/>
          <w:sz w:val="22"/>
          <w:szCs w:val="22"/>
          <w:lang w:val="en-GB"/>
        </w:rPr>
        <w:t>Witness have already been subpoenaed for documents.</w:t>
      </w:r>
    </w:p>
    <w:p w14:paraId="707F9931" w14:textId="0B1AA011" w:rsidR="00BB6EB0"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[41.4]</w:t>
      </w:r>
      <w:r w:rsidRPr="003829F4">
        <w:rPr>
          <w:rFonts w:ascii="Verdana" w:hAnsi="Verdana" w:cs="Arial"/>
          <w:sz w:val="22"/>
          <w:szCs w:val="22"/>
          <w:lang w:val="en-GB"/>
        </w:rPr>
        <w:tab/>
      </w:r>
      <w:r w:rsidR="00BB6EB0" w:rsidRPr="003829F4">
        <w:rPr>
          <w:rFonts w:ascii="Verdana" w:hAnsi="Verdana" w:cs="Arial"/>
          <w:sz w:val="22"/>
          <w:szCs w:val="22"/>
          <w:lang w:val="en-GB"/>
        </w:rPr>
        <w:t xml:space="preserve">Five envisaged and unspecified interlocutory applications are unnecessary for trial. </w:t>
      </w:r>
    </w:p>
    <w:p w14:paraId="02EE91E3" w14:textId="3803F6AA" w:rsidR="00BB6EB0"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[41.5]</w:t>
      </w:r>
      <w:r w:rsidRPr="003829F4">
        <w:rPr>
          <w:rFonts w:ascii="Verdana" w:hAnsi="Verdana" w:cs="Arial"/>
          <w:sz w:val="22"/>
          <w:szCs w:val="22"/>
          <w:lang w:val="en-GB"/>
        </w:rPr>
        <w:tab/>
      </w:r>
      <w:r w:rsidR="00BB6EB0" w:rsidRPr="003829F4">
        <w:rPr>
          <w:rFonts w:ascii="Verdana" w:hAnsi="Verdana" w:cs="Arial"/>
          <w:sz w:val="22"/>
          <w:szCs w:val="22"/>
          <w:lang w:val="en-GB"/>
        </w:rPr>
        <w:t>Experts are unnecessary for trial.</w:t>
      </w:r>
      <w:r w:rsidR="00124319" w:rsidRPr="003829F4">
        <w:rPr>
          <w:rFonts w:ascii="Verdana" w:hAnsi="Verdana" w:cs="Arial"/>
          <w:sz w:val="22"/>
          <w:szCs w:val="22"/>
          <w:lang w:val="en-GB"/>
        </w:rPr>
        <w:t xml:space="preserve"> The respondent is not calling any experts.</w:t>
      </w:r>
    </w:p>
    <w:p w14:paraId="0286E65E" w14:textId="7C2F274F" w:rsidR="00BB6EB0"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[41.6]</w:t>
      </w:r>
      <w:r w:rsidRPr="003829F4">
        <w:rPr>
          <w:rFonts w:ascii="Verdana" w:hAnsi="Verdana" w:cs="Arial"/>
          <w:sz w:val="22"/>
          <w:szCs w:val="22"/>
          <w:lang w:val="en-GB"/>
        </w:rPr>
        <w:tab/>
      </w:r>
      <w:r w:rsidR="00BB6EB0" w:rsidRPr="003829F4">
        <w:rPr>
          <w:rFonts w:ascii="Verdana" w:hAnsi="Verdana" w:cs="Arial"/>
          <w:sz w:val="22"/>
          <w:szCs w:val="22"/>
          <w:lang w:val="en-GB"/>
        </w:rPr>
        <w:t>Heads of argument are unnecessary for trial.</w:t>
      </w:r>
    </w:p>
    <w:p w14:paraId="3299CCF4" w14:textId="43570387" w:rsidR="00BB6EB0"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[41.7]</w:t>
      </w:r>
      <w:r w:rsidRPr="003829F4">
        <w:rPr>
          <w:rFonts w:ascii="Verdana" w:hAnsi="Verdana" w:cs="Arial"/>
          <w:sz w:val="22"/>
          <w:szCs w:val="22"/>
          <w:lang w:val="en-GB"/>
        </w:rPr>
        <w:tab/>
      </w:r>
      <w:r w:rsidR="00BB6EB0" w:rsidRPr="003829F4">
        <w:rPr>
          <w:rFonts w:ascii="Verdana" w:hAnsi="Verdana" w:cs="Arial"/>
          <w:sz w:val="22"/>
          <w:szCs w:val="22"/>
          <w:lang w:val="en-GB"/>
        </w:rPr>
        <w:t xml:space="preserve">Judicial pre-trial conferences are </w:t>
      </w:r>
      <w:r w:rsidR="00D07D9E" w:rsidRPr="003829F4">
        <w:rPr>
          <w:rFonts w:ascii="Verdana" w:hAnsi="Verdana" w:cs="Arial"/>
          <w:sz w:val="22"/>
          <w:szCs w:val="22"/>
          <w:lang w:val="en-GB"/>
        </w:rPr>
        <w:t>unnecessary,</w:t>
      </w:r>
      <w:r w:rsidR="00BB6EB0" w:rsidRPr="003829F4">
        <w:rPr>
          <w:rFonts w:ascii="Verdana" w:hAnsi="Verdana" w:cs="Arial"/>
          <w:sz w:val="22"/>
          <w:szCs w:val="22"/>
          <w:lang w:val="en-GB"/>
        </w:rPr>
        <w:t xml:space="preserve"> and the amount </w:t>
      </w:r>
      <w:r w:rsidR="00124319" w:rsidRPr="003829F4">
        <w:rPr>
          <w:rFonts w:ascii="Verdana" w:hAnsi="Verdana" w:cs="Arial"/>
          <w:sz w:val="22"/>
          <w:szCs w:val="22"/>
          <w:lang w:val="en-GB"/>
        </w:rPr>
        <w:t>claimed</w:t>
      </w:r>
      <w:r w:rsidR="00BB6EB0" w:rsidRPr="003829F4">
        <w:rPr>
          <w:rFonts w:ascii="Verdana" w:hAnsi="Verdana" w:cs="Arial"/>
          <w:sz w:val="22"/>
          <w:szCs w:val="22"/>
          <w:lang w:val="en-GB"/>
        </w:rPr>
        <w:t xml:space="preserve"> is exorbitant.</w:t>
      </w:r>
    </w:p>
    <w:p w14:paraId="068F7173" w14:textId="6084023F" w:rsidR="00124319"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[41.8]</w:t>
      </w:r>
      <w:r w:rsidRPr="003829F4">
        <w:rPr>
          <w:rFonts w:ascii="Verdana" w:hAnsi="Verdana" w:cs="Arial"/>
          <w:sz w:val="22"/>
          <w:szCs w:val="22"/>
          <w:lang w:val="en-GB"/>
        </w:rPr>
        <w:tab/>
      </w:r>
      <w:r w:rsidR="00BB6EB0" w:rsidRPr="003829F4">
        <w:rPr>
          <w:rFonts w:ascii="Verdana" w:hAnsi="Verdana" w:cs="Arial"/>
          <w:sz w:val="22"/>
          <w:szCs w:val="22"/>
          <w:lang w:val="en-GB"/>
        </w:rPr>
        <w:t xml:space="preserve">Indices for trial are unnecessary and the amount </w:t>
      </w:r>
      <w:r w:rsidR="00124319" w:rsidRPr="003829F4">
        <w:rPr>
          <w:rFonts w:ascii="Verdana" w:hAnsi="Verdana" w:cs="Arial"/>
          <w:sz w:val="22"/>
          <w:szCs w:val="22"/>
          <w:lang w:val="en-GB"/>
        </w:rPr>
        <w:t>claimed is exorbitant.</w:t>
      </w:r>
    </w:p>
    <w:p w14:paraId="32E7C021" w14:textId="5A8FFA59" w:rsidR="00124319" w:rsidRPr="003829F4" w:rsidRDefault="00AF1307" w:rsidP="00AF1307">
      <w:pPr>
        <w:pStyle w:val="Indent"/>
        <w:widowControl w:val="0"/>
        <w:tabs>
          <w:tab w:val="left" w:pos="7371"/>
        </w:tabs>
        <w:spacing w:after="360" w:line="480" w:lineRule="auto"/>
        <w:ind w:left="1985" w:hanging="1265"/>
        <w:jc w:val="both"/>
        <w:rPr>
          <w:rFonts w:ascii="Verdana" w:hAnsi="Verdana" w:cs="Arial"/>
          <w:sz w:val="22"/>
          <w:szCs w:val="22"/>
          <w:lang w:val="en-GB"/>
        </w:rPr>
      </w:pPr>
      <w:r w:rsidRPr="003829F4">
        <w:rPr>
          <w:rFonts w:ascii="Verdana" w:hAnsi="Verdana" w:cs="Arial"/>
          <w:sz w:val="22"/>
          <w:szCs w:val="22"/>
          <w:lang w:val="en-GB"/>
        </w:rPr>
        <w:t>[41.9]</w:t>
      </w:r>
      <w:r w:rsidRPr="003829F4">
        <w:rPr>
          <w:rFonts w:ascii="Verdana" w:hAnsi="Verdana" w:cs="Arial"/>
          <w:sz w:val="22"/>
          <w:szCs w:val="22"/>
          <w:lang w:val="en-GB"/>
        </w:rPr>
        <w:tab/>
      </w:r>
      <w:r w:rsidR="00124319" w:rsidRPr="003829F4">
        <w:rPr>
          <w:rFonts w:ascii="Verdana" w:hAnsi="Verdana" w:cs="Arial"/>
          <w:sz w:val="22"/>
          <w:szCs w:val="22"/>
          <w:lang w:val="en-GB"/>
        </w:rPr>
        <w:t>All items relating to the third party trust should be disallowed, because the trust is not defending the action and the parties have agreed to a joint estate.</w:t>
      </w:r>
    </w:p>
    <w:p w14:paraId="7C283241" w14:textId="4FD5DD19" w:rsidR="00860EF6"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[42]</w:t>
      </w:r>
      <w:r w:rsidRPr="003829F4">
        <w:rPr>
          <w:rFonts w:ascii="Verdana" w:hAnsi="Verdana" w:cs="Arial"/>
          <w:color w:val="000000" w:themeColor="text1"/>
          <w:sz w:val="22"/>
          <w:szCs w:val="22"/>
          <w:lang w:val="en-GB"/>
        </w:rPr>
        <w:tab/>
      </w:r>
      <w:r w:rsidR="00124319" w:rsidRPr="003829F4">
        <w:rPr>
          <w:rFonts w:ascii="Verdana" w:hAnsi="Verdana" w:cs="Arial"/>
          <w:sz w:val="22"/>
          <w:szCs w:val="22"/>
          <w:lang w:val="en-GB"/>
        </w:rPr>
        <w:t xml:space="preserve">It is imperative to consider the applicant’s claim for a legal costs contribution against the background of the prevailing legal principles </w:t>
      </w:r>
      <w:r w:rsidR="007A1B2C" w:rsidRPr="003829F4">
        <w:rPr>
          <w:rFonts w:ascii="Verdana" w:hAnsi="Verdana" w:cs="Arial"/>
          <w:sz w:val="22"/>
          <w:szCs w:val="22"/>
          <w:lang w:val="en-GB"/>
        </w:rPr>
        <w:t>as developed in recent</w:t>
      </w:r>
      <w:r w:rsidR="00124319" w:rsidRPr="003829F4">
        <w:rPr>
          <w:rFonts w:ascii="Verdana" w:hAnsi="Verdana" w:cs="Arial"/>
          <w:sz w:val="22"/>
          <w:szCs w:val="22"/>
          <w:lang w:val="en-GB"/>
        </w:rPr>
        <w:t xml:space="preserve"> authorities.  These principles have been succinctly summarised </w:t>
      </w:r>
      <w:r w:rsidR="007A1B2C" w:rsidRPr="003829F4">
        <w:rPr>
          <w:rFonts w:ascii="Verdana" w:hAnsi="Verdana" w:cs="Arial"/>
          <w:sz w:val="22"/>
          <w:szCs w:val="22"/>
          <w:lang w:val="en-GB"/>
        </w:rPr>
        <w:t>various courts over the past years, and most recently also by this court.</w:t>
      </w:r>
      <w:r w:rsidR="007A1B2C" w:rsidRPr="003829F4">
        <w:rPr>
          <w:rStyle w:val="FootnoteReference"/>
          <w:rFonts w:ascii="Verdana" w:hAnsi="Verdana" w:cs="Arial"/>
          <w:sz w:val="22"/>
          <w:szCs w:val="22"/>
          <w:lang w:val="en-GB"/>
        </w:rPr>
        <w:footnoteReference w:id="14"/>
      </w:r>
      <w:r w:rsidR="007A1B2C" w:rsidRPr="003829F4">
        <w:rPr>
          <w:rFonts w:ascii="Verdana" w:hAnsi="Verdana" w:cs="Arial"/>
          <w:sz w:val="22"/>
          <w:szCs w:val="22"/>
          <w:lang w:val="en-GB"/>
        </w:rPr>
        <w:t xml:space="preserve"> No harm will be done by repeating them here.</w:t>
      </w:r>
    </w:p>
    <w:p w14:paraId="0643305F" w14:textId="0F767E3E" w:rsidR="007A1B2C" w:rsidRPr="003829F4" w:rsidRDefault="00AF1307" w:rsidP="00AF1307">
      <w:pPr>
        <w:pStyle w:val="Indent"/>
        <w:widowControl w:val="0"/>
        <w:tabs>
          <w:tab w:val="left" w:pos="1560"/>
        </w:tabs>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[43]</w:t>
      </w:r>
      <w:r w:rsidRPr="003829F4">
        <w:rPr>
          <w:rFonts w:ascii="Verdana" w:hAnsi="Verdana" w:cs="Arial"/>
          <w:color w:val="000000" w:themeColor="text1"/>
          <w:sz w:val="22"/>
          <w:szCs w:val="22"/>
          <w:lang w:val="en-GB"/>
        </w:rPr>
        <w:tab/>
      </w:r>
      <w:r w:rsidR="007A1B2C" w:rsidRPr="003829F4">
        <w:rPr>
          <w:rFonts w:ascii="Verdana" w:hAnsi="Verdana" w:cs="Arial"/>
          <w:sz w:val="22"/>
          <w:szCs w:val="22"/>
          <w:lang w:val="en-GB"/>
        </w:rPr>
        <w:t xml:space="preserve">The guiding principle in exercising the discretion which the court has when considering a claim for a contribution towards legal costs, was formulated in </w:t>
      </w:r>
      <w:r w:rsidR="007A1B2C" w:rsidRPr="003829F4">
        <w:rPr>
          <w:rFonts w:ascii="Verdana" w:hAnsi="Verdana" w:cs="Arial"/>
          <w:i/>
          <w:iCs/>
          <w:sz w:val="22"/>
          <w:szCs w:val="22"/>
          <w:lang w:val="en-GB"/>
        </w:rPr>
        <w:t>Van Rippen</w:t>
      </w:r>
      <w:r w:rsidR="007A1B2C" w:rsidRPr="003829F4">
        <w:rPr>
          <w:rStyle w:val="FootnoteReference"/>
          <w:rFonts w:ascii="Verdana" w:hAnsi="Verdana" w:cs="Arial"/>
          <w:sz w:val="22"/>
          <w:szCs w:val="22"/>
          <w:lang w:val="en-GB"/>
        </w:rPr>
        <w:footnoteReference w:id="15"/>
      </w:r>
      <w:r w:rsidR="007A1B2C" w:rsidRPr="003829F4">
        <w:rPr>
          <w:rFonts w:ascii="Verdana" w:hAnsi="Verdana" w:cs="Arial"/>
          <w:sz w:val="22"/>
          <w:szCs w:val="22"/>
          <w:lang w:val="en-GB"/>
        </w:rPr>
        <w:t xml:space="preserve"> as follows: -</w:t>
      </w:r>
    </w:p>
    <w:p w14:paraId="5AA35DBD" w14:textId="77777777" w:rsidR="007A1B2C" w:rsidRPr="003829F4" w:rsidRDefault="007A1B2C" w:rsidP="007A1B2C">
      <w:pPr>
        <w:pStyle w:val="Indent"/>
        <w:widowControl w:val="0"/>
        <w:tabs>
          <w:tab w:val="left" w:pos="1560"/>
        </w:tabs>
        <w:spacing w:after="480" w:line="360" w:lineRule="auto"/>
        <w:ind w:left="1440"/>
        <w:jc w:val="both"/>
        <w:rPr>
          <w:rFonts w:ascii="Verdana" w:hAnsi="Verdana" w:cs="Arial"/>
          <w:i/>
          <w:iCs/>
          <w:sz w:val="22"/>
          <w:szCs w:val="22"/>
          <w:lang w:val="en-GB"/>
        </w:rPr>
      </w:pPr>
      <w:r w:rsidRPr="003829F4">
        <w:rPr>
          <w:rFonts w:ascii="Verdana" w:hAnsi="Verdana" w:cs="Arial"/>
          <w:i/>
          <w:iCs/>
          <w:sz w:val="22"/>
          <w:szCs w:val="22"/>
          <w:lang w:val="en-GB"/>
        </w:rPr>
        <w:t>“… The court should, I think, have the dominant objecting view that, having regard to the circumstances of the case, the financial position of the parties, and the particular issues involved in the pending litigation, the wife must be enabled to present her case adequately before the court.”</w:t>
      </w:r>
    </w:p>
    <w:p w14:paraId="48500276" w14:textId="286A4219" w:rsidR="007A1B2C" w:rsidRPr="003829F4" w:rsidRDefault="00AF1307" w:rsidP="00AF1307">
      <w:pPr>
        <w:pStyle w:val="Indent"/>
        <w:widowControl w:val="0"/>
        <w:tabs>
          <w:tab w:val="left" w:pos="1560"/>
        </w:tabs>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[44]</w:t>
      </w:r>
      <w:r w:rsidRPr="003829F4">
        <w:rPr>
          <w:rFonts w:ascii="Verdana" w:hAnsi="Verdana" w:cs="Arial"/>
          <w:color w:val="000000" w:themeColor="text1"/>
          <w:sz w:val="22"/>
          <w:szCs w:val="22"/>
          <w:lang w:val="en-GB"/>
        </w:rPr>
        <w:tab/>
      </w:r>
      <w:r w:rsidR="007A1B2C" w:rsidRPr="003829F4">
        <w:rPr>
          <w:rFonts w:ascii="Verdana" w:hAnsi="Verdana" w:cs="Arial"/>
          <w:sz w:val="22"/>
          <w:szCs w:val="22"/>
          <w:lang w:val="en-GB"/>
        </w:rPr>
        <w:t xml:space="preserve">In </w:t>
      </w:r>
      <w:r w:rsidR="007A1B2C" w:rsidRPr="003829F4">
        <w:rPr>
          <w:rFonts w:ascii="Verdana" w:hAnsi="Verdana" w:cs="Arial"/>
          <w:i/>
          <w:iCs/>
          <w:sz w:val="22"/>
          <w:szCs w:val="22"/>
          <w:lang w:val="en-GB"/>
        </w:rPr>
        <w:t>Cary</w:t>
      </w:r>
      <w:r w:rsidR="007A1B2C" w:rsidRPr="003829F4">
        <w:rPr>
          <w:rStyle w:val="FootnoteReference"/>
          <w:rFonts w:ascii="Verdana" w:hAnsi="Verdana" w:cs="Arial"/>
          <w:i/>
          <w:iCs/>
          <w:sz w:val="22"/>
          <w:szCs w:val="22"/>
          <w:lang w:val="en-GB"/>
        </w:rPr>
        <w:footnoteReference w:id="16"/>
      </w:r>
      <w:r w:rsidR="007A1B2C" w:rsidRPr="003829F4">
        <w:rPr>
          <w:rFonts w:ascii="Verdana" w:hAnsi="Verdana" w:cs="Arial"/>
          <w:sz w:val="22"/>
          <w:szCs w:val="22"/>
          <w:lang w:val="en-GB"/>
        </w:rPr>
        <w:t xml:space="preserve"> Donen AJ referred to the constitutional imperatives of the quality before the law. He observed at the outset that he was required to exercise his discretion under rule 43 in the light of the fundamental right to equality and equal protection before the law. He held that there should be </w:t>
      </w:r>
      <w:r w:rsidR="007A1B2C" w:rsidRPr="003829F4">
        <w:rPr>
          <w:rFonts w:ascii="Verdana" w:hAnsi="Verdana" w:cs="Arial"/>
          <w:i/>
          <w:iCs/>
          <w:sz w:val="22"/>
          <w:szCs w:val="22"/>
          <w:lang w:val="en-GB"/>
        </w:rPr>
        <w:t>“equality of arms”</w:t>
      </w:r>
      <w:r w:rsidR="007A1B2C" w:rsidRPr="003829F4">
        <w:rPr>
          <w:rFonts w:ascii="Verdana" w:hAnsi="Verdana" w:cs="Arial"/>
          <w:sz w:val="22"/>
          <w:szCs w:val="22"/>
          <w:lang w:val="en-GB"/>
        </w:rPr>
        <w:t xml:space="preserve"> in order for a divorce trial to be fair, and concluded that: -</w:t>
      </w:r>
    </w:p>
    <w:p w14:paraId="407B4ACC" w14:textId="77777777" w:rsidR="007A1B2C" w:rsidRPr="003829F4" w:rsidRDefault="007A1B2C" w:rsidP="007A1B2C">
      <w:pPr>
        <w:pStyle w:val="Indent"/>
        <w:widowControl w:val="0"/>
        <w:tabs>
          <w:tab w:val="left" w:pos="1560"/>
        </w:tabs>
        <w:spacing w:after="480" w:line="360" w:lineRule="auto"/>
        <w:ind w:left="1440"/>
        <w:jc w:val="both"/>
        <w:rPr>
          <w:rFonts w:ascii="Verdana" w:hAnsi="Verdana" w:cs="Arial"/>
          <w:i/>
          <w:iCs/>
          <w:sz w:val="22"/>
          <w:szCs w:val="22"/>
          <w:lang w:val="en-GB"/>
        </w:rPr>
      </w:pPr>
      <w:r w:rsidRPr="003829F4">
        <w:rPr>
          <w:rFonts w:ascii="Verdana" w:hAnsi="Verdana" w:cs="Arial"/>
          <w:i/>
          <w:iCs/>
          <w:sz w:val="22"/>
          <w:szCs w:val="22"/>
          <w:lang w:val="en-GB"/>
        </w:rPr>
        <w:t>“… Applicant is entitled to a contribution towards her costs which would ensure the quality of arms in the divorce action against her husband. The applicant would not be able to present her case fairly unless she is empowered to investigate respondent’s financial affairs through the forensic accountant appointed by her. That is applicant will not enjoy equal protection unless she is equally empowered with ‘the sinews of war’. The question of protecting applicant’s right to and respect for and protection of her dignity also arises in the present situation, where a wife has to approach her husband for the means to divorce him. I therefore regard myself as being constitutionally bound to err on the side of the ‘paramount consideration that she should be enabled adequately to place her case before the court’. The papers before me indicate that the respondent can afford to pay the amount claimed and that he will not be prejudiced in the conduct of his own case should he be ordered to do so.”</w:t>
      </w:r>
    </w:p>
    <w:p w14:paraId="54F15D75" w14:textId="050B9546" w:rsidR="007A1B2C" w:rsidRPr="003829F4" w:rsidRDefault="00AF1307" w:rsidP="00AF1307">
      <w:pPr>
        <w:pStyle w:val="Indent"/>
        <w:widowControl w:val="0"/>
        <w:tabs>
          <w:tab w:val="left" w:pos="1560"/>
        </w:tabs>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[45]</w:t>
      </w:r>
      <w:r w:rsidRPr="003829F4">
        <w:rPr>
          <w:rFonts w:ascii="Verdana" w:hAnsi="Verdana" w:cs="Arial"/>
          <w:color w:val="000000" w:themeColor="text1"/>
          <w:sz w:val="22"/>
          <w:szCs w:val="22"/>
          <w:lang w:val="en-GB"/>
        </w:rPr>
        <w:tab/>
      </w:r>
      <w:r w:rsidR="007A1B2C" w:rsidRPr="003829F4">
        <w:rPr>
          <w:rFonts w:ascii="Verdana" w:hAnsi="Verdana" w:cs="Arial"/>
          <w:sz w:val="22"/>
          <w:szCs w:val="22"/>
          <w:lang w:val="en-GB"/>
        </w:rPr>
        <w:t xml:space="preserve">The claim for a contribution towards costs in a matrimonial suit is </w:t>
      </w:r>
      <w:r w:rsidR="007A1B2C" w:rsidRPr="003829F4">
        <w:rPr>
          <w:rFonts w:ascii="Verdana" w:hAnsi="Verdana" w:cs="Arial"/>
          <w:i/>
          <w:iCs/>
          <w:sz w:val="22"/>
          <w:szCs w:val="22"/>
          <w:lang w:val="en-GB"/>
        </w:rPr>
        <w:t>sui generis</w:t>
      </w:r>
      <w:r w:rsidR="007A1B2C" w:rsidRPr="003829F4">
        <w:rPr>
          <w:rFonts w:ascii="Verdana" w:hAnsi="Verdana" w:cs="Arial"/>
          <w:sz w:val="22"/>
          <w:szCs w:val="22"/>
          <w:lang w:val="en-GB"/>
        </w:rPr>
        <w:t xml:space="preserve">. It is an incident of the duty of support which spouses owe to each other. It is clear from the authorities quoted above that the purpose of the remedy has consistently been recognised as being to enable the party in a principal litigation who is comparatively financially disadvantaged in relation to the other side to adequately place her case before the court. </w:t>
      </w:r>
    </w:p>
    <w:p w14:paraId="4A9B3A2E" w14:textId="3B8F570E" w:rsidR="007A1B2C" w:rsidRPr="003829F4" w:rsidRDefault="00AF1307" w:rsidP="00AF1307">
      <w:pPr>
        <w:pStyle w:val="Indent"/>
        <w:widowControl w:val="0"/>
        <w:tabs>
          <w:tab w:val="left" w:pos="1560"/>
        </w:tabs>
        <w:spacing w:after="48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[46]</w:t>
      </w:r>
      <w:r w:rsidRPr="003829F4">
        <w:rPr>
          <w:rFonts w:ascii="Verdana" w:hAnsi="Verdana" w:cs="Arial"/>
          <w:color w:val="000000" w:themeColor="text1"/>
          <w:sz w:val="22"/>
          <w:szCs w:val="22"/>
          <w:lang w:val="en-GB"/>
        </w:rPr>
        <w:tab/>
      </w:r>
      <w:r w:rsidR="007A1B2C" w:rsidRPr="003829F4">
        <w:rPr>
          <w:rFonts w:ascii="Verdana" w:hAnsi="Verdana" w:cs="Arial"/>
          <w:sz w:val="22"/>
          <w:szCs w:val="22"/>
          <w:lang w:val="en-GB"/>
        </w:rPr>
        <w:t xml:space="preserve">In </w:t>
      </w:r>
      <w:r w:rsidR="007A1B2C" w:rsidRPr="003829F4">
        <w:rPr>
          <w:rFonts w:ascii="Verdana" w:hAnsi="Verdana" w:cs="Arial"/>
          <w:i/>
          <w:iCs/>
          <w:sz w:val="22"/>
          <w:szCs w:val="22"/>
          <w:lang w:val="en-GB"/>
        </w:rPr>
        <w:t>Eke v Parsons</w:t>
      </w:r>
      <w:r w:rsidR="007A1B2C" w:rsidRPr="003829F4">
        <w:rPr>
          <w:rStyle w:val="FootnoteReference"/>
          <w:rFonts w:ascii="Verdana" w:hAnsi="Verdana" w:cs="Arial"/>
          <w:i/>
          <w:iCs/>
          <w:sz w:val="22"/>
          <w:szCs w:val="22"/>
          <w:lang w:val="en-GB"/>
        </w:rPr>
        <w:footnoteReference w:id="17"/>
      </w:r>
      <w:r w:rsidR="007A1B2C" w:rsidRPr="003829F4">
        <w:rPr>
          <w:rFonts w:ascii="Verdana" w:hAnsi="Verdana" w:cs="Arial"/>
          <w:sz w:val="22"/>
          <w:szCs w:val="22"/>
          <w:lang w:val="en-GB"/>
        </w:rPr>
        <w:t xml:space="preserve"> it was stated that under the constitutional dispensation </w:t>
      </w:r>
      <w:r w:rsidR="007A1B2C" w:rsidRPr="003829F4">
        <w:rPr>
          <w:rFonts w:ascii="Verdana" w:hAnsi="Verdana" w:cs="Arial"/>
          <w:i/>
          <w:iCs/>
          <w:sz w:val="22"/>
          <w:szCs w:val="22"/>
          <w:lang w:val="en-GB"/>
        </w:rPr>
        <w:t>“the object of court rules is twofold. The first is to ensure a fair trial or hearing. The second is to secure the inexpensive and expeditious completion of litigation and to further the administration of justice.”</w:t>
      </w:r>
    </w:p>
    <w:p w14:paraId="4013C709" w14:textId="711130F0" w:rsidR="007A1B2C" w:rsidRPr="003829F4" w:rsidRDefault="00AF1307" w:rsidP="00AF1307">
      <w:pPr>
        <w:pStyle w:val="Indent"/>
        <w:widowControl w:val="0"/>
        <w:tabs>
          <w:tab w:val="left" w:pos="1560"/>
        </w:tabs>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[47]</w:t>
      </w:r>
      <w:r w:rsidRPr="003829F4">
        <w:rPr>
          <w:rFonts w:ascii="Verdana" w:hAnsi="Verdana" w:cs="Arial"/>
          <w:color w:val="000000" w:themeColor="text1"/>
          <w:sz w:val="22"/>
          <w:szCs w:val="22"/>
          <w:lang w:val="en-GB"/>
        </w:rPr>
        <w:tab/>
      </w:r>
      <w:r w:rsidR="007A1B2C" w:rsidRPr="003829F4">
        <w:rPr>
          <w:rFonts w:ascii="Verdana" w:hAnsi="Verdana" w:cs="Arial"/>
          <w:sz w:val="22"/>
          <w:szCs w:val="22"/>
          <w:lang w:val="en-GB"/>
        </w:rPr>
        <w:t xml:space="preserve">As stated in </w:t>
      </w:r>
      <w:r w:rsidR="007A1B2C" w:rsidRPr="003829F4">
        <w:rPr>
          <w:rFonts w:ascii="Verdana" w:hAnsi="Verdana" w:cs="Arial"/>
          <w:i/>
          <w:iCs/>
          <w:sz w:val="22"/>
          <w:szCs w:val="22"/>
          <w:lang w:val="en-GB"/>
        </w:rPr>
        <w:t>AF v MF</w:t>
      </w:r>
      <w:r w:rsidR="007A1B2C" w:rsidRPr="003829F4">
        <w:rPr>
          <w:rFonts w:ascii="Verdana" w:hAnsi="Verdana" w:cs="Arial"/>
          <w:sz w:val="22"/>
          <w:szCs w:val="22"/>
          <w:lang w:val="en-GB"/>
        </w:rPr>
        <w:t>:</w:t>
      </w:r>
      <w:r w:rsidR="007A1B2C" w:rsidRPr="003829F4">
        <w:rPr>
          <w:rStyle w:val="FootnoteReference"/>
          <w:rFonts w:ascii="Verdana" w:hAnsi="Verdana" w:cs="Arial"/>
          <w:i/>
          <w:iCs/>
          <w:sz w:val="22"/>
          <w:szCs w:val="22"/>
          <w:lang w:val="en-GB"/>
        </w:rPr>
        <w:footnoteReference w:id="18"/>
      </w:r>
      <w:r w:rsidR="007A1B2C" w:rsidRPr="003829F4">
        <w:rPr>
          <w:rFonts w:ascii="Verdana" w:hAnsi="Verdana" w:cs="Arial"/>
          <w:sz w:val="22"/>
          <w:szCs w:val="22"/>
          <w:lang w:val="en-GB"/>
        </w:rPr>
        <w:t> -</w:t>
      </w:r>
    </w:p>
    <w:p w14:paraId="51C77351" w14:textId="77777777" w:rsidR="007A1B2C" w:rsidRPr="003829F4" w:rsidRDefault="007A1B2C" w:rsidP="007A1B2C">
      <w:pPr>
        <w:pStyle w:val="Indent"/>
        <w:widowControl w:val="0"/>
        <w:tabs>
          <w:tab w:val="left" w:pos="1560"/>
        </w:tabs>
        <w:spacing w:after="480" w:line="360" w:lineRule="auto"/>
        <w:ind w:left="1440"/>
        <w:jc w:val="both"/>
        <w:rPr>
          <w:rFonts w:ascii="Verdana" w:hAnsi="Verdana" w:cs="Arial"/>
          <w:i/>
          <w:iCs/>
          <w:sz w:val="22"/>
          <w:szCs w:val="22"/>
          <w:lang w:val="en-GB"/>
        </w:rPr>
      </w:pPr>
      <w:r w:rsidRPr="003829F4">
        <w:rPr>
          <w:rFonts w:ascii="Verdana" w:hAnsi="Verdana" w:cs="Arial"/>
          <w:i/>
          <w:iCs/>
          <w:sz w:val="22"/>
          <w:szCs w:val="22"/>
          <w:lang w:val="en-GB"/>
        </w:rPr>
        <w:t>“The legal rules pertaining to the reciprocal duty of support between spouses are gender neutral so that an indigent husband may claim support from an affluent wife but the reality must be acknowledged that given traditional childcare roles and the wealth disparity between men and women, it has usually been women who have had to approach the court for a contribution towards costs in divorce litigation.”</w:t>
      </w:r>
    </w:p>
    <w:p w14:paraId="6ED9AC9A" w14:textId="712D4732" w:rsidR="007A1B2C" w:rsidRPr="003829F4" w:rsidRDefault="00AF1307" w:rsidP="00AF1307">
      <w:pPr>
        <w:pStyle w:val="Indent"/>
        <w:widowControl w:val="0"/>
        <w:tabs>
          <w:tab w:val="left" w:pos="1560"/>
        </w:tabs>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[48]</w:t>
      </w:r>
      <w:r w:rsidRPr="003829F4">
        <w:rPr>
          <w:rFonts w:ascii="Verdana" w:hAnsi="Verdana" w:cs="Arial"/>
          <w:color w:val="000000" w:themeColor="text1"/>
          <w:sz w:val="22"/>
          <w:szCs w:val="22"/>
          <w:lang w:val="en-GB"/>
        </w:rPr>
        <w:tab/>
      </w:r>
      <w:r w:rsidR="007A1B2C" w:rsidRPr="003829F4">
        <w:rPr>
          <w:rFonts w:ascii="Verdana" w:hAnsi="Verdana" w:cs="Arial"/>
          <w:sz w:val="22"/>
          <w:szCs w:val="22"/>
          <w:lang w:val="en-GB"/>
        </w:rPr>
        <w:t>Implicit in the consideration of a legal costs contribution is the role that gender dynamic play.  According to the Constitutional Court: -</w:t>
      </w:r>
    </w:p>
    <w:p w14:paraId="2FBF7506" w14:textId="77777777" w:rsidR="007A1B2C" w:rsidRPr="003829F4" w:rsidRDefault="007A1B2C" w:rsidP="007A1B2C">
      <w:pPr>
        <w:pStyle w:val="Indent"/>
        <w:widowControl w:val="0"/>
        <w:tabs>
          <w:tab w:val="left" w:pos="1560"/>
        </w:tabs>
        <w:spacing w:after="480" w:line="360" w:lineRule="auto"/>
        <w:ind w:left="1440"/>
        <w:jc w:val="both"/>
        <w:rPr>
          <w:rFonts w:ascii="Verdana" w:hAnsi="Verdana" w:cs="Arial"/>
          <w:i/>
          <w:iCs/>
          <w:sz w:val="22"/>
          <w:szCs w:val="22"/>
          <w:lang w:val="en-GB"/>
        </w:rPr>
      </w:pPr>
      <w:r w:rsidRPr="003829F4">
        <w:rPr>
          <w:rFonts w:ascii="Verdana" w:hAnsi="Verdana" w:cs="Arial"/>
          <w:i/>
          <w:iCs/>
          <w:sz w:val="22"/>
          <w:szCs w:val="22"/>
          <w:lang w:val="en-GB"/>
        </w:rPr>
        <w:t>“Equality of arms has been explained as an inherent element of the due process of law in both civil and criminal proceedings. At the core of the concept is that both parties in a specific matter should be treated in a manner that ensures they are in a procedurally equal position to make their case. In particular, weaker litigants should have an opportunity to present their case under conditions of equality.”</w:t>
      </w:r>
      <w:r w:rsidRPr="003829F4">
        <w:rPr>
          <w:rStyle w:val="FootnoteReference"/>
          <w:rFonts w:ascii="Verdana" w:hAnsi="Verdana" w:cs="Arial"/>
          <w:i/>
          <w:iCs/>
          <w:sz w:val="22"/>
          <w:szCs w:val="22"/>
          <w:lang w:val="en-GB"/>
        </w:rPr>
        <w:footnoteReference w:id="19"/>
      </w:r>
    </w:p>
    <w:p w14:paraId="5EF9425E" w14:textId="0EBFDA7B" w:rsidR="007A1B2C" w:rsidRPr="003829F4" w:rsidRDefault="00AF1307" w:rsidP="00AF1307">
      <w:pPr>
        <w:pStyle w:val="Indent"/>
        <w:widowControl w:val="0"/>
        <w:tabs>
          <w:tab w:val="left" w:pos="1560"/>
        </w:tabs>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[49]</w:t>
      </w:r>
      <w:r w:rsidRPr="003829F4">
        <w:rPr>
          <w:rFonts w:ascii="Verdana" w:hAnsi="Verdana" w:cs="Arial"/>
          <w:color w:val="000000" w:themeColor="text1"/>
          <w:sz w:val="22"/>
          <w:szCs w:val="22"/>
          <w:lang w:val="en-GB"/>
        </w:rPr>
        <w:tab/>
      </w:r>
      <w:r w:rsidR="007A1B2C" w:rsidRPr="003829F4">
        <w:rPr>
          <w:rFonts w:ascii="Verdana" w:hAnsi="Verdana" w:cs="Arial"/>
          <w:sz w:val="22"/>
          <w:szCs w:val="22"/>
          <w:lang w:val="en-GB"/>
        </w:rPr>
        <w:t xml:space="preserve">In </w:t>
      </w:r>
      <w:r w:rsidR="007A1B2C" w:rsidRPr="003829F4">
        <w:rPr>
          <w:rFonts w:ascii="Verdana" w:hAnsi="Verdana" w:cs="Arial"/>
          <w:i/>
          <w:iCs/>
          <w:sz w:val="22"/>
          <w:szCs w:val="22"/>
          <w:lang w:val="en-GB"/>
        </w:rPr>
        <w:t xml:space="preserve">AF </w:t>
      </w:r>
      <w:r w:rsidR="007A1B2C" w:rsidRPr="003829F4">
        <w:rPr>
          <w:rFonts w:ascii="Verdana" w:hAnsi="Verdana" w:cs="Arial"/>
          <w:sz w:val="22"/>
          <w:szCs w:val="22"/>
          <w:lang w:val="en-GB"/>
        </w:rPr>
        <w:t xml:space="preserve">Davis AJ noted that in the unreported decision of </w:t>
      </w:r>
      <w:r w:rsidR="007A1B2C" w:rsidRPr="003829F4">
        <w:rPr>
          <w:rFonts w:ascii="Verdana" w:hAnsi="Verdana" w:cs="Arial"/>
          <w:i/>
          <w:iCs/>
          <w:sz w:val="22"/>
          <w:szCs w:val="22"/>
          <w:lang w:val="en-GB"/>
        </w:rPr>
        <w:t>Du Plessis v Du Plessis (an unreported decision)</w:t>
      </w:r>
      <w:r w:rsidR="007A1B2C" w:rsidRPr="003829F4">
        <w:rPr>
          <w:rFonts w:ascii="Verdana" w:hAnsi="Verdana" w:cs="Arial"/>
          <w:sz w:val="22"/>
          <w:szCs w:val="22"/>
          <w:lang w:val="en-GB"/>
        </w:rPr>
        <w:t xml:space="preserve">, Van der Merwe J had followed Cary and accepted </w:t>
      </w:r>
      <w:r w:rsidR="007A1B2C" w:rsidRPr="003829F4">
        <w:rPr>
          <w:rFonts w:ascii="Verdana" w:hAnsi="Verdana" w:cs="Arial"/>
          <w:i/>
          <w:iCs/>
          <w:sz w:val="22"/>
          <w:szCs w:val="22"/>
          <w:lang w:val="en-GB"/>
        </w:rPr>
        <w:t>“the relevance of the fundamental right to equality before the law”</w:t>
      </w:r>
      <w:r w:rsidR="007A1B2C" w:rsidRPr="003829F4">
        <w:rPr>
          <w:rFonts w:ascii="Verdana" w:hAnsi="Verdana" w:cs="Arial"/>
          <w:sz w:val="22"/>
          <w:szCs w:val="22"/>
          <w:lang w:val="en-GB"/>
        </w:rPr>
        <w:t>.</w:t>
      </w:r>
    </w:p>
    <w:p w14:paraId="1B73EC2A" w14:textId="5FA31740" w:rsidR="007A1B2C" w:rsidRPr="003829F4" w:rsidRDefault="00AF1307" w:rsidP="00AF1307">
      <w:pPr>
        <w:pStyle w:val="Indent"/>
        <w:widowControl w:val="0"/>
        <w:tabs>
          <w:tab w:val="left" w:pos="1560"/>
        </w:tabs>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[50]</w:t>
      </w:r>
      <w:r w:rsidRPr="003829F4">
        <w:rPr>
          <w:rFonts w:ascii="Verdana" w:hAnsi="Verdana" w:cs="Arial"/>
          <w:color w:val="000000" w:themeColor="text1"/>
          <w:sz w:val="22"/>
          <w:szCs w:val="22"/>
          <w:lang w:val="en-GB"/>
        </w:rPr>
        <w:tab/>
      </w:r>
      <w:r w:rsidR="007A1B2C" w:rsidRPr="003829F4">
        <w:rPr>
          <w:rFonts w:ascii="Verdana" w:hAnsi="Verdana" w:cs="Arial"/>
          <w:sz w:val="22"/>
          <w:szCs w:val="22"/>
          <w:lang w:val="en-GB"/>
        </w:rPr>
        <w:t>Like Van der Merwe J, Davis AJ followed suit and concluded thus: -</w:t>
      </w:r>
    </w:p>
    <w:p w14:paraId="4937BCD5" w14:textId="77777777" w:rsidR="007A1B2C" w:rsidRPr="003829F4" w:rsidRDefault="007A1B2C" w:rsidP="007A1B2C">
      <w:pPr>
        <w:pStyle w:val="Indent"/>
        <w:widowControl w:val="0"/>
        <w:tabs>
          <w:tab w:val="left" w:pos="1560"/>
        </w:tabs>
        <w:spacing w:after="240" w:line="360" w:lineRule="auto"/>
        <w:ind w:left="1440"/>
        <w:jc w:val="both"/>
        <w:rPr>
          <w:rFonts w:ascii="Verdana" w:hAnsi="Verdana" w:cs="Arial"/>
          <w:i/>
          <w:iCs/>
          <w:sz w:val="22"/>
          <w:szCs w:val="22"/>
          <w:lang w:val="en-GB"/>
        </w:rPr>
      </w:pPr>
      <w:r w:rsidRPr="003829F4">
        <w:rPr>
          <w:rFonts w:ascii="Verdana" w:hAnsi="Verdana" w:cs="Arial"/>
          <w:i/>
          <w:iCs/>
          <w:sz w:val="22"/>
          <w:szCs w:val="22"/>
          <w:lang w:val="en-GB"/>
        </w:rPr>
        <w:t>“I find myself in wholehearted agreement with the approach adopted by Donen AJ and Van der Merwe J, which accords with the injunction in section 39(2) of the Constitution to promote the spirit, purport and objects of the bill of rights when developing the common law.</w:t>
      </w:r>
    </w:p>
    <w:p w14:paraId="7A540C58" w14:textId="77777777" w:rsidR="007A1B2C" w:rsidRPr="003829F4" w:rsidRDefault="007A1B2C" w:rsidP="007A1B2C">
      <w:pPr>
        <w:pStyle w:val="Indent"/>
        <w:widowControl w:val="0"/>
        <w:tabs>
          <w:tab w:val="left" w:pos="1560"/>
        </w:tabs>
        <w:spacing w:after="240" w:line="360" w:lineRule="auto"/>
        <w:ind w:left="1440"/>
        <w:jc w:val="both"/>
        <w:rPr>
          <w:rFonts w:ascii="Verdana" w:hAnsi="Verdana" w:cs="Arial"/>
          <w:i/>
          <w:iCs/>
          <w:sz w:val="22"/>
          <w:szCs w:val="22"/>
          <w:lang w:val="en-GB"/>
        </w:rPr>
      </w:pPr>
      <w:r w:rsidRPr="003829F4">
        <w:rPr>
          <w:rFonts w:ascii="Verdana" w:hAnsi="Verdana" w:cs="Arial"/>
          <w:i/>
          <w:iCs/>
          <w:sz w:val="22"/>
          <w:szCs w:val="22"/>
          <w:lang w:val="en-GB"/>
        </w:rPr>
        <w:t>The importance of equality of arms in divorce litigation should not be underestimated. Where there is a marked imbalance in the financial resources available to the parties to litigate, there is a real danger that the poorer spouse – usually the wife – will be forced to settle for less than that to which she is legally entitled, simply because she cannot afford to go to trial. On the other hand the husband, who controls the purse strings, is well able to deploy financial resources in the service of his case. That situation strikes me as inherently unfair. In my view the obligation on courts to promote the constitutional rights to equal protection and benefit of the law, and access to courts, requires that courts come to the aid of spouses who are without means, to ensure that they are equipped with the necessary resources to come to court to fight for what is rightfully theirs.</w:t>
      </w:r>
    </w:p>
    <w:p w14:paraId="056A8B6D" w14:textId="77777777" w:rsidR="007A1B2C" w:rsidRPr="003829F4" w:rsidRDefault="007A1B2C" w:rsidP="007A1B2C">
      <w:pPr>
        <w:pStyle w:val="Indent"/>
        <w:widowControl w:val="0"/>
        <w:tabs>
          <w:tab w:val="left" w:pos="1560"/>
        </w:tabs>
        <w:spacing w:after="480" w:line="360" w:lineRule="auto"/>
        <w:ind w:left="1440"/>
        <w:jc w:val="both"/>
        <w:rPr>
          <w:rFonts w:ascii="Verdana" w:hAnsi="Verdana" w:cs="Arial"/>
          <w:i/>
          <w:iCs/>
          <w:sz w:val="22"/>
          <w:szCs w:val="22"/>
          <w:lang w:val="en-GB"/>
        </w:rPr>
      </w:pPr>
      <w:r w:rsidRPr="003829F4">
        <w:rPr>
          <w:rFonts w:ascii="Verdana" w:hAnsi="Verdana" w:cs="Arial"/>
          <w:i/>
          <w:iCs/>
          <w:sz w:val="22"/>
          <w:szCs w:val="22"/>
          <w:lang w:val="en-GB"/>
        </w:rPr>
        <w:t>…And where an impecunious spouse has already incurred debts in order to litigate, whether to family or to an attorney, I consider that the court should protect the dignity of that spouse by ordering a contribution to costs sufficient to repay those debts.”</w:t>
      </w:r>
    </w:p>
    <w:p w14:paraId="63738706" w14:textId="3365B37A" w:rsidR="007A1B2C" w:rsidRPr="003829F4" w:rsidRDefault="00AF1307" w:rsidP="00AF1307">
      <w:pPr>
        <w:pStyle w:val="Indent"/>
        <w:widowControl w:val="0"/>
        <w:tabs>
          <w:tab w:val="left" w:pos="1560"/>
        </w:tabs>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[51]</w:t>
      </w:r>
      <w:r w:rsidRPr="003829F4">
        <w:rPr>
          <w:rFonts w:ascii="Verdana" w:hAnsi="Verdana" w:cs="Arial"/>
          <w:color w:val="000000" w:themeColor="text1"/>
          <w:sz w:val="22"/>
          <w:szCs w:val="22"/>
          <w:lang w:val="en-GB"/>
        </w:rPr>
        <w:tab/>
      </w:r>
      <w:r w:rsidR="007A1B2C" w:rsidRPr="003829F4">
        <w:rPr>
          <w:rFonts w:ascii="Verdana" w:hAnsi="Verdana" w:cs="Arial"/>
          <w:sz w:val="22"/>
          <w:szCs w:val="22"/>
          <w:lang w:val="en-GB"/>
        </w:rPr>
        <w:t xml:space="preserve">A misconception that continues to prevail is that an applicant is not entitled to all of her costs claimed up until the first day of trial, as it is merely a contribution that is sought. This cannot be correct. In this regard I align with the sentiments of David AJ in </w:t>
      </w:r>
      <w:r w:rsidR="007A1B2C" w:rsidRPr="003829F4">
        <w:rPr>
          <w:rFonts w:ascii="Verdana" w:hAnsi="Verdana" w:cs="Arial"/>
          <w:i/>
          <w:iCs/>
          <w:sz w:val="22"/>
          <w:szCs w:val="22"/>
          <w:lang w:val="en-GB"/>
        </w:rPr>
        <w:t>AF v MF</w:t>
      </w:r>
      <w:r w:rsidR="007A1B2C" w:rsidRPr="003829F4">
        <w:rPr>
          <w:rFonts w:ascii="Verdana" w:hAnsi="Verdana" w:cs="Arial"/>
          <w:sz w:val="22"/>
          <w:szCs w:val="22"/>
          <w:lang w:val="en-GB"/>
        </w:rPr>
        <w:t xml:space="preserve"> where the court amplified the purpose of a costs contribution: -</w:t>
      </w:r>
    </w:p>
    <w:p w14:paraId="620FD462" w14:textId="77777777" w:rsidR="007A1B2C" w:rsidRPr="003829F4" w:rsidRDefault="007A1B2C" w:rsidP="007A1B2C">
      <w:pPr>
        <w:pStyle w:val="Indent"/>
        <w:widowControl w:val="0"/>
        <w:tabs>
          <w:tab w:val="left" w:pos="1560"/>
        </w:tabs>
        <w:spacing w:after="240" w:line="360" w:lineRule="auto"/>
        <w:ind w:left="1440"/>
        <w:jc w:val="both"/>
        <w:rPr>
          <w:rFonts w:ascii="Verdana" w:hAnsi="Verdana" w:cs="Arial"/>
          <w:i/>
          <w:iCs/>
          <w:sz w:val="22"/>
          <w:szCs w:val="22"/>
          <w:lang w:val="en-GB"/>
        </w:rPr>
      </w:pPr>
      <w:r w:rsidRPr="003829F4">
        <w:rPr>
          <w:rFonts w:ascii="Verdana" w:hAnsi="Verdana" w:cs="Arial"/>
          <w:i/>
          <w:iCs/>
          <w:sz w:val="22"/>
          <w:szCs w:val="22"/>
          <w:lang w:val="en-GB"/>
        </w:rPr>
        <w:t xml:space="preserve">“In my view the obligation to pay a contribution towards the wife’s legal costs does not necessarily postulate an obligation only to pay for part of those costs… The extent of the contribution should logically depend on how much, if anything, the wife herself is able to contribute… </w:t>
      </w:r>
    </w:p>
    <w:p w14:paraId="1453A053" w14:textId="77777777" w:rsidR="007A1B2C" w:rsidRPr="003829F4" w:rsidRDefault="007A1B2C" w:rsidP="007A1B2C">
      <w:pPr>
        <w:pStyle w:val="Indent"/>
        <w:widowControl w:val="0"/>
        <w:tabs>
          <w:tab w:val="left" w:pos="1560"/>
        </w:tabs>
        <w:spacing w:after="240" w:line="360" w:lineRule="auto"/>
        <w:ind w:left="1440"/>
        <w:jc w:val="both"/>
        <w:rPr>
          <w:rFonts w:ascii="Verdana" w:hAnsi="Verdana" w:cs="Arial"/>
          <w:i/>
          <w:iCs/>
          <w:sz w:val="22"/>
          <w:szCs w:val="22"/>
          <w:lang w:val="en-GB"/>
        </w:rPr>
      </w:pPr>
      <w:r w:rsidRPr="003829F4">
        <w:rPr>
          <w:rFonts w:ascii="Verdana" w:hAnsi="Verdana" w:cs="Arial"/>
          <w:i/>
          <w:iCs/>
          <w:sz w:val="22"/>
          <w:szCs w:val="22"/>
          <w:lang w:val="en-GB"/>
        </w:rPr>
        <w:t xml:space="preserve">To my mind the correct approach to the question of an appropriate contribution towards costs is that adopted in </w:t>
      </w:r>
      <w:r w:rsidRPr="003829F4">
        <w:rPr>
          <w:i/>
          <w:iCs/>
          <w:sz w:val="22"/>
          <w:szCs w:val="22"/>
          <w:lang w:val="en-GB"/>
        </w:rPr>
        <w:t>Zaduck v Zaduck</w:t>
      </w:r>
      <w:r w:rsidRPr="003829F4">
        <w:rPr>
          <w:rFonts w:ascii="Verdana" w:hAnsi="Verdana" w:cs="Arial"/>
          <w:i/>
          <w:iCs/>
          <w:sz w:val="22"/>
          <w:szCs w:val="22"/>
          <w:lang w:val="en-GB"/>
        </w:rPr>
        <w:t xml:space="preserve"> 1966 (1) SA 78 (SR) at 81A-B by Davies J, who declined to follow the rule that a contribution to costs should not cover all the wife’s costs. The learned judge held that:</w:t>
      </w:r>
    </w:p>
    <w:p w14:paraId="673A5921" w14:textId="77777777" w:rsidR="007A1B2C" w:rsidRPr="003829F4" w:rsidRDefault="007A1B2C" w:rsidP="007A1B2C">
      <w:pPr>
        <w:pStyle w:val="Indent"/>
        <w:widowControl w:val="0"/>
        <w:tabs>
          <w:tab w:val="left" w:pos="1560"/>
        </w:tabs>
        <w:spacing w:after="240" w:line="360" w:lineRule="auto"/>
        <w:ind w:left="2160"/>
        <w:jc w:val="both"/>
        <w:rPr>
          <w:rFonts w:ascii="Verdana" w:hAnsi="Verdana" w:cs="Arial"/>
          <w:i/>
          <w:iCs/>
          <w:sz w:val="22"/>
          <w:szCs w:val="22"/>
          <w:lang w:val="en-GB"/>
        </w:rPr>
      </w:pPr>
      <w:r w:rsidRPr="003829F4">
        <w:rPr>
          <w:rFonts w:ascii="Verdana" w:hAnsi="Verdana" w:cs="Arial"/>
          <w:i/>
          <w:iCs/>
          <w:sz w:val="22"/>
          <w:szCs w:val="22"/>
          <w:lang w:val="en-GB"/>
        </w:rPr>
        <w:t>‘[T]he correct approach is to endeavour to ascertain in the first instance the amount of money which the applicant will have to pay by way of costs in order to present her case adequately. If she herself is unable to contribute at all to her costs, then it seems to me to follow that the respondent husband must contribute the whole amount required. I see no validity in the contention that in those circumstances he should only be required to contribute part of the amount involved.’</w:t>
      </w:r>
    </w:p>
    <w:p w14:paraId="447A440B" w14:textId="77777777" w:rsidR="007A1B2C" w:rsidRPr="003829F4" w:rsidRDefault="007A1B2C" w:rsidP="007A1B2C">
      <w:pPr>
        <w:pStyle w:val="Indent"/>
        <w:widowControl w:val="0"/>
        <w:tabs>
          <w:tab w:val="left" w:pos="1560"/>
        </w:tabs>
        <w:spacing w:after="240" w:line="360" w:lineRule="auto"/>
        <w:ind w:left="1559"/>
        <w:jc w:val="both"/>
        <w:rPr>
          <w:rFonts w:ascii="Verdana" w:hAnsi="Verdana" w:cs="Arial"/>
          <w:i/>
          <w:iCs/>
          <w:sz w:val="22"/>
          <w:szCs w:val="22"/>
          <w:lang w:val="en-GB"/>
        </w:rPr>
      </w:pPr>
      <w:r w:rsidRPr="003829F4">
        <w:rPr>
          <w:rFonts w:ascii="Verdana" w:hAnsi="Verdana" w:cs="Arial"/>
          <w:i/>
          <w:iCs/>
          <w:sz w:val="22"/>
          <w:szCs w:val="22"/>
          <w:lang w:val="en-GB"/>
        </w:rPr>
        <w:t>In my view it is arbitrary to apply an inflexible rule if the wife who has no means of funding the balance of her legal costs is nonetheless only entitled to part of the costs which she reasonably requires to fund her litigation.”</w:t>
      </w:r>
    </w:p>
    <w:p w14:paraId="4D119E91" w14:textId="77777777" w:rsidR="00834797" w:rsidRPr="003829F4" w:rsidRDefault="00834797" w:rsidP="007A1B2C">
      <w:pPr>
        <w:pStyle w:val="Indent"/>
        <w:widowControl w:val="0"/>
        <w:tabs>
          <w:tab w:val="left" w:pos="1560"/>
        </w:tabs>
        <w:spacing w:after="240" w:line="360" w:lineRule="auto"/>
        <w:ind w:left="1559"/>
        <w:jc w:val="both"/>
        <w:rPr>
          <w:rFonts w:ascii="Verdana" w:hAnsi="Verdana" w:cs="Arial"/>
          <w:i/>
          <w:iCs/>
          <w:sz w:val="22"/>
          <w:szCs w:val="22"/>
          <w:lang w:val="en-GB"/>
        </w:rPr>
      </w:pPr>
    </w:p>
    <w:p w14:paraId="4E07D9D9" w14:textId="46E0A6A4" w:rsidR="00805F01"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[52]</w:t>
      </w:r>
      <w:r w:rsidRPr="003829F4">
        <w:rPr>
          <w:rFonts w:ascii="Verdana" w:hAnsi="Verdana" w:cs="Arial"/>
          <w:color w:val="000000" w:themeColor="text1"/>
          <w:sz w:val="22"/>
          <w:szCs w:val="22"/>
          <w:lang w:val="en-GB"/>
        </w:rPr>
        <w:tab/>
      </w:r>
      <w:r w:rsidR="00834797" w:rsidRPr="003829F4">
        <w:rPr>
          <w:rFonts w:ascii="Verdana" w:hAnsi="Verdana" w:cs="Arial"/>
          <w:sz w:val="22"/>
          <w:szCs w:val="22"/>
          <w:lang w:val="en-GB"/>
        </w:rPr>
        <w:t xml:space="preserve">Within the context of the purpose of a legal costs contribution, the </w:t>
      </w:r>
      <w:r w:rsidR="00805F01" w:rsidRPr="003829F4">
        <w:rPr>
          <w:rFonts w:ascii="Verdana" w:hAnsi="Verdana" w:cs="Arial"/>
          <w:sz w:val="22"/>
          <w:szCs w:val="22"/>
          <w:lang w:val="en-GB"/>
        </w:rPr>
        <w:t xml:space="preserve">meaning of the </w:t>
      </w:r>
      <w:r w:rsidR="00834797" w:rsidRPr="003829F4">
        <w:rPr>
          <w:rFonts w:ascii="Verdana" w:hAnsi="Verdana" w:cs="Arial"/>
          <w:sz w:val="22"/>
          <w:szCs w:val="22"/>
          <w:lang w:val="en-GB"/>
        </w:rPr>
        <w:t xml:space="preserve">word </w:t>
      </w:r>
      <w:r w:rsidR="00834797" w:rsidRPr="003829F4">
        <w:rPr>
          <w:rFonts w:ascii="Verdana" w:hAnsi="Verdana" w:cs="Arial"/>
          <w:i/>
          <w:iCs/>
          <w:sz w:val="22"/>
          <w:szCs w:val="22"/>
          <w:lang w:val="en-GB"/>
        </w:rPr>
        <w:t>“contribution”</w:t>
      </w:r>
      <w:r w:rsidR="00834797" w:rsidRPr="003829F4">
        <w:rPr>
          <w:rFonts w:ascii="Verdana" w:hAnsi="Verdana" w:cs="Arial"/>
          <w:sz w:val="22"/>
          <w:szCs w:val="22"/>
          <w:lang w:val="en-GB"/>
        </w:rPr>
        <w:t xml:space="preserve"> cannot be </w:t>
      </w:r>
      <w:r w:rsidR="00805F01" w:rsidRPr="003829F4">
        <w:rPr>
          <w:rFonts w:ascii="Verdana" w:hAnsi="Verdana" w:cs="Arial"/>
          <w:sz w:val="22"/>
          <w:szCs w:val="22"/>
          <w:lang w:val="en-GB"/>
        </w:rPr>
        <w:t>limited</w:t>
      </w:r>
      <w:r w:rsidR="00834797" w:rsidRPr="003829F4">
        <w:rPr>
          <w:rFonts w:ascii="Verdana" w:hAnsi="Verdana" w:cs="Arial"/>
          <w:sz w:val="22"/>
          <w:szCs w:val="22"/>
          <w:lang w:val="en-GB"/>
        </w:rPr>
        <w:t xml:space="preserve"> to a principle where a respondent is by default only required to make a part-payment of the costs of an applicant.  This approach would completely disregard the applicant’s financial situation and whether or not she has other financial resources, in addition to income, with which to fund her own litigation, which should be the first leg of the enquiry in my view. Once it is established that the applicant has resources and/or income of her own, the second leg of the enquiry relates to the adequacy of the resources and income </w:t>
      </w:r>
      <w:r w:rsidR="0072789D">
        <w:rPr>
          <w:rFonts w:ascii="Verdana" w:hAnsi="Verdana" w:cs="Arial"/>
          <w:sz w:val="22"/>
          <w:szCs w:val="22"/>
          <w:lang w:val="en-GB"/>
        </w:rPr>
        <w:t xml:space="preserve">and </w:t>
      </w:r>
      <w:r w:rsidR="00834797" w:rsidRPr="003829F4">
        <w:rPr>
          <w:rFonts w:ascii="Verdana" w:hAnsi="Verdana" w:cs="Arial"/>
          <w:sz w:val="22"/>
          <w:szCs w:val="22"/>
          <w:lang w:val="en-GB"/>
        </w:rPr>
        <w:t xml:space="preserve">whether sufficient to enable the applicant to litigate on a scale commensurate with that of the respondent. If there is a disparity, a contribution must be ordered to bridge the </w:t>
      </w:r>
      <w:r w:rsidR="00805F01" w:rsidRPr="003829F4">
        <w:rPr>
          <w:rFonts w:ascii="Verdana" w:hAnsi="Verdana" w:cs="Arial"/>
          <w:sz w:val="22"/>
          <w:szCs w:val="22"/>
          <w:lang w:val="en-GB"/>
        </w:rPr>
        <w:t>divide.</w:t>
      </w:r>
    </w:p>
    <w:p w14:paraId="4E602C79" w14:textId="2A2ACBFE" w:rsidR="00655BF3"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[53]</w:t>
      </w:r>
      <w:r w:rsidRPr="003829F4">
        <w:rPr>
          <w:rFonts w:ascii="Verdana" w:hAnsi="Verdana" w:cs="Arial"/>
          <w:color w:val="000000" w:themeColor="text1"/>
          <w:sz w:val="22"/>
          <w:szCs w:val="22"/>
          <w:lang w:val="en-GB"/>
        </w:rPr>
        <w:tab/>
      </w:r>
      <w:r w:rsidR="00805F01" w:rsidRPr="003829F4">
        <w:rPr>
          <w:rFonts w:ascii="Verdana" w:hAnsi="Verdana" w:cs="Arial"/>
          <w:sz w:val="22"/>
          <w:szCs w:val="22"/>
          <w:lang w:val="en-GB"/>
        </w:rPr>
        <w:t xml:space="preserve">If however, it is established that the applicant is unable to fund any of her own </w:t>
      </w:r>
      <w:r w:rsidR="00DF322B" w:rsidRPr="003829F4">
        <w:rPr>
          <w:rFonts w:ascii="Verdana" w:hAnsi="Verdana" w:cs="Arial"/>
          <w:sz w:val="22"/>
          <w:szCs w:val="22"/>
          <w:lang w:val="en-GB"/>
        </w:rPr>
        <w:t xml:space="preserve">legal </w:t>
      </w:r>
      <w:r w:rsidR="00805F01" w:rsidRPr="003829F4">
        <w:rPr>
          <w:rFonts w:ascii="Verdana" w:hAnsi="Verdana" w:cs="Arial"/>
          <w:sz w:val="22"/>
          <w:szCs w:val="22"/>
          <w:lang w:val="en-GB"/>
        </w:rPr>
        <w:t xml:space="preserve">costs, the wording of the rule and its reference to </w:t>
      </w:r>
      <w:r w:rsidR="00805F01" w:rsidRPr="003829F4">
        <w:rPr>
          <w:rFonts w:ascii="Verdana" w:hAnsi="Verdana" w:cs="Arial"/>
          <w:i/>
          <w:iCs/>
          <w:sz w:val="22"/>
          <w:szCs w:val="22"/>
          <w:lang w:val="en-GB"/>
        </w:rPr>
        <w:t>“a contribution”</w:t>
      </w:r>
      <w:r w:rsidR="00805F01" w:rsidRPr="003829F4">
        <w:rPr>
          <w:rFonts w:ascii="Verdana" w:hAnsi="Verdana" w:cs="Arial"/>
          <w:sz w:val="22"/>
          <w:szCs w:val="22"/>
          <w:lang w:val="en-GB"/>
        </w:rPr>
        <w:t xml:space="preserve"> cannot be a technical basis upon which a respondent can be absolved from what should </w:t>
      </w:r>
      <w:r w:rsidR="00C45204" w:rsidRPr="003829F4">
        <w:rPr>
          <w:rFonts w:ascii="Verdana" w:hAnsi="Verdana" w:cs="Arial"/>
          <w:sz w:val="22"/>
          <w:szCs w:val="22"/>
          <w:lang w:val="en-GB"/>
        </w:rPr>
        <w:t>be considered</w:t>
      </w:r>
      <w:r w:rsidR="00805F01" w:rsidRPr="003829F4">
        <w:rPr>
          <w:rFonts w:ascii="Verdana" w:hAnsi="Verdana" w:cs="Arial"/>
          <w:sz w:val="22"/>
          <w:szCs w:val="22"/>
          <w:lang w:val="en-GB"/>
        </w:rPr>
        <w:t xml:space="preserve"> a </w:t>
      </w:r>
      <w:r w:rsidR="00C45204" w:rsidRPr="003829F4">
        <w:rPr>
          <w:rFonts w:ascii="Verdana" w:hAnsi="Verdana" w:cs="Arial"/>
          <w:sz w:val="22"/>
          <w:szCs w:val="22"/>
          <w:lang w:val="en-GB"/>
        </w:rPr>
        <w:t xml:space="preserve">legal </w:t>
      </w:r>
      <w:r w:rsidR="00805F01" w:rsidRPr="003829F4">
        <w:rPr>
          <w:rFonts w:ascii="Verdana" w:hAnsi="Verdana" w:cs="Arial"/>
          <w:sz w:val="22"/>
          <w:szCs w:val="22"/>
          <w:lang w:val="en-GB"/>
        </w:rPr>
        <w:t>duty, rather than a gratuitous act</w:t>
      </w:r>
      <w:r w:rsidR="00655BF3" w:rsidRPr="003829F4">
        <w:rPr>
          <w:rFonts w:ascii="Verdana" w:hAnsi="Verdana" w:cs="Arial"/>
          <w:sz w:val="22"/>
          <w:szCs w:val="22"/>
          <w:lang w:val="en-GB"/>
        </w:rPr>
        <w:t>:</w:t>
      </w:r>
      <w:r w:rsidR="00DF322B" w:rsidRPr="003829F4">
        <w:rPr>
          <w:rStyle w:val="FootnoteReference"/>
          <w:rFonts w:ascii="Verdana" w:hAnsi="Verdana" w:cs="Arial"/>
          <w:sz w:val="22"/>
          <w:szCs w:val="22"/>
          <w:lang w:val="en-GB"/>
        </w:rPr>
        <w:footnoteReference w:id="20"/>
      </w:r>
    </w:p>
    <w:p w14:paraId="1F926946" w14:textId="4A37689A" w:rsidR="00655BF3" w:rsidRPr="003829F4" w:rsidRDefault="00655BF3" w:rsidP="00655BF3">
      <w:pPr>
        <w:pStyle w:val="Indent"/>
        <w:widowControl w:val="0"/>
        <w:spacing w:after="360" w:line="480" w:lineRule="auto"/>
        <w:ind w:left="720"/>
        <w:jc w:val="both"/>
        <w:rPr>
          <w:rFonts w:ascii="Verdana" w:hAnsi="Verdana" w:cs="Arial"/>
          <w:i/>
          <w:iCs/>
          <w:sz w:val="22"/>
          <w:szCs w:val="22"/>
          <w:lang w:val="en-GB"/>
        </w:rPr>
      </w:pPr>
      <w:r w:rsidRPr="003829F4">
        <w:rPr>
          <w:rFonts w:ascii="Verdana" w:hAnsi="Verdana"/>
          <w:i/>
          <w:iCs/>
          <w:sz w:val="22"/>
          <w:szCs w:val="22"/>
        </w:rPr>
        <w:t xml:space="preserve"> “… whether the respondent should be contributing to the applicant’s legal costs is not the respondent’s gift to give: he has a legal obligation to do so. The ambit of the obligation is not for him to determine either; the ambit of the obligation is an objective one, having regard to what the reasonable costs are likely to be in respect of the anticipated trial.”</w:t>
      </w:r>
    </w:p>
    <w:p w14:paraId="262D6002" w14:textId="3B6EF146" w:rsidR="003829F4" w:rsidRPr="003829F4" w:rsidRDefault="00AF1307" w:rsidP="00AF1307">
      <w:pPr>
        <w:pStyle w:val="Indent"/>
        <w:widowControl w:val="0"/>
        <w:spacing w:after="360" w:line="480" w:lineRule="auto"/>
        <w:ind w:left="720" w:hanging="720"/>
        <w:jc w:val="both"/>
        <w:rPr>
          <w:rFonts w:ascii="Verdana" w:hAnsi="Verdana" w:cs="Arial"/>
          <w:sz w:val="22"/>
          <w:szCs w:val="22"/>
          <w:lang w:val="en-GB"/>
        </w:rPr>
      </w:pPr>
      <w:r w:rsidRPr="003829F4">
        <w:rPr>
          <w:rFonts w:ascii="Verdana" w:hAnsi="Verdana" w:cs="Arial"/>
          <w:color w:val="000000" w:themeColor="text1"/>
          <w:sz w:val="22"/>
          <w:szCs w:val="22"/>
          <w:lang w:val="en-GB"/>
        </w:rPr>
        <w:t>[54]</w:t>
      </w:r>
      <w:r w:rsidRPr="003829F4">
        <w:rPr>
          <w:rFonts w:ascii="Verdana" w:hAnsi="Verdana" w:cs="Arial"/>
          <w:color w:val="000000" w:themeColor="text1"/>
          <w:sz w:val="22"/>
          <w:szCs w:val="22"/>
          <w:lang w:val="en-GB"/>
        </w:rPr>
        <w:tab/>
      </w:r>
      <w:r w:rsidR="00DB17E0" w:rsidRPr="003829F4">
        <w:rPr>
          <w:rFonts w:ascii="Verdana" w:hAnsi="Verdana" w:cs="Arial"/>
          <w:sz w:val="22"/>
          <w:szCs w:val="22"/>
          <w:lang w:val="en-GB"/>
        </w:rPr>
        <w:t>Another issue which received quite some attention during argument is whether a Court may allow costs claimed in respect of interlocutory applications brought in the future. The applicant said yes; the respondent disagreed.</w:t>
      </w:r>
      <w:r w:rsidR="00315E47" w:rsidRPr="003829F4">
        <w:rPr>
          <w:rFonts w:ascii="Verdana" w:hAnsi="Verdana" w:cs="Arial"/>
          <w:sz w:val="22"/>
          <w:szCs w:val="22"/>
          <w:lang w:val="en-GB"/>
        </w:rPr>
        <w:t xml:space="preserve"> </w:t>
      </w:r>
    </w:p>
    <w:p w14:paraId="662F9A45" w14:textId="731D05A8" w:rsidR="003829F4" w:rsidRPr="0072789D" w:rsidRDefault="00AF1307" w:rsidP="00AF1307">
      <w:pPr>
        <w:pStyle w:val="Indent"/>
        <w:widowControl w:val="0"/>
        <w:spacing w:after="360" w:line="480" w:lineRule="auto"/>
        <w:ind w:left="720" w:hanging="720"/>
        <w:jc w:val="both"/>
        <w:rPr>
          <w:rFonts w:ascii="Verdana" w:hAnsi="Verdana" w:cs="Arial"/>
          <w:sz w:val="22"/>
          <w:szCs w:val="22"/>
          <w:lang w:val="en-GB"/>
        </w:rPr>
      </w:pPr>
      <w:r w:rsidRPr="0072789D">
        <w:rPr>
          <w:rFonts w:ascii="Verdana" w:hAnsi="Verdana" w:cs="Arial"/>
          <w:color w:val="000000" w:themeColor="text1"/>
          <w:sz w:val="22"/>
          <w:szCs w:val="22"/>
          <w:lang w:val="en-GB"/>
        </w:rPr>
        <w:t>[55]</w:t>
      </w:r>
      <w:r w:rsidRPr="0072789D">
        <w:rPr>
          <w:rFonts w:ascii="Verdana" w:hAnsi="Verdana" w:cs="Arial"/>
          <w:color w:val="000000" w:themeColor="text1"/>
          <w:sz w:val="22"/>
          <w:szCs w:val="22"/>
          <w:lang w:val="en-GB"/>
        </w:rPr>
        <w:tab/>
      </w:r>
      <w:r w:rsidR="003829F4" w:rsidRPr="0072789D">
        <w:rPr>
          <w:rFonts w:ascii="Verdana" w:hAnsi="Verdana"/>
          <w:color w:val="000000" w:themeColor="text1"/>
          <w:sz w:val="22"/>
          <w:szCs w:val="22"/>
        </w:rPr>
        <w:t xml:space="preserve">In the unreported judgment of </w:t>
      </w:r>
      <w:r w:rsidR="003829F4" w:rsidRPr="0072789D">
        <w:rPr>
          <w:rFonts w:ascii="Verdana" w:hAnsi="Verdana"/>
          <w:i/>
          <w:iCs/>
          <w:color w:val="000000" w:themeColor="text1"/>
          <w:sz w:val="22"/>
          <w:szCs w:val="22"/>
        </w:rPr>
        <w:t xml:space="preserve">S v S, </w:t>
      </w:r>
      <w:r w:rsidR="003829F4" w:rsidRPr="0072789D">
        <w:rPr>
          <w:rStyle w:val="FootnoteReference"/>
          <w:rFonts w:ascii="Verdana" w:hAnsi="Verdana"/>
          <w:color w:val="000000" w:themeColor="text1"/>
          <w:sz w:val="22"/>
          <w:szCs w:val="22"/>
        </w:rPr>
        <w:footnoteReference w:id="21"/>
      </w:r>
      <w:r w:rsidR="003829F4" w:rsidRPr="0072789D">
        <w:rPr>
          <w:rFonts w:ascii="Verdana" w:hAnsi="Verdana"/>
          <w:color w:val="000000" w:themeColor="text1"/>
          <w:sz w:val="22"/>
          <w:szCs w:val="22"/>
        </w:rPr>
        <w:t>the court:</w:t>
      </w:r>
    </w:p>
    <w:p w14:paraId="09E6D2C6" w14:textId="0C63FE3C" w:rsidR="003829F4" w:rsidRPr="0072789D" w:rsidRDefault="00AF1307" w:rsidP="00AF1307">
      <w:pPr>
        <w:pStyle w:val="Indent"/>
        <w:widowControl w:val="0"/>
        <w:tabs>
          <w:tab w:val="left" w:pos="7371"/>
        </w:tabs>
        <w:spacing w:after="360" w:line="480" w:lineRule="auto"/>
        <w:ind w:left="1701" w:hanging="981"/>
        <w:jc w:val="both"/>
        <w:rPr>
          <w:rFonts w:ascii="Verdana" w:hAnsi="Verdana" w:cs="Arial"/>
          <w:sz w:val="22"/>
          <w:szCs w:val="22"/>
          <w:lang w:val="en-GB"/>
        </w:rPr>
      </w:pPr>
      <w:r w:rsidRPr="0072789D">
        <w:rPr>
          <w:rFonts w:ascii="Verdana" w:hAnsi="Verdana" w:cs="Arial"/>
          <w:sz w:val="22"/>
          <w:szCs w:val="22"/>
          <w:lang w:val="en-GB"/>
        </w:rPr>
        <w:t>[55.1]</w:t>
      </w:r>
      <w:r w:rsidRPr="0072789D">
        <w:rPr>
          <w:rFonts w:ascii="Verdana" w:hAnsi="Verdana" w:cs="Arial"/>
          <w:sz w:val="22"/>
          <w:szCs w:val="22"/>
          <w:lang w:val="en-GB"/>
        </w:rPr>
        <w:tab/>
      </w:r>
      <w:r w:rsidR="003829F4" w:rsidRPr="0072789D">
        <w:rPr>
          <w:rFonts w:ascii="Verdana" w:hAnsi="Verdana"/>
          <w:color w:val="000000" w:themeColor="text1"/>
          <w:sz w:val="22"/>
          <w:szCs w:val="22"/>
        </w:rPr>
        <w:t>held the view the precedent in this division dictates that a contribution to legal costs is for the costs of the pending divorce action and it excludes the costs of interim or interlocutory applications and other disputes between the parties.</w:t>
      </w:r>
      <w:r w:rsidR="003829F4" w:rsidRPr="0072789D">
        <w:rPr>
          <w:rStyle w:val="FootnoteReference"/>
          <w:rFonts w:ascii="Verdana" w:hAnsi="Verdana"/>
          <w:color w:val="000000" w:themeColor="text1"/>
          <w:sz w:val="22"/>
          <w:szCs w:val="22"/>
        </w:rPr>
        <w:footnoteReference w:id="22"/>
      </w:r>
    </w:p>
    <w:p w14:paraId="192E8093" w14:textId="730470B0" w:rsidR="003829F4" w:rsidRPr="0072789D" w:rsidRDefault="00AF1307" w:rsidP="00AF1307">
      <w:pPr>
        <w:pStyle w:val="Indent"/>
        <w:widowControl w:val="0"/>
        <w:tabs>
          <w:tab w:val="left" w:pos="7371"/>
        </w:tabs>
        <w:spacing w:after="360" w:line="480" w:lineRule="auto"/>
        <w:ind w:left="1701" w:hanging="981"/>
        <w:jc w:val="both"/>
        <w:rPr>
          <w:rFonts w:ascii="Verdana" w:hAnsi="Verdana" w:cs="Arial"/>
          <w:sz w:val="22"/>
          <w:szCs w:val="22"/>
          <w:lang w:val="en-GB"/>
        </w:rPr>
      </w:pPr>
      <w:r w:rsidRPr="0072789D">
        <w:rPr>
          <w:rFonts w:ascii="Verdana" w:hAnsi="Verdana" w:cs="Arial"/>
          <w:sz w:val="22"/>
          <w:szCs w:val="22"/>
          <w:lang w:val="en-GB"/>
        </w:rPr>
        <w:t>[55.2]</w:t>
      </w:r>
      <w:r w:rsidRPr="0072789D">
        <w:rPr>
          <w:rFonts w:ascii="Verdana" w:hAnsi="Verdana" w:cs="Arial"/>
          <w:sz w:val="22"/>
          <w:szCs w:val="22"/>
          <w:lang w:val="en-GB"/>
        </w:rPr>
        <w:tab/>
      </w:r>
      <w:r w:rsidR="003829F4" w:rsidRPr="0072789D">
        <w:rPr>
          <w:rFonts w:ascii="Verdana" w:hAnsi="Verdana"/>
          <w:color w:val="000000" w:themeColor="text1"/>
          <w:sz w:val="22"/>
          <w:szCs w:val="22"/>
        </w:rPr>
        <w:t>went further and stated that Rogers J, as he then was, in </w:t>
      </w:r>
      <w:r w:rsidR="003829F4" w:rsidRPr="0072789D">
        <w:rPr>
          <w:rFonts w:ascii="Verdana" w:hAnsi="Verdana"/>
          <w:i/>
          <w:iCs/>
          <w:color w:val="000000" w:themeColor="text1"/>
          <w:sz w:val="22"/>
          <w:szCs w:val="22"/>
        </w:rPr>
        <w:t xml:space="preserve">AR </w:t>
      </w:r>
      <w:r w:rsidR="003829F4" w:rsidRPr="003829F4">
        <w:rPr>
          <w:rFonts w:ascii="Verdana" w:hAnsi="Verdana"/>
          <w:i/>
          <w:iCs/>
          <w:color w:val="000000" w:themeColor="text1"/>
        </w:rPr>
        <w:t>v JR</w:t>
      </w:r>
      <w:r w:rsidR="003829F4" w:rsidRPr="003829F4">
        <w:rPr>
          <w:rStyle w:val="FootnoteReference"/>
          <w:rFonts w:ascii="Verdana" w:hAnsi="Verdana"/>
          <w:i/>
          <w:iCs/>
          <w:color w:val="000000" w:themeColor="text1"/>
          <w:sz w:val="22"/>
          <w:szCs w:val="22"/>
        </w:rPr>
        <w:footnoteReference w:id="23"/>
      </w:r>
      <w:r w:rsidR="003829F4" w:rsidRPr="003829F4">
        <w:rPr>
          <w:rFonts w:ascii="Verdana" w:hAnsi="Verdana"/>
          <w:i/>
          <w:iCs/>
          <w:color w:val="000000" w:themeColor="text1"/>
        </w:rPr>
        <w:t>,</w:t>
      </w:r>
      <w:r w:rsidR="003829F4" w:rsidRPr="003829F4">
        <w:rPr>
          <w:rFonts w:ascii="Verdana" w:hAnsi="Verdana"/>
          <w:color w:val="000000" w:themeColor="text1"/>
        </w:rPr>
        <w:t> relying on </w:t>
      </w:r>
      <w:r w:rsidR="003829F4" w:rsidRPr="003829F4">
        <w:rPr>
          <w:rFonts w:ascii="Verdana" w:hAnsi="Verdana"/>
          <w:i/>
          <w:iCs/>
          <w:color w:val="000000" w:themeColor="text1"/>
        </w:rPr>
        <w:t>AG v LG</w:t>
      </w:r>
      <w:r w:rsidR="003829F4" w:rsidRPr="003829F4">
        <w:rPr>
          <w:rStyle w:val="FootnoteReference"/>
          <w:rFonts w:ascii="Verdana" w:hAnsi="Verdana"/>
          <w:i/>
          <w:iCs/>
          <w:color w:val="000000" w:themeColor="text1"/>
          <w:sz w:val="22"/>
          <w:szCs w:val="22"/>
        </w:rPr>
        <w:footnoteReference w:id="24"/>
      </w:r>
      <w:r w:rsidR="003829F4" w:rsidRPr="003829F4">
        <w:rPr>
          <w:rFonts w:ascii="Verdana" w:hAnsi="Verdana"/>
          <w:i/>
          <w:iCs/>
          <w:color w:val="000000" w:themeColor="text1"/>
        </w:rPr>
        <w:t>,</w:t>
      </w:r>
      <w:r w:rsidR="003829F4" w:rsidRPr="003829F4">
        <w:rPr>
          <w:rFonts w:ascii="Verdana" w:hAnsi="Verdana"/>
          <w:color w:val="000000" w:themeColor="text1"/>
        </w:rPr>
        <w:t xml:space="preserve"> adopted the approach that an </w:t>
      </w:r>
      <w:r w:rsidR="003829F4" w:rsidRPr="0072789D">
        <w:rPr>
          <w:rFonts w:ascii="Verdana" w:hAnsi="Verdana"/>
          <w:color w:val="000000" w:themeColor="text1"/>
          <w:sz w:val="22"/>
          <w:szCs w:val="22"/>
        </w:rPr>
        <w:t>application for a contribution towards costs does not preclude costs already incurred from being taking into account in determining a contribution to costs, and that costs incurred or to be incurred in respect of applications that are truly interlocutory to the divorce proceedings must be included as per </w:t>
      </w:r>
      <w:r w:rsidR="003829F4" w:rsidRPr="0072789D">
        <w:rPr>
          <w:rFonts w:ascii="Verdana" w:hAnsi="Verdana"/>
          <w:i/>
          <w:iCs/>
          <w:color w:val="000000" w:themeColor="text1"/>
          <w:sz w:val="22"/>
          <w:szCs w:val="22"/>
        </w:rPr>
        <w:t>RM v AM.</w:t>
      </w:r>
      <w:r w:rsidR="003829F4" w:rsidRPr="0072789D">
        <w:rPr>
          <w:rStyle w:val="FootnoteReference"/>
          <w:rFonts w:ascii="Verdana" w:hAnsi="Verdana"/>
          <w:i/>
          <w:iCs/>
          <w:color w:val="000000" w:themeColor="text1"/>
          <w:sz w:val="22"/>
          <w:szCs w:val="22"/>
        </w:rPr>
        <w:footnoteReference w:id="25"/>
      </w:r>
      <w:r w:rsidR="003829F4" w:rsidRPr="0072789D">
        <w:rPr>
          <w:rFonts w:ascii="Verdana" w:hAnsi="Verdana"/>
          <w:color w:val="000000" w:themeColor="text1"/>
          <w:sz w:val="22"/>
          <w:szCs w:val="22"/>
        </w:rPr>
        <w:t xml:space="preserve"> </w:t>
      </w:r>
    </w:p>
    <w:p w14:paraId="367296A4" w14:textId="557B3747" w:rsidR="003829F4" w:rsidRPr="0072789D" w:rsidRDefault="00AF1307" w:rsidP="00AF1307">
      <w:pPr>
        <w:pStyle w:val="Indent"/>
        <w:widowControl w:val="0"/>
        <w:tabs>
          <w:tab w:val="left" w:pos="7371"/>
        </w:tabs>
        <w:spacing w:after="360" w:line="480" w:lineRule="auto"/>
        <w:ind w:left="1701" w:hanging="981"/>
        <w:jc w:val="both"/>
        <w:rPr>
          <w:rFonts w:ascii="Verdana" w:hAnsi="Verdana" w:cs="Arial"/>
          <w:sz w:val="22"/>
          <w:szCs w:val="22"/>
          <w:lang w:val="en-GB"/>
        </w:rPr>
      </w:pPr>
      <w:r w:rsidRPr="0072789D">
        <w:rPr>
          <w:rFonts w:ascii="Verdana" w:hAnsi="Verdana" w:cs="Arial"/>
          <w:sz w:val="22"/>
          <w:szCs w:val="22"/>
          <w:lang w:val="en-GB"/>
        </w:rPr>
        <w:t>[55.3]</w:t>
      </w:r>
      <w:r w:rsidRPr="0072789D">
        <w:rPr>
          <w:rFonts w:ascii="Verdana" w:hAnsi="Verdana" w:cs="Arial"/>
          <w:sz w:val="22"/>
          <w:szCs w:val="22"/>
          <w:lang w:val="en-GB"/>
        </w:rPr>
        <w:tab/>
      </w:r>
      <w:r w:rsidR="003829F4" w:rsidRPr="0072789D">
        <w:rPr>
          <w:rFonts w:ascii="Verdana" w:hAnsi="Verdana"/>
          <w:color w:val="000000" w:themeColor="text1"/>
          <w:sz w:val="22"/>
          <w:szCs w:val="22"/>
        </w:rPr>
        <w:t>stated that: “</w:t>
      </w:r>
      <w:r w:rsidR="003829F4" w:rsidRPr="0072789D">
        <w:rPr>
          <w:rFonts w:ascii="Verdana" w:hAnsi="Verdana"/>
          <w:i/>
          <w:iCs/>
          <w:color w:val="000000" w:themeColor="text1"/>
          <w:sz w:val="22"/>
          <w:szCs w:val="22"/>
        </w:rPr>
        <w:t>whilst the cases relied upon by Rogers J were all decided in the Cape and do not reflect the prevailing position in this Division, the time may have come for this Division to incorporate the approach reflected in </w:t>
      </w:r>
      <w:r w:rsidR="003829F4" w:rsidRPr="0072789D">
        <w:rPr>
          <w:rFonts w:ascii="Verdana" w:hAnsi="Verdana"/>
          <w:i/>
          <w:iCs/>
          <w:color w:val="000000" w:themeColor="text1"/>
          <w:sz w:val="22"/>
          <w:szCs w:val="22"/>
          <w:u w:val="single"/>
        </w:rPr>
        <w:t>AR v JR</w:t>
      </w:r>
      <w:r w:rsidR="003829F4" w:rsidRPr="0072789D">
        <w:rPr>
          <w:rStyle w:val="FootnoteReference"/>
          <w:rFonts w:ascii="Verdana" w:hAnsi="Verdana"/>
          <w:i/>
          <w:iCs/>
          <w:color w:val="000000" w:themeColor="text1"/>
          <w:sz w:val="22"/>
          <w:szCs w:val="22"/>
        </w:rPr>
        <w:footnoteReference w:id="26"/>
      </w:r>
      <w:r w:rsidR="003829F4" w:rsidRPr="0072789D">
        <w:rPr>
          <w:rFonts w:ascii="Verdana" w:hAnsi="Verdana"/>
          <w:i/>
          <w:iCs/>
          <w:color w:val="000000" w:themeColor="text1"/>
          <w:sz w:val="22"/>
          <w:szCs w:val="22"/>
        </w:rPr>
        <w:t xml:space="preserve"> in respect of costs already incurred being taking into account in determining a contribution towards costs, and that costs in respect of applications that are truly interlocutory to the divorce proceedings be included in addition. </w:t>
      </w:r>
    </w:p>
    <w:p w14:paraId="5B6348A8" w14:textId="0B36EEFE" w:rsidR="003829F4" w:rsidRPr="0072789D" w:rsidRDefault="00AF1307" w:rsidP="00AF1307">
      <w:pPr>
        <w:pStyle w:val="Indent"/>
        <w:widowControl w:val="0"/>
        <w:tabs>
          <w:tab w:val="left" w:pos="7371"/>
        </w:tabs>
        <w:spacing w:after="360" w:line="480" w:lineRule="auto"/>
        <w:ind w:left="1701" w:hanging="981"/>
        <w:jc w:val="both"/>
        <w:rPr>
          <w:rFonts w:ascii="Verdana" w:hAnsi="Verdana" w:cs="Arial"/>
          <w:sz w:val="22"/>
          <w:szCs w:val="22"/>
          <w:lang w:val="en-GB"/>
        </w:rPr>
      </w:pPr>
      <w:r w:rsidRPr="0072789D">
        <w:rPr>
          <w:rFonts w:ascii="Verdana" w:hAnsi="Verdana" w:cs="Arial"/>
          <w:sz w:val="22"/>
          <w:szCs w:val="22"/>
          <w:lang w:val="en-GB"/>
        </w:rPr>
        <w:t>[55.4]</w:t>
      </w:r>
      <w:r w:rsidRPr="0072789D">
        <w:rPr>
          <w:rFonts w:ascii="Verdana" w:hAnsi="Verdana" w:cs="Arial"/>
          <w:sz w:val="22"/>
          <w:szCs w:val="22"/>
          <w:lang w:val="en-GB"/>
        </w:rPr>
        <w:tab/>
      </w:r>
      <w:r w:rsidR="003829F4" w:rsidRPr="0072789D">
        <w:rPr>
          <w:rFonts w:ascii="Verdana" w:hAnsi="Verdana"/>
          <w:color w:val="000000" w:themeColor="text1"/>
          <w:sz w:val="22"/>
          <w:szCs w:val="22"/>
          <w:lang w:val="en-GB"/>
        </w:rPr>
        <w:t>ultimately held that it was not appropriate to deal</w:t>
      </w:r>
      <w:r w:rsidR="003829F4" w:rsidRPr="0072789D">
        <w:rPr>
          <w:rFonts w:ascii="Verdana" w:hAnsi="Verdana"/>
          <w:color w:val="000000" w:themeColor="text1"/>
          <w:sz w:val="22"/>
          <w:szCs w:val="22"/>
        </w:rPr>
        <w:t xml:space="preserve"> with such an extension of the prevailing practice in this Division, in that particular matter.</w:t>
      </w:r>
    </w:p>
    <w:p w14:paraId="63962051" w14:textId="05619251" w:rsidR="003829F4" w:rsidRPr="00AF1307" w:rsidRDefault="00AF1307" w:rsidP="00AF1307">
      <w:pPr>
        <w:spacing w:after="360" w:line="480" w:lineRule="auto"/>
        <w:ind w:left="720" w:hanging="720"/>
        <w:jc w:val="both"/>
        <w:rPr>
          <w:rFonts w:ascii="Verdana" w:hAnsi="Verdana"/>
          <w:color w:val="000000" w:themeColor="text1"/>
          <w:lang w:val="en-US"/>
        </w:rPr>
      </w:pPr>
      <w:r w:rsidRPr="006F6BF3">
        <w:rPr>
          <w:rFonts w:ascii="Verdana" w:hAnsi="Verdana"/>
          <w:color w:val="000000" w:themeColor="text1"/>
          <w:lang w:val="en-US"/>
        </w:rPr>
        <w:t>[56]</w:t>
      </w:r>
      <w:r w:rsidRPr="006F6BF3">
        <w:rPr>
          <w:rFonts w:ascii="Verdana" w:hAnsi="Verdana"/>
          <w:color w:val="000000" w:themeColor="text1"/>
          <w:lang w:val="en-US"/>
        </w:rPr>
        <w:tab/>
      </w:r>
      <w:r w:rsidR="00584104" w:rsidRPr="00AF1307">
        <w:rPr>
          <w:rFonts w:ascii="Verdana" w:hAnsi="Verdana"/>
          <w:color w:val="000000" w:themeColor="text1"/>
          <w:lang w:val="en-US"/>
        </w:rPr>
        <w:t xml:space="preserve">I agree that </w:t>
      </w:r>
      <w:r w:rsidR="003829F4" w:rsidRPr="00AF1307">
        <w:rPr>
          <w:rFonts w:ascii="Verdana" w:hAnsi="Verdana"/>
          <w:color w:val="000000" w:themeColor="text1"/>
          <w:lang w:val="en-US"/>
        </w:rPr>
        <w:t xml:space="preserve">the law </w:t>
      </w:r>
      <w:r w:rsidR="00584104" w:rsidRPr="00AF1307">
        <w:rPr>
          <w:rFonts w:ascii="Verdana" w:hAnsi="Verdana"/>
          <w:color w:val="000000" w:themeColor="text1"/>
          <w:lang w:val="en-US"/>
        </w:rPr>
        <w:t xml:space="preserve">requires </w:t>
      </w:r>
      <w:r w:rsidR="003829F4" w:rsidRPr="00AF1307">
        <w:rPr>
          <w:rFonts w:ascii="Verdana" w:hAnsi="Verdana"/>
          <w:color w:val="000000" w:themeColor="text1"/>
          <w:lang w:val="en-US"/>
        </w:rPr>
        <w:t>development</w:t>
      </w:r>
      <w:r w:rsidR="00584104" w:rsidRPr="00AF1307">
        <w:rPr>
          <w:rFonts w:ascii="Verdana" w:hAnsi="Verdana"/>
          <w:color w:val="000000" w:themeColor="text1"/>
          <w:lang w:val="en-US"/>
        </w:rPr>
        <w:t xml:space="preserve"> on this position</w:t>
      </w:r>
      <w:r w:rsidR="006F6BF3" w:rsidRPr="00AF1307">
        <w:rPr>
          <w:rFonts w:ascii="Verdana" w:hAnsi="Verdana"/>
          <w:color w:val="000000" w:themeColor="text1"/>
          <w:lang w:val="en-US"/>
        </w:rPr>
        <w:t>,</w:t>
      </w:r>
      <w:r w:rsidR="00584104" w:rsidRPr="00AF1307">
        <w:rPr>
          <w:rFonts w:ascii="Verdana" w:hAnsi="Verdana"/>
          <w:color w:val="000000" w:themeColor="text1"/>
          <w:lang w:val="en-US"/>
        </w:rPr>
        <w:t xml:space="preserve"> and I </w:t>
      </w:r>
      <w:r w:rsidR="0072789D" w:rsidRPr="00AF1307">
        <w:rPr>
          <w:rFonts w:ascii="Verdana" w:hAnsi="Verdana"/>
          <w:color w:val="000000" w:themeColor="text1"/>
          <w:lang w:val="en-US"/>
        </w:rPr>
        <w:t>align myself with</w:t>
      </w:r>
      <w:r w:rsidR="00584104" w:rsidRPr="00AF1307">
        <w:rPr>
          <w:rFonts w:ascii="Verdana" w:hAnsi="Verdana"/>
          <w:color w:val="000000" w:themeColor="text1"/>
          <w:lang w:val="en-US"/>
        </w:rPr>
        <w:t xml:space="preserve"> </w:t>
      </w:r>
      <w:r w:rsidR="003829F4" w:rsidRPr="00AF1307">
        <w:rPr>
          <w:rFonts w:ascii="Verdana" w:hAnsi="Verdana"/>
          <w:i/>
          <w:iCs/>
          <w:color w:val="000000" w:themeColor="text1"/>
        </w:rPr>
        <w:t>RM v AM</w:t>
      </w:r>
      <w:r w:rsidR="006F6BF3" w:rsidRPr="00AF1307">
        <w:rPr>
          <w:rFonts w:ascii="Verdana" w:hAnsi="Verdana"/>
          <w:color w:val="000000" w:themeColor="text1"/>
        </w:rPr>
        <w:t>, where the Western Cape High Court stated as follows</w:t>
      </w:r>
      <w:r w:rsidR="003829F4" w:rsidRPr="00AF1307">
        <w:rPr>
          <w:rFonts w:ascii="Verdana" w:hAnsi="Verdana"/>
          <w:color w:val="000000" w:themeColor="text1"/>
        </w:rPr>
        <w:t>:</w:t>
      </w:r>
      <w:r w:rsidR="006F6BF3" w:rsidRPr="00AF1307">
        <w:rPr>
          <w:rFonts w:ascii="Verdana" w:hAnsi="Verdana"/>
          <w:color w:val="000000" w:themeColor="text1"/>
        </w:rPr>
        <w:t>-</w:t>
      </w:r>
    </w:p>
    <w:p w14:paraId="62AEB017" w14:textId="77777777" w:rsidR="006F6BF3" w:rsidRDefault="003829F4" w:rsidP="006F6BF3">
      <w:pPr>
        <w:spacing w:after="360" w:line="480" w:lineRule="auto"/>
        <w:ind w:left="720"/>
        <w:jc w:val="both"/>
        <w:rPr>
          <w:rFonts w:ascii="Verdana" w:hAnsi="Verdana"/>
          <w:i/>
          <w:iCs/>
          <w:color w:val="000000" w:themeColor="text1"/>
        </w:rPr>
      </w:pPr>
      <w:r w:rsidRPr="006F6BF3">
        <w:rPr>
          <w:rFonts w:ascii="Verdana" w:hAnsi="Verdana"/>
          <w:color w:val="000000" w:themeColor="text1"/>
        </w:rPr>
        <w:t>“</w:t>
      </w:r>
      <w:r w:rsidRPr="006F6BF3">
        <w:rPr>
          <w:rFonts w:ascii="Verdana" w:hAnsi="Verdana"/>
          <w:i/>
          <w:iCs/>
          <w:color w:val="000000" w:themeColor="text1"/>
        </w:rPr>
        <w:t>Turning to the merits, a contribution to costs in terms of rule 43 is a contribution to the costs of the divorce action. In </w:t>
      </w:r>
      <w:r w:rsidRPr="006F6BF3">
        <w:rPr>
          <w:rFonts w:ascii="Verdana" w:hAnsi="Verdana"/>
          <w:i/>
          <w:iCs/>
          <w:color w:val="000000" w:themeColor="text1"/>
          <w:u w:val="single"/>
        </w:rPr>
        <w:t>Micklem v Micklem</w:t>
      </w:r>
      <w:r w:rsidRPr="003829F4">
        <w:rPr>
          <w:rStyle w:val="FootnoteReference"/>
          <w:rFonts w:ascii="Verdana" w:hAnsi="Verdana"/>
          <w:i/>
          <w:iCs/>
          <w:color w:val="000000" w:themeColor="text1"/>
        </w:rPr>
        <w:footnoteReference w:id="27"/>
      </w:r>
      <w:r w:rsidRPr="006F6BF3">
        <w:rPr>
          <w:rFonts w:ascii="Verdana" w:hAnsi="Verdana"/>
          <w:i/>
          <w:iCs/>
          <w:color w:val="000000" w:themeColor="text1"/>
        </w:rPr>
        <w:t xml:space="preserve"> it was said that the costs of interim applications are excluded. The case cited in support of this proposition, </w:t>
      </w:r>
      <w:r w:rsidRPr="006F6BF3">
        <w:rPr>
          <w:rFonts w:ascii="Verdana" w:hAnsi="Verdana"/>
          <w:i/>
          <w:iCs/>
          <w:color w:val="000000" w:themeColor="text1"/>
          <w:u w:val="single"/>
        </w:rPr>
        <w:t>Service v Service</w:t>
      </w:r>
      <w:r w:rsidRPr="003829F4">
        <w:rPr>
          <w:rStyle w:val="FootnoteReference"/>
          <w:rFonts w:ascii="Verdana" w:hAnsi="Verdana"/>
          <w:i/>
          <w:iCs/>
          <w:color w:val="000000" w:themeColor="text1"/>
        </w:rPr>
        <w:footnoteReference w:id="28"/>
      </w:r>
      <w:r w:rsidRPr="006F6BF3">
        <w:rPr>
          <w:rFonts w:ascii="Verdana" w:hAnsi="Verdana"/>
          <w:i/>
          <w:iCs/>
          <w:color w:val="000000" w:themeColor="text1"/>
        </w:rPr>
        <w:t xml:space="preserve">, does not establish it in those wide terms. Miller J in that case excluded the costs of ‘interim applications already made’. At that time past costs, even those directly concerned with the divorce, were thought not to be recoverable by way of a contribution under rule 43. </w:t>
      </w:r>
    </w:p>
    <w:p w14:paraId="5BA1559C" w14:textId="77777777" w:rsidR="006F6BF3" w:rsidRDefault="003829F4" w:rsidP="006F6BF3">
      <w:pPr>
        <w:spacing w:after="360" w:line="480" w:lineRule="auto"/>
        <w:ind w:left="720"/>
        <w:jc w:val="both"/>
        <w:rPr>
          <w:rFonts w:ascii="Verdana" w:hAnsi="Verdana"/>
          <w:i/>
          <w:iCs/>
          <w:color w:val="000000" w:themeColor="text1"/>
        </w:rPr>
      </w:pPr>
      <w:r w:rsidRPr="006F6BF3">
        <w:rPr>
          <w:rFonts w:ascii="Verdana" w:hAnsi="Verdana"/>
          <w:i/>
          <w:iCs/>
          <w:color w:val="000000" w:themeColor="text1"/>
        </w:rPr>
        <w:t xml:space="preserve">Interlocutory applications directly related to the divorce proceedings, such as applications to compel discovery and the like, </w:t>
      </w:r>
      <w:r w:rsidRPr="006F6BF3">
        <w:rPr>
          <w:rFonts w:ascii="Verdana" w:hAnsi="Verdana"/>
          <w:i/>
          <w:iCs/>
          <w:color w:val="000000" w:themeColor="text1"/>
          <w:u w:val="single"/>
        </w:rPr>
        <w:t>are, in my view, costs of the ‘pending matrimonial action’ within the meaning of rule 43(1)(b).</w:t>
      </w:r>
      <w:r w:rsidRPr="006F6BF3">
        <w:rPr>
          <w:rFonts w:ascii="Verdana" w:hAnsi="Verdana"/>
          <w:i/>
          <w:iCs/>
          <w:color w:val="000000" w:themeColor="text1"/>
        </w:rPr>
        <w:t xml:space="preserve"> I accept, though, that the costs of rule 43 applications and of freestanding applications relating to the best interests of children are not covered.</w:t>
      </w:r>
      <w:r w:rsidRPr="003829F4">
        <w:rPr>
          <w:rStyle w:val="FootnoteReference"/>
          <w:rFonts w:ascii="Verdana" w:hAnsi="Verdana"/>
          <w:i/>
          <w:iCs/>
          <w:color w:val="000000" w:themeColor="text1"/>
        </w:rPr>
        <w:footnoteReference w:id="29"/>
      </w:r>
    </w:p>
    <w:p w14:paraId="65D961F4" w14:textId="2E7AC5A0" w:rsidR="003829F4" w:rsidRPr="00AF1307" w:rsidRDefault="00AF1307" w:rsidP="00AF1307">
      <w:pPr>
        <w:spacing w:after="360" w:line="480" w:lineRule="auto"/>
        <w:ind w:left="720" w:hanging="720"/>
        <w:jc w:val="both"/>
        <w:rPr>
          <w:rFonts w:ascii="Verdana" w:hAnsi="Verdana"/>
          <w:i/>
          <w:iCs/>
          <w:color w:val="000000" w:themeColor="text1"/>
        </w:rPr>
      </w:pPr>
      <w:r w:rsidRPr="006F6BF3">
        <w:rPr>
          <w:rFonts w:ascii="Verdana" w:hAnsi="Verdana"/>
          <w:iCs/>
          <w:color w:val="000000" w:themeColor="text1"/>
        </w:rPr>
        <w:t>[57]</w:t>
      </w:r>
      <w:r w:rsidRPr="006F6BF3">
        <w:rPr>
          <w:rFonts w:ascii="Verdana" w:hAnsi="Verdana"/>
          <w:iCs/>
          <w:color w:val="000000" w:themeColor="text1"/>
        </w:rPr>
        <w:tab/>
      </w:r>
      <w:r w:rsidR="003829F4" w:rsidRPr="00AF1307">
        <w:rPr>
          <w:rFonts w:ascii="Verdana" w:hAnsi="Verdana"/>
          <w:color w:val="000000" w:themeColor="text1"/>
        </w:rPr>
        <w:t>I</w:t>
      </w:r>
      <w:r w:rsidR="006F6BF3" w:rsidRPr="00AF1307">
        <w:rPr>
          <w:rFonts w:ascii="Verdana" w:hAnsi="Verdana"/>
          <w:color w:val="000000" w:themeColor="text1"/>
        </w:rPr>
        <w:t>t is within this context</w:t>
      </w:r>
      <w:r w:rsidR="003829F4" w:rsidRPr="00AF1307">
        <w:rPr>
          <w:rFonts w:ascii="Verdana" w:hAnsi="Verdana"/>
          <w:color w:val="000000" w:themeColor="text1"/>
        </w:rPr>
        <w:t xml:space="preserve"> </w:t>
      </w:r>
      <w:r w:rsidR="006F6BF3" w:rsidRPr="00AF1307">
        <w:rPr>
          <w:rFonts w:ascii="Verdana" w:hAnsi="Verdana"/>
          <w:color w:val="000000" w:themeColor="text1"/>
        </w:rPr>
        <w:t xml:space="preserve">that </w:t>
      </w:r>
      <w:r w:rsidR="003829F4" w:rsidRPr="00AF1307">
        <w:rPr>
          <w:rFonts w:ascii="Verdana" w:hAnsi="Verdana"/>
          <w:color w:val="000000" w:themeColor="text1"/>
        </w:rPr>
        <w:t xml:space="preserve">the court </w:t>
      </w:r>
      <w:r w:rsidR="006F6BF3" w:rsidRPr="00AF1307">
        <w:rPr>
          <w:rFonts w:ascii="Verdana" w:hAnsi="Verdana"/>
          <w:color w:val="000000" w:themeColor="text1"/>
        </w:rPr>
        <w:t>held that</w:t>
      </w:r>
      <w:r w:rsidR="003829F4" w:rsidRPr="00AF1307">
        <w:rPr>
          <w:rFonts w:ascii="Verdana" w:hAnsi="Verdana"/>
          <w:color w:val="000000" w:themeColor="text1"/>
        </w:rPr>
        <w:t>:</w:t>
      </w:r>
    </w:p>
    <w:p w14:paraId="3E8FB914" w14:textId="77777777" w:rsidR="006F6BF3" w:rsidRPr="006F6BF3" w:rsidRDefault="006F6BF3" w:rsidP="006F6BF3">
      <w:pPr>
        <w:pStyle w:val="ListParagraph"/>
        <w:spacing w:after="360" w:line="480" w:lineRule="auto"/>
        <w:ind w:left="709"/>
        <w:jc w:val="both"/>
        <w:rPr>
          <w:rFonts w:ascii="Verdana" w:hAnsi="Verdana"/>
          <w:i/>
          <w:iCs/>
          <w:color w:val="000000" w:themeColor="text1"/>
        </w:rPr>
      </w:pPr>
    </w:p>
    <w:p w14:paraId="5F8FC1C7" w14:textId="77777777" w:rsidR="003829F4" w:rsidRPr="003829F4" w:rsidRDefault="003829F4" w:rsidP="006F6BF3">
      <w:pPr>
        <w:pStyle w:val="ListParagraph"/>
        <w:spacing w:after="360" w:line="480" w:lineRule="auto"/>
        <w:ind w:left="709"/>
        <w:contextualSpacing w:val="0"/>
        <w:jc w:val="both"/>
        <w:rPr>
          <w:rFonts w:ascii="Verdana" w:hAnsi="Verdana"/>
          <w:i/>
          <w:iCs/>
          <w:color w:val="000000" w:themeColor="text1"/>
          <w:lang w:val="en-US"/>
        </w:rPr>
      </w:pPr>
      <w:r w:rsidRPr="003829F4">
        <w:rPr>
          <w:rFonts w:ascii="Verdana" w:hAnsi="Verdana"/>
          <w:i/>
          <w:iCs/>
          <w:color w:val="000000" w:themeColor="text1"/>
        </w:rPr>
        <w:t>“As far as I can see, the only incidental applications truly interlocutory to the divorce action have been the following: the husband’s application to transfer the divorce action to the high court; the wife’s application in the latter part of 2017 to compel discovery (Slingers AJ made such an order, costs to be paid by the husband); a follow-up application to dismiss the husband’s defence (not adjudicated); and the wife’s postponement application (which was effectively overtaken by the husband’s counter-application). All the other applications were either rule 43 applications or independent proceedings concerning the best interests of the children.”</w:t>
      </w:r>
    </w:p>
    <w:p w14:paraId="2909DDF7" w14:textId="6E7DD913" w:rsidR="003829F4" w:rsidRPr="00AF1307" w:rsidRDefault="00AF1307" w:rsidP="00AF1307">
      <w:pPr>
        <w:spacing w:after="360" w:line="480" w:lineRule="auto"/>
        <w:ind w:left="720" w:hanging="720"/>
        <w:jc w:val="both"/>
        <w:rPr>
          <w:rFonts w:ascii="Verdana" w:hAnsi="Verdana"/>
          <w:color w:val="000000" w:themeColor="text1"/>
          <w:lang w:val="en-US"/>
        </w:rPr>
      </w:pPr>
      <w:r w:rsidRPr="006F6BF3">
        <w:rPr>
          <w:rFonts w:ascii="Verdana" w:hAnsi="Verdana"/>
          <w:color w:val="000000" w:themeColor="text1"/>
          <w:lang w:val="en-US"/>
        </w:rPr>
        <w:t>[58]</w:t>
      </w:r>
      <w:r w:rsidRPr="006F6BF3">
        <w:rPr>
          <w:rFonts w:ascii="Verdana" w:hAnsi="Verdana"/>
          <w:color w:val="000000" w:themeColor="text1"/>
          <w:lang w:val="en-US"/>
        </w:rPr>
        <w:tab/>
      </w:r>
      <w:r w:rsidR="003829F4" w:rsidRPr="00AF1307">
        <w:rPr>
          <w:rFonts w:ascii="Verdana" w:hAnsi="Verdana"/>
          <w:color w:val="000000" w:themeColor="text1"/>
          <w:lang w:val="en-US"/>
        </w:rPr>
        <w:t>These principles were cited with approval and applied in</w:t>
      </w:r>
      <w:r w:rsidR="006F6BF3" w:rsidRPr="00AF1307">
        <w:rPr>
          <w:rFonts w:ascii="Verdana" w:hAnsi="Verdana"/>
          <w:color w:val="000000" w:themeColor="text1"/>
          <w:lang w:val="en-US"/>
        </w:rPr>
        <w:t xml:space="preserve"> </w:t>
      </w:r>
      <w:r w:rsidR="003829F4" w:rsidRPr="00AF1307">
        <w:rPr>
          <w:rFonts w:ascii="Verdana" w:hAnsi="Verdana"/>
          <w:color w:val="000000" w:themeColor="text1"/>
          <w:lang w:val="en-US"/>
        </w:rPr>
        <w:t xml:space="preserve"> </w:t>
      </w:r>
      <w:r w:rsidR="003829F4" w:rsidRPr="00AF1307">
        <w:rPr>
          <w:rFonts w:ascii="Verdana" w:hAnsi="Verdana"/>
          <w:i/>
          <w:iCs/>
          <w:color w:val="000000" w:themeColor="text1"/>
          <w:lang w:val="en-US"/>
        </w:rPr>
        <w:t>AR v JR</w:t>
      </w:r>
      <w:r w:rsidR="003829F4" w:rsidRPr="00AF1307">
        <w:rPr>
          <w:rFonts w:ascii="Verdana" w:hAnsi="Verdana"/>
          <w:color w:val="000000" w:themeColor="text1"/>
          <w:lang w:val="en-US"/>
        </w:rPr>
        <w:t>.</w:t>
      </w:r>
    </w:p>
    <w:p w14:paraId="50E77937" w14:textId="77777777" w:rsidR="006F6BF3" w:rsidRPr="006F6BF3" w:rsidRDefault="006F6BF3" w:rsidP="006F6BF3">
      <w:pPr>
        <w:pStyle w:val="ListParagraph"/>
        <w:spacing w:after="360" w:line="480" w:lineRule="auto"/>
        <w:ind w:left="709"/>
        <w:jc w:val="both"/>
        <w:rPr>
          <w:rFonts w:ascii="Verdana" w:hAnsi="Verdana"/>
          <w:color w:val="000000" w:themeColor="text1"/>
          <w:lang w:val="en-US"/>
        </w:rPr>
      </w:pPr>
    </w:p>
    <w:p w14:paraId="0593BA43" w14:textId="7867BAE4" w:rsidR="006F6BF3" w:rsidRPr="00AF1307" w:rsidRDefault="00AF1307" w:rsidP="00AF1307">
      <w:pPr>
        <w:spacing w:after="360" w:line="480" w:lineRule="auto"/>
        <w:ind w:left="720" w:hanging="720"/>
        <w:jc w:val="both"/>
        <w:rPr>
          <w:rFonts w:ascii="Verdana" w:hAnsi="Verdana"/>
          <w:color w:val="000000" w:themeColor="text1"/>
          <w:lang w:val="en-US"/>
        </w:rPr>
      </w:pPr>
      <w:r w:rsidRPr="006F6BF3">
        <w:rPr>
          <w:rFonts w:ascii="Verdana" w:hAnsi="Verdana"/>
          <w:color w:val="000000" w:themeColor="text1"/>
          <w:lang w:val="en-US"/>
        </w:rPr>
        <w:t>[59]</w:t>
      </w:r>
      <w:r w:rsidRPr="006F6BF3">
        <w:rPr>
          <w:rFonts w:ascii="Verdana" w:hAnsi="Verdana"/>
          <w:color w:val="000000" w:themeColor="text1"/>
          <w:lang w:val="en-US"/>
        </w:rPr>
        <w:tab/>
      </w:r>
      <w:r w:rsidR="003829F4" w:rsidRPr="00AF1307">
        <w:rPr>
          <w:rFonts w:ascii="Verdana" w:hAnsi="Verdana"/>
          <w:color w:val="000000" w:themeColor="text1"/>
        </w:rPr>
        <w:t>The appropriate test</w:t>
      </w:r>
      <w:r w:rsidR="006F6BF3" w:rsidRPr="00AF1307">
        <w:rPr>
          <w:rFonts w:ascii="Verdana" w:hAnsi="Verdana"/>
          <w:color w:val="000000" w:themeColor="text1"/>
        </w:rPr>
        <w:t xml:space="preserve"> in my view therefore is </w:t>
      </w:r>
      <w:r w:rsidR="003829F4" w:rsidRPr="00AF1307">
        <w:rPr>
          <w:rFonts w:ascii="Verdana" w:hAnsi="Verdana"/>
          <w:color w:val="000000" w:themeColor="text1"/>
        </w:rPr>
        <w:t xml:space="preserve">whether the interlocutory application is truly interlocutory to the divorce proceedings, because in such an instance the interlocutory will necessarily be required to efficiently finalise the proceedings. </w:t>
      </w:r>
      <w:r w:rsidR="006F6BF3" w:rsidRPr="00AF1307">
        <w:rPr>
          <w:rFonts w:ascii="Verdana" w:hAnsi="Verdana"/>
          <w:color w:val="000000" w:themeColor="text1"/>
        </w:rPr>
        <w:t>This by its very nature would include interlocutory application premises on frivolous grounds</w:t>
      </w:r>
      <w:r w:rsidR="003829F4" w:rsidRPr="00AF1307">
        <w:rPr>
          <w:rFonts w:ascii="Verdana" w:hAnsi="Verdana"/>
          <w:color w:val="000000" w:themeColor="text1"/>
        </w:rPr>
        <w:t xml:space="preserve">. Ultimately, the inclusion should be just, equitable and fair in </w:t>
      </w:r>
      <w:r w:rsidR="006F6BF3" w:rsidRPr="00AF1307">
        <w:rPr>
          <w:rFonts w:ascii="Verdana" w:hAnsi="Verdana"/>
          <w:color w:val="000000" w:themeColor="text1"/>
        </w:rPr>
        <w:t xml:space="preserve">the </w:t>
      </w:r>
      <w:r w:rsidR="003829F4" w:rsidRPr="00AF1307">
        <w:rPr>
          <w:rFonts w:ascii="Verdana" w:hAnsi="Verdana"/>
          <w:color w:val="000000" w:themeColor="text1"/>
        </w:rPr>
        <w:t>context of the pending litigation.</w:t>
      </w:r>
    </w:p>
    <w:p w14:paraId="42B188BD" w14:textId="077860D5" w:rsidR="00DB17E0" w:rsidRDefault="00AF1307" w:rsidP="00AF1307">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[60]</w:t>
      </w:r>
      <w:r>
        <w:rPr>
          <w:rFonts w:ascii="Verdana" w:hAnsi="Verdana" w:cs="Arial"/>
          <w:color w:val="000000" w:themeColor="text1"/>
          <w:sz w:val="22"/>
          <w:szCs w:val="22"/>
          <w:lang w:val="en-GB"/>
        </w:rPr>
        <w:tab/>
      </w:r>
      <w:r w:rsidR="005D3523">
        <w:rPr>
          <w:rFonts w:ascii="Verdana" w:hAnsi="Verdana" w:cs="Arial"/>
          <w:sz w:val="22"/>
          <w:szCs w:val="22"/>
          <w:lang w:val="en-GB"/>
        </w:rPr>
        <w:t>There is another important differentiation to make, namely the costs in bringing the interlocutory application and the costs order that it ultimately granted by the court hearing the interlocutory application. A development in the legal principles relating to a contribution to legal costs, more specifically whether allowance should be made for interlocutory applications, is by no means intended to usurp the discretion of the interlocutory court when ultimately determining which party, if any, should be liable for the costs of the application.</w:t>
      </w:r>
      <w:r w:rsidR="00CB096D">
        <w:rPr>
          <w:rFonts w:ascii="Verdana" w:hAnsi="Verdana" w:cs="Arial"/>
          <w:sz w:val="22"/>
          <w:szCs w:val="22"/>
          <w:lang w:val="en-GB"/>
        </w:rPr>
        <w:t xml:space="preserve"> In addition, such development </w:t>
      </w:r>
      <w:r w:rsidR="00F601A3">
        <w:rPr>
          <w:rFonts w:ascii="Verdana" w:hAnsi="Verdana" w:cs="Arial"/>
          <w:sz w:val="22"/>
          <w:szCs w:val="22"/>
          <w:lang w:val="en-GB"/>
        </w:rPr>
        <w:t xml:space="preserve">is not intended to interfere </w:t>
      </w:r>
      <w:r w:rsidR="00CB096D">
        <w:rPr>
          <w:rFonts w:ascii="Verdana" w:hAnsi="Verdana" w:cs="Arial"/>
          <w:sz w:val="22"/>
          <w:szCs w:val="22"/>
          <w:lang w:val="en-GB"/>
        </w:rPr>
        <w:t>with the powers of the taxing master when scrutinising a bills</w:t>
      </w:r>
      <w:r w:rsidR="009F4809">
        <w:rPr>
          <w:rFonts w:ascii="Verdana" w:hAnsi="Verdana" w:cs="Arial"/>
          <w:sz w:val="22"/>
          <w:szCs w:val="22"/>
          <w:lang w:val="en-GB"/>
        </w:rPr>
        <w:t>-</w:t>
      </w:r>
      <w:r w:rsidR="00CB096D">
        <w:rPr>
          <w:rFonts w:ascii="Verdana" w:hAnsi="Verdana" w:cs="Arial"/>
          <w:sz w:val="22"/>
          <w:szCs w:val="22"/>
          <w:lang w:val="en-GB"/>
        </w:rPr>
        <w:t>of</w:t>
      </w:r>
      <w:r w:rsidR="009F4809">
        <w:rPr>
          <w:rFonts w:ascii="Verdana" w:hAnsi="Verdana" w:cs="Arial"/>
          <w:sz w:val="22"/>
          <w:szCs w:val="22"/>
          <w:lang w:val="en-GB"/>
        </w:rPr>
        <w:t>-</w:t>
      </w:r>
      <w:r w:rsidR="00CB096D">
        <w:rPr>
          <w:rFonts w:ascii="Verdana" w:hAnsi="Verdana" w:cs="Arial"/>
          <w:sz w:val="22"/>
          <w:szCs w:val="22"/>
          <w:lang w:val="en-GB"/>
        </w:rPr>
        <w:t>costs on taxation</w:t>
      </w:r>
      <w:r w:rsidR="00F601A3">
        <w:rPr>
          <w:rFonts w:ascii="Verdana" w:hAnsi="Verdana" w:cs="Arial"/>
          <w:sz w:val="22"/>
          <w:szCs w:val="22"/>
          <w:lang w:val="en-GB"/>
        </w:rPr>
        <w:t xml:space="preserve"> either. All the development seeks to achieve is to financially empower an applicant to do whatever he or she needs to do to advance his or her case </w:t>
      </w:r>
      <w:r w:rsidR="0072789D">
        <w:rPr>
          <w:rFonts w:ascii="Verdana" w:hAnsi="Verdana" w:cs="Arial"/>
          <w:sz w:val="22"/>
          <w:szCs w:val="22"/>
          <w:lang w:val="en-GB"/>
        </w:rPr>
        <w:t>fairly and justly.</w:t>
      </w:r>
    </w:p>
    <w:p w14:paraId="352F0EB2" w14:textId="53F8B659" w:rsidR="009F4809" w:rsidRDefault="00AF1307" w:rsidP="00AF1307">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[61]</w:t>
      </w:r>
      <w:r>
        <w:rPr>
          <w:rFonts w:ascii="Verdana" w:hAnsi="Verdana" w:cs="Arial"/>
          <w:color w:val="000000" w:themeColor="text1"/>
          <w:sz w:val="22"/>
          <w:szCs w:val="22"/>
          <w:lang w:val="en-GB"/>
        </w:rPr>
        <w:tab/>
      </w:r>
      <w:r w:rsidR="009F4809">
        <w:rPr>
          <w:rFonts w:ascii="Verdana" w:hAnsi="Verdana" w:cs="Arial"/>
          <w:sz w:val="22"/>
          <w:szCs w:val="22"/>
          <w:lang w:val="en-GB"/>
        </w:rPr>
        <w:t xml:space="preserve">Turning to the facts of this matter and considering </w:t>
      </w:r>
      <w:r w:rsidR="0072789D">
        <w:rPr>
          <w:rFonts w:ascii="Verdana" w:hAnsi="Verdana" w:cs="Arial"/>
          <w:sz w:val="22"/>
          <w:szCs w:val="22"/>
          <w:lang w:val="en-GB"/>
        </w:rPr>
        <w:t xml:space="preserve">the </w:t>
      </w:r>
      <w:r w:rsidR="009F4809">
        <w:rPr>
          <w:rFonts w:ascii="Verdana" w:hAnsi="Verdana" w:cs="Arial"/>
          <w:sz w:val="22"/>
          <w:szCs w:val="22"/>
          <w:lang w:val="en-GB"/>
        </w:rPr>
        <w:t>history of the litigation thus far, I would do an injustice to the applicant if I did not make some allowance for the bringing of interlocutory applications in her costs contribution.  I agree with the applicant’s submission that the need to request further documents may very well flow from an analysis of the documents that have already been provided by financial institutions and the like. To illustrate this point counsel on behalf of the applicant submitted that no management accounts have been provided for the game lodge, no</w:t>
      </w:r>
      <w:r w:rsidR="0072789D">
        <w:rPr>
          <w:rFonts w:ascii="Verdana" w:hAnsi="Verdana" w:cs="Arial"/>
          <w:sz w:val="22"/>
          <w:szCs w:val="22"/>
          <w:lang w:val="en-GB"/>
        </w:rPr>
        <w:t>r</w:t>
      </w:r>
      <w:r w:rsidR="009F4809">
        <w:rPr>
          <w:rFonts w:ascii="Verdana" w:hAnsi="Verdana" w:cs="Arial"/>
          <w:sz w:val="22"/>
          <w:szCs w:val="22"/>
          <w:lang w:val="en-GB"/>
        </w:rPr>
        <w:t xml:space="preserve"> have any asset registers or share certificates been provided in circumstances where the shareholding remains in dispute. </w:t>
      </w:r>
      <w:r w:rsidR="00235A26">
        <w:rPr>
          <w:rFonts w:ascii="Verdana" w:hAnsi="Verdana" w:cs="Arial"/>
          <w:sz w:val="22"/>
          <w:szCs w:val="22"/>
          <w:lang w:val="en-GB"/>
        </w:rPr>
        <w:t xml:space="preserve">Loan accounts also seem to be a highly contentious issue. </w:t>
      </w:r>
      <w:r w:rsidR="009F4809">
        <w:rPr>
          <w:rFonts w:ascii="Verdana" w:hAnsi="Verdana" w:cs="Arial"/>
          <w:sz w:val="22"/>
          <w:szCs w:val="22"/>
          <w:lang w:val="en-GB"/>
        </w:rPr>
        <w:t xml:space="preserve">In addition, as a separate </w:t>
      </w:r>
      <w:r w:rsidR="009F4809">
        <w:rPr>
          <w:rFonts w:ascii="Verdana" w:hAnsi="Verdana" w:cs="Arial"/>
          <w:i/>
          <w:iCs/>
          <w:sz w:val="22"/>
          <w:szCs w:val="22"/>
          <w:lang w:val="en-GB"/>
        </w:rPr>
        <w:t xml:space="preserve">sui generis </w:t>
      </w:r>
      <w:r w:rsidR="009F4809">
        <w:rPr>
          <w:rFonts w:ascii="Verdana" w:hAnsi="Verdana" w:cs="Arial"/>
          <w:sz w:val="22"/>
          <w:szCs w:val="22"/>
          <w:lang w:val="en-GB"/>
        </w:rPr>
        <w:t>entity the trustees would have to be subpoenaed to provide documents and not the respondent in h</w:t>
      </w:r>
      <w:r w:rsidR="0072789D">
        <w:rPr>
          <w:rFonts w:ascii="Verdana" w:hAnsi="Verdana" w:cs="Arial"/>
          <w:sz w:val="22"/>
          <w:szCs w:val="22"/>
          <w:lang w:val="en-GB"/>
        </w:rPr>
        <w:t>is</w:t>
      </w:r>
      <w:r w:rsidR="009F4809">
        <w:rPr>
          <w:rFonts w:ascii="Verdana" w:hAnsi="Verdana" w:cs="Arial"/>
          <w:sz w:val="22"/>
          <w:szCs w:val="22"/>
          <w:lang w:val="en-GB"/>
        </w:rPr>
        <w:t xml:space="preserve"> personal capacity.</w:t>
      </w:r>
      <w:r w:rsidR="002E378D">
        <w:rPr>
          <w:rFonts w:ascii="Verdana" w:hAnsi="Verdana" w:cs="Arial"/>
          <w:sz w:val="22"/>
          <w:szCs w:val="22"/>
          <w:lang w:val="en-GB"/>
        </w:rPr>
        <w:t xml:space="preserve"> The process of discovery therefore seems far from over.</w:t>
      </w:r>
    </w:p>
    <w:p w14:paraId="3590B9F0" w14:textId="37FF309D" w:rsidR="002E378D" w:rsidRDefault="00AF1307" w:rsidP="00AF1307">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[62]</w:t>
      </w:r>
      <w:r>
        <w:rPr>
          <w:rFonts w:ascii="Verdana" w:hAnsi="Verdana" w:cs="Arial"/>
          <w:color w:val="000000" w:themeColor="text1"/>
          <w:sz w:val="22"/>
          <w:szCs w:val="22"/>
          <w:lang w:val="en-GB"/>
        </w:rPr>
        <w:tab/>
      </w:r>
      <w:r w:rsidR="00235A26">
        <w:rPr>
          <w:rFonts w:ascii="Verdana" w:hAnsi="Verdana" w:cs="Arial"/>
          <w:sz w:val="22"/>
          <w:szCs w:val="22"/>
          <w:lang w:val="en-GB"/>
        </w:rPr>
        <w:t>It is all fair and well for the respondent to argue that the discovery process is not necessary</w:t>
      </w:r>
      <w:r w:rsidR="00E664AB">
        <w:rPr>
          <w:rFonts w:ascii="Verdana" w:hAnsi="Verdana" w:cs="Arial"/>
          <w:sz w:val="22"/>
          <w:szCs w:val="22"/>
          <w:lang w:val="en-GB"/>
        </w:rPr>
        <w:t>, because</w:t>
      </w:r>
      <w:r w:rsidR="00235A26">
        <w:rPr>
          <w:rFonts w:ascii="Verdana" w:hAnsi="Verdana" w:cs="Arial"/>
          <w:sz w:val="22"/>
          <w:szCs w:val="22"/>
          <w:lang w:val="en-GB"/>
        </w:rPr>
        <w:t xml:space="preserve"> he agrees that the trust assets should be included </w:t>
      </w:r>
      <w:r w:rsidR="0072789D">
        <w:rPr>
          <w:rFonts w:ascii="Verdana" w:hAnsi="Verdana" w:cs="Arial"/>
          <w:sz w:val="22"/>
          <w:szCs w:val="22"/>
          <w:lang w:val="en-GB"/>
        </w:rPr>
        <w:t xml:space="preserve">in the </w:t>
      </w:r>
      <w:r w:rsidR="00235A26">
        <w:rPr>
          <w:rFonts w:ascii="Verdana" w:hAnsi="Verdana" w:cs="Arial"/>
          <w:sz w:val="22"/>
          <w:szCs w:val="22"/>
          <w:lang w:val="en-GB"/>
        </w:rPr>
        <w:t>division of the joint estate. This argument</w:t>
      </w:r>
      <w:r w:rsidR="00E664AB">
        <w:rPr>
          <w:rFonts w:ascii="Verdana" w:hAnsi="Verdana" w:cs="Arial"/>
          <w:sz w:val="22"/>
          <w:szCs w:val="22"/>
          <w:lang w:val="en-GB"/>
        </w:rPr>
        <w:t xml:space="preserve"> loses sight of the interplay between the value of the estate and the principle of spousal maintenance</w:t>
      </w:r>
      <w:r w:rsidR="00A47841">
        <w:rPr>
          <w:rFonts w:ascii="Verdana" w:hAnsi="Verdana" w:cs="Arial"/>
          <w:sz w:val="22"/>
          <w:szCs w:val="22"/>
          <w:lang w:val="en-GB"/>
        </w:rPr>
        <w:t xml:space="preserve"> and how the enquiry into these two issues is inextricably linked</w:t>
      </w:r>
      <w:r w:rsidR="00E664AB">
        <w:rPr>
          <w:rFonts w:ascii="Verdana" w:hAnsi="Verdana" w:cs="Arial"/>
          <w:sz w:val="22"/>
          <w:szCs w:val="22"/>
          <w:lang w:val="en-GB"/>
        </w:rPr>
        <w:t xml:space="preserve">.  The need for </w:t>
      </w:r>
      <w:r w:rsidR="00235A26">
        <w:rPr>
          <w:rFonts w:ascii="Verdana" w:hAnsi="Verdana" w:cs="Arial"/>
          <w:sz w:val="22"/>
          <w:szCs w:val="22"/>
          <w:lang w:val="en-GB"/>
        </w:rPr>
        <w:t>spousal maintenance</w:t>
      </w:r>
      <w:r w:rsidR="00E664AB">
        <w:rPr>
          <w:rStyle w:val="FootnoteReference"/>
          <w:rFonts w:ascii="Verdana" w:hAnsi="Verdana" w:cs="Arial"/>
          <w:sz w:val="22"/>
          <w:szCs w:val="22"/>
          <w:lang w:val="en-GB"/>
        </w:rPr>
        <w:footnoteReference w:id="30"/>
      </w:r>
      <w:r w:rsidR="00E664AB">
        <w:rPr>
          <w:rFonts w:ascii="Verdana" w:hAnsi="Verdana" w:cs="Arial"/>
          <w:sz w:val="22"/>
          <w:szCs w:val="22"/>
          <w:lang w:val="en-GB"/>
        </w:rPr>
        <w:t xml:space="preserve"> can only be reasonably determined once the Court is apprised of the net asset value of the estate and hence, the value of the applicant’s 50% share. Moreover, a claim for spousal maintenance, more particularly the principle, must be determined upon the granting of a decree of divorce and not thereafter.</w:t>
      </w:r>
      <w:r w:rsidR="00A47841">
        <w:rPr>
          <w:rFonts w:ascii="Verdana" w:hAnsi="Verdana" w:cs="Arial"/>
          <w:sz w:val="22"/>
          <w:szCs w:val="22"/>
          <w:lang w:val="en-GB"/>
        </w:rPr>
        <w:t xml:space="preserve"> A division of the joint estate is a legal consequence of a decree of divorce, but a need for spousal maintenance is not. </w:t>
      </w:r>
    </w:p>
    <w:p w14:paraId="77B05C24" w14:textId="37B864C8" w:rsidR="00A47841" w:rsidRDefault="00AF1307" w:rsidP="00AF1307">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[63]</w:t>
      </w:r>
      <w:r>
        <w:rPr>
          <w:rFonts w:ascii="Verdana" w:hAnsi="Verdana" w:cs="Arial"/>
          <w:color w:val="000000" w:themeColor="text1"/>
          <w:sz w:val="22"/>
          <w:szCs w:val="22"/>
          <w:lang w:val="en-GB"/>
        </w:rPr>
        <w:tab/>
      </w:r>
      <w:r w:rsidR="00A47841">
        <w:rPr>
          <w:rFonts w:ascii="Verdana" w:hAnsi="Verdana" w:cs="Arial"/>
          <w:sz w:val="22"/>
          <w:szCs w:val="22"/>
          <w:lang w:val="en-GB"/>
        </w:rPr>
        <w:t>It accordingly stands to reason that not only does the value of the estate have to be accurately determined before a divorce is granted, but a failure to do so would compromise the applicant’s claim for spousal maintenance.</w:t>
      </w:r>
    </w:p>
    <w:p w14:paraId="3C8E4D05" w14:textId="4BE8A96C" w:rsidR="00A47841" w:rsidRDefault="00AF1307" w:rsidP="00AF1307">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[64]</w:t>
      </w:r>
      <w:r>
        <w:rPr>
          <w:rFonts w:ascii="Verdana" w:hAnsi="Verdana" w:cs="Arial"/>
          <w:color w:val="000000" w:themeColor="text1"/>
          <w:sz w:val="22"/>
          <w:szCs w:val="22"/>
          <w:lang w:val="en-GB"/>
        </w:rPr>
        <w:tab/>
      </w:r>
      <w:r w:rsidR="00A47841">
        <w:rPr>
          <w:rFonts w:ascii="Verdana" w:hAnsi="Verdana" w:cs="Arial"/>
          <w:sz w:val="22"/>
          <w:szCs w:val="22"/>
          <w:lang w:val="en-GB"/>
        </w:rPr>
        <w:t xml:space="preserve">In my view I need not dwell any further on the importance of appointing a forensic accountant in light of what I have stated regarding the issue of discovery and the importance of accurately calculating the net asset value of the joint estate. I am not persuaded by the argument that the mandate of the expert who the applicant intends to call is </w:t>
      </w:r>
      <w:r w:rsidR="006C7C22">
        <w:rPr>
          <w:rFonts w:ascii="Verdana" w:hAnsi="Verdana" w:cs="Arial"/>
          <w:sz w:val="22"/>
          <w:szCs w:val="22"/>
          <w:lang w:val="en-GB"/>
        </w:rPr>
        <w:t>necessarily limited to the issues state in his quotation.</w:t>
      </w:r>
    </w:p>
    <w:p w14:paraId="3A28ADFE" w14:textId="6FBD4ABA" w:rsidR="0047063E" w:rsidRDefault="00AF1307" w:rsidP="00AF1307">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[65]</w:t>
      </w:r>
      <w:r>
        <w:rPr>
          <w:rFonts w:ascii="Verdana" w:hAnsi="Verdana" w:cs="Arial"/>
          <w:color w:val="000000" w:themeColor="text1"/>
          <w:sz w:val="22"/>
          <w:szCs w:val="22"/>
          <w:lang w:val="en-GB"/>
        </w:rPr>
        <w:tab/>
      </w:r>
      <w:r w:rsidR="006C7C22">
        <w:rPr>
          <w:rFonts w:ascii="Verdana" w:hAnsi="Verdana" w:cs="Arial"/>
          <w:sz w:val="22"/>
          <w:szCs w:val="22"/>
          <w:lang w:val="en-GB"/>
        </w:rPr>
        <w:t>As indicated, the respondent is clearly disputing the applicant’s need for maintenance. He holds the view that her 50% share of the joint estate would be more than adequate to sustain herself.</w:t>
      </w:r>
      <w:r w:rsidR="002167DD">
        <w:rPr>
          <w:rFonts w:ascii="Verdana" w:hAnsi="Verdana" w:cs="Arial"/>
          <w:sz w:val="22"/>
          <w:szCs w:val="22"/>
          <w:lang w:val="en-GB"/>
        </w:rPr>
        <w:t xml:space="preserve"> Of course, this argument does not take into consideration the interim period where the applicant will require maintenance pending the division of the joint estate, and the realisation and/or transfer of certain assets.  Furthermore, the respondent’s speculation that the applicant’s share will be sufficient to sustain herself, is not only cold comfort to the court, but also to the applicant.  If the applicant’s 50% share is not adequate, her employability comes into </w:t>
      </w:r>
      <w:r w:rsidR="00D07D9E">
        <w:rPr>
          <w:rFonts w:ascii="Verdana" w:hAnsi="Verdana" w:cs="Arial"/>
          <w:sz w:val="22"/>
          <w:szCs w:val="22"/>
          <w:lang w:val="en-GB"/>
        </w:rPr>
        <w:t>play,</w:t>
      </w:r>
      <w:r w:rsidR="002167DD">
        <w:rPr>
          <w:rFonts w:ascii="Verdana" w:hAnsi="Verdana" w:cs="Arial"/>
          <w:sz w:val="22"/>
          <w:szCs w:val="22"/>
          <w:lang w:val="en-GB"/>
        </w:rPr>
        <w:t xml:space="preserve"> and it is then when the evidence of an industrial psychologist becomes relevant. Due to the prevailing variables in this matter, the need for such an expert cannot be disregarded at this stage.  I accordingly f</w:t>
      </w:r>
      <w:r w:rsidR="0072789D">
        <w:rPr>
          <w:rFonts w:ascii="Verdana" w:hAnsi="Verdana" w:cs="Arial"/>
          <w:sz w:val="22"/>
          <w:szCs w:val="22"/>
          <w:lang w:val="en-GB"/>
        </w:rPr>
        <w:t>ind</w:t>
      </w:r>
      <w:r w:rsidR="002167DD">
        <w:rPr>
          <w:rFonts w:ascii="Verdana" w:hAnsi="Verdana" w:cs="Arial"/>
          <w:sz w:val="22"/>
          <w:szCs w:val="22"/>
          <w:lang w:val="en-GB"/>
        </w:rPr>
        <w:t xml:space="preserve"> that his expert, on the papers as they currently stand is necessary</w:t>
      </w:r>
      <w:r w:rsidR="0047063E">
        <w:rPr>
          <w:rFonts w:ascii="Verdana" w:hAnsi="Verdana" w:cs="Arial"/>
          <w:sz w:val="22"/>
          <w:szCs w:val="22"/>
          <w:lang w:val="en-GB"/>
        </w:rPr>
        <w:t>.</w:t>
      </w:r>
    </w:p>
    <w:p w14:paraId="45D3355E" w14:textId="57519490" w:rsidR="0047063E" w:rsidRPr="0047063E" w:rsidRDefault="00AF1307" w:rsidP="00AF1307">
      <w:pPr>
        <w:pStyle w:val="Indent"/>
        <w:widowControl w:val="0"/>
        <w:spacing w:after="360" w:line="480" w:lineRule="auto"/>
        <w:ind w:left="709" w:hanging="720"/>
        <w:jc w:val="both"/>
        <w:rPr>
          <w:rFonts w:ascii="Verdana" w:hAnsi="Verdana" w:cs="Arial"/>
          <w:sz w:val="22"/>
          <w:szCs w:val="22"/>
          <w:lang w:val="en-GB"/>
        </w:rPr>
      </w:pPr>
      <w:r w:rsidRPr="0047063E">
        <w:rPr>
          <w:rFonts w:ascii="Verdana" w:hAnsi="Verdana" w:cs="Arial"/>
          <w:color w:val="000000" w:themeColor="text1"/>
          <w:sz w:val="22"/>
          <w:szCs w:val="22"/>
          <w:lang w:val="en-GB"/>
        </w:rPr>
        <w:t>[66]</w:t>
      </w:r>
      <w:r w:rsidRPr="0047063E">
        <w:rPr>
          <w:rFonts w:ascii="Verdana" w:hAnsi="Verdana" w:cs="Arial"/>
          <w:color w:val="000000" w:themeColor="text1"/>
          <w:sz w:val="22"/>
          <w:szCs w:val="22"/>
          <w:lang w:val="en-GB"/>
        </w:rPr>
        <w:tab/>
      </w:r>
      <w:r w:rsidR="0047063E" w:rsidRPr="0047063E">
        <w:rPr>
          <w:rFonts w:ascii="Verdana" w:hAnsi="Verdana" w:cs="Arial"/>
          <w:sz w:val="22"/>
          <w:szCs w:val="22"/>
          <w:lang w:val="en-GB"/>
        </w:rPr>
        <w:t xml:space="preserve">Within the context of this matter, it deserves reminding that experts are not there for the parties, but for the court.  </w:t>
      </w:r>
      <w:r w:rsidR="0047063E" w:rsidRPr="0047063E">
        <w:rPr>
          <w:rFonts w:ascii="Verdana" w:hAnsi="Verdana"/>
          <w:sz w:val="22"/>
          <w:szCs w:val="22"/>
        </w:rPr>
        <w:t>Kotzé J put it as follows in </w:t>
      </w:r>
      <w:r w:rsidR="0047063E" w:rsidRPr="0047063E">
        <w:rPr>
          <w:rFonts w:ascii="Verdana" w:hAnsi="Verdana"/>
          <w:i/>
          <w:iCs/>
          <w:sz w:val="22"/>
          <w:szCs w:val="22"/>
        </w:rPr>
        <w:t>S v Gouws</w:t>
      </w:r>
      <w:r w:rsidR="0047063E" w:rsidRPr="0047063E">
        <w:rPr>
          <w:rFonts w:ascii="Verdana" w:hAnsi="Verdana"/>
          <w:sz w:val="22"/>
          <w:szCs w:val="22"/>
        </w:rPr>
        <w:t>:</w:t>
      </w:r>
      <w:r w:rsidR="0047063E" w:rsidRPr="0047063E">
        <w:rPr>
          <w:rStyle w:val="FootnoteReference"/>
          <w:rFonts w:ascii="Verdana" w:hAnsi="Verdana"/>
          <w:sz w:val="22"/>
          <w:szCs w:val="22"/>
        </w:rPr>
        <w:footnoteReference w:id="31"/>
      </w:r>
      <w:r w:rsidR="0047063E" w:rsidRPr="0047063E">
        <w:rPr>
          <w:rFonts w:ascii="Verdana" w:hAnsi="Verdana" w:cs="Arial"/>
          <w:sz w:val="22"/>
          <w:szCs w:val="22"/>
          <w:lang w:val="en-GB"/>
        </w:rPr>
        <w:t xml:space="preserve"> </w:t>
      </w:r>
    </w:p>
    <w:p w14:paraId="1601FA4A" w14:textId="04E35DDF" w:rsidR="0047063E" w:rsidRPr="0047063E" w:rsidRDefault="0047063E" w:rsidP="0047063E">
      <w:pPr>
        <w:pStyle w:val="lrquoteindt2hang"/>
        <w:shd w:val="clear" w:color="auto" w:fill="FFFFFF"/>
        <w:spacing w:before="90" w:beforeAutospacing="0" w:after="0" w:afterAutospacing="0" w:line="480" w:lineRule="auto"/>
        <w:ind w:left="709"/>
        <w:jc w:val="both"/>
        <w:rPr>
          <w:rFonts w:ascii="Verdana" w:hAnsi="Verdana"/>
          <w:i/>
          <w:iCs/>
          <w:sz w:val="22"/>
          <w:szCs w:val="22"/>
        </w:rPr>
      </w:pPr>
      <w:r w:rsidRPr="0047063E">
        <w:rPr>
          <w:rFonts w:ascii="Verdana" w:hAnsi="Verdana"/>
          <w:i/>
          <w:iCs/>
          <w:sz w:val="22"/>
          <w:szCs w:val="22"/>
        </w:rPr>
        <w:t>"The prime function of an expert seems to me to be to guide the court to a correct decision on questions found within his specialised field."</w:t>
      </w:r>
    </w:p>
    <w:p w14:paraId="23043FAA" w14:textId="77777777" w:rsidR="0047063E" w:rsidRPr="0047063E" w:rsidRDefault="0047063E" w:rsidP="0047063E">
      <w:pPr>
        <w:pStyle w:val="lrquoteindt2hang"/>
        <w:shd w:val="clear" w:color="auto" w:fill="FFFFFF"/>
        <w:spacing w:before="90" w:beforeAutospacing="0" w:after="0" w:afterAutospacing="0" w:line="480" w:lineRule="auto"/>
        <w:ind w:left="2190"/>
        <w:jc w:val="both"/>
        <w:rPr>
          <w:rFonts w:ascii="Verdana" w:hAnsi="Verdana"/>
          <w:i/>
          <w:iCs/>
          <w:sz w:val="18"/>
          <w:szCs w:val="18"/>
        </w:rPr>
      </w:pPr>
    </w:p>
    <w:p w14:paraId="19667D28" w14:textId="7DFFBF0F" w:rsidR="0047063E" w:rsidRPr="0047063E" w:rsidRDefault="00AF1307" w:rsidP="00AF1307">
      <w:pPr>
        <w:pStyle w:val="Indent"/>
        <w:widowControl w:val="0"/>
        <w:spacing w:after="360" w:line="480" w:lineRule="auto"/>
        <w:ind w:left="720" w:hanging="720"/>
        <w:jc w:val="both"/>
        <w:rPr>
          <w:rFonts w:ascii="Verdana" w:hAnsi="Verdana" w:cs="Arial"/>
          <w:sz w:val="22"/>
          <w:szCs w:val="22"/>
          <w:lang w:val="en-GB"/>
        </w:rPr>
      </w:pPr>
      <w:r w:rsidRPr="0047063E">
        <w:rPr>
          <w:rFonts w:ascii="Verdana" w:hAnsi="Verdana" w:cs="Arial"/>
          <w:color w:val="000000" w:themeColor="text1"/>
          <w:sz w:val="22"/>
          <w:szCs w:val="22"/>
          <w:lang w:val="en-GB"/>
        </w:rPr>
        <w:t>[67]</w:t>
      </w:r>
      <w:r w:rsidRPr="0047063E">
        <w:rPr>
          <w:rFonts w:ascii="Verdana" w:hAnsi="Verdana" w:cs="Arial"/>
          <w:color w:val="000000" w:themeColor="text1"/>
          <w:sz w:val="22"/>
          <w:szCs w:val="22"/>
          <w:lang w:val="en-GB"/>
        </w:rPr>
        <w:tab/>
      </w:r>
      <w:r w:rsidR="0047063E" w:rsidRPr="0047063E">
        <w:rPr>
          <w:rFonts w:ascii="Verdana" w:hAnsi="Verdana"/>
          <w:sz w:val="22"/>
          <w:szCs w:val="22"/>
        </w:rPr>
        <w:t>Davis J summarised the role of experts and their reports aptly in </w:t>
      </w:r>
      <w:r w:rsidR="0047063E" w:rsidRPr="0047063E">
        <w:rPr>
          <w:rFonts w:ascii="Verdana" w:hAnsi="Verdana"/>
          <w:i/>
          <w:iCs/>
          <w:sz w:val="22"/>
          <w:szCs w:val="22"/>
        </w:rPr>
        <w:t>Schreiner NO &amp; Others v AA &amp; Another</w:t>
      </w:r>
      <w:r w:rsidR="0047063E" w:rsidRPr="0047063E">
        <w:rPr>
          <w:rStyle w:val="FootnoteReference"/>
          <w:rFonts w:ascii="Verdana" w:hAnsi="Verdana"/>
          <w:i/>
          <w:iCs/>
          <w:sz w:val="22"/>
          <w:szCs w:val="22"/>
        </w:rPr>
        <w:footnoteReference w:id="32"/>
      </w:r>
      <w:r w:rsidR="0047063E" w:rsidRPr="0047063E">
        <w:rPr>
          <w:rFonts w:ascii="Verdana" w:hAnsi="Verdana"/>
          <w:sz w:val="22"/>
          <w:szCs w:val="22"/>
        </w:rPr>
        <w:t> as follows:</w:t>
      </w:r>
    </w:p>
    <w:p w14:paraId="313EF268" w14:textId="00A9D525" w:rsidR="0047063E" w:rsidRDefault="0047063E" w:rsidP="0047063E">
      <w:pPr>
        <w:pStyle w:val="lrquoteindt2hang"/>
        <w:shd w:val="clear" w:color="auto" w:fill="FFFFFF"/>
        <w:spacing w:before="90" w:beforeAutospacing="0" w:after="0" w:afterAutospacing="0" w:line="480" w:lineRule="auto"/>
        <w:ind w:left="709"/>
        <w:jc w:val="both"/>
        <w:rPr>
          <w:rFonts w:ascii="Verdana" w:hAnsi="Verdana"/>
          <w:i/>
          <w:iCs/>
          <w:sz w:val="22"/>
          <w:szCs w:val="22"/>
        </w:rPr>
      </w:pPr>
      <w:r w:rsidRPr="0047063E">
        <w:rPr>
          <w:rFonts w:ascii="Verdana" w:hAnsi="Verdana"/>
          <w:i/>
          <w:iCs/>
          <w:sz w:val="22"/>
          <w:szCs w:val="22"/>
        </w:rPr>
        <w:t>"In short, an expert comes to court to give the court the benefit of his or her expertise.</w:t>
      </w:r>
      <w:r>
        <w:rPr>
          <w:rFonts w:ascii="Verdana" w:hAnsi="Verdana"/>
          <w:i/>
          <w:iCs/>
          <w:sz w:val="22"/>
          <w:szCs w:val="22"/>
        </w:rPr>
        <w:t>”</w:t>
      </w:r>
    </w:p>
    <w:p w14:paraId="55A2D320" w14:textId="77777777" w:rsidR="0047063E" w:rsidRDefault="0047063E" w:rsidP="0047063E">
      <w:pPr>
        <w:pStyle w:val="lrquoteindt2hang"/>
        <w:shd w:val="clear" w:color="auto" w:fill="FFFFFF"/>
        <w:spacing w:before="90" w:beforeAutospacing="0" w:after="0" w:afterAutospacing="0" w:line="480" w:lineRule="auto"/>
        <w:ind w:left="709"/>
        <w:jc w:val="both"/>
        <w:rPr>
          <w:rFonts w:ascii="Verdana" w:hAnsi="Verdana"/>
          <w:i/>
          <w:iCs/>
          <w:sz w:val="22"/>
          <w:szCs w:val="22"/>
        </w:rPr>
      </w:pPr>
    </w:p>
    <w:p w14:paraId="5ECE14E2" w14:textId="0261BDB2" w:rsidR="0047063E" w:rsidRDefault="00AF1307" w:rsidP="00AF1307">
      <w:pPr>
        <w:pStyle w:val="Indent"/>
        <w:widowControl w:val="0"/>
        <w:spacing w:after="360" w:line="480" w:lineRule="auto"/>
        <w:ind w:left="720" w:hanging="720"/>
        <w:jc w:val="both"/>
        <w:rPr>
          <w:rFonts w:ascii="Verdana" w:hAnsi="Verdana"/>
          <w:color w:val="000000" w:themeColor="text1"/>
          <w:sz w:val="22"/>
          <w:szCs w:val="22"/>
          <w:lang w:val="en-ZA"/>
        </w:rPr>
      </w:pPr>
      <w:r>
        <w:rPr>
          <w:rFonts w:ascii="Verdana" w:hAnsi="Verdana"/>
          <w:color w:val="000000" w:themeColor="text1"/>
          <w:sz w:val="22"/>
          <w:szCs w:val="22"/>
          <w:lang w:val="en-ZA"/>
        </w:rPr>
        <w:t>[68]</w:t>
      </w:r>
      <w:r>
        <w:rPr>
          <w:rFonts w:ascii="Verdana" w:hAnsi="Verdana"/>
          <w:color w:val="000000" w:themeColor="text1"/>
          <w:sz w:val="22"/>
          <w:szCs w:val="22"/>
          <w:lang w:val="en-ZA"/>
        </w:rPr>
        <w:tab/>
      </w:r>
      <w:r w:rsidR="0047063E">
        <w:rPr>
          <w:rFonts w:ascii="Verdana" w:hAnsi="Verdana"/>
          <w:color w:val="000000" w:themeColor="text1"/>
          <w:sz w:val="22"/>
          <w:szCs w:val="22"/>
          <w:lang w:val="en-ZA"/>
        </w:rPr>
        <w:t xml:space="preserve">Finally, a word on the argument relating to the drawing fees of the </w:t>
      </w:r>
      <w:r w:rsidR="0047063E">
        <w:rPr>
          <w:rFonts w:ascii="Verdana" w:hAnsi="Verdana"/>
          <w:i/>
          <w:iCs/>
          <w:color w:val="000000" w:themeColor="text1"/>
          <w:sz w:val="22"/>
          <w:szCs w:val="22"/>
          <w:lang w:val="en-ZA"/>
        </w:rPr>
        <w:t xml:space="preserve">pro forma </w:t>
      </w:r>
      <w:r w:rsidR="0047063E">
        <w:rPr>
          <w:rFonts w:ascii="Verdana" w:hAnsi="Verdana"/>
          <w:color w:val="000000" w:themeColor="text1"/>
          <w:sz w:val="22"/>
          <w:szCs w:val="22"/>
          <w:lang w:val="en-ZA"/>
        </w:rPr>
        <w:t xml:space="preserve">invoice as claimed by the applicant. It is not a requirement that </w:t>
      </w:r>
      <w:r w:rsidR="0047063E">
        <w:rPr>
          <w:rFonts w:ascii="Verdana" w:hAnsi="Verdana"/>
          <w:i/>
          <w:iCs/>
          <w:color w:val="000000" w:themeColor="text1"/>
          <w:sz w:val="22"/>
          <w:szCs w:val="22"/>
          <w:lang w:val="en-ZA"/>
        </w:rPr>
        <w:t xml:space="preserve">a pro forma </w:t>
      </w:r>
      <w:r w:rsidR="0047063E">
        <w:rPr>
          <w:rFonts w:ascii="Verdana" w:hAnsi="Verdana"/>
          <w:color w:val="000000" w:themeColor="text1"/>
          <w:sz w:val="22"/>
          <w:szCs w:val="22"/>
          <w:lang w:val="en-ZA"/>
        </w:rPr>
        <w:t xml:space="preserve">invoice must be prepared by a costs consultant or an independent attorneys, although the accuracy and detail does provide assistance to the  court.  However, the respondent’s objection to certain of the items included in the invoice was wholly justifiable and demonstrated a complete disregard by the drawer of the invoice of the principles relating to a claim for a contribution towards legal costs in </w:t>
      </w:r>
      <w:r w:rsidR="00381017">
        <w:rPr>
          <w:rFonts w:ascii="Verdana" w:hAnsi="Verdana"/>
          <w:color w:val="000000" w:themeColor="text1"/>
          <w:sz w:val="22"/>
          <w:szCs w:val="22"/>
          <w:lang w:val="en-ZA"/>
        </w:rPr>
        <w:t xml:space="preserve">terms of </w:t>
      </w:r>
      <w:r w:rsidR="0047063E">
        <w:rPr>
          <w:rFonts w:ascii="Verdana" w:hAnsi="Verdana"/>
          <w:color w:val="000000" w:themeColor="text1"/>
          <w:sz w:val="22"/>
          <w:szCs w:val="22"/>
          <w:lang w:val="en-ZA"/>
        </w:rPr>
        <w:t>Rule 43</w:t>
      </w:r>
      <w:r w:rsidR="00381017">
        <w:rPr>
          <w:rFonts w:ascii="Verdana" w:hAnsi="Verdana"/>
          <w:color w:val="000000" w:themeColor="text1"/>
          <w:sz w:val="22"/>
          <w:szCs w:val="22"/>
          <w:lang w:val="en-ZA"/>
        </w:rPr>
        <w:t>. On both scores I am not persuaded that the drawing fee was justified and will therefore not allow it.</w:t>
      </w:r>
    </w:p>
    <w:p w14:paraId="780CC669" w14:textId="678A1792" w:rsidR="00381017" w:rsidRPr="00381017" w:rsidRDefault="00381017" w:rsidP="00381017">
      <w:pPr>
        <w:pStyle w:val="Indent"/>
        <w:widowControl w:val="0"/>
        <w:spacing w:after="360" w:line="480" w:lineRule="auto"/>
        <w:jc w:val="both"/>
        <w:rPr>
          <w:rFonts w:ascii="Verdana" w:hAnsi="Verdana"/>
          <w:b/>
          <w:bCs/>
          <w:color w:val="000000" w:themeColor="text1"/>
          <w:sz w:val="22"/>
          <w:szCs w:val="22"/>
          <w:lang w:val="en-ZA"/>
        </w:rPr>
      </w:pPr>
      <w:r>
        <w:rPr>
          <w:rFonts w:ascii="Verdana" w:hAnsi="Verdana"/>
          <w:b/>
          <w:bCs/>
          <w:color w:val="000000" w:themeColor="text1"/>
          <w:sz w:val="22"/>
          <w:szCs w:val="22"/>
          <w:lang w:val="en-ZA"/>
        </w:rPr>
        <w:t>COSTS</w:t>
      </w:r>
    </w:p>
    <w:p w14:paraId="00D0CD06" w14:textId="1ECEE632" w:rsidR="0047063E" w:rsidRPr="0047063E" w:rsidRDefault="00AF1307" w:rsidP="00AF1307">
      <w:pPr>
        <w:pStyle w:val="Indent"/>
        <w:widowControl w:val="0"/>
        <w:spacing w:after="360" w:line="480" w:lineRule="auto"/>
        <w:ind w:left="720" w:hanging="720"/>
        <w:jc w:val="both"/>
        <w:rPr>
          <w:rFonts w:ascii="Verdana" w:hAnsi="Verdana"/>
          <w:color w:val="000000" w:themeColor="text1"/>
          <w:sz w:val="22"/>
          <w:szCs w:val="22"/>
          <w:lang w:val="en-ZA"/>
        </w:rPr>
      </w:pPr>
      <w:r w:rsidRPr="0047063E">
        <w:rPr>
          <w:rFonts w:ascii="Verdana" w:hAnsi="Verdana"/>
          <w:color w:val="000000" w:themeColor="text1"/>
          <w:sz w:val="22"/>
          <w:szCs w:val="22"/>
          <w:lang w:val="en-ZA"/>
        </w:rPr>
        <w:t>[69]</w:t>
      </w:r>
      <w:r w:rsidRPr="0047063E">
        <w:rPr>
          <w:rFonts w:ascii="Verdana" w:hAnsi="Verdana"/>
          <w:color w:val="000000" w:themeColor="text1"/>
          <w:sz w:val="22"/>
          <w:szCs w:val="22"/>
          <w:lang w:val="en-ZA"/>
        </w:rPr>
        <w:tab/>
      </w:r>
      <w:r w:rsidR="0047063E">
        <w:rPr>
          <w:rFonts w:ascii="Verdana" w:hAnsi="Verdana"/>
          <w:color w:val="000000" w:themeColor="text1"/>
          <w:sz w:val="22"/>
          <w:szCs w:val="22"/>
          <w:lang w:val="en-ZA"/>
        </w:rPr>
        <w:t xml:space="preserve">I </w:t>
      </w:r>
      <w:r w:rsidR="00381017">
        <w:rPr>
          <w:rFonts w:ascii="Verdana" w:hAnsi="Verdana"/>
          <w:color w:val="000000" w:themeColor="text1"/>
          <w:sz w:val="22"/>
          <w:szCs w:val="22"/>
          <w:lang w:val="en-ZA"/>
        </w:rPr>
        <w:t xml:space="preserve">have </w:t>
      </w:r>
      <w:r w:rsidR="0047063E">
        <w:rPr>
          <w:rFonts w:ascii="Verdana" w:hAnsi="Verdana"/>
          <w:color w:val="000000" w:themeColor="text1"/>
          <w:sz w:val="22"/>
          <w:szCs w:val="22"/>
          <w:lang w:val="en-ZA"/>
        </w:rPr>
        <w:t>considered both parties</w:t>
      </w:r>
      <w:r w:rsidR="00381017">
        <w:rPr>
          <w:rFonts w:ascii="Verdana" w:hAnsi="Verdana"/>
          <w:color w:val="000000" w:themeColor="text1"/>
          <w:sz w:val="22"/>
          <w:szCs w:val="22"/>
          <w:lang w:val="en-ZA"/>
        </w:rPr>
        <w:t>’</w:t>
      </w:r>
      <w:r w:rsidR="0047063E">
        <w:rPr>
          <w:rFonts w:ascii="Verdana" w:hAnsi="Verdana"/>
          <w:color w:val="000000" w:themeColor="text1"/>
          <w:sz w:val="22"/>
          <w:szCs w:val="22"/>
          <w:lang w:val="en-ZA"/>
        </w:rPr>
        <w:t xml:space="preserve"> argument </w:t>
      </w:r>
      <w:r w:rsidR="00381017">
        <w:rPr>
          <w:rFonts w:ascii="Verdana" w:hAnsi="Verdana"/>
          <w:color w:val="000000" w:themeColor="text1"/>
          <w:sz w:val="22"/>
          <w:szCs w:val="22"/>
          <w:lang w:val="en-ZA"/>
        </w:rPr>
        <w:t>relating to the costs of this application. The facts in this regard were not extraordinary</w:t>
      </w:r>
      <w:r w:rsidR="0072789D">
        <w:rPr>
          <w:rFonts w:ascii="Verdana" w:hAnsi="Verdana"/>
          <w:color w:val="000000" w:themeColor="text1"/>
          <w:sz w:val="22"/>
          <w:szCs w:val="22"/>
          <w:lang w:val="en-ZA"/>
        </w:rPr>
        <w:t xml:space="preserve"> in this context</w:t>
      </w:r>
      <w:r w:rsidR="00381017">
        <w:rPr>
          <w:rFonts w:ascii="Verdana" w:hAnsi="Verdana"/>
          <w:color w:val="000000" w:themeColor="text1"/>
          <w:sz w:val="22"/>
          <w:szCs w:val="22"/>
          <w:lang w:val="en-ZA"/>
        </w:rPr>
        <w:t xml:space="preserve"> and I am not persuaded that the respondent’s opposition was frivolous or in bad faith. I am accordingly not inclined to grant costs in either party’s favour </w:t>
      </w:r>
      <w:r w:rsidR="0072789D">
        <w:rPr>
          <w:rFonts w:ascii="Verdana" w:hAnsi="Verdana"/>
          <w:color w:val="000000" w:themeColor="text1"/>
          <w:sz w:val="22"/>
          <w:szCs w:val="22"/>
          <w:lang w:val="en-ZA"/>
        </w:rPr>
        <w:t>and</w:t>
      </w:r>
      <w:r w:rsidR="00381017">
        <w:rPr>
          <w:rFonts w:ascii="Verdana" w:hAnsi="Verdana"/>
          <w:color w:val="000000" w:themeColor="text1"/>
          <w:sz w:val="22"/>
          <w:szCs w:val="22"/>
          <w:lang w:val="en-ZA"/>
        </w:rPr>
        <w:t xml:space="preserve"> leave this to the trial court</w:t>
      </w:r>
      <w:r w:rsidR="0072789D">
        <w:rPr>
          <w:rFonts w:ascii="Verdana" w:hAnsi="Verdana"/>
          <w:color w:val="000000" w:themeColor="text1"/>
          <w:sz w:val="22"/>
          <w:szCs w:val="22"/>
          <w:lang w:val="en-ZA"/>
        </w:rPr>
        <w:t xml:space="preserve"> to decide.</w:t>
      </w:r>
    </w:p>
    <w:p w14:paraId="5994D5AB" w14:textId="30CD32B7" w:rsidR="00535715" w:rsidRPr="003829F4" w:rsidRDefault="00535715" w:rsidP="00403ABF">
      <w:pPr>
        <w:pStyle w:val="Indent"/>
        <w:keepNext/>
        <w:widowControl w:val="0"/>
        <w:shd w:val="clear" w:color="auto" w:fill="FFFFFF" w:themeFill="background1"/>
        <w:spacing w:after="360" w:line="480" w:lineRule="auto"/>
        <w:jc w:val="both"/>
        <w:rPr>
          <w:rFonts w:ascii="Verdana" w:hAnsi="Verdana"/>
          <w:b/>
          <w:bCs/>
          <w:sz w:val="22"/>
          <w:szCs w:val="22"/>
          <w:lang w:val="en-GB"/>
        </w:rPr>
      </w:pPr>
      <w:r w:rsidRPr="003829F4">
        <w:rPr>
          <w:rFonts w:ascii="Verdana" w:hAnsi="Verdana"/>
          <w:b/>
          <w:bCs/>
          <w:sz w:val="22"/>
          <w:szCs w:val="22"/>
          <w:lang w:val="en-GB"/>
        </w:rPr>
        <w:t>ORDER</w:t>
      </w:r>
    </w:p>
    <w:p w14:paraId="3BBEC366" w14:textId="0249B8AA" w:rsidR="00F02BDF" w:rsidRPr="003829F4" w:rsidRDefault="00CF5EF4" w:rsidP="00403ABF">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sidRPr="003829F4">
        <w:rPr>
          <w:rFonts w:ascii="Verdana" w:hAnsi="Verdana"/>
          <w:sz w:val="22"/>
          <w:szCs w:val="22"/>
          <w:lang w:val="en-GB"/>
        </w:rPr>
        <w:t>In the circumstances I make the following order: -</w:t>
      </w:r>
    </w:p>
    <w:p w14:paraId="03D2541A" w14:textId="0D12A19E" w:rsidR="00381017" w:rsidRPr="00AF1307" w:rsidRDefault="00AF1307" w:rsidP="00AF1307">
      <w:pPr>
        <w:spacing w:after="0" w:line="480" w:lineRule="auto"/>
        <w:ind w:left="567" w:hanging="567"/>
        <w:jc w:val="both"/>
        <w:rPr>
          <w:rFonts w:ascii="Verdana" w:hAnsi="Verdana" w:cs="Arial"/>
          <w:i/>
          <w:iCs/>
        </w:rPr>
      </w:pPr>
      <w:r w:rsidRPr="00381017">
        <w:rPr>
          <w:rFonts w:ascii="Verdana" w:hAnsi="Verdana" w:cs="Arial"/>
          <w:i/>
          <w:iCs/>
          <w:sz w:val="24"/>
          <w:szCs w:val="24"/>
        </w:rPr>
        <w:t>1.</w:t>
      </w:r>
      <w:r w:rsidRPr="00381017">
        <w:rPr>
          <w:rFonts w:ascii="Verdana" w:hAnsi="Verdana" w:cs="Arial"/>
          <w:i/>
          <w:iCs/>
          <w:sz w:val="24"/>
          <w:szCs w:val="24"/>
        </w:rPr>
        <w:tab/>
      </w:r>
      <w:r w:rsidR="00CF5EF4" w:rsidRPr="00AF1307">
        <w:rPr>
          <w:rFonts w:ascii="Verdana" w:hAnsi="Verdana"/>
          <w:i/>
          <w:lang w:val="en-GB"/>
        </w:rPr>
        <w:t>“</w:t>
      </w:r>
      <w:r w:rsidR="00381017" w:rsidRPr="00AF1307">
        <w:rPr>
          <w:rFonts w:ascii="Verdana" w:hAnsi="Verdana" w:cs="Arial"/>
          <w:i/>
          <w:iCs/>
        </w:rPr>
        <w:t xml:space="preserve">The respondent shall, pendente lite, </w:t>
      </w:r>
      <w:r w:rsidR="00381017" w:rsidRPr="00AF1307">
        <w:rPr>
          <w:rFonts w:ascii="Verdana" w:hAnsi="Verdana" w:cs="Arial"/>
          <w:i/>
          <w:iCs/>
          <w:color w:val="000000"/>
        </w:rPr>
        <w:t xml:space="preserve">pay maintenance for the applicant and the major dependent children as follows: </w:t>
      </w:r>
    </w:p>
    <w:p w14:paraId="36F11A60" w14:textId="77777777" w:rsidR="00381017" w:rsidRPr="00381017" w:rsidRDefault="00381017" w:rsidP="00381017">
      <w:pPr>
        <w:pStyle w:val="ListParagraph"/>
        <w:spacing w:line="480" w:lineRule="auto"/>
        <w:ind w:left="993"/>
        <w:jc w:val="both"/>
        <w:rPr>
          <w:rFonts w:ascii="Verdana" w:hAnsi="Verdana" w:cs="Arial"/>
          <w:i/>
          <w:iCs/>
        </w:rPr>
      </w:pPr>
    </w:p>
    <w:p w14:paraId="5A8D9FCD" w14:textId="662FB5E0" w:rsidR="00381017" w:rsidRPr="00AF1307" w:rsidRDefault="00AF1307" w:rsidP="00AF1307">
      <w:pPr>
        <w:spacing w:after="0" w:line="480" w:lineRule="auto"/>
        <w:ind w:left="1276" w:hanging="709"/>
        <w:jc w:val="both"/>
        <w:rPr>
          <w:rFonts w:ascii="Verdana" w:hAnsi="Verdana" w:cs="Arial"/>
          <w:i/>
          <w:iCs/>
        </w:rPr>
      </w:pPr>
      <w:r w:rsidRPr="00381017">
        <w:rPr>
          <w:rFonts w:ascii="Verdana" w:hAnsi="Verdana" w:cs="Arial"/>
          <w:i/>
          <w:iCs/>
        </w:rPr>
        <w:t>1.1.</w:t>
      </w:r>
      <w:r w:rsidRPr="00381017">
        <w:rPr>
          <w:rFonts w:ascii="Verdana" w:hAnsi="Verdana" w:cs="Arial"/>
          <w:i/>
          <w:iCs/>
        </w:rPr>
        <w:tab/>
      </w:r>
      <w:r w:rsidR="00381017" w:rsidRPr="00AF1307">
        <w:rPr>
          <w:rFonts w:ascii="Verdana" w:hAnsi="Verdana" w:cs="Arial"/>
          <w:i/>
          <w:iCs/>
        </w:rPr>
        <w:t xml:space="preserve">Cash maintenance for the applicant in the sum of R 75,000.00 (seventy-five thousand) per month, </w:t>
      </w:r>
      <w:r w:rsidR="00381017" w:rsidRPr="00AF1307">
        <w:rPr>
          <w:rFonts w:ascii="Verdana" w:hAnsi="Verdana" w:cs="Arial"/>
          <w:i/>
          <w:iCs/>
          <w:color w:val="000000"/>
        </w:rPr>
        <w:t>payable directly to the applicant, without set off or deduction, into a bank account nominated by the applicant from time to time, on or before the first day of every month, to commence within 5 (five) days of date of this order and to operate retrospectively for that month, and thereafter on the first day of each month</w:t>
      </w:r>
      <w:r w:rsidR="00381017" w:rsidRPr="00AF1307">
        <w:rPr>
          <w:rFonts w:ascii="Verdana" w:hAnsi="Verdana" w:cs="Arial"/>
          <w:i/>
          <w:iCs/>
        </w:rPr>
        <w:t>;</w:t>
      </w:r>
    </w:p>
    <w:p w14:paraId="06386DE4" w14:textId="77777777" w:rsidR="00381017" w:rsidRPr="00381017" w:rsidRDefault="00381017" w:rsidP="00381017">
      <w:pPr>
        <w:pStyle w:val="ListParagraph"/>
        <w:spacing w:line="480" w:lineRule="auto"/>
        <w:ind w:left="1276"/>
        <w:jc w:val="both"/>
        <w:rPr>
          <w:rFonts w:ascii="Verdana" w:hAnsi="Verdana" w:cs="Arial"/>
          <w:i/>
          <w:iCs/>
        </w:rPr>
      </w:pPr>
    </w:p>
    <w:p w14:paraId="3DDC8551" w14:textId="096220DE" w:rsidR="00381017" w:rsidRPr="00AF1307" w:rsidRDefault="00AF1307" w:rsidP="00AF1307">
      <w:pPr>
        <w:spacing w:after="0" w:line="480" w:lineRule="auto"/>
        <w:ind w:left="1276" w:hanging="709"/>
        <w:jc w:val="both"/>
        <w:rPr>
          <w:rFonts w:ascii="Verdana" w:hAnsi="Verdana" w:cs="Arial"/>
          <w:i/>
          <w:iCs/>
        </w:rPr>
      </w:pPr>
      <w:r w:rsidRPr="00381017">
        <w:rPr>
          <w:rFonts w:ascii="Verdana" w:hAnsi="Verdana" w:cs="Arial"/>
          <w:i/>
          <w:iCs/>
        </w:rPr>
        <w:t>1.2.</w:t>
      </w:r>
      <w:r w:rsidRPr="00381017">
        <w:rPr>
          <w:rFonts w:ascii="Verdana" w:hAnsi="Verdana" w:cs="Arial"/>
          <w:i/>
          <w:iCs/>
        </w:rPr>
        <w:tab/>
      </w:r>
      <w:r w:rsidR="00381017" w:rsidRPr="00AF1307">
        <w:rPr>
          <w:rFonts w:ascii="Verdana" w:hAnsi="Verdana" w:cs="Arial"/>
          <w:i/>
          <w:iCs/>
        </w:rPr>
        <w:t>By payment of all costs associated with the former matrimonial home situated at 138 Lincoln Street, Woodmead, Sandton, Gauteng, including but not limited to:</w:t>
      </w:r>
    </w:p>
    <w:p w14:paraId="4FF344D3" w14:textId="77777777" w:rsidR="00381017" w:rsidRPr="00381017" w:rsidRDefault="00381017" w:rsidP="00381017">
      <w:pPr>
        <w:pStyle w:val="ListParagraph"/>
        <w:spacing w:line="480" w:lineRule="auto"/>
        <w:ind w:left="0"/>
        <w:jc w:val="both"/>
        <w:rPr>
          <w:rFonts w:ascii="Verdana" w:hAnsi="Verdana" w:cs="Arial"/>
          <w:i/>
          <w:iCs/>
        </w:rPr>
      </w:pPr>
    </w:p>
    <w:p w14:paraId="42A428AC" w14:textId="433728FB" w:rsidR="00381017" w:rsidRPr="00AF1307" w:rsidRDefault="00AF1307" w:rsidP="00AF1307">
      <w:pPr>
        <w:spacing w:after="0" w:line="480" w:lineRule="auto"/>
        <w:ind w:left="2127" w:hanging="851"/>
        <w:jc w:val="both"/>
        <w:rPr>
          <w:rFonts w:ascii="Verdana" w:hAnsi="Verdana" w:cs="Arial"/>
          <w:i/>
          <w:iCs/>
        </w:rPr>
      </w:pPr>
      <w:r w:rsidRPr="00381017">
        <w:rPr>
          <w:rFonts w:ascii="Verdana" w:hAnsi="Verdana" w:cs="Arial"/>
          <w:i/>
          <w:iCs/>
        </w:rPr>
        <w:t>1.2.1.</w:t>
      </w:r>
      <w:r w:rsidRPr="00381017">
        <w:rPr>
          <w:rFonts w:ascii="Verdana" w:hAnsi="Verdana" w:cs="Arial"/>
          <w:i/>
          <w:iCs/>
        </w:rPr>
        <w:tab/>
      </w:r>
      <w:r w:rsidR="00381017" w:rsidRPr="00AF1307">
        <w:rPr>
          <w:rFonts w:ascii="Verdana" w:hAnsi="Verdana" w:cs="Arial"/>
          <w:i/>
          <w:iCs/>
        </w:rPr>
        <w:t>the monthly rates and taxes, electricity and water, refuse, and home maintenance;</w:t>
      </w:r>
    </w:p>
    <w:p w14:paraId="2EB9160B" w14:textId="77777777" w:rsidR="00381017" w:rsidRPr="00381017" w:rsidRDefault="00381017" w:rsidP="00381017">
      <w:pPr>
        <w:pStyle w:val="ListParagraph"/>
        <w:spacing w:line="480" w:lineRule="auto"/>
        <w:ind w:left="0"/>
        <w:jc w:val="both"/>
        <w:rPr>
          <w:rFonts w:ascii="Verdana" w:hAnsi="Verdana" w:cs="Arial"/>
          <w:i/>
          <w:iCs/>
        </w:rPr>
      </w:pPr>
    </w:p>
    <w:p w14:paraId="0D8F6962" w14:textId="49E48BC3" w:rsidR="00381017" w:rsidRPr="00AF1307" w:rsidRDefault="00AF1307" w:rsidP="00AF1307">
      <w:pPr>
        <w:spacing w:after="0" w:line="480" w:lineRule="auto"/>
        <w:ind w:left="2127" w:hanging="851"/>
        <w:jc w:val="both"/>
        <w:rPr>
          <w:rFonts w:ascii="Verdana" w:hAnsi="Verdana" w:cs="Arial"/>
          <w:i/>
          <w:iCs/>
        </w:rPr>
      </w:pPr>
      <w:r w:rsidRPr="00381017">
        <w:rPr>
          <w:rFonts w:ascii="Verdana" w:hAnsi="Verdana" w:cs="Arial"/>
          <w:i/>
          <w:iCs/>
        </w:rPr>
        <w:t>1.2.2.</w:t>
      </w:r>
      <w:r w:rsidRPr="00381017">
        <w:rPr>
          <w:rFonts w:ascii="Verdana" w:hAnsi="Verdana" w:cs="Arial"/>
          <w:i/>
          <w:iCs/>
        </w:rPr>
        <w:tab/>
      </w:r>
      <w:r w:rsidR="00381017" w:rsidRPr="00AF1307">
        <w:rPr>
          <w:rFonts w:ascii="Verdana" w:hAnsi="Verdana" w:cs="Arial"/>
          <w:i/>
          <w:iCs/>
        </w:rPr>
        <w:t>the monthly household contents and home insurance and DSTV;</w:t>
      </w:r>
    </w:p>
    <w:p w14:paraId="51CA8FB8" w14:textId="77777777" w:rsidR="00381017" w:rsidRPr="00381017" w:rsidRDefault="00381017" w:rsidP="00381017">
      <w:pPr>
        <w:pStyle w:val="ListParagraph"/>
        <w:spacing w:line="480" w:lineRule="auto"/>
        <w:jc w:val="both"/>
        <w:rPr>
          <w:rFonts w:ascii="Verdana" w:hAnsi="Verdana" w:cs="Arial"/>
          <w:i/>
          <w:iCs/>
        </w:rPr>
      </w:pPr>
    </w:p>
    <w:p w14:paraId="62F86BBF" w14:textId="0103CAF8" w:rsidR="00381017" w:rsidRPr="00AF1307" w:rsidRDefault="00AF1307" w:rsidP="00AF1307">
      <w:pPr>
        <w:spacing w:after="0" w:line="480" w:lineRule="auto"/>
        <w:ind w:left="1276" w:hanging="709"/>
        <w:jc w:val="both"/>
        <w:rPr>
          <w:rFonts w:ascii="Verdana" w:hAnsi="Verdana" w:cs="Arial"/>
          <w:i/>
          <w:iCs/>
        </w:rPr>
      </w:pPr>
      <w:r w:rsidRPr="00381017">
        <w:rPr>
          <w:rFonts w:ascii="Verdana" w:hAnsi="Verdana" w:cs="Arial"/>
          <w:i/>
          <w:iCs/>
        </w:rPr>
        <w:t>1.3.</w:t>
      </w:r>
      <w:r w:rsidRPr="00381017">
        <w:rPr>
          <w:rFonts w:ascii="Verdana" w:hAnsi="Verdana" w:cs="Arial"/>
          <w:i/>
          <w:iCs/>
        </w:rPr>
        <w:tab/>
      </w:r>
      <w:r w:rsidR="00381017" w:rsidRPr="00AF1307">
        <w:rPr>
          <w:rFonts w:ascii="Verdana" w:hAnsi="Verdana" w:cs="Arial"/>
          <w:i/>
          <w:iCs/>
        </w:rPr>
        <w:t>By payment of the costs of the applicant’s current cell phone contract;</w:t>
      </w:r>
    </w:p>
    <w:p w14:paraId="6F4A596C" w14:textId="77777777" w:rsidR="00381017" w:rsidRPr="00381017" w:rsidRDefault="00381017" w:rsidP="00381017">
      <w:pPr>
        <w:pStyle w:val="ListParagraph"/>
        <w:spacing w:line="480" w:lineRule="auto"/>
        <w:ind w:left="1276"/>
        <w:jc w:val="both"/>
        <w:rPr>
          <w:rFonts w:ascii="Verdana" w:hAnsi="Verdana" w:cs="Arial"/>
          <w:i/>
          <w:iCs/>
        </w:rPr>
      </w:pPr>
    </w:p>
    <w:p w14:paraId="125578AD" w14:textId="5BC9D3A2" w:rsidR="00381017" w:rsidRPr="00AF1307" w:rsidRDefault="00AF1307" w:rsidP="00AF1307">
      <w:pPr>
        <w:spacing w:after="0" w:line="480" w:lineRule="auto"/>
        <w:ind w:left="1276" w:hanging="709"/>
        <w:jc w:val="both"/>
        <w:rPr>
          <w:rFonts w:ascii="Verdana" w:hAnsi="Verdana" w:cs="Arial"/>
          <w:i/>
          <w:iCs/>
        </w:rPr>
      </w:pPr>
      <w:r w:rsidRPr="00381017">
        <w:rPr>
          <w:rFonts w:ascii="Verdana" w:hAnsi="Verdana" w:cs="Arial"/>
          <w:i/>
          <w:iCs/>
        </w:rPr>
        <w:t>1.4.</w:t>
      </w:r>
      <w:r w:rsidRPr="00381017">
        <w:rPr>
          <w:rFonts w:ascii="Verdana" w:hAnsi="Verdana" w:cs="Arial"/>
          <w:i/>
          <w:iCs/>
        </w:rPr>
        <w:tab/>
      </w:r>
      <w:r w:rsidR="00381017" w:rsidRPr="00AF1307">
        <w:rPr>
          <w:rFonts w:ascii="Verdana" w:hAnsi="Verdana" w:cs="Arial"/>
          <w:i/>
          <w:iCs/>
        </w:rPr>
        <w:t>By payment of all costs associated with the applicant’s Range Rover Vogue V8 motor vehicle (registration number: HP 70 RH GP), which she will continue to have unfettered use of, including but not limited to payment of the monthly instalments, comprehensive insurance, maintenance, repairs, tyres, and the annual license;</w:t>
      </w:r>
    </w:p>
    <w:p w14:paraId="740342CF" w14:textId="77777777" w:rsidR="00381017" w:rsidRPr="00381017" w:rsidRDefault="00381017" w:rsidP="00381017">
      <w:pPr>
        <w:pStyle w:val="ListParagraph"/>
        <w:spacing w:line="480" w:lineRule="auto"/>
        <w:ind w:left="1276"/>
        <w:jc w:val="both"/>
        <w:rPr>
          <w:rFonts w:ascii="Verdana" w:hAnsi="Verdana" w:cs="Arial"/>
          <w:i/>
          <w:iCs/>
        </w:rPr>
      </w:pPr>
    </w:p>
    <w:p w14:paraId="3C2707B8" w14:textId="4C871090" w:rsidR="00381017" w:rsidRPr="00AF1307" w:rsidRDefault="00AF1307" w:rsidP="00AF1307">
      <w:pPr>
        <w:spacing w:after="0" w:line="480" w:lineRule="auto"/>
        <w:ind w:left="1276" w:hanging="709"/>
        <w:jc w:val="both"/>
        <w:rPr>
          <w:rFonts w:ascii="Verdana" w:hAnsi="Verdana" w:cs="Arial"/>
          <w:i/>
          <w:iCs/>
        </w:rPr>
      </w:pPr>
      <w:r w:rsidRPr="00381017">
        <w:rPr>
          <w:rFonts w:ascii="Verdana" w:hAnsi="Verdana" w:cs="Arial"/>
          <w:i/>
          <w:iCs/>
        </w:rPr>
        <w:t>1.5.</w:t>
      </w:r>
      <w:r w:rsidRPr="00381017">
        <w:rPr>
          <w:rFonts w:ascii="Verdana" w:hAnsi="Verdana" w:cs="Arial"/>
          <w:i/>
          <w:iCs/>
        </w:rPr>
        <w:tab/>
      </w:r>
      <w:r w:rsidR="00381017" w:rsidRPr="00AF1307">
        <w:rPr>
          <w:rFonts w:ascii="Verdana" w:hAnsi="Verdana" w:cs="Arial"/>
          <w:i/>
          <w:iCs/>
        </w:rPr>
        <w:t>By payment of all costs relating to the children’s education at their tertiary education institutions. These costs shall include, but not be limited to university tuition fees, special levies and debentures, application fees, deposits, enrolment costs, costs of travelling to and from the tertiary education institutions, accommodation to enable them to attend the tertiary education institutions, extra lessons, extra mural activities, including sport and cultural activities, equipment reasonably required for such extra mural activities, books and stationery, sporting clothes and equipment, functions, tours and outings and camps, sport academies, transport and the requisite computer equipment, including printer cartridges and software;</w:t>
      </w:r>
    </w:p>
    <w:p w14:paraId="405FF5E3" w14:textId="77777777" w:rsidR="00381017" w:rsidRPr="00381017" w:rsidRDefault="00381017" w:rsidP="00381017">
      <w:pPr>
        <w:pStyle w:val="ListParagraph"/>
        <w:spacing w:line="480" w:lineRule="auto"/>
        <w:ind w:left="1276"/>
        <w:jc w:val="both"/>
        <w:rPr>
          <w:rFonts w:ascii="Verdana" w:hAnsi="Verdana" w:cs="Arial"/>
          <w:i/>
          <w:iCs/>
        </w:rPr>
      </w:pPr>
    </w:p>
    <w:p w14:paraId="3C68C95A" w14:textId="66AAA4C8" w:rsidR="00381017" w:rsidRPr="00AF1307" w:rsidRDefault="00AF1307" w:rsidP="00AF1307">
      <w:pPr>
        <w:spacing w:after="0" w:line="480" w:lineRule="auto"/>
        <w:ind w:left="1276" w:hanging="709"/>
        <w:jc w:val="both"/>
        <w:rPr>
          <w:rFonts w:ascii="Verdana" w:hAnsi="Verdana" w:cs="Arial"/>
          <w:i/>
          <w:iCs/>
        </w:rPr>
      </w:pPr>
      <w:r w:rsidRPr="00381017">
        <w:rPr>
          <w:rFonts w:ascii="Verdana" w:hAnsi="Verdana" w:cs="Arial"/>
          <w:i/>
          <w:iCs/>
        </w:rPr>
        <w:t>1.6.</w:t>
      </w:r>
      <w:r w:rsidRPr="00381017">
        <w:rPr>
          <w:rFonts w:ascii="Verdana" w:hAnsi="Verdana" w:cs="Arial"/>
          <w:i/>
          <w:iCs/>
        </w:rPr>
        <w:tab/>
      </w:r>
      <w:r w:rsidR="00381017" w:rsidRPr="00AF1307">
        <w:rPr>
          <w:rFonts w:ascii="Verdana" w:hAnsi="Verdana" w:cs="Arial"/>
          <w:i/>
          <w:iCs/>
        </w:rPr>
        <w:t>By payment of the monthly premium for the applicant and the children to remain as dependents on the respondent’s comprehensive medical aid scheme;</w:t>
      </w:r>
    </w:p>
    <w:p w14:paraId="1B014AE7" w14:textId="77777777" w:rsidR="00381017" w:rsidRPr="00381017" w:rsidRDefault="00381017" w:rsidP="00381017">
      <w:pPr>
        <w:pStyle w:val="ListParagraph"/>
        <w:spacing w:line="480" w:lineRule="auto"/>
        <w:ind w:left="567"/>
        <w:jc w:val="both"/>
        <w:rPr>
          <w:rFonts w:ascii="Verdana" w:hAnsi="Verdana" w:cs="Arial"/>
          <w:i/>
          <w:iCs/>
        </w:rPr>
      </w:pPr>
    </w:p>
    <w:p w14:paraId="1BA34527" w14:textId="592D3676" w:rsidR="00381017" w:rsidRPr="00AF1307" w:rsidRDefault="00AF1307" w:rsidP="00AF1307">
      <w:pPr>
        <w:spacing w:after="0" w:line="480" w:lineRule="auto"/>
        <w:ind w:left="1276" w:hanging="709"/>
        <w:jc w:val="both"/>
        <w:rPr>
          <w:rFonts w:ascii="Verdana" w:hAnsi="Verdana" w:cs="Arial"/>
          <w:i/>
          <w:iCs/>
        </w:rPr>
      </w:pPr>
      <w:r w:rsidRPr="00381017">
        <w:rPr>
          <w:rFonts w:ascii="Verdana" w:hAnsi="Verdana" w:cs="Arial"/>
          <w:i/>
          <w:iCs/>
        </w:rPr>
        <w:t>1.7.</w:t>
      </w:r>
      <w:r w:rsidRPr="00381017">
        <w:rPr>
          <w:rFonts w:ascii="Verdana" w:hAnsi="Verdana" w:cs="Arial"/>
          <w:i/>
          <w:iCs/>
        </w:rPr>
        <w:tab/>
      </w:r>
      <w:r w:rsidR="00381017" w:rsidRPr="00AF1307">
        <w:rPr>
          <w:rFonts w:ascii="Verdana" w:hAnsi="Verdana" w:cs="Arial"/>
          <w:i/>
          <w:iCs/>
        </w:rPr>
        <w:t>By payment of all excess medical expenses incurred in respect of the applicant and/or the children that are not covered by the medical aid scheme, including but not limited to dental, orthodontic, ophthalmological, psychotherapy, physiotherapy, homoeopathic, occupational therapy, pharmaceutical and other medical or related costs incurred in respect of the applicant and/or children;</w:t>
      </w:r>
    </w:p>
    <w:p w14:paraId="61A0BCB6" w14:textId="77777777" w:rsidR="00381017" w:rsidRPr="00381017" w:rsidRDefault="00381017" w:rsidP="00381017">
      <w:pPr>
        <w:pStyle w:val="ListParagraph"/>
        <w:spacing w:line="480" w:lineRule="auto"/>
        <w:ind w:left="360"/>
        <w:jc w:val="both"/>
        <w:rPr>
          <w:rFonts w:ascii="Verdana" w:hAnsi="Verdana" w:cs="Arial"/>
          <w:i/>
          <w:iCs/>
        </w:rPr>
      </w:pPr>
    </w:p>
    <w:p w14:paraId="6E748042" w14:textId="46B7F876" w:rsidR="00381017" w:rsidRPr="00AF1307" w:rsidRDefault="00AF1307" w:rsidP="00AF1307">
      <w:pPr>
        <w:spacing w:after="0" w:line="480" w:lineRule="auto"/>
        <w:ind w:left="567" w:hanging="567"/>
        <w:jc w:val="both"/>
        <w:rPr>
          <w:rFonts w:ascii="Verdana" w:hAnsi="Verdana" w:cs="Arial"/>
          <w:i/>
          <w:iCs/>
          <w:color w:val="000000"/>
        </w:rPr>
      </w:pPr>
      <w:r w:rsidRPr="00381017">
        <w:rPr>
          <w:rFonts w:ascii="Verdana" w:hAnsi="Verdana" w:cs="Arial"/>
          <w:i/>
          <w:iCs/>
          <w:color w:val="000000"/>
          <w:sz w:val="24"/>
          <w:szCs w:val="24"/>
        </w:rPr>
        <w:t>2.</w:t>
      </w:r>
      <w:r w:rsidRPr="00381017">
        <w:rPr>
          <w:rFonts w:ascii="Verdana" w:hAnsi="Verdana" w:cs="Arial"/>
          <w:i/>
          <w:iCs/>
          <w:color w:val="000000"/>
          <w:sz w:val="24"/>
          <w:szCs w:val="24"/>
        </w:rPr>
        <w:tab/>
      </w:r>
      <w:r w:rsidR="00381017" w:rsidRPr="00AF1307">
        <w:rPr>
          <w:rFonts w:ascii="Verdana" w:hAnsi="Verdana" w:cs="Arial"/>
          <w:i/>
          <w:iCs/>
        </w:rPr>
        <w:t>The respondent shall make full and timeous payment of any and all maintenance obligations stipulated, without deduction or set off. Any expenses incurred and paid for by the applicant which, in terms of this court order, are to be paid by the respondent, shall be reimbursed by him to the applicant within 5 (five) days of receipt of invoice;</w:t>
      </w:r>
    </w:p>
    <w:p w14:paraId="066964A2" w14:textId="77777777" w:rsidR="00381017" w:rsidRPr="00381017" w:rsidRDefault="00381017" w:rsidP="00381017">
      <w:pPr>
        <w:pStyle w:val="ListParagraph"/>
        <w:spacing w:line="480" w:lineRule="auto"/>
        <w:ind w:left="567"/>
        <w:jc w:val="both"/>
        <w:rPr>
          <w:rFonts w:ascii="Verdana" w:hAnsi="Verdana" w:cs="Arial"/>
          <w:i/>
          <w:iCs/>
          <w:color w:val="000000"/>
        </w:rPr>
      </w:pPr>
    </w:p>
    <w:p w14:paraId="144649AF" w14:textId="0843FFDD" w:rsidR="00381017" w:rsidRPr="00AF1307" w:rsidRDefault="00AF1307" w:rsidP="00AF1307">
      <w:pPr>
        <w:spacing w:after="0" w:line="480" w:lineRule="auto"/>
        <w:ind w:left="567" w:hanging="567"/>
        <w:jc w:val="both"/>
        <w:rPr>
          <w:rFonts w:ascii="Verdana" w:hAnsi="Verdana" w:cs="Arial"/>
          <w:i/>
          <w:iCs/>
          <w:color w:val="000000"/>
        </w:rPr>
      </w:pPr>
      <w:r w:rsidRPr="00381017">
        <w:rPr>
          <w:rFonts w:ascii="Verdana" w:hAnsi="Verdana" w:cs="Arial"/>
          <w:i/>
          <w:iCs/>
          <w:color w:val="000000"/>
          <w:sz w:val="24"/>
          <w:szCs w:val="24"/>
        </w:rPr>
        <w:t>3.</w:t>
      </w:r>
      <w:r w:rsidRPr="00381017">
        <w:rPr>
          <w:rFonts w:ascii="Verdana" w:hAnsi="Verdana" w:cs="Arial"/>
          <w:i/>
          <w:iCs/>
          <w:color w:val="000000"/>
          <w:sz w:val="24"/>
          <w:szCs w:val="24"/>
        </w:rPr>
        <w:tab/>
      </w:r>
      <w:r w:rsidR="00381017" w:rsidRPr="00AF1307">
        <w:rPr>
          <w:rFonts w:ascii="Verdana" w:hAnsi="Verdana" w:cs="Arial"/>
          <w:i/>
          <w:iCs/>
        </w:rPr>
        <w:t>The respondent shall make payment of</w:t>
      </w:r>
      <w:r w:rsidR="003A2432" w:rsidRPr="00AF1307">
        <w:rPr>
          <w:rFonts w:ascii="Verdana" w:hAnsi="Verdana" w:cs="Arial"/>
          <w:i/>
          <w:iCs/>
        </w:rPr>
        <w:t xml:space="preserve"> a contribution toward the legal costs of the applicant in</w:t>
      </w:r>
      <w:r w:rsidR="00381017" w:rsidRPr="00AF1307">
        <w:rPr>
          <w:rFonts w:ascii="Verdana" w:hAnsi="Verdana" w:cs="Arial"/>
          <w:i/>
          <w:iCs/>
        </w:rPr>
        <w:t xml:space="preserve"> the amount of R</w:t>
      </w:r>
      <w:r w:rsidR="003A2432" w:rsidRPr="00AF1307">
        <w:rPr>
          <w:rFonts w:ascii="Verdana" w:hAnsi="Verdana" w:cs="Arial"/>
          <w:i/>
          <w:iCs/>
        </w:rPr>
        <w:t>2,800,000.00</w:t>
      </w:r>
      <w:r w:rsidR="00381017" w:rsidRPr="00AF1307">
        <w:rPr>
          <w:rFonts w:ascii="Verdana" w:hAnsi="Verdana" w:cs="Arial"/>
          <w:i/>
          <w:iCs/>
        </w:rPr>
        <w:t xml:space="preserve"> (two million </w:t>
      </w:r>
      <w:r w:rsidR="003A2432" w:rsidRPr="00AF1307">
        <w:rPr>
          <w:rFonts w:ascii="Verdana" w:hAnsi="Verdana" w:cs="Arial"/>
          <w:i/>
          <w:iCs/>
        </w:rPr>
        <w:t>eight</w:t>
      </w:r>
      <w:r w:rsidR="00381017" w:rsidRPr="00AF1307">
        <w:rPr>
          <w:rFonts w:ascii="Verdana" w:hAnsi="Verdana" w:cs="Arial"/>
          <w:i/>
          <w:iCs/>
        </w:rPr>
        <w:t xml:space="preserve"> hundred</w:t>
      </w:r>
      <w:r w:rsidR="003A2432" w:rsidRPr="00AF1307">
        <w:rPr>
          <w:rFonts w:ascii="Verdana" w:hAnsi="Verdana" w:cs="Arial"/>
          <w:i/>
          <w:iCs/>
        </w:rPr>
        <w:t xml:space="preserve"> </w:t>
      </w:r>
      <w:r w:rsidR="00381017" w:rsidRPr="00AF1307">
        <w:rPr>
          <w:rFonts w:ascii="Verdana" w:hAnsi="Verdana" w:cs="Arial"/>
          <w:i/>
          <w:iCs/>
        </w:rPr>
        <w:t>thousand rand and ninety six cents), by way of</w:t>
      </w:r>
      <w:r w:rsidR="00E235D1" w:rsidRPr="00AF1307">
        <w:rPr>
          <w:rFonts w:ascii="Verdana" w:hAnsi="Verdana" w:cs="Arial"/>
          <w:i/>
          <w:iCs/>
        </w:rPr>
        <w:t xml:space="preserve"> four</w:t>
      </w:r>
      <w:r w:rsidR="003A2432" w:rsidRPr="00AF1307">
        <w:rPr>
          <w:rFonts w:ascii="Verdana" w:hAnsi="Verdana" w:cs="Arial"/>
          <w:i/>
          <w:iCs/>
        </w:rPr>
        <w:t xml:space="preserve"> </w:t>
      </w:r>
      <w:r w:rsidR="00381017" w:rsidRPr="00AF1307">
        <w:rPr>
          <w:rFonts w:ascii="Verdana" w:hAnsi="Verdana" w:cs="Arial"/>
          <w:i/>
          <w:iCs/>
        </w:rPr>
        <w:t xml:space="preserve">equal </w:t>
      </w:r>
      <w:r w:rsidR="003A2432" w:rsidRPr="00AF1307">
        <w:rPr>
          <w:rFonts w:ascii="Verdana" w:hAnsi="Verdana" w:cs="Arial"/>
          <w:i/>
          <w:iCs/>
        </w:rPr>
        <w:t xml:space="preserve">monthly </w:t>
      </w:r>
      <w:r w:rsidR="00381017" w:rsidRPr="00AF1307">
        <w:rPr>
          <w:rFonts w:ascii="Verdana" w:hAnsi="Verdana" w:cs="Arial"/>
          <w:i/>
          <w:iCs/>
        </w:rPr>
        <w:t xml:space="preserve">payments of </w:t>
      </w:r>
      <w:r w:rsidR="003A2432" w:rsidRPr="00AF1307">
        <w:rPr>
          <w:rFonts w:ascii="Verdana" w:hAnsi="Verdana" w:cs="Arial"/>
          <w:i/>
          <w:iCs/>
        </w:rPr>
        <w:t xml:space="preserve">R </w:t>
      </w:r>
      <w:r w:rsidR="00E235D1" w:rsidRPr="00AF1307">
        <w:rPr>
          <w:rFonts w:ascii="Verdana" w:hAnsi="Verdana" w:cs="Arial"/>
          <w:i/>
          <w:iCs/>
        </w:rPr>
        <w:t>700,000.00</w:t>
      </w:r>
      <w:r w:rsidR="00381017" w:rsidRPr="00AF1307">
        <w:rPr>
          <w:rFonts w:ascii="Verdana" w:hAnsi="Verdana" w:cs="Arial"/>
          <w:i/>
          <w:iCs/>
        </w:rPr>
        <w:t xml:space="preserve"> (</w:t>
      </w:r>
      <w:r w:rsidR="00E235D1" w:rsidRPr="00AF1307">
        <w:rPr>
          <w:rFonts w:ascii="Verdana" w:hAnsi="Verdana" w:cs="Arial"/>
          <w:i/>
          <w:iCs/>
        </w:rPr>
        <w:t>seven</w:t>
      </w:r>
      <w:r w:rsidR="00381017" w:rsidRPr="00AF1307">
        <w:rPr>
          <w:rFonts w:ascii="Verdana" w:hAnsi="Verdana" w:cs="Arial"/>
          <w:i/>
          <w:iCs/>
        </w:rPr>
        <w:t xml:space="preserve"> hundred thousand rand), </w:t>
      </w:r>
      <w:r w:rsidR="003A2432" w:rsidRPr="00AF1307">
        <w:rPr>
          <w:rFonts w:ascii="Verdana" w:hAnsi="Verdana" w:cs="Arial"/>
          <w:i/>
          <w:iCs/>
        </w:rPr>
        <w:t>the first payment to be made on or before the 15</w:t>
      </w:r>
      <w:r w:rsidR="003A2432" w:rsidRPr="00AF1307">
        <w:rPr>
          <w:rFonts w:ascii="Verdana" w:hAnsi="Verdana" w:cs="Arial"/>
          <w:i/>
          <w:iCs/>
          <w:vertAlign w:val="superscript"/>
        </w:rPr>
        <w:t>th</w:t>
      </w:r>
      <w:r w:rsidR="003A2432" w:rsidRPr="00AF1307">
        <w:rPr>
          <w:rFonts w:ascii="Verdana" w:hAnsi="Verdana" w:cs="Arial"/>
          <w:i/>
          <w:iCs/>
        </w:rPr>
        <w:t xml:space="preserve"> of May 2023</w:t>
      </w:r>
      <w:r w:rsidR="00381017" w:rsidRPr="00AF1307">
        <w:rPr>
          <w:rFonts w:ascii="Verdana" w:hAnsi="Verdana" w:cs="Arial"/>
          <w:i/>
          <w:iCs/>
        </w:rPr>
        <w:t xml:space="preserve">, </w:t>
      </w:r>
      <w:r w:rsidR="003A2432" w:rsidRPr="00AF1307">
        <w:rPr>
          <w:rFonts w:ascii="Verdana" w:hAnsi="Verdana" w:cs="Arial"/>
          <w:i/>
          <w:iCs/>
        </w:rPr>
        <w:t>and thereafter to be made</w:t>
      </w:r>
      <w:r w:rsidR="00381017" w:rsidRPr="00AF1307">
        <w:rPr>
          <w:rFonts w:ascii="Verdana" w:hAnsi="Verdana" w:cs="Arial"/>
          <w:i/>
          <w:iCs/>
        </w:rPr>
        <w:t xml:space="preserve"> on the first day of each month to directly to the applicant’s attorneys, without deduction or set off, into a bank account nominated by the applicant’s attorneys from time to time;</w:t>
      </w:r>
    </w:p>
    <w:p w14:paraId="67858634" w14:textId="77777777" w:rsidR="00381017" w:rsidRPr="00381017" w:rsidRDefault="00381017" w:rsidP="00381017">
      <w:pPr>
        <w:spacing w:line="480" w:lineRule="auto"/>
        <w:jc w:val="both"/>
        <w:rPr>
          <w:rFonts w:ascii="Verdana" w:hAnsi="Verdana" w:cs="Arial"/>
          <w:i/>
          <w:iCs/>
          <w:color w:val="000000"/>
        </w:rPr>
      </w:pPr>
    </w:p>
    <w:p w14:paraId="038A4F99" w14:textId="172AAA03" w:rsidR="0089594D" w:rsidRPr="00AF1307" w:rsidRDefault="00AF1307" w:rsidP="00AF1307">
      <w:pPr>
        <w:spacing w:after="0" w:line="480" w:lineRule="auto"/>
        <w:ind w:left="567" w:hanging="567"/>
        <w:jc w:val="both"/>
        <w:rPr>
          <w:rFonts w:ascii="Verdana" w:hAnsi="Verdana" w:cs="Arial"/>
          <w:i/>
          <w:iCs/>
          <w:color w:val="000000"/>
        </w:rPr>
      </w:pPr>
      <w:r w:rsidRPr="00381017">
        <w:rPr>
          <w:rFonts w:ascii="Verdana" w:hAnsi="Verdana" w:cs="Arial"/>
          <w:i/>
          <w:iCs/>
          <w:color w:val="000000"/>
          <w:sz w:val="24"/>
          <w:szCs w:val="24"/>
        </w:rPr>
        <w:t>4.</w:t>
      </w:r>
      <w:r w:rsidRPr="00381017">
        <w:rPr>
          <w:rFonts w:ascii="Verdana" w:hAnsi="Verdana" w:cs="Arial"/>
          <w:i/>
          <w:iCs/>
          <w:color w:val="000000"/>
          <w:sz w:val="24"/>
          <w:szCs w:val="24"/>
        </w:rPr>
        <w:tab/>
      </w:r>
      <w:r w:rsidR="00381017" w:rsidRPr="00AF1307">
        <w:rPr>
          <w:rFonts w:ascii="Verdana" w:hAnsi="Verdana" w:cs="Arial"/>
          <w:i/>
          <w:iCs/>
          <w:color w:val="000000"/>
        </w:rPr>
        <w:t>Costs of the application are costs in the divorce action.</w:t>
      </w:r>
    </w:p>
    <w:p w14:paraId="6AC6D7F1" w14:textId="77777777" w:rsidR="00143B46" w:rsidRPr="003829F4" w:rsidRDefault="00143B46" w:rsidP="00403ABF">
      <w:pPr>
        <w:keepNext/>
        <w:widowControl w:val="0"/>
        <w:spacing w:after="0" w:line="360" w:lineRule="auto"/>
        <w:ind w:left="3600" w:firstLine="720"/>
        <w:rPr>
          <w:rFonts w:ascii="Verdana" w:hAnsi="Verdana" w:cs="Arial"/>
          <w:lang w:val="en-GB"/>
        </w:rPr>
      </w:pPr>
    </w:p>
    <w:p w14:paraId="1E96BEAD" w14:textId="065AF71D" w:rsidR="00D16AA1" w:rsidRPr="003829F4" w:rsidRDefault="00CD05FE" w:rsidP="00403ABF">
      <w:pPr>
        <w:keepNext/>
        <w:widowControl w:val="0"/>
        <w:spacing w:after="0" w:line="360" w:lineRule="auto"/>
        <w:ind w:left="3600" w:firstLine="720"/>
        <w:rPr>
          <w:rFonts w:ascii="Verdana" w:hAnsi="Verdana" w:cs="Arial"/>
          <w:lang w:val="en-GB"/>
        </w:rPr>
      </w:pPr>
      <w:r w:rsidRPr="003829F4">
        <w:rPr>
          <w:rFonts w:ascii="Verdana" w:hAnsi="Verdana" w:cs="Arial"/>
          <w:lang w:val="en-GB"/>
        </w:rPr>
        <w:t xml:space="preserve">      </w:t>
      </w:r>
      <w:r w:rsidRPr="003829F4">
        <w:rPr>
          <w:rFonts w:ascii="Verdana" w:hAnsi="Verdana"/>
          <w:noProof/>
          <w:lang w:val="en-US"/>
        </w:rPr>
        <w:drawing>
          <wp:inline distT="0" distB="0" distL="0" distR="0" wp14:anchorId="44C2E90F" wp14:editId="22C278E6">
            <wp:extent cx="2288540" cy="8008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5677" cy="810344"/>
                    </a:xfrm>
                    <a:prstGeom prst="rect">
                      <a:avLst/>
                    </a:prstGeom>
                    <a:noFill/>
                    <a:ln>
                      <a:noFill/>
                    </a:ln>
                  </pic:spPr>
                </pic:pic>
              </a:graphicData>
            </a:graphic>
          </wp:inline>
        </w:drawing>
      </w: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7722EF" w:rsidRPr="003829F4" w14:paraId="78DE0AC8" w14:textId="77777777" w:rsidTr="00386CF6">
        <w:tc>
          <w:tcPr>
            <w:tcW w:w="4598" w:type="dxa"/>
            <w:tcBorders>
              <w:top w:val="single" w:sz="4" w:space="0" w:color="auto"/>
            </w:tcBorders>
          </w:tcPr>
          <w:p w14:paraId="2FAC1CEA" w14:textId="77777777" w:rsidR="00386CF6" w:rsidRPr="003829F4" w:rsidRDefault="00386CF6" w:rsidP="00403ABF">
            <w:pPr>
              <w:keepNext/>
              <w:widowControl w:val="0"/>
              <w:jc w:val="center"/>
              <w:rPr>
                <w:rFonts w:ascii="Verdana" w:hAnsi="Verdana" w:cs="Arial"/>
                <w:b/>
                <w:lang w:val="en-GB"/>
              </w:rPr>
            </w:pPr>
          </w:p>
        </w:tc>
      </w:tr>
      <w:tr w:rsidR="007722EF" w:rsidRPr="003829F4" w14:paraId="21B119EF" w14:textId="77777777" w:rsidTr="00386CF6">
        <w:tc>
          <w:tcPr>
            <w:tcW w:w="4598" w:type="dxa"/>
          </w:tcPr>
          <w:p w14:paraId="79508952" w14:textId="6B57DA6E" w:rsidR="00386CF6" w:rsidRPr="003829F4" w:rsidRDefault="00CA7DFE" w:rsidP="00403ABF">
            <w:pPr>
              <w:keepNext/>
              <w:widowControl w:val="0"/>
              <w:jc w:val="center"/>
              <w:rPr>
                <w:rFonts w:ascii="Verdana" w:hAnsi="Verdana" w:cs="Arial"/>
                <w:b/>
                <w:lang w:val="en-GB"/>
              </w:rPr>
            </w:pPr>
            <w:r w:rsidRPr="003829F4">
              <w:rPr>
                <w:rFonts w:ascii="Verdana" w:hAnsi="Verdana" w:cs="Arial"/>
                <w:b/>
                <w:lang w:val="en-GB"/>
              </w:rPr>
              <w:t>F BEZUIDENHOUT</w:t>
            </w:r>
          </w:p>
        </w:tc>
      </w:tr>
      <w:tr w:rsidR="007722EF" w:rsidRPr="003829F4" w14:paraId="0B981C37" w14:textId="77777777" w:rsidTr="00386CF6">
        <w:tc>
          <w:tcPr>
            <w:tcW w:w="4598" w:type="dxa"/>
          </w:tcPr>
          <w:p w14:paraId="223CA524" w14:textId="77777777" w:rsidR="00386CF6" w:rsidRPr="003829F4" w:rsidRDefault="00386CF6" w:rsidP="00403ABF">
            <w:pPr>
              <w:keepNext/>
              <w:widowControl w:val="0"/>
              <w:jc w:val="center"/>
              <w:rPr>
                <w:rFonts w:ascii="Verdana" w:hAnsi="Verdana" w:cs="Arial"/>
                <w:b/>
                <w:lang w:val="en-GB"/>
              </w:rPr>
            </w:pPr>
          </w:p>
        </w:tc>
      </w:tr>
      <w:tr w:rsidR="00386CF6" w:rsidRPr="003829F4" w14:paraId="14E05DDE" w14:textId="77777777" w:rsidTr="00386CF6">
        <w:tc>
          <w:tcPr>
            <w:tcW w:w="4598" w:type="dxa"/>
          </w:tcPr>
          <w:p w14:paraId="657F1E0E" w14:textId="77777777" w:rsidR="00E478FD" w:rsidRPr="003829F4" w:rsidRDefault="00E478FD" w:rsidP="00403ABF">
            <w:pPr>
              <w:keepNext/>
              <w:widowControl w:val="0"/>
              <w:jc w:val="center"/>
              <w:rPr>
                <w:rFonts w:ascii="Verdana" w:hAnsi="Verdana" w:cs="Arial"/>
                <w:b/>
                <w:lang w:val="en-GB"/>
              </w:rPr>
            </w:pPr>
            <w:r w:rsidRPr="003829F4">
              <w:rPr>
                <w:rFonts w:ascii="Verdana" w:hAnsi="Verdana" w:cs="Arial"/>
                <w:b/>
                <w:lang w:val="en-GB"/>
              </w:rPr>
              <w:t xml:space="preserve">ACTING </w:t>
            </w:r>
            <w:r w:rsidR="00386CF6" w:rsidRPr="003829F4">
              <w:rPr>
                <w:rFonts w:ascii="Verdana" w:hAnsi="Verdana" w:cs="Arial"/>
                <w:b/>
                <w:lang w:val="en-GB"/>
              </w:rPr>
              <w:t xml:space="preserve">JUDGE OF </w:t>
            </w:r>
          </w:p>
          <w:p w14:paraId="58B0E224" w14:textId="77777777" w:rsidR="00386CF6" w:rsidRPr="003829F4" w:rsidRDefault="00386CF6" w:rsidP="00403ABF">
            <w:pPr>
              <w:keepNext/>
              <w:widowControl w:val="0"/>
              <w:jc w:val="center"/>
              <w:rPr>
                <w:rFonts w:ascii="Verdana" w:hAnsi="Verdana" w:cs="Arial"/>
                <w:lang w:val="en-GB"/>
              </w:rPr>
            </w:pPr>
            <w:r w:rsidRPr="003829F4">
              <w:rPr>
                <w:rFonts w:ascii="Verdana" w:hAnsi="Verdana" w:cs="Arial"/>
                <w:b/>
                <w:lang w:val="en-GB"/>
              </w:rPr>
              <w:t>THE HIGH COURT</w:t>
            </w:r>
          </w:p>
        </w:tc>
      </w:tr>
    </w:tbl>
    <w:p w14:paraId="58D934C8" w14:textId="77777777" w:rsidR="00410D25" w:rsidRPr="003829F4" w:rsidRDefault="00410D25" w:rsidP="00403ABF">
      <w:pPr>
        <w:widowControl w:val="0"/>
        <w:spacing w:after="360" w:line="240" w:lineRule="auto"/>
        <w:rPr>
          <w:rFonts w:ascii="Verdana" w:hAnsi="Verdana" w:cs="Arial"/>
          <w:b/>
          <w:lang w:val="en-GB"/>
        </w:rPr>
      </w:pPr>
    </w:p>
    <w:p w14:paraId="7C344E2A" w14:textId="2DBB8886" w:rsidR="005E68B0" w:rsidRPr="003829F4" w:rsidRDefault="005E68B0" w:rsidP="00403ABF">
      <w:pPr>
        <w:keepNext/>
        <w:widowControl w:val="0"/>
        <w:tabs>
          <w:tab w:val="left" w:pos="3969"/>
        </w:tabs>
        <w:spacing w:after="360" w:line="240" w:lineRule="auto"/>
        <w:rPr>
          <w:rFonts w:ascii="Verdana" w:hAnsi="Verdana" w:cs="Arial"/>
          <w:b/>
          <w:lang w:val="en-GB"/>
        </w:rPr>
      </w:pPr>
      <w:r w:rsidRPr="003829F4">
        <w:rPr>
          <w:rFonts w:ascii="Verdana" w:hAnsi="Verdana" w:cs="Arial"/>
          <w:b/>
          <w:lang w:val="en-GB"/>
        </w:rPr>
        <w:t>DATE OF HEARING:</w:t>
      </w:r>
      <w:r w:rsidRPr="003829F4">
        <w:rPr>
          <w:rFonts w:ascii="Verdana" w:hAnsi="Verdana" w:cs="Arial"/>
          <w:b/>
          <w:lang w:val="en-GB"/>
        </w:rPr>
        <w:tab/>
      </w:r>
      <w:r w:rsidR="00CD282A" w:rsidRPr="003829F4">
        <w:rPr>
          <w:rFonts w:ascii="Verdana" w:hAnsi="Verdana" w:cs="Arial"/>
          <w:b/>
          <w:lang w:val="en-GB"/>
        </w:rPr>
        <w:t>1</w:t>
      </w:r>
      <w:r w:rsidR="006A5488" w:rsidRPr="003829F4">
        <w:rPr>
          <w:rFonts w:ascii="Verdana" w:hAnsi="Verdana" w:cs="Arial"/>
          <w:b/>
          <w:lang w:val="en-GB"/>
        </w:rPr>
        <w:t xml:space="preserve">8 April </w:t>
      </w:r>
      <w:r w:rsidR="008E49CE" w:rsidRPr="003829F4">
        <w:rPr>
          <w:rFonts w:ascii="Verdana" w:hAnsi="Verdana" w:cs="Arial"/>
          <w:b/>
          <w:lang w:val="en-GB"/>
        </w:rPr>
        <w:t>2023</w:t>
      </w:r>
    </w:p>
    <w:p w14:paraId="33BAE81D" w14:textId="5D0B6515" w:rsidR="005F12F1" w:rsidRPr="003829F4" w:rsidRDefault="005F12F1" w:rsidP="006A5488">
      <w:pPr>
        <w:keepNext/>
        <w:widowControl w:val="0"/>
        <w:tabs>
          <w:tab w:val="left" w:pos="3969"/>
        </w:tabs>
        <w:spacing w:after="360" w:line="240" w:lineRule="auto"/>
        <w:rPr>
          <w:rFonts w:ascii="Verdana" w:hAnsi="Verdana" w:cs="Arial"/>
          <w:b/>
          <w:lang w:val="en-GB"/>
        </w:rPr>
      </w:pPr>
      <w:r w:rsidRPr="003829F4">
        <w:rPr>
          <w:rFonts w:ascii="Verdana" w:hAnsi="Verdana" w:cs="Arial"/>
          <w:b/>
          <w:lang w:val="en-GB"/>
        </w:rPr>
        <w:t>DATE OF JUDGMENT:</w:t>
      </w:r>
      <w:r w:rsidR="004D0E40" w:rsidRPr="003829F4">
        <w:rPr>
          <w:rFonts w:ascii="Verdana" w:hAnsi="Verdana" w:cs="Arial"/>
          <w:b/>
          <w:lang w:val="en-GB"/>
        </w:rPr>
        <w:tab/>
      </w:r>
      <w:r w:rsidR="006A5488" w:rsidRPr="003829F4">
        <w:rPr>
          <w:rFonts w:ascii="Verdana" w:hAnsi="Verdana" w:cs="Arial"/>
          <w:b/>
          <w:lang w:val="en-GB"/>
        </w:rPr>
        <w:t>2</w:t>
      </w:r>
      <w:r w:rsidR="00235A26">
        <w:rPr>
          <w:rFonts w:ascii="Verdana" w:hAnsi="Verdana" w:cs="Arial"/>
          <w:b/>
          <w:lang w:val="en-GB"/>
        </w:rPr>
        <w:t>8</w:t>
      </w:r>
      <w:r w:rsidR="006A5488" w:rsidRPr="003829F4">
        <w:rPr>
          <w:rFonts w:ascii="Verdana" w:hAnsi="Verdana" w:cs="Arial"/>
          <w:b/>
          <w:lang w:val="en-GB"/>
        </w:rPr>
        <w:t xml:space="preserve"> April </w:t>
      </w:r>
      <w:r w:rsidR="004D0E40" w:rsidRPr="003829F4">
        <w:rPr>
          <w:rFonts w:ascii="Verdana" w:hAnsi="Verdana" w:cs="Arial"/>
          <w:b/>
          <w:lang w:val="en-GB"/>
        </w:rPr>
        <w:t>2023</w:t>
      </w:r>
    </w:p>
    <w:p w14:paraId="60684066" w14:textId="32EE8490" w:rsidR="00C4685D" w:rsidRPr="003829F4" w:rsidRDefault="00C4685D" w:rsidP="00403ABF">
      <w:pPr>
        <w:widowControl w:val="0"/>
        <w:spacing w:after="360" w:line="240" w:lineRule="auto"/>
        <w:rPr>
          <w:rFonts w:ascii="Verdana" w:hAnsi="Verdana" w:cs="Arial"/>
          <w:b/>
          <w:lang w:val="en-GB"/>
        </w:rPr>
      </w:pPr>
    </w:p>
    <w:p w14:paraId="32B78198" w14:textId="38653DC4" w:rsidR="00386CF6" w:rsidRPr="003829F4" w:rsidRDefault="00386CF6" w:rsidP="00403ABF">
      <w:pPr>
        <w:keepNext/>
        <w:widowControl w:val="0"/>
        <w:spacing w:after="120" w:line="240" w:lineRule="auto"/>
        <w:rPr>
          <w:rFonts w:ascii="Verdana" w:hAnsi="Verdana" w:cs="Arial"/>
          <w:b/>
          <w:lang w:val="en-GB"/>
        </w:rPr>
      </w:pPr>
      <w:r w:rsidRPr="003829F4">
        <w:rPr>
          <w:rFonts w:ascii="Verdana" w:hAnsi="Verdana" w:cs="Arial"/>
          <w:b/>
          <w:lang w:val="en-GB"/>
        </w:rPr>
        <w:t>APPEARANCES</w:t>
      </w:r>
      <w:r w:rsidR="00857F8F" w:rsidRPr="003829F4">
        <w:rPr>
          <w:rFonts w:ascii="Verdana" w:hAnsi="Verdana" w:cs="Arial"/>
          <w:b/>
          <w:lang w:val="en-GB"/>
        </w:rPr>
        <w:t>:</w:t>
      </w:r>
    </w:p>
    <w:p w14:paraId="1EFF4B6B" w14:textId="77777777" w:rsidR="00410D25" w:rsidRPr="003829F4" w:rsidRDefault="00410D25" w:rsidP="00403ABF">
      <w:pPr>
        <w:keepNext/>
        <w:widowControl w:val="0"/>
        <w:spacing w:after="120" w:line="240" w:lineRule="auto"/>
        <w:rPr>
          <w:rFonts w:ascii="Verdana" w:hAnsi="Verdana" w:cs="Arial"/>
          <w:b/>
          <w:lang w:val="en-GB"/>
        </w:rPr>
      </w:pPr>
    </w:p>
    <w:p w14:paraId="44F369FA" w14:textId="10D823E1" w:rsidR="001226BB" w:rsidRPr="003829F4" w:rsidRDefault="00386CF6" w:rsidP="00403ABF">
      <w:pPr>
        <w:keepNext/>
        <w:widowControl w:val="0"/>
        <w:tabs>
          <w:tab w:val="left" w:pos="3969"/>
        </w:tabs>
        <w:spacing w:after="120" w:line="240" w:lineRule="auto"/>
        <w:rPr>
          <w:rFonts w:ascii="Verdana" w:hAnsi="Verdana" w:cs="Arial"/>
          <w:lang w:val="en-GB"/>
        </w:rPr>
      </w:pPr>
      <w:r w:rsidRPr="003829F4">
        <w:rPr>
          <w:rFonts w:ascii="Verdana" w:hAnsi="Verdana" w:cs="Arial"/>
          <w:b/>
          <w:lang w:val="en-GB"/>
        </w:rPr>
        <w:t xml:space="preserve">On </w:t>
      </w:r>
      <w:r w:rsidR="00D136E5" w:rsidRPr="003829F4">
        <w:rPr>
          <w:rFonts w:ascii="Verdana" w:hAnsi="Verdana" w:cs="Arial"/>
          <w:b/>
          <w:lang w:val="en-GB"/>
        </w:rPr>
        <w:t>b</w:t>
      </w:r>
      <w:r w:rsidRPr="003829F4">
        <w:rPr>
          <w:rFonts w:ascii="Verdana" w:hAnsi="Verdana" w:cs="Arial"/>
          <w:b/>
          <w:lang w:val="en-GB"/>
        </w:rPr>
        <w:t xml:space="preserve">ehalf of </w:t>
      </w:r>
      <w:r w:rsidR="008E49CE" w:rsidRPr="003829F4">
        <w:rPr>
          <w:rFonts w:ascii="Verdana" w:hAnsi="Verdana" w:cs="Arial"/>
          <w:b/>
          <w:lang w:val="en-GB"/>
        </w:rPr>
        <w:t>applicant</w:t>
      </w:r>
      <w:r w:rsidRPr="003829F4">
        <w:rPr>
          <w:rFonts w:ascii="Verdana" w:hAnsi="Verdana" w:cs="Arial"/>
          <w:b/>
          <w:lang w:val="en-GB"/>
        </w:rPr>
        <w:t xml:space="preserve">: </w:t>
      </w:r>
      <w:r w:rsidRPr="003829F4">
        <w:rPr>
          <w:rFonts w:ascii="Verdana" w:hAnsi="Verdana" w:cs="Arial"/>
          <w:b/>
          <w:lang w:val="en-GB"/>
        </w:rPr>
        <w:tab/>
      </w:r>
      <w:r w:rsidR="006A5488" w:rsidRPr="003829F4">
        <w:rPr>
          <w:rFonts w:ascii="Verdana" w:hAnsi="Verdana" w:cs="Arial"/>
          <w:bCs/>
          <w:lang w:val="en-GB"/>
        </w:rPr>
        <w:t xml:space="preserve">Adv </w:t>
      </w:r>
      <w:r w:rsidR="00AC20D2" w:rsidRPr="003829F4">
        <w:rPr>
          <w:rFonts w:ascii="Verdana" w:hAnsi="Verdana" w:cs="Arial"/>
          <w:lang w:val="en-GB"/>
        </w:rPr>
        <w:t>Ad</w:t>
      </w:r>
      <w:r w:rsidR="006A5488" w:rsidRPr="003829F4">
        <w:rPr>
          <w:rFonts w:ascii="Verdana" w:hAnsi="Verdana" w:cs="Arial"/>
          <w:lang w:val="en-GB"/>
        </w:rPr>
        <w:t>elé de Wet SC</w:t>
      </w:r>
    </w:p>
    <w:p w14:paraId="3A547C93" w14:textId="77777777" w:rsidR="004D3F47" w:rsidRPr="003829F4" w:rsidRDefault="004D3F47" w:rsidP="00403ABF">
      <w:pPr>
        <w:keepNext/>
        <w:widowControl w:val="0"/>
        <w:tabs>
          <w:tab w:val="left" w:pos="3969"/>
        </w:tabs>
        <w:spacing w:after="120" w:line="240" w:lineRule="auto"/>
        <w:ind w:left="3969"/>
        <w:rPr>
          <w:rFonts w:ascii="Verdana" w:hAnsi="Verdana" w:cs="Arial"/>
          <w:bCs/>
          <w:lang w:val="en-GB"/>
        </w:rPr>
      </w:pPr>
    </w:p>
    <w:p w14:paraId="5979FA63" w14:textId="6FFDB020" w:rsidR="00267371" w:rsidRPr="003829F4" w:rsidRDefault="005D7F7B" w:rsidP="00403ABF">
      <w:pPr>
        <w:keepNext/>
        <w:widowControl w:val="0"/>
        <w:tabs>
          <w:tab w:val="left" w:pos="3969"/>
        </w:tabs>
        <w:spacing w:after="120" w:line="240" w:lineRule="auto"/>
        <w:ind w:firstLine="720"/>
        <w:rPr>
          <w:rFonts w:ascii="Verdana" w:hAnsi="Verdana" w:cs="Arial"/>
          <w:lang w:val="en-GB"/>
        </w:rPr>
      </w:pPr>
      <w:r w:rsidRPr="003829F4">
        <w:rPr>
          <w:rFonts w:ascii="Verdana" w:hAnsi="Verdana" w:cs="Arial"/>
          <w:b/>
          <w:lang w:val="en-GB"/>
        </w:rPr>
        <w:t>Instructed by:</w:t>
      </w:r>
      <w:r w:rsidRPr="003829F4">
        <w:rPr>
          <w:rFonts w:ascii="Verdana" w:hAnsi="Verdana" w:cs="Arial"/>
          <w:lang w:val="en-GB"/>
        </w:rPr>
        <w:t xml:space="preserve"> </w:t>
      </w:r>
      <w:r w:rsidRPr="003829F4">
        <w:rPr>
          <w:rFonts w:ascii="Verdana" w:hAnsi="Verdana" w:cs="Arial"/>
          <w:lang w:val="en-GB"/>
        </w:rPr>
        <w:tab/>
      </w:r>
      <w:r w:rsidR="006A5488" w:rsidRPr="003829F4">
        <w:rPr>
          <w:rFonts w:ascii="Verdana" w:hAnsi="Verdana" w:cs="Arial"/>
          <w:lang w:val="en-GB"/>
        </w:rPr>
        <w:t xml:space="preserve">Clarks </w:t>
      </w:r>
      <w:r w:rsidR="00BD0444" w:rsidRPr="003829F4">
        <w:rPr>
          <w:rFonts w:ascii="Verdana" w:hAnsi="Verdana" w:cs="Arial"/>
          <w:lang w:val="en-GB"/>
        </w:rPr>
        <w:t>Attorneys</w:t>
      </w:r>
    </w:p>
    <w:p w14:paraId="1E9D72A8" w14:textId="6CA5EABB" w:rsidR="008E49CE" w:rsidRPr="003829F4" w:rsidRDefault="00AF1307" w:rsidP="00403ABF">
      <w:pPr>
        <w:keepNext/>
        <w:widowControl w:val="0"/>
        <w:tabs>
          <w:tab w:val="left" w:pos="3969"/>
        </w:tabs>
        <w:spacing w:after="120" w:line="240" w:lineRule="auto"/>
        <w:ind w:left="3600" w:firstLine="369"/>
        <w:rPr>
          <w:rFonts w:ascii="Verdana" w:hAnsi="Verdana" w:cs="Arial"/>
          <w:lang w:val="en-GB"/>
        </w:rPr>
      </w:pPr>
      <w:hyperlink r:id="rId10" w:history="1">
        <w:r w:rsidR="006A5488" w:rsidRPr="003829F4">
          <w:rPr>
            <w:rStyle w:val="Hyperlink"/>
            <w:rFonts w:ascii="Verdana" w:hAnsi="Verdana" w:cs="Arial"/>
            <w:lang w:val="en-GB"/>
          </w:rPr>
          <w:t>jhclark@clarks.co.za</w:t>
        </w:r>
      </w:hyperlink>
      <w:r w:rsidR="00BD0444" w:rsidRPr="003829F4">
        <w:rPr>
          <w:rFonts w:ascii="Verdana" w:hAnsi="Verdana" w:cs="Arial"/>
          <w:lang w:val="en-GB"/>
        </w:rPr>
        <w:t xml:space="preserve">. </w:t>
      </w:r>
    </w:p>
    <w:p w14:paraId="3B4BE232" w14:textId="77777777" w:rsidR="005D7F7B" w:rsidRPr="003829F4" w:rsidRDefault="005D7F7B" w:rsidP="00403ABF">
      <w:pPr>
        <w:widowControl w:val="0"/>
        <w:tabs>
          <w:tab w:val="left" w:pos="3969"/>
        </w:tabs>
        <w:spacing w:after="240" w:line="240" w:lineRule="auto"/>
        <w:rPr>
          <w:rFonts w:ascii="Verdana" w:hAnsi="Verdana" w:cs="Arial"/>
          <w:lang w:val="en-GB"/>
        </w:rPr>
      </w:pPr>
    </w:p>
    <w:p w14:paraId="1A59CE60" w14:textId="0D497945" w:rsidR="00CD282A" w:rsidRPr="003829F4" w:rsidRDefault="00CD282A" w:rsidP="00403ABF">
      <w:pPr>
        <w:keepNext/>
        <w:widowControl w:val="0"/>
        <w:tabs>
          <w:tab w:val="left" w:pos="3969"/>
        </w:tabs>
        <w:spacing w:after="120" w:line="240" w:lineRule="auto"/>
        <w:rPr>
          <w:rFonts w:ascii="Verdana" w:hAnsi="Verdana" w:cs="Arial"/>
          <w:lang w:val="en-GB"/>
        </w:rPr>
      </w:pPr>
      <w:r w:rsidRPr="003829F4">
        <w:rPr>
          <w:rFonts w:ascii="Verdana" w:hAnsi="Verdana" w:cs="Arial"/>
          <w:b/>
          <w:lang w:val="en-GB"/>
        </w:rPr>
        <w:t xml:space="preserve">On behalf of respondent: </w:t>
      </w:r>
      <w:r w:rsidRPr="003829F4">
        <w:rPr>
          <w:rFonts w:ascii="Verdana" w:hAnsi="Verdana" w:cs="Arial"/>
          <w:lang w:val="en-GB"/>
        </w:rPr>
        <w:t xml:space="preserve"> </w:t>
      </w:r>
      <w:r w:rsidRPr="003829F4">
        <w:rPr>
          <w:rFonts w:ascii="Verdana" w:hAnsi="Verdana" w:cs="Arial"/>
          <w:lang w:val="en-GB"/>
        </w:rPr>
        <w:tab/>
      </w:r>
      <w:r w:rsidR="00BD0444" w:rsidRPr="003829F4">
        <w:rPr>
          <w:rFonts w:ascii="Verdana" w:hAnsi="Verdana" w:cs="Arial"/>
          <w:lang w:val="en-GB"/>
        </w:rPr>
        <w:t xml:space="preserve">Adv </w:t>
      </w:r>
      <w:r w:rsidR="006A5488" w:rsidRPr="003829F4">
        <w:rPr>
          <w:rFonts w:ascii="Verdana" w:hAnsi="Verdana" w:cs="Arial"/>
          <w:lang w:val="en-GB"/>
        </w:rPr>
        <w:t>Thabang Mathopo</w:t>
      </w:r>
    </w:p>
    <w:p w14:paraId="3D46CF2D" w14:textId="5431D294" w:rsidR="00BD0444" w:rsidRPr="003829F4" w:rsidRDefault="006A5488" w:rsidP="00BD0444">
      <w:pPr>
        <w:keepNext/>
        <w:widowControl w:val="0"/>
        <w:tabs>
          <w:tab w:val="left" w:pos="3969"/>
        </w:tabs>
        <w:spacing w:after="120" w:line="240" w:lineRule="auto"/>
        <w:ind w:left="3969"/>
        <w:rPr>
          <w:rFonts w:ascii="Verdana" w:hAnsi="Verdana" w:cs="Arial"/>
          <w:bCs/>
          <w:lang w:val="en-GB"/>
        </w:rPr>
      </w:pPr>
      <w:r w:rsidRPr="003829F4">
        <w:rPr>
          <w:rFonts w:ascii="Verdana" w:hAnsi="Verdana" w:cs="Arial"/>
          <w:bCs/>
          <w:lang w:val="en-GB"/>
        </w:rPr>
        <w:t>Adv Viviana Vergano</w:t>
      </w:r>
    </w:p>
    <w:p w14:paraId="6086C3C4" w14:textId="77777777" w:rsidR="00BD0444" w:rsidRPr="003829F4" w:rsidRDefault="00BD0444" w:rsidP="00BD0444">
      <w:pPr>
        <w:keepNext/>
        <w:widowControl w:val="0"/>
        <w:tabs>
          <w:tab w:val="left" w:pos="3969"/>
        </w:tabs>
        <w:spacing w:after="120" w:line="240" w:lineRule="auto"/>
        <w:ind w:left="3969"/>
        <w:rPr>
          <w:rFonts w:ascii="Verdana" w:hAnsi="Verdana" w:cs="Arial"/>
          <w:bCs/>
          <w:lang w:val="en-GB"/>
        </w:rPr>
      </w:pPr>
    </w:p>
    <w:p w14:paraId="6870229E" w14:textId="77777777" w:rsidR="006A5488" w:rsidRPr="003829F4" w:rsidRDefault="00BD0444" w:rsidP="00BD0444">
      <w:pPr>
        <w:keepNext/>
        <w:widowControl w:val="0"/>
        <w:tabs>
          <w:tab w:val="left" w:pos="3969"/>
        </w:tabs>
        <w:spacing w:after="120" w:line="240" w:lineRule="auto"/>
        <w:ind w:firstLine="720"/>
        <w:rPr>
          <w:rFonts w:ascii="Verdana" w:hAnsi="Verdana" w:cs="Arial"/>
          <w:lang w:val="en-GB"/>
        </w:rPr>
      </w:pPr>
      <w:r w:rsidRPr="003829F4">
        <w:rPr>
          <w:rFonts w:ascii="Verdana" w:hAnsi="Verdana" w:cs="Arial"/>
          <w:b/>
          <w:lang w:val="en-GB"/>
        </w:rPr>
        <w:t>Instructed by:</w:t>
      </w:r>
      <w:r w:rsidRPr="003829F4">
        <w:rPr>
          <w:rFonts w:ascii="Verdana" w:hAnsi="Verdana" w:cs="Arial"/>
          <w:lang w:val="en-GB"/>
        </w:rPr>
        <w:t xml:space="preserve"> </w:t>
      </w:r>
      <w:r w:rsidRPr="003829F4">
        <w:rPr>
          <w:rFonts w:ascii="Verdana" w:hAnsi="Verdana" w:cs="Arial"/>
          <w:lang w:val="en-GB"/>
        </w:rPr>
        <w:tab/>
      </w:r>
      <w:r w:rsidR="006A5488" w:rsidRPr="003829F4">
        <w:rPr>
          <w:rFonts w:ascii="Verdana" w:hAnsi="Verdana" w:cs="Arial"/>
          <w:lang w:val="en-GB"/>
        </w:rPr>
        <w:t>Ferlman Jwankie Mashiane Moodley &amp;</w:t>
      </w:r>
    </w:p>
    <w:p w14:paraId="2D112EEA" w14:textId="269240F0" w:rsidR="00BD0444" w:rsidRPr="003829F4" w:rsidRDefault="006A5488" w:rsidP="006A5488">
      <w:pPr>
        <w:keepNext/>
        <w:widowControl w:val="0"/>
        <w:tabs>
          <w:tab w:val="left" w:pos="3969"/>
        </w:tabs>
        <w:spacing w:after="120" w:line="240" w:lineRule="auto"/>
        <w:ind w:left="2880" w:firstLine="1089"/>
        <w:rPr>
          <w:rFonts w:ascii="Verdana" w:hAnsi="Verdana" w:cs="Arial"/>
          <w:lang w:val="it-IT"/>
        </w:rPr>
      </w:pPr>
      <w:r w:rsidRPr="003829F4">
        <w:rPr>
          <w:rFonts w:ascii="Verdana" w:hAnsi="Verdana" w:cs="Arial"/>
          <w:lang w:val="it-IT"/>
        </w:rPr>
        <w:t>Monama</w:t>
      </w:r>
      <w:r w:rsidR="00BD0444" w:rsidRPr="003829F4">
        <w:rPr>
          <w:rFonts w:ascii="Verdana" w:hAnsi="Verdana" w:cs="Arial"/>
          <w:lang w:val="it-IT"/>
        </w:rPr>
        <w:t xml:space="preserve"> </w:t>
      </w:r>
      <w:r w:rsidRPr="003829F4">
        <w:rPr>
          <w:rFonts w:ascii="Verdana" w:hAnsi="Verdana" w:cs="Arial"/>
          <w:lang w:val="it-IT"/>
        </w:rPr>
        <w:t xml:space="preserve">Incorporated </w:t>
      </w:r>
      <w:r w:rsidR="00BD0444" w:rsidRPr="003829F4">
        <w:rPr>
          <w:rFonts w:ascii="Verdana" w:hAnsi="Verdana" w:cs="Arial"/>
          <w:lang w:val="it-IT"/>
        </w:rPr>
        <w:t>Attorneys</w:t>
      </w:r>
    </w:p>
    <w:p w14:paraId="07419264" w14:textId="3AB369C6" w:rsidR="00BD0444" w:rsidRPr="003829F4" w:rsidRDefault="00AF1307" w:rsidP="00BD0444">
      <w:pPr>
        <w:keepNext/>
        <w:widowControl w:val="0"/>
        <w:tabs>
          <w:tab w:val="left" w:pos="3969"/>
        </w:tabs>
        <w:spacing w:after="120" w:line="240" w:lineRule="auto"/>
        <w:ind w:left="3600" w:firstLine="369"/>
        <w:rPr>
          <w:rFonts w:ascii="Verdana" w:hAnsi="Verdana" w:cs="Arial"/>
          <w:lang w:val="it-IT"/>
        </w:rPr>
      </w:pPr>
      <w:hyperlink r:id="rId11" w:history="1">
        <w:r w:rsidR="006A5488" w:rsidRPr="003829F4">
          <w:rPr>
            <w:rStyle w:val="Hyperlink"/>
            <w:rFonts w:ascii="Verdana" w:hAnsi="Verdana" w:cs="Arial"/>
            <w:lang w:val="it-IT"/>
          </w:rPr>
          <w:t>fjwankie@m4attorneys.co.za</w:t>
        </w:r>
      </w:hyperlink>
      <w:r w:rsidR="006A5488" w:rsidRPr="003829F4">
        <w:rPr>
          <w:rFonts w:ascii="Verdana" w:hAnsi="Verdana" w:cs="Arial"/>
          <w:lang w:val="it-IT"/>
        </w:rPr>
        <w:t xml:space="preserve"> </w:t>
      </w:r>
    </w:p>
    <w:p w14:paraId="15041566" w14:textId="58B5B090" w:rsidR="007A66E0" w:rsidRPr="003829F4" w:rsidRDefault="007A66E0">
      <w:pPr>
        <w:rPr>
          <w:rFonts w:ascii="Verdana" w:hAnsi="Verdana" w:cs="Arial"/>
          <w:lang w:val="it-IT"/>
        </w:rPr>
      </w:pPr>
      <w:r w:rsidRPr="003829F4">
        <w:rPr>
          <w:rFonts w:ascii="Verdana" w:hAnsi="Verdana" w:cs="Arial"/>
          <w:lang w:val="it-IT"/>
        </w:rPr>
        <w:br w:type="page"/>
      </w:r>
    </w:p>
    <w:sectPr w:rsidR="007A66E0" w:rsidRPr="003829F4" w:rsidSect="006A5488">
      <w:headerReference w:type="default" r:id="rId12"/>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2BF55" w14:textId="77777777" w:rsidR="00B237F5" w:rsidRDefault="00B237F5" w:rsidP="009760D6">
      <w:pPr>
        <w:spacing w:after="0" w:line="240" w:lineRule="auto"/>
      </w:pPr>
      <w:r>
        <w:separator/>
      </w:r>
    </w:p>
  </w:endnote>
  <w:endnote w:type="continuationSeparator" w:id="0">
    <w:p w14:paraId="6ECE5F26" w14:textId="77777777" w:rsidR="00B237F5" w:rsidRDefault="00B237F5" w:rsidP="0097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33F54" w14:textId="77777777" w:rsidR="00B237F5" w:rsidRDefault="00B237F5" w:rsidP="009760D6">
      <w:pPr>
        <w:spacing w:after="0" w:line="240" w:lineRule="auto"/>
      </w:pPr>
      <w:r>
        <w:separator/>
      </w:r>
    </w:p>
  </w:footnote>
  <w:footnote w:type="continuationSeparator" w:id="0">
    <w:p w14:paraId="05888E7E" w14:textId="77777777" w:rsidR="00B237F5" w:rsidRDefault="00B237F5" w:rsidP="009760D6">
      <w:pPr>
        <w:spacing w:after="0" w:line="240" w:lineRule="auto"/>
      </w:pPr>
      <w:r>
        <w:continuationSeparator/>
      </w:r>
    </w:p>
  </w:footnote>
  <w:footnote w:id="1">
    <w:p w14:paraId="680F07B8" w14:textId="5B70ECD4" w:rsidR="002D1606" w:rsidRDefault="002D1606" w:rsidP="002D1606">
      <w:pPr>
        <w:pStyle w:val="FootnoteText"/>
        <w:ind w:left="720" w:hanging="720"/>
      </w:pPr>
      <w:r>
        <w:rPr>
          <w:rStyle w:val="FootnoteReference"/>
        </w:rPr>
        <w:footnoteRef/>
      </w:r>
      <w:r>
        <w:t xml:space="preserve"> </w:t>
      </w:r>
      <w:r>
        <w:tab/>
        <w:t xml:space="preserve">Replication: paragraph 6, p 001-47. </w:t>
      </w:r>
    </w:p>
  </w:footnote>
  <w:footnote w:id="2">
    <w:p w14:paraId="460A3744" w14:textId="5E303C06" w:rsidR="002D1606" w:rsidRDefault="002D1606">
      <w:pPr>
        <w:pStyle w:val="FootnoteText"/>
      </w:pPr>
      <w:r>
        <w:rPr>
          <w:rStyle w:val="FootnoteReference"/>
        </w:rPr>
        <w:footnoteRef/>
      </w:r>
      <w:r>
        <w:t xml:space="preserve"> </w:t>
      </w:r>
      <w:r>
        <w:tab/>
        <w:t xml:space="preserve">Replication: paragraph 9.1, p 001-48. </w:t>
      </w:r>
    </w:p>
  </w:footnote>
  <w:footnote w:id="3">
    <w:p w14:paraId="4F698A70" w14:textId="48D817D4" w:rsidR="002D1606" w:rsidRDefault="002D1606">
      <w:pPr>
        <w:pStyle w:val="FootnoteText"/>
      </w:pPr>
      <w:r>
        <w:rPr>
          <w:rStyle w:val="FootnoteReference"/>
        </w:rPr>
        <w:footnoteRef/>
      </w:r>
      <w:r>
        <w:t xml:space="preserve"> </w:t>
      </w:r>
      <w:r>
        <w:tab/>
        <w:t>Replication: paragraph 9.5, p 001-50.</w:t>
      </w:r>
    </w:p>
  </w:footnote>
  <w:footnote w:id="4">
    <w:p w14:paraId="7210987A" w14:textId="76736DAC" w:rsidR="002D1606" w:rsidRDefault="002D1606">
      <w:pPr>
        <w:pStyle w:val="FootnoteText"/>
      </w:pPr>
      <w:r>
        <w:rPr>
          <w:rStyle w:val="FootnoteReference"/>
        </w:rPr>
        <w:footnoteRef/>
      </w:r>
      <w:r>
        <w:t xml:space="preserve"> </w:t>
      </w:r>
      <w:r>
        <w:tab/>
        <w:t>Replication: paragraph 23, p 001-55.</w:t>
      </w:r>
    </w:p>
  </w:footnote>
  <w:footnote w:id="5">
    <w:p w14:paraId="2C10964E" w14:textId="1C9978C0" w:rsidR="002D1606" w:rsidRDefault="002D1606">
      <w:pPr>
        <w:pStyle w:val="FootnoteText"/>
      </w:pPr>
      <w:r>
        <w:rPr>
          <w:rStyle w:val="FootnoteReference"/>
        </w:rPr>
        <w:footnoteRef/>
      </w:r>
      <w:r>
        <w:t xml:space="preserve"> </w:t>
      </w:r>
      <w:r>
        <w:tab/>
        <w:t xml:space="preserve">Amended plea: paragraph 29, p 001-70. </w:t>
      </w:r>
    </w:p>
  </w:footnote>
  <w:footnote w:id="6">
    <w:p w14:paraId="1072D6D1" w14:textId="013C2EAB" w:rsidR="002D1606" w:rsidRDefault="002D1606">
      <w:pPr>
        <w:pStyle w:val="FootnoteText"/>
      </w:pPr>
      <w:r>
        <w:rPr>
          <w:rStyle w:val="FootnoteReference"/>
        </w:rPr>
        <w:footnoteRef/>
      </w:r>
      <w:r>
        <w:t xml:space="preserve"> </w:t>
      </w:r>
      <w:r>
        <w:tab/>
        <w:t xml:space="preserve">Amended plea: p 001-71. </w:t>
      </w:r>
    </w:p>
  </w:footnote>
  <w:footnote w:id="7">
    <w:p w14:paraId="21DAE535" w14:textId="4877EE41" w:rsidR="00FB55A0" w:rsidRDefault="00FB55A0">
      <w:pPr>
        <w:pStyle w:val="FootnoteText"/>
      </w:pPr>
      <w:r>
        <w:rPr>
          <w:rStyle w:val="FootnoteReference"/>
        </w:rPr>
        <w:footnoteRef/>
      </w:r>
      <w:r>
        <w:t xml:space="preserve"> </w:t>
      </w:r>
      <w:r>
        <w:tab/>
        <w:t xml:space="preserve">Amended plea: paragraph 32, p 001-71. </w:t>
      </w:r>
    </w:p>
  </w:footnote>
  <w:footnote w:id="8">
    <w:p w14:paraId="2CA7471F" w14:textId="18C12833" w:rsidR="00FB55A0" w:rsidRDefault="00FB55A0">
      <w:pPr>
        <w:pStyle w:val="FootnoteText"/>
      </w:pPr>
      <w:r>
        <w:rPr>
          <w:rStyle w:val="FootnoteReference"/>
        </w:rPr>
        <w:footnoteRef/>
      </w:r>
      <w:r>
        <w:t xml:space="preserve"> </w:t>
      </w:r>
      <w:r>
        <w:tab/>
        <w:t xml:space="preserve">Amended plea to counterclaim: paragraph 9.2, p 001-61. </w:t>
      </w:r>
    </w:p>
  </w:footnote>
  <w:footnote w:id="9">
    <w:p w14:paraId="6B69B747" w14:textId="624D38B6" w:rsidR="00FA7C8E" w:rsidRPr="001935E3" w:rsidRDefault="00FA7C8E">
      <w:pPr>
        <w:pStyle w:val="FootnoteText"/>
        <w:rPr>
          <w:color w:val="000000" w:themeColor="text1"/>
        </w:rPr>
      </w:pPr>
      <w:r>
        <w:rPr>
          <w:rStyle w:val="FootnoteReference"/>
        </w:rPr>
        <w:footnoteRef/>
      </w:r>
      <w:r>
        <w:t xml:space="preserve"> </w:t>
      </w:r>
      <w:r>
        <w:tab/>
      </w:r>
      <w:r w:rsidRPr="001935E3">
        <w:rPr>
          <w:color w:val="000000" w:themeColor="text1"/>
        </w:rPr>
        <w:t>Section 7(4) of the Divorce Act, 70 of 1979.</w:t>
      </w:r>
    </w:p>
  </w:footnote>
  <w:footnote w:id="10">
    <w:p w14:paraId="02ED30D2" w14:textId="6DF7FE39" w:rsidR="00FA7C8E" w:rsidRPr="003048B0" w:rsidRDefault="00FA7C8E">
      <w:pPr>
        <w:pStyle w:val="FootnoteText"/>
        <w:rPr>
          <w:color w:val="000000" w:themeColor="text1"/>
          <w:szCs w:val="18"/>
          <w:lang w:val="it-IT"/>
        </w:rPr>
      </w:pPr>
      <w:r w:rsidRPr="001935E3">
        <w:rPr>
          <w:rStyle w:val="FootnoteReference"/>
          <w:color w:val="000000" w:themeColor="text1"/>
        </w:rPr>
        <w:footnoteRef/>
      </w:r>
      <w:r w:rsidRPr="003048B0">
        <w:rPr>
          <w:color w:val="000000" w:themeColor="text1"/>
          <w:lang w:val="it-IT"/>
        </w:rPr>
        <w:t xml:space="preserve"> </w:t>
      </w:r>
      <w:r w:rsidRPr="003048B0">
        <w:rPr>
          <w:color w:val="000000" w:themeColor="text1"/>
          <w:lang w:val="it-IT"/>
        </w:rPr>
        <w:tab/>
      </w:r>
      <w:r w:rsidR="001935E3" w:rsidRPr="003048B0">
        <w:rPr>
          <w:color w:val="000000" w:themeColor="text1"/>
          <w:szCs w:val="18"/>
          <w:shd w:val="clear" w:color="auto" w:fill="FFFFFF"/>
          <w:lang w:val="it-IT"/>
        </w:rPr>
        <w:t>1987 (1) SA 48 (C).</w:t>
      </w:r>
    </w:p>
  </w:footnote>
  <w:footnote w:id="11">
    <w:p w14:paraId="24773682" w14:textId="49C06BB4" w:rsidR="001935E3" w:rsidRPr="001935E3" w:rsidRDefault="001935E3">
      <w:pPr>
        <w:pStyle w:val="FootnoteText"/>
        <w:rPr>
          <w:color w:val="000000" w:themeColor="text1"/>
          <w:lang w:val="it-IT"/>
        </w:rPr>
      </w:pPr>
      <w:r>
        <w:rPr>
          <w:rStyle w:val="FootnoteReference"/>
        </w:rPr>
        <w:footnoteRef/>
      </w:r>
      <w:r w:rsidRPr="001935E3">
        <w:rPr>
          <w:lang w:val="it-IT"/>
        </w:rPr>
        <w:t xml:space="preserve"> </w:t>
      </w:r>
      <w:r w:rsidRPr="001935E3">
        <w:rPr>
          <w:lang w:val="it-IT"/>
        </w:rPr>
        <w:tab/>
      </w:r>
      <w:r w:rsidRPr="001935E3">
        <w:rPr>
          <w:color w:val="000000" w:themeColor="text1"/>
          <w:shd w:val="clear" w:color="auto" w:fill="FFFFFF"/>
          <w:lang w:val="it-IT"/>
        </w:rPr>
        <w:t>Taute v Taute 1974 (2) SA 675 (E)</w:t>
      </w:r>
      <w:r>
        <w:rPr>
          <w:color w:val="000000" w:themeColor="text1"/>
          <w:shd w:val="clear" w:color="auto" w:fill="FFFFFF"/>
          <w:lang w:val="it-IT"/>
        </w:rPr>
        <w:t>.</w:t>
      </w:r>
    </w:p>
  </w:footnote>
  <w:footnote w:id="12">
    <w:p w14:paraId="1AF70683" w14:textId="4A52136F" w:rsidR="001935E3" w:rsidRPr="003048B0" w:rsidRDefault="001935E3">
      <w:pPr>
        <w:pStyle w:val="FootnoteText"/>
        <w:rPr>
          <w:color w:val="000000" w:themeColor="text1"/>
          <w:lang w:val="nl-NL"/>
        </w:rPr>
      </w:pPr>
      <w:r w:rsidRPr="001935E3">
        <w:rPr>
          <w:rStyle w:val="FootnoteReference"/>
          <w:color w:val="000000" w:themeColor="text1"/>
        </w:rPr>
        <w:footnoteRef/>
      </w:r>
      <w:r w:rsidRPr="003048B0">
        <w:rPr>
          <w:color w:val="000000" w:themeColor="text1"/>
          <w:lang w:val="nl-NL"/>
        </w:rPr>
        <w:t xml:space="preserve"> </w:t>
      </w:r>
      <w:r w:rsidRPr="003048B0">
        <w:rPr>
          <w:color w:val="000000" w:themeColor="text1"/>
          <w:lang w:val="nl-NL"/>
        </w:rPr>
        <w:tab/>
        <w:t>Taute p. 676H.</w:t>
      </w:r>
    </w:p>
  </w:footnote>
  <w:footnote w:id="13">
    <w:p w14:paraId="3BE413E5" w14:textId="3D9DA89D" w:rsidR="001543B0" w:rsidRPr="00CC0638" w:rsidRDefault="001543B0">
      <w:pPr>
        <w:pStyle w:val="FootnoteText"/>
        <w:rPr>
          <w:color w:val="000000" w:themeColor="text1"/>
          <w:lang w:val="nl-NL"/>
        </w:rPr>
      </w:pPr>
      <w:r>
        <w:rPr>
          <w:rStyle w:val="FootnoteReference"/>
        </w:rPr>
        <w:footnoteRef/>
      </w:r>
      <w:r w:rsidRPr="00CC0638">
        <w:rPr>
          <w:lang w:val="nl-NL"/>
        </w:rPr>
        <w:t xml:space="preserve"> </w:t>
      </w:r>
      <w:r w:rsidRPr="00CC0638">
        <w:rPr>
          <w:lang w:val="nl-NL"/>
        </w:rPr>
        <w:tab/>
      </w:r>
      <w:r w:rsidRPr="00CC0638">
        <w:rPr>
          <w:color w:val="000000" w:themeColor="text1"/>
          <w:shd w:val="clear" w:color="auto" w:fill="FFFFFF"/>
          <w:lang w:val="nl-NL"/>
        </w:rPr>
        <w:t>Van </w:t>
      </w:r>
      <w:r w:rsidRPr="00CC0638">
        <w:rPr>
          <w:color w:val="000000" w:themeColor="text1"/>
          <w:lang w:val="nl-NL"/>
        </w:rPr>
        <w:t>Vuuren v Sam</w:t>
      </w:r>
      <w:r w:rsidR="00CC0638" w:rsidRPr="00CC0638">
        <w:rPr>
          <w:color w:val="000000" w:themeColor="text1"/>
          <w:lang w:val="nl-NL"/>
        </w:rPr>
        <w:t xml:space="preserve"> </w:t>
      </w:r>
      <w:r w:rsidR="00CC0638" w:rsidRPr="00CC0638">
        <w:rPr>
          <w:rFonts w:cs="Arial"/>
          <w:color w:val="000000" w:themeColor="text1"/>
          <w:shd w:val="clear" w:color="auto" w:fill="FFFFFF"/>
          <w:lang w:val="nl-NL"/>
        </w:rPr>
        <w:t>1972 2 SA 633 (A) 642</w:t>
      </w:r>
      <w:r w:rsidR="00CC0638">
        <w:rPr>
          <w:rFonts w:cs="Arial"/>
          <w:color w:val="000000" w:themeColor="text1"/>
          <w:shd w:val="clear" w:color="auto" w:fill="FFFFFF"/>
          <w:lang w:val="nl-NL"/>
        </w:rPr>
        <w:t>.</w:t>
      </w:r>
    </w:p>
  </w:footnote>
  <w:footnote w:id="14">
    <w:p w14:paraId="322E4CC2" w14:textId="3FCA7756" w:rsidR="007A1B2C" w:rsidRPr="007A1B2C" w:rsidRDefault="007A1B2C">
      <w:pPr>
        <w:pStyle w:val="FootnoteText"/>
        <w:rPr>
          <w:szCs w:val="18"/>
          <w:lang w:val="nl-NL"/>
        </w:rPr>
      </w:pPr>
      <w:r>
        <w:rPr>
          <w:rStyle w:val="FootnoteReference"/>
        </w:rPr>
        <w:footnoteRef/>
      </w:r>
      <w:r w:rsidRPr="007A1B2C">
        <w:rPr>
          <w:lang w:val="nl-NL"/>
        </w:rPr>
        <w:t xml:space="preserve"> </w:t>
      </w:r>
      <w:r w:rsidRPr="007A1B2C">
        <w:rPr>
          <w:lang w:val="nl-NL"/>
        </w:rPr>
        <w:tab/>
      </w:r>
      <w:r w:rsidRPr="007A1B2C">
        <w:rPr>
          <w:szCs w:val="18"/>
          <w:lang w:val="nl-NL"/>
        </w:rPr>
        <w:t xml:space="preserve">MD v MD </w:t>
      </w:r>
      <w:r w:rsidRPr="007A1B2C">
        <w:rPr>
          <w:color w:val="2C3E50"/>
          <w:szCs w:val="18"/>
          <w:shd w:val="clear" w:color="auto" w:fill="FFFFFF"/>
          <w:lang w:val="nl-NL"/>
        </w:rPr>
        <w:t>2023 JDR 0804 (GJ)</w:t>
      </w:r>
    </w:p>
  </w:footnote>
  <w:footnote w:id="15">
    <w:p w14:paraId="219139E8" w14:textId="77777777" w:rsidR="007A1B2C" w:rsidRPr="00EB09E8" w:rsidRDefault="007A1B2C" w:rsidP="007A1B2C">
      <w:pPr>
        <w:pStyle w:val="FootnoteText"/>
        <w:rPr>
          <w:lang w:val="nl-NL"/>
        </w:rPr>
      </w:pPr>
      <w:r>
        <w:rPr>
          <w:rStyle w:val="FootnoteReference"/>
        </w:rPr>
        <w:footnoteRef/>
      </w:r>
      <w:r w:rsidRPr="00EB09E8">
        <w:rPr>
          <w:lang w:val="nl-NL"/>
        </w:rPr>
        <w:t xml:space="preserve"> </w:t>
      </w:r>
      <w:r w:rsidRPr="00EB09E8">
        <w:rPr>
          <w:lang w:val="nl-NL"/>
        </w:rPr>
        <w:tab/>
      </w:r>
      <w:r w:rsidRPr="00EB09E8">
        <w:rPr>
          <w:i/>
          <w:iCs/>
          <w:lang w:val="nl-NL"/>
        </w:rPr>
        <w:t>Van Rippen v Van Rippen</w:t>
      </w:r>
      <w:r w:rsidRPr="00EB09E8">
        <w:rPr>
          <w:lang w:val="nl-NL"/>
        </w:rPr>
        <w:t xml:space="preserve"> 1949 (4) SA 634 (C). </w:t>
      </w:r>
    </w:p>
  </w:footnote>
  <w:footnote w:id="16">
    <w:p w14:paraId="5B673FF0" w14:textId="77777777" w:rsidR="007A1B2C" w:rsidRPr="0065336D" w:rsidRDefault="007A1B2C" w:rsidP="007A1B2C">
      <w:pPr>
        <w:pStyle w:val="FootnoteText"/>
      </w:pPr>
      <w:r>
        <w:rPr>
          <w:rStyle w:val="FootnoteReference"/>
        </w:rPr>
        <w:footnoteRef/>
      </w:r>
      <w:r>
        <w:t xml:space="preserve"> </w:t>
      </w:r>
      <w:r>
        <w:tab/>
      </w:r>
      <w:r>
        <w:rPr>
          <w:i/>
          <w:iCs/>
        </w:rPr>
        <w:t>Cary v Cary</w:t>
      </w:r>
      <w:r>
        <w:t xml:space="preserve"> 1999 (3) SA 615 (C). </w:t>
      </w:r>
    </w:p>
  </w:footnote>
  <w:footnote w:id="17">
    <w:p w14:paraId="230CBF0B" w14:textId="77777777" w:rsidR="007A1B2C" w:rsidRPr="00247F11" w:rsidRDefault="007A1B2C" w:rsidP="007A1B2C">
      <w:pPr>
        <w:pStyle w:val="FootnoteText"/>
      </w:pPr>
      <w:r>
        <w:rPr>
          <w:rStyle w:val="FootnoteReference"/>
        </w:rPr>
        <w:footnoteRef/>
      </w:r>
      <w:r w:rsidRPr="00247F11">
        <w:t xml:space="preserve"> </w:t>
      </w:r>
      <w:r w:rsidRPr="00247F11">
        <w:tab/>
      </w:r>
      <w:r w:rsidRPr="00247F11">
        <w:rPr>
          <w:i/>
          <w:iCs/>
        </w:rPr>
        <w:t>Eke v Parsons</w:t>
      </w:r>
      <w:r w:rsidRPr="00247F11">
        <w:t xml:space="preserve"> 2016 (3) SA 37 (CC). </w:t>
      </w:r>
    </w:p>
  </w:footnote>
  <w:footnote w:id="18">
    <w:p w14:paraId="3B09CF34" w14:textId="77777777" w:rsidR="007A1B2C" w:rsidRPr="00B72D5E" w:rsidRDefault="007A1B2C" w:rsidP="007A1B2C">
      <w:pPr>
        <w:pStyle w:val="FootnoteText"/>
        <w:rPr>
          <w:lang w:val="nl-NL"/>
        </w:rPr>
      </w:pPr>
      <w:r>
        <w:rPr>
          <w:rStyle w:val="FootnoteReference"/>
        </w:rPr>
        <w:footnoteRef/>
      </w:r>
      <w:r w:rsidRPr="00B72D5E">
        <w:rPr>
          <w:lang w:val="nl-NL"/>
        </w:rPr>
        <w:t xml:space="preserve"> </w:t>
      </w:r>
      <w:r w:rsidRPr="00B72D5E">
        <w:rPr>
          <w:lang w:val="nl-NL"/>
        </w:rPr>
        <w:tab/>
      </w:r>
      <w:r w:rsidRPr="00B72D5E">
        <w:rPr>
          <w:i/>
          <w:iCs/>
          <w:lang w:val="nl-NL"/>
        </w:rPr>
        <w:t>AF v MF</w:t>
      </w:r>
      <w:r w:rsidRPr="00B72D5E">
        <w:rPr>
          <w:lang w:val="nl-NL"/>
        </w:rPr>
        <w:t xml:space="preserve"> 2019 (6) SA 422 (WCC) paragraph [14]. </w:t>
      </w:r>
    </w:p>
  </w:footnote>
  <w:footnote w:id="19">
    <w:p w14:paraId="025EDF4D" w14:textId="77777777" w:rsidR="007A1B2C" w:rsidRPr="00247F11" w:rsidRDefault="007A1B2C" w:rsidP="007A1B2C">
      <w:pPr>
        <w:pStyle w:val="FootnoteText"/>
      </w:pPr>
      <w:r>
        <w:rPr>
          <w:rStyle w:val="FootnoteReference"/>
        </w:rPr>
        <w:footnoteRef/>
      </w:r>
      <w:r w:rsidRPr="00247F11">
        <w:t xml:space="preserve"> </w:t>
      </w:r>
      <w:r w:rsidRPr="00247F11">
        <w:tab/>
        <w:t>Eke</w:t>
      </w:r>
    </w:p>
  </w:footnote>
  <w:footnote w:id="20">
    <w:p w14:paraId="37545534" w14:textId="1DD991EB" w:rsidR="00DF322B" w:rsidRPr="00D07D9E" w:rsidRDefault="00DF322B" w:rsidP="00D07D9E">
      <w:pPr>
        <w:pStyle w:val="FootnoteText"/>
        <w:spacing w:line="276" w:lineRule="auto"/>
        <w:ind w:left="426" w:hanging="426"/>
      </w:pPr>
      <w:r>
        <w:rPr>
          <w:rStyle w:val="FootnoteReference"/>
        </w:rPr>
        <w:footnoteRef/>
      </w:r>
      <w:r>
        <w:t xml:space="preserve"> </w:t>
      </w:r>
      <w:r>
        <w:tab/>
      </w:r>
      <w:r w:rsidR="00655BF3" w:rsidRPr="00D07D9E">
        <w:t>Van Rhyn v Van Rhyn, a judgement in this division under case number 30947/2016 dated 7 June 2019</w:t>
      </w:r>
      <w:r w:rsidR="00D07D9E">
        <w:t>.</w:t>
      </w:r>
    </w:p>
  </w:footnote>
  <w:footnote w:id="21">
    <w:p w14:paraId="7639AC7D" w14:textId="77777777" w:rsidR="003829F4" w:rsidRPr="00D07D9E" w:rsidRDefault="003829F4" w:rsidP="00D07D9E">
      <w:pPr>
        <w:pStyle w:val="FootnoteText"/>
        <w:spacing w:after="120" w:line="276" w:lineRule="auto"/>
        <w:ind w:left="426" w:hanging="426"/>
        <w:rPr>
          <w:rFonts w:cstheme="majorHAnsi"/>
          <w:color w:val="000000" w:themeColor="text1"/>
        </w:rPr>
      </w:pPr>
      <w:r w:rsidRPr="00D07D9E">
        <w:rPr>
          <w:rStyle w:val="FootnoteReference"/>
          <w:rFonts w:cstheme="majorHAnsi"/>
          <w:color w:val="000000" w:themeColor="text1"/>
        </w:rPr>
        <w:footnoteRef/>
      </w:r>
      <w:r w:rsidRPr="00D07D9E">
        <w:rPr>
          <w:rFonts w:cstheme="majorHAnsi"/>
          <w:color w:val="000000" w:themeColor="text1"/>
        </w:rPr>
        <w:t xml:space="preserve"> </w:t>
      </w:r>
      <w:r w:rsidRPr="00D07D9E">
        <w:rPr>
          <w:rFonts w:cstheme="majorHAnsi"/>
          <w:color w:val="000000" w:themeColor="text1"/>
          <w:lang w:val="en-US"/>
        </w:rPr>
        <w:tab/>
      </w:r>
      <w:r w:rsidRPr="00D07D9E">
        <w:rPr>
          <w:rFonts w:cstheme="majorHAnsi"/>
          <w:color w:val="000000" w:themeColor="text1"/>
        </w:rPr>
        <w:t>(23967/2012) [2022] ZAGPJHC 483 (26 July 2022).</w:t>
      </w:r>
    </w:p>
  </w:footnote>
  <w:footnote w:id="22">
    <w:p w14:paraId="1D9B40FB" w14:textId="45F65F53" w:rsidR="003829F4" w:rsidRPr="00D07D9E" w:rsidRDefault="003829F4" w:rsidP="00D07D9E">
      <w:pPr>
        <w:pStyle w:val="FootnoteText"/>
        <w:spacing w:after="120" w:line="276" w:lineRule="auto"/>
        <w:ind w:left="426" w:hanging="426"/>
        <w:rPr>
          <w:rFonts w:cstheme="majorHAnsi"/>
          <w:color w:val="000000" w:themeColor="text1"/>
          <w:lang w:val="en-US"/>
        </w:rPr>
      </w:pPr>
      <w:r w:rsidRPr="00D07D9E">
        <w:rPr>
          <w:rStyle w:val="FootnoteReference"/>
          <w:rFonts w:cstheme="majorHAnsi"/>
          <w:color w:val="000000" w:themeColor="text1"/>
        </w:rPr>
        <w:footnoteRef/>
      </w:r>
      <w:r w:rsidRPr="00D07D9E">
        <w:rPr>
          <w:rFonts w:cstheme="majorHAnsi"/>
          <w:color w:val="000000" w:themeColor="text1"/>
        </w:rPr>
        <w:t xml:space="preserve"> </w:t>
      </w:r>
      <w:r w:rsidRPr="00D07D9E">
        <w:rPr>
          <w:rFonts w:cstheme="majorHAnsi"/>
          <w:color w:val="000000" w:themeColor="text1"/>
          <w:lang w:val="en-US"/>
        </w:rPr>
        <w:tab/>
      </w:r>
      <w:r w:rsidRPr="00D07D9E">
        <w:rPr>
          <w:rFonts w:cstheme="majorHAnsi"/>
          <w:color w:val="000000" w:themeColor="text1"/>
        </w:rPr>
        <w:t>Winter v Winter </w:t>
      </w:r>
      <w:hyperlink r:id="rId1" w:tooltip="View LawCiteRecord" w:history="1">
        <w:r w:rsidRPr="00D07D9E">
          <w:rPr>
            <w:rStyle w:val="Hyperlink"/>
            <w:rFonts w:cstheme="majorHAnsi"/>
            <w:color w:val="000000" w:themeColor="text1"/>
            <w:u w:val="none"/>
          </w:rPr>
          <w:t>1945 WLD 16</w:t>
        </w:r>
      </w:hyperlink>
      <w:r w:rsidRPr="00D07D9E">
        <w:rPr>
          <w:rFonts w:cstheme="majorHAnsi"/>
          <w:color w:val="000000" w:themeColor="text1"/>
        </w:rPr>
        <w:t>; Service v Service </w:t>
      </w:r>
      <w:hyperlink r:id="rId2" w:tooltip="View LawCiteRecord" w:history="1">
        <w:r w:rsidRPr="00D07D9E">
          <w:rPr>
            <w:rStyle w:val="Hyperlink"/>
            <w:rFonts w:cstheme="majorHAnsi"/>
            <w:color w:val="000000" w:themeColor="text1"/>
            <w:u w:val="none"/>
          </w:rPr>
          <w:t>1968 (3) SA 526</w:t>
        </w:r>
      </w:hyperlink>
      <w:r w:rsidRPr="00D07D9E">
        <w:rPr>
          <w:rFonts w:cstheme="majorHAnsi"/>
          <w:color w:val="000000" w:themeColor="text1"/>
        </w:rPr>
        <w:t> (D); Micklem v Micklem </w:t>
      </w:r>
      <w:hyperlink r:id="rId3" w:tooltip="View LawCiteRecord" w:history="1">
        <w:r w:rsidRPr="00D07D9E">
          <w:rPr>
            <w:rStyle w:val="Hyperlink"/>
            <w:rFonts w:cstheme="majorHAnsi"/>
            <w:color w:val="000000" w:themeColor="text1"/>
            <w:u w:val="none"/>
          </w:rPr>
          <w:t>1988 (3) SA 259</w:t>
        </w:r>
      </w:hyperlink>
      <w:r w:rsidRPr="00D07D9E">
        <w:rPr>
          <w:rFonts w:cstheme="majorHAnsi"/>
          <w:color w:val="000000" w:themeColor="text1"/>
        </w:rPr>
        <w:t> (C); Maas v Maas </w:t>
      </w:r>
      <w:hyperlink r:id="rId4" w:tooltip="View LawCiteRecord" w:history="1">
        <w:r w:rsidRPr="00D07D9E">
          <w:rPr>
            <w:rStyle w:val="Hyperlink"/>
            <w:rFonts w:cstheme="majorHAnsi"/>
            <w:color w:val="000000" w:themeColor="text1"/>
            <w:u w:val="none"/>
          </w:rPr>
          <w:t>1993 (3) SA 885</w:t>
        </w:r>
      </w:hyperlink>
      <w:r w:rsidRPr="00D07D9E">
        <w:rPr>
          <w:rFonts w:cstheme="majorHAnsi"/>
          <w:color w:val="000000" w:themeColor="text1"/>
        </w:rPr>
        <w:t> (O) at 888I</w:t>
      </w:r>
      <w:r w:rsidR="00D07D9E">
        <w:rPr>
          <w:rFonts w:cstheme="majorHAnsi"/>
          <w:color w:val="000000" w:themeColor="text1"/>
        </w:rPr>
        <w:t>.</w:t>
      </w:r>
    </w:p>
  </w:footnote>
  <w:footnote w:id="23">
    <w:p w14:paraId="6818A38A" w14:textId="77777777" w:rsidR="003829F4" w:rsidRPr="00D07D9E" w:rsidRDefault="003829F4" w:rsidP="0072789D">
      <w:pPr>
        <w:pStyle w:val="FootnoteText"/>
        <w:spacing w:after="120" w:line="276" w:lineRule="auto"/>
        <w:ind w:left="426" w:hanging="426"/>
        <w:rPr>
          <w:rFonts w:cstheme="majorHAnsi"/>
          <w:color w:val="000000" w:themeColor="text1"/>
          <w:lang w:val="en-US"/>
        </w:rPr>
      </w:pPr>
      <w:r w:rsidRPr="00642BB7">
        <w:rPr>
          <w:rStyle w:val="FootnoteReference"/>
          <w:rFonts w:asciiTheme="majorHAnsi" w:hAnsiTheme="majorHAnsi" w:cstheme="majorHAnsi"/>
          <w:b/>
          <w:bCs/>
          <w:color w:val="000000" w:themeColor="text1"/>
        </w:rPr>
        <w:footnoteRef/>
      </w:r>
      <w:r w:rsidRPr="00642BB7">
        <w:rPr>
          <w:rFonts w:asciiTheme="majorHAnsi" w:hAnsiTheme="majorHAnsi" w:cstheme="majorHAnsi"/>
          <w:b/>
          <w:bCs/>
          <w:color w:val="000000" w:themeColor="text1"/>
        </w:rPr>
        <w:t xml:space="preserve"> </w:t>
      </w:r>
      <w:r w:rsidRPr="00642BB7">
        <w:rPr>
          <w:rFonts w:asciiTheme="majorHAnsi" w:hAnsiTheme="majorHAnsi" w:cstheme="majorHAnsi"/>
          <w:b/>
          <w:bCs/>
          <w:color w:val="000000" w:themeColor="text1"/>
          <w:lang w:val="en-US"/>
        </w:rPr>
        <w:tab/>
      </w:r>
      <w:r w:rsidRPr="00D07D9E">
        <w:rPr>
          <w:rFonts w:cstheme="majorHAnsi"/>
          <w:color w:val="000000" w:themeColor="text1"/>
        </w:rPr>
        <w:t>AR v JR (unreported) WCC Case No 4366/2016 dated 23 October 2020.</w:t>
      </w:r>
    </w:p>
  </w:footnote>
  <w:footnote w:id="24">
    <w:p w14:paraId="1446D47B" w14:textId="77777777" w:rsidR="003829F4" w:rsidRPr="00D07D9E" w:rsidRDefault="003829F4" w:rsidP="0072789D">
      <w:pPr>
        <w:pStyle w:val="FootnoteText"/>
        <w:spacing w:after="120" w:line="276" w:lineRule="auto"/>
        <w:ind w:left="426" w:hanging="426"/>
        <w:rPr>
          <w:rFonts w:cstheme="majorHAnsi"/>
          <w:color w:val="000000" w:themeColor="text1"/>
          <w:lang w:val="en-US"/>
        </w:rPr>
      </w:pPr>
      <w:r w:rsidRPr="00D07D9E">
        <w:rPr>
          <w:rStyle w:val="FootnoteReference"/>
          <w:rFonts w:cstheme="majorHAnsi"/>
          <w:color w:val="000000" w:themeColor="text1"/>
        </w:rPr>
        <w:footnoteRef/>
      </w:r>
      <w:r w:rsidRPr="00D07D9E">
        <w:rPr>
          <w:rFonts w:cstheme="majorHAnsi"/>
          <w:color w:val="000000" w:themeColor="text1"/>
        </w:rPr>
        <w:t xml:space="preserve"> </w:t>
      </w:r>
      <w:r w:rsidRPr="00D07D9E">
        <w:rPr>
          <w:rFonts w:cstheme="majorHAnsi"/>
          <w:color w:val="000000" w:themeColor="text1"/>
          <w:lang w:val="en-US"/>
        </w:rPr>
        <w:tab/>
      </w:r>
      <w:r w:rsidRPr="00D07D9E">
        <w:rPr>
          <w:rFonts w:cstheme="majorHAnsi"/>
          <w:color w:val="000000" w:themeColor="text1"/>
        </w:rPr>
        <w:t>AG v LG </w:t>
      </w:r>
      <w:hyperlink r:id="rId5" w:tooltip="View LawCiteRecord" w:history="1">
        <w:r w:rsidRPr="00D07D9E">
          <w:rPr>
            <w:rStyle w:val="Hyperlink"/>
            <w:rFonts w:cstheme="majorHAnsi"/>
            <w:color w:val="000000" w:themeColor="text1"/>
            <w:u w:val="none"/>
          </w:rPr>
          <w:t>[2020] ZAWCHC 83</w:t>
        </w:r>
      </w:hyperlink>
      <w:r w:rsidRPr="00D07D9E">
        <w:rPr>
          <w:rFonts w:cstheme="majorHAnsi"/>
          <w:color w:val="000000" w:themeColor="text1"/>
        </w:rPr>
        <w:t> paras [15] – [17] and the cases there cited.</w:t>
      </w:r>
    </w:p>
  </w:footnote>
  <w:footnote w:id="25">
    <w:p w14:paraId="7C522302" w14:textId="77777777" w:rsidR="003829F4" w:rsidRPr="00D07D9E" w:rsidRDefault="003829F4" w:rsidP="00D07D9E">
      <w:pPr>
        <w:pStyle w:val="FootnoteText"/>
        <w:spacing w:after="120" w:line="276" w:lineRule="auto"/>
        <w:rPr>
          <w:rFonts w:cstheme="majorHAnsi"/>
          <w:color w:val="000000" w:themeColor="text1"/>
          <w:lang w:val="en-US"/>
        </w:rPr>
      </w:pPr>
      <w:r w:rsidRPr="00D07D9E">
        <w:rPr>
          <w:rStyle w:val="FootnoteReference"/>
          <w:rFonts w:cstheme="majorHAnsi"/>
          <w:color w:val="000000" w:themeColor="text1"/>
        </w:rPr>
        <w:footnoteRef/>
      </w:r>
      <w:r w:rsidRPr="00D07D9E">
        <w:rPr>
          <w:rFonts w:cstheme="majorHAnsi"/>
          <w:color w:val="000000" w:themeColor="text1"/>
        </w:rPr>
        <w:t xml:space="preserve"> </w:t>
      </w:r>
      <w:r w:rsidRPr="00D07D9E">
        <w:rPr>
          <w:rFonts w:cstheme="majorHAnsi"/>
          <w:color w:val="000000" w:themeColor="text1"/>
          <w:lang w:val="en-US"/>
        </w:rPr>
        <w:tab/>
      </w:r>
      <w:r w:rsidRPr="00D07D9E">
        <w:rPr>
          <w:rFonts w:cstheme="majorHAnsi"/>
          <w:color w:val="000000" w:themeColor="text1"/>
        </w:rPr>
        <w:t>RM v AM [2019] SAWCHC 86 para [24].</w:t>
      </w:r>
    </w:p>
  </w:footnote>
  <w:footnote w:id="26">
    <w:p w14:paraId="761609FF" w14:textId="77777777" w:rsidR="003829F4" w:rsidRPr="00D07D9E" w:rsidRDefault="003829F4" w:rsidP="00D07D9E">
      <w:pPr>
        <w:pStyle w:val="FootnoteText"/>
        <w:spacing w:after="120" w:line="276" w:lineRule="auto"/>
        <w:rPr>
          <w:rFonts w:cstheme="majorHAnsi"/>
          <w:color w:val="000000" w:themeColor="text1"/>
          <w:lang w:val="en-US"/>
        </w:rPr>
      </w:pPr>
      <w:r w:rsidRPr="00D07D9E">
        <w:rPr>
          <w:rStyle w:val="FootnoteReference"/>
          <w:rFonts w:cstheme="majorHAnsi"/>
          <w:color w:val="000000" w:themeColor="text1"/>
        </w:rPr>
        <w:footnoteRef/>
      </w:r>
      <w:r w:rsidRPr="00D07D9E">
        <w:rPr>
          <w:rFonts w:cstheme="majorHAnsi"/>
          <w:color w:val="000000" w:themeColor="text1"/>
        </w:rPr>
        <w:t xml:space="preserve"> </w:t>
      </w:r>
      <w:r w:rsidRPr="00D07D9E">
        <w:rPr>
          <w:rFonts w:cstheme="majorHAnsi"/>
          <w:color w:val="000000" w:themeColor="text1"/>
          <w:lang w:val="en-US"/>
        </w:rPr>
        <w:tab/>
      </w:r>
      <w:r w:rsidRPr="00D07D9E">
        <w:rPr>
          <w:rFonts w:cstheme="majorHAnsi"/>
          <w:color w:val="000000" w:themeColor="text1"/>
        </w:rPr>
        <w:t>AR v JR (unreported) WCC Case No 4366/2016 dated 23 October 2020.</w:t>
      </w:r>
    </w:p>
  </w:footnote>
  <w:footnote w:id="27">
    <w:p w14:paraId="468A68A8" w14:textId="77777777" w:rsidR="003829F4" w:rsidRPr="00D07D9E" w:rsidRDefault="003829F4" w:rsidP="00D07D9E">
      <w:pPr>
        <w:pStyle w:val="FootnoteText"/>
        <w:spacing w:after="120" w:line="276" w:lineRule="auto"/>
        <w:rPr>
          <w:rFonts w:cstheme="majorHAnsi"/>
          <w:color w:val="000000" w:themeColor="text1"/>
          <w:szCs w:val="18"/>
          <w:lang w:val="it-IT"/>
        </w:rPr>
      </w:pPr>
      <w:r w:rsidRPr="00642BB7">
        <w:rPr>
          <w:rStyle w:val="FootnoteReference"/>
          <w:rFonts w:asciiTheme="majorHAnsi" w:hAnsiTheme="majorHAnsi" w:cstheme="majorHAnsi"/>
          <w:color w:val="000000" w:themeColor="text1"/>
        </w:rPr>
        <w:footnoteRef/>
      </w:r>
      <w:r w:rsidRPr="003829F4">
        <w:rPr>
          <w:rFonts w:asciiTheme="majorHAnsi" w:hAnsiTheme="majorHAnsi" w:cstheme="majorHAnsi"/>
          <w:color w:val="000000" w:themeColor="text1"/>
          <w:lang w:val="it-IT"/>
        </w:rPr>
        <w:t xml:space="preserve"> </w:t>
      </w:r>
      <w:r w:rsidRPr="003829F4">
        <w:rPr>
          <w:rFonts w:asciiTheme="majorHAnsi" w:hAnsiTheme="majorHAnsi" w:cstheme="majorHAnsi"/>
          <w:color w:val="000000" w:themeColor="text1"/>
          <w:lang w:val="it-IT"/>
        </w:rPr>
        <w:tab/>
      </w:r>
      <w:hyperlink r:id="rId6" w:tooltip="View LawCiteRecord" w:history="1">
        <w:r w:rsidRPr="00D07D9E">
          <w:rPr>
            <w:rStyle w:val="Hyperlink"/>
            <w:rFonts w:cstheme="majorHAnsi"/>
            <w:color w:val="000000" w:themeColor="text1"/>
            <w:szCs w:val="18"/>
            <w:u w:val="none"/>
            <w:lang w:val="it-IT"/>
          </w:rPr>
          <w:t>1988 (3) SA 259</w:t>
        </w:r>
      </w:hyperlink>
      <w:r w:rsidRPr="00D07D9E">
        <w:rPr>
          <w:rFonts w:cstheme="majorHAnsi"/>
          <w:color w:val="000000" w:themeColor="text1"/>
          <w:szCs w:val="18"/>
          <w:lang w:val="it-IT"/>
        </w:rPr>
        <w:t> (C) at para 263B.</w:t>
      </w:r>
    </w:p>
  </w:footnote>
  <w:footnote w:id="28">
    <w:p w14:paraId="46DDD9F6" w14:textId="77777777" w:rsidR="003829F4" w:rsidRPr="00D07D9E" w:rsidRDefault="003829F4" w:rsidP="00D07D9E">
      <w:pPr>
        <w:pStyle w:val="FootnoteText"/>
        <w:spacing w:after="120" w:line="276" w:lineRule="auto"/>
        <w:rPr>
          <w:rFonts w:cstheme="majorHAnsi"/>
          <w:color w:val="000000" w:themeColor="text1"/>
          <w:szCs w:val="18"/>
          <w:lang w:val="it-IT"/>
        </w:rPr>
      </w:pPr>
      <w:r w:rsidRPr="00D07D9E">
        <w:rPr>
          <w:rStyle w:val="FootnoteReference"/>
          <w:rFonts w:cstheme="majorHAnsi"/>
          <w:color w:val="000000" w:themeColor="text1"/>
          <w:szCs w:val="18"/>
        </w:rPr>
        <w:footnoteRef/>
      </w:r>
      <w:r w:rsidRPr="00D07D9E">
        <w:rPr>
          <w:rFonts w:cstheme="majorHAnsi"/>
          <w:color w:val="000000" w:themeColor="text1"/>
          <w:szCs w:val="18"/>
          <w:lang w:val="it-IT"/>
        </w:rPr>
        <w:t xml:space="preserve"> </w:t>
      </w:r>
      <w:r w:rsidRPr="00D07D9E">
        <w:rPr>
          <w:rFonts w:cstheme="majorHAnsi"/>
          <w:color w:val="000000" w:themeColor="text1"/>
          <w:szCs w:val="18"/>
          <w:lang w:val="it-IT"/>
        </w:rPr>
        <w:tab/>
      </w:r>
      <w:hyperlink r:id="rId7" w:tooltip="View LawCiteRecord" w:history="1">
        <w:r w:rsidRPr="00D07D9E">
          <w:rPr>
            <w:rStyle w:val="Hyperlink"/>
            <w:rFonts w:cstheme="majorHAnsi"/>
            <w:color w:val="000000" w:themeColor="text1"/>
            <w:szCs w:val="18"/>
            <w:u w:val="none"/>
            <w:lang w:val="it-IT"/>
          </w:rPr>
          <w:t>1968 (3) SA 526</w:t>
        </w:r>
      </w:hyperlink>
      <w:r w:rsidRPr="00D07D9E">
        <w:rPr>
          <w:rFonts w:cstheme="majorHAnsi"/>
          <w:color w:val="000000" w:themeColor="text1"/>
          <w:szCs w:val="18"/>
          <w:lang w:val="it-IT"/>
        </w:rPr>
        <w:t> (D) at para 528F.</w:t>
      </w:r>
    </w:p>
  </w:footnote>
  <w:footnote w:id="29">
    <w:p w14:paraId="47FF7F8B" w14:textId="77777777" w:rsidR="003829F4" w:rsidRPr="00D07D9E" w:rsidRDefault="003829F4" w:rsidP="00D07D9E">
      <w:pPr>
        <w:pStyle w:val="FootnoteText"/>
        <w:spacing w:after="120" w:line="276" w:lineRule="auto"/>
        <w:ind w:left="709" w:hanging="709"/>
        <w:rPr>
          <w:rFonts w:cstheme="majorHAnsi"/>
          <w:color w:val="000000" w:themeColor="text1"/>
          <w:szCs w:val="18"/>
          <w:lang w:val="en-US"/>
        </w:rPr>
      </w:pPr>
      <w:r w:rsidRPr="00D07D9E">
        <w:rPr>
          <w:rStyle w:val="FootnoteReference"/>
          <w:rFonts w:cstheme="majorHAnsi"/>
          <w:color w:val="000000" w:themeColor="text1"/>
          <w:szCs w:val="18"/>
        </w:rPr>
        <w:footnoteRef/>
      </w:r>
      <w:r w:rsidRPr="00D07D9E">
        <w:rPr>
          <w:rFonts w:cstheme="majorHAnsi"/>
          <w:color w:val="000000" w:themeColor="text1"/>
          <w:szCs w:val="18"/>
        </w:rPr>
        <w:t xml:space="preserve"> </w:t>
      </w:r>
      <w:r w:rsidRPr="00D07D9E">
        <w:rPr>
          <w:rFonts w:cstheme="majorHAnsi"/>
          <w:color w:val="000000" w:themeColor="text1"/>
          <w:szCs w:val="18"/>
          <w:lang w:val="en-US"/>
        </w:rPr>
        <w:tab/>
      </w:r>
      <w:r w:rsidRPr="00D07D9E">
        <w:rPr>
          <w:rFonts w:cstheme="majorHAnsi"/>
          <w:color w:val="000000" w:themeColor="text1"/>
          <w:szCs w:val="18"/>
        </w:rPr>
        <w:t>Winter v Winter </w:t>
      </w:r>
      <w:hyperlink r:id="rId8" w:tooltip="View LawCiteRecord" w:history="1">
        <w:r w:rsidRPr="00D07D9E">
          <w:rPr>
            <w:rStyle w:val="Hyperlink"/>
            <w:rFonts w:cstheme="majorHAnsi"/>
            <w:color w:val="000000" w:themeColor="text1"/>
            <w:szCs w:val="18"/>
            <w:u w:val="none"/>
          </w:rPr>
          <w:t>1945 WLD 16</w:t>
        </w:r>
      </w:hyperlink>
      <w:r w:rsidRPr="00D07D9E">
        <w:rPr>
          <w:rFonts w:cstheme="majorHAnsi"/>
          <w:color w:val="000000" w:themeColor="text1"/>
          <w:szCs w:val="18"/>
        </w:rPr>
        <w:t> at para 18; Maas v Maas </w:t>
      </w:r>
      <w:hyperlink r:id="rId9" w:tooltip="View LawCiteRecord" w:history="1">
        <w:r w:rsidRPr="00D07D9E">
          <w:rPr>
            <w:rStyle w:val="Hyperlink"/>
            <w:rFonts w:cstheme="majorHAnsi"/>
            <w:color w:val="000000" w:themeColor="text1"/>
            <w:szCs w:val="18"/>
            <w:u w:val="none"/>
          </w:rPr>
          <w:t>1993 (3) SA 885</w:t>
        </w:r>
      </w:hyperlink>
      <w:r w:rsidRPr="00D07D9E">
        <w:rPr>
          <w:rFonts w:cstheme="majorHAnsi"/>
          <w:color w:val="000000" w:themeColor="text1"/>
          <w:szCs w:val="18"/>
        </w:rPr>
        <w:t> (O) at para 888I-889B.</w:t>
      </w:r>
    </w:p>
  </w:footnote>
  <w:footnote w:id="30">
    <w:p w14:paraId="7ECC79A1" w14:textId="4A2A0440" w:rsidR="00E664AB" w:rsidRDefault="00E664AB">
      <w:pPr>
        <w:pStyle w:val="FootnoteText"/>
      </w:pPr>
      <w:r>
        <w:rPr>
          <w:rStyle w:val="FootnoteReference"/>
        </w:rPr>
        <w:footnoteRef/>
      </w:r>
      <w:r>
        <w:t xml:space="preserve"> </w:t>
      </w:r>
      <w:r>
        <w:tab/>
        <w:t>Section 7(2) of the Divorce Act, 70 of 1979.</w:t>
      </w:r>
    </w:p>
  </w:footnote>
  <w:footnote w:id="31">
    <w:p w14:paraId="403FE203" w14:textId="77777777" w:rsidR="0047063E" w:rsidRPr="0047063E" w:rsidRDefault="0047063E" w:rsidP="0047063E">
      <w:pPr>
        <w:pStyle w:val="FootnoteText"/>
      </w:pPr>
      <w:r>
        <w:rPr>
          <w:rStyle w:val="FootnoteReference"/>
        </w:rPr>
        <w:footnoteRef/>
      </w:r>
      <w:r>
        <w:t xml:space="preserve"> </w:t>
      </w:r>
      <w:r>
        <w:tab/>
      </w:r>
      <w:r w:rsidRPr="0047063E">
        <w:rPr>
          <w:szCs w:val="18"/>
          <w:shd w:val="clear" w:color="auto" w:fill="FFFFFF"/>
        </w:rPr>
        <w:t>1967 (4) SA 527 (EC) at 528D.</w:t>
      </w:r>
    </w:p>
  </w:footnote>
  <w:footnote w:id="32">
    <w:p w14:paraId="1915AA18" w14:textId="77777777" w:rsidR="0047063E" w:rsidRPr="0047063E" w:rsidRDefault="0047063E" w:rsidP="0047063E">
      <w:pPr>
        <w:pStyle w:val="FootnoteText"/>
      </w:pPr>
      <w:r w:rsidRPr="0047063E">
        <w:rPr>
          <w:rStyle w:val="FootnoteReference"/>
        </w:rPr>
        <w:footnoteRef/>
      </w:r>
      <w:r w:rsidRPr="0047063E">
        <w:t xml:space="preserve"> </w:t>
      </w:r>
      <w:r w:rsidRPr="0047063E">
        <w:tab/>
      </w:r>
      <w:hyperlink r:id="rId10" w:history="1">
        <w:r w:rsidRPr="0047063E">
          <w:rPr>
            <w:rStyle w:val="Hyperlink"/>
            <w:color w:val="auto"/>
            <w:szCs w:val="18"/>
            <w:u w:val="none"/>
            <w:shd w:val="clear" w:color="auto" w:fill="FFFFFF"/>
          </w:rPr>
          <w:t>2010 (5) SA 203 (WCC)</w:t>
        </w:r>
      </w:hyperlink>
      <w:r w:rsidRPr="0047063E">
        <w:rPr>
          <w:szCs w:val="18"/>
          <w:shd w:val="clear" w:color="auto" w:fill="FFFFFF"/>
        </w:rPr>
        <w:t> at 211J-212B.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75847"/>
      <w:docPartObj>
        <w:docPartGallery w:val="Page Numbers (Top of Page)"/>
        <w:docPartUnique/>
      </w:docPartObj>
    </w:sdtPr>
    <w:sdtEndPr>
      <w:rPr>
        <w:noProof/>
      </w:rPr>
    </w:sdtEndPr>
    <w:sdtContent>
      <w:p w14:paraId="07CE8E0A" w14:textId="51C5340B" w:rsidR="00490AC0" w:rsidRPr="006A5488" w:rsidRDefault="006A5488">
        <w:pPr>
          <w:pStyle w:val="Header"/>
          <w:jc w:val="center"/>
          <w:rPr>
            <w:rFonts w:ascii="Verdana" w:hAnsi="Verdana"/>
            <w:noProof/>
          </w:rPr>
        </w:pPr>
        <w:r w:rsidRPr="006A5488">
          <w:rPr>
            <w:rFonts w:ascii="Verdana" w:hAnsi="Verdana"/>
          </w:rPr>
          <w:t>- </w:t>
        </w:r>
        <w:r w:rsidR="00490AC0" w:rsidRPr="006A5488">
          <w:rPr>
            <w:rFonts w:ascii="Verdana" w:hAnsi="Verdana"/>
          </w:rPr>
          <w:fldChar w:fldCharType="begin"/>
        </w:r>
        <w:r w:rsidR="00490AC0" w:rsidRPr="006A5488">
          <w:rPr>
            <w:rFonts w:ascii="Verdana" w:hAnsi="Verdana"/>
          </w:rPr>
          <w:instrText xml:space="preserve"> PAGE   \* MERGEFORMAT </w:instrText>
        </w:r>
        <w:r w:rsidR="00490AC0" w:rsidRPr="006A5488">
          <w:rPr>
            <w:rFonts w:ascii="Verdana" w:hAnsi="Verdana"/>
          </w:rPr>
          <w:fldChar w:fldCharType="separate"/>
        </w:r>
        <w:r w:rsidR="00AF1307">
          <w:rPr>
            <w:rFonts w:ascii="Verdana" w:hAnsi="Verdana"/>
            <w:noProof/>
          </w:rPr>
          <w:t>4</w:t>
        </w:r>
        <w:r w:rsidR="00490AC0" w:rsidRPr="006A5488">
          <w:rPr>
            <w:rFonts w:ascii="Verdana" w:hAnsi="Verdana"/>
            <w:noProof/>
          </w:rPr>
          <w:fldChar w:fldCharType="end"/>
        </w:r>
        <w:r w:rsidRPr="006A5488">
          <w:rPr>
            <w:rFonts w:ascii="Verdana" w:hAnsi="Verdana"/>
            <w:noProof/>
          </w:rPr>
          <w:t> -</w:t>
        </w:r>
      </w:p>
      <w:p w14:paraId="1A2BCE82" w14:textId="77777777" w:rsidR="00490AC0" w:rsidRDefault="00AF1307">
        <w:pPr>
          <w:pStyle w:val="Header"/>
          <w:jc w:val="center"/>
        </w:pPr>
      </w:p>
    </w:sdtContent>
  </w:sdt>
  <w:p w14:paraId="1D9DFF89" w14:textId="77777777" w:rsidR="00490AC0" w:rsidRDefault="00490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F87"/>
    <w:multiLevelType w:val="multilevel"/>
    <w:tmpl w:val="66286F02"/>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352" w:hanging="36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
    <w:nsid w:val="0173447C"/>
    <w:multiLevelType w:val="hybridMultilevel"/>
    <w:tmpl w:val="15A60094"/>
    <w:lvl w:ilvl="0" w:tplc="E328F07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04B365B1"/>
    <w:multiLevelType w:val="multilevel"/>
    <w:tmpl w:val="BEDC72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D33669"/>
    <w:multiLevelType w:val="hybridMultilevel"/>
    <w:tmpl w:val="EC40F046"/>
    <w:lvl w:ilvl="0" w:tplc="011ABCC8">
      <w:start w:val="1"/>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4">
    <w:nsid w:val="074A4539"/>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5">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6">
    <w:nsid w:val="0B480C20"/>
    <w:multiLevelType w:val="multilevel"/>
    <w:tmpl w:val="B15A5A14"/>
    <w:lvl w:ilvl="0">
      <w:start w:val="55"/>
      <w:numFmt w:val="decimal"/>
      <w:lvlText w:val="%1"/>
      <w:lvlJc w:val="left"/>
      <w:pPr>
        <w:ind w:left="500" w:hanging="500"/>
      </w:pPr>
      <w:rPr>
        <w:rFonts w:cs="Times New Roman" w:hint="default"/>
        <w:color w:val="000000" w:themeColor="text1"/>
      </w:rPr>
    </w:lvl>
    <w:lvl w:ilvl="1">
      <w:start w:val="1"/>
      <w:numFmt w:val="decimal"/>
      <w:lvlText w:val="%1.%2"/>
      <w:lvlJc w:val="left"/>
      <w:pPr>
        <w:ind w:left="1440" w:hanging="720"/>
      </w:pPr>
      <w:rPr>
        <w:rFonts w:cs="Times New Roman" w:hint="default"/>
        <w:color w:val="000000" w:themeColor="text1"/>
      </w:rPr>
    </w:lvl>
    <w:lvl w:ilvl="2">
      <w:start w:val="1"/>
      <w:numFmt w:val="decimal"/>
      <w:lvlText w:val="%1.%2.%3"/>
      <w:lvlJc w:val="left"/>
      <w:pPr>
        <w:ind w:left="2160" w:hanging="720"/>
      </w:pPr>
      <w:rPr>
        <w:rFonts w:cs="Times New Roman" w:hint="default"/>
        <w:color w:val="000000" w:themeColor="text1"/>
      </w:rPr>
    </w:lvl>
    <w:lvl w:ilvl="3">
      <w:start w:val="1"/>
      <w:numFmt w:val="decimal"/>
      <w:lvlText w:val="%1.%2.%3.%4"/>
      <w:lvlJc w:val="left"/>
      <w:pPr>
        <w:ind w:left="3240" w:hanging="1080"/>
      </w:pPr>
      <w:rPr>
        <w:rFonts w:cs="Times New Roman" w:hint="default"/>
        <w:color w:val="000000" w:themeColor="text1"/>
      </w:rPr>
    </w:lvl>
    <w:lvl w:ilvl="4">
      <w:start w:val="1"/>
      <w:numFmt w:val="decimal"/>
      <w:lvlText w:val="%1.%2.%3.%4.%5"/>
      <w:lvlJc w:val="left"/>
      <w:pPr>
        <w:ind w:left="4320" w:hanging="1440"/>
      </w:pPr>
      <w:rPr>
        <w:rFonts w:cs="Times New Roman" w:hint="default"/>
        <w:color w:val="000000" w:themeColor="text1"/>
      </w:rPr>
    </w:lvl>
    <w:lvl w:ilvl="5">
      <w:start w:val="1"/>
      <w:numFmt w:val="decimal"/>
      <w:lvlText w:val="%1.%2.%3.%4.%5.%6"/>
      <w:lvlJc w:val="left"/>
      <w:pPr>
        <w:ind w:left="5400" w:hanging="1800"/>
      </w:pPr>
      <w:rPr>
        <w:rFonts w:cs="Times New Roman" w:hint="default"/>
        <w:color w:val="000000" w:themeColor="text1"/>
      </w:rPr>
    </w:lvl>
    <w:lvl w:ilvl="6">
      <w:start w:val="1"/>
      <w:numFmt w:val="decimal"/>
      <w:lvlText w:val="%1.%2.%3.%4.%5.%6.%7"/>
      <w:lvlJc w:val="left"/>
      <w:pPr>
        <w:ind w:left="6120" w:hanging="1800"/>
      </w:pPr>
      <w:rPr>
        <w:rFonts w:cs="Times New Roman" w:hint="default"/>
        <w:color w:val="000000" w:themeColor="text1"/>
      </w:rPr>
    </w:lvl>
    <w:lvl w:ilvl="7">
      <w:start w:val="1"/>
      <w:numFmt w:val="decimal"/>
      <w:lvlText w:val="%1.%2.%3.%4.%5.%6.%7.%8"/>
      <w:lvlJc w:val="left"/>
      <w:pPr>
        <w:ind w:left="7200" w:hanging="2160"/>
      </w:pPr>
      <w:rPr>
        <w:rFonts w:cs="Times New Roman" w:hint="default"/>
        <w:color w:val="000000" w:themeColor="text1"/>
      </w:rPr>
    </w:lvl>
    <w:lvl w:ilvl="8">
      <w:start w:val="1"/>
      <w:numFmt w:val="decimal"/>
      <w:lvlText w:val="%1.%2.%3.%4.%5.%6.%7.%8.%9"/>
      <w:lvlJc w:val="left"/>
      <w:pPr>
        <w:ind w:left="8280" w:hanging="2520"/>
      </w:pPr>
      <w:rPr>
        <w:rFonts w:cs="Times New Roman" w:hint="default"/>
        <w:color w:val="000000" w:themeColor="text1"/>
      </w:rPr>
    </w:lvl>
  </w:abstractNum>
  <w:abstractNum w:abstractNumId="7">
    <w:nsid w:val="1057022D"/>
    <w:multiLevelType w:val="multilevel"/>
    <w:tmpl w:val="F252E514"/>
    <w:lvl w:ilvl="0">
      <w:start w:val="1"/>
      <w:numFmt w:val="decimal"/>
      <w:lvlText w:val="[%1]"/>
      <w:lvlJc w:val="left"/>
      <w:pPr>
        <w:ind w:left="720" w:hanging="720"/>
      </w:pPr>
      <w:rPr>
        <w:rFonts w:hint="default"/>
        <w:b w:val="0"/>
        <w:bCs w:val="0"/>
        <w:i w:val="0"/>
        <w:color w:val="000000" w:themeColor="text1"/>
        <w:sz w:val="22"/>
        <w:szCs w:val="22"/>
      </w:rPr>
    </w:lvl>
    <w:lvl w:ilvl="1">
      <w:start w:val="1"/>
      <w:numFmt w:val="decimal"/>
      <w:lvlText w:val="[%1.%2]"/>
      <w:lvlJc w:val="left"/>
      <w:pPr>
        <w:tabs>
          <w:tab w:val="num" w:pos="7371"/>
        </w:tabs>
        <w:ind w:left="1440" w:hanging="720"/>
      </w:pPr>
      <w:rPr>
        <w:rFonts w:hint="default"/>
        <w:i w:val="0"/>
        <w:sz w:val="22"/>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DF6D63"/>
    <w:multiLevelType w:val="hybridMultilevel"/>
    <w:tmpl w:val="EE1C7120"/>
    <w:lvl w:ilvl="0" w:tplc="1C09000F">
      <w:start w:val="1"/>
      <w:numFmt w:val="decimal"/>
      <w:lvlText w:val="%1."/>
      <w:lvlJc w:val="left"/>
      <w:pPr>
        <w:ind w:left="928"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8954517"/>
    <w:multiLevelType w:val="hybridMultilevel"/>
    <w:tmpl w:val="83E6A358"/>
    <w:lvl w:ilvl="0" w:tplc="C2DC1D6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1BCC0958"/>
    <w:multiLevelType w:val="multilevel"/>
    <w:tmpl w:val="4E66EEE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22D46565"/>
    <w:multiLevelType w:val="multilevel"/>
    <w:tmpl w:val="50F66024"/>
    <w:lvl w:ilvl="0">
      <w:start w:val="1"/>
      <w:numFmt w:val="decimal"/>
      <w:lvlText w:val="%1."/>
      <w:lvlJc w:val="left"/>
      <w:pPr>
        <w:tabs>
          <w:tab w:val="num" w:pos="720"/>
        </w:tabs>
        <w:ind w:left="720" w:hanging="720"/>
      </w:pPr>
      <w:rPr>
        <w:rFonts w:hint="default"/>
        <w:b w:val="0"/>
        <w:i w:val="0"/>
        <w:iCs/>
        <w:sz w:val="24"/>
        <w:szCs w:val="24"/>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4680"/>
        </w:tabs>
        <w:ind w:left="4680"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4866A10"/>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3">
    <w:nsid w:val="28CC4B8A"/>
    <w:multiLevelType w:val="hybridMultilevel"/>
    <w:tmpl w:val="A0126740"/>
    <w:lvl w:ilvl="0" w:tplc="78DC13FA">
      <w:start w:val="1"/>
      <w:numFmt w:val="decimal"/>
      <w:lvlText w:val="%1."/>
      <w:lvlJc w:val="left"/>
      <w:pPr>
        <w:ind w:left="1800" w:hanging="360"/>
      </w:pPr>
      <w:rPr>
        <w:rFonts w:hint="default"/>
      </w:rPr>
    </w:lvl>
    <w:lvl w:ilvl="1" w:tplc="04360019" w:tentative="1">
      <w:start w:val="1"/>
      <w:numFmt w:val="lowerLetter"/>
      <w:lvlText w:val="%2."/>
      <w:lvlJc w:val="left"/>
      <w:pPr>
        <w:ind w:left="2520" w:hanging="360"/>
      </w:pPr>
    </w:lvl>
    <w:lvl w:ilvl="2" w:tplc="0436001B" w:tentative="1">
      <w:start w:val="1"/>
      <w:numFmt w:val="lowerRoman"/>
      <w:lvlText w:val="%3."/>
      <w:lvlJc w:val="right"/>
      <w:pPr>
        <w:ind w:left="3240" w:hanging="180"/>
      </w:pPr>
    </w:lvl>
    <w:lvl w:ilvl="3" w:tplc="0436000F" w:tentative="1">
      <w:start w:val="1"/>
      <w:numFmt w:val="decimal"/>
      <w:lvlText w:val="%4."/>
      <w:lvlJc w:val="left"/>
      <w:pPr>
        <w:ind w:left="3960" w:hanging="360"/>
      </w:pPr>
    </w:lvl>
    <w:lvl w:ilvl="4" w:tplc="04360019" w:tentative="1">
      <w:start w:val="1"/>
      <w:numFmt w:val="lowerLetter"/>
      <w:lvlText w:val="%5."/>
      <w:lvlJc w:val="left"/>
      <w:pPr>
        <w:ind w:left="4680" w:hanging="360"/>
      </w:pPr>
    </w:lvl>
    <w:lvl w:ilvl="5" w:tplc="0436001B" w:tentative="1">
      <w:start w:val="1"/>
      <w:numFmt w:val="lowerRoman"/>
      <w:lvlText w:val="%6."/>
      <w:lvlJc w:val="right"/>
      <w:pPr>
        <w:ind w:left="5400" w:hanging="180"/>
      </w:pPr>
    </w:lvl>
    <w:lvl w:ilvl="6" w:tplc="0436000F" w:tentative="1">
      <w:start w:val="1"/>
      <w:numFmt w:val="decimal"/>
      <w:lvlText w:val="%7."/>
      <w:lvlJc w:val="left"/>
      <w:pPr>
        <w:ind w:left="6120" w:hanging="360"/>
      </w:pPr>
    </w:lvl>
    <w:lvl w:ilvl="7" w:tplc="04360019" w:tentative="1">
      <w:start w:val="1"/>
      <w:numFmt w:val="lowerLetter"/>
      <w:lvlText w:val="%8."/>
      <w:lvlJc w:val="left"/>
      <w:pPr>
        <w:ind w:left="6840" w:hanging="360"/>
      </w:pPr>
    </w:lvl>
    <w:lvl w:ilvl="8" w:tplc="0436001B" w:tentative="1">
      <w:start w:val="1"/>
      <w:numFmt w:val="lowerRoman"/>
      <w:lvlText w:val="%9."/>
      <w:lvlJc w:val="right"/>
      <w:pPr>
        <w:ind w:left="7560" w:hanging="180"/>
      </w:pPr>
    </w:lvl>
  </w:abstractNum>
  <w:abstractNum w:abstractNumId="14">
    <w:nsid w:val="2B21488A"/>
    <w:multiLevelType w:val="hybridMultilevel"/>
    <w:tmpl w:val="4530BFF6"/>
    <w:lvl w:ilvl="0" w:tplc="8DA6ADDC">
      <w:start w:val="1"/>
      <w:numFmt w:val="decimal"/>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nsid w:val="319B4201"/>
    <w:multiLevelType w:val="multilevel"/>
    <w:tmpl w:val="354E58C2"/>
    <w:lvl w:ilvl="0">
      <w:start w:val="1"/>
      <w:numFmt w:val="decimal"/>
      <w:lvlText w:val="%1."/>
      <w:lvlJc w:val="left"/>
      <w:pPr>
        <w:ind w:left="720" w:hanging="720"/>
      </w:pPr>
      <w:rPr>
        <w:rFonts w:ascii="Arial" w:eastAsia="Times New Roman" w:hAnsi="Arial" w:cs="Arial"/>
        <w:b w:val="0"/>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9F07756"/>
    <w:multiLevelType w:val="hybridMultilevel"/>
    <w:tmpl w:val="5740A8EE"/>
    <w:lvl w:ilvl="0" w:tplc="592A2008">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B43498A"/>
    <w:multiLevelType w:val="multilevel"/>
    <w:tmpl w:val="CCFC75A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3B9218F5"/>
    <w:multiLevelType w:val="multilevel"/>
    <w:tmpl w:val="756422CE"/>
    <w:lvl w:ilvl="0">
      <w:start w:val="56"/>
      <w:numFmt w:val="decimal"/>
      <w:lvlText w:val="%1."/>
      <w:lvlJc w:val="left"/>
      <w:pPr>
        <w:ind w:left="928" w:hanging="360"/>
      </w:pPr>
      <w:rPr>
        <w:rFonts w:hint="default"/>
        <w:i w:val="0"/>
        <w:iCs w:val="0"/>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3140" w:hanging="1440"/>
      </w:pPr>
      <w:rPr>
        <w:rFonts w:hint="default"/>
      </w:rPr>
    </w:lvl>
    <w:lvl w:ilvl="5">
      <w:start w:val="1"/>
      <w:numFmt w:val="decimal"/>
      <w:isLgl/>
      <w:lvlText w:val="%1.%2.%3.%4.%5.%6"/>
      <w:lvlJc w:val="left"/>
      <w:pPr>
        <w:ind w:left="3783" w:hanging="180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709" w:hanging="2160"/>
      </w:pPr>
      <w:rPr>
        <w:rFonts w:hint="default"/>
      </w:rPr>
    </w:lvl>
    <w:lvl w:ilvl="8">
      <w:start w:val="1"/>
      <w:numFmt w:val="decimal"/>
      <w:isLgl/>
      <w:lvlText w:val="%1.%2.%3.%4.%5.%6.%7.%8.%9"/>
      <w:lvlJc w:val="left"/>
      <w:pPr>
        <w:ind w:left="5352" w:hanging="2520"/>
      </w:pPr>
      <w:rPr>
        <w:rFonts w:hint="default"/>
      </w:rPr>
    </w:lvl>
  </w:abstractNum>
  <w:abstractNum w:abstractNumId="19">
    <w:nsid w:val="3F6550D3"/>
    <w:multiLevelType w:val="multilevel"/>
    <w:tmpl w:val="BCE40EB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AE1BC7"/>
    <w:multiLevelType w:val="hybridMultilevel"/>
    <w:tmpl w:val="9B849F3C"/>
    <w:lvl w:ilvl="0" w:tplc="206E6058">
      <w:start w:val="1"/>
      <w:numFmt w:val="lowerRoman"/>
      <w:lvlText w:val="(%1)"/>
      <w:lvlJc w:val="left"/>
      <w:pPr>
        <w:ind w:left="2520" w:hanging="108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40B05429"/>
    <w:multiLevelType w:val="hybridMultilevel"/>
    <w:tmpl w:val="983E02EC"/>
    <w:lvl w:ilvl="0" w:tplc="64240D88">
      <w:start w:val="1"/>
      <w:numFmt w:val="decimal"/>
      <w:lvlText w:val="%1."/>
      <w:lvlJc w:val="left"/>
      <w:pPr>
        <w:ind w:left="720" w:hanging="360"/>
      </w:pPr>
      <w:rPr>
        <w:rFonts w:hint="default"/>
        <w:b w:val="0"/>
        <w:i w:val="0"/>
        <w:color w:val="000000" w:themeColor="text1"/>
      </w:rPr>
    </w:lvl>
    <w:lvl w:ilvl="1" w:tplc="8BA0DC1C">
      <w:start w:val="1"/>
      <w:numFmt w:val="decimal"/>
      <w:lvlText w:val="(%2)"/>
      <w:lvlJc w:val="left"/>
      <w:pPr>
        <w:ind w:left="1440" w:hanging="360"/>
      </w:pPr>
      <w:rPr>
        <w:rFonts w:ascii="Calibri" w:eastAsia="Times New Roman" w:hAnsi="Calibri" w:cs="Times New Roman"/>
        <w:b w:val="0"/>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463C5"/>
    <w:multiLevelType w:val="multilevel"/>
    <w:tmpl w:val="BBFA04EA"/>
    <w:lvl w:ilvl="0">
      <w:start w:val="1"/>
      <w:numFmt w:val="decimal"/>
      <w:lvlText w:val="%1."/>
      <w:lvlJc w:val="left"/>
      <w:pPr>
        <w:ind w:left="567" w:hanging="567"/>
      </w:pPr>
      <w:rPr>
        <w:rFonts w:hint="default"/>
        <w:sz w:val="24"/>
        <w:szCs w:val="24"/>
      </w:rPr>
    </w:lvl>
    <w:lvl w:ilvl="1">
      <w:start w:val="1"/>
      <w:numFmt w:val="decimal"/>
      <w:lvlText w:val="%1.%2."/>
      <w:lvlJc w:val="left"/>
      <w:pPr>
        <w:ind w:left="1276"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972A1C"/>
    <w:multiLevelType w:val="multilevel"/>
    <w:tmpl w:val="4F888A46"/>
    <w:lvl w:ilvl="0">
      <w:start w:val="55"/>
      <w:numFmt w:val="decimal"/>
      <w:lvlText w:val="%1"/>
      <w:lvlJc w:val="left"/>
      <w:pPr>
        <w:ind w:left="500" w:hanging="500"/>
      </w:pPr>
      <w:rPr>
        <w:rFonts w:cs="Times New Roman" w:hint="default"/>
        <w:color w:val="000000" w:themeColor="text1"/>
      </w:rPr>
    </w:lvl>
    <w:lvl w:ilvl="1">
      <w:start w:val="1"/>
      <w:numFmt w:val="decimal"/>
      <w:lvlText w:val="%1.%2"/>
      <w:lvlJc w:val="left"/>
      <w:pPr>
        <w:ind w:left="1440" w:hanging="720"/>
      </w:pPr>
      <w:rPr>
        <w:rFonts w:cs="Times New Roman" w:hint="default"/>
        <w:color w:val="000000" w:themeColor="text1"/>
      </w:rPr>
    </w:lvl>
    <w:lvl w:ilvl="2">
      <w:start w:val="1"/>
      <w:numFmt w:val="decimal"/>
      <w:lvlText w:val="%1.%2.%3"/>
      <w:lvlJc w:val="left"/>
      <w:pPr>
        <w:ind w:left="2160" w:hanging="720"/>
      </w:pPr>
      <w:rPr>
        <w:rFonts w:cs="Times New Roman" w:hint="default"/>
        <w:color w:val="000000" w:themeColor="text1"/>
      </w:rPr>
    </w:lvl>
    <w:lvl w:ilvl="3">
      <w:start w:val="1"/>
      <w:numFmt w:val="decimal"/>
      <w:lvlText w:val="%1.%2.%3.%4"/>
      <w:lvlJc w:val="left"/>
      <w:pPr>
        <w:ind w:left="3240" w:hanging="1080"/>
      </w:pPr>
      <w:rPr>
        <w:rFonts w:cs="Times New Roman" w:hint="default"/>
        <w:color w:val="000000" w:themeColor="text1"/>
      </w:rPr>
    </w:lvl>
    <w:lvl w:ilvl="4">
      <w:start w:val="1"/>
      <w:numFmt w:val="decimal"/>
      <w:lvlText w:val="%1.%2.%3.%4.%5"/>
      <w:lvlJc w:val="left"/>
      <w:pPr>
        <w:ind w:left="4320" w:hanging="1440"/>
      </w:pPr>
      <w:rPr>
        <w:rFonts w:cs="Times New Roman" w:hint="default"/>
        <w:color w:val="000000" w:themeColor="text1"/>
      </w:rPr>
    </w:lvl>
    <w:lvl w:ilvl="5">
      <w:start w:val="1"/>
      <w:numFmt w:val="decimal"/>
      <w:lvlText w:val="%1.%2.%3.%4.%5.%6"/>
      <w:lvlJc w:val="left"/>
      <w:pPr>
        <w:ind w:left="5400" w:hanging="1800"/>
      </w:pPr>
      <w:rPr>
        <w:rFonts w:cs="Times New Roman" w:hint="default"/>
        <w:color w:val="000000" w:themeColor="text1"/>
      </w:rPr>
    </w:lvl>
    <w:lvl w:ilvl="6">
      <w:start w:val="1"/>
      <w:numFmt w:val="decimal"/>
      <w:lvlText w:val="%1.%2.%3.%4.%5.%6.%7"/>
      <w:lvlJc w:val="left"/>
      <w:pPr>
        <w:ind w:left="6120" w:hanging="1800"/>
      </w:pPr>
      <w:rPr>
        <w:rFonts w:cs="Times New Roman" w:hint="default"/>
        <w:color w:val="000000" w:themeColor="text1"/>
      </w:rPr>
    </w:lvl>
    <w:lvl w:ilvl="7">
      <w:start w:val="1"/>
      <w:numFmt w:val="decimal"/>
      <w:lvlText w:val="%1.%2.%3.%4.%5.%6.%7.%8"/>
      <w:lvlJc w:val="left"/>
      <w:pPr>
        <w:ind w:left="7200" w:hanging="2160"/>
      </w:pPr>
      <w:rPr>
        <w:rFonts w:cs="Times New Roman" w:hint="default"/>
        <w:color w:val="000000" w:themeColor="text1"/>
      </w:rPr>
    </w:lvl>
    <w:lvl w:ilvl="8">
      <w:start w:val="1"/>
      <w:numFmt w:val="decimal"/>
      <w:lvlText w:val="%1.%2.%3.%4.%5.%6.%7.%8.%9"/>
      <w:lvlJc w:val="left"/>
      <w:pPr>
        <w:ind w:left="8280" w:hanging="2520"/>
      </w:pPr>
      <w:rPr>
        <w:rFonts w:cs="Times New Roman" w:hint="default"/>
        <w:color w:val="000000" w:themeColor="text1"/>
      </w:rPr>
    </w:lvl>
  </w:abstractNum>
  <w:abstractNum w:abstractNumId="24">
    <w:nsid w:val="53703BA0"/>
    <w:multiLevelType w:val="multilevel"/>
    <w:tmpl w:val="4F18AD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4B26DF4"/>
    <w:multiLevelType w:val="hybridMultilevel"/>
    <w:tmpl w:val="8A9AABB0"/>
    <w:lvl w:ilvl="0" w:tplc="E34A27FE">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nsid w:val="55BA7959"/>
    <w:multiLevelType w:val="multilevel"/>
    <w:tmpl w:val="18EA21A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A2B6C0F"/>
    <w:multiLevelType w:val="hybridMultilevel"/>
    <w:tmpl w:val="63D6793A"/>
    <w:lvl w:ilvl="0" w:tplc="6DC6B21C">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nsid w:val="5B1E6940"/>
    <w:multiLevelType w:val="multilevel"/>
    <w:tmpl w:val="326837E2"/>
    <w:lvl w:ilvl="0">
      <w:start w:val="1"/>
      <w:numFmt w:val="decimal"/>
      <w:lvlText w:val="%1."/>
      <w:lvlJc w:val="left"/>
      <w:pPr>
        <w:ind w:left="1069" w:hanging="360"/>
      </w:pPr>
      <w:rPr>
        <w:rFonts w:ascii="Arial" w:hAnsi="Arial" w:cs="Arial" w:hint="default"/>
        <w:b w:val="0"/>
      </w:rPr>
    </w:lvl>
    <w:lvl w:ilvl="1">
      <w:start w:val="1"/>
      <w:numFmt w:val="decimal"/>
      <w:lvlText w:val="%1.%2."/>
      <w:lvlJc w:val="left"/>
      <w:pPr>
        <w:ind w:left="1501" w:hanging="432"/>
      </w:pPr>
      <w:rPr>
        <w:b w:val="0"/>
      </w:rPr>
    </w:lvl>
    <w:lvl w:ilvl="2">
      <w:start w:val="1"/>
      <w:numFmt w:val="decimal"/>
      <w:lvlText w:val="%1.%2.%3."/>
      <w:lvlJc w:val="left"/>
      <w:pPr>
        <w:ind w:left="1933" w:hanging="504"/>
      </w:pPr>
      <w:rPr>
        <w:b w:val="0"/>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9">
    <w:nsid w:val="5DAE2CC2"/>
    <w:multiLevelType w:val="hybridMultilevel"/>
    <w:tmpl w:val="740C53E0"/>
    <w:lvl w:ilvl="0" w:tplc="20EA0B64">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0">
    <w:nsid w:val="5F36541C"/>
    <w:multiLevelType w:val="multilevel"/>
    <w:tmpl w:val="F588F8C2"/>
    <w:lvl w:ilvl="0">
      <w:start w:val="1"/>
      <w:numFmt w:val="decimal"/>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3."/>
      <w:lvlJc w:val="left"/>
      <w:pPr>
        <w:tabs>
          <w:tab w:val="num" w:pos="2835"/>
        </w:tabs>
        <w:ind w:left="2835" w:hanging="1134"/>
      </w:pPr>
      <w:rPr>
        <w:rFonts w:ascii="Arial" w:eastAsia="Times New Roman" w:hAnsi="Arial" w:cs="Times New Roman"/>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31">
    <w:nsid w:val="69C31AC9"/>
    <w:multiLevelType w:val="hybridMultilevel"/>
    <w:tmpl w:val="F15885D4"/>
    <w:lvl w:ilvl="0" w:tplc="D9288FB0">
      <w:start w:val="1"/>
      <w:numFmt w:val="lowerLetter"/>
      <w:lvlText w:val="(%1)"/>
      <w:lvlJc w:val="left"/>
      <w:pPr>
        <w:ind w:left="2160" w:hanging="72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nsid w:val="6AC95D28"/>
    <w:multiLevelType w:val="hybridMultilevel"/>
    <w:tmpl w:val="029ED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BBC6CA8"/>
    <w:multiLevelType w:val="hybridMultilevel"/>
    <w:tmpl w:val="8CBA449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34">
    <w:nsid w:val="6BC949D5"/>
    <w:multiLevelType w:val="hybridMultilevel"/>
    <w:tmpl w:val="B6406638"/>
    <w:lvl w:ilvl="0" w:tplc="4EEE8B26">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08E578F"/>
    <w:multiLevelType w:val="hybridMultilevel"/>
    <w:tmpl w:val="198A3EEE"/>
    <w:lvl w:ilvl="0" w:tplc="92F8A5EE">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1121F6B"/>
    <w:multiLevelType w:val="hybridMultilevel"/>
    <w:tmpl w:val="9ABCBD20"/>
    <w:lvl w:ilvl="0" w:tplc="CB586AF4">
      <w:start w:val="1"/>
      <w:numFmt w:val="lowerLetter"/>
      <w:lvlText w:val="(%1)"/>
      <w:lvlJc w:val="left"/>
      <w:pPr>
        <w:ind w:left="2345" w:hanging="360"/>
      </w:pPr>
      <w:rPr>
        <w:rFonts w:hint="default"/>
        <w:i/>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37">
    <w:nsid w:val="73694FF6"/>
    <w:multiLevelType w:val="hybridMultilevel"/>
    <w:tmpl w:val="DD2C771C"/>
    <w:lvl w:ilvl="0" w:tplc="DDF49E5C">
      <w:start w:val="1"/>
      <w:numFmt w:val="decimal"/>
      <w:lvlText w:val="(%1)"/>
      <w:lvlJc w:val="left"/>
      <w:pPr>
        <w:ind w:left="1914" w:hanging="360"/>
      </w:pPr>
      <w:rPr>
        <w:rFonts w:hint="default"/>
      </w:rPr>
    </w:lvl>
    <w:lvl w:ilvl="1" w:tplc="1C090019" w:tentative="1">
      <w:start w:val="1"/>
      <w:numFmt w:val="lowerLetter"/>
      <w:lvlText w:val="%2."/>
      <w:lvlJc w:val="left"/>
      <w:pPr>
        <w:ind w:left="2634" w:hanging="360"/>
      </w:pPr>
    </w:lvl>
    <w:lvl w:ilvl="2" w:tplc="1C09001B" w:tentative="1">
      <w:start w:val="1"/>
      <w:numFmt w:val="lowerRoman"/>
      <w:lvlText w:val="%3."/>
      <w:lvlJc w:val="right"/>
      <w:pPr>
        <w:ind w:left="3354" w:hanging="180"/>
      </w:pPr>
    </w:lvl>
    <w:lvl w:ilvl="3" w:tplc="1C09000F" w:tentative="1">
      <w:start w:val="1"/>
      <w:numFmt w:val="decimal"/>
      <w:lvlText w:val="%4."/>
      <w:lvlJc w:val="left"/>
      <w:pPr>
        <w:ind w:left="4074" w:hanging="360"/>
      </w:pPr>
    </w:lvl>
    <w:lvl w:ilvl="4" w:tplc="1C090019" w:tentative="1">
      <w:start w:val="1"/>
      <w:numFmt w:val="lowerLetter"/>
      <w:lvlText w:val="%5."/>
      <w:lvlJc w:val="left"/>
      <w:pPr>
        <w:ind w:left="4794" w:hanging="360"/>
      </w:pPr>
    </w:lvl>
    <w:lvl w:ilvl="5" w:tplc="1C09001B" w:tentative="1">
      <w:start w:val="1"/>
      <w:numFmt w:val="lowerRoman"/>
      <w:lvlText w:val="%6."/>
      <w:lvlJc w:val="right"/>
      <w:pPr>
        <w:ind w:left="5514" w:hanging="180"/>
      </w:pPr>
    </w:lvl>
    <w:lvl w:ilvl="6" w:tplc="1C09000F" w:tentative="1">
      <w:start w:val="1"/>
      <w:numFmt w:val="decimal"/>
      <w:lvlText w:val="%7."/>
      <w:lvlJc w:val="left"/>
      <w:pPr>
        <w:ind w:left="6234" w:hanging="360"/>
      </w:pPr>
    </w:lvl>
    <w:lvl w:ilvl="7" w:tplc="1C090019" w:tentative="1">
      <w:start w:val="1"/>
      <w:numFmt w:val="lowerLetter"/>
      <w:lvlText w:val="%8."/>
      <w:lvlJc w:val="left"/>
      <w:pPr>
        <w:ind w:left="6954" w:hanging="360"/>
      </w:pPr>
    </w:lvl>
    <w:lvl w:ilvl="8" w:tplc="1C09001B" w:tentative="1">
      <w:start w:val="1"/>
      <w:numFmt w:val="lowerRoman"/>
      <w:lvlText w:val="%9."/>
      <w:lvlJc w:val="right"/>
      <w:pPr>
        <w:ind w:left="7674" w:hanging="180"/>
      </w:pPr>
    </w:lvl>
  </w:abstractNum>
  <w:abstractNum w:abstractNumId="38">
    <w:nsid w:val="748736F8"/>
    <w:multiLevelType w:val="hybridMultilevel"/>
    <w:tmpl w:val="BAE2FF4E"/>
    <w:lvl w:ilvl="0" w:tplc="8FA070D2">
      <w:start w:val="1"/>
      <w:numFmt w:val="lowerLetter"/>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9">
    <w:nsid w:val="768D44DE"/>
    <w:multiLevelType w:val="hybridMultilevel"/>
    <w:tmpl w:val="A4D8864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40">
    <w:nsid w:val="7E2775DE"/>
    <w:multiLevelType w:val="hybridMultilevel"/>
    <w:tmpl w:val="28C8D570"/>
    <w:lvl w:ilvl="0" w:tplc="7176283E">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7"/>
  </w:num>
  <w:num w:numId="4">
    <w:abstractNumId w:val="3"/>
  </w:num>
  <w:num w:numId="5">
    <w:abstractNumId w:val="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24"/>
  </w:num>
  <w:num w:numId="10">
    <w:abstractNumId w:val="28"/>
  </w:num>
  <w:num w:numId="11">
    <w:abstractNumId w:val="35"/>
  </w:num>
  <w:num w:numId="12">
    <w:abstractNumId w:val="25"/>
  </w:num>
  <w:num w:numId="13">
    <w:abstractNumId w:val="1"/>
  </w:num>
  <w:num w:numId="14">
    <w:abstractNumId w:val="33"/>
  </w:num>
  <w:num w:numId="15">
    <w:abstractNumId w:val="39"/>
  </w:num>
  <w:num w:numId="16">
    <w:abstractNumId w:val="20"/>
  </w:num>
  <w:num w:numId="17">
    <w:abstractNumId w:val="3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4"/>
  </w:num>
  <w:num w:numId="21">
    <w:abstractNumId w:val="27"/>
  </w:num>
  <w:num w:numId="22">
    <w:abstractNumId w:val="12"/>
  </w:num>
  <w:num w:numId="23">
    <w:abstractNumId w:val="15"/>
  </w:num>
  <w:num w:numId="24">
    <w:abstractNumId w:val="16"/>
  </w:num>
  <w:num w:numId="25">
    <w:abstractNumId w:val="38"/>
  </w:num>
  <w:num w:numId="26">
    <w:abstractNumId w:val="14"/>
  </w:num>
  <w:num w:numId="27">
    <w:abstractNumId w:val="29"/>
  </w:num>
  <w:num w:numId="28">
    <w:abstractNumId w:val="40"/>
  </w:num>
  <w:num w:numId="29">
    <w:abstractNumId w:val="11"/>
  </w:num>
  <w:num w:numId="30">
    <w:abstractNumId w:val="30"/>
  </w:num>
  <w:num w:numId="31">
    <w:abstractNumId w:val="2"/>
  </w:num>
  <w:num w:numId="32">
    <w:abstractNumId w:val="32"/>
  </w:num>
  <w:num w:numId="33">
    <w:abstractNumId w:val="8"/>
  </w:num>
  <w:num w:numId="34">
    <w:abstractNumId w:val="34"/>
  </w:num>
  <w:num w:numId="35">
    <w:abstractNumId w:val="21"/>
  </w:num>
  <w:num w:numId="36">
    <w:abstractNumId w:val="10"/>
  </w:num>
  <w:num w:numId="37">
    <w:abstractNumId w:val="26"/>
  </w:num>
  <w:num w:numId="38">
    <w:abstractNumId w:val="17"/>
  </w:num>
  <w:num w:numId="39">
    <w:abstractNumId w:val="23"/>
  </w:num>
  <w:num w:numId="40">
    <w:abstractNumId w:val="6"/>
  </w:num>
  <w:num w:numId="41">
    <w:abstractNumId w:val="18"/>
  </w:num>
  <w:num w:numId="42">
    <w:abstractNumId w:val="2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mailMerge>
    <w:mainDocumentType w:val="formLetters"/>
    <w:dataType w:val="textFile"/>
    <w:activeRecord w:val="-1"/>
  </w:mailMerg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17"/>
    <w:rsid w:val="00000B51"/>
    <w:rsid w:val="000036DC"/>
    <w:rsid w:val="00003925"/>
    <w:rsid w:val="00005071"/>
    <w:rsid w:val="00005A42"/>
    <w:rsid w:val="000065EB"/>
    <w:rsid w:val="0000665E"/>
    <w:rsid w:val="00006D75"/>
    <w:rsid w:val="0001066B"/>
    <w:rsid w:val="00013159"/>
    <w:rsid w:val="00013828"/>
    <w:rsid w:val="00015C94"/>
    <w:rsid w:val="000177BB"/>
    <w:rsid w:val="00026B84"/>
    <w:rsid w:val="00027707"/>
    <w:rsid w:val="000309D1"/>
    <w:rsid w:val="0003153D"/>
    <w:rsid w:val="00032720"/>
    <w:rsid w:val="00032E28"/>
    <w:rsid w:val="00034C30"/>
    <w:rsid w:val="000413C6"/>
    <w:rsid w:val="00043456"/>
    <w:rsid w:val="00044237"/>
    <w:rsid w:val="000442F6"/>
    <w:rsid w:val="0004658E"/>
    <w:rsid w:val="00047960"/>
    <w:rsid w:val="00050546"/>
    <w:rsid w:val="00050CB2"/>
    <w:rsid w:val="000612F7"/>
    <w:rsid w:val="00061555"/>
    <w:rsid w:val="00061E3E"/>
    <w:rsid w:val="0006254A"/>
    <w:rsid w:val="000633E6"/>
    <w:rsid w:val="00063BCA"/>
    <w:rsid w:val="000653F2"/>
    <w:rsid w:val="00066329"/>
    <w:rsid w:val="00066FD7"/>
    <w:rsid w:val="0006790C"/>
    <w:rsid w:val="00072C59"/>
    <w:rsid w:val="000733E2"/>
    <w:rsid w:val="00073600"/>
    <w:rsid w:val="00074EC4"/>
    <w:rsid w:val="000760C8"/>
    <w:rsid w:val="000809BC"/>
    <w:rsid w:val="00081A1A"/>
    <w:rsid w:val="00081CE3"/>
    <w:rsid w:val="00082B70"/>
    <w:rsid w:val="00084528"/>
    <w:rsid w:val="000857DF"/>
    <w:rsid w:val="00087B9E"/>
    <w:rsid w:val="00093A25"/>
    <w:rsid w:val="000952A1"/>
    <w:rsid w:val="0009619E"/>
    <w:rsid w:val="00096674"/>
    <w:rsid w:val="000A07BC"/>
    <w:rsid w:val="000A12D2"/>
    <w:rsid w:val="000A17B0"/>
    <w:rsid w:val="000A5580"/>
    <w:rsid w:val="000A569F"/>
    <w:rsid w:val="000A74A1"/>
    <w:rsid w:val="000A74B9"/>
    <w:rsid w:val="000B0272"/>
    <w:rsid w:val="000B1280"/>
    <w:rsid w:val="000B426A"/>
    <w:rsid w:val="000B5D7B"/>
    <w:rsid w:val="000B6226"/>
    <w:rsid w:val="000B742D"/>
    <w:rsid w:val="000B7CDB"/>
    <w:rsid w:val="000C14B7"/>
    <w:rsid w:val="000C4BB1"/>
    <w:rsid w:val="000C5D01"/>
    <w:rsid w:val="000C5DF9"/>
    <w:rsid w:val="000C5FF6"/>
    <w:rsid w:val="000C62C0"/>
    <w:rsid w:val="000C644E"/>
    <w:rsid w:val="000C6DFA"/>
    <w:rsid w:val="000C7E8C"/>
    <w:rsid w:val="000C7F8B"/>
    <w:rsid w:val="000D135F"/>
    <w:rsid w:val="000D1641"/>
    <w:rsid w:val="000D233F"/>
    <w:rsid w:val="000D37B6"/>
    <w:rsid w:val="000D3A43"/>
    <w:rsid w:val="000D3BCB"/>
    <w:rsid w:val="000D3ED5"/>
    <w:rsid w:val="000D41AB"/>
    <w:rsid w:val="000D5729"/>
    <w:rsid w:val="000E2D1E"/>
    <w:rsid w:val="000E4DAB"/>
    <w:rsid w:val="000E616B"/>
    <w:rsid w:val="000E661B"/>
    <w:rsid w:val="000F1800"/>
    <w:rsid w:val="000F1D4E"/>
    <w:rsid w:val="000F4970"/>
    <w:rsid w:val="000F4A64"/>
    <w:rsid w:val="000F53D1"/>
    <w:rsid w:val="000F7427"/>
    <w:rsid w:val="00101D55"/>
    <w:rsid w:val="001025BA"/>
    <w:rsid w:val="00103202"/>
    <w:rsid w:val="0010425B"/>
    <w:rsid w:val="001047CF"/>
    <w:rsid w:val="00106258"/>
    <w:rsid w:val="00107604"/>
    <w:rsid w:val="00110047"/>
    <w:rsid w:val="00114C78"/>
    <w:rsid w:val="0011675D"/>
    <w:rsid w:val="001171F0"/>
    <w:rsid w:val="001174F7"/>
    <w:rsid w:val="0011765A"/>
    <w:rsid w:val="001206E9"/>
    <w:rsid w:val="0012209C"/>
    <w:rsid w:val="001226BB"/>
    <w:rsid w:val="00123728"/>
    <w:rsid w:val="00124319"/>
    <w:rsid w:val="0012503B"/>
    <w:rsid w:val="001308C7"/>
    <w:rsid w:val="00131E0E"/>
    <w:rsid w:val="00131E8A"/>
    <w:rsid w:val="00134663"/>
    <w:rsid w:val="00134AA0"/>
    <w:rsid w:val="00134B00"/>
    <w:rsid w:val="001356F3"/>
    <w:rsid w:val="0013584A"/>
    <w:rsid w:val="00135E37"/>
    <w:rsid w:val="001360FE"/>
    <w:rsid w:val="00136B08"/>
    <w:rsid w:val="00137B73"/>
    <w:rsid w:val="00140ED4"/>
    <w:rsid w:val="0014164A"/>
    <w:rsid w:val="001435D7"/>
    <w:rsid w:val="00143B46"/>
    <w:rsid w:val="0014403E"/>
    <w:rsid w:val="00146CBA"/>
    <w:rsid w:val="001477EC"/>
    <w:rsid w:val="00150061"/>
    <w:rsid w:val="00152AEC"/>
    <w:rsid w:val="00152C73"/>
    <w:rsid w:val="001539DB"/>
    <w:rsid w:val="00153B91"/>
    <w:rsid w:val="001543B0"/>
    <w:rsid w:val="00155981"/>
    <w:rsid w:val="001567BA"/>
    <w:rsid w:val="00156DAA"/>
    <w:rsid w:val="0015744E"/>
    <w:rsid w:val="00157ADF"/>
    <w:rsid w:val="001624F2"/>
    <w:rsid w:val="00162F9C"/>
    <w:rsid w:val="00163B86"/>
    <w:rsid w:val="001664B0"/>
    <w:rsid w:val="0017007C"/>
    <w:rsid w:val="0017092C"/>
    <w:rsid w:val="00171847"/>
    <w:rsid w:val="00173680"/>
    <w:rsid w:val="00175A74"/>
    <w:rsid w:val="0017656B"/>
    <w:rsid w:val="001768C6"/>
    <w:rsid w:val="00176A42"/>
    <w:rsid w:val="00176B76"/>
    <w:rsid w:val="00176F7E"/>
    <w:rsid w:val="00177273"/>
    <w:rsid w:val="001800B1"/>
    <w:rsid w:val="00180D5D"/>
    <w:rsid w:val="00185D78"/>
    <w:rsid w:val="0018685A"/>
    <w:rsid w:val="001878E2"/>
    <w:rsid w:val="00187994"/>
    <w:rsid w:val="00187A31"/>
    <w:rsid w:val="00190A4F"/>
    <w:rsid w:val="001935E3"/>
    <w:rsid w:val="001944BB"/>
    <w:rsid w:val="0019653E"/>
    <w:rsid w:val="001967E4"/>
    <w:rsid w:val="001A51B8"/>
    <w:rsid w:val="001A69C7"/>
    <w:rsid w:val="001A7C41"/>
    <w:rsid w:val="001B07F4"/>
    <w:rsid w:val="001B5DAC"/>
    <w:rsid w:val="001C2696"/>
    <w:rsid w:val="001C356C"/>
    <w:rsid w:val="001C4E4D"/>
    <w:rsid w:val="001C648E"/>
    <w:rsid w:val="001C686D"/>
    <w:rsid w:val="001C6AFE"/>
    <w:rsid w:val="001C6E99"/>
    <w:rsid w:val="001D2694"/>
    <w:rsid w:val="001D3D4F"/>
    <w:rsid w:val="001D41D1"/>
    <w:rsid w:val="001D4298"/>
    <w:rsid w:val="001D52D8"/>
    <w:rsid w:val="001D6520"/>
    <w:rsid w:val="001D6DEE"/>
    <w:rsid w:val="001D719B"/>
    <w:rsid w:val="001E0AB9"/>
    <w:rsid w:val="001E220E"/>
    <w:rsid w:val="001E256F"/>
    <w:rsid w:val="001E2685"/>
    <w:rsid w:val="001E4C66"/>
    <w:rsid w:val="001E68AE"/>
    <w:rsid w:val="001E7235"/>
    <w:rsid w:val="001F044B"/>
    <w:rsid w:val="001F4AA4"/>
    <w:rsid w:val="002004FA"/>
    <w:rsid w:val="00201123"/>
    <w:rsid w:val="00201AF2"/>
    <w:rsid w:val="00202C74"/>
    <w:rsid w:val="002033E0"/>
    <w:rsid w:val="0020518D"/>
    <w:rsid w:val="00206115"/>
    <w:rsid w:val="002061C5"/>
    <w:rsid w:val="0020722B"/>
    <w:rsid w:val="00207307"/>
    <w:rsid w:val="0020776E"/>
    <w:rsid w:val="002122ED"/>
    <w:rsid w:val="00214580"/>
    <w:rsid w:val="002167DD"/>
    <w:rsid w:val="0021739E"/>
    <w:rsid w:val="002206E7"/>
    <w:rsid w:val="00224629"/>
    <w:rsid w:val="00225130"/>
    <w:rsid w:val="002254BC"/>
    <w:rsid w:val="00226AB1"/>
    <w:rsid w:val="00230F2C"/>
    <w:rsid w:val="00233130"/>
    <w:rsid w:val="00235A26"/>
    <w:rsid w:val="00236435"/>
    <w:rsid w:val="00243CAF"/>
    <w:rsid w:val="002441D3"/>
    <w:rsid w:val="00246C7C"/>
    <w:rsid w:val="00247D5E"/>
    <w:rsid w:val="002532C2"/>
    <w:rsid w:val="00260719"/>
    <w:rsid w:val="00260F74"/>
    <w:rsid w:val="00261C7A"/>
    <w:rsid w:val="00263063"/>
    <w:rsid w:val="00263471"/>
    <w:rsid w:val="00263F5E"/>
    <w:rsid w:val="00264BFD"/>
    <w:rsid w:val="002650D6"/>
    <w:rsid w:val="002651E7"/>
    <w:rsid w:val="00265676"/>
    <w:rsid w:val="00267371"/>
    <w:rsid w:val="002676B8"/>
    <w:rsid w:val="00267A86"/>
    <w:rsid w:val="002703DC"/>
    <w:rsid w:val="002720C2"/>
    <w:rsid w:val="00272943"/>
    <w:rsid w:val="00273FDC"/>
    <w:rsid w:val="0027463B"/>
    <w:rsid w:val="0027464E"/>
    <w:rsid w:val="002751C2"/>
    <w:rsid w:val="00276C02"/>
    <w:rsid w:val="002778B3"/>
    <w:rsid w:val="00281683"/>
    <w:rsid w:val="00283963"/>
    <w:rsid w:val="0028691F"/>
    <w:rsid w:val="00287E7C"/>
    <w:rsid w:val="00287E9F"/>
    <w:rsid w:val="0029062F"/>
    <w:rsid w:val="00291E45"/>
    <w:rsid w:val="0029250F"/>
    <w:rsid w:val="00293AA9"/>
    <w:rsid w:val="002944F0"/>
    <w:rsid w:val="00294A9D"/>
    <w:rsid w:val="00294FB1"/>
    <w:rsid w:val="00297DE3"/>
    <w:rsid w:val="002A07EE"/>
    <w:rsid w:val="002A1540"/>
    <w:rsid w:val="002A18EB"/>
    <w:rsid w:val="002A3B0E"/>
    <w:rsid w:val="002A3DF0"/>
    <w:rsid w:val="002A3DFA"/>
    <w:rsid w:val="002A735A"/>
    <w:rsid w:val="002B01A6"/>
    <w:rsid w:val="002B0BA5"/>
    <w:rsid w:val="002B3E4D"/>
    <w:rsid w:val="002B4AC4"/>
    <w:rsid w:val="002B6CA1"/>
    <w:rsid w:val="002B722F"/>
    <w:rsid w:val="002B7E42"/>
    <w:rsid w:val="002C06F2"/>
    <w:rsid w:val="002C1CA5"/>
    <w:rsid w:val="002C2076"/>
    <w:rsid w:val="002C220E"/>
    <w:rsid w:val="002C22F2"/>
    <w:rsid w:val="002C2FDB"/>
    <w:rsid w:val="002C3424"/>
    <w:rsid w:val="002C3974"/>
    <w:rsid w:val="002C40C0"/>
    <w:rsid w:val="002C4939"/>
    <w:rsid w:val="002C6183"/>
    <w:rsid w:val="002C6694"/>
    <w:rsid w:val="002C69F4"/>
    <w:rsid w:val="002C71D8"/>
    <w:rsid w:val="002C78FD"/>
    <w:rsid w:val="002C7988"/>
    <w:rsid w:val="002C7C79"/>
    <w:rsid w:val="002D090F"/>
    <w:rsid w:val="002D1606"/>
    <w:rsid w:val="002D2073"/>
    <w:rsid w:val="002D2DD2"/>
    <w:rsid w:val="002D4B8F"/>
    <w:rsid w:val="002E2D18"/>
    <w:rsid w:val="002E3181"/>
    <w:rsid w:val="002E378D"/>
    <w:rsid w:val="002E73AF"/>
    <w:rsid w:val="002F0412"/>
    <w:rsid w:val="002F0513"/>
    <w:rsid w:val="002F0730"/>
    <w:rsid w:val="002F1C9C"/>
    <w:rsid w:val="002F2D81"/>
    <w:rsid w:val="002F3489"/>
    <w:rsid w:val="002F35E3"/>
    <w:rsid w:val="002F523C"/>
    <w:rsid w:val="002F648F"/>
    <w:rsid w:val="00300131"/>
    <w:rsid w:val="00300D21"/>
    <w:rsid w:val="00301C33"/>
    <w:rsid w:val="00301C94"/>
    <w:rsid w:val="003020E8"/>
    <w:rsid w:val="003028A5"/>
    <w:rsid w:val="0030333C"/>
    <w:rsid w:val="003048B0"/>
    <w:rsid w:val="00305AC6"/>
    <w:rsid w:val="00305C9E"/>
    <w:rsid w:val="00306F0A"/>
    <w:rsid w:val="00307577"/>
    <w:rsid w:val="003102F5"/>
    <w:rsid w:val="00311A05"/>
    <w:rsid w:val="00312ABF"/>
    <w:rsid w:val="00313F23"/>
    <w:rsid w:val="00313FF0"/>
    <w:rsid w:val="003151CA"/>
    <w:rsid w:val="003151CC"/>
    <w:rsid w:val="00315E14"/>
    <w:rsid w:val="00315E47"/>
    <w:rsid w:val="0032067C"/>
    <w:rsid w:val="003207B3"/>
    <w:rsid w:val="00322364"/>
    <w:rsid w:val="003238F6"/>
    <w:rsid w:val="00323F46"/>
    <w:rsid w:val="003240E7"/>
    <w:rsid w:val="00324AC1"/>
    <w:rsid w:val="00325C04"/>
    <w:rsid w:val="00330E68"/>
    <w:rsid w:val="003315E1"/>
    <w:rsid w:val="00333B12"/>
    <w:rsid w:val="00334617"/>
    <w:rsid w:val="00335840"/>
    <w:rsid w:val="003370EE"/>
    <w:rsid w:val="0034091B"/>
    <w:rsid w:val="0034360B"/>
    <w:rsid w:val="00344CFC"/>
    <w:rsid w:val="00345155"/>
    <w:rsid w:val="00345545"/>
    <w:rsid w:val="00354917"/>
    <w:rsid w:val="0035771F"/>
    <w:rsid w:val="00357EA3"/>
    <w:rsid w:val="00360DE4"/>
    <w:rsid w:val="00363C53"/>
    <w:rsid w:val="0036664D"/>
    <w:rsid w:val="00370530"/>
    <w:rsid w:val="00372017"/>
    <w:rsid w:val="0037223F"/>
    <w:rsid w:val="00372784"/>
    <w:rsid w:val="00372AF3"/>
    <w:rsid w:val="00377962"/>
    <w:rsid w:val="00377EF5"/>
    <w:rsid w:val="00381017"/>
    <w:rsid w:val="00381233"/>
    <w:rsid w:val="003812AC"/>
    <w:rsid w:val="00382328"/>
    <w:rsid w:val="003829F4"/>
    <w:rsid w:val="003831C0"/>
    <w:rsid w:val="003847AB"/>
    <w:rsid w:val="0038573C"/>
    <w:rsid w:val="003868E0"/>
    <w:rsid w:val="0038697F"/>
    <w:rsid w:val="00386CBB"/>
    <w:rsid w:val="00386CF6"/>
    <w:rsid w:val="00387263"/>
    <w:rsid w:val="00387C80"/>
    <w:rsid w:val="00391362"/>
    <w:rsid w:val="00392194"/>
    <w:rsid w:val="00394DCB"/>
    <w:rsid w:val="003974EF"/>
    <w:rsid w:val="00397837"/>
    <w:rsid w:val="00397CA3"/>
    <w:rsid w:val="00397E16"/>
    <w:rsid w:val="003A06F6"/>
    <w:rsid w:val="003A19E8"/>
    <w:rsid w:val="003A1A70"/>
    <w:rsid w:val="003A2432"/>
    <w:rsid w:val="003A3A3E"/>
    <w:rsid w:val="003A4FAA"/>
    <w:rsid w:val="003A50CA"/>
    <w:rsid w:val="003A5E99"/>
    <w:rsid w:val="003A7881"/>
    <w:rsid w:val="003B0220"/>
    <w:rsid w:val="003B15A1"/>
    <w:rsid w:val="003B1E78"/>
    <w:rsid w:val="003B23AF"/>
    <w:rsid w:val="003B3F30"/>
    <w:rsid w:val="003B493E"/>
    <w:rsid w:val="003B5284"/>
    <w:rsid w:val="003C0B89"/>
    <w:rsid w:val="003C0D3A"/>
    <w:rsid w:val="003C27C9"/>
    <w:rsid w:val="003C3042"/>
    <w:rsid w:val="003C3A8C"/>
    <w:rsid w:val="003C4DC0"/>
    <w:rsid w:val="003C5093"/>
    <w:rsid w:val="003C7AF3"/>
    <w:rsid w:val="003D110B"/>
    <w:rsid w:val="003D1753"/>
    <w:rsid w:val="003D17B4"/>
    <w:rsid w:val="003D1806"/>
    <w:rsid w:val="003D4233"/>
    <w:rsid w:val="003D4528"/>
    <w:rsid w:val="003D4E0E"/>
    <w:rsid w:val="003D5F15"/>
    <w:rsid w:val="003D64BB"/>
    <w:rsid w:val="003D68B9"/>
    <w:rsid w:val="003D68D4"/>
    <w:rsid w:val="003D69CB"/>
    <w:rsid w:val="003D7420"/>
    <w:rsid w:val="003D788E"/>
    <w:rsid w:val="003D7C8B"/>
    <w:rsid w:val="003E04FB"/>
    <w:rsid w:val="003E2973"/>
    <w:rsid w:val="003E2FBD"/>
    <w:rsid w:val="003E631D"/>
    <w:rsid w:val="003E7039"/>
    <w:rsid w:val="003F0BC0"/>
    <w:rsid w:val="003F2B58"/>
    <w:rsid w:val="003F2E06"/>
    <w:rsid w:val="003F41F0"/>
    <w:rsid w:val="003F5965"/>
    <w:rsid w:val="00400342"/>
    <w:rsid w:val="004004BB"/>
    <w:rsid w:val="0040068E"/>
    <w:rsid w:val="00401A0F"/>
    <w:rsid w:val="00401FC4"/>
    <w:rsid w:val="0040336E"/>
    <w:rsid w:val="00403ABF"/>
    <w:rsid w:val="004040C3"/>
    <w:rsid w:val="0040458C"/>
    <w:rsid w:val="00404B57"/>
    <w:rsid w:val="00404C53"/>
    <w:rsid w:val="00405F52"/>
    <w:rsid w:val="0041013C"/>
    <w:rsid w:val="00410D25"/>
    <w:rsid w:val="004153A5"/>
    <w:rsid w:val="00416357"/>
    <w:rsid w:val="00416496"/>
    <w:rsid w:val="00416633"/>
    <w:rsid w:val="00416FA9"/>
    <w:rsid w:val="00420EBE"/>
    <w:rsid w:val="004214EF"/>
    <w:rsid w:val="00424F9E"/>
    <w:rsid w:val="00425E6A"/>
    <w:rsid w:val="004348BD"/>
    <w:rsid w:val="00436423"/>
    <w:rsid w:val="00436F3D"/>
    <w:rsid w:val="00437B2C"/>
    <w:rsid w:val="004429CE"/>
    <w:rsid w:val="00445736"/>
    <w:rsid w:val="00445D79"/>
    <w:rsid w:val="00445FCA"/>
    <w:rsid w:val="00446F53"/>
    <w:rsid w:val="004471F0"/>
    <w:rsid w:val="00447F55"/>
    <w:rsid w:val="0045128A"/>
    <w:rsid w:val="00451F08"/>
    <w:rsid w:val="004536BE"/>
    <w:rsid w:val="00453B97"/>
    <w:rsid w:val="004568E6"/>
    <w:rsid w:val="00457904"/>
    <w:rsid w:val="0046015C"/>
    <w:rsid w:val="004609AD"/>
    <w:rsid w:val="00461251"/>
    <w:rsid w:val="0046168E"/>
    <w:rsid w:val="00462B15"/>
    <w:rsid w:val="004630D9"/>
    <w:rsid w:val="0046515D"/>
    <w:rsid w:val="00465779"/>
    <w:rsid w:val="00466228"/>
    <w:rsid w:val="0047063E"/>
    <w:rsid w:val="004748F3"/>
    <w:rsid w:val="00475812"/>
    <w:rsid w:val="0047596B"/>
    <w:rsid w:val="004767FE"/>
    <w:rsid w:val="0047785C"/>
    <w:rsid w:val="00480C5B"/>
    <w:rsid w:val="00481CF6"/>
    <w:rsid w:val="0048240E"/>
    <w:rsid w:val="0048307D"/>
    <w:rsid w:val="0048439D"/>
    <w:rsid w:val="004846D1"/>
    <w:rsid w:val="00484F67"/>
    <w:rsid w:val="0048679D"/>
    <w:rsid w:val="00490073"/>
    <w:rsid w:val="00490AC0"/>
    <w:rsid w:val="004916FA"/>
    <w:rsid w:val="00491F38"/>
    <w:rsid w:val="004928B5"/>
    <w:rsid w:val="00492C5D"/>
    <w:rsid w:val="00494DB1"/>
    <w:rsid w:val="004968B1"/>
    <w:rsid w:val="004A0E35"/>
    <w:rsid w:val="004A1490"/>
    <w:rsid w:val="004A200B"/>
    <w:rsid w:val="004A33AD"/>
    <w:rsid w:val="004A6929"/>
    <w:rsid w:val="004B20DB"/>
    <w:rsid w:val="004B3ABA"/>
    <w:rsid w:val="004B584A"/>
    <w:rsid w:val="004B586F"/>
    <w:rsid w:val="004B62F8"/>
    <w:rsid w:val="004B7A47"/>
    <w:rsid w:val="004C0D2C"/>
    <w:rsid w:val="004C1261"/>
    <w:rsid w:val="004C2634"/>
    <w:rsid w:val="004C3228"/>
    <w:rsid w:val="004C34FC"/>
    <w:rsid w:val="004C448B"/>
    <w:rsid w:val="004C5131"/>
    <w:rsid w:val="004D0E40"/>
    <w:rsid w:val="004D0E50"/>
    <w:rsid w:val="004D2C6C"/>
    <w:rsid w:val="004D3F47"/>
    <w:rsid w:val="004D5220"/>
    <w:rsid w:val="004D6741"/>
    <w:rsid w:val="004D71E6"/>
    <w:rsid w:val="004D7935"/>
    <w:rsid w:val="004D794D"/>
    <w:rsid w:val="004E238B"/>
    <w:rsid w:val="004E320E"/>
    <w:rsid w:val="004E33A9"/>
    <w:rsid w:val="004E3D04"/>
    <w:rsid w:val="004E5097"/>
    <w:rsid w:val="004E6248"/>
    <w:rsid w:val="004F1F8D"/>
    <w:rsid w:val="004F20D6"/>
    <w:rsid w:val="004F2C5E"/>
    <w:rsid w:val="004F3125"/>
    <w:rsid w:val="004F7163"/>
    <w:rsid w:val="004F72A5"/>
    <w:rsid w:val="00500D01"/>
    <w:rsid w:val="005011B8"/>
    <w:rsid w:val="005032BD"/>
    <w:rsid w:val="00504E7F"/>
    <w:rsid w:val="00510081"/>
    <w:rsid w:val="005129FC"/>
    <w:rsid w:val="005138AD"/>
    <w:rsid w:val="00514564"/>
    <w:rsid w:val="00514649"/>
    <w:rsid w:val="00515A45"/>
    <w:rsid w:val="005177E3"/>
    <w:rsid w:val="0052498C"/>
    <w:rsid w:val="00524A02"/>
    <w:rsid w:val="00524CAA"/>
    <w:rsid w:val="00526A82"/>
    <w:rsid w:val="00526E28"/>
    <w:rsid w:val="0053295D"/>
    <w:rsid w:val="00533CAD"/>
    <w:rsid w:val="0053492C"/>
    <w:rsid w:val="00534C37"/>
    <w:rsid w:val="00535715"/>
    <w:rsid w:val="00541206"/>
    <w:rsid w:val="00541229"/>
    <w:rsid w:val="00543511"/>
    <w:rsid w:val="0054404B"/>
    <w:rsid w:val="005448FC"/>
    <w:rsid w:val="00544D58"/>
    <w:rsid w:val="00545858"/>
    <w:rsid w:val="00545AB4"/>
    <w:rsid w:val="00545BD2"/>
    <w:rsid w:val="005534FE"/>
    <w:rsid w:val="00560ECD"/>
    <w:rsid w:val="005643C6"/>
    <w:rsid w:val="00564AED"/>
    <w:rsid w:val="00564B8D"/>
    <w:rsid w:val="00565386"/>
    <w:rsid w:val="00565551"/>
    <w:rsid w:val="00565D4C"/>
    <w:rsid w:val="00565D87"/>
    <w:rsid w:val="00566341"/>
    <w:rsid w:val="0056645D"/>
    <w:rsid w:val="00566C39"/>
    <w:rsid w:val="0057099E"/>
    <w:rsid w:val="00572926"/>
    <w:rsid w:val="0057355B"/>
    <w:rsid w:val="00573DEC"/>
    <w:rsid w:val="00574158"/>
    <w:rsid w:val="0057496B"/>
    <w:rsid w:val="00574ED8"/>
    <w:rsid w:val="005776D2"/>
    <w:rsid w:val="00577F42"/>
    <w:rsid w:val="00580FDE"/>
    <w:rsid w:val="00581684"/>
    <w:rsid w:val="00582786"/>
    <w:rsid w:val="00583D07"/>
    <w:rsid w:val="00584104"/>
    <w:rsid w:val="00584706"/>
    <w:rsid w:val="00584FBA"/>
    <w:rsid w:val="00585B3A"/>
    <w:rsid w:val="0059123A"/>
    <w:rsid w:val="00591FA8"/>
    <w:rsid w:val="00593702"/>
    <w:rsid w:val="00593983"/>
    <w:rsid w:val="00594961"/>
    <w:rsid w:val="005A1A09"/>
    <w:rsid w:val="005A1CE5"/>
    <w:rsid w:val="005A2220"/>
    <w:rsid w:val="005A22F4"/>
    <w:rsid w:val="005A3D28"/>
    <w:rsid w:val="005A5268"/>
    <w:rsid w:val="005A6F8E"/>
    <w:rsid w:val="005B2541"/>
    <w:rsid w:val="005B39A2"/>
    <w:rsid w:val="005B3B13"/>
    <w:rsid w:val="005B4095"/>
    <w:rsid w:val="005B47FC"/>
    <w:rsid w:val="005B5D94"/>
    <w:rsid w:val="005B64CD"/>
    <w:rsid w:val="005C173D"/>
    <w:rsid w:val="005C330D"/>
    <w:rsid w:val="005C6001"/>
    <w:rsid w:val="005C7381"/>
    <w:rsid w:val="005C7A27"/>
    <w:rsid w:val="005D0317"/>
    <w:rsid w:val="005D3523"/>
    <w:rsid w:val="005D5065"/>
    <w:rsid w:val="005D57F1"/>
    <w:rsid w:val="005D64CC"/>
    <w:rsid w:val="005D70A5"/>
    <w:rsid w:val="005D7F7B"/>
    <w:rsid w:val="005E19C0"/>
    <w:rsid w:val="005E3D73"/>
    <w:rsid w:val="005E6148"/>
    <w:rsid w:val="005E6780"/>
    <w:rsid w:val="005E68B0"/>
    <w:rsid w:val="005E7C92"/>
    <w:rsid w:val="005F024F"/>
    <w:rsid w:val="005F07EE"/>
    <w:rsid w:val="005F12F1"/>
    <w:rsid w:val="005F14E7"/>
    <w:rsid w:val="005F481A"/>
    <w:rsid w:val="005F54C0"/>
    <w:rsid w:val="005F6CEB"/>
    <w:rsid w:val="005F7BC7"/>
    <w:rsid w:val="005F7F9D"/>
    <w:rsid w:val="006023C9"/>
    <w:rsid w:val="00603F5C"/>
    <w:rsid w:val="00604535"/>
    <w:rsid w:val="00605101"/>
    <w:rsid w:val="00607DF0"/>
    <w:rsid w:val="00610AF7"/>
    <w:rsid w:val="0061570E"/>
    <w:rsid w:val="00616347"/>
    <w:rsid w:val="00617261"/>
    <w:rsid w:val="00621DDA"/>
    <w:rsid w:val="00622349"/>
    <w:rsid w:val="00625CAA"/>
    <w:rsid w:val="00625F6F"/>
    <w:rsid w:val="006266F7"/>
    <w:rsid w:val="00627249"/>
    <w:rsid w:val="00627B69"/>
    <w:rsid w:val="00632E58"/>
    <w:rsid w:val="006339CF"/>
    <w:rsid w:val="006354B6"/>
    <w:rsid w:val="0063565C"/>
    <w:rsid w:val="0063603D"/>
    <w:rsid w:val="006369E5"/>
    <w:rsid w:val="006431D0"/>
    <w:rsid w:val="00643885"/>
    <w:rsid w:val="00644741"/>
    <w:rsid w:val="00645344"/>
    <w:rsid w:val="00650EFA"/>
    <w:rsid w:val="00652230"/>
    <w:rsid w:val="00652801"/>
    <w:rsid w:val="00655BF3"/>
    <w:rsid w:val="006578F2"/>
    <w:rsid w:val="00657C00"/>
    <w:rsid w:val="00660DD8"/>
    <w:rsid w:val="0066162E"/>
    <w:rsid w:val="00661893"/>
    <w:rsid w:val="006628F0"/>
    <w:rsid w:val="0066331F"/>
    <w:rsid w:val="00666DDC"/>
    <w:rsid w:val="006671C5"/>
    <w:rsid w:val="00667241"/>
    <w:rsid w:val="006705E0"/>
    <w:rsid w:val="00671A99"/>
    <w:rsid w:val="006726B2"/>
    <w:rsid w:val="00673C11"/>
    <w:rsid w:val="00674E8C"/>
    <w:rsid w:val="006767A0"/>
    <w:rsid w:val="0067743C"/>
    <w:rsid w:val="006806ED"/>
    <w:rsid w:val="00680837"/>
    <w:rsid w:val="00691758"/>
    <w:rsid w:val="00691837"/>
    <w:rsid w:val="00691B1E"/>
    <w:rsid w:val="00694610"/>
    <w:rsid w:val="00695B92"/>
    <w:rsid w:val="006A02F3"/>
    <w:rsid w:val="006A188A"/>
    <w:rsid w:val="006A1C99"/>
    <w:rsid w:val="006A286D"/>
    <w:rsid w:val="006A3026"/>
    <w:rsid w:val="006A4AA8"/>
    <w:rsid w:val="006A5488"/>
    <w:rsid w:val="006A5C7E"/>
    <w:rsid w:val="006B0A14"/>
    <w:rsid w:val="006B0CC1"/>
    <w:rsid w:val="006C0416"/>
    <w:rsid w:val="006C12C8"/>
    <w:rsid w:val="006C43E4"/>
    <w:rsid w:val="006C47BA"/>
    <w:rsid w:val="006C4FC1"/>
    <w:rsid w:val="006C5988"/>
    <w:rsid w:val="006C6384"/>
    <w:rsid w:val="006C7C22"/>
    <w:rsid w:val="006D0C59"/>
    <w:rsid w:val="006D0C89"/>
    <w:rsid w:val="006D1B25"/>
    <w:rsid w:val="006D28DC"/>
    <w:rsid w:val="006D2C1D"/>
    <w:rsid w:val="006D3232"/>
    <w:rsid w:val="006D6EF1"/>
    <w:rsid w:val="006E2294"/>
    <w:rsid w:val="006E53C6"/>
    <w:rsid w:val="006E62C6"/>
    <w:rsid w:val="006E6908"/>
    <w:rsid w:val="006E71BB"/>
    <w:rsid w:val="006E7535"/>
    <w:rsid w:val="006E75E9"/>
    <w:rsid w:val="006F19E8"/>
    <w:rsid w:val="006F5E01"/>
    <w:rsid w:val="006F6BF3"/>
    <w:rsid w:val="0070343F"/>
    <w:rsid w:val="00703C42"/>
    <w:rsid w:val="00705BB7"/>
    <w:rsid w:val="00707B18"/>
    <w:rsid w:val="007100D5"/>
    <w:rsid w:val="00711128"/>
    <w:rsid w:val="00711263"/>
    <w:rsid w:val="0071370A"/>
    <w:rsid w:val="00713B69"/>
    <w:rsid w:val="00715BD0"/>
    <w:rsid w:val="00716987"/>
    <w:rsid w:val="00720CA5"/>
    <w:rsid w:val="00721741"/>
    <w:rsid w:val="0072368D"/>
    <w:rsid w:val="00723BCA"/>
    <w:rsid w:val="0072458D"/>
    <w:rsid w:val="0072554C"/>
    <w:rsid w:val="0072789D"/>
    <w:rsid w:val="00731A93"/>
    <w:rsid w:val="00734F75"/>
    <w:rsid w:val="0073549B"/>
    <w:rsid w:val="007360BA"/>
    <w:rsid w:val="0074165F"/>
    <w:rsid w:val="00742076"/>
    <w:rsid w:val="00742CD3"/>
    <w:rsid w:val="00745928"/>
    <w:rsid w:val="00746FCD"/>
    <w:rsid w:val="00747737"/>
    <w:rsid w:val="0075274E"/>
    <w:rsid w:val="007536BD"/>
    <w:rsid w:val="007541EE"/>
    <w:rsid w:val="007558FB"/>
    <w:rsid w:val="007571FE"/>
    <w:rsid w:val="00765686"/>
    <w:rsid w:val="007673D3"/>
    <w:rsid w:val="00770C88"/>
    <w:rsid w:val="007722EF"/>
    <w:rsid w:val="00772EA0"/>
    <w:rsid w:val="0077428B"/>
    <w:rsid w:val="007746D3"/>
    <w:rsid w:val="00774FFC"/>
    <w:rsid w:val="00777651"/>
    <w:rsid w:val="00782B05"/>
    <w:rsid w:val="00783696"/>
    <w:rsid w:val="00784D5D"/>
    <w:rsid w:val="007852F0"/>
    <w:rsid w:val="00785389"/>
    <w:rsid w:val="00787C2C"/>
    <w:rsid w:val="00791BE5"/>
    <w:rsid w:val="00792CE4"/>
    <w:rsid w:val="00792FCF"/>
    <w:rsid w:val="00793046"/>
    <w:rsid w:val="00795C2D"/>
    <w:rsid w:val="007A0DE1"/>
    <w:rsid w:val="007A1B2C"/>
    <w:rsid w:val="007A28D0"/>
    <w:rsid w:val="007A66E0"/>
    <w:rsid w:val="007B1473"/>
    <w:rsid w:val="007B2F9C"/>
    <w:rsid w:val="007B4695"/>
    <w:rsid w:val="007B5138"/>
    <w:rsid w:val="007B5B10"/>
    <w:rsid w:val="007B6412"/>
    <w:rsid w:val="007B7D71"/>
    <w:rsid w:val="007C4050"/>
    <w:rsid w:val="007C620D"/>
    <w:rsid w:val="007C69E7"/>
    <w:rsid w:val="007D090B"/>
    <w:rsid w:val="007D1F2A"/>
    <w:rsid w:val="007D2DF4"/>
    <w:rsid w:val="007D2DF5"/>
    <w:rsid w:val="007D3D2E"/>
    <w:rsid w:val="007D5D4E"/>
    <w:rsid w:val="007E019C"/>
    <w:rsid w:val="007E0396"/>
    <w:rsid w:val="007E0A01"/>
    <w:rsid w:val="007E1879"/>
    <w:rsid w:val="007E5891"/>
    <w:rsid w:val="007E5D9D"/>
    <w:rsid w:val="007E7797"/>
    <w:rsid w:val="007E7EFB"/>
    <w:rsid w:val="007F0256"/>
    <w:rsid w:val="007F0A3D"/>
    <w:rsid w:val="007F2DDC"/>
    <w:rsid w:val="007F46C9"/>
    <w:rsid w:val="007F6A06"/>
    <w:rsid w:val="007F755E"/>
    <w:rsid w:val="007F7B2F"/>
    <w:rsid w:val="008001A6"/>
    <w:rsid w:val="008045B8"/>
    <w:rsid w:val="00804A2E"/>
    <w:rsid w:val="00805F01"/>
    <w:rsid w:val="00805FFE"/>
    <w:rsid w:val="0080717D"/>
    <w:rsid w:val="0081021D"/>
    <w:rsid w:val="008109A0"/>
    <w:rsid w:val="00810A54"/>
    <w:rsid w:val="008117EA"/>
    <w:rsid w:val="00811E6B"/>
    <w:rsid w:val="0081556A"/>
    <w:rsid w:val="00815E05"/>
    <w:rsid w:val="00820348"/>
    <w:rsid w:val="008209D1"/>
    <w:rsid w:val="00821145"/>
    <w:rsid w:val="0082148B"/>
    <w:rsid w:val="00821680"/>
    <w:rsid w:val="00822B05"/>
    <w:rsid w:val="00822B8D"/>
    <w:rsid w:val="00824C09"/>
    <w:rsid w:val="00826444"/>
    <w:rsid w:val="00826978"/>
    <w:rsid w:val="00831798"/>
    <w:rsid w:val="008326DF"/>
    <w:rsid w:val="00832A22"/>
    <w:rsid w:val="00834797"/>
    <w:rsid w:val="00840050"/>
    <w:rsid w:val="0084035F"/>
    <w:rsid w:val="008442AC"/>
    <w:rsid w:val="00851B08"/>
    <w:rsid w:val="0085228A"/>
    <w:rsid w:val="008524DD"/>
    <w:rsid w:val="00855B2E"/>
    <w:rsid w:val="008566DC"/>
    <w:rsid w:val="00856C0B"/>
    <w:rsid w:val="00856E63"/>
    <w:rsid w:val="00857F8F"/>
    <w:rsid w:val="00860199"/>
    <w:rsid w:val="00860EF6"/>
    <w:rsid w:val="008615F0"/>
    <w:rsid w:val="00862557"/>
    <w:rsid w:val="008649E5"/>
    <w:rsid w:val="008705B3"/>
    <w:rsid w:val="00871694"/>
    <w:rsid w:val="00871BE0"/>
    <w:rsid w:val="00873DB5"/>
    <w:rsid w:val="008748E9"/>
    <w:rsid w:val="00874EEF"/>
    <w:rsid w:val="00874F12"/>
    <w:rsid w:val="008752A2"/>
    <w:rsid w:val="00876724"/>
    <w:rsid w:val="00882AAD"/>
    <w:rsid w:val="0088384C"/>
    <w:rsid w:val="00884DD3"/>
    <w:rsid w:val="00890432"/>
    <w:rsid w:val="008915F5"/>
    <w:rsid w:val="008925B1"/>
    <w:rsid w:val="008957EC"/>
    <w:rsid w:val="0089594D"/>
    <w:rsid w:val="008A04BD"/>
    <w:rsid w:val="008A13A6"/>
    <w:rsid w:val="008A16A5"/>
    <w:rsid w:val="008A38C5"/>
    <w:rsid w:val="008A6649"/>
    <w:rsid w:val="008A6664"/>
    <w:rsid w:val="008A7D52"/>
    <w:rsid w:val="008B1429"/>
    <w:rsid w:val="008B1845"/>
    <w:rsid w:val="008B3BBC"/>
    <w:rsid w:val="008B45F2"/>
    <w:rsid w:val="008C13AF"/>
    <w:rsid w:val="008C2605"/>
    <w:rsid w:val="008C58FC"/>
    <w:rsid w:val="008C672B"/>
    <w:rsid w:val="008D2D79"/>
    <w:rsid w:val="008D2DD4"/>
    <w:rsid w:val="008D3171"/>
    <w:rsid w:val="008D4475"/>
    <w:rsid w:val="008D6223"/>
    <w:rsid w:val="008D7E3B"/>
    <w:rsid w:val="008E07FE"/>
    <w:rsid w:val="008E1CBE"/>
    <w:rsid w:val="008E2389"/>
    <w:rsid w:val="008E49CE"/>
    <w:rsid w:val="008E5030"/>
    <w:rsid w:val="008E5AF0"/>
    <w:rsid w:val="008E7352"/>
    <w:rsid w:val="008E758B"/>
    <w:rsid w:val="008E7B3C"/>
    <w:rsid w:val="008F0FA1"/>
    <w:rsid w:val="008F1271"/>
    <w:rsid w:val="008F17A8"/>
    <w:rsid w:val="008F2334"/>
    <w:rsid w:val="008F4946"/>
    <w:rsid w:val="008F64CD"/>
    <w:rsid w:val="008F6AD8"/>
    <w:rsid w:val="008F7DF3"/>
    <w:rsid w:val="009024F7"/>
    <w:rsid w:val="009025FC"/>
    <w:rsid w:val="0090545E"/>
    <w:rsid w:val="0090639B"/>
    <w:rsid w:val="00906FAA"/>
    <w:rsid w:val="00907804"/>
    <w:rsid w:val="00907FB5"/>
    <w:rsid w:val="00913544"/>
    <w:rsid w:val="0091585F"/>
    <w:rsid w:val="00916000"/>
    <w:rsid w:val="00920C13"/>
    <w:rsid w:val="00921B3C"/>
    <w:rsid w:val="00924657"/>
    <w:rsid w:val="0092541F"/>
    <w:rsid w:val="0092579C"/>
    <w:rsid w:val="00926603"/>
    <w:rsid w:val="009277E8"/>
    <w:rsid w:val="009301AC"/>
    <w:rsid w:val="009305F9"/>
    <w:rsid w:val="009307B5"/>
    <w:rsid w:val="00930FC3"/>
    <w:rsid w:val="009337A7"/>
    <w:rsid w:val="00934C98"/>
    <w:rsid w:val="00935FE8"/>
    <w:rsid w:val="00936B81"/>
    <w:rsid w:val="009402EA"/>
    <w:rsid w:val="009403B2"/>
    <w:rsid w:val="00940646"/>
    <w:rsid w:val="009408E0"/>
    <w:rsid w:val="00946E35"/>
    <w:rsid w:val="0095038D"/>
    <w:rsid w:val="00952A79"/>
    <w:rsid w:val="00952BA1"/>
    <w:rsid w:val="00953017"/>
    <w:rsid w:val="0095458D"/>
    <w:rsid w:val="00954770"/>
    <w:rsid w:val="00954D57"/>
    <w:rsid w:val="00956648"/>
    <w:rsid w:val="0095793F"/>
    <w:rsid w:val="00963053"/>
    <w:rsid w:val="009634C5"/>
    <w:rsid w:val="00964313"/>
    <w:rsid w:val="00964590"/>
    <w:rsid w:val="00964A38"/>
    <w:rsid w:val="0096527D"/>
    <w:rsid w:val="00967B21"/>
    <w:rsid w:val="009714A3"/>
    <w:rsid w:val="00971D1D"/>
    <w:rsid w:val="00972737"/>
    <w:rsid w:val="00975DD1"/>
    <w:rsid w:val="009760D6"/>
    <w:rsid w:val="00976640"/>
    <w:rsid w:val="00977986"/>
    <w:rsid w:val="009779F2"/>
    <w:rsid w:val="00977E3F"/>
    <w:rsid w:val="00980FA1"/>
    <w:rsid w:val="009825E8"/>
    <w:rsid w:val="00987AAD"/>
    <w:rsid w:val="00992407"/>
    <w:rsid w:val="00992AB6"/>
    <w:rsid w:val="00994D06"/>
    <w:rsid w:val="0099540D"/>
    <w:rsid w:val="00997B66"/>
    <w:rsid w:val="00997FD1"/>
    <w:rsid w:val="009A2697"/>
    <w:rsid w:val="009A3630"/>
    <w:rsid w:val="009A4B32"/>
    <w:rsid w:val="009A4C27"/>
    <w:rsid w:val="009A610D"/>
    <w:rsid w:val="009A679C"/>
    <w:rsid w:val="009A6BB7"/>
    <w:rsid w:val="009A77CE"/>
    <w:rsid w:val="009A7A47"/>
    <w:rsid w:val="009B08AA"/>
    <w:rsid w:val="009B1D55"/>
    <w:rsid w:val="009B645B"/>
    <w:rsid w:val="009C05AB"/>
    <w:rsid w:val="009C0E69"/>
    <w:rsid w:val="009C0F88"/>
    <w:rsid w:val="009C1191"/>
    <w:rsid w:val="009C4F73"/>
    <w:rsid w:val="009C5F24"/>
    <w:rsid w:val="009C6848"/>
    <w:rsid w:val="009D0776"/>
    <w:rsid w:val="009D0B6A"/>
    <w:rsid w:val="009D101F"/>
    <w:rsid w:val="009D1B13"/>
    <w:rsid w:val="009D1B22"/>
    <w:rsid w:val="009D1B9C"/>
    <w:rsid w:val="009D1E54"/>
    <w:rsid w:val="009D3DC1"/>
    <w:rsid w:val="009D4699"/>
    <w:rsid w:val="009D4DD5"/>
    <w:rsid w:val="009D4FF3"/>
    <w:rsid w:val="009D565D"/>
    <w:rsid w:val="009D773D"/>
    <w:rsid w:val="009E2FAD"/>
    <w:rsid w:val="009F01A0"/>
    <w:rsid w:val="009F088B"/>
    <w:rsid w:val="009F4809"/>
    <w:rsid w:val="009F5EF5"/>
    <w:rsid w:val="009F6615"/>
    <w:rsid w:val="009F7732"/>
    <w:rsid w:val="00A0030E"/>
    <w:rsid w:val="00A027C7"/>
    <w:rsid w:val="00A0288F"/>
    <w:rsid w:val="00A038A6"/>
    <w:rsid w:val="00A06374"/>
    <w:rsid w:val="00A07A88"/>
    <w:rsid w:val="00A100A7"/>
    <w:rsid w:val="00A13CA4"/>
    <w:rsid w:val="00A157E6"/>
    <w:rsid w:val="00A15EC6"/>
    <w:rsid w:val="00A1646F"/>
    <w:rsid w:val="00A202F9"/>
    <w:rsid w:val="00A20807"/>
    <w:rsid w:val="00A22D83"/>
    <w:rsid w:val="00A231B1"/>
    <w:rsid w:val="00A25A71"/>
    <w:rsid w:val="00A26885"/>
    <w:rsid w:val="00A3035C"/>
    <w:rsid w:val="00A30A30"/>
    <w:rsid w:val="00A30C01"/>
    <w:rsid w:val="00A30E54"/>
    <w:rsid w:val="00A31FA9"/>
    <w:rsid w:val="00A3228B"/>
    <w:rsid w:val="00A32E5F"/>
    <w:rsid w:val="00A335AF"/>
    <w:rsid w:val="00A35857"/>
    <w:rsid w:val="00A35EE4"/>
    <w:rsid w:val="00A36080"/>
    <w:rsid w:val="00A363AD"/>
    <w:rsid w:val="00A37E01"/>
    <w:rsid w:val="00A4280A"/>
    <w:rsid w:val="00A4518E"/>
    <w:rsid w:val="00A45E0B"/>
    <w:rsid w:val="00A46078"/>
    <w:rsid w:val="00A47250"/>
    <w:rsid w:val="00A47841"/>
    <w:rsid w:val="00A47E4D"/>
    <w:rsid w:val="00A5018A"/>
    <w:rsid w:val="00A5451E"/>
    <w:rsid w:val="00A55FFE"/>
    <w:rsid w:val="00A60CE5"/>
    <w:rsid w:val="00A6428E"/>
    <w:rsid w:val="00A64957"/>
    <w:rsid w:val="00A6525A"/>
    <w:rsid w:val="00A65698"/>
    <w:rsid w:val="00A65973"/>
    <w:rsid w:val="00A65C74"/>
    <w:rsid w:val="00A6624E"/>
    <w:rsid w:val="00A67E16"/>
    <w:rsid w:val="00A73F9B"/>
    <w:rsid w:val="00A74026"/>
    <w:rsid w:val="00A744ED"/>
    <w:rsid w:val="00A7511E"/>
    <w:rsid w:val="00A765E1"/>
    <w:rsid w:val="00A814BF"/>
    <w:rsid w:val="00A82776"/>
    <w:rsid w:val="00A831CA"/>
    <w:rsid w:val="00A83DDE"/>
    <w:rsid w:val="00A8434B"/>
    <w:rsid w:val="00A84673"/>
    <w:rsid w:val="00A8621B"/>
    <w:rsid w:val="00A87720"/>
    <w:rsid w:val="00A95E8E"/>
    <w:rsid w:val="00A96869"/>
    <w:rsid w:val="00AA2135"/>
    <w:rsid w:val="00AA3000"/>
    <w:rsid w:val="00AA44F6"/>
    <w:rsid w:val="00AA4C86"/>
    <w:rsid w:val="00AA4CC3"/>
    <w:rsid w:val="00AA5999"/>
    <w:rsid w:val="00AA7CBD"/>
    <w:rsid w:val="00AB25B2"/>
    <w:rsid w:val="00AB357A"/>
    <w:rsid w:val="00AB392F"/>
    <w:rsid w:val="00AB55A1"/>
    <w:rsid w:val="00AB5C59"/>
    <w:rsid w:val="00AC09A7"/>
    <w:rsid w:val="00AC20D2"/>
    <w:rsid w:val="00AC30C1"/>
    <w:rsid w:val="00AC5332"/>
    <w:rsid w:val="00AC7FDB"/>
    <w:rsid w:val="00AD0B3D"/>
    <w:rsid w:val="00AD1ABE"/>
    <w:rsid w:val="00AD2E96"/>
    <w:rsid w:val="00AD3327"/>
    <w:rsid w:val="00AD487F"/>
    <w:rsid w:val="00AD4DE5"/>
    <w:rsid w:val="00AD5FDA"/>
    <w:rsid w:val="00AD7E13"/>
    <w:rsid w:val="00AD7E6F"/>
    <w:rsid w:val="00AE2D42"/>
    <w:rsid w:val="00AE6AE3"/>
    <w:rsid w:val="00AE6FCA"/>
    <w:rsid w:val="00AE7148"/>
    <w:rsid w:val="00AF03EA"/>
    <w:rsid w:val="00AF1307"/>
    <w:rsid w:val="00AF3219"/>
    <w:rsid w:val="00AF3F09"/>
    <w:rsid w:val="00AF439F"/>
    <w:rsid w:val="00AF5F95"/>
    <w:rsid w:val="00B01889"/>
    <w:rsid w:val="00B07024"/>
    <w:rsid w:val="00B0705F"/>
    <w:rsid w:val="00B07E47"/>
    <w:rsid w:val="00B107BD"/>
    <w:rsid w:val="00B149BE"/>
    <w:rsid w:val="00B21824"/>
    <w:rsid w:val="00B237F5"/>
    <w:rsid w:val="00B247CF"/>
    <w:rsid w:val="00B25D1A"/>
    <w:rsid w:val="00B26CAF"/>
    <w:rsid w:val="00B2733B"/>
    <w:rsid w:val="00B3024A"/>
    <w:rsid w:val="00B318F2"/>
    <w:rsid w:val="00B329BD"/>
    <w:rsid w:val="00B34825"/>
    <w:rsid w:val="00B35F1B"/>
    <w:rsid w:val="00B40104"/>
    <w:rsid w:val="00B40671"/>
    <w:rsid w:val="00B41353"/>
    <w:rsid w:val="00B4227A"/>
    <w:rsid w:val="00B45B46"/>
    <w:rsid w:val="00B47C09"/>
    <w:rsid w:val="00B507BA"/>
    <w:rsid w:val="00B51B59"/>
    <w:rsid w:val="00B51D5B"/>
    <w:rsid w:val="00B53512"/>
    <w:rsid w:val="00B54836"/>
    <w:rsid w:val="00B55450"/>
    <w:rsid w:val="00B5641B"/>
    <w:rsid w:val="00B57673"/>
    <w:rsid w:val="00B579D4"/>
    <w:rsid w:val="00B57C72"/>
    <w:rsid w:val="00B60A06"/>
    <w:rsid w:val="00B625DB"/>
    <w:rsid w:val="00B628F7"/>
    <w:rsid w:val="00B64501"/>
    <w:rsid w:val="00B65BC6"/>
    <w:rsid w:val="00B66BD7"/>
    <w:rsid w:val="00B66EC7"/>
    <w:rsid w:val="00B67C87"/>
    <w:rsid w:val="00B72121"/>
    <w:rsid w:val="00B74F15"/>
    <w:rsid w:val="00B754BA"/>
    <w:rsid w:val="00B77169"/>
    <w:rsid w:val="00B77FC4"/>
    <w:rsid w:val="00B807C4"/>
    <w:rsid w:val="00B815CD"/>
    <w:rsid w:val="00B818D1"/>
    <w:rsid w:val="00B81E0C"/>
    <w:rsid w:val="00B832B7"/>
    <w:rsid w:val="00B841D3"/>
    <w:rsid w:val="00B874F1"/>
    <w:rsid w:val="00B877EF"/>
    <w:rsid w:val="00B910BA"/>
    <w:rsid w:val="00B946BA"/>
    <w:rsid w:val="00B97263"/>
    <w:rsid w:val="00BA08D5"/>
    <w:rsid w:val="00BA3AA2"/>
    <w:rsid w:val="00BA44A5"/>
    <w:rsid w:val="00BA6A5A"/>
    <w:rsid w:val="00BB05A0"/>
    <w:rsid w:val="00BB06C6"/>
    <w:rsid w:val="00BB117B"/>
    <w:rsid w:val="00BB16BA"/>
    <w:rsid w:val="00BB1B72"/>
    <w:rsid w:val="00BB6EB0"/>
    <w:rsid w:val="00BC2977"/>
    <w:rsid w:val="00BC3822"/>
    <w:rsid w:val="00BC49DF"/>
    <w:rsid w:val="00BC696C"/>
    <w:rsid w:val="00BC6C45"/>
    <w:rsid w:val="00BC6FA3"/>
    <w:rsid w:val="00BD02B0"/>
    <w:rsid w:val="00BD0444"/>
    <w:rsid w:val="00BD11A9"/>
    <w:rsid w:val="00BD1A23"/>
    <w:rsid w:val="00BD1DD6"/>
    <w:rsid w:val="00BD1FCC"/>
    <w:rsid w:val="00BD23CC"/>
    <w:rsid w:val="00BD2668"/>
    <w:rsid w:val="00BD3FA4"/>
    <w:rsid w:val="00BD6342"/>
    <w:rsid w:val="00BE0DC0"/>
    <w:rsid w:val="00BE13C2"/>
    <w:rsid w:val="00BE331D"/>
    <w:rsid w:val="00BE3593"/>
    <w:rsid w:val="00BE45FF"/>
    <w:rsid w:val="00BE4BFA"/>
    <w:rsid w:val="00BE507A"/>
    <w:rsid w:val="00BE5603"/>
    <w:rsid w:val="00BE698D"/>
    <w:rsid w:val="00BE7CAA"/>
    <w:rsid w:val="00BF097E"/>
    <w:rsid w:val="00BF25CF"/>
    <w:rsid w:val="00BF25F5"/>
    <w:rsid w:val="00BF29E9"/>
    <w:rsid w:val="00BF568B"/>
    <w:rsid w:val="00BF5BD4"/>
    <w:rsid w:val="00BF6435"/>
    <w:rsid w:val="00BF6C4E"/>
    <w:rsid w:val="00C005DC"/>
    <w:rsid w:val="00C02119"/>
    <w:rsid w:val="00C02D91"/>
    <w:rsid w:val="00C05208"/>
    <w:rsid w:val="00C0558D"/>
    <w:rsid w:val="00C05839"/>
    <w:rsid w:val="00C05FB1"/>
    <w:rsid w:val="00C06EB3"/>
    <w:rsid w:val="00C0792B"/>
    <w:rsid w:val="00C10C95"/>
    <w:rsid w:val="00C13AE9"/>
    <w:rsid w:val="00C1546F"/>
    <w:rsid w:val="00C16361"/>
    <w:rsid w:val="00C169BE"/>
    <w:rsid w:val="00C16EBD"/>
    <w:rsid w:val="00C2190D"/>
    <w:rsid w:val="00C21DA0"/>
    <w:rsid w:val="00C235EC"/>
    <w:rsid w:val="00C240A5"/>
    <w:rsid w:val="00C26A75"/>
    <w:rsid w:val="00C272E5"/>
    <w:rsid w:val="00C27EB8"/>
    <w:rsid w:val="00C31641"/>
    <w:rsid w:val="00C32024"/>
    <w:rsid w:val="00C32A5D"/>
    <w:rsid w:val="00C32DF2"/>
    <w:rsid w:val="00C34321"/>
    <w:rsid w:val="00C34C11"/>
    <w:rsid w:val="00C3621E"/>
    <w:rsid w:val="00C36302"/>
    <w:rsid w:val="00C37F9F"/>
    <w:rsid w:val="00C40125"/>
    <w:rsid w:val="00C4074B"/>
    <w:rsid w:val="00C40884"/>
    <w:rsid w:val="00C4202A"/>
    <w:rsid w:val="00C4224D"/>
    <w:rsid w:val="00C42795"/>
    <w:rsid w:val="00C43A1D"/>
    <w:rsid w:val="00C43D4E"/>
    <w:rsid w:val="00C44D66"/>
    <w:rsid w:val="00C45204"/>
    <w:rsid w:val="00C4685D"/>
    <w:rsid w:val="00C47A2D"/>
    <w:rsid w:val="00C50496"/>
    <w:rsid w:val="00C50EAE"/>
    <w:rsid w:val="00C519EA"/>
    <w:rsid w:val="00C540B7"/>
    <w:rsid w:val="00C55834"/>
    <w:rsid w:val="00C565C4"/>
    <w:rsid w:val="00C56C21"/>
    <w:rsid w:val="00C57257"/>
    <w:rsid w:val="00C57A59"/>
    <w:rsid w:val="00C60743"/>
    <w:rsid w:val="00C61626"/>
    <w:rsid w:val="00C61B9B"/>
    <w:rsid w:val="00C626C0"/>
    <w:rsid w:val="00C63683"/>
    <w:rsid w:val="00C63D8D"/>
    <w:rsid w:val="00C64627"/>
    <w:rsid w:val="00C66BCC"/>
    <w:rsid w:val="00C67371"/>
    <w:rsid w:val="00C67A4B"/>
    <w:rsid w:val="00C70683"/>
    <w:rsid w:val="00C70CCB"/>
    <w:rsid w:val="00C72B96"/>
    <w:rsid w:val="00C732C3"/>
    <w:rsid w:val="00C76DD1"/>
    <w:rsid w:val="00C805E2"/>
    <w:rsid w:val="00C90423"/>
    <w:rsid w:val="00C90E55"/>
    <w:rsid w:val="00C91641"/>
    <w:rsid w:val="00C91F6B"/>
    <w:rsid w:val="00C927E4"/>
    <w:rsid w:val="00C93FAE"/>
    <w:rsid w:val="00C95890"/>
    <w:rsid w:val="00C96C10"/>
    <w:rsid w:val="00CA049F"/>
    <w:rsid w:val="00CA4BA8"/>
    <w:rsid w:val="00CA601F"/>
    <w:rsid w:val="00CA6258"/>
    <w:rsid w:val="00CA6ABF"/>
    <w:rsid w:val="00CA7DFE"/>
    <w:rsid w:val="00CB096D"/>
    <w:rsid w:val="00CB14BB"/>
    <w:rsid w:val="00CB4369"/>
    <w:rsid w:val="00CB5FF2"/>
    <w:rsid w:val="00CC0638"/>
    <w:rsid w:val="00CC128D"/>
    <w:rsid w:val="00CC3442"/>
    <w:rsid w:val="00CC34EB"/>
    <w:rsid w:val="00CC3626"/>
    <w:rsid w:val="00CC40CF"/>
    <w:rsid w:val="00CC43A0"/>
    <w:rsid w:val="00CC574A"/>
    <w:rsid w:val="00CC596D"/>
    <w:rsid w:val="00CC6924"/>
    <w:rsid w:val="00CC79D8"/>
    <w:rsid w:val="00CD040F"/>
    <w:rsid w:val="00CD05FE"/>
    <w:rsid w:val="00CD1E2B"/>
    <w:rsid w:val="00CD1EC8"/>
    <w:rsid w:val="00CD282A"/>
    <w:rsid w:val="00CE18EC"/>
    <w:rsid w:val="00CE5C46"/>
    <w:rsid w:val="00CE7685"/>
    <w:rsid w:val="00CF5EF4"/>
    <w:rsid w:val="00CF7DBF"/>
    <w:rsid w:val="00D02D13"/>
    <w:rsid w:val="00D06143"/>
    <w:rsid w:val="00D07203"/>
    <w:rsid w:val="00D07823"/>
    <w:rsid w:val="00D07D26"/>
    <w:rsid w:val="00D07D9E"/>
    <w:rsid w:val="00D07DBD"/>
    <w:rsid w:val="00D12C4A"/>
    <w:rsid w:val="00D136E5"/>
    <w:rsid w:val="00D1534A"/>
    <w:rsid w:val="00D16AA1"/>
    <w:rsid w:val="00D21421"/>
    <w:rsid w:val="00D21E91"/>
    <w:rsid w:val="00D22D36"/>
    <w:rsid w:val="00D25FE0"/>
    <w:rsid w:val="00D2651C"/>
    <w:rsid w:val="00D2666C"/>
    <w:rsid w:val="00D27D47"/>
    <w:rsid w:val="00D301A4"/>
    <w:rsid w:val="00D30754"/>
    <w:rsid w:val="00D30BBD"/>
    <w:rsid w:val="00D31E76"/>
    <w:rsid w:val="00D37358"/>
    <w:rsid w:val="00D376DF"/>
    <w:rsid w:val="00D37D16"/>
    <w:rsid w:val="00D40798"/>
    <w:rsid w:val="00D43074"/>
    <w:rsid w:val="00D4345B"/>
    <w:rsid w:val="00D43E31"/>
    <w:rsid w:val="00D44D18"/>
    <w:rsid w:val="00D519AB"/>
    <w:rsid w:val="00D52574"/>
    <w:rsid w:val="00D53237"/>
    <w:rsid w:val="00D53C73"/>
    <w:rsid w:val="00D56006"/>
    <w:rsid w:val="00D56765"/>
    <w:rsid w:val="00D56F05"/>
    <w:rsid w:val="00D576B7"/>
    <w:rsid w:val="00D57DC9"/>
    <w:rsid w:val="00D616A9"/>
    <w:rsid w:val="00D624FF"/>
    <w:rsid w:val="00D63CB6"/>
    <w:rsid w:val="00D649E4"/>
    <w:rsid w:val="00D70436"/>
    <w:rsid w:val="00D7074E"/>
    <w:rsid w:val="00D717E3"/>
    <w:rsid w:val="00D71DEA"/>
    <w:rsid w:val="00D73478"/>
    <w:rsid w:val="00D76391"/>
    <w:rsid w:val="00D773F5"/>
    <w:rsid w:val="00D82614"/>
    <w:rsid w:val="00D829BE"/>
    <w:rsid w:val="00D83C22"/>
    <w:rsid w:val="00D8461B"/>
    <w:rsid w:val="00D910A0"/>
    <w:rsid w:val="00D9574B"/>
    <w:rsid w:val="00D96A2A"/>
    <w:rsid w:val="00DA12B7"/>
    <w:rsid w:val="00DA2C33"/>
    <w:rsid w:val="00DA42F6"/>
    <w:rsid w:val="00DA593D"/>
    <w:rsid w:val="00DA7A74"/>
    <w:rsid w:val="00DB1440"/>
    <w:rsid w:val="00DB17E0"/>
    <w:rsid w:val="00DB17E9"/>
    <w:rsid w:val="00DB3A65"/>
    <w:rsid w:val="00DB5409"/>
    <w:rsid w:val="00DB5DFF"/>
    <w:rsid w:val="00DB6095"/>
    <w:rsid w:val="00DB70B1"/>
    <w:rsid w:val="00DC0D4E"/>
    <w:rsid w:val="00DC1130"/>
    <w:rsid w:val="00DC1B48"/>
    <w:rsid w:val="00DC3C42"/>
    <w:rsid w:val="00DC4B54"/>
    <w:rsid w:val="00DC5E44"/>
    <w:rsid w:val="00DC658F"/>
    <w:rsid w:val="00DC6AA6"/>
    <w:rsid w:val="00DC7144"/>
    <w:rsid w:val="00DD183F"/>
    <w:rsid w:val="00DD1D2C"/>
    <w:rsid w:val="00DD2FA9"/>
    <w:rsid w:val="00DD4068"/>
    <w:rsid w:val="00DE2F64"/>
    <w:rsid w:val="00DE7F68"/>
    <w:rsid w:val="00DF145E"/>
    <w:rsid w:val="00DF155D"/>
    <w:rsid w:val="00DF18FD"/>
    <w:rsid w:val="00DF1EA3"/>
    <w:rsid w:val="00DF322B"/>
    <w:rsid w:val="00DF3B15"/>
    <w:rsid w:val="00DF3F56"/>
    <w:rsid w:val="00DF6DB0"/>
    <w:rsid w:val="00DF73BB"/>
    <w:rsid w:val="00DF75A3"/>
    <w:rsid w:val="00E0094B"/>
    <w:rsid w:val="00E011F5"/>
    <w:rsid w:val="00E01415"/>
    <w:rsid w:val="00E02267"/>
    <w:rsid w:val="00E03070"/>
    <w:rsid w:val="00E03701"/>
    <w:rsid w:val="00E043EB"/>
    <w:rsid w:val="00E046AC"/>
    <w:rsid w:val="00E04BB5"/>
    <w:rsid w:val="00E056CE"/>
    <w:rsid w:val="00E0683D"/>
    <w:rsid w:val="00E079DC"/>
    <w:rsid w:val="00E104F7"/>
    <w:rsid w:val="00E113D6"/>
    <w:rsid w:val="00E11565"/>
    <w:rsid w:val="00E12DB4"/>
    <w:rsid w:val="00E23392"/>
    <w:rsid w:val="00E235D1"/>
    <w:rsid w:val="00E26620"/>
    <w:rsid w:val="00E31DD5"/>
    <w:rsid w:val="00E32A7D"/>
    <w:rsid w:val="00E346ED"/>
    <w:rsid w:val="00E34B60"/>
    <w:rsid w:val="00E359FC"/>
    <w:rsid w:val="00E375B6"/>
    <w:rsid w:val="00E40344"/>
    <w:rsid w:val="00E42A07"/>
    <w:rsid w:val="00E4432D"/>
    <w:rsid w:val="00E456B3"/>
    <w:rsid w:val="00E465B9"/>
    <w:rsid w:val="00E478FD"/>
    <w:rsid w:val="00E47ADB"/>
    <w:rsid w:val="00E507E9"/>
    <w:rsid w:val="00E53691"/>
    <w:rsid w:val="00E55518"/>
    <w:rsid w:val="00E5594F"/>
    <w:rsid w:val="00E62774"/>
    <w:rsid w:val="00E6327A"/>
    <w:rsid w:val="00E643F1"/>
    <w:rsid w:val="00E649AA"/>
    <w:rsid w:val="00E66175"/>
    <w:rsid w:val="00E664AB"/>
    <w:rsid w:val="00E672F3"/>
    <w:rsid w:val="00E723A4"/>
    <w:rsid w:val="00E73E75"/>
    <w:rsid w:val="00E74D7C"/>
    <w:rsid w:val="00E75F7B"/>
    <w:rsid w:val="00E81123"/>
    <w:rsid w:val="00E8498D"/>
    <w:rsid w:val="00E86BE9"/>
    <w:rsid w:val="00E91E52"/>
    <w:rsid w:val="00E929E1"/>
    <w:rsid w:val="00E97EF2"/>
    <w:rsid w:val="00EA1BD3"/>
    <w:rsid w:val="00EA2D84"/>
    <w:rsid w:val="00EA3149"/>
    <w:rsid w:val="00EB0FD9"/>
    <w:rsid w:val="00EB1EA5"/>
    <w:rsid w:val="00EB3C65"/>
    <w:rsid w:val="00EB45FD"/>
    <w:rsid w:val="00EB48A1"/>
    <w:rsid w:val="00EB49D7"/>
    <w:rsid w:val="00EB52CC"/>
    <w:rsid w:val="00EB54F9"/>
    <w:rsid w:val="00EB7FC8"/>
    <w:rsid w:val="00EC00CD"/>
    <w:rsid w:val="00EC3A23"/>
    <w:rsid w:val="00EC53CE"/>
    <w:rsid w:val="00EC555B"/>
    <w:rsid w:val="00EC5E3B"/>
    <w:rsid w:val="00EC69DD"/>
    <w:rsid w:val="00EC6DF5"/>
    <w:rsid w:val="00EC7780"/>
    <w:rsid w:val="00ED03AB"/>
    <w:rsid w:val="00ED07D7"/>
    <w:rsid w:val="00ED3ED5"/>
    <w:rsid w:val="00ED4F83"/>
    <w:rsid w:val="00ED648B"/>
    <w:rsid w:val="00ED64EE"/>
    <w:rsid w:val="00EE0037"/>
    <w:rsid w:val="00EE0505"/>
    <w:rsid w:val="00EE0553"/>
    <w:rsid w:val="00EE28F0"/>
    <w:rsid w:val="00EE3AB8"/>
    <w:rsid w:val="00EE3F75"/>
    <w:rsid w:val="00EF159D"/>
    <w:rsid w:val="00EF3517"/>
    <w:rsid w:val="00EF3DE1"/>
    <w:rsid w:val="00EF5C8E"/>
    <w:rsid w:val="00F02BDF"/>
    <w:rsid w:val="00F036F6"/>
    <w:rsid w:val="00F0463B"/>
    <w:rsid w:val="00F05915"/>
    <w:rsid w:val="00F06C8A"/>
    <w:rsid w:val="00F10BEF"/>
    <w:rsid w:val="00F10C31"/>
    <w:rsid w:val="00F11E94"/>
    <w:rsid w:val="00F15BAF"/>
    <w:rsid w:val="00F161FE"/>
    <w:rsid w:val="00F21984"/>
    <w:rsid w:val="00F23A8C"/>
    <w:rsid w:val="00F23D63"/>
    <w:rsid w:val="00F244AA"/>
    <w:rsid w:val="00F246A4"/>
    <w:rsid w:val="00F25380"/>
    <w:rsid w:val="00F25542"/>
    <w:rsid w:val="00F2711B"/>
    <w:rsid w:val="00F2736C"/>
    <w:rsid w:val="00F31097"/>
    <w:rsid w:val="00F335F7"/>
    <w:rsid w:val="00F33A98"/>
    <w:rsid w:val="00F347E9"/>
    <w:rsid w:val="00F3532C"/>
    <w:rsid w:val="00F36E71"/>
    <w:rsid w:val="00F42190"/>
    <w:rsid w:val="00F447D3"/>
    <w:rsid w:val="00F46B89"/>
    <w:rsid w:val="00F47386"/>
    <w:rsid w:val="00F53FEC"/>
    <w:rsid w:val="00F549A5"/>
    <w:rsid w:val="00F54AFD"/>
    <w:rsid w:val="00F55765"/>
    <w:rsid w:val="00F55FF3"/>
    <w:rsid w:val="00F5769F"/>
    <w:rsid w:val="00F57891"/>
    <w:rsid w:val="00F601A3"/>
    <w:rsid w:val="00F607F7"/>
    <w:rsid w:val="00F60DED"/>
    <w:rsid w:val="00F612A7"/>
    <w:rsid w:val="00F633E6"/>
    <w:rsid w:val="00F66C81"/>
    <w:rsid w:val="00F67675"/>
    <w:rsid w:val="00F70386"/>
    <w:rsid w:val="00F70620"/>
    <w:rsid w:val="00F71A0F"/>
    <w:rsid w:val="00F71BDD"/>
    <w:rsid w:val="00F748CB"/>
    <w:rsid w:val="00F76DDB"/>
    <w:rsid w:val="00F770C8"/>
    <w:rsid w:val="00F7730B"/>
    <w:rsid w:val="00F81797"/>
    <w:rsid w:val="00F81831"/>
    <w:rsid w:val="00F822AC"/>
    <w:rsid w:val="00F83DCA"/>
    <w:rsid w:val="00F848B6"/>
    <w:rsid w:val="00F84A6F"/>
    <w:rsid w:val="00F84F1D"/>
    <w:rsid w:val="00F8522A"/>
    <w:rsid w:val="00F85C13"/>
    <w:rsid w:val="00F85D43"/>
    <w:rsid w:val="00F87402"/>
    <w:rsid w:val="00F87916"/>
    <w:rsid w:val="00F932F5"/>
    <w:rsid w:val="00F93BAA"/>
    <w:rsid w:val="00F960A4"/>
    <w:rsid w:val="00FA1657"/>
    <w:rsid w:val="00FA7C8E"/>
    <w:rsid w:val="00FB0A97"/>
    <w:rsid w:val="00FB117D"/>
    <w:rsid w:val="00FB1E9B"/>
    <w:rsid w:val="00FB25B4"/>
    <w:rsid w:val="00FB2E68"/>
    <w:rsid w:val="00FB4618"/>
    <w:rsid w:val="00FB48A7"/>
    <w:rsid w:val="00FB55A0"/>
    <w:rsid w:val="00FB6950"/>
    <w:rsid w:val="00FB7BEB"/>
    <w:rsid w:val="00FC210F"/>
    <w:rsid w:val="00FC3526"/>
    <w:rsid w:val="00FC47E5"/>
    <w:rsid w:val="00FC49D8"/>
    <w:rsid w:val="00FC5873"/>
    <w:rsid w:val="00FC63BE"/>
    <w:rsid w:val="00FC6FA2"/>
    <w:rsid w:val="00FC793D"/>
    <w:rsid w:val="00FC7AE0"/>
    <w:rsid w:val="00FC7B8E"/>
    <w:rsid w:val="00FC7CC0"/>
    <w:rsid w:val="00FD3262"/>
    <w:rsid w:val="00FD3D51"/>
    <w:rsid w:val="00FD3ED4"/>
    <w:rsid w:val="00FD43BF"/>
    <w:rsid w:val="00FD6E47"/>
    <w:rsid w:val="00FD6F72"/>
    <w:rsid w:val="00FE011F"/>
    <w:rsid w:val="00FE158C"/>
    <w:rsid w:val="00FE2D12"/>
    <w:rsid w:val="00FE49F1"/>
    <w:rsid w:val="00FE5B38"/>
    <w:rsid w:val="00FE6A8A"/>
    <w:rsid w:val="00FE7445"/>
    <w:rsid w:val="00FF0050"/>
    <w:rsid w:val="00FF0E63"/>
    <w:rsid w:val="00FF0FCA"/>
    <w:rsid w:val="00FF3769"/>
    <w:rsid w:val="00FF3840"/>
    <w:rsid w:val="00FF3E1A"/>
    <w:rsid w:val="00FF6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2BD4A"/>
  <w15:docId w15:val="{0C37A552-A130-45AE-A381-168499AD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2DB4"/>
    <w:pPr>
      <w:widowControl w:val="0"/>
      <w:tabs>
        <w:tab w:val="left" w:pos="709"/>
      </w:tabs>
      <w:spacing w:after="360" w:line="480" w:lineRule="auto"/>
      <w:jc w:val="both"/>
      <w:outlineLvl w:val="0"/>
    </w:pPr>
    <w:rPr>
      <w:rFonts w:ascii="Arial" w:eastAsia="Times New Roman" w:hAnsi="Arial" w:cs="Arial"/>
      <w:b/>
      <w:sz w:val="25"/>
      <w:szCs w:val="2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F6"/>
    <w:rPr>
      <w:rFonts w:ascii="Tahoma" w:hAnsi="Tahoma" w:cs="Tahoma"/>
      <w:sz w:val="16"/>
      <w:szCs w:val="16"/>
    </w:rPr>
  </w:style>
  <w:style w:type="table" w:styleId="TableGrid">
    <w:name w:val="Table Grid"/>
    <w:basedOn w:val="TableNormal"/>
    <w:uiPriority w:val="59"/>
    <w:rsid w:val="00386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A6649"/>
    <w:pPr>
      <w:ind w:left="720"/>
      <w:contextualSpacing/>
    </w:pPr>
  </w:style>
  <w:style w:type="paragraph" w:styleId="Header">
    <w:name w:val="header"/>
    <w:basedOn w:val="Normal"/>
    <w:link w:val="HeaderChar"/>
    <w:uiPriority w:val="99"/>
    <w:unhideWhenUsed/>
    <w:rsid w:val="0097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0D6"/>
  </w:style>
  <w:style w:type="paragraph" w:styleId="Footer">
    <w:name w:val="footer"/>
    <w:basedOn w:val="Normal"/>
    <w:link w:val="FooterChar"/>
    <w:uiPriority w:val="99"/>
    <w:unhideWhenUsed/>
    <w:rsid w:val="0097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0D6"/>
  </w:style>
  <w:style w:type="paragraph" w:styleId="FootnoteText">
    <w:name w:val="footnote text"/>
    <w:basedOn w:val="Normal"/>
    <w:link w:val="FootnoteTextChar"/>
    <w:uiPriority w:val="99"/>
    <w:unhideWhenUsed/>
    <w:rsid w:val="00006D75"/>
    <w:pPr>
      <w:spacing w:after="0" w:line="240" w:lineRule="auto"/>
    </w:pPr>
    <w:rPr>
      <w:rFonts w:ascii="Verdana" w:hAnsi="Verdana"/>
      <w:sz w:val="18"/>
      <w:szCs w:val="20"/>
    </w:rPr>
  </w:style>
  <w:style w:type="character" w:customStyle="1" w:styleId="FootnoteTextChar">
    <w:name w:val="Footnote Text Char"/>
    <w:basedOn w:val="DefaultParagraphFont"/>
    <w:link w:val="FootnoteText"/>
    <w:uiPriority w:val="99"/>
    <w:rsid w:val="00006D75"/>
    <w:rPr>
      <w:rFonts w:ascii="Verdana" w:hAnsi="Verdana"/>
      <w:sz w:val="18"/>
      <w:szCs w:val="20"/>
    </w:rPr>
  </w:style>
  <w:style w:type="character" w:styleId="FootnoteReference">
    <w:name w:val="footnote reference"/>
    <w:aliases w:val="Footnote Reference + Superscript"/>
    <w:basedOn w:val="DefaultParagraphFont"/>
    <w:uiPriority w:val="99"/>
    <w:unhideWhenUsed/>
    <w:qFormat/>
    <w:rsid w:val="00A22D83"/>
    <w:rPr>
      <w:vertAlign w:val="superscript"/>
    </w:rPr>
  </w:style>
  <w:style w:type="character" w:customStyle="1" w:styleId="mc">
    <w:name w:val="mc"/>
    <w:basedOn w:val="DefaultParagraphFont"/>
    <w:rsid w:val="006E53C6"/>
  </w:style>
  <w:style w:type="character" w:customStyle="1" w:styleId="g1">
    <w:name w:val="g1"/>
    <w:basedOn w:val="DefaultParagraphFont"/>
    <w:rsid w:val="006E53C6"/>
  </w:style>
  <w:style w:type="character" w:styleId="Hyperlink">
    <w:name w:val="Hyperlink"/>
    <w:basedOn w:val="DefaultParagraphFont"/>
    <w:uiPriority w:val="99"/>
    <w:unhideWhenUsed/>
    <w:rsid w:val="006E53C6"/>
    <w:rPr>
      <w:color w:val="0000FF"/>
      <w:u w:val="single"/>
    </w:rPr>
  </w:style>
  <w:style w:type="character" w:customStyle="1" w:styleId="Heading1Char">
    <w:name w:val="Heading 1 Char"/>
    <w:basedOn w:val="DefaultParagraphFont"/>
    <w:link w:val="Heading1"/>
    <w:rsid w:val="00E12DB4"/>
    <w:rPr>
      <w:rFonts w:ascii="Arial" w:eastAsia="Times New Roman" w:hAnsi="Arial" w:cs="Arial"/>
      <w:b/>
      <w:sz w:val="25"/>
      <w:szCs w:val="25"/>
      <w:lang w:val="en-GB"/>
    </w:rPr>
  </w:style>
  <w:style w:type="paragraph" w:customStyle="1" w:styleId="Indent">
    <w:name w:val="Indent"/>
    <w:basedOn w:val="Normal"/>
    <w:rsid w:val="00E12DB4"/>
    <w:pPr>
      <w:spacing w:after="0" w:line="240" w:lineRule="auto"/>
    </w:pPr>
    <w:rPr>
      <w:rFonts w:ascii="Times New Roman" w:eastAsia="Times New Roman" w:hAnsi="Times New Roman" w:cs="Times New Roman"/>
      <w:sz w:val="24"/>
      <w:szCs w:val="20"/>
      <w:lang w:val="en-US"/>
    </w:rPr>
  </w:style>
  <w:style w:type="character" w:customStyle="1" w:styleId="UnresolvedMention1">
    <w:name w:val="Unresolved Mention1"/>
    <w:basedOn w:val="DefaultParagraphFont"/>
    <w:uiPriority w:val="99"/>
    <w:semiHidden/>
    <w:unhideWhenUsed/>
    <w:rsid w:val="006C5988"/>
    <w:rPr>
      <w:color w:val="605E5C"/>
      <w:shd w:val="clear" w:color="auto" w:fill="E1DFDD"/>
    </w:rPr>
  </w:style>
  <w:style w:type="character" w:styleId="Emphasis">
    <w:name w:val="Emphasis"/>
    <w:basedOn w:val="DefaultParagraphFont"/>
    <w:uiPriority w:val="20"/>
    <w:qFormat/>
    <w:rsid w:val="00605101"/>
    <w:rPr>
      <w:i/>
      <w:iCs/>
    </w:rPr>
  </w:style>
  <w:style w:type="character" w:customStyle="1" w:styleId="ListParagraphChar">
    <w:name w:val="List Paragraph Char"/>
    <w:link w:val="ListParagraph"/>
    <w:uiPriority w:val="34"/>
    <w:rsid w:val="003A5E99"/>
  </w:style>
  <w:style w:type="character" w:customStyle="1" w:styleId="UnresolvedMention">
    <w:name w:val="Unresolved Mention"/>
    <w:basedOn w:val="DefaultParagraphFont"/>
    <w:uiPriority w:val="99"/>
    <w:semiHidden/>
    <w:unhideWhenUsed/>
    <w:rsid w:val="00603F5C"/>
    <w:rPr>
      <w:color w:val="605E5C"/>
      <w:shd w:val="clear" w:color="auto" w:fill="E1DFDD"/>
    </w:rPr>
  </w:style>
  <w:style w:type="character" w:customStyle="1" w:styleId="footnoteanchor">
    <w:name w:val="footnoteanchor"/>
    <w:basedOn w:val="DefaultParagraphFont"/>
    <w:rsid w:val="009D1E54"/>
  </w:style>
  <w:style w:type="paragraph" w:customStyle="1" w:styleId="lrcasename">
    <w:name w:val="lrcasename"/>
    <w:basedOn w:val="Normal"/>
    <w:rsid w:val="00D3075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para">
    <w:name w:val="lrpara"/>
    <w:basedOn w:val="Normal"/>
    <w:rsid w:val="002E73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
    <w:name w:val="lrquote"/>
    <w:basedOn w:val="Normal"/>
    <w:rsid w:val="002E73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flindent">
    <w:name w:val="lrquoteflindent"/>
    <w:basedOn w:val="Normal"/>
    <w:rsid w:val="0041013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indt1hang">
    <w:name w:val="lrquoteindt1hang"/>
    <w:basedOn w:val="Normal"/>
    <w:rsid w:val="008326D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unhideWhenUsed/>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ageno">
    <w:name w:val="pageno"/>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judgecont">
    <w:name w:val="lrjudgecont"/>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paraindt1hang">
    <w:name w:val="lrparaindt1hang"/>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indt2hang">
    <w:name w:val="lrquoteindt2hang"/>
    <w:basedOn w:val="Normal"/>
    <w:rsid w:val="000D164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italic">
    <w:name w:val="italic"/>
    <w:basedOn w:val="DefaultParagraphFont"/>
    <w:rsid w:val="000D1641"/>
  </w:style>
  <w:style w:type="paragraph" w:customStyle="1" w:styleId="lrquoteindt3hang">
    <w:name w:val="lrquoteindt3hang"/>
    <w:basedOn w:val="Normal"/>
    <w:rsid w:val="000D164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bolditalic">
    <w:name w:val="bolditalic"/>
    <w:basedOn w:val="DefaultParagraphFont"/>
    <w:rsid w:val="0021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65061">
      <w:bodyDiv w:val="1"/>
      <w:marLeft w:val="0"/>
      <w:marRight w:val="0"/>
      <w:marTop w:val="0"/>
      <w:marBottom w:val="0"/>
      <w:divBdr>
        <w:top w:val="none" w:sz="0" w:space="0" w:color="auto"/>
        <w:left w:val="none" w:sz="0" w:space="0" w:color="auto"/>
        <w:bottom w:val="none" w:sz="0" w:space="0" w:color="auto"/>
        <w:right w:val="none" w:sz="0" w:space="0" w:color="auto"/>
      </w:divBdr>
    </w:div>
    <w:div w:id="530074285">
      <w:bodyDiv w:val="1"/>
      <w:marLeft w:val="0"/>
      <w:marRight w:val="0"/>
      <w:marTop w:val="0"/>
      <w:marBottom w:val="0"/>
      <w:divBdr>
        <w:top w:val="none" w:sz="0" w:space="0" w:color="auto"/>
        <w:left w:val="none" w:sz="0" w:space="0" w:color="auto"/>
        <w:bottom w:val="none" w:sz="0" w:space="0" w:color="auto"/>
        <w:right w:val="none" w:sz="0" w:space="0" w:color="auto"/>
      </w:divBdr>
    </w:div>
    <w:div w:id="543449377">
      <w:bodyDiv w:val="1"/>
      <w:marLeft w:val="0"/>
      <w:marRight w:val="0"/>
      <w:marTop w:val="0"/>
      <w:marBottom w:val="0"/>
      <w:divBdr>
        <w:top w:val="none" w:sz="0" w:space="0" w:color="auto"/>
        <w:left w:val="none" w:sz="0" w:space="0" w:color="auto"/>
        <w:bottom w:val="none" w:sz="0" w:space="0" w:color="auto"/>
        <w:right w:val="none" w:sz="0" w:space="0" w:color="auto"/>
      </w:divBdr>
      <w:divsChild>
        <w:div w:id="1301227203">
          <w:marLeft w:val="0"/>
          <w:marRight w:val="0"/>
          <w:marTop w:val="120"/>
          <w:marBottom w:val="0"/>
          <w:divBdr>
            <w:top w:val="none" w:sz="0" w:space="0" w:color="auto"/>
            <w:left w:val="none" w:sz="0" w:space="0" w:color="auto"/>
            <w:bottom w:val="none" w:sz="0" w:space="0" w:color="auto"/>
            <w:right w:val="none" w:sz="0" w:space="0" w:color="auto"/>
          </w:divBdr>
        </w:div>
      </w:divsChild>
    </w:div>
    <w:div w:id="897280943">
      <w:bodyDiv w:val="1"/>
      <w:marLeft w:val="0"/>
      <w:marRight w:val="0"/>
      <w:marTop w:val="0"/>
      <w:marBottom w:val="0"/>
      <w:divBdr>
        <w:top w:val="none" w:sz="0" w:space="0" w:color="auto"/>
        <w:left w:val="none" w:sz="0" w:space="0" w:color="auto"/>
        <w:bottom w:val="none" w:sz="0" w:space="0" w:color="auto"/>
        <w:right w:val="none" w:sz="0" w:space="0" w:color="auto"/>
      </w:divBdr>
      <w:divsChild>
        <w:div w:id="730691413">
          <w:marLeft w:val="0"/>
          <w:marRight w:val="0"/>
          <w:marTop w:val="0"/>
          <w:marBottom w:val="0"/>
          <w:divBdr>
            <w:top w:val="none" w:sz="0" w:space="0" w:color="auto"/>
            <w:left w:val="none" w:sz="0" w:space="0" w:color="auto"/>
            <w:bottom w:val="none" w:sz="0" w:space="0" w:color="auto"/>
            <w:right w:val="none" w:sz="0" w:space="0" w:color="auto"/>
          </w:divBdr>
        </w:div>
      </w:divsChild>
    </w:div>
    <w:div w:id="1149253531">
      <w:bodyDiv w:val="1"/>
      <w:marLeft w:val="0"/>
      <w:marRight w:val="0"/>
      <w:marTop w:val="0"/>
      <w:marBottom w:val="0"/>
      <w:divBdr>
        <w:top w:val="none" w:sz="0" w:space="0" w:color="auto"/>
        <w:left w:val="none" w:sz="0" w:space="0" w:color="auto"/>
        <w:bottom w:val="none" w:sz="0" w:space="0" w:color="auto"/>
        <w:right w:val="none" w:sz="0" w:space="0" w:color="auto"/>
      </w:divBdr>
      <w:divsChild>
        <w:div w:id="1309238299">
          <w:marLeft w:val="0"/>
          <w:marRight w:val="0"/>
          <w:marTop w:val="120"/>
          <w:marBottom w:val="0"/>
          <w:divBdr>
            <w:top w:val="none" w:sz="0" w:space="0" w:color="auto"/>
            <w:left w:val="none" w:sz="0" w:space="0" w:color="auto"/>
            <w:bottom w:val="none" w:sz="0" w:space="0" w:color="auto"/>
            <w:right w:val="none" w:sz="0" w:space="0" w:color="auto"/>
          </w:divBdr>
        </w:div>
        <w:div w:id="408769957">
          <w:marLeft w:val="1134"/>
          <w:marRight w:val="0"/>
          <w:marTop w:val="60"/>
          <w:marBottom w:val="0"/>
          <w:divBdr>
            <w:top w:val="none" w:sz="0" w:space="0" w:color="auto"/>
            <w:left w:val="none" w:sz="0" w:space="0" w:color="auto"/>
            <w:bottom w:val="none" w:sz="0" w:space="0" w:color="auto"/>
            <w:right w:val="none" w:sz="0" w:space="0" w:color="auto"/>
          </w:divBdr>
        </w:div>
        <w:div w:id="1194734634">
          <w:marLeft w:val="1134"/>
          <w:marRight w:val="0"/>
          <w:marTop w:val="60"/>
          <w:marBottom w:val="0"/>
          <w:divBdr>
            <w:top w:val="none" w:sz="0" w:space="0" w:color="auto"/>
            <w:left w:val="none" w:sz="0" w:space="0" w:color="auto"/>
            <w:bottom w:val="none" w:sz="0" w:space="0" w:color="auto"/>
            <w:right w:val="none" w:sz="0" w:space="0" w:color="auto"/>
          </w:divBdr>
        </w:div>
      </w:divsChild>
    </w:div>
    <w:div w:id="1271938927">
      <w:bodyDiv w:val="1"/>
      <w:marLeft w:val="0"/>
      <w:marRight w:val="0"/>
      <w:marTop w:val="0"/>
      <w:marBottom w:val="0"/>
      <w:divBdr>
        <w:top w:val="none" w:sz="0" w:space="0" w:color="auto"/>
        <w:left w:val="none" w:sz="0" w:space="0" w:color="auto"/>
        <w:bottom w:val="none" w:sz="0" w:space="0" w:color="auto"/>
        <w:right w:val="none" w:sz="0" w:space="0" w:color="auto"/>
      </w:divBdr>
    </w:div>
    <w:div w:id="1272123496">
      <w:bodyDiv w:val="1"/>
      <w:marLeft w:val="0"/>
      <w:marRight w:val="0"/>
      <w:marTop w:val="0"/>
      <w:marBottom w:val="0"/>
      <w:divBdr>
        <w:top w:val="none" w:sz="0" w:space="0" w:color="auto"/>
        <w:left w:val="none" w:sz="0" w:space="0" w:color="auto"/>
        <w:bottom w:val="none" w:sz="0" w:space="0" w:color="auto"/>
        <w:right w:val="none" w:sz="0" w:space="0" w:color="auto"/>
      </w:divBdr>
    </w:div>
    <w:div w:id="1275288874">
      <w:bodyDiv w:val="1"/>
      <w:marLeft w:val="0"/>
      <w:marRight w:val="0"/>
      <w:marTop w:val="0"/>
      <w:marBottom w:val="0"/>
      <w:divBdr>
        <w:top w:val="none" w:sz="0" w:space="0" w:color="auto"/>
        <w:left w:val="none" w:sz="0" w:space="0" w:color="auto"/>
        <w:bottom w:val="none" w:sz="0" w:space="0" w:color="auto"/>
        <w:right w:val="none" w:sz="0" w:space="0" w:color="auto"/>
      </w:divBdr>
      <w:divsChild>
        <w:div w:id="1974092006">
          <w:marLeft w:val="0"/>
          <w:marRight w:val="0"/>
          <w:marTop w:val="0"/>
          <w:marBottom w:val="0"/>
          <w:divBdr>
            <w:top w:val="none" w:sz="0" w:space="0" w:color="auto"/>
            <w:left w:val="none" w:sz="0" w:space="0" w:color="auto"/>
            <w:bottom w:val="none" w:sz="0" w:space="0" w:color="auto"/>
            <w:right w:val="none" w:sz="0" w:space="0" w:color="auto"/>
          </w:divBdr>
        </w:div>
      </w:divsChild>
    </w:div>
    <w:div w:id="1323041106">
      <w:bodyDiv w:val="1"/>
      <w:marLeft w:val="0"/>
      <w:marRight w:val="0"/>
      <w:marTop w:val="0"/>
      <w:marBottom w:val="0"/>
      <w:divBdr>
        <w:top w:val="none" w:sz="0" w:space="0" w:color="auto"/>
        <w:left w:val="none" w:sz="0" w:space="0" w:color="auto"/>
        <w:bottom w:val="none" w:sz="0" w:space="0" w:color="auto"/>
        <w:right w:val="none" w:sz="0" w:space="0" w:color="auto"/>
      </w:divBdr>
      <w:divsChild>
        <w:div w:id="650402474">
          <w:marLeft w:val="0"/>
          <w:marRight w:val="0"/>
          <w:marTop w:val="120"/>
          <w:marBottom w:val="0"/>
          <w:divBdr>
            <w:top w:val="none" w:sz="0" w:space="0" w:color="auto"/>
            <w:left w:val="none" w:sz="0" w:space="0" w:color="auto"/>
            <w:bottom w:val="none" w:sz="0" w:space="0" w:color="auto"/>
            <w:right w:val="none" w:sz="0" w:space="0" w:color="auto"/>
          </w:divBdr>
        </w:div>
      </w:divsChild>
    </w:div>
    <w:div w:id="1332372177">
      <w:bodyDiv w:val="1"/>
      <w:marLeft w:val="0"/>
      <w:marRight w:val="0"/>
      <w:marTop w:val="0"/>
      <w:marBottom w:val="0"/>
      <w:divBdr>
        <w:top w:val="none" w:sz="0" w:space="0" w:color="auto"/>
        <w:left w:val="none" w:sz="0" w:space="0" w:color="auto"/>
        <w:bottom w:val="none" w:sz="0" w:space="0" w:color="auto"/>
        <w:right w:val="none" w:sz="0" w:space="0" w:color="auto"/>
      </w:divBdr>
    </w:div>
    <w:div w:id="1545825094">
      <w:bodyDiv w:val="1"/>
      <w:marLeft w:val="0"/>
      <w:marRight w:val="0"/>
      <w:marTop w:val="0"/>
      <w:marBottom w:val="0"/>
      <w:divBdr>
        <w:top w:val="none" w:sz="0" w:space="0" w:color="auto"/>
        <w:left w:val="none" w:sz="0" w:space="0" w:color="auto"/>
        <w:bottom w:val="none" w:sz="0" w:space="0" w:color="auto"/>
        <w:right w:val="none" w:sz="0" w:space="0" w:color="auto"/>
      </w:divBdr>
    </w:div>
    <w:div w:id="1555628233">
      <w:bodyDiv w:val="1"/>
      <w:marLeft w:val="0"/>
      <w:marRight w:val="0"/>
      <w:marTop w:val="0"/>
      <w:marBottom w:val="0"/>
      <w:divBdr>
        <w:top w:val="none" w:sz="0" w:space="0" w:color="auto"/>
        <w:left w:val="none" w:sz="0" w:space="0" w:color="auto"/>
        <w:bottom w:val="none" w:sz="0" w:space="0" w:color="auto"/>
        <w:right w:val="none" w:sz="0" w:space="0" w:color="auto"/>
      </w:divBdr>
      <w:divsChild>
        <w:div w:id="1039548052">
          <w:marLeft w:val="0"/>
          <w:marRight w:val="0"/>
          <w:marTop w:val="0"/>
          <w:marBottom w:val="0"/>
          <w:divBdr>
            <w:top w:val="none" w:sz="0" w:space="0" w:color="auto"/>
            <w:left w:val="none" w:sz="0" w:space="0" w:color="auto"/>
            <w:bottom w:val="none" w:sz="0" w:space="0" w:color="auto"/>
            <w:right w:val="none" w:sz="0" w:space="0" w:color="auto"/>
          </w:divBdr>
        </w:div>
      </w:divsChild>
    </w:div>
    <w:div w:id="1639608850">
      <w:bodyDiv w:val="1"/>
      <w:marLeft w:val="0"/>
      <w:marRight w:val="0"/>
      <w:marTop w:val="0"/>
      <w:marBottom w:val="0"/>
      <w:divBdr>
        <w:top w:val="none" w:sz="0" w:space="0" w:color="auto"/>
        <w:left w:val="none" w:sz="0" w:space="0" w:color="auto"/>
        <w:bottom w:val="none" w:sz="0" w:space="0" w:color="auto"/>
        <w:right w:val="none" w:sz="0" w:space="0" w:color="auto"/>
      </w:divBdr>
    </w:div>
    <w:div w:id="1693874741">
      <w:bodyDiv w:val="1"/>
      <w:marLeft w:val="0"/>
      <w:marRight w:val="0"/>
      <w:marTop w:val="0"/>
      <w:marBottom w:val="0"/>
      <w:divBdr>
        <w:top w:val="none" w:sz="0" w:space="0" w:color="auto"/>
        <w:left w:val="none" w:sz="0" w:space="0" w:color="auto"/>
        <w:bottom w:val="none" w:sz="0" w:space="0" w:color="auto"/>
        <w:right w:val="none" w:sz="0" w:space="0" w:color="auto"/>
      </w:divBdr>
    </w:div>
    <w:div w:id="1711606905">
      <w:bodyDiv w:val="1"/>
      <w:marLeft w:val="0"/>
      <w:marRight w:val="0"/>
      <w:marTop w:val="0"/>
      <w:marBottom w:val="0"/>
      <w:divBdr>
        <w:top w:val="none" w:sz="0" w:space="0" w:color="auto"/>
        <w:left w:val="none" w:sz="0" w:space="0" w:color="auto"/>
        <w:bottom w:val="none" w:sz="0" w:space="0" w:color="auto"/>
        <w:right w:val="none" w:sz="0" w:space="0" w:color="auto"/>
      </w:divBdr>
    </w:div>
    <w:div w:id="1757969184">
      <w:bodyDiv w:val="1"/>
      <w:marLeft w:val="0"/>
      <w:marRight w:val="0"/>
      <w:marTop w:val="0"/>
      <w:marBottom w:val="0"/>
      <w:divBdr>
        <w:top w:val="none" w:sz="0" w:space="0" w:color="auto"/>
        <w:left w:val="none" w:sz="0" w:space="0" w:color="auto"/>
        <w:bottom w:val="none" w:sz="0" w:space="0" w:color="auto"/>
        <w:right w:val="none" w:sz="0" w:space="0" w:color="auto"/>
      </w:divBdr>
    </w:div>
    <w:div w:id="1831945492">
      <w:bodyDiv w:val="1"/>
      <w:marLeft w:val="0"/>
      <w:marRight w:val="0"/>
      <w:marTop w:val="0"/>
      <w:marBottom w:val="0"/>
      <w:divBdr>
        <w:top w:val="none" w:sz="0" w:space="0" w:color="auto"/>
        <w:left w:val="none" w:sz="0" w:space="0" w:color="auto"/>
        <w:bottom w:val="none" w:sz="0" w:space="0" w:color="auto"/>
        <w:right w:val="none" w:sz="0" w:space="0" w:color="auto"/>
      </w:divBdr>
      <w:divsChild>
        <w:div w:id="1495804089">
          <w:marLeft w:val="0"/>
          <w:marRight w:val="0"/>
          <w:marTop w:val="120"/>
          <w:marBottom w:val="0"/>
          <w:divBdr>
            <w:top w:val="none" w:sz="0" w:space="0" w:color="auto"/>
            <w:left w:val="none" w:sz="0" w:space="0" w:color="auto"/>
            <w:bottom w:val="none" w:sz="0" w:space="0" w:color="auto"/>
            <w:right w:val="none" w:sz="0" w:space="0" w:color="auto"/>
          </w:divBdr>
        </w:div>
        <w:div w:id="1489975061">
          <w:marLeft w:val="0"/>
          <w:marRight w:val="0"/>
          <w:marTop w:val="240"/>
          <w:marBottom w:val="24"/>
          <w:divBdr>
            <w:top w:val="single" w:sz="8" w:space="2" w:color="808080"/>
            <w:left w:val="none" w:sz="0" w:space="0" w:color="auto"/>
            <w:bottom w:val="none" w:sz="0" w:space="0" w:color="auto"/>
            <w:right w:val="none" w:sz="0" w:space="0" w:color="auto"/>
          </w:divBdr>
        </w:div>
        <w:div w:id="778984813">
          <w:marLeft w:val="0"/>
          <w:marRight w:val="0"/>
          <w:marTop w:val="120"/>
          <w:marBottom w:val="0"/>
          <w:divBdr>
            <w:top w:val="none" w:sz="0" w:space="0" w:color="auto"/>
            <w:left w:val="none" w:sz="0" w:space="0" w:color="auto"/>
            <w:bottom w:val="none" w:sz="0" w:space="0" w:color="auto"/>
            <w:right w:val="none" w:sz="0" w:space="0" w:color="auto"/>
          </w:divBdr>
        </w:div>
        <w:div w:id="1337462878">
          <w:marLeft w:val="0"/>
          <w:marRight w:val="0"/>
          <w:marTop w:val="120"/>
          <w:marBottom w:val="0"/>
          <w:divBdr>
            <w:top w:val="none" w:sz="0" w:space="0" w:color="auto"/>
            <w:left w:val="none" w:sz="0" w:space="0" w:color="auto"/>
            <w:bottom w:val="none" w:sz="0" w:space="0" w:color="auto"/>
            <w:right w:val="none" w:sz="0" w:space="0" w:color="auto"/>
          </w:divBdr>
        </w:div>
      </w:divsChild>
    </w:div>
    <w:div w:id="1908492622">
      <w:bodyDiv w:val="1"/>
      <w:marLeft w:val="0"/>
      <w:marRight w:val="0"/>
      <w:marTop w:val="0"/>
      <w:marBottom w:val="0"/>
      <w:divBdr>
        <w:top w:val="none" w:sz="0" w:space="0" w:color="auto"/>
        <w:left w:val="none" w:sz="0" w:space="0" w:color="auto"/>
        <w:bottom w:val="none" w:sz="0" w:space="0" w:color="auto"/>
        <w:right w:val="none" w:sz="0" w:space="0" w:color="auto"/>
      </w:divBdr>
      <w:divsChild>
        <w:div w:id="220676826">
          <w:marLeft w:val="0"/>
          <w:marRight w:val="0"/>
          <w:marTop w:val="120"/>
          <w:marBottom w:val="0"/>
          <w:divBdr>
            <w:top w:val="none" w:sz="0" w:space="0" w:color="auto"/>
            <w:left w:val="none" w:sz="0" w:space="0" w:color="auto"/>
            <w:bottom w:val="none" w:sz="0" w:space="0" w:color="auto"/>
            <w:right w:val="none" w:sz="0" w:space="0" w:color="auto"/>
          </w:divBdr>
        </w:div>
        <w:div w:id="1042635059">
          <w:marLeft w:val="0"/>
          <w:marRight w:val="0"/>
          <w:marTop w:val="240"/>
          <w:marBottom w:val="24"/>
          <w:divBdr>
            <w:top w:val="single" w:sz="8" w:space="2" w:color="808080"/>
            <w:left w:val="none" w:sz="0" w:space="0" w:color="auto"/>
            <w:bottom w:val="none" w:sz="0" w:space="0" w:color="auto"/>
            <w:right w:val="none" w:sz="0" w:space="0" w:color="auto"/>
          </w:divBdr>
        </w:div>
        <w:div w:id="465513452">
          <w:marLeft w:val="0"/>
          <w:marRight w:val="0"/>
          <w:marTop w:val="120"/>
          <w:marBottom w:val="0"/>
          <w:divBdr>
            <w:top w:val="none" w:sz="0" w:space="0" w:color="auto"/>
            <w:left w:val="none" w:sz="0" w:space="0" w:color="auto"/>
            <w:bottom w:val="none" w:sz="0" w:space="0" w:color="auto"/>
            <w:right w:val="none" w:sz="0" w:space="0" w:color="auto"/>
          </w:divBdr>
        </w:div>
        <w:div w:id="148060092">
          <w:marLeft w:val="0"/>
          <w:marRight w:val="0"/>
          <w:marTop w:val="120"/>
          <w:marBottom w:val="0"/>
          <w:divBdr>
            <w:top w:val="none" w:sz="0" w:space="0" w:color="auto"/>
            <w:left w:val="none" w:sz="0" w:space="0" w:color="auto"/>
            <w:bottom w:val="none" w:sz="0" w:space="0" w:color="auto"/>
            <w:right w:val="none" w:sz="0" w:space="0" w:color="auto"/>
          </w:divBdr>
        </w:div>
        <w:div w:id="909578429">
          <w:marLeft w:val="0"/>
          <w:marRight w:val="0"/>
          <w:marTop w:val="120"/>
          <w:marBottom w:val="0"/>
          <w:divBdr>
            <w:top w:val="none" w:sz="0" w:space="0" w:color="auto"/>
            <w:left w:val="none" w:sz="0" w:space="0" w:color="auto"/>
            <w:bottom w:val="none" w:sz="0" w:space="0" w:color="auto"/>
            <w:right w:val="none" w:sz="0" w:space="0" w:color="auto"/>
          </w:divBdr>
        </w:div>
        <w:div w:id="808598496">
          <w:marLeft w:val="567"/>
          <w:marRight w:val="0"/>
          <w:marTop w:val="120"/>
          <w:marBottom w:val="0"/>
          <w:divBdr>
            <w:top w:val="none" w:sz="0" w:space="0" w:color="auto"/>
            <w:left w:val="none" w:sz="0" w:space="0" w:color="auto"/>
            <w:bottom w:val="none" w:sz="0" w:space="0" w:color="auto"/>
            <w:right w:val="none" w:sz="0" w:space="0" w:color="auto"/>
          </w:divBdr>
        </w:div>
        <w:div w:id="638648763">
          <w:marLeft w:val="0"/>
          <w:marRight w:val="0"/>
          <w:marTop w:val="240"/>
          <w:marBottom w:val="24"/>
          <w:divBdr>
            <w:top w:val="single" w:sz="8" w:space="2" w:color="808080"/>
            <w:left w:val="none" w:sz="0" w:space="0" w:color="auto"/>
            <w:bottom w:val="none" w:sz="0" w:space="0" w:color="auto"/>
            <w:right w:val="none" w:sz="0" w:space="0" w:color="auto"/>
          </w:divBdr>
        </w:div>
        <w:div w:id="1591741200">
          <w:marLeft w:val="0"/>
          <w:marRight w:val="0"/>
          <w:marTop w:val="120"/>
          <w:marBottom w:val="0"/>
          <w:divBdr>
            <w:top w:val="none" w:sz="0" w:space="0" w:color="auto"/>
            <w:left w:val="none" w:sz="0" w:space="0" w:color="auto"/>
            <w:bottom w:val="none" w:sz="0" w:space="0" w:color="auto"/>
            <w:right w:val="none" w:sz="0" w:space="0" w:color="auto"/>
          </w:divBdr>
        </w:div>
        <w:div w:id="1753508644">
          <w:marLeft w:val="567"/>
          <w:marRight w:val="0"/>
          <w:marTop w:val="120"/>
          <w:marBottom w:val="0"/>
          <w:divBdr>
            <w:top w:val="none" w:sz="0" w:space="0" w:color="auto"/>
            <w:left w:val="none" w:sz="0" w:space="0" w:color="auto"/>
            <w:bottom w:val="none" w:sz="0" w:space="0" w:color="auto"/>
            <w:right w:val="none" w:sz="0" w:space="0" w:color="auto"/>
          </w:divBdr>
        </w:div>
        <w:div w:id="1516378076">
          <w:marLeft w:val="0"/>
          <w:marRight w:val="0"/>
          <w:marTop w:val="120"/>
          <w:marBottom w:val="0"/>
          <w:divBdr>
            <w:top w:val="none" w:sz="0" w:space="0" w:color="auto"/>
            <w:left w:val="none" w:sz="0" w:space="0" w:color="auto"/>
            <w:bottom w:val="none" w:sz="0" w:space="0" w:color="auto"/>
            <w:right w:val="none" w:sz="0" w:space="0" w:color="auto"/>
          </w:divBdr>
        </w:div>
      </w:divsChild>
    </w:div>
    <w:div w:id="20940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jwankie@m4attorneys.co.za" TargetMode="External"/><Relationship Id="rId5" Type="http://schemas.openxmlformats.org/officeDocument/2006/relationships/webSettings" Target="webSettings.xml"/><Relationship Id="rId10" Type="http://schemas.openxmlformats.org/officeDocument/2006/relationships/hyperlink" Target="mailto:jhclark@clarks.co.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cgi-bin/LawCite?cit=1945%20WLD%2016" TargetMode="External"/><Relationship Id="rId3" Type="http://schemas.openxmlformats.org/officeDocument/2006/relationships/hyperlink" Target="https://www.saflii.org/cgi-bin/LawCite?cit=1988%20%283%29%20SA%20259" TargetMode="External"/><Relationship Id="rId7" Type="http://schemas.openxmlformats.org/officeDocument/2006/relationships/hyperlink" Target="http://www.saflii.org/cgi-bin/LawCite?cit=1968%20%283%29%20SA%20526" TargetMode="External"/><Relationship Id="rId2" Type="http://schemas.openxmlformats.org/officeDocument/2006/relationships/hyperlink" Target="https://www.saflii.org/cgi-bin/LawCite?cit=1968%20%283%29%20SA%20526" TargetMode="External"/><Relationship Id="rId1" Type="http://schemas.openxmlformats.org/officeDocument/2006/relationships/hyperlink" Target="https://www.saflii.org/cgi-bin/LawCite?cit=1945%20WLD%2016" TargetMode="External"/><Relationship Id="rId6" Type="http://schemas.openxmlformats.org/officeDocument/2006/relationships/hyperlink" Target="http://www.saflii.org/cgi-bin/LawCite?cit=1988%20%283%29%20SA%20259" TargetMode="External"/><Relationship Id="rId5" Type="http://schemas.openxmlformats.org/officeDocument/2006/relationships/hyperlink" Target="https://www.saflii.org/cgi-bin/LawCite?cit=%5b2020%5d%20ZAWCHC%2083" TargetMode="External"/><Relationship Id="rId10" Type="http://schemas.openxmlformats.org/officeDocument/2006/relationships/hyperlink" Target="https://app.jutastatevolve.co.za/y2010v5SApg203" TargetMode="External"/><Relationship Id="rId4" Type="http://schemas.openxmlformats.org/officeDocument/2006/relationships/hyperlink" Target="https://www.saflii.org/cgi-bin/LawCite?cit=1993%20%283%29%20SA%20885" TargetMode="External"/><Relationship Id="rId9" Type="http://schemas.openxmlformats.org/officeDocument/2006/relationships/hyperlink" Target="http://www.saflii.org/cgi-bin/LawCite?cit=1993%20%283%29%20SA%208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ppData\Local\Microsoft\Windows\INetCache\Content.Outlook\8GDFZ12I\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9600-1BD0-4165-B855-17349987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1</TotalTime>
  <Pages>33</Pages>
  <Words>6078</Words>
  <Characters>34651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Franciska Bezuidenhout</dc:creator>
  <cp:lastModifiedBy>Mokone</cp:lastModifiedBy>
  <cp:revision>3</cp:revision>
  <cp:lastPrinted>2023-04-28T13:46:00Z</cp:lastPrinted>
  <dcterms:created xsi:type="dcterms:W3CDTF">2023-05-01T06:27:00Z</dcterms:created>
  <dcterms:modified xsi:type="dcterms:W3CDTF">2023-05-01T06:28:00Z</dcterms:modified>
</cp:coreProperties>
</file>