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1187A" w14:textId="77777777" w:rsidR="00B51E57" w:rsidRPr="00DB2A06" w:rsidRDefault="00B51E57" w:rsidP="00B51E5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0BAF18B" w14:textId="77777777" w:rsidR="00B51E57" w:rsidRDefault="00B51E57" w:rsidP="00300D09">
      <w:pPr>
        <w:jc w:val="center"/>
        <w:rPr>
          <w:rFonts w:cs="Arial"/>
          <w:b/>
          <w:bCs/>
          <w:lang w:eastAsia="en-GB"/>
        </w:rPr>
      </w:pPr>
    </w:p>
    <w:p w14:paraId="7EE1A879" w14:textId="77777777"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70609B8"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3188C6BE" w:rsidR="00300D09" w:rsidRPr="00360B0B" w:rsidRDefault="00743304" w:rsidP="00E52518">
      <w:pPr>
        <w:jc w:val="right"/>
        <w:rPr>
          <w:b/>
        </w:rPr>
      </w:pPr>
      <w:r w:rsidRPr="00360B0B">
        <w:rPr>
          <w:b/>
        </w:rPr>
        <w:t xml:space="preserve">Full Court Appeal </w:t>
      </w:r>
      <w:r w:rsidR="00E52518" w:rsidRPr="00360B0B">
        <w:rPr>
          <w:b/>
        </w:rPr>
        <w:t xml:space="preserve">Case </w:t>
      </w:r>
      <w:r w:rsidR="002941ED" w:rsidRPr="00360B0B">
        <w:rPr>
          <w:b/>
        </w:rPr>
        <w:t>N</w:t>
      </w:r>
      <w:r w:rsidR="00E52518" w:rsidRPr="00360B0B">
        <w:rPr>
          <w:b/>
        </w:rPr>
        <w:t>o:</w:t>
      </w:r>
      <w:r w:rsidR="00B11B4C" w:rsidRPr="00360B0B">
        <w:rPr>
          <w:b/>
        </w:rPr>
        <w:t xml:space="preserve"> </w:t>
      </w:r>
      <w:r w:rsidRPr="00360B0B">
        <w:rPr>
          <w:b/>
        </w:rPr>
        <w:t>A5012/2022</w:t>
      </w:r>
    </w:p>
    <w:p w14:paraId="673D34A6" w14:textId="234BFA83" w:rsidR="00743304" w:rsidRPr="00360B0B" w:rsidRDefault="00743304" w:rsidP="00E52518">
      <w:pPr>
        <w:jc w:val="right"/>
        <w:rPr>
          <w:b/>
        </w:rPr>
      </w:pPr>
      <w:r w:rsidRPr="00360B0B">
        <w:rPr>
          <w:b/>
        </w:rPr>
        <w:t>Court a quo Case No. 32975/2018</w:t>
      </w:r>
    </w:p>
    <w:p w14:paraId="34D63DD8" w14:textId="77777777" w:rsidR="004739AC" w:rsidRPr="00B51B9D" w:rsidRDefault="004739AC" w:rsidP="00E52518">
      <w:pPr>
        <w:jc w:val="right"/>
      </w:pPr>
    </w:p>
    <w:p w14:paraId="37AD3266" w14:textId="77777777" w:rsidR="00E52518" w:rsidRPr="00B51B9D" w:rsidRDefault="00033914" w:rsidP="00E52518">
      <w:pPr>
        <w:jc w:val="right"/>
      </w:pPr>
      <w:r w:rsidRPr="00B51B9D">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40005A" w:rsidRPr="004120A8" w:rsidRDefault="0040005A" w:rsidP="00E52518">
                            <w:pPr>
                              <w:jc w:val="center"/>
                              <w:rPr>
                                <w:rFonts w:ascii="Century Gothic" w:hAnsi="Century Gothic"/>
                                <w:b/>
                                <w:sz w:val="2"/>
                                <w:szCs w:val="18"/>
                              </w:rPr>
                            </w:pPr>
                          </w:p>
                          <w:p w14:paraId="6B22D321" w14:textId="4157F593"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76C010F8"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4587687B"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40005A" w:rsidRPr="004120A8" w:rsidRDefault="0040005A" w:rsidP="00E52518">
                      <w:pPr>
                        <w:jc w:val="center"/>
                        <w:rPr>
                          <w:rFonts w:ascii="Century Gothic" w:hAnsi="Century Gothic"/>
                          <w:b/>
                          <w:sz w:val="2"/>
                          <w:szCs w:val="18"/>
                        </w:rPr>
                      </w:pPr>
                    </w:p>
                    <w:p w14:paraId="6B22D321" w14:textId="4157F593"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76C010F8"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4587687B" w:rsidR="0040005A" w:rsidRPr="00EE6CBE" w:rsidRDefault="000B7F25" w:rsidP="000B7F25">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6CA1AD1E" w14:textId="58126F3C" w:rsidR="00300D09" w:rsidRPr="00B51B9D" w:rsidRDefault="00300D09" w:rsidP="00300D09">
      <w:r w:rsidRPr="00B51B9D">
        <w:t xml:space="preserve">In the matter </w:t>
      </w:r>
      <w:r w:rsidR="00CB3F60" w:rsidRPr="00B51B9D">
        <w:t>between</w:t>
      </w:r>
      <w:r w:rsidRPr="00B51B9D">
        <w:t>:</w:t>
      </w:r>
    </w:p>
    <w:p w14:paraId="117B53FC" w14:textId="77777777" w:rsidR="00300D09" w:rsidRPr="00B51B9D" w:rsidRDefault="00300D09" w:rsidP="00300D09">
      <w:pPr>
        <w:pStyle w:val="Parties"/>
      </w:pPr>
    </w:p>
    <w:p w14:paraId="4351AD4F" w14:textId="77777777" w:rsidR="00300D09" w:rsidRPr="00B51B9D" w:rsidRDefault="00300D09" w:rsidP="00300D09">
      <w:pPr>
        <w:pStyle w:val="Parties"/>
      </w:pPr>
    </w:p>
    <w:p w14:paraId="277257CB" w14:textId="6CA63BDE" w:rsidR="00011A47" w:rsidRPr="00B51B9D" w:rsidRDefault="00743304" w:rsidP="00011A47">
      <w:pPr>
        <w:pStyle w:val="Parties"/>
        <w:rPr>
          <w:b/>
          <w:bCs/>
          <w:lang w:eastAsia="en-GB"/>
        </w:rPr>
      </w:pPr>
      <w:r>
        <w:rPr>
          <w:b/>
          <w:bCs/>
          <w:lang w:eastAsia="en-GB"/>
        </w:rPr>
        <w:t xml:space="preserve">HARTOG, GAVIN ROY </w:t>
      </w:r>
      <w:r>
        <w:rPr>
          <w:b/>
          <w:bCs/>
          <w:lang w:eastAsia="en-GB"/>
        </w:rPr>
        <w:tab/>
      </w:r>
      <w:r w:rsidR="004739AC" w:rsidRPr="004739AC">
        <w:rPr>
          <w:b/>
          <w:lang w:eastAsia="en-GB"/>
        </w:rPr>
        <w:t xml:space="preserve">APPELLANT </w:t>
      </w:r>
    </w:p>
    <w:p w14:paraId="010B5C2F" w14:textId="77777777" w:rsidR="00011A47" w:rsidRPr="00B51B9D" w:rsidRDefault="00011A47" w:rsidP="00011A47">
      <w:pPr>
        <w:rPr>
          <w:lang w:eastAsia="en-GB"/>
        </w:rPr>
      </w:pPr>
    </w:p>
    <w:p w14:paraId="0D955194" w14:textId="043504F2" w:rsidR="00011A47" w:rsidRPr="00B51B9D" w:rsidRDefault="00011A47" w:rsidP="00011A47">
      <w:pPr>
        <w:rPr>
          <w:lang w:eastAsia="en-GB"/>
        </w:rPr>
      </w:pPr>
      <w:proofErr w:type="gramStart"/>
      <w:r w:rsidRPr="00B51B9D">
        <w:rPr>
          <w:lang w:eastAsia="en-GB"/>
        </w:rPr>
        <w:t>and</w:t>
      </w:r>
      <w:proofErr w:type="gramEnd"/>
    </w:p>
    <w:p w14:paraId="37DABA96" w14:textId="77777777" w:rsidR="00011A47" w:rsidRPr="00B51B9D" w:rsidRDefault="00011A47" w:rsidP="00011A47">
      <w:pPr>
        <w:pStyle w:val="Parties"/>
        <w:rPr>
          <w:b/>
          <w:bCs/>
          <w:lang w:eastAsia="en-GB"/>
        </w:rPr>
      </w:pPr>
    </w:p>
    <w:p w14:paraId="3467604D" w14:textId="3BB96F5B" w:rsidR="00011A47" w:rsidRDefault="002B44F2" w:rsidP="00011A47">
      <w:pPr>
        <w:pStyle w:val="Parties"/>
        <w:rPr>
          <w:lang w:eastAsia="en-GB"/>
        </w:rPr>
      </w:pPr>
      <w:r>
        <w:rPr>
          <w:b/>
          <w:bCs/>
          <w:lang w:eastAsia="en-GB"/>
        </w:rPr>
        <w:t>DALY, BRIGITTE</w:t>
      </w:r>
      <w:r w:rsidR="0089764C" w:rsidRPr="00B51B9D">
        <w:rPr>
          <w:b/>
          <w:bCs/>
          <w:lang w:eastAsia="en-GB"/>
        </w:rPr>
        <w:tab/>
      </w:r>
      <w:r w:rsidR="004739AC" w:rsidRPr="004739AC">
        <w:rPr>
          <w:b/>
          <w:lang w:eastAsia="en-GB"/>
        </w:rPr>
        <w:t>FIRST RESPONDENT</w:t>
      </w:r>
    </w:p>
    <w:p w14:paraId="6BD69937" w14:textId="22C0C433" w:rsidR="00743304" w:rsidRDefault="00743304" w:rsidP="00011A47">
      <w:pPr>
        <w:pStyle w:val="Parties"/>
        <w:rPr>
          <w:lang w:eastAsia="en-GB"/>
        </w:rPr>
      </w:pPr>
    </w:p>
    <w:p w14:paraId="58339DAF" w14:textId="0D3CBE57" w:rsidR="00743304" w:rsidRDefault="00743304" w:rsidP="00011A47">
      <w:pPr>
        <w:pStyle w:val="Parties"/>
        <w:rPr>
          <w:lang w:eastAsia="en-GB"/>
        </w:rPr>
      </w:pPr>
      <w:r w:rsidRPr="00743304">
        <w:rPr>
          <w:b/>
          <w:bCs/>
          <w:lang w:eastAsia="en-GB"/>
        </w:rPr>
        <w:t>FOULKES-JONES</w:t>
      </w:r>
      <w:r w:rsidR="002B44F2">
        <w:rPr>
          <w:b/>
          <w:bCs/>
          <w:lang w:eastAsia="en-GB"/>
        </w:rPr>
        <w:t>, KARI</w:t>
      </w:r>
      <w:r>
        <w:rPr>
          <w:b/>
          <w:bCs/>
          <w:lang w:eastAsia="en-GB"/>
        </w:rPr>
        <w:t>N INGRID</w:t>
      </w:r>
      <w:r>
        <w:rPr>
          <w:b/>
          <w:bCs/>
          <w:lang w:eastAsia="en-GB"/>
        </w:rPr>
        <w:tab/>
      </w:r>
      <w:r w:rsidR="004739AC" w:rsidRPr="004143AE">
        <w:rPr>
          <w:b/>
          <w:lang w:eastAsia="en-GB"/>
        </w:rPr>
        <w:t>SECOND RESPONDENT</w:t>
      </w:r>
    </w:p>
    <w:p w14:paraId="46E72A0D" w14:textId="558829E8" w:rsidR="00743304" w:rsidRDefault="00743304" w:rsidP="00011A47">
      <w:pPr>
        <w:pStyle w:val="Parties"/>
        <w:rPr>
          <w:lang w:eastAsia="en-GB"/>
        </w:rPr>
      </w:pPr>
      <w:r>
        <w:rPr>
          <w:lang w:eastAsia="en-GB"/>
        </w:rPr>
        <w:t>(</w:t>
      </w:r>
      <w:proofErr w:type="gramStart"/>
      <w:r>
        <w:rPr>
          <w:lang w:eastAsia="en-GB"/>
        </w:rPr>
        <w:t>to</w:t>
      </w:r>
      <w:proofErr w:type="gramEnd"/>
      <w:r>
        <w:rPr>
          <w:lang w:eastAsia="en-GB"/>
        </w:rPr>
        <w:t xml:space="preserve"> be replaced by the Executor/Executrix of</w:t>
      </w:r>
    </w:p>
    <w:p w14:paraId="63BC8837" w14:textId="0BC47ED4" w:rsidR="00743304" w:rsidRDefault="00743304" w:rsidP="00011A47">
      <w:pPr>
        <w:pStyle w:val="Parties"/>
        <w:rPr>
          <w:lang w:eastAsia="en-GB"/>
        </w:rPr>
      </w:pPr>
      <w:proofErr w:type="gramStart"/>
      <w:r w:rsidRPr="004C0670">
        <w:rPr>
          <w:lang w:eastAsia="en-GB"/>
        </w:rPr>
        <w:t>her</w:t>
      </w:r>
      <w:proofErr w:type="gramEnd"/>
      <w:r>
        <w:rPr>
          <w:lang w:eastAsia="en-GB"/>
        </w:rPr>
        <w:t xml:space="preserve"> deceased estate)</w:t>
      </w:r>
    </w:p>
    <w:p w14:paraId="0C423701" w14:textId="6344C660" w:rsidR="00743304" w:rsidRDefault="00743304" w:rsidP="00011A47">
      <w:pPr>
        <w:pStyle w:val="Parties"/>
        <w:rPr>
          <w:lang w:eastAsia="en-GB"/>
        </w:rPr>
      </w:pPr>
    </w:p>
    <w:p w14:paraId="607B46BC" w14:textId="3AC2A25C" w:rsidR="00743304" w:rsidRDefault="00743304" w:rsidP="00011A47">
      <w:pPr>
        <w:pStyle w:val="Parties"/>
        <w:rPr>
          <w:lang w:eastAsia="en-GB"/>
        </w:rPr>
      </w:pPr>
      <w:r>
        <w:rPr>
          <w:b/>
          <w:bCs/>
          <w:lang w:eastAsia="en-GB"/>
        </w:rPr>
        <w:t xml:space="preserve">DALY, PATRICK FREDERICK </w:t>
      </w:r>
      <w:r>
        <w:rPr>
          <w:b/>
          <w:bCs/>
          <w:lang w:eastAsia="en-GB"/>
        </w:rPr>
        <w:tab/>
      </w:r>
      <w:r w:rsidR="004739AC" w:rsidRPr="004143AE">
        <w:rPr>
          <w:b/>
          <w:lang w:eastAsia="en-GB"/>
        </w:rPr>
        <w:t>THIRD RESPONDENT</w:t>
      </w:r>
    </w:p>
    <w:p w14:paraId="0F36E61B" w14:textId="482665C9" w:rsidR="00743304" w:rsidRDefault="00743304" w:rsidP="00011A47">
      <w:pPr>
        <w:pStyle w:val="Parties"/>
        <w:rPr>
          <w:lang w:eastAsia="en-GB"/>
        </w:rPr>
      </w:pPr>
    </w:p>
    <w:p w14:paraId="296B9BF5" w14:textId="77777777" w:rsidR="004739AC" w:rsidRDefault="00743304" w:rsidP="00011A47">
      <w:pPr>
        <w:pStyle w:val="Parties"/>
        <w:rPr>
          <w:b/>
          <w:bCs/>
          <w:lang w:eastAsia="en-GB"/>
        </w:rPr>
      </w:pPr>
      <w:r>
        <w:rPr>
          <w:b/>
          <w:bCs/>
          <w:lang w:eastAsia="en-GB"/>
        </w:rPr>
        <w:t xml:space="preserve">STANDARD BANK OF SOUTH </w:t>
      </w:r>
    </w:p>
    <w:p w14:paraId="041BB0E8" w14:textId="3351E739" w:rsidR="00743304" w:rsidRPr="00743304" w:rsidRDefault="00743304" w:rsidP="00011A47">
      <w:pPr>
        <w:pStyle w:val="Parties"/>
        <w:rPr>
          <w:lang w:eastAsia="en-GB"/>
        </w:rPr>
      </w:pPr>
      <w:r>
        <w:rPr>
          <w:b/>
          <w:bCs/>
          <w:lang w:eastAsia="en-GB"/>
        </w:rPr>
        <w:t>AFRICA LIMITED</w:t>
      </w:r>
      <w:r>
        <w:rPr>
          <w:b/>
          <w:bCs/>
          <w:lang w:eastAsia="en-GB"/>
        </w:rPr>
        <w:tab/>
      </w:r>
      <w:r w:rsidR="004739AC" w:rsidRPr="004143AE">
        <w:rPr>
          <w:b/>
          <w:lang w:eastAsia="en-GB"/>
        </w:rPr>
        <w:t>FOURTH RESPONDENT/THIRD PARTY</w:t>
      </w:r>
    </w:p>
    <w:p w14:paraId="4A5B3E61" w14:textId="77777777" w:rsidR="00011A47" w:rsidRPr="00B51B9D" w:rsidRDefault="00011A47" w:rsidP="00011A47">
      <w:pPr>
        <w:pStyle w:val="Parties"/>
        <w:rPr>
          <w:b/>
          <w:bCs/>
          <w:i/>
          <w:iCs/>
          <w:lang w:eastAsia="en-GB"/>
        </w:rPr>
      </w:pPr>
    </w:p>
    <w:p w14:paraId="3F0817C7" w14:textId="77777777" w:rsidR="00300D09" w:rsidRPr="00B51B9D" w:rsidRDefault="00300D09" w:rsidP="00300D09">
      <w:pPr>
        <w:pStyle w:val="Parties"/>
      </w:pPr>
    </w:p>
    <w:p w14:paraId="3484F380" w14:textId="77777777" w:rsidR="006D7F36" w:rsidRPr="00B51B9D" w:rsidRDefault="00CC22D8" w:rsidP="00573270">
      <w:pPr>
        <w:pStyle w:val="Parties"/>
        <w:tabs>
          <w:tab w:val="center" w:pos="4111"/>
        </w:tabs>
      </w:pPr>
      <w:r w:rsidRPr="00B51B9D">
        <w:tab/>
      </w:r>
    </w:p>
    <w:p w14:paraId="6B7E56E8" w14:textId="77777777" w:rsidR="002A4D60" w:rsidRPr="00B51B9D" w:rsidRDefault="002A4D60" w:rsidP="002A4D60">
      <w:pPr>
        <w:pStyle w:val="TramLines"/>
      </w:pPr>
      <w:r w:rsidRPr="00B51B9D">
        <w:t>JUDGMENT</w:t>
      </w:r>
    </w:p>
    <w:p w14:paraId="68D8E137" w14:textId="77777777" w:rsidR="00927518" w:rsidRPr="00B51B9D" w:rsidRDefault="00927518" w:rsidP="00927518"/>
    <w:p w14:paraId="6344DA36" w14:textId="77777777" w:rsidR="00CC22D8" w:rsidRPr="00B51B9D" w:rsidRDefault="00CC22D8" w:rsidP="00CC22D8"/>
    <w:p w14:paraId="637444A6" w14:textId="216B828D" w:rsidR="00E52518" w:rsidRDefault="003A295B" w:rsidP="00E52518">
      <w:pPr>
        <w:rPr>
          <w:b/>
          <w:bCs/>
        </w:rPr>
      </w:pPr>
      <w:r w:rsidRPr="00B51B9D">
        <w:rPr>
          <w:b/>
          <w:bCs/>
        </w:rPr>
        <w:t>STRYDOM</w:t>
      </w:r>
      <w:r w:rsidR="00FB702B">
        <w:rPr>
          <w:b/>
          <w:bCs/>
        </w:rPr>
        <w:t>,</w:t>
      </w:r>
      <w:r w:rsidRPr="00B51B9D">
        <w:rPr>
          <w:b/>
          <w:bCs/>
        </w:rPr>
        <w:t xml:space="preserve"> J </w:t>
      </w:r>
    </w:p>
    <w:p w14:paraId="7FC3164E" w14:textId="4A69524E" w:rsidR="00743304" w:rsidRDefault="000B7F25" w:rsidP="000B7F25">
      <w:pPr>
        <w:pStyle w:val="1"/>
        <w:numPr>
          <w:ilvl w:val="0"/>
          <w:numId w:val="0"/>
        </w:numPr>
        <w:tabs>
          <w:tab w:val="left" w:pos="567"/>
        </w:tabs>
        <w:spacing w:line="360" w:lineRule="auto"/>
        <w:ind w:left="567" w:hanging="567"/>
      </w:pPr>
      <w:r>
        <w:t>[1]</w:t>
      </w:r>
      <w:r>
        <w:tab/>
      </w:r>
      <w:r w:rsidR="00743304">
        <w:t xml:space="preserve">This is an appeal against the </w:t>
      </w:r>
      <w:r w:rsidR="00096CD3">
        <w:t>decision of a single judge (</w:t>
      </w:r>
      <w:r w:rsidR="00743304">
        <w:t xml:space="preserve">the </w:t>
      </w:r>
      <w:r w:rsidR="00FB702B">
        <w:t>c</w:t>
      </w:r>
      <w:r w:rsidR="00743304">
        <w:t xml:space="preserve">ourt </w:t>
      </w:r>
      <w:r w:rsidR="00743304">
        <w:rPr>
          <w:i/>
          <w:iCs w:val="0"/>
        </w:rPr>
        <w:t>a quo</w:t>
      </w:r>
      <w:r w:rsidR="002B44F2">
        <w:t>)</w:t>
      </w:r>
      <w:r w:rsidR="00096CD3">
        <w:t>,</w:t>
      </w:r>
      <w:r w:rsidR="002B44F2">
        <w:t xml:space="preserve"> dated 2 June 2021</w:t>
      </w:r>
      <w:r w:rsidR="00096CD3">
        <w:t>, in which</w:t>
      </w:r>
      <w:r w:rsidR="002B44F2">
        <w:t xml:space="preserve"> </w:t>
      </w:r>
      <w:r w:rsidR="00FB702B">
        <w:t xml:space="preserve">the </w:t>
      </w:r>
      <w:r w:rsidR="002B44F2">
        <w:t>appellant</w:t>
      </w:r>
      <w:r w:rsidR="00096CD3">
        <w:t xml:space="preserve"> was held</w:t>
      </w:r>
      <w:r w:rsidR="002B44F2">
        <w:t xml:space="preserve"> liable to the first and second respondent</w:t>
      </w:r>
      <w:r w:rsidR="00872CCD">
        <w:t>s</w:t>
      </w:r>
      <w:r w:rsidR="002B44F2">
        <w:t xml:space="preserve"> to make payment pursuant to the terms of a mandate agreement</w:t>
      </w:r>
      <w:r w:rsidR="006145DC">
        <w:t xml:space="preserve"> (“the mandate”)</w:t>
      </w:r>
      <w:r w:rsidR="002B44F2">
        <w:t xml:space="preserve"> to transfer an immovable property. </w:t>
      </w:r>
      <w:r w:rsidR="00743304">
        <w:t xml:space="preserve"> Leave to appeal was granted by the Supreme Court of Appeal (SCA) on 27 Feb</w:t>
      </w:r>
      <w:r w:rsidR="002B44F2">
        <w:t>ruary 2022 to the Full Court of</w:t>
      </w:r>
      <w:r w:rsidR="00743304">
        <w:t xml:space="preserve"> this Division.  </w:t>
      </w:r>
    </w:p>
    <w:p w14:paraId="38036CA3" w14:textId="4F56A79F" w:rsidR="00743304" w:rsidRDefault="000B7F25" w:rsidP="000B7F25">
      <w:pPr>
        <w:pStyle w:val="1"/>
        <w:numPr>
          <w:ilvl w:val="0"/>
          <w:numId w:val="0"/>
        </w:numPr>
        <w:tabs>
          <w:tab w:val="left" w:pos="567"/>
        </w:tabs>
        <w:spacing w:line="360" w:lineRule="auto"/>
        <w:ind w:left="567" w:hanging="567"/>
      </w:pPr>
      <w:r>
        <w:t>[2]</w:t>
      </w:r>
      <w:r>
        <w:tab/>
      </w:r>
      <w:r w:rsidR="00743304">
        <w:t>The appellant is an attorney practising for his own account</w:t>
      </w:r>
      <w:r w:rsidR="002C3A6E">
        <w:t>,</w:t>
      </w:r>
      <w:r w:rsidR="00743304">
        <w:t xml:space="preserve"> under the name and style of Gavin </w:t>
      </w:r>
      <w:proofErr w:type="spellStart"/>
      <w:r w:rsidR="00743304">
        <w:t>Hartog</w:t>
      </w:r>
      <w:proofErr w:type="spellEnd"/>
      <w:r w:rsidR="00743304">
        <w:t xml:space="preserve"> Attorneys.</w:t>
      </w:r>
    </w:p>
    <w:p w14:paraId="30540D7F" w14:textId="65281FBE" w:rsidR="00743304" w:rsidRDefault="000B7F25" w:rsidP="000B7F25">
      <w:pPr>
        <w:pStyle w:val="1"/>
        <w:numPr>
          <w:ilvl w:val="0"/>
          <w:numId w:val="0"/>
        </w:numPr>
        <w:tabs>
          <w:tab w:val="left" w:pos="567"/>
        </w:tabs>
        <w:spacing w:line="360" w:lineRule="auto"/>
        <w:ind w:left="567" w:hanging="567"/>
      </w:pPr>
      <w:r>
        <w:t>[3]</w:t>
      </w:r>
      <w:r>
        <w:tab/>
      </w:r>
      <w:r w:rsidR="00743304">
        <w:t xml:space="preserve">The appellant was cited as the respondent in the main application launched by way of motion proceedings on 6 September 2018 by Ms B Daly, the late Ms KI </w:t>
      </w:r>
      <w:proofErr w:type="spellStart"/>
      <w:r w:rsidR="00743304">
        <w:t>Foulkes</w:t>
      </w:r>
      <w:proofErr w:type="spellEnd"/>
      <w:r w:rsidR="00743304">
        <w:t>-Jones SC and Dr PF Daly (the respondents</w:t>
      </w:r>
      <w:r w:rsidR="00CB4B6F">
        <w:t xml:space="preserve"> in this appeal, hereinafter referred collectively as “the respondents”</w:t>
      </w:r>
      <w:r w:rsidR="00743304">
        <w:t xml:space="preserve">). </w:t>
      </w:r>
    </w:p>
    <w:p w14:paraId="6DB3F83B" w14:textId="5328F411" w:rsidR="00743304" w:rsidRDefault="000B7F25" w:rsidP="000B7F25">
      <w:pPr>
        <w:pStyle w:val="1"/>
        <w:numPr>
          <w:ilvl w:val="0"/>
          <w:numId w:val="0"/>
        </w:numPr>
        <w:tabs>
          <w:tab w:val="left" w:pos="567"/>
        </w:tabs>
        <w:spacing w:line="360" w:lineRule="auto"/>
        <w:ind w:left="567" w:hanging="567"/>
      </w:pPr>
      <w:r>
        <w:t>[4]</w:t>
      </w:r>
      <w:r>
        <w:tab/>
      </w:r>
      <w:r w:rsidR="00743304">
        <w:t>If reference is made to individual respondents their first names will be used, i.e. Ms B Daly (the first respondent)</w:t>
      </w:r>
      <w:r w:rsidR="002B44F2">
        <w:t xml:space="preserve"> will be referred to as “Brigitte</w:t>
      </w:r>
      <w:r w:rsidR="00743304">
        <w:t xml:space="preserve">”, the </w:t>
      </w:r>
      <w:r w:rsidR="004C0670">
        <w:t>l</w:t>
      </w:r>
      <w:r w:rsidR="00743304">
        <w:t xml:space="preserve">ate Ms </w:t>
      </w:r>
      <w:proofErr w:type="spellStart"/>
      <w:r w:rsidR="00743304">
        <w:t>Foulkes</w:t>
      </w:r>
      <w:proofErr w:type="spellEnd"/>
      <w:r w:rsidR="00743304">
        <w:t xml:space="preserve">-Jones SC </w:t>
      </w:r>
      <w:r w:rsidR="002B44F2">
        <w:t>(the second respondent) as “Kari</w:t>
      </w:r>
      <w:r w:rsidR="00743304">
        <w:t xml:space="preserve">n” and Dr Daly (the third </w:t>
      </w:r>
      <w:proofErr w:type="gramStart"/>
      <w:r w:rsidR="00743304">
        <w:t>respondent</w:t>
      </w:r>
      <w:proofErr w:type="gramEnd"/>
      <w:r w:rsidR="00743304">
        <w:t>) as “Patrick”</w:t>
      </w:r>
      <w:r w:rsidR="006332D3">
        <w:t xml:space="preserve"> or “PF Daly”</w:t>
      </w:r>
      <w:r w:rsidR="00743304">
        <w:t>.</w:t>
      </w:r>
    </w:p>
    <w:p w14:paraId="3077ACEF" w14:textId="7BB7BF0B" w:rsidR="002B44F2" w:rsidRDefault="000B7F25" w:rsidP="000B7F25">
      <w:pPr>
        <w:pStyle w:val="1"/>
        <w:numPr>
          <w:ilvl w:val="0"/>
          <w:numId w:val="0"/>
        </w:numPr>
        <w:tabs>
          <w:tab w:val="left" w:pos="567"/>
        </w:tabs>
        <w:spacing w:line="360" w:lineRule="auto"/>
        <w:ind w:left="567" w:hanging="567"/>
      </w:pPr>
      <w:r>
        <w:t>[5]</w:t>
      </w:r>
      <w:r>
        <w:tab/>
      </w:r>
      <w:r w:rsidR="00096CD3">
        <w:t>Kari</w:t>
      </w:r>
      <w:r w:rsidR="004753A8">
        <w:t>n and Brigitte</w:t>
      </w:r>
      <w:r w:rsidR="00743304">
        <w:t xml:space="preserve"> were the joint owners of an immovab</w:t>
      </w:r>
      <w:r w:rsidR="002B44F2">
        <w:t xml:space="preserve">le property situated in </w:t>
      </w:r>
      <w:proofErr w:type="spellStart"/>
      <w:r w:rsidR="002B44F2">
        <w:t>Parkwood</w:t>
      </w:r>
      <w:proofErr w:type="spellEnd"/>
      <w:r w:rsidR="006145DC">
        <w:t xml:space="preserve">, Johannesburg </w:t>
      </w:r>
      <w:r w:rsidR="002B44F2">
        <w:t>(“the property”).</w:t>
      </w:r>
      <w:r w:rsidR="00743304">
        <w:t xml:space="preserve"> They provided the appellant with an oral mandate to act as the conveyancer</w:t>
      </w:r>
      <w:r w:rsidR="002B44F2">
        <w:t xml:space="preserve"> to transfer the property should it be</w:t>
      </w:r>
      <w:r w:rsidR="00743304">
        <w:t xml:space="preserve"> sold. The property was </w:t>
      </w:r>
      <w:r w:rsidR="00653A31">
        <w:t>duly</w:t>
      </w:r>
      <w:r w:rsidR="00743304">
        <w:t xml:space="preserve"> sold and on 5 June 2018</w:t>
      </w:r>
      <w:r w:rsidR="004C0670">
        <w:t>,</w:t>
      </w:r>
      <w:r w:rsidR="00743304">
        <w:t xml:space="preserve"> </w:t>
      </w:r>
      <w:r w:rsidR="00242EC0">
        <w:t>the new owner took transfer. The initial mandate was provided to the appellant during or about September / October 2017 but further instructions were provided at a later date</w:t>
      </w:r>
      <w:r w:rsidR="004C0670">
        <w:t xml:space="preserve"> as to</w:t>
      </w:r>
      <w:r w:rsidR="00242EC0">
        <w:t xml:space="preserve"> how the proceeds of the sale should be disbursed. </w:t>
      </w:r>
    </w:p>
    <w:p w14:paraId="73EDFE80" w14:textId="6AA94B39" w:rsidR="00242EC0" w:rsidRDefault="000B7F25" w:rsidP="000B7F25">
      <w:pPr>
        <w:pStyle w:val="1"/>
        <w:numPr>
          <w:ilvl w:val="0"/>
          <w:numId w:val="0"/>
        </w:numPr>
        <w:tabs>
          <w:tab w:val="left" w:pos="567"/>
        </w:tabs>
        <w:spacing w:line="360" w:lineRule="auto"/>
        <w:ind w:left="567" w:hanging="567"/>
      </w:pPr>
      <w:r>
        <w:t>[6]</w:t>
      </w:r>
      <w:r>
        <w:tab/>
      </w:r>
      <w:r w:rsidR="006145DC">
        <w:t>It is common cause</w:t>
      </w:r>
      <w:r w:rsidR="00242EC0">
        <w:t xml:space="preserve"> that in terms of the mandate</w:t>
      </w:r>
      <w:r w:rsidR="00096CD3">
        <w:t xml:space="preserve"> and subsequent instructions</w:t>
      </w:r>
      <w:r w:rsidR="00242EC0">
        <w:t>, the appellant had to pay R</w:t>
      </w:r>
      <w:r w:rsidR="00514E60">
        <w:t xml:space="preserve"> </w:t>
      </w:r>
      <w:r w:rsidR="00242EC0">
        <w:t>100</w:t>
      </w:r>
      <w:r w:rsidR="00514E60">
        <w:t xml:space="preserve"> </w:t>
      </w:r>
      <w:r w:rsidR="00242EC0">
        <w:t>000 of th</w:t>
      </w:r>
      <w:r w:rsidR="006145DC">
        <w:t>e proceeds of the sale into Kari</w:t>
      </w:r>
      <w:r w:rsidR="00242EC0">
        <w:t>n’s account. This was duly done. The balance of R</w:t>
      </w:r>
      <w:r w:rsidR="00514E60">
        <w:t xml:space="preserve"> </w:t>
      </w:r>
      <w:r w:rsidR="00242EC0">
        <w:t>1</w:t>
      </w:r>
      <w:r w:rsidR="00514E60">
        <w:t xml:space="preserve"> </w:t>
      </w:r>
      <w:r w:rsidR="00242EC0">
        <w:t>421</w:t>
      </w:r>
      <w:r w:rsidR="00514E60">
        <w:t xml:space="preserve"> </w:t>
      </w:r>
      <w:r w:rsidR="006145DC">
        <w:t>228.06 had to be paid to Brigitte</w:t>
      </w:r>
      <w:r w:rsidR="00D146A9">
        <w:t xml:space="preserve"> and Patrick</w:t>
      </w:r>
      <w:r w:rsidR="00242EC0">
        <w:t xml:space="preserve"> into the nominated account of Patrick</w:t>
      </w:r>
      <w:r w:rsidR="006145DC">
        <w:t>, her husband</w:t>
      </w:r>
      <w:r w:rsidR="00242EC0">
        <w:t>.</w:t>
      </w:r>
      <w:r w:rsidR="00D146A9">
        <w:t xml:space="preserve"> Some of th</w:t>
      </w:r>
      <w:r w:rsidR="003F2E27">
        <w:t>ese</w:t>
      </w:r>
      <w:r w:rsidR="00D146A9">
        <w:t xml:space="preserve"> monies</w:t>
      </w:r>
      <w:r w:rsidR="00EA0CB9">
        <w:t xml:space="preserve"> became payable to</w:t>
      </w:r>
      <w:r w:rsidR="00D146A9">
        <w:t xml:space="preserve"> Patrick</w:t>
      </w:r>
      <w:r w:rsidR="00EA0CB9">
        <w:t xml:space="preserve"> to discharge Karin’s debt owing to him.</w:t>
      </w:r>
      <w:r w:rsidR="00242EC0">
        <w:t xml:space="preserve"> </w:t>
      </w:r>
      <w:r w:rsidR="00242EC0">
        <w:lastRenderedPageBreak/>
        <w:t>In this context, Patrick would have received the money in an account in his name</w:t>
      </w:r>
      <w:r w:rsidR="00A12080">
        <w:t>, acting as</w:t>
      </w:r>
      <w:r w:rsidR="003F2E27">
        <w:t xml:space="preserve"> an</w:t>
      </w:r>
      <w:r w:rsidR="00A12080">
        <w:t xml:space="preserve"> agent for Karin, who owed him money, and of Brigitte, who was a joint signatory on this account.</w:t>
      </w:r>
    </w:p>
    <w:p w14:paraId="28ECE64D" w14:textId="0DB81925" w:rsidR="00242EC0" w:rsidRDefault="000B7F25" w:rsidP="000B7F25">
      <w:pPr>
        <w:pStyle w:val="1"/>
        <w:numPr>
          <w:ilvl w:val="0"/>
          <w:numId w:val="0"/>
        </w:numPr>
        <w:tabs>
          <w:tab w:val="left" w:pos="567"/>
        </w:tabs>
        <w:spacing w:line="360" w:lineRule="auto"/>
        <w:ind w:left="567" w:hanging="567"/>
      </w:pPr>
      <w:r>
        <w:t>[7]</w:t>
      </w:r>
      <w:r>
        <w:tab/>
      </w:r>
      <w:r w:rsidR="00242EC0">
        <w:t xml:space="preserve">It is common cause that this money was never received into Patrick’s account but was paid into a Standard Bank account opened in the name of a fraudster, </w:t>
      </w:r>
      <w:r w:rsidR="0021213F">
        <w:t>one</w:t>
      </w:r>
      <w:r w:rsidR="00EA0CB9">
        <w:t xml:space="preserve"> </w:t>
      </w:r>
      <w:r w:rsidR="00242EC0">
        <w:t xml:space="preserve">Mr </w:t>
      </w:r>
      <w:proofErr w:type="spellStart"/>
      <w:r w:rsidR="00242EC0">
        <w:t>Simelane</w:t>
      </w:r>
      <w:proofErr w:type="spellEnd"/>
      <w:r w:rsidR="00242EC0">
        <w:t xml:space="preserve">. The money was withdrawn from this account and </w:t>
      </w:r>
      <w:r w:rsidR="003F2E27">
        <w:t>therefore</w:t>
      </w:r>
      <w:r w:rsidR="00242EC0">
        <w:t xml:space="preserve"> stolen.</w:t>
      </w:r>
    </w:p>
    <w:p w14:paraId="3C13E3F7" w14:textId="70BC954A" w:rsidR="00242EC0" w:rsidRDefault="000B7F25" w:rsidP="000B7F25">
      <w:pPr>
        <w:pStyle w:val="1"/>
        <w:numPr>
          <w:ilvl w:val="0"/>
          <w:numId w:val="0"/>
        </w:numPr>
        <w:tabs>
          <w:tab w:val="left" w:pos="567"/>
        </w:tabs>
        <w:spacing w:line="360" w:lineRule="auto"/>
        <w:ind w:left="567" w:hanging="567"/>
      </w:pPr>
      <w:r>
        <w:t>[8]</w:t>
      </w:r>
      <w:r>
        <w:tab/>
      </w:r>
      <w:r w:rsidR="00242EC0">
        <w:t>The disp</w:t>
      </w:r>
      <w:r w:rsidR="00A12080">
        <w:t>ute between the parties is</w:t>
      </w:r>
      <w:r w:rsidR="00242EC0">
        <w:t xml:space="preserve"> who should be</w:t>
      </w:r>
      <w:r w:rsidR="0067292F">
        <w:t xml:space="preserve"> held liable for the loss which was caused through so called Business Email Compromise (“BEC”). The fraudster intercepted </w:t>
      </w:r>
      <w:r w:rsidR="008335DA">
        <w:t xml:space="preserve">email communication between the parties and sent an email to appellant, as if from Patrick, with instructions to pay the monies into the account controlled by the fraudster. </w:t>
      </w:r>
      <w:r w:rsidR="00242EC0">
        <w:t xml:space="preserve"> </w:t>
      </w:r>
    </w:p>
    <w:p w14:paraId="33ECFD92" w14:textId="51276E3A" w:rsidR="008335DA" w:rsidRDefault="000B7F25" w:rsidP="000B7F25">
      <w:pPr>
        <w:pStyle w:val="1"/>
        <w:numPr>
          <w:ilvl w:val="0"/>
          <w:numId w:val="0"/>
        </w:numPr>
        <w:tabs>
          <w:tab w:val="left" w:pos="567"/>
        </w:tabs>
        <w:spacing w:line="360" w:lineRule="auto"/>
        <w:ind w:left="567" w:hanging="567"/>
      </w:pPr>
      <w:r>
        <w:t>[9]</w:t>
      </w:r>
      <w:r>
        <w:tab/>
      </w:r>
      <w:r w:rsidR="00EC3AA7">
        <w:t>Relying on the appellant’s alleged breach of the mandate, t</w:t>
      </w:r>
      <w:r w:rsidR="00242EC0">
        <w:t>he respondents filed an application in terms of which they sought an order agai</w:t>
      </w:r>
      <w:r w:rsidR="00476068">
        <w:t xml:space="preserve">nst the appellant for payment </w:t>
      </w:r>
      <w:r w:rsidR="00EC3AA7">
        <w:t>of</w:t>
      </w:r>
      <w:r w:rsidR="00242EC0">
        <w:t xml:space="preserve"> the amount of R</w:t>
      </w:r>
      <w:r w:rsidR="00514E60">
        <w:t xml:space="preserve"> </w:t>
      </w:r>
      <w:r w:rsidR="00242EC0">
        <w:t>1</w:t>
      </w:r>
      <w:r w:rsidR="00514E60">
        <w:t xml:space="preserve"> </w:t>
      </w:r>
      <w:r w:rsidR="00242EC0">
        <w:t>421</w:t>
      </w:r>
      <w:r w:rsidR="00514E60">
        <w:t xml:space="preserve"> </w:t>
      </w:r>
      <w:r w:rsidR="00242EC0">
        <w:t>228.06.</w:t>
      </w:r>
      <w:r w:rsidR="00EA0CB9">
        <w:t xml:space="preserve"> On the papers before </w:t>
      </w:r>
      <w:r w:rsidR="002061BE">
        <w:t xml:space="preserve">the </w:t>
      </w:r>
      <w:r w:rsidR="00EA0CB9">
        <w:t>court</w:t>
      </w:r>
      <w:r w:rsidR="002061BE">
        <w:t xml:space="preserve"> </w:t>
      </w:r>
      <w:r w:rsidR="002061BE" w:rsidRPr="004143AE">
        <w:rPr>
          <w:i/>
        </w:rPr>
        <w:t>a quo</w:t>
      </w:r>
      <w:r w:rsidR="00EA0CB9">
        <w:t xml:space="preserve"> it can be accepted that in terms of the mandate</w:t>
      </w:r>
      <w:r w:rsidR="002D66E9">
        <w:t>, the</w:t>
      </w:r>
      <w:r w:rsidR="00EA0CB9">
        <w:t xml:space="preserve"> appellant had to account for the proceeds of the sale and pay the monies into the nominated account</w:t>
      </w:r>
      <w:r w:rsidR="008335DA">
        <w:t>s of Karin and Brigitte.</w:t>
      </w:r>
    </w:p>
    <w:p w14:paraId="4F61C5A4" w14:textId="6FCE1C7A" w:rsidR="00242EC0" w:rsidRDefault="000B7F25" w:rsidP="000B7F25">
      <w:pPr>
        <w:pStyle w:val="1"/>
        <w:numPr>
          <w:ilvl w:val="0"/>
          <w:numId w:val="0"/>
        </w:numPr>
        <w:tabs>
          <w:tab w:val="left" w:pos="567"/>
        </w:tabs>
        <w:spacing w:line="360" w:lineRule="auto"/>
        <w:ind w:left="567" w:hanging="567"/>
      </w:pPr>
      <w:r>
        <w:t>[10]</w:t>
      </w:r>
      <w:r>
        <w:tab/>
      </w:r>
      <w:r w:rsidR="008335DA">
        <w:t xml:space="preserve">It should be noted that the claim of the respondents in which they held appellant liable for the loss was founded on contract and not on </w:t>
      </w:r>
      <w:proofErr w:type="spellStart"/>
      <w:r w:rsidR="008335DA">
        <w:t>delict</w:t>
      </w:r>
      <w:proofErr w:type="spellEnd"/>
      <w:r w:rsidR="008335DA">
        <w:t>.</w:t>
      </w:r>
      <w:r w:rsidR="008335DA">
        <w:rPr>
          <w:rStyle w:val="FootnoteReference"/>
        </w:rPr>
        <w:footnoteReference w:id="1"/>
      </w:r>
      <w:r w:rsidR="00242EC0">
        <w:t xml:space="preserve"> </w:t>
      </w:r>
    </w:p>
    <w:p w14:paraId="0E041FD8" w14:textId="20B8E24B" w:rsidR="00242EC0" w:rsidRDefault="000B7F25" w:rsidP="000B7F25">
      <w:pPr>
        <w:pStyle w:val="1"/>
        <w:numPr>
          <w:ilvl w:val="0"/>
          <w:numId w:val="0"/>
        </w:numPr>
        <w:tabs>
          <w:tab w:val="left" w:pos="567"/>
        </w:tabs>
        <w:spacing w:line="360" w:lineRule="auto"/>
        <w:ind w:left="567" w:hanging="567"/>
      </w:pPr>
      <w:r>
        <w:t>[11]</w:t>
      </w:r>
      <w:r>
        <w:tab/>
      </w:r>
      <w:r w:rsidR="00242EC0">
        <w:t xml:space="preserve">The appellant disputed the terms of the mandate, and in particular, relied on a tacit term of the mandate which was allegedly breached by the respondents. </w:t>
      </w:r>
    </w:p>
    <w:p w14:paraId="7A87AFC5" w14:textId="2DB2000E" w:rsidR="00242EC0" w:rsidRDefault="000B7F25" w:rsidP="000B7F25">
      <w:pPr>
        <w:pStyle w:val="1"/>
        <w:numPr>
          <w:ilvl w:val="0"/>
          <w:numId w:val="0"/>
        </w:numPr>
        <w:tabs>
          <w:tab w:val="left" w:pos="567"/>
        </w:tabs>
        <w:spacing w:line="360" w:lineRule="auto"/>
        <w:ind w:left="567" w:hanging="567"/>
      </w:pPr>
      <w:r>
        <w:t>[12]</w:t>
      </w:r>
      <w:r>
        <w:tab/>
      </w:r>
      <w:r w:rsidR="00242EC0">
        <w:t>The appellant applied for the joinder of Standard Bank and sought an order holding Standard Bank liable should the court find that he was liable to pay the amount of R</w:t>
      </w:r>
      <w:r w:rsidR="0081522D">
        <w:t xml:space="preserve"> </w:t>
      </w:r>
      <w:r w:rsidR="00242EC0">
        <w:t>1</w:t>
      </w:r>
      <w:r w:rsidR="0081522D">
        <w:t xml:space="preserve"> </w:t>
      </w:r>
      <w:r w:rsidR="00242EC0">
        <w:t>421</w:t>
      </w:r>
      <w:r w:rsidR="0081522D">
        <w:t xml:space="preserve"> </w:t>
      </w:r>
      <w:r w:rsidR="00242EC0">
        <w:t xml:space="preserve">228.06 to the respondents. It should be noted that Standard Bank did not oppose the joinder application and became a party to these </w:t>
      </w:r>
      <w:r w:rsidR="00600974">
        <w:t>proceedings</w:t>
      </w:r>
      <w:r w:rsidR="00242EC0">
        <w:t xml:space="preserve">. </w:t>
      </w:r>
    </w:p>
    <w:p w14:paraId="3C625E4E" w14:textId="4FDEB426" w:rsidR="00242EC0" w:rsidRDefault="000B7F25" w:rsidP="000B7F25">
      <w:pPr>
        <w:pStyle w:val="1"/>
        <w:numPr>
          <w:ilvl w:val="0"/>
          <w:numId w:val="0"/>
        </w:numPr>
        <w:tabs>
          <w:tab w:val="left" w:pos="567"/>
        </w:tabs>
        <w:spacing w:line="360" w:lineRule="auto"/>
        <w:ind w:left="567" w:hanging="567"/>
      </w:pPr>
      <w:r>
        <w:lastRenderedPageBreak/>
        <w:t>[13]</w:t>
      </w:r>
      <w:r>
        <w:tab/>
      </w:r>
      <w:r w:rsidR="00242EC0">
        <w:t>When the application was heard</w:t>
      </w:r>
      <w:r w:rsidR="003F117C">
        <w:t xml:space="preserve"> in the court </w:t>
      </w:r>
      <w:r w:rsidR="003F117C">
        <w:rPr>
          <w:i/>
        </w:rPr>
        <w:t>a quo</w:t>
      </w:r>
      <w:r w:rsidR="00242EC0">
        <w:t xml:space="preserve">, counsel for the appellant requested </w:t>
      </w:r>
      <w:r w:rsidR="00EA0CB9">
        <w:t>from</w:t>
      </w:r>
      <w:r w:rsidR="0093272E">
        <w:t xml:space="preserve"> the outset</w:t>
      </w:r>
      <w:r w:rsidR="003F117C">
        <w:t xml:space="preserve"> that th</w:t>
      </w:r>
      <w:r w:rsidR="00F0457C">
        <w:t>e matter should be</w:t>
      </w:r>
      <w:r w:rsidR="0093272E">
        <w:t xml:space="preserve"> refer</w:t>
      </w:r>
      <w:r w:rsidR="00F0457C">
        <w:t>red</w:t>
      </w:r>
      <w:r w:rsidR="00B006F3">
        <w:t xml:space="preserve"> to trial in light of alleged</w:t>
      </w:r>
      <w:r w:rsidR="0093272E">
        <w:t xml:space="preserve"> material disputes</w:t>
      </w:r>
      <w:r w:rsidR="00FB63A5">
        <w:t xml:space="preserve"> of fact</w:t>
      </w:r>
      <w:r w:rsidR="0093272E">
        <w:t xml:space="preserve"> which exist on the papers</w:t>
      </w:r>
      <w:r w:rsidR="00476068">
        <w:t>,</w:t>
      </w:r>
      <w:r w:rsidR="0093272E">
        <w:t xml:space="preserve"> both as between him</w:t>
      </w:r>
      <w:r w:rsidR="00357CB7">
        <w:t>self</w:t>
      </w:r>
      <w:r w:rsidR="0093272E">
        <w:t xml:space="preserve"> and the respondents on the one hand</w:t>
      </w:r>
      <w:r w:rsidR="00815712">
        <w:t xml:space="preserve">; but also </w:t>
      </w:r>
      <w:r w:rsidR="0093272E">
        <w:t>a</w:t>
      </w:r>
      <w:r w:rsidR="00815712">
        <w:t>s</w:t>
      </w:r>
      <w:r w:rsidR="00476068">
        <w:t xml:space="preserve"> between him</w:t>
      </w:r>
      <w:r w:rsidR="00357CB7">
        <w:t>self</w:t>
      </w:r>
      <w:r w:rsidR="00476068">
        <w:t xml:space="preserve"> and</w:t>
      </w:r>
      <w:r w:rsidR="0093272E">
        <w:t xml:space="preserve"> Standard Bank</w:t>
      </w:r>
      <w:r w:rsidR="00815712">
        <w:t>,</w:t>
      </w:r>
      <w:r w:rsidR="0093272E">
        <w:t xml:space="preserve"> on the other. </w:t>
      </w:r>
    </w:p>
    <w:p w14:paraId="18645A5B" w14:textId="4077D2CC" w:rsidR="0093272E" w:rsidRDefault="000B7F25" w:rsidP="000B7F25">
      <w:pPr>
        <w:pStyle w:val="1"/>
        <w:numPr>
          <w:ilvl w:val="0"/>
          <w:numId w:val="0"/>
        </w:numPr>
        <w:tabs>
          <w:tab w:val="left" w:pos="567"/>
        </w:tabs>
        <w:spacing w:line="360" w:lineRule="auto"/>
        <w:ind w:left="567" w:hanging="567"/>
      </w:pPr>
      <w:r>
        <w:t>[14]</w:t>
      </w:r>
      <w:r>
        <w:tab/>
      </w:r>
      <w:r w:rsidR="00FB63A5">
        <w:t>This request was refused</w:t>
      </w:r>
      <w:r w:rsidR="0093272E">
        <w:t xml:space="preserve"> and the application was heard and the court </w:t>
      </w:r>
      <w:r w:rsidR="0093272E" w:rsidRPr="0093272E">
        <w:rPr>
          <w:i/>
          <w:iCs w:val="0"/>
        </w:rPr>
        <w:t>a quo</w:t>
      </w:r>
      <w:r w:rsidR="00476068">
        <w:t xml:space="preserve"> found the appellant to be</w:t>
      </w:r>
      <w:r w:rsidR="0093272E">
        <w:t xml:space="preserve"> liable to pay the</w:t>
      </w:r>
      <w:r w:rsidR="00E40147">
        <w:t xml:space="preserve"> respondents the</w:t>
      </w:r>
      <w:r w:rsidR="0093272E">
        <w:t xml:space="preserve"> amount claimed</w:t>
      </w:r>
      <w:r w:rsidR="00476068">
        <w:t>,</w:t>
      </w:r>
      <w:r w:rsidR="0093272E">
        <w:t xml:space="preserve"> plus intere</w:t>
      </w:r>
      <w:r w:rsidR="00E40147">
        <w:t>st and costs</w:t>
      </w:r>
      <w:r w:rsidR="00476068">
        <w:t>. The</w:t>
      </w:r>
      <w:r w:rsidR="00F0457C">
        <w:t xml:space="preserve"> </w:t>
      </w:r>
      <w:proofErr w:type="spellStart"/>
      <w:r w:rsidR="00F0457C">
        <w:t>delictual</w:t>
      </w:r>
      <w:proofErr w:type="spellEnd"/>
      <w:r w:rsidR="00E40147">
        <w:t xml:space="preserve"> claim for holding</w:t>
      </w:r>
      <w:r w:rsidR="0093272E">
        <w:t xml:space="preserve"> Standard Bank</w:t>
      </w:r>
      <w:r w:rsidR="00E40147">
        <w:t xml:space="preserve"> liable for the loss</w:t>
      </w:r>
      <w:r w:rsidR="0093272E">
        <w:t xml:space="preserve"> was also dismissed with costs. </w:t>
      </w:r>
    </w:p>
    <w:p w14:paraId="7E2D72EE" w14:textId="138DC2D3" w:rsidR="0093272E" w:rsidRDefault="000B7F25" w:rsidP="000B7F25">
      <w:pPr>
        <w:pStyle w:val="1"/>
        <w:numPr>
          <w:ilvl w:val="0"/>
          <w:numId w:val="0"/>
        </w:numPr>
        <w:tabs>
          <w:tab w:val="left" w:pos="567"/>
        </w:tabs>
        <w:spacing w:line="360" w:lineRule="auto"/>
        <w:ind w:left="567" w:hanging="567"/>
      </w:pPr>
      <w:r>
        <w:t>[15]</w:t>
      </w:r>
      <w:r>
        <w:tab/>
      </w:r>
      <w:r w:rsidR="0093272E">
        <w:t>In paragraph 22 of the judgment</w:t>
      </w:r>
      <w:r w:rsidR="00263705">
        <w:t>,</w:t>
      </w:r>
      <w:r w:rsidR="0093272E">
        <w:t xml:space="preserve"> the court </w:t>
      </w:r>
      <w:r w:rsidR="0093272E">
        <w:rPr>
          <w:i/>
          <w:iCs w:val="0"/>
        </w:rPr>
        <w:t>a quo</w:t>
      </w:r>
      <w:r w:rsidR="00E40147">
        <w:t xml:space="preserve"> </w:t>
      </w:r>
      <w:r w:rsidR="00263705">
        <w:t xml:space="preserve">found </w:t>
      </w:r>
      <w:r w:rsidR="00E40147">
        <w:t>the following</w:t>
      </w:r>
      <w:r w:rsidR="0093272E">
        <w:t>:</w:t>
      </w:r>
    </w:p>
    <w:p w14:paraId="2FDC6A6B" w14:textId="1D4E5247" w:rsidR="0093272E" w:rsidRPr="004143AE" w:rsidRDefault="0093272E" w:rsidP="00E75AD9">
      <w:pPr>
        <w:pStyle w:val="Quote"/>
        <w:rPr>
          <w:iCs w:val="0"/>
          <w:sz w:val="22"/>
        </w:rPr>
      </w:pPr>
      <w:r w:rsidRPr="004143AE">
        <w:rPr>
          <w:iCs w:val="0"/>
          <w:sz w:val="22"/>
        </w:rPr>
        <w:t>“The respondent contends that there were serious disputes of fact which cannot be resolved on paper. I do not agree based on the common cause facts in this matter. It is common cause that the balance of the payment of the purchase price was paid to a thief. Whether or not the respondent should be liable to the applicants on the facts as pleaded in the respective affidavits turns on the proper interpretation of the law.”</w:t>
      </w:r>
    </w:p>
    <w:p w14:paraId="60B741DC" w14:textId="493F1176" w:rsidR="0093272E" w:rsidRDefault="000B7F25" w:rsidP="000B7F25">
      <w:pPr>
        <w:pStyle w:val="1"/>
        <w:numPr>
          <w:ilvl w:val="0"/>
          <w:numId w:val="0"/>
        </w:numPr>
        <w:tabs>
          <w:tab w:val="left" w:pos="567"/>
        </w:tabs>
        <w:spacing w:line="360" w:lineRule="auto"/>
        <w:ind w:left="567" w:hanging="567"/>
      </w:pPr>
      <w:r>
        <w:t>[16]</w:t>
      </w:r>
      <w:r>
        <w:tab/>
      </w:r>
      <w:r w:rsidR="0093272E">
        <w:t xml:space="preserve">Before this court, the appellant persisted that the application could not have been decided on the papers and that the court </w:t>
      </w:r>
      <w:r w:rsidR="0093272E">
        <w:rPr>
          <w:i/>
          <w:iCs w:val="0"/>
        </w:rPr>
        <w:t>a quo</w:t>
      </w:r>
      <w:r w:rsidR="0093272E">
        <w:t xml:space="preserve"> misdirected </w:t>
      </w:r>
      <w:r w:rsidR="009B7ABA">
        <w:t>it</w:t>
      </w:r>
      <w:r w:rsidR="0093272E">
        <w:t>self by not referring the application for the hearing of oral evidence or to trial</w:t>
      </w:r>
      <w:r w:rsidR="009B7ABA">
        <w:t>,</w:t>
      </w:r>
      <w:r w:rsidR="0093272E">
        <w:t xml:space="preserve"> pu</w:t>
      </w:r>
      <w:r w:rsidR="00FB63A5">
        <w:t>rsuant to the terms of Rule 6(5)</w:t>
      </w:r>
      <w:r w:rsidR="0093272E">
        <w:t xml:space="preserve">(g) of the </w:t>
      </w:r>
      <w:r w:rsidR="00EC33BA">
        <w:t xml:space="preserve">Uniform </w:t>
      </w:r>
      <w:r w:rsidR="0093272E">
        <w:t xml:space="preserve">Rules of </w:t>
      </w:r>
      <w:r w:rsidR="00EC33BA">
        <w:t>C</w:t>
      </w:r>
      <w:r w:rsidR="0093272E">
        <w:t xml:space="preserve">ourt. </w:t>
      </w:r>
      <w:r w:rsidR="00476068">
        <w:t>The appellant submitted before us that the appeal must be upheld and that the matter sho</w:t>
      </w:r>
      <w:r w:rsidR="00FB63A5">
        <w:t>uld be referred to trial</w:t>
      </w:r>
      <w:r w:rsidR="00476068">
        <w:t>.</w:t>
      </w:r>
    </w:p>
    <w:p w14:paraId="45B62030" w14:textId="0259C74A" w:rsidR="0093272E" w:rsidRDefault="000B7F25" w:rsidP="000B7F25">
      <w:pPr>
        <w:pStyle w:val="1"/>
        <w:numPr>
          <w:ilvl w:val="0"/>
          <w:numId w:val="0"/>
        </w:numPr>
        <w:tabs>
          <w:tab w:val="left" w:pos="567"/>
        </w:tabs>
        <w:spacing w:line="360" w:lineRule="auto"/>
        <w:ind w:left="567" w:hanging="567"/>
      </w:pPr>
      <w:r>
        <w:t>[17]</w:t>
      </w:r>
      <w:r>
        <w:tab/>
      </w:r>
      <w:r w:rsidR="0093272E">
        <w:t>In the appellant’s notice of appeal, it was stated that the two key disputes of fact which should have been referred to trial were:</w:t>
      </w:r>
    </w:p>
    <w:p w14:paraId="3557379F" w14:textId="54595CFB" w:rsidR="0093272E" w:rsidRPr="004143AE" w:rsidRDefault="0032096E" w:rsidP="00E75AD9">
      <w:pPr>
        <w:pStyle w:val="Quote"/>
        <w:ind w:left="2160" w:hanging="459"/>
        <w:rPr>
          <w:i/>
          <w:iCs w:val="0"/>
          <w:sz w:val="22"/>
        </w:rPr>
      </w:pPr>
      <w:r>
        <w:rPr>
          <w:i/>
          <w:iCs w:val="0"/>
        </w:rPr>
        <w:t>“</w:t>
      </w:r>
      <w:r w:rsidRPr="004143AE">
        <w:rPr>
          <w:i/>
          <w:iCs w:val="0"/>
          <w:sz w:val="22"/>
        </w:rPr>
        <w:t>2.1</w:t>
      </w:r>
      <w:r w:rsidRPr="004143AE">
        <w:rPr>
          <w:i/>
          <w:iCs w:val="0"/>
          <w:sz w:val="22"/>
        </w:rPr>
        <w:tab/>
        <w:t>The terms of the A</w:t>
      </w:r>
      <w:r w:rsidR="0093272E" w:rsidRPr="004143AE">
        <w:rPr>
          <w:i/>
          <w:iCs w:val="0"/>
          <w:sz w:val="22"/>
        </w:rPr>
        <w:t>ppellant’s mandate and who should bear the loss of the compro</w:t>
      </w:r>
      <w:r w:rsidRPr="004143AE">
        <w:rPr>
          <w:i/>
          <w:iCs w:val="0"/>
          <w:sz w:val="22"/>
        </w:rPr>
        <w:t>mise of Patrick’s email to him (advising of his banking detail)</w:t>
      </w:r>
      <w:r w:rsidR="0093272E" w:rsidRPr="004143AE">
        <w:rPr>
          <w:i/>
          <w:iCs w:val="0"/>
          <w:sz w:val="22"/>
        </w:rPr>
        <w:t xml:space="preserve"> and</w:t>
      </w:r>
    </w:p>
    <w:p w14:paraId="5EE9BB0A" w14:textId="71D6B732" w:rsidR="0093272E" w:rsidRDefault="0093272E" w:rsidP="00E75AD9">
      <w:pPr>
        <w:pStyle w:val="Quote"/>
        <w:ind w:left="2160" w:hanging="459"/>
        <w:rPr>
          <w:i/>
          <w:iCs w:val="0"/>
        </w:rPr>
      </w:pPr>
      <w:r w:rsidRPr="004143AE">
        <w:rPr>
          <w:i/>
          <w:iCs w:val="0"/>
          <w:sz w:val="22"/>
        </w:rPr>
        <w:t>2.2</w:t>
      </w:r>
      <w:r w:rsidRPr="004143AE">
        <w:rPr>
          <w:i/>
          <w:iCs w:val="0"/>
          <w:sz w:val="22"/>
        </w:rPr>
        <w:tab/>
        <w:t xml:space="preserve">The issue whether the </w:t>
      </w:r>
      <w:r w:rsidR="000B79B7" w:rsidRPr="004143AE">
        <w:rPr>
          <w:i/>
          <w:iCs w:val="0"/>
          <w:sz w:val="22"/>
        </w:rPr>
        <w:t>Bank o</w:t>
      </w:r>
      <w:r w:rsidR="0032096E" w:rsidRPr="004143AE">
        <w:rPr>
          <w:i/>
          <w:iCs w:val="0"/>
          <w:sz w:val="22"/>
        </w:rPr>
        <w:t>wed the Appellant a legal duty (of care)</w:t>
      </w:r>
      <w:r w:rsidR="000B79B7" w:rsidRPr="004143AE">
        <w:rPr>
          <w:i/>
          <w:iCs w:val="0"/>
          <w:sz w:val="22"/>
        </w:rPr>
        <w:t xml:space="preserve"> and if so, whether the duty was breached such that the Bank should bear the loss.</w:t>
      </w:r>
      <w:r w:rsidR="000B79B7" w:rsidRPr="000B79B7">
        <w:rPr>
          <w:i/>
          <w:iCs w:val="0"/>
        </w:rPr>
        <w:t>”</w:t>
      </w:r>
    </w:p>
    <w:p w14:paraId="057BB371" w14:textId="7ACF6B71" w:rsidR="000B79B7" w:rsidRPr="00686C90" w:rsidRDefault="000B7F25" w:rsidP="000B7F25">
      <w:pPr>
        <w:pStyle w:val="1"/>
        <w:numPr>
          <w:ilvl w:val="0"/>
          <w:numId w:val="0"/>
        </w:numPr>
        <w:tabs>
          <w:tab w:val="left" w:pos="567"/>
        </w:tabs>
        <w:spacing w:line="360" w:lineRule="auto"/>
        <w:ind w:left="567" w:hanging="567"/>
      </w:pPr>
      <w:r w:rsidRPr="00686C90">
        <w:lastRenderedPageBreak/>
        <w:t>[18]</w:t>
      </w:r>
      <w:r w:rsidRPr="00686C90">
        <w:tab/>
      </w:r>
      <w:r w:rsidR="000B79B7">
        <w:t>The respondents before us</w:t>
      </w:r>
      <w:r w:rsidR="00686C90">
        <w:t>, a</w:t>
      </w:r>
      <w:r w:rsidR="007043B2">
        <w:t>s well as</w:t>
      </w:r>
      <w:r w:rsidR="00686C90">
        <w:t xml:space="preserve"> Standard Bank, denied the existence of a </w:t>
      </w:r>
      <w:r w:rsidR="00600974">
        <w:t>factual</w:t>
      </w:r>
      <w:r w:rsidR="00686C90">
        <w:t xml:space="preserve"> dispute and supported the judgment of the court </w:t>
      </w:r>
      <w:r w:rsidR="00686C90">
        <w:rPr>
          <w:i/>
          <w:iCs w:val="0"/>
        </w:rPr>
        <w:t>a quo.</w:t>
      </w:r>
    </w:p>
    <w:p w14:paraId="3660B5B8" w14:textId="09C23748" w:rsidR="00686C90" w:rsidRDefault="000B7F25" w:rsidP="000B7F25">
      <w:pPr>
        <w:pStyle w:val="1"/>
        <w:numPr>
          <w:ilvl w:val="0"/>
          <w:numId w:val="0"/>
        </w:numPr>
        <w:tabs>
          <w:tab w:val="left" w:pos="567"/>
        </w:tabs>
        <w:spacing w:line="360" w:lineRule="auto"/>
        <w:ind w:left="567" w:hanging="567"/>
      </w:pPr>
      <w:r>
        <w:t>[19]</w:t>
      </w:r>
      <w:r>
        <w:tab/>
      </w:r>
      <w:r w:rsidR="00686C90">
        <w:t>In heads of argument filed on behalf of the appellant, reference was made to a factual dispute pertaining to the terms of the mandate.</w:t>
      </w:r>
      <w:r w:rsidR="0032096E">
        <w:t xml:space="preserve"> This alleged factual dispute was not related to the alleged tacit agreement.</w:t>
      </w:r>
      <w:r w:rsidR="00B07369">
        <w:t xml:space="preserve"> It was argued</w:t>
      </w:r>
      <w:r w:rsidR="00686C90">
        <w:t xml:space="preserve"> that the respondents </w:t>
      </w:r>
      <w:r w:rsidR="00600974">
        <w:t>contradicted</w:t>
      </w:r>
      <w:r w:rsidR="00686C90">
        <w:t xml:space="preserve"> themselves in the founding affidavit. This related to what was said at the fir</w:t>
      </w:r>
      <w:r w:rsidR="008C0D5F">
        <w:t>st meeting between Brigit</w:t>
      </w:r>
      <w:r w:rsidR="007B7178">
        <w:t>t</w:t>
      </w:r>
      <w:r w:rsidR="008C0D5F">
        <w:t>e</w:t>
      </w:r>
      <w:r w:rsidR="007B7178">
        <w:t>, Kari</w:t>
      </w:r>
      <w:r w:rsidR="00686C90">
        <w:t>n and t</w:t>
      </w:r>
      <w:r w:rsidR="008C0D5F">
        <w:t>he appellant at the home of Kari</w:t>
      </w:r>
      <w:r w:rsidR="00DF4899">
        <w:t xml:space="preserve">n during September/October 2017 when the mandate was given to </w:t>
      </w:r>
      <w:r w:rsidR="003D01BB">
        <w:t>the latter</w:t>
      </w:r>
      <w:r w:rsidR="00DF4899">
        <w:t xml:space="preserve"> to transfer the property. </w:t>
      </w:r>
      <w:r w:rsidR="00686C90">
        <w:t xml:space="preserve"> </w:t>
      </w:r>
      <w:r w:rsidR="007B7178">
        <w:t>I</w:t>
      </w:r>
      <w:r w:rsidR="00686C90">
        <w:t>t was pointed out that according to the founding affidavit on behalf of the respondents, it was at this first meeting already</w:t>
      </w:r>
      <w:r w:rsidR="007B7178">
        <w:t xml:space="preserve"> agreed</w:t>
      </w:r>
      <w:r w:rsidR="00686C90">
        <w:t xml:space="preserve"> that the balance of the proceeds </w:t>
      </w:r>
      <w:r w:rsidR="00AE28EA">
        <w:t>were</w:t>
      </w:r>
      <w:r w:rsidR="00686C90">
        <w:t xml:space="preserve"> to be paid into the account of Patrick, held at Standard</w:t>
      </w:r>
      <w:r w:rsidR="00B51E57">
        <w:t xml:space="preserve"> Bank with account No. […]</w:t>
      </w:r>
      <w:r w:rsidR="00686C90">
        <w:t>. Later in the affidavit</w:t>
      </w:r>
      <w:r w:rsidR="00AE28EA">
        <w:t>,</w:t>
      </w:r>
      <w:r w:rsidR="00686C90">
        <w:t xml:space="preserve"> it was however stated that this instruction only came later. </w:t>
      </w:r>
    </w:p>
    <w:p w14:paraId="7704D7F4" w14:textId="40B20DA5" w:rsidR="00686C90" w:rsidRDefault="000B7F25" w:rsidP="000B7F25">
      <w:pPr>
        <w:pStyle w:val="1"/>
        <w:numPr>
          <w:ilvl w:val="0"/>
          <w:numId w:val="0"/>
        </w:numPr>
        <w:tabs>
          <w:tab w:val="left" w:pos="567"/>
        </w:tabs>
        <w:spacing w:line="360" w:lineRule="auto"/>
        <w:ind w:left="567" w:hanging="567"/>
      </w:pPr>
      <w:r>
        <w:t>[20]</w:t>
      </w:r>
      <w:r>
        <w:tab/>
      </w:r>
      <w:r w:rsidR="00686C90">
        <w:t xml:space="preserve">It was the version of the appellant that the instruction to pay the proceeds into Patrick’s account in fact came later. This is also what was stated on behalf of the respondents later in their affidavit. It was explained by counsel </w:t>
      </w:r>
      <w:r w:rsidR="003D1C27">
        <w:t>for</w:t>
      </w:r>
      <w:r w:rsidR="00686C90">
        <w:t xml:space="preserve"> the respondents that the first part of the affidavit was just an introduction stating the full extent of the mandate and that the parties were in fact in agreement that this instruction only came later. In my view, this does not establish a factual dispute and what transpired later in fact became common cause and is evidenced in the correspondence between the parties. </w:t>
      </w:r>
      <w:r w:rsidR="00DF4899">
        <w:t>The only factual dispute relates to the existence or not of an alleged tacit term of the agreement of mandate.</w:t>
      </w:r>
    </w:p>
    <w:p w14:paraId="0907B5A1" w14:textId="03B7E3FD" w:rsidR="00686C90" w:rsidRPr="00686C90" w:rsidRDefault="000B7F25" w:rsidP="000B7F25">
      <w:pPr>
        <w:pStyle w:val="1"/>
        <w:numPr>
          <w:ilvl w:val="0"/>
          <w:numId w:val="0"/>
        </w:numPr>
        <w:tabs>
          <w:tab w:val="left" w:pos="567"/>
        </w:tabs>
        <w:spacing w:line="360" w:lineRule="auto"/>
        <w:ind w:left="567" w:hanging="567"/>
      </w:pPr>
      <w:r w:rsidRPr="00686C90">
        <w:t>[21]</w:t>
      </w:r>
      <w:r w:rsidRPr="00686C90">
        <w:tab/>
      </w:r>
      <w:r w:rsidR="00686C90">
        <w:t xml:space="preserve">Before </w:t>
      </w:r>
      <w:r w:rsidR="00600974">
        <w:t>dealing</w:t>
      </w:r>
      <w:r w:rsidR="00DF4899">
        <w:t xml:space="preserve"> further with this</w:t>
      </w:r>
      <w:r w:rsidR="00686C90">
        <w:t xml:space="preserve"> issu</w:t>
      </w:r>
      <w:r w:rsidR="00DF4899">
        <w:t>e of the</w:t>
      </w:r>
      <w:r w:rsidR="007B7178">
        <w:t xml:space="preserve"> alleged tacit agreement</w:t>
      </w:r>
      <w:r w:rsidR="00686C90">
        <w:t>, the background circumstances pertaining to this case should briefly be stated. Most of these facts are common cause and have been fu</w:t>
      </w:r>
      <w:r w:rsidR="00E40147">
        <w:t>lly canvassed in the judgment of</w:t>
      </w:r>
      <w:r w:rsidR="00686C90">
        <w:t xml:space="preserve"> the court </w:t>
      </w:r>
      <w:r w:rsidR="00686C90">
        <w:rPr>
          <w:i/>
          <w:iCs w:val="0"/>
        </w:rPr>
        <w:t>a quo.</w:t>
      </w:r>
    </w:p>
    <w:p w14:paraId="3C253DB3" w14:textId="59148825" w:rsidR="00686C90" w:rsidRDefault="000B7F25" w:rsidP="000B7F25">
      <w:pPr>
        <w:pStyle w:val="1"/>
        <w:numPr>
          <w:ilvl w:val="0"/>
          <w:numId w:val="0"/>
        </w:numPr>
        <w:tabs>
          <w:tab w:val="left" w:pos="567"/>
        </w:tabs>
        <w:spacing w:line="360" w:lineRule="auto"/>
        <w:ind w:left="567" w:hanging="567"/>
      </w:pPr>
      <w:r>
        <w:t>[22]</w:t>
      </w:r>
      <w:r>
        <w:tab/>
      </w:r>
      <w:r w:rsidR="00CB2516">
        <w:t xml:space="preserve">The starting point was the mandate which was provided to </w:t>
      </w:r>
      <w:r w:rsidR="00AF7BA8">
        <w:t xml:space="preserve">the </w:t>
      </w:r>
      <w:r w:rsidR="00CB2516">
        <w:t>appellant during or about September/October 2017. On 7 November 2017</w:t>
      </w:r>
      <w:r w:rsidR="003D3F7F">
        <w:t>,</w:t>
      </w:r>
      <w:r w:rsidR="00CB2516">
        <w:t xml:space="preserve"> the property was sold and on 5 June 2018</w:t>
      </w:r>
      <w:r w:rsidR="008C0D5F">
        <w:t xml:space="preserve"> transfer of the property</w:t>
      </w:r>
      <w:r w:rsidR="00CB2516">
        <w:t xml:space="preserve"> into the name of the purchaser took place. </w:t>
      </w:r>
      <w:r w:rsidR="004E1385">
        <w:t>In fulfilment of his mandate, t</w:t>
      </w:r>
      <w:r w:rsidR="0067424B">
        <w:t>he</w:t>
      </w:r>
      <w:r w:rsidR="00686C90">
        <w:t xml:space="preserve"> </w:t>
      </w:r>
      <w:r w:rsidR="0067424B">
        <w:t>a</w:t>
      </w:r>
      <w:r w:rsidR="007B7178">
        <w:t>ppellant</w:t>
      </w:r>
      <w:r w:rsidR="00CB2516">
        <w:t xml:space="preserve"> </w:t>
      </w:r>
      <w:r w:rsidR="007B7178">
        <w:t>caused th</w:t>
      </w:r>
      <w:r w:rsidR="008C0D5F">
        <w:t>e transfer to take place and</w:t>
      </w:r>
      <w:r w:rsidR="007B7178">
        <w:t xml:space="preserve"> </w:t>
      </w:r>
      <w:r w:rsidR="004E1385">
        <w:t>then</w:t>
      </w:r>
      <w:r w:rsidR="007B7178">
        <w:t xml:space="preserve"> held the proceeds of the sale in his trust account. </w:t>
      </w:r>
    </w:p>
    <w:p w14:paraId="0A758391" w14:textId="12E0E742" w:rsidR="00686C90" w:rsidRDefault="000B7F25" w:rsidP="000B7F25">
      <w:pPr>
        <w:pStyle w:val="1"/>
        <w:numPr>
          <w:ilvl w:val="0"/>
          <w:numId w:val="0"/>
        </w:numPr>
        <w:tabs>
          <w:tab w:val="left" w:pos="567"/>
        </w:tabs>
        <w:spacing w:line="360" w:lineRule="auto"/>
        <w:ind w:left="567" w:hanging="567"/>
      </w:pPr>
      <w:r>
        <w:lastRenderedPageBreak/>
        <w:t>[23]</w:t>
      </w:r>
      <w:r>
        <w:tab/>
      </w:r>
      <w:r w:rsidR="00686C90">
        <w:t>On 6 June</w:t>
      </w:r>
      <w:r w:rsidR="007B7178">
        <w:t xml:space="preserve"> 2018, the appellant phoned Kari</w:t>
      </w:r>
      <w:r w:rsidR="00686C90">
        <w:t>n advising</w:t>
      </w:r>
      <w:r w:rsidR="007B7178">
        <w:t xml:space="preserve"> her</w:t>
      </w:r>
      <w:r w:rsidR="00686C90">
        <w:t xml:space="preserve"> of </w:t>
      </w:r>
      <w:r w:rsidR="008C0D5F">
        <w:t xml:space="preserve">the </w:t>
      </w:r>
      <w:r w:rsidR="00686C90">
        <w:t>transfer and request</w:t>
      </w:r>
      <w:r w:rsidR="004E1385">
        <w:t>ed</w:t>
      </w:r>
      <w:r w:rsidR="00686C90">
        <w:t xml:space="preserve"> payment instructions</w:t>
      </w:r>
      <w:r w:rsidR="008C0D5F">
        <w:t>. Such</w:t>
      </w:r>
      <w:r w:rsidR="00686C90">
        <w:t xml:space="preserve"> </w:t>
      </w:r>
      <w:r w:rsidR="00600974">
        <w:t>instructions</w:t>
      </w:r>
      <w:r w:rsidR="00686C90">
        <w:t xml:space="preserve"> were given. </w:t>
      </w:r>
    </w:p>
    <w:p w14:paraId="7D3AF644" w14:textId="4EFE7525" w:rsidR="00686C90" w:rsidRDefault="000B7F25" w:rsidP="000B7F25">
      <w:pPr>
        <w:pStyle w:val="1"/>
        <w:numPr>
          <w:ilvl w:val="0"/>
          <w:numId w:val="0"/>
        </w:numPr>
        <w:tabs>
          <w:tab w:val="left" w:pos="567"/>
        </w:tabs>
        <w:spacing w:line="360" w:lineRule="auto"/>
        <w:ind w:left="567" w:hanging="567"/>
      </w:pPr>
      <w:r>
        <w:t>[24]</w:t>
      </w:r>
      <w:r>
        <w:tab/>
      </w:r>
      <w:r w:rsidR="00686C90">
        <w:t>On 7 June 2018, the appellant transmi</w:t>
      </w:r>
      <w:r w:rsidR="008C0D5F">
        <w:t>tted an email</w:t>
      </w:r>
      <w:r w:rsidR="007B7178">
        <w:t xml:space="preserve"> to Kari</w:t>
      </w:r>
      <w:r w:rsidR="00686C90">
        <w:t>n and</w:t>
      </w:r>
      <w:r w:rsidR="007B7178">
        <w:t xml:space="preserve"> Brigitte</w:t>
      </w:r>
      <w:r w:rsidR="008C0D5F">
        <w:t xml:space="preserve"> informing them that an amount of R</w:t>
      </w:r>
      <w:r w:rsidR="007D4B76">
        <w:t xml:space="preserve"> </w:t>
      </w:r>
      <w:r w:rsidR="008C0D5F">
        <w:t>1 </w:t>
      </w:r>
      <w:r w:rsidR="00F0457C">
        <w:t>5</w:t>
      </w:r>
      <w:r w:rsidR="008C0D5F">
        <w:t>21 228</w:t>
      </w:r>
      <w:r w:rsidR="007D4B76">
        <w:t>.</w:t>
      </w:r>
      <w:r w:rsidR="008C0D5F">
        <w:t>06 w</w:t>
      </w:r>
      <w:r w:rsidR="00514E60">
        <w:t>as</w:t>
      </w:r>
      <w:r w:rsidR="008C0D5F">
        <w:t xml:space="preserve"> payable to them</w:t>
      </w:r>
      <w:r w:rsidR="00686C90">
        <w:t xml:space="preserve">. </w:t>
      </w:r>
      <w:r w:rsidR="00F0457C">
        <w:t xml:space="preserve">This included an amount of R100 000.00 which was going to be paid to Karin directly, leaving a balance of R 1 421 228.06. </w:t>
      </w:r>
      <w:r w:rsidR="008C0D5F">
        <w:t xml:space="preserve">Attached to this email was </w:t>
      </w:r>
      <w:r w:rsidR="00A33EE9">
        <w:t xml:space="preserve">the full account of distribution of the proceeds of the sale. </w:t>
      </w:r>
      <w:r w:rsidR="00686C90">
        <w:t>In this email</w:t>
      </w:r>
      <w:r w:rsidR="0058547C">
        <w:t>,</w:t>
      </w:r>
      <w:r w:rsidR="00686C90">
        <w:t xml:space="preserve"> it was stated that an amount was </w:t>
      </w:r>
      <w:r w:rsidR="00600974">
        <w:t>payable</w:t>
      </w:r>
      <w:r w:rsidR="00686C90">
        <w:t xml:space="preserve"> to them and a request was made to </w:t>
      </w:r>
      <w:r w:rsidR="00686C90">
        <w:rPr>
          <w:i/>
          <w:iCs w:val="0"/>
        </w:rPr>
        <w:t>“send me instructions and bank details”</w:t>
      </w:r>
      <w:r w:rsidR="00686C90">
        <w:t xml:space="preserve">. </w:t>
      </w:r>
    </w:p>
    <w:p w14:paraId="518CE129" w14:textId="54D6C989" w:rsidR="00686C90" w:rsidRDefault="000B7F25" w:rsidP="000B7F25">
      <w:pPr>
        <w:pStyle w:val="1"/>
        <w:numPr>
          <w:ilvl w:val="0"/>
          <w:numId w:val="0"/>
        </w:numPr>
        <w:tabs>
          <w:tab w:val="left" w:pos="567"/>
        </w:tabs>
        <w:spacing w:line="360" w:lineRule="auto"/>
        <w:ind w:left="567" w:hanging="567"/>
      </w:pPr>
      <w:r>
        <w:t>[25]</w:t>
      </w:r>
      <w:r>
        <w:tab/>
      </w:r>
      <w:r w:rsidR="00686C90">
        <w:t>On 8 June 2018, Garet</w:t>
      </w:r>
      <w:r w:rsidR="007B7178">
        <w:t xml:space="preserve">h </w:t>
      </w:r>
      <w:proofErr w:type="spellStart"/>
      <w:r w:rsidR="007B7178">
        <w:t>Foulkes</w:t>
      </w:r>
      <w:proofErr w:type="spellEnd"/>
      <w:r w:rsidR="007B7178">
        <w:t>-Jones, the son of Kari</w:t>
      </w:r>
      <w:r w:rsidR="00686C90">
        <w:t>n, transmitted instructions</w:t>
      </w:r>
      <w:r w:rsidR="007B7178">
        <w:t>, on behalf of Karin,</w:t>
      </w:r>
      <w:r w:rsidR="00686C90">
        <w:t xml:space="preserve"> </w:t>
      </w:r>
      <w:r w:rsidR="00A33EE9">
        <w:t xml:space="preserve">to the appellant </w:t>
      </w:r>
      <w:r w:rsidR="00686C90">
        <w:t>concerning part payment of the sale proceeds to</w:t>
      </w:r>
      <w:r w:rsidR="00A33EE9">
        <w:t xml:space="preserve"> her</w:t>
      </w:r>
      <w:r w:rsidR="00686C90">
        <w:t xml:space="preserve">. </w:t>
      </w:r>
    </w:p>
    <w:p w14:paraId="07F549E8" w14:textId="22453A35" w:rsidR="00686C90" w:rsidRDefault="000B7F25" w:rsidP="000B7F25">
      <w:pPr>
        <w:pStyle w:val="1"/>
        <w:numPr>
          <w:ilvl w:val="0"/>
          <w:numId w:val="0"/>
        </w:numPr>
        <w:tabs>
          <w:tab w:val="left" w:pos="567"/>
        </w:tabs>
        <w:spacing w:line="360" w:lineRule="auto"/>
        <w:ind w:left="567" w:hanging="567"/>
      </w:pPr>
      <w:r>
        <w:t>[26]</w:t>
      </w:r>
      <w:r>
        <w:tab/>
      </w:r>
      <w:r w:rsidR="00686C90">
        <w:t>On the same date the app</w:t>
      </w:r>
      <w:r w:rsidR="007B7178">
        <w:t>ellant communicated</w:t>
      </w:r>
      <w:r w:rsidR="00477A33">
        <w:t xml:space="preserve"> telephonically</w:t>
      </w:r>
      <w:r w:rsidR="007B7178">
        <w:t xml:space="preserve"> with Brigitte</w:t>
      </w:r>
      <w:r w:rsidR="003341F0">
        <w:t>,</w:t>
      </w:r>
      <w:r w:rsidR="00686C90">
        <w:t xml:space="preserve"> requesting banking details for payment. </w:t>
      </w:r>
    </w:p>
    <w:p w14:paraId="277B17C5" w14:textId="5FDC5211" w:rsidR="00686C90" w:rsidRDefault="000B7F25" w:rsidP="000B7F25">
      <w:pPr>
        <w:pStyle w:val="1"/>
        <w:numPr>
          <w:ilvl w:val="0"/>
          <w:numId w:val="0"/>
        </w:numPr>
        <w:tabs>
          <w:tab w:val="left" w:pos="567"/>
        </w:tabs>
        <w:spacing w:line="360" w:lineRule="auto"/>
        <w:ind w:left="567" w:hanging="567"/>
      </w:pPr>
      <w:r>
        <w:t>[27]</w:t>
      </w:r>
      <w:r>
        <w:tab/>
      </w:r>
      <w:r w:rsidR="00686C90">
        <w:t xml:space="preserve">On 10 June 2018, Patrick transmitted an email to the appellant providing </w:t>
      </w:r>
      <w:r w:rsidR="00600974">
        <w:t>details</w:t>
      </w:r>
      <w:r w:rsidR="00477A33">
        <w:t xml:space="preserve"> for payment by</w:t>
      </w:r>
      <w:r w:rsidR="00686C90">
        <w:t xml:space="preserve"> the appellant of the purchase price into an account he was the holder</w:t>
      </w:r>
      <w:r w:rsidR="001437D6">
        <w:t>,</w:t>
      </w:r>
      <w:r w:rsidR="00686C90">
        <w:t xml:space="preserve"> with account </w:t>
      </w:r>
      <w:r w:rsidR="00CB7A24">
        <w:t>n</w:t>
      </w:r>
      <w:r w:rsidR="00B51E57">
        <w:t>o. […]</w:t>
      </w:r>
      <w:r w:rsidR="00686C90">
        <w:t xml:space="preserve">. A Standard Bank statement containing the account details was attached to this email. </w:t>
      </w:r>
      <w:r w:rsidR="00A33EE9">
        <w:t xml:space="preserve">This email was received by the appellant. </w:t>
      </w:r>
    </w:p>
    <w:p w14:paraId="4B752778" w14:textId="724BC548" w:rsidR="00686C90" w:rsidRDefault="000B7F25" w:rsidP="000B7F25">
      <w:pPr>
        <w:pStyle w:val="1"/>
        <w:numPr>
          <w:ilvl w:val="0"/>
          <w:numId w:val="0"/>
        </w:numPr>
        <w:tabs>
          <w:tab w:val="left" w:pos="567"/>
        </w:tabs>
        <w:spacing w:line="360" w:lineRule="auto"/>
        <w:ind w:left="567" w:hanging="567"/>
      </w:pPr>
      <w:r>
        <w:t>[28]</w:t>
      </w:r>
      <w:r>
        <w:tab/>
      </w:r>
      <w:r w:rsidR="00686C90">
        <w:t>On 11 June 2018, the appellant transmitted an email to Patrick advising th</w:t>
      </w:r>
      <w:r w:rsidR="007B7178">
        <w:t>at he has already spoken to Kari</w:t>
      </w:r>
      <w:r w:rsidR="00686C90">
        <w:t>n. It was noted in this email that as per</w:t>
      </w:r>
      <w:r w:rsidR="007B7178">
        <w:t xml:space="preserve"> her</w:t>
      </w:r>
      <w:r w:rsidR="00686C90">
        <w:t xml:space="preserve"> instructions, the appellant was to transfer R</w:t>
      </w:r>
      <w:r w:rsidR="00F12558">
        <w:t xml:space="preserve"> </w:t>
      </w:r>
      <w:r w:rsidR="00686C90">
        <w:t>100</w:t>
      </w:r>
      <w:r w:rsidR="00F12558">
        <w:t xml:space="preserve"> </w:t>
      </w:r>
      <w:r w:rsidR="00686C90">
        <w:t xml:space="preserve">000 to her </w:t>
      </w:r>
      <w:proofErr w:type="spellStart"/>
      <w:r w:rsidR="00686C90">
        <w:t>Capitec</w:t>
      </w:r>
      <w:proofErr w:type="spellEnd"/>
      <w:r w:rsidR="003156ED">
        <w:t xml:space="preserve"> Bank</w:t>
      </w:r>
      <w:r w:rsidR="00686C90">
        <w:t xml:space="preserve"> account and the full balance to</w:t>
      </w:r>
      <w:r w:rsidR="007B7178">
        <w:t xml:space="preserve"> </w:t>
      </w:r>
      <w:r w:rsidR="00F90163">
        <w:t>Patrick’s</w:t>
      </w:r>
      <w:r w:rsidR="007B7178">
        <w:t xml:space="preserve"> account</w:t>
      </w:r>
      <w:r w:rsidR="00686C90">
        <w:t>. It was stated that this transfer would be done on the same day, to wit, 11 June 2018.</w:t>
      </w:r>
    </w:p>
    <w:p w14:paraId="20FB1680" w14:textId="2635A01A" w:rsidR="00A46B65" w:rsidRDefault="000B7F25" w:rsidP="000B7F25">
      <w:pPr>
        <w:pStyle w:val="1"/>
        <w:numPr>
          <w:ilvl w:val="0"/>
          <w:numId w:val="0"/>
        </w:numPr>
        <w:tabs>
          <w:tab w:val="left" w:pos="567"/>
        </w:tabs>
        <w:spacing w:line="360" w:lineRule="auto"/>
        <w:ind w:left="567" w:hanging="567"/>
      </w:pPr>
      <w:r>
        <w:t>[29]</w:t>
      </w:r>
      <w:r>
        <w:tab/>
      </w:r>
      <w:r w:rsidR="00A46B65">
        <w:t>On the same day, the appellant effected payment of R</w:t>
      </w:r>
      <w:r w:rsidR="005731BA">
        <w:t xml:space="preserve"> </w:t>
      </w:r>
      <w:r w:rsidR="00A46B65">
        <w:t>100</w:t>
      </w:r>
      <w:r w:rsidR="005731BA">
        <w:t xml:space="preserve"> </w:t>
      </w:r>
      <w:r w:rsidR="00A46B65">
        <w:t>000</w:t>
      </w:r>
      <w:r w:rsidR="00331E35">
        <w:t xml:space="preserve"> to Karin</w:t>
      </w:r>
      <w:r w:rsidR="00A46B65">
        <w:t xml:space="preserve"> in accordance with her instructions. </w:t>
      </w:r>
      <w:r w:rsidR="00331E35">
        <w:t xml:space="preserve">Payment </w:t>
      </w:r>
      <w:r w:rsidR="00A33EE9">
        <w:t xml:space="preserve">of the balance </w:t>
      </w:r>
      <w:r w:rsidR="00331E35">
        <w:t>was however not made to Patrick.</w:t>
      </w:r>
    </w:p>
    <w:p w14:paraId="139B95B6" w14:textId="2A1296F3" w:rsidR="000649F2" w:rsidRDefault="000B7F25" w:rsidP="000B7F25">
      <w:pPr>
        <w:pStyle w:val="1"/>
        <w:numPr>
          <w:ilvl w:val="0"/>
          <w:numId w:val="0"/>
        </w:numPr>
        <w:tabs>
          <w:tab w:val="left" w:pos="567"/>
        </w:tabs>
        <w:spacing w:line="360" w:lineRule="auto"/>
        <w:ind w:left="567" w:hanging="567"/>
      </w:pPr>
      <w:r>
        <w:t>[30]</w:t>
      </w:r>
      <w:r>
        <w:tab/>
      </w:r>
      <w:r w:rsidR="00A46B65">
        <w:t>On 12 June 2018 the appellant sent a further email to Patrick at 13:14 confirming having received instructions to pay the amount of R</w:t>
      </w:r>
      <w:r w:rsidR="00926182">
        <w:t xml:space="preserve"> </w:t>
      </w:r>
      <w:r w:rsidR="00A46B65">
        <w:t>1</w:t>
      </w:r>
      <w:r w:rsidR="00926182">
        <w:t xml:space="preserve"> </w:t>
      </w:r>
      <w:r w:rsidR="00A46B65">
        <w:t>4</w:t>
      </w:r>
      <w:r w:rsidR="000649F2">
        <w:t>21</w:t>
      </w:r>
      <w:r w:rsidR="00926182">
        <w:t xml:space="preserve"> </w:t>
      </w:r>
      <w:r w:rsidR="000649F2">
        <w:t xml:space="preserve">228.06 into his </w:t>
      </w:r>
      <w:r w:rsidR="000649F2">
        <w:lastRenderedPageBreak/>
        <w:t xml:space="preserve">Standard Bank account. It was asked of Patrick to confirm the details of the account which </w:t>
      </w:r>
      <w:r w:rsidR="00163A83">
        <w:t>were stated</w:t>
      </w:r>
      <w:r w:rsidR="000649F2">
        <w:t xml:space="preserve"> to be</w:t>
      </w:r>
      <w:r w:rsidR="00A33EE9">
        <w:t>:</w:t>
      </w:r>
      <w:r w:rsidR="000649F2">
        <w:t xml:space="preserve"> </w:t>
      </w:r>
    </w:p>
    <w:p w14:paraId="4C5EE151" w14:textId="6943C2BB" w:rsidR="00A46B65" w:rsidRPr="004143AE" w:rsidRDefault="000649F2" w:rsidP="00E75AD9">
      <w:pPr>
        <w:pStyle w:val="Quote"/>
        <w:rPr>
          <w:i/>
          <w:iCs w:val="0"/>
          <w:sz w:val="22"/>
        </w:rPr>
      </w:pPr>
      <w:r w:rsidRPr="000649F2">
        <w:rPr>
          <w:i/>
          <w:iCs w:val="0"/>
        </w:rPr>
        <w:t>“</w:t>
      </w:r>
      <w:r w:rsidRPr="004143AE">
        <w:rPr>
          <w:i/>
          <w:iCs w:val="0"/>
          <w:sz w:val="22"/>
        </w:rPr>
        <w:t>PF Daly</w:t>
      </w:r>
    </w:p>
    <w:p w14:paraId="53639AED" w14:textId="55923EC5" w:rsidR="000649F2" w:rsidRPr="004143AE" w:rsidRDefault="000649F2" w:rsidP="00E75AD9">
      <w:pPr>
        <w:pStyle w:val="Quote"/>
        <w:rPr>
          <w:i/>
          <w:iCs w:val="0"/>
          <w:sz w:val="22"/>
        </w:rPr>
      </w:pPr>
      <w:r w:rsidRPr="004143AE">
        <w:rPr>
          <w:i/>
          <w:iCs w:val="0"/>
          <w:sz w:val="22"/>
        </w:rPr>
        <w:t>Standard Bank Limited</w:t>
      </w:r>
    </w:p>
    <w:p w14:paraId="667EF66A" w14:textId="6723016E" w:rsidR="000649F2" w:rsidRDefault="000649F2" w:rsidP="00975427">
      <w:pPr>
        <w:pStyle w:val="Quote"/>
        <w:rPr>
          <w:i/>
          <w:iCs w:val="0"/>
        </w:rPr>
      </w:pPr>
      <w:r w:rsidRPr="004143AE">
        <w:rPr>
          <w:i/>
          <w:iCs w:val="0"/>
          <w:sz w:val="22"/>
        </w:rPr>
        <w:t>Account: Wealth INV02-251-989-0</w:t>
      </w:r>
      <w:r w:rsidR="005505E2">
        <w:rPr>
          <w:i/>
          <w:iCs w:val="0"/>
          <w:sz w:val="22"/>
        </w:rPr>
        <w:t>.</w:t>
      </w:r>
      <w:r>
        <w:rPr>
          <w:i/>
          <w:iCs w:val="0"/>
        </w:rPr>
        <w:t>”</w:t>
      </w:r>
    </w:p>
    <w:p w14:paraId="38ED28E0" w14:textId="3AD575BD" w:rsidR="000649F2" w:rsidRDefault="000B7F25" w:rsidP="000B7F25">
      <w:pPr>
        <w:pStyle w:val="1"/>
        <w:numPr>
          <w:ilvl w:val="0"/>
          <w:numId w:val="0"/>
        </w:numPr>
        <w:tabs>
          <w:tab w:val="left" w:pos="567"/>
        </w:tabs>
        <w:spacing w:line="360" w:lineRule="auto"/>
        <w:ind w:left="567" w:hanging="567"/>
      </w:pPr>
      <w:r>
        <w:t>[31]</w:t>
      </w:r>
      <w:r>
        <w:tab/>
      </w:r>
      <w:r w:rsidR="00331E35">
        <w:t>According to Patrick</w:t>
      </w:r>
      <w:r w:rsidR="00163A83">
        <w:t>,</w:t>
      </w:r>
      <w:r w:rsidR="00331E35">
        <w:t xml:space="preserve"> he</w:t>
      </w:r>
      <w:r w:rsidR="00A33EE9">
        <w:t xml:space="preserve"> replied</w:t>
      </w:r>
      <w:r w:rsidR="000649F2">
        <w:t xml:space="preserve"> to this email from the appellant</w:t>
      </w:r>
      <w:r w:rsidR="00477A33">
        <w:t xml:space="preserve"> later</w:t>
      </w:r>
      <w:r w:rsidR="000649F2">
        <w:t xml:space="preserve"> on the same day at </w:t>
      </w:r>
      <w:r w:rsidR="00163A83">
        <w:t>19</w:t>
      </w:r>
      <w:r w:rsidR="000649F2">
        <w:t xml:space="preserve">:34 confirming his account and account number. </w:t>
      </w:r>
      <w:r w:rsidR="00331E35">
        <w:t>This email was attached to the papers of the parties.</w:t>
      </w:r>
      <w:r w:rsidR="00A33EE9">
        <w:t xml:space="preserve"> </w:t>
      </w:r>
      <w:r w:rsidR="000649F2">
        <w:t xml:space="preserve">The version of the appellant is that he never received this email. </w:t>
      </w:r>
    </w:p>
    <w:p w14:paraId="5276E7C0" w14:textId="51440DE2" w:rsidR="000649F2" w:rsidRDefault="000B7F25" w:rsidP="000B7F25">
      <w:pPr>
        <w:pStyle w:val="1"/>
        <w:numPr>
          <w:ilvl w:val="0"/>
          <w:numId w:val="0"/>
        </w:numPr>
        <w:tabs>
          <w:tab w:val="left" w:pos="567"/>
        </w:tabs>
        <w:spacing w:line="360" w:lineRule="auto"/>
        <w:ind w:left="567" w:hanging="567"/>
      </w:pPr>
      <w:r>
        <w:t>[32]</w:t>
      </w:r>
      <w:r>
        <w:tab/>
      </w:r>
      <w:r w:rsidR="000649F2">
        <w:t>On 13 June 2018, the appellant received a further email which, on the face of it, appear</w:t>
      </w:r>
      <w:r w:rsidR="00B04D7B">
        <w:t>ed</w:t>
      </w:r>
      <w:r w:rsidR="00A33EE9">
        <w:t xml:space="preserve"> </w:t>
      </w:r>
      <w:r w:rsidR="000649F2">
        <w:t>to have been sent by Patrick, in which email the appellant was requested to use “</w:t>
      </w:r>
      <w:r w:rsidR="00331E35">
        <w:t>…</w:t>
      </w:r>
      <w:r w:rsidR="000649F2">
        <w:rPr>
          <w:i/>
          <w:iCs w:val="0"/>
        </w:rPr>
        <w:t>my Cheque account with Standard Bank for payment”</w:t>
      </w:r>
      <w:r w:rsidR="000649F2">
        <w:t xml:space="preserve">. </w:t>
      </w:r>
      <w:r w:rsidR="00E324C1">
        <w:t>A</w:t>
      </w:r>
      <w:r w:rsidR="000649F2">
        <w:t>ttached to this email was a purported acco</w:t>
      </w:r>
      <w:r w:rsidR="00331E35">
        <w:t>unt confirmation letter from Standard</w:t>
      </w:r>
      <w:r w:rsidR="000649F2">
        <w:t xml:space="preserve"> Bank</w:t>
      </w:r>
      <w:r w:rsidR="0098556C">
        <w:t xml:space="preserve"> dated 21 May 2018</w:t>
      </w:r>
      <w:r w:rsidR="000649F2">
        <w:t>. This letter provided the name of the account to be that of Dr PF Daly wit</w:t>
      </w:r>
      <w:r w:rsidR="00B51E57">
        <w:t>h the account number […]</w:t>
      </w:r>
      <w:r w:rsidR="000649F2">
        <w:t>. According to this document</w:t>
      </w:r>
      <w:r w:rsidR="0097500A">
        <w:t>,</w:t>
      </w:r>
      <w:r w:rsidR="000649F2">
        <w:t xml:space="preserve"> the account was</w:t>
      </w:r>
      <w:r w:rsidR="00477A33">
        <w:t xml:space="preserve"> held at </w:t>
      </w:r>
      <w:proofErr w:type="spellStart"/>
      <w:r w:rsidR="00477A33">
        <w:t>Fourways</w:t>
      </w:r>
      <w:proofErr w:type="spellEnd"/>
      <w:r w:rsidR="00477A33">
        <w:t xml:space="preserve"> Branch and Standard</w:t>
      </w:r>
      <w:r w:rsidR="000649F2">
        <w:t xml:space="preserve"> Bank</w:t>
      </w:r>
      <w:r w:rsidR="00A33EE9">
        <w:t>’s</w:t>
      </w:r>
      <w:r w:rsidR="000649F2">
        <w:t xml:space="preserve"> rubber stamp appeared on the letter. </w:t>
      </w:r>
    </w:p>
    <w:p w14:paraId="1D75B913" w14:textId="799B2E16" w:rsidR="000649F2" w:rsidRDefault="000B7F25" w:rsidP="000B7F25">
      <w:pPr>
        <w:pStyle w:val="1"/>
        <w:numPr>
          <w:ilvl w:val="0"/>
          <w:numId w:val="0"/>
        </w:numPr>
        <w:tabs>
          <w:tab w:val="left" w:pos="567"/>
        </w:tabs>
        <w:spacing w:line="360" w:lineRule="auto"/>
        <w:ind w:left="567" w:hanging="567"/>
      </w:pPr>
      <w:r>
        <w:t>[33]</w:t>
      </w:r>
      <w:r>
        <w:tab/>
      </w:r>
      <w:r w:rsidR="000649F2">
        <w:t>It is the version of the appellant that he accepted the authenticity of the email and the stamped letter from Standard Bank and effected payment of the amount of R</w:t>
      </w:r>
      <w:r w:rsidR="00FE163A">
        <w:t xml:space="preserve"> </w:t>
      </w:r>
      <w:r w:rsidR="000649F2">
        <w:t>1</w:t>
      </w:r>
      <w:r w:rsidR="00FE163A">
        <w:t xml:space="preserve"> </w:t>
      </w:r>
      <w:r w:rsidR="000649F2">
        <w:t>421</w:t>
      </w:r>
      <w:r w:rsidR="00FE163A">
        <w:t xml:space="preserve"> </w:t>
      </w:r>
      <w:r w:rsidR="000649F2">
        <w:t>228.06 into th</w:t>
      </w:r>
      <w:r w:rsidR="009407CC">
        <w:t>at</w:t>
      </w:r>
      <w:r w:rsidR="000649F2">
        <w:t xml:space="preserve"> account. </w:t>
      </w:r>
    </w:p>
    <w:p w14:paraId="5B2F621D" w14:textId="0F9C48A2" w:rsidR="000649F2" w:rsidRDefault="000B7F25" w:rsidP="000B7F25">
      <w:pPr>
        <w:pStyle w:val="1"/>
        <w:numPr>
          <w:ilvl w:val="0"/>
          <w:numId w:val="0"/>
        </w:numPr>
        <w:tabs>
          <w:tab w:val="left" w:pos="567"/>
        </w:tabs>
        <w:spacing w:line="360" w:lineRule="auto"/>
        <w:ind w:left="567" w:hanging="567"/>
      </w:pPr>
      <w:r>
        <w:t>[34]</w:t>
      </w:r>
      <w:r>
        <w:tab/>
      </w:r>
      <w:r w:rsidR="00331E35">
        <w:t xml:space="preserve">It became common cause between the parties when the matter was argued before us that this account </w:t>
      </w:r>
      <w:r w:rsidR="004753A8">
        <w:t>was</w:t>
      </w:r>
      <w:r w:rsidR="00331E35">
        <w:t xml:space="preserve"> opened by Standard Bank, </w:t>
      </w:r>
      <w:proofErr w:type="spellStart"/>
      <w:r w:rsidR="00331E35">
        <w:t>Volksrust</w:t>
      </w:r>
      <w:proofErr w:type="spellEnd"/>
      <w:r w:rsidR="00331E35">
        <w:t xml:space="preserve"> Branch, in the name of </w:t>
      </w:r>
      <w:r w:rsidR="008E0734">
        <w:t xml:space="preserve">one </w:t>
      </w:r>
      <w:r w:rsidR="00331E35">
        <w:t xml:space="preserve">Mr </w:t>
      </w:r>
      <w:proofErr w:type="spellStart"/>
      <w:r w:rsidR="00331E35">
        <w:t>Simelane</w:t>
      </w:r>
      <w:proofErr w:type="spellEnd"/>
      <w:r w:rsidR="00331E35">
        <w:t>. From this account</w:t>
      </w:r>
      <w:r w:rsidR="006C1FF4">
        <w:t>,</w:t>
      </w:r>
      <w:r w:rsidR="00331E35">
        <w:t xml:space="preserve"> the money was withdrawn shortly after the deposit and was</w:t>
      </w:r>
      <w:r w:rsidR="00BB4D2F">
        <w:t xml:space="preserve"> therefore</w:t>
      </w:r>
      <w:r w:rsidR="00331E35">
        <w:t xml:space="preserve"> stolen.</w:t>
      </w:r>
    </w:p>
    <w:p w14:paraId="715A3ABB" w14:textId="4707C1A2" w:rsidR="00477A33" w:rsidRDefault="000B7F25" w:rsidP="000B7F25">
      <w:pPr>
        <w:pStyle w:val="1"/>
        <w:numPr>
          <w:ilvl w:val="0"/>
          <w:numId w:val="0"/>
        </w:numPr>
        <w:tabs>
          <w:tab w:val="left" w:pos="567"/>
        </w:tabs>
        <w:spacing w:line="360" w:lineRule="auto"/>
        <w:ind w:left="567" w:hanging="567"/>
      </w:pPr>
      <w:r>
        <w:t>[35]</w:t>
      </w:r>
      <w:r>
        <w:tab/>
      </w:r>
      <w:r w:rsidR="00477A33">
        <w:t>Considering this factual back</w:t>
      </w:r>
      <w:r w:rsidR="00AC33D4">
        <w:t>ground</w:t>
      </w:r>
      <w:r w:rsidR="00C41314">
        <w:t>,</w:t>
      </w:r>
      <w:r w:rsidR="00AC33D4">
        <w:t xml:space="preserve"> </w:t>
      </w:r>
      <w:r w:rsidR="00477A33">
        <w:t xml:space="preserve">it becomes clear that after </w:t>
      </w:r>
      <w:r w:rsidR="003716C5">
        <w:t xml:space="preserve">the </w:t>
      </w:r>
      <w:r w:rsidR="00477A33">
        <w:t>appellant received confirmation from Patrick what the nominated account would be for payment of the proceeds</w:t>
      </w:r>
      <w:r w:rsidR="00C41314">
        <w:t>, the</w:t>
      </w:r>
      <w:r w:rsidR="00477A33">
        <w:t xml:space="preserve"> appellant required further confirmation of</w:t>
      </w:r>
      <w:r w:rsidR="00AC33D4">
        <w:t xml:space="preserve"> the correctness of</w:t>
      </w:r>
      <w:r w:rsidR="00477A33">
        <w:t xml:space="preserve"> </w:t>
      </w:r>
      <w:r w:rsidR="00C41314">
        <w:t>said</w:t>
      </w:r>
      <w:r w:rsidR="00477A33">
        <w:t xml:space="preserve"> nominated account. In</w:t>
      </w:r>
      <w:r w:rsidR="00B07369">
        <w:t xml:space="preserve"> the</w:t>
      </w:r>
      <w:r w:rsidR="00477A33">
        <w:t xml:space="preserve"> papers before court</w:t>
      </w:r>
      <w:r w:rsidR="005B240B">
        <w:t>,</w:t>
      </w:r>
      <w:r w:rsidR="00B07369">
        <w:t xml:space="preserve"> </w:t>
      </w:r>
      <w:r w:rsidR="005B240B">
        <w:t>the</w:t>
      </w:r>
      <w:r w:rsidR="00B07369">
        <w:t xml:space="preserve"> </w:t>
      </w:r>
      <w:r w:rsidR="005B240B">
        <w:t>appellant did</w:t>
      </w:r>
      <w:r w:rsidR="00B07369">
        <w:t xml:space="preserve"> not explain </w:t>
      </w:r>
      <w:r w:rsidR="00477A33">
        <w:t xml:space="preserve">why this </w:t>
      </w:r>
      <w:r w:rsidR="00AC33D4">
        <w:t xml:space="preserve">further confirmation was again requested by </w:t>
      </w:r>
      <w:r w:rsidR="00B07369">
        <w:t>way of email</w:t>
      </w:r>
      <w:r w:rsidR="00AC33D4">
        <w:t xml:space="preserve">. What further became apparent was that an email was sent by a fraudster </w:t>
      </w:r>
      <w:r w:rsidR="00AC33D4">
        <w:lastRenderedPageBreak/>
        <w:t>purported</w:t>
      </w:r>
      <w:r w:rsidR="00B9678E">
        <w:t>ly</w:t>
      </w:r>
      <w:r w:rsidR="00AC33D4">
        <w:t xml:space="preserve"> from Patrick’s email address. Without further enquiry </w:t>
      </w:r>
      <w:r w:rsidR="008C275F">
        <w:t>as to</w:t>
      </w:r>
      <w:r w:rsidR="00AC33D4">
        <w:t xml:space="preserve"> the </w:t>
      </w:r>
      <w:r w:rsidR="008C275F">
        <w:t>reason for the</w:t>
      </w:r>
      <w:r w:rsidR="00AC33D4">
        <w:t xml:space="preserve"> change of account number</w:t>
      </w:r>
      <w:r w:rsidR="008C275F">
        <w:t>,</w:t>
      </w:r>
      <w:r w:rsidR="00AC33D4">
        <w:t xml:space="preserve"> payment </w:t>
      </w:r>
      <w:r w:rsidR="008C275F">
        <w:t>was made</w:t>
      </w:r>
      <w:r w:rsidR="00AC33D4">
        <w:t xml:space="preserve"> by </w:t>
      </w:r>
      <w:r w:rsidR="008C275F">
        <w:t xml:space="preserve">the </w:t>
      </w:r>
      <w:r w:rsidR="00AC33D4">
        <w:t>appellant into this alternative account.</w:t>
      </w:r>
    </w:p>
    <w:p w14:paraId="16227D16" w14:textId="426C1253" w:rsidR="00F12A0B" w:rsidRDefault="000B7F25" w:rsidP="000B7F25">
      <w:pPr>
        <w:pStyle w:val="1"/>
        <w:numPr>
          <w:ilvl w:val="0"/>
          <w:numId w:val="0"/>
        </w:numPr>
        <w:tabs>
          <w:tab w:val="left" w:pos="567"/>
        </w:tabs>
        <w:spacing w:line="360" w:lineRule="auto"/>
        <w:ind w:left="567" w:hanging="567"/>
      </w:pPr>
      <w:r>
        <w:t>[36]</w:t>
      </w:r>
      <w:r>
        <w:tab/>
      </w:r>
      <w:r w:rsidR="00F12A0B">
        <w:t>Now turning to the alleged dispute of fact.</w:t>
      </w:r>
      <w:r w:rsidR="00A83A0A">
        <w:t xml:space="preserve"> There is no dispute between the parties that it was agreed the appellant would pay R</w:t>
      </w:r>
      <w:r w:rsidR="00E333BC">
        <w:t xml:space="preserve"> </w:t>
      </w:r>
      <w:r w:rsidR="00A83A0A">
        <w:t>1</w:t>
      </w:r>
      <w:r w:rsidR="00E333BC">
        <w:t> </w:t>
      </w:r>
      <w:r w:rsidR="00A83A0A">
        <w:t>421</w:t>
      </w:r>
      <w:r w:rsidR="00E333BC">
        <w:t xml:space="preserve"> </w:t>
      </w:r>
      <w:r w:rsidR="00A83A0A">
        <w:t>228</w:t>
      </w:r>
      <w:r w:rsidR="00E333BC">
        <w:t>.</w:t>
      </w:r>
      <w:r w:rsidR="00A83A0A">
        <w:t>06 in</w:t>
      </w:r>
      <w:r w:rsidR="00770AFD">
        <w:t>to</w:t>
      </w:r>
      <w:r w:rsidR="00A83A0A">
        <w:t xml:space="preserve"> </w:t>
      </w:r>
      <w:r w:rsidR="00770AFD">
        <w:t>Patrick’s</w:t>
      </w:r>
      <w:r w:rsidR="00A83A0A">
        <w:t xml:space="preserve"> account and that </w:t>
      </w:r>
      <w:r w:rsidR="00770AFD">
        <w:t>t</w:t>
      </w:r>
      <w:r w:rsidR="00A83A0A">
        <w:t xml:space="preserve">he </w:t>
      </w:r>
      <w:r w:rsidR="00770AFD">
        <w:t xml:space="preserve">latter </w:t>
      </w:r>
      <w:r w:rsidR="00A83A0A">
        <w:t>w</w:t>
      </w:r>
      <w:r w:rsidR="00770AFD">
        <w:t>ould</w:t>
      </w:r>
      <w:r w:rsidR="00A83A0A">
        <w:t xml:space="preserve"> provide to </w:t>
      </w:r>
      <w:r w:rsidR="006F1DCE">
        <w:t xml:space="preserve">the </w:t>
      </w:r>
      <w:r w:rsidR="00A83A0A">
        <w:t>appellant the detail</w:t>
      </w:r>
      <w:r w:rsidR="006F1DCE">
        <w:t>s</w:t>
      </w:r>
      <w:r w:rsidR="002E0F7A">
        <w:t xml:space="preserve"> of the account into which payment should be made.</w:t>
      </w:r>
      <w:r w:rsidR="00F12A0B">
        <w:t xml:space="preserve"> It was argued on behalf of the appellant that the key dispute</w:t>
      </w:r>
      <w:r w:rsidR="00AC33D4">
        <w:t xml:space="preserve"> of fact relates to</w:t>
      </w:r>
      <w:r w:rsidR="00F12A0B">
        <w:t xml:space="preserve"> what was agreed in respect of the means by which </w:t>
      </w:r>
      <w:r w:rsidR="008E358E">
        <w:t>Patrick’s</w:t>
      </w:r>
      <w:r w:rsidR="00F12A0B">
        <w:t xml:space="preserve"> banking account</w:t>
      </w:r>
      <w:r w:rsidR="00B07369">
        <w:t xml:space="preserve"> details</w:t>
      </w:r>
      <w:r w:rsidR="00F12A0B">
        <w:t xml:space="preserve"> would</w:t>
      </w:r>
      <w:r w:rsidR="00B07369">
        <w:t xml:space="preserve"> </w:t>
      </w:r>
      <w:r w:rsidR="009F5CFE">
        <w:t>be</w:t>
      </w:r>
      <w:r w:rsidR="00A33EE9">
        <w:t xml:space="preserve"> provided and</w:t>
      </w:r>
      <w:r w:rsidR="002E0F7A">
        <w:t xml:space="preserve"> identified and the security of the means which would be used. </w:t>
      </w:r>
    </w:p>
    <w:p w14:paraId="5DE79143" w14:textId="0C981BB8" w:rsidR="001F4154" w:rsidRDefault="000B7F25" w:rsidP="000B7F25">
      <w:pPr>
        <w:pStyle w:val="1"/>
        <w:numPr>
          <w:ilvl w:val="0"/>
          <w:numId w:val="0"/>
        </w:numPr>
        <w:tabs>
          <w:tab w:val="left" w:pos="567"/>
        </w:tabs>
        <w:spacing w:line="360" w:lineRule="auto"/>
        <w:ind w:left="567" w:hanging="567"/>
      </w:pPr>
      <w:r>
        <w:t>[37]</w:t>
      </w:r>
      <w:r>
        <w:tab/>
      </w:r>
      <w:r w:rsidR="00F12A0B">
        <w:t>Considering the common cause fact</w:t>
      </w:r>
      <w:r w:rsidR="00685680">
        <w:t>s</w:t>
      </w:r>
      <w:r w:rsidR="00F12A0B">
        <w:t xml:space="preserve"> set out hereinabove, including the affidavits filed in this matter, there is no indication that the parties expressly agreed</w:t>
      </w:r>
      <w:r w:rsidR="002E0F7A">
        <w:t xml:space="preserve"> </w:t>
      </w:r>
      <w:r w:rsidR="00F12A0B">
        <w:t>that the bank</w:t>
      </w:r>
      <w:r w:rsidR="0043519E">
        <w:t xml:space="preserve"> account particulars would be</w:t>
      </w:r>
      <w:r w:rsidR="00F12A0B">
        <w:t xml:space="preserve"> prov</w:t>
      </w:r>
      <w:r w:rsidR="0057557F">
        <w:t>ided by way of email. The only</w:t>
      </w:r>
      <w:r w:rsidR="00F12A0B">
        <w:t xml:space="preserve"> indication that this mode of communication</w:t>
      </w:r>
      <w:r w:rsidR="00B07369">
        <w:t xml:space="preserve"> wa</w:t>
      </w:r>
      <w:r w:rsidR="002E0F7A">
        <w:t>s going to be used is provided</w:t>
      </w:r>
      <w:r w:rsidR="00B07369">
        <w:t xml:space="preserve"> from what later transpired. </w:t>
      </w:r>
      <w:r w:rsidR="004A0DA2">
        <w:t>The a</w:t>
      </w:r>
      <w:r w:rsidR="00B07369">
        <w:t>ppellant sent an email</w:t>
      </w:r>
      <w:r w:rsidR="001F4154">
        <w:t xml:space="preserve"> to Karin and Brigitte,</w:t>
      </w:r>
      <w:r w:rsidR="00F12A0B">
        <w:t xml:space="preserve"> dated 7 June 2018</w:t>
      </w:r>
      <w:r w:rsidR="0057557F">
        <w:t>, in which it was stated that</w:t>
      </w:r>
      <w:r w:rsidR="001F4154">
        <w:t xml:space="preserve"> they should “</w:t>
      </w:r>
      <w:r w:rsidR="001F4154">
        <w:rPr>
          <w:i/>
        </w:rPr>
        <w:t>send me instructions and bank details</w:t>
      </w:r>
      <w:r w:rsidR="00F5712A">
        <w:rPr>
          <w:i/>
        </w:rPr>
        <w:t>”</w:t>
      </w:r>
      <w:r w:rsidR="001F4154">
        <w:rPr>
          <w:i/>
        </w:rPr>
        <w:t xml:space="preserve">. </w:t>
      </w:r>
      <w:r w:rsidR="001F4154">
        <w:t xml:space="preserve">As </w:t>
      </w:r>
      <w:r w:rsidR="00A218F2">
        <w:t xml:space="preserve">the </w:t>
      </w:r>
      <w:r w:rsidR="001F4154">
        <w:t>appellant was communicating by way of email</w:t>
      </w:r>
      <w:r w:rsidR="002408E5">
        <w:t>,</w:t>
      </w:r>
      <w:r w:rsidR="001F4154">
        <w:t xml:space="preserve"> it is probable that he expected of them to send the instructions and bank details by</w:t>
      </w:r>
      <w:r w:rsidR="0057557F">
        <w:t xml:space="preserve"> </w:t>
      </w:r>
      <w:r w:rsidR="00226C75">
        <w:t>the same method</w:t>
      </w:r>
      <w:r w:rsidR="001F4154">
        <w:t>. From there onwards</w:t>
      </w:r>
      <w:r w:rsidR="003A7124">
        <w:t>,</w:t>
      </w:r>
      <w:r w:rsidR="001F4154">
        <w:t xml:space="preserve"> the instructions and details were mostly, but not exclusively, provided by email. </w:t>
      </w:r>
      <w:r w:rsidR="00AC33D4">
        <w:t xml:space="preserve">The second request for confirmation was also sent by </w:t>
      </w:r>
      <w:r w:rsidR="003A7124">
        <w:t xml:space="preserve">the </w:t>
      </w:r>
      <w:r w:rsidR="00AC33D4">
        <w:t xml:space="preserve">appellant by way of email. The reply, albeit </w:t>
      </w:r>
      <w:r w:rsidR="006A011B">
        <w:t xml:space="preserve">alleged to </w:t>
      </w:r>
      <w:r w:rsidR="00595E24">
        <w:t xml:space="preserve">have </w:t>
      </w:r>
      <w:r w:rsidR="00AC33D4">
        <w:t>never</w:t>
      </w:r>
      <w:r w:rsidR="006A011B">
        <w:t xml:space="preserve"> been received by </w:t>
      </w:r>
      <w:r w:rsidR="00595E24">
        <w:t xml:space="preserve">the </w:t>
      </w:r>
      <w:r w:rsidR="006A011B">
        <w:t>appellant</w:t>
      </w:r>
      <w:r w:rsidR="00496AE1">
        <w:t>,</w:t>
      </w:r>
      <w:r w:rsidR="00AC33D4">
        <w:t xml:space="preserve"> was similarly sent per email.</w:t>
      </w:r>
    </w:p>
    <w:p w14:paraId="548F06DC" w14:textId="37066D33" w:rsidR="0057557F" w:rsidRDefault="000B7F25" w:rsidP="000B7F25">
      <w:pPr>
        <w:pStyle w:val="1"/>
        <w:numPr>
          <w:ilvl w:val="0"/>
          <w:numId w:val="0"/>
        </w:numPr>
        <w:tabs>
          <w:tab w:val="left" w:pos="567"/>
        </w:tabs>
        <w:spacing w:line="360" w:lineRule="auto"/>
        <w:ind w:left="567" w:hanging="567"/>
      </w:pPr>
      <w:r>
        <w:t>[38]</w:t>
      </w:r>
      <w:r>
        <w:tab/>
      </w:r>
      <w:r w:rsidR="001F4154">
        <w:t xml:space="preserve">In my view, it cannot be said that any party made a specific election to use emails as the manner of communication </w:t>
      </w:r>
      <w:r w:rsidR="0057557F">
        <w:t>as</w:t>
      </w:r>
      <w:r w:rsidR="00496AE1">
        <w:t xml:space="preserve"> both parties used this platform</w:t>
      </w:r>
      <w:r w:rsidR="001F4154">
        <w:t>. In such circumstances</w:t>
      </w:r>
      <w:r w:rsidR="00855E74">
        <w:t>,</w:t>
      </w:r>
      <w:r w:rsidR="001F4154">
        <w:t xml:space="preserve"> the qu</w:t>
      </w:r>
      <w:r w:rsidR="0057557F">
        <w:t>estion arises who bears the risk</w:t>
      </w:r>
      <w:r w:rsidR="001F4154">
        <w:t xml:space="preserve"> </w:t>
      </w:r>
      <w:r w:rsidR="001C4DFD">
        <w:t>for the loss occasioned by the receipt of a fraudulent email sen</w:t>
      </w:r>
      <w:r w:rsidR="00855E74">
        <w:t>t</w:t>
      </w:r>
      <w:r w:rsidR="001C4DFD">
        <w:t xml:space="preserve"> to </w:t>
      </w:r>
      <w:r w:rsidR="00855E74">
        <w:t xml:space="preserve">the </w:t>
      </w:r>
      <w:r w:rsidR="001C4DFD">
        <w:t>appellant upon which he reacted and ma</w:t>
      </w:r>
      <w:r w:rsidR="00496AE1">
        <w:t>de payment into a wrong account?</w:t>
      </w:r>
      <w:r w:rsidR="001C4DFD">
        <w:t xml:space="preserve"> </w:t>
      </w:r>
    </w:p>
    <w:p w14:paraId="54343D61" w14:textId="02489EF2" w:rsidR="00F4090D" w:rsidRDefault="000B7F25" w:rsidP="000B7F25">
      <w:pPr>
        <w:pStyle w:val="1"/>
        <w:numPr>
          <w:ilvl w:val="0"/>
          <w:numId w:val="0"/>
        </w:numPr>
        <w:tabs>
          <w:tab w:val="left" w:pos="567"/>
        </w:tabs>
        <w:spacing w:line="360" w:lineRule="auto"/>
        <w:ind w:left="567" w:hanging="567"/>
      </w:pPr>
      <w:r>
        <w:t>[39]</w:t>
      </w:r>
      <w:r>
        <w:tab/>
      </w:r>
      <w:r w:rsidR="0057557F">
        <w:t>In the affidavits filed</w:t>
      </w:r>
      <w:r w:rsidR="001C4DFD">
        <w:t xml:space="preserve"> by </w:t>
      </w:r>
      <w:r w:rsidR="00F27926">
        <w:t xml:space="preserve">the </w:t>
      </w:r>
      <w:r w:rsidR="001C4DFD">
        <w:t>appellan</w:t>
      </w:r>
      <w:r w:rsidR="0057557F">
        <w:t>t and in heads of argument</w:t>
      </w:r>
      <w:r w:rsidR="001C4DFD">
        <w:t xml:space="preserve"> it was stated that the email of 13 June 2018</w:t>
      </w:r>
      <w:r w:rsidR="0057557F">
        <w:t>, providing</w:t>
      </w:r>
      <w:r w:rsidR="001C4DFD">
        <w:t xml:space="preserve"> the wrong account number</w:t>
      </w:r>
      <w:r w:rsidR="0057557F">
        <w:t>,</w:t>
      </w:r>
      <w:r w:rsidR="001C4DFD">
        <w:t xml:space="preserve"> emanated from Patrick. Before us</w:t>
      </w:r>
      <w:r w:rsidR="003716E9">
        <w:t>,</w:t>
      </w:r>
      <w:r w:rsidR="001C4DFD">
        <w:t xml:space="preserve"> counsel </w:t>
      </w:r>
      <w:r w:rsidR="003716E9">
        <w:t>for the</w:t>
      </w:r>
      <w:r w:rsidR="001C4DFD">
        <w:t xml:space="preserve"> appellant did not persist with this l</w:t>
      </w:r>
      <w:r w:rsidR="004753A8">
        <w:t>ine of attack. It can now</w:t>
      </w:r>
      <w:r w:rsidR="001C4DFD">
        <w:t xml:space="preserve"> be accepted that this email was</w:t>
      </w:r>
      <w:r w:rsidR="007B5282">
        <w:t xml:space="preserve"> compiled and sent by</w:t>
      </w:r>
      <w:r w:rsidR="001C4DFD">
        <w:t xml:space="preserve"> a fraud</w:t>
      </w:r>
      <w:r w:rsidR="007B5282">
        <w:t xml:space="preserve">ster, </w:t>
      </w:r>
      <w:r w:rsidR="007B5282">
        <w:lastRenderedPageBreak/>
        <w:t>from a different email address</w:t>
      </w:r>
      <w:r w:rsidR="001C4DFD">
        <w:t xml:space="preserve"> and was not sent by Patrick. </w:t>
      </w:r>
      <w:r w:rsidR="0057557F">
        <w:t>It was referred to as a “spoofed” email</w:t>
      </w:r>
      <w:r w:rsidR="00BE7C93">
        <w:t>,</w:t>
      </w:r>
      <w:r w:rsidR="0057557F">
        <w:t xml:space="preserve"> meaning it was compiled to look as if it emanated from Patrick whil</w:t>
      </w:r>
      <w:r w:rsidR="003926D5">
        <w:t>e</w:t>
      </w:r>
      <w:r w:rsidR="0057557F">
        <w:t xml:space="preserve"> it was not.</w:t>
      </w:r>
      <w:r w:rsidR="00F4090D" w:rsidRPr="00F4090D">
        <w:t xml:space="preserve"> </w:t>
      </w:r>
      <w:r w:rsidR="00F4090D">
        <w:t>The appellant’s expert</w:t>
      </w:r>
      <w:r w:rsidR="0067478A">
        <w:t>,</w:t>
      </w:r>
      <w:r w:rsidR="00F4090D">
        <w:t xml:space="preserve"> Mr Van der </w:t>
      </w:r>
      <w:proofErr w:type="spellStart"/>
      <w:r w:rsidR="00F4090D">
        <w:t>Molen</w:t>
      </w:r>
      <w:proofErr w:type="spellEnd"/>
      <w:r w:rsidR="00F4090D">
        <w:t xml:space="preserve"> established that the email was sent from a different</w:t>
      </w:r>
      <w:r w:rsidR="00496AE1">
        <w:t xml:space="preserve"> email address than that of Pat</w:t>
      </w:r>
      <w:r w:rsidR="00F4090D">
        <w:t>ric</w:t>
      </w:r>
      <w:r w:rsidR="00496AE1">
        <w:t>k</w:t>
      </w:r>
      <w:r w:rsidR="00F4090D">
        <w:t xml:space="preserve">. The question </w:t>
      </w:r>
      <w:r w:rsidR="00B85E21">
        <w:t xml:space="preserve">then </w:t>
      </w:r>
      <w:r w:rsidR="00F4090D">
        <w:t>is how the fraudster obtained the necessary information to have perpetrated this fraud?</w:t>
      </w:r>
    </w:p>
    <w:p w14:paraId="2E0DA5AB" w14:textId="03A23E9C" w:rsidR="00703975" w:rsidRDefault="000B7F25" w:rsidP="000B7F25">
      <w:pPr>
        <w:pStyle w:val="1"/>
        <w:numPr>
          <w:ilvl w:val="0"/>
          <w:numId w:val="0"/>
        </w:numPr>
        <w:tabs>
          <w:tab w:val="left" w:pos="567"/>
        </w:tabs>
        <w:spacing w:line="360" w:lineRule="auto"/>
        <w:ind w:left="567" w:hanging="567"/>
      </w:pPr>
      <w:r>
        <w:t>[40]</w:t>
      </w:r>
      <w:r>
        <w:tab/>
      </w:r>
      <w:r w:rsidR="007B5282">
        <w:t>The fraudster must</w:t>
      </w:r>
      <w:r w:rsidR="001C4DFD">
        <w:t xml:space="preserve"> have become aware of an eminent transfer of a substantial amount of money from the </w:t>
      </w:r>
      <w:r w:rsidR="00B6010C">
        <w:t xml:space="preserve">appellant’s </w:t>
      </w:r>
      <w:r w:rsidR="001C4DFD">
        <w:t>trust account</w:t>
      </w:r>
      <w:r w:rsidR="00B85E21">
        <w:t xml:space="preserve"> </w:t>
      </w:r>
      <w:r w:rsidR="001C4DFD">
        <w:t xml:space="preserve">to </w:t>
      </w:r>
      <w:r w:rsidR="00B85E21">
        <w:t>Patrick’s</w:t>
      </w:r>
      <w:r w:rsidR="001C4DFD">
        <w:t xml:space="preserve"> account. </w:t>
      </w:r>
      <w:r w:rsidR="0057557F">
        <w:t>Further, t</w:t>
      </w:r>
      <w:r w:rsidR="001C4DFD">
        <w:t xml:space="preserve">he fraudster must have obtained the email addresses of Patrick and </w:t>
      </w:r>
      <w:r w:rsidR="008C0031">
        <w:t xml:space="preserve">the </w:t>
      </w:r>
      <w:r w:rsidR="001C4DFD">
        <w:t>appellant and fraudulently sent the email</w:t>
      </w:r>
      <w:r w:rsidR="0057557F">
        <w:t xml:space="preserve"> and attachment</w:t>
      </w:r>
      <w:r w:rsidR="001C4DFD">
        <w:t xml:space="preserve"> to </w:t>
      </w:r>
      <w:r w:rsidR="0012553D">
        <w:t>the latter</w:t>
      </w:r>
      <w:r w:rsidR="001C4DFD">
        <w:t xml:space="preserve"> to look as if it originated from Patrick. </w:t>
      </w:r>
    </w:p>
    <w:p w14:paraId="0B3835CF" w14:textId="6E927513" w:rsidR="00F12A0B" w:rsidRDefault="000B7F25" w:rsidP="000B7F25">
      <w:pPr>
        <w:pStyle w:val="1"/>
        <w:numPr>
          <w:ilvl w:val="0"/>
          <w:numId w:val="0"/>
        </w:numPr>
        <w:tabs>
          <w:tab w:val="left" w:pos="567"/>
        </w:tabs>
        <w:spacing w:line="360" w:lineRule="auto"/>
        <w:ind w:left="567" w:hanging="567"/>
      </w:pPr>
      <w:r>
        <w:t>[41]</w:t>
      </w:r>
      <w:r>
        <w:tab/>
      </w:r>
      <w:r w:rsidR="00703975">
        <w:t xml:space="preserve">It is the appellant’s case </w:t>
      </w:r>
      <w:r w:rsidR="007B5282">
        <w:t>that the respondents are to be held liable for the loss</w:t>
      </w:r>
      <w:r w:rsidR="00703975">
        <w:t xml:space="preserve"> as the mandate also had a tacit term to the effect that the </w:t>
      </w:r>
      <w:r w:rsidR="00E555BB">
        <w:t>respondent</w:t>
      </w:r>
      <w:r w:rsidR="00703975" w:rsidRPr="00703975">
        <w:t>s will exercise the utmost caution when instructing</w:t>
      </w:r>
      <w:r w:rsidR="00703975">
        <w:t xml:space="preserve"> the appellant to make payment, and that they would do all that </w:t>
      </w:r>
      <w:r w:rsidR="0033789D">
        <w:t>was</w:t>
      </w:r>
      <w:r w:rsidR="00703975">
        <w:t xml:space="preserve"> reasonably possible to ensure the integrity of the </w:t>
      </w:r>
      <w:r w:rsidR="008E4E59">
        <w:t xml:space="preserve">emails addressed to </w:t>
      </w:r>
      <w:r w:rsidR="0033789D">
        <w:t xml:space="preserve">the </w:t>
      </w:r>
      <w:r w:rsidR="008E4E59">
        <w:t xml:space="preserve">appellant </w:t>
      </w:r>
      <w:r w:rsidR="00703975">
        <w:t xml:space="preserve">and keep and maintain their data security. </w:t>
      </w:r>
      <w:r w:rsidR="00F4090D">
        <w:t>There is no evidence that the fraudster obtained this information from the respondents</w:t>
      </w:r>
      <w:r w:rsidR="00E527C2">
        <w:t>,</w:t>
      </w:r>
      <w:r w:rsidR="00F4090D">
        <w:t xml:space="preserve"> but the appellant suggested that it could have been the case. </w:t>
      </w:r>
      <w:r w:rsidR="00F55270">
        <w:t>The f</w:t>
      </w:r>
      <w:r w:rsidR="00F4090D">
        <w:t xml:space="preserve">act </w:t>
      </w:r>
      <w:r w:rsidR="00F55270">
        <w:t>remain</w:t>
      </w:r>
      <w:r w:rsidR="00F4090D">
        <w:t>s however, that Patrick sent the correct instruction</w:t>
      </w:r>
      <w:r w:rsidR="004D4FB1">
        <w:t>,</w:t>
      </w:r>
      <w:r w:rsidR="00F4090D">
        <w:t xml:space="preserve"> which was received by </w:t>
      </w:r>
      <w:r w:rsidR="004D4FB1">
        <w:t xml:space="preserve">the </w:t>
      </w:r>
      <w:r w:rsidR="00F4090D">
        <w:t xml:space="preserve">appellant. The alleged tacit term is </w:t>
      </w:r>
      <w:r w:rsidR="005A26DB">
        <w:t>cast in such wide terms that if found to be part of the mandate</w:t>
      </w:r>
      <w:r w:rsidR="003209E5">
        <w:t>,</w:t>
      </w:r>
      <w:r w:rsidR="005A26DB">
        <w:t xml:space="preserve"> it would have placed a duty on the parties to have taken all reasonable steps to avoid information fall</w:t>
      </w:r>
      <w:r w:rsidR="003209E5">
        <w:t>ing</w:t>
      </w:r>
      <w:r w:rsidR="005A26DB">
        <w:t xml:space="preserve"> into the hands of third parties </w:t>
      </w:r>
      <w:r w:rsidR="005A26DB" w:rsidRPr="004143AE">
        <w:t xml:space="preserve">during the </w:t>
      </w:r>
      <w:r w:rsidR="00C43F3D" w:rsidRPr="004143AE">
        <w:t xml:space="preserve">emailing </w:t>
      </w:r>
      <w:r w:rsidR="005A26DB" w:rsidRPr="004143AE">
        <w:t>process</w:t>
      </w:r>
      <w:r w:rsidR="005A26DB">
        <w:t>.</w:t>
      </w:r>
      <w:r w:rsidR="00703975">
        <w:t xml:space="preserve"> </w:t>
      </w:r>
      <w:r w:rsidR="001C4DFD">
        <w:t xml:space="preserve">   </w:t>
      </w:r>
      <w:r w:rsidR="001F4154">
        <w:t xml:space="preserve"> </w:t>
      </w:r>
      <w:r w:rsidR="00F12A0B">
        <w:t xml:space="preserve"> </w:t>
      </w:r>
    </w:p>
    <w:p w14:paraId="4312236B" w14:textId="0D396989" w:rsidR="008E4E59" w:rsidRDefault="000B7F25" w:rsidP="000B7F25">
      <w:pPr>
        <w:pStyle w:val="1"/>
        <w:numPr>
          <w:ilvl w:val="0"/>
          <w:numId w:val="0"/>
        </w:numPr>
        <w:tabs>
          <w:tab w:val="left" w:pos="567"/>
        </w:tabs>
        <w:spacing w:line="360" w:lineRule="auto"/>
        <w:ind w:left="567" w:hanging="567"/>
      </w:pPr>
      <w:r>
        <w:t>[42]</w:t>
      </w:r>
      <w:r>
        <w:tab/>
      </w:r>
      <w:r w:rsidR="008E4E59">
        <w:t>The respondents denied the existence of this tacit or implied term</w:t>
      </w:r>
      <w:r w:rsidR="00614CA8">
        <w:t xml:space="preserve">. </w:t>
      </w:r>
      <w:r w:rsidR="008E4E59">
        <w:t xml:space="preserve"> It was stated tha</w:t>
      </w:r>
      <w:r w:rsidR="005E6B44">
        <w:t>t</w:t>
      </w:r>
      <w:r w:rsidR="008E4E59">
        <w:t xml:space="preserve"> no evidence was adduced by the appellant in support thereof. It wa</w:t>
      </w:r>
      <w:r w:rsidR="000849F3">
        <w:t>s argued to be a bald, vague and unsubstantiated assertion.</w:t>
      </w:r>
    </w:p>
    <w:p w14:paraId="7F1BCC3B" w14:textId="6F7F99BA" w:rsidR="00A11166" w:rsidRDefault="000B7F25" w:rsidP="000B7F25">
      <w:pPr>
        <w:pStyle w:val="1"/>
        <w:numPr>
          <w:ilvl w:val="0"/>
          <w:numId w:val="0"/>
        </w:numPr>
        <w:tabs>
          <w:tab w:val="left" w:pos="567"/>
        </w:tabs>
        <w:spacing w:line="360" w:lineRule="auto"/>
        <w:ind w:left="567" w:hanging="567"/>
        <w:rPr>
          <w:i/>
        </w:rPr>
      </w:pPr>
      <w:r>
        <w:t>[43]</w:t>
      </w:r>
      <w:r>
        <w:tab/>
      </w:r>
      <w:r w:rsidR="008E4E59">
        <w:t xml:space="preserve">The court </w:t>
      </w:r>
      <w:r w:rsidR="008E4E59">
        <w:rPr>
          <w:i/>
        </w:rPr>
        <w:t xml:space="preserve">a quo </w:t>
      </w:r>
      <w:r w:rsidR="008E4E59">
        <w:t>did not deal with the alleged tacit term of the manda</w:t>
      </w:r>
      <w:r w:rsidR="00685680">
        <w:t>te but found on the question whether</w:t>
      </w:r>
      <w:r w:rsidR="008E4E59">
        <w:t xml:space="preserve"> a factual dispute presented itself</w:t>
      </w:r>
      <w:r w:rsidR="00681154">
        <w:t xml:space="preserve"> that was</w:t>
      </w:r>
      <w:r w:rsidR="008E4E59">
        <w:t xml:space="preserve"> </w:t>
      </w:r>
      <w:r w:rsidR="001E24E1">
        <w:t>in</w:t>
      </w:r>
      <w:r w:rsidR="000849F3">
        <w:t>capable of being resolved</w:t>
      </w:r>
      <w:r w:rsidR="008E4E59">
        <w:t xml:space="preserve"> on the papers</w:t>
      </w:r>
      <w:r w:rsidR="00685680">
        <w:t>.</w:t>
      </w:r>
      <w:r w:rsidR="000849F3">
        <w:t xml:space="preserve"> </w:t>
      </w:r>
      <w:r w:rsidR="00681154" w:rsidRPr="00681154">
        <w:t>It found that such dispute was not shown</w:t>
      </w:r>
      <w:r w:rsidR="00681154">
        <w:t>.</w:t>
      </w:r>
      <w:r w:rsidR="00681154" w:rsidRPr="00681154">
        <w:t xml:space="preserve"> </w:t>
      </w:r>
      <w:r w:rsidR="000849F3">
        <w:t xml:space="preserve">It should be noted that on the papers filed in the court </w:t>
      </w:r>
      <w:r w:rsidR="000849F3">
        <w:rPr>
          <w:i/>
        </w:rPr>
        <w:t>a quo</w:t>
      </w:r>
      <w:r w:rsidR="0016224A">
        <w:rPr>
          <w:i/>
        </w:rPr>
        <w:t>,</w:t>
      </w:r>
      <w:r w:rsidR="000849F3">
        <w:rPr>
          <w:i/>
        </w:rPr>
        <w:t xml:space="preserve"> </w:t>
      </w:r>
      <w:r w:rsidR="000849F3">
        <w:t>emphasis was not on the alleged tacit term as the main cont</w:t>
      </w:r>
      <w:r w:rsidR="005A26DB">
        <w:t>ributing factor establishing</w:t>
      </w:r>
      <w:r w:rsidR="000849F3">
        <w:t xml:space="preserve"> the alleged </w:t>
      </w:r>
      <w:r w:rsidR="00E722A5">
        <w:t xml:space="preserve">dispute </w:t>
      </w:r>
      <w:r w:rsidR="00E722A5">
        <w:lastRenderedPageBreak/>
        <w:t>of fact</w:t>
      </w:r>
      <w:r w:rsidR="006C0445">
        <w:t>. T</w:t>
      </w:r>
      <w:r w:rsidR="001E24E1">
        <w:t>his issue</w:t>
      </w:r>
      <w:r w:rsidR="00E722A5">
        <w:t xml:space="preserve"> became pertinent in </w:t>
      </w:r>
      <w:r w:rsidR="0016224A">
        <w:t xml:space="preserve">the </w:t>
      </w:r>
      <w:r w:rsidR="00E722A5">
        <w:t>appellant’s replying heads of argument.</w:t>
      </w:r>
      <w:r w:rsidR="000849F3">
        <w:t xml:space="preserve"> </w:t>
      </w:r>
      <w:r w:rsidR="00EB2E37">
        <w:t>At the outset</w:t>
      </w:r>
      <w:r w:rsidR="009743E1">
        <w:t>,</w:t>
      </w:r>
      <w:r w:rsidR="006C0445">
        <w:t xml:space="preserve"> emphasis was placed on the question which party should bear the risk of loss should a third party commit a fra</w:t>
      </w:r>
      <w:r w:rsidR="00EB2E37">
        <w:t>ud causing loss to a party</w:t>
      </w:r>
      <w:r w:rsidR="006C0445">
        <w:t>.</w:t>
      </w:r>
      <w:r w:rsidR="00685680">
        <w:t xml:space="preserve"> </w:t>
      </w:r>
    </w:p>
    <w:p w14:paraId="2D09ABE6" w14:textId="5325E2EE" w:rsidR="00A11166" w:rsidRDefault="000B7F25" w:rsidP="000B7F25">
      <w:pPr>
        <w:pStyle w:val="1"/>
        <w:numPr>
          <w:ilvl w:val="0"/>
          <w:numId w:val="0"/>
        </w:numPr>
        <w:tabs>
          <w:tab w:val="left" w:pos="567"/>
        </w:tabs>
        <w:spacing w:line="360" w:lineRule="auto"/>
        <w:ind w:left="567" w:hanging="567"/>
      </w:pPr>
      <w:r>
        <w:t>[44]</w:t>
      </w:r>
      <w:r>
        <w:tab/>
      </w:r>
      <w:r w:rsidR="00E722A5">
        <w:t xml:space="preserve">An appeal is aimed at the order of the court </w:t>
      </w:r>
      <w:r w:rsidR="00E722A5">
        <w:rPr>
          <w:i/>
        </w:rPr>
        <w:t xml:space="preserve">a quo </w:t>
      </w:r>
      <w:r w:rsidR="00E722A5">
        <w:t>and not</w:t>
      </w:r>
      <w:r w:rsidR="00BD5567">
        <w:t xml:space="preserve"> against</w:t>
      </w:r>
      <w:r w:rsidR="00E722A5">
        <w:t xml:space="preserve"> every individual finding. </w:t>
      </w:r>
      <w:r w:rsidR="00A11166">
        <w:t>To consid</w:t>
      </w:r>
      <w:r w:rsidR="00E722A5">
        <w:t>er the soundness of the ultimate order of</w:t>
      </w:r>
      <w:r w:rsidR="00A11166">
        <w:t xml:space="preserve"> the court </w:t>
      </w:r>
      <w:r w:rsidR="00A11166">
        <w:rPr>
          <w:i/>
        </w:rPr>
        <w:t>a quo</w:t>
      </w:r>
      <w:r w:rsidR="00E722A5">
        <w:rPr>
          <w:i/>
        </w:rPr>
        <w:t xml:space="preserve"> </w:t>
      </w:r>
      <w:r w:rsidR="00E722A5">
        <w:t>and whether it is wrong</w:t>
      </w:r>
      <w:r w:rsidR="001E24E1">
        <w:t>,</w:t>
      </w:r>
      <w:r w:rsidR="006C0445">
        <w:t xml:space="preserve"> in the sense that</w:t>
      </w:r>
      <w:r w:rsidR="00E722A5">
        <w:t xml:space="preserve"> the matter could not have been decided on the papers</w:t>
      </w:r>
      <w:r w:rsidR="001E24E1">
        <w:t>,</w:t>
      </w:r>
      <w:r w:rsidR="00A11166">
        <w:rPr>
          <w:i/>
        </w:rPr>
        <w:t xml:space="preserve"> </w:t>
      </w:r>
      <w:r w:rsidR="00EA5261" w:rsidRPr="004143AE">
        <w:t>the court</w:t>
      </w:r>
      <w:r w:rsidR="00A11166">
        <w:t xml:space="preserve"> should consider what a tacit term is and how</w:t>
      </w:r>
      <w:r w:rsidR="00685680">
        <w:t xml:space="preserve"> a party who wants to</w:t>
      </w:r>
      <w:r w:rsidR="001E24E1">
        <w:t xml:space="preserve"> incorporate </w:t>
      </w:r>
      <w:r w:rsidR="00A82F8C">
        <w:t>such</w:t>
      </w:r>
      <w:r w:rsidR="001E24E1">
        <w:t xml:space="preserve"> term in an agreement could prove such term.  In this context</w:t>
      </w:r>
      <w:r w:rsidR="00F5735F">
        <w:t>,</w:t>
      </w:r>
      <w:r w:rsidR="001E24E1">
        <w:t xml:space="preserve"> it must</w:t>
      </w:r>
      <w:r w:rsidR="00E722A5">
        <w:t xml:space="preserve"> be decided whether a factual dispute, not capable of being resolved on the papers, presented itself in this matter. </w:t>
      </w:r>
    </w:p>
    <w:p w14:paraId="4068A504" w14:textId="56E2BAD2" w:rsidR="00BF1956" w:rsidRDefault="000B7F25" w:rsidP="000B7F25">
      <w:pPr>
        <w:pStyle w:val="1"/>
        <w:numPr>
          <w:ilvl w:val="0"/>
          <w:numId w:val="0"/>
        </w:numPr>
        <w:tabs>
          <w:tab w:val="left" w:pos="567"/>
        </w:tabs>
        <w:spacing w:line="360" w:lineRule="auto"/>
        <w:ind w:left="567" w:hanging="567"/>
      </w:pPr>
      <w:r>
        <w:t>[45]</w:t>
      </w:r>
      <w:r>
        <w:tab/>
      </w:r>
      <w:r w:rsidR="00A11166">
        <w:t>In</w:t>
      </w:r>
      <w:r w:rsidR="00324D2D">
        <w:t xml:space="preserve"> Harms</w:t>
      </w:r>
      <w:r w:rsidR="00A11166">
        <w:t xml:space="preserve"> </w:t>
      </w:r>
      <w:proofErr w:type="spellStart"/>
      <w:r w:rsidR="00A11166">
        <w:rPr>
          <w:i/>
        </w:rPr>
        <w:t>Amler’s</w:t>
      </w:r>
      <w:proofErr w:type="spellEnd"/>
      <w:r w:rsidR="00A11166">
        <w:rPr>
          <w:i/>
        </w:rPr>
        <w:t xml:space="preserve"> Precedents of Pleading</w:t>
      </w:r>
      <w:r w:rsidR="00975427">
        <w:rPr>
          <w:rStyle w:val="FootnoteReference"/>
          <w:i/>
        </w:rPr>
        <w:footnoteReference w:id="2"/>
      </w:r>
      <w:r w:rsidR="00A11166">
        <w:rPr>
          <w:i/>
        </w:rPr>
        <w:t xml:space="preserve"> </w:t>
      </w:r>
      <w:r w:rsidR="00A11166">
        <w:t xml:space="preserve">a </w:t>
      </w:r>
      <w:r w:rsidR="00A11166" w:rsidRPr="004143AE">
        <w:t>tacit term</w:t>
      </w:r>
      <w:r w:rsidR="00A11166">
        <w:t xml:space="preserve"> to a contract is defined to mean </w:t>
      </w:r>
      <w:r w:rsidR="00A11166">
        <w:rPr>
          <w:i/>
        </w:rPr>
        <w:t>“an unexpressed provision of the contract</w:t>
      </w:r>
      <w:r w:rsidR="00A85D4F">
        <w:rPr>
          <w:i/>
        </w:rPr>
        <w:t>,</w:t>
      </w:r>
      <w:r w:rsidR="00A11166">
        <w:rPr>
          <w:i/>
        </w:rPr>
        <w:t xml:space="preserve"> derive</w:t>
      </w:r>
      <w:r w:rsidR="00A85D4F">
        <w:rPr>
          <w:i/>
        </w:rPr>
        <w:t>d</w:t>
      </w:r>
      <w:r w:rsidR="00A11166">
        <w:rPr>
          <w:i/>
        </w:rPr>
        <w:t xml:space="preserve"> from the common intention of the parties”. </w:t>
      </w:r>
      <w:r w:rsidR="00BF1956">
        <w:t>In this work</w:t>
      </w:r>
      <w:r w:rsidR="00C749DE">
        <w:t>,</w:t>
      </w:r>
      <w:r w:rsidR="00BF1956">
        <w:t xml:space="preserve"> it is further explained with reference to case law that t</w:t>
      </w:r>
      <w:r w:rsidR="00A11166">
        <w:t>his intention is to be inferred from the express terms of the contract and from surrounding circumstances, including the conduct of the parties after the conclusion of the contract. The term is imputed if the parties would have agreed on such a matter if only they had thought about it.</w:t>
      </w:r>
      <w:r w:rsidR="00DF41EA">
        <w:rPr>
          <w:rStyle w:val="FootnoteReference"/>
        </w:rPr>
        <w:footnoteReference w:id="3"/>
      </w:r>
      <w:r w:rsidR="00A11166">
        <w:t xml:space="preserve"> </w:t>
      </w:r>
    </w:p>
    <w:p w14:paraId="356AD9AA" w14:textId="4AC08608" w:rsidR="008E4E59" w:rsidRDefault="000B7F25" w:rsidP="000B7F25">
      <w:pPr>
        <w:pStyle w:val="1"/>
        <w:numPr>
          <w:ilvl w:val="0"/>
          <w:numId w:val="0"/>
        </w:numPr>
        <w:tabs>
          <w:tab w:val="left" w:pos="567"/>
        </w:tabs>
        <w:spacing w:line="360" w:lineRule="auto"/>
        <w:ind w:left="567" w:hanging="567"/>
      </w:pPr>
      <w:r>
        <w:t>[46]</w:t>
      </w:r>
      <w:r>
        <w:tab/>
      </w:r>
      <w:r w:rsidR="00BF1956">
        <w:t xml:space="preserve">In </w:t>
      </w:r>
      <w:proofErr w:type="spellStart"/>
      <w:r w:rsidR="00AC4920">
        <w:rPr>
          <w:i/>
        </w:rPr>
        <w:t>McAlpine</w:t>
      </w:r>
      <w:proofErr w:type="spellEnd"/>
      <w:r w:rsidR="007912BD" w:rsidRPr="004143AE">
        <w:rPr>
          <w:rStyle w:val="FootnoteReference"/>
        </w:rPr>
        <w:footnoteReference w:id="4"/>
      </w:r>
      <w:r w:rsidR="00AC4920">
        <w:rPr>
          <w:i/>
        </w:rPr>
        <w:t xml:space="preserve"> </w:t>
      </w:r>
      <w:r w:rsidR="00AC4920">
        <w:t>it was with reference to an “</w:t>
      </w:r>
      <w:r w:rsidR="00AC4920">
        <w:rPr>
          <w:i/>
        </w:rPr>
        <w:t>implied term</w:t>
      </w:r>
      <w:r w:rsidR="00AC4920" w:rsidRPr="004143AE">
        <w:t>”</w:t>
      </w:r>
      <w:r w:rsidR="00AC4920">
        <w:rPr>
          <w:i/>
        </w:rPr>
        <w:t xml:space="preserve">, </w:t>
      </w:r>
      <w:r w:rsidR="006C1B93">
        <w:t>which</w:t>
      </w:r>
      <w:r w:rsidR="00AC4920" w:rsidRPr="00AC4920">
        <w:t xml:space="preserve"> reference</w:t>
      </w:r>
      <w:r w:rsidR="006C1B93">
        <w:t xml:space="preserve"> included a reference</w:t>
      </w:r>
      <w:r w:rsidR="00AC4920" w:rsidRPr="00AC4920">
        <w:t xml:space="preserve"> to a </w:t>
      </w:r>
      <w:r w:rsidR="00AC4920">
        <w:rPr>
          <w:i/>
        </w:rPr>
        <w:t>“tacit term”</w:t>
      </w:r>
      <w:r w:rsidR="006C1B93">
        <w:rPr>
          <w:i/>
        </w:rPr>
        <w:t>,</w:t>
      </w:r>
      <w:r w:rsidR="00AC4920">
        <w:rPr>
          <w:i/>
        </w:rPr>
        <w:t xml:space="preserve"> </w:t>
      </w:r>
      <w:r w:rsidR="004A7AF2">
        <w:t xml:space="preserve">where the court </w:t>
      </w:r>
      <w:r w:rsidR="00AC4920">
        <w:t>found as follows at 531H-</w:t>
      </w:r>
      <w:proofErr w:type="gramStart"/>
      <w:r w:rsidR="00AC4920">
        <w:t>532A:</w:t>
      </w:r>
      <w:proofErr w:type="gramEnd"/>
    </w:p>
    <w:p w14:paraId="00E3C621" w14:textId="2A245EDC" w:rsidR="00AC4920" w:rsidRDefault="00AC4920" w:rsidP="004143AE">
      <w:pPr>
        <w:pStyle w:val="1"/>
        <w:numPr>
          <w:ilvl w:val="0"/>
          <w:numId w:val="0"/>
        </w:numPr>
        <w:spacing w:line="360" w:lineRule="auto"/>
        <w:ind w:left="1440"/>
        <w:rPr>
          <w:i/>
        </w:rPr>
      </w:pPr>
      <w:r>
        <w:rPr>
          <w:i/>
        </w:rPr>
        <w:t>“</w:t>
      </w:r>
      <w:r w:rsidRPr="004143AE">
        <w:rPr>
          <w:i/>
          <w:sz w:val="22"/>
        </w:rPr>
        <w:t xml:space="preserve">In the second place, “implied term” is used to denote an unexpressed provision of the contract which derives from the common intention of the parties, as inferred by the Court from the express terms of the contract and the surrounding circumstances. In supplying such an implied term the Court, in truth, declares the whole contract entered into </w:t>
      </w:r>
      <w:r w:rsidR="00190436" w:rsidRPr="004143AE">
        <w:rPr>
          <w:i/>
          <w:sz w:val="22"/>
        </w:rPr>
        <w:t xml:space="preserve">by the parties. In this connection the concept, common intention of the parties, comprehends, it would seem, not only the actual intention but also an imputed intention. In other words, the Court implies not only terms which the parties must actually have had in mind but did not trouble to express but also terms which the parties, whether or not they </w:t>
      </w:r>
      <w:r w:rsidR="00190436" w:rsidRPr="004143AE">
        <w:rPr>
          <w:i/>
          <w:sz w:val="22"/>
        </w:rPr>
        <w:lastRenderedPageBreak/>
        <w:t>actually had them in mind, would have expressed if the que</w:t>
      </w:r>
      <w:r w:rsidR="007F62DD" w:rsidRPr="004143AE">
        <w:rPr>
          <w:i/>
          <w:sz w:val="22"/>
        </w:rPr>
        <w:t>stion, or the situation requiring</w:t>
      </w:r>
      <w:r w:rsidR="00190436" w:rsidRPr="004143AE">
        <w:rPr>
          <w:i/>
          <w:sz w:val="22"/>
        </w:rPr>
        <w:t xml:space="preserve"> the term, had been drawn to their attention</w:t>
      </w:r>
      <w:r w:rsidR="002061BF" w:rsidRPr="004143AE">
        <w:rPr>
          <w:i/>
          <w:sz w:val="22"/>
        </w:rPr>
        <w:t xml:space="preserve"> </w:t>
      </w:r>
      <w:r w:rsidR="00190436" w:rsidRPr="004143AE">
        <w:rPr>
          <w:i/>
          <w:sz w:val="22"/>
        </w:rPr>
        <w:t>.</w:t>
      </w:r>
      <w:r w:rsidR="002061BF" w:rsidRPr="004143AE">
        <w:rPr>
          <w:i/>
          <w:sz w:val="22"/>
        </w:rPr>
        <w:t xml:space="preserve"> . </w:t>
      </w:r>
      <w:r w:rsidR="00190436" w:rsidRPr="004143AE">
        <w:rPr>
          <w:i/>
          <w:sz w:val="22"/>
        </w:rPr>
        <w:t>.</w:t>
      </w:r>
      <w:r w:rsidR="006251AC">
        <w:rPr>
          <w:i/>
          <w:sz w:val="22"/>
        </w:rPr>
        <w:t>.</w:t>
      </w:r>
      <w:r w:rsidR="00190436">
        <w:rPr>
          <w:i/>
        </w:rPr>
        <w:t>”</w:t>
      </w:r>
    </w:p>
    <w:p w14:paraId="21800E0A" w14:textId="18B09E95" w:rsidR="006C0445" w:rsidRDefault="000B7F25" w:rsidP="000B7F25">
      <w:pPr>
        <w:pStyle w:val="1"/>
        <w:numPr>
          <w:ilvl w:val="0"/>
          <w:numId w:val="0"/>
        </w:numPr>
        <w:tabs>
          <w:tab w:val="left" w:pos="567"/>
        </w:tabs>
        <w:spacing w:line="360" w:lineRule="auto"/>
        <w:ind w:left="567" w:hanging="567"/>
      </w:pPr>
      <w:r>
        <w:t>[47]</w:t>
      </w:r>
      <w:r>
        <w:tab/>
      </w:r>
      <w:r w:rsidR="006C0445">
        <w:t xml:space="preserve">In the recent matter of </w:t>
      </w:r>
      <w:r w:rsidR="006C0445">
        <w:rPr>
          <w:i/>
        </w:rPr>
        <w:t>City of Tshwane Metropolitan Municipality v Brooklyn Edge (Pty) Ltd &amp; Another</w:t>
      </w:r>
      <w:r w:rsidR="00C06FE6" w:rsidRPr="004143AE">
        <w:rPr>
          <w:rStyle w:val="FootnoteReference"/>
        </w:rPr>
        <w:footnoteReference w:id="5"/>
      </w:r>
      <w:r w:rsidR="006C0445">
        <w:rPr>
          <w:i/>
        </w:rPr>
        <w:t xml:space="preserve"> </w:t>
      </w:r>
      <w:r w:rsidR="006C0445">
        <w:t xml:space="preserve">with reference to </w:t>
      </w:r>
      <w:r w:rsidR="006C0445">
        <w:rPr>
          <w:i/>
        </w:rPr>
        <w:t xml:space="preserve">Alfred </w:t>
      </w:r>
      <w:proofErr w:type="spellStart"/>
      <w:r w:rsidR="006C0445">
        <w:rPr>
          <w:i/>
        </w:rPr>
        <w:t>McAlpine</w:t>
      </w:r>
      <w:proofErr w:type="spellEnd"/>
      <w:r w:rsidR="006C0445">
        <w:rPr>
          <w:i/>
        </w:rPr>
        <w:t xml:space="preserve"> &amp; Son </w:t>
      </w:r>
      <w:r w:rsidR="006C0445">
        <w:t>it was found as follows:</w:t>
      </w:r>
    </w:p>
    <w:p w14:paraId="78B82199" w14:textId="59784922" w:rsidR="006C0445" w:rsidRPr="006C0445" w:rsidRDefault="006C0445" w:rsidP="004143AE">
      <w:pPr>
        <w:pStyle w:val="1"/>
        <w:numPr>
          <w:ilvl w:val="0"/>
          <w:numId w:val="0"/>
        </w:numPr>
        <w:spacing w:line="360" w:lineRule="auto"/>
        <w:ind w:left="1440"/>
        <w:rPr>
          <w:i/>
        </w:rPr>
      </w:pPr>
      <w:r>
        <w:rPr>
          <w:i/>
        </w:rPr>
        <w:t>“</w:t>
      </w:r>
      <w:r w:rsidRPr="004143AE">
        <w:rPr>
          <w:i/>
          <w:sz w:val="22"/>
        </w:rPr>
        <w:t>[16] A tacit term is an unexpressed provision of a contract. It is inferred primarily from the express terms and the admissible context of the contract. A court will not readily</w:t>
      </w:r>
      <w:r w:rsidR="005369E7" w:rsidRPr="004143AE">
        <w:rPr>
          <w:i/>
          <w:sz w:val="22"/>
        </w:rPr>
        <w:t xml:space="preserve"> infer a tacit term, because it may not make a contract for the parties. The inference must be a necessary one, namely that the parties </w:t>
      </w:r>
      <w:r w:rsidR="00886057">
        <w:rPr>
          <w:i/>
          <w:sz w:val="22"/>
        </w:rPr>
        <w:t xml:space="preserve">necessarily </w:t>
      </w:r>
      <w:r w:rsidR="005369E7" w:rsidRPr="004143AE">
        <w:rPr>
          <w:i/>
          <w:sz w:val="22"/>
        </w:rPr>
        <w:t>must have or would have agreed to the suggested term. A relevant facto</w:t>
      </w:r>
      <w:r w:rsidR="00886057">
        <w:rPr>
          <w:i/>
          <w:sz w:val="22"/>
        </w:rPr>
        <w:t>r</w:t>
      </w:r>
      <w:r w:rsidR="005369E7" w:rsidRPr="004143AE">
        <w:rPr>
          <w:i/>
          <w:sz w:val="22"/>
        </w:rPr>
        <w:t xml:space="preserve"> in this regard is whether the contract is efficacious and complete or whether, on the other hand, the proposed tacit term is essential to lend business efficacy to the contract. The ‘celebrated’ bystander test cons</w:t>
      </w:r>
      <w:r w:rsidR="00DE3D36" w:rsidRPr="004143AE">
        <w:rPr>
          <w:i/>
          <w:sz w:val="22"/>
        </w:rPr>
        <w:t>titutes a practical tool for the</w:t>
      </w:r>
      <w:r w:rsidR="005369E7" w:rsidRPr="004143AE">
        <w:rPr>
          <w:i/>
          <w:sz w:val="22"/>
        </w:rPr>
        <w:t xml:space="preserve"> determination of a tacit term. To satisfy the test the inference must be that each of the parties would inevitably have provided the same unequivocal answer to the bystander’s hypothetical question. Even if the inference is that one of the parties might have required time to consider the matter, the tacit term would not be established.</w:t>
      </w:r>
      <w:r w:rsidR="005369E7">
        <w:rPr>
          <w:i/>
        </w:rPr>
        <w:t>”</w:t>
      </w:r>
    </w:p>
    <w:p w14:paraId="4FA5EF3B" w14:textId="0FF3D7F5" w:rsidR="007F62DD" w:rsidRDefault="000B7F25" w:rsidP="000B7F25">
      <w:pPr>
        <w:pStyle w:val="1"/>
        <w:numPr>
          <w:ilvl w:val="0"/>
          <w:numId w:val="0"/>
        </w:numPr>
        <w:tabs>
          <w:tab w:val="left" w:pos="567"/>
        </w:tabs>
        <w:spacing w:line="360" w:lineRule="auto"/>
        <w:ind w:left="567" w:hanging="567"/>
      </w:pPr>
      <w:r>
        <w:t>[48]</w:t>
      </w:r>
      <w:r>
        <w:tab/>
      </w:r>
      <w:r w:rsidR="00D63732">
        <w:t>In this matter</w:t>
      </w:r>
      <w:r w:rsidR="00A62E2E">
        <w:t>,</w:t>
      </w:r>
      <w:r w:rsidR="00D63732">
        <w:t xml:space="preserve"> the court is not dealing with a tacit term which the parties had in mind but did</w:t>
      </w:r>
      <w:r w:rsidR="000D0DD0">
        <w:t xml:space="preserve"> not trouble</w:t>
      </w:r>
      <w:r w:rsidR="00B81CCA">
        <w:t xml:space="preserve"> themselves</w:t>
      </w:r>
      <w:r w:rsidR="000D0DD0">
        <w:t xml:space="preserve"> to include</w:t>
      </w:r>
      <w:r w:rsidR="00D63732">
        <w:t xml:space="preserve"> in their oral agreement. </w:t>
      </w:r>
      <w:r w:rsidR="00B81CCA">
        <w:t>Rather, it was contended o</w:t>
      </w:r>
      <w:r w:rsidR="00D63732">
        <w:t xml:space="preserve">n behalf of the appellant </w:t>
      </w:r>
      <w:r w:rsidR="007F62DD">
        <w:t>that the tacit term should be</w:t>
      </w:r>
      <w:r w:rsidR="000D0DD0">
        <w:t xml:space="preserve"> included in the contract as the</w:t>
      </w:r>
      <w:r w:rsidR="007F62DD">
        <w:t xml:space="preserve"> imputed</w:t>
      </w:r>
      <w:r w:rsidR="000D0DD0">
        <w:t xml:space="preserve"> intention of the parties. </w:t>
      </w:r>
      <w:r w:rsidR="006C1B93" w:rsidRPr="004143AE">
        <w:t>The</w:t>
      </w:r>
      <w:r w:rsidR="001D185D" w:rsidRPr="004143AE">
        <w:t xml:space="preserve"> argument</w:t>
      </w:r>
      <w:r w:rsidR="00BD5567">
        <w:t xml:space="preserve"> advance was that al</w:t>
      </w:r>
      <w:r w:rsidR="001D185D" w:rsidRPr="004143AE">
        <w:t>though the</w:t>
      </w:r>
      <w:r w:rsidR="006C1B93" w:rsidRPr="004143AE">
        <w:t xml:space="preserve"> parties did not consider the tacit term</w:t>
      </w:r>
      <w:r w:rsidR="001D185D" w:rsidRPr="004143AE">
        <w:t>,</w:t>
      </w:r>
      <w:r w:rsidR="001E24E1" w:rsidRPr="004143AE">
        <w:t xml:space="preserve"> if they were subsequently</w:t>
      </w:r>
      <w:r w:rsidR="006C1B93" w:rsidRPr="004143AE">
        <w:t xml:space="preserve"> asked what would happen </w:t>
      </w:r>
      <w:r w:rsidR="00FF6D89" w:rsidRPr="004143AE">
        <w:t>should</w:t>
      </w:r>
      <w:r w:rsidR="001D185D" w:rsidRPr="004143AE">
        <w:t xml:space="preserve"> the</w:t>
      </w:r>
      <w:r w:rsidR="006C1B93" w:rsidRPr="004143AE">
        <w:t xml:space="preserve"> security of emails</w:t>
      </w:r>
      <w:r w:rsidR="00FF6D89" w:rsidRPr="004143AE">
        <w:t xml:space="preserve"> be compromised</w:t>
      </w:r>
      <w:r w:rsidR="00591C7C" w:rsidRPr="004143AE">
        <w:t>,</w:t>
      </w:r>
      <w:r w:rsidR="006C1B93" w:rsidRPr="004143AE">
        <w:t xml:space="preserve"> they would have been </w:t>
      </w:r>
      <w:r w:rsidR="00CC17E9" w:rsidRPr="004143AE">
        <w:t xml:space="preserve">in </w:t>
      </w:r>
      <w:r w:rsidR="006C1B93" w:rsidRPr="004143AE">
        <w:t>agreement as to the terms of this tacit term</w:t>
      </w:r>
      <w:r w:rsidR="006C1B93">
        <w:t>.</w:t>
      </w:r>
      <w:r w:rsidR="000D0DD0">
        <w:t xml:space="preserve"> </w:t>
      </w:r>
      <w:r w:rsidR="00D63732">
        <w:t xml:space="preserve"> </w:t>
      </w:r>
    </w:p>
    <w:p w14:paraId="7097ECFB" w14:textId="05AB193C" w:rsidR="009F2D03" w:rsidRDefault="000B7F25" w:rsidP="000B7F25">
      <w:pPr>
        <w:pStyle w:val="1"/>
        <w:numPr>
          <w:ilvl w:val="0"/>
          <w:numId w:val="0"/>
        </w:numPr>
        <w:tabs>
          <w:tab w:val="left" w:pos="567"/>
        </w:tabs>
        <w:spacing w:line="360" w:lineRule="auto"/>
        <w:ind w:left="567" w:hanging="567"/>
      </w:pPr>
      <w:r>
        <w:t>[49]</w:t>
      </w:r>
      <w:r>
        <w:tab/>
      </w:r>
      <w:r w:rsidR="00190436">
        <w:t xml:space="preserve">For purposes of a decision whether this matter should have been referred to </w:t>
      </w:r>
      <w:r w:rsidR="00DE66F4">
        <w:t>evidence or trial</w:t>
      </w:r>
      <w:r w:rsidR="00FF6D89">
        <w:t>,</w:t>
      </w:r>
      <w:r w:rsidR="00DE66F4">
        <w:t xml:space="preserve"> it should first be determined whether </w:t>
      </w:r>
      <w:r w:rsidR="00FF6D89">
        <w:t xml:space="preserve">the </w:t>
      </w:r>
      <w:r w:rsidR="00DE66F4">
        <w:t>appellant</w:t>
      </w:r>
      <w:r w:rsidR="00EC7BD7">
        <w:t>’</w:t>
      </w:r>
      <w:r w:rsidR="009F2D03">
        <w:t>s contention</w:t>
      </w:r>
      <w:r w:rsidR="00DE66F4">
        <w:t xml:space="preserve"> that the </w:t>
      </w:r>
      <w:r w:rsidR="00FF6D89">
        <w:t>afore-</w:t>
      </w:r>
      <w:r w:rsidR="00DE66F4">
        <w:t>mentioned tacit term formed part of the mandate</w:t>
      </w:r>
      <w:r w:rsidR="00EC7BD7">
        <w:t xml:space="preserve"> created a factual dispute which could not</w:t>
      </w:r>
      <w:r w:rsidR="004660FC">
        <w:t xml:space="preserve"> have</w:t>
      </w:r>
      <w:r w:rsidR="00EC7BD7">
        <w:t xml:space="preserve"> be</w:t>
      </w:r>
      <w:r w:rsidR="004660FC">
        <w:t>en</w:t>
      </w:r>
      <w:r w:rsidR="00EC7BD7">
        <w:t xml:space="preserve"> resolved on the papers.</w:t>
      </w:r>
      <w:r w:rsidR="009F2D03">
        <w:t xml:space="preserve"> It was argued that </w:t>
      </w:r>
      <w:r w:rsidR="00A8745A">
        <w:t xml:space="preserve">the </w:t>
      </w:r>
      <w:r w:rsidR="009F2D03">
        <w:t xml:space="preserve">appellant made this allegation </w:t>
      </w:r>
      <w:r w:rsidR="006C1B93">
        <w:rPr>
          <w:i/>
        </w:rPr>
        <w:t xml:space="preserve">plainly and unambiguously </w:t>
      </w:r>
      <w:r w:rsidR="006C1B93">
        <w:t xml:space="preserve">in paragraph 3.2 of </w:t>
      </w:r>
      <w:r w:rsidR="006C1B93">
        <w:lastRenderedPageBreak/>
        <w:t>the answering affidavit.</w:t>
      </w:r>
      <w:r w:rsidR="009F2D03">
        <w:t xml:space="preserve"> On behalf of </w:t>
      </w:r>
      <w:r w:rsidR="00A8745A">
        <w:t xml:space="preserve">the </w:t>
      </w:r>
      <w:r w:rsidR="009F2D03">
        <w:t>respondents</w:t>
      </w:r>
      <w:r w:rsidR="00A8745A">
        <w:t>,</w:t>
      </w:r>
      <w:r w:rsidR="009F2D03">
        <w:t xml:space="preserve"> it was argued that the allegation of the existence of the tacit term was a bald and</w:t>
      </w:r>
      <w:r w:rsidR="002C79B7">
        <w:t xml:space="preserve"> an</w:t>
      </w:r>
      <w:r w:rsidR="009F2D03">
        <w:t xml:space="preserve"> unsubstantiated allegation. </w:t>
      </w:r>
      <w:r w:rsidR="00AE6CD1">
        <w:t>Moreover, it was denied.</w:t>
      </w:r>
    </w:p>
    <w:p w14:paraId="4F81AEE3" w14:textId="2C95B0C4" w:rsidR="00633C9E" w:rsidRDefault="000B7F25" w:rsidP="000B7F25">
      <w:pPr>
        <w:pStyle w:val="1"/>
        <w:numPr>
          <w:ilvl w:val="0"/>
          <w:numId w:val="0"/>
        </w:numPr>
        <w:tabs>
          <w:tab w:val="left" w:pos="567"/>
        </w:tabs>
        <w:spacing w:line="360" w:lineRule="auto"/>
        <w:ind w:left="567" w:hanging="567"/>
      </w:pPr>
      <w:r>
        <w:t>[50]</w:t>
      </w:r>
      <w:r>
        <w:tab/>
      </w:r>
      <w:r w:rsidR="002C79B7">
        <w:t>Before deciding this</w:t>
      </w:r>
      <w:r w:rsidR="007976AA">
        <w:t>,</w:t>
      </w:r>
      <w:r w:rsidR="002C79B7">
        <w:t xml:space="preserve"> the court must consider when a tacit term will be imputed</w:t>
      </w:r>
      <w:r w:rsidR="00CB4B6F">
        <w:t xml:space="preserve"> in a contract. Further, w</w:t>
      </w:r>
      <w:r w:rsidR="00AE6CD1">
        <w:t xml:space="preserve">hat is required to avoid a conclusion that the allegation of the </w:t>
      </w:r>
      <w:r w:rsidR="00EB2E37">
        <w:t>existence of a tacit term is</w:t>
      </w:r>
      <w:r w:rsidR="00AE6CD1">
        <w:t xml:space="preserve"> bald and unsubstantiated?</w:t>
      </w:r>
      <w:r w:rsidR="002C79B7">
        <w:t xml:space="preserve">  </w:t>
      </w:r>
      <w:r w:rsidR="00633C9E">
        <w:t>I intend to apply the so-called “</w:t>
      </w:r>
      <w:r w:rsidR="00633C9E" w:rsidRPr="007F62DD">
        <w:rPr>
          <w:i/>
        </w:rPr>
        <w:t>innocent bystander test</w:t>
      </w:r>
      <w:r w:rsidR="007F62DD">
        <w:t xml:space="preserve">” </w:t>
      </w:r>
      <w:r w:rsidR="002C79B7">
        <w:t xml:space="preserve"> to determine this, </w:t>
      </w:r>
      <w:r w:rsidR="007F62DD">
        <w:t>which was expressed</w:t>
      </w:r>
      <w:r w:rsidR="00633C9E">
        <w:t xml:space="preserve"> in </w:t>
      </w:r>
      <w:r w:rsidR="00633C9E">
        <w:rPr>
          <w:i/>
          <w:iCs w:val="0"/>
        </w:rPr>
        <w:t>Reigate v Union Manufacturing Co</w:t>
      </w:r>
      <w:r w:rsidR="0061558D">
        <w:rPr>
          <w:i/>
          <w:iCs w:val="0"/>
        </w:rPr>
        <w:t xml:space="preserve"> (</w:t>
      </w:r>
      <w:proofErr w:type="spellStart"/>
      <w:r w:rsidR="0061558D">
        <w:rPr>
          <w:i/>
          <w:iCs w:val="0"/>
        </w:rPr>
        <w:t>Ramsbottom</w:t>
      </w:r>
      <w:proofErr w:type="spellEnd"/>
      <w:r w:rsidR="0061558D">
        <w:rPr>
          <w:i/>
          <w:iCs w:val="0"/>
        </w:rPr>
        <w:t>) Ltd</w:t>
      </w:r>
      <w:r w:rsidR="00633C9E" w:rsidRPr="004143AE">
        <w:rPr>
          <w:rStyle w:val="FootnoteReference"/>
          <w:iCs w:val="0"/>
        </w:rPr>
        <w:footnoteReference w:id="6"/>
      </w:r>
      <w:r w:rsidR="00633C9E">
        <w:rPr>
          <w:i/>
          <w:iCs w:val="0"/>
        </w:rPr>
        <w:t xml:space="preserve"> </w:t>
      </w:r>
      <w:r w:rsidR="00633C9E">
        <w:t>as follows:</w:t>
      </w:r>
    </w:p>
    <w:p w14:paraId="345F0DDD" w14:textId="40315512" w:rsidR="00346156" w:rsidRPr="004143AE" w:rsidRDefault="00633C9E" w:rsidP="007976AA">
      <w:pPr>
        <w:pStyle w:val="Quote"/>
        <w:rPr>
          <w:iCs w:val="0"/>
        </w:rPr>
      </w:pPr>
      <w:r w:rsidRPr="00633C9E">
        <w:rPr>
          <w:i/>
          <w:iCs w:val="0"/>
        </w:rPr>
        <w:t>“</w:t>
      </w:r>
      <w:r w:rsidR="00D14EA5" w:rsidRPr="004143AE">
        <w:rPr>
          <w:i/>
          <w:iCs w:val="0"/>
          <w:sz w:val="22"/>
        </w:rPr>
        <w:t>A term can</w:t>
      </w:r>
      <w:r w:rsidRPr="004143AE">
        <w:rPr>
          <w:i/>
          <w:iCs w:val="0"/>
          <w:sz w:val="22"/>
        </w:rPr>
        <w:t xml:space="preserve"> only </w:t>
      </w:r>
      <w:r w:rsidR="00D14EA5" w:rsidRPr="004143AE">
        <w:rPr>
          <w:i/>
          <w:iCs w:val="0"/>
          <w:sz w:val="22"/>
        </w:rPr>
        <w:t xml:space="preserve">be </w:t>
      </w:r>
      <w:r w:rsidRPr="004143AE">
        <w:rPr>
          <w:i/>
          <w:iCs w:val="0"/>
          <w:sz w:val="22"/>
        </w:rPr>
        <w:t>impl</w:t>
      </w:r>
      <w:r w:rsidR="00D14EA5" w:rsidRPr="004143AE">
        <w:rPr>
          <w:i/>
          <w:iCs w:val="0"/>
          <w:sz w:val="22"/>
        </w:rPr>
        <w:t>ied</w:t>
      </w:r>
      <w:r w:rsidRPr="004143AE">
        <w:rPr>
          <w:i/>
          <w:iCs w:val="0"/>
          <w:sz w:val="22"/>
        </w:rPr>
        <w:t xml:space="preserve"> if it is necessary in the business sense to give efficacy to the contract; that is, if it is such a term that </w:t>
      </w:r>
      <w:r w:rsidR="00D14EA5" w:rsidRPr="004143AE">
        <w:rPr>
          <w:i/>
          <w:iCs w:val="0"/>
          <w:sz w:val="22"/>
        </w:rPr>
        <w:t>it</w:t>
      </w:r>
      <w:r w:rsidRPr="004143AE">
        <w:rPr>
          <w:i/>
          <w:iCs w:val="0"/>
          <w:sz w:val="22"/>
        </w:rPr>
        <w:t xml:space="preserve"> can confident</w:t>
      </w:r>
      <w:r w:rsidR="00D14EA5" w:rsidRPr="004143AE">
        <w:rPr>
          <w:i/>
          <w:iCs w:val="0"/>
          <w:sz w:val="22"/>
        </w:rPr>
        <w:t>ly</w:t>
      </w:r>
      <w:r w:rsidRPr="004143AE">
        <w:rPr>
          <w:i/>
          <w:iCs w:val="0"/>
          <w:sz w:val="22"/>
        </w:rPr>
        <w:t xml:space="preserve"> </w:t>
      </w:r>
      <w:r w:rsidR="00D14EA5" w:rsidRPr="004143AE">
        <w:rPr>
          <w:i/>
          <w:iCs w:val="0"/>
          <w:sz w:val="22"/>
        </w:rPr>
        <w:t xml:space="preserve">be said </w:t>
      </w:r>
      <w:r w:rsidRPr="004143AE">
        <w:rPr>
          <w:i/>
          <w:iCs w:val="0"/>
          <w:sz w:val="22"/>
        </w:rPr>
        <w:t>that if at the time the contract was being negotiated s</w:t>
      </w:r>
      <w:r w:rsidR="003156ED" w:rsidRPr="004143AE">
        <w:rPr>
          <w:i/>
          <w:iCs w:val="0"/>
          <w:sz w:val="22"/>
        </w:rPr>
        <w:t>omeone had said to the parties:</w:t>
      </w:r>
      <w:r w:rsidRPr="004143AE">
        <w:rPr>
          <w:i/>
          <w:iCs w:val="0"/>
          <w:sz w:val="22"/>
        </w:rPr>
        <w:t xml:space="preserve"> ‘</w:t>
      </w:r>
      <w:r w:rsidR="00D14EA5" w:rsidRPr="004143AE">
        <w:rPr>
          <w:i/>
          <w:iCs w:val="0"/>
          <w:sz w:val="22"/>
        </w:rPr>
        <w:t>W</w:t>
      </w:r>
      <w:r w:rsidRPr="004143AE">
        <w:rPr>
          <w:i/>
          <w:iCs w:val="0"/>
          <w:sz w:val="22"/>
        </w:rPr>
        <w:t>hat will happen in such a case</w:t>
      </w:r>
      <w:r w:rsidR="00E449A8" w:rsidRPr="004143AE">
        <w:rPr>
          <w:i/>
          <w:iCs w:val="0"/>
          <w:sz w:val="22"/>
        </w:rPr>
        <w:t>,</w:t>
      </w:r>
      <w:r w:rsidR="003156ED" w:rsidRPr="004143AE">
        <w:rPr>
          <w:i/>
          <w:iCs w:val="0"/>
          <w:sz w:val="22"/>
        </w:rPr>
        <w:t>’ they would have both replied:</w:t>
      </w:r>
      <w:r w:rsidRPr="004143AE">
        <w:rPr>
          <w:i/>
          <w:iCs w:val="0"/>
          <w:sz w:val="22"/>
        </w:rPr>
        <w:t xml:space="preserve"> ‘</w:t>
      </w:r>
      <w:r w:rsidR="00E449A8" w:rsidRPr="004143AE">
        <w:rPr>
          <w:i/>
          <w:iCs w:val="0"/>
          <w:sz w:val="22"/>
        </w:rPr>
        <w:t>O</w:t>
      </w:r>
      <w:r w:rsidRPr="004143AE">
        <w:rPr>
          <w:i/>
          <w:iCs w:val="0"/>
          <w:sz w:val="22"/>
        </w:rPr>
        <w:t>f course, so-and-so</w:t>
      </w:r>
      <w:r w:rsidR="00E449A8" w:rsidRPr="004143AE">
        <w:rPr>
          <w:i/>
          <w:iCs w:val="0"/>
          <w:sz w:val="22"/>
        </w:rPr>
        <w:t xml:space="preserve"> will happen;</w:t>
      </w:r>
      <w:r w:rsidRPr="004143AE">
        <w:rPr>
          <w:i/>
          <w:iCs w:val="0"/>
          <w:sz w:val="22"/>
        </w:rPr>
        <w:t xml:space="preserve"> </w:t>
      </w:r>
      <w:r w:rsidR="00E449A8" w:rsidRPr="004143AE">
        <w:rPr>
          <w:i/>
          <w:iCs w:val="0"/>
          <w:sz w:val="22"/>
        </w:rPr>
        <w:t>w</w:t>
      </w:r>
      <w:r w:rsidRPr="004143AE">
        <w:rPr>
          <w:i/>
          <w:iCs w:val="0"/>
          <w:sz w:val="22"/>
        </w:rPr>
        <w:t>e did not trouble to say that; it is too clear</w:t>
      </w:r>
      <w:r w:rsidR="00E449A8" w:rsidRPr="004143AE">
        <w:rPr>
          <w:i/>
          <w:iCs w:val="0"/>
          <w:sz w:val="22"/>
        </w:rPr>
        <w:t>’</w:t>
      </w:r>
      <w:r w:rsidRPr="00633C9E">
        <w:rPr>
          <w:i/>
          <w:iCs w:val="0"/>
        </w:rPr>
        <w:t>.”</w:t>
      </w:r>
      <w:r w:rsidR="00A0427B">
        <w:rPr>
          <w:rStyle w:val="FootnoteReference"/>
          <w:i/>
          <w:iCs w:val="0"/>
        </w:rPr>
        <w:footnoteReference w:id="7"/>
      </w:r>
    </w:p>
    <w:p w14:paraId="77CBB56F" w14:textId="24174A9A" w:rsidR="00633C9E" w:rsidRDefault="000B7F25" w:rsidP="000B7F25">
      <w:pPr>
        <w:pStyle w:val="1"/>
        <w:numPr>
          <w:ilvl w:val="0"/>
          <w:numId w:val="0"/>
        </w:numPr>
        <w:tabs>
          <w:tab w:val="left" w:pos="567"/>
        </w:tabs>
        <w:spacing w:line="360" w:lineRule="auto"/>
        <w:ind w:left="567" w:hanging="567"/>
      </w:pPr>
      <w:r>
        <w:t>[51]</w:t>
      </w:r>
      <w:r>
        <w:tab/>
      </w:r>
      <w:r w:rsidR="00633C9E" w:rsidRPr="00633C9E">
        <w:t xml:space="preserve">The business efficacy of the contract, </w:t>
      </w:r>
      <w:r w:rsidR="002C79B7">
        <w:t xml:space="preserve">and what reasonable </w:t>
      </w:r>
      <w:r w:rsidR="00AE6CD1">
        <w:t>p</w:t>
      </w:r>
      <w:r w:rsidR="002C79B7">
        <w:t>arties to a contract</w:t>
      </w:r>
      <w:r w:rsidR="00633C9E" w:rsidRPr="00633C9E">
        <w:t xml:space="preserve"> would have agreed upon in the c</w:t>
      </w:r>
      <w:r w:rsidR="00346156">
        <w:t>ircumstances of the</w:t>
      </w:r>
      <w:r w:rsidR="00633C9E" w:rsidRPr="00633C9E">
        <w:t xml:space="preserve"> particular case, are part of the facts from which the inference of the alleged intention can be made. To this extent, the bystander test has been </w:t>
      </w:r>
      <w:r w:rsidR="008E358E" w:rsidRPr="00633C9E">
        <w:t>objectified</w:t>
      </w:r>
      <w:r w:rsidR="00633C9E" w:rsidRPr="00633C9E">
        <w:t xml:space="preserve">. </w:t>
      </w:r>
      <w:r w:rsidR="00346156">
        <w:t>If s</w:t>
      </w:r>
      <w:r w:rsidR="00633C9E" w:rsidRPr="00633C9E">
        <w:t>uch an inference cannot be made, a consensual tacit term cannot be read into the contract.</w:t>
      </w:r>
      <w:r w:rsidR="00633C9E" w:rsidRPr="004143AE">
        <w:rPr>
          <w:rStyle w:val="FootnoteReference"/>
          <w:iCs w:val="0"/>
        </w:rPr>
        <w:footnoteReference w:id="8"/>
      </w:r>
    </w:p>
    <w:p w14:paraId="6095FB61" w14:textId="769743F7" w:rsidR="000737E0" w:rsidRDefault="000B7F25" w:rsidP="000B7F25">
      <w:pPr>
        <w:pStyle w:val="1"/>
        <w:numPr>
          <w:ilvl w:val="0"/>
          <w:numId w:val="0"/>
        </w:numPr>
        <w:tabs>
          <w:tab w:val="left" w:pos="567"/>
        </w:tabs>
        <w:spacing w:line="360" w:lineRule="auto"/>
        <w:ind w:left="567" w:hanging="567"/>
      </w:pPr>
      <w:r>
        <w:t>[52]</w:t>
      </w:r>
      <w:r>
        <w:tab/>
      </w:r>
      <w:r w:rsidR="000737E0">
        <w:t>With this summary of the legal position in mind</w:t>
      </w:r>
      <w:r w:rsidR="002D271F">
        <w:t>,</w:t>
      </w:r>
      <w:r w:rsidR="000737E0">
        <w:t xml:space="preserve"> I will now </w:t>
      </w:r>
      <w:r w:rsidR="00502DCA">
        <w:t>re</w:t>
      </w:r>
      <w:r w:rsidR="000737E0">
        <w:t>turn to the question whether a factual dispute arose on this question</w:t>
      </w:r>
      <w:r w:rsidR="00CB4B6F">
        <w:t xml:space="preserve"> concerning the</w:t>
      </w:r>
      <w:r w:rsidR="000737E0">
        <w:t xml:space="preserve"> </w:t>
      </w:r>
      <w:r w:rsidR="00CB4B6F">
        <w:t>imputation a</w:t>
      </w:r>
      <w:r w:rsidR="000737E0">
        <w:t xml:space="preserve"> tacit </w:t>
      </w:r>
      <w:r w:rsidR="00CB4B6F">
        <w:t>term.</w:t>
      </w:r>
    </w:p>
    <w:p w14:paraId="246B351F" w14:textId="771187E5" w:rsidR="00E61434" w:rsidRDefault="000B7F25" w:rsidP="000B7F25">
      <w:pPr>
        <w:pStyle w:val="1"/>
        <w:numPr>
          <w:ilvl w:val="0"/>
          <w:numId w:val="0"/>
        </w:numPr>
        <w:tabs>
          <w:tab w:val="left" w:pos="567"/>
        </w:tabs>
        <w:spacing w:line="360" w:lineRule="auto"/>
        <w:ind w:left="567" w:hanging="567"/>
      </w:pPr>
      <w:r>
        <w:t>[53]</w:t>
      </w:r>
      <w:r>
        <w:tab/>
      </w:r>
      <w:r w:rsidR="00E61434">
        <w:t>It is trite that in motion proceedings a dispute of fact is not created if a denial is bald and unsubstantiated. In such a case</w:t>
      </w:r>
      <w:r w:rsidR="00395312">
        <w:t>,</w:t>
      </w:r>
      <w:r w:rsidR="00E61434">
        <w:t xml:space="preserve"> a court can find that there is not a genuine dispute of fact and decide the matter. </w:t>
      </w:r>
      <w:r w:rsidR="009B720F">
        <w:t xml:space="preserve">Or, a court can decide that a defence is so far-fetched and untenable that the court could reject a defence merely on the papers. None of these findings were made by the court </w:t>
      </w:r>
      <w:r w:rsidR="009B720F">
        <w:rPr>
          <w:i/>
        </w:rPr>
        <w:t xml:space="preserve">a quo </w:t>
      </w:r>
      <w:r w:rsidR="009B720F">
        <w:t>as the court did not deal with the</w:t>
      </w:r>
      <w:r w:rsidR="00502DCA">
        <w:t xml:space="preserve"> issue concerning the alleged</w:t>
      </w:r>
      <w:r w:rsidR="009B720F">
        <w:t xml:space="preserve"> tacit term. The court </w:t>
      </w:r>
      <w:r w:rsidR="009B720F">
        <w:rPr>
          <w:i/>
        </w:rPr>
        <w:lastRenderedPageBreak/>
        <w:t xml:space="preserve">a quo </w:t>
      </w:r>
      <w:r w:rsidR="009B720F">
        <w:t xml:space="preserve">found that the matter could have been decided on common cause facts and the law. This </w:t>
      </w:r>
      <w:r w:rsidR="003E42A3">
        <w:t xml:space="preserve">decision ignored </w:t>
      </w:r>
      <w:r w:rsidR="009B720F">
        <w:t>the existence</w:t>
      </w:r>
      <w:r w:rsidR="003E42A3">
        <w:t xml:space="preserve"> or not</w:t>
      </w:r>
      <w:r w:rsidR="009B720F">
        <w:t xml:space="preserve"> of a tacit term</w:t>
      </w:r>
      <w:r w:rsidR="003E42A3">
        <w:t xml:space="preserve"> which</w:t>
      </w:r>
      <w:r w:rsidR="009B720F">
        <w:t xml:space="preserve"> requires a factual enquiry. This would</w:t>
      </w:r>
      <w:r w:rsidR="00502DCA">
        <w:t>,</w:t>
      </w:r>
      <w:r w:rsidR="009B720F">
        <w:t xml:space="preserve"> however</w:t>
      </w:r>
      <w:r w:rsidR="00502DCA">
        <w:t>,</w:t>
      </w:r>
      <w:r w:rsidR="009B720F">
        <w:t xml:space="preserve"> </w:t>
      </w:r>
      <w:r w:rsidR="00095FFF">
        <w:t xml:space="preserve">does </w:t>
      </w:r>
      <w:r w:rsidR="009B720F">
        <w:t xml:space="preserve">not mean that the court </w:t>
      </w:r>
      <w:r w:rsidR="009B720F">
        <w:rPr>
          <w:i/>
        </w:rPr>
        <w:t>a quo</w:t>
      </w:r>
      <w:r w:rsidR="003E42A3">
        <w:rPr>
          <w:i/>
        </w:rPr>
        <w:t>’s</w:t>
      </w:r>
      <w:r w:rsidR="009B720F">
        <w:rPr>
          <w:i/>
        </w:rPr>
        <w:t xml:space="preserve"> </w:t>
      </w:r>
      <w:r w:rsidR="00502DCA">
        <w:t>order stands to be dismissed</w:t>
      </w:r>
      <w:r w:rsidR="009B720F">
        <w:t>. This court will have to decide this</w:t>
      </w:r>
      <w:r w:rsidR="003E42A3">
        <w:t>,</w:t>
      </w:r>
      <w:r w:rsidR="009B720F">
        <w:t xml:space="preserve"> </w:t>
      </w:r>
      <w:r w:rsidR="003E42A3">
        <w:t>more particularly</w:t>
      </w:r>
      <w:r w:rsidR="00886B57">
        <w:t>,</w:t>
      </w:r>
      <w:r w:rsidR="003E42A3">
        <w:t xml:space="preserve"> whether the matter should have been referred to oral evidence as a factual dispute arose on the papers concerning the tacit term. </w:t>
      </w:r>
      <w:r w:rsidR="00E61434">
        <w:t xml:space="preserve"> </w:t>
      </w:r>
      <w:r w:rsidR="00974B1C">
        <w:t xml:space="preserve"> </w:t>
      </w:r>
    </w:p>
    <w:p w14:paraId="47042712" w14:textId="245F4CC9" w:rsidR="003E42A3" w:rsidRDefault="000B7F25" w:rsidP="000B7F25">
      <w:pPr>
        <w:pStyle w:val="1"/>
        <w:numPr>
          <w:ilvl w:val="0"/>
          <w:numId w:val="0"/>
        </w:numPr>
        <w:tabs>
          <w:tab w:val="left" w:pos="567"/>
        </w:tabs>
        <w:spacing w:line="360" w:lineRule="auto"/>
        <w:ind w:left="567" w:hanging="567"/>
      </w:pPr>
      <w:r>
        <w:t>[54]</w:t>
      </w:r>
      <w:r>
        <w:tab/>
      </w:r>
      <w:r w:rsidR="003E42A3">
        <w:t xml:space="preserve">The appellant placed much reliance on the matter of </w:t>
      </w:r>
      <w:r w:rsidR="003E42A3">
        <w:rPr>
          <w:i/>
          <w:iCs w:val="0"/>
        </w:rPr>
        <w:t xml:space="preserve">Mathewson v Van </w:t>
      </w:r>
      <w:proofErr w:type="spellStart"/>
      <w:r w:rsidR="003E42A3">
        <w:rPr>
          <w:i/>
          <w:iCs w:val="0"/>
        </w:rPr>
        <w:t>Niekerk</w:t>
      </w:r>
      <w:proofErr w:type="spellEnd"/>
      <w:r w:rsidR="003E42A3" w:rsidRPr="004143AE">
        <w:rPr>
          <w:rStyle w:val="FootnoteReference"/>
          <w:iCs w:val="0"/>
        </w:rPr>
        <w:footnoteReference w:id="9"/>
      </w:r>
      <w:r w:rsidR="003E42A3" w:rsidRPr="00455079">
        <w:t xml:space="preserve"> </w:t>
      </w:r>
      <w:r w:rsidR="003E42A3">
        <w:t xml:space="preserve">for the submission that the court </w:t>
      </w:r>
      <w:r w:rsidR="003E42A3">
        <w:rPr>
          <w:i/>
        </w:rPr>
        <w:t xml:space="preserve">a quo </w:t>
      </w:r>
      <w:r w:rsidR="003E42A3">
        <w:t xml:space="preserve">erred in </w:t>
      </w:r>
      <w:r w:rsidR="00474E1F">
        <w:t>its</w:t>
      </w:r>
      <w:r w:rsidR="003E42A3">
        <w:t xml:space="preserve"> finding that the liability of the appellant could have been decided with reference to common cause facts</w:t>
      </w:r>
      <w:r w:rsidR="00A025CB">
        <w:t xml:space="preserve"> </w:t>
      </w:r>
      <w:r w:rsidR="003E42A3">
        <w:t>and the proper interpretation of the law.</w:t>
      </w:r>
      <w:r w:rsidR="00E51C4C">
        <w:t xml:space="preserve"> It was argued that the decision in </w:t>
      </w:r>
      <w:r w:rsidR="00E51C4C">
        <w:rPr>
          <w:i/>
        </w:rPr>
        <w:t xml:space="preserve">Mathewson </w:t>
      </w:r>
      <w:r w:rsidR="00E51C4C">
        <w:t>was on all fours with the case of the parties in this appeal and should be foll</w:t>
      </w:r>
      <w:r w:rsidR="00A025CB">
        <w:t xml:space="preserve">owed when the existence of a tacit term was considered. </w:t>
      </w:r>
      <w:r w:rsidR="004660FC">
        <w:t xml:space="preserve"> </w:t>
      </w:r>
      <w:r w:rsidR="00E51C4C">
        <w:t xml:space="preserve">  </w:t>
      </w:r>
    </w:p>
    <w:p w14:paraId="16043F89" w14:textId="4B58AFDB" w:rsidR="00DF53CE" w:rsidRPr="00DF53CE" w:rsidRDefault="000B7F25" w:rsidP="000B7F25">
      <w:pPr>
        <w:pStyle w:val="1"/>
        <w:numPr>
          <w:ilvl w:val="0"/>
          <w:numId w:val="0"/>
        </w:numPr>
        <w:tabs>
          <w:tab w:val="left" w:pos="567"/>
        </w:tabs>
        <w:spacing w:line="360" w:lineRule="auto"/>
        <w:ind w:left="567" w:hanging="567"/>
      </w:pPr>
      <w:r w:rsidRPr="00DF53CE">
        <w:t>[55]</w:t>
      </w:r>
      <w:r w:rsidRPr="00DF53CE">
        <w:tab/>
      </w:r>
      <w:r w:rsidR="00DF53CE">
        <w:t xml:space="preserve">The facts of </w:t>
      </w:r>
      <w:r w:rsidR="00DF53CE">
        <w:rPr>
          <w:i/>
          <w:iCs w:val="0"/>
        </w:rPr>
        <w:t>Mathewson</w:t>
      </w:r>
      <w:r w:rsidR="00DF53CE">
        <w:t xml:space="preserve"> should be considered to understand</w:t>
      </w:r>
      <w:r w:rsidR="00502DCA">
        <w:t xml:space="preserve"> the conclusions reached in that</w:t>
      </w:r>
      <w:r w:rsidR="00DF53CE">
        <w:t xml:space="preserve"> matter. Reference will be made to the appellant</w:t>
      </w:r>
      <w:r w:rsidR="004660FC">
        <w:t xml:space="preserve"> in that matter</w:t>
      </w:r>
      <w:r w:rsidR="00DF53CE">
        <w:t xml:space="preserve"> as “</w:t>
      </w:r>
      <w:r w:rsidR="00DF53CE" w:rsidRPr="004143AE">
        <w:rPr>
          <w:iCs w:val="0"/>
        </w:rPr>
        <w:t>Mathewson</w:t>
      </w:r>
      <w:r w:rsidR="00DF53CE">
        <w:rPr>
          <w:i/>
          <w:iCs w:val="0"/>
        </w:rPr>
        <w:t>”</w:t>
      </w:r>
      <w:r w:rsidR="00DF53CE">
        <w:t xml:space="preserve"> and to the respondent as “</w:t>
      </w:r>
      <w:r w:rsidR="00DF53CE" w:rsidRPr="004143AE">
        <w:rPr>
          <w:iCs w:val="0"/>
        </w:rPr>
        <w:t xml:space="preserve">Van </w:t>
      </w:r>
      <w:proofErr w:type="spellStart"/>
      <w:r w:rsidR="00DF53CE" w:rsidRPr="004143AE">
        <w:rPr>
          <w:iCs w:val="0"/>
        </w:rPr>
        <w:t>Niekerk</w:t>
      </w:r>
      <w:proofErr w:type="spellEnd"/>
      <w:r w:rsidR="00DF53CE">
        <w:rPr>
          <w:i/>
          <w:iCs w:val="0"/>
        </w:rPr>
        <w:t>”.</w:t>
      </w:r>
    </w:p>
    <w:p w14:paraId="076A9643" w14:textId="6A188FFC" w:rsidR="00DF53CE" w:rsidRDefault="000B7F25" w:rsidP="000B7F25">
      <w:pPr>
        <w:pStyle w:val="1"/>
        <w:numPr>
          <w:ilvl w:val="0"/>
          <w:numId w:val="0"/>
        </w:numPr>
        <w:tabs>
          <w:tab w:val="left" w:pos="567"/>
        </w:tabs>
        <w:spacing w:line="360" w:lineRule="auto"/>
        <w:ind w:left="567" w:hanging="567"/>
      </w:pPr>
      <w:r>
        <w:t>[56]</w:t>
      </w:r>
      <w:r>
        <w:tab/>
      </w:r>
      <w:r w:rsidR="00DF53CE">
        <w:t xml:space="preserve">Van </w:t>
      </w:r>
      <w:proofErr w:type="spellStart"/>
      <w:r w:rsidR="00DF53CE">
        <w:t>Niekerk</w:t>
      </w:r>
      <w:proofErr w:type="spellEnd"/>
      <w:r w:rsidR="00DF53CE">
        <w:t xml:space="preserve"> brought motion proceedings against Mathewson for relief that depended on the valid cancellation by Van </w:t>
      </w:r>
      <w:proofErr w:type="spellStart"/>
      <w:r w:rsidR="00DF53CE">
        <w:t>Ni</w:t>
      </w:r>
      <w:r w:rsidR="00974B1C">
        <w:t>ekerk</w:t>
      </w:r>
      <w:proofErr w:type="spellEnd"/>
      <w:r w:rsidR="00974B1C">
        <w:t xml:space="preserve"> of a sale agreement to purchase</w:t>
      </w:r>
      <w:r w:rsidR="00DF53CE">
        <w:t xml:space="preserve"> immovable property. Mathewson was the seller/dev</w:t>
      </w:r>
      <w:r w:rsidR="00974B1C">
        <w:t xml:space="preserve">eloper and Van </w:t>
      </w:r>
      <w:proofErr w:type="spellStart"/>
      <w:r w:rsidR="00974B1C">
        <w:t>Niekerk</w:t>
      </w:r>
      <w:proofErr w:type="spellEnd"/>
      <w:r w:rsidR="00974B1C">
        <w:t xml:space="preserve"> the purchaser</w:t>
      </w:r>
      <w:r w:rsidR="00DF53CE">
        <w:t xml:space="preserve"> of the immovable property. Van </w:t>
      </w:r>
      <w:proofErr w:type="spellStart"/>
      <w:r w:rsidR="00DF53CE">
        <w:t>Niekerk</w:t>
      </w:r>
      <w:proofErr w:type="spellEnd"/>
      <w:r w:rsidR="00DF53CE">
        <w:t xml:space="preserve"> purported to cancel the agreement on the basis</w:t>
      </w:r>
      <w:r w:rsidR="00BE0CCB">
        <w:t xml:space="preserve"> that Mathewson failed to install</w:t>
      </w:r>
      <w:r w:rsidR="00DF53CE">
        <w:t xml:space="preserve"> certain services to th</w:t>
      </w:r>
      <w:r w:rsidR="00974B1C">
        <w:t>e vacant stands as was agreed between the parties</w:t>
      </w:r>
      <w:r w:rsidR="0071435A">
        <w:t>,</w:t>
      </w:r>
      <w:r w:rsidR="00BA64F0">
        <w:t xml:space="preserve"> pursuant</w:t>
      </w:r>
      <w:r w:rsidR="00DF53CE">
        <w:t xml:space="preserve"> to clause 17 of the sale agreement. The court </w:t>
      </w:r>
      <w:r w:rsidR="00DF53CE">
        <w:rPr>
          <w:i/>
          <w:iCs w:val="0"/>
        </w:rPr>
        <w:t>a quo</w:t>
      </w:r>
      <w:r w:rsidR="00DF53CE">
        <w:t xml:space="preserve"> found for Van </w:t>
      </w:r>
      <w:proofErr w:type="spellStart"/>
      <w:r w:rsidR="00DF53CE">
        <w:t>Niekerk</w:t>
      </w:r>
      <w:proofErr w:type="spellEnd"/>
      <w:r w:rsidR="0016340F">
        <w:t>,</w:t>
      </w:r>
      <w:r w:rsidR="00DF53CE">
        <w:t xml:space="preserve"> that the sale agreement was validly cancelled. This decision was appealed against by Mathewson and </w:t>
      </w:r>
      <w:proofErr w:type="spellStart"/>
      <w:r w:rsidR="00DF53CE">
        <w:t>Cloete</w:t>
      </w:r>
      <w:proofErr w:type="spellEnd"/>
      <w:r w:rsidR="00DF53CE">
        <w:t xml:space="preserve"> JA</w:t>
      </w:r>
      <w:r w:rsidR="0071435A">
        <w:t>,</w:t>
      </w:r>
      <w:r w:rsidR="00DF53CE">
        <w:t xml:space="preserve"> on appeal</w:t>
      </w:r>
      <w:r w:rsidR="0071435A">
        <w:t>,</w:t>
      </w:r>
      <w:r w:rsidR="00DF53CE">
        <w:t xml:space="preserve"> found that the court </w:t>
      </w:r>
      <w:r w:rsidR="00DF53CE">
        <w:rPr>
          <w:i/>
          <w:iCs w:val="0"/>
        </w:rPr>
        <w:t>a quo</w:t>
      </w:r>
      <w:r w:rsidR="00DF53CE">
        <w:t xml:space="preserve"> ignored Mathewson’s contention </w:t>
      </w:r>
      <w:r w:rsidR="00DF53CE">
        <w:rPr>
          <w:i/>
          <w:iCs w:val="0"/>
        </w:rPr>
        <w:t>“which was plainly and unambiguously”</w:t>
      </w:r>
      <w:r w:rsidR="00DF53CE">
        <w:t xml:space="preserve"> m</w:t>
      </w:r>
      <w:r w:rsidR="00974B1C">
        <w:t>ade in the answering affidavit as to the existence of a tacit term which would require fro</w:t>
      </w:r>
      <w:r w:rsidR="00786D17">
        <w:t>m</w:t>
      </w:r>
      <w:r w:rsidR="00974B1C">
        <w:t xml:space="preserve"> Van </w:t>
      </w:r>
      <w:proofErr w:type="spellStart"/>
      <w:r w:rsidR="00974B1C">
        <w:t>Niekerk</w:t>
      </w:r>
      <w:proofErr w:type="spellEnd"/>
      <w:r w:rsidR="00974B1C">
        <w:t xml:space="preserve"> to point out where on this</w:t>
      </w:r>
      <w:r w:rsidR="00786D17">
        <w:t xml:space="preserve"> large</w:t>
      </w:r>
      <w:r w:rsidR="00974B1C">
        <w:t xml:space="preserve"> stand</w:t>
      </w:r>
      <w:r w:rsidR="00B2143C">
        <w:t>,</w:t>
      </w:r>
      <w:r w:rsidR="00974B1C">
        <w:t xml:space="preserve"> the services should have been installed</w:t>
      </w:r>
      <w:r w:rsidR="00786D17">
        <w:t>.</w:t>
      </w:r>
      <w:r w:rsidR="00BA64F0">
        <w:t xml:space="preserve"> The court </w:t>
      </w:r>
      <w:r w:rsidR="00BA64F0">
        <w:rPr>
          <w:i/>
        </w:rPr>
        <w:t xml:space="preserve">a quo </w:t>
      </w:r>
      <w:r w:rsidR="00BA64F0">
        <w:t xml:space="preserve">also ignored Mathewson’s assertion that despite </w:t>
      </w:r>
      <w:r w:rsidR="00BA64F0">
        <w:lastRenderedPageBreak/>
        <w:t xml:space="preserve">his repeated requests Van </w:t>
      </w:r>
      <w:proofErr w:type="spellStart"/>
      <w:r w:rsidR="00BA64F0">
        <w:t>Niekerk</w:t>
      </w:r>
      <w:proofErr w:type="spellEnd"/>
      <w:r w:rsidR="00BA64F0">
        <w:t xml:space="preserve"> had not given an indication where the services should be installed.</w:t>
      </w:r>
    </w:p>
    <w:p w14:paraId="45B5EF87" w14:textId="01A3203E" w:rsidR="00DF53CE" w:rsidRDefault="000B7F25" w:rsidP="000B7F25">
      <w:pPr>
        <w:pStyle w:val="1"/>
        <w:numPr>
          <w:ilvl w:val="0"/>
          <w:numId w:val="0"/>
        </w:numPr>
        <w:tabs>
          <w:tab w:val="left" w:pos="567"/>
        </w:tabs>
        <w:spacing w:line="360" w:lineRule="auto"/>
        <w:ind w:left="567" w:hanging="567"/>
      </w:pPr>
      <w:r>
        <w:t>[57]</w:t>
      </w:r>
      <w:r>
        <w:tab/>
      </w:r>
      <w:r w:rsidR="00DF53CE">
        <w:t>It was argu</w:t>
      </w:r>
      <w:r w:rsidR="00786D17">
        <w:t xml:space="preserve">ed on behalf of Van </w:t>
      </w:r>
      <w:proofErr w:type="spellStart"/>
      <w:r w:rsidR="00786D17">
        <w:t>Niekerk</w:t>
      </w:r>
      <w:proofErr w:type="spellEnd"/>
      <w:r w:rsidR="00BA64F0">
        <w:t xml:space="preserve"> on appeal that the existence of this tacit term was an afterthought and </w:t>
      </w:r>
      <w:r w:rsidR="00DF53CE">
        <w:t xml:space="preserve">with reference to the </w:t>
      </w:r>
      <w:proofErr w:type="spellStart"/>
      <w:r w:rsidR="00DF53CE">
        <w:rPr>
          <w:i/>
          <w:iCs w:val="0"/>
        </w:rPr>
        <w:t>Plascon</w:t>
      </w:r>
      <w:proofErr w:type="spellEnd"/>
      <w:r w:rsidR="00DF53CE">
        <w:rPr>
          <w:i/>
          <w:iCs w:val="0"/>
        </w:rPr>
        <w:t xml:space="preserve"> Evans</w:t>
      </w:r>
      <w:r w:rsidR="003A5A44" w:rsidRPr="004143AE">
        <w:rPr>
          <w:rStyle w:val="FootnoteReference"/>
          <w:iCs w:val="0"/>
        </w:rPr>
        <w:footnoteReference w:id="10"/>
      </w:r>
      <w:r w:rsidR="00DF53CE" w:rsidRPr="00E7716C">
        <w:t xml:space="preserve"> </w:t>
      </w:r>
      <w:r w:rsidR="00DF53CE">
        <w:t xml:space="preserve">rule, </w:t>
      </w:r>
      <w:r w:rsidR="00786D17">
        <w:t xml:space="preserve">that </w:t>
      </w:r>
      <w:r w:rsidR="0034076F">
        <w:t>the alleged tacit agreement was so far-fetched or clearly untenable that it could be rejected on the papers.</w:t>
      </w:r>
    </w:p>
    <w:p w14:paraId="392BDE2A" w14:textId="237604CE" w:rsidR="00BA64F0" w:rsidRDefault="000B7F25" w:rsidP="000B7F25">
      <w:pPr>
        <w:pStyle w:val="1"/>
        <w:numPr>
          <w:ilvl w:val="0"/>
          <w:numId w:val="0"/>
        </w:numPr>
        <w:tabs>
          <w:tab w:val="left" w:pos="567"/>
        </w:tabs>
        <w:spacing w:line="360" w:lineRule="auto"/>
        <w:ind w:left="567" w:hanging="567"/>
      </w:pPr>
      <w:r>
        <w:t>[58]</w:t>
      </w:r>
      <w:r>
        <w:tab/>
      </w:r>
      <w:r w:rsidR="00BA64F0">
        <w:t>On appeal, it was found that the test to be applied before a finding can be made to reject a version as far-fetched and clearly untenable is a stringent test not easily</w:t>
      </w:r>
      <w:r w:rsidR="00A80722">
        <w:t xml:space="preserve"> satisfied.</w:t>
      </w:r>
    </w:p>
    <w:p w14:paraId="62F6C5A0" w14:textId="5A7DB42D" w:rsidR="00BA64F0" w:rsidRDefault="000B7F25" w:rsidP="000B7F25">
      <w:pPr>
        <w:pStyle w:val="1"/>
        <w:numPr>
          <w:ilvl w:val="0"/>
          <w:numId w:val="0"/>
        </w:numPr>
        <w:tabs>
          <w:tab w:val="left" w:pos="567"/>
        </w:tabs>
        <w:spacing w:line="360" w:lineRule="auto"/>
        <w:ind w:left="567" w:hanging="567"/>
      </w:pPr>
      <w:r>
        <w:t>[59]</w:t>
      </w:r>
      <w:r>
        <w:tab/>
      </w:r>
      <w:r w:rsidR="00BA64F0">
        <w:t xml:space="preserve">At paragraph [5], </w:t>
      </w:r>
      <w:proofErr w:type="spellStart"/>
      <w:r w:rsidR="00BA64F0">
        <w:t>Cloete</w:t>
      </w:r>
      <w:proofErr w:type="spellEnd"/>
      <w:r w:rsidR="00BA64F0">
        <w:t xml:space="preserve"> JA found as follows:</w:t>
      </w:r>
    </w:p>
    <w:p w14:paraId="00E2B04D" w14:textId="4A6397B3" w:rsidR="00BA64F0" w:rsidRPr="00A80722" w:rsidRDefault="00BA64F0" w:rsidP="00A80722">
      <w:pPr>
        <w:pStyle w:val="Quote"/>
        <w:rPr>
          <w:i/>
          <w:iCs w:val="0"/>
        </w:rPr>
      </w:pPr>
      <w:r>
        <w:t>“</w:t>
      </w:r>
      <w:r w:rsidRPr="004143AE">
        <w:rPr>
          <w:i/>
          <w:iCs w:val="0"/>
          <w:sz w:val="22"/>
        </w:rPr>
        <w:t xml:space="preserve">The court a quo ignored the respondents’ contention, which was plainly and unambiguously made in the answering affidavit, that the obligation to install the services referred to in clause 17 was subject to the tacit term that the applicant had to indicate to the respondent where the services were to be installed on the </w:t>
      </w:r>
      <w:proofErr w:type="spellStart"/>
      <w:r w:rsidRPr="004143AE">
        <w:rPr>
          <w:i/>
          <w:iCs w:val="0"/>
          <w:sz w:val="22"/>
        </w:rPr>
        <w:t>erf</w:t>
      </w:r>
      <w:proofErr w:type="spellEnd"/>
      <w:r w:rsidRPr="004143AE">
        <w:rPr>
          <w:i/>
          <w:iCs w:val="0"/>
          <w:sz w:val="22"/>
        </w:rPr>
        <w:t xml:space="preserve"> which they purchased</w:t>
      </w:r>
      <w:r>
        <w:rPr>
          <w:i/>
          <w:iCs w:val="0"/>
        </w:rPr>
        <w:t>.”</w:t>
      </w:r>
    </w:p>
    <w:p w14:paraId="2DC0B820" w14:textId="2FC6036A" w:rsidR="0034076F" w:rsidRDefault="000B7F25" w:rsidP="000B7F25">
      <w:pPr>
        <w:pStyle w:val="1"/>
        <w:numPr>
          <w:ilvl w:val="0"/>
          <w:numId w:val="0"/>
        </w:numPr>
        <w:tabs>
          <w:tab w:val="left" w:pos="567"/>
        </w:tabs>
        <w:spacing w:line="360" w:lineRule="auto"/>
        <w:ind w:left="567" w:hanging="567"/>
      </w:pPr>
      <w:r>
        <w:t>[60]</w:t>
      </w:r>
      <w:r>
        <w:tab/>
      </w:r>
      <w:r w:rsidR="0034076F">
        <w:t xml:space="preserve">The court went ahead to consider the email correspondence between Mathewson and Van </w:t>
      </w:r>
      <w:proofErr w:type="spellStart"/>
      <w:r w:rsidR="0034076F">
        <w:t>Niekerk</w:t>
      </w:r>
      <w:proofErr w:type="spellEnd"/>
      <w:r w:rsidR="0034076F">
        <w:t>, the express terms, the surrounding circumstances and the wider context in which the emails were sent and found in paragraph 10 of the judgment</w:t>
      </w:r>
      <w:r w:rsidR="00091148">
        <w:t>,</w:t>
      </w:r>
      <w:r w:rsidR="0034076F">
        <w:t xml:space="preserve"> that the probabilities support the</w:t>
      </w:r>
      <w:r w:rsidR="00A80722">
        <w:t xml:space="preserve"> existence of the tacit term </w:t>
      </w:r>
      <w:r w:rsidR="0034076F">
        <w:t xml:space="preserve"> w</w:t>
      </w:r>
      <w:r w:rsidR="004660FC">
        <w:t>hich Mathewson contended</w:t>
      </w:r>
      <w:r w:rsidR="00A80722">
        <w:t xml:space="preserve"> for</w:t>
      </w:r>
      <w:r w:rsidR="004660FC">
        <w:t>.</w:t>
      </w:r>
    </w:p>
    <w:p w14:paraId="0E2570B6" w14:textId="6FABE03A" w:rsidR="0034076F" w:rsidRDefault="000B7F25" w:rsidP="000B7F25">
      <w:pPr>
        <w:pStyle w:val="1"/>
        <w:numPr>
          <w:ilvl w:val="0"/>
          <w:numId w:val="0"/>
        </w:numPr>
        <w:tabs>
          <w:tab w:val="left" w:pos="567"/>
        </w:tabs>
        <w:spacing w:line="360" w:lineRule="auto"/>
        <w:ind w:left="567" w:hanging="567"/>
      </w:pPr>
      <w:r>
        <w:t>[61]</w:t>
      </w:r>
      <w:r>
        <w:tab/>
      </w:r>
      <w:r w:rsidR="0034076F">
        <w:t>In conclusion</w:t>
      </w:r>
      <w:r w:rsidR="00BF745A">
        <w:t>,</w:t>
      </w:r>
      <w:r w:rsidR="0034076F">
        <w:t xml:space="preserve"> the court found as follows in paragraph 11:</w:t>
      </w:r>
    </w:p>
    <w:p w14:paraId="0F5088CE" w14:textId="5CFCA426" w:rsidR="00B8489C" w:rsidRPr="00A80722" w:rsidRDefault="0034076F" w:rsidP="00A80722">
      <w:pPr>
        <w:pStyle w:val="Quote"/>
        <w:rPr>
          <w:i/>
          <w:iCs w:val="0"/>
        </w:rPr>
      </w:pPr>
      <w:r w:rsidRPr="0034076F">
        <w:rPr>
          <w:i/>
          <w:iCs w:val="0"/>
        </w:rPr>
        <w:t>“</w:t>
      </w:r>
      <w:r w:rsidRPr="004143AE">
        <w:rPr>
          <w:i/>
          <w:iCs w:val="0"/>
          <w:sz w:val="22"/>
        </w:rPr>
        <w:t>In the circumstances it cannot be said that the respondents</w:t>
      </w:r>
      <w:r w:rsidR="001B1ADE">
        <w:rPr>
          <w:i/>
          <w:iCs w:val="0"/>
          <w:sz w:val="22"/>
        </w:rPr>
        <w:t>’</w:t>
      </w:r>
      <w:r w:rsidRPr="004143AE">
        <w:rPr>
          <w:i/>
          <w:iCs w:val="0"/>
          <w:sz w:val="22"/>
        </w:rPr>
        <w:t xml:space="preserve"> version that the </w:t>
      </w:r>
      <w:r w:rsidR="001B1ADE">
        <w:rPr>
          <w:i/>
          <w:iCs w:val="0"/>
          <w:sz w:val="22"/>
        </w:rPr>
        <w:t>d</w:t>
      </w:r>
      <w:r w:rsidRPr="004143AE">
        <w:rPr>
          <w:i/>
          <w:iCs w:val="0"/>
          <w:sz w:val="22"/>
        </w:rPr>
        <w:t xml:space="preserve">eed of </w:t>
      </w:r>
      <w:r w:rsidR="001B1ADE">
        <w:rPr>
          <w:i/>
          <w:iCs w:val="0"/>
          <w:sz w:val="22"/>
        </w:rPr>
        <w:t>s</w:t>
      </w:r>
      <w:r w:rsidRPr="004143AE">
        <w:rPr>
          <w:i/>
          <w:iCs w:val="0"/>
          <w:sz w:val="22"/>
        </w:rPr>
        <w:t xml:space="preserve">ale contained </w:t>
      </w:r>
      <w:r w:rsidR="002E641A">
        <w:rPr>
          <w:i/>
          <w:iCs w:val="0"/>
          <w:sz w:val="22"/>
        </w:rPr>
        <w:t>the</w:t>
      </w:r>
      <w:r w:rsidRPr="004143AE">
        <w:rPr>
          <w:i/>
          <w:iCs w:val="0"/>
          <w:sz w:val="22"/>
        </w:rPr>
        <w:t xml:space="preserve"> tacit term on which they found their defence, is so far-fetched or clearly untenable that a court would be justified in rejecting this version merely on the papers</w:t>
      </w:r>
      <w:r>
        <w:rPr>
          <w:i/>
          <w:iCs w:val="0"/>
        </w:rPr>
        <w:t>.”</w:t>
      </w:r>
    </w:p>
    <w:p w14:paraId="1A560BC5" w14:textId="5E25EAC1" w:rsidR="00474496" w:rsidRDefault="000B7F25" w:rsidP="000B7F25">
      <w:pPr>
        <w:pStyle w:val="1"/>
        <w:numPr>
          <w:ilvl w:val="0"/>
          <w:numId w:val="0"/>
        </w:numPr>
        <w:tabs>
          <w:tab w:val="left" w:pos="567"/>
        </w:tabs>
        <w:spacing w:line="360" w:lineRule="auto"/>
        <w:ind w:left="567" w:hanging="567"/>
      </w:pPr>
      <w:r>
        <w:lastRenderedPageBreak/>
        <w:t>[62]</w:t>
      </w:r>
      <w:r>
        <w:tab/>
      </w:r>
      <w:r w:rsidR="00474496">
        <w:t xml:space="preserve">The </w:t>
      </w:r>
      <w:r w:rsidR="00474496" w:rsidRPr="00474496">
        <w:rPr>
          <w:i/>
        </w:rPr>
        <w:t>Mathewson</w:t>
      </w:r>
      <w:r w:rsidR="00474496">
        <w:rPr>
          <w:i/>
        </w:rPr>
        <w:t xml:space="preserve"> </w:t>
      </w:r>
      <w:r w:rsidR="00474496">
        <w:t>matter did not deal with the issue whether</w:t>
      </w:r>
      <w:r w:rsidR="00145322">
        <w:t xml:space="preserve"> the matter</w:t>
      </w:r>
      <w:r w:rsidR="00474496">
        <w:t xml:space="preserve"> should have been referred to trial resulting from a factual dispute. Final relief was sought and granted both in the court </w:t>
      </w:r>
      <w:r w:rsidR="00474496">
        <w:rPr>
          <w:i/>
        </w:rPr>
        <w:t xml:space="preserve">a quo </w:t>
      </w:r>
      <w:r w:rsidR="00474496">
        <w:t xml:space="preserve">and on appeal. </w:t>
      </w:r>
    </w:p>
    <w:p w14:paraId="5CF8D5EB" w14:textId="6D07C538" w:rsidR="008D4787" w:rsidRDefault="000B7F25" w:rsidP="000B7F25">
      <w:pPr>
        <w:pStyle w:val="1"/>
        <w:numPr>
          <w:ilvl w:val="0"/>
          <w:numId w:val="0"/>
        </w:numPr>
        <w:tabs>
          <w:tab w:val="left" w:pos="567"/>
        </w:tabs>
        <w:spacing w:line="360" w:lineRule="auto"/>
        <w:ind w:left="567" w:hanging="567"/>
      </w:pPr>
      <w:r>
        <w:t>[63]</w:t>
      </w:r>
      <w:r>
        <w:tab/>
      </w:r>
      <w:r w:rsidR="00145322">
        <w:t xml:space="preserve">In </w:t>
      </w:r>
      <w:r w:rsidR="00BE0CCB">
        <w:t>the</w:t>
      </w:r>
      <w:r w:rsidR="008E358E">
        <w:t xml:space="preserve"> matter</w:t>
      </w:r>
      <w:r w:rsidR="00BE0CCB">
        <w:t xml:space="preserve"> before us</w:t>
      </w:r>
      <w:r w:rsidR="004A654A">
        <w:t>,</w:t>
      </w:r>
      <w:r w:rsidR="00614CA8">
        <w:t xml:space="preserve"> the appellant is seeking</w:t>
      </w:r>
      <w:r w:rsidR="00145322">
        <w:t xml:space="preserve"> a referral of the matter to trial whilst</w:t>
      </w:r>
      <w:r w:rsidR="00474496">
        <w:t xml:space="preserve"> the respondent</w:t>
      </w:r>
      <w:r w:rsidR="00145322">
        <w:t>s</w:t>
      </w:r>
      <w:r w:rsidR="00474496">
        <w:t xml:space="preserve"> persist</w:t>
      </w:r>
      <w:r w:rsidR="008801F4">
        <w:t xml:space="preserve"> in</w:t>
      </w:r>
      <w:r w:rsidR="00474496">
        <w:t xml:space="preserve"> support </w:t>
      </w:r>
      <w:r w:rsidR="008801F4">
        <w:t xml:space="preserve">of </w:t>
      </w:r>
      <w:r w:rsidR="00474496">
        <w:t>the final relief which w</w:t>
      </w:r>
      <w:r w:rsidR="004A654A">
        <w:t>as</w:t>
      </w:r>
      <w:r w:rsidR="00474496">
        <w:t xml:space="preserve"> gran</w:t>
      </w:r>
      <w:r w:rsidR="00416A0B">
        <w:t>ted. The two approaches concern</w:t>
      </w:r>
      <w:r w:rsidR="00474496">
        <w:t xml:space="preserve"> two separate enquiries. First, whether</w:t>
      </w:r>
      <w:r w:rsidR="008D4787">
        <w:t xml:space="preserve"> as a result of</w:t>
      </w:r>
      <w:r w:rsidR="00474496">
        <w:t xml:space="preserve"> a factual dispute</w:t>
      </w:r>
      <w:r w:rsidR="0015336D">
        <w:t>,</w:t>
      </w:r>
      <w:r w:rsidR="008D4787">
        <w:t xml:space="preserve"> the matter should have been referred to trial and </w:t>
      </w:r>
      <w:r w:rsidR="00496AE1">
        <w:t xml:space="preserve">second, </w:t>
      </w:r>
      <w:r w:rsidR="00416A0B">
        <w:t>if the matter was not to be referred to trial</w:t>
      </w:r>
      <w:r w:rsidR="000363C1">
        <w:t>,</w:t>
      </w:r>
      <w:r w:rsidR="00416A0B">
        <w:t xml:space="preserve"> whether the relief sought by the respondents could have been granted on the papers before court</w:t>
      </w:r>
      <w:r w:rsidR="008D4787">
        <w:t>.</w:t>
      </w:r>
    </w:p>
    <w:p w14:paraId="65FBA7BD" w14:textId="6ABCEE1D" w:rsidR="00260CD5" w:rsidRDefault="000B7F25" w:rsidP="000B7F25">
      <w:pPr>
        <w:pStyle w:val="1"/>
        <w:numPr>
          <w:ilvl w:val="0"/>
          <w:numId w:val="0"/>
        </w:numPr>
        <w:tabs>
          <w:tab w:val="left" w:pos="567"/>
        </w:tabs>
        <w:spacing w:line="360" w:lineRule="auto"/>
        <w:ind w:left="567" w:hanging="567"/>
      </w:pPr>
      <w:r>
        <w:t>[64]</w:t>
      </w:r>
      <w:r>
        <w:tab/>
      </w:r>
      <w:r w:rsidR="008D4787">
        <w:t>In my view,</w:t>
      </w:r>
      <w:r w:rsidR="00B8489C">
        <w:t xml:space="preserve"> the mere allegation </w:t>
      </w:r>
      <w:r w:rsidR="0096038F">
        <w:t>of</w:t>
      </w:r>
      <w:r w:rsidR="00B8489C">
        <w:t xml:space="preserve"> the existence of</w:t>
      </w:r>
      <w:r w:rsidR="008E358E">
        <w:t xml:space="preserve"> a</w:t>
      </w:r>
      <w:r w:rsidR="00A80722">
        <w:t xml:space="preserve"> tacit term on</w:t>
      </w:r>
      <w:r w:rsidR="008E358E">
        <w:t xml:space="preserve"> the papers of the appellant and the denial thereof by the respondents do</w:t>
      </w:r>
      <w:r w:rsidR="008B371A">
        <w:t>es</w:t>
      </w:r>
      <w:r w:rsidR="008E358E">
        <w:t xml:space="preserve"> not create a factual dispute in itself for the simple reason that a tacit term is to be</w:t>
      </w:r>
      <w:r w:rsidR="00145322">
        <w:t xml:space="preserve"> inferred or</w:t>
      </w:r>
      <w:r w:rsidR="008E358E">
        <w:t xml:space="preserve"> imputed</w:t>
      </w:r>
      <w:r w:rsidR="00347F21">
        <w:t>,</w:t>
      </w:r>
      <w:r w:rsidR="008E358E">
        <w:t xml:space="preserve"> havi</w:t>
      </w:r>
      <w:r w:rsidR="00145322">
        <w:t xml:space="preserve">ng regard to the express terms of the mandate, </w:t>
      </w:r>
      <w:r w:rsidR="008E358E">
        <w:t>the surrounding</w:t>
      </w:r>
      <w:r w:rsidR="00145322">
        <w:t xml:space="preserve"> circumstances and the conduct of the parties</w:t>
      </w:r>
      <w:r w:rsidR="008E358E">
        <w:t xml:space="preserve">. </w:t>
      </w:r>
      <w:r w:rsidR="00260CD5">
        <w:t>A</w:t>
      </w:r>
      <w:r w:rsidR="00B8489C">
        <w:t>n opposite</w:t>
      </w:r>
      <w:r w:rsidR="00260CD5">
        <w:t xml:space="preserve"> view held by the parties as to what can be</w:t>
      </w:r>
      <w:r w:rsidR="00145322">
        <w:t xml:space="preserve"> inferred or</w:t>
      </w:r>
      <w:r w:rsidR="00260CD5">
        <w:t xml:space="preserve"> imputed does not </w:t>
      </w:r>
      <w:r w:rsidR="008E358E">
        <w:t>create</w:t>
      </w:r>
      <w:r w:rsidR="00260CD5">
        <w:t xml:space="preserve"> a factual dispute. The di</w:t>
      </w:r>
      <w:r w:rsidR="00416A0B">
        <w:t>spute of fact must</w:t>
      </w:r>
      <w:r w:rsidR="00B8489C">
        <w:t xml:space="preserve"> present</w:t>
      </w:r>
      <w:r w:rsidR="00416A0B">
        <w:t xml:space="preserve"> itself</w:t>
      </w:r>
      <w:r w:rsidR="00B8489C">
        <w:t xml:space="preserve"> at</w:t>
      </w:r>
      <w:r w:rsidR="00260CD5">
        <w:t xml:space="preserve"> the level of the express terms, the </w:t>
      </w:r>
      <w:r w:rsidR="008E358E">
        <w:t>surrounding</w:t>
      </w:r>
      <w:r w:rsidR="00260CD5">
        <w:t xml:space="preserve"> circumstances and </w:t>
      </w:r>
      <w:r w:rsidR="00C248CB">
        <w:t xml:space="preserve">the </w:t>
      </w:r>
      <w:r w:rsidR="00260CD5">
        <w:t>conduct of the parties in the implementation of the mandate</w:t>
      </w:r>
      <w:r w:rsidR="00654BE2">
        <w:t xml:space="preserve">. </w:t>
      </w:r>
      <w:r w:rsidR="00B8489C">
        <w:t>If there is a factual dispute at this level</w:t>
      </w:r>
      <w:r w:rsidR="00C248CB">
        <w:t>,</w:t>
      </w:r>
      <w:r w:rsidR="00B8489C">
        <w:t xml:space="preserve"> then the probabilities cannot be considered and the matter stands to be r</w:t>
      </w:r>
      <w:r w:rsidR="00BE0CCB">
        <w:t>eferred to oral evidence.</w:t>
      </w:r>
      <w:r w:rsidR="008D4787">
        <w:t xml:space="preserve"> Fi</w:t>
      </w:r>
      <w:r w:rsidR="002D675D">
        <w:t>nal relief would not be competent</w:t>
      </w:r>
      <w:r w:rsidR="008D4787">
        <w:t>.</w:t>
      </w:r>
      <w:r w:rsidR="00BE0CCB">
        <w:t xml:space="preserve"> If no</w:t>
      </w:r>
      <w:r w:rsidR="00B8489C">
        <w:t xml:space="preserve"> factual dispute has arisen on that level</w:t>
      </w:r>
      <w:r w:rsidR="00C248CB">
        <w:t>,</w:t>
      </w:r>
      <w:r w:rsidR="00B8489C">
        <w:t xml:space="preserve"> then the c</w:t>
      </w:r>
      <w:r w:rsidR="00F85917">
        <w:t xml:space="preserve">ourt can consider the probabilities and decide the matter. The latter situation presented itself in the matter of </w:t>
      </w:r>
      <w:r w:rsidR="00F85917">
        <w:rPr>
          <w:i/>
        </w:rPr>
        <w:t>Mathewson.</w:t>
      </w:r>
      <w:r w:rsidR="00F85917">
        <w:t xml:space="preserve"> The court could consider the probabilities and concluded that the probabilities supported</w:t>
      </w:r>
      <w:r w:rsidR="00AF5336">
        <w:t xml:space="preserve"> the existence of a tacit term.</w:t>
      </w:r>
      <w:r w:rsidR="00F85917">
        <w:t xml:space="preserve"> </w:t>
      </w:r>
    </w:p>
    <w:p w14:paraId="2F201FFB" w14:textId="2378C226" w:rsidR="004C6D0C" w:rsidRDefault="000B7F25" w:rsidP="000B7F25">
      <w:pPr>
        <w:pStyle w:val="1"/>
        <w:numPr>
          <w:ilvl w:val="0"/>
          <w:numId w:val="0"/>
        </w:numPr>
        <w:tabs>
          <w:tab w:val="left" w:pos="567"/>
        </w:tabs>
        <w:spacing w:line="360" w:lineRule="auto"/>
        <w:ind w:left="567" w:hanging="567"/>
      </w:pPr>
      <w:r>
        <w:t>[65]</w:t>
      </w:r>
      <w:r>
        <w:tab/>
      </w:r>
      <w:r w:rsidR="00260CD5">
        <w:t>It is trite that in motion proceedings probabilities are not to be weighed</w:t>
      </w:r>
      <w:r w:rsidR="00F85917">
        <w:t xml:space="preserve"> and considered</w:t>
      </w:r>
      <w:r w:rsidR="00260CD5">
        <w:t xml:space="preserve"> to establis</w:t>
      </w:r>
      <w:r w:rsidR="00F85917">
        <w:t>h the facts of a matter</w:t>
      </w:r>
      <w:r w:rsidR="00260CD5">
        <w:t>.</w:t>
      </w:r>
      <w:r w:rsidR="00F85917">
        <w:rPr>
          <w:rStyle w:val="FootnoteReference"/>
        </w:rPr>
        <w:footnoteReference w:id="11"/>
      </w:r>
      <w:r w:rsidR="00260CD5">
        <w:t xml:space="preserve"> </w:t>
      </w:r>
      <w:r w:rsidR="00416A0B">
        <w:t>In my view, t</w:t>
      </w:r>
      <w:r w:rsidR="00260CD5">
        <w:t>he situation is different when it come</w:t>
      </w:r>
      <w:r w:rsidR="005C584E">
        <w:t>s to establishing the existence</w:t>
      </w:r>
      <w:r w:rsidR="00260CD5">
        <w:t xml:space="preserve"> of </w:t>
      </w:r>
      <w:r w:rsidR="004C6D0C">
        <w:t xml:space="preserve">a tacit term. If the facts are common cause or if the </w:t>
      </w:r>
      <w:r w:rsidR="008E358E">
        <w:t>facts</w:t>
      </w:r>
      <w:r w:rsidR="004C6D0C">
        <w:t xml:space="preserve"> stated by a respondent are to be accepted, </w:t>
      </w:r>
      <w:r w:rsidR="004C6D0C">
        <w:lastRenderedPageBreak/>
        <w:t>probabilities can be considered upon such facts to decide whether such probabilities suppor</w:t>
      </w:r>
      <w:r w:rsidR="004F02D6">
        <w:t>t the existence of a tacit term.</w:t>
      </w:r>
      <w:r w:rsidR="004C6D0C">
        <w:t xml:space="preserve"> </w:t>
      </w:r>
    </w:p>
    <w:p w14:paraId="57724109" w14:textId="58AA973C" w:rsidR="00654BE2" w:rsidRDefault="000B7F25" w:rsidP="000B7F25">
      <w:pPr>
        <w:pStyle w:val="1"/>
        <w:numPr>
          <w:ilvl w:val="0"/>
          <w:numId w:val="0"/>
        </w:numPr>
        <w:tabs>
          <w:tab w:val="left" w:pos="567"/>
        </w:tabs>
        <w:spacing w:line="360" w:lineRule="auto"/>
        <w:ind w:left="567" w:hanging="567"/>
      </w:pPr>
      <w:r>
        <w:t>[66]</w:t>
      </w:r>
      <w:r>
        <w:tab/>
      </w:r>
      <w:r w:rsidR="00BE51CE">
        <w:t>As already stated</w:t>
      </w:r>
      <w:r w:rsidR="001C495E">
        <w:t>,</w:t>
      </w:r>
      <w:r w:rsidR="00BE51CE">
        <w:t xml:space="preserve"> t</w:t>
      </w:r>
      <w:r w:rsidR="00654BE2">
        <w:t xml:space="preserve">he court </w:t>
      </w:r>
      <w:r w:rsidR="00654BE2">
        <w:rPr>
          <w:i/>
          <w:iCs w:val="0"/>
        </w:rPr>
        <w:t>a quo</w:t>
      </w:r>
      <w:r w:rsidR="00654BE2">
        <w:t xml:space="preserve"> failed to deal with the alleged t</w:t>
      </w:r>
      <w:r w:rsidR="00964A08">
        <w:t xml:space="preserve">acit term. In </w:t>
      </w:r>
      <w:proofErr w:type="spellStart"/>
      <w:r w:rsidR="00964A08" w:rsidRPr="00E8099F">
        <w:rPr>
          <w:i/>
        </w:rPr>
        <w:t>casu</w:t>
      </w:r>
      <w:proofErr w:type="spellEnd"/>
      <w:r w:rsidR="00964A08">
        <w:t>, t</w:t>
      </w:r>
      <w:r w:rsidR="00654BE2">
        <w:t>he existence of this alleged tacit term became the main ground upon which the appellant relied to have th</w:t>
      </w:r>
      <w:r w:rsidR="00964A08">
        <w:t>e</w:t>
      </w:r>
      <w:r w:rsidR="00654BE2">
        <w:t xml:space="preserve"> matter referred to oral evidence or trial. It was argued that the relevance of the tacit term is that if it is found to exist</w:t>
      </w:r>
      <w:r w:rsidR="006324EA">
        <w:t>,</w:t>
      </w:r>
      <w:r w:rsidR="00654BE2">
        <w:t xml:space="preserve"> it would be for the respondents at trial to prove that they have complied with thi</w:t>
      </w:r>
      <w:r w:rsidR="00173AEB">
        <w:t>s term. If it is found that respondents</w:t>
      </w:r>
      <w:r w:rsidR="00654BE2">
        <w:t xml:space="preserve"> breached this term</w:t>
      </w:r>
      <w:r w:rsidR="006324EA">
        <w:t>,</w:t>
      </w:r>
      <w:r w:rsidR="00654BE2">
        <w:t xml:space="preserve"> their claim should be dismissed.</w:t>
      </w:r>
    </w:p>
    <w:p w14:paraId="01B4D392" w14:textId="4100D9A6" w:rsidR="004F02D6" w:rsidRPr="009739E6" w:rsidRDefault="000B7F25" w:rsidP="000B7F25">
      <w:pPr>
        <w:pStyle w:val="1"/>
        <w:numPr>
          <w:ilvl w:val="0"/>
          <w:numId w:val="0"/>
        </w:numPr>
        <w:tabs>
          <w:tab w:val="left" w:pos="567"/>
        </w:tabs>
        <w:spacing w:line="360" w:lineRule="auto"/>
        <w:ind w:left="567" w:hanging="567"/>
        <w:rPr>
          <w:i/>
        </w:rPr>
      </w:pPr>
      <w:r w:rsidRPr="009739E6">
        <w:t>[67]</w:t>
      </w:r>
      <w:r w:rsidRPr="009739E6">
        <w:tab/>
      </w:r>
      <w:r w:rsidR="004F02D6">
        <w:t>In my view, the facts of this matter</w:t>
      </w:r>
      <w:r w:rsidR="00F71ECE">
        <w:t xml:space="preserve"> upon</w:t>
      </w:r>
      <w:r w:rsidR="00BE51CE">
        <w:t xml:space="preserve"> which it can be decided whether a tacit term can be</w:t>
      </w:r>
      <w:r w:rsidR="008526C6">
        <w:t xml:space="preserve"> inferred or</w:t>
      </w:r>
      <w:r w:rsidR="00BE51CE">
        <w:t xml:space="preserve"> imputed</w:t>
      </w:r>
      <w:r w:rsidR="008526C6">
        <w:t xml:space="preserve"> are</w:t>
      </w:r>
      <w:r w:rsidR="004F02D6">
        <w:t xml:space="preserve"> common cause. The surrounding circumstances and the conduct of the parties in the implementation of the mandate is also before court and</w:t>
      </w:r>
      <w:r w:rsidR="00BE51CE">
        <w:t xml:space="preserve"> are not</w:t>
      </w:r>
      <w:r w:rsidR="008526C6">
        <w:t xml:space="preserve"> in</w:t>
      </w:r>
      <w:r w:rsidR="00BE51CE">
        <w:t xml:space="preserve"> dispute</w:t>
      </w:r>
      <w:r w:rsidR="004F02D6">
        <w:t xml:space="preserve">. </w:t>
      </w:r>
      <w:r w:rsidR="00BE51CE">
        <w:t>What is in dispute is whether the tacit term can be</w:t>
      </w:r>
      <w:r w:rsidR="008526C6">
        <w:t xml:space="preserve"> inferred or</w:t>
      </w:r>
      <w:r w:rsidR="00BE51CE">
        <w:t xml:space="preserve"> imputed. A</w:t>
      </w:r>
      <w:r w:rsidR="009739E6">
        <w:t xml:space="preserve"> court can decide this issue on the papers as t</w:t>
      </w:r>
      <w:r w:rsidR="004422A2">
        <w:t>hey</w:t>
      </w:r>
      <w:r w:rsidR="009739E6">
        <w:t xml:space="preserve"> stood at the time when the matter was heard. In my view, the court </w:t>
      </w:r>
      <w:r w:rsidR="009739E6" w:rsidRPr="009739E6">
        <w:rPr>
          <w:i/>
        </w:rPr>
        <w:t>a quo</w:t>
      </w:r>
      <w:r w:rsidR="009739E6">
        <w:rPr>
          <w:i/>
        </w:rPr>
        <w:t xml:space="preserve">, </w:t>
      </w:r>
      <w:r w:rsidR="009739E6">
        <w:t>albeit for different reasons,</w:t>
      </w:r>
      <w:r w:rsidR="009739E6">
        <w:rPr>
          <w:i/>
        </w:rPr>
        <w:t xml:space="preserve"> </w:t>
      </w:r>
      <w:r w:rsidR="009739E6">
        <w:t xml:space="preserve">was correct in </w:t>
      </w:r>
      <w:r w:rsidR="00E64AC6">
        <w:t>its</w:t>
      </w:r>
      <w:r w:rsidR="009739E6">
        <w:t xml:space="preserve"> finding that the matter should not have been referred to trial on the basis of a dispute of fact. </w:t>
      </w:r>
    </w:p>
    <w:p w14:paraId="1344B291" w14:textId="36D5BEAE" w:rsidR="00173AEB" w:rsidRDefault="000B7F25" w:rsidP="000B7F25">
      <w:pPr>
        <w:pStyle w:val="1"/>
        <w:numPr>
          <w:ilvl w:val="0"/>
          <w:numId w:val="0"/>
        </w:numPr>
        <w:tabs>
          <w:tab w:val="left" w:pos="567"/>
        </w:tabs>
        <w:spacing w:line="360" w:lineRule="auto"/>
        <w:ind w:left="567" w:hanging="567"/>
      </w:pPr>
      <w:r>
        <w:t>[68]</w:t>
      </w:r>
      <w:r>
        <w:tab/>
      </w:r>
      <w:r w:rsidR="009739E6">
        <w:t>The question remains whether</w:t>
      </w:r>
      <w:r w:rsidR="00173AEB">
        <w:t xml:space="preserve"> the court </w:t>
      </w:r>
      <w:r w:rsidR="00173AEB">
        <w:rPr>
          <w:i/>
        </w:rPr>
        <w:t>a quo</w:t>
      </w:r>
      <w:r w:rsidR="00F71ECE">
        <w:rPr>
          <w:i/>
        </w:rPr>
        <w:t xml:space="preserve"> </w:t>
      </w:r>
      <w:r w:rsidR="00F71ECE">
        <w:t>was correct to have granted the</w:t>
      </w:r>
      <w:r w:rsidR="00173AEB">
        <w:rPr>
          <w:i/>
        </w:rPr>
        <w:t xml:space="preserve"> </w:t>
      </w:r>
      <w:r w:rsidR="00173AEB">
        <w:t>relief sought by</w:t>
      </w:r>
      <w:r w:rsidR="00F515BC">
        <w:t xml:space="preserve"> the</w:t>
      </w:r>
      <w:r w:rsidR="00173AEB">
        <w:t xml:space="preserve"> resp</w:t>
      </w:r>
      <w:r w:rsidR="00F71ECE">
        <w:t>ondents</w:t>
      </w:r>
      <w:r w:rsidR="008526C6">
        <w:t xml:space="preserve">? </w:t>
      </w:r>
      <w:r w:rsidR="00173AEB">
        <w:t>This will depend on whether</w:t>
      </w:r>
      <w:r w:rsidR="009739E6">
        <w:t xml:space="preserve"> the tacit term</w:t>
      </w:r>
      <w:r w:rsidR="00173AEB">
        <w:t xml:space="preserve"> should have</w:t>
      </w:r>
      <w:r w:rsidR="008526C6">
        <w:t xml:space="preserve"> be</w:t>
      </w:r>
      <w:r w:rsidR="00173AEB">
        <w:t>en imputed into the mandate.</w:t>
      </w:r>
      <w:r w:rsidR="009739E6">
        <w:t xml:space="preserve"> </w:t>
      </w:r>
    </w:p>
    <w:p w14:paraId="4826DA1D" w14:textId="4319260E" w:rsidR="00654BE2" w:rsidRDefault="000B7F25" w:rsidP="000B7F25">
      <w:pPr>
        <w:pStyle w:val="1"/>
        <w:numPr>
          <w:ilvl w:val="0"/>
          <w:numId w:val="0"/>
        </w:numPr>
        <w:tabs>
          <w:tab w:val="left" w:pos="567"/>
        </w:tabs>
        <w:spacing w:line="360" w:lineRule="auto"/>
        <w:ind w:left="567" w:hanging="567"/>
      </w:pPr>
      <w:r>
        <w:t>[69]</w:t>
      </w:r>
      <w:r>
        <w:tab/>
      </w:r>
      <w:r w:rsidR="009739E6">
        <w:t>In my view, the allegation regarding the tacit term was bald and unsubsta</w:t>
      </w:r>
      <w:r w:rsidR="00F71ECE">
        <w:t>ntiated</w:t>
      </w:r>
      <w:r w:rsidR="009739E6">
        <w:t xml:space="preserve">.  </w:t>
      </w:r>
      <w:r w:rsidR="00654BE2">
        <w:t>It is common cause that to give effect to the mandate</w:t>
      </w:r>
      <w:r w:rsidR="00347F21">
        <w:t>,</w:t>
      </w:r>
      <w:r w:rsidR="00654BE2">
        <w:t xml:space="preserve"> the parties, </w:t>
      </w:r>
      <w:r w:rsidR="00654BE2" w:rsidRPr="00A87FA1">
        <w:rPr>
          <w:i/>
        </w:rPr>
        <w:t>inter alia</w:t>
      </w:r>
      <w:r w:rsidR="00654BE2">
        <w:t>, corresponded with each other by way of email. Does this now mean that this manner of exchanging information can be imputed to have been agreed</w:t>
      </w:r>
      <w:r w:rsidR="00BE51CE">
        <w:t xml:space="preserve"> upon</w:t>
      </w:r>
      <w:r w:rsidR="00654BE2">
        <w:t xml:space="preserve"> between the parties</w:t>
      </w:r>
      <w:r w:rsidR="00BE51CE">
        <w:t xml:space="preserve"> as part of the mandate</w:t>
      </w:r>
      <w:r w:rsidR="00654BE2">
        <w:t>? Or</w:t>
      </w:r>
      <w:r w:rsidR="00A23448">
        <w:t>,</w:t>
      </w:r>
      <w:r w:rsidR="00654BE2">
        <w:t xml:space="preserve"> is it merely what happened subsequently during the execution of the mandate?</w:t>
      </w:r>
      <w:r w:rsidR="008526C6">
        <w:t xml:space="preserve"> Further</w:t>
      </w:r>
      <w:r w:rsidR="00A23448">
        <w:t>,</w:t>
      </w:r>
      <w:r w:rsidR="008526C6">
        <w:t xml:space="preserve"> should it be imputed as a term o</w:t>
      </w:r>
      <w:r w:rsidR="00C63215">
        <w:t>f the mandate that if emails were going to be</w:t>
      </w:r>
      <w:r w:rsidR="008526C6">
        <w:t xml:space="preserve"> used to provide instruction regarding payment</w:t>
      </w:r>
      <w:r w:rsidR="00C63215">
        <w:t>,</w:t>
      </w:r>
      <w:r w:rsidR="008526C6">
        <w:t xml:space="preserve"> that everything reasonable</w:t>
      </w:r>
      <w:r w:rsidR="00C63215">
        <w:t xml:space="preserve"> and</w:t>
      </w:r>
      <w:r w:rsidR="008526C6">
        <w:t xml:space="preserve"> possible would be done to ensure the integrity of the email addresses</w:t>
      </w:r>
      <w:r w:rsidR="00A23448">
        <w:t>,</w:t>
      </w:r>
      <w:r w:rsidR="008526C6">
        <w:t xml:space="preserve"> and that the parties would keep and maintain their data security?</w:t>
      </w:r>
    </w:p>
    <w:p w14:paraId="036AA41D" w14:textId="79AED473" w:rsidR="00654BE2" w:rsidRDefault="000B7F25" w:rsidP="000B7F25">
      <w:pPr>
        <w:pStyle w:val="1"/>
        <w:numPr>
          <w:ilvl w:val="0"/>
          <w:numId w:val="0"/>
        </w:numPr>
        <w:tabs>
          <w:tab w:val="left" w:pos="567"/>
        </w:tabs>
        <w:spacing w:line="360" w:lineRule="auto"/>
        <w:ind w:left="567" w:hanging="567"/>
      </w:pPr>
      <w:r>
        <w:t>[70]</w:t>
      </w:r>
      <w:r>
        <w:tab/>
      </w:r>
      <w:r w:rsidR="00654BE2">
        <w:t xml:space="preserve">It should be remembered that the initial mandate was provided to the appellant orally at the home of Karin. There was telephone communication as well as </w:t>
      </w:r>
      <w:r w:rsidR="00654BE2">
        <w:lastRenderedPageBreak/>
        <w:t xml:space="preserve">communication by way of email. To use the test expressed in the </w:t>
      </w:r>
      <w:r w:rsidR="00654BE2">
        <w:rPr>
          <w:i/>
          <w:iCs w:val="0"/>
        </w:rPr>
        <w:t>Reigate</w:t>
      </w:r>
      <w:r w:rsidR="00654BE2">
        <w:t xml:space="preserve"> matter, </w:t>
      </w:r>
      <w:r w:rsidR="004F02D6">
        <w:t xml:space="preserve">if </w:t>
      </w:r>
      <w:r w:rsidR="00F71ECE">
        <w:t>someone asked</w:t>
      </w:r>
      <w:r w:rsidR="00654BE2">
        <w:t xml:space="preserve"> the pa</w:t>
      </w:r>
      <w:r w:rsidR="00F71ECE">
        <w:t>rties shortly after the mandate was given</w:t>
      </w:r>
      <w:r w:rsidR="004F02D6">
        <w:t xml:space="preserve"> how</w:t>
      </w:r>
      <w:r w:rsidR="00654BE2">
        <w:t xml:space="preserve"> details </w:t>
      </w:r>
      <w:r w:rsidR="00DA1D1E">
        <w:t>of bank</w:t>
      </w:r>
      <w:r w:rsidR="004F02D6" w:rsidRPr="00416A0B">
        <w:t xml:space="preserve"> </w:t>
      </w:r>
      <w:r w:rsidR="00654BE2" w:rsidRPr="00416A0B">
        <w:t>accounts in which proceeds of the sale after transfer of the immovable</w:t>
      </w:r>
      <w:r w:rsidR="00654BE2">
        <w:t xml:space="preserve"> property w</w:t>
      </w:r>
      <w:r w:rsidR="00C94F35">
        <w:t>ere</w:t>
      </w:r>
      <w:r w:rsidR="004F02D6">
        <w:t xml:space="preserve"> going to be provided</w:t>
      </w:r>
      <w:r w:rsidR="00654BE2">
        <w:t>, would the answer have been “</w:t>
      </w:r>
      <w:r w:rsidR="00654BE2">
        <w:rPr>
          <w:i/>
          <w:iCs w:val="0"/>
        </w:rPr>
        <w:t>of course”</w:t>
      </w:r>
      <w:r w:rsidR="00654BE2">
        <w:t xml:space="preserve"> </w:t>
      </w:r>
      <w:r w:rsidR="00324B54">
        <w:t>by way of email</w:t>
      </w:r>
      <w:r w:rsidR="00BE1873">
        <w:t>?</w:t>
      </w:r>
      <w:r w:rsidR="00324B54">
        <w:t xml:space="preserve"> </w:t>
      </w:r>
      <w:r w:rsidR="00BE1873">
        <w:t>Further, and if the answer would have been by way of email</w:t>
      </w:r>
      <w:r w:rsidR="009739E6">
        <w:t>,</w:t>
      </w:r>
      <w:r w:rsidR="00324B54">
        <w:t xml:space="preserve"> would the respondents have answered that they would have</w:t>
      </w:r>
      <w:r w:rsidR="00654BE2">
        <w:t xml:space="preserve"> use</w:t>
      </w:r>
      <w:r w:rsidR="00324B54">
        <w:t>d</w:t>
      </w:r>
      <w:r w:rsidR="00654BE2">
        <w:t xml:space="preserve"> utmost caution when instructing the appellant to make payment, and</w:t>
      </w:r>
      <w:r w:rsidR="00707596">
        <w:t xml:space="preserve"> further</w:t>
      </w:r>
      <w:r w:rsidR="00C473BC">
        <w:t>,</w:t>
      </w:r>
      <w:r w:rsidR="00654BE2">
        <w:t xml:space="preserve"> that they would do all that is reasonably possible to ensure the integrity of the emails addressed to the appellant and</w:t>
      </w:r>
      <w:r w:rsidR="00C63215">
        <w:t xml:space="preserve"> would</w:t>
      </w:r>
      <w:r w:rsidR="00654BE2">
        <w:t xml:space="preserve"> keep a</w:t>
      </w:r>
      <w:r w:rsidR="00324B54">
        <w:t>nd maintain their data security?</w:t>
      </w:r>
    </w:p>
    <w:p w14:paraId="0E725803" w14:textId="03875404" w:rsidR="00E70DC4" w:rsidRDefault="000B7F25" w:rsidP="000B7F25">
      <w:pPr>
        <w:pStyle w:val="1"/>
        <w:numPr>
          <w:ilvl w:val="0"/>
          <w:numId w:val="0"/>
        </w:numPr>
        <w:tabs>
          <w:tab w:val="left" w:pos="567"/>
        </w:tabs>
        <w:spacing w:line="360" w:lineRule="auto"/>
        <w:ind w:left="567" w:hanging="567"/>
      </w:pPr>
      <w:r>
        <w:t>[71]</w:t>
      </w:r>
      <w:r>
        <w:tab/>
      </w:r>
      <w:r w:rsidR="00654BE2">
        <w:t>In my view</w:t>
      </w:r>
      <w:r w:rsidR="00416A0B">
        <w:t>,</w:t>
      </w:r>
      <w:r w:rsidR="00324B54">
        <w:t xml:space="preserve"> if the express ter</w:t>
      </w:r>
      <w:r w:rsidR="00707596">
        <w:t>ms of the mandate are considered together</w:t>
      </w:r>
      <w:r w:rsidR="00324B54">
        <w:t xml:space="preserve"> with the surroundi</w:t>
      </w:r>
      <w:r w:rsidR="00707596">
        <w:t>ng circumstances, the probabilities do</w:t>
      </w:r>
      <w:r w:rsidR="00324B54">
        <w:t xml:space="preserve"> not support the existence of the tacit term averred by the appellant. Moreover, even if the probabilities would support a tacit term that</w:t>
      </w:r>
      <w:r w:rsidR="00C66C70">
        <w:t xml:space="preserve"> emails</w:t>
      </w:r>
      <w:r w:rsidR="00480B51">
        <w:t xml:space="preserve"> would be used</w:t>
      </w:r>
      <w:r w:rsidR="00C66C70">
        <w:t>,</w:t>
      </w:r>
      <w:r w:rsidR="00480B51">
        <w:t xml:space="preserve"> there is no indication that either party would have included a term relating to the security and integrity of the emails. This “</w:t>
      </w:r>
      <w:r w:rsidR="00480B51" w:rsidRPr="00C66C70">
        <w:rPr>
          <w:i/>
        </w:rPr>
        <w:t>guarantee”</w:t>
      </w:r>
      <w:r w:rsidR="00480B51">
        <w:t xml:space="preserve"> </w:t>
      </w:r>
      <w:r w:rsidR="00C66C70">
        <w:t xml:space="preserve">or acceptance of risk </w:t>
      </w:r>
      <w:r w:rsidR="00480B51">
        <w:t>is not to be imputed as a tacit term. If the question was raised after the mandate was given</w:t>
      </w:r>
      <w:r w:rsidR="002A131D">
        <w:t>,</w:t>
      </w:r>
      <w:r w:rsidR="00480B51">
        <w:t xml:space="preserve"> the parties</w:t>
      </w:r>
      <w:r w:rsidR="00654BE2">
        <w:t xml:space="preserve"> might have said that details of the account would be transmitted through email</w:t>
      </w:r>
      <w:r w:rsidR="002A131D">
        <w:t>,</w:t>
      </w:r>
      <w:r w:rsidR="00654BE2">
        <w:t xml:space="preserve"> but this is not the only obvious a</w:t>
      </w:r>
      <w:r w:rsidR="00C63215">
        <w:t>nswer. T</w:t>
      </w:r>
      <w:r w:rsidR="008E358E">
        <w:t>here</w:t>
      </w:r>
      <w:r w:rsidR="00480B51">
        <w:t xml:space="preserve"> could have been different</w:t>
      </w:r>
      <w:r w:rsidR="00654BE2">
        <w:t xml:space="preserve"> </w:t>
      </w:r>
      <w:r w:rsidR="00C63215">
        <w:t>answers provided as to how</w:t>
      </w:r>
      <w:r w:rsidR="00654BE2">
        <w:t xml:space="preserve"> account </w:t>
      </w:r>
      <w:r w:rsidR="008E358E">
        <w:t>details</w:t>
      </w:r>
      <w:r w:rsidR="00480B51">
        <w:t xml:space="preserve"> for payment</w:t>
      </w:r>
      <w:r w:rsidR="00654BE2">
        <w:t xml:space="preserve"> would have been</w:t>
      </w:r>
      <w:r w:rsidR="00C66C70">
        <w:t xml:space="preserve"> provided</w:t>
      </w:r>
      <w:r w:rsidR="00480B51">
        <w:t xml:space="preserve"> by the parties</w:t>
      </w:r>
      <w:r w:rsidR="00654BE2">
        <w:t xml:space="preserve">. For instance, </w:t>
      </w:r>
      <w:r w:rsidR="00C63215">
        <w:t xml:space="preserve">the answer </w:t>
      </w:r>
      <w:r w:rsidR="00654BE2">
        <w:t>could have be</w:t>
      </w:r>
      <w:r w:rsidR="00C63215">
        <w:t>en</w:t>
      </w:r>
      <w:r w:rsidR="00654BE2">
        <w:t xml:space="preserve"> that such detail</w:t>
      </w:r>
      <w:r w:rsidR="00480B51">
        <w:t>s</w:t>
      </w:r>
      <w:r w:rsidR="00654BE2">
        <w:t xml:space="preserve"> would be hand-delivered,</w:t>
      </w:r>
      <w:r w:rsidR="00480B51">
        <w:t xml:space="preserve"> or </w:t>
      </w:r>
      <w:r w:rsidR="002A131D">
        <w:t xml:space="preserve">communicated </w:t>
      </w:r>
      <w:r w:rsidR="00480B51">
        <w:t xml:space="preserve">telephonically, or </w:t>
      </w:r>
      <w:r w:rsidR="002A131D">
        <w:t>that they</w:t>
      </w:r>
      <w:r w:rsidR="00115248">
        <w:t xml:space="preserve"> w</w:t>
      </w:r>
      <w:r w:rsidR="00654BE2">
        <w:t>ould be sent by email but subject to</w:t>
      </w:r>
      <w:r w:rsidR="00C63215">
        <w:t xml:space="preserve"> telephonic confirmation</w:t>
      </w:r>
      <w:r w:rsidR="00654BE2">
        <w:t xml:space="preserve">. </w:t>
      </w:r>
    </w:p>
    <w:p w14:paraId="608BEA85" w14:textId="4AE9B9BD" w:rsidR="00707596" w:rsidRDefault="000B7F25" w:rsidP="000B7F25">
      <w:pPr>
        <w:pStyle w:val="1"/>
        <w:numPr>
          <w:ilvl w:val="0"/>
          <w:numId w:val="0"/>
        </w:numPr>
        <w:tabs>
          <w:tab w:val="left" w:pos="567"/>
        </w:tabs>
        <w:spacing w:line="360" w:lineRule="auto"/>
        <w:ind w:left="567" w:hanging="567"/>
      </w:pPr>
      <w:r>
        <w:t>[72]</w:t>
      </w:r>
      <w:r>
        <w:tab/>
      </w:r>
      <w:r w:rsidR="00685FDE">
        <w:t>The endeavour to achieve b</w:t>
      </w:r>
      <w:r w:rsidR="00707596">
        <w:t>usiness efficacy do</w:t>
      </w:r>
      <w:r w:rsidR="00C1693B">
        <w:t>es</w:t>
      </w:r>
      <w:r w:rsidR="00707596">
        <w:t xml:space="preserve"> not require</w:t>
      </w:r>
      <w:r w:rsidR="00685FDE">
        <w:t xml:space="preserve"> that a tacit term</w:t>
      </w:r>
      <w:r w:rsidR="00CA2B43">
        <w:t>,</w:t>
      </w:r>
      <w:r w:rsidR="00685FDE">
        <w:t xml:space="preserve"> as suggested by the appellant had to be inferred to render performan</w:t>
      </w:r>
      <w:r w:rsidR="00115248">
        <w:t>ce in terms of the agreement of</w:t>
      </w:r>
      <w:r w:rsidR="00685FDE">
        <w:t xml:space="preserve"> mandate. This is where the matter of </w:t>
      </w:r>
      <w:r w:rsidR="00685FDE">
        <w:rPr>
          <w:i/>
        </w:rPr>
        <w:t xml:space="preserve">Mathewson </w:t>
      </w:r>
      <w:r w:rsidR="00685FDE">
        <w:t>is to be distinguished on the facts. In that matter</w:t>
      </w:r>
      <w:r w:rsidR="002432AA">
        <w:t>,</w:t>
      </w:r>
      <w:r w:rsidR="00685FDE">
        <w:t xml:space="preserve"> the services could not have been </w:t>
      </w:r>
      <w:r w:rsidR="002432AA">
        <w:t>installed</w:t>
      </w:r>
      <w:r w:rsidR="00685FDE">
        <w:t xml:space="preserve"> before Van </w:t>
      </w:r>
      <w:proofErr w:type="spellStart"/>
      <w:r w:rsidR="00685FDE">
        <w:t>Niekerk</w:t>
      </w:r>
      <w:proofErr w:type="spellEnd"/>
      <w:r w:rsidR="00685FDE">
        <w:t xml:space="preserve"> had indicated where</w:t>
      </w:r>
      <w:r w:rsidR="00C63215">
        <w:t xml:space="preserve"> on the large stand</w:t>
      </w:r>
      <w:r w:rsidR="002432AA">
        <w:t xml:space="preserve"> the</w:t>
      </w:r>
      <w:r w:rsidR="00C63215">
        <w:t xml:space="preserve"> services were</w:t>
      </w:r>
      <w:r w:rsidR="00685FDE">
        <w:t xml:space="preserve"> required. That is why the Supreme Court of Appeal found, on the probabilities, that it was a tacit term of the agreement of sale that the buyer would indicate to the developer where the services should be installed. </w:t>
      </w:r>
      <w:r w:rsidR="00685FDE">
        <w:rPr>
          <w:i/>
        </w:rPr>
        <w:t xml:space="preserve"> </w:t>
      </w:r>
      <w:r w:rsidR="00685FDE">
        <w:t xml:space="preserve"> </w:t>
      </w:r>
      <w:r w:rsidR="00707596">
        <w:t xml:space="preserve"> </w:t>
      </w:r>
    </w:p>
    <w:p w14:paraId="363FF41A" w14:textId="730611E7" w:rsidR="00654BE2" w:rsidRDefault="000B7F25" w:rsidP="000B7F25">
      <w:pPr>
        <w:pStyle w:val="1"/>
        <w:numPr>
          <w:ilvl w:val="0"/>
          <w:numId w:val="0"/>
        </w:numPr>
        <w:tabs>
          <w:tab w:val="left" w:pos="567"/>
        </w:tabs>
        <w:spacing w:line="360" w:lineRule="auto"/>
        <w:ind w:left="567" w:hanging="567"/>
      </w:pPr>
      <w:r>
        <w:t>[73]</w:t>
      </w:r>
      <w:r>
        <w:tab/>
      </w:r>
      <w:r w:rsidR="00654BE2">
        <w:t>In my view</w:t>
      </w:r>
      <w:r w:rsidR="00716C97">
        <w:t>,</w:t>
      </w:r>
      <w:r w:rsidR="00654BE2">
        <w:t xml:space="preserve"> the common cause facts, the surrounding circumstances and the conduct of the parties subsequently is not i</w:t>
      </w:r>
      <w:r w:rsidR="00480B51">
        <w:t>ndicative that a tacit term as submitted</w:t>
      </w:r>
      <w:r w:rsidR="00B54AF7">
        <w:t xml:space="preserve"> </w:t>
      </w:r>
      <w:r w:rsidR="00B54AF7">
        <w:lastRenderedPageBreak/>
        <w:t>by the appellant became part of the</w:t>
      </w:r>
      <w:r w:rsidR="00685FDE">
        <w:t xml:space="preserve"> agreement of</w:t>
      </w:r>
      <w:r w:rsidR="00B54AF7">
        <w:t xml:space="preserve"> mandate.</w:t>
      </w:r>
      <w:r w:rsidR="00E21E85">
        <w:t xml:space="preserve"> The court </w:t>
      </w:r>
      <w:r w:rsidR="00E21E85">
        <w:rPr>
          <w:i/>
        </w:rPr>
        <w:t xml:space="preserve">a quo </w:t>
      </w:r>
      <w:r w:rsidR="00511062">
        <w:t>exercised a discretion not to refer the matter to oral evidence and</w:t>
      </w:r>
      <w:r w:rsidR="00685FDE">
        <w:t>,</w:t>
      </w:r>
      <w:r w:rsidR="00511062">
        <w:t xml:space="preserve"> although </w:t>
      </w:r>
      <w:r w:rsidR="00716C97">
        <w:t>it</w:t>
      </w:r>
      <w:r w:rsidR="00C66C70">
        <w:t xml:space="preserve"> did not refer to the alleged tacit term in </w:t>
      </w:r>
      <w:r w:rsidR="00AF6F43">
        <w:t>t</w:t>
      </w:r>
      <w:r w:rsidR="00C66C70">
        <w:t>he judgment</w:t>
      </w:r>
      <w:r w:rsidR="00685FDE">
        <w:t>,</w:t>
      </w:r>
      <w:r w:rsidR="00C66C70">
        <w:t xml:space="preserve"> </w:t>
      </w:r>
      <w:r w:rsidR="00AC2E7D">
        <w:t>t</w:t>
      </w:r>
      <w:r w:rsidR="00511062">
        <w:t>he conclusion not to refe</w:t>
      </w:r>
      <w:r w:rsidR="00C66C70">
        <w:t xml:space="preserve">r the matter to oral </w:t>
      </w:r>
      <w:r w:rsidR="00115248">
        <w:t>evidence or trial</w:t>
      </w:r>
      <w:r w:rsidR="00C66C70">
        <w:t xml:space="preserve"> </w:t>
      </w:r>
      <w:r w:rsidR="00511062">
        <w:t xml:space="preserve">cannot be faulted.  </w:t>
      </w:r>
      <w:r w:rsidR="00E21E85">
        <w:t>A court</w:t>
      </w:r>
      <w:r w:rsidR="00511062">
        <w:t>, in the exercise of a discretion</w:t>
      </w:r>
      <w:r w:rsidR="00E21E85">
        <w:t xml:space="preserve"> cannot refer a matter for the hearing of evidence on the basis that there might be fac</w:t>
      </w:r>
      <w:r w:rsidR="002B675A">
        <w:t>ts revealed during</w:t>
      </w:r>
      <w:r w:rsidR="00C66C70">
        <w:t xml:space="preserve"> a trial</w:t>
      </w:r>
      <w:r w:rsidR="00E21E85">
        <w:t xml:space="preserve"> which support a version of a party. The question at the application stage is whether such</w:t>
      </w:r>
      <w:r w:rsidR="00676DA8">
        <w:t xml:space="preserve"> factual dispute had</w:t>
      </w:r>
      <w:r w:rsidR="00511062">
        <w:t xml:space="preserve"> presented itself.</w:t>
      </w:r>
      <w:r w:rsidR="00E21E85">
        <w:t xml:space="preserve">  </w:t>
      </w:r>
      <w:r w:rsidR="00B54AF7">
        <w:t xml:space="preserve"> </w:t>
      </w:r>
      <w:r w:rsidR="00654BE2">
        <w:t xml:space="preserve"> </w:t>
      </w:r>
    </w:p>
    <w:p w14:paraId="58813501" w14:textId="755FB094" w:rsidR="00654BE2" w:rsidRDefault="000B7F25" w:rsidP="000B7F25">
      <w:pPr>
        <w:pStyle w:val="1"/>
        <w:numPr>
          <w:ilvl w:val="0"/>
          <w:numId w:val="0"/>
        </w:numPr>
        <w:tabs>
          <w:tab w:val="left" w:pos="567"/>
        </w:tabs>
        <w:spacing w:line="360" w:lineRule="auto"/>
        <w:ind w:left="567" w:hanging="567"/>
      </w:pPr>
      <w:r>
        <w:t>[74]</w:t>
      </w:r>
      <w:r>
        <w:tab/>
      </w:r>
      <w:r w:rsidR="00654BE2">
        <w:t>It was the appellant who invited the respondents to “</w:t>
      </w:r>
      <w:r w:rsidR="00654BE2">
        <w:rPr>
          <w:i/>
          <w:iCs w:val="0"/>
        </w:rPr>
        <w:t>send</w:t>
      </w:r>
      <w:r w:rsidR="00654BE2">
        <w:t xml:space="preserve">” the instructions and bank details. This invitation was done by email and there was a response to this email using the same </w:t>
      </w:r>
      <w:r w:rsidR="006D742C">
        <w:t>means</w:t>
      </w:r>
      <w:r w:rsidR="00654BE2">
        <w:t>.</w:t>
      </w:r>
    </w:p>
    <w:p w14:paraId="11970716" w14:textId="2722994C" w:rsidR="00654BE2" w:rsidRDefault="000B7F25" w:rsidP="000B7F25">
      <w:pPr>
        <w:pStyle w:val="1"/>
        <w:numPr>
          <w:ilvl w:val="0"/>
          <w:numId w:val="0"/>
        </w:numPr>
        <w:tabs>
          <w:tab w:val="left" w:pos="567"/>
        </w:tabs>
        <w:spacing w:line="360" w:lineRule="auto"/>
        <w:ind w:left="567" w:hanging="567"/>
      </w:pPr>
      <w:r>
        <w:t>[75]</w:t>
      </w:r>
      <w:r>
        <w:tab/>
      </w:r>
      <w:r w:rsidR="00654BE2">
        <w:t>The fact that a fraudster intercepted or obtained information which led to the fraudulent email and payment in terms thereof cannot be us</w:t>
      </w:r>
      <w:r w:rsidR="00B54AF7">
        <w:t>ed to support the existence of this tacit term. That will amount to using</w:t>
      </w:r>
      <w:r w:rsidR="00654BE2">
        <w:t xml:space="preserve"> hindsight as a consideration to determine what terms should be imputed into the mandate.</w:t>
      </w:r>
    </w:p>
    <w:p w14:paraId="4B9561F7" w14:textId="6EBB6BC7" w:rsidR="00B54AF7" w:rsidRDefault="000B7F25" w:rsidP="000B7F25">
      <w:pPr>
        <w:pStyle w:val="1"/>
        <w:numPr>
          <w:ilvl w:val="0"/>
          <w:numId w:val="0"/>
        </w:numPr>
        <w:tabs>
          <w:tab w:val="left" w:pos="567"/>
        </w:tabs>
        <w:spacing w:line="360" w:lineRule="auto"/>
        <w:ind w:left="567" w:hanging="567"/>
      </w:pPr>
      <w:r>
        <w:t>[76]</w:t>
      </w:r>
      <w:r>
        <w:tab/>
      </w:r>
      <w:r w:rsidR="00654BE2">
        <w:t>It was argued on behalf of the appellant that the importance and probability of the tacit term is ironically established by the significant attention devoted in the respondents’ founding papers to the “</w:t>
      </w:r>
      <w:r w:rsidR="00654BE2">
        <w:rPr>
          <w:i/>
          <w:iCs w:val="0"/>
        </w:rPr>
        <w:t xml:space="preserve">Business </w:t>
      </w:r>
      <w:r w:rsidR="001C13FC">
        <w:rPr>
          <w:i/>
          <w:iCs w:val="0"/>
        </w:rPr>
        <w:t>Email Compromise</w:t>
      </w:r>
      <w:r w:rsidR="00654BE2">
        <w:rPr>
          <w:i/>
          <w:iCs w:val="0"/>
        </w:rPr>
        <w:t xml:space="preserve">” </w:t>
      </w:r>
      <w:r w:rsidR="001C13FC">
        <w:t>(BEC). It is indeed so that the respondents employed the services of an expert to prove that the BEC did not occur on Pat</w:t>
      </w:r>
      <w:r w:rsidR="00B54AF7">
        <w:t>rick’s computer. This behaviour is expected from a person who realized that as a result of fraud</w:t>
      </w:r>
      <w:r w:rsidR="003A454B">
        <w:t>,</w:t>
      </w:r>
      <w:r w:rsidR="00511062">
        <w:t xml:space="preserve"> monies due to him or her</w:t>
      </w:r>
      <w:r w:rsidR="0039141C">
        <w:t xml:space="preserve"> </w:t>
      </w:r>
      <w:r w:rsidR="002B675A">
        <w:t>w</w:t>
      </w:r>
      <w:r w:rsidR="009557EC">
        <w:t>ere</w:t>
      </w:r>
      <w:r w:rsidR="002B675A">
        <w:t xml:space="preserve"> stolen.</w:t>
      </w:r>
      <w:r w:rsidR="00B54AF7">
        <w:t xml:space="preserve"> Moreover, the appellant also employed the services of an expert to determine where the interception of details occurred.</w:t>
      </w:r>
    </w:p>
    <w:p w14:paraId="104F494E" w14:textId="48BF520C" w:rsidR="00B54AF7" w:rsidRDefault="000B7F25" w:rsidP="000B7F25">
      <w:pPr>
        <w:pStyle w:val="1"/>
        <w:numPr>
          <w:ilvl w:val="0"/>
          <w:numId w:val="0"/>
        </w:numPr>
        <w:tabs>
          <w:tab w:val="left" w:pos="567"/>
        </w:tabs>
        <w:spacing w:line="360" w:lineRule="auto"/>
        <w:ind w:left="567" w:hanging="567"/>
      </w:pPr>
      <w:r>
        <w:t>[77]</w:t>
      </w:r>
      <w:r>
        <w:tab/>
      </w:r>
      <w:r w:rsidR="00B54AF7">
        <w:t>A request was made</w:t>
      </w:r>
      <w:r w:rsidR="00676DA8">
        <w:t xml:space="preserve"> by appellant</w:t>
      </w:r>
      <w:r w:rsidR="00B54AF7">
        <w:t xml:space="preserve"> for the inspection of </w:t>
      </w:r>
      <w:r w:rsidR="00D20904">
        <w:t>Patrick’s</w:t>
      </w:r>
      <w:r w:rsidR="00B54AF7">
        <w:t xml:space="preserve"> computer and server to ascertain whether the fraudster obtained the information needed to perpetrate the fraud from </w:t>
      </w:r>
      <w:r w:rsidR="00B55635">
        <w:t>him. Access was granted but conditionally</w:t>
      </w:r>
      <w:r w:rsidR="00FE6383">
        <w:t>,</w:t>
      </w:r>
      <w:r w:rsidR="002B675A">
        <w:t xml:space="preserve"> dependent on</w:t>
      </w:r>
      <w:r w:rsidR="00B55635">
        <w:t xml:space="preserve"> whether the same right of access would be granted to the </w:t>
      </w:r>
      <w:r w:rsidR="00FE6383">
        <w:t xml:space="preserve">respondents’ </w:t>
      </w:r>
      <w:r w:rsidR="00B55635">
        <w:t>expert to examine the computer system of the appellant. At the end no such investigation was done by e</w:t>
      </w:r>
      <w:r w:rsidR="008640EA">
        <w:t>ither</w:t>
      </w:r>
      <w:r w:rsidR="00676DA8">
        <w:t xml:space="preserve"> expert.</w:t>
      </w:r>
      <w:r w:rsidR="00B55635">
        <w:t xml:space="preserve"> </w:t>
      </w:r>
    </w:p>
    <w:p w14:paraId="2947E826" w14:textId="0158DA67" w:rsidR="00B55635" w:rsidRDefault="000B7F25" w:rsidP="000B7F25">
      <w:pPr>
        <w:pStyle w:val="1"/>
        <w:numPr>
          <w:ilvl w:val="0"/>
          <w:numId w:val="0"/>
        </w:numPr>
        <w:tabs>
          <w:tab w:val="left" w:pos="567"/>
        </w:tabs>
        <w:spacing w:line="360" w:lineRule="auto"/>
        <w:ind w:left="567" w:hanging="567"/>
      </w:pPr>
      <w:r>
        <w:t>[78]</w:t>
      </w:r>
      <w:r>
        <w:tab/>
      </w:r>
      <w:r w:rsidR="00B55635">
        <w:t xml:space="preserve">The respondent’s expert examined </w:t>
      </w:r>
      <w:r w:rsidR="00E53EB6">
        <w:t>Patrick’s</w:t>
      </w:r>
      <w:r w:rsidR="00B55635">
        <w:t xml:space="preserve"> email system </w:t>
      </w:r>
      <w:r w:rsidR="006C417C">
        <w:t xml:space="preserve">and </w:t>
      </w:r>
      <w:r w:rsidR="00B55635">
        <w:t xml:space="preserve">concluded that the fraudulent email did not emanate from Patrick’s computer or server. On </w:t>
      </w:r>
      <w:r w:rsidR="00B55635">
        <w:lastRenderedPageBreak/>
        <w:t xml:space="preserve">behalf of </w:t>
      </w:r>
      <w:r w:rsidR="006C417C">
        <w:t xml:space="preserve">the </w:t>
      </w:r>
      <w:r w:rsidR="00B55635">
        <w:t>appellant it was argued that</w:t>
      </w:r>
      <w:r w:rsidR="00E60091">
        <w:t xml:space="preserve"> oral evidence in one or other form </w:t>
      </w:r>
      <w:r w:rsidR="000568CD">
        <w:t xml:space="preserve">as </w:t>
      </w:r>
      <w:r w:rsidR="00E60091">
        <w:t>envisaged by Rule 6(5</w:t>
      </w:r>
      <w:proofErr w:type="gramStart"/>
      <w:r w:rsidR="00E60091">
        <w:t>)(</w:t>
      </w:r>
      <w:proofErr w:type="gramEnd"/>
      <w:r w:rsidR="00E60091">
        <w:t>g)</w:t>
      </w:r>
      <w:r w:rsidR="00115248">
        <w:t xml:space="preserve"> </w:t>
      </w:r>
      <w:r w:rsidR="00E60091">
        <w:t>should be allowed if</w:t>
      </w:r>
      <w:r w:rsidR="00B55635">
        <w:t xml:space="preserve"> there are reasonable grounds for doubting the correctness</w:t>
      </w:r>
      <w:r w:rsidR="00E60091">
        <w:t xml:space="preserve"> of the allegation concerned. The court was referred to the matter of </w:t>
      </w:r>
      <w:proofErr w:type="spellStart"/>
      <w:r w:rsidR="00E60091">
        <w:rPr>
          <w:i/>
        </w:rPr>
        <w:t>Moosa</w:t>
      </w:r>
      <w:proofErr w:type="spellEnd"/>
      <w:r w:rsidR="00E60091">
        <w:rPr>
          <w:i/>
        </w:rPr>
        <w:t xml:space="preserve"> Bros &amp; Sons (Pty) Ltd v Rajah</w:t>
      </w:r>
      <w:r w:rsidR="00D8205E" w:rsidRPr="004143AE">
        <w:rPr>
          <w:rStyle w:val="FootnoteReference"/>
        </w:rPr>
        <w:footnoteReference w:id="12"/>
      </w:r>
      <w:r w:rsidR="00E60091">
        <w:rPr>
          <w:i/>
        </w:rPr>
        <w:t xml:space="preserve"> </w:t>
      </w:r>
      <w:r w:rsidR="00E60091">
        <w:t>which found, correctly in my view, that in circumstance</w:t>
      </w:r>
      <w:r w:rsidR="00BE1A75">
        <w:t>s</w:t>
      </w:r>
      <w:r w:rsidR="00E60091">
        <w:t xml:space="preserve"> where facts are peculiarly within the knowledge of the applicant, </w:t>
      </w:r>
      <w:r w:rsidR="00C96DC0">
        <w:t>and</w:t>
      </w:r>
      <w:r w:rsidR="00E60091">
        <w:t xml:space="preserve"> cannot be directly contradicted or refuted by the opposite party, this may be a factor to refer a matter to oral evidence.  </w:t>
      </w:r>
      <w:r w:rsidR="00B55635">
        <w:t xml:space="preserve"> </w:t>
      </w:r>
    </w:p>
    <w:p w14:paraId="48E23C4A" w14:textId="7B5EDD33" w:rsidR="00B40072" w:rsidRDefault="000B7F25" w:rsidP="000B7F25">
      <w:pPr>
        <w:pStyle w:val="1"/>
        <w:numPr>
          <w:ilvl w:val="0"/>
          <w:numId w:val="0"/>
        </w:numPr>
        <w:tabs>
          <w:tab w:val="left" w:pos="567"/>
        </w:tabs>
        <w:spacing w:line="360" w:lineRule="auto"/>
        <w:ind w:left="567" w:hanging="567"/>
      </w:pPr>
      <w:r>
        <w:t>[79]</w:t>
      </w:r>
      <w:r>
        <w:tab/>
      </w:r>
      <w:r w:rsidR="00B55635">
        <w:t>In light of the finding of this court that the tacit term was not established this</w:t>
      </w:r>
      <w:r w:rsidR="00E60091">
        <w:t xml:space="preserve"> consideration does not apply. </w:t>
      </w:r>
    </w:p>
    <w:p w14:paraId="72D0E311" w14:textId="7C8E54F9" w:rsidR="00B55635" w:rsidRDefault="000B7F25" w:rsidP="000B7F25">
      <w:pPr>
        <w:pStyle w:val="1"/>
        <w:numPr>
          <w:ilvl w:val="0"/>
          <w:numId w:val="0"/>
        </w:numPr>
        <w:tabs>
          <w:tab w:val="left" w:pos="567"/>
        </w:tabs>
        <w:spacing w:line="360" w:lineRule="auto"/>
        <w:ind w:left="567" w:hanging="567"/>
      </w:pPr>
      <w:r>
        <w:t>[80]</w:t>
      </w:r>
      <w:r>
        <w:tab/>
      </w:r>
      <w:r w:rsidR="00B40072">
        <w:t xml:space="preserve">I am further in agreement with the finding of the court </w:t>
      </w:r>
      <w:r w:rsidR="00B40072">
        <w:rPr>
          <w:i/>
        </w:rPr>
        <w:t xml:space="preserve">a quo, </w:t>
      </w:r>
      <w:r w:rsidR="00B40072">
        <w:t>referenc</w:t>
      </w:r>
      <w:r w:rsidR="00E40CB0">
        <w:t>ing</w:t>
      </w:r>
      <w:r w:rsidR="00676DA8">
        <w:t xml:space="preserve"> </w:t>
      </w:r>
      <w:r w:rsidR="00B40072">
        <w:t xml:space="preserve">the matter of </w:t>
      </w:r>
      <w:r w:rsidR="00B40072">
        <w:rPr>
          <w:i/>
        </w:rPr>
        <w:t xml:space="preserve">HSE </w:t>
      </w:r>
      <w:proofErr w:type="spellStart"/>
      <w:r w:rsidR="00B40072">
        <w:rPr>
          <w:i/>
        </w:rPr>
        <w:t>Potgieter</w:t>
      </w:r>
      <w:proofErr w:type="spellEnd"/>
      <w:r w:rsidR="00B40072">
        <w:rPr>
          <w:i/>
        </w:rPr>
        <w:t xml:space="preserve"> v Capricorn Homeowners Association and another</w:t>
      </w:r>
      <w:r w:rsidR="00CD2122" w:rsidRPr="004143AE">
        <w:rPr>
          <w:rStyle w:val="FootnoteReference"/>
        </w:rPr>
        <w:footnoteReference w:id="13"/>
      </w:r>
      <w:proofErr w:type="gramStart"/>
      <w:r w:rsidR="00B40072">
        <w:rPr>
          <w:i/>
        </w:rPr>
        <w:t xml:space="preserve">,  </w:t>
      </w:r>
      <w:r w:rsidR="00115248">
        <w:t>that</w:t>
      </w:r>
      <w:proofErr w:type="gramEnd"/>
      <w:r w:rsidR="00115248">
        <w:t xml:space="preserve"> the appellant failed to</w:t>
      </w:r>
      <w:r w:rsidR="00B40072">
        <w:t xml:space="preserve"> discharged his mandate by paying the amount into an account</w:t>
      </w:r>
      <w:r w:rsidR="00115248">
        <w:t xml:space="preserve"> different from which was</w:t>
      </w:r>
      <w:r w:rsidR="00B40072">
        <w:t xml:space="preserve"> nominated by Patrick on behalf of Karin an</w:t>
      </w:r>
      <w:r w:rsidR="00115248">
        <w:t>d Brigitte</w:t>
      </w:r>
      <w:r w:rsidR="00B40072">
        <w:t xml:space="preserve">. </w:t>
      </w:r>
    </w:p>
    <w:p w14:paraId="015BBF30" w14:textId="4C83EFAB" w:rsidR="001C13FC" w:rsidRDefault="000B7F25" w:rsidP="000B7F25">
      <w:pPr>
        <w:pStyle w:val="1"/>
        <w:numPr>
          <w:ilvl w:val="0"/>
          <w:numId w:val="0"/>
        </w:numPr>
        <w:tabs>
          <w:tab w:val="left" w:pos="567"/>
        </w:tabs>
        <w:spacing w:line="360" w:lineRule="auto"/>
        <w:ind w:left="567" w:hanging="567"/>
      </w:pPr>
      <w:r>
        <w:t>[81]</w:t>
      </w:r>
      <w:r>
        <w:tab/>
      </w:r>
      <w:r w:rsidR="001C13FC">
        <w:t>Accordingly</w:t>
      </w:r>
      <w:r w:rsidR="00CF04C4">
        <w:t>,</w:t>
      </w:r>
      <w:r w:rsidR="001C13FC">
        <w:t xml:space="preserve"> the court finds that the alleged tacit term never became part of the mandate</w:t>
      </w:r>
      <w:r w:rsidR="006D77B3">
        <w:t xml:space="preserve"> agreement</w:t>
      </w:r>
      <w:r w:rsidR="001C13FC">
        <w:t xml:space="preserve">. Consequently, there is no need to make any finding </w:t>
      </w:r>
      <w:r w:rsidR="00B760C6">
        <w:t xml:space="preserve">regarding </w:t>
      </w:r>
      <w:r w:rsidR="001C13FC">
        <w:t>where the compromise occurred which enabled the fraudster to send an email to the appellant</w:t>
      </w:r>
      <w:r w:rsidR="00B760C6">
        <w:t>,</w:t>
      </w:r>
      <w:r w:rsidR="001C13FC">
        <w:t xml:space="preserve"> </w:t>
      </w:r>
      <w:r w:rsidR="002B675A">
        <w:t>which</w:t>
      </w:r>
      <w:r w:rsidR="00B760C6">
        <w:t xml:space="preserve"> resulted</w:t>
      </w:r>
      <w:r w:rsidR="002B675A">
        <w:t xml:space="preserve"> </w:t>
      </w:r>
      <w:r w:rsidR="00B760C6">
        <w:t>in</w:t>
      </w:r>
      <w:r w:rsidR="001C13FC">
        <w:t xml:space="preserve"> him mak</w:t>
      </w:r>
      <w:r w:rsidR="00B760C6">
        <w:t>ing</w:t>
      </w:r>
      <w:r w:rsidR="001C13FC">
        <w:t xml:space="preserve"> payment into a</w:t>
      </w:r>
      <w:r w:rsidR="009F65CE">
        <w:t>n</w:t>
      </w:r>
      <w:r w:rsidR="001C13FC">
        <w:t xml:space="preserve"> account </w:t>
      </w:r>
      <w:r w:rsidR="00A456FE">
        <w:t xml:space="preserve">other </w:t>
      </w:r>
      <w:r w:rsidR="001C13FC">
        <w:t xml:space="preserve">than the one to which payment should have been made, i.e. </w:t>
      </w:r>
      <w:r w:rsidR="009F65CE">
        <w:t>Patrick’s</w:t>
      </w:r>
      <w:r w:rsidR="001C13FC">
        <w:t xml:space="preserve"> account. </w:t>
      </w:r>
      <w:r w:rsidR="00676DA8">
        <w:t>Appellant breached the mandate agreement by not making payment of the proceeds of the sale into the account of P</w:t>
      </w:r>
      <w:r w:rsidR="00745D48">
        <w:t>atrick and remains responsible for such payment. The finding of the court</w:t>
      </w:r>
      <w:r w:rsidR="00745D48">
        <w:rPr>
          <w:i/>
        </w:rPr>
        <w:t xml:space="preserve"> a quo </w:t>
      </w:r>
      <w:r w:rsidR="00745D48">
        <w:t xml:space="preserve">to this effects should be upheld. </w:t>
      </w:r>
    </w:p>
    <w:p w14:paraId="3AD79C9B" w14:textId="3B873188" w:rsidR="00A3347F" w:rsidRDefault="000B7F25" w:rsidP="000B7F25">
      <w:pPr>
        <w:pStyle w:val="1"/>
        <w:numPr>
          <w:ilvl w:val="0"/>
          <w:numId w:val="0"/>
        </w:numPr>
        <w:tabs>
          <w:tab w:val="left" w:pos="567"/>
        </w:tabs>
        <w:spacing w:line="360" w:lineRule="auto"/>
        <w:ind w:left="567" w:hanging="567"/>
      </w:pPr>
      <w:r>
        <w:t>[82]</w:t>
      </w:r>
      <w:r>
        <w:tab/>
      </w:r>
      <w:r w:rsidR="0039141C">
        <w:t>The appeal</w:t>
      </w:r>
      <w:r w:rsidR="00745D48">
        <w:t xml:space="preserve"> should be</w:t>
      </w:r>
      <w:r w:rsidR="00D50503">
        <w:t xml:space="preserve"> dismissed</w:t>
      </w:r>
      <w:r w:rsidR="00745D48">
        <w:t xml:space="preserve"> with costs, including the costs of senior and junior counsel. </w:t>
      </w:r>
      <w:r w:rsidR="00D50503">
        <w:t xml:space="preserve"> </w:t>
      </w:r>
    </w:p>
    <w:p w14:paraId="5C21DD1A" w14:textId="6B7CBE06" w:rsidR="001C13FC" w:rsidRDefault="001C13FC" w:rsidP="004143AE">
      <w:pPr>
        <w:pStyle w:val="Heading1"/>
        <w:spacing w:line="360" w:lineRule="auto"/>
      </w:pPr>
      <w:r>
        <w:t>The</w:t>
      </w:r>
      <w:r w:rsidR="00750128">
        <w:t xml:space="preserve"> </w:t>
      </w:r>
      <w:proofErr w:type="spellStart"/>
      <w:r w:rsidR="00750128">
        <w:t>delictual</w:t>
      </w:r>
      <w:proofErr w:type="spellEnd"/>
      <w:r>
        <w:t xml:space="preserve"> claim against the third party</w:t>
      </w:r>
      <w:r w:rsidR="00750128">
        <w:t xml:space="preserve"> </w:t>
      </w:r>
      <w:r w:rsidR="00C15B95">
        <w:t>(</w:t>
      </w:r>
      <w:r w:rsidR="00750128">
        <w:t>Standard Bank</w:t>
      </w:r>
      <w:r w:rsidR="00C15B95">
        <w:t>)</w:t>
      </w:r>
    </w:p>
    <w:p w14:paraId="23F34D2B" w14:textId="13799CF5" w:rsidR="001C13FC" w:rsidRDefault="000B7F25" w:rsidP="000B7F25">
      <w:pPr>
        <w:pStyle w:val="1"/>
        <w:numPr>
          <w:ilvl w:val="0"/>
          <w:numId w:val="0"/>
        </w:numPr>
        <w:tabs>
          <w:tab w:val="left" w:pos="567"/>
        </w:tabs>
        <w:spacing w:line="360" w:lineRule="auto"/>
        <w:ind w:left="567" w:hanging="567"/>
      </w:pPr>
      <w:r>
        <w:t>[83]</w:t>
      </w:r>
      <w:r>
        <w:tab/>
      </w:r>
      <w:r w:rsidR="00A25421">
        <w:t>The relevant prayer of the amended Rule 13 application read as follows:</w:t>
      </w:r>
    </w:p>
    <w:p w14:paraId="7F2D12A1" w14:textId="55F59650" w:rsidR="00A25421" w:rsidRDefault="00A25421" w:rsidP="00E75AD9">
      <w:pPr>
        <w:pStyle w:val="Quote"/>
        <w:ind w:left="2160" w:hanging="459"/>
      </w:pPr>
      <w:r>
        <w:lastRenderedPageBreak/>
        <w:t>“</w:t>
      </w:r>
      <w:r w:rsidRPr="004143AE">
        <w:rPr>
          <w:sz w:val="22"/>
        </w:rPr>
        <w:t>3.</w:t>
      </w:r>
      <w:r w:rsidRPr="004143AE">
        <w:rPr>
          <w:sz w:val="22"/>
        </w:rPr>
        <w:tab/>
        <w:t>In the event of the above Honourable Court holding the applicant liable to pay an amount of R1,421,</w:t>
      </w:r>
      <w:r w:rsidR="00D25816">
        <w:rPr>
          <w:sz w:val="22"/>
        </w:rPr>
        <w:t xml:space="preserve"> </w:t>
      </w:r>
      <w:r w:rsidRPr="004143AE">
        <w:rPr>
          <w:sz w:val="22"/>
        </w:rPr>
        <w:t xml:space="preserve">228.06 plus interest at the rate of 3,5% per annum above the repurchase rate as determined from time to time by the South African Reserve Bank to Brigitte Daly, Karin Ingrid </w:t>
      </w:r>
      <w:proofErr w:type="spellStart"/>
      <w:r w:rsidRPr="004143AE">
        <w:rPr>
          <w:sz w:val="22"/>
        </w:rPr>
        <w:t>Foulkes</w:t>
      </w:r>
      <w:proofErr w:type="spellEnd"/>
      <w:r w:rsidRPr="004143AE">
        <w:rPr>
          <w:sz w:val="22"/>
        </w:rPr>
        <w:t>-Jones and Patrick Frederick Daly under the above case number in the application instituted by them against the applicant as respondent, the Standard Bank of South Africa Limited as third party be directed to pay the amount of such liability plus interest thereon to the applicant</w:t>
      </w:r>
      <w:r>
        <w:t>.”</w:t>
      </w:r>
    </w:p>
    <w:p w14:paraId="1754F80A" w14:textId="17041A82" w:rsidR="00A25421" w:rsidRDefault="000B7F25" w:rsidP="000B7F25">
      <w:pPr>
        <w:pStyle w:val="1"/>
        <w:numPr>
          <w:ilvl w:val="0"/>
          <w:numId w:val="0"/>
        </w:numPr>
        <w:tabs>
          <w:tab w:val="left" w:pos="567"/>
        </w:tabs>
        <w:spacing w:line="360" w:lineRule="auto"/>
        <w:ind w:left="567" w:hanging="567"/>
      </w:pPr>
      <w:r>
        <w:t>[84]</w:t>
      </w:r>
      <w:r>
        <w:tab/>
      </w:r>
      <w:r w:rsidR="00A25421">
        <w:t>Now that the court has held the appellant liable</w:t>
      </w:r>
      <w:r w:rsidR="0061715F">
        <w:t xml:space="preserve"> to make payment to the respondents pursuant to the mandate, the </w:t>
      </w:r>
      <w:r w:rsidR="00A25421">
        <w:t xml:space="preserve">court must </w:t>
      </w:r>
      <w:r w:rsidR="002E192F">
        <w:t xml:space="preserve">now </w:t>
      </w:r>
      <w:r w:rsidR="00A25421">
        <w:t xml:space="preserve">consider </w:t>
      </w:r>
      <w:r w:rsidR="00D44DFE">
        <w:t>whether</w:t>
      </w:r>
      <w:r w:rsidR="004D2C84">
        <w:t xml:space="preserve"> there exist</w:t>
      </w:r>
      <w:r w:rsidR="00820C4C">
        <w:t>s</w:t>
      </w:r>
      <w:r w:rsidR="004D2C84">
        <w:t xml:space="preserve"> a factual dispute between </w:t>
      </w:r>
      <w:r w:rsidR="002E192F">
        <w:t xml:space="preserve">the </w:t>
      </w:r>
      <w:r w:rsidR="004D2C84">
        <w:t>appellant and</w:t>
      </w:r>
      <w:r w:rsidR="00D44DFE">
        <w:t xml:space="preserve"> Standard Bank</w:t>
      </w:r>
      <w:r w:rsidR="004D2C84">
        <w:t xml:space="preserve"> which could not have been decided on the papers</w:t>
      </w:r>
      <w:r w:rsidR="00820C4C">
        <w:t>,</w:t>
      </w:r>
      <w:r w:rsidR="004D2C84">
        <w:t xml:space="preserve"> and </w:t>
      </w:r>
      <w:r w:rsidR="00820C4C">
        <w:t>consequently</w:t>
      </w:r>
      <w:r w:rsidR="00D44DFE">
        <w:t xml:space="preserve"> should</w:t>
      </w:r>
      <w:r w:rsidR="004D2C84">
        <w:t xml:space="preserve"> have been referred to trial as was requested by the appellant when the matter was heard in the court </w:t>
      </w:r>
      <w:r w:rsidR="004D2C84">
        <w:rPr>
          <w:i/>
        </w:rPr>
        <w:t>a quo.</w:t>
      </w:r>
      <w:r w:rsidR="004D2C84">
        <w:t xml:space="preserve"> If the appeal is not upheld on this</w:t>
      </w:r>
      <w:r w:rsidR="007025FF">
        <w:t xml:space="preserve"> refe</w:t>
      </w:r>
      <w:r w:rsidR="00750128">
        <w:t>r</w:t>
      </w:r>
      <w:r w:rsidR="007025FF">
        <w:t>ral</w:t>
      </w:r>
      <w:r w:rsidR="004D2C84">
        <w:t xml:space="preserve"> issue</w:t>
      </w:r>
      <w:r w:rsidR="00703C94">
        <w:t>,</w:t>
      </w:r>
      <w:r w:rsidR="004D2C84">
        <w:t xml:space="preserve"> this court will then have to decide whether the finding of the court </w:t>
      </w:r>
      <w:r w:rsidR="004D2C84">
        <w:rPr>
          <w:i/>
        </w:rPr>
        <w:t xml:space="preserve">a quo </w:t>
      </w:r>
      <w:r w:rsidR="00697F25">
        <w:t xml:space="preserve">on the merits </w:t>
      </w:r>
      <w:r w:rsidR="00703C94">
        <w:t>i</w:t>
      </w:r>
      <w:r w:rsidR="00697F25">
        <w:t>s to be upheld.</w:t>
      </w:r>
    </w:p>
    <w:p w14:paraId="2BC39570" w14:textId="24882BC6" w:rsidR="00A25421" w:rsidRPr="006D77B3" w:rsidRDefault="000B7F25" w:rsidP="000B7F25">
      <w:pPr>
        <w:pStyle w:val="1"/>
        <w:numPr>
          <w:ilvl w:val="0"/>
          <w:numId w:val="0"/>
        </w:numPr>
        <w:tabs>
          <w:tab w:val="left" w:pos="567"/>
        </w:tabs>
        <w:spacing w:line="360" w:lineRule="auto"/>
        <w:ind w:left="567" w:hanging="567"/>
      </w:pPr>
      <w:r w:rsidRPr="006D77B3">
        <w:t>[85]</w:t>
      </w:r>
      <w:r w:rsidRPr="006D77B3">
        <w:tab/>
      </w:r>
      <w:r w:rsidR="00A25421">
        <w:t xml:space="preserve">The court </w:t>
      </w:r>
      <w:r w:rsidR="00A25421">
        <w:rPr>
          <w:i/>
          <w:iCs w:val="0"/>
        </w:rPr>
        <w:t>a quo</w:t>
      </w:r>
      <w:r w:rsidR="00A25421">
        <w:t xml:space="preserve"> </w:t>
      </w:r>
      <w:r w:rsidR="006C5C93">
        <w:t xml:space="preserve">was not prepared to refer the issue pertaining to the alleged liability of Standard Bank to trial and </w:t>
      </w:r>
      <w:r w:rsidR="00A25421">
        <w:t>found that the appellant ha</w:t>
      </w:r>
      <w:r w:rsidR="00D14890">
        <w:t>d</w:t>
      </w:r>
      <w:r w:rsidR="00A25421">
        <w:t xml:space="preserve"> not pleaded sufficient facts, </w:t>
      </w:r>
      <w:r w:rsidR="006D77B3">
        <w:t>nor canvassed sufficient allegations “</w:t>
      </w:r>
      <w:r w:rsidR="006D77B3">
        <w:rPr>
          <w:i/>
        </w:rPr>
        <w:t xml:space="preserve">to bring into question the </w:t>
      </w:r>
      <w:proofErr w:type="spellStart"/>
      <w:r w:rsidR="006D77B3">
        <w:rPr>
          <w:i/>
        </w:rPr>
        <w:t>delictual</w:t>
      </w:r>
      <w:proofErr w:type="spellEnd"/>
      <w:r w:rsidR="006D77B3">
        <w:rPr>
          <w:i/>
        </w:rPr>
        <w:t xml:space="preserve"> liability of Standard Bank”</w:t>
      </w:r>
      <w:r w:rsidR="006D77B3">
        <w:t xml:space="preserve"> or “</w:t>
      </w:r>
      <w:r w:rsidR="006D77B3">
        <w:rPr>
          <w:i/>
        </w:rPr>
        <w:t xml:space="preserve">to find Standard Bank </w:t>
      </w:r>
      <w:proofErr w:type="spellStart"/>
      <w:r w:rsidR="006D77B3">
        <w:rPr>
          <w:i/>
        </w:rPr>
        <w:t>delictually</w:t>
      </w:r>
      <w:proofErr w:type="spellEnd"/>
      <w:r w:rsidR="006D77B3">
        <w:rPr>
          <w:i/>
        </w:rPr>
        <w:t xml:space="preserve"> liable.”</w:t>
      </w:r>
    </w:p>
    <w:p w14:paraId="61C7ADB8" w14:textId="30396298" w:rsidR="006D77B3" w:rsidRDefault="000B7F25" w:rsidP="000B7F25">
      <w:pPr>
        <w:pStyle w:val="1"/>
        <w:numPr>
          <w:ilvl w:val="0"/>
          <w:numId w:val="0"/>
        </w:numPr>
        <w:tabs>
          <w:tab w:val="left" w:pos="567"/>
        </w:tabs>
        <w:spacing w:line="360" w:lineRule="auto"/>
        <w:ind w:left="567" w:hanging="567"/>
      </w:pPr>
      <w:r>
        <w:t>[86]</w:t>
      </w:r>
      <w:r>
        <w:tab/>
      </w:r>
      <w:r w:rsidR="006D77B3">
        <w:t xml:space="preserve">The court then held as follows: </w:t>
      </w:r>
    </w:p>
    <w:p w14:paraId="0A52D70D" w14:textId="074BD9F1" w:rsidR="006D77B3" w:rsidRPr="006D77B3" w:rsidRDefault="006D77B3" w:rsidP="004143AE">
      <w:pPr>
        <w:pStyle w:val="1"/>
        <w:numPr>
          <w:ilvl w:val="0"/>
          <w:numId w:val="0"/>
        </w:numPr>
        <w:spacing w:line="360" w:lineRule="auto"/>
        <w:ind w:left="1440"/>
        <w:rPr>
          <w:i/>
        </w:rPr>
      </w:pPr>
      <w:r>
        <w:t>“</w:t>
      </w:r>
      <w:r w:rsidRPr="004143AE">
        <w:rPr>
          <w:i/>
          <w:sz w:val="22"/>
        </w:rPr>
        <w:t>This is however not to say that if sufficient facts are pleaded and alleged the respondent cannot separately make out a case against Standard Bank. That is however an issue that in my view does not require consideration here because of my finding that sufficient facts have not bee</w:t>
      </w:r>
      <w:r w:rsidR="00BF0B6E" w:rsidRPr="004143AE">
        <w:rPr>
          <w:i/>
          <w:sz w:val="22"/>
        </w:rPr>
        <w:t xml:space="preserve">n alleged and pleaded to find that Standard Bank has been </w:t>
      </w:r>
      <w:proofErr w:type="spellStart"/>
      <w:r w:rsidR="00BF0B6E" w:rsidRPr="004143AE">
        <w:rPr>
          <w:i/>
          <w:sz w:val="22"/>
        </w:rPr>
        <w:t>delictually</w:t>
      </w:r>
      <w:proofErr w:type="spellEnd"/>
      <w:r w:rsidR="00BF0B6E" w:rsidRPr="004143AE">
        <w:rPr>
          <w:i/>
          <w:sz w:val="22"/>
        </w:rPr>
        <w:t xml:space="preserve"> liable to the applicants</w:t>
      </w:r>
      <w:r w:rsidR="00BF0B6E">
        <w:rPr>
          <w:i/>
        </w:rPr>
        <w:t>.”</w:t>
      </w:r>
    </w:p>
    <w:p w14:paraId="256ED87F" w14:textId="6DBE1505" w:rsidR="00321C79" w:rsidRDefault="000B7F25" w:rsidP="000B7F25">
      <w:pPr>
        <w:pStyle w:val="1"/>
        <w:numPr>
          <w:ilvl w:val="0"/>
          <w:numId w:val="0"/>
        </w:numPr>
        <w:tabs>
          <w:tab w:val="left" w:pos="567"/>
        </w:tabs>
        <w:spacing w:line="360" w:lineRule="auto"/>
        <w:ind w:left="567" w:hanging="567"/>
      </w:pPr>
      <w:r>
        <w:t>[87]</w:t>
      </w:r>
      <w:r>
        <w:tab/>
      </w:r>
      <w:r w:rsidR="005C0C3C">
        <w:t xml:space="preserve">This part of the decision of the court </w:t>
      </w:r>
      <w:r w:rsidR="005C0C3C">
        <w:rPr>
          <w:i/>
        </w:rPr>
        <w:t xml:space="preserve">a quo </w:t>
      </w:r>
      <w:r w:rsidR="005C0C3C">
        <w:t xml:space="preserve">seems to suggest that </w:t>
      </w:r>
      <w:r w:rsidR="008B2664">
        <w:t xml:space="preserve">the </w:t>
      </w:r>
      <w:r w:rsidR="005C0C3C">
        <w:t xml:space="preserve">appellant could still have pursued his claim against Standard Bank in another court. This would not have been procedurally possible without a referral to trial. </w:t>
      </w:r>
      <w:r w:rsidR="00321C79">
        <w:t xml:space="preserve"> </w:t>
      </w:r>
    </w:p>
    <w:p w14:paraId="07731907" w14:textId="40509056" w:rsidR="005C0C3C" w:rsidRPr="005C0C3C" w:rsidRDefault="000B7F25" w:rsidP="000B7F25">
      <w:pPr>
        <w:pStyle w:val="1"/>
        <w:numPr>
          <w:ilvl w:val="0"/>
          <w:numId w:val="0"/>
        </w:numPr>
        <w:tabs>
          <w:tab w:val="left" w:pos="567"/>
        </w:tabs>
        <w:spacing w:line="360" w:lineRule="auto"/>
        <w:ind w:left="567" w:hanging="567"/>
      </w:pPr>
      <w:r w:rsidRPr="005C0C3C">
        <w:t>[88]</w:t>
      </w:r>
      <w:r w:rsidRPr="005C0C3C">
        <w:tab/>
      </w:r>
      <w:r w:rsidR="00697F25">
        <w:t>In my view, t</w:t>
      </w:r>
      <w:r w:rsidR="00321C79">
        <w:t>he</w:t>
      </w:r>
      <w:r w:rsidR="00B90614">
        <w:t xml:space="preserve"> court </w:t>
      </w:r>
      <w:r w:rsidR="00B90614">
        <w:rPr>
          <w:i/>
        </w:rPr>
        <w:t xml:space="preserve">a quo </w:t>
      </w:r>
      <w:r w:rsidR="00B90614">
        <w:t xml:space="preserve">came to a finding without providing proper reasons for the conclusion reached. This does not mean that the conclusion is wrong. </w:t>
      </w:r>
      <w:r w:rsidR="00B90614">
        <w:lastRenderedPageBreak/>
        <w:t>This court will have to consider whether the ultimate finding was the correct one.  The</w:t>
      </w:r>
      <w:r w:rsidR="00321C79">
        <w:t xml:space="preserve"> appellant has pleaded sufficient facts to at least raise the question whether Standard Bank is liable in </w:t>
      </w:r>
      <w:proofErr w:type="spellStart"/>
      <w:r w:rsidR="00321C79">
        <w:t>delict</w:t>
      </w:r>
      <w:proofErr w:type="spellEnd"/>
      <w:r w:rsidR="00AB600D">
        <w:t xml:space="preserve">. </w:t>
      </w:r>
      <w:r w:rsidR="00862580">
        <w:t>The</w:t>
      </w:r>
      <w:r w:rsidR="00321C79">
        <w:t xml:space="preserve"> </w:t>
      </w:r>
      <w:r w:rsidR="00862580">
        <w:t>a</w:t>
      </w:r>
      <w:r w:rsidR="00321C79">
        <w:t>ppellant pertinently raised the issue</w:t>
      </w:r>
      <w:r w:rsidR="00697F25">
        <w:t xml:space="preserve"> in the Rule 13 application</w:t>
      </w:r>
      <w:r w:rsidR="00321C79">
        <w:t xml:space="preserve"> with reference to facts known to him, albeit that some of the facts were shown to be wrong. A basis was laid to argue wrongfulness. </w:t>
      </w:r>
      <w:r w:rsidR="005C0C3C">
        <w:rPr>
          <w:i/>
        </w:rPr>
        <w:t xml:space="preserve"> </w:t>
      </w:r>
    </w:p>
    <w:p w14:paraId="1CAE71F3" w14:textId="3931A340" w:rsidR="00A25421" w:rsidRDefault="000B7F25" w:rsidP="000B7F25">
      <w:pPr>
        <w:pStyle w:val="1"/>
        <w:numPr>
          <w:ilvl w:val="0"/>
          <w:numId w:val="0"/>
        </w:numPr>
        <w:tabs>
          <w:tab w:val="left" w:pos="567"/>
        </w:tabs>
        <w:spacing w:line="360" w:lineRule="auto"/>
        <w:ind w:left="567" w:hanging="567"/>
      </w:pPr>
      <w:r>
        <w:t>[89]</w:t>
      </w:r>
      <w:r>
        <w:tab/>
      </w:r>
      <w:r w:rsidR="00A25421">
        <w:t>In the appellant’s notice of appeal</w:t>
      </w:r>
      <w:r w:rsidR="004007A9">
        <w:t>,</w:t>
      </w:r>
      <w:r w:rsidR="00A25421">
        <w:t xml:space="preserve"> he made it clear that the appeal against the decision of the court </w:t>
      </w:r>
      <w:r w:rsidR="00A25421">
        <w:rPr>
          <w:i/>
          <w:iCs w:val="0"/>
        </w:rPr>
        <w:t>a quo</w:t>
      </w:r>
      <w:r w:rsidR="006C5C93">
        <w:t xml:space="preserve"> in relation</w:t>
      </w:r>
      <w:r w:rsidR="00A25421">
        <w:t xml:space="preserve"> to Standard Bank is</w:t>
      </w:r>
      <w:r w:rsidR="00222951">
        <w:t>,</w:t>
      </w:r>
      <w:r w:rsidR="00697F25">
        <w:t xml:space="preserve"> firstly</w:t>
      </w:r>
      <w:r w:rsidR="00754864">
        <w:t>,</w:t>
      </w:r>
      <w:r w:rsidR="00A25421">
        <w:t xml:space="preserve"> pursued on the question whether the court </w:t>
      </w:r>
      <w:r w:rsidR="00A25421">
        <w:rPr>
          <w:i/>
          <w:iCs w:val="0"/>
        </w:rPr>
        <w:t>a quo</w:t>
      </w:r>
      <w:r w:rsidR="00A25421">
        <w:t xml:space="preserve"> should have referred the issue whether Standard Bank owed the appellant a legal duty of care</w:t>
      </w:r>
      <w:r w:rsidR="007025FF">
        <w:t xml:space="preserve"> to trial. Only if the matter is not to be referred to trial the</w:t>
      </w:r>
      <w:r w:rsidR="00222951">
        <w:t>n the second</w:t>
      </w:r>
      <w:r w:rsidR="007025FF">
        <w:t xml:space="preserve"> qu</w:t>
      </w:r>
      <w:r w:rsidR="00BF0B6E">
        <w:t>estion for decision will arise</w:t>
      </w:r>
      <w:r w:rsidR="00222951">
        <w:t>;</w:t>
      </w:r>
      <w:r w:rsidR="007025FF">
        <w:t xml:space="preserve"> whether the appellant has proven the existence of a legal duty owed by</w:t>
      </w:r>
      <w:r w:rsidR="00A25421">
        <w:t xml:space="preserve"> Standard Bank</w:t>
      </w:r>
      <w:r w:rsidR="007025FF">
        <w:t xml:space="preserve"> towards </w:t>
      </w:r>
      <w:r w:rsidR="00222951">
        <w:t xml:space="preserve">the </w:t>
      </w:r>
      <w:r w:rsidR="007025FF">
        <w:t>appellant to prevent a loss</w:t>
      </w:r>
      <w:r w:rsidR="00697F25">
        <w:t xml:space="preserve"> being suffered.</w:t>
      </w:r>
    </w:p>
    <w:p w14:paraId="29696A5B" w14:textId="1949A452" w:rsidR="00A25421" w:rsidRDefault="000B7F25" w:rsidP="000B7F25">
      <w:pPr>
        <w:pStyle w:val="1"/>
        <w:numPr>
          <w:ilvl w:val="0"/>
          <w:numId w:val="0"/>
        </w:numPr>
        <w:tabs>
          <w:tab w:val="left" w:pos="567"/>
        </w:tabs>
        <w:spacing w:line="360" w:lineRule="auto"/>
        <w:ind w:left="567" w:hanging="567"/>
      </w:pPr>
      <w:r>
        <w:t>[90]</w:t>
      </w:r>
      <w:r>
        <w:tab/>
      </w:r>
      <w:r w:rsidR="00A25421">
        <w:t xml:space="preserve">The question will be whether the court </w:t>
      </w:r>
      <w:r w:rsidR="00A25421">
        <w:rPr>
          <w:i/>
          <w:iCs w:val="0"/>
        </w:rPr>
        <w:t>a quo</w:t>
      </w:r>
      <w:r w:rsidR="00BF0B6E">
        <w:t xml:space="preserve"> misdirected </w:t>
      </w:r>
      <w:r w:rsidR="00170A55">
        <w:t>it</w:t>
      </w:r>
      <w:r w:rsidR="00A25421">
        <w:t xml:space="preserve">self by not concluding that a material factual dispute has arisen between the appellant and Standard Bank which should have been referred to trial. </w:t>
      </w:r>
    </w:p>
    <w:p w14:paraId="298B0559" w14:textId="3E608E8E" w:rsidR="00BF0B6E" w:rsidRDefault="000B7F25" w:rsidP="000B7F25">
      <w:pPr>
        <w:pStyle w:val="1"/>
        <w:numPr>
          <w:ilvl w:val="0"/>
          <w:numId w:val="0"/>
        </w:numPr>
        <w:tabs>
          <w:tab w:val="left" w:pos="567"/>
        </w:tabs>
        <w:spacing w:line="360" w:lineRule="auto"/>
        <w:ind w:left="567" w:hanging="567"/>
      </w:pPr>
      <w:r>
        <w:t>[91]</w:t>
      </w:r>
      <w:r>
        <w:tab/>
      </w:r>
      <w:r w:rsidR="00697F25">
        <w:t>I am in agreement with counsel for the appellant that</w:t>
      </w:r>
      <w:r w:rsidR="00BF0B6E">
        <w:t xml:space="preserve"> the court </w:t>
      </w:r>
      <w:r w:rsidR="00BF0B6E">
        <w:rPr>
          <w:i/>
        </w:rPr>
        <w:t xml:space="preserve">a quo </w:t>
      </w:r>
      <w:r w:rsidR="00BF0B6E">
        <w:t xml:space="preserve">dealt with these issues superficially </w:t>
      </w:r>
      <w:r w:rsidR="000B738C">
        <w:t>making</w:t>
      </w:r>
      <w:r w:rsidR="00745D48">
        <w:t xml:space="preserve"> it difficult to consider</w:t>
      </w:r>
      <w:r w:rsidR="00BF0B6E">
        <w:t xml:space="preserve"> if </w:t>
      </w:r>
      <w:r w:rsidR="003870CA">
        <w:t>t</w:t>
      </w:r>
      <w:r w:rsidR="00BF0B6E">
        <w:t xml:space="preserve">he </w:t>
      </w:r>
      <w:r w:rsidR="003870CA">
        <w:t xml:space="preserve">court </w:t>
      </w:r>
      <w:r w:rsidR="00BF0B6E">
        <w:t xml:space="preserve">exercised </w:t>
      </w:r>
      <w:r w:rsidR="003870CA">
        <w:t>its</w:t>
      </w:r>
      <w:r w:rsidR="00BF0B6E">
        <w:t xml:space="preserve"> discretion judicially</w:t>
      </w:r>
      <w:r w:rsidR="008C0FED">
        <w:t xml:space="preserve"> by</w:t>
      </w:r>
      <w:r w:rsidR="00BF0B6E">
        <w:t xml:space="preserve"> not refe</w:t>
      </w:r>
      <w:r w:rsidR="008C0FED">
        <w:t>r</w:t>
      </w:r>
      <w:r w:rsidR="00BF0B6E">
        <w:t>r</w:t>
      </w:r>
      <w:r w:rsidR="008C0FED">
        <w:t>ing</w:t>
      </w:r>
      <w:r w:rsidR="00697F25">
        <w:t xml:space="preserve"> this issue to trial.</w:t>
      </w:r>
      <w:r w:rsidR="00BF0B6E">
        <w:t xml:space="preserve"> </w:t>
      </w:r>
      <w:r w:rsidR="008C0FED">
        <w:t>For this reason</w:t>
      </w:r>
      <w:r w:rsidR="003870CA">
        <w:t>,</w:t>
      </w:r>
      <w:r w:rsidR="008C0FED">
        <w:t xml:space="preserve"> this court will consider</w:t>
      </w:r>
      <w:r w:rsidR="00AB600D">
        <w:t xml:space="preserve"> whether a factual dispute </w:t>
      </w:r>
      <w:r w:rsidR="00457B0F">
        <w:t>existed which should have moved</w:t>
      </w:r>
      <w:r w:rsidR="00AB600D">
        <w:t xml:space="preserve"> the court </w:t>
      </w:r>
      <w:r w:rsidR="00AB600D">
        <w:rPr>
          <w:i/>
        </w:rPr>
        <w:t xml:space="preserve">a quo </w:t>
      </w:r>
      <w:r w:rsidR="00AB600D">
        <w:t>to have referred the matter to trial.</w:t>
      </w:r>
    </w:p>
    <w:p w14:paraId="268F6187" w14:textId="2E0985D9" w:rsidR="00F3571C" w:rsidRDefault="000B7F25" w:rsidP="000B7F25">
      <w:pPr>
        <w:pStyle w:val="1"/>
        <w:numPr>
          <w:ilvl w:val="0"/>
          <w:numId w:val="0"/>
        </w:numPr>
        <w:tabs>
          <w:tab w:val="left" w:pos="567"/>
        </w:tabs>
        <w:spacing w:line="360" w:lineRule="auto"/>
        <w:ind w:left="567" w:hanging="567"/>
      </w:pPr>
      <w:r>
        <w:t>[92]</w:t>
      </w:r>
      <w:r>
        <w:tab/>
      </w:r>
      <w:r w:rsidR="006179DB">
        <w:t xml:space="preserve">The court will now have </w:t>
      </w:r>
      <w:r w:rsidR="00F3571C">
        <w:t>to consider the facts as stated</w:t>
      </w:r>
      <w:r w:rsidR="006179DB">
        <w:t xml:space="preserve"> in the various affidavits to consider whether the matter should have been referred to trial.</w:t>
      </w:r>
      <w:r w:rsidR="001A04E4">
        <w:t xml:space="preserve"> </w:t>
      </w:r>
    </w:p>
    <w:p w14:paraId="10444998" w14:textId="6281F10E" w:rsidR="007B7CCF" w:rsidRDefault="000B7F25" w:rsidP="000B7F25">
      <w:pPr>
        <w:pStyle w:val="1"/>
        <w:numPr>
          <w:ilvl w:val="0"/>
          <w:numId w:val="0"/>
        </w:numPr>
        <w:tabs>
          <w:tab w:val="left" w:pos="567"/>
        </w:tabs>
        <w:spacing w:line="360" w:lineRule="auto"/>
        <w:ind w:left="567" w:hanging="567"/>
      </w:pPr>
      <w:r>
        <w:t>[93]</w:t>
      </w:r>
      <w:r>
        <w:tab/>
      </w:r>
      <w:r w:rsidR="00F3571C">
        <w:t>The facts</w:t>
      </w:r>
      <w:r w:rsidR="00457B0F">
        <w:t xml:space="preserve"> which underpin the possible </w:t>
      </w:r>
      <w:proofErr w:type="spellStart"/>
      <w:r w:rsidR="00457B0F">
        <w:t>d</w:t>
      </w:r>
      <w:r w:rsidR="003870CA">
        <w:t>e</w:t>
      </w:r>
      <w:r w:rsidR="00457B0F">
        <w:t>lictual</w:t>
      </w:r>
      <w:proofErr w:type="spellEnd"/>
      <w:r w:rsidR="00457B0F">
        <w:t xml:space="preserve"> liability </w:t>
      </w:r>
      <w:r w:rsidR="00F3571C">
        <w:t xml:space="preserve">of Standard Bank </w:t>
      </w:r>
      <w:r w:rsidR="00C535C0">
        <w:t>are</w:t>
      </w:r>
      <w:r w:rsidR="00F3571C">
        <w:t xml:space="preserve"> limited</w:t>
      </w:r>
      <w:r w:rsidR="00457B0F">
        <w:t>. Most of these</w:t>
      </w:r>
      <w:r w:rsidR="00F3571C">
        <w:t xml:space="preserve"> fact</w:t>
      </w:r>
      <w:r w:rsidR="00457B0F">
        <w:t>s are</w:t>
      </w:r>
      <w:r w:rsidR="00F3571C">
        <w:t xml:space="preserve"> common cause or if unknown to appellant</w:t>
      </w:r>
      <w:r w:rsidR="00457B0F">
        <w:t>,</w:t>
      </w:r>
      <w:r w:rsidR="00F3571C">
        <w:t xml:space="preserve"> could be accepted</w:t>
      </w:r>
      <w:r w:rsidR="00745D48">
        <w:t xml:space="preserve"> by court</w:t>
      </w:r>
      <w:r w:rsidR="00F3571C">
        <w:t xml:space="preserve"> on the version of Standard Bank.</w:t>
      </w:r>
      <w:r w:rsidR="007B7CCF">
        <w:t xml:space="preserve"> These are – </w:t>
      </w:r>
    </w:p>
    <w:p w14:paraId="323C5159" w14:textId="073DA224" w:rsidR="006F0147" w:rsidRDefault="000B7F25" w:rsidP="000B7F25">
      <w:pPr>
        <w:pStyle w:val="2"/>
        <w:numPr>
          <w:ilvl w:val="0"/>
          <w:numId w:val="0"/>
        </w:numPr>
        <w:tabs>
          <w:tab w:val="left" w:pos="1134"/>
        </w:tabs>
        <w:spacing w:line="360" w:lineRule="auto"/>
        <w:ind w:left="1134" w:hanging="567"/>
      </w:pPr>
      <w:r>
        <w:t>93.1</w:t>
      </w:r>
      <w:r>
        <w:tab/>
      </w:r>
      <w:r w:rsidR="00F3571C">
        <w:t xml:space="preserve">A Mr </w:t>
      </w:r>
      <w:proofErr w:type="spellStart"/>
      <w:r w:rsidR="00F3571C">
        <w:t>Simel</w:t>
      </w:r>
      <w:r w:rsidR="00457B0F">
        <w:t>ane</w:t>
      </w:r>
      <w:proofErr w:type="spellEnd"/>
      <w:r w:rsidR="00457B0F">
        <w:t xml:space="preserve"> opened a bank account on 7</w:t>
      </w:r>
      <w:r w:rsidR="00F3571C">
        <w:t xml:space="preserve"> May 20</w:t>
      </w:r>
      <w:r w:rsidR="006F0147">
        <w:t>18 in his personal</w:t>
      </w:r>
      <w:r w:rsidR="00457B0F">
        <w:t xml:space="preserve"> capacity</w:t>
      </w:r>
      <w:r w:rsidR="006F0147">
        <w:t xml:space="preserve"> at the </w:t>
      </w:r>
      <w:proofErr w:type="spellStart"/>
      <w:r w:rsidR="006F0147">
        <w:t>Volksrust</w:t>
      </w:r>
      <w:proofErr w:type="spellEnd"/>
      <w:r w:rsidR="006F0147">
        <w:t xml:space="preserve"> Branch of Standard Bank.</w:t>
      </w:r>
      <w:r w:rsidR="00457B0F">
        <w:t xml:space="preserve"> </w:t>
      </w:r>
      <w:r w:rsidR="006F0147">
        <w:t>The acc</w:t>
      </w:r>
      <w:r w:rsidR="00457B0F">
        <w:t>ount number assigned to this account</w:t>
      </w:r>
      <w:r w:rsidR="00B51E57">
        <w:t xml:space="preserve"> was […]</w:t>
      </w:r>
      <w:r w:rsidR="00496547">
        <w:t>.</w:t>
      </w:r>
      <w:r w:rsidR="00457B0F">
        <w:t xml:space="preserve"> A</w:t>
      </w:r>
      <w:r w:rsidR="006F0147">
        <w:t xml:space="preserve"> FICA process was followed</w:t>
      </w:r>
      <w:r w:rsidR="00457B0F">
        <w:t xml:space="preserve">. The identity of Mr </w:t>
      </w:r>
      <w:proofErr w:type="spellStart"/>
      <w:r w:rsidR="00457B0F">
        <w:t>Simelane</w:t>
      </w:r>
      <w:proofErr w:type="spellEnd"/>
      <w:r w:rsidR="00457B0F">
        <w:t xml:space="preserve"> was verified against his identification document. Proof of residence was obtained. Copies of the documents were uploaded </w:t>
      </w:r>
      <w:r w:rsidR="00457B0F">
        <w:lastRenderedPageBreak/>
        <w:t>on</w:t>
      </w:r>
      <w:r w:rsidR="0000021C">
        <w:t>to</w:t>
      </w:r>
      <w:r w:rsidR="00745D48">
        <w:t xml:space="preserve"> Standard Bank’s</w:t>
      </w:r>
      <w:r w:rsidR="00457B0F">
        <w:t xml:space="preserve"> computer system to which Mr </w:t>
      </w:r>
      <w:proofErr w:type="spellStart"/>
      <w:r w:rsidR="00457B0F">
        <w:t>Kajee</w:t>
      </w:r>
      <w:proofErr w:type="spellEnd"/>
      <w:r w:rsidR="0014299A">
        <w:t>, the deponent to the answering affidavit of Standard Bank had access to</w:t>
      </w:r>
      <w:r w:rsidR="00350A34">
        <w:t>.</w:t>
      </w:r>
      <w:r w:rsidR="0014299A">
        <w:t xml:space="preserve"> </w:t>
      </w:r>
      <w:r w:rsidR="00350A34">
        <w:t>T</w:t>
      </w:r>
      <w:r w:rsidR="00745D48">
        <w:t>hese records</w:t>
      </w:r>
      <w:r w:rsidR="0014299A">
        <w:t xml:space="preserve"> were generated in the ordinary course of the business of Standard Bank. </w:t>
      </w:r>
      <w:r w:rsidR="00457B0F">
        <w:t>T</w:t>
      </w:r>
      <w:r w:rsidR="006F0147">
        <w:t>here was no reason to suspect that the account was going to be used for fraudulent purposes.</w:t>
      </w:r>
    </w:p>
    <w:p w14:paraId="249270C1" w14:textId="0FFA0FD2" w:rsidR="006F0147" w:rsidRDefault="000B7F25" w:rsidP="000B7F25">
      <w:pPr>
        <w:pStyle w:val="2"/>
        <w:numPr>
          <w:ilvl w:val="0"/>
          <w:numId w:val="0"/>
        </w:numPr>
        <w:tabs>
          <w:tab w:val="left" w:pos="1134"/>
        </w:tabs>
        <w:spacing w:line="360" w:lineRule="auto"/>
        <w:ind w:left="1134" w:hanging="567"/>
      </w:pPr>
      <w:r>
        <w:t>93.2</w:t>
      </w:r>
      <w:r>
        <w:tab/>
      </w:r>
      <w:r w:rsidR="006F0147">
        <w:t>On 14 June 2018</w:t>
      </w:r>
      <w:r w:rsidR="007C7D0D">
        <w:t>, the</w:t>
      </w:r>
      <w:r w:rsidR="006F0147">
        <w:t xml:space="preserve"> appellant used his ABSA Bank EFT platform to transfer R1</w:t>
      </w:r>
      <w:r w:rsidR="00496547">
        <w:t xml:space="preserve"> 421 228.06 into </w:t>
      </w:r>
      <w:r w:rsidR="006F0147">
        <w:t>the Standard Bank account</w:t>
      </w:r>
      <w:r w:rsidR="00B51E57">
        <w:t xml:space="preserve"> number […]</w:t>
      </w:r>
      <w:r w:rsidR="00496547">
        <w:t xml:space="preserve"> whilst</w:t>
      </w:r>
      <w:r w:rsidR="006F0147">
        <w:t xml:space="preserve"> under the impression that it </w:t>
      </w:r>
      <w:r w:rsidR="00A00C66">
        <w:t>wa</w:t>
      </w:r>
      <w:r w:rsidR="006F0147">
        <w:t xml:space="preserve">s </w:t>
      </w:r>
      <w:r w:rsidR="00A00C66">
        <w:t>PF Daly’s</w:t>
      </w:r>
      <w:r w:rsidR="006F0147">
        <w:t xml:space="preserve"> account. </w:t>
      </w:r>
      <w:r w:rsidR="00E46214">
        <w:t>When concluding this</w:t>
      </w:r>
      <w:r w:rsidR="006F0147">
        <w:t xml:space="preserve"> internet payment</w:t>
      </w:r>
      <w:r w:rsidR="0014299A">
        <w:t xml:space="preserve"> from the ABSA Bank EFT </w:t>
      </w:r>
      <w:r w:rsidR="004D2A0D">
        <w:t xml:space="preserve">(electronic fund transfer) </w:t>
      </w:r>
      <w:r w:rsidR="0014299A">
        <w:t>platform</w:t>
      </w:r>
      <w:r w:rsidR="00E46214">
        <w:t>, he</w:t>
      </w:r>
      <w:r w:rsidR="006F0147">
        <w:t xml:space="preserve"> </w:t>
      </w:r>
      <w:r w:rsidR="00E46214">
        <w:t xml:space="preserve">inserted </w:t>
      </w:r>
      <w:r w:rsidR="006F0147">
        <w:t>th</w:t>
      </w:r>
      <w:r w:rsidR="00311BAC">
        <w:t>e</w:t>
      </w:r>
      <w:r w:rsidR="006F0147">
        <w:t xml:space="preserve"> account number</w:t>
      </w:r>
      <w:r w:rsidR="002231EB">
        <w:t xml:space="preserve"> </w:t>
      </w:r>
      <w:r w:rsidR="00B51E57">
        <w:rPr>
          <w:lang w:val="en-GB"/>
        </w:rPr>
        <w:t>[…]</w:t>
      </w:r>
      <w:r w:rsidR="00311BAC">
        <w:rPr>
          <w:lang w:val="en-GB"/>
        </w:rPr>
        <w:t>,</w:t>
      </w:r>
      <w:r w:rsidR="006F0147">
        <w:t xml:space="preserve"> the name of the account holder was stipulated to be </w:t>
      </w:r>
      <w:r w:rsidR="0014299A" w:rsidRPr="004143AE">
        <w:t>“</w:t>
      </w:r>
      <w:r w:rsidR="006F0147" w:rsidRPr="0014299A">
        <w:rPr>
          <w:i/>
        </w:rPr>
        <w:t>PF Daly</w:t>
      </w:r>
      <w:r w:rsidR="0014299A" w:rsidRPr="004143AE">
        <w:t>”</w:t>
      </w:r>
      <w:r w:rsidR="006F0147" w:rsidRPr="0014299A">
        <w:rPr>
          <w:i/>
        </w:rPr>
        <w:t>.</w:t>
      </w:r>
    </w:p>
    <w:p w14:paraId="4439CD37" w14:textId="54926A04" w:rsidR="007025FF" w:rsidRDefault="000B7F25" w:rsidP="000B7F25">
      <w:pPr>
        <w:pStyle w:val="2"/>
        <w:numPr>
          <w:ilvl w:val="0"/>
          <w:numId w:val="0"/>
        </w:numPr>
        <w:tabs>
          <w:tab w:val="left" w:pos="1134"/>
        </w:tabs>
        <w:spacing w:line="360" w:lineRule="auto"/>
        <w:ind w:left="1134" w:hanging="567"/>
      </w:pPr>
      <w:r>
        <w:t>93.3</w:t>
      </w:r>
      <w:r>
        <w:tab/>
      </w:r>
      <w:r w:rsidR="006F0147">
        <w:t>The</w:t>
      </w:r>
      <w:r w:rsidR="00496547">
        <w:t xml:space="preserve"> amount was transferred into</w:t>
      </w:r>
      <w:r w:rsidR="0014299A">
        <w:t xml:space="preserve"> the </w:t>
      </w:r>
      <w:r w:rsidR="00644E29">
        <w:t xml:space="preserve">above-mentioned </w:t>
      </w:r>
      <w:r w:rsidR="0014299A">
        <w:t>account number</w:t>
      </w:r>
      <w:r w:rsidR="00D43792">
        <w:t>,</w:t>
      </w:r>
      <w:r w:rsidR="0014299A">
        <w:t xml:space="preserve"> the account which was opened by Mr </w:t>
      </w:r>
      <w:proofErr w:type="spellStart"/>
      <w:r w:rsidR="0014299A">
        <w:t>Simelane</w:t>
      </w:r>
      <w:proofErr w:type="spellEnd"/>
      <w:r w:rsidR="0014299A">
        <w:t xml:space="preserve"> in his own name and not into </w:t>
      </w:r>
      <w:r w:rsidR="00474A93">
        <w:t>the</w:t>
      </w:r>
      <w:r w:rsidR="0014299A">
        <w:t xml:space="preserve"> account </w:t>
      </w:r>
      <w:r w:rsidR="00474A93">
        <w:t>held by</w:t>
      </w:r>
      <w:r w:rsidR="0014299A">
        <w:t xml:space="preserve"> account holder PF Daly. After the amount was paid into the account, </w:t>
      </w:r>
      <w:r w:rsidR="00C63013">
        <w:t>it</w:t>
      </w:r>
      <w:r w:rsidR="0014299A">
        <w:t xml:space="preserve"> later transpired to be th</w:t>
      </w:r>
      <w:r w:rsidR="00C63013">
        <w:t xml:space="preserve">at </w:t>
      </w:r>
      <w:r w:rsidR="0014299A">
        <w:t>of a fraudster,</w:t>
      </w:r>
      <w:r w:rsidR="00496547">
        <w:t xml:space="preserve"> the bulk of the money was withdrawn the next day. </w:t>
      </w:r>
      <w:r w:rsidR="006F0147">
        <w:t xml:space="preserve">  </w:t>
      </w:r>
      <w:r w:rsidR="00F3571C">
        <w:t xml:space="preserve"> </w:t>
      </w:r>
      <w:r w:rsidR="00DD5DC5">
        <w:t xml:space="preserve"> </w:t>
      </w:r>
    </w:p>
    <w:p w14:paraId="10379E31" w14:textId="41B19448" w:rsidR="004B053F" w:rsidRDefault="000B7F25" w:rsidP="000B7F25">
      <w:pPr>
        <w:pStyle w:val="1"/>
        <w:numPr>
          <w:ilvl w:val="0"/>
          <w:numId w:val="0"/>
        </w:numPr>
        <w:tabs>
          <w:tab w:val="left" w:pos="567"/>
        </w:tabs>
        <w:spacing w:line="360" w:lineRule="auto"/>
        <w:ind w:left="567" w:hanging="567"/>
      </w:pPr>
      <w:r>
        <w:t>[94]</w:t>
      </w:r>
      <w:r>
        <w:tab/>
      </w:r>
      <w:r w:rsidR="004B053F">
        <w:t>The facts stated above do not show a factual dispute, alternatively, a dispute of fact incapable of decision on the papers. The enquiry</w:t>
      </w:r>
      <w:r w:rsidR="0014299A">
        <w:t xml:space="preserve"> why a factual dispute is alleged needs</w:t>
      </w:r>
      <w:r w:rsidR="004B053F">
        <w:t xml:space="preserve"> a more comprehensive consideration.</w:t>
      </w:r>
    </w:p>
    <w:p w14:paraId="7BE2E00F" w14:textId="5F32FA1A" w:rsidR="00363A54" w:rsidRDefault="000B7F25" w:rsidP="000B7F25">
      <w:pPr>
        <w:pStyle w:val="1"/>
        <w:numPr>
          <w:ilvl w:val="0"/>
          <w:numId w:val="0"/>
        </w:numPr>
        <w:tabs>
          <w:tab w:val="left" w:pos="567"/>
        </w:tabs>
        <w:spacing w:line="360" w:lineRule="auto"/>
        <w:ind w:left="567" w:hanging="567"/>
      </w:pPr>
      <w:r>
        <w:t>[95]</w:t>
      </w:r>
      <w:r>
        <w:tab/>
      </w:r>
      <w:r w:rsidR="004B053F">
        <w:t xml:space="preserve"> </w:t>
      </w:r>
      <w:r w:rsidR="006179DB">
        <w:t>It</w:t>
      </w:r>
      <w:r w:rsidR="00363A54">
        <w:t xml:space="preserve"> was submitted in the heads of argument filed on behalf of Standard Bank </w:t>
      </w:r>
      <w:r w:rsidR="006179DB">
        <w:t xml:space="preserve">that </w:t>
      </w:r>
      <w:r w:rsidR="00363A54">
        <w:t>the appellant’s case against Standard Bank has three main branches to it:</w:t>
      </w:r>
    </w:p>
    <w:p w14:paraId="24DD025E" w14:textId="2DA2F237" w:rsidR="00363A54" w:rsidRDefault="000B7F25" w:rsidP="000B7F25">
      <w:pPr>
        <w:pStyle w:val="2"/>
        <w:numPr>
          <w:ilvl w:val="0"/>
          <w:numId w:val="0"/>
        </w:numPr>
        <w:tabs>
          <w:tab w:val="left" w:pos="1134"/>
        </w:tabs>
        <w:spacing w:line="360" w:lineRule="auto"/>
        <w:ind w:left="1134" w:hanging="567"/>
      </w:pPr>
      <w:r>
        <w:t>95.1</w:t>
      </w:r>
      <w:r>
        <w:tab/>
      </w:r>
      <w:r w:rsidR="00363A54">
        <w:t xml:space="preserve">First, the appellant contended that Standard Bank was negligent in regard to the opening of the bank account into which the funds were deposited. </w:t>
      </w:r>
      <w:r w:rsidR="004324EF">
        <w:t>At first</w:t>
      </w:r>
      <w:r w:rsidR="00836940">
        <w:t>,</w:t>
      </w:r>
      <w:r w:rsidR="004324EF">
        <w:t xml:space="preserve"> the appellant </w:t>
      </w:r>
      <w:r w:rsidR="00836940">
        <w:t>laboured</w:t>
      </w:r>
      <w:r w:rsidR="004324EF">
        <w:t xml:space="preserve"> under the wrong impression that the account was falsely opened in the name of “</w:t>
      </w:r>
      <w:r w:rsidR="004324EF">
        <w:rPr>
          <w:i/>
        </w:rPr>
        <w:t>PF Daly”</w:t>
      </w:r>
      <w:r w:rsidR="00BC4CC8">
        <w:rPr>
          <w:i/>
        </w:rPr>
        <w:t>,</w:t>
      </w:r>
      <w:r w:rsidR="004324EF">
        <w:rPr>
          <w:i/>
        </w:rPr>
        <w:t xml:space="preserve"> </w:t>
      </w:r>
      <w:r w:rsidR="004324EF">
        <w:t xml:space="preserve">but later accepted that the account was opened in </w:t>
      </w:r>
      <w:r w:rsidR="005C0083">
        <w:t xml:space="preserve">Mr </w:t>
      </w:r>
      <w:proofErr w:type="spellStart"/>
      <w:r w:rsidR="005C0083">
        <w:t>Simelane’s</w:t>
      </w:r>
      <w:proofErr w:type="spellEnd"/>
      <w:r w:rsidR="005C0083">
        <w:t xml:space="preserve"> </w:t>
      </w:r>
      <w:r w:rsidR="004324EF">
        <w:t xml:space="preserve">name. </w:t>
      </w:r>
      <w:r w:rsidR="00A47F54">
        <w:t>The a</w:t>
      </w:r>
      <w:r w:rsidR="004324EF">
        <w:t>ppellant then shifted his</w:t>
      </w:r>
      <w:r w:rsidR="00363A54">
        <w:t xml:space="preserve"> attack against Standard Bank</w:t>
      </w:r>
      <w:r w:rsidR="004324EF">
        <w:t xml:space="preserve"> alleging that the </w:t>
      </w:r>
      <w:r w:rsidR="00E318C9">
        <w:t>b</w:t>
      </w:r>
      <w:r w:rsidR="004324EF">
        <w:t>ank failed to comply</w:t>
      </w:r>
      <w:r w:rsidR="00363A54">
        <w:t xml:space="preserve"> with</w:t>
      </w:r>
      <w:r w:rsidR="00750128">
        <w:t xml:space="preserve"> the</w:t>
      </w:r>
      <w:r w:rsidR="004324EF">
        <w:t xml:space="preserve"> prescripts of the</w:t>
      </w:r>
      <w:r w:rsidR="00750128">
        <w:t xml:space="preserve"> Financial Intelligence Centre</w:t>
      </w:r>
      <w:r w:rsidR="00834F6D" w:rsidRPr="00834F6D">
        <w:t xml:space="preserve"> </w:t>
      </w:r>
      <w:r w:rsidR="002E07B0">
        <w:t>Act</w:t>
      </w:r>
      <w:r w:rsidR="0049167E">
        <w:rPr>
          <w:rStyle w:val="FootnoteReference"/>
        </w:rPr>
        <w:footnoteReference w:id="14"/>
      </w:r>
      <w:r w:rsidR="00750128">
        <w:t xml:space="preserve"> (“</w:t>
      </w:r>
      <w:r w:rsidR="00363A54">
        <w:t>FICA</w:t>
      </w:r>
      <w:r w:rsidR="00750128">
        <w:t>”)</w:t>
      </w:r>
      <w:r w:rsidR="00363A54">
        <w:t xml:space="preserve"> when the </w:t>
      </w:r>
      <w:r w:rsidR="00363A54">
        <w:lastRenderedPageBreak/>
        <w:t xml:space="preserve">account in the name of Mr </w:t>
      </w:r>
      <w:proofErr w:type="spellStart"/>
      <w:r w:rsidR="00363A54">
        <w:t>Simelane</w:t>
      </w:r>
      <w:proofErr w:type="spellEnd"/>
      <w:r w:rsidR="00363A54">
        <w:t xml:space="preserve"> was opened. This will be referred to as the “</w:t>
      </w:r>
      <w:r w:rsidR="00363A54" w:rsidRPr="00465295">
        <w:rPr>
          <w:i/>
        </w:rPr>
        <w:t>account opening case</w:t>
      </w:r>
      <w:r w:rsidR="00363A54">
        <w:t xml:space="preserve">”. </w:t>
      </w:r>
    </w:p>
    <w:p w14:paraId="5E30CEA2" w14:textId="3C0BD97A" w:rsidR="00363A54" w:rsidRDefault="000B7F25" w:rsidP="000B7F25">
      <w:pPr>
        <w:pStyle w:val="2"/>
        <w:numPr>
          <w:ilvl w:val="0"/>
          <w:numId w:val="0"/>
        </w:numPr>
        <w:tabs>
          <w:tab w:val="left" w:pos="1134"/>
        </w:tabs>
        <w:spacing w:line="360" w:lineRule="auto"/>
        <w:ind w:left="1134" w:hanging="567"/>
      </w:pPr>
      <w:r>
        <w:t>95.2</w:t>
      </w:r>
      <w:r>
        <w:tab/>
      </w:r>
      <w:r w:rsidR="00363A54">
        <w:t xml:space="preserve">Second, the appellant contended that when receiving (collecting) payment by way of EFT, Standard Bank, as the collecting bank, should have ensured that the account name on the EFT instruction matched the name of the account holder into which the funds were collected. This will be referred to as the </w:t>
      </w:r>
      <w:r w:rsidR="00363A54" w:rsidRPr="00465295">
        <w:rPr>
          <w:i/>
        </w:rPr>
        <w:t>“EFT case</w:t>
      </w:r>
      <w:r w:rsidR="00363A54">
        <w:t xml:space="preserve">”. </w:t>
      </w:r>
    </w:p>
    <w:p w14:paraId="216EBCC1" w14:textId="2608D624" w:rsidR="00363A54" w:rsidRDefault="000B7F25" w:rsidP="000B7F25">
      <w:pPr>
        <w:pStyle w:val="2"/>
        <w:numPr>
          <w:ilvl w:val="0"/>
          <w:numId w:val="0"/>
        </w:numPr>
        <w:tabs>
          <w:tab w:val="left" w:pos="1134"/>
        </w:tabs>
        <w:spacing w:line="360" w:lineRule="auto"/>
        <w:ind w:left="1134" w:hanging="567"/>
      </w:pPr>
      <w:r>
        <w:t>95.3</w:t>
      </w:r>
      <w:r>
        <w:tab/>
      </w:r>
      <w:r w:rsidR="00363A54">
        <w:t xml:space="preserve">Thirdly, it was contended that a duty existed on Standard Bank to have monitored the account after receiving payment, to prevent the withdrawal of funds from that account. This case will be referred to as the </w:t>
      </w:r>
      <w:r w:rsidR="00363A54" w:rsidRPr="00465295">
        <w:rPr>
          <w:i/>
        </w:rPr>
        <w:t>“account monitoring case</w:t>
      </w:r>
      <w:r w:rsidR="00363A54">
        <w:t xml:space="preserve">”. </w:t>
      </w:r>
    </w:p>
    <w:p w14:paraId="7253F619" w14:textId="43015AE5" w:rsidR="00363A54" w:rsidRDefault="000B7F25" w:rsidP="000B7F25">
      <w:pPr>
        <w:pStyle w:val="1"/>
        <w:numPr>
          <w:ilvl w:val="0"/>
          <w:numId w:val="0"/>
        </w:numPr>
        <w:tabs>
          <w:tab w:val="left" w:pos="567"/>
        </w:tabs>
        <w:spacing w:line="360" w:lineRule="auto"/>
        <w:ind w:left="567" w:hanging="567"/>
      </w:pPr>
      <w:r>
        <w:t>[96]</w:t>
      </w:r>
      <w:r>
        <w:tab/>
      </w:r>
      <w:r w:rsidR="00363A54">
        <w:t xml:space="preserve">It was argued on behalf of Standard Bank that each of these three grounds suffered from the same fundamental flaw, </w:t>
      </w:r>
      <w:r w:rsidR="00B27D75">
        <w:t>that is,</w:t>
      </w:r>
      <w:r w:rsidR="00363A54">
        <w:t xml:space="preserve"> they were premised on speculation with no evidence bei</w:t>
      </w:r>
      <w:r w:rsidR="004B053F">
        <w:t>ng put up to support these c</w:t>
      </w:r>
      <w:r w:rsidR="002203F0">
        <w:t>laims</w:t>
      </w:r>
      <w:r w:rsidR="00363A54">
        <w:t xml:space="preserve">. </w:t>
      </w:r>
      <w:r w:rsidR="004B053F">
        <w:t>This being the case</w:t>
      </w:r>
      <w:r w:rsidR="007051B7">
        <w:t>,</w:t>
      </w:r>
      <w:r w:rsidR="004B053F">
        <w:t xml:space="preserve"> no factual dispute existed on the papers. </w:t>
      </w:r>
    </w:p>
    <w:p w14:paraId="49F3892F" w14:textId="7A55A755" w:rsidR="00363A54" w:rsidRDefault="000B7F25" w:rsidP="000B7F25">
      <w:pPr>
        <w:pStyle w:val="1"/>
        <w:numPr>
          <w:ilvl w:val="0"/>
          <w:numId w:val="0"/>
        </w:numPr>
        <w:tabs>
          <w:tab w:val="left" w:pos="567"/>
        </w:tabs>
        <w:spacing w:line="360" w:lineRule="auto"/>
        <w:ind w:left="567" w:hanging="567"/>
      </w:pPr>
      <w:r>
        <w:t>[97]</w:t>
      </w:r>
      <w:r>
        <w:tab/>
      </w:r>
      <w:r w:rsidR="00363A54">
        <w:t xml:space="preserve">The appellant’s </w:t>
      </w:r>
      <w:r w:rsidR="00363A54" w:rsidRPr="00465295">
        <w:rPr>
          <w:i/>
        </w:rPr>
        <w:t xml:space="preserve">account opening case </w:t>
      </w:r>
      <w:r w:rsidR="00363A54">
        <w:t>was premised on the assumption that a customer whose name was not Daly, had opened an account with Standard Bank in the na</w:t>
      </w:r>
      <w:r w:rsidR="00E92389">
        <w:t>me of the third respondent, Dr P</w:t>
      </w:r>
      <w:r w:rsidR="00363A54">
        <w:t>F Daly</w:t>
      </w:r>
      <w:r w:rsidR="005B2455">
        <w:t xml:space="preserve"> (Patrick)</w:t>
      </w:r>
      <w:r w:rsidR="00363A54">
        <w:t xml:space="preserve">. It was stated that if </w:t>
      </w:r>
      <w:r w:rsidR="00AC28F9">
        <w:t>the FICA requirements were properly applied</w:t>
      </w:r>
      <w:r w:rsidR="005B2455">
        <w:t>,</w:t>
      </w:r>
      <w:r w:rsidR="00AC28F9">
        <w:t xml:space="preserve"> this would not have happened. </w:t>
      </w:r>
    </w:p>
    <w:p w14:paraId="0838E4BC" w14:textId="7C8E4E10" w:rsidR="00AC28F9" w:rsidRDefault="000B7F25" w:rsidP="000B7F25">
      <w:pPr>
        <w:pStyle w:val="1"/>
        <w:numPr>
          <w:ilvl w:val="0"/>
          <w:numId w:val="0"/>
        </w:numPr>
        <w:tabs>
          <w:tab w:val="left" w:pos="567"/>
        </w:tabs>
        <w:spacing w:line="360" w:lineRule="auto"/>
        <w:ind w:left="567" w:hanging="567"/>
      </w:pPr>
      <w:r>
        <w:t>[98]</w:t>
      </w:r>
      <w:r>
        <w:tab/>
      </w:r>
      <w:r w:rsidR="004A3876">
        <w:t>It was alleged</w:t>
      </w:r>
      <w:r w:rsidR="00AC28F9">
        <w:t xml:space="preserve"> by Standard Bank that this premise was factually wrong. </w:t>
      </w:r>
      <w:r w:rsidR="004A3876">
        <w:t xml:space="preserve">Mr </w:t>
      </w:r>
      <w:proofErr w:type="spellStart"/>
      <w:r w:rsidR="004A3876">
        <w:t>Kajee</w:t>
      </w:r>
      <w:proofErr w:type="spellEnd"/>
      <w:r w:rsidR="00EE36A7">
        <w:t>,</w:t>
      </w:r>
      <w:r w:rsidR="004A3876">
        <w:t xml:space="preserve"> an employee of Standard Bank</w:t>
      </w:r>
      <w:r w:rsidR="004B053F">
        <w:t xml:space="preserve"> with access to all documentation attached to this account, </w:t>
      </w:r>
      <w:r w:rsidR="004A3876">
        <w:t xml:space="preserve">deposed to an affidavit and attached the documentation which Mr </w:t>
      </w:r>
      <w:proofErr w:type="spellStart"/>
      <w:r w:rsidR="004A3876">
        <w:t>Simelane</w:t>
      </w:r>
      <w:proofErr w:type="spellEnd"/>
      <w:r w:rsidR="004A3876">
        <w:t xml:space="preserve"> apparently provided to the bank when the account was opened. According to these documents</w:t>
      </w:r>
      <w:r w:rsidR="00CD51BF">
        <w:t>,</w:t>
      </w:r>
      <w:r w:rsidR="00AC28F9">
        <w:t xml:space="preserve"> one Mr </w:t>
      </w:r>
      <w:proofErr w:type="spellStart"/>
      <w:r w:rsidR="00AC28F9">
        <w:t>Simelane</w:t>
      </w:r>
      <w:proofErr w:type="spellEnd"/>
      <w:r w:rsidR="00AC28F9">
        <w:t xml:space="preserve"> applied to Standard Bank to open a current account and did so in his own name. He pr</w:t>
      </w:r>
      <w:r w:rsidR="00E92389">
        <w:t>oduced the necessary identifica</w:t>
      </w:r>
      <w:r w:rsidR="00AC28F9">
        <w:t>t</w:t>
      </w:r>
      <w:r w:rsidR="00E92389">
        <w:t>i</w:t>
      </w:r>
      <w:r w:rsidR="00AC28F9">
        <w:t xml:space="preserve">on to prove that he was in fact Mr </w:t>
      </w:r>
      <w:proofErr w:type="spellStart"/>
      <w:r w:rsidR="00AC28F9">
        <w:t>Simelane</w:t>
      </w:r>
      <w:proofErr w:type="spellEnd"/>
      <w:r w:rsidR="00AC28F9">
        <w:t xml:space="preserve"> and</w:t>
      </w:r>
      <w:r w:rsidR="004A3876">
        <w:t xml:space="preserve"> it was argued that</w:t>
      </w:r>
      <w:r w:rsidR="00AC28F9">
        <w:t xml:space="preserve"> there was </w:t>
      </w:r>
      <w:r w:rsidR="004B74FB">
        <w:t>consequently no basis</w:t>
      </w:r>
      <w:r w:rsidR="00AC28F9">
        <w:t xml:space="preserve"> to contend that Standard Bank had been in breach of FICA legislation or negligent in opening this account. </w:t>
      </w:r>
    </w:p>
    <w:p w14:paraId="34F40E15" w14:textId="73AE30AD" w:rsidR="004B74FB" w:rsidRDefault="000B7F25" w:rsidP="000B7F25">
      <w:pPr>
        <w:pStyle w:val="1"/>
        <w:numPr>
          <w:ilvl w:val="0"/>
          <w:numId w:val="0"/>
        </w:numPr>
        <w:tabs>
          <w:tab w:val="left" w:pos="567"/>
        </w:tabs>
        <w:spacing w:line="360" w:lineRule="auto"/>
        <w:ind w:left="567" w:hanging="567"/>
      </w:pPr>
      <w:r>
        <w:t>[99]</w:t>
      </w:r>
      <w:r>
        <w:tab/>
      </w:r>
      <w:r w:rsidR="00AC28F9">
        <w:t>Concerning the second point raised, S</w:t>
      </w:r>
      <w:r w:rsidR="004B74FB">
        <w:t>tandard Bank has shown that it w</w:t>
      </w:r>
      <w:r w:rsidR="00AC28F9">
        <w:t xml:space="preserve">as general banking practice in South Africa that EFTs are done by way of account </w:t>
      </w:r>
      <w:r w:rsidR="00AC28F9">
        <w:lastRenderedPageBreak/>
        <w:t xml:space="preserve">numbers only and not </w:t>
      </w:r>
      <w:r w:rsidR="004B74FB">
        <w:t xml:space="preserve">with </w:t>
      </w:r>
      <w:r w:rsidR="00AC28F9">
        <w:t xml:space="preserve">reference to the </w:t>
      </w:r>
      <w:r w:rsidR="00EC4059">
        <w:t xml:space="preserve">name of the account and account number. This practice was commensurate with the Payment Association of South Africa (“PASA”) </w:t>
      </w:r>
      <w:r w:rsidR="00465295">
        <w:t xml:space="preserve">rules. </w:t>
      </w:r>
      <w:r w:rsidR="005E12DB">
        <w:t xml:space="preserve">No duty exists on Standard Bank to match an account name with an account number. This was the uncontroverted evidence adduced by Standard Bank and no factual dispute presents itself in this regard. </w:t>
      </w:r>
    </w:p>
    <w:p w14:paraId="3D57364A" w14:textId="7F4420E0" w:rsidR="00AC28F9" w:rsidRDefault="000B7F25" w:rsidP="000B7F25">
      <w:pPr>
        <w:pStyle w:val="1"/>
        <w:numPr>
          <w:ilvl w:val="0"/>
          <w:numId w:val="0"/>
        </w:numPr>
        <w:tabs>
          <w:tab w:val="left" w:pos="567"/>
        </w:tabs>
        <w:spacing w:line="360" w:lineRule="auto"/>
        <w:ind w:left="567" w:hanging="567"/>
      </w:pPr>
      <w:r>
        <w:t>[100]</w:t>
      </w:r>
      <w:r>
        <w:tab/>
      </w:r>
      <w:proofErr w:type="gramStart"/>
      <w:r w:rsidR="004B74FB">
        <w:t>It</w:t>
      </w:r>
      <w:proofErr w:type="gramEnd"/>
      <w:r w:rsidR="004B74FB">
        <w:t xml:space="preserve"> was common cause that </w:t>
      </w:r>
      <w:r w:rsidR="00CE2C90">
        <w:t xml:space="preserve">there </w:t>
      </w:r>
      <w:r w:rsidR="004B74FB">
        <w:t xml:space="preserve">now </w:t>
      </w:r>
      <w:r w:rsidR="00CE2C90">
        <w:t xml:space="preserve">exists </w:t>
      </w:r>
      <w:r w:rsidR="004B74FB">
        <w:t>an account verification facility on EFT platforms of some of the banks. This facility provide</w:t>
      </w:r>
      <w:r w:rsidR="00FB5A54">
        <w:t>s</w:t>
      </w:r>
      <w:r w:rsidR="004B74FB">
        <w:t xml:space="preserve"> a service to match the name of the account with an account number. </w:t>
      </w:r>
      <w:r w:rsidR="005E12DB">
        <w:t>The evidence pro</w:t>
      </w:r>
      <w:r w:rsidR="00263DB1">
        <w:t>vided</w:t>
      </w:r>
      <w:r w:rsidR="005E12DB">
        <w:t xml:space="preserve"> by Standard Bank indicated that this is not a standard feature but it can be introduced by the </w:t>
      </w:r>
      <w:proofErr w:type="spellStart"/>
      <w:r w:rsidR="005E12DB">
        <w:t>payor</w:t>
      </w:r>
      <w:proofErr w:type="spellEnd"/>
      <w:r w:rsidR="005E12DB">
        <w:t xml:space="preserve"> bank at a cost to its client. </w:t>
      </w:r>
      <w:r w:rsidR="009C10D5">
        <w:t xml:space="preserve"> </w:t>
      </w:r>
    </w:p>
    <w:p w14:paraId="7EDF7CCD" w14:textId="21E8E91F" w:rsidR="005E12DB" w:rsidRDefault="000B7F25" w:rsidP="000B7F25">
      <w:pPr>
        <w:pStyle w:val="1"/>
        <w:numPr>
          <w:ilvl w:val="0"/>
          <w:numId w:val="0"/>
        </w:numPr>
        <w:tabs>
          <w:tab w:val="left" w:pos="567"/>
        </w:tabs>
        <w:spacing w:line="360" w:lineRule="auto"/>
        <w:ind w:left="567" w:hanging="567"/>
      </w:pPr>
      <w:r>
        <w:t>[101]</w:t>
      </w:r>
      <w:r>
        <w:tab/>
      </w:r>
      <w:r w:rsidR="000551CD">
        <w:t>It was averred o</w:t>
      </w:r>
      <w:r w:rsidR="005E12DB">
        <w:t>n behalf o</w:t>
      </w:r>
      <w:r w:rsidR="000B40DB">
        <w:t xml:space="preserve">f the appellant, </w:t>
      </w:r>
      <w:r w:rsidR="001E3F8B">
        <w:t>without</w:t>
      </w:r>
      <w:r w:rsidR="005E12DB">
        <w:t xml:space="preserve"> credible evide</w:t>
      </w:r>
      <w:r w:rsidR="001E3F8B">
        <w:t>nce,</w:t>
      </w:r>
      <w:r w:rsidR="005E12DB">
        <w:t xml:space="preserve"> that the matching of an account num</w:t>
      </w:r>
      <w:r w:rsidR="004B74FB">
        <w:t xml:space="preserve">ber to the name of an account was, </w:t>
      </w:r>
      <w:r w:rsidR="000331C7">
        <w:t>at the time</w:t>
      </w:r>
      <w:r w:rsidR="004B74FB">
        <w:t xml:space="preserve"> the transfer was done,</w:t>
      </w:r>
      <w:r w:rsidR="005E12DB">
        <w:t xml:space="preserve"> commonly available in </w:t>
      </w:r>
      <w:r w:rsidR="00564556">
        <w:t xml:space="preserve">the </w:t>
      </w:r>
      <w:r w:rsidR="005E12DB">
        <w:t>retail banking environment in South Africa. This averment can</w:t>
      </w:r>
      <w:r w:rsidR="000B40DB">
        <w:t>not</w:t>
      </w:r>
      <w:r w:rsidR="005E12DB">
        <w:t xml:space="preserve"> be</w:t>
      </w:r>
      <w:r w:rsidR="00E54415">
        <w:t xml:space="preserve"> accepted, more so as</w:t>
      </w:r>
      <w:r w:rsidR="000B40DB">
        <w:t xml:space="preserve"> Standard </w:t>
      </w:r>
      <w:r w:rsidR="00564556">
        <w:t>B</w:t>
      </w:r>
      <w:r w:rsidR="000B40DB">
        <w:t>ank</w:t>
      </w:r>
      <w:r w:rsidR="005E12DB">
        <w:t xml:space="preserve"> has shown that this is not the case. </w:t>
      </w:r>
      <w:r w:rsidR="00E54415">
        <w:t>It is around this issue where the appellant avers</w:t>
      </w:r>
      <w:r w:rsidR="004B74FB">
        <w:t xml:space="preserve"> the presence of</w:t>
      </w:r>
      <w:r w:rsidR="00E54415">
        <w:t xml:space="preserve"> a factual dispute. </w:t>
      </w:r>
      <w:r w:rsidR="006E4100">
        <w:t>It is suggested, without credible evidence, that the payment instruction from ABSA Bank to Standard Bank would have included</w:t>
      </w:r>
      <w:r w:rsidR="001463E4">
        <w:t>,</w:t>
      </w:r>
      <w:r w:rsidR="006E4100">
        <w:t xml:space="preserve"> not only the account number </w:t>
      </w:r>
      <w:r w:rsidR="006E4100" w:rsidRPr="004143AE">
        <w:t>into which payment must be collected</w:t>
      </w:r>
      <w:r w:rsidR="00055661">
        <w:t>,</w:t>
      </w:r>
      <w:r w:rsidR="006E4100">
        <w:t xml:space="preserve"> but also the name of the account holder. There is no evidence that through </w:t>
      </w:r>
      <w:r w:rsidR="00AB76CC">
        <w:t>ABSA Bank’s</w:t>
      </w:r>
      <w:r w:rsidR="006E4100">
        <w:t xml:space="preserve"> internet banking platform</w:t>
      </w:r>
      <w:r w:rsidR="00421366">
        <w:t>,</w:t>
      </w:r>
      <w:r w:rsidR="006E4100">
        <w:t xml:space="preserve"> an instruction would include the name of the account holder. It can be accepted that </w:t>
      </w:r>
      <w:r w:rsidR="008D4A67">
        <w:t xml:space="preserve">when the </w:t>
      </w:r>
      <w:proofErr w:type="gramStart"/>
      <w:r w:rsidR="006E4100">
        <w:t>appellant  processed</w:t>
      </w:r>
      <w:proofErr w:type="gramEnd"/>
      <w:r w:rsidR="006E4100">
        <w:t xml:space="preserve"> the EFT</w:t>
      </w:r>
      <w:r w:rsidR="008D4A67">
        <w:t>, it</w:t>
      </w:r>
      <w:r w:rsidR="006E4100">
        <w:t xml:space="preserve"> included the name of PF Daly</w:t>
      </w:r>
      <w:r w:rsidR="005747D0">
        <w:t>,</w:t>
      </w:r>
      <w:r w:rsidR="006E4100">
        <w:t xml:space="preserve"> but that is on the ABSA EFT banking platform. What instruction went to Standard </w:t>
      </w:r>
      <w:r w:rsidR="005747D0">
        <w:t>B</w:t>
      </w:r>
      <w:r w:rsidR="006E4100">
        <w:t xml:space="preserve">ank is a different question. </w:t>
      </w:r>
      <w:r w:rsidR="00BD5B75">
        <w:t>The a</w:t>
      </w:r>
      <w:r w:rsidR="006E4100">
        <w:t xml:space="preserve">ppellant could have provided expert evidence in this regard but failed to do so. The evidence of Mr Van Der </w:t>
      </w:r>
      <w:proofErr w:type="spellStart"/>
      <w:r w:rsidR="006E4100">
        <w:t>Molen</w:t>
      </w:r>
      <w:proofErr w:type="spellEnd"/>
      <w:r w:rsidR="006E4100">
        <w:t xml:space="preserve"> did not assist </w:t>
      </w:r>
      <w:r w:rsidR="002D3441">
        <w:t xml:space="preserve">the </w:t>
      </w:r>
      <w:r w:rsidR="006E4100">
        <w:t>appellant. Moreover, he is an intelligence technology expert and not</w:t>
      </w:r>
      <w:r w:rsidR="00563A13">
        <w:t xml:space="preserve"> an expert on internet banking. He speculated what account verification services should be in the EFT environment. According to him</w:t>
      </w:r>
      <w:r w:rsidR="00825AFF">
        <w:t>,</w:t>
      </w:r>
      <w:r w:rsidR="00563A13">
        <w:t xml:space="preserve"> there should be a system in place whereby a collecting banker could verify the name of the account holder against the account number in which payment is received.  </w:t>
      </w:r>
      <w:r w:rsidR="0061469C">
        <w:t xml:space="preserve">Standard Bank has shown that in terms of </w:t>
      </w:r>
      <w:r w:rsidR="00E7716E">
        <w:t xml:space="preserve">the </w:t>
      </w:r>
      <w:r w:rsidR="0061469C">
        <w:t>PASA rules</w:t>
      </w:r>
      <w:r w:rsidR="00E7716E">
        <w:t>,</w:t>
      </w:r>
      <w:r w:rsidR="0061469C">
        <w:t xml:space="preserve"> it is accepted that inter</w:t>
      </w:r>
      <w:r w:rsidR="00E7716E">
        <w:t>-</w:t>
      </w:r>
      <w:r w:rsidR="0061469C">
        <w:t xml:space="preserve">bank transfers </w:t>
      </w:r>
      <w:r w:rsidR="009C0CF6">
        <w:t>are</w:t>
      </w:r>
      <w:r w:rsidR="0061469C">
        <w:t xml:space="preserve"> conducted with ref</w:t>
      </w:r>
      <w:r w:rsidR="00563A13">
        <w:t>erence to account numbers only and that the electronic banking system in South Africa do</w:t>
      </w:r>
      <w:r w:rsidR="00686896">
        <w:t>es</w:t>
      </w:r>
      <w:r w:rsidR="00563A13">
        <w:t xml:space="preserve"> not </w:t>
      </w:r>
      <w:r w:rsidR="00563A13">
        <w:lastRenderedPageBreak/>
        <w:t xml:space="preserve">have in place </w:t>
      </w:r>
      <w:r w:rsidR="00686896">
        <w:t xml:space="preserve">the </w:t>
      </w:r>
      <w:r w:rsidR="00563A13">
        <w:t>technological functionality in place where</w:t>
      </w:r>
      <w:r w:rsidR="00B35793">
        <w:t xml:space="preserve"> account numbers are matched with the name of accounts. </w:t>
      </w:r>
      <w:r w:rsidR="00563A13">
        <w:t xml:space="preserve">  </w:t>
      </w:r>
      <w:r w:rsidR="006E4100">
        <w:t xml:space="preserve"> </w:t>
      </w:r>
    </w:p>
    <w:p w14:paraId="79A03CED" w14:textId="60E3E584" w:rsidR="00AF2E96" w:rsidRDefault="000B7F25" w:rsidP="000B7F25">
      <w:pPr>
        <w:pStyle w:val="1"/>
        <w:numPr>
          <w:ilvl w:val="0"/>
          <w:numId w:val="0"/>
        </w:numPr>
        <w:tabs>
          <w:tab w:val="left" w:pos="567"/>
        </w:tabs>
        <w:spacing w:line="360" w:lineRule="auto"/>
        <w:ind w:left="567" w:hanging="567"/>
      </w:pPr>
      <w:r>
        <w:t>[102]</w:t>
      </w:r>
      <w:r>
        <w:tab/>
      </w:r>
      <w:r w:rsidR="005E12DB">
        <w:t>The third contention referred to as the “</w:t>
      </w:r>
      <w:r w:rsidR="005E12DB" w:rsidRPr="001E3F8B">
        <w:rPr>
          <w:i/>
        </w:rPr>
        <w:t>account monitoring case</w:t>
      </w:r>
      <w:r w:rsidR="005E12DB">
        <w:t xml:space="preserve">” has not been supported with sufficient factual allegations to indicate that there was a duty on Standard Bank to monitor withdrawals of funds from </w:t>
      </w:r>
      <w:r w:rsidR="00D571A0">
        <w:t xml:space="preserve">Mr </w:t>
      </w:r>
      <w:proofErr w:type="spellStart"/>
      <w:r w:rsidR="00D571A0">
        <w:t>Simelane’s</w:t>
      </w:r>
      <w:proofErr w:type="spellEnd"/>
      <w:r w:rsidR="005E12DB">
        <w:t xml:space="preserve"> account. It should be noted here that even if such duty existed</w:t>
      </w:r>
      <w:r w:rsidR="0061469C">
        <w:t>,</w:t>
      </w:r>
      <w:r w:rsidR="005E12DB">
        <w:t xml:space="preserve"> the funds were withdrawn</w:t>
      </w:r>
      <w:r w:rsidR="0061469C">
        <w:t xml:space="preserve"> from the account within</w:t>
      </w:r>
      <w:r w:rsidR="005E12DB">
        <w:t xml:space="preserve"> a short period of time</w:t>
      </w:r>
      <w:r w:rsidR="0061469C">
        <w:t xml:space="preserve"> after the deposit. No evidence was provided how this could have been avoided.</w:t>
      </w:r>
      <w:r w:rsidR="005E12DB">
        <w:t xml:space="preserve"> </w:t>
      </w:r>
      <w:r w:rsidR="00465295">
        <w:t>Similarly, no factual dispute had arisen in this regard. The matter could have been decided on the papers.</w:t>
      </w:r>
    </w:p>
    <w:p w14:paraId="205A9A09" w14:textId="3D9D9181" w:rsidR="005E12DB" w:rsidRDefault="000B7F25" w:rsidP="000B7F25">
      <w:pPr>
        <w:pStyle w:val="1"/>
        <w:numPr>
          <w:ilvl w:val="0"/>
          <w:numId w:val="0"/>
        </w:numPr>
        <w:tabs>
          <w:tab w:val="left" w:pos="567"/>
        </w:tabs>
        <w:spacing w:line="360" w:lineRule="auto"/>
        <w:ind w:left="567" w:hanging="567"/>
      </w:pPr>
      <w:r>
        <w:t>[103]</w:t>
      </w:r>
      <w:r>
        <w:tab/>
      </w:r>
      <w:proofErr w:type="gramStart"/>
      <w:r w:rsidR="00AF2E96">
        <w:t>A</w:t>
      </w:r>
      <w:proofErr w:type="gramEnd"/>
      <w:r w:rsidR="00AF2E96">
        <w:t xml:space="preserve"> factual dispute relates to fact and not to legal conclusion. A matter cannot be referred to trial for a trial court to conduct an inquiry into</w:t>
      </w:r>
      <w:r w:rsidR="00750128">
        <w:t xml:space="preserve"> a party’s liability premised on</w:t>
      </w:r>
      <w:r w:rsidR="00AF2E96">
        <w:t xml:space="preserve"> a duty of care “</w:t>
      </w:r>
      <w:r w:rsidR="00AF2E96">
        <w:rPr>
          <w:i/>
        </w:rPr>
        <w:t>after hearing all the relevant evidence”.</w:t>
      </w:r>
      <w:r w:rsidR="00667AA2">
        <w:rPr>
          <w:i/>
        </w:rPr>
        <w:t xml:space="preserve"> </w:t>
      </w:r>
      <w:r w:rsidR="00667AA2">
        <w:t>The dispute of fact must relate to the evidence and not the legal consequences. A party is not permitted to lead oral evidence to make out a case which is not already made out in his affidavits.</w:t>
      </w:r>
      <w:r w:rsidR="00667AA2">
        <w:rPr>
          <w:rStyle w:val="FootnoteReference"/>
        </w:rPr>
        <w:footnoteReference w:id="15"/>
      </w:r>
      <w:r w:rsidR="00465295">
        <w:t xml:space="preserve"> </w:t>
      </w:r>
    </w:p>
    <w:p w14:paraId="04FA2D67" w14:textId="04C967BE" w:rsidR="00AF2E96" w:rsidRDefault="000B7F25" w:rsidP="000B7F25">
      <w:pPr>
        <w:pStyle w:val="1"/>
        <w:numPr>
          <w:ilvl w:val="0"/>
          <w:numId w:val="0"/>
        </w:numPr>
        <w:tabs>
          <w:tab w:val="left" w:pos="567"/>
        </w:tabs>
        <w:spacing w:line="360" w:lineRule="auto"/>
        <w:ind w:left="567" w:hanging="567"/>
      </w:pPr>
      <w:r>
        <w:t>[104]</w:t>
      </w:r>
      <w:r>
        <w:tab/>
      </w:r>
      <w:proofErr w:type="gramStart"/>
      <w:r w:rsidR="00AF2E96">
        <w:t>The</w:t>
      </w:r>
      <w:proofErr w:type="gramEnd"/>
      <w:r w:rsidR="00AF2E96">
        <w:t xml:space="preserve"> central premise of the appeal should therefore fail. There was no relevant factual dispute between the parties</w:t>
      </w:r>
      <w:r w:rsidR="0061469C">
        <w:t xml:space="preserve"> which require a</w:t>
      </w:r>
      <w:r w:rsidR="00AF2E96">
        <w:t xml:space="preserve"> referral to trial. </w:t>
      </w:r>
      <w:r w:rsidR="005E12DB">
        <w:t xml:space="preserve">In my view, the court </w:t>
      </w:r>
      <w:r w:rsidR="005E12DB" w:rsidRPr="00AF2E96">
        <w:rPr>
          <w:i/>
          <w:iCs w:val="0"/>
        </w:rPr>
        <w:t>a quo</w:t>
      </w:r>
      <w:r w:rsidR="005E12DB">
        <w:t xml:space="preserve"> was correct in not referring the matter </w:t>
      </w:r>
      <w:r w:rsidR="00F446D8">
        <w:t xml:space="preserve">to trial </w:t>
      </w:r>
      <w:r w:rsidR="005E12DB">
        <w:t>as far as the</w:t>
      </w:r>
      <w:r w:rsidR="002F13A0">
        <w:t xml:space="preserve"> liability of </w:t>
      </w:r>
      <w:r w:rsidR="005E12DB">
        <w:t>Standard Bank</w:t>
      </w:r>
      <w:r w:rsidR="002F13A0">
        <w:t xml:space="preserve"> is concerned</w:t>
      </w:r>
      <w:r w:rsidR="005E12DB">
        <w:t xml:space="preserve">. </w:t>
      </w:r>
    </w:p>
    <w:p w14:paraId="22F73843" w14:textId="7685C452" w:rsidR="005E12DB" w:rsidRDefault="000B7F25" w:rsidP="000B7F25">
      <w:pPr>
        <w:pStyle w:val="1"/>
        <w:numPr>
          <w:ilvl w:val="0"/>
          <w:numId w:val="0"/>
        </w:numPr>
        <w:tabs>
          <w:tab w:val="left" w:pos="567"/>
        </w:tabs>
        <w:spacing w:line="360" w:lineRule="auto"/>
        <w:ind w:left="567" w:hanging="567"/>
      </w:pPr>
      <w:r>
        <w:t>[105]</w:t>
      </w:r>
      <w:r>
        <w:tab/>
      </w:r>
      <w:r w:rsidR="002F13A0">
        <w:t xml:space="preserve">The next enquiry, </w:t>
      </w:r>
      <w:r w:rsidR="00F4761A">
        <w:t xml:space="preserve">which has </w:t>
      </w:r>
      <w:r w:rsidR="002F13A0">
        <w:t xml:space="preserve">already </w:t>
      </w:r>
      <w:r w:rsidR="00F4761A">
        <w:t xml:space="preserve">been </w:t>
      </w:r>
      <w:r w:rsidR="002F13A0">
        <w:t>dealt with to some extent hereinabove, is whether o</w:t>
      </w:r>
      <w:r w:rsidR="00667AA2">
        <w:t>n the papers before this court the appella</w:t>
      </w:r>
      <w:r w:rsidR="002F13A0">
        <w:t>nt</w:t>
      </w:r>
      <w:r w:rsidR="00E712C0">
        <w:t xml:space="preserve"> </w:t>
      </w:r>
      <w:r w:rsidR="00667AA2">
        <w:t>establish</w:t>
      </w:r>
      <w:r w:rsidR="00E712C0">
        <w:t>ed</w:t>
      </w:r>
      <w:r w:rsidR="005E12DB">
        <w:t xml:space="preserve"> a f</w:t>
      </w:r>
      <w:r w:rsidR="00667AA2">
        <w:t>actual</w:t>
      </w:r>
      <w:r w:rsidR="00750128">
        <w:t xml:space="preserve"> and legal</w:t>
      </w:r>
      <w:r w:rsidR="00667AA2">
        <w:t xml:space="preserve"> foundation to hold</w:t>
      </w:r>
      <w:r w:rsidR="005E12DB">
        <w:t xml:space="preserve"> Standard Bank</w:t>
      </w:r>
      <w:r w:rsidR="00667AA2">
        <w:t xml:space="preserve"> liable in </w:t>
      </w:r>
      <w:proofErr w:type="spellStart"/>
      <w:r w:rsidR="00667AA2">
        <w:t>delict</w:t>
      </w:r>
      <w:proofErr w:type="spellEnd"/>
      <w:r w:rsidR="00667AA2">
        <w:t xml:space="preserve"> for the loss of the monies.</w:t>
      </w:r>
      <w:r w:rsidR="005E12DB">
        <w:t xml:space="preserve"> </w:t>
      </w:r>
    </w:p>
    <w:p w14:paraId="65777EF9" w14:textId="6554852C" w:rsidR="00750128" w:rsidRDefault="000B7F25" w:rsidP="000B7F25">
      <w:pPr>
        <w:pStyle w:val="1"/>
        <w:numPr>
          <w:ilvl w:val="0"/>
          <w:numId w:val="0"/>
        </w:numPr>
        <w:tabs>
          <w:tab w:val="left" w:pos="567"/>
        </w:tabs>
        <w:spacing w:line="360" w:lineRule="auto"/>
        <w:ind w:left="567" w:hanging="567"/>
      </w:pPr>
      <w:r>
        <w:t>[106]</w:t>
      </w:r>
      <w:r>
        <w:tab/>
      </w:r>
      <w:r w:rsidR="00667AA2">
        <w:t xml:space="preserve"> </w:t>
      </w:r>
      <w:proofErr w:type="gramStart"/>
      <w:r w:rsidR="009C33C7">
        <w:t>It</w:t>
      </w:r>
      <w:proofErr w:type="gramEnd"/>
      <w:r w:rsidR="009C33C7">
        <w:t xml:space="preserve"> was argued on behalf of</w:t>
      </w:r>
      <w:r w:rsidR="00073217">
        <w:t xml:space="preserve"> the</w:t>
      </w:r>
      <w:r w:rsidR="009C33C7">
        <w:t xml:space="preserve"> respondents that t</w:t>
      </w:r>
      <w:r w:rsidR="005F2DCE">
        <w:t>he evidence on the papers did not sustain a cause of action against Standard B</w:t>
      </w:r>
      <w:r w:rsidR="001A2AA9">
        <w:t>ank. For t</w:t>
      </w:r>
      <w:r w:rsidR="002F13A0">
        <w:t>he appellant, to hold</w:t>
      </w:r>
      <w:r w:rsidR="005F2DCE">
        <w:t xml:space="preserve"> Standard Bank</w:t>
      </w:r>
      <w:r w:rsidR="002F13A0">
        <w:t xml:space="preserve"> liable in </w:t>
      </w:r>
      <w:proofErr w:type="spellStart"/>
      <w:r w:rsidR="002F13A0">
        <w:t>delict</w:t>
      </w:r>
      <w:proofErr w:type="spellEnd"/>
      <w:r w:rsidR="005F2DCE">
        <w:t xml:space="preserve">, </w:t>
      </w:r>
      <w:r w:rsidR="001A2AA9">
        <w:t xml:space="preserve">he </w:t>
      </w:r>
      <w:r w:rsidR="005F2DCE">
        <w:t xml:space="preserve">had to </w:t>
      </w:r>
      <w:r w:rsidR="002F13A0">
        <w:t>establish wrongfulness, negligence,</w:t>
      </w:r>
      <w:r w:rsidR="005F2DCE">
        <w:t xml:space="preserve"> causation and damages.</w:t>
      </w:r>
    </w:p>
    <w:p w14:paraId="1729119F" w14:textId="5256C1C5" w:rsidR="00FE3CE4" w:rsidRDefault="000B7F25" w:rsidP="000B7F25">
      <w:pPr>
        <w:pStyle w:val="1"/>
        <w:numPr>
          <w:ilvl w:val="0"/>
          <w:numId w:val="0"/>
        </w:numPr>
        <w:tabs>
          <w:tab w:val="left" w:pos="567"/>
        </w:tabs>
        <w:spacing w:line="360" w:lineRule="auto"/>
        <w:ind w:left="567" w:hanging="567"/>
      </w:pPr>
      <w:r>
        <w:t>[107]</w:t>
      </w:r>
      <w:r>
        <w:tab/>
      </w:r>
      <w:proofErr w:type="gramStart"/>
      <w:r w:rsidR="00750128">
        <w:t>The</w:t>
      </w:r>
      <w:proofErr w:type="gramEnd"/>
      <w:r w:rsidR="00750128">
        <w:t xml:space="preserve"> appellant referred to </w:t>
      </w:r>
      <w:r w:rsidR="00A20483">
        <w:t>statutory du</w:t>
      </w:r>
      <w:r w:rsidR="00E54415">
        <w:t>ties which applied to Standard B</w:t>
      </w:r>
      <w:r w:rsidR="00A20483">
        <w:t xml:space="preserve">ank in terms of FICA. It was argued that these duties constitute legal duties owed to </w:t>
      </w:r>
      <w:r w:rsidR="00A20483">
        <w:lastRenderedPageBreak/>
        <w:t>members of the public</w:t>
      </w:r>
      <w:r w:rsidR="0036754B">
        <w:t>,</w:t>
      </w:r>
      <w:r w:rsidR="00A20483">
        <w:t xml:space="preserve"> including </w:t>
      </w:r>
      <w:r w:rsidR="0036754B">
        <w:t xml:space="preserve">the </w:t>
      </w:r>
      <w:r w:rsidR="00A20483">
        <w:t xml:space="preserve">appellant. </w:t>
      </w:r>
      <w:r w:rsidR="00E11A33">
        <w:t>In his affidavit, t</w:t>
      </w:r>
      <w:r w:rsidR="00A20483">
        <w:t>he appellant re</w:t>
      </w:r>
      <w:r w:rsidR="00F446D8">
        <w:t>ferred to the</w:t>
      </w:r>
      <w:r w:rsidR="00A20483">
        <w:t xml:space="preserve"> le</w:t>
      </w:r>
      <w:r w:rsidR="004A7158">
        <w:t>gal duties contained in section </w:t>
      </w:r>
      <w:r w:rsidR="00A20483">
        <w:t>20A. This section provides that Standard Bank (</w:t>
      </w:r>
      <w:r w:rsidR="00FE3CE4">
        <w:t xml:space="preserve">an accountable institution) may not establish a business relationship or conclude a single transaction with an anonymous client or a client with an apparent false or fictitious name. </w:t>
      </w:r>
      <w:r w:rsidR="00B35793">
        <w:t xml:space="preserve">This attack became moot after it was established that Mr </w:t>
      </w:r>
      <w:proofErr w:type="spellStart"/>
      <w:r w:rsidR="00B35793">
        <w:t>Simelane</w:t>
      </w:r>
      <w:proofErr w:type="spellEnd"/>
      <w:r w:rsidR="00B35793">
        <w:t xml:space="preserve"> was not an anonymous client.</w:t>
      </w:r>
    </w:p>
    <w:p w14:paraId="01AFEA22" w14:textId="44281FBF" w:rsidR="009F7A1C" w:rsidRDefault="000B7F25" w:rsidP="000B7F25">
      <w:pPr>
        <w:pStyle w:val="1"/>
        <w:numPr>
          <w:ilvl w:val="0"/>
          <w:numId w:val="0"/>
        </w:numPr>
        <w:tabs>
          <w:tab w:val="left" w:pos="567"/>
        </w:tabs>
        <w:spacing w:line="360" w:lineRule="auto"/>
        <w:ind w:left="567" w:hanging="567"/>
      </w:pPr>
      <w:r>
        <w:t>[108]</w:t>
      </w:r>
      <w:r>
        <w:tab/>
      </w:r>
      <w:r w:rsidR="004541EB">
        <w:t>The appellant further</w:t>
      </w:r>
      <w:r w:rsidR="00451DDB">
        <w:t xml:space="preserve"> relied on section</w:t>
      </w:r>
      <w:r w:rsidR="004A7158">
        <w:t> </w:t>
      </w:r>
      <w:r w:rsidR="00451DDB">
        <w:t>21A of F</w:t>
      </w:r>
      <w:r w:rsidR="00E454C6">
        <w:t>ICA</w:t>
      </w:r>
      <w:r w:rsidR="004B4470">
        <w:t xml:space="preserve"> which determines that when an accountable institution engages with a prospective client to establish a business relation</w:t>
      </w:r>
      <w:r w:rsidR="004A7158">
        <w:t>ship as contemplated in section </w:t>
      </w:r>
      <w:r w:rsidR="004B4470">
        <w:t>21, the institution must obtain information to reasonably enable the accountable institution to determine whether future transaction</w:t>
      </w:r>
      <w:r w:rsidR="00CF1173">
        <w:t>s</w:t>
      </w:r>
      <w:r w:rsidR="004B4470">
        <w:t xml:space="preserve"> that will be performed in the course of the business relationship concerned are consistent with the institution’s knowledge of that prospective client. </w:t>
      </w:r>
      <w:r w:rsidR="00CF1173">
        <w:t>The</w:t>
      </w:r>
      <w:r w:rsidR="004B4470">
        <w:t xml:space="preserve"> information </w:t>
      </w:r>
      <w:r w:rsidR="00CF1173">
        <w:t xml:space="preserve">must </w:t>
      </w:r>
      <w:r w:rsidR="004B4470">
        <w:t>describ</w:t>
      </w:r>
      <w:r w:rsidR="00CF1173">
        <w:t>e</w:t>
      </w:r>
      <w:r w:rsidR="004B4470">
        <w:t xml:space="preserve"> the nature of the business relationship</w:t>
      </w:r>
      <w:r w:rsidR="00777F61">
        <w:t>;</w:t>
      </w:r>
      <w:r w:rsidR="004B4470">
        <w:t xml:space="preserve"> the intended purpose of the business relationship</w:t>
      </w:r>
      <w:r w:rsidR="00777F61">
        <w:t>;</w:t>
      </w:r>
      <w:r w:rsidR="004B4470">
        <w:t xml:space="preserve"> and the source of the funds which that prospective client expects to use in conducting transactions in the course of the business relationship concerned. </w:t>
      </w:r>
      <w:r w:rsidR="00B35793">
        <w:t>No evidence was presented that Standard bank acted in breach of this provision.</w:t>
      </w:r>
    </w:p>
    <w:p w14:paraId="09B63F9C" w14:textId="2E5669DD" w:rsidR="009F7A1C" w:rsidRDefault="000B7F25" w:rsidP="000B7F25">
      <w:pPr>
        <w:pStyle w:val="1"/>
        <w:numPr>
          <w:ilvl w:val="0"/>
          <w:numId w:val="0"/>
        </w:numPr>
        <w:tabs>
          <w:tab w:val="left" w:pos="567"/>
        </w:tabs>
        <w:spacing w:line="360" w:lineRule="auto"/>
        <w:ind w:left="567" w:hanging="567"/>
      </w:pPr>
      <w:r>
        <w:t>[109]</w:t>
      </w:r>
      <w:r>
        <w:tab/>
      </w:r>
      <w:r w:rsidR="00A43E8A">
        <w:t>Section </w:t>
      </w:r>
      <w:r w:rsidR="009F7A1C">
        <w:t xml:space="preserve">21C of FICA was also relied upon which </w:t>
      </w:r>
      <w:r w:rsidR="00553112">
        <w:t>requires an accountable institution to conduct</w:t>
      </w:r>
      <w:r w:rsidR="009F7A1C">
        <w:t xml:space="preserve"> ongoing due diligence in respect of a business relationship which includes</w:t>
      </w:r>
      <w:r w:rsidR="00CD4B79">
        <w:t>,</w:t>
      </w:r>
      <w:r w:rsidR="009F7A1C">
        <w:t xml:space="preserve"> monitoring transactions throughout the course of the relationship and keep</w:t>
      </w:r>
      <w:r w:rsidR="00923B5A">
        <w:t>ing that</w:t>
      </w:r>
      <w:r w:rsidR="009F7A1C">
        <w:t xml:space="preserve"> information. </w:t>
      </w:r>
      <w:r w:rsidR="00B35793">
        <w:t>Monitoring of transactions is done with the object of reporting suspicious transaction</w:t>
      </w:r>
      <w:r w:rsidR="006607BC">
        <w:t>s</w:t>
      </w:r>
      <w:r w:rsidR="00B35793">
        <w:t xml:space="preserve"> pursuant to the terms of section</w:t>
      </w:r>
      <w:r w:rsidR="00A43E8A">
        <w:t> </w:t>
      </w:r>
      <w:r w:rsidR="00B35793">
        <w:t>29 of FICA</w:t>
      </w:r>
      <w:r w:rsidR="00D366AC">
        <w:t xml:space="preserve">. There is no evidence that Standard Bank should have conducted a due diligence on this account or that </w:t>
      </w:r>
      <w:r w:rsidR="005E0656">
        <w:t>it</w:t>
      </w:r>
      <w:r w:rsidR="00D366AC">
        <w:t xml:space="preserve"> could have prevented the receipt of th</w:t>
      </w:r>
      <w:r w:rsidR="005E0656">
        <w:t>ese</w:t>
      </w:r>
      <w:r w:rsidR="00D366AC">
        <w:t xml:space="preserve"> funds into </w:t>
      </w:r>
      <w:r w:rsidR="005E0656">
        <w:t xml:space="preserve">Mr </w:t>
      </w:r>
      <w:proofErr w:type="spellStart"/>
      <w:r w:rsidR="005E0656">
        <w:t>Simelane</w:t>
      </w:r>
      <w:r w:rsidR="00774E0C">
        <w:t>’s</w:t>
      </w:r>
      <w:proofErr w:type="spellEnd"/>
      <w:r w:rsidR="00D366AC">
        <w:t xml:space="preserve"> account. </w:t>
      </w:r>
      <w:r w:rsidR="00B35793">
        <w:t xml:space="preserve"> </w:t>
      </w:r>
    </w:p>
    <w:p w14:paraId="5B97E857" w14:textId="45998A2B" w:rsidR="00EE0C3E" w:rsidRDefault="000B7F25" w:rsidP="000B7F25">
      <w:pPr>
        <w:pStyle w:val="1"/>
        <w:numPr>
          <w:ilvl w:val="0"/>
          <w:numId w:val="0"/>
        </w:numPr>
        <w:tabs>
          <w:tab w:val="left" w:pos="567"/>
        </w:tabs>
        <w:spacing w:line="360" w:lineRule="auto"/>
        <w:ind w:left="567" w:hanging="567"/>
      </w:pPr>
      <w:r>
        <w:t>[110]</w:t>
      </w:r>
      <w:r>
        <w:tab/>
      </w:r>
      <w:r w:rsidR="009F7A1C">
        <w:t>The appellant relied on these provisions to argue that Standard Bank</w:t>
      </w:r>
      <w:r w:rsidR="0040005A">
        <w:t>,</w:t>
      </w:r>
      <w:r w:rsidR="009F7A1C">
        <w:t xml:space="preserve"> as the collecting banker</w:t>
      </w:r>
      <w:r w:rsidR="0040005A">
        <w:t>,</w:t>
      </w:r>
      <w:r w:rsidR="009F7A1C">
        <w:t xml:space="preserve"> should be held liable to the true owner of the funds</w:t>
      </w:r>
      <w:r w:rsidR="0040005A">
        <w:t>,</w:t>
      </w:r>
      <w:r w:rsidR="009F7A1C">
        <w:t xml:space="preserve"> particularly where Standard Bank negligently credited an incorrect account and where the owner of the amount suffered damages. Even on the acceptance of this duty for argument</w:t>
      </w:r>
      <w:r w:rsidR="002D58B2">
        <w:t>’s sake</w:t>
      </w:r>
      <w:r w:rsidR="00D727D5">
        <w:t>,</w:t>
      </w:r>
      <w:r w:rsidR="009F7A1C">
        <w:t xml:space="preserve"> </w:t>
      </w:r>
      <w:r w:rsidR="00631CED">
        <w:t>the appellant had to prove negligence on the part of Standard Bank. As indicated hereinabove</w:t>
      </w:r>
      <w:r w:rsidR="009F7471">
        <w:t>,</w:t>
      </w:r>
      <w:r w:rsidR="00631CED">
        <w:t xml:space="preserve"> Standard Bank had opened the account after the required identification of the account holder was done. The payment into the </w:t>
      </w:r>
      <w:r w:rsidR="00631CED">
        <w:lastRenderedPageBreak/>
        <w:t>account was collected on the account number only</w:t>
      </w:r>
      <w:r w:rsidR="00CC1782">
        <w:t>,</w:t>
      </w:r>
      <w:r w:rsidR="00631CED">
        <w:t xml:space="preserve"> and not with reference to the account holder’s name. This is what the PASA rules require. Moreover, the appellant failed to prove on the papers that the payment instruction from his banker, ABSA Bank, informed Standard Bank that the money should be collected in an account with the name PF Daly. In this regard</w:t>
      </w:r>
      <w:r w:rsidR="00DD0804">
        <w:t>,</w:t>
      </w:r>
      <w:r w:rsidR="00631CED">
        <w:t xml:space="preserve"> the payment advice is not evidence that the instruction to Standard Bank included the name of the account</w:t>
      </w:r>
      <w:r w:rsidR="00AE717E">
        <w:t xml:space="preserve"> holder</w:t>
      </w:r>
      <w:r w:rsidR="00631CED">
        <w:t xml:space="preserve">. </w:t>
      </w:r>
    </w:p>
    <w:p w14:paraId="7625F202" w14:textId="43AFAD56" w:rsidR="00EB3C47" w:rsidRDefault="000B7F25" w:rsidP="000B7F25">
      <w:pPr>
        <w:pStyle w:val="1"/>
        <w:numPr>
          <w:ilvl w:val="0"/>
          <w:numId w:val="0"/>
        </w:numPr>
        <w:tabs>
          <w:tab w:val="left" w:pos="567"/>
        </w:tabs>
        <w:spacing w:line="360" w:lineRule="auto"/>
        <w:ind w:left="567" w:hanging="567"/>
      </w:pPr>
      <w:r>
        <w:t>[111]</w:t>
      </w:r>
      <w:r>
        <w:tab/>
      </w:r>
      <w:r w:rsidR="00F40526">
        <w:t>As referred to hereinabove t</w:t>
      </w:r>
      <w:r w:rsidR="001B4105">
        <w:t>he main thrust of the argument on behalf of</w:t>
      </w:r>
      <w:r w:rsidR="00AA0DDF">
        <w:t xml:space="preserve"> the</w:t>
      </w:r>
      <w:r w:rsidR="001B4105">
        <w:t xml:space="preserve"> appellant was to submit that </w:t>
      </w:r>
      <w:r w:rsidR="008F6500">
        <w:t xml:space="preserve">Standard Bank owed him a </w:t>
      </w:r>
      <w:r w:rsidR="001B4105">
        <w:t xml:space="preserve">duty of care with reference to the </w:t>
      </w:r>
      <w:r w:rsidR="001B4105">
        <w:rPr>
          <w:i/>
        </w:rPr>
        <w:t xml:space="preserve">EFT </w:t>
      </w:r>
      <w:r w:rsidR="001B4105">
        <w:t xml:space="preserve">case. </w:t>
      </w:r>
      <w:r w:rsidR="00364B73">
        <w:t>The a</w:t>
      </w:r>
      <w:r w:rsidR="001B4105">
        <w:t>ppellant averred that such duty should rest with the collecting banker (Standard Bank) to match the account number of the account with the name of the account</w:t>
      </w:r>
      <w:r w:rsidR="00437B0B">
        <w:t xml:space="preserve"> holder</w:t>
      </w:r>
      <w:r w:rsidR="001B4105">
        <w:t xml:space="preserve"> </w:t>
      </w:r>
      <w:r w:rsidR="00433EFB">
        <w:t xml:space="preserve">where </w:t>
      </w:r>
      <w:r w:rsidR="001B4105">
        <w:t xml:space="preserve">monies </w:t>
      </w:r>
      <w:r w:rsidR="00433EFB">
        <w:t>are</w:t>
      </w:r>
      <w:r w:rsidR="001B4105">
        <w:t xml:space="preserve"> transferred.  If this is not done</w:t>
      </w:r>
      <w:r w:rsidR="00AC6DED">
        <w:t>,</w:t>
      </w:r>
      <w:r w:rsidR="001B4105">
        <w:t xml:space="preserve"> then such duty is breached. Standard Bank has shown on the papers that this is not done in the banking industry in this country. This is not required by the PASA rules which is generally accepted. Such functionality exist on the </w:t>
      </w:r>
      <w:proofErr w:type="spellStart"/>
      <w:r w:rsidR="001B4105">
        <w:t>payor</w:t>
      </w:r>
      <w:proofErr w:type="spellEnd"/>
      <w:r w:rsidR="001B4105">
        <w:t xml:space="preserve"> bank’s internet banking platform (ABSA Bank which was the bank appellant used to do the transfer to Standard Bank) but that comes at a cost to the client of the </w:t>
      </w:r>
      <w:proofErr w:type="spellStart"/>
      <w:r w:rsidR="001B4105">
        <w:t>payor</w:t>
      </w:r>
      <w:proofErr w:type="spellEnd"/>
      <w:r w:rsidR="001B4105">
        <w:t xml:space="preserve"> bank. </w:t>
      </w:r>
    </w:p>
    <w:p w14:paraId="7361DDD3" w14:textId="25D6FCDF" w:rsidR="000075CD" w:rsidRDefault="000B7F25" w:rsidP="000B7F25">
      <w:pPr>
        <w:pStyle w:val="1"/>
        <w:numPr>
          <w:ilvl w:val="0"/>
          <w:numId w:val="0"/>
        </w:numPr>
        <w:tabs>
          <w:tab w:val="left" w:pos="567"/>
        </w:tabs>
        <w:spacing w:line="360" w:lineRule="auto"/>
        <w:ind w:left="567" w:hanging="567"/>
      </w:pPr>
      <w:r>
        <w:t>[112]</w:t>
      </w:r>
      <w:r>
        <w:tab/>
      </w:r>
      <w:proofErr w:type="gramStart"/>
      <w:r w:rsidR="00EE0C3E">
        <w:t>The</w:t>
      </w:r>
      <w:proofErr w:type="gramEnd"/>
      <w:r w:rsidR="00EE0C3E">
        <w:t xml:space="preserve"> appellant placed reliance on the decision in </w:t>
      </w:r>
      <w:proofErr w:type="spellStart"/>
      <w:r w:rsidR="00EE0C3E">
        <w:rPr>
          <w:i/>
        </w:rPr>
        <w:t>Indac</w:t>
      </w:r>
      <w:proofErr w:type="spellEnd"/>
      <w:r w:rsidR="00EE0C3E">
        <w:rPr>
          <w:i/>
        </w:rPr>
        <w:t xml:space="preserve"> </w:t>
      </w:r>
      <w:r w:rsidR="00D366AC">
        <w:rPr>
          <w:i/>
        </w:rPr>
        <w:t xml:space="preserve">Electronics (Pty) Ltd v </w:t>
      </w:r>
      <w:proofErr w:type="spellStart"/>
      <w:r w:rsidR="00D366AC">
        <w:rPr>
          <w:i/>
        </w:rPr>
        <w:t>Vo</w:t>
      </w:r>
      <w:r w:rsidR="00EE0C3E">
        <w:rPr>
          <w:i/>
        </w:rPr>
        <w:t>l</w:t>
      </w:r>
      <w:r w:rsidR="00D727D5">
        <w:rPr>
          <w:i/>
        </w:rPr>
        <w:t>kskas</w:t>
      </w:r>
      <w:proofErr w:type="spellEnd"/>
      <w:r w:rsidR="00D727D5">
        <w:rPr>
          <w:i/>
        </w:rPr>
        <w:t xml:space="preserve"> Bank Ltd</w:t>
      </w:r>
      <w:r w:rsidR="0088266E" w:rsidRPr="004143AE">
        <w:rPr>
          <w:rStyle w:val="FootnoteReference"/>
        </w:rPr>
        <w:footnoteReference w:id="16"/>
      </w:r>
      <w:r w:rsidR="00396959">
        <w:rPr>
          <w:i/>
        </w:rPr>
        <w:t xml:space="preserve">. </w:t>
      </w:r>
      <w:r w:rsidR="00D727D5">
        <w:t>In this matter it was found</w:t>
      </w:r>
      <w:r w:rsidR="00631CED">
        <w:t xml:space="preserve"> </w:t>
      </w:r>
      <w:r w:rsidR="000075CD">
        <w:t xml:space="preserve">that a collecting banker could be held liable under the extended </w:t>
      </w:r>
      <w:proofErr w:type="spellStart"/>
      <w:r w:rsidR="000075CD">
        <w:rPr>
          <w:i/>
        </w:rPr>
        <w:t>lex</w:t>
      </w:r>
      <w:proofErr w:type="spellEnd"/>
      <w:r w:rsidR="000075CD">
        <w:rPr>
          <w:i/>
        </w:rPr>
        <w:t xml:space="preserve"> </w:t>
      </w:r>
      <w:proofErr w:type="spellStart"/>
      <w:r w:rsidR="000075CD">
        <w:rPr>
          <w:i/>
        </w:rPr>
        <w:t>Aquilia</w:t>
      </w:r>
      <w:proofErr w:type="spellEnd"/>
      <w:r w:rsidR="000075CD">
        <w:rPr>
          <w:i/>
        </w:rPr>
        <w:t xml:space="preserve"> </w:t>
      </w:r>
      <w:r w:rsidR="000075CD">
        <w:t xml:space="preserve">for negligence to the true owner of a cheque, provided that all the elements or requirements for </w:t>
      </w:r>
      <w:proofErr w:type="spellStart"/>
      <w:r w:rsidR="000075CD">
        <w:rPr>
          <w:i/>
        </w:rPr>
        <w:t>Aquillian</w:t>
      </w:r>
      <w:proofErr w:type="spellEnd"/>
      <w:r w:rsidR="000075CD">
        <w:rPr>
          <w:i/>
        </w:rPr>
        <w:t xml:space="preserve"> </w:t>
      </w:r>
      <w:r w:rsidR="000075CD">
        <w:t xml:space="preserve">liability have been met. </w:t>
      </w:r>
    </w:p>
    <w:p w14:paraId="2DEBDB86" w14:textId="12ECE9EE" w:rsidR="005C4CEA" w:rsidRDefault="000B7F25" w:rsidP="000B7F25">
      <w:pPr>
        <w:pStyle w:val="1"/>
        <w:numPr>
          <w:ilvl w:val="0"/>
          <w:numId w:val="0"/>
        </w:numPr>
        <w:tabs>
          <w:tab w:val="left" w:pos="567"/>
        </w:tabs>
        <w:spacing w:line="360" w:lineRule="auto"/>
        <w:ind w:left="567" w:hanging="567"/>
      </w:pPr>
      <w:r>
        <w:t>[113]</w:t>
      </w:r>
      <w:r>
        <w:tab/>
      </w:r>
      <w:r w:rsidR="000272EF">
        <w:t xml:space="preserve">The </w:t>
      </w:r>
      <w:proofErr w:type="spellStart"/>
      <w:r w:rsidR="000075CD">
        <w:rPr>
          <w:i/>
        </w:rPr>
        <w:t>Indac</w:t>
      </w:r>
      <w:proofErr w:type="spellEnd"/>
      <w:r w:rsidR="000272EF">
        <w:rPr>
          <w:i/>
        </w:rPr>
        <w:t xml:space="preserve"> </w:t>
      </w:r>
      <w:r w:rsidR="002E08AA">
        <w:t>matter</w:t>
      </w:r>
      <w:r w:rsidR="000272EF">
        <w:t xml:space="preserve"> is distinguishable from the case in </w:t>
      </w:r>
      <w:proofErr w:type="spellStart"/>
      <w:r w:rsidR="000272EF" w:rsidRPr="004143AE">
        <w:rPr>
          <w:i/>
        </w:rPr>
        <w:t>casu</w:t>
      </w:r>
      <w:proofErr w:type="spellEnd"/>
      <w:r w:rsidR="0026056A">
        <w:rPr>
          <w:i/>
        </w:rPr>
        <w:t>,</w:t>
      </w:r>
      <w:r w:rsidR="000075CD">
        <w:rPr>
          <w:i/>
        </w:rPr>
        <w:t xml:space="preserve"> </w:t>
      </w:r>
      <w:r w:rsidR="000075CD">
        <w:t xml:space="preserve">the court </w:t>
      </w:r>
      <w:r w:rsidR="006A2BAC">
        <w:t xml:space="preserve">there </w:t>
      </w:r>
      <w:r w:rsidR="000075CD">
        <w:t>was dealing with a cheque</w:t>
      </w:r>
      <w:r w:rsidR="006A2BAC">
        <w:t>,</w:t>
      </w:r>
      <w:r w:rsidR="000075CD">
        <w:t xml:space="preserve"> which on the face of it gave certain instructions. This is different from </w:t>
      </w:r>
      <w:r w:rsidR="006A2BAC">
        <w:t xml:space="preserve">an </w:t>
      </w:r>
      <w:r w:rsidR="000075CD">
        <w:t xml:space="preserve">electronic transfer which occurs in an electronic environment with technological functionalities. Whether a particular duty will be imposed on a collecting bank in a case of electronic transfer will depend on a number of factors </w:t>
      </w:r>
      <w:r w:rsidR="000075CD">
        <w:lastRenderedPageBreak/>
        <w:t xml:space="preserve">including the likelihood of loss and the cost and practicability of taking measures to guard against </w:t>
      </w:r>
      <w:r w:rsidR="005C4CEA">
        <w:t xml:space="preserve">the loss. </w:t>
      </w:r>
    </w:p>
    <w:p w14:paraId="1F608A6E" w14:textId="453EBD31" w:rsidR="005C4CEA" w:rsidRDefault="000B7F25" w:rsidP="000B7F25">
      <w:pPr>
        <w:pStyle w:val="1"/>
        <w:numPr>
          <w:ilvl w:val="0"/>
          <w:numId w:val="0"/>
        </w:numPr>
        <w:tabs>
          <w:tab w:val="left" w:pos="567"/>
        </w:tabs>
        <w:spacing w:line="360" w:lineRule="auto"/>
        <w:ind w:left="567" w:hanging="567"/>
      </w:pPr>
      <w:r>
        <w:t>[114]</w:t>
      </w:r>
      <w:r>
        <w:tab/>
      </w:r>
      <w:r w:rsidR="005C4CEA">
        <w:t xml:space="preserve">As it was the appellant who contended for </w:t>
      </w:r>
      <w:proofErr w:type="spellStart"/>
      <w:r w:rsidR="005C4CEA">
        <w:t>delictual</w:t>
      </w:r>
      <w:proofErr w:type="spellEnd"/>
      <w:r w:rsidR="005C4CEA">
        <w:t xml:space="preserve"> liability, which requires the development of our law, it was for him to put up evidence to show that it would be affordable and practicable for Standard </w:t>
      </w:r>
      <w:r w:rsidR="005B26C4">
        <w:t>B</w:t>
      </w:r>
      <w:r w:rsidR="005C4CEA">
        <w:t>ank to take measures to guard against such loss. This required expert evidence which was lacking</w:t>
      </w:r>
      <w:r w:rsidR="00706D22">
        <w:t>,</w:t>
      </w:r>
      <w:r w:rsidR="005C4CEA">
        <w:t xml:space="preserve"> as the evidence of Mr Van </w:t>
      </w:r>
      <w:r w:rsidR="004F60AC">
        <w:t>D</w:t>
      </w:r>
      <w:r w:rsidR="005C4CEA">
        <w:t>e</w:t>
      </w:r>
      <w:r w:rsidR="004F60AC">
        <w:t>r</w:t>
      </w:r>
      <w:r w:rsidR="005C4CEA">
        <w:t xml:space="preserve"> </w:t>
      </w:r>
      <w:proofErr w:type="spellStart"/>
      <w:r w:rsidR="005C4CEA">
        <w:t>Molen</w:t>
      </w:r>
      <w:proofErr w:type="spellEnd"/>
      <w:r w:rsidR="005C4CEA">
        <w:t xml:space="preserve"> fell way short in this regard. Moreover, he is not an expert in this regard.</w:t>
      </w:r>
      <w:r w:rsidR="005C4CEA">
        <w:rPr>
          <w:rStyle w:val="FootnoteReference"/>
        </w:rPr>
        <w:footnoteReference w:id="17"/>
      </w:r>
    </w:p>
    <w:p w14:paraId="1F7DB3AD" w14:textId="5D375F8E" w:rsidR="00EB3C47" w:rsidRDefault="000B7F25" w:rsidP="000B7F25">
      <w:pPr>
        <w:pStyle w:val="1"/>
        <w:numPr>
          <w:ilvl w:val="0"/>
          <w:numId w:val="0"/>
        </w:numPr>
        <w:tabs>
          <w:tab w:val="left" w:pos="567"/>
        </w:tabs>
        <w:spacing w:line="360" w:lineRule="auto"/>
        <w:ind w:left="567" w:hanging="567"/>
      </w:pPr>
      <w:r>
        <w:t>[115]</w:t>
      </w:r>
      <w:r>
        <w:tab/>
      </w:r>
      <w:proofErr w:type="gramStart"/>
      <w:r w:rsidR="005C4CEA">
        <w:t>T</w:t>
      </w:r>
      <w:r w:rsidR="00EB3C47">
        <w:t>he</w:t>
      </w:r>
      <w:proofErr w:type="gramEnd"/>
      <w:r w:rsidR="00EB3C47">
        <w:t xml:space="preserve"> appellant expected</w:t>
      </w:r>
      <w:r w:rsidR="005C4CEA">
        <w:t xml:space="preserve"> from the court </w:t>
      </w:r>
      <w:r w:rsidR="005C4CEA">
        <w:rPr>
          <w:i/>
        </w:rPr>
        <w:t xml:space="preserve">a quo </w:t>
      </w:r>
      <w:r w:rsidR="005C4CEA">
        <w:t xml:space="preserve">to develop the common law without any knowledge of the consequences should it do so. The appellant wanted the court to go beyond the PASA rules </w:t>
      </w:r>
      <w:r w:rsidR="009735F7">
        <w:t xml:space="preserve">and to impose an obligation that those rules do not themselves contemplate. </w:t>
      </w:r>
      <w:r w:rsidR="005C4CEA">
        <w:t xml:space="preserve"> </w:t>
      </w:r>
      <w:r w:rsidR="00EB3C47">
        <w:t>When</w:t>
      </w:r>
      <w:r w:rsidR="005C4CEA">
        <w:t xml:space="preserve"> the appellant</w:t>
      </w:r>
      <w:r w:rsidR="00EB3C47">
        <w:t xml:space="preserve"> realised the shortcomings in his case on paper</w:t>
      </w:r>
      <w:r w:rsidR="00D836CA">
        <w:t>,</w:t>
      </w:r>
      <w:r w:rsidR="00EB3C47">
        <w:t xml:space="preserve"> he</w:t>
      </w:r>
      <w:r w:rsidR="005C4CEA">
        <w:t xml:space="preserve"> wanted the court to refer </w:t>
      </w:r>
      <w:r w:rsidR="00EB3C47">
        <w:t xml:space="preserve">the matter to trial to </w:t>
      </w:r>
      <w:r w:rsidR="00D836CA">
        <w:t>bolster</w:t>
      </w:r>
      <w:r w:rsidR="00EB3C47">
        <w:t xml:space="preserve"> his case. </w:t>
      </w:r>
    </w:p>
    <w:p w14:paraId="2BC51AA9" w14:textId="7666B4EA" w:rsidR="004541EB" w:rsidRDefault="000B7F25" w:rsidP="000B7F25">
      <w:pPr>
        <w:pStyle w:val="1"/>
        <w:numPr>
          <w:ilvl w:val="0"/>
          <w:numId w:val="0"/>
        </w:numPr>
        <w:tabs>
          <w:tab w:val="left" w:pos="567"/>
        </w:tabs>
        <w:spacing w:line="360" w:lineRule="auto"/>
        <w:ind w:left="567" w:hanging="567"/>
      </w:pPr>
      <w:r>
        <w:t>[116]</w:t>
      </w:r>
      <w:r>
        <w:tab/>
      </w:r>
      <w:r w:rsidR="00EB3C47">
        <w:t xml:space="preserve">In my view, insufficient evidence was placed before the court </w:t>
      </w:r>
      <w:r w:rsidR="00EB3C47">
        <w:rPr>
          <w:i/>
        </w:rPr>
        <w:t xml:space="preserve">a quo </w:t>
      </w:r>
      <w:r w:rsidR="00EB3C47">
        <w:t>to find wrongfulness or negligence on the part of</w:t>
      </w:r>
      <w:r w:rsidR="004E2BC7">
        <w:t xml:space="preserve"> Standard Bank to establish a </w:t>
      </w:r>
      <w:proofErr w:type="spellStart"/>
      <w:r w:rsidR="004E2BC7">
        <w:t>de</w:t>
      </w:r>
      <w:r w:rsidR="00EB3C47">
        <w:t>lictual</w:t>
      </w:r>
      <w:proofErr w:type="spellEnd"/>
      <w:r w:rsidR="00EB3C47">
        <w:t xml:space="preserve"> liability in favour of appellant</w:t>
      </w:r>
      <w:r w:rsidR="004E2BC7">
        <w:t>.</w:t>
      </w:r>
      <w:r w:rsidR="000075CD">
        <w:t xml:space="preserve"> </w:t>
      </w:r>
      <w:r w:rsidR="00631CED">
        <w:t xml:space="preserve">  </w:t>
      </w:r>
      <w:r w:rsidR="004B4470">
        <w:t xml:space="preserve"> </w:t>
      </w:r>
      <w:r w:rsidR="004541EB">
        <w:t xml:space="preserve"> </w:t>
      </w:r>
    </w:p>
    <w:p w14:paraId="27DE0E80" w14:textId="4E35861C" w:rsidR="00B53FAF" w:rsidRDefault="000B7F25" w:rsidP="000B7F25">
      <w:pPr>
        <w:pStyle w:val="1"/>
        <w:numPr>
          <w:ilvl w:val="0"/>
          <w:numId w:val="0"/>
        </w:numPr>
        <w:tabs>
          <w:tab w:val="left" w:pos="567"/>
        </w:tabs>
        <w:spacing w:line="360" w:lineRule="auto"/>
        <w:ind w:left="567" w:hanging="567"/>
      </w:pPr>
      <w:r>
        <w:t>[117]</w:t>
      </w:r>
      <w:r>
        <w:tab/>
      </w:r>
      <w:r w:rsidR="00B53FAF">
        <w:t>There is no need for this court to decide whether the requirements contained in FICA establish a duty owed to the public, and if breached</w:t>
      </w:r>
      <w:r w:rsidR="00533B31">
        <w:t>,</w:t>
      </w:r>
      <w:r w:rsidR="00B53FAF">
        <w:t xml:space="preserve"> </w:t>
      </w:r>
      <w:r w:rsidR="00533B31">
        <w:t>whether that</w:t>
      </w:r>
      <w:r w:rsidR="00B53FAF">
        <w:t xml:space="preserve"> constitute</w:t>
      </w:r>
      <w:r w:rsidR="00533B31">
        <w:t>s</w:t>
      </w:r>
      <w:r w:rsidR="00B53FAF">
        <w:t xml:space="preserve"> wrongfulness for purposes of a claim in </w:t>
      </w:r>
      <w:proofErr w:type="spellStart"/>
      <w:r w:rsidR="00B53FAF">
        <w:t>delict</w:t>
      </w:r>
      <w:proofErr w:type="spellEnd"/>
      <w:r w:rsidR="00B53FAF">
        <w:t xml:space="preserve">. The reason </w:t>
      </w:r>
      <w:r w:rsidR="00B83B04">
        <w:t>for this is that</w:t>
      </w:r>
      <w:r w:rsidR="00B53FAF">
        <w:t xml:space="preserve"> there is no evidence to support a finding that the FICA requirements were negligently breached.  </w:t>
      </w:r>
    </w:p>
    <w:p w14:paraId="458D55BD" w14:textId="7C01054E" w:rsidR="00B53FAF" w:rsidRDefault="000B7F25" w:rsidP="000B7F25">
      <w:pPr>
        <w:pStyle w:val="1"/>
        <w:numPr>
          <w:ilvl w:val="0"/>
          <w:numId w:val="0"/>
        </w:numPr>
        <w:tabs>
          <w:tab w:val="left" w:pos="567"/>
        </w:tabs>
        <w:spacing w:line="360" w:lineRule="auto"/>
        <w:ind w:left="567" w:hanging="567"/>
      </w:pPr>
      <w:r>
        <w:t>[118]</w:t>
      </w:r>
      <w:r>
        <w:tab/>
      </w:r>
      <w:r w:rsidR="004E2BC7">
        <w:t xml:space="preserve"> </w:t>
      </w:r>
      <w:proofErr w:type="gramStart"/>
      <w:r w:rsidR="004E2BC7">
        <w:t>The</w:t>
      </w:r>
      <w:proofErr w:type="gramEnd"/>
      <w:r w:rsidR="004E2BC7">
        <w:t xml:space="preserve"> appeal against the decision of the court </w:t>
      </w:r>
      <w:r w:rsidR="004E2BC7">
        <w:rPr>
          <w:i/>
        </w:rPr>
        <w:t xml:space="preserve">a quo </w:t>
      </w:r>
      <w:r w:rsidR="004E2BC7">
        <w:t>in relation to the third party claim against Standard B</w:t>
      </w:r>
      <w:r w:rsidR="008B7E2A">
        <w:t>ank should be dismissed</w:t>
      </w:r>
      <w:r w:rsidR="004E2BC7">
        <w:t xml:space="preserve"> with costs, including the cost of two counsel. </w:t>
      </w:r>
    </w:p>
    <w:p w14:paraId="092675A8" w14:textId="0986308B" w:rsidR="004E2BC7" w:rsidRDefault="000B7F25" w:rsidP="000B7F25">
      <w:pPr>
        <w:pStyle w:val="1"/>
        <w:numPr>
          <w:ilvl w:val="0"/>
          <w:numId w:val="0"/>
        </w:numPr>
        <w:tabs>
          <w:tab w:val="left" w:pos="567"/>
        </w:tabs>
        <w:spacing w:line="360" w:lineRule="auto"/>
        <w:ind w:left="567" w:hanging="567"/>
      </w:pPr>
      <w:r>
        <w:t>[119]</w:t>
      </w:r>
      <w:r>
        <w:tab/>
      </w:r>
      <w:proofErr w:type="gramStart"/>
      <w:r w:rsidR="004E2BC7">
        <w:t>The</w:t>
      </w:r>
      <w:proofErr w:type="gramEnd"/>
      <w:r w:rsidR="004E2BC7">
        <w:t xml:space="preserve"> following order is made: </w:t>
      </w:r>
    </w:p>
    <w:p w14:paraId="56F5E3C6" w14:textId="5140331A" w:rsidR="004E2BC7" w:rsidRDefault="0041216C" w:rsidP="004143AE">
      <w:pPr>
        <w:pStyle w:val="1"/>
        <w:numPr>
          <w:ilvl w:val="0"/>
          <w:numId w:val="0"/>
        </w:numPr>
        <w:spacing w:line="360" w:lineRule="auto"/>
        <w:ind w:left="1437" w:hanging="870"/>
      </w:pPr>
      <w:r>
        <w:lastRenderedPageBreak/>
        <w:t>1.</w:t>
      </w:r>
      <w:r>
        <w:tab/>
      </w:r>
      <w:r w:rsidR="004E2BC7">
        <w:t>The appeal is dismissed with costs, including cost</w:t>
      </w:r>
      <w:r>
        <w:t>s</w:t>
      </w:r>
      <w:r w:rsidR="004E2BC7">
        <w:t xml:space="preserve"> of senior and junior counsel, when so employed. </w:t>
      </w:r>
    </w:p>
    <w:p w14:paraId="67204CEC" w14:textId="27E19916" w:rsidR="00CC44A0" w:rsidRDefault="00CC44A0" w:rsidP="004E2BC7">
      <w:pPr>
        <w:pStyle w:val="1"/>
        <w:numPr>
          <w:ilvl w:val="0"/>
          <w:numId w:val="0"/>
        </w:numPr>
        <w:ind w:left="567"/>
      </w:pPr>
    </w:p>
    <w:p w14:paraId="0E6C8398" w14:textId="1C653B55" w:rsidR="00CC44A0" w:rsidRPr="00E5229E" w:rsidRDefault="00E5229E" w:rsidP="00E5229E">
      <w:pPr>
        <w:spacing w:line="360" w:lineRule="auto"/>
        <w:jc w:val="right"/>
        <w:rPr>
          <w:rFonts w:ascii="Times New Roman" w:hAnsi="Times New Roman"/>
          <w:sz w:val="20"/>
          <w:szCs w:val="20"/>
          <w:lang w:val="en-ZA"/>
        </w:rPr>
      </w:pPr>
      <w:r>
        <w:rPr>
          <w:rFonts w:ascii="Calibri" w:hAnsi="Calibri"/>
          <w:noProof/>
          <w:sz w:val="20"/>
          <w:szCs w:val="20"/>
          <w:lang w:val="en-ZA"/>
        </w:rPr>
        <w:t>_________</w:t>
      </w:r>
      <w:r w:rsidR="00CC44A0" w:rsidRPr="00E5229E">
        <w:rPr>
          <w:rFonts w:ascii="Calibri" w:hAnsi="Calibri"/>
          <w:noProof/>
          <w:sz w:val="20"/>
          <w:szCs w:val="20"/>
          <w:lang w:val="en-ZA"/>
        </w:rPr>
        <w:t>_______________________</w:t>
      </w:r>
    </w:p>
    <w:p w14:paraId="74011E0E" w14:textId="5D818B61" w:rsidR="00CC44A0" w:rsidRPr="00E5229E" w:rsidRDefault="00E5229E" w:rsidP="00E5229E">
      <w:pPr>
        <w:jc w:val="center"/>
        <w:rPr>
          <w:rFonts w:cs="Arial"/>
          <w:b/>
          <w:sz w:val="20"/>
          <w:szCs w:val="20"/>
          <w:lang w:val="en-ZA"/>
        </w:rPr>
      </w:pPr>
      <w:r w:rsidRPr="00E5229E">
        <w:rPr>
          <w:rFonts w:cs="Arial"/>
          <w:sz w:val="20"/>
          <w:szCs w:val="20"/>
          <w:lang w:val="en-ZA"/>
        </w:rPr>
        <w:t xml:space="preserve">                                                    </w:t>
      </w:r>
      <w:r>
        <w:rPr>
          <w:rFonts w:cs="Arial"/>
          <w:sz w:val="20"/>
          <w:szCs w:val="20"/>
          <w:lang w:val="en-ZA"/>
        </w:rPr>
        <w:t xml:space="preserve">                           </w:t>
      </w:r>
      <w:r w:rsidR="00CC44A0" w:rsidRPr="00E5229E">
        <w:rPr>
          <w:rFonts w:cs="Arial"/>
          <w:b/>
          <w:sz w:val="20"/>
          <w:szCs w:val="20"/>
          <w:lang w:val="en-ZA"/>
        </w:rPr>
        <w:t>R</w:t>
      </w:r>
      <w:r w:rsidRPr="00E5229E">
        <w:rPr>
          <w:rFonts w:cs="Arial"/>
          <w:b/>
          <w:sz w:val="20"/>
          <w:szCs w:val="20"/>
          <w:lang w:val="en-ZA"/>
        </w:rPr>
        <w:t>ÉAN</w:t>
      </w:r>
      <w:r w:rsidR="00CC44A0" w:rsidRPr="00E5229E">
        <w:rPr>
          <w:rFonts w:cs="Arial"/>
          <w:b/>
          <w:sz w:val="20"/>
          <w:szCs w:val="20"/>
          <w:lang w:val="en-ZA"/>
        </w:rPr>
        <w:t>. STRYDOM</w:t>
      </w:r>
    </w:p>
    <w:p w14:paraId="69EAF5FF" w14:textId="632CE733" w:rsidR="00CC44A0" w:rsidRPr="00E5229E" w:rsidRDefault="00E5229E" w:rsidP="00E5229E">
      <w:pPr>
        <w:jc w:val="left"/>
        <w:rPr>
          <w:rFonts w:cs="Arial"/>
          <w:b/>
          <w:sz w:val="20"/>
          <w:szCs w:val="20"/>
          <w:lang w:val="en-ZA"/>
        </w:rPr>
      </w:pPr>
      <w:r w:rsidRPr="00E5229E">
        <w:rPr>
          <w:rFonts w:cs="Arial"/>
          <w:b/>
          <w:sz w:val="20"/>
          <w:szCs w:val="20"/>
          <w:lang w:val="en-ZA"/>
        </w:rPr>
        <w:t xml:space="preserve">                                                                                           </w:t>
      </w:r>
      <w:r w:rsidRPr="00E5229E">
        <w:rPr>
          <w:rFonts w:cs="Arial"/>
          <w:b/>
          <w:sz w:val="20"/>
          <w:szCs w:val="20"/>
          <w:lang w:val="en-ZA"/>
        </w:rPr>
        <w:tab/>
        <w:t xml:space="preserve"> </w:t>
      </w:r>
      <w:r w:rsidR="00CC44A0" w:rsidRPr="00E5229E">
        <w:rPr>
          <w:rFonts w:cs="Arial"/>
          <w:b/>
          <w:sz w:val="20"/>
          <w:szCs w:val="20"/>
          <w:lang w:val="en-ZA"/>
        </w:rPr>
        <w:t>JUDGE OF THE HIGH COURT</w:t>
      </w:r>
    </w:p>
    <w:p w14:paraId="420D6477" w14:textId="5448D01F" w:rsidR="00E5229E" w:rsidRPr="00E5229E" w:rsidRDefault="00E5229E" w:rsidP="00E5229E">
      <w:pPr>
        <w:ind w:left="5040" w:firstLine="720"/>
        <w:rPr>
          <w:rFonts w:cs="Arial"/>
          <w:b/>
          <w:sz w:val="20"/>
          <w:szCs w:val="20"/>
          <w:lang w:val="en-ZA"/>
        </w:rPr>
      </w:pPr>
      <w:r w:rsidRPr="00E5229E">
        <w:rPr>
          <w:rFonts w:cs="Arial"/>
          <w:b/>
          <w:sz w:val="20"/>
          <w:szCs w:val="20"/>
          <w:lang w:val="en-ZA"/>
        </w:rPr>
        <w:t>GAUTENG LOCAL DIVISION</w:t>
      </w:r>
    </w:p>
    <w:p w14:paraId="0865170C" w14:textId="6AFE968C" w:rsidR="00E5229E" w:rsidRPr="00E5229E" w:rsidRDefault="00E5229E" w:rsidP="00E5229E">
      <w:pPr>
        <w:ind w:left="5040" w:firstLine="720"/>
        <w:rPr>
          <w:rFonts w:cs="Arial"/>
          <w:sz w:val="20"/>
          <w:szCs w:val="20"/>
          <w:lang w:val="en-ZA"/>
        </w:rPr>
      </w:pPr>
      <w:r w:rsidRPr="00E5229E">
        <w:rPr>
          <w:rFonts w:cs="Arial"/>
          <w:b/>
          <w:sz w:val="20"/>
          <w:szCs w:val="20"/>
          <w:lang w:val="en-ZA"/>
        </w:rPr>
        <w:t>JOHANNEBURG</w:t>
      </w:r>
    </w:p>
    <w:p w14:paraId="75EC1BAA" w14:textId="18751996" w:rsidR="00CC44A0" w:rsidRDefault="00CC44A0" w:rsidP="00CC44A0">
      <w:pPr>
        <w:spacing w:before="240" w:line="480" w:lineRule="auto"/>
        <w:jc w:val="right"/>
        <w:rPr>
          <w:iCs/>
          <w:color w:val="000000"/>
          <w:szCs w:val="22"/>
        </w:rPr>
      </w:pPr>
    </w:p>
    <w:p w14:paraId="3CCA187B" w14:textId="102AE1F6" w:rsidR="00E5229E" w:rsidRDefault="00E5229E" w:rsidP="00E5229E">
      <w:pPr>
        <w:ind w:left="3600" w:firstLine="720"/>
        <w:jc w:val="right"/>
        <w:rPr>
          <w:rFonts w:cs="Arial"/>
          <w:b/>
          <w:sz w:val="20"/>
          <w:szCs w:val="20"/>
          <w:lang w:val="en-ZA"/>
        </w:rPr>
      </w:pPr>
      <w:r>
        <w:rPr>
          <w:rFonts w:cs="Arial"/>
          <w:b/>
          <w:sz w:val="20"/>
          <w:szCs w:val="20"/>
          <w:lang w:val="en-ZA"/>
        </w:rPr>
        <w:t>____________________________</w:t>
      </w:r>
    </w:p>
    <w:p w14:paraId="67D0CA07" w14:textId="12B6F9E3" w:rsidR="00E5229E" w:rsidRPr="00E5229E" w:rsidRDefault="00E5229E" w:rsidP="00E5229E">
      <w:pPr>
        <w:ind w:left="3600" w:firstLine="720"/>
        <w:jc w:val="center"/>
        <w:rPr>
          <w:rFonts w:cs="Arial"/>
          <w:b/>
          <w:sz w:val="22"/>
          <w:szCs w:val="22"/>
          <w:lang w:val="en-ZA"/>
        </w:rPr>
      </w:pPr>
      <w:r>
        <w:rPr>
          <w:rFonts w:cs="Arial"/>
          <w:b/>
          <w:sz w:val="22"/>
          <w:szCs w:val="22"/>
          <w:lang w:val="en-ZA"/>
        </w:rPr>
        <w:t xml:space="preserve">M. M </w:t>
      </w:r>
      <w:r w:rsidRPr="00E5229E">
        <w:rPr>
          <w:rFonts w:cs="Arial"/>
          <w:b/>
          <w:sz w:val="22"/>
          <w:szCs w:val="22"/>
          <w:lang w:val="en-ZA"/>
        </w:rPr>
        <w:t>MABESELE</w:t>
      </w:r>
    </w:p>
    <w:p w14:paraId="4FE35618" w14:textId="77777777" w:rsidR="00E5229E" w:rsidRPr="00E5229E" w:rsidRDefault="00E5229E" w:rsidP="00E5229E">
      <w:pPr>
        <w:jc w:val="left"/>
        <w:rPr>
          <w:rFonts w:cs="Arial"/>
          <w:b/>
          <w:sz w:val="22"/>
          <w:szCs w:val="22"/>
          <w:lang w:val="en-ZA"/>
        </w:rPr>
      </w:pPr>
      <w:r w:rsidRPr="00E5229E">
        <w:rPr>
          <w:rFonts w:cs="Arial"/>
          <w:b/>
          <w:sz w:val="22"/>
          <w:szCs w:val="22"/>
          <w:lang w:val="en-ZA"/>
        </w:rPr>
        <w:t xml:space="preserve">                                                                                           </w:t>
      </w:r>
      <w:r w:rsidRPr="00E5229E">
        <w:rPr>
          <w:rFonts w:cs="Arial"/>
          <w:b/>
          <w:sz w:val="22"/>
          <w:szCs w:val="22"/>
          <w:lang w:val="en-ZA"/>
        </w:rPr>
        <w:tab/>
        <w:t xml:space="preserve"> JUDGE OF THE HIGH COURT</w:t>
      </w:r>
    </w:p>
    <w:p w14:paraId="68406F20" w14:textId="77777777" w:rsidR="00E5229E" w:rsidRPr="00E5229E" w:rsidRDefault="00E5229E" w:rsidP="00E5229E">
      <w:pPr>
        <w:ind w:left="5040" w:firstLine="720"/>
        <w:rPr>
          <w:rFonts w:cs="Arial"/>
          <w:b/>
          <w:sz w:val="22"/>
          <w:szCs w:val="22"/>
          <w:lang w:val="en-ZA"/>
        </w:rPr>
      </w:pPr>
      <w:r w:rsidRPr="00E5229E">
        <w:rPr>
          <w:rFonts w:cs="Arial"/>
          <w:b/>
          <w:sz w:val="22"/>
          <w:szCs w:val="22"/>
          <w:lang w:val="en-ZA"/>
        </w:rPr>
        <w:t>GAUTENG LOCAL DIVISION</w:t>
      </w:r>
    </w:p>
    <w:p w14:paraId="5F635C98" w14:textId="7C0A8DE9" w:rsidR="00A3347F" w:rsidRDefault="00E5229E" w:rsidP="00E5229E">
      <w:pPr>
        <w:ind w:left="5040" w:firstLine="720"/>
        <w:rPr>
          <w:rFonts w:cs="Arial"/>
          <w:b/>
          <w:sz w:val="20"/>
          <w:szCs w:val="20"/>
          <w:lang w:val="en-ZA"/>
        </w:rPr>
      </w:pPr>
      <w:r w:rsidRPr="00E5229E">
        <w:rPr>
          <w:rFonts w:cs="Arial"/>
          <w:b/>
          <w:sz w:val="22"/>
          <w:szCs w:val="22"/>
          <w:lang w:val="en-ZA"/>
        </w:rPr>
        <w:t>JOHANNEBURG</w:t>
      </w:r>
    </w:p>
    <w:p w14:paraId="3BF31204" w14:textId="408CC87B" w:rsidR="00E5229E" w:rsidRDefault="00E5229E" w:rsidP="00E5229E">
      <w:pPr>
        <w:ind w:left="5040" w:firstLine="720"/>
        <w:rPr>
          <w:rFonts w:cs="Arial"/>
          <w:b/>
          <w:sz w:val="20"/>
          <w:szCs w:val="20"/>
          <w:lang w:val="en-ZA"/>
        </w:rPr>
      </w:pPr>
    </w:p>
    <w:p w14:paraId="73F3F23E" w14:textId="18155DD7" w:rsidR="00E5229E" w:rsidRPr="00E5229E" w:rsidRDefault="00E5229E" w:rsidP="00360B0B">
      <w:pPr>
        <w:jc w:val="left"/>
        <w:rPr>
          <w:iCs/>
          <w:color w:val="000000"/>
          <w:szCs w:val="22"/>
        </w:rPr>
      </w:pPr>
      <w:r w:rsidRPr="00E5229E">
        <w:rPr>
          <w:rFonts w:cs="Arial"/>
          <w:lang w:val="en-ZA"/>
        </w:rPr>
        <w:t>I agree</w:t>
      </w:r>
      <w:r>
        <w:rPr>
          <w:rFonts w:cs="Arial"/>
          <w:sz w:val="20"/>
          <w:szCs w:val="20"/>
          <w:lang w:val="en-ZA"/>
        </w:rPr>
        <w:t>,</w:t>
      </w:r>
    </w:p>
    <w:p w14:paraId="7D377E02" w14:textId="5D1BD0E9" w:rsidR="00A3347F" w:rsidRDefault="00A3347F" w:rsidP="004143AE">
      <w:pPr>
        <w:spacing w:line="360" w:lineRule="auto"/>
        <w:jc w:val="right"/>
        <w:rPr>
          <w:rFonts w:cs="Arial"/>
          <w:lang w:val="en-US" w:eastAsia="en-ZA"/>
        </w:rPr>
      </w:pPr>
    </w:p>
    <w:p w14:paraId="0F2A56CF" w14:textId="5E03910C" w:rsidR="00A3347F" w:rsidRDefault="00A3347F" w:rsidP="004143AE">
      <w:pPr>
        <w:spacing w:line="360" w:lineRule="auto"/>
        <w:jc w:val="right"/>
        <w:rPr>
          <w:rFonts w:cs="Arial"/>
          <w:lang w:val="en-US" w:eastAsia="en-ZA"/>
        </w:rPr>
      </w:pPr>
    </w:p>
    <w:p w14:paraId="49E06568" w14:textId="1C117613" w:rsidR="00A3347F" w:rsidRDefault="00A3347F" w:rsidP="004143AE">
      <w:pPr>
        <w:spacing w:line="360" w:lineRule="auto"/>
        <w:jc w:val="right"/>
        <w:rPr>
          <w:rFonts w:cs="Arial"/>
          <w:lang w:val="en-US" w:eastAsia="en-ZA"/>
        </w:rPr>
      </w:pPr>
      <w:r>
        <w:rPr>
          <w:rFonts w:cs="Arial"/>
          <w:lang w:val="en-US" w:eastAsia="en-ZA"/>
        </w:rPr>
        <w:t>___________________</w:t>
      </w:r>
    </w:p>
    <w:p w14:paraId="64EB71DE" w14:textId="05727C5E" w:rsidR="00A3347F" w:rsidRPr="00E5229E" w:rsidRDefault="00E5229E" w:rsidP="00E5229E">
      <w:pPr>
        <w:jc w:val="right"/>
        <w:rPr>
          <w:rFonts w:cs="Arial"/>
          <w:b/>
          <w:lang w:val="en-US" w:eastAsia="en-ZA"/>
        </w:rPr>
      </w:pPr>
      <w:r w:rsidRPr="00E5229E">
        <w:rPr>
          <w:rFonts w:cs="Arial"/>
          <w:b/>
          <w:lang w:val="en-US" w:eastAsia="en-ZA"/>
        </w:rPr>
        <w:t xml:space="preserve">J. J </w:t>
      </w:r>
      <w:proofErr w:type="spellStart"/>
      <w:r w:rsidRPr="00E5229E">
        <w:rPr>
          <w:rFonts w:cs="Arial"/>
          <w:b/>
          <w:lang w:val="en-US" w:eastAsia="en-ZA"/>
        </w:rPr>
        <w:t>Strijdom</w:t>
      </w:r>
      <w:proofErr w:type="spellEnd"/>
    </w:p>
    <w:p w14:paraId="1419E822" w14:textId="6EA7A05E" w:rsidR="00E5229E" w:rsidRPr="00E5229E" w:rsidRDefault="00E5229E" w:rsidP="00E5229E">
      <w:pPr>
        <w:jc w:val="right"/>
        <w:rPr>
          <w:rFonts w:cs="Arial"/>
          <w:b/>
          <w:lang w:val="en-US" w:eastAsia="en-ZA"/>
        </w:rPr>
      </w:pPr>
      <w:r w:rsidRPr="00E5229E">
        <w:rPr>
          <w:rFonts w:cs="Arial"/>
          <w:b/>
          <w:lang w:val="en-US" w:eastAsia="en-ZA"/>
        </w:rPr>
        <w:t>Acting Judge of the High court</w:t>
      </w:r>
    </w:p>
    <w:p w14:paraId="2FC0232C" w14:textId="587C1413" w:rsidR="00E5229E" w:rsidRPr="00E5229E" w:rsidRDefault="00E5229E" w:rsidP="00E5229E">
      <w:pPr>
        <w:jc w:val="right"/>
        <w:rPr>
          <w:rFonts w:cs="Arial"/>
          <w:b/>
          <w:lang w:val="en-US" w:eastAsia="en-ZA"/>
        </w:rPr>
      </w:pPr>
      <w:r w:rsidRPr="00E5229E">
        <w:rPr>
          <w:rFonts w:cs="Arial"/>
          <w:b/>
          <w:lang w:val="en-US" w:eastAsia="en-ZA"/>
        </w:rPr>
        <w:t>Gauteng Local Division</w:t>
      </w:r>
    </w:p>
    <w:p w14:paraId="7E20210B" w14:textId="7C82AFE5" w:rsidR="00E5229E" w:rsidRDefault="00360B0B" w:rsidP="00E5229E">
      <w:pPr>
        <w:jc w:val="right"/>
        <w:rPr>
          <w:rFonts w:cs="Arial"/>
          <w:b/>
          <w:lang w:val="en-US" w:eastAsia="en-ZA"/>
        </w:rPr>
      </w:pPr>
      <w:r w:rsidRPr="00E5229E">
        <w:rPr>
          <w:rFonts w:cs="Arial"/>
          <w:b/>
          <w:lang w:val="en-US" w:eastAsia="en-ZA"/>
        </w:rPr>
        <w:t>Johannesburg</w:t>
      </w:r>
    </w:p>
    <w:p w14:paraId="137FD9C8" w14:textId="77777777" w:rsidR="00E5229E" w:rsidRDefault="00E5229E" w:rsidP="004143AE">
      <w:pPr>
        <w:spacing w:line="360" w:lineRule="auto"/>
        <w:jc w:val="right"/>
        <w:rPr>
          <w:rFonts w:cs="Arial"/>
          <w:lang w:val="en-US" w:eastAsia="en-ZA"/>
        </w:rPr>
      </w:pPr>
    </w:p>
    <w:p w14:paraId="25B91391" w14:textId="31C77F19" w:rsidR="00A3347F" w:rsidRDefault="00A3347F" w:rsidP="00360B0B">
      <w:pPr>
        <w:spacing w:line="360" w:lineRule="auto"/>
        <w:rPr>
          <w:rFonts w:cs="Arial"/>
          <w:lang w:val="en-US" w:eastAsia="en-ZA"/>
        </w:rPr>
      </w:pPr>
      <w:r>
        <w:rPr>
          <w:rFonts w:cs="Arial"/>
          <w:lang w:val="en-US" w:eastAsia="en-ZA"/>
        </w:rPr>
        <w:t>I agree</w:t>
      </w:r>
    </w:p>
    <w:p w14:paraId="4D63A66B" w14:textId="7317183D" w:rsidR="00A3347F" w:rsidRDefault="00A3347F" w:rsidP="004143AE">
      <w:pPr>
        <w:spacing w:line="360" w:lineRule="auto"/>
        <w:jc w:val="right"/>
        <w:rPr>
          <w:rFonts w:cs="Arial"/>
          <w:lang w:val="en-US" w:eastAsia="en-ZA"/>
        </w:rPr>
      </w:pPr>
    </w:p>
    <w:p w14:paraId="263537DB" w14:textId="77777777" w:rsidR="00360B0B" w:rsidRDefault="00360B0B" w:rsidP="000E6C33">
      <w:pPr>
        <w:spacing w:line="360" w:lineRule="auto"/>
        <w:rPr>
          <w:rFonts w:cs="Arial"/>
          <w:lang w:val="en-US" w:eastAsia="en-ZA"/>
        </w:rPr>
      </w:pPr>
      <w:bookmarkStart w:id="1" w:name="_GoBack"/>
      <w:bookmarkEnd w:id="1"/>
    </w:p>
    <w:p w14:paraId="3A015BE9" w14:textId="77777777" w:rsidR="00A3347F" w:rsidRDefault="00A3347F" w:rsidP="00CC44A0">
      <w:pPr>
        <w:spacing w:line="360" w:lineRule="auto"/>
        <w:rPr>
          <w:rFonts w:cs="Arial"/>
          <w:lang w:val="en-US" w:eastAsia="en-ZA"/>
        </w:rPr>
      </w:pPr>
    </w:p>
    <w:p w14:paraId="7DEE3567" w14:textId="15F6D977" w:rsidR="00CC44A0" w:rsidRPr="00CC44A0" w:rsidRDefault="00CC44A0" w:rsidP="00CC44A0">
      <w:pPr>
        <w:spacing w:line="360" w:lineRule="auto"/>
        <w:rPr>
          <w:rFonts w:cs="Arial"/>
          <w:lang w:val="en-US" w:eastAsia="en-ZA"/>
        </w:rPr>
      </w:pPr>
      <w:r w:rsidRPr="00CC44A0">
        <w:rPr>
          <w:rFonts w:cs="Arial"/>
          <w:lang w:val="en-US" w:eastAsia="en-ZA"/>
        </w:rPr>
        <w:t>APPEARANCES</w:t>
      </w:r>
    </w:p>
    <w:p w14:paraId="368398F2" w14:textId="15BEE9DB" w:rsidR="00CC44A0" w:rsidRPr="00CC44A0" w:rsidRDefault="00CC44A0" w:rsidP="00CC44A0">
      <w:pPr>
        <w:spacing w:line="360" w:lineRule="auto"/>
        <w:rPr>
          <w:rFonts w:cs="Arial"/>
          <w:lang w:eastAsia="en-ZA"/>
        </w:rPr>
      </w:pPr>
      <w:r w:rsidRPr="00CC44A0">
        <w:rPr>
          <w:rFonts w:cs="Arial"/>
          <w:lang w:eastAsia="en-ZA"/>
        </w:rPr>
        <w:t xml:space="preserve">For the </w:t>
      </w:r>
      <w:r>
        <w:rPr>
          <w:rFonts w:cs="Arial"/>
          <w:lang w:eastAsia="en-ZA"/>
        </w:rPr>
        <w:t>Appellant</w:t>
      </w:r>
      <w:r w:rsidRPr="00CC44A0">
        <w:rPr>
          <w:rFonts w:cs="Arial"/>
          <w:lang w:eastAsia="en-ZA"/>
        </w:rPr>
        <w:t>:</w:t>
      </w:r>
      <w:r w:rsidRPr="00CC44A0">
        <w:rPr>
          <w:rFonts w:cs="Arial"/>
          <w:lang w:eastAsia="en-ZA"/>
        </w:rPr>
        <w:tab/>
      </w:r>
      <w:r w:rsidR="00E5229E">
        <w:rPr>
          <w:rFonts w:cs="Arial"/>
          <w:lang w:eastAsia="en-ZA"/>
        </w:rPr>
        <w:tab/>
      </w:r>
      <w:r w:rsidR="00E5229E">
        <w:rPr>
          <w:rFonts w:cs="Arial"/>
          <w:lang w:eastAsia="en-ZA"/>
        </w:rPr>
        <w:tab/>
        <w:t xml:space="preserve">Adv. </w:t>
      </w:r>
      <w:r w:rsidR="00360B0B">
        <w:rPr>
          <w:rFonts w:cs="Arial"/>
          <w:lang w:eastAsia="en-ZA"/>
        </w:rPr>
        <w:t xml:space="preserve">C. J </w:t>
      </w:r>
      <w:proofErr w:type="spellStart"/>
      <w:r w:rsidR="00360B0B">
        <w:rPr>
          <w:rFonts w:cs="Arial"/>
          <w:lang w:eastAsia="en-ZA"/>
        </w:rPr>
        <w:t>Badenhorst</w:t>
      </w:r>
      <w:proofErr w:type="spellEnd"/>
      <w:r w:rsidR="00360B0B">
        <w:rPr>
          <w:rFonts w:cs="Arial"/>
          <w:lang w:eastAsia="en-ZA"/>
        </w:rPr>
        <w:t xml:space="preserve"> SC</w:t>
      </w:r>
      <w:r w:rsidRPr="00CC44A0">
        <w:rPr>
          <w:rFonts w:cs="Arial"/>
          <w:lang w:eastAsia="en-ZA"/>
        </w:rPr>
        <w:tab/>
      </w:r>
      <w:r w:rsidRPr="00CC44A0">
        <w:rPr>
          <w:rFonts w:cs="Arial"/>
          <w:lang w:eastAsia="en-ZA"/>
        </w:rPr>
        <w:tab/>
      </w:r>
      <w:r w:rsidRPr="00CC44A0">
        <w:rPr>
          <w:rFonts w:cs="Arial"/>
          <w:lang w:eastAsia="en-ZA"/>
        </w:rPr>
        <w:tab/>
      </w:r>
    </w:p>
    <w:p w14:paraId="718F3E5F" w14:textId="62D91E71" w:rsidR="00CC44A0" w:rsidRPr="00CC44A0" w:rsidRDefault="00CC44A0" w:rsidP="00CC44A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proofErr w:type="spellStart"/>
      <w:r w:rsidR="00360B0B">
        <w:rPr>
          <w:rFonts w:cs="Arial"/>
          <w:lang w:eastAsia="en-ZA"/>
        </w:rPr>
        <w:t>Fluxmans</w:t>
      </w:r>
      <w:proofErr w:type="spellEnd"/>
      <w:r w:rsidR="00360B0B">
        <w:rPr>
          <w:rFonts w:cs="Arial"/>
          <w:lang w:eastAsia="en-ZA"/>
        </w:rPr>
        <w:t xml:space="preserve"> Attorneys</w:t>
      </w:r>
      <w:r w:rsidRPr="00CC44A0">
        <w:rPr>
          <w:rFonts w:cs="Arial"/>
          <w:lang w:eastAsia="en-ZA"/>
        </w:rPr>
        <w:t xml:space="preserve">  </w:t>
      </w:r>
    </w:p>
    <w:p w14:paraId="1F58C723" w14:textId="77777777" w:rsidR="00CC44A0" w:rsidRPr="00CC44A0" w:rsidRDefault="00CC44A0" w:rsidP="00CC44A0">
      <w:pPr>
        <w:spacing w:line="360" w:lineRule="auto"/>
        <w:rPr>
          <w:rFonts w:cs="Arial"/>
          <w:lang w:eastAsia="en-ZA"/>
        </w:rPr>
      </w:pPr>
    </w:p>
    <w:p w14:paraId="2BDC50AC" w14:textId="46B4BEEA" w:rsidR="00CC44A0" w:rsidRPr="00CC44A0" w:rsidRDefault="00360B0B" w:rsidP="00CC44A0">
      <w:pPr>
        <w:spacing w:line="360" w:lineRule="auto"/>
        <w:rPr>
          <w:rFonts w:cs="Arial"/>
          <w:lang w:eastAsia="en-ZA"/>
        </w:rPr>
      </w:pPr>
      <w:r>
        <w:rPr>
          <w:rFonts w:cs="Arial"/>
          <w:lang w:eastAsia="en-ZA"/>
        </w:rPr>
        <w:t>For 1st-3</w:t>
      </w:r>
      <w:r w:rsidRPr="00360B0B">
        <w:rPr>
          <w:rFonts w:cs="Arial"/>
          <w:vertAlign w:val="superscript"/>
          <w:lang w:eastAsia="en-ZA"/>
        </w:rPr>
        <w:t>rd</w:t>
      </w:r>
      <w:r>
        <w:rPr>
          <w:rFonts w:cs="Arial"/>
          <w:lang w:eastAsia="en-ZA"/>
        </w:rPr>
        <w:t xml:space="preserve"> Respondents</w:t>
      </w:r>
      <w:r w:rsidR="00CC44A0" w:rsidRPr="00CC44A0">
        <w:rPr>
          <w:rFonts w:cs="Arial"/>
          <w:lang w:eastAsia="en-ZA"/>
        </w:rPr>
        <w:t>:</w:t>
      </w:r>
      <w:r w:rsidR="00CC44A0" w:rsidRPr="00CC44A0">
        <w:rPr>
          <w:rFonts w:cs="Arial"/>
          <w:lang w:eastAsia="en-ZA"/>
        </w:rPr>
        <w:tab/>
      </w:r>
      <w:r w:rsidR="00E5229E">
        <w:rPr>
          <w:rFonts w:cs="Arial"/>
          <w:lang w:eastAsia="en-ZA"/>
        </w:rPr>
        <w:tab/>
        <w:t xml:space="preserve">Adv. </w:t>
      </w:r>
      <w:proofErr w:type="spellStart"/>
      <w:r>
        <w:rPr>
          <w:rFonts w:cs="Arial"/>
          <w:lang w:eastAsia="en-ZA"/>
        </w:rPr>
        <w:t>Constantianiata</w:t>
      </w:r>
      <w:proofErr w:type="spellEnd"/>
      <w:r>
        <w:rPr>
          <w:rFonts w:cs="Arial"/>
          <w:lang w:eastAsia="en-ZA"/>
        </w:rPr>
        <w:t xml:space="preserve"> SC</w:t>
      </w:r>
      <w:r w:rsidR="00CC44A0" w:rsidRPr="00CC44A0">
        <w:rPr>
          <w:rFonts w:cs="Arial"/>
          <w:lang w:eastAsia="en-ZA"/>
        </w:rPr>
        <w:tab/>
      </w:r>
      <w:r w:rsidR="00CC44A0" w:rsidRPr="00CC44A0">
        <w:rPr>
          <w:rFonts w:cs="Arial"/>
          <w:lang w:eastAsia="en-ZA"/>
        </w:rPr>
        <w:tab/>
      </w:r>
      <w:r w:rsidR="00CC44A0" w:rsidRPr="00CC44A0">
        <w:rPr>
          <w:rFonts w:cs="Arial"/>
          <w:lang w:eastAsia="en-ZA"/>
        </w:rPr>
        <w:tab/>
      </w:r>
    </w:p>
    <w:p w14:paraId="1DBF38A2" w14:textId="77777777" w:rsidR="00360B0B" w:rsidRDefault="00CC44A0" w:rsidP="00CC44A0">
      <w:pPr>
        <w:spacing w:line="360" w:lineRule="auto"/>
        <w:rPr>
          <w:rFonts w:cs="Arial"/>
          <w:lang w:eastAsia="en-ZA"/>
        </w:rPr>
      </w:pPr>
      <w:r w:rsidRPr="00CC44A0">
        <w:rPr>
          <w:rFonts w:cs="Arial"/>
          <w:lang w:eastAsia="en-ZA"/>
        </w:rPr>
        <w:t>Instructed by:</w:t>
      </w:r>
      <w:r w:rsidR="00360B0B">
        <w:rPr>
          <w:rFonts w:cs="Arial"/>
          <w:lang w:eastAsia="en-ZA"/>
        </w:rPr>
        <w:tab/>
      </w:r>
      <w:r w:rsidR="00360B0B">
        <w:rPr>
          <w:rFonts w:cs="Arial"/>
          <w:lang w:eastAsia="en-ZA"/>
        </w:rPr>
        <w:tab/>
      </w:r>
      <w:r w:rsidR="00360B0B">
        <w:rPr>
          <w:rFonts w:cs="Arial"/>
          <w:lang w:eastAsia="en-ZA"/>
        </w:rPr>
        <w:tab/>
        <w:t xml:space="preserve">Van </w:t>
      </w:r>
      <w:proofErr w:type="spellStart"/>
      <w:r w:rsidR="00360B0B">
        <w:rPr>
          <w:rFonts w:cs="Arial"/>
          <w:lang w:eastAsia="en-ZA"/>
        </w:rPr>
        <w:t>Hulsteyn</w:t>
      </w:r>
      <w:proofErr w:type="spellEnd"/>
      <w:r w:rsidR="00360B0B">
        <w:rPr>
          <w:rFonts w:cs="Arial"/>
          <w:lang w:eastAsia="en-ZA"/>
        </w:rPr>
        <w:t xml:space="preserve"> Attorneys</w:t>
      </w:r>
    </w:p>
    <w:p w14:paraId="25493AE2" w14:textId="75C19006" w:rsidR="00360B0B" w:rsidRDefault="00CC44A0" w:rsidP="00CC44A0">
      <w:pPr>
        <w:spacing w:line="360" w:lineRule="auto"/>
        <w:rPr>
          <w:rFonts w:cs="Arial"/>
          <w:lang w:eastAsia="en-ZA"/>
        </w:rPr>
      </w:pPr>
      <w:r w:rsidRPr="00CC44A0">
        <w:rPr>
          <w:rFonts w:cs="Arial"/>
          <w:lang w:eastAsia="en-ZA"/>
        </w:rPr>
        <w:t xml:space="preserve"> </w:t>
      </w:r>
      <w:r w:rsidR="00E5229E">
        <w:rPr>
          <w:rFonts w:cs="Arial"/>
          <w:lang w:eastAsia="en-ZA"/>
        </w:rPr>
        <w:tab/>
      </w:r>
      <w:r w:rsidR="00E5229E">
        <w:rPr>
          <w:rFonts w:cs="Arial"/>
          <w:lang w:eastAsia="en-ZA"/>
        </w:rPr>
        <w:tab/>
      </w:r>
      <w:r w:rsidR="00E5229E">
        <w:rPr>
          <w:rFonts w:cs="Arial"/>
          <w:lang w:eastAsia="en-ZA"/>
        </w:rPr>
        <w:tab/>
      </w:r>
    </w:p>
    <w:p w14:paraId="282B8B21" w14:textId="77777777" w:rsidR="00360B0B" w:rsidRDefault="00360B0B" w:rsidP="00CC44A0">
      <w:pPr>
        <w:spacing w:line="360" w:lineRule="auto"/>
        <w:rPr>
          <w:rFonts w:cs="Arial"/>
          <w:lang w:eastAsia="en-ZA"/>
        </w:rPr>
      </w:pPr>
      <w:r>
        <w:rPr>
          <w:rFonts w:cs="Arial"/>
          <w:lang w:eastAsia="en-ZA"/>
        </w:rPr>
        <w:t>For the 4</w:t>
      </w:r>
      <w:r w:rsidRPr="00360B0B">
        <w:rPr>
          <w:rFonts w:cs="Arial"/>
          <w:vertAlign w:val="superscript"/>
          <w:lang w:eastAsia="en-ZA"/>
        </w:rPr>
        <w:t>th</w:t>
      </w:r>
      <w:r>
        <w:rPr>
          <w:rFonts w:cs="Arial"/>
          <w:lang w:eastAsia="en-ZA"/>
        </w:rPr>
        <w:t xml:space="preserve"> Respondent:</w:t>
      </w:r>
      <w:r>
        <w:rPr>
          <w:rFonts w:cs="Arial"/>
          <w:lang w:eastAsia="en-ZA"/>
        </w:rPr>
        <w:tab/>
      </w:r>
      <w:r>
        <w:rPr>
          <w:rFonts w:cs="Arial"/>
          <w:lang w:eastAsia="en-ZA"/>
        </w:rPr>
        <w:tab/>
        <w:t xml:space="preserve">Adv. M.A </w:t>
      </w:r>
      <w:proofErr w:type="spellStart"/>
      <w:r>
        <w:rPr>
          <w:rFonts w:cs="Arial"/>
          <w:lang w:eastAsia="en-ZA"/>
        </w:rPr>
        <w:t>Chohan</w:t>
      </w:r>
      <w:proofErr w:type="spellEnd"/>
      <w:r>
        <w:rPr>
          <w:rFonts w:cs="Arial"/>
          <w:lang w:eastAsia="en-ZA"/>
        </w:rPr>
        <w:t xml:space="preserve"> SC</w:t>
      </w:r>
    </w:p>
    <w:p w14:paraId="3E0FB0D9" w14:textId="70E6CB9A" w:rsidR="00CC44A0" w:rsidRPr="00CC44A0" w:rsidRDefault="00360B0B" w:rsidP="00CC44A0">
      <w:pPr>
        <w:spacing w:line="360" w:lineRule="auto"/>
        <w:rPr>
          <w:rFonts w:cs="Arial"/>
          <w:lang w:eastAsia="en-ZA"/>
        </w:rPr>
      </w:pPr>
      <w:r>
        <w:rPr>
          <w:rFonts w:cs="Arial"/>
          <w:lang w:eastAsia="en-ZA"/>
        </w:rPr>
        <w:t>Instructed by:</w:t>
      </w:r>
      <w:r>
        <w:rPr>
          <w:rFonts w:cs="Arial"/>
          <w:lang w:eastAsia="en-ZA"/>
        </w:rPr>
        <w:tab/>
      </w:r>
      <w:r>
        <w:rPr>
          <w:rFonts w:cs="Arial"/>
          <w:lang w:eastAsia="en-ZA"/>
        </w:rPr>
        <w:tab/>
      </w:r>
      <w:r>
        <w:rPr>
          <w:rFonts w:cs="Arial"/>
          <w:lang w:eastAsia="en-ZA"/>
        </w:rPr>
        <w:tab/>
        <w:t xml:space="preserve">Walter </w:t>
      </w:r>
      <w:proofErr w:type="spellStart"/>
      <w:r>
        <w:rPr>
          <w:rFonts w:cs="Arial"/>
          <w:lang w:eastAsia="en-ZA"/>
        </w:rPr>
        <w:t>Swanepoel</w:t>
      </w:r>
      <w:proofErr w:type="spellEnd"/>
      <w:r>
        <w:rPr>
          <w:rFonts w:cs="Arial"/>
          <w:lang w:eastAsia="en-ZA"/>
        </w:rPr>
        <w:t xml:space="preserve"> Attorneys</w:t>
      </w:r>
      <w:r w:rsidR="00CC44A0" w:rsidRPr="00CC44A0">
        <w:rPr>
          <w:rFonts w:cs="Arial"/>
          <w:lang w:eastAsia="en-ZA"/>
        </w:rPr>
        <w:tab/>
      </w:r>
      <w:r w:rsidR="00CC44A0" w:rsidRPr="00CC44A0">
        <w:rPr>
          <w:rFonts w:cs="Arial"/>
          <w:lang w:eastAsia="en-ZA"/>
        </w:rPr>
        <w:tab/>
        <w:t xml:space="preserve"> </w:t>
      </w:r>
    </w:p>
    <w:p w14:paraId="7B0050EA" w14:textId="77777777" w:rsidR="00CC44A0" w:rsidRPr="00CC44A0" w:rsidRDefault="00CC44A0" w:rsidP="00CC44A0">
      <w:pPr>
        <w:spacing w:line="360" w:lineRule="auto"/>
        <w:rPr>
          <w:rFonts w:cs="Arial"/>
          <w:lang w:val="en-ZA" w:eastAsia="en-ZA"/>
        </w:rPr>
      </w:pPr>
    </w:p>
    <w:p w14:paraId="562D2A47" w14:textId="03520E69" w:rsidR="00CC44A0" w:rsidRPr="00CC44A0" w:rsidRDefault="00CC44A0" w:rsidP="00CC44A0">
      <w:pPr>
        <w:spacing w:line="360" w:lineRule="auto"/>
        <w:rPr>
          <w:rFonts w:cs="Arial"/>
          <w:lang w:val="en-ZA" w:eastAsia="en-ZA"/>
        </w:rPr>
      </w:pPr>
      <w:r w:rsidRPr="00CC44A0">
        <w:rPr>
          <w:rFonts w:cs="Arial"/>
          <w:lang w:val="en-ZA" w:eastAsia="en-ZA"/>
        </w:rPr>
        <w:t xml:space="preserve">Heard on:       </w:t>
      </w:r>
      <w:r w:rsidR="00E5229E">
        <w:rPr>
          <w:rFonts w:cs="Arial"/>
          <w:lang w:val="en-ZA" w:eastAsia="en-ZA"/>
        </w:rPr>
        <w:tab/>
        <w:t xml:space="preserve">     </w:t>
      </w:r>
      <w:r w:rsidR="00E5229E">
        <w:rPr>
          <w:rFonts w:cs="Arial"/>
          <w:lang w:val="en-ZA" w:eastAsia="en-ZA"/>
        </w:rPr>
        <w:tab/>
      </w:r>
      <w:r w:rsidR="00E5229E">
        <w:rPr>
          <w:rFonts w:cs="Arial"/>
          <w:lang w:val="en-ZA" w:eastAsia="en-ZA"/>
        </w:rPr>
        <w:tab/>
        <w:t>07 November 2022</w:t>
      </w:r>
      <w:r w:rsidRPr="00CC44A0">
        <w:rPr>
          <w:rFonts w:cs="Arial"/>
          <w:lang w:val="en-ZA" w:eastAsia="en-ZA"/>
        </w:rPr>
        <w:tab/>
      </w:r>
      <w:r w:rsidRPr="00CC44A0">
        <w:rPr>
          <w:rFonts w:cs="Arial"/>
          <w:lang w:val="en-ZA" w:eastAsia="en-ZA"/>
        </w:rPr>
        <w:tab/>
        <w:t xml:space="preserve"> </w:t>
      </w:r>
    </w:p>
    <w:p w14:paraId="1DBBB6A5" w14:textId="0D9C0DB0" w:rsidR="00CC44A0" w:rsidRPr="00CC44A0" w:rsidRDefault="00CC44A0" w:rsidP="00CC44A0">
      <w:pPr>
        <w:spacing w:line="360" w:lineRule="auto"/>
        <w:rPr>
          <w:rFonts w:cs="Arial"/>
          <w:lang w:val="en-ZA" w:eastAsia="en-ZA"/>
        </w:rPr>
      </w:pPr>
      <w:r w:rsidRPr="00CC44A0">
        <w:rPr>
          <w:rFonts w:cs="Arial"/>
          <w:lang w:val="en-ZA" w:eastAsia="en-ZA"/>
        </w:rPr>
        <w:t xml:space="preserve">Delivered on:               </w:t>
      </w:r>
      <w:r w:rsidR="00E5229E">
        <w:rPr>
          <w:rFonts w:cs="Arial"/>
          <w:lang w:val="en-ZA" w:eastAsia="en-ZA"/>
        </w:rPr>
        <w:tab/>
      </w:r>
      <w:r w:rsidR="00E5229E">
        <w:rPr>
          <w:rFonts w:cs="Arial"/>
          <w:lang w:val="en-ZA" w:eastAsia="en-ZA"/>
        </w:rPr>
        <w:tab/>
        <w:t>24 January 2023</w:t>
      </w:r>
      <w:r w:rsidRPr="00CC44A0">
        <w:rPr>
          <w:rFonts w:cs="Arial"/>
          <w:lang w:val="en-ZA" w:eastAsia="en-ZA"/>
        </w:rPr>
        <w:tab/>
      </w:r>
    </w:p>
    <w:p w14:paraId="14BA9778" w14:textId="50F67B1B" w:rsidR="00CC44A0" w:rsidRPr="001C13FC" w:rsidRDefault="00CC44A0" w:rsidP="004E2BC7">
      <w:pPr>
        <w:pStyle w:val="1"/>
        <w:numPr>
          <w:ilvl w:val="0"/>
          <w:numId w:val="0"/>
        </w:numPr>
        <w:ind w:left="567"/>
      </w:pPr>
    </w:p>
    <w:sectPr w:rsidR="00CC44A0" w:rsidRPr="001C13FC"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F58A" w14:textId="77777777" w:rsidR="0014439A" w:rsidRDefault="0014439A" w:rsidP="00115245">
      <w:r>
        <w:separator/>
      </w:r>
    </w:p>
  </w:endnote>
  <w:endnote w:type="continuationSeparator" w:id="0">
    <w:p w14:paraId="00287372" w14:textId="77777777" w:rsidR="0014439A" w:rsidRDefault="0014439A"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C995" w14:textId="77777777" w:rsidR="0014439A" w:rsidRDefault="0014439A" w:rsidP="00115245">
      <w:r>
        <w:separator/>
      </w:r>
    </w:p>
  </w:footnote>
  <w:footnote w:type="continuationSeparator" w:id="0">
    <w:p w14:paraId="1561FD4E" w14:textId="77777777" w:rsidR="0014439A" w:rsidRDefault="0014439A" w:rsidP="00115245">
      <w:r>
        <w:continuationSeparator/>
      </w:r>
    </w:p>
  </w:footnote>
  <w:footnote w:id="1">
    <w:p w14:paraId="76406C7C" w14:textId="1AD2512B" w:rsidR="008335DA" w:rsidRPr="0069229E" w:rsidRDefault="008335DA">
      <w:pPr>
        <w:pStyle w:val="FootnoteText"/>
        <w:rPr>
          <w:lang w:val="en-ZA"/>
        </w:rPr>
      </w:pPr>
      <w:r>
        <w:rPr>
          <w:rStyle w:val="FootnoteReference"/>
        </w:rPr>
        <w:footnoteRef/>
      </w:r>
      <w:r>
        <w:t xml:space="preserve"> </w:t>
      </w:r>
      <w:r w:rsidR="0069229E">
        <w:rPr>
          <w:lang w:val="en-ZA"/>
        </w:rPr>
        <w:t xml:space="preserve">In the recent matter of </w:t>
      </w:r>
      <w:r w:rsidR="0069229E">
        <w:rPr>
          <w:i/>
          <w:lang w:val="en-ZA"/>
        </w:rPr>
        <w:t xml:space="preserve">Hawarden v Edward Nathan </w:t>
      </w:r>
      <w:proofErr w:type="spellStart"/>
      <w:r w:rsidR="0069229E">
        <w:rPr>
          <w:i/>
          <w:lang w:val="en-ZA"/>
        </w:rPr>
        <w:t>Sonnenbergs</w:t>
      </w:r>
      <w:proofErr w:type="spellEnd"/>
      <w:r w:rsidR="0069229E">
        <w:rPr>
          <w:i/>
          <w:lang w:val="en-ZA"/>
        </w:rPr>
        <w:t xml:space="preserve"> </w:t>
      </w:r>
      <w:proofErr w:type="spellStart"/>
      <w:r w:rsidR="0069229E">
        <w:rPr>
          <w:i/>
          <w:lang w:val="en-ZA"/>
        </w:rPr>
        <w:t>Inc</w:t>
      </w:r>
      <w:proofErr w:type="spellEnd"/>
      <w:r w:rsidR="0069229E">
        <w:rPr>
          <w:i/>
          <w:lang w:val="en-ZA"/>
        </w:rPr>
        <w:t xml:space="preserve"> </w:t>
      </w:r>
      <w:r w:rsidR="0069229E">
        <w:rPr>
          <w:lang w:val="en-ZA"/>
        </w:rPr>
        <w:t xml:space="preserve">(113849/2020 [2023] ZAGPJHC 14 (16 January 2023) the defendant was held liable in </w:t>
      </w:r>
      <w:proofErr w:type="spellStart"/>
      <w:r w:rsidR="0069229E">
        <w:rPr>
          <w:lang w:val="en-ZA"/>
        </w:rPr>
        <w:t>delict</w:t>
      </w:r>
      <w:proofErr w:type="spellEnd"/>
      <w:r w:rsidR="0069229E">
        <w:rPr>
          <w:lang w:val="en-ZA"/>
        </w:rPr>
        <w:t xml:space="preserve"> for negligently causing the plaintiff loss in a matter where the court was also dealing with a Business Email Compromise. </w:t>
      </w:r>
    </w:p>
  </w:footnote>
  <w:footnote w:id="2">
    <w:p w14:paraId="6AA43652" w14:textId="3349C1C1" w:rsidR="0040005A" w:rsidRPr="004143AE" w:rsidRDefault="0040005A" w:rsidP="004143AE">
      <w:pPr>
        <w:pStyle w:val="FootnoteText"/>
        <w:spacing w:after="0"/>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9</w:t>
      </w:r>
      <w:r w:rsidRPr="004143AE">
        <w:rPr>
          <w:sz w:val="20"/>
          <w:szCs w:val="20"/>
          <w:vertAlign w:val="superscript"/>
        </w:rPr>
        <w:t>th</w:t>
      </w:r>
      <w:r w:rsidRPr="004143AE">
        <w:rPr>
          <w:sz w:val="20"/>
          <w:szCs w:val="20"/>
        </w:rPr>
        <w:t xml:space="preserve"> edition</w:t>
      </w:r>
      <w:r w:rsidRPr="004143AE">
        <w:rPr>
          <w:i/>
          <w:sz w:val="20"/>
          <w:szCs w:val="20"/>
        </w:rPr>
        <w:t xml:space="preserve"> </w:t>
      </w:r>
      <w:r w:rsidRPr="004143AE">
        <w:rPr>
          <w:sz w:val="20"/>
          <w:szCs w:val="20"/>
        </w:rPr>
        <w:t>at page 108.</w:t>
      </w:r>
    </w:p>
  </w:footnote>
  <w:footnote w:id="3">
    <w:p w14:paraId="25C1771E" w14:textId="6162A216" w:rsidR="0040005A" w:rsidRPr="004143AE" w:rsidRDefault="0040005A" w:rsidP="004143AE">
      <w:pPr>
        <w:pStyle w:val="FootnoteText"/>
        <w:spacing w:after="0"/>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 xml:space="preserve">See </w:t>
      </w:r>
      <w:r w:rsidRPr="004143AE">
        <w:rPr>
          <w:i/>
          <w:sz w:val="20"/>
          <w:szCs w:val="20"/>
        </w:rPr>
        <w:t xml:space="preserve">Alfred </w:t>
      </w:r>
      <w:proofErr w:type="spellStart"/>
      <w:r w:rsidRPr="004143AE">
        <w:rPr>
          <w:i/>
          <w:sz w:val="20"/>
          <w:szCs w:val="20"/>
        </w:rPr>
        <w:t>McAlpine</w:t>
      </w:r>
      <w:proofErr w:type="spellEnd"/>
      <w:r w:rsidRPr="004143AE">
        <w:rPr>
          <w:i/>
          <w:sz w:val="20"/>
          <w:szCs w:val="20"/>
        </w:rPr>
        <w:t xml:space="preserve"> &amp; Son (Pty) Ltd v Transvaal Provincial Administration</w:t>
      </w:r>
      <w:r w:rsidRPr="004143AE">
        <w:rPr>
          <w:sz w:val="20"/>
          <w:szCs w:val="20"/>
        </w:rPr>
        <w:t xml:space="preserve"> 1974 (3) SA 506 (A); see also </w:t>
      </w:r>
      <w:proofErr w:type="spellStart"/>
      <w:r w:rsidRPr="004143AE">
        <w:rPr>
          <w:i/>
          <w:sz w:val="20"/>
          <w:szCs w:val="20"/>
        </w:rPr>
        <w:t>Wilkens</w:t>
      </w:r>
      <w:proofErr w:type="spellEnd"/>
      <w:r w:rsidRPr="004143AE">
        <w:rPr>
          <w:i/>
          <w:sz w:val="20"/>
          <w:szCs w:val="20"/>
        </w:rPr>
        <w:t xml:space="preserve"> NO v </w:t>
      </w:r>
      <w:proofErr w:type="spellStart"/>
      <w:r w:rsidRPr="004143AE">
        <w:rPr>
          <w:i/>
          <w:sz w:val="20"/>
          <w:szCs w:val="20"/>
        </w:rPr>
        <w:t>Voges</w:t>
      </w:r>
      <w:proofErr w:type="spellEnd"/>
      <w:r w:rsidRPr="004143AE">
        <w:rPr>
          <w:i/>
          <w:sz w:val="20"/>
          <w:szCs w:val="20"/>
        </w:rPr>
        <w:t xml:space="preserve"> </w:t>
      </w:r>
      <w:r w:rsidRPr="004143AE">
        <w:rPr>
          <w:sz w:val="20"/>
          <w:szCs w:val="20"/>
        </w:rPr>
        <w:t>1994 (3) SA 130 (A).</w:t>
      </w:r>
    </w:p>
  </w:footnote>
  <w:footnote w:id="4">
    <w:p w14:paraId="679B0F28" w14:textId="43D1978B" w:rsidR="0040005A" w:rsidRDefault="0040005A" w:rsidP="00A61E6F">
      <w:pPr>
        <w:pStyle w:val="FootnoteText"/>
        <w:spacing w:after="0"/>
      </w:pPr>
      <w:r w:rsidRPr="004143AE">
        <w:rPr>
          <w:rStyle w:val="FootnoteReference"/>
          <w:sz w:val="20"/>
          <w:szCs w:val="20"/>
        </w:rPr>
        <w:footnoteRef/>
      </w:r>
      <w:r w:rsidRPr="004143AE">
        <w:rPr>
          <w:sz w:val="20"/>
          <w:szCs w:val="20"/>
        </w:rPr>
        <w:t xml:space="preserve"> </w:t>
      </w:r>
      <w:r w:rsidRPr="004143AE">
        <w:rPr>
          <w:sz w:val="20"/>
          <w:szCs w:val="20"/>
        </w:rPr>
        <w:tab/>
      </w:r>
      <w:r w:rsidRPr="004143AE">
        <w:rPr>
          <w:i/>
          <w:sz w:val="20"/>
          <w:szCs w:val="20"/>
        </w:rPr>
        <w:t>Supra</w:t>
      </w:r>
      <w:r w:rsidRPr="004143AE">
        <w:rPr>
          <w:sz w:val="20"/>
          <w:szCs w:val="20"/>
        </w:rPr>
        <w:t>.</w:t>
      </w:r>
    </w:p>
  </w:footnote>
  <w:footnote w:id="5">
    <w:p w14:paraId="70E5C732" w14:textId="09C686E2" w:rsidR="0040005A" w:rsidRPr="004143AE" w:rsidRDefault="0040005A" w:rsidP="00A61E6F">
      <w:pPr>
        <w:pStyle w:val="FootnoteText"/>
        <w:spacing w:after="0"/>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[2022] 2 All SA 334 (SCA).</w:t>
      </w:r>
    </w:p>
  </w:footnote>
  <w:footnote w:id="6">
    <w:p w14:paraId="13E485C8" w14:textId="333CE6B2" w:rsidR="0040005A" w:rsidRPr="004143AE" w:rsidRDefault="0040005A" w:rsidP="004143AE">
      <w:pPr>
        <w:pStyle w:val="FootnoteText"/>
        <w:spacing w:after="0"/>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[1918] 1 K.B. 592</w:t>
      </w:r>
      <w:r w:rsidRPr="0066286A">
        <w:rPr>
          <w:sz w:val="20"/>
          <w:szCs w:val="20"/>
        </w:rPr>
        <w:t>.</w:t>
      </w:r>
    </w:p>
  </w:footnote>
  <w:footnote w:id="7">
    <w:p w14:paraId="23705359" w14:textId="751536AA" w:rsidR="0040005A" w:rsidRPr="004143AE" w:rsidRDefault="0040005A" w:rsidP="004143AE">
      <w:pPr>
        <w:pStyle w:val="FootnoteText"/>
        <w:spacing w:after="0"/>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At 605.</w:t>
      </w:r>
    </w:p>
  </w:footnote>
  <w:footnote w:id="8">
    <w:p w14:paraId="449FA0CC" w14:textId="03611244" w:rsidR="0040005A" w:rsidRDefault="0040005A" w:rsidP="004143AE">
      <w:pPr>
        <w:pStyle w:val="FootnoteText"/>
        <w:spacing w:after="0"/>
      </w:pPr>
      <w:r w:rsidRPr="004143AE">
        <w:rPr>
          <w:rStyle w:val="FootnoteReference"/>
          <w:sz w:val="20"/>
          <w:szCs w:val="20"/>
        </w:rPr>
        <w:footnoteRef/>
      </w:r>
      <w:r w:rsidRPr="004143AE">
        <w:rPr>
          <w:sz w:val="20"/>
          <w:szCs w:val="20"/>
        </w:rPr>
        <w:t xml:space="preserve"> </w:t>
      </w:r>
      <w:r w:rsidRPr="004143AE">
        <w:rPr>
          <w:sz w:val="20"/>
          <w:szCs w:val="20"/>
        </w:rPr>
        <w:tab/>
      </w:r>
      <w:r w:rsidRPr="00D25144">
        <w:rPr>
          <w:sz w:val="20"/>
          <w:szCs w:val="20"/>
        </w:rPr>
        <w:t xml:space="preserve">Van </w:t>
      </w:r>
      <w:proofErr w:type="spellStart"/>
      <w:r w:rsidRPr="00D25144">
        <w:rPr>
          <w:sz w:val="20"/>
          <w:szCs w:val="20"/>
        </w:rPr>
        <w:t>Huyssteen</w:t>
      </w:r>
      <w:proofErr w:type="spellEnd"/>
      <w:r w:rsidRPr="00D25144">
        <w:rPr>
          <w:sz w:val="20"/>
          <w:szCs w:val="20"/>
        </w:rPr>
        <w:t xml:space="preserve"> </w:t>
      </w:r>
      <w:r w:rsidRPr="004143AE">
        <w:rPr>
          <w:i/>
          <w:sz w:val="20"/>
          <w:szCs w:val="20"/>
        </w:rPr>
        <w:t>et al</w:t>
      </w:r>
      <w:r>
        <w:rPr>
          <w:sz w:val="20"/>
          <w:szCs w:val="20"/>
        </w:rPr>
        <w:t xml:space="preserve"> </w:t>
      </w:r>
      <w:r w:rsidRPr="004143AE">
        <w:rPr>
          <w:i/>
          <w:sz w:val="20"/>
          <w:szCs w:val="20"/>
        </w:rPr>
        <w:t xml:space="preserve">Contract: General </w:t>
      </w:r>
      <w:proofErr w:type="gramStart"/>
      <w:r w:rsidRPr="004143AE">
        <w:rPr>
          <w:i/>
          <w:sz w:val="20"/>
          <w:szCs w:val="20"/>
        </w:rPr>
        <w:t>Principles</w:t>
      </w:r>
      <w:r w:rsidRPr="004143AE">
        <w:rPr>
          <w:sz w:val="20"/>
          <w:szCs w:val="20"/>
        </w:rPr>
        <w:t xml:space="preserve">  5</w:t>
      </w:r>
      <w:proofErr w:type="gramEnd"/>
      <w:r w:rsidRPr="004143AE">
        <w:rPr>
          <w:sz w:val="20"/>
          <w:szCs w:val="20"/>
        </w:rPr>
        <w:t xml:space="preserve"> </w:t>
      </w:r>
      <w:proofErr w:type="spellStart"/>
      <w:r w:rsidRPr="00074639">
        <w:rPr>
          <w:sz w:val="20"/>
          <w:szCs w:val="20"/>
        </w:rPr>
        <w:t>e</w:t>
      </w:r>
      <w:r w:rsidRPr="004143AE">
        <w:rPr>
          <w:sz w:val="20"/>
          <w:szCs w:val="20"/>
        </w:rPr>
        <w:t>d</w:t>
      </w:r>
      <w:proofErr w:type="spellEnd"/>
      <w:r w:rsidRPr="004143AE">
        <w:rPr>
          <w:sz w:val="20"/>
          <w:szCs w:val="20"/>
        </w:rPr>
        <w:t xml:space="preserve"> </w:t>
      </w:r>
      <w:r>
        <w:rPr>
          <w:sz w:val="20"/>
          <w:szCs w:val="20"/>
        </w:rPr>
        <w:t>(</w:t>
      </w:r>
      <w:proofErr w:type="spellStart"/>
      <w:r>
        <w:rPr>
          <w:sz w:val="20"/>
          <w:szCs w:val="20"/>
        </w:rPr>
        <w:t>Juta</w:t>
      </w:r>
      <w:proofErr w:type="spellEnd"/>
      <w:r>
        <w:rPr>
          <w:sz w:val="20"/>
          <w:szCs w:val="20"/>
        </w:rPr>
        <w:t xml:space="preserve"> &amp; Co Ltd) </w:t>
      </w:r>
      <w:r w:rsidRPr="004143AE">
        <w:rPr>
          <w:sz w:val="20"/>
          <w:szCs w:val="20"/>
        </w:rPr>
        <w:t>at para 9.132.</w:t>
      </w:r>
    </w:p>
  </w:footnote>
  <w:footnote w:id="9">
    <w:p w14:paraId="161A2D69" w14:textId="3E066D35" w:rsidR="0040005A" w:rsidRPr="004143AE" w:rsidRDefault="0040005A" w:rsidP="003E42A3">
      <w:pPr>
        <w:pStyle w:val="FootnoteText"/>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2012 JDR 0414 (SCA)</w:t>
      </w:r>
      <w:r>
        <w:rPr>
          <w:sz w:val="20"/>
          <w:szCs w:val="20"/>
        </w:rPr>
        <w:t>.</w:t>
      </w:r>
    </w:p>
  </w:footnote>
  <w:footnote w:id="10">
    <w:p w14:paraId="62C52768" w14:textId="423295BF" w:rsidR="0040005A" w:rsidRPr="004143AE" w:rsidRDefault="0040005A">
      <w:pPr>
        <w:pStyle w:val="FootnoteText"/>
        <w:rPr>
          <w:sz w:val="20"/>
          <w:szCs w:val="20"/>
          <w:lang w:val="en-ZA"/>
        </w:rPr>
      </w:pPr>
      <w:r w:rsidRPr="004143AE">
        <w:rPr>
          <w:rStyle w:val="FootnoteReference"/>
          <w:sz w:val="20"/>
          <w:szCs w:val="20"/>
        </w:rPr>
        <w:footnoteRef/>
      </w:r>
      <w:r w:rsidRPr="004143AE">
        <w:rPr>
          <w:sz w:val="20"/>
          <w:szCs w:val="20"/>
        </w:rPr>
        <w:t xml:space="preserve"> </w:t>
      </w:r>
      <w:r>
        <w:rPr>
          <w:sz w:val="20"/>
          <w:szCs w:val="20"/>
        </w:rPr>
        <w:tab/>
      </w:r>
      <w:proofErr w:type="spellStart"/>
      <w:r w:rsidRPr="004143AE">
        <w:rPr>
          <w:i/>
          <w:sz w:val="20"/>
          <w:szCs w:val="20"/>
          <w:lang w:val="en-ZA"/>
        </w:rPr>
        <w:t>Plascon</w:t>
      </w:r>
      <w:proofErr w:type="spellEnd"/>
      <w:r w:rsidRPr="004143AE">
        <w:rPr>
          <w:i/>
          <w:sz w:val="20"/>
          <w:szCs w:val="20"/>
          <w:lang w:val="en-ZA"/>
        </w:rPr>
        <w:t xml:space="preserve">-Evans Paints Ltd v Van </w:t>
      </w:r>
      <w:proofErr w:type="spellStart"/>
      <w:r w:rsidRPr="004143AE">
        <w:rPr>
          <w:i/>
          <w:sz w:val="20"/>
          <w:szCs w:val="20"/>
          <w:lang w:val="en-ZA"/>
        </w:rPr>
        <w:t>Riebeeck</w:t>
      </w:r>
      <w:proofErr w:type="spellEnd"/>
      <w:r w:rsidRPr="004143AE">
        <w:rPr>
          <w:i/>
          <w:sz w:val="20"/>
          <w:szCs w:val="20"/>
          <w:lang w:val="en-ZA"/>
        </w:rPr>
        <w:t xml:space="preserve"> Paints (Pty) Ltd</w:t>
      </w:r>
      <w:r w:rsidRPr="004143AE">
        <w:rPr>
          <w:sz w:val="20"/>
          <w:szCs w:val="20"/>
          <w:lang w:val="en-ZA"/>
        </w:rPr>
        <w:t xml:space="preserve"> 1984 (3) SA 623 (A) at 634E-635C.</w:t>
      </w:r>
    </w:p>
  </w:footnote>
  <w:footnote w:id="11">
    <w:p w14:paraId="795E5793" w14:textId="48F7A46A" w:rsidR="0040005A" w:rsidRPr="004143AE" w:rsidRDefault="0040005A">
      <w:pPr>
        <w:pStyle w:val="FootnoteText"/>
        <w:rPr>
          <w:i/>
          <w:sz w:val="20"/>
          <w:szCs w:val="20"/>
          <w:lang w:val="en-ZA"/>
        </w:rPr>
      </w:pPr>
      <w:r w:rsidRPr="004143AE">
        <w:rPr>
          <w:rStyle w:val="FootnoteReference"/>
          <w:sz w:val="20"/>
          <w:szCs w:val="20"/>
        </w:rPr>
        <w:footnoteRef/>
      </w:r>
      <w:r w:rsidRPr="004143AE">
        <w:rPr>
          <w:sz w:val="20"/>
          <w:szCs w:val="20"/>
        </w:rPr>
        <w:t xml:space="preserve"> </w:t>
      </w:r>
      <w:r>
        <w:rPr>
          <w:sz w:val="20"/>
          <w:szCs w:val="20"/>
        </w:rPr>
        <w:tab/>
      </w:r>
      <w:r w:rsidRPr="004143AE">
        <w:rPr>
          <w:sz w:val="20"/>
          <w:szCs w:val="20"/>
          <w:lang w:val="en-ZA"/>
        </w:rPr>
        <w:t xml:space="preserve">See </w:t>
      </w:r>
      <w:r w:rsidRPr="004143AE">
        <w:rPr>
          <w:i/>
          <w:sz w:val="20"/>
          <w:szCs w:val="20"/>
          <w:lang w:val="en-ZA"/>
        </w:rPr>
        <w:t xml:space="preserve">National Director of Public Prosecutions v </w:t>
      </w:r>
      <w:proofErr w:type="spellStart"/>
      <w:r w:rsidRPr="004143AE">
        <w:rPr>
          <w:i/>
          <w:sz w:val="20"/>
          <w:szCs w:val="20"/>
          <w:lang w:val="en-ZA"/>
        </w:rPr>
        <w:t>Zuma</w:t>
      </w:r>
      <w:proofErr w:type="spellEnd"/>
      <w:r w:rsidRPr="004143AE">
        <w:rPr>
          <w:sz w:val="20"/>
          <w:szCs w:val="20"/>
          <w:lang w:val="en-ZA"/>
        </w:rPr>
        <w:t xml:space="preserve"> 2009 (2) SA 277 SCA at para [26]</w:t>
      </w:r>
      <w:r>
        <w:rPr>
          <w:sz w:val="20"/>
          <w:szCs w:val="20"/>
          <w:lang w:val="en-ZA"/>
        </w:rPr>
        <w:t xml:space="preserve"> where it was stated -</w:t>
      </w:r>
      <w:r w:rsidRPr="004143AE">
        <w:rPr>
          <w:sz w:val="20"/>
          <w:szCs w:val="20"/>
          <w:lang w:val="en-ZA"/>
        </w:rPr>
        <w:t xml:space="preserve"> “</w:t>
      </w:r>
      <w:r w:rsidRPr="004143AE">
        <w:rPr>
          <w:i/>
          <w:sz w:val="20"/>
          <w:szCs w:val="20"/>
          <w:lang w:val="en-ZA"/>
        </w:rPr>
        <w:t>Motion proceedings, unless concerned with interim relief, are all about</w:t>
      </w:r>
      <w:r>
        <w:rPr>
          <w:i/>
          <w:sz w:val="20"/>
          <w:szCs w:val="20"/>
          <w:lang w:val="en-ZA"/>
        </w:rPr>
        <w:t xml:space="preserve"> the</w:t>
      </w:r>
      <w:r w:rsidRPr="004143AE">
        <w:rPr>
          <w:i/>
          <w:sz w:val="20"/>
          <w:szCs w:val="20"/>
          <w:lang w:val="en-ZA"/>
        </w:rPr>
        <w:t xml:space="preserve"> resolution of legal issues based on common cause facts. Unless the circumstances are special they cannot be used to resolve factual issues because they are not designed to determine probabilities.”</w:t>
      </w:r>
    </w:p>
  </w:footnote>
  <w:footnote w:id="12">
    <w:p w14:paraId="373E3AB8" w14:textId="17E160D8" w:rsidR="0040005A" w:rsidRPr="004143AE" w:rsidRDefault="0040005A">
      <w:pPr>
        <w:pStyle w:val="FootnoteText"/>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1975 (4) SA 87 (D).</w:t>
      </w:r>
    </w:p>
  </w:footnote>
  <w:footnote w:id="13">
    <w:p w14:paraId="4FC825DE" w14:textId="652085C2" w:rsidR="0040005A" w:rsidRPr="004143AE" w:rsidRDefault="0040005A">
      <w:pPr>
        <w:pStyle w:val="FootnoteText"/>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Unreported judgment of the Western Cape High Court, case number 13667/2008.</w:t>
      </w:r>
    </w:p>
  </w:footnote>
  <w:footnote w:id="14">
    <w:p w14:paraId="51E73FC7" w14:textId="0A9E7556" w:rsidR="0040005A" w:rsidRPr="004143AE" w:rsidRDefault="0040005A" w:rsidP="0049167E">
      <w:pPr>
        <w:pStyle w:val="FootnoteText"/>
        <w:rPr>
          <w:sz w:val="20"/>
          <w:szCs w:val="20"/>
        </w:rPr>
      </w:pPr>
      <w:r w:rsidRPr="004143AE">
        <w:rPr>
          <w:rStyle w:val="FootnoteReference"/>
          <w:sz w:val="20"/>
          <w:szCs w:val="20"/>
        </w:rPr>
        <w:footnoteRef/>
      </w:r>
      <w:r w:rsidRPr="004143AE">
        <w:rPr>
          <w:sz w:val="20"/>
          <w:szCs w:val="20"/>
        </w:rPr>
        <w:t xml:space="preserve"> </w:t>
      </w:r>
      <w:r>
        <w:rPr>
          <w:sz w:val="20"/>
          <w:szCs w:val="20"/>
        </w:rPr>
        <w:tab/>
      </w:r>
      <w:r w:rsidRPr="004143AE">
        <w:rPr>
          <w:sz w:val="20"/>
          <w:szCs w:val="20"/>
        </w:rPr>
        <w:t>38 of 2001</w:t>
      </w:r>
      <w:r>
        <w:rPr>
          <w:sz w:val="20"/>
          <w:szCs w:val="20"/>
        </w:rPr>
        <w:t>.</w:t>
      </w:r>
    </w:p>
  </w:footnote>
  <w:footnote w:id="15">
    <w:p w14:paraId="083DFD63" w14:textId="341D853D" w:rsidR="0040005A" w:rsidRPr="004143AE" w:rsidRDefault="0040005A">
      <w:pPr>
        <w:pStyle w:val="FootnoteText"/>
        <w:rPr>
          <w:sz w:val="20"/>
          <w:szCs w:val="20"/>
          <w:lang w:val="en-ZA"/>
        </w:rPr>
      </w:pPr>
      <w:r w:rsidRPr="004143AE">
        <w:rPr>
          <w:rStyle w:val="FootnoteReference"/>
          <w:sz w:val="20"/>
          <w:szCs w:val="20"/>
        </w:rPr>
        <w:footnoteRef/>
      </w:r>
      <w:r w:rsidRPr="004143AE">
        <w:rPr>
          <w:sz w:val="20"/>
          <w:szCs w:val="20"/>
        </w:rPr>
        <w:t xml:space="preserve"> </w:t>
      </w:r>
      <w:r w:rsidRPr="004143AE">
        <w:rPr>
          <w:sz w:val="20"/>
          <w:szCs w:val="20"/>
        </w:rPr>
        <w:tab/>
      </w:r>
      <w:r w:rsidRPr="004143AE">
        <w:rPr>
          <w:i/>
          <w:sz w:val="20"/>
          <w:szCs w:val="20"/>
          <w:lang w:val="en-ZA"/>
        </w:rPr>
        <w:t xml:space="preserve">Minister of Land Affairs and Agriculture v D&amp;F </w:t>
      </w:r>
      <w:proofErr w:type="spellStart"/>
      <w:r w:rsidRPr="004143AE">
        <w:rPr>
          <w:i/>
          <w:sz w:val="20"/>
          <w:szCs w:val="20"/>
          <w:lang w:val="en-ZA"/>
        </w:rPr>
        <w:t>Wevell</w:t>
      </w:r>
      <w:proofErr w:type="spellEnd"/>
      <w:r w:rsidRPr="004143AE">
        <w:rPr>
          <w:i/>
          <w:sz w:val="20"/>
          <w:szCs w:val="20"/>
          <w:lang w:val="en-ZA"/>
        </w:rPr>
        <w:t xml:space="preserve"> Trust</w:t>
      </w:r>
      <w:r w:rsidRPr="004143AE">
        <w:rPr>
          <w:sz w:val="20"/>
          <w:szCs w:val="20"/>
          <w:lang w:val="en-ZA"/>
        </w:rPr>
        <w:t xml:space="preserve"> 2008 (2) SA 184 at 205D-206B.</w:t>
      </w:r>
    </w:p>
  </w:footnote>
  <w:footnote w:id="16">
    <w:p w14:paraId="2B285E1A" w14:textId="3B99B001" w:rsidR="0088266E" w:rsidRPr="004143AE" w:rsidRDefault="0088266E">
      <w:pPr>
        <w:pStyle w:val="FootnoteText"/>
        <w:rPr>
          <w:sz w:val="20"/>
          <w:szCs w:val="20"/>
        </w:rPr>
      </w:pPr>
      <w:r w:rsidRPr="004143AE">
        <w:rPr>
          <w:rStyle w:val="FootnoteReference"/>
          <w:sz w:val="20"/>
          <w:szCs w:val="20"/>
        </w:rPr>
        <w:footnoteRef/>
      </w:r>
      <w:r w:rsidRPr="004143AE">
        <w:rPr>
          <w:sz w:val="20"/>
          <w:szCs w:val="20"/>
        </w:rPr>
        <w:t xml:space="preserve"> </w:t>
      </w:r>
      <w:r w:rsidRPr="004143AE">
        <w:rPr>
          <w:sz w:val="20"/>
          <w:szCs w:val="20"/>
        </w:rPr>
        <w:tab/>
        <w:t>1992 (1) 783 (A).</w:t>
      </w:r>
    </w:p>
  </w:footnote>
  <w:footnote w:id="17">
    <w:p w14:paraId="5214CA10" w14:textId="5F6B3FDC" w:rsidR="0040005A" w:rsidRPr="004143AE" w:rsidRDefault="0040005A">
      <w:pPr>
        <w:pStyle w:val="FootnoteText"/>
        <w:rPr>
          <w:sz w:val="20"/>
          <w:szCs w:val="20"/>
          <w:lang w:val="en-ZA"/>
        </w:rPr>
      </w:pPr>
      <w:r w:rsidRPr="004143AE">
        <w:rPr>
          <w:rStyle w:val="FootnoteReference"/>
          <w:sz w:val="20"/>
          <w:szCs w:val="20"/>
        </w:rPr>
        <w:footnoteRef/>
      </w:r>
      <w:r w:rsidRPr="004143AE">
        <w:rPr>
          <w:sz w:val="20"/>
          <w:szCs w:val="20"/>
        </w:rPr>
        <w:t xml:space="preserve"> </w:t>
      </w:r>
      <w:r w:rsidRPr="004143AE">
        <w:rPr>
          <w:i/>
          <w:sz w:val="20"/>
          <w:szCs w:val="20"/>
          <w:lang w:val="en-ZA"/>
        </w:rPr>
        <w:t>Commissioner, SARS and Another v ABSA Bank Ltd and Another</w:t>
      </w:r>
      <w:r w:rsidRPr="004143AE">
        <w:rPr>
          <w:sz w:val="20"/>
          <w:szCs w:val="20"/>
          <w:lang w:val="en-ZA"/>
        </w:rPr>
        <w:t xml:space="preserve"> 2003 (2) SA 9</w:t>
      </w:r>
      <w:r>
        <w:rPr>
          <w:sz w:val="20"/>
          <w:szCs w:val="20"/>
          <w:lang w:val="en-ZA"/>
        </w:rPr>
        <w:t>6</w:t>
      </w:r>
      <w:r w:rsidRPr="004143AE">
        <w:rPr>
          <w:sz w:val="20"/>
          <w:szCs w:val="20"/>
          <w:lang w:val="en-ZA"/>
        </w:rPr>
        <w:t xml:space="preserve"> (W) at </w:t>
      </w:r>
      <w:r w:rsidR="00D836CA">
        <w:rPr>
          <w:sz w:val="20"/>
          <w:szCs w:val="20"/>
          <w:lang w:val="en-ZA"/>
        </w:rPr>
        <w:t xml:space="preserve">para </w:t>
      </w:r>
      <w:r w:rsidRPr="004143AE">
        <w:rPr>
          <w:sz w:val="20"/>
          <w:szCs w:val="20"/>
          <w:lang w:val="en-ZA"/>
        </w:rPr>
        <w:t>[30]</w:t>
      </w:r>
      <w:r>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324E2127" w:rsidR="0040005A" w:rsidRDefault="0040005A">
    <w:pPr>
      <w:pStyle w:val="Header"/>
      <w:jc w:val="right"/>
    </w:pPr>
    <w:r>
      <w:fldChar w:fldCharType="begin"/>
    </w:r>
    <w:r>
      <w:instrText xml:space="preserve"> PAGE   \* MERGEFORMAT </w:instrText>
    </w:r>
    <w:r>
      <w:fldChar w:fldCharType="separate"/>
    </w:r>
    <w:r w:rsidR="000E6C33">
      <w:rPr>
        <w:noProof/>
      </w:rPr>
      <w:t>21</w:t>
    </w:r>
    <w:r>
      <w:rPr>
        <w:noProof/>
      </w:rPr>
      <w:fldChar w:fldCharType="end"/>
    </w:r>
  </w:p>
  <w:p w14:paraId="7C19FFE2" w14:textId="77777777" w:rsidR="0040005A" w:rsidRDefault="00400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3"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021C"/>
    <w:rsid w:val="00001F2D"/>
    <w:rsid w:val="000025D3"/>
    <w:rsid w:val="000026D9"/>
    <w:rsid w:val="000029BF"/>
    <w:rsid w:val="00002E04"/>
    <w:rsid w:val="00003D4F"/>
    <w:rsid w:val="000043C3"/>
    <w:rsid w:val="0000489E"/>
    <w:rsid w:val="00004C50"/>
    <w:rsid w:val="00004FF5"/>
    <w:rsid w:val="00005393"/>
    <w:rsid w:val="00005635"/>
    <w:rsid w:val="00006D89"/>
    <w:rsid w:val="00006FFA"/>
    <w:rsid w:val="0000721E"/>
    <w:rsid w:val="000075CD"/>
    <w:rsid w:val="000075D6"/>
    <w:rsid w:val="00007941"/>
    <w:rsid w:val="00007A1E"/>
    <w:rsid w:val="00007BEB"/>
    <w:rsid w:val="0001053C"/>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2EF"/>
    <w:rsid w:val="00027523"/>
    <w:rsid w:val="000278DA"/>
    <w:rsid w:val="00027E31"/>
    <w:rsid w:val="00027E97"/>
    <w:rsid w:val="00032191"/>
    <w:rsid w:val="000327C4"/>
    <w:rsid w:val="000331C7"/>
    <w:rsid w:val="00033914"/>
    <w:rsid w:val="00033A8B"/>
    <w:rsid w:val="000359BF"/>
    <w:rsid w:val="00035C54"/>
    <w:rsid w:val="00035CA2"/>
    <w:rsid w:val="000363C1"/>
    <w:rsid w:val="00036839"/>
    <w:rsid w:val="00036B3C"/>
    <w:rsid w:val="00036CBB"/>
    <w:rsid w:val="00036E35"/>
    <w:rsid w:val="00037B4A"/>
    <w:rsid w:val="00037E9A"/>
    <w:rsid w:val="00040851"/>
    <w:rsid w:val="00040CFF"/>
    <w:rsid w:val="0004166E"/>
    <w:rsid w:val="0004179B"/>
    <w:rsid w:val="00041A35"/>
    <w:rsid w:val="000420EB"/>
    <w:rsid w:val="00042120"/>
    <w:rsid w:val="00042144"/>
    <w:rsid w:val="0004225B"/>
    <w:rsid w:val="00042883"/>
    <w:rsid w:val="00042910"/>
    <w:rsid w:val="00042E5D"/>
    <w:rsid w:val="00043330"/>
    <w:rsid w:val="00043B8D"/>
    <w:rsid w:val="00044899"/>
    <w:rsid w:val="00044CB9"/>
    <w:rsid w:val="00045CF6"/>
    <w:rsid w:val="00046726"/>
    <w:rsid w:val="0004700B"/>
    <w:rsid w:val="000471C4"/>
    <w:rsid w:val="00047380"/>
    <w:rsid w:val="00047496"/>
    <w:rsid w:val="00047864"/>
    <w:rsid w:val="00047964"/>
    <w:rsid w:val="00051139"/>
    <w:rsid w:val="000526FC"/>
    <w:rsid w:val="00053DD2"/>
    <w:rsid w:val="00053F3E"/>
    <w:rsid w:val="000541F4"/>
    <w:rsid w:val="00054540"/>
    <w:rsid w:val="000549B6"/>
    <w:rsid w:val="00054B84"/>
    <w:rsid w:val="000551CD"/>
    <w:rsid w:val="000552C4"/>
    <w:rsid w:val="000554AC"/>
    <w:rsid w:val="00055661"/>
    <w:rsid w:val="000568CD"/>
    <w:rsid w:val="000569B1"/>
    <w:rsid w:val="0005747E"/>
    <w:rsid w:val="00057FE1"/>
    <w:rsid w:val="000603D2"/>
    <w:rsid w:val="00061062"/>
    <w:rsid w:val="0006122D"/>
    <w:rsid w:val="000614DC"/>
    <w:rsid w:val="00061632"/>
    <w:rsid w:val="0006281D"/>
    <w:rsid w:val="00062AC4"/>
    <w:rsid w:val="000630C0"/>
    <w:rsid w:val="00063347"/>
    <w:rsid w:val="00063586"/>
    <w:rsid w:val="00063C8A"/>
    <w:rsid w:val="00064037"/>
    <w:rsid w:val="000643EE"/>
    <w:rsid w:val="00064417"/>
    <w:rsid w:val="000648C6"/>
    <w:rsid w:val="000649F2"/>
    <w:rsid w:val="00065D25"/>
    <w:rsid w:val="00065DBA"/>
    <w:rsid w:val="00065ECA"/>
    <w:rsid w:val="00067403"/>
    <w:rsid w:val="0007054D"/>
    <w:rsid w:val="000713C6"/>
    <w:rsid w:val="000715B5"/>
    <w:rsid w:val="00071C04"/>
    <w:rsid w:val="0007238B"/>
    <w:rsid w:val="00073213"/>
    <w:rsid w:val="00073217"/>
    <w:rsid w:val="000737E0"/>
    <w:rsid w:val="00073DAA"/>
    <w:rsid w:val="000743C1"/>
    <w:rsid w:val="00074490"/>
    <w:rsid w:val="00074639"/>
    <w:rsid w:val="00075731"/>
    <w:rsid w:val="00075A7B"/>
    <w:rsid w:val="000768B7"/>
    <w:rsid w:val="00076AEB"/>
    <w:rsid w:val="00076C32"/>
    <w:rsid w:val="00077A72"/>
    <w:rsid w:val="00077DA0"/>
    <w:rsid w:val="000813AC"/>
    <w:rsid w:val="00081B44"/>
    <w:rsid w:val="000821DD"/>
    <w:rsid w:val="0008281A"/>
    <w:rsid w:val="00082997"/>
    <w:rsid w:val="00082F77"/>
    <w:rsid w:val="00083DA8"/>
    <w:rsid w:val="000849F3"/>
    <w:rsid w:val="00084A85"/>
    <w:rsid w:val="00085710"/>
    <w:rsid w:val="00087F0F"/>
    <w:rsid w:val="00090D1E"/>
    <w:rsid w:val="00090E6B"/>
    <w:rsid w:val="00091148"/>
    <w:rsid w:val="00091EF1"/>
    <w:rsid w:val="00092FE0"/>
    <w:rsid w:val="00094423"/>
    <w:rsid w:val="00094488"/>
    <w:rsid w:val="00095CA6"/>
    <w:rsid w:val="00095F1C"/>
    <w:rsid w:val="00095FFF"/>
    <w:rsid w:val="0009607F"/>
    <w:rsid w:val="0009617B"/>
    <w:rsid w:val="000968A2"/>
    <w:rsid w:val="00096CD3"/>
    <w:rsid w:val="000975B2"/>
    <w:rsid w:val="00097C41"/>
    <w:rsid w:val="00097F5E"/>
    <w:rsid w:val="000A0020"/>
    <w:rsid w:val="000A0398"/>
    <w:rsid w:val="000A1B6E"/>
    <w:rsid w:val="000A1C84"/>
    <w:rsid w:val="000A1CF7"/>
    <w:rsid w:val="000A2515"/>
    <w:rsid w:val="000A29C9"/>
    <w:rsid w:val="000A3154"/>
    <w:rsid w:val="000A36F7"/>
    <w:rsid w:val="000A4BC0"/>
    <w:rsid w:val="000A5992"/>
    <w:rsid w:val="000A6549"/>
    <w:rsid w:val="000A7F92"/>
    <w:rsid w:val="000B0497"/>
    <w:rsid w:val="000B1B70"/>
    <w:rsid w:val="000B2B54"/>
    <w:rsid w:val="000B2C72"/>
    <w:rsid w:val="000B2E1A"/>
    <w:rsid w:val="000B3A8F"/>
    <w:rsid w:val="000B40DB"/>
    <w:rsid w:val="000B4A7E"/>
    <w:rsid w:val="000B4E9C"/>
    <w:rsid w:val="000B5890"/>
    <w:rsid w:val="000B66A1"/>
    <w:rsid w:val="000B6CBE"/>
    <w:rsid w:val="000B738C"/>
    <w:rsid w:val="000B77A3"/>
    <w:rsid w:val="000B79B7"/>
    <w:rsid w:val="000B7F25"/>
    <w:rsid w:val="000B7F3F"/>
    <w:rsid w:val="000C07AB"/>
    <w:rsid w:val="000C0C9A"/>
    <w:rsid w:val="000C0E29"/>
    <w:rsid w:val="000C12AC"/>
    <w:rsid w:val="000C15AC"/>
    <w:rsid w:val="000C2A6D"/>
    <w:rsid w:val="000C2D83"/>
    <w:rsid w:val="000C2E2C"/>
    <w:rsid w:val="000C3186"/>
    <w:rsid w:val="000C4EA2"/>
    <w:rsid w:val="000C5C23"/>
    <w:rsid w:val="000C5E4D"/>
    <w:rsid w:val="000C726A"/>
    <w:rsid w:val="000C7D3C"/>
    <w:rsid w:val="000D0000"/>
    <w:rsid w:val="000D0A14"/>
    <w:rsid w:val="000D0DD0"/>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C33"/>
    <w:rsid w:val="000E6EA6"/>
    <w:rsid w:val="000E7114"/>
    <w:rsid w:val="000E7904"/>
    <w:rsid w:val="000E7913"/>
    <w:rsid w:val="000F0069"/>
    <w:rsid w:val="000F04AB"/>
    <w:rsid w:val="000F0FDF"/>
    <w:rsid w:val="000F12F3"/>
    <w:rsid w:val="000F19F8"/>
    <w:rsid w:val="000F1B35"/>
    <w:rsid w:val="000F1FCB"/>
    <w:rsid w:val="000F201C"/>
    <w:rsid w:val="000F2614"/>
    <w:rsid w:val="000F390B"/>
    <w:rsid w:val="000F4FE4"/>
    <w:rsid w:val="000F5077"/>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5248"/>
    <w:rsid w:val="00115B49"/>
    <w:rsid w:val="00116524"/>
    <w:rsid w:val="00116ADA"/>
    <w:rsid w:val="0011705A"/>
    <w:rsid w:val="001173C1"/>
    <w:rsid w:val="0011763B"/>
    <w:rsid w:val="0011783C"/>
    <w:rsid w:val="0012016A"/>
    <w:rsid w:val="0012061B"/>
    <w:rsid w:val="0012091D"/>
    <w:rsid w:val="00120DB7"/>
    <w:rsid w:val="001210C6"/>
    <w:rsid w:val="00121310"/>
    <w:rsid w:val="001214B2"/>
    <w:rsid w:val="00122942"/>
    <w:rsid w:val="0012364D"/>
    <w:rsid w:val="00123DC2"/>
    <w:rsid w:val="0012426D"/>
    <w:rsid w:val="00124662"/>
    <w:rsid w:val="0012553D"/>
    <w:rsid w:val="00125574"/>
    <w:rsid w:val="00125BDA"/>
    <w:rsid w:val="0012605F"/>
    <w:rsid w:val="00126A19"/>
    <w:rsid w:val="00126ABB"/>
    <w:rsid w:val="00127ADA"/>
    <w:rsid w:val="0013074A"/>
    <w:rsid w:val="00130F92"/>
    <w:rsid w:val="00131007"/>
    <w:rsid w:val="00131CCD"/>
    <w:rsid w:val="00132013"/>
    <w:rsid w:val="00133466"/>
    <w:rsid w:val="00133A23"/>
    <w:rsid w:val="00134036"/>
    <w:rsid w:val="00134B79"/>
    <w:rsid w:val="00137B70"/>
    <w:rsid w:val="00140133"/>
    <w:rsid w:val="00140B02"/>
    <w:rsid w:val="00141AF1"/>
    <w:rsid w:val="0014208E"/>
    <w:rsid w:val="0014299A"/>
    <w:rsid w:val="001437D6"/>
    <w:rsid w:val="00143E0F"/>
    <w:rsid w:val="00143F69"/>
    <w:rsid w:val="001441DA"/>
    <w:rsid w:val="0014439A"/>
    <w:rsid w:val="00145322"/>
    <w:rsid w:val="00145B6A"/>
    <w:rsid w:val="001463E4"/>
    <w:rsid w:val="001468BA"/>
    <w:rsid w:val="00146DDD"/>
    <w:rsid w:val="00147059"/>
    <w:rsid w:val="0015010C"/>
    <w:rsid w:val="00150C6C"/>
    <w:rsid w:val="0015121B"/>
    <w:rsid w:val="00151489"/>
    <w:rsid w:val="001527CA"/>
    <w:rsid w:val="0015336D"/>
    <w:rsid w:val="00153A81"/>
    <w:rsid w:val="00153BCD"/>
    <w:rsid w:val="00154728"/>
    <w:rsid w:val="001550E5"/>
    <w:rsid w:val="0015650B"/>
    <w:rsid w:val="0015676D"/>
    <w:rsid w:val="001567D0"/>
    <w:rsid w:val="00157759"/>
    <w:rsid w:val="0015786A"/>
    <w:rsid w:val="00157C3E"/>
    <w:rsid w:val="00160F54"/>
    <w:rsid w:val="00161B42"/>
    <w:rsid w:val="0016224A"/>
    <w:rsid w:val="00162D13"/>
    <w:rsid w:val="0016328B"/>
    <w:rsid w:val="0016340F"/>
    <w:rsid w:val="0016348C"/>
    <w:rsid w:val="00163A83"/>
    <w:rsid w:val="00164BE7"/>
    <w:rsid w:val="001650A8"/>
    <w:rsid w:val="001652B4"/>
    <w:rsid w:val="0016546B"/>
    <w:rsid w:val="00165F11"/>
    <w:rsid w:val="00167B5A"/>
    <w:rsid w:val="00167BB4"/>
    <w:rsid w:val="0017016C"/>
    <w:rsid w:val="00170A55"/>
    <w:rsid w:val="00170D47"/>
    <w:rsid w:val="0017129E"/>
    <w:rsid w:val="00171543"/>
    <w:rsid w:val="00172E31"/>
    <w:rsid w:val="00172F5D"/>
    <w:rsid w:val="00173AEB"/>
    <w:rsid w:val="00173B17"/>
    <w:rsid w:val="00173C62"/>
    <w:rsid w:val="00173DFC"/>
    <w:rsid w:val="001742A0"/>
    <w:rsid w:val="0017468A"/>
    <w:rsid w:val="0017472F"/>
    <w:rsid w:val="0017500D"/>
    <w:rsid w:val="001750DB"/>
    <w:rsid w:val="0017518A"/>
    <w:rsid w:val="00175BC5"/>
    <w:rsid w:val="00175E7C"/>
    <w:rsid w:val="001779BC"/>
    <w:rsid w:val="00180CD7"/>
    <w:rsid w:val="001812DE"/>
    <w:rsid w:val="001822E1"/>
    <w:rsid w:val="00183192"/>
    <w:rsid w:val="00183E73"/>
    <w:rsid w:val="0018583B"/>
    <w:rsid w:val="001879BC"/>
    <w:rsid w:val="00190436"/>
    <w:rsid w:val="00191410"/>
    <w:rsid w:val="00192693"/>
    <w:rsid w:val="00193169"/>
    <w:rsid w:val="0019325C"/>
    <w:rsid w:val="00193712"/>
    <w:rsid w:val="00193F31"/>
    <w:rsid w:val="00194234"/>
    <w:rsid w:val="0019451B"/>
    <w:rsid w:val="00195605"/>
    <w:rsid w:val="0019568E"/>
    <w:rsid w:val="001969D2"/>
    <w:rsid w:val="00196AFF"/>
    <w:rsid w:val="00197791"/>
    <w:rsid w:val="00197C67"/>
    <w:rsid w:val="001A00C1"/>
    <w:rsid w:val="001A02F1"/>
    <w:rsid w:val="001A0391"/>
    <w:rsid w:val="001A04E4"/>
    <w:rsid w:val="001A1982"/>
    <w:rsid w:val="001A1CCC"/>
    <w:rsid w:val="001A20AA"/>
    <w:rsid w:val="001A2212"/>
    <w:rsid w:val="001A2AA9"/>
    <w:rsid w:val="001A2B16"/>
    <w:rsid w:val="001A2FD7"/>
    <w:rsid w:val="001A6457"/>
    <w:rsid w:val="001A7558"/>
    <w:rsid w:val="001A7D24"/>
    <w:rsid w:val="001B053D"/>
    <w:rsid w:val="001B0765"/>
    <w:rsid w:val="001B091A"/>
    <w:rsid w:val="001B09A6"/>
    <w:rsid w:val="001B09DA"/>
    <w:rsid w:val="001B0E3A"/>
    <w:rsid w:val="001B1309"/>
    <w:rsid w:val="001B1ADE"/>
    <w:rsid w:val="001B1FF2"/>
    <w:rsid w:val="001B2D50"/>
    <w:rsid w:val="001B4105"/>
    <w:rsid w:val="001B65A6"/>
    <w:rsid w:val="001B7D69"/>
    <w:rsid w:val="001C057A"/>
    <w:rsid w:val="001C0BDD"/>
    <w:rsid w:val="001C13FC"/>
    <w:rsid w:val="001C318A"/>
    <w:rsid w:val="001C3706"/>
    <w:rsid w:val="001C38A1"/>
    <w:rsid w:val="001C495E"/>
    <w:rsid w:val="001C4DFD"/>
    <w:rsid w:val="001C58CC"/>
    <w:rsid w:val="001C5BE4"/>
    <w:rsid w:val="001C5EF4"/>
    <w:rsid w:val="001C5FF8"/>
    <w:rsid w:val="001C61FF"/>
    <w:rsid w:val="001C77DD"/>
    <w:rsid w:val="001C7BF6"/>
    <w:rsid w:val="001C7C4D"/>
    <w:rsid w:val="001D0DC4"/>
    <w:rsid w:val="001D185D"/>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392"/>
    <w:rsid w:val="001E142F"/>
    <w:rsid w:val="001E1F7D"/>
    <w:rsid w:val="001E23CC"/>
    <w:rsid w:val="001E24E1"/>
    <w:rsid w:val="001E2974"/>
    <w:rsid w:val="001E2A7C"/>
    <w:rsid w:val="001E3931"/>
    <w:rsid w:val="001E3F8B"/>
    <w:rsid w:val="001E447A"/>
    <w:rsid w:val="001E5131"/>
    <w:rsid w:val="001E7146"/>
    <w:rsid w:val="001E71F5"/>
    <w:rsid w:val="001E77C7"/>
    <w:rsid w:val="001E7DA7"/>
    <w:rsid w:val="001F0581"/>
    <w:rsid w:val="001F05C0"/>
    <w:rsid w:val="001F1468"/>
    <w:rsid w:val="001F1531"/>
    <w:rsid w:val="001F1D54"/>
    <w:rsid w:val="001F2977"/>
    <w:rsid w:val="001F2E35"/>
    <w:rsid w:val="001F36A0"/>
    <w:rsid w:val="001F3CAE"/>
    <w:rsid w:val="001F3FFC"/>
    <w:rsid w:val="001F4154"/>
    <w:rsid w:val="001F73B9"/>
    <w:rsid w:val="001F7976"/>
    <w:rsid w:val="001F7FC2"/>
    <w:rsid w:val="00200A3E"/>
    <w:rsid w:val="00201202"/>
    <w:rsid w:val="0020161E"/>
    <w:rsid w:val="00201FE1"/>
    <w:rsid w:val="0020229A"/>
    <w:rsid w:val="00202F97"/>
    <w:rsid w:val="00203048"/>
    <w:rsid w:val="00203FBE"/>
    <w:rsid w:val="0020481F"/>
    <w:rsid w:val="00205064"/>
    <w:rsid w:val="002053DD"/>
    <w:rsid w:val="002061BE"/>
    <w:rsid w:val="002061BF"/>
    <w:rsid w:val="002070B3"/>
    <w:rsid w:val="00207AFE"/>
    <w:rsid w:val="00207F92"/>
    <w:rsid w:val="002101BB"/>
    <w:rsid w:val="00210A60"/>
    <w:rsid w:val="00211100"/>
    <w:rsid w:val="00211E3E"/>
    <w:rsid w:val="0021213F"/>
    <w:rsid w:val="00212B52"/>
    <w:rsid w:val="00212EB7"/>
    <w:rsid w:val="002130C1"/>
    <w:rsid w:val="00213264"/>
    <w:rsid w:val="00213914"/>
    <w:rsid w:val="00213BDE"/>
    <w:rsid w:val="00214970"/>
    <w:rsid w:val="00214D52"/>
    <w:rsid w:val="00215B90"/>
    <w:rsid w:val="002169E8"/>
    <w:rsid w:val="00216E31"/>
    <w:rsid w:val="002172D6"/>
    <w:rsid w:val="00217A1B"/>
    <w:rsid w:val="002203F0"/>
    <w:rsid w:val="002204A3"/>
    <w:rsid w:val="002205B2"/>
    <w:rsid w:val="00221808"/>
    <w:rsid w:val="0022241E"/>
    <w:rsid w:val="00222951"/>
    <w:rsid w:val="002231EB"/>
    <w:rsid w:val="002235CA"/>
    <w:rsid w:val="00223928"/>
    <w:rsid w:val="00223968"/>
    <w:rsid w:val="00223AC3"/>
    <w:rsid w:val="0022426E"/>
    <w:rsid w:val="00226C75"/>
    <w:rsid w:val="00227680"/>
    <w:rsid w:val="00230D61"/>
    <w:rsid w:val="00231437"/>
    <w:rsid w:val="00231EDD"/>
    <w:rsid w:val="00232962"/>
    <w:rsid w:val="00232A01"/>
    <w:rsid w:val="00232E52"/>
    <w:rsid w:val="00233F36"/>
    <w:rsid w:val="002346DB"/>
    <w:rsid w:val="00234C6F"/>
    <w:rsid w:val="00234E67"/>
    <w:rsid w:val="00234F48"/>
    <w:rsid w:val="0023625A"/>
    <w:rsid w:val="0023769E"/>
    <w:rsid w:val="0023795E"/>
    <w:rsid w:val="00237B60"/>
    <w:rsid w:val="002400E6"/>
    <w:rsid w:val="002408E5"/>
    <w:rsid w:val="00241917"/>
    <w:rsid w:val="00242380"/>
    <w:rsid w:val="002423C2"/>
    <w:rsid w:val="00242CFB"/>
    <w:rsid w:val="00242EC0"/>
    <w:rsid w:val="00243294"/>
    <w:rsid w:val="002432AA"/>
    <w:rsid w:val="00243730"/>
    <w:rsid w:val="002437F9"/>
    <w:rsid w:val="0024456B"/>
    <w:rsid w:val="00244B86"/>
    <w:rsid w:val="00245436"/>
    <w:rsid w:val="00245761"/>
    <w:rsid w:val="00245933"/>
    <w:rsid w:val="00246473"/>
    <w:rsid w:val="0024690C"/>
    <w:rsid w:val="00246FA7"/>
    <w:rsid w:val="00247A69"/>
    <w:rsid w:val="00247B1B"/>
    <w:rsid w:val="00250982"/>
    <w:rsid w:val="00251183"/>
    <w:rsid w:val="00251D3D"/>
    <w:rsid w:val="00252BB2"/>
    <w:rsid w:val="00253B4E"/>
    <w:rsid w:val="002543D0"/>
    <w:rsid w:val="00254988"/>
    <w:rsid w:val="00254E57"/>
    <w:rsid w:val="00254EFF"/>
    <w:rsid w:val="0025553A"/>
    <w:rsid w:val="0025579B"/>
    <w:rsid w:val="0025707E"/>
    <w:rsid w:val="00257764"/>
    <w:rsid w:val="0026056A"/>
    <w:rsid w:val="00260624"/>
    <w:rsid w:val="0026073B"/>
    <w:rsid w:val="00260CD5"/>
    <w:rsid w:val="00261DF4"/>
    <w:rsid w:val="002621C4"/>
    <w:rsid w:val="0026229C"/>
    <w:rsid w:val="00262464"/>
    <w:rsid w:val="00263705"/>
    <w:rsid w:val="00263DB1"/>
    <w:rsid w:val="00263E02"/>
    <w:rsid w:val="00264136"/>
    <w:rsid w:val="0026449D"/>
    <w:rsid w:val="00264DCB"/>
    <w:rsid w:val="002665ED"/>
    <w:rsid w:val="00266C60"/>
    <w:rsid w:val="00266D99"/>
    <w:rsid w:val="0026703D"/>
    <w:rsid w:val="00270F2A"/>
    <w:rsid w:val="00272701"/>
    <w:rsid w:val="002738C6"/>
    <w:rsid w:val="00273E45"/>
    <w:rsid w:val="00273FB9"/>
    <w:rsid w:val="00274324"/>
    <w:rsid w:val="00274568"/>
    <w:rsid w:val="002749DA"/>
    <w:rsid w:val="00275010"/>
    <w:rsid w:val="0027593C"/>
    <w:rsid w:val="00275C46"/>
    <w:rsid w:val="00276A99"/>
    <w:rsid w:val="00276AA7"/>
    <w:rsid w:val="00277687"/>
    <w:rsid w:val="0027781A"/>
    <w:rsid w:val="0027791B"/>
    <w:rsid w:val="00277E90"/>
    <w:rsid w:val="00282000"/>
    <w:rsid w:val="0028385F"/>
    <w:rsid w:val="00283DF8"/>
    <w:rsid w:val="0028471A"/>
    <w:rsid w:val="00285E30"/>
    <w:rsid w:val="00286941"/>
    <w:rsid w:val="00286E0F"/>
    <w:rsid w:val="00287E8B"/>
    <w:rsid w:val="00290419"/>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31D"/>
    <w:rsid w:val="002A155E"/>
    <w:rsid w:val="002A20ED"/>
    <w:rsid w:val="002A27C9"/>
    <w:rsid w:val="002A29CB"/>
    <w:rsid w:val="002A3E4C"/>
    <w:rsid w:val="002A414E"/>
    <w:rsid w:val="002A41E2"/>
    <w:rsid w:val="002A42E3"/>
    <w:rsid w:val="002A4D60"/>
    <w:rsid w:val="002A4DBE"/>
    <w:rsid w:val="002A53A6"/>
    <w:rsid w:val="002A6480"/>
    <w:rsid w:val="002A72E7"/>
    <w:rsid w:val="002B04FF"/>
    <w:rsid w:val="002B1672"/>
    <w:rsid w:val="002B3426"/>
    <w:rsid w:val="002B4223"/>
    <w:rsid w:val="002B44F2"/>
    <w:rsid w:val="002B4B3D"/>
    <w:rsid w:val="002B6034"/>
    <w:rsid w:val="002B675A"/>
    <w:rsid w:val="002C0251"/>
    <w:rsid w:val="002C0292"/>
    <w:rsid w:val="002C2870"/>
    <w:rsid w:val="002C2FC7"/>
    <w:rsid w:val="002C3589"/>
    <w:rsid w:val="002C37FB"/>
    <w:rsid w:val="002C3A6E"/>
    <w:rsid w:val="002C3D8A"/>
    <w:rsid w:val="002C3E50"/>
    <w:rsid w:val="002C3E52"/>
    <w:rsid w:val="002C47ED"/>
    <w:rsid w:val="002C4854"/>
    <w:rsid w:val="002C4AE6"/>
    <w:rsid w:val="002C4E67"/>
    <w:rsid w:val="002C5514"/>
    <w:rsid w:val="002C5866"/>
    <w:rsid w:val="002C72C1"/>
    <w:rsid w:val="002C79B7"/>
    <w:rsid w:val="002C7E8F"/>
    <w:rsid w:val="002D0463"/>
    <w:rsid w:val="002D06B4"/>
    <w:rsid w:val="002D0D85"/>
    <w:rsid w:val="002D1185"/>
    <w:rsid w:val="002D1A05"/>
    <w:rsid w:val="002D271F"/>
    <w:rsid w:val="002D307B"/>
    <w:rsid w:val="002D3441"/>
    <w:rsid w:val="002D34CB"/>
    <w:rsid w:val="002D3BDC"/>
    <w:rsid w:val="002D4178"/>
    <w:rsid w:val="002D436D"/>
    <w:rsid w:val="002D494B"/>
    <w:rsid w:val="002D4F6A"/>
    <w:rsid w:val="002D54F2"/>
    <w:rsid w:val="002D58B2"/>
    <w:rsid w:val="002D616A"/>
    <w:rsid w:val="002D6260"/>
    <w:rsid w:val="002D635F"/>
    <w:rsid w:val="002D64B9"/>
    <w:rsid w:val="002D66E9"/>
    <w:rsid w:val="002D675D"/>
    <w:rsid w:val="002D6A5F"/>
    <w:rsid w:val="002D71F1"/>
    <w:rsid w:val="002D7496"/>
    <w:rsid w:val="002E07B0"/>
    <w:rsid w:val="002E08AA"/>
    <w:rsid w:val="002E0F7A"/>
    <w:rsid w:val="002E102B"/>
    <w:rsid w:val="002E192F"/>
    <w:rsid w:val="002E1E8E"/>
    <w:rsid w:val="002E30D6"/>
    <w:rsid w:val="002E3223"/>
    <w:rsid w:val="002E3F05"/>
    <w:rsid w:val="002E48E8"/>
    <w:rsid w:val="002E4B25"/>
    <w:rsid w:val="002E4DDF"/>
    <w:rsid w:val="002E59C3"/>
    <w:rsid w:val="002E641A"/>
    <w:rsid w:val="002E68D9"/>
    <w:rsid w:val="002E6C8A"/>
    <w:rsid w:val="002F03B7"/>
    <w:rsid w:val="002F12CF"/>
    <w:rsid w:val="002F13A0"/>
    <w:rsid w:val="002F179E"/>
    <w:rsid w:val="002F23AD"/>
    <w:rsid w:val="002F269D"/>
    <w:rsid w:val="002F3120"/>
    <w:rsid w:val="002F38B6"/>
    <w:rsid w:val="002F3D9A"/>
    <w:rsid w:val="002F3F6E"/>
    <w:rsid w:val="002F4438"/>
    <w:rsid w:val="002F44A8"/>
    <w:rsid w:val="002F450F"/>
    <w:rsid w:val="002F4C89"/>
    <w:rsid w:val="002F5701"/>
    <w:rsid w:val="002F5E51"/>
    <w:rsid w:val="002F6A67"/>
    <w:rsid w:val="002F7953"/>
    <w:rsid w:val="002F7E5A"/>
    <w:rsid w:val="00300D09"/>
    <w:rsid w:val="00301246"/>
    <w:rsid w:val="003015A2"/>
    <w:rsid w:val="003027FB"/>
    <w:rsid w:val="00302F6F"/>
    <w:rsid w:val="0030423E"/>
    <w:rsid w:val="00306478"/>
    <w:rsid w:val="00306887"/>
    <w:rsid w:val="00306A46"/>
    <w:rsid w:val="00306F13"/>
    <w:rsid w:val="0030786B"/>
    <w:rsid w:val="0030786F"/>
    <w:rsid w:val="0031001C"/>
    <w:rsid w:val="0031072D"/>
    <w:rsid w:val="00310E3A"/>
    <w:rsid w:val="00311540"/>
    <w:rsid w:val="00311BAC"/>
    <w:rsid w:val="00313AFC"/>
    <w:rsid w:val="003142CB"/>
    <w:rsid w:val="00314652"/>
    <w:rsid w:val="00314713"/>
    <w:rsid w:val="003156ED"/>
    <w:rsid w:val="00315C08"/>
    <w:rsid w:val="0031674B"/>
    <w:rsid w:val="0032041D"/>
    <w:rsid w:val="00320434"/>
    <w:rsid w:val="0032085D"/>
    <w:rsid w:val="0032096E"/>
    <w:rsid w:val="00320976"/>
    <w:rsid w:val="003209E5"/>
    <w:rsid w:val="003210CC"/>
    <w:rsid w:val="00321382"/>
    <w:rsid w:val="00321949"/>
    <w:rsid w:val="00321AF2"/>
    <w:rsid w:val="00321C79"/>
    <w:rsid w:val="00321C7A"/>
    <w:rsid w:val="00322320"/>
    <w:rsid w:val="0032281E"/>
    <w:rsid w:val="003233E5"/>
    <w:rsid w:val="003237DC"/>
    <w:rsid w:val="00323B14"/>
    <w:rsid w:val="003243A3"/>
    <w:rsid w:val="00324B54"/>
    <w:rsid w:val="00324CE5"/>
    <w:rsid w:val="00324D2D"/>
    <w:rsid w:val="00325B5F"/>
    <w:rsid w:val="00325DA4"/>
    <w:rsid w:val="00326267"/>
    <w:rsid w:val="00327290"/>
    <w:rsid w:val="003277DB"/>
    <w:rsid w:val="003311D2"/>
    <w:rsid w:val="00331E35"/>
    <w:rsid w:val="00332113"/>
    <w:rsid w:val="0033242B"/>
    <w:rsid w:val="00332969"/>
    <w:rsid w:val="00332E2C"/>
    <w:rsid w:val="00333BED"/>
    <w:rsid w:val="00333EAB"/>
    <w:rsid w:val="003341F0"/>
    <w:rsid w:val="00334DDA"/>
    <w:rsid w:val="0033663E"/>
    <w:rsid w:val="00337520"/>
    <w:rsid w:val="003377E4"/>
    <w:rsid w:val="0033789D"/>
    <w:rsid w:val="0033792D"/>
    <w:rsid w:val="003379B6"/>
    <w:rsid w:val="00337B8F"/>
    <w:rsid w:val="00337BFA"/>
    <w:rsid w:val="0034022B"/>
    <w:rsid w:val="003402BE"/>
    <w:rsid w:val="0034076F"/>
    <w:rsid w:val="00340833"/>
    <w:rsid w:val="00340D11"/>
    <w:rsid w:val="003411B4"/>
    <w:rsid w:val="0034200E"/>
    <w:rsid w:val="003423FB"/>
    <w:rsid w:val="00343D1C"/>
    <w:rsid w:val="00344380"/>
    <w:rsid w:val="00345162"/>
    <w:rsid w:val="0034575B"/>
    <w:rsid w:val="00345E57"/>
    <w:rsid w:val="00346156"/>
    <w:rsid w:val="00346597"/>
    <w:rsid w:val="0034732B"/>
    <w:rsid w:val="00347644"/>
    <w:rsid w:val="00347A57"/>
    <w:rsid w:val="00347D50"/>
    <w:rsid w:val="00347F21"/>
    <w:rsid w:val="003508EC"/>
    <w:rsid w:val="00350A34"/>
    <w:rsid w:val="00350E9F"/>
    <w:rsid w:val="00351867"/>
    <w:rsid w:val="00351EB9"/>
    <w:rsid w:val="0035298A"/>
    <w:rsid w:val="00352D52"/>
    <w:rsid w:val="00353582"/>
    <w:rsid w:val="00355250"/>
    <w:rsid w:val="0035551B"/>
    <w:rsid w:val="00355986"/>
    <w:rsid w:val="00355B81"/>
    <w:rsid w:val="0035666A"/>
    <w:rsid w:val="003574FA"/>
    <w:rsid w:val="00357CB7"/>
    <w:rsid w:val="00360B0B"/>
    <w:rsid w:val="00361B40"/>
    <w:rsid w:val="00361E9F"/>
    <w:rsid w:val="0036200C"/>
    <w:rsid w:val="00362780"/>
    <w:rsid w:val="00362E58"/>
    <w:rsid w:val="003631D1"/>
    <w:rsid w:val="00363775"/>
    <w:rsid w:val="00363A54"/>
    <w:rsid w:val="00364101"/>
    <w:rsid w:val="003642B2"/>
    <w:rsid w:val="00364B73"/>
    <w:rsid w:val="00365830"/>
    <w:rsid w:val="00365917"/>
    <w:rsid w:val="00365A12"/>
    <w:rsid w:val="00365BE3"/>
    <w:rsid w:val="003663D8"/>
    <w:rsid w:val="00366B8C"/>
    <w:rsid w:val="0036754B"/>
    <w:rsid w:val="003675A8"/>
    <w:rsid w:val="00367714"/>
    <w:rsid w:val="0037030F"/>
    <w:rsid w:val="0037077F"/>
    <w:rsid w:val="00370D8B"/>
    <w:rsid w:val="003716C5"/>
    <w:rsid w:val="003716E9"/>
    <w:rsid w:val="003718A7"/>
    <w:rsid w:val="00372206"/>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2F5C"/>
    <w:rsid w:val="00383C98"/>
    <w:rsid w:val="003848B1"/>
    <w:rsid w:val="00384ED6"/>
    <w:rsid w:val="00386437"/>
    <w:rsid w:val="00386BC7"/>
    <w:rsid w:val="003870CA"/>
    <w:rsid w:val="00387DE2"/>
    <w:rsid w:val="0039031B"/>
    <w:rsid w:val="00390810"/>
    <w:rsid w:val="00390B8B"/>
    <w:rsid w:val="00391307"/>
    <w:rsid w:val="0039141C"/>
    <w:rsid w:val="003926D5"/>
    <w:rsid w:val="00392844"/>
    <w:rsid w:val="00394779"/>
    <w:rsid w:val="003947BF"/>
    <w:rsid w:val="00395312"/>
    <w:rsid w:val="00395DFD"/>
    <w:rsid w:val="0039615F"/>
    <w:rsid w:val="00396313"/>
    <w:rsid w:val="00396697"/>
    <w:rsid w:val="0039673B"/>
    <w:rsid w:val="00396959"/>
    <w:rsid w:val="00396FE4"/>
    <w:rsid w:val="00397D1B"/>
    <w:rsid w:val="003A0085"/>
    <w:rsid w:val="003A0313"/>
    <w:rsid w:val="003A0790"/>
    <w:rsid w:val="003A0963"/>
    <w:rsid w:val="003A0E19"/>
    <w:rsid w:val="003A0F42"/>
    <w:rsid w:val="003A1665"/>
    <w:rsid w:val="003A2561"/>
    <w:rsid w:val="003A269B"/>
    <w:rsid w:val="003A295B"/>
    <w:rsid w:val="003A367D"/>
    <w:rsid w:val="003A3A10"/>
    <w:rsid w:val="003A454B"/>
    <w:rsid w:val="003A463D"/>
    <w:rsid w:val="003A5026"/>
    <w:rsid w:val="003A54CA"/>
    <w:rsid w:val="003A54EC"/>
    <w:rsid w:val="003A56C5"/>
    <w:rsid w:val="003A5A44"/>
    <w:rsid w:val="003A60E8"/>
    <w:rsid w:val="003A6184"/>
    <w:rsid w:val="003A64C9"/>
    <w:rsid w:val="003A712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7B9"/>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53C"/>
    <w:rsid w:val="003C76B2"/>
    <w:rsid w:val="003C785A"/>
    <w:rsid w:val="003C7EF1"/>
    <w:rsid w:val="003D01BB"/>
    <w:rsid w:val="003D130B"/>
    <w:rsid w:val="003D139F"/>
    <w:rsid w:val="003D1C27"/>
    <w:rsid w:val="003D348C"/>
    <w:rsid w:val="003D3D28"/>
    <w:rsid w:val="003D3D85"/>
    <w:rsid w:val="003D3F7F"/>
    <w:rsid w:val="003D4381"/>
    <w:rsid w:val="003D4EFC"/>
    <w:rsid w:val="003D5332"/>
    <w:rsid w:val="003D6C2F"/>
    <w:rsid w:val="003D6D58"/>
    <w:rsid w:val="003D7FD0"/>
    <w:rsid w:val="003E0545"/>
    <w:rsid w:val="003E0635"/>
    <w:rsid w:val="003E0F70"/>
    <w:rsid w:val="003E24EA"/>
    <w:rsid w:val="003E2957"/>
    <w:rsid w:val="003E36B6"/>
    <w:rsid w:val="003E3ADD"/>
    <w:rsid w:val="003E42A3"/>
    <w:rsid w:val="003E4764"/>
    <w:rsid w:val="003E4A0B"/>
    <w:rsid w:val="003E5F73"/>
    <w:rsid w:val="003E63AC"/>
    <w:rsid w:val="003E63C2"/>
    <w:rsid w:val="003E64CD"/>
    <w:rsid w:val="003E6788"/>
    <w:rsid w:val="003E754A"/>
    <w:rsid w:val="003E7624"/>
    <w:rsid w:val="003F09BA"/>
    <w:rsid w:val="003F0E59"/>
    <w:rsid w:val="003F117C"/>
    <w:rsid w:val="003F2E27"/>
    <w:rsid w:val="003F462F"/>
    <w:rsid w:val="003F47F8"/>
    <w:rsid w:val="003F5B4E"/>
    <w:rsid w:val="003F6BE7"/>
    <w:rsid w:val="003F7FBE"/>
    <w:rsid w:val="0040005A"/>
    <w:rsid w:val="004007A9"/>
    <w:rsid w:val="004008D2"/>
    <w:rsid w:val="00400A31"/>
    <w:rsid w:val="0040188D"/>
    <w:rsid w:val="004021C3"/>
    <w:rsid w:val="00402C92"/>
    <w:rsid w:val="00402DEF"/>
    <w:rsid w:val="00403234"/>
    <w:rsid w:val="004045AB"/>
    <w:rsid w:val="00404F05"/>
    <w:rsid w:val="00404F42"/>
    <w:rsid w:val="00405E30"/>
    <w:rsid w:val="0040616D"/>
    <w:rsid w:val="0040676E"/>
    <w:rsid w:val="00406923"/>
    <w:rsid w:val="00407776"/>
    <w:rsid w:val="0041008C"/>
    <w:rsid w:val="004102F8"/>
    <w:rsid w:val="0041032D"/>
    <w:rsid w:val="00411184"/>
    <w:rsid w:val="004112E3"/>
    <w:rsid w:val="00411ECB"/>
    <w:rsid w:val="0041216C"/>
    <w:rsid w:val="00412D3E"/>
    <w:rsid w:val="004138A7"/>
    <w:rsid w:val="00413A73"/>
    <w:rsid w:val="004143AE"/>
    <w:rsid w:val="00414491"/>
    <w:rsid w:val="00414C44"/>
    <w:rsid w:val="00414F15"/>
    <w:rsid w:val="004158AA"/>
    <w:rsid w:val="004159A7"/>
    <w:rsid w:val="00416A0B"/>
    <w:rsid w:val="00420462"/>
    <w:rsid w:val="0042067C"/>
    <w:rsid w:val="00421366"/>
    <w:rsid w:val="004225C0"/>
    <w:rsid w:val="0042348C"/>
    <w:rsid w:val="004236B7"/>
    <w:rsid w:val="0042399B"/>
    <w:rsid w:val="0042517A"/>
    <w:rsid w:val="004263DD"/>
    <w:rsid w:val="00427140"/>
    <w:rsid w:val="00427A9D"/>
    <w:rsid w:val="00430E10"/>
    <w:rsid w:val="00431021"/>
    <w:rsid w:val="0043126A"/>
    <w:rsid w:val="004315A6"/>
    <w:rsid w:val="004324EF"/>
    <w:rsid w:val="00432602"/>
    <w:rsid w:val="00432734"/>
    <w:rsid w:val="00432B1E"/>
    <w:rsid w:val="00433693"/>
    <w:rsid w:val="00433EFB"/>
    <w:rsid w:val="00434260"/>
    <w:rsid w:val="004343C6"/>
    <w:rsid w:val="00434441"/>
    <w:rsid w:val="0043494A"/>
    <w:rsid w:val="0043519E"/>
    <w:rsid w:val="0043552E"/>
    <w:rsid w:val="00435559"/>
    <w:rsid w:val="00436996"/>
    <w:rsid w:val="004370E8"/>
    <w:rsid w:val="00437849"/>
    <w:rsid w:val="00437B0B"/>
    <w:rsid w:val="00437CC8"/>
    <w:rsid w:val="00440B4D"/>
    <w:rsid w:val="00440D55"/>
    <w:rsid w:val="00441696"/>
    <w:rsid w:val="004422A2"/>
    <w:rsid w:val="0044236C"/>
    <w:rsid w:val="00442C23"/>
    <w:rsid w:val="00443DE1"/>
    <w:rsid w:val="004444FE"/>
    <w:rsid w:val="004462A3"/>
    <w:rsid w:val="004469AE"/>
    <w:rsid w:val="00446DAF"/>
    <w:rsid w:val="004472C4"/>
    <w:rsid w:val="004475C5"/>
    <w:rsid w:val="0044775E"/>
    <w:rsid w:val="0045091A"/>
    <w:rsid w:val="00450988"/>
    <w:rsid w:val="00450A43"/>
    <w:rsid w:val="00451B01"/>
    <w:rsid w:val="00451DDB"/>
    <w:rsid w:val="004520B6"/>
    <w:rsid w:val="00452EDC"/>
    <w:rsid w:val="00452F24"/>
    <w:rsid w:val="00454018"/>
    <w:rsid w:val="004541EB"/>
    <w:rsid w:val="004548FA"/>
    <w:rsid w:val="00455079"/>
    <w:rsid w:val="00455CF9"/>
    <w:rsid w:val="00456FFD"/>
    <w:rsid w:val="00457466"/>
    <w:rsid w:val="004574B7"/>
    <w:rsid w:val="00457AE7"/>
    <w:rsid w:val="00457B0F"/>
    <w:rsid w:val="00457DD8"/>
    <w:rsid w:val="004609DA"/>
    <w:rsid w:val="0046101D"/>
    <w:rsid w:val="00461699"/>
    <w:rsid w:val="00461849"/>
    <w:rsid w:val="00461C68"/>
    <w:rsid w:val="00462590"/>
    <w:rsid w:val="004631D4"/>
    <w:rsid w:val="004643C0"/>
    <w:rsid w:val="00464948"/>
    <w:rsid w:val="004651B8"/>
    <w:rsid w:val="00465206"/>
    <w:rsid w:val="00465295"/>
    <w:rsid w:val="00465DD1"/>
    <w:rsid w:val="004660FC"/>
    <w:rsid w:val="004661F8"/>
    <w:rsid w:val="0046672F"/>
    <w:rsid w:val="00466EED"/>
    <w:rsid w:val="00467E72"/>
    <w:rsid w:val="0047035C"/>
    <w:rsid w:val="00470636"/>
    <w:rsid w:val="004711BE"/>
    <w:rsid w:val="004712CC"/>
    <w:rsid w:val="004719DF"/>
    <w:rsid w:val="00471CD6"/>
    <w:rsid w:val="00471DAE"/>
    <w:rsid w:val="004724C4"/>
    <w:rsid w:val="00473818"/>
    <w:rsid w:val="004739AC"/>
    <w:rsid w:val="00473CF8"/>
    <w:rsid w:val="00474025"/>
    <w:rsid w:val="004742B6"/>
    <w:rsid w:val="0047447E"/>
    <w:rsid w:val="00474496"/>
    <w:rsid w:val="004744FB"/>
    <w:rsid w:val="00474A93"/>
    <w:rsid w:val="00474E1F"/>
    <w:rsid w:val="004750BD"/>
    <w:rsid w:val="00475159"/>
    <w:rsid w:val="004751E6"/>
    <w:rsid w:val="004753A8"/>
    <w:rsid w:val="0047571E"/>
    <w:rsid w:val="00475B92"/>
    <w:rsid w:val="00476068"/>
    <w:rsid w:val="004763AB"/>
    <w:rsid w:val="00476EC1"/>
    <w:rsid w:val="00476F1C"/>
    <w:rsid w:val="004776BE"/>
    <w:rsid w:val="00477A33"/>
    <w:rsid w:val="00480AAB"/>
    <w:rsid w:val="00480B51"/>
    <w:rsid w:val="004818C0"/>
    <w:rsid w:val="00481C4E"/>
    <w:rsid w:val="0048276D"/>
    <w:rsid w:val="00482EB0"/>
    <w:rsid w:val="00484575"/>
    <w:rsid w:val="0048472E"/>
    <w:rsid w:val="00485D93"/>
    <w:rsid w:val="00485F07"/>
    <w:rsid w:val="004868D6"/>
    <w:rsid w:val="00486E27"/>
    <w:rsid w:val="0048727C"/>
    <w:rsid w:val="00487843"/>
    <w:rsid w:val="004907DD"/>
    <w:rsid w:val="0049096C"/>
    <w:rsid w:val="0049143A"/>
    <w:rsid w:val="0049167E"/>
    <w:rsid w:val="0049176E"/>
    <w:rsid w:val="00491EE2"/>
    <w:rsid w:val="004922F0"/>
    <w:rsid w:val="004927FF"/>
    <w:rsid w:val="004928D9"/>
    <w:rsid w:val="00493426"/>
    <w:rsid w:val="004937E8"/>
    <w:rsid w:val="00493F63"/>
    <w:rsid w:val="004956AD"/>
    <w:rsid w:val="004962E9"/>
    <w:rsid w:val="00496547"/>
    <w:rsid w:val="00496AE1"/>
    <w:rsid w:val="004A02B0"/>
    <w:rsid w:val="004A0DA2"/>
    <w:rsid w:val="004A1968"/>
    <w:rsid w:val="004A1EA1"/>
    <w:rsid w:val="004A383D"/>
    <w:rsid w:val="004A3876"/>
    <w:rsid w:val="004A468E"/>
    <w:rsid w:val="004A5A06"/>
    <w:rsid w:val="004A63CC"/>
    <w:rsid w:val="004A6508"/>
    <w:rsid w:val="004A654A"/>
    <w:rsid w:val="004A6A0C"/>
    <w:rsid w:val="004A7158"/>
    <w:rsid w:val="004A7AF2"/>
    <w:rsid w:val="004B053F"/>
    <w:rsid w:val="004B08C4"/>
    <w:rsid w:val="004B0E80"/>
    <w:rsid w:val="004B1421"/>
    <w:rsid w:val="004B2BDB"/>
    <w:rsid w:val="004B3290"/>
    <w:rsid w:val="004B4470"/>
    <w:rsid w:val="004B4530"/>
    <w:rsid w:val="004B45BF"/>
    <w:rsid w:val="004B5531"/>
    <w:rsid w:val="004B5C5F"/>
    <w:rsid w:val="004B5EE2"/>
    <w:rsid w:val="004B6E2D"/>
    <w:rsid w:val="004B74FB"/>
    <w:rsid w:val="004C0670"/>
    <w:rsid w:val="004C0BEF"/>
    <w:rsid w:val="004C24F9"/>
    <w:rsid w:val="004C39F9"/>
    <w:rsid w:val="004C3C81"/>
    <w:rsid w:val="004C3EAD"/>
    <w:rsid w:val="004C3F04"/>
    <w:rsid w:val="004C45CA"/>
    <w:rsid w:val="004C4AC2"/>
    <w:rsid w:val="004C5160"/>
    <w:rsid w:val="004C5CD9"/>
    <w:rsid w:val="004C69D8"/>
    <w:rsid w:val="004C6D0C"/>
    <w:rsid w:val="004C75A4"/>
    <w:rsid w:val="004C79F3"/>
    <w:rsid w:val="004D0AF6"/>
    <w:rsid w:val="004D10BA"/>
    <w:rsid w:val="004D1892"/>
    <w:rsid w:val="004D1B97"/>
    <w:rsid w:val="004D1C16"/>
    <w:rsid w:val="004D27EB"/>
    <w:rsid w:val="004D2A0D"/>
    <w:rsid w:val="004D2A60"/>
    <w:rsid w:val="004D2C84"/>
    <w:rsid w:val="004D37A4"/>
    <w:rsid w:val="004D3988"/>
    <w:rsid w:val="004D3B5E"/>
    <w:rsid w:val="004D4143"/>
    <w:rsid w:val="004D452A"/>
    <w:rsid w:val="004D457C"/>
    <w:rsid w:val="004D4FB1"/>
    <w:rsid w:val="004D551D"/>
    <w:rsid w:val="004D6199"/>
    <w:rsid w:val="004D70F5"/>
    <w:rsid w:val="004D757C"/>
    <w:rsid w:val="004D7A0D"/>
    <w:rsid w:val="004D7A4A"/>
    <w:rsid w:val="004D7BD2"/>
    <w:rsid w:val="004E0260"/>
    <w:rsid w:val="004E0498"/>
    <w:rsid w:val="004E06EC"/>
    <w:rsid w:val="004E06FF"/>
    <w:rsid w:val="004E1385"/>
    <w:rsid w:val="004E1435"/>
    <w:rsid w:val="004E17AF"/>
    <w:rsid w:val="004E1D23"/>
    <w:rsid w:val="004E2560"/>
    <w:rsid w:val="004E269A"/>
    <w:rsid w:val="004E2BC7"/>
    <w:rsid w:val="004E47ED"/>
    <w:rsid w:val="004E4B03"/>
    <w:rsid w:val="004E4FE3"/>
    <w:rsid w:val="004E596A"/>
    <w:rsid w:val="004E5EEE"/>
    <w:rsid w:val="004E7445"/>
    <w:rsid w:val="004E7CA6"/>
    <w:rsid w:val="004F0181"/>
    <w:rsid w:val="004F02D6"/>
    <w:rsid w:val="004F054E"/>
    <w:rsid w:val="004F1B26"/>
    <w:rsid w:val="004F1EAF"/>
    <w:rsid w:val="004F2CEC"/>
    <w:rsid w:val="004F31FC"/>
    <w:rsid w:val="004F3320"/>
    <w:rsid w:val="004F42BF"/>
    <w:rsid w:val="004F4393"/>
    <w:rsid w:val="004F4A02"/>
    <w:rsid w:val="004F4F72"/>
    <w:rsid w:val="004F530C"/>
    <w:rsid w:val="004F60AC"/>
    <w:rsid w:val="004F6227"/>
    <w:rsid w:val="004F68B9"/>
    <w:rsid w:val="004F6A3A"/>
    <w:rsid w:val="004F731B"/>
    <w:rsid w:val="004F7339"/>
    <w:rsid w:val="00500A53"/>
    <w:rsid w:val="005017C8"/>
    <w:rsid w:val="00502156"/>
    <w:rsid w:val="00502C53"/>
    <w:rsid w:val="00502DCA"/>
    <w:rsid w:val="0050338C"/>
    <w:rsid w:val="00503410"/>
    <w:rsid w:val="005035D5"/>
    <w:rsid w:val="00503CDE"/>
    <w:rsid w:val="005044F3"/>
    <w:rsid w:val="00504CC9"/>
    <w:rsid w:val="005052C4"/>
    <w:rsid w:val="00505D97"/>
    <w:rsid w:val="00507ACC"/>
    <w:rsid w:val="00507D25"/>
    <w:rsid w:val="00507FA0"/>
    <w:rsid w:val="00510489"/>
    <w:rsid w:val="0051064B"/>
    <w:rsid w:val="005109B3"/>
    <w:rsid w:val="00511062"/>
    <w:rsid w:val="005114A5"/>
    <w:rsid w:val="00511B85"/>
    <w:rsid w:val="00511F0F"/>
    <w:rsid w:val="00513291"/>
    <w:rsid w:val="0051369A"/>
    <w:rsid w:val="005136CD"/>
    <w:rsid w:val="00513836"/>
    <w:rsid w:val="0051406F"/>
    <w:rsid w:val="00514229"/>
    <w:rsid w:val="00514CC8"/>
    <w:rsid w:val="00514E60"/>
    <w:rsid w:val="0051516F"/>
    <w:rsid w:val="005154BB"/>
    <w:rsid w:val="005156AA"/>
    <w:rsid w:val="00515EAB"/>
    <w:rsid w:val="00516A01"/>
    <w:rsid w:val="00517ABC"/>
    <w:rsid w:val="00517E76"/>
    <w:rsid w:val="005203C2"/>
    <w:rsid w:val="00520868"/>
    <w:rsid w:val="005209FD"/>
    <w:rsid w:val="00520E50"/>
    <w:rsid w:val="00522162"/>
    <w:rsid w:val="005222C1"/>
    <w:rsid w:val="005223A3"/>
    <w:rsid w:val="00523566"/>
    <w:rsid w:val="00524A24"/>
    <w:rsid w:val="005252B6"/>
    <w:rsid w:val="005252D7"/>
    <w:rsid w:val="00525D24"/>
    <w:rsid w:val="00525F2A"/>
    <w:rsid w:val="00530D60"/>
    <w:rsid w:val="00530E68"/>
    <w:rsid w:val="0053146C"/>
    <w:rsid w:val="005314DD"/>
    <w:rsid w:val="00531925"/>
    <w:rsid w:val="00532D77"/>
    <w:rsid w:val="005332D4"/>
    <w:rsid w:val="00533B31"/>
    <w:rsid w:val="005344E4"/>
    <w:rsid w:val="00534716"/>
    <w:rsid w:val="005369E7"/>
    <w:rsid w:val="005373A1"/>
    <w:rsid w:val="0054290D"/>
    <w:rsid w:val="00543D3A"/>
    <w:rsid w:val="00545B27"/>
    <w:rsid w:val="00546262"/>
    <w:rsid w:val="00546717"/>
    <w:rsid w:val="0054707B"/>
    <w:rsid w:val="0054767E"/>
    <w:rsid w:val="00547FD4"/>
    <w:rsid w:val="005505E2"/>
    <w:rsid w:val="005507D0"/>
    <w:rsid w:val="00550EAC"/>
    <w:rsid w:val="00551A73"/>
    <w:rsid w:val="00552147"/>
    <w:rsid w:val="00553112"/>
    <w:rsid w:val="00554224"/>
    <w:rsid w:val="00554CD7"/>
    <w:rsid w:val="00555F21"/>
    <w:rsid w:val="00556361"/>
    <w:rsid w:val="00556B85"/>
    <w:rsid w:val="00560DD0"/>
    <w:rsid w:val="00561227"/>
    <w:rsid w:val="00561C6F"/>
    <w:rsid w:val="0056235D"/>
    <w:rsid w:val="005637A2"/>
    <w:rsid w:val="00563923"/>
    <w:rsid w:val="00563A13"/>
    <w:rsid w:val="00564495"/>
    <w:rsid w:val="00564556"/>
    <w:rsid w:val="0056552B"/>
    <w:rsid w:val="00565D72"/>
    <w:rsid w:val="00567620"/>
    <w:rsid w:val="00567967"/>
    <w:rsid w:val="00570225"/>
    <w:rsid w:val="00570362"/>
    <w:rsid w:val="00570F1E"/>
    <w:rsid w:val="005716B7"/>
    <w:rsid w:val="005718E1"/>
    <w:rsid w:val="00571C4F"/>
    <w:rsid w:val="00571F3E"/>
    <w:rsid w:val="0057274A"/>
    <w:rsid w:val="005731BA"/>
    <w:rsid w:val="00573270"/>
    <w:rsid w:val="00573692"/>
    <w:rsid w:val="005741C7"/>
    <w:rsid w:val="0057450D"/>
    <w:rsid w:val="005747D0"/>
    <w:rsid w:val="00574DBE"/>
    <w:rsid w:val="0057557F"/>
    <w:rsid w:val="00575F5B"/>
    <w:rsid w:val="00576BEF"/>
    <w:rsid w:val="00577105"/>
    <w:rsid w:val="0057755A"/>
    <w:rsid w:val="00577A0F"/>
    <w:rsid w:val="00580751"/>
    <w:rsid w:val="005812AB"/>
    <w:rsid w:val="00581451"/>
    <w:rsid w:val="0058281E"/>
    <w:rsid w:val="0058288F"/>
    <w:rsid w:val="00582F7F"/>
    <w:rsid w:val="00584275"/>
    <w:rsid w:val="005843B7"/>
    <w:rsid w:val="0058547C"/>
    <w:rsid w:val="00585497"/>
    <w:rsid w:val="005854CE"/>
    <w:rsid w:val="00585F96"/>
    <w:rsid w:val="00586085"/>
    <w:rsid w:val="00586A1F"/>
    <w:rsid w:val="0059041D"/>
    <w:rsid w:val="00590D69"/>
    <w:rsid w:val="0059103F"/>
    <w:rsid w:val="00591472"/>
    <w:rsid w:val="00591A7E"/>
    <w:rsid w:val="00591C7C"/>
    <w:rsid w:val="005926D6"/>
    <w:rsid w:val="00592A55"/>
    <w:rsid w:val="00594751"/>
    <w:rsid w:val="005959DD"/>
    <w:rsid w:val="00595AAE"/>
    <w:rsid w:val="00595E24"/>
    <w:rsid w:val="005960DB"/>
    <w:rsid w:val="005A147A"/>
    <w:rsid w:val="005A26DB"/>
    <w:rsid w:val="005A32FD"/>
    <w:rsid w:val="005A33A3"/>
    <w:rsid w:val="005A3500"/>
    <w:rsid w:val="005A3D8D"/>
    <w:rsid w:val="005A4303"/>
    <w:rsid w:val="005A437C"/>
    <w:rsid w:val="005A486A"/>
    <w:rsid w:val="005A4E6B"/>
    <w:rsid w:val="005A4F6A"/>
    <w:rsid w:val="005A5949"/>
    <w:rsid w:val="005A5D07"/>
    <w:rsid w:val="005A69D9"/>
    <w:rsid w:val="005A6AC1"/>
    <w:rsid w:val="005B0196"/>
    <w:rsid w:val="005B0E44"/>
    <w:rsid w:val="005B1165"/>
    <w:rsid w:val="005B16DB"/>
    <w:rsid w:val="005B1BD3"/>
    <w:rsid w:val="005B1C40"/>
    <w:rsid w:val="005B1E71"/>
    <w:rsid w:val="005B240B"/>
    <w:rsid w:val="005B2455"/>
    <w:rsid w:val="005B2585"/>
    <w:rsid w:val="005B26C4"/>
    <w:rsid w:val="005B2DB9"/>
    <w:rsid w:val="005B376C"/>
    <w:rsid w:val="005B413D"/>
    <w:rsid w:val="005B46F0"/>
    <w:rsid w:val="005B489E"/>
    <w:rsid w:val="005B57B7"/>
    <w:rsid w:val="005B5912"/>
    <w:rsid w:val="005B6A29"/>
    <w:rsid w:val="005B6C5E"/>
    <w:rsid w:val="005B6E2B"/>
    <w:rsid w:val="005B78AA"/>
    <w:rsid w:val="005B7B61"/>
    <w:rsid w:val="005C0083"/>
    <w:rsid w:val="005C01C0"/>
    <w:rsid w:val="005C0A86"/>
    <w:rsid w:val="005C0C3C"/>
    <w:rsid w:val="005C131F"/>
    <w:rsid w:val="005C16CD"/>
    <w:rsid w:val="005C2295"/>
    <w:rsid w:val="005C29A7"/>
    <w:rsid w:val="005C2D99"/>
    <w:rsid w:val="005C3F98"/>
    <w:rsid w:val="005C4CEA"/>
    <w:rsid w:val="005C584E"/>
    <w:rsid w:val="005C6D9F"/>
    <w:rsid w:val="005C7C32"/>
    <w:rsid w:val="005C7DAA"/>
    <w:rsid w:val="005D0375"/>
    <w:rsid w:val="005D05DF"/>
    <w:rsid w:val="005D138D"/>
    <w:rsid w:val="005D1ECB"/>
    <w:rsid w:val="005D30A0"/>
    <w:rsid w:val="005D3D10"/>
    <w:rsid w:val="005D598A"/>
    <w:rsid w:val="005D6C6F"/>
    <w:rsid w:val="005E02A8"/>
    <w:rsid w:val="005E0336"/>
    <w:rsid w:val="005E04CB"/>
    <w:rsid w:val="005E0656"/>
    <w:rsid w:val="005E07B1"/>
    <w:rsid w:val="005E12DB"/>
    <w:rsid w:val="005E1C37"/>
    <w:rsid w:val="005E2689"/>
    <w:rsid w:val="005E26D9"/>
    <w:rsid w:val="005E2D0C"/>
    <w:rsid w:val="005E352B"/>
    <w:rsid w:val="005E380E"/>
    <w:rsid w:val="005E4870"/>
    <w:rsid w:val="005E490F"/>
    <w:rsid w:val="005E4ACF"/>
    <w:rsid w:val="005E5C08"/>
    <w:rsid w:val="005E6B44"/>
    <w:rsid w:val="005E6E48"/>
    <w:rsid w:val="005E6F74"/>
    <w:rsid w:val="005E789C"/>
    <w:rsid w:val="005E7E2F"/>
    <w:rsid w:val="005E7F90"/>
    <w:rsid w:val="005F0A5B"/>
    <w:rsid w:val="005F0D5D"/>
    <w:rsid w:val="005F11AB"/>
    <w:rsid w:val="005F137A"/>
    <w:rsid w:val="005F15F6"/>
    <w:rsid w:val="005F2DCE"/>
    <w:rsid w:val="005F3E3C"/>
    <w:rsid w:val="005F3F0C"/>
    <w:rsid w:val="005F445F"/>
    <w:rsid w:val="005F44AE"/>
    <w:rsid w:val="005F530F"/>
    <w:rsid w:val="005F53A4"/>
    <w:rsid w:val="005F6FC0"/>
    <w:rsid w:val="005F778B"/>
    <w:rsid w:val="00600974"/>
    <w:rsid w:val="00600B0A"/>
    <w:rsid w:val="006011F7"/>
    <w:rsid w:val="00601661"/>
    <w:rsid w:val="00602551"/>
    <w:rsid w:val="00602A19"/>
    <w:rsid w:val="00603007"/>
    <w:rsid w:val="00603A0A"/>
    <w:rsid w:val="00603B35"/>
    <w:rsid w:val="006056DC"/>
    <w:rsid w:val="00606C62"/>
    <w:rsid w:val="00606DD4"/>
    <w:rsid w:val="0061204F"/>
    <w:rsid w:val="006134D3"/>
    <w:rsid w:val="006134FA"/>
    <w:rsid w:val="00613F81"/>
    <w:rsid w:val="0061444D"/>
    <w:rsid w:val="006144EF"/>
    <w:rsid w:val="006145DC"/>
    <w:rsid w:val="0061469C"/>
    <w:rsid w:val="00614802"/>
    <w:rsid w:val="00614AD0"/>
    <w:rsid w:val="00614BC6"/>
    <w:rsid w:val="00614CA8"/>
    <w:rsid w:val="00614D83"/>
    <w:rsid w:val="0061558D"/>
    <w:rsid w:val="00615A55"/>
    <w:rsid w:val="00615E79"/>
    <w:rsid w:val="006164F1"/>
    <w:rsid w:val="0061657B"/>
    <w:rsid w:val="006168FB"/>
    <w:rsid w:val="0061715F"/>
    <w:rsid w:val="006179DB"/>
    <w:rsid w:val="006201EB"/>
    <w:rsid w:val="00620825"/>
    <w:rsid w:val="00620BC4"/>
    <w:rsid w:val="006225D4"/>
    <w:rsid w:val="00622DBC"/>
    <w:rsid w:val="006231E7"/>
    <w:rsid w:val="00623739"/>
    <w:rsid w:val="00623974"/>
    <w:rsid w:val="006243CA"/>
    <w:rsid w:val="00624549"/>
    <w:rsid w:val="006251AC"/>
    <w:rsid w:val="00625859"/>
    <w:rsid w:val="00626111"/>
    <w:rsid w:val="00626420"/>
    <w:rsid w:val="00626A5B"/>
    <w:rsid w:val="006272A6"/>
    <w:rsid w:val="006278F6"/>
    <w:rsid w:val="006302C0"/>
    <w:rsid w:val="00630E40"/>
    <w:rsid w:val="006314E0"/>
    <w:rsid w:val="00631CED"/>
    <w:rsid w:val="006324EA"/>
    <w:rsid w:val="00632AC5"/>
    <w:rsid w:val="006332D3"/>
    <w:rsid w:val="00633445"/>
    <w:rsid w:val="00633C9E"/>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3DB5"/>
    <w:rsid w:val="00644E29"/>
    <w:rsid w:val="00644E64"/>
    <w:rsid w:val="0064511D"/>
    <w:rsid w:val="00645CAF"/>
    <w:rsid w:val="00646B84"/>
    <w:rsid w:val="00647518"/>
    <w:rsid w:val="00647762"/>
    <w:rsid w:val="00647F50"/>
    <w:rsid w:val="006507E6"/>
    <w:rsid w:val="00652560"/>
    <w:rsid w:val="00652AC7"/>
    <w:rsid w:val="00652D48"/>
    <w:rsid w:val="00653222"/>
    <w:rsid w:val="00653292"/>
    <w:rsid w:val="00653A31"/>
    <w:rsid w:val="00653FAD"/>
    <w:rsid w:val="0065480C"/>
    <w:rsid w:val="00654BE2"/>
    <w:rsid w:val="00654C02"/>
    <w:rsid w:val="00654E38"/>
    <w:rsid w:val="00655A7B"/>
    <w:rsid w:val="00655F39"/>
    <w:rsid w:val="0065617A"/>
    <w:rsid w:val="0065693F"/>
    <w:rsid w:val="00656E37"/>
    <w:rsid w:val="00657E4C"/>
    <w:rsid w:val="006607BC"/>
    <w:rsid w:val="00660BBF"/>
    <w:rsid w:val="00660DF9"/>
    <w:rsid w:val="0066240C"/>
    <w:rsid w:val="0066286A"/>
    <w:rsid w:val="00662894"/>
    <w:rsid w:val="0066294A"/>
    <w:rsid w:val="00662B17"/>
    <w:rsid w:val="00663523"/>
    <w:rsid w:val="006635B3"/>
    <w:rsid w:val="0066468B"/>
    <w:rsid w:val="00664C6F"/>
    <w:rsid w:val="00664D3A"/>
    <w:rsid w:val="00665CAD"/>
    <w:rsid w:val="00666A0C"/>
    <w:rsid w:val="00666DEE"/>
    <w:rsid w:val="006675E6"/>
    <w:rsid w:val="00667AA2"/>
    <w:rsid w:val="00670E31"/>
    <w:rsid w:val="00671882"/>
    <w:rsid w:val="0067292F"/>
    <w:rsid w:val="00673703"/>
    <w:rsid w:val="00673D00"/>
    <w:rsid w:val="0067410D"/>
    <w:rsid w:val="0067424B"/>
    <w:rsid w:val="0067478A"/>
    <w:rsid w:val="00675363"/>
    <w:rsid w:val="00676B91"/>
    <w:rsid w:val="00676DA8"/>
    <w:rsid w:val="00677A92"/>
    <w:rsid w:val="00677B1F"/>
    <w:rsid w:val="00677D95"/>
    <w:rsid w:val="00680F4C"/>
    <w:rsid w:val="00681154"/>
    <w:rsid w:val="0068236E"/>
    <w:rsid w:val="0068254C"/>
    <w:rsid w:val="006825DC"/>
    <w:rsid w:val="006829E9"/>
    <w:rsid w:val="00682D2A"/>
    <w:rsid w:val="006831D1"/>
    <w:rsid w:val="00683827"/>
    <w:rsid w:val="00683D4E"/>
    <w:rsid w:val="006848ED"/>
    <w:rsid w:val="00685680"/>
    <w:rsid w:val="006856C3"/>
    <w:rsid w:val="00685FDE"/>
    <w:rsid w:val="00686896"/>
    <w:rsid w:val="00686C90"/>
    <w:rsid w:val="00690CD5"/>
    <w:rsid w:val="00690E83"/>
    <w:rsid w:val="00690E99"/>
    <w:rsid w:val="0069229E"/>
    <w:rsid w:val="00692E50"/>
    <w:rsid w:val="00693BEA"/>
    <w:rsid w:val="00694A20"/>
    <w:rsid w:val="00694BF1"/>
    <w:rsid w:val="00694F2E"/>
    <w:rsid w:val="0069614B"/>
    <w:rsid w:val="00696913"/>
    <w:rsid w:val="00696963"/>
    <w:rsid w:val="006975D3"/>
    <w:rsid w:val="00697DB8"/>
    <w:rsid w:val="00697F25"/>
    <w:rsid w:val="006A011B"/>
    <w:rsid w:val="006A0705"/>
    <w:rsid w:val="006A07EA"/>
    <w:rsid w:val="006A1EC8"/>
    <w:rsid w:val="006A2951"/>
    <w:rsid w:val="006A2BAC"/>
    <w:rsid w:val="006A3476"/>
    <w:rsid w:val="006A453B"/>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4EF5"/>
    <w:rsid w:val="006B54B3"/>
    <w:rsid w:val="006B633B"/>
    <w:rsid w:val="006B7635"/>
    <w:rsid w:val="006B7A6F"/>
    <w:rsid w:val="006B7FF0"/>
    <w:rsid w:val="006C0445"/>
    <w:rsid w:val="006C0608"/>
    <w:rsid w:val="006C0C3F"/>
    <w:rsid w:val="006C1344"/>
    <w:rsid w:val="006C1B93"/>
    <w:rsid w:val="006C1D50"/>
    <w:rsid w:val="006C1E95"/>
    <w:rsid w:val="006C1FF4"/>
    <w:rsid w:val="006C28E2"/>
    <w:rsid w:val="006C2A5A"/>
    <w:rsid w:val="006C32E4"/>
    <w:rsid w:val="006C400A"/>
    <w:rsid w:val="006C417C"/>
    <w:rsid w:val="006C4B20"/>
    <w:rsid w:val="006C4C0A"/>
    <w:rsid w:val="006C54B0"/>
    <w:rsid w:val="006C5B02"/>
    <w:rsid w:val="006C5C93"/>
    <w:rsid w:val="006C6176"/>
    <w:rsid w:val="006C67B4"/>
    <w:rsid w:val="006C74DC"/>
    <w:rsid w:val="006C7E80"/>
    <w:rsid w:val="006D06C8"/>
    <w:rsid w:val="006D0932"/>
    <w:rsid w:val="006D2119"/>
    <w:rsid w:val="006D268F"/>
    <w:rsid w:val="006D37D9"/>
    <w:rsid w:val="006D3DBA"/>
    <w:rsid w:val="006D3E4B"/>
    <w:rsid w:val="006D4089"/>
    <w:rsid w:val="006D420D"/>
    <w:rsid w:val="006D4568"/>
    <w:rsid w:val="006D5F06"/>
    <w:rsid w:val="006D641E"/>
    <w:rsid w:val="006D66EA"/>
    <w:rsid w:val="006D6C0F"/>
    <w:rsid w:val="006D6DDF"/>
    <w:rsid w:val="006D742C"/>
    <w:rsid w:val="006D7476"/>
    <w:rsid w:val="006D77B3"/>
    <w:rsid w:val="006D7F36"/>
    <w:rsid w:val="006E041D"/>
    <w:rsid w:val="006E0D36"/>
    <w:rsid w:val="006E0D59"/>
    <w:rsid w:val="006E1413"/>
    <w:rsid w:val="006E1923"/>
    <w:rsid w:val="006E2DEB"/>
    <w:rsid w:val="006E2EE5"/>
    <w:rsid w:val="006E3828"/>
    <w:rsid w:val="006E4100"/>
    <w:rsid w:val="006E45E7"/>
    <w:rsid w:val="006E45F7"/>
    <w:rsid w:val="006E46A0"/>
    <w:rsid w:val="006E510B"/>
    <w:rsid w:val="006E5254"/>
    <w:rsid w:val="006E66C6"/>
    <w:rsid w:val="006E67BF"/>
    <w:rsid w:val="006E69D3"/>
    <w:rsid w:val="006E6DBD"/>
    <w:rsid w:val="006F0147"/>
    <w:rsid w:val="006F0336"/>
    <w:rsid w:val="006F06A4"/>
    <w:rsid w:val="006F0BC0"/>
    <w:rsid w:val="006F19D7"/>
    <w:rsid w:val="006F1DCE"/>
    <w:rsid w:val="006F5732"/>
    <w:rsid w:val="006F58A2"/>
    <w:rsid w:val="006F60E8"/>
    <w:rsid w:val="006F63DF"/>
    <w:rsid w:val="006F7949"/>
    <w:rsid w:val="006F7B26"/>
    <w:rsid w:val="006F7B56"/>
    <w:rsid w:val="00700A55"/>
    <w:rsid w:val="00701423"/>
    <w:rsid w:val="007014D6"/>
    <w:rsid w:val="00701632"/>
    <w:rsid w:val="00701889"/>
    <w:rsid w:val="00701E1F"/>
    <w:rsid w:val="00702242"/>
    <w:rsid w:val="007025FF"/>
    <w:rsid w:val="007034E1"/>
    <w:rsid w:val="007037FE"/>
    <w:rsid w:val="00703975"/>
    <w:rsid w:val="00703C94"/>
    <w:rsid w:val="00703D7C"/>
    <w:rsid w:val="007040AC"/>
    <w:rsid w:val="007043B2"/>
    <w:rsid w:val="0070488C"/>
    <w:rsid w:val="00704D22"/>
    <w:rsid w:val="007051B7"/>
    <w:rsid w:val="00705C94"/>
    <w:rsid w:val="00706140"/>
    <w:rsid w:val="00706D22"/>
    <w:rsid w:val="007070C0"/>
    <w:rsid w:val="00707596"/>
    <w:rsid w:val="00707995"/>
    <w:rsid w:val="00707DB5"/>
    <w:rsid w:val="007102BB"/>
    <w:rsid w:val="007105AB"/>
    <w:rsid w:val="0071125E"/>
    <w:rsid w:val="00713272"/>
    <w:rsid w:val="00713BD4"/>
    <w:rsid w:val="0071435A"/>
    <w:rsid w:val="00714501"/>
    <w:rsid w:val="007156CE"/>
    <w:rsid w:val="00716002"/>
    <w:rsid w:val="00716C97"/>
    <w:rsid w:val="00717D57"/>
    <w:rsid w:val="007202B6"/>
    <w:rsid w:val="00721116"/>
    <w:rsid w:val="0072136B"/>
    <w:rsid w:val="007220C0"/>
    <w:rsid w:val="0072431A"/>
    <w:rsid w:val="007262BD"/>
    <w:rsid w:val="00726980"/>
    <w:rsid w:val="0072758D"/>
    <w:rsid w:val="007277E3"/>
    <w:rsid w:val="00727D45"/>
    <w:rsid w:val="00730D43"/>
    <w:rsid w:val="007319C3"/>
    <w:rsid w:val="00731D12"/>
    <w:rsid w:val="00732DA4"/>
    <w:rsid w:val="00733185"/>
    <w:rsid w:val="00734401"/>
    <w:rsid w:val="007345D4"/>
    <w:rsid w:val="00734865"/>
    <w:rsid w:val="00734DA6"/>
    <w:rsid w:val="00735525"/>
    <w:rsid w:val="007358AF"/>
    <w:rsid w:val="00735C5A"/>
    <w:rsid w:val="0073666E"/>
    <w:rsid w:val="007379E1"/>
    <w:rsid w:val="00737D83"/>
    <w:rsid w:val="00740030"/>
    <w:rsid w:val="0074027C"/>
    <w:rsid w:val="0074035A"/>
    <w:rsid w:val="007406EC"/>
    <w:rsid w:val="0074226C"/>
    <w:rsid w:val="00742339"/>
    <w:rsid w:val="00742FA2"/>
    <w:rsid w:val="00743304"/>
    <w:rsid w:val="007433CC"/>
    <w:rsid w:val="00743C49"/>
    <w:rsid w:val="00744098"/>
    <w:rsid w:val="007443F6"/>
    <w:rsid w:val="00744F0D"/>
    <w:rsid w:val="00745525"/>
    <w:rsid w:val="00745768"/>
    <w:rsid w:val="00745D48"/>
    <w:rsid w:val="0074679E"/>
    <w:rsid w:val="00750099"/>
    <w:rsid w:val="00750128"/>
    <w:rsid w:val="007503A3"/>
    <w:rsid w:val="00750B5E"/>
    <w:rsid w:val="00751C88"/>
    <w:rsid w:val="00751D17"/>
    <w:rsid w:val="007522A3"/>
    <w:rsid w:val="00752481"/>
    <w:rsid w:val="0075271B"/>
    <w:rsid w:val="00752873"/>
    <w:rsid w:val="00752A47"/>
    <w:rsid w:val="00752FE8"/>
    <w:rsid w:val="0075329F"/>
    <w:rsid w:val="00753438"/>
    <w:rsid w:val="007543BD"/>
    <w:rsid w:val="007545DE"/>
    <w:rsid w:val="00754864"/>
    <w:rsid w:val="00756CA7"/>
    <w:rsid w:val="00756EE4"/>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AFD"/>
    <w:rsid w:val="00770D88"/>
    <w:rsid w:val="00770ED5"/>
    <w:rsid w:val="00771DED"/>
    <w:rsid w:val="00772095"/>
    <w:rsid w:val="00772615"/>
    <w:rsid w:val="00772C04"/>
    <w:rsid w:val="00773303"/>
    <w:rsid w:val="00773941"/>
    <w:rsid w:val="00773F00"/>
    <w:rsid w:val="00774613"/>
    <w:rsid w:val="00774E0C"/>
    <w:rsid w:val="00774F4F"/>
    <w:rsid w:val="00774FA1"/>
    <w:rsid w:val="007754AE"/>
    <w:rsid w:val="00775E63"/>
    <w:rsid w:val="00776D8F"/>
    <w:rsid w:val="00776F85"/>
    <w:rsid w:val="00777B30"/>
    <w:rsid w:val="00777F61"/>
    <w:rsid w:val="0078013D"/>
    <w:rsid w:val="0078019A"/>
    <w:rsid w:val="0078028A"/>
    <w:rsid w:val="00780F93"/>
    <w:rsid w:val="00781041"/>
    <w:rsid w:val="00781091"/>
    <w:rsid w:val="0078122A"/>
    <w:rsid w:val="00785920"/>
    <w:rsid w:val="00785A50"/>
    <w:rsid w:val="00786D17"/>
    <w:rsid w:val="00786F58"/>
    <w:rsid w:val="0079015D"/>
    <w:rsid w:val="007906AA"/>
    <w:rsid w:val="00790FC5"/>
    <w:rsid w:val="007911A4"/>
    <w:rsid w:val="007912BD"/>
    <w:rsid w:val="007920D3"/>
    <w:rsid w:val="007929DC"/>
    <w:rsid w:val="00792CC9"/>
    <w:rsid w:val="0079309E"/>
    <w:rsid w:val="00793361"/>
    <w:rsid w:val="00793C30"/>
    <w:rsid w:val="00794BBA"/>
    <w:rsid w:val="00794CC2"/>
    <w:rsid w:val="00795C4E"/>
    <w:rsid w:val="0079646F"/>
    <w:rsid w:val="007965AD"/>
    <w:rsid w:val="007976AA"/>
    <w:rsid w:val="007977DE"/>
    <w:rsid w:val="007A014D"/>
    <w:rsid w:val="007A1ECE"/>
    <w:rsid w:val="007A2527"/>
    <w:rsid w:val="007A2865"/>
    <w:rsid w:val="007A2891"/>
    <w:rsid w:val="007A55A8"/>
    <w:rsid w:val="007A568E"/>
    <w:rsid w:val="007A6675"/>
    <w:rsid w:val="007A689E"/>
    <w:rsid w:val="007A7B28"/>
    <w:rsid w:val="007B0DE6"/>
    <w:rsid w:val="007B0F29"/>
    <w:rsid w:val="007B2965"/>
    <w:rsid w:val="007B2D43"/>
    <w:rsid w:val="007B35F0"/>
    <w:rsid w:val="007B450F"/>
    <w:rsid w:val="007B4E80"/>
    <w:rsid w:val="007B50BF"/>
    <w:rsid w:val="007B5282"/>
    <w:rsid w:val="007B59ED"/>
    <w:rsid w:val="007B5BB2"/>
    <w:rsid w:val="007B6C1D"/>
    <w:rsid w:val="007B7178"/>
    <w:rsid w:val="007B75B7"/>
    <w:rsid w:val="007B7606"/>
    <w:rsid w:val="007B76E5"/>
    <w:rsid w:val="007B7CCF"/>
    <w:rsid w:val="007B7F2D"/>
    <w:rsid w:val="007C02D9"/>
    <w:rsid w:val="007C196E"/>
    <w:rsid w:val="007C21A0"/>
    <w:rsid w:val="007C2CE8"/>
    <w:rsid w:val="007C3A70"/>
    <w:rsid w:val="007C4370"/>
    <w:rsid w:val="007C56D1"/>
    <w:rsid w:val="007C5B4E"/>
    <w:rsid w:val="007C5CE6"/>
    <w:rsid w:val="007C5DC8"/>
    <w:rsid w:val="007C5E58"/>
    <w:rsid w:val="007C6854"/>
    <w:rsid w:val="007C7D0D"/>
    <w:rsid w:val="007D086C"/>
    <w:rsid w:val="007D1519"/>
    <w:rsid w:val="007D16C5"/>
    <w:rsid w:val="007D1F48"/>
    <w:rsid w:val="007D243A"/>
    <w:rsid w:val="007D32D0"/>
    <w:rsid w:val="007D3E38"/>
    <w:rsid w:val="007D4B76"/>
    <w:rsid w:val="007D5FE2"/>
    <w:rsid w:val="007D653E"/>
    <w:rsid w:val="007D66A8"/>
    <w:rsid w:val="007D67F3"/>
    <w:rsid w:val="007D6E06"/>
    <w:rsid w:val="007D7314"/>
    <w:rsid w:val="007D79CB"/>
    <w:rsid w:val="007E01AE"/>
    <w:rsid w:val="007E0FA8"/>
    <w:rsid w:val="007E21FE"/>
    <w:rsid w:val="007E2713"/>
    <w:rsid w:val="007E3A9B"/>
    <w:rsid w:val="007E3B9D"/>
    <w:rsid w:val="007E48FF"/>
    <w:rsid w:val="007E5101"/>
    <w:rsid w:val="007E5C89"/>
    <w:rsid w:val="007E6900"/>
    <w:rsid w:val="007E6C31"/>
    <w:rsid w:val="007E71AC"/>
    <w:rsid w:val="007F00FA"/>
    <w:rsid w:val="007F0F8D"/>
    <w:rsid w:val="007F1245"/>
    <w:rsid w:val="007F1A45"/>
    <w:rsid w:val="007F1CA7"/>
    <w:rsid w:val="007F2A01"/>
    <w:rsid w:val="007F37D9"/>
    <w:rsid w:val="007F4619"/>
    <w:rsid w:val="007F499D"/>
    <w:rsid w:val="007F5315"/>
    <w:rsid w:val="007F5AE5"/>
    <w:rsid w:val="007F5CCA"/>
    <w:rsid w:val="007F5F88"/>
    <w:rsid w:val="007F60B8"/>
    <w:rsid w:val="007F60FE"/>
    <w:rsid w:val="007F62DD"/>
    <w:rsid w:val="007F69C5"/>
    <w:rsid w:val="007F7E8B"/>
    <w:rsid w:val="00800525"/>
    <w:rsid w:val="00800C33"/>
    <w:rsid w:val="00800F34"/>
    <w:rsid w:val="00801CC6"/>
    <w:rsid w:val="0080214C"/>
    <w:rsid w:val="008027CE"/>
    <w:rsid w:val="00803A24"/>
    <w:rsid w:val="00803C5E"/>
    <w:rsid w:val="00804017"/>
    <w:rsid w:val="008045FB"/>
    <w:rsid w:val="00804E77"/>
    <w:rsid w:val="008061A4"/>
    <w:rsid w:val="008064BE"/>
    <w:rsid w:val="00810E43"/>
    <w:rsid w:val="00810EA8"/>
    <w:rsid w:val="0081111E"/>
    <w:rsid w:val="008119F1"/>
    <w:rsid w:val="00812C54"/>
    <w:rsid w:val="00812ED0"/>
    <w:rsid w:val="00812FB2"/>
    <w:rsid w:val="00814625"/>
    <w:rsid w:val="0081504C"/>
    <w:rsid w:val="0081522D"/>
    <w:rsid w:val="00815488"/>
    <w:rsid w:val="00815712"/>
    <w:rsid w:val="008159FC"/>
    <w:rsid w:val="008163CD"/>
    <w:rsid w:val="00816560"/>
    <w:rsid w:val="0081678C"/>
    <w:rsid w:val="00817040"/>
    <w:rsid w:val="00820579"/>
    <w:rsid w:val="008209B0"/>
    <w:rsid w:val="00820C4C"/>
    <w:rsid w:val="00821003"/>
    <w:rsid w:val="008210C1"/>
    <w:rsid w:val="00821B93"/>
    <w:rsid w:val="00821FAF"/>
    <w:rsid w:val="00822054"/>
    <w:rsid w:val="00822BBA"/>
    <w:rsid w:val="008253AC"/>
    <w:rsid w:val="00825566"/>
    <w:rsid w:val="00825AC0"/>
    <w:rsid w:val="00825AFF"/>
    <w:rsid w:val="00825FE0"/>
    <w:rsid w:val="00827368"/>
    <w:rsid w:val="00827999"/>
    <w:rsid w:val="00830B4C"/>
    <w:rsid w:val="00832203"/>
    <w:rsid w:val="008335DA"/>
    <w:rsid w:val="008338AF"/>
    <w:rsid w:val="00833C0B"/>
    <w:rsid w:val="00833D39"/>
    <w:rsid w:val="00834F6D"/>
    <w:rsid w:val="008357F0"/>
    <w:rsid w:val="008362A6"/>
    <w:rsid w:val="008363C8"/>
    <w:rsid w:val="00836940"/>
    <w:rsid w:val="00836F39"/>
    <w:rsid w:val="00837682"/>
    <w:rsid w:val="008406CF"/>
    <w:rsid w:val="00840BE7"/>
    <w:rsid w:val="008424C5"/>
    <w:rsid w:val="00842AAE"/>
    <w:rsid w:val="00843037"/>
    <w:rsid w:val="008430B5"/>
    <w:rsid w:val="00843A42"/>
    <w:rsid w:val="00844108"/>
    <w:rsid w:val="008445F5"/>
    <w:rsid w:val="00844F2D"/>
    <w:rsid w:val="00846585"/>
    <w:rsid w:val="008468AE"/>
    <w:rsid w:val="0084742B"/>
    <w:rsid w:val="00847780"/>
    <w:rsid w:val="00847BD5"/>
    <w:rsid w:val="00847C74"/>
    <w:rsid w:val="00851D1F"/>
    <w:rsid w:val="008526C6"/>
    <w:rsid w:val="00855E69"/>
    <w:rsid w:val="00855E74"/>
    <w:rsid w:val="00856A9E"/>
    <w:rsid w:val="00856D5E"/>
    <w:rsid w:val="00856DAB"/>
    <w:rsid w:val="00857854"/>
    <w:rsid w:val="00857A49"/>
    <w:rsid w:val="00861F11"/>
    <w:rsid w:val="00862109"/>
    <w:rsid w:val="00862519"/>
    <w:rsid w:val="00862580"/>
    <w:rsid w:val="008625D4"/>
    <w:rsid w:val="00862F60"/>
    <w:rsid w:val="008638BB"/>
    <w:rsid w:val="00863980"/>
    <w:rsid w:val="00863B86"/>
    <w:rsid w:val="008640EA"/>
    <w:rsid w:val="008651CC"/>
    <w:rsid w:val="008654FC"/>
    <w:rsid w:val="00865B22"/>
    <w:rsid w:val="0086727D"/>
    <w:rsid w:val="00867CF3"/>
    <w:rsid w:val="00867E33"/>
    <w:rsid w:val="00872CCD"/>
    <w:rsid w:val="00873332"/>
    <w:rsid w:val="00873E3F"/>
    <w:rsid w:val="0087478D"/>
    <w:rsid w:val="00874B70"/>
    <w:rsid w:val="008750D3"/>
    <w:rsid w:val="00875B1E"/>
    <w:rsid w:val="00876DD7"/>
    <w:rsid w:val="00877A07"/>
    <w:rsid w:val="008801F4"/>
    <w:rsid w:val="008821AD"/>
    <w:rsid w:val="0088266E"/>
    <w:rsid w:val="00882FB4"/>
    <w:rsid w:val="00884004"/>
    <w:rsid w:val="008842FC"/>
    <w:rsid w:val="008850FF"/>
    <w:rsid w:val="0088586C"/>
    <w:rsid w:val="00885A5C"/>
    <w:rsid w:val="00886057"/>
    <w:rsid w:val="00886B20"/>
    <w:rsid w:val="00886B57"/>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010E"/>
    <w:rsid w:val="008A0FC9"/>
    <w:rsid w:val="008A159E"/>
    <w:rsid w:val="008A1627"/>
    <w:rsid w:val="008A19A5"/>
    <w:rsid w:val="008A32BD"/>
    <w:rsid w:val="008A3F8C"/>
    <w:rsid w:val="008A4065"/>
    <w:rsid w:val="008A49ED"/>
    <w:rsid w:val="008A4B81"/>
    <w:rsid w:val="008A55C4"/>
    <w:rsid w:val="008A77E4"/>
    <w:rsid w:val="008A7F86"/>
    <w:rsid w:val="008B1AA3"/>
    <w:rsid w:val="008B232D"/>
    <w:rsid w:val="008B234F"/>
    <w:rsid w:val="008B2664"/>
    <w:rsid w:val="008B2EAF"/>
    <w:rsid w:val="008B371A"/>
    <w:rsid w:val="008B390D"/>
    <w:rsid w:val="008B3E3C"/>
    <w:rsid w:val="008B483D"/>
    <w:rsid w:val="008B5955"/>
    <w:rsid w:val="008B6D68"/>
    <w:rsid w:val="008B725B"/>
    <w:rsid w:val="008B757A"/>
    <w:rsid w:val="008B772F"/>
    <w:rsid w:val="008B7969"/>
    <w:rsid w:val="008B7C46"/>
    <w:rsid w:val="008B7E2A"/>
    <w:rsid w:val="008B7F1A"/>
    <w:rsid w:val="008C0031"/>
    <w:rsid w:val="008C0D5F"/>
    <w:rsid w:val="008C0FED"/>
    <w:rsid w:val="008C16F9"/>
    <w:rsid w:val="008C275F"/>
    <w:rsid w:val="008C304F"/>
    <w:rsid w:val="008C3899"/>
    <w:rsid w:val="008C3BEE"/>
    <w:rsid w:val="008C4926"/>
    <w:rsid w:val="008C7383"/>
    <w:rsid w:val="008C74CE"/>
    <w:rsid w:val="008D0049"/>
    <w:rsid w:val="008D02AC"/>
    <w:rsid w:val="008D0F44"/>
    <w:rsid w:val="008D1A80"/>
    <w:rsid w:val="008D2338"/>
    <w:rsid w:val="008D24C1"/>
    <w:rsid w:val="008D24E7"/>
    <w:rsid w:val="008D2B99"/>
    <w:rsid w:val="008D2C10"/>
    <w:rsid w:val="008D4069"/>
    <w:rsid w:val="008D469C"/>
    <w:rsid w:val="008D4787"/>
    <w:rsid w:val="008D4A67"/>
    <w:rsid w:val="008D4DED"/>
    <w:rsid w:val="008D5E87"/>
    <w:rsid w:val="008D732C"/>
    <w:rsid w:val="008D7367"/>
    <w:rsid w:val="008E057A"/>
    <w:rsid w:val="008E0664"/>
    <w:rsid w:val="008E0734"/>
    <w:rsid w:val="008E0922"/>
    <w:rsid w:val="008E0CEC"/>
    <w:rsid w:val="008E0E6C"/>
    <w:rsid w:val="008E1986"/>
    <w:rsid w:val="008E26B2"/>
    <w:rsid w:val="008E358E"/>
    <w:rsid w:val="008E36FB"/>
    <w:rsid w:val="008E3EBB"/>
    <w:rsid w:val="008E4383"/>
    <w:rsid w:val="008E49F1"/>
    <w:rsid w:val="008E4ADD"/>
    <w:rsid w:val="008E4DFA"/>
    <w:rsid w:val="008E4E59"/>
    <w:rsid w:val="008E5751"/>
    <w:rsid w:val="008E5DCC"/>
    <w:rsid w:val="008E6089"/>
    <w:rsid w:val="008E6313"/>
    <w:rsid w:val="008E6F91"/>
    <w:rsid w:val="008E718A"/>
    <w:rsid w:val="008E7BB1"/>
    <w:rsid w:val="008F0029"/>
    <w:rsid w:val="008F0155"/>
    <w:rsid w:val="008F18F5"/>
    <w:rsid w:val="008F19A2"/>
    <w:rsid w:val="008F32D2"/>
    <w:rsid w:val="008F3A0B"/>
    <w:rsid w:val="008F3BDF"/>
    <w:rsid w:val="008F487F"/>
    <w:rsid w:val="008F572D"/>
    <w:rsid w:val="008F615F"/>
    <w:rsid w:val="008F6500"/>
    <w:rsid w:val="008F6B7A"/>
    <w:rsid w:val="008F701A"/>
    <w:rsid w:val="008F7CAD"/>
    <w:rsid w:val="00900624"/>
    <w:rsid w:val="009009A9"/>
    <w:rsid w:val="009013F0"/>
    <w:rsid w:val="0090145E"/>
    <w:rsid w:val="0090244B"/>
    <w:rsid w:val="00902884"/>
    <w:rsid w:val="009032E4"/>
    <w:rsid w:val="009033EB"/>
    <w:rsid w:val="00906D64"/>
    <w:rsid w:val="00906EF4"/>
    <w:rsid w:val="00907883"/>
    <w:rsid w:val="0091003D"/>
    <w:rsid w:val="00912ED8"/>
    <w:rsid w:val="00912F9A"/>
    <w:rsid w:val="009160CF"/>
    <w:rsid w:val="00917287"/>
    <w:rsid w:val="009205B0"/>
    <w:rsid w:val="0092080C"/>
    <w:rsid w:val="0092134B"/>
    <w:rsid w:val="009221AC"/>
    <w:rsid w:val="009224F2"/>
    <w:rsid w:val="009225B3"/>
    <w:rsid w:val="00922A15"/>
    <w:rsid w:val="00923B5A"/>
    <w:rsid w:val="0092456D"/>
    <w:rsid w:val="00924C9C"/>
    <w:rsid w:val="00925590"/>
    <w:rsid w:val="00925C68"/>
    <w:rsid w:val="00925EBC"/>
    <w:rsid w:val="00926182"/>
    <w:rsid w:val="0092657F"/>
    <w:rsid w:val="00926967"/>
    <w:rsid w:val="009273F4"/>
    <w:rsid w:val="00927518"/>
    <w:rsid w:val="009278B4"/>
    <w:rsid w:val="00927953"/>
    <w:rsid w:val="00927BD5"/>
    <w:rsid w:val="00927C79"/>
    <w:rsid w:val="00927FC3"/>
    <w:rsid w:val="00930557"/>
    <w:rsid w:val="009312C7"/>
    <w:rsid w:val="0093170E"/>
    <w:rsid w:val="00931CED"/>
    <w:rsid w:val="0093272E"/>
    <w:rsid w:val="009332BA"/>
    <w:rsid w:val="00933397"/>
    <w:rsid w:val="00933706"/>
    <w:rsid w:val="0093465C"/>
    <w:rsid w:val="009346C4"/>
    <w:rsid w:val="00934A8F"/>
    <w:rsid w:val="009350BF"/>
    <w:rsid w:val="009359A1"/>
    <w:rsid w:val="009367D9"/>
    <w:rsid w:val="009401A8"/>
    <w:rsid w:val="009407CC"/>
    <w:rsid w:val="009416B0"/>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7EC"/>
    <w:rsid w:val="00955978"/>
    <w:rsid w:val="009560F0"/>
    <w:rsid w:val="009566EF"/>
    <w:rsid w:val="00957B1D"/>
    <w:rsid w:val="00957BF9"/>
    <w:rsid w:val="0096038F"/>
    <w:rsid w:val="00960EC8"/>
    <w:rsid w:val="009637F9"/>
    <w:rsid w:val="00963AA1"/>
    <w:rsid w:val="009646D8"/>
    <w:rsid w:val="00964A08"/>
    <w:rsid w:val="009653D4"/>
    <w:rsid w:val="009658B2"/>
    <w:rsid w:val="009659E0"/>
    <w:rsid w:val="00966710"/>
    <w:rsid w:val="00966DB9"/>
    <w:rsid w:val="009674A0"/>
    <w:rsid w:val="00967B54"/>
    <w:rsid w:val="0097060B"/>
    <w:rsid w:val="00970AD2"/>
    <w:rsid w:val="0097113C"/>
    <w:rsid w:val="00971C7B"/>
    <w:rsid w:val="00971DA8"/>
    <w:rsid w:val="00971DDD"/>
    <w:rsid w:val="0097213C"/>
    <w:rsid w:val="00972753"/>
    <w:rsid w:val="00973026"/>
    <w:rsid w:val="009735F7"/>
    <w:rsid w:val="009739E6"/>
    <w:rsid w:val="00974119"/>
    <w:rsid w:val="009741CB"/>
    <w:rsid w:val="009743E1"/>
    <w:rsid w:val="00974B1C"/>
    <w:rsid w:val="00974E3E"/>
    <w:rsid w:val="0097500A"/>
    <w:rsid w:val="00975427"/>
    <w:rsid w:val="00976A8C"/>
    <w:rsid w:val="0097721C"/>
    <w:rsid w:val="00980DA5"/>
    <w:rsid w:val="00982912"/>
    <w:rsid w:val="00982918"/>
    <w:rsid w:val="00982AEF"/>
    <w:rsid w:val="00982E37"/>
    <w:rsid w:val="009835B0"/>
    <w:rsid w:val="00983AAA"/>
    <w:rsid w:val="00983F4B"/>
    <w:rsid w:val="0098418F"/>
    <w:rsid w:val="00984A6F"/>
    <w:rsid w:val="00984F38"/>
    <w:rsid w:val="0098556C"/>
    <w:rsid w:val="009859D1"/>
    <w:rsid w:val="009875D2"/>
    <w:rsid w:val="00990C23"/>
    <w:rsid w:val="00990DA1"/>
    <w:rsid w:val="00990FFB"/>
    <w:rsid w:val="009921E7"/>
    <w:rsid w:val="00992EA9"/>
    <w:rsid w:val="00992F5E"/>
    <w:rsid w:val="00993083"/>
    <w:rsid w:val="00993E78"/>
    <w:rsid w:val="00995141"/>
    <w:rsid w:val="009964E9"/>
    <w:rsid w:val="00996BF2"/>
    <w:rsid w:val="00996DF6"/>
    <w:rsid w:val="009972CA"/>
    <w:rsid w:val="00997916"/>
    <w:rsid w:val="009A0846"/>
    <w:rsid w:val="009A0F21"/>
    <w:rsid w:val="009A1561"/>
    <w:rsid w:val="009A1BFB"/>
    <w:rsid w:val="009A32DF"/>
    <w:rsid w:val="009A42CF"/>
    <w:rsid w:val="009A4886"/>
    <w:rsid w:val="009A48FD"/>
    <w:rsid w:val="009A4A88"/>
    <w:rsid w:val="009A5A3F"/>
    <w:rsid w:val="009A632D"/>
    <w:rsid w:val="009A6F33"/>
    <w:rsid w:val="009A701A"/>
    <w:rsid w:val="009B03DB"/>
    <w:rsid w:val="009B07A9"/>
    <w:rsid w:val="009B08D9"/>
    <w:rsid w:val="009B08DD"/>
    <w:rsid w:val="009B140A"/>
    <w:rsid w:val="009B16A0"/>
    <w:rsid w:val="009B179E"/>
    <w:rsid w:val="009B1CF9"/>
    <w:rsid w:val="009B1E45"/>
    <w:rsid w:val="009B34C8"/>
    <w:rsid w:val="009B4D01"/>
    <w:rsid w:val="009B546B"/>
    <w:rsid w:val="009B5D2F"/>
    <w:rsid w:val="009B60C4"/>
    <w:rsid w:val="009B720F"/>
    <w:rsid w:val="009B752F"/>
    <w:rsid w:val="009B7ABA"/>
    <w:rsid w:val="009B7AFD"/>
    <w:rsid w:val="009C08DC"/>
    <w:rsid w:val="009C0B76"/>
    <w:rsid w:val="009C0CF6"/>
    <w:rsid w:val="009C10D5"/>
    <w:rsid w:val="009C1126"/>
    <w:rsid w:val="009C1F07"/>
    <w:rsid w:val="009C201E"/>
    <w:rsid w:val="009C33C7"/>
    <w:rsid w:val="009C4EDA"/>
    <w:rsid w:val="009C79AD"/>
    <w:rsid w:val="009C7A03"/>
    <w:rsid w:val="009D0335"/>
    <w:rsid w:val="009D1C2E"/>
    <w:rsid w:val="009D20CA"/>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182"/>
    <w:rsid w:val="009E1F33"/>
    <w:rsid w:val="009E51C0"/>
    <w:rsid w:val="009E6205"/>
    <w:rsid w:val="009E66F7"/>
    <w:rsid w:val="009E69EF"/>
    <w:rsid w:val="009E6B90"/>
    <w:rsid w:val="009E72F0"/>
    <w:rsid w:val="009E762B"/>
    <w:rsid w:val="009F138A"/>
    <w:rsid w:val="009F21C3"/>
    <w:rsid w:val="009F24F8"/>
    <w:rsid w:val="009F262A"/>
    <w:rsid w:val="009F2D01"/>
    <w:rsid w:val="009F2D03"/>
    <w:rsid w:val="009F301C"/>
    <w:rsid w:val="009F39A9"/>
    <w:rsid w:val="009F438A"/>
    <w:rsid w:val="009F4566"/>
    <w:rsid w:val="009F50E2"/>
    <w:rsid w:val="009F5CFE"/>
    <w:rsid w:val="009F6121"/>
    <w:rsid w:val="009F64CA"/>
    <w:rsid w:val="009F65CA"/>
    <w:rsid w:val="009F65CE"/>
    <w:rsid w:val="009F687A"/>
    <w:rsid w:val="009F7160"/>
    <w:rsid w:val="009F7471"/>
    <w:rsid w:val="009F7A1C"/>
    <w:rsid w:val="00A007F4"/>
    <w:rsid w:val="00A00C66"/>
    <w:rsid w:val="00A01EB1"/>
    <w:rsid w:val="00A02412"/>
    <w:rsid w:val="00A025B8"/>
    <w:rsid w:val="00A025CB"/>
    <w:rsid w:val="00A02857"/>
    <w:rsid w:val="00A02C66"/>
    <w:rsid w:val="00A02E79"/>
    <w:rsid w:val="00A033BB"/>
    <w:rsid w:val="00A03D1A"/>
    <w:rsid w:val="00A03E8F"/>
    <w:rsid w:val="00A0427B"/>
    <w:rsid w:val="00A0428E"/>
    <w:rsid w:val="00A046F1"/>
    <w:rsid w:val="00A04956"/>
    <w:rsid w:val="00A0549E"/>
    <w:rsid w:val="00A05AA7"/>
    <w:rsid w:val="00A06472"/>
    <w:rsid w:val="00A06780"/>
    <w:rsid w:val="00A10862"/>
    <w:rsid w:val="00A10E25"/>
    <w:rsid w:val="00A11166"/>
    <w:rsid w:val="00A115D7"/>
    <w:rsid w:val="00A119CF"/>
    <w:rsid w:val="00A12080"/>
    <w:rsid w:val="00A12622"/>
    <w:rsid w:val="00A12853"/>
    <w:rsid w:val="00A12A8F"/>
    <w:rsid w:val="00A12CC4"/>
    <w:rsid w:val="00A13DA8"/>
    <w:rsid w:val="00A13DFB"/>
    <w:rsid w:val="00A13FE8"/>
    <w:rsid w:val="00A140DE"/>
    <w:rsid w:val="00A14634"/>
    <w:rsid w:val="00A15343"/>
    <w:rsid w:val="00A16A32"/>
    <w:rsid w:val="00A16D1F"/>
    <w:rsid w:val="00A173FC"/>
    <w:rsid w:val="00A1749E"/>
    <w:rsid w:val="00A17F10"/>
    <w:rsid w:val="00A20483"/>
    <w:rsid w:val="00A207E2"/>
    <w:rsid w:val="00A20856"/>
    <w:rsid w:val="00A20CD2"/>
    <w:rsid w:val="00A21616"/>
    <w:rsid w:val="00A218F2"/>
    <w:rsid w:val="00A21AED"/>
    <w:rsid w:val="00A21C40"/>
    <w:rsid w:val="00A21D69"/>
    <w:rsid w:val="00A21DA5"/>
    <w:rsid w:val="00A22328"/>
    <w:rsid w:val="00A228C0"/>
    <w:rsid w:val="00A22E58"/>
    <w:rsid w:val="00A22F56"/>
    <w:rsid w:val="00A23448"/>
    <w:rsid w:val="00A2426D"/>
    <w:rsid w:val="00A24FB8"/>
    <w:rsid w:val="00A25421"/>
    <w:rsid w:val="00A260ED"/>
    <w:rsid w:val="00A27FC4"/>
    <w:rsid w:val="00A30051"/>
    <w:rsid w:val="00A32998"/>
    <w:rsid w:val="00A32BC1"/>
    <w:rsid w:val="00A32CC3"/>
    <w:rsid w:val="00A3340F"/>
    <w:rsid w:val="00A3347F"/>
    <w:rsid w:val="00A33EE9"/>
    <w:rsid w:val="00A341FD"/>
    <w:rsid w:val="00A3466E"/>
    <w:rsid w:val="00A34FA9"/>
    <w:rsid w:val="00A35947"/>
    <w:rsid w:val="00A36150"/>
    <w:rsid w:val="00A36570"/>
    <w:rsid w:val="00A36B12"/>
    <w:rsid w:val="00A37B47"/>
    <w:rsid w:val="00A404AE"/>
    <w:rsid w:val="00A40A1A"/>
    <w:rsid w:val="00A40AC5"/>
    <w:rsid w:val="00A4180C"/>
    <w:rsid w:val="00A4317E"/>
    <w:rsid w:val="00A43E8A"/>
    <w:rsid w:val="00A43F39"/>
    <w:rsid w:val="00A44477"/>
    <w:rsid w:val="00A451F7"/>
    <w:rsid w:val="00A4563A"/>
    <w:rsid w:val="00A456FE"/>
    <w:rsid w:val="00A46B65"/>
    <w:rsid w:val="00A4777D"/>
    <w:rsid w:val="00A47A26"/>
    <w:rsid w:val="00A47D88"/>
    <w:rsid w:val="00A47F54"/>
    <w:rsid w:val="00A50383"/>
    <w:rsid w:val="00A51C05"/>
    <w:rsid w:val="00A51D06"/>
    <w:rsid w:val="00A51FED"/>
    <w:rsid w:val="00A52252"/>
    <w:rsid w:val="00A524D1"/>
    <w:rsid w:val="00A5267E"/>
    <w:rsid w:val="00A5370E"/>
    <w:rsid w:val="00A54851"/>
    <w:rsid w:val="00A54B30"/>
    <w:rsid w:val="00A54C58"/>
    <w:rsid w:val="00A55828"/>
    <w:rsid w:val="00A56A25"/>
    <w:rsid w:val="00A570FA"/>
    <w:rsid w:val="00A5794A"/>
    <w:rsid w:val="00A57955"/>
    <w:rsid w:val="00A60E51"/>
    <w:rsid w:val="00A6129B"/>
    <w:rsid w:val="00A61B38"/>
    <w:rsid w:val="00A61DF7"/>
    <w:rsid w:val="00A61E6F"/>
    <w:rsid w:val="00A62E2E"/>
    <w:rsid w:val="00A63A59"/>
    <w:rsid w:val="00A64AB2"/>
    <w:rsid w:val="00A65FDE"/>
    <w:rsid w:val="00A72319"/>
    <w:rsid w:val="00A7270E"/>
    <w:rsid w:val="00A73822"/>
    <w:rsid w:val="00A73EDC"/>
    <w:rsid w:val="00A74C7E"/>
    <w:rsid w:val="00A74F5C"/>
    <w:rsid w:val="00A75E6E"/>
    <w:rsid w:val="00A766F3"/>
    <w:rsid w:val="00A77D81"/>
    <w:rsid w:val="00A77E1A"/>
    <w:rsid w:val="00A8043B"/>
    <w:rsid w:val="00A80682"/>
    <w:rsid w:val="00A80722"/>
    <w:rsid w:val="00A80772"/>
    <w:rsid w:val="00A80CE8"/>
    <w:rsid w:val="00A82D49"/>
    <w:rsid w:val="00A82F8C"/>
    <w:rsid w:val="00A832D7"/>
    <w:rsid w:val="00A8358C"/>
    <w:rsid w:val="00A83592"/>
    <w:rsid w:val="00A83993"/>
    <w:rsid w:val="00A83A0A"/>
    <w:rsid w:val="00A84595"/>
    <w:rsid w:val="00A84B94"/>
    <w:rsid w:val="00A85D4F"/>
    <w:rsid w:val="00A86059"/>
    <w:rsid w:val="00A8745A"/>
    <w:rsid w:val="00A8753B"/>
    <w:rsid w:val="00A876EC"/>
    <w:rsid w:val="00A877D4"/>
    <w:rsid w:val="00A9023D"/>
    <w:rsid w:val="00A911EC"/>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0DDF"/>
    <w:rsid w:val="00AA114C"/>
    <w:rsid w:val="00AA2B8C"/>
    <w:rsid w:val="00AA2D83"/>
    <w:rsid w:val="00AA38F5"/>
    <w:rsid w:val="00AA480F"/>
    <w:rsid w:val="00AA5121"/>
    <w:rsid w:val="00AA5956"/>
    <w:rsid w:val="00AA5994"/>
    <w:rsid w:val="00AA5B6C"/>
    <w:rsid w:val="00AA70D2"/>
    <w:rsid w:val="00AB01D6"/>
    <w:rsid w:val="00AB03AC"/>
    <w:rsid w:val="00AB0892"/>
    <w:rsid w:val="00AB0B4A"/>
    <w:rsid w:val="00AB0DFF"/>
    <w:rsid w:val="00AB3D82"/>
    <w:rsid w:val="00AB3FB3"/>
    <w:rsid w:val="00AB44CA"/>
    <w:rsid w:val="00AB4AA7"/>
    <w:rsid w:val="00AB4EF7"/>
    <w:rsid w:val="00AB600D"/>
    <w:rsid w:val="00AB6EEA"/>
    <w:rsid w:val="00AB76CC"/>
    <w:rsid w:val="00AC0548"/>
    <w:rsid w:val="00AC0D99"/>
    <w:rsid w:val="00AC0F80"/>
    <w:rsid w:val="00AC118A"/>
    <w:rsid w:val="00AC1EA2"/>
    <w:rsid w:val="00AC24B0"/>
    <w:rsid w:val="00AC28F9"/>
    <w:rsid w:val="00AC2D2F"/>
    <w:rsid w:val="00AC2E7D"/>
    <w:rsid w:val="00AC33D4"/>
    <w:rsid w:val="00AC408F"/>
    <w:rsid w:val="00AC47DD"/>
    <w:rsid w:val="00AC4920"/>
    <w:rsid w:val="00AC4D76"/>
    <w:rsid w:val="00AC5EE9"/>
    <w:rsid w:val="00AC6021"/>
    <w:rsid w:val="00AC614B"/>
    <w:rsid w:val="00AC6DED"/>
    <w:rsid w:val="00AC79F2"/>
    <w:rsid w:val="00AC7B02"/>
    <w:rsid w:val="00AD01AC"/>
    <w:rsid w:val="00AD0D1A"/>
    <w:rsid w:val="00AD1821"/>
    <w:rsid w:val="00AD2776"/>
    <w:rsid w:val="00AD6705"/>
    <w:rsid w:val="00AD6FCE"/>
    <w:rsid w:val="00AD7476"/>
    <w:rsid w:val="00AD7F4C"/>
    <w:rsid w:val="00AE06BD"/>
    <w:rsid w:val="00AE06EC"/>
    <w:rsid w:val="00AE28EA"/>
    <w:rsid w:val="00AE38AB"/>
    <w:rsid w:val="00AE53D5"/>
    <w:rsid w:val="00AE5D03"/>
    <w:rsid w:val="00AE62EA"/>
    <w:rsid w:val="00AE6CD1"/>
    <w:rsid w:val="00AE717E"/>
    <w:rsid w:val="00AE75EF"/>
    <w:rsid w:val="00AE78F3"/>
    <w:rsid w:val="00AF113D"/>
    <w:rsid w:val="00AF1A00"/>
    <w:rsid w:val="00AF1EF3"/>
    <w:rsid w:val="00AF2E96"/>
    <w:rsid w:val="00AF3CEB"/>
    <w:rsid w:val="00AF3EB7"/>
    <w:rsid w:val="00AF4849"/>
    <w:rsid w:val="00AF4B9E"/>
    <w:rsid w:val="00AF4D70"/>
    <w:rsid w:val="00AF5336"/>
    <w:rsid w:val="00AF5521"/>
    <w:rsid w:val="00AF642E"/>
    <w:rsid w:val="00AF6B80"/>
    <w:rsid w:val="00AF6F43"/>
    <w:rsid w:val="00AF7BA8"/>
    <w:rsid w:val="00B006F3"/>
    <w:rsid w:val="00B00C9E"/>
    <w:rsid w:val="00B00ED7"/>
    <w:rsid w:val="00B0264A"/>
    <w:rsid w:val="00B0291F"/>
    <w:rsid w:val="00B02C04"/>
    <w:rsid w:val="00B02C2F"/>
    <w:rsid w:val="00B034D6"/>
    <w:rsid w:val="00B03B24"/>
    <w:rsid w:val="00B03DDF"/>
    <w:rsid w:val="00B04D7B"/>
    <w:rsid w:val="00B05234"/>
    <w:rsid w:val="00B05306"/>
    <w:rsid w:val="00B056E4"/>
    <w:rsid w:val="00B05B94"/>
    <w:rsid w:val="00B06003"/>
    <w:rsid w:val="00B07369"/>
    <w:rsid w:val="00B076ED"/>
    <w:rsid w:val="00B10B00"/>
    <w:rsid w:val="00B11B4C"/>
    <w:rsid w:val="00B13D63"/>
    <w:rsid w:val="00B14837"/>
    <w:rsid w:val="00B149AA"/>
    <w:rsid w:val="00B14B3C"/>
    <w:rsid w:val="00B15609"/>
    <w:rsid w:val="00B16368"/>
    <w:rsid w:val="00B16527"/>
    <w:rsid w:val="00B16B0B"/>
    <w:rsid w:val="00B17562"/>
    <w:rsid w:val="00B17B9C"/>
    <w:rsid w:val="00B17E71"/>
    <w:rsid w:val="00B200F3"/>
    <w:rsid w:val="00B20781"/>
    <w:rsid w:val="00B20AFE"/>
    <w:rsid w:val="00B20F0D"/>
    <w:rsid w:val="00B211D4"/>
    <w:rsid w:val="00B2132A"/>
    <w:rsid w:val="00B2143C"/>
    <w:rsid w:val="00B22017"/>
    <w:rsid w:val="00B22FCF"/>
    <w:rsid w:val="00B235A8"/>
    <w:rsid w:val="00B2420A"/>
    <w:rsid w:val="00B25F55"/>
    <w:rsid w:val="00B2664A"/>
    <w:rsid w:val="00B26769"/>
    <w:rsid w:val="00B26929"/>
    <w:rsid w:val="00B26C1C"/>
    <w:rsid w:val="00B26E73"/>
    <w:rsid w:val="00B27154"/>
    <w:rsid w:val="00B27628"/>
    <w:rsid w:val="00B27D75"/>
    <w:rsid w:val="00B3047B"/>
    <w:rsid w:val="00B31E4B"/>
    <w:rsid w:val="00B328F5"/>
    <w:rsid w:val="00B32C56"/>
    <w:rsid w:val="00B33055"/>
    <w:rsid w:val="00B33297"/>
    <w:rsid w:val="00B335A4"/>
    <w:rsid w:val="00B341F9"/>
    <w:rsid w:val="00B34F3E"/>
    <w:rsid w:val="00B35619"/>
    <w:rsid w:val="00B35793"/>
    <w:rsid w:val="00B36038"/>
    <w:rsid w:val="00B36A1A"/>
    <w:rsid w:val="00B375B2"/>
    <w:rsid w:val="00B37DD9"/>
    <w:rsid w:val="00B40072"/>
    <w:rsid w:val="00B413CC"/>
    <w:rsid w:val="00B4160D"/>
    <w:rsid w:val="00B41812"/>
    <w:rsid w:val="00B42339"/>
    <w:rsid w:val="00B424C7"/>
    <w:rsid w:val="00B4266E"/>
    <w:rsid w:val="00B4275E"/>
    <w:rsid w:val="00B42C26"/>
    <w:rsid w:val="00B43AF5"/>
    <w:rsid w:val="00B43CD0"/>
    <w:rsid w:val="00B43DFF"/>
    <w:rsid w:val="00B43EBB"/>
    <w:rsid w:val="00B44267"/>
    <w:rsid w:val="00B45500"/>
    <w:rsid w:val="00B45A37"/>
    <w:rsid w:val="00B46537"/>
    <w:rsid w:val="00B5029A"/>
    <w:rsid w:val="00B507B2"/>
    <w:rsid w:val="00B51B9D"/>
    <w:rsid w:val="00B51E2D"/>
    <w:rsid w:val="00B51E57"/>
    <w:rsid w:val="00B52485"/>
    <w:rsid w:val="00B53B29"/>
    <w:rsid w:val="00B53BDD"/>
    <w:rsid w:val="00B53FAF"/>
    <w:rsid w:val="00B5481B"/>
    <w:rsid w:val="00B54AF7"/>
    <w:rsid w:val="00B55635"/>
    <w:rsid w:val="00B55BA1"/>
    <w:rsid w:val="00B55C52"/>
    <w:rsid w:val="00B5601E"/>
    <w:rsid w:val="00B56360"/>
    <w:rsid w:val="00B564D4"/>
    <w:rsid w:val="00B56EFE"/>
    <w:rsid w:val="00B6010C"/>
    <w:rsid w:val="00B60F2B"/>
    <w:rsid w:val="00B60FB6"/>
    <w:rsid w:val="00B617AE"/>
    <w:rsid w:val="00B61DBC"/>
    <w:rsid w:val="00B61DC2"/>
    <w:rsid w:val="00B622EE"/>
    <w:rsid w:val="00B62A91"/>
    <w:rsid w:val="00B62D98"/>
    <w:rsid w:val="00B63AF5"/>
    <w:rsid w:val="00B63AF6"/>
    <w:rsid w:val="00B64CDB"/>
    <w:rsid w:val="00B65848"/>
    <w:rsid w:val="00B66974"/>
    <w:rsid w:val="00B67790"/>
    <w:rsid w:val="00B67C37"/>
    <w:rsid w:val="00B705FE"/>
    <w:rsid w:val="00B7094C"/>
    <w:rsid w:val="00B7225A"/>
    <w:rsid w:val="00B73EEB"/>
    <w:rsid w:val="00B7408F"/>
    <w:rsid w:val="00B74321"/>
    <w:rsid w:val="00B751F0"/>
    <w:rsid w:val="00B75209"/>
    <w:rsid w:val="00B755FE"/>
    <w:rsid w:val="00B75A6A"/>
    <w:rsid w:val="00B75B7C"/>
    <w:rsid w:val="00B75E01"/>
    <w:rsid w:val="00B760C6"/>
    <w:rsid w:val="00B76565"/>
    <w:rsid w:val="00B7757A"/>
    <w:rsid w:val="00B810A6"/>
    <w:rsid w:val="00B81AB1"/>
    <w:rsid w:val="00B81CCA"/>
    <w:rsid w:val="00B82876"/>
    <w:rsid w:val="00B82EB4"/>
    <w:rsid w:val="00B83B04"/>
    <w:rsid w:val="00B84055"/>
    <w:rsid w:val="00B8429E"/>
    <w:rsid w:val="00B8489C"/>
    <w:rsid w:val="00B8496B"/>
    <w:rsid w:val="00B85E21"/>
    <w:rsid w:val="00B860AD"/>
    <w:rsid w:val="00B903E3"/>
    <w:rsid w:val="00B90439"/>
    <w:rsid w:val="00B904C2"/>
    <w:rsid w:val="00B90614"/>
    <w:rsid w:val="00B929E8"/>
    <w:rsid w:val="00B92E14"/>
    <w:rsid w:val="00B92E2E"/>
    <w:rsid w:val="00B93A29"/>
    <w:rsid w:val="00B93B24"/>
    <w:rsid w:val="00B949F0"/>
    <w:rsid w:val="00B94BB4"/>
    <w:rsid w:val="00B9678E"/>
    <w:rsid w:val="00B96E7C"/>
    <w:rsid w:val="00BA0588"/>
    <w:rsid w:val="00BA0903"/>
    <w:rsid w:val="00BA1483"/>
    <w:rsid w:val="00BA184E"/>
    <w:rsid w:val="00BA221F"/>
    <w:rsid w:val="00BA273D"/>
    <w:rsid w:val="00BA2D3C"/>
    <w:rsid w:val="00BA2F49"/>
    <w:rsid w:val="00BA327F"/>
    <w:rsid w:val="00BA38F2"/>
    <w:rsid w:val="00BA401C"/>
    <w:rsid w:val="00BA574E"/>
    <w:rsid w:val="00BA5FBC"/>
    <w:rsid w:val="00BA607B"/>
    <w:rsid w:val="00BA6266"/>
    <w:rsid w:val="00BA645C"/>
    <w:rsid w:val="00BA64F0"/>
    <w:rsid w:val="00BA7927"/>
    <w:rsid w:val="00BA7AE5"/>
    <w:rsid w:val="00BB0495"/>
    <w:rsid w:val="00BB1344"/>
    <w:rsid w:val="00BB1D4A"/>
    <w:rsid w:val="00BB2F5A"/>
    <w:rsid w:val="00BB35C6"/>
    <w:rsid w:val="00BB3724"/>
    <w:rsid w:val="00BB4D2F"/>
    <w:rsid w:val="00BB56FA"/>
    <w:rsid w:val="00BB5EF5"/>
    <w:rsid w:val="00BB638F"/>
    <w:rsid w:val="00BB69C8"/>
    <w:rsid w:val="00BC1041"/>
    <w:rsid w:val="00BC1395"/>
    <w:rsid w:val="00BC1ED0"/>
    <w:rsid w:val="00BC39D5"/>
    <w:rsid w:val="00BC4733"/>
    <w:rsid w:val="00BC4CC8"/>
    <w:rsid w:val="00BC73AB"/>
    <w:rsid w:val="00BD138A"/>
    <w:rsid w:val="00BD1F09"/>
    <w:rsid w:val="00BD1F42"/>
    <w:rsid w:val="00BD20DD"/>
    <w:rsid w:val="00BD27C2"/>
    <w:rsid w:val="00BD2907"/>
    <w:rsid w:val="00BD3A5E"/>
    <w:rsid w:val="00BD486C"/>
    <w:rsid w:val="00BD5567"/>
    <w:rsid w:val="00BD5B75"/>
    <w:rsid w:val="00BD6168"/>
    <w:rsid w:val="00BD61A3"/>
    <w:rsid w:val="00BD67F8"/>
    <w:rsid w:val="00BD6B8C"/>
    <w:rsid w:val="00BE0CCB"/>
    <w:rsid w:val="00BE1873"/>
    <w:rsid w:val="00BE1A75"/>
    <w:rsid w:val="00BE228F"/>
    <w:rsid w:val="00BE2B70"/>
    <w:rsid w:val="00BE3C7F"/>
    <w:rsid w:val="00BE51CE"/>
    <w:rsid w:val="00BE62DE"/>
    <w:rsid w:val="00BE7551"/>
    <w:rsid w:val="00BE7C93"/>
    <w:rsid w:val="00BF005C"/>
    <w:rsid w:val="00BF0801"/>
    <w:rsid w:val="00BF0A6B"/>
    <w:rsid w:val="00BF0B6E"/>
    <w:rsid w:val="00BF0C0E"/>
    <w:rsid w:val="00BF0E01"/>
    <w:rsid w:val="00BF15BC"/>
    <w:rsid w:val="00BF15C6"/>
    <w:rsid w:val="00BF1956"/>
    <w:rsid w:val="00BF1C93"/>
    <w:rsid w:val="00BF283E"/>
    <w:rsid w:val="00BF2A64"/>
    <w:rsid w:val="00BF3235"/>
    <w:rsid w:val="00BF3A70"/>
    <w:rsid w:val="00BF45C3"/>
    <w:rsid w:val="00BF4885"/>
    <w:rsid w:val="00BF5426"/>
    <w:rsid w:val="00BF596E"/>
    <w:rsid w:val="00BF73BF"/>
    <w:rsid w:val="00BF745A"/>
    <w:rsid w:val="00BF758A"/>
    <w:rsid w:val="00BF76FD"/>
    <w:rsid w:val="00BF7779"/>
    <w:rsid w:val="00BF7ADF"/>
    <w:rsid w:val="00BF7CCF"/>
    <w:rsid w:val="00C010AE"/>
    <w:rsid w:val="00C02A93"/>
    <w:rsid w:val="00C0476A"/>
    <w:rsid w:val="00C0504A"/>
    <w:rsid w:val="00C05755"/>
    <w:rsid w:val="00C06B36"/>
    <w:rsid w:val="00C06E5D"/>
    <w:rsid w:val="00C06FE6"/>
    <w:rsid w:val="00C071A7"/>
    <w:rsid w:val="00C074E8"/>
    <w:rsid w:val="00C07F85"/>
    <w:rsid w:val="00C1014D"/>
    <w:rsid w:val="00C10361"/>
    <w:rsid w:val="00C103ED"/>
    <w:rsid w:val="00C10E39"/>
    <w:rsid w:val="00C10FBC"/>
    <w:rsid w:val="00C112C3"/>
    <w:rsid w:val="00C11451"/>
    <w:rsid w:val="00C118E8"/>
    <w:rsid w:val="00C11DAC"/>
    <w:rsid w:val="00C1209F"/>
    <w:rsid w:val="00C126A0"/>
    <w:rsid w:val="00C12778"/>
    <w:rsid w:val="00C127A8"/>
    <w:rsid w:val="00C12A1C"/>
    <w:rsid w:val="00C12D89"/>
    <w:rsid w:val="00C141AF"/>
    <w:rsid w:val="00C142C3"/>
    <w:rsid w:val="00C14926"/>
    <w:rsid w:val="00C15B95"/>
    <w:rsid w:val="00C1693B"/>
    <w:rsid w:val="00C16C0F"/>
    <w:rsid w:val="00C16CAD"/>
    <w:rsid w:val="00C20FE8"/>
    <w:rsid w:val="00C2170C"/>
    <w:rsid w:val="00C22453"/>
    <w:rsid w:val="00C23551"/>
    <w:rsid w:val="00C2463A"/>
    <w:rsid w:val="00C248CB"/>
    <w:rsid w:val="00C252D9"/>
    <w:rsid w:val="00C2593E"/>
    <w:rsid w:val="00C2596A"/>
    <w:rsid w:val="00C25BB8"/>
    <w:rsid w:val="00C263D3"/>
    <w:rsid w:val="00C26569"/>
    <w:rsid w:val="00C26AB4"/>
    <w:rsid w:val="00C27053"/>
    <w:rsid w:val="00C27D9E"/>
    <w:rsid w:val="00C30B78"/>
    <w:rsid w:val="00C31E40"/>
    <w:rsid w:val="00C32AA3"/>
    <w:rsid w:val="00C32E15"/>
    <w:rsid w:val="00C33017"/>
    <w:rsid w:val="00C3330B"/>
    <w:rsid w:val="00C34566"/>
    <w:rsid w:val="00C349D9"/>
    <w:rsid w:val="00C357F0"/>
    <w:rsid w:val="00C37011"/>
    <w:rsid w:val="00C40C52"/>
    <w:rsid w:val="00C41314"/>
    <w:rsid w:val="00C414D4"/>
    <w:rsid w:val="00C418B5"/>
    <w:rsid w:val="00C42A4B"/>
    <w:rsid w:val="00C43046"/>
    <w:rsid w:val="00C43D09"/>
    <w:rsid w:val="00C43E31"/>
    <w:rsid w:val="00C43F3D"/>
    <w:rsid w:val="00C4514C"/>
    <w:rsid w:val="00C45374"/>
    <w:rsid w:val="00C453BE"/>
    <w:rsid w:val="00C45936"/>
    <w:rsid w:val="00C45961"/>
    <w:rsid w:val="00C46B2D"/>
    <w:rsid w:val="00C46B64"/>
    <w:rsid w:val="00C4724E"/>
    <w:rsid w:val="00C473BC"/>
    <w:rsid w:val="00C47CB9"/>
    <w:rsid w:val="00C50205"/>
    <w:rsid w:val="00C51740"/>
    <w:rsid w:val="00C51992"/>
    <w:rsid w:val="00C52D4A"/>
    <w:rsid w:val="00C53392"/>
    <w:rsid w:val="00C535C0"/>
    <w:rsid w:val="00C53A67"/>
    <w:rsid w:val="00C543C1"/>
    <w:rsid w:val="00C54751"/>
    <w:rsid w:val="00C556FD"/>
    <w:rsid w:val="00C56536"/>
    <w:rsid w:val="00C56662"/>
    <w:rsid w:val="00C56742"/>
    <w:rsid w:val="00C56FF6"/>
    <w:rsid w:val="00C5744D"/>
    <w:rsid w:val="00C62853"/>
    <w:rsid w:val="00C63013"/>
    <w:rsid w:val="00C63215"/>
    <w:rsid w:val="00C63AFE"/>
    <w:rsid w:val="00C64264"/>
    <w:rsid w:val="00C64350"/>
    <w:rsid w:val="00C647C4"/>
    <w:rsid w:val="00C651C1"/>
    <w:rsid w:val="00C652BD"/>
    <w:rsid w:val="00C65FD6"/>
    <w:rsid w:val="00C65FE0"/>
    <w:rsid w:val="00C6651C"/>
    <w:rsid w:val="00C66C70"/>
    <w:rsid w:val="00C66D9C"/>
    <w:rsid w:val="00C678BA"/>
    <w:rsid w:val="00C7148E"/>
    <w:rsid w:val="00C714B0"/>
    <w:rsid w:val="00C71ED1"/>
    <w:rsid w:val="00C71FC2"/>
    <w:rsid w:val="00C71FF5"/>
    <w:rsid w:val="00C72138"/>
    <w:rsid w:val="00C72161"/>
    <w:rsid w:val="00C72AC2"/>
    <w:rsid w:val="00C73F80"/>
    <w:rsid w:val="00C7426C"/>
    <w:rsid w:val="00C749DE"/>
    <w:rsid w:val="00C74A38"/>
    <w:rsid w:val="00C74CFA"/>
    <w:rsid w:val="00C75627"/>
    <w:rsid w:val="00C75736"/>
    <w:rsid w:val="00C758C0"/>
    <w:rsid w:val="00C76864"/>
    <w:rsid w:val="00C7696D"/>
    <w:rsid w:val="00C775F9"/>
    <w:rsid w:val="00C77E56"/>
    <w:rsid w:val="00C803D9"/>
    <w:rsid w:val="00C81152"/>
    <w:rsid w:val="00C81894"/>
    <w:rsid w:val="00C81AC4"/>
    <w:rsid w:val="00C827D8"/>
    <w:rsid w:val="00C8409A"/>
    <w:rsid w:val="00C842F0"/>
    <w:rsid w:val="00C84B91"/>
    <w:rsid w:val="00C85194"/>
    <w:rsid w:val="00C85249"/>
    <w:rsid w:val="00C85D5A"/>
    <w:rsid w:val="00C865A8"/>
    <w:rsid w:val="00C86959"/>
    <w:rsid w:val="00C873F4"/>
    <w:rsid w:val="00C87F3D"/>
    <w:rsid w:val="00C902DE"/>
    <w:rsid w:val="00C9058F"/>
    <w:rsid w:val="00C92BE0"/>
    <w:rsid w:val="00C93095"/>
    <w:rsid w:val="00C938CF"/>
    <w:rsid w:val="00C94F35"/>
    <w:rsid w:val="00C95A13"/>
    <w:rsid w:val="00C95B24"/>
    <w:rsid w:val="00C96627"/>
    <w:rsid w:val="00C96D93"/>
    <w:rsid w:val="00C96DC0"/>
    <w:rsid w:val="00C9783D"/>
    <w:rsid w:val="00C97AAA"/>
    <w:rsid w:val="00C97B5F"/>
    <w:rsid w:val="00C97FDB"/>
    <w:rsid w:val="00CA0354"/>
    <w:rsid w:val="00CA041E"/>
    <w:rsid w:val="00CA0791"/>
    <w:rsid w:val="00CA085D"/>
    <w:rsid w:val="00CA14CE"/>
    <w:rsid w:val="00CA1DB5"/>
    <w:rsid w:val="00CA1EFC"/>
    <w:rsid w:val="00CA29EC"/>
    <w:rsid w:val="00CA2B43"/>
    <w:rsid w:val="00CA46CA"/>
    <w:rsid w:val="00CA477D"/>
    <w:rsid w:val="00CA4E62"/>
    <w:rsid w:val="00CA573D"/>
    <w:rsid w:val="00CA5789"/>
    <w:rsid w:val="00CA60F4"/>
    <w:rsid w:val="00CA61C9"/>
    <w:rsid w:val="00CA680B"/>
    <w:rsid w:val="00CA6D0E"/>
    <w:rsid w:val="00CA70EF"/>
    <w:rsid w:val="00CA7C91"/>
    <w:rsid w:val="00CB13F3"/>
    <w:rsid w:val="00CB2501"/>
    <w:rsid w:val="00CB2516"/>
    <w:rsid w:val="00CB39E0"/>
    <w:rsid w:val="00CB3BA5"/>
    <w:rsid w:val="00CB3E90"/>
    <w:rsid w:val="00CB3F60"/>
    <w:rsid w:val="00CB4B05"/>
    <w:rsid w:val="00CB4B6F"/>
    <w:rsid w:val="00CB4D0E"/>
    <w:rsid w:val="00CB4E0F"/>
    <w:rsid w:val="00CB5F33"/>
    <w:rsid w:val="00CB68A7"/>
    <w:rsid w:val="00CB6C62"/>
    <w:rsid w:val="00CB7462"/>
    <w:rsid w:val="00CB7710"/>
    <w:rsid w:val="00CB7765"/>
    <w:rsid w:val="00CB7A24"/>
    <w:rsid w:val="00CC0B78"/>
    <w:rsid w:val="00CC1782"/>
    <w:rsid w:val="00CC17E9"/>
    <w:rsid w:val="00CC2172"/>
    <w:rsid w:val="00CC22D8"/>
    <w:rsid w:val="00CC414D"/>
    <w:rsid w:val="00CC4311"/>
    <w:rsid w:val="00CC44A0"/>
    <w:rsid w:val="00CC45F3"/>
    <w:rsid w:val="00CC4676"/>
    <w:rsid w:val="00CC4E00"/>
    <w:rsid w:val="00CC78F3"/>
    <w:rsid w:val="00CD173B"/>
    <w:rsid w:val="00CD2122"/>
    <w:rsid w:val="00CD24F1"/>
    <w:rsid w:val="00CD2F77"/>
    <w:rsid w:val="00CD3399"/>
    <w:rsid w:val="00CD3673"/>
    <w:rsid w:val="00CD446B"/>
    <w:rsid w:val="00CD4B79"/>
    <w:rsid w:val="00CD51BF"/>
    <w:rsid w:val="00CE0174"/>
    <w:rsid w:val="00CE025E"/>
    <w:rsid w:val="00CE0287"/>
    <w:rsid w:val="00CE0B6C"/>
    <w:rsid w:val="00CE1961"/>
    <w:rsid w:val="00CE1C99"/>
    <w:rsid w:val="00CE2859"/>
    <w:rsid w:val="00CE2C90"/>
    <w:rsid w:val="00CE2CBD"/>
    <w:rsid w:val="00CE3DF0"/>
    <w:rsid w:val="00CE3ED3"/>
    <w:rsid w:val="00CE5298"/>
    <w:rsid w:val="00CE5995"/>
    <w:rsid w:val="00CE701B"/>
    <w:rsid w:val="00CE71D7"/>
    <w:rsid w:val="00CE7AA0"/>
    <w:rsid w:val="00CF04C4"/>
    <w:rsid w:val="00CF1173"/>
    <w:rsid w:val="00CF258E"/>
    <w:rsid w:val="00CF2B39"/>
    <w:rsid w:val="00CF4F71"/>
    <w:rsid w:val="00CF5366"/>
    <w:rsid w:val="00CF558B"/>
    <w:rsid w:val="00CF64C7"/>
    <w:rsid w:val="00CF6FC2"/>
    <w:rsid w:val="00CF73FA"/>
    <w:rsid w:val="00D002C5"/>
    <w:rsid w:val="00D00748"/>
    <w:rsid w:val="00D00CFF"/>
    <w:rsid w:val="00D00D65"/>
    <w:rsid w:val="00D00FEA"/>
    <w:rsid w:val="00D01249"/>
    <w:rsid w:val="00D01967"/>
    <w:rsid w:val="00D01DD5"/>
    <w:rsid w:val="00D02211"/>
    <w:rsid w:val="00D031C9"/>
    <w:rsid w:val="00D03583"/>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46A9"/>
    <w:rsid w:val="00D14890"/>
    <w:rsid w:val="00D14EA5"/>
    <w:rsid w:val="00D159C4"/>
    <w:rsid w:val="00D1667C"/>
    <w:rsid w:val="00D17E00"/>
    <w:rsid w:val="00D207D4"/>
    <w:rsid w:val="00D20904"/>
    <w:rsid w:val="00D21C3F"/>
    <w:rsid w:val="00D22FD5"/>
    <w:rsid w:val="00D2369D"/>
    <w:rsid w:val="00D23769"/>
    <w:rsid w:val="00D23EE7"/>
    <w:rsid w:val="00D25816"/>
    <w:rsid w:val="00D26948"/>
    <w:rsid w:val="00D26F58"/>
    <w:rsid w:val="00D27217"/>
    <w:rsid w:val="00D31438"/>
    <w:rsid w:val="00D32E03"/>
    <w:rsid w:val="00D3382F"/>
    <w:rsid w:val="00D338BB"/>
    <w:rsid w:val="00D339A7"/>
    <w:rsid w:val="00D33EE7"/>
    <w:rsid w:val="00D33F62"/>
    <w:rsid w:val="00D341DC"/>
    <w:rsid w:val="00D342EE"/>
    <w:rsid w:val="00D34CFA"/>
    <w:rsid w:val="00D35312"/>
    <w:rsid w:val="00D3572D"/>
    <w:rsid w:val="00D35DF4"/>
    <w:rsid w:val="00D3649E"/>
    <w:rsid w:val="00D366AC"/>
    <w:rsid w:val="00D37305"/>
    <w:rsid w:val="00D376C0"/>
    <w:rsid w:val="00D37993"/>
    <w:rsid w:val="00D4196F"/>
    <w:rsid w:val="00D422AB"/>
    <w:rsid w:val="00D42C25"/>
    <w:rsid w:val="00D43792"/>
    <w:rsid w:val="00D43F8F"/>
    <w:rsid w:val="00D44CDB"/>
    <w:rsid w:val="00D44DFE"/>
    <w:rsid w:val="00D45D66"/>
    <w:rsid w:val="00D46150"/>
    <w:rsid w:val="00D46968"/>
    <w:rsid w:val="00D46C96"/>
    <w:rsid w:val="00D50503"/>
    <w:rsid w:val="00D51393"/>
    <w:rsid w:val="00D51672"/>
    <w:rsid w:val="00D51A92"/>
    <w:rsid w:val="00D52E5E"/>
    <w:rsid w:val="00D52EF1"/>
    <w:rsid w:val="00D5324B"/>
    <w:rsid w:val="00D53CD8"/>
    <w:rsid w:val="00D553B3"/>
    <w:rsid w:val="00D55E23"/>
    <w:rsid w:val="00D56109"/>
    <w:rsid w:val="00D568DC"/>
    <w:rsid w:val="00D571A0"/>
    <w:rsid w:val="00D57375"/>
    <w:rsid w:val="00D57693"/>
    <w:rsid w:val="00D576AA"/>
    <w:rsid w:val="00D5777B"/>
    <w:rsid w:val="00D57D25"/>
    <w:rsid w:val="00D57E34"/>
    <w:rsid w:val="00D608B5"/>
    <w:rsid w:val="00D60AD5"/>
    <w:rsid w:val="00D60B1C"/>
    <w:rsid w:val="00D6148A"/>
    <w:rsid w:val="00D61911"/>
    <w:rsid w:val="00D625A2"/>
    <w:rsid w:val="00D63732"/>
    <w:rsid w:val="00D6608B"/>
    <w:rsid w:val="00D6627E"/>
    <w:rsid w:val="00D663C7"/>
    <w:rsid w:val="00D66825"/>
    <w:rsid w:val="00D66FFB"/>
    <w:rsid w:val="00D67994"/>
    <w:rsid w:val="00D7074C"/>
    <w:rsid w:val="00D70F76"/>
    <w:rsid w:val="00D716D2"/>
    <w:rsid w:val="00D71C18"/>
    <w:rsid w:val="00D727D5"/>
    <w:rsid w:val="00D738B5"/>
    <w:rsid w:val="00D73BCC"/>
    <w:rsid w:val="00D74158"/>
    <w:rsid w:val="00D77576"/>
    <w:rsid w:val="00D80209"/>
    <w:rsid w:val="00D80430"/>
    <w:rsid w:val="00D8088B"/>
    <w:rsid w:val="00D80BCF"/>
    <w:rsid w:val="00D80F11"/>
    <w:rsid w:val="00D81D75"/>
    <w:rsid w:val="00D81E97"/>
    <w:rsid w:val="00D81F8C"/>
    <w:rsid w:val="00D8205E"/>
    <w:rsid w:val="00D82485"/>
    <w:rsid w:val="00D82750"/>
    <w:rsid w:val="00D82A5E"/>
    <w:rsid w:val="00D834CD"/>
    <w:rsid w:val="00D836CA"/>
    <w:rsid w:val="00D83B83"/>
    <w:rsid w:val="00D83BE5"/>
    <w:rsid w:val="00D845F9"/>
    <w:rsid w:val="00D84BBF"/>
    <w:rsid w:val="00D853E2"/>
    <w:rsid w:val="00D861A9"/>
    <w:rsid w:val="00D86F52"/>
    <w:rsid w:val="00D870AF"/>
    <w:rsid w:val="00D87683"/>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D1E"/>
    <w:rsid w:val="00DA1F0E"/>
    <w:rsid w:val="00DA2838"/>
    <w:rsid w:val="00DA32FC"/>
    <w:rsid w:val="00DA3540"/>
    <w:rsid w:val="00DA495B"/>
    <w:rsid w:val="00DA556F"/>
    <w:rsid w:val="00DA74E7"/>
    <w:rsid w:val="00DA7CF8"/>
    <w:rsid w:val="00DA7FE2"/>
    <w:rsid w:val="00DB0B79"/>
    <w:rsid w:val="00DB0F71"/>
    <w:rsid w:val="00DB16A2"/>
    <w:rsid w:val="00DB17B4"/>
    <w:rsid w:val="00DB2646"/>
    <w:rsid w:val="00DB26C5"/>
    <w:rsid w:val="00DB2D73"/>
    <w:rsid w:val="00DB2E82"/>
    <w:rsid w:val="00DB307C"/>
    <w:rsid w:val="00DB3894"/>
    <w:rsid w:val="00DB3A0B"/>
    <w:rsid w:val="00DB4C26"/>
    <w:rsid w:val="00DB6FBB"/>
    <w:rsid w:val="00DB7AD3"/>
    <w:rsid w:val="00DB7E20"/>
    <w:rsid w:val="00DC1372"/>
    <w:rsid w:val="00DC14CC"/>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804"/>
    <w:rsid w:val="00DD0ACD"/>
    <w:rsid w:val="00DD1169"/>
    <w:rsid w:val="00DD2A50"/>
    <w:rsid w:val="00DD3319"/>
    <w:rsid w:val="00DD3B1D"/>
    <w:rsid w:val="00DD430A"/>
    <w:rsid w:val="00DD5083"/>
    <w:rsid w:val="00DD5278"/>
    <w:rsid w:val="00DD5881"/>
    <w:rsid w:val="00DD5B48"/>
    <w:rsid w:val="00DD5DC5"/>
    <w:rsid w:val="00DD7529"/>
    <w:rsid w:val="00DE0B30"/>
    <w:rsid w:val="00DE13C9"/>
    <w:rsid w:val="00DE19BA"/>
    <w:rsid w:val="00DE1BAF"/>
    <w:rsid w:val="00DE1DE6"/>
    <w:rsid w:val="00DE1F37"/>
    <w:rsid w:val="00DE34E4"/>
    <w:rsid w:val="00DE38B6"/>
    <w:rsid w:val="00DE3D30"/>
    <w:rsid w:val="00DE3D36"/>
    <w:rsid w:val="00DE3F78"/>
    <w:rsid w:val="00DE4A8B"/>
    <w:rsid w:val="00DE5238"/>
    <w:rsid w:val="00DE5293"/>
    <w:rsid w:val="00DE6453"/>
    <w:rsid w:val="00DE66F4"/>
    <w:rsid w:val="00DE6C2D"/>
    <w:rsid w:val="00DE7019"/>
    <w:rsid w:val="00DE7BDF"/>
    <w:rsid w:val="00DF10A4"/>
    <w:rsid w:val="00DF1343"/>
    <w:rsid w:val="00DF2C5C"/>
    <w:rsid w:val="00DF41EA"/>
    <w:rsid w:val="00DF4572"/>
    <w:rsid w:val="00DF4899"/>
    <w:rsid w:val="00DF53CE"/>
    <w:rsid w:val="00DF591D"/>
    <w:rsid w:val="00DF614A"/>
    <w:rsid w:val="00DF7B85"/>
    <w:rsid w:val="00DF7D60"/>
    <w:rsid w:val="00E01D52"/>
    <w:rsid w:val="00E01F65"/>
    <w:rsid w:val="00E0204C"/>
    <w:rsid w:val="00E03A22"/>
    <w:rsid w:val="00E03C2B"/>
    <w:rsid w:val="00E04926"/>
    <w:rsid w:val="00E04A3E"/>
    <w:rsid w:val="00E053AE"/>
    <w:rsid w:val="00E074F0"/>
    <w:rsid w:val="00E07FFD"/>
    <w:rsid w:val="00E10D7F"/>
    <w:rsid w:val="00E11A02"/>
    <w:rsid w:val="00E11A33"/>
    <w:rsid w:val="00E12C19"/>
    <w:rsid w:val="00E12FB6"/>
    <w:rsid w:val="00E138DB"/>
    <w:rsid w:val="00E13C60"/>
    <w:rsid w:val="00E14205"/>
    <w:rsid w:val="00E14A9E"/>
    <w:rsid w:val="00E14CF1"/>
    <w:rsid w:val="00E15148"/>
    <w:rsid w:val="00E16401"/>
    <w:rsid w:val="00E177A0"/>
    <w:rsid w:val="00E17C64"/>
    <w:rsid w:val="00E20852"/>
    <w:rsid w:val="00E21533"/>
    <w:rsid w:val="00E21675"/>
    <w:rsid w:val="00E217F5"/>
    <w:rsid w:val="00E21E8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18C9"/>
    <w:rsid w:val="00E32342"/>
    <w:rsid w:val="00E324C1"/>
    <w:rsid w:val="00E333BC"/>
    <w:rsid w:val="00E3397C"/>
    <w:rsid w:val="00E33F98"/>
    <w:rsid w:val="00E33FAF"/>
    <w:rsid w:val="00E3547F"/>
    <w:rsid w:val="00E366D2"/>
    <w:rsid w:val="00E37146"/>
    <w:rsid w:val="00E40147"/>
    <w:rsid w:val="00E40CB0"/>
    <w:rsid w:val="00E41665"/>
    <w:rsid w:val="00E416B1"/>
    <w:rsid w:val="00E42227"/>
    <w:rsid w:val="00E424C9"/>
    <w:rsid w:val="00E42A97"/>
    <w:rsid w:val="00E438B0"/>
    <w:rsid w:val="00E43E50"/>
    <w:rsid w:val="00E446AA"/>
    <w:rsid w:val="00E449A8"/>
    <w:rsid w:val="00E44BC1"/>
    <w:rsid w:val="00E4503E"/>
    <w:rsid w:val="00E4518D"/>
    <w:rsid w:val="00E454C6"/>
    <w:rsid w:val="00E4550D"/>
    <w:rsid w:val="00E46214"/>
    <w:rsid w:val="00E464DF"/>
    <w:rsid w:val="00E472A8"/>
    <w:rsid w:val="00E507D1"/>
    <w:rsid w:val="00E5096B"/>
    <w:rsid w:val="00E50E29"/>
    <w:rsid w:val="00E51A96"/>
    <w:rsid w:val="00E51C4C"/>
    <w:rsid w:val="00E5229E"/>
    <w:rsid w:val="00E52518"/>
    <w:rsid w:val="00E527C2"/>
    <w:rsid w:val="00E531EB"/>
    <w:rsid w:val="00E5359B"/>
    <w:rsid w:val="00E535DF"/>
    <w:rsid w:val="00E53EB6"/>
    <w:rsid w:val="00E54415"/>
    <w:rsid w:val="00E553E7"/>
    <w:rsid w:val="00E555BB"/>
    <w:rsid w:val="00E55AD4"/>
    <w:rsid w:val="00E5704C"/>
    <w:rsid w:val="00E60091"/>
    <w:rsid w:val="00E61434"/>
    <w:rsid w:val="00E61A39"/>
    <w:rsid w:val="00E61BBA"/>
    <w:rsid w:val="00E61BBC"/>
    <w:rsid w:val="00E62107"/>
    <w:rsid w:val="00E62519"/>
    <w:rsid w:val="00E62920"/>
    <w:rsid w:val="00E62FE6"/>
    <w:rsid w:val="00E6492A"/>
    <w:rsid w:val="00E64AC6"/>
    <w:rsid w:val="00E66EA9"/>
    <w:rsid w:val="00E677BE"/>
    <w:rsid w:val="00E67E88"/>
    <w:rsid w:val="00E70DC4"/>
    <w:rsid w:val="00E712C0"/>
    <w:rsid w:val="00E71784"/>
    <w:rsid w:val="00E71EFB"/>
    <w:rsid w:val="00E71FAB"/>
    <w:rsid w:val="00E72056"/>
    <w:rsid w:val="00E722A5"/>
    <w:rsid w:val="00E7242C"/>
    <w:rsid w:val="00E729BB"/>
    <w:rsid w:val="00E72AAE"/>
    <w:rsid w:val="00E72B09"/>
    <w:rsid w:val="00E72F07"/>
    <w:rsid w:val="00E7311B"/>
    <w:rsid w:val="00E75135"/>
    <w:rsid w:val="00E75AD9"/>
    <w:rsid w:val="00E7641E"/>
    <w:rsid w:val="00E76712"/>
    <w:rsid w:val="00E76CA3"/>
    <w:rsid w:val="00E76F81"/>
    <w:rsid w:val="00E7716C"/>
    <w:rsid w:val="00E7716E"/>
    <w:rsid w:val="00E8039D"/>
    <w:rsid w:val="00E8099F"/>
    <w:rsid w:val="00E8148D"/>
    <w:rsid w:val="00E81518"/>
    <w:rsid w:val="00E82475"/>
    <w:rsid w:val="00E824B1"/>
    <w:rsid w:val="00E82F69"/>
    <w:rsid w:val="00E83E8D"/>
    <w:rsid w:val="00E856C3"/>
    <w:rsid w:val="00E86E87"/>
    <w:rsid w:val="00E87129"/>
    <w:rsid w:val="00E87446"/>
    <w:rsid w:val="00E87449"/>
    <w:rsid w:val="00E9037C"/>
    <w:rsid w:val="00E90458"/>
    <w:rsid w:val="00E91199"/>
    <w:rsid w:val="00E92389"/>
    <w:rsid w:val="00E926C4"/>
    <w:rsid w:val="00E9288B"/>
    <w:rsid w:val="00E9421B"/>
    <w:rsid w:val="00E94ABC"/>
    <w:rsid w:val="00E95202"/>
    <w:rsid w:val="00E952A7"/>
    <w:rsid w:val="00E95E1B"/>
    <w:rsid w:val="00E962BC"/>
    <w:rsid w:val="00E9661F"/>
    <w:rsid w:val="00E96872"/>
    <w:rsid w:val="00E972E4"/>
    <w:rsid w:val="00E97E5E"/>
    <w:rsid w:val="00EA06E1"/>
    <w:rsid w:val="00EA088F"/>
    <w:rsid w:val="00EA09E7"/>
    <w:rsid w:val="00EA0CB9"/>
    <w:rsid w:val="00EA0D78"/>
    <w:rsid w:val="00EA1050"/>
    <w:rsid w:val="00EA1161"/>
    <w:rsid w:val="00EA121F"/>
    <w:rsid w:val="00EA1879"/>
    <w:rsid w:val="00EA19DF"/>
    <w:rsid w:val="00EA1D45"/>
    <w:rsid w:val="00EA2B5B"/>
    <w:rsid w:val="00EA49E1"/>
    <w:rsid w:val="00EA5083"/>
    <w:rsid w:val="00EA5261"/>
    <w:rsid w:val="00EA556B"/>
    <w:rsid w:val="00EA563F"/>
    <w:rsid w:val="00EA5833"/>
    <w:rsid w:val="00EA5900"/>
    <w:rsid w:val="00EA5B72"/>
    <w:rsid w:val="00EA5F06"/>
    <w:rsid w:val="00EA6992"/>
    <w:rsid w:val="00EA7A20"/>
    <w:rsid w:val="00EA7CFD"/>
    <w:rsid w:val="00EA7F8B"/>
    <w:rsid w:val="00EB0E6C"/>
    <w:rsid w:val="00EB2C18"/>
    <w:rsid w:val="00EB2C92"/>
    <w:rsid w:val="00EB2E37"/>
    <w:rsid w:val="00EB3C47"/>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0A6"/>
    <w:rsid w:val="00EC33BA"/>
    <w:rsid w:val="00EC381B"/>
    <w:rsid w:val="00EC3AA7"/>
    <w:rsid w:val="00EC4059"/>
    <w:rsid w:val="00EC6135"/>
    <w:rsid w:val="00EC6750"/>
    <w:rsid w:val="00EC75C9"/>
    <w:rsid w:val="00EC7BD7"/>
    <w:rsid w:val="00ED084B"/>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C3E"/>
    <w:rsid w:val="00EE0DBA"/>
    <w:rsid w:val="00EE0F2D"/>
    <w:rsid w:val="00EE1488"/>
    <w:rsid w:val="00EE2537"/>
    <w:rsid w:val="00EE26AD"/>
    <w:rsid w:val="00EE26C3"/>
    <w:rsid w:val="00EE289E"/>
    <w:rsid w:val="00EE2E2D"/>
    <w:rsid w:val="00EE33D5"/>
    <w:rsid w:val="00EE36A7"/>
    <w:rsid w:val="00EE3E5F"/>
    <w:rsid w:val="00EE47FB"/>
    <w:rsid w:val="00EE4CFD"/>
    <w:rsid w:val="00EE4D8B"/>
    <w:rsid w:val="00EE4FC2"/>
    <w:rsid w:val="00EE5485"/>
    <w:rsid w:val="00EE66CF"/>
    <w:rsid w:val="00EE6A78"/>
    <w:rsid w:val="00EE6D73"/>
    <w:rsid w:val="00EE72F8"/>
    <w:rsid w:val="00EF1B56"/>
    <w:rsid w:val="00EF1EB3"/>
    <w:rsid w:val="00EF311A"/>
    <w:rsid w:val="00EF3FB5"/>
    <w:rsid w:val="00EF4193"/>
    <w:rsid w:val="00EF4CAC"/>
    <w:rsid w:val="00EF4DB0"/>
    <w:rsid w:val="00EF6049"/>
    <w:rsid w:val="00EF6A39"/>
    <w:rsid w:val="00EF6B09"/>
    <w:rsid w:val="00EF723F"/>
    <w:rsid w:val="00EF7346"/>
    <w:rsid w:val="00EF75D4"/>
    <w:rsid w:val="00EF7991"/>
    <w:rsid w:val="00F00C41"/>
    <w:rsid w:val="00F00EE5"/>
    <w:rsid w:val="00F0146A"/>
    <w:rsid w:val="00F019F5"/>
    <w:rsid w:val="00F01AFA"/>
    <w:rsid w:val="00F01BE0"/>
    <w:rsid w:val="00F02014"/>
    <w:rsid w:val="00F023BE"/>
    <w:rsid w:val="00F023F4"/>
    <w:rsid w:val="00F025B9"/>
    <w:rsid w:val="00F02E4E"/>
    <w:rsid w:val="00F030B1"/>
    <w:rsid w:val="00F03F47"/>
    <w:rsid w:val="00F0457C"/>
    <w:rsid w:val="00F04595"/>
    <w:rsid w:val="00F05EE2"/>
    <w:rsid w:val="00F06439"/>
    <w:rsid w:val="00F0772A"/>
    <w:rsid w:val="00F07DA8"/>
    <w:rsid w:val="00F07EF7"/>
    <w:rsid w:val="00F10565"/>
    <w:rsid w:val="00F10DB3"/>
    <w:rsid w:val="00F1101C"/>
    <w:rsid w:val="00F12558"/>
    <w:rsid w:val="00F1268C"/>
    <w:rsid w:val="00F12A0B"/>
    <w:rsid w:val="00F12E03"/>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926"/>
    <w:rsid w:val="00F27B63"/>
    <w:rsid w:val="00F27CE9"/>
    <w:rsid w:val="00F30D18"/>
    <w:rsid w:val="00F30D92"/>
    <w:rsid w:val="00F317CF"/>
    <w:rsid w:val="00F31AF1"/>
    <w:rsid w:val="00F31DA7"/>
    <w:rsid w:val="00F31F35"/>
    <w:rsid w:val="00F31FF5"/>
    <w:rsid w:val="00F32365"/>
    <w:rsid w:val="00F3350E"/>
    <w:rsid w:val="00F3571C"/>
    <w:rsid w:val="00F35ED4"/>
    <w:rsid w:val="00F36064"/>
    <w:rsid w:val="00F3654D"/>
    <w:rsid w:val="00F368A4"/>
    <w:rsid w:val="00F36CAF"/>
    <w:rsid w:val="00F36CB0"/>
    <w:rsid w:val="00F37339"/>
    <w:rsid w:val="00F37B0F"/>
    <w:rsid w:val="00F37E92"/>
    <w:rsid w:val="00F4005A"/>
    <w:rsid w:val="00F40526"/>
    <w:rsid w:val="00F4090D"/>
    <w:rsid w:val="00F40E13"/>
    <w:rsid w:val="00F40E83"/>
    <w:rsid w:val="00F41688"/>
    <w:rsid w:val="00F42033"/>
    <w:rsid w:val="00F4372E"/>
    <w:rsid w:val="00F446D8"/>
    <w:rsid w:val="00F4529B"/>
    <w:rsid w:val="00F46513"/>
    <w:rsid w:val="00F46586"/>
    <w:rsid w:val="00F46A07"/>
    <w:rsid w:val="00F47562"/>
    <w:rsid w:val="00F4761A"/>
    <w:rsid w:val="00F509A4"/>
    <w:rsid w:val="00F51491"/>
    <w:rsid w:val="00F515BC"/>
    <w:rsid w:val="00F5220C"/>
    <w:rsid w:val="00F52BE6"/>
    <w:rsid w:val="00F53995"/>
    <w:rsid w:val="00F53A2C"/>
    <w:rsid w:val="00F546AE"/>
    <w:rsid w:val="00F55270"/>
    <w:rsid w:val="00F567F4"/>
    <w:rsid w:val="00F5712A"/>
    <w:rsid w:val="00F5735F"/>
    <w:rsid w:val="00F574BB"/>
    <w:rsid w:val="00F60C31"/>
    <w:rsid w:val="00F60F89"/>
    <w:rsid w:val="00F61531"/>
    <w:rsid w:val="00F6174D"/>
    <w:rsid w:val="00F644C2"/>
    <w:rsid w:val="00F648D6"/>
    <w:rsid w:val="00F64B26"/>
    <w:rsid w:val="00F66A94"/>
    <w:rsid w:val="00F66EF3"/>
    <w:rsid w:val="00F66F44"/>
    <w:rsid w:val="00F70954"/>
    <w:rsid w:val="00F71ECE"/>
    <w:rsid w:val="00F72258"/>
    <w:rsid w:val="00F72A90"/>
    <w:rsid w:val="00F73644"/>
    <w:rsid w:val="00F74A5D"/>
    <w:rsid w:val="00F75882"/>
    <w:rsid w:val="00F75A81"/>
    <w:rsid w:val="00F75B8F"/>
    <w:rsid w:val="00F7665C"/>
    <w:rsid w:val="00F76A03"/>
    <w:rsid w:val="00F76C5B"/>
    <w:rsid w:val="00F8053A"/>
    <w:rsid w:val="00F80B0D"/>
    <w:rsid w:val="00F80E32"/>
    <w:rsid w:val="00F824CA"/>
    <w:rsid w:val="00F82F0A"/>
    <w:rsid w:val="00F83AF7"/>
    <w:rsid w:val="00F845B6"/>
    <w:rsid w:val="00F846B8"/>
    <w:rsid w:val="00F84882"/>
    <w:rsid w:val="00F84F60"/>
    <w:rsid w:val="00F8532C"/>
    <w:rsid w:val="00F85917"/>
    <w:rsid w:val="00F8649E"/>
    <w:rsid w:val="00F86E24"/>
    <w:rsid w:val="00F87CF3"/>
    <w:rsid w:val="00F9016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08CA"/>
    <w:rsid w:val="00FA1820"/>
    <w:rsid w:val="00FA198B"/>
    <w:rsid w:val="00FA35D2"/>
    <w:rsid w:val="00FA3BF1"/>
    <w:rsid w:val="00FA581E"/>
    <w:rsid w:val="00FA7360"/>
    <w:rsid w:val="00FA738F"/>
    <w:rsid w:val="00FA7605"/>
    <w:rsid w:val="00FB2364"/>
    <w:rsid w:val="00FB2629"/>
    <w:rsid w:val="00FB2D63"/>
    <w:rsid w:val="00FB3053"/>
    <w:rsid w:val="00FB3BA3"/>
    <w:rsid w:val="00FB4099"/>
    <w:rsid w:val="00FB43DA"/>
    <w:rsid w:val="00FB4520"/>
    <w:rsid w:val="00FB4CAC"/>
    <w:rsid w:val="00FB4CCC"/>
    <w:rsid w:val="00FB551A"/>
    <w:rsid w:val="00FB5A54"/>
    <w:rsid w:val="00FB5D12"/>
    <w:rsid w:val="00FB6031"/>
    <w:rsid w:val="00FB63A5"/>
    <w:rsid w:val="00FB6F32"/>
    <w:rsid w:val="00FB702B"/>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6DBE"/>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63A"/>
    <w:rsid w:val="00FE1690"/>
    <w:rsid w:val="00FE17DC"/>
    <w:rsid w:val="00FE23A2"/>
    <w:rsid w:val="00FE2820"/>
    <w:rsid w:val="00FE33CF"/>
    <w:rsid w:val="00FE358D"/>
    <w:rsid w:val="00FE37B9"/>
    <w:rsid w:val="00FE3CE4"/>
    <w:rsid w:val="00FE40D8"/>
    <w:rsid w:val="00FE41E3"/>
    <w:rsid w:val="00FE4447"/>
    <w:rsid w:val="00FE48C8"/>
    <w:rsid w:val="00FE4F1A"/>
    <w:rsid w:val="00FE51D1"/>
    <w:rsid w:val="00FE5541"/>
    <w:rsid w:val="00FE5640"/>
    <w:rsid w:val="00FE5BA4"/>
    <w:rsid w:val="00FE6383"/>
    <w:rsid w:val="00FE76C5"/>
    <w:rsid w:val="00FE7B1A"/>
    <w:rsid w:val="00FE7FA1"/>
    <w:rsid w:val="00FF034B"/>
    <w:rsid w:val="00FF03F4"/>
    <w:rsid w:val="00FF0804"/>
    <w:rsid w:val="00FF18DE"/>
    <w:rsid w:val="00FF278C"/>
    <w:rsid w:val="00FF3215"/>
    <w:rsid w:val="00FF3EDE"/>
    <w:rsid w:val="00FF6849"/>
    <w:rsid w:val="00FF6D8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9E"/>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A27FC4"/>
    <w:rPr>
      <w:sz w:val="16"/>
      <w:szCs w:val="16"/>
    </w:rPr>
  </w:style>
  <w:style w:type="paragraph" w:styleId="CommentText">
    <w:name w:val="annotation text"/>
    <w:basedOn w:val="Normal"/>
    <w:link w:val="CommentTextChar"/>
    <w:uiPriority w:val="99"/>
    <w:semiHidden/>
    <w:unhideWhenUsed/>
    <w:rsid w:val="00A27FC4"/>
    <w:rPr>
      <w:sz w:val="20"/>
      <w:szCs w:val="20"/>
    </w:rPr>
  </w:style>
  <w:style w:type="character" w:customStyle="1" w:styleId="CommentTextChar">
    <w:name w:val="Comment Text Char"/>
    <w:basedOn w:val="DefaultParagraphFont"/>
    <w:link w:val="CommentText"/>
    <w:uiPriority w:val="99"/>
    <w:semiHidden/>
    <w:rsid w:val="00A27F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7FC4"/>
    <w:rPr>
      <w:b/>
      <w:bCs/>
    </w:rPr>
  </w:style>
  <w:style w:type="character" w:customStyle="1" w:styleId="CommentSubjectChar">
    <w:name w:val="Comment Subject Char"/>
    <w:basedOn w:val="CommentTextChar"/>
    <w:link w:val="CommentSubject"/>
    <w:uiPriority w:val="99"/>
    <w:semiHidden/>
    <w:rsid w:val="00A27FC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151A-A18B-4144-9618-DB7EA0CE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3</TotalTime>
  <Pages>30</Pages>
  <Words>8841</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4</cp:revision>
  <cp:lastPrinted>2019-03-18T05:48:00Z</cp:lastPrinted>
  <dcterms:created xsi:type="dcterms:W3CDTF">2023-01-27T07:31:00Z</dcterms:created>
  <dcterms:modified xsi:type="dcterms:W3CDTF">2023-01-27T07:34:00Z</dcterms:modified>
</cp:coreProperties>
</file>