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360BD"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6F12DCC4"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41AC4E8D"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7B0A3B4B" wp14:editId="52919C57">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A4E611A"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7BEFC8CE"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38F7870A"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0B045C62" w14:textId="77777777" w:rsidR="007B7F59" w:rsidRPr="007B7F59" w:rsidRDefault="007B7F59" w:rsidP="007B7F59">
      <w:pPr>
        <w:spacing w:after="0" w:line="240" w:lineRule="auto"/>
        <w:ind w:left="0"/>
        <w:rPr>
          <w:rFonts w:eastAsia="Times New Roman" w:cs="Arial"/>
          <w:szCs w:val="24"/>
          <w:lang w:val="en-ZA"/>
        </w:rPr>
      </w:pPr>
    </w:p>
    <w:p w14:paraId="4158D599" w14:textId="77777777" w:rsidR="007B7F59" w:rsidRPr="007B7F59" w:rsidRDefault="007B7F59" w:rsidP="007B7F59">
      <w:pPr>
        <w:spacing w:after="0" w:line="240" w:lineRule="auto"/>
        <w:ind w:left="0"/>
        <w:rPr>
          <w:rFonts w:eastAsia="Times New Roman" w:cs="Arial"/>
          <w:szCs w:val="24"/>
          <w:lang w:val="en-ZA"/>
        </w:rPr>
      </w:pPr>
    </w:p>
    <w:p w14:paraId="080718B1" w14:textId="2F9E04D3" w:rsidR="003156A2" w:rsidRPr="00231B4C" w:rsidRDefault="00A9155C" w:rsidP="003156A2">
      <w:pPr>
        <w:widowControl w:val="0"/>
        <w:tabs>
          <w:tab w:val="left" w:pos="851"/>
          <w:tab w:val="right" w:pos="8198"/>
        </w:tabs>
        <w:spacing w:line="480" w:lineRule="auto"/>
        <w:jc w:val="right"/>
        <w:rPr>
          <w:w w:val="105"/>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37278541" wp14:editId="5C2BF0FC">
                <wp:simplePos x="0" y="0"/>
                <wp:positionH relativeFrom="margin">
                  <wp:align>left</wp:align>
                </wp:positionH>
                <wp:positionV relativeFrom="paragraph">
                  <wp:posOffset>259080</wp:posOffset>
                </wp:positionV>
                <wp:extent cx="3314700" cy="187325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73250"/>
                        </a:xfrm>
                        <a:prstGeom prst="rect">
                          <a:avLst/>
                        </a:prstGeom>
                        <a:solidFill>
                          <a:srgbClr val="FFFFFF"/>
                        </a:solidFill>
                        <a:ln w="9525">
                          <a:solidFill>
                            <a:srgbClr val="000000"/>
                          </a:solidFill>
                          <a:miter lim="800000"/>
                          <a:headEnd/>
                          <a:tailEnd/>
                        </a:ln>
                      </wps:spPr>
                      <wps:txbx>
                        <w:txbxContent>
                          <w:p w14:paraId="03711641" w14:textId="043DD6CC" w:rsidR="007B7F59" w:rsidRPr="003156A2" w:rsidRDefault="00EE015D" w:rsidP="00EE015D">
                            <w:pPr>
                              <w:tabs>
                                <w:tab w:val="left" w:pos="900"/>
                              </w:tabs>
                              <w:spacing w:after="0" w:line="240" w:lineRule="auto"/>
                              <w:ind w:left="900" w:hanging="720"/>
                              <w:jc w:val="left"/>
                              <w:rPr>
                                <w:rFonts w:cs="Arial"/>
                                <w:sz w:val="18"/>
                                <w:szCs w:val="20"/>
                              </w:rPr>
                            </w:pPr>
                            <w:r w:rsidRPr="003156A2">
                              <w:rPr>
                                <w:rFonts w:cs="Arial"/>
                                <w:sz w:val="18"/>
                                <w:szCs w:val="20"/>
                              </w:rPr>
                              <w:t>(1)</w:t>
                            </w:r>
                            <w:r w:rsidRPr="003156A2">
                              <w:rPr>
                                <w:rFonts w:cs="Arial"/>
                                <w:sz w:val="18"/>
                                <w:szCs w:val="20"/>
                              </w:rPr>
                              <w:tab/>
                            </w:r>
                            <w:r w:rsidR="003156A2">
                              <w:rPr>
                                <w:rFonts w:cs="Arial"/>
                                <w:sz w:val="18"/>
                                <w:szCs w:val="20"/>
                              </w:rPr>
                              <w:t xml:space="preserve">REPORTABLE: </w:t>
                            </w:r>
                            <w:r w:rsidR="007B7F59" w:rsidRPr="003156A2">
                              <w:rPr>
                                <w:rFonts w:cs="Arial"/>
                                <w:sz w:val="18"/>
                                <w:szCs w:val="20"/>
                              </w:rPr>
                              <w:t>NO</w:t>
                            </w:r>
                          </w:p>
                          <w:p w14:paraId="246F7D41" w14:textId="29C4F6D3" w:rsidR="007B7F59" w:rsidRPr="003156A2" w:rsidRDefault="00EE015D" w:rsidP="00EE015D">
                            <w:pPr>
                              <w:tabs>
                                <w:tab w:val="left" w:pos="900"/>
                              </w:tabs>
                              <w:spacing w:after="0" w:line="240" w:lineRule="auto"/>
                              <w:ind w:left="900" w:hanging="720"/>
                              <w:jc w:val="left"/>
                              <w:rPr>
                                <w:rFonts w:cs="Arial"/>
                                <w:sz w:val="18"/>
                                <w:szCs w:val="20"/>
                              </w:rPr>
                            </w:pPr>
                            <w:r w:rsidRPr="003156A2">
                              <w:rPr>
                                <w:rFonts w:cs="Arial"/>
                                <w:sz w:val="18"/>
                                <w:szCs w:val="20"/>
                              </w:rPr>
                              <w:t>(2)</w:t>
                            </w:r>
                            <w:r w:rsidRPr="003156A2">
                              <w:rPr>
                                <w:rFonts w:cs="Arial"/>
                                <w:sz w:val="18"/>
                                <w:szCs w:val="20"/>
                              </w:rPr>
                              <w:tab/>
                            </w:r>
                            <w:r w:rsidR="007B7F59" w:rsidRPr="003B746C">
                              <w:rPr>
                                <w:rFonts w:cs="Arial"/>
                                <w:sz w:val="18"/>
                                <w:szCs w:val="20"/>
                              </w:rPr>
                              <w:t>OF INTEREST TO OTHER JUDGES</w:t>
                            </w:r>
                            <w:r w:rsidR="007B7F59" w:rsidRPr="003156A2">
                              <w:rPr>
                                <w:rFonts w:cs="Arial"/>
                                <w:sz w:val="18"/>
                                <w:szCs w:val="20"/>
                              </w:rPr>
                              <w:t xml:space="preserve">: </w:t>
                            </w:r>
                            <w:r w:rsidR="003156A2">
                              <w:rPr>
                                <w:rFonts w:cs="Arial"/>
                                <w:sz w:val="18"/>
                                <w:szCs w:val="20"/>
                              </w:rPr>
                              <w:t>N</w:t>
                            </w:r>
                            <w:r w:rsidR="007B7F59" w:rsidRPr="003156A2">
                              <w:rPr>
                                <w:rFonts w:cs="Arial"/>
                                <w:sz w:val="18"/>
                                <w:szCs w:val="20"/>
                              </w:rPr>
                              <w:t>O</w:t>
                            </w:r>
                          </w:p>
                          <w:p w14:paraId="6424F594" w14:textId="3A38A2A9" w:rsidR="007B7F59" w:rsidRPr="003156A2" w:rsidRDefault="00EE015D" w:rsidP="00EE015D">
                            <w:pPr>
                              <w:tabs>
                                <w:tab w:val="left" w:pos="900"/>
                              </w:tabs>
                              <w:spacing w:after="0" w:line="240" w:lineRule="auto"/>
                              <w:ind w:left="900" w:hanging="720"/>
                              <w:jc w:val="left"/>
                              <w:rPr>
                                <w:rFonts w:cs="Arial"/>
                                <w:sz w:val="18"/>
                                <w:szCs w:val="20"/>
                              </w:rPr>
                            </w:pPr>
                            <w:r w:rsidRPr="003156A2">
                              <w:rPr>
                                <w:rFonts w:cs="Arial"/>
                                <w:sz w:val="18"/>
                                <w:szCs w:val="20"/>
                              </w:rPr>
                              <w:t>(3)</w:t>
                            </w:r>
                            <w:r w:rsidRPr="003156A2">
                              <w:rPr>
                                <w:rFonts w:cs="Arial"/>
                                <w:sz w:val="18"/>
                                <w:szCs w:val="20"/>
                              </w:rPr>
                              <w:tab/>
                            </w:r>
                            <w:r w:rsidR="007B7F59" w:rsidRPr="003156A2">
                              <w:rPr>
                                <w:rFonts w:cs="Arial"/>
                                <w:sz w:val="18"/>
                                <w:szCs w:val="20"/>
                              </w:rPr>
                              <w:t>REVISED: YES</w:t>
                            </w:r>
                          </w:p>
                          <w:p w14:paraId="78EE0A96" w14:textId="10639BD6" w:rsidR="007B7F59" w:rsidRPr="003B746C" w:rsidRDefault="00925DA7" w:rsidP="002B448C">
                            <w:pPr>
                              <w:spacing w:before="240" w:after="0"/>
                              <w:rPr>
                                <w:rFonts w:cs="Arial"/>
                                <w:b/>
                                <w:sz w:val="18"/>
                                <w:szCs w:val="20"/>
                              </w:rPr>
                            </w:pPr>
                            <w:r>
                              <w:rPr>
                                <w:rFonts w:cs="Arial"/>
                                <w:b/>
                                <w:sz w:val="18"/>
                                <w:szCs w:val="20"/>
                              </w:rPr>
                              <w:t>04 May 2023</w:t>
                            </w:r>
                            <w:r w:rsidR="00A9155C">
                              <w:rPr>
                                <w:rFonts w:cs="Arial"/>
                                <w:b/>
                                <w:sz w:val="18"/>
                                <w:szCs w:val="20"/>
                              </w:rPr>
                              <w:tab/>
                            </w:r>
                            <w:r w:rsidR="00A9155C">
                              <w:rPr>
                                <w:rFonts w:cs="Arial"/>
                                <w:b/>
                                <w:sz w:val="18"/>
                                <w:szCs w:val="20"/>
                              </w:rPr>
                              <w:tab/>
                            </w:r>
                          </w:p>
                          <w:p w14:paraId="5F192084" w14:textId="3DE646A6"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r>
                            <w:r w:rsidR="00A9155C">
                              <w:rPr>
                                <w:rFonts w:cs="Arial"/>
                                <w:sz w:val="18"/>
                                <w:szCs w:val="20"/>
                              </w:rPr>
                              <w:tab/>
                            </w:r>
                            <w:r w:rsidRPr="003B746C">
                              <w:rPr>
                                <w:rFonts w:cs="Arial"/>
                                <w:sz w:val="18"/>
                                <w:szCs w:val="20"/>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78541" id="_x0000_t202" coordsize="21600,21600" o:spt="202" path="m,l,21600r21600,l21600,xe">
                <v:stroke joinstyle="miter"/>
                <v:path gradientshapeok="t" o:connecttype="rect"/>
              </v:shapetype>
              <v:shape id="Text Box 2" o:spid="_x0000_s1026" type="#_x0000_t202" style="position:absolute;left:0;text-align:left;margin-left:0;margin-top:20.4pt;width:261pt;height:1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">
                <v:textbox>
                  <w:txbxContent>
                    <w:p w14:paraId="03711641" w14:textId="043DD6CC" w:rsidR="007B7F59" w:rsidRPr="003156A2" w:rsidRDefault="00EE015D" w:rsidP="00EE015D">
                      <w:pPr>
                        <w:tabs>
                          <w:tab w:val="left" w:pos="900"/>
                        </w:tabs>
                        <w:spacing w:after="0" w:line="240" w:lineRule="auto"/>
                        <w:ind w:left="900" w:hanging="720"/>
                        <w:jc w:val="left"/>
                        <w:rPr>
                          <w:rFonts w:cs="Arial"/>
                          <w:sz w:val="18"/>
                          <w:szCs w:val="20"/>
                        </w:rPr>
                      </w:pPr>
                      <w:r w:rsidRPr="003156A2">
                        <w:rPr>
                          <w:rFonts w:cs="Arial"/>
                          <w:sz w:val="18"/>
                          <w:szCs w:val="20"/>
                        </w:rPr>
                        <w:t>(1)</w:t>
                      </w:r>
                      <w:r w:rsidRPr="003156A2">
                        <w:rPr>
                          <w:rFonts w:cs="Arial"/>
                          <w:sz w:val="18"/>
                          <w:szCs w:val="20"/>
                        </w:rPr>
                        <w:tab/>
                      </w:r>
                      <w:r w:rsidR="003156A2">
                        <w:rPr>
                          <w:rFonts w:cs="Arial"/>
                          <w:sz w:val="18"/>
                          <w:szCs w:val="20"/>
                        </w:rPr>
                        <w:t xml:space="preserve">REPORTABLE: </w:t>
                      </w:r>
                      <w:r w:rsidR="007B7F59" w:rsidRPr="003156A2">
                        <w:rPr>
                          <w:rFonts w:cs="Arial"/>
                          <w:sz w:val="18"/>
                          <w:szCs w:val="20"/>
                        </w:rPr>
                        <w:t>NO</w:t>
                      </w:r>
                    </w:p>
                    <w:p w14:paraId="246F7D41" w14:textId="29C4F6D3" w:rsidR="007B7F59" w:rsidRPr="003156A2" w:rsidRDefault="00EE015D" w:rsidP="00EE015D">
                      <w:pPr>
                        <w:tabs>
                          <w:tab w:val="left" w:pos="900"/>
                        </w:tabs>
                        <w:spacing w:after="0" w:line="240" w:lineRule="auto"/>
                        <w:ind w:left="900" w:hanging="720"/>
                        <w:jc w:val="left"/>
                        <w:rPr>
                          <w:rFonts w:cs="Arial"/>
                          <w:sz w:val="18"/>
                          <w:szCs w:val="20"/>
                        </w:rPr>
                      </w:pPr>
                      <w:r w:rsidRPr="003156A2">
                        <w:rPr>
                          <w:rFonts w:cs="Arial"/>
                          <w:sz w:val="18"/>
                          <w:szCs w:val="20"/>
                        </w:rPr>
                        <w:t>(2)</w:t>
                      </w:r>
                      <w:r w:rsidRPr="003156A2">
                        <w:rPr>
                          <w:rFonts w:cs="Arial"/>
                          <w:sz w:val="18"/>
                          <w:szCs w:val="20"/>
                        </w:rPr>
                        <w:tab/>
                      </w:r>
                      <w:r w:rsidR="007B7F59" w:rsidRPr="003B746C">
                        <w:rPr>
                          <w:rFonts w:cs="Arial"/>
                          <w:sz w:val="18"/>
                          <w:szCs w:val="20"/>
                        </w:rPr>
                        <w:t>OF INTEREST TO OTHER JUDGES</w:t>
                      </w:r>
                      <w:r w:rsidR="007B7F59" w:rsidRPr="003156A2">
                        <w:rPr>
                          <w:rFonts w:cs="Arial"/>
                          <w:sz w:val="18"/>
                          <w:szCs w:val="20"/>
                        </w:rPr>
                        <w:t xml:space="preserve">: </w:t>
                      </w:r>
                      <w:r w:rsidR="003156A2">
                        <w:rPr>
                          <w:rFonts w:cs="Arial"/>
                          <w:sz w:val="18"/>
                          <w:szCs w:val="20"/>
                        </w:rPr>
                        <w:t>N</w:t>
                      </w:r>
                      <w:r w:rsidR="007B7F59" w:rsidRPr="003156A2">
                        <w:rPr>
                          <w:rFonts w:cs="Arial"/>
                          <w:sz w:val="18"/>
                          <w:szCs w:val="20"/>
                        </w:rPr>
                        <w:t>O</w:t>
                      </w:r>
                    </w:p>
                    <w:p w14:paraId="6424F594" w14:textId="3A38A2A9" w:rsidR="007B7F59" w:rsidRPr="003156A2" w:rsidRDefault="00EE015D" w:rsidP="00EE015D">
                      <w:pPr>
                        <w:tabs>
                          <w:tab w:val="left" w:pos="900"/>
                        </w:tabs>
                        <w:spacing w:after="0" w:line="240" w:lineRule="auto"/>
                        <w:ind w:left="900" w:hanging="720"/>
                        <w:jc w:val="left"/>
                        <w:rPr>
                          <w:rFonts w:cs="Arial"/>
                          <w:sz w:val="18"/>
                          <w:szCs w:val="20"/>
                        </w:rPr>
                      </w:pPr>
                      <w:r w:rsidRPr="003156A2">
                        <w:rPr>
                          <w:rFonts w:cs="Arial"/>
                          <w:sz w:val="18"/>
                          <w:szCs w:val="20"/>
                        </w:rPr>
                        <w:t>(3)</w:t>
                      </w:r>
                      <w:r w:rsidRPr="003156A2">
                        <w:rPr>
                          <w:rFonts w:cs="Arial"/>
                          <w:sz w:val="18"/>
                          <w:szCs w:val="20"/>
                        </w:rPr>
                        <w:tab/>
                      </w:r>
                      <w:r w:rsidR="007B7F59" w:rsidRPr="003156A2">
                        <w:rPr>
                          <w:rFonts w:cs="Arial"/>
                          <w:sz w:val="18"/>
                          <w:szCs w:val="20"/>
                        </w:rPr>
                        <w:t>REVISED: YES</w:t>
                      </w:r>
                    </w:p>
                    <w:p w14:paraId="78EE0A96" w14:textId="10639BD6" w:rsidR="007B7F59" w:rsidRPr="003B746C" w:rsidRDefault="00925DA7" w:rsidP="002B448C">
                      <w:pPr>
                        <w:spacing w:before="240" w:after="0"/>
                        <w:rPr>
                          <w:rFonts w:cs="Arial"/>
                          <w:b/>
                          <w:sz w:val="18"/>
                          <w:szCs w:val="20"/>
                        </w:rPr>
                      </w:pPr>
                      <w:r>
                        <w:rPr>
                          <w:rFonts w:cs="Arial"/>
                          <w:b/>
                          <w:sz w:val="18"/>
                          <w:szCs w:val="20"/>
                        </w:rPr>
                        <w:t>04 May 2023</w:t>
                      </w:r>
                      <w:r w:rsidR="00A9155C">
                        <w:rPr>
                          <w:rFonts w:cs="Arial"/>
                          <w:b/>
                          <w:sz w:val="18"/>
                          <w:szCs w:val="20"/>
                        </w:rPr>
                        <w:tab/>
                      </w:r>
                      <w:r w:rsidR="00A9155C">
                        <w:rPr>
                          <w:rFonts w:cs="Arial"/>
                          <w:b/>
                          <w:sz w:val="18"/>
                          <w:szCs w:val="20"/>
                        </w:rPr>
                        <w:tab/>
                      </w:r>
                    </w:p>
                    <w:p w14:paraId="5F192084" w14:textId="3DE646A6"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r>
                      <w:r w:rsidR="00A9155C">
                        <w:rPr>
                          <w:rFonts w:cs="Arial"/>
                          <w:sz w:val="18"/>
                          <w:szCs w:val="20"/>
                        </w:rPr>
                        <w:tab/>
                      </w:r>
                      <w:r w:rsidRPr="003B746C">
                        <w:rPr>
                          <w:rFonts w:cs="Arial"/>
                          <w:sz w:val="18"/>
                          <w:szCs w:val="20"/>
                        </w:rPr>
                        <w:t xml:space="preserve"> SIGNATURE</w:t>
                      </w:r>
                    </w:p>
                  </w:txbxContent>
                </v:textbox>
                <w10:wrap anchorx="margin"/>
              </v:shape>
            </w:pict>
          </mc:Fallback>
        </mc:AlternateContent>
      </w:r>
      <w:r w:rsidR="007B7F59" w:rsidRPr="007B7F59">
        <w:rPr>
          <w:rFonts w:eastAsia="Times New Roman" w:cs="Arial"/>
          <w:szCs w:val="24"/>
          <w:lang w:val="en-ZA"/>
        </w:rPr>
        <w:tab/>
      </w:r>
      <w:r w:rsidR="007B7F59" w:rsidRPr="007B7F59">
        <w:rPr>
          <w:rFonts w:eastAsia="Times New Roman" w:cs="Arial"/>
          <w:bCs/>
          <w:szCs w:val="24"/>
          <w:lang w:val="en-ZA"/>
        </w:rPr>
        <w:t xml:space="preserve">Case Number: </w:t>
      </w:r>
      <w:r w:rsidR="001C4D22" w:rsidRPr="001C4D22">
        <w:rPr>
          <w:w w:val="105"/>
        </w:rPr>
        <w:t>2022-060026</w:t>
      </w:r>
    </w:p>
    <w:p w14:paraId="134AE411" w14:textId="2479D662" w:rsidR="007B7F59" w:rsidRPr="007B7F59" w:rsidRDefault="007B7F59" w:rsidP="007B7F59">
      <w:pPr>
        <w:tabs>
          <w:tab w:val="right" w:pos="9029"/>
        </w:tabs>
        <w:spacing w:after="0" w:line="240" w:lineRule="auto"/>
        <w:ind w:left="0"/>
        <w:rPr>
          <w:rFonts w:eastAsia="Times New Roman" w:cs="Arial"/>
          <w:bCs/>
          <w:szCs w:val="24"/>
          <w:lang w:val="en-ZA"/>
        </w:rPr>
      </w:pPr>
    </w:p>
    <w:p w14:paraId="3B1C28A2" w14:textId="3335BCF0" w:rsidR="007B7F59" w:rsidRPr="007B7F59" w:rsidRDefault="007B7F59" w:rsidP="007B7F59">
      <w:pPr>
        <w:tabs>
          <w:tab w:val="right" w:pos="9029"/>
        </w:tabs>
        <w:spacing w:after="0" w:line="240" w:lineRule="auto"/>
        <w:ind w:left="0"/>
        <w:rPr>
          <w:rFonts w:eastAsia="Times New Roman" w:cs="Arial"/>
          <w:szCs w:val="24"/>
          <w:lang w:val="en-ZA"/>
        </w:rPr>
      </w:pPr>
    </w:p>
    <w:p w14:paraId="424F9B21"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02FF1762"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0F30CEA4"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E741A5B"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27240F6B"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2D70471A"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47647202" w14:textId="77777777" w:rsidR="007B7F59" w:rsidRPr="007B7F59" w:rsidRDefault="007B7F59" w:rsidP="001C4D22">
      <w:pPr>
        <w:tabs>
          <w:tab w:val="right" w:pos="9029"/>
        </w:tabs>
        <w:spacing w:after="0" w:line="240" w:lineRule="auto"/>
        <w:ind w:left="0"/>
        <w:contextualSpacing/>
        <w:rPr>
          <w:rFonts w:eastAsia="Times New Roman" w:cs="Arial"/>
          <w:b/>
          <w:szCs w:val="24"/>
          <w:lang w:val="en-ZA"/>
        </w:rPr>
      </w:pPr>
    </w:p>
    <w:p w14:paraId="73768E17" w14:textId="77777777" w:rsidR="007B7F59" w:rsidRPr="007B7F59" w:rsidRDefault="007B7F59" w:rsidP="001C4D22">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2636009E" w14:textId="77777777" w:rsidR="007B7F59" w:rsidRPr="007B7F59" w:rsidRDefault="007B7F59" w:rsidP="001C4D22">
      <w:pPr>
        <w:tabs>
          <w:tab w:val="right" w:pos="9029"/>
        </w:tabs>
        <w:spacing w:after="0" w:line="240" w:lineRule="auto"/>
        <w:ind w:left="0"/>
        <w:contextualSpacing/>
        <w:rPr>
          <w:rFonts w:eastAsia="Times New Roman" w:cs="Arial"/>
          <w:b/>
          <w:szCs w:val="24"/>
          <w:lang w:val="en-ZA"/>
        </w:rPr>
      </w:pPr>
    </w:p>
    <w:p w14:paraId="00C27569" w14:textId="77777777" w:rsidR="007B7F59" w:rsidRPr="007B7F59" w:rsidRDefault="007B7F59" w:rsidP="001C4D22">
      <w:pPr>
        <w:tabs>
          <w:tab w:val="right" w:pos="9029"/>
        </w:tabs>
        <w:spacing w:after="0" w:line="240" w:lineRule="auto"/>
        <w:ind w:left="0"/>
        <w:contextualSpacing/>
        <w:rPr>
          <w:rFonts w:eastAsia="Times New Roman" w:cs="Arial"/>
          <w:b/>
          <w:szCs w:val="24"/>
          <w:lang w:val="en-ZA"/>
        </w:rPr>
      </w:pPr>
    </w:p>
    <w:p w14:paraId="3F1EDF9D" w14:textId="5A9864ED" w:rsidR="007B7F59" w:rsidRPr="007B7F59" w:rsidRDefault="001C4D22" w:rsidP="001C4D22">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NATIONAL EMPOWERMENT FUND</w:t>
      </w:r>
      <w:r w:rsidR="007B7F59" w:rsidRPr="007B7F59">
        <w:rPr>
          <w:rFonts w:eastAsia="Times New Roman" w:cs="Arial"/>
          <w:b/>
          <w:szCs w:val="24"/>
          <w:lang w:val="en-ZA"/>
        </w:rPr>
        <w:tab/>
      </w:r>
      <w:r w:rsidR="007B7F59" w:rsidRPr="007B7F59">
        <w:rPr>
          <w:rFonts w:eastAsia="Times New Roman" w:cs="Arial"/>
          <w:szCs w:val="24"/>
          <w:lang w:val="en-ZA"/>
        </w:rPr>
        <w:t>Applicant</w:t>
      </w:r>
    </w:p>
    <w:p w14:paraId="1E7552CB" w14:textId="77777777" w:rsidR="007B7F59" w:rsidRPr="007B7F59" w:rsidRDefault="007B7F59" w:rsidP="001C4D22">
      <w:pPr>
        <w:tabs>
          <w:tab w:val="right" w:pos="9029"/>
        </w:tabs>
        <w:spacing w:after="0" w:line="240" w:lineRule="auto"/>
        <w:ind w:left="0"/>
        <w:contextualSpacing/>
        <w:rPr>
          <w:rFonts w:eastAsia="Times New Roman" w:cs="Arial"/>
          <w:b/>
          <w:szCs w:val="24"/>
          <w:lang w:val="en-ZA"/>
        </w:rPr>
      </w:pPr>
      <w:r w:rsidRPr="007B7F59">
        <w:rPr>
          <w:rFonts w:eastAsia="Times New Roman" w:cs="Arial"/>
          <w:b/>
          <w:szCs w:val="24"/>
          <w:lang w:val="en-ZA"/>
        </w:rPr>
        <w:tab/>
      </w:r>
    </w:p>
    <w:p w14:paraId="15F60300" w14:textId="77777777" w:rsidR="007B7F59" w:rsidRPr="007B7F59" w:rsidRDefault="007B7F59" w:rsidP="001C4D22">
      <w:pPr>
        <w:tabs>
          <w:tab w:val="right" w:pos="9029"/>
        </w:tabs>
        <w:spacing w:after="0" w:line="240" w:lineRule="auto"/>
        <w:ind w:left="0"/>
        <w:contextualSpacing/>
        <w:rPr>
          <w:rFonts w:eastAsia="Times New Roman" w:cs="Arial"/>
          <w:szCs w:val="24"/>
          <w:lang w:val="en-ZA"/>
        </w:rPr>
      </w:pPr>
    </w:p>
    <w:p w14:paraId="19DDD4E5" w14:textId="77777777" w:rsidR="007B7F59" w:rsidRPr="007B7F59" w:rsidRDefault="007B7F59" w:rsidP="001C4D22">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6E3D0A03" w14:textId="77777777" w:rsidR="007B7F59" w:rsidRPr="007B7F59" w:rsidRDefault="007B7F59" w:rsidP="001C4D22">
      <w:pPr>
        <w:tabs>
          <w:tab w:val="right" w:pos="9029"/>
        </w:tabs>
        <w:spacing w:after="0" w:line="240" w:lineRule="auto"/>
        <w:ind w:left="0"/>
        <w:contextualSpacing/>
        <w:rPr>
          <w:rFonts w:eastAsia="Times New Roman" w:cs="Arial"/>
          <w:szCs w:val="24"/>
          <w:lang w:val="en-ZA"/>
        </w:rPr>
      </w:pPr>
    </w:p>
    <w:p w14:paraId="36B61777" w14:textId="210B65F5" w:rsidR="007B7F59" w:rsidRPr="007B7F59" w:rsidRDefault="001C4D22" w:rsidP="001C4D22">
      <w:pPr>
        <w:tabs>
          <w:tab w:val="left" w:pos="870"/>
          <w:tab w:val="right" w:pos="9029"/>
        </w:tabs>
        <w:spacing w:after="0" w:line="240" w:lineRule="auto"/>
        <w:ind w:left="0"/>
        <w:contextualSpacing/>
        <w:rPr>
          <w:rFonts w:eastAsia="Times New Roman" w:cs="Arial"/>
          <w:szCs w:val="24"/>
          <w:lang w:val="en-ZA"/>
        </w:rPr>
      </w:pPr>
      <w:r>
        <w:rPr>
          <w:rFonts w:cs="Arial"/>
          <w:b/>
          <w:szCs w:val="24"/>
        </w:rPr>
        <w:t>FORTRESS INCOME</w:t>
      </w:r>
      <w:r w:rsidR="008E0905">
        <w:rPr>
          <w:rFonts w:cs="Arial"/>
          <w:b/>
          <w:szCs w:val="24"/>
        </w:rPr>
        <w:t xml:space="preserve"> (PTY) LTD</w:t>
      </w:r>
      <w:r w:rsidR="008E0905">
        <w:rPr>
          <w:rFonts w:cs="Arial"/>
          <w:b/>
          <w:szCs w:val="24"/>
          <w:lang w:val="en-ZA"/>
        </w:rPr>
        <w:tab/>
      </w:r>
      <w:r w:rsidR="007B7F59" w:rsidRPr="007B7F59">
        <w:rPr>
          <w:rFonts w:eastAsia="Times New Roman" w:cs="Arial"/>
          <w:szCs w:val="24"/>
          <w:lang w:val="en-ZA"/>
        </w:rPr>
        <w:t>First Respondent</w:t>
      </w:r>
    </w:p>
    <w:p w14:paraId="02AF0C2C" w14:textId="77777777" w:rsidR="007B7F59" w:rsidRPr="007B7F59" w:rsidRDefault="007B7F59" w:rsidP="001C4D22">
      <w:pPr>
        <w:tabs>
          <w:tab w:val="right" w:pos="9029"/>
        </w:tabs>
        <w:spacing w:after="0" w:line="240" w:lineRule="auto"/>
        <w:ind w:left="0"/>
        <w:contextualSpacing/>
        <w:rPr>
          <w:rFonts w:eastAsia="Times New Roman" w:cs="Arial"/>
          <w:szCs w:val="24"/>
          <w:lang w:val="en-ZA"/>
        </w:rPr>
      </w:pPr>
    </w:p>
    <w:p w14:paraId="1072A298" w14:textId="12E533D7" w:rsidR="007B7F59" w:rsidRDefault="001C4D22" w:rsidP="001C4D22">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JHI PROPERTIES (PTY) LTD</w:t>
      </w:r>
      <w:r w:rsidR="007B7F59" w:rsidRPr="007B7F59">
        <w:rPr>
          <w:rFonts w:eastAsia="Times New Roman" w:cs="Arial"/>
          <w:szCs w:val="24"/>
          <w:lang w:val="en-ZA"/>
        </w:rPr>
        <w:tab/>
        <w:t>Second Respondent</w:t>
      </w:r>
    </w:p>
    <w:p w14:paraId="605A071F" w14:textId="77777777" w:rsidR="001C4D22" w:rsidRPr="001C4D22" w:rsidRDefault="001C4D22" w:rsidP="001C4D22">
      <w:pPr>
        <w:pStyle w:val="JudgmentNumbered"/>
        <w:spacing w:after="0" w:line="240" w:lineRule="auto"/>
        <w:rPr>
          <w:lang w:val="en-ZA"/>
        </w:rPr>
      </w:pPr>
    </w:p>
    <w:p w14:paraId="18D453F3" w14:textId="03BE2FDE" w:rsidR="007B7F59" w:rsidRDefault="001C4D22" w:rsidP="007B7F59">
      <w:pPr>
        <w:tabs>
          <w:tab w:val="right" w:pos="9029"/>
        </w:tabs>
        <w:spacing w:after="0" w:line="240" w:lineRule="auto"/>
        <w:ind w:left="0"/>
        <w:contextualSpacing/>
        <w:rPr>
          <w:rFonts w:cs="Arial"/>
          <w:bCs/>
          <w:szCs w:val="24"/>
        </w:rPr>
      </w:pPr>
      <w:r>
        <w:rPr>
          <w:rFonts w:cs="Arial"/>
          <w:b/>
          <w:szCs w:val="24"/>
        </w:rPr>
        <w:t>GCWABAZA HOLDINGS (PTY) LTD</w:t>
      </w:r>
      <w:r>
        <w:rPr>
          <w:rFonts w:cs="Arial"/>
          <w:bCs/>
          <w:szCs w:val="24"/>
        </w:rPr>
        <w:tab/>
        <w:t>Third Respondent</w:t>
      </w:r>
    </w:p>
    <w:p w14:paraId="323F13F8" w14:textId="38EDCD0A" w:rsidR="00925DA7" w:rsidRDefault="00925DA7" w:rsidP="00925DA7">
      <w:pPr>
        <w:pStyle w:val="JudgmentNumbered"/>
      </w:pPr>
    </w:p>
    <w:p w14:paraId="15DFB81A" w14:textId="0B1D2A36" w:rsidR="00925DA7" w:rsidRPr="00925DA7" w:rsidRDefault="00925DA7" w:rsidP="00925DA7">
      <w:pPr>
        <w:pStyle w:val="JudgmentNumbered"/>
      </w:pPr>
      <w:r>
        <w:rPr>
          <w:b/>
        </w:rPr>
        <w:t xml:space="preserve">Neutral Citation: </w:t>
      </w:r>
      <w:r>
        <w:rPr>
          <w:i/>
        </w:rPr>
        <w:t xml:space="preserve">National Empowerment Fund v Fortress Income </w:t>
      </w:r>
      <w:r w:rsidR="00A9155C">
        <w:rPr>
          <w:i/>
        </w:rPr>
        <w:t xml:space="preserve">(Pty) Ltd </w:t>
      </w:r>
      <w:r>
        <w:rPr>
          <w:i/>
        </w:rPr>
        <w:t>and 2 Others</w:t>
      </w:r>
      <w:r w:rsidRPr="00937662">
        <w:rPr>
          <w:i/>
        </w:rPr>
        <w:t xml:space="preserve"> </w:t>
      </w:r>
      <w:r>
        <w:t>(Case No. 2022-060026</w:t>
      </w:r>
      <w:r w:rsidRPr="00937662">
        <w:t>) [2023</w:t>
      </w:r>
      <w:r>
        <w:t xml:space="preserve">] ZAGPJHC </w:t>
      </w:r>
      <w:r w:rsidR="001E23B2">
        <w:t>431</w:t>
      </w:r>
      <w:r>
        <w:t>(4 May 2023)</w:t>
      </w:r>
    </w:p>
    <w:p w14:paraId="24A55AA2"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7692CC05" w14:textId="77777777" w:rsidR="007B7F59" w:rsidRPr="007B7F59" w:rsidRDefault="007B7F59" w:rsidP="007B7F59">
      <w:pPr>
        <w:spacing w:after="0" w:line="240" w:lineRule="auto"/>
        <w:ind w:left="1440" w:hanging="1440"/>
        <w:jc w:val="left"/>
        <w:rPr>
          <w:rFonts w:cs="Arial"/>
          <w:b/>
          <w:szCs w:val="24"/>
        </w:rPr>
      </w:pPr>
    </w:p>
    <w:p w14:paraId="78A9CD7B" w14:textId="77777777" w:rsidR="007B7F59" w:rsidRPr="007B7F59" w:rsidRDefault="002031C8" w:rsidP="007B7F59">
      <w:pPr>
        <w:pBdr>
          <w:bottom w:val="single" w:sz="12" w:space="1" w:color="auto"/>
        </w:pBdr>
        <w:spacing w:line="480" w:lineRule="auto"/>
        <w:ind w:left="0"/>
        <w:jc w:val="center"/>
        <w:rPr>
          <w:rFonts w:cs="Arial"/>
          <w:b/>
          <w:szCs w:val="24"/>
          <w:lang w:val="en-ZA"/>
        </w:rPr>
      </w:pPr>
      <w:r>
        <w:rPr>
          <w:rFonts w:cs="Arial"/>
          <w:b/>
          <w:szCs w:val="24"/>
          <w:lang w:val="en-ZA"/>
        </w:rPr>
        <w:t>WRITTEN REASONS FOR ORDER</w:t>
      </w:r>
    </w:p>
    <w:p w14:paraId="253CD6A8" w14:textId="77777777" w:rsidR="007B7F59" w:rsidRPr="008E0905" w:rsidRDefault="008E0905" w:rsidP="007B7F59">
      <w:pPr>
        <w:spacing w:after="0" w:line="240" w:lineRule="auto"/>
        <w:ind w:left="0"/>
        <w:jc w:val="left"/>
        <w:rPr>
          <w:rFonts w:cs="Arial"/>
          <w:b/>
          <w:szCs w:val="24"/>
        </w:rPr>
      </w:pPr>
      <w:r w:rsidRPr="008E0905">
        <w:rPr>
          <w:rFonts w:cs="Arial"/>
          <w:b/>
          <w:szCs w:val="24"/>
        </w:rPr>
        <w:lastRenderedPageBreak/>
        <w:t>YACOOB J</w:t>
      </w:r>
      <w:r>
        <w:rPr>
          <w:rFonts w:cs="Arial"/>
          <w:b/>
          <w:szCs w:val="24"/>
        </w:rPr>
        <w:t>:</w:t>
      </w:r>
    </w:p>
    <w:p w14:paraId="2A039EF5" w14:textId="77777777" w:rsidR="007B7F59" w:rsidRPr="007B7F59" w:rsidRDefault="007B7F59" w:rsidP="007B7F59">
      <w:pPr>
        <w:spacing w:after="0" w:line="240" w:lineRule="auto"/>
        <w:ind w:left="0"/>
        <w:jc w:val="left"/>
        <w:rPr>
          <w:rFonts w:cs="Arial"/>
          <w:szCs w:val="24"/>
        </w:rPr>
      </w:pPr>
    </w:p>
    <w:p w14:paraId="70AEEC6E" w14:textId="1BD0F44B" w:rsidR="001C4D22" w:rsidRDefault="00EE015D" w:rsidP="00EE015D">
      <w:pPr>
        <w:pStyle w:val="JudgmentNumbered"/>
        <w:ind w:left="360" w:hanging="360"/>
        <w:rPr>
          <w:w w:val="104"/>
        </w:rPr>
      </w:pPr>
      <w:r>
        <w:rPr>
          <w:w w:val="104"/>
        </w:rPr>
        <w:t>1.</w:t>
      </w:r>
      <w:r>
        <w:rPr>
          <w:w w:val="104"/>
        </w:rPr>
        <w:tab/>
      </w:r>
      <w:r w:rsidR="001C4D22">
        <w:rPr>
          <w:w w:val="104"/>
        </w:rPr>
        <w:t>This application was set down in the urgent court on 20 December 2022. At that time the applicant sought the rescission of an order granted under case number 2022/11244, an</w:t>
      </w:r>
      <w:bookmarkStart w:id="0" w:name="_GoBack"/>
      <w:bookmarkEnd w:id="0"/>
      <w:r w:rsidR="001C4D22">
        <w:rPr>
          <w:w w:val="104"/>
        </w:rPr>
        <w:t>d the permanent stay of a warrant of execution issued pursuant to that order on 16 November 2022. The applicant also sought costs in respect of the parties opposing the application.</w:t>
      </w:r>
    </w:p>
    <w:p w14:paraId="1DFC6493" w14:textId="70C04982" w:rsidR="001C4D22" w:rsidRDefault="00EE015D" w:rsidP="00EE015D">
      <w:pPr>
        <w:pStyle w:val="JudgmentNumbered"/>
        <w:ind w:left="360" w:hanging="360"/>
        <w:rPr>
          <w:w w:val="104"/>
        </w:rPr>
      </w:pPr>
      <w:r>
        <w:rPr>
          <w:w w:val="104"/>
        </w:rPr>
        <w:t>2.</w:t>
      </w:r>
      <w:r>
        <w:rPr>
          <w:w w:val="104"/>
        </w:rPr>
        <w:tab/>
      </w:r>
      <w:r w:rsidR="001C4D22">
        <w:rPr>
          <w:w w:val="104"/>
        </w:rPr>
        <w:t xml:space="preserve">The matter was heard on 22 December 2022 to permit the filing of papers by the first and second respondents, who opposed the application. By that date the applicant had altered the relief sought, simply to stay the warrant of execution </w:t>
      </w:r>
      <w:r w:rsidR="009E2A10">
        <w:rPr>
          <w:w w:val="104"/>
        </w:rPr>
        <w:t xml:space="preserve">and all process resulting from it, </w:t>
      </w:r>
      <w:r w:rsidR="001C4D22">
        <w:rPr>
          <w:w w:val="104"/>
        </w:rPr>
        <w:t>pending the finalisation of the third respondent’s business rescue proceedings</w:t>
      </w:r>
      <w:r w:rsidR="00741844">
        <w:rPr>
          <w:w w:val="104"/>
        </w:rPr>
        <w:t>, and costs</w:t>
      </w:r>
      <w:r w:rsidR="001C4D22">
        <w:rPr>
          <w:w w:val="104"/>
        </w:rPr>
        <w:t>.</w:t>
      </w:r>
      <w:r w:rsidR="00741844">
        <w:rPr>
          <w:w w:val="104"/>
        </w:rPr>
        <w:t xml:space="preserve"> The order was granted in those terms, and costs against the first respondent after 20 December.</w:t>
      </w:r>
    </w:p>
    <w:p w14:paraId="7F232E63" w14:textId="0E9E7A23" w:rsidR="001C4D22" w:rsidRDefault="00EE015D" w:rsidP="00EE015D">
      <w:pPr>
        <w:pStyle w:val="JudgmentNumbered"/>
        <w:ind w:left="360" w:hanging="360"/>
        <w:rPr>
          <w:w w:val="104"/>
        </w:rPr>
      </w:pPr>
      <w:r>
        <w:rPr>
          <w:w w:val="104"/>
        </w:rPr>
        <w:t>3.</w:t>
      </w:r>
      <w:r>
        <w:rPr>
          <w:w w:val="104"/>
        </w:rPr>
        <w:tab/>
      </w:r>
      <w:r w:rsidR="00741844">
        <w:rPr>
          <w:w w:val="104"/>
        </w:rPr>
        <w:t>The first respondent has requested reasons for the decision.</w:t>
      </w:r>
    </w:p>
    <w:p w14:paraId="67F5F21F" w14:textId="3E278ECF" w:rsidR="006D22DF" w:rsidRDefault="00EE015D" w:rsidP="00EE015D">
      <w:pPr>
        <w:pStyle w:val="JudgmentNumbered"/>
        <w:ind w:left="360" w:hanging="360"/>
        <w:rPr>
          <w:w w:val="104"/>
        </w:rPr>
      </w:pPr>
      <w:r>
        <w:rPr>
          <w:w w:val="104"/>
        </w:rPr>
        <w:t>4.</w:t>
      </w:r>
      <w:r>
        <w:rPr>
          <w:w w:val="104"/>
        </w:rPr>
        <w:tab/>
      </w:r>
      <w:r w:rsidR="001C4D22">
        <w:rPr>
          <w:w w:val="104"/>
        </w:rPr>
        <w:t xml:space="preserve"> </w:t>
      </w:r>
      <w:r w:rsidR="005E3DE9">
        <w:rPr>
          <w:w w:val="104"/>
        </w:rPr>
        <w:t>The applicant approached the court on the basis that the third respondent was in business rescue, which business rescue proceedings had commenced on 15 August 2022. The warrant was therefore unlawfully issued as it was issued after the company was in business rescue, which was inconsistent with section 133 of the Companies Act, 71 of 2008, which provides for a moratorium on legal proceedings against the company without written consent of the business rescue practitioner or leave of the court.</w:t>
      </w:r>
    </w:p>
    <w:p w14:paraId="22FEDA87" w14:textId="6CC0DE93" w:rsidR="005E3DE9" w:rsidRDefault="00EE015D" w:rsidP="00EE015D">
      <w:pPr>
        <w:pStyle w:val="JudgmentNumbered"/>
        <w:ind w:left="360" w:hanging="360"/>
        <w:rPr>
          <w:w w:val="104"/>
        </w:rPr>
      </w:pPr>
      <w:r>
        <w:rPr>
          <w:w w:val="104"/>
        </w:rPr>
        <w:t>5.</w:t>
      </w:r>
      <w:r>
        <w:rPr>
          <w:w w:val="104"/>
        </w:rPr>
        <w:tab/>
      </w:r>
      <w:r w:rsidR="005E3DE9">
        <w:rPr>
          <w:w w:val="104"/>
        </w:rPr>
        <w:t>The applicant has provided funding relief to the third respondent for use towards operating costs during the business rescue. The execution of the warrant resulted in the freezing of the bank account in which those funds were kept. This was the basis of the urgency.</w:t>
      </w:r>
    </w:p>
    <w:p w14:paraId="0422E404" w14:textId="0F0277F6" w:rsidR="005E3DE9" w:rsidRDefault="00EE015D" w:rsidP="00EE015D">
      <w:pPr>
        <w:pStyle w:val="JudgmentNumbered"/>
        <w:ind w:left="360" w:hanging="360"/>
        <w:rPr>
          <w:w w:val="104"/>
        </w:rPr>
      </w:pPr>
      <w:r>
        <w:rPr>
          <w:w w:val="104"/>
        </w:rPr>
        <w:t>6.</w:t>
      </w:r>
      <w:r>
        <w:rPr>
          <w:w w:val="104"/>
        </w:rPr>
        <w:tab/>
      </w:r>
      <w:r w:rsidR="005E3DE9">
        <w:rPr>
          <w:w w:val="104"/>
        </w:rPr>
        <w:t>The respondents raised the following points in opposition:</w:t>
      </w:r>
    </w:p>
    <w:p w14:paraId="1BCF710C" w14:textId="05BF17D8" w:rsidR="005E3DE9" w:rsidRDefault="00EE015D" w:rsidP="00EE015D">
      <w:pPr>
        <w:pStyle w:val="JudgmentNumbered"/>
        <w:ind w:left="792" w:hanging="432"/>
        <w:rPr>
          <w:w w:val="104"/>
        </w:rPr>
      </w:pPr>
      <w:r>
        <w:rPr>
          <w:w w:val="104"/>
        </w:rPr>
        <w:t>6.1.</w:t>
      </w:r>
      <w:r>
        <w:rPr>
          <w:w w:val="104"/>
        </w:rPr>
        <w:tab/>
      </w:r>
      <w:r w:rsidR="005E3DE9">
        <w:rPr>
          <w:w w:val="104"/>
        </w:rPr>
        <w:t xml:space="preserve">The applicant had no </w:t>
      </w:r>
      <w:r w:rsidR="005E3DE9">
        <w:rPr>
          <w:i/>
          <w:iCs/>
          <w:w w:val="104"/>
        </w:rPr>
        <w:t xml:space="preserve">locus standi </w:t>
      </w:r>
      <w:r w:rsidR="005E3DE9">
        <w:rPr>
          <w:w w:val="104"/>
        </w:rPr>
        <w:t>because it was not a party to the order it was seeking to rescind;</w:t>
      </w:r>
    </w:p>
    <w:p w14:paraId="47329ED7" w14:textId="240C44FB" w:rsidR="009E2A10" w:rsidRDefault="00EE015D" w:rsidP="00EE015D">
      <w:pPr>
        <w:pStyle w:val="JudgmentNumbered"/>
        <w:ind w:left="792" w:hanging="432"/>
        <w:rPr>
          <w:w w:val="104"/>
        </w:rPr>
      </w:pPr>
      <w:r>
        <w:rPr>
          <w:w w:val="104"/>
        </w:rPr>
        <w:t>6.2.</w:t>
      </w:r>
      <w:r>
        <w:rPr>
          <w:w w:val="104"/>
        </w:rPr>
        <w:tab/>
      </w:r>
      <w:r w:rsidR="009E2A10">
        <w:rPr>
          <w:w w:val="104"/>
        </w:rPr>
        <w:t>That other respondents in the matter in which the order was granted had not been joined;</w:t>
      </w:r>
    </w:p>
    <w:p w14:paraId="22BC88AD" w14:textId="7B2A625B" w:rsidR="005E3DE9" w:rsidRDefault="00EE015D" w:rsidP="00EE015D">
      <w:pPr>
        <w:pStyle w:val="JudgmentNumbered"/>
        <w:ind w:left="792" w:hanging="432"/>
        <w:rPr>
          <w:w w:val="104"/>
        </w:rPr>
      </w:pPr>
      <w:r>
        <w:rPr>
          <w:w w:val="104"/>
        </w:rPr>
        <w:lastRenderedPageBreak/>
        <w:t>6.3.</w:t>
      </w:r>
      <w:r>
        <w:rPr>
          <w:w w:val="104"/>
        </w:rPr>
        <w:tab/>
      </w:r>
      <w:r w:rsidR="005E3DE9">
        <w:rPr>
          <w:w w:val="104"/>
        </w:rPr>
        <w:t>There was no basis for the rescission as the order was granted before the company went into business rescue</w:t>
      </w:r>
      <w:r w:rsidR="009E2A10">
        <w:rPr>
          <w:w w:val="104"/>
        </w:rPr>
        <w:t>;</w:t>
      </w:r>
    </w:p>
    <w:p w14:paraId="44477B4D" w14:textId="35BEFE31" w:rsidR="009E2A10" w:rsidRDefault="00EE015D" w:rsidP="00EE015D">
      <w:pPr>
        <w:pStyle w:val="JudgmentNumbered"/>
        <w:ind w:left="792" w:hanging="432"/>
        <w:rPr>
          <w:w w:val="104"/>
        </w:rPr>
      </w:pPr>
      <w:r>
        <w:rPr>
          <w:w w:val="104"/>
        </w:rPr>
        <w:t>6.4.</w:t>
      </w:r>
      <w:r>
        <w:rPr>
          <w:w w:val="104"/>
        </w:rPr>
        <w:tab/>
      </w:r>
      <w:r w:rsidR="009E2A10">
        <w:rPr>
          <w:w w:val="104"/>
        </w:rPr>
        <w:t>That the company was not in business rescue because a new business rescue practitioner had not yet been appointed after an existing one was relieved of his duties, and</w:t>
      </w:r>
    </w:p>
    <w:p w14:paraId="2CF8B70E" w14:textId="6D4CC8C4" w:rsidR="005E3DE9" w:rsidRDefault="00EE015D" w:rsidP="00EE015D">
      <w:pPr>
        <w:pStyle w:val="JudgmentNumbered"/>
        <w:ind w:left="792" w:hanging="432"/>
        <w:rPr>
          <w:w w:val="104"/>
        </w:rPr>
      </w:pPr>
      <w:r>
        <w:rPr>
          <w:w w:val="104"/>
        </w:rPr>
        <w:t>6.5.</w:t>
      </w:r>
      <w:r>
        <w:rPr>
          <w:w w:val="104"/>
        </w:rPr>
        <w:tab/>
      </w:r>
      <w:r w:rsidR="009E2A10">
        <w:rPr>
          <w:w w:val="104"/>
        </w:rPr>
        <w:t>The stay would achieve nothing as there was very little money in the account.</w:t>
      </w:r>
    </w:p>
    <w:p w14:paraId="61BE8866" w14:textId="2555F2B5" w:rsidR="009E2A10" w:rsidRDefault="00EE015D" w:rsidP="00EE015D">
      <w:pPr>
        <w:pStyle w:val="JudgmentNumbered"/>
        <w:ind w:left="360" w:hanging="360"/>
        <w:rPr>
          <w:w w:val="104"/>
        </w:rPr>
      </w:pPr>
      <w:r>
        <w:rPr>
          <w:w w:val="104"/>
        </w:rPr>
        <w:t>7.</w:t>
      </w:r>
      <w:r>
        <w:rPr>
          <w:w w:val="104"/>
        </w:rPr>
        <w:tab/>
      </w:r>
      <w:r w:rsidR="009E2A10">
        <w:rPr>
          <w:w w:val="104"/>
        </w:rPr>
        <w:t xml:space="preserve">I found that the applicant’s interest as the provider of post-commencement finance was sufficient to justify it seeking the stay of the warrant and resulting processes. </w:t>
      </w:r>
    </w:p>
    <w:p w14:paraId="6F066DFC" w14:textId="70952915" w:rsidR="009E2A10" w:rsidRDefault="00EE015D" w:rsidP="00EE015D">
      <w:pPr>
        <w:pStyle w:val="JudgmentNumbered"/>
        <w:ind w:left="360" w:hanging="360"/>
        <w:rPr>
          <w:w w:val="104"/>
        </w:rPr>
      </w:pPr>
      <w:r>
        <w:rPr>
          <w:w w:val="104"/>
        </w:rPr>
        <w:t>8.</w:t>
      </w:r>
      <w:r>
        <w:rPr>
          <w:w w:val="104"/>
        </w:rPr>
        <w:tab/>
      </w:r>
      <w:r w:rsidR="009E2A10">
        <w:rPr>
          <w:w w:val="104"/>
        </w:rPr>
        <w:t>The applicant pointed out in its replying affidavit that the two additional respondents to the application which gave rise to the warrant were directors of the third respondent. It was not necessary to join them since the reason for this application was to protect the integrity of the business rescue proceedings</w:t>
      </w:r>
      <w:r w:rsidR="00CC74C3">
        <w:rPr>
          <w:w w:val="104"/>
        </w:rPr>
        <w:t>, and there would be no substantial prejudice to them by not joining them. I consider that to be sufficient basis to reject the non-joinder point.</w:t>
      </w:r>
    </w:p>
    <w:p w14:paraId="3395A892" w14:textId="5956C374" w:rsidR="00CC74C3" w:rsidRDefault="00EE015D" w:rsidP="00EE015D">
      <w:pPr>
        <w:pStyle w:val="JudgmentNumbered"/>
        <w:ind w:left="360" w:hanging="360"/>
        <w:rPr>
          <w:w w:val="104"/>
        </w:rPr>
      </w:pPr>
      <w:r>
        <w:rPr>
          <w:w w:val="104"/>
        </w:rPr>
        <w:t>9.</w:t>
      </w:r>
      <w:r>
        <w:rPr>
          <w:w w:val="104"/>
        </w:rPr>
        <w:tab/>
      </w:r>
      <w:r w:rsidR="00CC74C3">
        <w:rPr>
          <w:w w:val="104"/>
        </w:rPr>
        <w:t>There was no reason to consider arguments relating to the rescission as it was no longer being sought. However it was clear that the stay was required because the issue and execution of the warrant while the third respondent was in business rescue was both unlawful and likely to interfere with the business rescue.</w:t>
      </w:r>
    </w:p>
    <w:p w14:paraId="386838BA" w14:textId="23965565" w:rsidR="00CC74C3" w:rsidRDefault="00EE015D" w:rsidP="00EE015D">
      <w:pPr>
        <w:pStyle w:val="JudgmentNumbered"/>
        <w:ind w:left="360" w:hanging="360"/>
        <w:rPr>
          <w:w w:val="104"/>
        </w:rPr>
      </w:pPr>
      <w:r>
        <w:rPr>
          <w:w w:val="104"/>
        </w:rPr>
        <w:t>10.</w:t>
      </w:r>
      <w:r>
        <w:rPr>
          <w:w w:val="104"/>
        </w:rPr>
        <w:tab/>
      </w:r>
      <w:r w:rsidR="00CC74C3">
        <w:rPr>
          <w:w w:val="104"/>
        </w:rPr>
        <w:t xml:space="preserve">The applicant also pointed out in reply that although one business rescue practitioner had just resigned, the business rescue proceedings were continuing and a new practitioner was going to be appointed. </w:t>
      </w:r>
    </w:p>
    <w:p w14:paraId="5F3D1812" w14:textId="28E2E5CB" w:rsidR="00CC74C3" w:rsidRPr="009E2A10" w:rsidRDefault="00EE015D" w:rsidP="00EE015D">
      <w:pPr>
        <w:pStyle w:val="JudgmentNumbered"/>
        <w:ind w:left="360" w:hanging="360"/>
        <w:rPr>
          <w:w w:val="104"/>
        </w:rPr>
      </w:pPr>
      <w:r w:rsidRPr="009E2A10">
        <w:rPr>
          <w:w w:val="104"/>
        </w:rPr>
        <w:t>11.</w:t>
      </w:r>
      <w:r w:rsidRPr="009E2A10">
        <w:rPr>
          <w:w w:val="104"/>
        </w:rPr>
        <w:tab/>
      </w:r>
      <w:r w:rsidR="00CC74C3">
        <w:rPr>
          <w:w w:val="104"/>
        </w:rPr>
        <w:t xml:space="preserve">In any event, whether a new practitioner had yet been appointed is not relevant to whether the business rescue had come to an end. Section 132 of the Companies Act sets out exactly when business rescue proceedings come to an end, and does not include the resignation of a practitioner. </w:t>
      </w:r>
    </w:p>
    <w:p w14:paraId="3F84599C" w14:textId="42E6BCB9" w:rsidR="006D22DF" w:rsidRPr="002B6099" w:rsidRDefault="00EE015D" w:rsidP="00EE015D">
      <w:pPr>
        <w:pStyle w:val="JudgmentNumbered"/>
        <w:ind w:left="360" w:hanging="360"/>
        <w:rPr>
          <w:w w:val="104"/>
        </w:rPr>
      </w:pPr>
      <w:r w:rsidRPr="002B6099">
        <w:rPr>
          <w:w w:val="104"/>
        </w:rPr>
        <w:lastRenderedPageBreak/>
        <w:t>12.</w:t>
      </w:r>
      <w:r w:rsidRPr="002B6099">
        <w:rPr>
          <w:w w:val="104"/>
        </w:rPr>
        <w:tab/>
      </w:r>
      <w:r w:rsidR="001C4D22">
        <w:t xml:space="preserve"> </w:t>
      </w:r>
      <w:r w:rsidR="009E2A10">
        <w:t xml:space="preserve">At the hearing counsel for the respondents indicated that the respondents had no issue with the stay, the only issue was with costs. </w:t>
      </w:r>
      <w:r w:rsidR="00CC74C3">
        <w:t xml:space="preserve">It was submitted that the first time the respondents knew that only a stay was being sought was on the day of the hearing. </w:t>
      </w:r>
      <w:r w:rsidR="002B6099">
        <w:t>However, the applicant had informed the legal representatives of the respondent on 20 December that the relief sought would only be a stay.</w:t>
      </w:r>
    </w:p>
    <w:p w14:paraId="0918CCE7" w14:textId="409F860F" w:rsidR="002B6099" w:rsidRPr="002B6099" w:rsidRDefault="00EE015D" w:rsidP="00EE015D">
      <w:pPr>
        <w:pStyle w:val="JudgmentNumbered"/>
        <w:ind w:left="360" w:hanging="360"/>
        <w:rPr>
          <w:w w:val="104"/>
        </w:rPr>
      </w:pPr>
      <w:r w:rsidRPr="002B6099">
        <w:rPr>
          <w:w w:val="104"/>
        </w:rPr>
        <w:t>13.</w:t>
      </w:r>
      <w:r w:rsidRPr="002B6099">
        <w:rPr>
          <w:w w:val="104"/>
        </w:rPr>
        <w:tab/>
      </w:r>
      <w:r w:rsidR="002B6099">
        <w:t>Counsel for the respondent submitted that the applicant should never have sought costs against the second respondent because it was only the managing agent of the first respondent. However costs were only sought against those respondents who opposed, and it was the second respondent who chose to oppose. If it truly had no interest it ought not to have opposed.</w:t>
      </w:r>
    </w:p>
    <w:p w14:paraId="1E8FC101" w14:textId="34050BB9" w:rsidR="002B6099" w:rsidRPr="002B6099" w:rsidRDefault="00EE015D" w:rsidP="00EE015D">
      <w:pPr>
        <w:pStyle w:val="JudgmentNumbered"/>
        <w:ind w:left="360" w:hanging="360"/>
        <w:rPr>
          <w:w w:val="104"/>
        </w:rPr>
      </w:pPr>
      <w:r w:rsidRPr="002B6099">
        <w:rPr>
          <w:w w:val="104"/>
        </w:rPr>
        <w:t>14.</w:t>
      </w:r>
      <w:r w:rsidRPr="002B6099">
        <w:rPr>
          <w:w w:val="104"/>
        </w:rPr>
        <w:tab/>
      </w:r>
      <w:r w:rsidR="002B6099">
        <w:t>That said, it was clear from the affidavit that the true opposition was from the first respondent, and that therefore only the first respondent should have to pay costs, and that only from 20 December 2022, when its representatives were made aware of the change in the relief sought.</w:t>
      </w:r>
    </w:p>
    <w:p w14:paraId="4C71AA0B" w14:textId="7E8AF5CF" w:rsidR="006D22DF" w:rsidRPr="002B6099" w:rsidRDefault="00EE015D" w:rsidP="00EE015D">
      <w:pPr>
        <w:pStyle w:val="JudgmentNumbered"/>
        <w:ind w:left="360" w:hanging="360"/>
        <w:rPr>
          <w:w w:val="104"/>
        </w:rPr>
      </w:pPr>
      <w:r w:rsidRPr="002B6099">
        <w:rPr>
          <w:w w:val="104"/>
        </w:rPr>
        <w:t>15.</w:t>
      </w:r>
      <w:r w:rsidRPr="002B6099">
        <w:rPr>
          <w:w w:val="104"/>
        </w:rPr>
        <w:tab/>
      </w:r>
      <w:r w:rsidR="002B6099">
        <w:t>These, then, are the reasons for the order.</w:t>
      </w:r>
    </w:p>
    <w:p w14:paraId="3F9545BB" w14:textId="52D955B7" w:rsidR="002031C8" w:rsidRDefault="002031C8" w:rsidP="00EB01DA">
      <w:pPr>
        <w:pStyle w:val="JudgmentNumbered"/>
        <w:spacing w:after="0"/>
        <w:ind w:left="567" w:hanging="567"/>
        <w:jc w:val="right"/>
      </w:pPr>
    </w:p>
    <w:p w14:paraId="5CA0F9B0" w14:textId="0A8E65B1" w:rsidR="002B448C" w:rsidRDefault="002B448C" w:rsidP="00EB01DA">
      <w:pPr>
        <w:pStyle w:val="JudgmentNumbered"/>
        <w:spacing w:after="0"/>
        <w:ind w:left="567" w:hanging="567"/>
        <w:jc w:val="right"/>
      </w:pPr>
      <w:r>
        <w:t>___________</w:t>
      </w:r>
      <w:r w:rsidR="00EB01DA">
        <w:t>__</w:t>
      </w:r>
      <w:r>
        <w:t>______________</w:t>
      </w:r>
    </w:p>
    <w:p w14:paraId="2697BE37" w14:textId="77777777" w:rsidR="002B448C" w:rsidRDefault="008E0905" w:rsidP="00EB01DA">
      <w:pPr>
        <w:pStyle w:val="JudgmentNumbered"/>
        <w:spacing w:after="0"/>
        <w:ind w:left="567" w:hanging="567"/>
        <w:jc w:val="right"/>
        <w:rPr>
          <w:b/>
        </w:rPr>
      </w:pPr>
      <w:r>
        <w:rPr>
          <w:b/>
        </w:rPr>
        <w:t>S YACOOB</w:t>
      </w:r>
    </w:p>
    <w:p w14:paraId="2668FF53" w14:textId="77777777" w:rsidR="002B448C" w:rsidRDefault="002B448C" w:rsidP="00EB01DA">
      <w:pPr>
        <w:pStyle w:val="JudgmentNumbered"/>
        <w:spacing w:after="0"/>
        <w:ind w:left="567" w:hanging="567"/>
        <w:jc w:val="right"/>
        <w:rPr>
          <w:b/>
        </w:rPr>
      </w:pPr>
      <w:r>
        <w:rPr>
          <w:b/>
        </w:rPr>
        <w:t>JUDGE OF THE HIGH COURT</w:t>
      </w:r>
    </w:p>
    <w:p w14:paraId="2517E799" w14:textId="77777777" w:rsidR="00EB01DA" w:rsidRDefault="002B448C" w:rsidP="00EB01DA">
      <w:pPr>
        <w:pStyle w:val="JudgmentNumbered"/>
        <w:spacing w:after="0"/>
        <w:ind w:left="567" w:hanging="567"/>
        <w:jc w:val="right"/>
        <w:rPr>
          <w:b/>
        </w:rPr>
      </w:pPr>
      <w:r>
        <w:rPr>
          <w:b/>
        </w:rPr>
        <w:t>JOHANNESBURG</w:t>
      </w:r>
    </w:p>
    <w:p w14:paraId="211CA742" w14:textId="77777777" w:rsidR="008E0905" w:rsidRDefault="008E0905" w:rsidP="00EB01DA">
      <w:pPr>
        <w:pStyle w:val="JudgmentNumbered"/>
        <w:spacing w:after="0"/>
        <w:ind w:left="567" w:hanging="567"/>
        <w:jc w:val="right"/>
        <w:rPr>
          <w:b/>
        </w:rPr>
      </w:pPr>
    </w:p>
    <w:p w14:paraId="63495E2D" w14:textId="0D19D3C7" w:rsidR="008E0905" w:rsidRDefault="008E0905" w:rsidP="008E0905">
      <w:pPr>
        <w:pStyle w:val="JudgmentNumbered"/>
        <w:spacing w:after="0"/>
        <w:ind w:left="567" w:hanging="567"/>
      </w:pPr>
      <w:r w:rsidRPr="008E0905">
        <w:t>Date of Hearing:</w:t>
      </w:r>
      <w:r>
        <w:tab/>
      </w:r>
      <w:r>
        <w:tab/>
        <w:t>2</w:t>
      </w:r>
      <w:r w:rsidR="001C4D22">
        <w:t>2</w:t>
      </w:r>
      <w:r>
        <w:t xml:space="preserve"> December 2022</w:t>
      </w:r>
    </w:p>
    <w:p w14:paraId="10AEBDF7" w14:textId="10F52CE8" w:rsidR="008E0905" w:rsidRDefault="008E0905" w:rsidP="008E0905">
      <w:pPr>
        <w:pStyle w:val="JudgmentNumbered"/>
        <w:spacing w:after="0"/>
      </w:pPr>
      <w:r>
        <w:t>Date of Order:</w:t>
      </w:r>
      <w:r>
        <w:tab/>
      </w:r>
      <w:r>
        <w:tab/>
      </w:r>
      <w:r w:rsidR="002031C8">
        <w:t>2</w:t>
      </w:r>
      <w:r w:rsidR="001C4D22">
        <w:t>2</w:t>
      </w:r>
      <w:r w:rsidR="002031C8">
        <w:t xml:space="preserve"> </w:t>
      </w:r>
      <w:r>
        <w:t>December 2022</w:t>
      </w:r>
    </w:p>
    <w:p w14:paraId="1ABA6980" w14:textId="25D7EE05" w:rsidR="008E0905" w:rsidRDefault="008E0905" w:rsidP="008E0905">
      <w:pPr>
        <w:pStyle w:val="JudgmentNumbered"/>
        <w:spacing w:after="0"/>
      </w:pPr>
      <w:r>
        <w:t>Date of Written Reasons:</w:t>
      </w:r>
      <w:r w:rsidR="002031C8">
        <w:tab/>
      </w:r>
      <w:r w:rsidR="001C4D22">
        <w:t>04</w:t>
      </w:r>
      <w:r w:rsidR="002031C8">
        <w:t xml:space="preserve"> </w:t>
      </w:r>
      <w:r w:rsidR="001C4D22">
        <w:t>May</w:t>
      </w:r>
      <w:r w:rsidR="002031C8">
        <w:t xml:space="preserve"> 2023</w:t>
      </w:r>
    </w:p>
    <w:p w14:paraId="7C6E12E3" w14:textId="77777777" w:rsidR="008E0905" w:rsidRDefault="008E0905" w:rsidP="008E0905">
      <w:pPr>
        <w:pStyle w:val="JudgmentNumbered"/>
        <w:spacing w:after="0"/>
      </w:pPr>
    </w:p>
    <w:p w14:paraId="25D781EE" w14:textId="77777777" w:rsidR="008E0905" w:rsidRPr="008E0905" w:rsidRDefault="008E0905" w:rsidP="008E0905">
      <w:pPr>
        <w:pStyle w:val="JudgmentNumbered"/>
        <w:spacing w:after="0"/>
        <w:sectPr w:rsidR="008E0905" w:rsidRPr="008E0905">
          <w:pgSz w:w="11906" w:h="16838"/>
          <w:pgMar w:top="1440" w:right="1440" w:bottom="1440" w:left="1440" w:header="708" w:footer="708" w:gutter="0"/>
          <w:cols w:space="708"/>
          <w:docGrid w:linePitch="360"/>
        </w:sectPr>
      </w:pPr>
    </w:p>
    <w:p w14:paraId="57A05DDA" w14:textId="77777777" w:rsidR="00EB01DA" w:rsidRDefault="00EB01DA" w:rsidP="00EB01DA">
      <w:pPr>
        <w:pStyle w:val="JudgmentNumbered"/>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p>
    <w:p w14:paraId="3E3D5E98"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lastRenderedPageBreak/>
        <w:t>For the Applicant:</w:t>
      </w:r>
    </w:p>
    <w:p w14:paraId="5362C45C" w14:textId="77777777" w:rsidR="00EB01DA" w:rsidRPr="003673B7" w:rsidRDefault="00EB01DA" w:rsidP="00EB01DA">
      <w:pPr>
        <w:spacing w:after="0" w:line="240" w:lineRule="auto"/>
        <w:ind w:left="0"/>
        <w:rPr>
          <w:rFonts w:eastAsia="Times New Roman" w:cs="Arial"/>
          <w:szCs w:val="24"/>
          <w:lang w:val="en-ZA"/>
        </w:rPr>
      </w:pPr>
    </w:p>
    <w:p w14:paraId="0F13E0C8" w14:textId="77777777" w:rsidR="002031C8" w:rsidRDefault="002031C8" w:rsidP="008E0905">
      <w:pPr>
        <w:spacing w:after="0" w:line="240" w:lineRule="auto"/>
        <w:ind w:left="0"/>
        <w:rPr>
          <w:rFonts w:eastAsia="Times New Roman" w:cs="Arial"/>
          <w:szCs w:val="24"/>
          <w:lang w:val="en-ZA"/>
        </w:rPr>
      </w:pPr>
    </w:p>
    <w:p w14:paraId="08A30697" w14:textId="77777777" w:rsidR="008E0905" w:rsidRPr="003673B7" w:rsidRDefault="008E0905" w:rsidP="008E0905">
      <w:pPr>
        <w:spacing w:after="0" w:line="240" w:lineRule="auto"/>
        <w:ind w:left="0"/>
        <w:rPr>
          <w:rFonts w:eastAsia="Times New Roman" w:cs="Arial"/>
          <w:szCs w:val="24"/>
          <w:lang w:val="en-ZA"/>
        </w:rPr>
      </w:pPr>
      <w:r w:rsidRPr="003673B7">
        <w:rPr>
          <w:rFonts w:eastAsia="Times New Roman" w:cs="Arial"/>
          <w:szCs w:val="24"/>
          <w:lang w:val="en-ZA"/>
        </w:rPr>
        <w:t>For the Respondent</w:t>
      </w:r>
      <w:r w:rsidR="002031C8">
        <w:rPr>
          <w:rFonts w:eastAsia="Times New Roman" w:cs="Arial"/>
          <w:szCs w:val="24"/>
          <w:lang w:val="en-ZA"/>
        </w:rPr>
        <w:t>s</w:t>
      </w:r>
      <w:r w:rsidRPr="003673B7">
        <w:rPr>
          <w:rFonts w:eastAsia="Times New Roman" w:cs="Arial"/>
          <w:szCs w:val="24"/>
          <w:lang w:val="en-ZA"/>
        </w:rPr>
        <w:t>:</w:t>
      </w:r>
    </w:p>
    <w:p w14:paraId="71408F97" w14:textId="77777777" w:rsidR="00EB01DA" w:rsidRPr="003673B7" w:rsidRDefault="00EB01DA" w:rsidP="00EB01DA">
      <w:pPr>
        <w:spacing w:after="0" w:line="240" w:lineRule="auto"/>
        <w:ind w:left="0"/>
        <w:rPr>
          <w:rFonts w:eastAsia="Times New Roman" w:cs="Arial"/>
          <w:szCs w:val="24"/>
          <w:lang w:val="en-ZA"/>
        </w:rPr>
      </w:pPr>
    </w:p>
    <w:p w14:paraId="54D191A9" w14:textId="2B4F0E11"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r w:rsidR="00EA46B1">
        <w:rPr>
          <w:rFonts w:eastAsia="Times New Roman" w:cs="Arial"/>
          <w:szCs w:val="24"/>
          <w:lang w:val="en-ZA"/>
        </w:rPr>
        <w:lastRenderedPageBreak/>
        <w:t>B Babha</w:t>
      </w:r>
      <w:r w:rsidRPr="003673B7">
        <w:rPr>
          <w:rFonts w:eastAsia="Times New Roman" w:cs="Arial"/>
          <w:szCs w:val="24"/>
          <w:lang w:val="en-ZA"/>
        </w:rPr>
        <w:t xml:space="preserve"> instructed by </w:t>
      </w:r>
      <w:r w:rsidR="00EA46B1">
        <w:rPr>
          <w:rFonts w:eastAsia="Times New Roman" w:cs="Arial"/>
          <w:szCs w:val="24"/>
          <w:lang w:val="en-ZA"/>
        </w:rPr>
        <w:t>Madhlopa &amp; Thenga Inc</w:t>
      </w:r>
    </w:p>
    <w:p w14:paraId="06CDD957" w14:textId="77777777" w:rsidR="00EB01DA" w:rsidRPr="003673B7" w:rsidRDefault="00EB01DA" w:rsidP="00EB01DA">
      <w:pPr>
        <w:spacing w:after="0" w:line="240" w:lineRule="auto"/>
        <w:ind w:left="0"/>
        <w:rPr>
          <w:rFonts w:eastAsia="Times New Roman" w:cs="Arial"/>
          <w:szCs w:val="24"/>
          <w:lang w:val="en-ZA"/>
        </w:rPr>
      </w:pPr>
    </w:p>
    <w:p w14:paraId="22178306" w14:textId="52899DCD" w:rsidR="002B448C" w:rsidRPr="003673B7" w:rsidRDefault="00EA46B1" w:rsidP="00EB01DA">
      <w:pPr>
        <w:spacing w:after="0" w:line="240" w:lineRule="auto"/>
        <w:ind w:left="0"/>
        <w:rPr>
          <w:rFonts w:cs="Arial"/>
          <w:b/>
          <w:szCs w:val="24"/>
        </w:rPr>
      </w:pPr>
      <w:r>
        <w:rPr>
          <w:rFonts w:eastAsia="Times New Roman" w:cs="Arial"/>
          <w:szCs w:val="24"/>
          <w:lang w:val="en-ZA"/>
        </w:rPr>
        <w:t xml:space="preserve">R Bhima </w:t>
      </w:r>
      <w:r w:rsidR="00EB01DA" w:rsidRPr="003673B7">
        <w:rPr>
          <w:rFonts w:eastAsia="Times New Roman" w:cs="Arial"/>
          <w:szCs w:val="24"/>
          <w:lang w:val="en-ZA"/>
        </w:rPr>
        <w:t xml:space="preserve">instructed by </w:t>
      </w:r>
      <w:r>
        <w:rPr>
          <w:rFonts w:eastAsia="Times New Roman" w:cs="Arial"/>
          <w:szCs w:val="24"/>
          <w:lang w:val="en-ZA"/>
        </w:rPr>
        <w:t>Verton Moodley Associates Inc</w:t>
      </w:r>
    </w:p>
    <w:sectPr w:rsidR="002B448C" w:rsidRPr="003673B7"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B95E4" w14:textId="77777777" w:rsidR="005C17EF" w:rsidRDefault="005C17EF" w:rsidP="00EA46B1">
      <w:pPr>
        <w:spacing w:after="0" w:line="240" w:lineRule="auto"/>
      </w:pPr>
      <w:r>
        <w:separator/>
      </w:r>
    </w:p>
  </w:endnote>
  <w:endnote w:type="continuationSeparator" w:id="0">
    <w:p w14:paraId="4446127F" w14:textId="77777777" w:rsidR="005C17EF" w:rsidRDefault="005C17EF" w:rsidP="00EA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BA532" w14:textId="77777777" w:rsidR="005C17EF" w:rsidRDefault="005C17EF" w:rsidP="00EA46B1">
      <w:pPr>
        <w:spacing w:after="0" w:line="240" w:lineRule="auto"/>
      </w:pPr>
      <w:r>
        <w:separator/>
      </w:r>
    </w:p>
  </w:footnote>
  <w:footnote w:type="continuationSeparator" w:id="0">
    <w:p w14:paraId="34F139AC" w14:textId="77777777" w:rsidR="005C17EF" w:rsidRDefault="005C17EF" w:rsidP="00EA4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672F4EC2"/>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A2"/>
    <w:rsid w:val="000B75F9"/>
    <w:rsid w:val="001C3576"/>
    <w:rsid w:val="001C4D22"/>
    <w:rsid w:val="001C5042"/>
    <w:rsid w:val="001D03CA"/>
    <w:rsid w:val="001E23B2"/>
    <w:rsid w:val="002031C8"/>
    <w:rsid w:val="002573B0"/>
    <w:rsid w:val="00281CE9"/>
    <w:rsid w:val="002B448C"/>
    <w:rsid w:val="002B6099"/>
    <w:rsid w:val="003156A2"/>
    <w:rsid w:val="003673B7"/>
    <w:rsid w:val="00380E9F"/>
    <w:rsid w:val="003B0BEA"/>
    <w:rsid w:val="00503098"/>
    <w:rsid w:val="005C17EF"/>
    <w:rsid w:val="005E3DE9"/>
    <w:rsid w:val="006713EE"/>
    <w:rsid w:val="006D22DF"/>
    <w:rsid w:val="00741844"/>
    <w:rsid w:val="00794DCB"/>
    <w:rsid w:val="007B7F59"/>
    <w:rsid w:val="008E0905"/>
    <w:rsid w:val="00925DA7"/>
    <w:rsid w:val="00960C24"/>
    <w:rsid w:val="009C08C0"/>
    <w:rsid w:val="009E2A10"/>
    <w:rsid w:val="00A83A79"/>
    <w:rsid w:val="00A9155C"/>
    <w:rsid w:val="00B82492"/>
    <w:rsid w:val="00BE460B"/>
    <w:rsid w:val="00CC74C3"/>
    <w:rsid w:val="00EA46B1"/>
    <w:rsid w:val="00EB01DA"/>
    <w:rsid w:val="00EE015D"/>
    <w:rsid w:val="00F36F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E23E"/>
  <w15:chartTrackingRefBased/>
  <w15:docId w15:val="{074004F2-72BB-4B40-B9E3-C4F53F8F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ind w:left="0"/>
    </w:pPr>
    <w:rPr>
      <w:rFonts w:cs="Arial"/>
    </w:rPr>
  </w:style>
  <w:style w:type="paragraph" w:customStyle="1" w:styleId="JudgmentHeading">
    <w:name w:val="Judgment Heading"/>
    <w:basedOn w:val="JudgmentNumbered"/>
    <w:next w:val="JudgmentNumbered"/>
    <w:link w:val="JudgmentHeadingChar"/>
    <w:qFormat/>
    <w:rsid w:val="009C08C0"/>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A4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6B1"/>
    <w:rPr>
      <w:rFonts w:ascii="Arial" w:hAnsi="Arial"/>
      <w:sz w:val="24"/>
      <w:lang w:val="en-GB"/>
    </w:rPr>
  </w:style>
  <w:style w:type="paragraph" w:styleId="Footer">
    <w:name w:val="footer"/>
    <w:basedOn w:val="Normal"/>
    <w:link w:val="FooterChar"/>
    <w:uiPriority w:val="99"/>
    <w:unhideWhenUsed/>
    <w:rsid w:val="00EA4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6B1"/>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acoob\Dropbox\Judgments%20Orders%20Notes\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High Court Judgment Template</Template>
  <TotalTime>1</TotalTime>
  <Pages>5</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Judge-Seena Yacoob</dc:creator>
  <cp:keywords/>
  <dc:description/>
  <cp:lastModifiedBy>Mokone</cp:lastModifiedBy>
  <cp:revision>3</cp:revision>
  <cp:lastPrinted>2023-05-05T10:46:00Z</cp:lastPrinted>
  <dcterms:created xsi:type="dcterms:W3CDTF">2023-05-05T13:58:00Z</dcterms:created>
  <dcterms:modified xsi:type="dcterms:W3CDTF">2023-05-05T13:59:00Z</dcterms:modified>
</cp:coreProperties>
</file>