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45637" w14:textId="77777777" w:rsidR="002B4F8D" w:rsidRPr="007B7F59" w:rsidRDefault="002B4F8D" w:rsidP="002B4F8D">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bookmarkEnd w:id="0"/>
      <w:r w:rsidRPr="007B7F59">
        <w:rPr>
          <w:rFonts w:eastAsia="Times New Roman" w:cs="Arial"/>
          <w:b/>
          <w:noProof/>
          <w:szCs w:val="24"/>
          <w:lang w:val="en-ZA" w:eastAsia="en-ZA"/>
        </w:rPr>
        <w:t>REPUBLIC OF SOUTH AFRICA</w:t>
      </w:r>
    </w:p>
    <w:p w14:paraId="40BC6B53" w14:textId="77777777" w:rsidR="002B4F8D" w:rsidRPr="007B7F59" w:rsidRDefault="002B4F8D" w:rsidP="002B4F8D">
      <w:pPr>
        <w:tabs>
          <w:tab w:val="left" w:pos="2342"/>
          <w:tab w:val="center" w:pos="4513"/>
        </w:tabs>
        <w:spacing w:after="0" w:line="240" w:lineRule="auto"/>
        <w:ind w:left="0"/>
        <w:jc w:val="center"/>
        <w:outlineLvl w:val="0"/>
        <w:rPr>
          <w:rFonts w:eastAsia="Times New Roman" w:cs="Arial"/>
          <w:b/>
          <w:noProof/>
          <w:szCs w:val="24"/>
          <w:lang w:val="en-ZA" w:eastAsia="en-ZA"/>
        </w:rPr>
      </w:pPr>
    </w:p>
    <w:p w14:paraId="176E25D9" w14:textId="77777777" w:rsidR="002B4F8D" w:rsidRPr="007B7F59" w:rsidRDefault="002B4F8D" w:rsidP="002B4F8D">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3BF99AC4" wp14:editId="71B32A71">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7AEAF60" w14:textId="77777777" w:rsidR="002B4F8D" w:rsidRPr="007B7F59" w:rsidRDefault="002B4F8D" w:rsidP="002B4F8D">
      <w:pPr>
        <w:spacing w:after="0" w:line="240" w:lineRule="auto"/>
        <w:ind w:left="0"/>
        <w:jc w:val="center"/>
        <w:outlineLvl w:val="0"/>
        <w:rPr>
          <w:rFonts w:eastAsia="Times New Roman" w:cs="Arial"/>
          <w:b/>
          <w:szCs w:val="24"/>
          <w:lang w:val="en-ZA"/>
        </w:rPr>
      </w:pPr>
    </w:p>
    <w:p w14:paraId="038AE2E6" w14:textId="77777777" w:rsidR="002B4F8D" w:rsidRPr="007B7F59" w:rsidRDefault="002B4F8D" w:rsidP="002B4F8D">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022F5020" w14:textId="77777777" w:rsidR="002B4F8D" w:rsidRPr="007B7F59" w:rsidRDefault="002B4F8D" w:rsidP="002B4F8D">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6C21826F" w14:textId="77777777" w:rsidR="002B4F8D" w:rsidRPr="007B7F59" w:rsidRDefault="002B4F8D" w:rsidP="002B4F8D">
      <w:pPr>
        <w:spacing w:after="0" w:line="240" w:lineRule="auto"/>
        <w:ind w:left="0"/>
        <w:rPr>
          <w:rFonts w:eastAsia="Times New Roman" w:cs="Arial"/>
          <w:szCs w:val="24"/>
          <w:lang w:val="en-ZA"/>
        </w:rPr>
      </w:pPr>
    </w:p>
    <w:p w14:paraId="5C95DFF9" w14:textId="77777777" w:rsidR="002B4F8D" w:rsidRPr="007B7F59" w:rsidRDefault="002B4F8D" w:rsidP="002B4F8D">
      <w:pPr>
        <w:spacing w:after="0" w:line="240" w:lineRule="auto"/>
        <w:ind w:left="0"/>
        <w:rPr>
          <w:rFonts w:eastAsia="Times New Roman" w:cs="Arial"/>
          <w:szCs w:val="24"/>
          <w:lang w:val="en-ZA"/>
        </w:rPr>
      </w:pPr>
    </w:p>
    <w:p w14:paraId="7CBE49C4" w14:textId="77777777" w:rsidR="002B4F8D" w:rsidRDefault="002B4F8D" w:rsidP="002B4F8D">
      <w:pPr>
        <w:tabs>
          <w:tab w:val="right" w:pos="9029"/>
        </w:tabs>
        <w:spacing w:after="0" w:line="240" w:lineRule="auto"/>
        <w:ind w:left="0"/>
        <w:jc w:val="right"/>
        <w:rPr>
          <w:rFonts w:eastAsia="Times New Roman" w:cs="Arial"/>
          <w:bCs/>
          <w:szCs w:val="24"/>
          <w:lang w:val="en-ZA"/>
        </w:rPr>
      </w:pPr>
      <w:r w:rsidRPr="007B7F59">
        <w:rPr>
          <w:rFonts w:eastAsia="Times New Roman" w:cs="Arial"/>
          <w:szCs w:val="24"/>
          <w:lang w:val="en-ZA"/>
        </w:rPr>
        <w:tab/>
      </w:r>
      <w:r>
        <w:rPr>
          <w:rFonts w:eastAsia="Times New Roman" w:cs="Arial"/>
          <w:bCs/>
          <w:szCs w:val="24"/>
          <w:lang w:val="en-ZA"/>
        </w:rPr>
        <w:t xml:space="preserve">Case Number: </w:t>
      </w:r>
      <w:r>
        <w:rPr>
          <w:rFonts w:cs="Arial"/>
        </w:rPr>
        <w:t>2021/18396</w:t>
      </w:r>
    </w:p>
    <w:p w14:paraId="2B20DD24" w14:textId="77777777" w:rsidR="002B4F8D" w:rsidRPr="00103C1F" w:rsidRDefault="002B4F8D" w:rsidP="002B4F8D">
      <w:pPr>
        <w:tabs>
          <w:tab w:val="right" w:pos="9029"/>
        </w:tabs>
        <w:spacing w:after="0" w:line="240" w:lineRule="auto"/>
        <w:ind w:left="0"/>
        <w:rPr>
          <w:rFonts w:eastAsia="Times New Roman" w:cs="Arial"/>
          <w:bCs/>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017017B5" wp14:editId="444A2889">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151A3DA4" w14:textId="77777777" w:rsidR="002B4F8D" w:rsidRPr="003B746C" w:rsidRDefault="002B4F8D" w:rsidP="002B4F8D">
                            <w:pPr>
                              <w:numPr>
                                <w:ilvl w:val="0"/>
                                <w:numId w:val="2"/>
                              </w:numPr>
                              <w:spacing w:after="0" w:line="240" w:lineRule="auto"/>
                              <w:jc w:val="left"/>
                              <w:rPr>
                                <w:rFonts w:cs="Arial"/>
                                <w:sz w:val="18"/>
                                <w:szCs w:val="20"/>
                              </w:rPr>
                            </w:pPr>
                            <w:r w:rsidRPr="003B746C">
                              <w:rPr>
                                <w:rFonts w:cs="Arial"/>
                                <w:sz w:val="18"/>
                                <w:szCs w:val="20"/>
                              </w:rPr>
                              <w:t xml:space="preserve">REPORTABLE: </w:t>
                            </w:r>
                            <w:r w:rsidRPr="00103C1F">
                              <w:rPr>
                                <w:rFonts w:cs="Arial"/>
                                <w:sz w:val="18"/>
                                <w:szCs w:val="20"/>
                              </w:rPr>
                              <w:t>YES / NO</w:t>
                            </w:r>
                          </w:p>
                          <w:p w14:paraId="2ABB8197" w14:textId="77777777" w:rsidR="002B4F8D" w:rsidRPr="003B746C" w:rsidRDefault="002B4F8D" w:rsidP="002B4F8D">
                            <w:pPr>
                              <w:numPr>
                                <w:ilvl w:val="0"/>
                                <w:numId w:val="2"/>
                              </w:numPr>
                              <w:spacing w:after="0" w:line="240" w:lineRule="auto"/>
                              <w:jc w:val="left"/>
                              <w:rPr>
                                <w:rFonts w:cs="Arial"/>
                                <w:sz w:val="18"/>
                                <w:szCs w:val="20"/>
                              </w:rPr>
                            </w:pPr>
                            <w:r w:rsidRPr="003B746C">
                              <w:rPr>
                                <w:rFonts w:cs="Arial"/>
                                <w:sz w:val="18"/>
                                <w:szCs w:val="20"/>
                              </w:rPr>
                              <w:t xml:space="preserve">OF INTEREST TO OTHER JUDGES: </w:t>
                            </w:r>
                            <w:r w:rsidRPr="00103C1F">
                              <w:rPr>
                                <w:rFonts w:cs="Arial"/>
                                <w:sz w:val="18"/>
                                <w:szCs w:val="20"/>
                              </w:rPr>
                              <w:t>YES/NO</w:t>
                            </w:r>
                          </w:p>
                          <w:p w14:paraId="76673C7E" w14:textId="77777777" w:rsidR="002B4F8D" w:rsidRDefault="002B4F8D" w:rsidP="002B4F8D">
                            <w:pPr>
                              <w:numPr>
                                <w:ilvl w:val="0"/>
                                <w:numId w:val="2"/>
                              </w:numPr>
                              <w:spacing w:after="0" w:line="240" w:lineRule="auto"/>
                              <w:jc w:val="left"/>
                              <w:rPr>
                                <w:rFonts w:cs="Arial"/>
                                <w:sz w:val="18"/>
                                <w:szCs w:val="20"/>
                              </w:rPr>
                            </w:pPr>
                            <w:r w:rsidRPr="003B746C">
                              <w:rPr>
                                <w:rFonts w:cs="Arial"/>
                                <w:sz w:val="18"/>
                                <w:szCs w:val="20"/>
                              </w:rPr>
                              <w:t xml:space="preserve">REVISED: </w:t>
                            </w:r>
                            <w:r w:rsidRPr="00103C1F">
                              <w:rPr>
                                <w:rFonts w:cs="Arial"/>
                                <w:sz w:val="18"/>
                                <w:szCs w:val="20"/>
                              </w:rPr>
                              <w:t>YES/NO</w:t>
                            </w:r>
                          </w:p>
                          <w:p w14:paraId="7188A847" w14:textId="77777777" w:rsidR="002B4F8D" w:rsidRPr="003B746C" w:rsidRDefault="002B4F8D" w:rsidP="002B4F8D">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22ACAB66" w14:textId="77777777" w:rsidR="002B4F8D" w:rsidRPr="003B746C" w:rsidRDefault="002B4F8D" w:rsidP="002B4F8D">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5ECE81"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H64BifgAAAACwEAAA8AAABkcnMvZG93bnJldi54&#10;bWxMj0FPwzAMhe9I/IfISFwQS8mgbF3TCYFAcIOB4Jo1XluROKXJuvLvMSe4WHp69vP7yvXknRhx&#10;iF0gDRezDARSHWxHjYa31/vzBYiYDFnjAqGGb4ywro6PSlPYcKAXHDepERxCsTAa2pT6QspYt+hN&#10;nIUeib1dGLxJLIdG2sEcONw7qbIsl950xB9a0+Nti/XnZu81LC4fx4/4NH9+r/OdW6az6/Hha9D6&#10;9GS6W/G4WYFIOKW/C/hl4P5QcbFt2JONwmlgmqRhrkCweaUU6y1v5UsFsirlf4bqBwAA//8DAFBL&#10;AQItABQABgAIAAAAIQC2gziS/gAAAOEBAAATAAAAAAAAAAAAAAAAAAAAAABbQ29udGVudF9UeXBl&#10;c10ueG1sUEsBAi0AFAAGAAgAAAAhADj9If/WAAAAlAEAAAsAAAAAAAAAAAAAAAAALwEAAF9yZWxz&#10;Ly5yZWxzUEsBAi0AFAAGAAgAAAAhAA7EHpooAgAAUQQAAA4AAAAAAAAAAAAAAAAALgIAAGRycy9l&#10;Mm9Eb2MueG1sUEsBAi0AFAAGAAgAAAAhAH64BifgAAAACwEAAA8AAAAAAAAAAAAAAAAAggQAAGRy&#10;cy9kb3ducmV2LnhtbFBLBQYAAAAABAAEAPMAAACPBQAAAAA=&#10;">
                <v:textbox>
                  <w:txbxContent>
                    <w:p w:rsidR="002B4F8D" w:rsidRPr="003B746C" w:rsidRDefault="002B4F8D" w:rsidP="002B4F8D">
                      <w:pPr>
                        <w:numPr>
                          <w:ilvl w:val="0"/>
                          <w:numId w:val="2"/>
                        </w:numPr>
                        <w:spacing w:after="0" w:line="240" w:lineRule="auto"/>
                        <w:jc w:val="left"/>
                        <w:rPr>
                          <w:rFonts w:cs="Arial"/>
                          <w:sz w:val="18"/>
                          <w:szCs w:val="20"/>
                        </w:rPr>
                      </w:pPr>
                      <w:r w:rsidRPr="003B746C">
                        <w:rPr>
                          <w:rFonts w:cs="Arial"/>
                          <w:sz w:val="18"/>
                          <w:szCs w:val="20"/>
                        </w:rPr>
                        <w:t xml:space="preserve">REPORTABLE: </w:t>
                      </w:r>
                      <w:r w:rsidRPr="00103C1F">
                        <w:rPr>
                          <w:rFonts w:cs="Arial"/>
                          <w:sz w:val="18"/>
                          <w:szCs w:val="20"/>
                        </w:rPr>
                        <w:t>YES / NO</w:t>
                      </w:r>
                    </w:p>
                    <w:p w:rsidR="002B4F8D" w:rsidRPr="003B746C" w:rsidRDefault="002B4F8D" w:rsidP="002B4F8D">
                      <w:pPr>
                        <w:numPr>
                          <w:ilvl w:val="0"/>
                          <w:numId w:val="2"/>
                        </w:numPr>
                        <w:spacing w:after="0" w:line="240" w:lineRule="auto"/>
                        <w:jc w:val="left"/>
                        <w:rPr>
                          <w:rFonts w:cs="Arial"/>
                          <w:sz w:val="18"/>
                          <w:szCs w:val="20"/>
                        </w:rPr>
                      </w:pPr>
                      <w:r w:rsidRPr="003B746C">
                        <w:rPr>
                          <w:rFonts w:cs="Arial"/>
                          <w:sz w:val="18"/>
                          <w:szCs w:val="20"/>
                        </w:rPr>
                        <w:t xml:space="preserve">OF INTEREST TO OTHER JUDGES: </w:t>
                      </w:r>
                      <w:r w:rsidRPr="00103C1F">
                        <w:rPr>
                          <w:rFonts w:cs="Arial"/>
                          <w:sz w:val="18"/>
                          <w:szCs w:val="20"/>
                        </w:rPr>
                        <w:t>YES/NO</w:t>
                      </w:r>
                    </w:p>
                    <w:p w:rsidR="002B4F8D" w:rsidRDefault="002B4F8D" w:rsidP="002B4F8D">
                      <w:pPr>
                        <w:numPr>
                          <w:ilvl w:val="0"/>
                          <w:numId w:val="2"/>
                        </w:numPr>
                        <w:spacing w:after="0" w:line="240" w:lineRule="auto"/>
                        <w:jc w:val="left"/>
                        <w:rPr>
                          <w:rFonts w:cs="Arial"/>
                          <w:sz w:val="18"/>
                          <w:szCs w:val="20"/>
                        </w:rPr>
                      </w:pPr>
                      <w:r w:rsidRPr="003B746C">
                        <w:rPr>
                          <w:rFonts w:cs="Arial"/>
                          <w:sz w:val="18"/>
                          <w:szCs w:val="20"/>
                        </w:rPr>
                        <w:t xml:space="preserve">REVISED: </w:t>
                      </w:r>
                      <w:r w:rsidRPr="00103C1F">
                        <w:rPr>
                          <w:rFonts w:cs="Arial"/>
                          <w:sz w:val="18"/>
                          <w:szCs w:val="20"/>
                        </w:rPr>
                        <w:t>YES/NO</w:t>
                      </w:r>
                    </w:p>
                    <w:p w:rsidR="002B4F8D" w:rsidRPr="003B746C" w:rsidRDefault="002B4F8D" w:rsidP="002B4F8D">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rsidR="002B4F8D" w:rsidRPr="003B746C" w:rsidRDefault="002B4F8D" w:rsidP="002B4F8D">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26D06826" w14:textId="77777777" w:rsidR="002B4F8D" w:rsidRPr="007B7F59" w:rsidRDefault="002B4F8D" w:rsidP="002B4F8D">
      <w:pPr>
        <w:tabs>
          <w:tab w:val="left" w:pos="8998"/>
        </w:tabs>
        <w:spacing w:after="0" w:line="240" w:lineRule="auto"/>
        <w:ind w:left="0"/>
        <w:rPr>
          <w:rFonts w:eastAsia="Times New Roman" w:cs="Arial"/>
          <w:szCs w:val="24"/>
          <w:lang w:val="en-ZA"/>
        </w:rPr>
      </w:pPr>
    </w:p>
    <w:p w14:paraId="24384AE1" w14:textId="77777777" w:rsidR="002B4F8D" w:rsidRPr="007B7F59" w:rsidRDefault="002B4F8D" w:rsidP="002B4F8D">
      <w:pPr>
        <w:tabs>
          <w:tab w:val="left" w:pos="8998"/>
        </w:tabs>
        <w:spacing w:after="0" w:line="240" w:lineRule="auto"/>
        <w:ind w:left="0"/>
        <w:rPr>
          <w:rFonts w:eastAsia="Times New Roman" w:cs="Arial"/>
          <w:szCs w:val="24"/>
          <w:lang w:val="en-ZA"/>
        </w:rPr>
      </w:pPr>
    </w:p>
    <w:p w14:paraId="1E9D61BF" w14:textId="77777777" w:rsidR="002B4F8D" w:rsidRPr="007B7F59" w:rsidRDefault="002B4F8D" w:rsidP="002B4F8D">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16BBA538" w14:textId="77777777" w:rsidR="002B4F8D" w:rsidRPr="007B7F59" w:rsidRDefault="002B4F8D" w:rsidP="002B4F8D">
      <w:pPr>
        <w:tabs>
          <w:tab w:val="right" w:pos="9029"/>
        </w:tabs>
        <w:spacing w:after="0" w:line="240" w:lineRule="auto"/>
        <w:ind w:left="0"/>
        <w:rPr>
          <w:rFonts w:eastAsia="Times New Roman" w:cs="Arial"/>
          <w:szCs w:val="24"/>
          <w:lang w:val="en-ZA"/>
        </w:rPr>
      </w:pPr>
    </w:p>
    <w:p w14:paraId="37BE1E1A" w14:textId="77777777" w:rsidR="002B4F8D" w:rsidRPr="007B7F59" w:rsidRDefault="002B4F8D" w:rsidP="002B4F8D">
      <w:pPr>
        <w:tabs>
          <w:tab w:val="right" w:pos="9029"/>
        </w:tabs>
        <w:spacing w:after="0" w:line="240" w:lineRule="auto"/>
        <w:ind w:left="0"/>
        <w:rPr>
          <w:rFonts w:eastAsia="Times New Roman" w:cs="Arial"/>
          <w:szCs w:val="24"/>
          <w:lang w:val="en-ZA"/>
        </w:rPr>
      </w:pPr>
    </w:p>
    <w:p w14:paraId="13958D3C" w14:textId="77777777" w:rsidR="002B4F8D" w:rsidRPr="007B7F59" w:rsidRDefault="002B4F8D" w:rsidP="002B4F8D">
      <w:pPr>
        <w:tabs>
          <w:tab w:val="right" w:pos="9029"/>
        </w:tabs>
        <w:spacing w:after="0" w:line="240" w:lineRule="auto"/>
        <w:ind w:left="0"/>
        <w:contextualSpacing/>
        <w:rPr>
          <w:rFonts w:eastAsia="Times New Roman" w:cs="Arial"/>
          <w:b/>
          <w:szCs w:val="24"/>
          <w:lang w:val="en-ZA"/>
        </w:rPr>
      </w:pPr>
    </w:p>
    <w:p w14:paraId="6B57FCB4" w14:textId="77777777" w:rsidR="002B4F8D" w:rsidRPr="007B7F59" w:rsidRDefault="002B4F8D" w:rsidP="002B4F8D">
      <w:pPr>
        <w:tabs>
          <w:tab w:val="right" w:pos="9029"/>
        </w:tabs>
        <w:spacing w:after="0" w:line="240" w:lineRule="auto"/>
        <w:ind w:left="0"/>
        <w:contextualSpacing/>
        <w:rPr>
          <w:rFonts w:eastAsia="Times New Roman" w:cs="Arial"/>
          <w:b/>
          <w:szCs w:val="24"/>
          <w:lang w:val="en-ZA"/>
        </w:rPr>
      </w:pPr>
    </w:p>
    <w:p w14:paraId="2986714A" w14:textId="77777777" w:rsidR="002B4F8D" w:rsidRPr="001C329A" w:rsidRDefault="002B4F8D" w:rsidP="002B4F8D">
      <w:pPr>
        <w:tabs>
          <w:tab w:val="right" w:pos="9029"/>
        </w:tabs>
        <w:spacing w:after="0" w:line="240" w:lineRule="auto"/>
        <w:ind w:left="0"/>
        <w:contextualSpacing/>
        <w:rPr>
          <w:rFonts w:eastAsia="Times New Roman" w:cs="Arial"/>
          <w:szCs w:val="24"/>
        </w:rPr>
      </w:pPr>
      <w:r w:rsidRPr="00103C1F">
        <w:rPr>
          <w:rFonts w:eastAsia="Times New Roman" w:cs="Arial"/>
          <w:szCs w:val="24"/>
        </w:rPr>
        <w:t xml:space="preserve">In the </w:t>
      </w:r>
      <w:r>
        <w:rPr>
          <w:rFonts w:eastAsia="Times New Roman" w:cs="Arial"/>
          <w:szCs w:val="24"/>
        </w:rPr>
        <w:t>matter between:</w:t>
      </w:r>
    </w:p>
    <w:p w14:paraId="25B4ECF1" w14:textId="77777777" w:rsidR="002B4F8D" w:rsidRPr="007B7F59" w:rsidRDefault="002B4F8D" w:rsidP="002B4F8D">
      <w:pPr>
        <w:tabs>
          <w:tab w:val="right" w:pos="9029"/>
        </w:tabs>
        <w:spacing w:after="0" w:line="240" w:lineRule="auto"/>
        <w:ind w:left="0"/>
        <w:contextualSpacing/>
        <w:rPr>
          <w:rFonts w:eastAsia="Times New Roman" w:cs="Arial"/>
          <w:szCs w:val="24"/>
          <w:lang w:val="en-ZA"/>
        </w:rPr>
      </w:pPr>
    </w:p>
    <w:p w14:paraId="28F290D9" w14:textId="77777777" w:rsidR="002B4F8D" w:rsidRPr="007B7F59" w:rsidRDefault="002B4F8D" w:rsidP="002B4F8D">
      <w:pPr>
        <w:tabs>
          <w:tab w:val="right" w:pos="9029"/>
        </w:tabs>
        <w:spacing w:after="0" w:line="240" w:lineRule="auto"/>
        <w:ind w:left="0"/>
        <w:contextualSpacing/>
        <w:rPr>
          <w:rFonts w:eastAsia="Times New Roman" w:cs="Arial"/>
          <w:b/>
          <w:szCs w:val="24"/>
          <w:lang w:val="en-ZA"/>
        </w:rPr>
      </w:pPr>
    </w:p>
    <w:p w14:paraId="7CABB09E" w14:textId="77777777" w:rsidR="002B4F8D" w:rsidRPr="007B7F59" w:rsidRDefault="002B4F8D" w:rsidP="002B4F8D">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 xml:space="preserve">SUSAN MIRIAM MSOMI </w:t>
      </w:r>
      <w:r w:rsidRPr="007B7F59">
        <w:rPr>
          <w:rFonts w:eastAsia="Times New Roman" w:cs="Arial"/>
          <w:b/>
          <w:szCs w:val="24"/>
          <w:lang w:val="en-ZA"/>
        </w:rPr>
        <w:tab/>
      </w:r>
      <w:r w:rsidRPr="007B7F59">
        <w:rPr>
          <w:rFonts w:eastAsia="Times New Roman" w:cs="Arial"/>
          <w:szCs w:val="24"/>
          <w:lang w:val="en-ZA"/>
        </w:rPr>
        <w:t>Applicant</w:t>
      </w:r>
    </w:p>
    <w:p w14:paraId="61A38ACB" w14:textId="77777777" w:rsidR="002B4F8D" w:rsidRPr="007B7F59" w:rsidRDefault="002B4F8D" w:rsidP="002B4F8D">
      <w:pPr>
        <w:tabs>
          <w:tab w:val="right" w:pos="9029"/>
        </w:tabs>
        <w:spacing w:after="0" w:line="240" w:lineRule="auto"/>
        <w:ind w:left="0"/>
        <w:contextualSpacing/>
        <w:rPr>
          <w:rFonts w:eastAsia="Times New Roman" w:cs="Arial"/>
          <w:szCs w:val="24"/>
          <w:lang w:val="en-ZA"/>
        </w:rPr>
      </w:pPr>
    </w:p>
    <w:p w14:paraId="5A106F14" w14:textId="77777777" w:rsidR="002B4F8D" w:rsidRDefault="002B4F8D" w:rsidP="002B4F8D">
      <w:pPr>
        <w:tabs>
          <w:tab w:val="right" w:pos="9029"/>
        </w:tabs>
        <w:spacing w:line="240" w:lineRule="auto"/>
        <w:ind w:left="0"/>
        <w:contextualSpacing/>
        <w:rPr>
          <w:rFonts w:eastAsia="Times New Roman" w:cs="Arial"/>
          <w:b/>
          <w:szCs w:val="24"/>
        </w:rPr>
      </w:pPr>
    </w:p>
    <w:p w14:paraId="43822A3B" w14:textId="77777777" w:rsidR="002B4F8D" w:rsidRDefault="002B4F8D" w:rsidP="002B4F8D">
      <w:pPr>
        <w:tabs>
          <w:tab w:val="right" w:pos="9029"/>
        </w:tabs>
        <w:spacing w:line="240" w:lineRule="auto"/>
        <w:ind w:left="0"/>
        <w:contextualSpacing/>
        <w:rPr>
          <w:rFonts w:eastAsia="Times New Roman" w:cs="Arial"/>
          <w:szCs w:val="24"/>
          <w:lang w:val="en-ZA"/>
        </w:rPr>
      </w:pPr>
      <w:r w:rsidRPr="00103C1F">
        <w:rPr>
          <w:rFonts w:eastAsia="Times New Roman" w:cs="Arial"/>
          <w:b/>
          <w:szCs w:val="24"/>
          <w:lang w:val="en-ZA"/>
        </w:rPr>
        <w:tab/>
      </w:r>
    </w:p>
    <w:p w14:paraId="739AFCB6" w14:textId="77777777" w:rsidR="002B4F8D" w:rsidRPr="002B4F8D" w:rsidRDefault="002B4F8D" w:rsidP="002B4F8D">
      <w:pPr>
        <w:pStyle w:val="JudgmentNumbered"/>
        <w:numPr>
          <w:ilvl w:val="0"/>
          <w:numId w:val="0"/>
        </w:numPr>
        <w:ind w:left="567" w:hanging="567"/>
        <w:rPr>
          <w:rFonts w:eastAsia="Times New Roman"/>
          <w:szCs w:val="24"/>
          <w:lang w:val="en-ZA"/>
        </w:rPr>
      </w:pPr>
      <w:r>
        <w:t xml:space="preserve">and </w:t>
      </w:r>
      <w:r>
        <w:rPr>
          <w:b/>
        </w:rPr>
        <w:tab/>
      </w:r>
      <w:r>
        <w:rPr>
          <w:b/>
        </w:rPr>
        <w:tab/>
      </w:r>
      <w:r>
        <w:rPr>
          <w:b/>
        </w:rPr>
        <w:tab/>
      </w:r>
      <w:r>
        <w:rPr>
          <w:b/>
        </w:rPr>
        <w:tab/>
      </w:r>
      <w:r>
        <w:rPr>
          <w:b/>
        </w:rPr>
        <w:tab/>
      </w:r>
      <w:r>
        <w:rPr>
          <w:b/>
        </w:rPr>
        <w:tab/>
        <w:t xml:space="preserve">  </w:t>
      </w:r>
    </w:p>
    <w:p w14:paraId="1BDDC5CF" w14:textId="77777777" w:rsidR="002B4F8D" w:rsidRDefault="002B4F8D" w:rsidP="002B4F8D">
      <w:pPr>
        <w:tabs>
          <w:tab w:val="right" w:pos="9029"/>
        </w:tabs>
        <w:spacing w:after="0"/>
        <w:ind w:left="0"/>
        <w:contextualSpacing/>
        <w:rPr>
          <w:rFonts w:cs="Arial"/>
          <w:szCs w:val="24"/>
        </w:rPr>
      </w:pPr>
      <w:r>
        <w:rPr>
          <w:rFonts w:cs="Arial"/>
          <w:b/>
          <w:szCs w:val="24"/>
        </w:rPr>
        <w:t>FAITH MBALI MABUZA</w:t>
      </w:r>
      <w:r>
        <w:rPr>
          <w:rFonts w:cs="Arial"/>
          <w:b/>
          <w:szCs w:val="24"/>
        </w:rPr>
        <w:tab/>
      </w:r>
      <w:r w:rsidR="00523C07" w:rsidRPr="00523C07">
        <w:rPr>
          <w:rFonts w:cs="Arial"/>
          <w:szCs w:val="24"/>
        </w:rPr>
        <w:t>First</w:t>
      </w:r>
      <w:r w:rsidR="00523C07">
        <w:rPr>
          <w:rFonts w:cs="Arial"/>
          <w:b/>
          <w:szCs w:val="24"/>
        </w:rPr>
        <w:t xml:space="preserve"> </w:t>
      </w:r>
      <w:r>
        <w:rPr>
          <w:rFonts w:cs="Arial"/>
          <w:szCs w:val="24"/>
        </w:rPr>
        <w:t>Respondent</w:t>
      </w:r>
    </w:p>
    <w:p w14:paraId="25FA5B0F" w14:textId="77777777" w:rsidR="00523C07" w:rsidRPr="00523C07" w:rsidRDefault="00523C07" w:rsidP="002B4F8D">
      <w:pPr>
        <w:tabs>
          <w:tab w:val="right" w:pos="9029"/>
        </w:tabs>
        <w:spacing w:after="0"/>
        <w:ind w:left="0"/>
        <w:contextualSpacing/>
        <w:rPr>
          <w:rFonts w:cs="Arial"/>
          <w:szCs w:val="24"/>
        </w:rPr>
      </w:pPr>
      <w:r>
        <w:rPr>
          <w:rFonts w:cs="Arial"/>
          <w:b/>
          <w:szCs w:val="24"/>
        </w:rPr>
        <w:t xml:space="preserve">CITY OF JOHANNESBURG METROPOLITAN </w:t>
      </w:r>
      <w:r>
        <w:rPr>
          <w:rFonts w:cs="Arial"/>
          <w:b/>
          <w:szCs w:val="24"/>
        </w:rPr>
        <w:tab/>
      </w:r>
      <w:r>
        <w:rPr>
          <w:rFonts w:cs="Arial"/>
          <w:szCs w:val="24"/>
        </w:rPr>
        <w:t xml:space="preserve">Second Respondent </w:t>
      </w:r>
    </w:p>
    <w:p w14:paraId="10842585" w14:textId="77777777" w:rsidR="007C462F" w:rsidRDefault="007C462F" w:rsidP="007C462F">
      <w:pPr>
        <w:tabs>
          <w:tab w:val="right" w:pos="9029"/>
        </w:tabs>
        <w:spacing w:after="0"/>
        <w:ind w:left="0"/>
        <w:contextualSpacing/>
        <w:rPr>
          <w:rFonts w:cs="Arial"/>
          <w:b/>
          <w:szCs w:val="24"/>
        </w:rPr>
      </w:pPr>
      <w:r>
        <w:rPr>
          <w:rFonts w:cs="Arial"/>
          <w:b/>
          <w:szCs w:val="24"/>
        </w:rPr>
        <w:t>MUNICIPALITY</w:t>
      </w:r>
    </w:p>
    <w:p w14:paraId="38A01557" w14:textId="77777777" w:rsidR="002B4F8D" w:rsidRPr="007C462F" w:rsidRDefault="007C462F" w:rsidP="007C462F">
      <w:pPr>
        <w:tabs>
          <w:tab w:val="right" w:pos="9029"/>
        </w:tabs>
        <w:spacing w:after="0"/>
        <w:ind w:left="0"/>
        <w:contextualSpacing/>
        <w:rPr>
          <w:rFonts w:cs="Arial"/>
          <w:b/>
          <w:szCs w:val="24"/>
        </w:rPr>
      </w:pPr>
      <w:r>
        <w:rPr>
          <w:rFonts w:cs="Arial"/>
          <w:b/>
          <w:szCs w:val="24"/>
        </w:rPr>
        <w:tab/>
      </w:r>
    </w:p>
    <w:p w14:paraId="705F8305" w14:textId="77777777" w:rsidR="002B4F8D" w:rsidRPr="007C462F" w:rsidRDefault="002B4F8D" w:rsidP="007C462F">
      <w:pPr>
        <w:pStyle w:val="JudgmentNumbered"/>
        <w:numPr>
          <w:ilvl w:val="0"/>
          <w:numId w:val="0"/>
        </w:numPr>
      </w:pPr>
      <w:r>
        <w:t xml:space="preserve">Neutral Citation: </w:t>
      </w:r>
      <w:r w:rsidR="000F61B4" w:rsidRPr="007C462F">
        <w:rPr>
          <w:i/>
        </w:rPr>
        <w:t xml:space="preserve">SUSAN MIRIAM MSOMI v FAITH MBALI MABUZA &amp; CITY OF JOHANNESBURG </w:t>
      </w:r>
      <w:proofErr w:type="gramStart"/>
      <w:r w:rsidR="000F61B4" w:rsidRPr="007C462F">
        <w:rPr>
          <w:i/>
        </w:rPr>
        <w:t>METROPOLITAN  MUNICIPALITY</w:t>
      </w:r>
      <w:proofErr w:type="gramEnd"/>
      <w:r w:rsidR="000F61B4">
        <w:t xml:space="preserve"> (Case No</w:t>
      </w:r>
      <w:r w:rsidR="000F61B4" w:rsidRPr="000F61B4">
        <w:t>: 2021/18396</w:t>
      </w:r>
      <w:r w:rsidR="000F61B4">
        <w:t xml:space="preserve">) </w:t>
      </w:r>
      <w:r w:rsidR="007C462F" w:rsidRPr="007C462F">
        <w:t xml:space="preserve">[2023] </w:t>
      </w:r>
      <w:r w:rsidR="007C462F">
        <w:t xml:space="preserve">ZAGPJHC  455  </w:t>
      </w:r>
      <w:r w:rsidR="00A64D3D">
        <w:t>(11</w:t>
      </w:r>
      <w:r w:rsidR="007C462F" w:rsidRPr="007C462F">
        <w:t xml:space="preserve"> May 2023)</w:t>
      </w:r>
    </w:p>
    <w:p w14:paraId="1B323D8C" w14:textId="77777777" w:rsidR="002B4F8D" w:rsidRPr="007B7F59" w:rsidRDefault="002B4F8D" w:rsidP="002B4F8D">
      <w:pPr>
        <w:pBdr>
          <w:bottom w:val="single" w:sz="12" w:space="1" w:color="auto"/>
        </w:pBdr>
        <w:spacing w:after="0" w:line="240" w:lineRule="auto"/>
        <w:ind w:left="0"/>
        <w:jc w:val="left"/>
        <w:rPr>
          <w:rFonts w:cs="Arial"/>
          <w:b/>
          <w:szCs w:val="24"/>
          <w:lang w:val="en-ZA"/>
        </w:rPr>
      </w:pPr>
    </w:p>
    <w:p w14:paraId="716FD888" w14:textId="77777777" w:rsidR="002B4F8D" w:rsidRPr="007B7F59" w:rsidRDefault="002B4F8D" w:rsidP="002B4F8D">
      <w:pPr>
        <w:spacing w:after="0" w:line="240" w:lineRule="auto"/>
        <w:ind w:left="1440" w:hanging="1440"/>
        <w:jc w:val="left"/>
        <w:rPr>
          <w:rFonts w:cs="Arial"/>
          <w:b/>
          <w:szCs w:val="24"/>
        </w:rPr>
      </w:pPr>
    </w:p>
    <w:p w14:paraId="6AD2CDD8" w14:textId="77777777" w:rsidR="002B4F8D" w:rsidRPr="007B7F59" w:rsidRDefault="002B4F8D" w:rsidP="002B4F8D">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342FBBCC" w14:textId="77777777" w:rsidR="002B4F8D" w:rsidRDefault="002B4F8D" w:rsidP="002B4F8D">
      <w:pPr>
        <w:spacing w:after="0" w:line="240" w:lineRule="auto"/>
        <w:ind w:left="1134" w:hanging="1156"/>
        <w:rPr>
          <w:rFonts w:eastAsia="Times New Roman" w:cs="Arial"/>
          <w:color w:val="000000"/>
          <w:szCs w:val="24"/>
        </w:rPr>
      </w:pPr>
      <w:r w:rsidRPr="00103C1F">
        <w:rPr>
          <w:rFonts w:eastAsia="Times New Roman" w:cs="Arial"/>
          <w:color w:val="000000"/>
          <w:szCs w:val="24"/>
        </w:rPr>
        <w:lastRenderedPageBreak/>
        <w:t>MALUNGANA AJ</w:t>
      </w:r>
    </w:p>
    <w:p w14:paraId="26446358" w14:textId="77777777" w:rsidR="002B4F8D" w:rsidRDefault="002B4F8D" w:rsidP="002B4F8D">
      <w:pPr>
        <w:spacing w:after="0" w:line="240" w:lineRule="auto"/>
        <w:ind w:left="1134" w:hanging="1156"/>
        <w:rPr>
          <w:rFonts w:eastAsia="Times New Roman" w:cs="Arial"/>
          <w:color w:val="000000"/>
          <w:szCs w:val="24"/>
        </w:rPr>
      </w:pPr>
    </w:p>
    <w:p w14:paraId="28A3DF77" w14:textId="77777777" w:rsidR="002B4F8D" w:rsidRDefault="002B4F8D" w:rsidP="002B4F8D">
      <w:pPr>
        <w:spacing w:after="0" w:line="240" w:lineRule="auto"/>
        <w:ind w:left="1134" w:hanging="1156"/>
        <w:rPr>
          <w:rFonts w:eastAsia="Times New Roman" w:cs="Arial"/>
          <w:color w:val="000000"/>
          <w:szCs w:val="24"/>
        </w:rPr>
      </w:pPr>
      <w:r>
        <w:rPr>
          <w:rFonts w:eastAsia="Times New Roman" w:cs="Arial"/>
          <w:color w:val="000000"/>
          <w:szCs w:val="24"/>
        </w:rPr>
        <w:t xml:space="preserve">[1] </w:t>
      </w:r>
      <w:r>
        <w:rPr>
          <w:rFonts w:eastAsia="Times New Roman" w:cs="Arial"/>
          <w:color w:val="000000"/>
          <w:szCs w:val="24"/>
        </w:rPr>
        <w:tab/>
      </w:r>
      <w:r w:rsidR="00ED46E2">
        <w:rPr>
          <w:rFonts w:eastAsia="Times New Roman" w:cs="Arial"/>
          <w:color w:val="000000"/>
          <w:szCs w:val="24"/>
        </w:rPr>
        <w:t xml:space="preserve">On 14 April 2021, the applicant, an adult female </w:t>
      </w:r>
      <w:r w:rsidR="00761C1A">
        <w:rPr>
          <w:rFonts w:eastAsia="Times New Roman" w:cs="Arial"/>
          <w:color w:val="000000"/>
          <w:szCs w:val="24"/>
        </w:rPr>
        <w:t>pensioner</w:t>
      </w:r>
      <w:r w:rsidR="00ED46E2">
        <w:rPr>
          <w:rFonts w:eastAsia="Times New Roman" w:cs="Arial"/>
          <w:color w:val="000000"/>
          <w:szCs w:val="24"/>
        </w:rPr>
        <w:t xml:space="preserve"> instituted eviction proceedings against the </w:t>
      </w:r>
      <w:r w:rsidR="00B94CC5">
        <w:rPr>
          <w:rFonts w:eastAsia="Times New Roman" w:cs="Arial"/>
          <w:color w:val="000000"/>
          <w:szCs w:val="24"/>
        </w:rPr>
        <w:t xml:space="preserve">first </w:t>
      </w:r>
      <w:r w:rsidR="00ED46E2">
        <w:rPr>
          <w:rFonts w:eastAsia="Times New Roman" w:cs="Arial"/>
          <w:color w:val="000000"/>
          <w:szCs w:val="24"/>
        </w:rPr>
        <w:t>respondent and any person occupying the premises through her, in terms of the provisions of the Prevention of Illegal Eviction from and Unlawful Occupation of land Act, 19 of 1998 (“</w:t>
      </w:r>
      <w:r w:rsidR="00523C07">
        <w:rPr>
          <w:rFonts w:eastAsia="Times New Roman" w:cs="Arial"/>
          <w:color w:val="000000"/>
          <w:szCs w:val="24"/>
        </w:rPr>
        <w:t xml:space="preserve">the </w:t>
      </w:r>
      <w:r w:rsidR="00ED46E2">
        <w:rPr>
          <w:rFonts w:eastAsia="Times New Roman" w:cs="Arial"/>
          <w:color w:val="000000"/>
          <w:szCs w:val="24"/>
        </w:rPr>
        <w:t>PIE</w:t>
      </w:r>
      <w:r w:rsidR="00523C07">
        <w:rPr>
          <w:rFonts w:eastAsia="Times New Roman" w:cs="Arial"/>
          <w:color w:val="000000"/>
          <w:szCs w:val="24"/>
        </w:rPr>
        <w:t xml:space="preserve"> ACT</w:t>
      </w:r>
      <w:r w:rsidR="00ED46E2">
        <w:rPr>
          <w:rFonts w:eastAsia="Times New Roman" w:cs="Arial"/>
          <w:color w:val="000000"/>
          <w:szCs w:val="24"/>
        </w:rPr>
        <w:t>”).</w:t>
      </w:r>
      <w:r w:rsidR="00523C07">
        <w:rPr>
          <w:rFonts w:eastAsia="Times New Roman" w:cs="Arial"/>
          <w:color w:val="000000"/>
          <w:szCs w:val="24"/>
        </w:rPr>
        <w:t xml:space="preserve"> The City of Johannesburg Metropolitan Municipality was joined as a third respondent.</w:t>
      </w:r>
    </w:p>
    <w:p w14:paraId="31C0B06C" w14:textId="77777777" w:rsidR="00ED46E2" w:rsidRDefault="00ED46E2" w:rsidP="002B4F8D">
      <w:pPr>
        <w:spacing w:after="0" w:line="240" w:lineRule="auto"/>
        <w:ind w:left="1134" w:hanging="1156"/>
        <w:rPr>
          <w:rFonts w:eastAsia="Times New Roman" w:cs="Arial"/>
          <w:color w:val="000000"/>
          <w:szCs w:val="24"/>
        </w:rPr>
      </w:pPr>
    </w:p>
    <w:p w14:paraId="483CF10E" w14:textId="77777777" w:rsidR="00ED46E2" w:rsidRDefault="00ED46E2" w:rsidP="002B4F8D">
      <w:pPr>
        <w:spacing w:after="0" w:line="240" w:lineRule="auto"/>
        <w:ind w:left="1134" w:hanging="1156"/>
        <w:rPr>
          <w:rFonts w:eastAsia="Times New Roman" w:cs="Arial"/>
          <w:color w:val="000000"/>
          <w:szCs w:val="24"/>
        </w:rPr>
      </w:pPr>
      <w:r>
        <w:rPr>
          <w:rFonts w:eastAsia="Times New Roman" w:cs="Arial"/>
          <w:color w:val="000000"/>
          <w:szCs w:val="24"/>
        </w:rPr>
        <w:t>[2]</w:t>
      </w:r>
      <w:r>
        <w:rPr>
          <w:rFonts w:eastAsia="Times New Roman" w:cs="Arial"/>
          <w:color w:val="000000"/>
          <w:szCs w:val="24"/>
        </w:rPr>
        <w:tab/>
        <w:t>The respondent opposes the application and has since filed an answering affidavit through her erstwhile attorneys.</w:t>
      </w:r>
    </w:p>
    <w:p w14:paraId="64F88D69" w14:textId="77777777" w:rsidR="00ED46E2" w:rsidRDefault="00ED46E2" w:rsidP="002B4F8D">
      <w:pPr>
        <w:spacing w:after="0" w:line="240" w:lineRule="auto"/>
        <w:ind w:left="1134" w:hanging="1156"/>
        <w:rPr>
          <w:rFonts w:eastAsia="Times New Roman" w:cs="Arial"/>
          <w:color w:val="000000"/>
          <w:szCs w:val="24"/>
        </w:rPr>
      </w:pPr>
    </w:p>
    <w:p w14:paraId="2E55E17E" w14:textId="77777777" w:rsidR="00ED46E2" w:rsidRDefault="00ED46E2" w:rsidP="002B4F8D">
      <w:pPr>
        <w:spacing w:after="0" w:line="240" w:lineRule="auto"/>
        <w:ind w:left="1134" w:hanging="1156"/>
        <w:rPr>
          <w:rFonts w:eastAsia="Times New Roman" w:cs="Arial"/>
          <w:color w:val="000000"/>
          <w:szCs w:val="24"/>
        </w:rPr>
      </w:pPr>
      <w:r>
        <w:rPr>
          <w:rFonts w:eastAsia="Times New Roman" w:cs="Arial"/>
          <w:color w:val="000000"/>
          <w:szCs w:val="24"/>
        </w:rPr>
        <w:t>[3]</w:t>
      </w:r>
      <w:r>
        <w:rPr>
          <w:rFonts w:eastAsia="Times New Roman" w:cs="Arial"/>
          <w:color w:val="000000"/>
          <w:szCs w:val="24"/>
        </w:rPr>
        <w:tab/>
      </w:r>
      <w:r w:rsidR="00B94CC5">
        <w:rPr>
          <w:rFonts w:eastAsia="Times New Roman" w:cs="Arial"/>
          <w:color w:val="000000"/>
          <w:szCs w:val="24"/>
        </w:rPr>
        <w:t>The applicant contends in her founding papers that she is the owner of the immovable property situated at 438 Kodi Street, Protea North (“the property”), within the area of jurisdiction of this Court. She purchased the said property in cash through the estate agent named in the founding affidavit.</w:t>
      </w:r>
      <w:r w:rsidR="00B94CC5">
        <w:rPr>
          <w:rStyle w:val="FootnoteReference"/>
          <w:rFonts w:eastAsia="Times New Roman" w:cs="Arial"/>
          <w:color w:val="000000"/>
          <w:szCs w:val="24"/>
        </w:rPr>
        <w:footnoteReference w:id="1"/>
      </w:r>
      <w:r w:rsidR="00B94CC5">
        <w:rPr>
          <w:rFonts w:eastAsia="Times New Roman" w:cs="Arial"/>
          <w:color w:val="000000"/>
          <w:szCs w:val="24"/>
        </w:rPr>
        <w:t xml:space="preserve"> The estate agent informed her that there was a tenant in the property who would vacate in three months’ time.</w:t>
      </w:r>
    </w:p>
    <w:p w14:paraId="2FB86B47" w14:textId="77777777" w:rsidR="00B94CC5" w:rsidRDefault="00B94CC5" w:rsidP="002B4F8D">
      <w:pPr>
        <w:spacing w:after="0" w:line="240" w:lineRule="auto"/>
        <w:ind w:left="1134" w:hanging="1156"/>
        <w:rPr>
          <w:rFonts w:eastAsia="Times New Roman" w:cs="Arial"/>
          <w:color w:val="000000"/>
          <w:szCs w:val="24"/>
        </w:rPr>
      </w:pPr>
    </w:p>
    <w:p w14:paraId="50F847BA" w14:textId="77777777" w:rsidR="00B94CC5" w:rsidRDefault="00B94CC5" w:rsidP="002B4F8D">
      <w:pPr>
        <w:spacing w:after="0" w:line="240" w:lineRule="auto"/>
        <w:ind w:left="1134" w:hanging="1156"/>
        <w:rPr>
          <w:rFonts w:eastAsia="Times New Roman" w:cs="Arial"/>
          <w:color w:val="000000"/>
          <w:szCs w:val="24"/>
        </w:rPr>
      </w:pPr>
      <w:r>
        <w:rPr>
          <w:rFonts w:eastAsia="Times New Roman" w:cs="Arial"/>
          <w:color w:val="000000"/>
          <w:szCs w:val="24"/>
        </w:rPr>
        <w:t>[4]</w:t>
      </w:r>
      <w:r>
        <w:rPr>
          <w:rFonts w:eastAsia="Times New Roman" w:cs="Arial"/>
          <w:color w:val="000000"/>
          <w:szCs w:val="24"/>
        </w:rPr>
        <w:tab/>
        <w:t xml:space="preserve">Owing to the long delay in registering the property into her she discovered that the tenant was the first respondent. She also found out that the property was being sold by the bank after the first respondent </w:t>
      </w:r>
      <w:r w:rsidR="004118BB">
        <w:rPr>
          <w:rFonts w:eastAsia="Times New Roman" w:cs="Arial"/>
          <w:color w:val="000000"/>
          <w:szCs w:val="24"/>
        </w:rPr>
        <w:t xml:space="preserve">defaulted </w:t>
      </w:r>
      <w:r>
        <w:rPr>
          <w:rFonts w:eastAsia="Times New Roman" w:cs="Arial"/>
          <w:color w:val="000000"/>
          <w:szCs w:val="24"/>
        </w:rPr>
        <w:t>with her loan repayments</w:t>
      </w:r>
      <w:r w:rsidR="004118BB">
        <w:rPr>
          <w:rFonts w:eastAsia="Times New Roman" w:cs="Arial"/>
          <w:color w:val="000000"/>
          <w:szCs w:val="24"/>
        </w:rPr>
        <w:t xml:space="preserve"> with Eskom where she worked at the time. </w:t>
      </w:r>
    </w:p>
    <w:p w14:paraId="5FE4889B" w14:textId="77777777" w:rsidR="004118BB" w:rsidRDefault="004118BB" w:rsidP="002B4F8D">
      <w:pPr>
        <w:spacing w:after="0" w:line="240" w:lineRule="auto"/>
        <w:ind w:left="1134" w:hanging="1156"/>
        <w:rPr>
          <w:rFonts w:eastAsia="Times New Roman" w:cs="Arial"/>
          <w:color w:val="000000"/>
          <w:szCs w:val="24"/>
        </w:rPr>
      </w:pPr>
    </w:p>
    <w:p w14:paraId="5D597A93" w14:textId="77777777" w:rsidR="004118BB" w:rsidRDefault="004118BB" w:rsidP="002B4F8D">
      <w:pPr>
        <w:spacing w:after="0" w:line="240" w:lineRule="auto"/>
        <w:ind w:left="1134" w:hanging="1156"/>
        <w:rPr>
          <w:rFonts w:eastAsia="Times New Roman" w:cs="Arial"/>
          <w:color w:val="000000"/>
          <w:szCs w:val="24"/>
        </w:rPr>
      </w:pPr>
      <w:r>
        <w:rPr>
          <w:rFonts w:eastAsia="Times New Roman" w:cs="Arial"/>
          <w:color w:val="000000"/>
          <w:szCs w:val="24"/>
        </w:rPr>
        <w:t>[5]</w:t>
      </w:r>
      <w:r>
        <w:rPr>
          <w:rFonts w:eastAsia="Times New Roman" w:cs="Arial"/>
          <w:color w:val="000000"/>
          <w:szCs w:val="24"/>
        </w:rPr>
        <w:tab/>
        <w:t>The applicant further contend that the first respondent is in unlawful occupation of the property, in that she occupies the property without her consent and lawful reason. She has a legal right to take possession of the property.</w:t>
      </w:r>
    </w:p>
    <w:p w14:paraId="4CC03231" w14:textId="77777777" w:rsidR="004118BB" w:rsidRDefault="004118BB" w:rsidP="002B4F8D">
      <w:pPr>
        <w:spacing w:after="0" w:line="240" w:lineRule="auto"/>
        <w:ind w:left="1134" w:hanging="1156"/>
        <w:rPr>
          <w:rFonts w:eastAsia="Times New Roman" w:cs="Arial"/>
          <w:color w:val="000000"/>
          <w:szCs w:val="24"/>
        </w:rPr>
      </w:pPr>
    </w:p>
    <w:p w14:paraId="04526503" w14:textId="77777777" w:rsidR="004118BB" w:rsidRDefault="004118BB" w:rsidP="002B4F8D">
      <w:pPr>
        <w:spacing w:after="0" w:line="240" w:lineRule="auto"/>
        <w:ind w:left="1134" w:hanging="1156"/>
        <w:rPr>
          <w:rFonts w:eastAsia="Times New Roman" w:cs="Arial"/>
          <w:color w:val="000000"/>
          <w:szCs w:val="24"/>
        </w:rPr>
      </w:pPr>
      <w:r>
        <w:rPr>
          <w:rFonts w:eastAsia="Times New Roman" w:cs="Arial"/>
          <w:color w:val="000000"/>
          <w:szCs w:val="24"/>
        </w:rPr>
        <w:t>[6]</w:t>
      </w:r>
      <w:r>
        <w:rPr>
          <w:rFonts w:eastAsia="Times New Roman" w:cs="Arial"/>
          <w:color w:val="000000"/>
          <w:szCs w:val="24"/>
        </w:rPr>
        <w:tab/>
        <w:t xml:space="preserve">The ground given by the first respondent for her continuous occupation of the property was that she had filed a rescission application challenging ownership of the property in question. </w:t>
      </w:r>
    </w:p>
    <w:p w14:paraId="67F9C415" w14:textId="77777777" w:rsidR="00235B44" w:rsidRDefault="00235B44" w:rsidP="002B4F8D">
      <w:pPr>
        <w:spacing w:after="0" w:line="240" w:lineRule="auto"/>
        <w:ind w:left="1134" w:hanging="1156"/>
        <w:rPr>
          <w:rFonts w:eastAsia="Times New Roman" w:cs="Arial"/>
          <w:color w:val="000000"/>
          <w:szCs w:val="24"/>
        </w:rPr>
      </w:pPr>
    </w:p>
    <w:p w14:paraId="73E448F8" w14:textId="77777777" w:rsidR="00235B44" w:rsidRDefault="00235B44" w:rsidP="002B4F8D">
      <w:pPr>
        <w:spacing w:after="0" w:line="240" w:lineRule="auto"/>
        <w:ind w:left="1134" w:hanging="1156"/>
        <w:rPr>
          <w:rFonts w:eastAsia="Times New Roman" w:cs="Arial"/>
          <w:color w:val="000000"/>
          <w:szCs w:val="24"/>
        </w:rPr>
      </w:pPr>
      <w:r>
        <w:rPr>
          <w:rFonts w:eastAsia="Times New Roman" w:cs="Arial"/>
          <w:color w:val="000000"/>
          <w:szCs w:val="24"/>
        </w:rPr>
        <w:t>[7]</w:t>
      </w:r>
      <w:r>
        <w:rPr>
          <w:rFonts w:eastAsia="Times New Roman" w:cs="Arial"/>
          <w:color w:val="000000"/>
          <w:szCs w:val="24"/>
        </w:rPr>
        <w:tab/>
        <w:t>The applicant denies ever receiving the rescission application referred to in the respondent’s answering affidavit. She avers in her replying affidavit, that the property was bought from the previous owners</w:t>
      </w:r>
      <w:r w:rsidR="00DC7AF2">
        <w:rPr>
          <w:rFonts w:eastAsia="Times New Roman" w:cs="Arial"/>
          <w:color w:val="000000"/>
          <w:szCs w:val="24"/>
        </w:rPr>
        <w:t xml:space="preserve">, and the </w:t>
      </w:r>
      <w:proofErr w:type="gramStart"/>
      <w:r w:rsidR="00DC7AF2">
        <w:rPr>
          <w:rFonts w:eastAsia="Times New Roman" w:cs="Arial"/>
          <w:color w:val="000000"/>
          <w:szCs w:val="24"/>
        </w:rPr>
        <w:t xml:space="preserve">latter </w:t>
      </w:r>
      <w:r>
        <w:rPr>
          <w:rFonts w:eastAsia="Times New Roman" w:cs="Arial"/>
          <w:color w:val="000000"/>
          <w:szCs w:val="24"/>
        </w:rPr>
        <w:t xml:space="preserve"> bought</w:t>
      </w:r>
      <w:proofErr w:type="gramEnd"/>
      <w:r>
        <w:rPr>
          <w:rFonts w:eastAsia="Times New Roman" w:cs="Arial"/>
          <w:color w:val="000000"/>
          <w:szCs w:val="24"/>
        </w:rPr>
        <w:t xml:space="preserve"> </w:t>
      </w:r>
      <w:r w:rsidR="00DC7AF2">
        <w:rPr>
          <w:rFonts w:eastAsia="Times New Roman" w:cs="Arial"/>
          <w:color w:val="000000"/>
          <w:szCs w:val="24"/>
        </w:rPr>
        <w:t xml:space="preserve">at </w:t>
      </w:r>
      <w:r>
        <w:rPr>
          <w:rFonts w:eastAsia="Times New Roman" w:cs="Arial"/>
          <w:color w:val="000000"/>
          <w:szCs w:val="24"/>
        </w:rPr>
        <w:t xml:space="preserve"> </w:t>
      </w:r>
      <w:r w:rsidR="00DC7AF2">
        <w:rPr>
          <w:rFonts w:eastAsia="Times New Roman" w:cs="Arial"/>
          <w:color w:val="000000"/>
          <w:szCs w:val="24"/>
        </w:rPr>
        <w:t>a</w:t>
      </w:r>
      <w:r>
        <w:rPr>
          <w:rFonts w:eastAsia="Times New Roman" w:cs="Arial"/>
          <w:color w:val="000000"/>
          <w:szCs w:val="24"/>
        </w:rPr>
        <w:t>n auction</w:t>
      </w:r>
      <w:r w:rsidR="00DC7AF2">
        <w:rPr>
          <w:rFonts w:eastAsia="Times New Roman" w:cs="Arial"/>
          <w:color w:val="000000"/>
          <w:szCs w:val="24"/>
        </w:rPr>
        <w:t>.</w:t>
      </w:r>
    </w:p>
    <w:p w14:paraId="17D04F27" w14:textId="77777777" w:rsidR="00DC7AF2" w:rsidRDefault="00DC7AF2" w:rsidP="002B4F8D">
      <w:pPr>
        <w:spacing w:after="0" w:line="240" w:lineRule="auto"/>
        <w:ind w:left="1134" w:hanging="1156"/>
        <w:rPr>
          <w:rFonts w:eastAsia="Times New Roman" w:cs="Arial"/>
          <w:color w:val="000000"/>
          <w:szCs w:val="24"/>
        </w:rPr>
      </w:pPr>
    </w:p>
    <w:p w14:paraId="2D7944CA" w14:textId="77777777" w:rsidR="00DC7AF2" w:rsidRDefault="00DC7AF2" w:rsidP="002B4F8D">
      <w:pPr>
        <w:spacing w:after="0" w:line="240" w:lineRule="auto"/>
        <w:ind w:left="1134" w:hanging="1156"/>
        <w:rPr>
          <w:rFonts w:eastAsia="Times New Roman" w:cs="Arial"/>
          <w:color w:val="000000"/>
          <w:szCs w:val="24"/>
        </w:rPr>
      </w:pPr>
      <w:r>
        <w:rPr>
          <w:rFonts w:eastAsia="Times New Roman" w:cs="Arial"/>
          <w:color w:val="000000"/>
          <w:szCs w:val="24"/>
        </w:rPr>
        <w:t>[8]</w:t>
      </w:r>
      <w:r>
        <w:rPr>
          <w:rFonts w:eastAsia="Times New Roman" w:cs="Arial"/>
          <w:color w:val="000000"/>
          <w:szCs w:val="24"/>
        </w:rPr>
        <w:tab/>
        <w:t>On the eve of the hearing of the matter, the first respondent’s attorneys withdrew from the matter. However before they withdrew, they filed the first respondent’s heads of argument.</w:t>
      </w:r>
      <w:r>
        <w:rPr>
          <w:rStyle w:val="FootnoteReference"/>
          <w:rFonts w:eastAsia="Times New Roman" w:cs="Arial"/>
          <w:color w:val="000000"/>
          <w:szCs w:val="24"/>
        </w:rPr>
        <w:footnoteReference w:id="2"/>
      </w:r>
      <w:r>
        <w:rPr>
          <w:rFonts w:eastAsia="Times New Roman" w:cs="Arial"/>
          <w:color w:val="000000"/>
          <w:szCs w:val="24"/>
        </w:rPr>
        <w:t xml:space="preserve"> </w:t>
      </w:r>
      <w:r w:rsidR="002B4AE3">
        <w:rPr>
          <w:rFonts w:eastAsia="Times New Roman" w:cs="Arial"/>
          <w:color w:val="000000"/>
          <w:szCs w:val="24"/>
        </w:rPr>
        <w:t>It is trite that in application proceedings the affidavits constitute not only the pleadings but also the evidence. Equally trite is that an applicant must make out his case in his founding affidavit and that he must stand or fall by the allegations contained therein.</w:t>
      </w:r>
      <w:r w:rsidR="002B4AE3">
        <w:rPr>
          <w:rStyle w:val="FootnoteReference"/>
          <w:rFonts w:eastAsia="Times New Roman" w:cs="Arial"/>
          <w:color w:val="000000"/>
          <w:szCs w:val="24"/>
        </w:rPr>
        <w:footnoteReference w:id="3"/>
      </w:r>
      <w:r w:rsidR="002B4AE3">
        <w:rPr>
          <w:rFonts w:eastAsia="Times New Roman" w:cs="Arial"/>
          <w:color w:val="000000"/>
          <w:szCs w:val="24"/>
        </w:rPr>
        <w:t xml:space="preserve"> </w:t>
      </w:r>
      <w:r>
        <w:rPr>
          <w:rFonts w:eastAsia="Times New Roman" w:cs="Arial"/>
          <w:color w:val="000000"/>
          <w:szCs w:val="24"/>
        </w:rPr>
        <w:t xml:space="preserve">I will return to this </w:t>
      </w:r>
      <w:r w:rsidR="002B4AE3">
        <w:rPr>
          <w:rFonts w:eastAsia="Times New Roman" w:cs="Arial"/>
          <w:color w:val="000000"/>
          <w:szCs w:val="24"/>
        </w:rPr>
        <w:t>aspect</w:t>
      </w:r>
      <w:r>
        <w:rPr>
          <w:rFonts w:eastAsia="Times New Roman" w:cs="Arial"/>
          <w:color w:val="000000"/>
          <w:szCs w:val="24"/>
        </w:rPr>
        <w:t xml:space="preserve"> later in the judgment. </w:t>
      </w:r>
    </w:p>
    <w:p w14:paraId="2050C703" w14:textId="77777777" w:rsidR="00761C1A" w:rsidRDefault="00761C1A" w:rsidP="002B4F8D">
      <w:pPr>
        <w:spacing w:after="0" w:line="240" w:lineRule="auto"/>
        <w:ind w:left="1134" w:hanging="1156"/>
        <w:rPr>
          <w:rFonts w:eastAsia="Times New Roman" w:cs="Arial"/>
          <w:color w:val="000000"/>
          <w:szCs w:val="24"/>
        </w:rPr>
      </w:pPr>
    </w:p>
    <w:p w14:paraId="55EF7875" w14:textId="77777777" w:rsidR="00761C1A" w:rsidRDefault="00761C1A" w:rsidP="002B4F8D">
      <w:pPr>
        <w:spacing w:after="0" w:line="240" w:lineRule="auto"/>
        <w:ind w:left="1134" w:hanging="1156"/>
        <w:rPr>
          <w:rFonts w:eastAsia="Times New Roman" w:cs="Arial"/>
          <w:color w:val="000000"/>
          <w:szCs w:val="24"/>
        </w:rPr>
      </w:pPr>
      <w:r>
        <w:rPr>
          <w:rFonts w:eastAsia="Times New Roman" w:cs="Arial"/>
          <w:color w:val="000000"/>
          <w:szCs w:val="24"/>
        </w:rPr>
        <w:t xml:space="preserve">[9] </w:t>
      </w:r>
      <w:r>
        <w:rPr>
          <w:rFonts w:eastAsia="Times New Roman" w:cs="Arial"/>
          <w:color w:val="000000"/>
          <w:szCs w:val="24"/>
        </w:rPr>
        <w:tab/>
        <w:t>At this stage it is convenient to consider the applicable legal principles.</w:t>
      </w:r>
      <w:r w:rsidR="00F9601F">
        <w:rPr>
          <w:rFonts w:eastAsia="Times New Roman" w:cs="Arial"/>
          <w:color w:val="000000"/>
          <w:szCs w:val="24"/>
        </w:rPr>
        <w:t xml:space="preserve"> Section 1 of the PIE Act defines an Unlawful occupier as:</w:t>
      </w:r>
    </w:p>
    <w:p w14:paraId="5EED0D73" w14:textId="77777777" w:rsidR="00F9601F" w:rsidRDefault="00F9601F" w:rsidP="002B4F8D">
      <w:pPr>
        <w:spacing w:after="0" w:line="240" w:lineRule="auto"/>
        <w:ind w:left="1134" w:hanging="1156"/>
        <w:rPr>
          <w:rFonts w:eastAsia="Times New Roman" w:cs="Arial"/>
          <w:color w:val="000000"/>
          <w:szCs w:val="24"/>
        </w:rPr>
      </w:pPr>
    </w:p>
    <w:p w14:paraId="4729D2AA" w14:textId="77777777" w:rsidR="00F9601F" w:rsidRDefault="00F9601F" w:rsidP="002B4F8D">
      <w:pPr>
        <w:spacing w:after="0" w:line="240" w:lineRule="auto"/>
        <w:ind w:left="1134" w:hanging="1156"/>
        <w:rPr>
          <w:rFonts w:eastAsia="Times New Roman" w:cs="Arial"/>
          <w:i/>
          <w:color w:val="000000"/>
          <w:szCs w:val="24"/>
        </w:rPr>
      </w:pPr>
      <w:r>
        <w:rPr>
          <w:rFonts w:eastAsia="Times New Roman" w:cs="Arial"/>
          <w:color w:val="000000"/>
          <w:szCs w:val="24"/>
        </w:rPr>
        <w:tab/>
        <w:t>“</w:t>
      </w:r>
      <w:r>
        <w:rPr>
          <w:rFonts w:eastAsia="Times New Roman" w:cs="Arial"/>
          <w:i/>
          <w:color w:val="000000"/>
          <w:szCs w:val="24"/>
        </w:rPr>
        <w:t>unlawful occupier means a person who occupies land without the express or tacit consent of the owner or a person in charge, or without any other right in law to occupy such land, excluding a person who is an occupier in terms of the Extension of Security of Tenure Act, 1997, and excluding a person whose informal right to land, but for the provisions of this Act, would be protected by the provisions of the interim Protection of Informal Land Rights Act, 1996 (Act No. 31 of 1996).”</w:t>
      </w:r>
    </w:p>
    <w:p w14:paraId="2A838E17" w14:textId="77777777" w:rsidR="008B4AB2" w:rsidRDefault="008B4AB2" w:rsidP="002B4F8D">
      <w:pPr>
        <w:spacing w:after="0" w:line="240" w:lineRule="auto"/>
        <w:ind w:left="1134" w:hanging="1156"/>
        <w:rPr>
          <w:rFonts w:eastAsia="Times New Roman" w:cs="Arial"/>
          <w:color w:val="000000"/>
          <w:szCs w:val="24"/>
        </w:rPr>
      </w:pPr>
    </w:p>
    <w:p w14:paraId="13EEC307" w14:textId="77777777" w:rsidR="008B4AB2" w:rsidRDefault="008B4AB2" w:rsidP="002B4F8D">
      <w:pPr>
        <w:spacing w:after="0" w:line="240" w:lineRule="auto"/>
        <w:ind w:left="1134" w:hanging="1156"/>
        <w:rPr>
          <w:rFonts w:eastAsia="Times New Roman" w:cs="Arial"/>
          <w:color w:val="000000"/>
          <w:szCs w:val="24"/>
        </w:rPr>
      </w:pPr>
      <w:r>
        <w:rPr>
          <w:rFonts w:eastAsia="Times New Roman" w:cs="Arial"/>
          <w:color w:val="000000"/>
          <w:szCs w:val="24"/>
        </w:rPr>
        <w:t>[8]</w:t>
      </w:r>
      <w:r>
        <w:rPr>
          <w:rFonts w:eastAsia="Times New Roman" w:cs="Arial"/>
          <w:color w:val="000000"/>
          <w:szCs w:val="24"/>
        </w:rPr>
        <w:tab/>
        <w:t xml:space="preserve">In terms of s 4(8), if the court is satisfied that all the requirements of this section had been complied with and no valid defence has been raised by the unlawful occupier, it must grant an order for the </w:t>
      </w:r>
      <w:proofErr w:type="spellStart"/>
      <w:r>
        <w:rPr>
          <w:rFonts w:eastAsia="Times New Roman" w:cs="Arial"/>
          <w:color w:val="000000"/>
          <w:szCs w:val="24"/>
        </w:rPr>
        <w:t>evicetion</w:t>
      </w:r>
      <w:proofErr w:type="spellEnd"/>
      <w:r>
        <w:rPr>
          <w:rFonts w:eastAsia="Times New Roman" w:cs="Arial"/>
          <w:color w:val="000000"/>
          <w:szCs w:val="24"/>
        </w:rPr>
        <w:t xml:space="preserve"> of unlawful occupier, and determine- </w:t>
      </w:r>
    </w:p>
    <w:p w14:paraId="49BC9FA3" w14:textId="77777777" w:rsidR="008B4AB2" w:rsidRDefault="008B4AB2" w:rsidP="002B4F8D">
      <w:pPr>
        <w:spacing w:after="0" w:line="240" w:lineRule="auto"/>
        <w:ind w:left="1134" w:hanging="1156"/>
        <w:rPr>
          <w:rFonts w:eastAsia="Times New Roman" w:cs="Arial"/>
          <w:color w:val="000000"/>
          <w:szCs w:val="24"/>
        </w:rPr>
      </w:pPr>
    </w:p>
    <w:p w14:paraId="6444FD9D" w14:textId="77777777" w:rsidR="008B4AB2" w:rsidRDefault="008B4AB2" w:rsidP="000F61B4">
      <w:pPr>
        <w:spacing w:after="0" w:line="240" w:lineRule="auto"/>
        <w:ind w:left="1438"/>
        <w:rPr>
          <w:rFonts w:eastAsia="Times New Roman" w:cs="Arial"/>
          <w:i/>
          <w:color w:val="000000"/>
          <w:szCs w:val="24"/>
        </w:rPr>
      </w:pPr>
      <w:r>
        <w:rPr>
          <w:rFonts w:eastAsia="Times New Roman" w:cs="Arial"/>
          <w:color w:val="000000"/>
          <w:szCs w:val="24"/>
        </w:rPr>
        <w:t>“</w:t>
      </w:r>
      <w:r>
        <w:rPr>
          <w:rFonts w:eastAsia="Times New Roman" w:cs="Arial"/>
          <w:i/>
          <w:color w:val="000000"/>
          <w:szCs w:val="24"/>
        </w:rPr>
        <w:t xml:space="preserve">(a) a just and equitable date on which the unlawful occupier must vacate the land under the circumstances; and </w:t>
      </w:r>
    </w:p>
    <w:p w14:paraId="45C2623A" w14:textId="77777777" w:rsidR="008B4AB2" w:rsidRDefault="008B4AB2" w:rsidP="002B4F8D">
      <w:pPr>
        <w:spacing w:after="0" w:line="240" w:lineRule="auto"/>
        <w:ind w:left="1134" w:hanging="1156"/>
        <w:rPr>
          <w:rFonts w:eastAsia="Times New Roman" w:cs="Arial"/>
          <w:i/>
          <w:color w:val="000000"/>
          <w:szCs w:val="24"/>
        </w:rPr>
      </w:pPr>
      <w:r>
        <w:rPr>
          <w:rFonts w:eastAsia="Times New Roman" w:cs="Arial"/>
          <w:i/>
          <w:color w:val="000000"/>
          <w:szCs w:val="24"/>
        </w:rPr>
        <w:tab/>
      </w:r>
      <w:r>
        <w:rPr>
          <w:rFonts w:eastAsia="Times New Roman" w:cs="Arial"/>
          <w:i/>
          <w:color w:val="000000"/>
          <w:szCs w:val="24"/>
        </w:rPr>
        <w:tab/>
      </w:r>
    </w:p>
    <w:p w14:paraId="4D3F1E04" w14:textId="77777777" w:rsidR="008B4AB2" w:rsidRDefault="008B4AB2" w:rsidP="000F61B4">
      <w:pPr>
        <w:spacing w:after="0" w:line="240" w:lineRule="auto"/>
        <w:ind w:left="1438" w:hanging="1156"/>
        <w:rPr>
          <w:rFonts w:eastAsia="Times New Roman" w:cs="Arial"/>
          <w:i/>
          <w:color w:val="000000"/>
          <w:szCs w:val="24"/>
        </w:rPr>
      </w:pPr>
      <w:r>
        <w:rPr>
          <w:rFonts w:eastAsia="Times New Roman" w:cs="Arial"/>
          <w:i/>
          <w:color w:val="000000"/>
          <w:szCs w:val="24"/>
        </w:rPr>
        <w:tab/>
      </w:r>
      <w:r w:rsidR="006910A0">
        <w:rPr>
          <w:rFonts w:eastAsia="Times New Roman" w:cs="Arial"/>
          <w:i/>
          <w:color w:val="000000"/>
          <w:szCs w:val="24"/>
        </w:rPr>
        <w:tab/>
      </w:r>
      <w:r>
        <w:rPr>
          <w:rFonts w:eastAsia="Times New Roman" w:cs="Arial"/>
          <w:i/>
          <w:color w:val="000000"/>
          <w:szCs w:val="24"/>
        </w:rPr>
        <w:t xml:space="preserve"> (b) the date on which an eviction order may be carried out if the unlawful occupier has not vacated the land on the date contemplated </w:t>
      </w:r>
      <w:r w:rsidR="001459A0">
        <w:rPr>
          <w:rFonts w:eastAsia="Times New Roman" w:cs="Arial"/>
          <w:i/>
          <w:color w:val="000000"/>
          <w:szCs w:val="24"/>
        </w:rPr>
        <w:t>in paragraph (a).”</w:t>
      </w:r>
    </w:p>
    <w:p w14:paraId="096F5C38" w14:textId="77777777" w:rsidR="001459A0" w:rsidRDefault="001459A0" w:rsidP="002B4F8D">
      <w:pPr>
        <w:spacing w:after="0" w:line="240" w:lineRule="auto"/>
        <w:ind w:left="1134" w:hanging="1156"/>
        <w:rPr>
          <w:rFonts w:eastAsia="Times New Roman" w:cs="Arial"/>
          <w:i/>
          <w:color w:val="000000"/>
          <w:szCs w:val="24"/>
        </w:rPr>
      </w:pPr>
    </w:p>
    <w:p w14:paraId="10317EE1" w14:textId="77777777" w:rsidR="001459A0" w:rsidRDefault="001459A0" w:rsidP="002B4F8D">
      <w:pPr>
        <w:spacing w:after="0" w:line="240" w:lineRule="auto"/>
        <w:ind w:left="1134" w:hanging="1156"/>
        <w:rPr>
          <w:rFonts w:eastAsia="Times New Roman" w:cs="Arial"/>
          <w:color w:val="000000"/>
          <w:szCs w:val="24"/>
        </w:rPr>
      </w:pPr>
      <w:r>
        <w:rPr>
          <w:rFonts w:eastAsia="Times New Roman" w:cs="Arial"/>
          <w:color w:val="000000"/>
          <w:szCs w:val="24"/>
        </w:rPr>
        <w:t>[9]</w:t>
      </w:r>
      <w:r>
        <w:rPr>
          <w:rFonts w:eastAsia="Times New Roman" w:cs="Arial"/>
          <w:color w:val="000000"/>
          <w:szCs w:val="24"/>
        </w:rPr>
        <w:tab/>
        <w:t xml:space="preserve">I am alive to the fact that in determining whether or not to grant an eviction order, I must exercise a discretion based on what is just and equitable. In this regard the court must have regard to all the relevant circumstances, including availability of land for the relocation of the occupiers and the rights and needs of the elderly, children, disabled persons and household headed by women. </w:t>
      </w:r>
    </w:p>
    <w:p w14:paraId="55DD297F" w14:textId="77777777" w:rsidR="00B43D11" w:rsidRDefault="00B43D11" w:rsidP="002B4F8D">
      <w:pPr>
        <w:spacing w:after="0" w:line="240" w:lineRule="auto"/>
        <w:ind w:left="1134" w:hanging="1156"/>
        <w:rPr>
          <w:rFonts w:eastAsia="Times New Roman" w:cs="Arial"/>
          <w:color w:val="000000"/>
          <w:szCs w:val="24"/>
        </w:rPr>
      </w:pPr>
    </w:p>
    <w:p w14:paraId="208DC9FA" w14:textId="77777777" w:rsidR="00B43D11" w:rsidRDefault="00B43D11" w:rsidP="002B4F8D">
      <w:pPr>
        <w:spacing w:after="0" w:line="240" w:lineRule="auto"/>
        <w:ind w:left="1134" w:hanging="1156"/>
        <w:rPr>
          <w:rFonts w:eastAsia="Times New Roman" w:cs="Arial"/>
          <w:color w:val="000000"/>
          <w:szCs w:val="24"/>
        </w:rPr>
      </w:pPr>
      <w:r>
        <w:rPr>
          <w:rFonts w:eastAsia="Times New Roman" w:cs="Arial"/>
          <w:color w:val="000000"/>
          <w:szCs w:val="24"/>
        </w:rPr>
        <w:t>[10]</w:t>
      </w:r>
      <w:r>
        <w:rPr>
          <w:rFonts w:eastAsia="Times New Roman" w:cs="Arial"/>
          <w:color w:val="000000"/>
          <w:szCs w:val="24"/>
        </w:rPr>
        <w:tab/>
      </w:r>
      <w:r w:rsidR="00917322">
        <w:rPr>
          <w:rFonts w:eastAsia="Times New Roman" w:cs="Arial"/>
          <w:color w:val="000000"/>
          <w:szCs w:val="24"/>
        </w:rPr>
        <w:t xml:space="preserve">If a version consists of bald or uncreditworthy denials, raises fictitious disputes of fact, is palpably implausible, far fetched or so clearly untenable the court is justified in rejecting them merely on the papers. See </w:t>
      </w:r>
      <w:r w:rsidR="00917322">
        <w:rPr>
          <w:rFonts w:eastAsia="Times New Roman" w:cs="Arial"/>
          <w:i/>
          <w:color w:val="000000"/>
          <w:szCs w:val="24"/>
        </w:rPr>
        <w:t xml:space="preserve">National Director of Public Prosecutions V Zuma </w:t>
      </w:r>
      <w:r w:rsidR="00917322">
        <w:rPr>
          <w:rFonts w:eastAsia="Times New Roman" w:cs="Arial"/>
          <w:color w:val="000000"/>
          <w:szCs w:val="24"/>
        </w:rPr>
        <w:t>2009 (2) SA 277 (SCA) at para 26.</w:t>
      </w:r>
    </w:p>
    <w:p w14:paraId="7A8A3151" w14:textId="77777777" w:rsidR="00917322" w:rsidRDefault="00917322" w:rsidP="002B4F8D">
      <w:pPr>
        <w:spacing w:after="0" w:line="240" w:lineRule="auto"/>
        <w:ind w:left="1134" w:hanging="1156"/>
        <w:rPr>
          <w:rFonts w:eastAsia="Times New Roman" w:cs="Arial"/>
          <w:color w:val="000000"/>
          <w:szCs w:val="24"/>
        </w:rPr>
      </w:pPr>
    </w:p>
    <w:p w14:paraId="2292E4CB" w14:textId="77777777" w:rsidR="00917322" w:rsidRDefault="00917322" w:rsidP="002B4F8D">
      <w:pPr>
        <w:spacing w:after="0" w:line="240" w:lineRule="auto"/>
        <w:ind w:left="1134" w:hanging="1156"/>
        <w:rPr>
          <w:rFonts w:eastAsia="Times New Roman" w:cs="Arial"/>
          <w:color w:val="000000"/>
          <w:szCs w:val="24"/>
        </w:rPr>
      </w:pPr>
      <w:r>
        <w:rPr>
          <w:rFonts w:eastAsia="Times New Roman" w:cs="Arial"/>
          <w:color w:val="000000"/>
          <w:szCs w:val="24"/>
        </w:rPr>
        <w:t>[11]</w:t>
      </w:r>
      <w:r>
        <w:rPr>
          <w:rFonts w:eastAsia="Times New Roman" w:cs="Arial"/>
          <w:color w:val="000000"/>
          <w:szCs w:val="24"/>
        </w:rPr>
        <w:tab/>
        <w:t xml:space="preserve">In </w:t>
      </w:r>
      <w:r>
        <w:rPr>
          <w:rFonts w:eastAsia="Times New Roman" w:cs="Arial"/>
          <w:i/>
          <w:color w:val="000000"/>
          <w:szCs w:val="24"/>
        </w:rPr>
        <w:t xml:space="preserve">Wightman t/a JW Construction v </w:t>
      </w:r>
      <w:proofErr w:type="spellStart"/>
      <w:r>
        <w:rPr>
          <w:rFonts w:eastAsia="Times New Roman" w:cs="Arial"/>
          <w:i/>
          <w:color w:val="000000"/>
          <w:szCs w:val="24"/>
        </w:rPr>
        <w:t>Headfour</w:t>
      </w:r>
      <w:proofErr w:type="spellEnd"/>
      <w:r>
        <w:rPr>
          <w:rFonts w:eastAsia="Times New Roman" w:cs="Arial"/>
          <w:i/>
          <w:color w:val="000000"/>
          <w:szCs w:val="24"/>
        </w:rPr>
        <w:t xml:space="preserve"> (Pty) Ltd and Another </w:t>
      </w:r>
      <w:r>
        <w:rPr>
          <w:rFonts w:eastAsia="Times New Roman" w:cs="Arial"/>
          <w:color w:val="000000"/>
          <w:szCs w:val="24"/>
        </w:rPr>
        <w:t>2008 (3) SA 371 (SCA) at para 13 the court held that:</w:t>
      </w:r>
    </w:p>
    <w:p w14:paraId="785FF6AA" w14:textId="77777777" w:rsidR="00917322" w:rsidRDefault="00917322" w:rsidP="002B4F8D">
      <w:pPr>
        <w:spacing w:after="0" w:line="240" w:lineRule="auto"/>
        <w:ind w:left="1134" w:hanging="1156"/>
        <w:rPr>
          <w:rFonts w:eastAsia="Times New Roman" w:cs="Arial"/>
          <w:color w:val="000000"/>
          <w:szCs w:val="24"/>
        </w:rPr>
      </w:pPr>
    </w:p>
    <w:p w14:paraId="1486DD6F" w14:textId="77777777" w:rsidR="00917322" w:rsidRDefault="00917322" w:rsidP="000F61B4">
      <w:pPr>
        <w:spacing w:after="0" w:line="240" w:lineRule="auto"/>
        <w:ind w:left="2158"/>
        <w:rPr>
          <w:rFonts w:eastAsia="Times New Roman" w:cs="Arial"/>
          <w:i/>
          <w:color w:val="000000"/>
          <w:szCs w:val="24"/>
        </w:rPr>
      </w:pPr>
      <w:r>
        <w:rPr>
          <w:rFonts w:eastAsia="Times New Roman" w:cs="Arial"/>
          <w:i/>
          <w:color w:val="000000"/>
          <w:szCs w:val="24"/>
        </w:rPr>
        <w:t>“A real, genuine and bona fide dispute of fact can exist only where the court is satisfied that the party who purports to raise the dispute has in his affidavit seriously and unambiguously addressed the fact said to be disputed.”</w:t>
      </w:r>
    </w:p>
    <w:p w14:paraId="14E9A09A" w14:textId="77777777" w:rsidR="00077206" w:rsidRDefault="00077206" w:rsidP="002B4F8D">
      <w:pPr>
        <w:spacing w:after="0" w:line="240" w:lineRule="auto"/>
        <w:ind w:left="1134" w:hanging="1156"/>
        <w:rPr>
          <w:rFonts w:eastAsia="Times New Roman" w:cs="Arial"/>
          <w:i/>
          <w:color w:val="000000"/>
          <w:szCs w:val="24"/>
        </w:rPr>
      </w:pPr>
    </w:p>
    <w:p w14:paraId="61C2ED0A" w14:textId="77777777" w:rsidR="00917322" w:rsidRDefault="00077206" w:rsidP="002B4F8D">
      <w:pPr>
        <w:spacing w:after="0" w:line="240" w:lineRule="auto"/>
        <w:ind w:left="1134" w:hanging="1156"/>
        <w:rPr>
          <w:rFonts w:eastAsia="Times New Roman" w:cs="Arial"/>
          <w:color w:val="000000"/>
          <w:szCs w:val="24"/>
        </w:rPr>
      </w:pPr>
      <w:r>
        <w:rPr>
          <w:rFonts w:eastAsia="Times New Roman" w:cs="Arial"/>
          <w:color w:val="000000"/>
          <w:szCs w:val="24"/>
        </w:rPr>
        <w:t>[12]</w:t>
      </w:r>
      <w:r>
        <w:rPr>
          <w:rFonts w:eastAsia="Times New Roman" w:cs="Arial"/>
          <w:color w:val="000000"/>
          <w:szCs w:val="24"/>
        </w:rPr>
        <w:tab/>
        <w:t xml:space="preserve">The facts of this case presents no difficulties in resolving the disputes of facts on paper. It appears from the applicant’s papers that at some stage they visited the property to view, and the first respondent was present. The </w:t>
      </w:r>
      <w:r>
        <w:rPr>
          <w:rFonts w:eastAsia="Times New Roman" w:cs="Arial"/>
          <w:color w:val="000000"/>
          <w:szCs w:val="24"/>
        </w:rPr>
        <w:lastRenderedPageBreak/>
        <w:t xml:space="preserve">applicant has demonstrated that she is the registered owner of the property. She is a retired nurse who bought the property with the pension benefits she received on achieving her retirement as a nurse. She would like to retire in her new home. </w:t>
      </w:r>
    </w:p>
    <w:p w14:paraId="0E0C8236" w14:textId="77777777" w:rsidR="004E49D3" w:rsidRDefault="004E49D3" w:rsidP="002B4F8D">
      <w:pPr>
        <w:spacing w:after="0" w:line="240" w:lineRule="auto"/>
        <w:ind w:left="1134" w:hanging="1156"/>
        <w:rPr>
          <w:rFonts w:eastAsia="Times New Roman" w:cs="Arial"/>
          <w:color w:val="000000"/>
          <w:szCs w:val="24"/>
        </w:rPr>
      </w:pPr>
    </w:p>
    <w:p w14:paraId="10EC0279" w14:textId="77777777" w:rsidR="00077206" w:rsidRDefault="00077206" w:rsidP="002B4F8D">
      <w:pPr>
        <w:spacing w:after="0" w:line="240" w:lineRule="auto"/>
        <w:ind w:left="1134" w:hanging="1156"/>
        <w:rPr>
          <w:rFonts w:eastAsia="Times New Roman" w:cs="Arial"/>
          <w:color w:val="000000"/>
          <w:szCs w:val="24"/>
        </w:rPr>
      </w:pPr>
      <w:r>
        <w:rPr>
          <w:rFonts w:eastAsia="Times New Roman" w:cs="Arial"/>
          <w:color w:val="000000"/>
          <w:szCs w:val="24"/>
        </w:rPr>
        <w:t>[13]</w:t>
      </w:r>
      <w:r>
        <w:rPr>
          <w:rFonts w:eastAsia="Times New Roman" w:cs="Arial"/>
          <w:color w:val="000000"/>
          <w:szCs w:val="24"/>
        </w:rPr>
        <w:tab/>
        <w:t xml:space="preserve">The first respondent has provided no evidence to support that she is has instituted eviction proceedings. Neither had she provided </w:t>
      </w:r>
      <w:r w:rsidR="004E49D3">
        <w:rPr>
          <w:rFonts w:eastAsia="Times New Roman" w:cs="Arial"/>
          <w:color w:val="000000"/>
          <w:szCs w:val="24"/>
        </w:rPr>
        <w:t xml:space="preserve">a reasonable explanation as to why she should not be evicted. All that she said when she appeared in person was that she would like to leave the property for her children as inheritance. This is not a valid defence to claim mounted by the applicant in this application. There is an attempt to raise a defence </w:t>
      </w:r>
      <w:r w:rsidR="00A60DB3">
        <w:rPr>
          <w:rFonts w:eastAsia="Times New Roman" w:cs="Arial"/>
          <w:color w:val="000000"/>
          <w:szCs w:val="24"/>
        </w:rPr>
        <w:t>of robbery in the heads of argument filed by her erstwhile attorney.</w:t>
      </w:r>
      <w:r w:rsidR="00A60DB3">
        <w:rPr>
          <w:rStyle w:val="FootnoteReference"/>
          <w:rFonts w:eastAsia="Times New Roman" w:cs="Arial"/>
          <w:color w:val="000000"/>
          <w:szCs w:val="24"/>
        </w:rPr>
        <w:footnoteReference w:id="4"/>
      </w:r>
      <w:r w:rsidR="00A60DB3">
        <w:rPr>
          <w:rFonts w:eastAsia="Times New Roman" w:cs="Arial"/>
          <w:color w:val="000000"/>
          <w:szCs w:val="24"/>
        </w:rPr>
        <w:t xml:space="preserve"> </w:t>
      </w:r>
      <w:r w:rsidR="004E49D3">
        <w:rPr>
          <w:rFonts w:eastAsia="Times New Roman" w:cs="Arial"/>
          <w:color w:val="000000"/>
          <w:szCs w:val="24"/>
        </w:rPr>
        <w:t xml:space="preserve"> </w:t>
      </w:r>
      <w:r w:rsidR="00A60DB3">
        <w:rPr>
          <w:rFonts w:eastAsia="Times New Roman" w:cs="Arial"/>
          <w:color w:val="000000"/>
          <w:szCs w:val="24"/>
        </w:rPr>
        <w:t xml:space="preserve">Nothing turn on this new defence. </w:t>
      </w:r>
      <w:r w:rsidR="004E49D3">
        <w:rPr>
          <w:rFonts w:eastAsia="Times New Roman" w:cs="Arial"/>
          <w:color w:val="000000"/>
          <w:szCs w:val="24"/>
        </w:rPr>
        <w:t>If no valid defence is advanced the court is obliged in terms of s 4(8) to grant an order.</w:t>
      </w:r>
    </w:p>
    <w:p w14:paraId="49279FEB" w14:textId="77777777" w:rsidR="00A60DB3" w:rsidRDefault="00A60DB3" w:rsidP="002B4F8D">
      <w:pPr>
        <w:spacing w:after="0" w:line="240" w:lineRule="auto"/>
        <w:ind w:left="1134" w:hanging="1156"/>
        <w:rPr>
          <w:rFonts w:eastAsia="Times New Roman" w:cs="Arial"/>
          <w:color w:val="000000"/>
          <w:szCs w:val="24"/>
        </w:rPr>
      </w:pPr>
    </w:p>
    <w:p w14:paraId="102ECA8C" w14:textId="77777777" w:rsidR="00A60DB3" w:rsidRDefault="00A60DB3" w:rsidP="002B4F8D">
      <w:pPr>
        <w:spacing w:after="0" w:line="240" w:lineRule="auto"/>
        <w:ind w:left="1134" w:hanging="1156"/>
        <w:rPr>
          <w:rFonts w:eastAsia="Times New Roman" w:cs="Arial"/>
          <w:color w:val="000000"/>
          <w:szCs w:val="24"/>
        </w:rPr>
      </w:pPr>
      <w:r>
        <w:rPr>
          <w:rFonts w:eastAsia="Times New Roman" w:cs="Arial"/>
          <w:color w:val="000000"/>
          <w:szCs w:val="24"/>
        </w:rPr>
        <w:t>[15]</w:t>
      </w:r>
      <w:r>
        <w:rPr>
          <w:rFonts w:eastAsia="Times New Roman" w:cs="Arial"/>
          <w:color w:val="000000"/>
          <w:szCs w:val="24"/>
        </w:rPr>
        <w:tab/>
        <w:t xml:space="preserve">I have not been presented with any </w:t>
      </w:r>
      <w:r w:rsidR="003A6C67">
        <w:rPr>
          <w:rFonts w:eastAsia="Times New Roman" w:cs="Arial"/>
          <w:color w:val="000000"/>
          <w:szCs w:val="24"/>
        </w:rPr>
        <w:t>relevant factors concerning the first respondent’s personal circumstances. However, it is apparent from the papers that she is currently unemployed. I assume that she has a family. She indicated during her court appearance that she wished for her children to inherit the property. She does not say she will be destitute if evicted.</w:t>
      </w:r>
      <w:r>
        <w:rPr>
          <w:rFonts w:eastAsia="Times New Roman" w:cs="Arial"/>
          <w:color w:val="000000"/>
          <w:szCs w:val="24"/>
        </w:rPr>
        <w:tab/>
      </w:r>
    </w:p>
    <w:p w14:paraId="6E1D1DF8" w14:textId="77777777" w:rsidR="003A6C67" w:rsidRDefault="003A6C67" w:rsidP="002B4F8D">
      <w:pPr>
        <w:spacing w:after="0" w:line="240" w:lineRule="auto"/>
        <w:ind w:left="1134" w:hanging="1156"/>
        <w:rPr>
          <w:rFonts w:eastAsia="Times New Roman" w:cs="Arial"/>
          <w:color w:val="000000"/>
          <w:szCs w:val="24"/>
        </w:rPr>
      </w:pPr>
    </w:p>
    <w:p w14:paraId="6E13AD60" w14:textId="77777777" w:rsidR="003A6C67" w:rsidRDefault="003A6C67" w:rsidP="002B4F8D">
      <w:pPr>
        <w:spacing w:after="0" w:line="240" w:lineRule="auto"/>
        <w:ind w:left="1134" w:hanging="1156"/>
        <w:rPr>
          <w:rFonts w:eastAsia="Times New Roman" w:cs="Arial"/>
          <w:color w:val="000000"/>
          <w:szCs w:val="24"/>
        </w:rPr>
      </w:pPr>
      <w:r>
        <w:rPr>
          <w:rFonts w:eastAsia="Times New Roman" w:cs="Arial"/>
          <w:color w:val="000000"/>
          <w:szCs w:val="24"/>
        </w:rPr>
        <w:t>[16]</w:t>
      </w:r>
      <w:r>
        <w:rPr>
          <w:rFonts w:eastAsia="Times New Roman" w:cs="Arial"/>
          <w:color w:val="000000"/>
          <w:szCs w:val="24"/>
        </w:rPr>
        <w:tab/>
        <w:t>In the result I make the following order:</w:t>
      </w:r>
    </w:p>
    <w:p w14:paraId="03EF2681" w14:textId="77777777" w:rsidR="003A6C67" w:rsidRDefault="003A6C67" w:rsidP="002B4F8D">
      <w:pPr>
        <w:spacing w:after="0" w:line="240" w:lineRule="auto"/>
        <w:ind w:left="1134" w:hanging="1156"/>
        <w:rPr>
          <w:rFonts w:eastAsia="Times New Roman" w:cs="Arial"/>
          <w:color w:val="000000"/>
          <w:szCs w:val="24"/>
        </w:rPr>
      </w:pPr>
    </w:p>
    <w:p w14:paraId="08A4C243" w14:textId="77777777" w:rsidR="003A6C67" w:rsidRDefault="003A6C67" w:rsidP="002B4F8D">
      <w:pPr>
        <w:spacing w:after="0" w:line="240" w:lineRule="auto"/>
        <w:ind w:left="1134" w:hanging="1156"/>
        <w:rPr>
          <w:rFonts w:eastAsia="Times New Roman" w:cs="Arial"/>
          <w:color w:val="000000"/>
          <w:szCs w:val="24"/>
        </w:rPr>
      </w:pPr>
      <w:r>
        <w:rPr>
          <w:rFonts w:eastAsia="Times New Roman" w:cs="Arial"/>
          <w:color w:val="000000"/>
          <w:szCs w:val="24"/>
        </w:rPr>
        <w:tab/>
        <w:t>1.</w:t>
      </w:r>
      <w:r>
        <w:rPr>
          <w:rFonts w:eastAsia="Times New Roman" w:cs="Arial"/>
          <w:color w:val="000000"/>
          <w:szCs w:val="24"/>
        </w:rPr>
        <w:tab/>
        <w:t xml:space="preserve">The first respondent and all those who occupy the properties through her are evicted from the property known as </w:t>
      </w:r>
      <w:r w:rsidR="002E5F92">
        <w:rPr>
          <w:rFonts w:eastAsia="Times New Roman" w:cs="Arial"/>
          <w:color w:val="000000"/>
          <w:szCs w:val="24"/>
        </w:rPr>
        <w:t>438 Kodi Street, Protea North (the property);</w:t>
      </w:r>
    </w:p>
    <w:p w14:paraId="33BD3BF0" w14:textId="77777777" w:rsidR="002E5F92" w:rsidRDefault="002E5F92" w:rsidP="002B4F8D">
      <w:pPr>
        <w:spacing w:after="0" w:line="240" w:lineRule="auto"/>
        <w:ind w:left="1134" w:hanging="1156"/>
        <w:rPr>
          <w:rFonts w:eastAsia="Times New Roman" w:cs="Arial"/>
          <w:color w:val="000000"/>
          <w:szCs w:val="24"/>
        </w:rPr>
      </w:pPr>
    </w:p>
    <w:p w14:paraId="7DB1377B" w14:textId="77777777" w:rsidR="002E5F92" w:rsidRDefault="002E5F92" w:rsidP="002B4F8D">
      <w:pPr>
        <w:spacing w:after="0" w:line="240" w:lineRule="auto"/>
        <w:ind w:left="1134" w:hanging="1156"/>
        <w:rPr>
          <w:rFonts w:eastAsia="Times New Roman" w:cs="Arial"/>
          <w:color w:val="000000"/>
          <w:szCs w:val="24"/>
        </w:rPr>
      </w:pPr>
      <w:r>
        <w:rPr>
          <w:rFonts w:eastAsia="Times New Roman" w:cs="Arial"/>
          <w:color w:val="000000"/>
          <w:szCs w:val="24"/>
        </w:rPr>
        <w:tab/>
        <w:t>2.</w:t>
      </w:r>
      <w:r>
        <w:rPr>
          <w:rFonts w:eastAsia="Times New Roman" w:cs="Arial"/>
          <w:color w:val="000000"/>
          <w:szCs w:val="24"/>
        </w:rPr>
        <w:tab/>
        <w:t>The fi</w:t>
      </w:r>
      <w:r w:rsidR="00C4291B">
        <w:rPr>
          <w:rFonts w:eastAsia="Times New Roman" w:cs="Arial"/>
          <w:color w:val="000000"/>
          <w:szCs w:val="24"/>
        </w:rPr>
        <w:t xml:space="preserve">rst </w:t>
      </w:r>
      <w:r>
        <w:rPr>
          <w:rFonts w:eastAsia="Times New Roman" w:cs="Arial"/>
          <w:color w:val="000000"/>
          <w:szCs w:val="24"/>
        </w:rPr>
        <w:t>respondent and /or all unlawful occupiers are directed to vacate the property on or before the 30</w:t>
      </w:r>
      <w:r w:rsidRPr="002E5F92">
        <w:rPr>
          <w:rFonts w:eastAsia="Times New Roman" w:cs="Arial"/>
          <w:color w:val="000000"/>
          <w:szCs w:val="24"/>
          <w:vertAlign w:val="superscript"/>
        </w:rPr>
        <w:t>th</w:t>
      </w:r>
      <w:r>
        <w:rPr>
          <w:rFonts w:eastAsia="Times New Roman" w:cs="Arial"/>
          <w:color w:val="000000"/>
          <w:szCs w:val="24"/>
        </w:rPr>
        <w:t xml:space="preserve"> of June 2023;</w:t>
      </w:r>
    </w:p>
    <w:p w14:paraId="12AA6CF6" w14:textId="77777777" w:rsidR="002E5F92" w:rsidRDefault="002E5F92" w:rsidP="002B4F8D">
      <w:pPr>
        <w:spacing w:after="0" w:line="240" w:lineRule="auto"/>
        <w:ind w:left="1134" w:hanging="1156"/>
        <w:rPr>
          <w:rFonts w:eastAsia="Times New Roman" w:cs="Arial"/>
          <w:color w:val="000000"/>
          <w:szCs w:val="24"/>
        </w:rPr>
      </w:pPr>
    </w:p>
    <w:p w14:paraId="2F22D5D6" w14:textId="77777777" w:rsidR="002E5F92" w:rsidRDefault="002E5F92" w:rsidP="002B4F8D">
      <w:pPr>
        <w:spacing w:after="0" w:line="240" w:lineRule="auto"/>
        <w:ind w:left="1134" w:hanging="1156"/>
        <w:rPr>
          <w:rFonts w:eastAsia="Times New Roman" w:cs="Arial"/>
          <w:color w:val="000000"/>
          <w:szCs w:val="24"/>
        </w:rPr>
      </w:pPr>
      <w:r>
        <w:rPr>
          <w:rFonts w:eastAsia="Times New Roman" w:cs="Arial"/>
          <w:color w:val="000000"/>
          <w:szCs w:val="24"/>
        </w:rPr>
        <w:tab/>
        <w:t>3.</w:t>
      </w:r>
      <w:r>
        <w:rPr>
          <w:rFonts w:eastAsia="Times New Roman" w:cs="Arial"/>
          <w:color w:val="000000"/>
          <w:szCs w:val="24"/>
        </w:rPr>
        <w:tab/>
        <w:t>Should the first respondent, and /or any unlawful occupiers fail to vacate as stated in paragraph 2, above, then the Sheriff alternatively,</w:t>
      </w:r>
      <w:r w:rsidR="00575590">
        <w:rPr>
          <w:rFonts w:eastAsia="Times New Roman" w:cs="Arial"/>
          <w:color w:val="000000"/>
          <w:szCs w:val="24"/>
        </w:rPr>
        <w:t xml:space="preserve"> </w:t>
      </w:r>
      <w:r>
        <w:rPr>
          <w:rFonts w:eastAsia="Times New Roman" w:cs="Arial"/>
          <w:color w:val="000000"/>
          <w:szCs w:val="24"/>
        </w:rPr>
        <w:t>his deputy together with the assistance as he deems appropriate is authorised and directed to evict the fi</w:t>
      </w:r>
      <w:r w:rsidR="00575590">
        <w:rPr>
          <w:rFonts w:eastAsia="Times New Roman" w:cs="Arial"/>
          <w:color w:val="000000"/>
          <w:szCs w:val="24"/>
        </w:rPr>
        <w:t>rst</w:t>
      </w:r>
      <w:r>
        <w:rPr>
          <w:rFonts w:eastAsia="Times New Roman" w:cs="Arial"/>
          <w:color w:val="000000"/>
          <w:szCs w:val="24"/>
        </w:rPr>
        <w:t xml:space="preserve"> respondent and all those who occupy through her.</w:t>
      </w:r>
    </w:p>
    <w:p w14:paraId="66723C9F" w14:textId="77777777" w:rsidR="00575590" w:rsidRDefault="00575590" w:rsidP="002B4F8D">
      <w:pPr>
        <w:spacing w:after="0" w:line="240" w:lineRule="auto"/>
        <w:ind w:left="1134" w:hanging="1156"/>
        <w:rPr>
          <w:rFonts w:eastAsia="Times New Roman" w:cs="Arial"/>
          <w:color w:val="000000"/>
          <w:szCs w:val="24"/>
        </w:rPr>
      </w:pPr>
      <w:r>
        <w:rPr>
          <w:rFonts w:eastAsia="Times New Roman" w:cs="Arial"/>
          <w:color w:val="000000"/>
          <w:szCs w:val="24"/>
        </w:rPr>
        <w:tab/>
      </w:r>
    </w:p>
    <w:p w14:paraId="478C7D59" w14:textId="56F129C9" w:rsidR="00575590" w:rsidRDefault="00575590" w:rsidP="002B4F8D">
      <w:pPr>
        <w:spacing w:after="0" w:line="240" w:lineRule="auto"/>
        <w:ind w:left="1134" w:hanging="1156"/>
        <w:rPr>
          <w:rFonts w:eastAsia="Times New Roman" w:cs="Arial"/>
          <w:color w:val="000000"/>
          <w:szCs w:val="24"/>
        </w:rPr>
      </w:pPr>
      <w:r>
        <w:rPr>
          <w:rFonts w:eastAsia="Times New Roman" w:cs="Arial"/>
          <w:color w:val="000000"/>
          <w:szCs w:val="24"/>
        </w:rPr>
        <w:tab/>
        <w:t>4.</w:t>
      </w:r>
      <w:r>
        <w:rPr>
          <w:rFonts w:eastAsia="Times New Roman" w:cs="Arial"/>
          <w:color w:val="000000"/>
          <w:szCs w:val="24"/>
        </w:rPr>
        <w:tab/>
        <w:t>The first respondent is directed to pay the costs of this application.</w:t>
      </w:r>
    </w:p>
    <w:p w14:paraId="449C0007" w14:textId="77777777" w:rsidR="005C668F" w:rsidRDefault="005C668F" w:rsidP="002B4F8D">
      <w:pPr>
        <w:spacing w:after="0" w:line="240" w:lineRule="auto"/>
        <w:ind w:left="1134" w:hanging="1156"/>
        <w:rPr>
          <w:rFonts w:eastAsia="Times New Roman" w:cs="Arial"/>
          <w:color w:val="000000"/>
          <w:szCs w:val="24"/>
        </w:rPr>
      </w:pPr>
    </w:p>
    <w:p w14:paraId="09B6D00E" w14:textId="77777777" w:rsidR="005C668F" w:rsidRDefault="005C668F" w:rsidP="002B4F8D">
      <w:pPr>
        <w:spacing w:after="0" w:line="240" w:lineRule="auto"/>
        <w:ind w:left="1134" w:hanging="1156"/>
        <w:rPr>
          <w:rFonts w:eastAsia="Times New Roman" w:cs="Arial"/>
          <w:color w:val="000000"/>
          <w:szCs w:val="24"/>
        </w:rPr>
      </w:pPr>
    </w:p>
    <w:p w14:paraId="67C76A4C" w14:textId="77777777" w:rsidR="005C668F" w:rsidRDefault="005C668F" w:rsidP="002B4F8D">
      <w:pPr>
        <w:spacing w:after="0" w:line="240" w:lineRule="auto"/>
        <w:ind w:left="1134" w:hanging="1156"/>
        <w:rPr>
          <w:rFonts w:eastAsia="Times New Roman" w:cs="Arial"/>
          <w:color w:val="000000"/>
          <w:szCs w:val="24"/>
        </w:rPr>
      </w:pPr>
    </w:p>
    <w:p w14:paraId="57DCA44B" w14:textId="77777777" w:rsidR="005C668F" w:rsidRDefault="005C668F" w:rsidP="002B4F8D">
      <w:pPr>
        <w:spacing w:after="0" w:line="240" w:lineRule="auto"/>
        <w:ind w:left="1134" w:hanging="1156"/>
        <w:rPr>
          <w:rFonts w:eastAsia="Times New Roman" w:cs="Arial"/>
          <w:color w:val="000000"/>
          <w:szCs w:val="24"/>
        </w:rPr>
      </w:pPr>
    </w:p>
    <w:p w14:paraId="42EA43E8" w14:textId="77777777" w:rsidR="005C668F" w:rsidRDefault="005C668F" w:rsidP="002B4F8D">
      <w:pPr>
        <w:spacing w:after="0" w:line="240" w:lineRule="auto"/>
        <w:ind w:left="1134" w:hanging="1156"/>
        <w:rPr>
          <w:rFonts w:eastAsia="Times New Roman" w:cs="Arial"/>
          <w:color w:val="000000"/>
          <w:szCs w:val="24"/>
        </w:rPr>
      </w:pPr>
    </w:p>
    <w:p w14:paraId="073D37AE" w14:textId="77777777" w:rsidR="005C668F" w:rsidRDefault="005C668F" w:rsidP="002B4F8D">
      <w:pPr>
        <w:spacing w:after="0" w:line="240" w:lineRule="auto"/>
        <w:ind w:left="1134" w:hanging="1156"/>
        <w:rPr>
          <w:rFonts w:eastAsia="Times New Roman" w:cs="Arial"/>
          <w:color w:val="000000"/>
          <w:szCs w:val="24"/>
        </w:rPr>
      </w:pPr>
    </w:p>
    <w:p w14:paraId="21FEDD9D" w14:textId="77777777" w:rsidR="005C668F" w:rsidRDefault="005C668F" w:rsidP="002B4F8D">
      <w:pPr>
        <w:spacing w:after="0" w:line="240" w:lineRule="auto"/>
        <w:ind w:left="1134" w:hanging="1156"/>
        <w:rPr>
          <w:rFonts w:eastAsia="Times New Roman" w:cs="Arial"/>
          <w:color w:val="000000"/>
          <w:szCs w:val="24"/>
        </w:rPr>
      </w:pPr>
    </w:p>
    <w:p w14:paraId="17BF2C85" w14:textId="77777777" w:rsidR="005C668F" w:rsidRDefault="005C668F" w:rsidP="002B4F8D">
      <w:pPr>
        <w:spacing w:after="0" w:line="240" w:lineRule="auto"/>
        <w:ind w:left="1134" w:hanging="1156"/>
        <w:rPr>
          <w:rFonts w:eastAsia="Times New Roman" w:cs="Arial"/>
          <w:color w:val="000000"/>
          <w:szCs w:val="24"/>
        </w:rPr>
      </w:pPr>
    </w:p>
    <w:p w14:paraId="6C1F33CB" w14:textId="77777777" w:rsidR="005C668F" w:rsidRDefault="005C668F" w:rsidP="002B4F8D">
      <w:pPr>
        <w:spacing w:after="0" w:line="240" w:lineRule="auto"/>
        <w:ind w:left="1134" w:hanging="1156"/>
        <w:rPr>
          <w:rFonts w:eastAsia="Times New Roman" w:cs="Arial"/>
          <w:color w:val="000000"/>
          <w:szCs w:val="24"/>
        </w:rPr>
      </w:pPr>
    </w:p>
    <w:p w14:paraId="633C05D6" w14:textId="77777777" w:rsidR="005C668F" w:rsidRDefault="005C668F" w:rsidP="002B4F8D">
      <w:pPr>
        <w:spacing w:after="0" w:line="240" w:lineRule="auto"/>
        <w:ind w:left="1134" w:hanging="1156"/>
        <w:rPr>
          <w:rFonts w:eastAsia="Times New Roman" w:cs="Arial"/>
          <w:color w:val="000000"/>
          <w:szCs w:val="24"/>
        </w:rPr>
      </w:pPr>
    </w:p>
    <w:p w14:paraId="1D942A5C" w14:textId="77777777" w:rsidR="005C668F" w:rsidRDefault="005C668F" w:rsidP="002B4F8D">
      <w:pPr>
        <w:spacing w:after="0" w:line="240" w:lineRule="auto"/>
        <w:ind w:left="1134" w:hanging="1156"/>
        <w:rPr>
          <w:rFonts w:eastAsia="Times New Roman" w:cs="Arial"/>
          <w:color w:val="000000"/>
          <w:szCs w:val="24"/>
        </w:rPr>
      </w:pPr>
    </w:p>
    <w:p w14:paraId="55D7E05A" w14:textId="77777777" w:rsidR="005C668F" w:rsidRDefault="005C668F" w:rsidP="002B4F8D">
      <w:pPr>
        <w:spacing w:after="0" w:line="240" w:lineRule="auto"/>
        <w:ind w:left="1134" w:hanging="1156"/>
        <w:rPr>
          <w:rFonts w:eastAsia="Times New Roman" w:cs="Arial"/>
          <w:color w:val="000000"/>
          <w:szCs w:val="24"/>
        </w:rPr>
      </w:pPr>
    </w:p>
    <w:p w14:paraId="78507E6D" w14:textId="63DD31D8" w:rsidR="005C668F" w:rsidRDefault="005C668F" w:rsidP="005C668F">
      <w:pPr>
        <w:spacing w:after="0" w:line="240" w:lineRule="auto"/>
        <w:rPr>
          <w:rFonts w:eastAsia="Times New Roman" w:cs="Arial"/>
          <w:color w:val="000000"/>
          <w:szCs w:val="24"/>
        </w:rPr>
      </w:pPr>
      <w:r>
        <w:rPr>
          <w:rFonts w:eastAsia="Times New Roman" w:cs="Arial"/>
          <w:color w:val="000000"/>
          <w:szCs w:val="24"/>
        </w:rPr>
        <w:lastRenderedPageBreak/>
        <w:t xml:space="preserve">                                                                           Acting Judge of the High Court</w:t>
      </w:r>
    </w:p>
    <w:p w14:paraId="762FB6F0" w14:textId="652286C9" w:rsidR="005C668F" w:rsidRDefault="005C668F" w:rsidP="005C668F">
      <w:pPr>
        <w:spacing w:after="0" w:line="240" w:lineRule="auto"/>
        <w:rPr>
          <w:rFonts w:eastAsia="Times New Roman" w:cs="Arial"/>
          <w:color w:val="000000"/>
          <w:szCs w:val="24"/>
        </w:rPr>
      </w:pPr>
      <w:r>
        <w:rPr>
          <w:rFonts w:eastAsia="Times New Roman" w:cs="Arial"/>
          <w:color w:val="000000"/>
          <w:szCs w:val="24"/>
        </w:rPr>
        <w:t xml:space="preserve">                             </w:t>
      </w:r>
    </w:p>
    <w:p w14:paraId="1536130C" w14:textId="6B4E244C" w:rsidR="005C668F" w:rsidRDefault="005C668F" w:rsidP="005C668F">
      <w:pPr>
        <w:spacing w:after="0" w:line="240" w:lineRule="auto"/>
        <w:rPr>
          <w:rFonts w:eastAsia="Times New Roman" w:cs="Arial"/>
          <w:color w:val="000000"/>
          <w:szCs w:val="24"/>
        </w:rPr>
      </w:pPr>
      <w:r>
        <w:rPr>
          <w:rFonts w:eastAsia="Times New Roman" w:cs="Arial"/>
          <w:color w:val="000000"/>
          <w:szCs w:val="24"/>
        </w:rPr>
        <w:t xml:space="preserve">                                                          GAUTENG DIVISION, JOHANNESBURG</w:t>
      </w:r>
    </w:p>
    <w:p w14:paraId="7601D59E" w14:textId="77777777" w:rsidR="005C668F" w:rsidRDefault="005C668F" w:rsidP="005C668F">
      <w:pPr>
        <w:spacing w:after="0" w:line="240" w:lineRule="auto"/>
        <w:rPr>
          <w:rFonts w:eastAsia="Times New Roman" w:cs="Arial"/>
          <w:color w:val="000000"/>
          <w:szCs w:val="24"/>
        </w:rPr>
      </w:pPr>
    </w:p>
    <w:p w14:paraId="551B242C" w14:textId="77777777" w:rsidR="005C668F" w:rsidRDefault="005C668F" w:rsidP="005C668F">
      <w:pPr>
        <w:spacing w:after="0" w:line="240" w:lineRule="auto"/>
        <w:rPr>
          <w:rFonts w:eastAsia="Times New Roman" w:cs="Arial"/>
          <w:color w:val="000000"/>
          <w:szCs w:val="24"/>
        </w:rPr>
      </w:pPr>
    </w:p>
    <w:p w14:paraId="0DD14B36" w14:textId="3CC165C8" w:rsidR="005C668F" w:rsidRDefault="005C668F" w:rsidP="005C668F">
      <w:pPr>
        <w:spacing w:after="0" w:line="240" w:lineRule="auto"/>
        <w:rPr>
          <w:rFonts w:eastAsia="Times New Roman" w:cs="Arial"/>
          <w:color w:val="000000"/>
          <w:szCs w:val="24"/>
        </w:rPr>
      </w:pPr>
      <w:r>
        <w:rPr>
          <w:rFonts w:eastAsia="Times New Roman" w:cs="Arial"/>
          <w:color w:val="000000"/>
          <w:szCs w:val="24"/>
        </w:rPr>
        <w:t xml:space="preserve">APPEARANCES </w:t>
      </w:r>
    </w:p>
    <w:p w14:paraId="2A073F09" w14:textId="77777777" w:rsidR="005C668F" w:rsidRDefault="005C668F" w:rsidP="005C668F">
      <w:pPr>
        <w:spacing w:after="0" w:line="240" w:lineRule="auto"/>
        <w:rPr>
          <w:rFonts w:eastAsia="Times New Roman" w:cs="Arial"/>
          <w:color w:val="000000"/>
          <w:szCs w:val="24"/>
        </w:rPr>
      </w:pPr>
    </w:p>
    <w:p w14:paraId="63DF8EC6" w14:textId="77777777" w:rsidR="005C668F" w:rsidRDefault="005C668F" w:rsidP="005C668F">
      <w:pPr>
        <w:spacing w:after="0" w:line="240" w:lineRule="auto"/>
        <w:rPr>
          <w:rFonts w:eastAsia="Times New Roman" w:cs="Arial"/>
          <w:color w:val="000000"/>
          <w:szCs w:val="24"/>
        </w:rPr>
      </w:pPr>
    </w:p>
    <w:p w14:paraId="35EFF59D" w14:textId="3CCC0DE0" w:rsidR="005C668F" w:rsidRDefault="005C668F" w:rsidP="005C668F">
      <w:pPr>
        <w:spacing w:after="0" w:line="240" w:lineRule="auto"/>
        <w:rPr>
          <w:rFonts w:eastAsia="Times New Roman" w:cs="Arial"/>
          <w:color w:val="000000"/>
          <w:szCs w:val="24"/>
        </w:rPr>
      </w:pPr>
      <w:r>
        <w:rPr>
          <w:rFonts w:eastAsia="Times New Roman" w:cs="Arial"/>
          <w:color w:val="000000"/>
          <w:szCs w:val="24"/>
        </w:rPr>
        <w:t xml:space="preserve">For the Applicant:                Mr </w:t>
      </w:r>
      <w:proofErr w:type="spellStart"/>
      <w:r>
        <w:rPr>
          <w:rFonts w:eastAsia="Times New Roman" w:cs="Arial"/>
          <w:color w:val="000000"/>
          <w:szCs w:val="24"/>
        </w:rPr>
        <w:t>Tafara</w:t>
      </w:r>
      <w:proofErr w:type="spellEnd"/>
      <w:r>
        <w:rPr>
          <w:rFonts w:eastAsia="Times New Roman" w:cs="Arial"/>
          <w:color w:val="000000"/>
          <w:szCs w:val="24"/>
        </w:rPr>
        <w:t xml:space="preserve"> </w:t>
      </w:r>
      <w:proofErr w:type="spellStart"/>
      <w:r>
        <w:rPr>
          <w:rFonts w:eastAsia="Times New Roman" w:cs="Arial"/>
          <w:color w:val="000000"/>
          <w:szCs w:val="24"/>
        </w:rPr>
        <w:t>Mukwani</w:t>
      </w:r>
      <w:proofErr w:type="spellEnd"/>
    </w:p>
    <w:p w14:paraId="73BA229D" w14:textId="59E19CAB" w:rsidR="005C668F" w:rsidRDefault="005C668F" w:rsidP="005C668F">
      <w:pPr>
        <w:spacing w:after="0" w:line="240" w:lineRule="auto"/>
        <w:rPr>
          <w:rFonts w:eastAsia="Times New Roman" w:cs="Arial"/>
          <w:color w:val="000000"/>
          <w:szCs w:val="24"/>
        </w:rPr>
      </w:pPr>
      <w:r>
        <w:rPr>
          <w:rFonts w:eastAsia="Times New Roman" w:cs="Arial"/>
          <w:color w:val="000000"/>
          <w:szCs w:val="24"/>
        </w:rPr>
        <w:t xml:space="preserve">                                            </w:t>
      </w:r>
      <w:proofErr w:type="spellStart"/>
      <w:r>
        <w:rPr>
          <w:rFonts w:eastAsia="Times New Roman" w:cs="Arial"/>
          <w:color w:val="000000"/>
          <w:szCs w:val="24"/>
        </w:rPr>
        <w:t>Mukwani</w:t>
      </w:r>
      <w:proofErr w:type="spellEnd"/>
      <w:r>
        <w:rPr>
          <w:rFonts w:eastAsia="Times New Roman" w:cs="Arial"/>
          <w:color w:val="000000"/>
          <w:szCs w:val="24"/>
        </w:rPr>
        <w:t xml:space="preserve"> Attorneys</w:t>
      </w:r>
    </w:p>
    <w:p w14:paraId="3415242E" w14:textId="77777777" w:rsidR="005C668F" w:rsidRDefault="005C668F" w:rsidP="005C668F">
      <w:pPr>
        <w:spacing w:after="0" w:line="240" w:lineRule="auto"/>
        <w:rPr>
          <w:rFonts w:eastAsia="Times New Roman" w:cs="Arial"/>
          <w:color w:val="000000"/>
          <w:szCs w:val="24"/>
        </w:rPr>
      </w:pPr>
    </w:p>
    <w:p w14:paraId="386222EB" w14:textId="258AC7FE" w:rsidR="005C668F" w:rsidRDefault="005C668F" w:rsidP="005C668F">
      <w:pPr>
        <w:spacing w:after="0" w:line="240" w:lineRule="auto"/>
        <w:rPr>
          <w:rFonts w:eastAsia="Times New Roman" w:cs="Arial"/>
          <w:color w:val="000000"/>
          <w:szCs w:val="24"/>
        </w:rPr>
      </w:pPr>
      <w:r>
        <w:rPr>
          <w:rFonts w:eastAsia="Times New Roman" w:cs="Arial"/>
          <w:color w:val="000000"/>
          <w:szCs w:val="24"/>
        </w:rPr>
        <w:t xml:space="preserve">For the First Respondent:   Miss Faith </w:t>
      </w:r>
      <w:proofErr w:type="spellStart"/>
      <w:r>
        <w:rPr>
          <w:rFonts w:eastAsia="Times New Roman" w:cs="Arial"/>
          <w:color w:val="000000"/>
          <w:szCs w:val="24"/>
        </w:rPr>
        <w:t>Mazibuko</w:t>
      </w:r>
      <w:proofErr w:type="spellEnd"/>
      <w:r>
        <w:rPr>
          <w:rFonts w:eastAsia="Times New Roman" w:cs="Arial"/>
          <w:color w:val="000000"/>
          <w:szCs w:val="24"/>
        </w:rPr>
        <w:t xml:space="preserve"> (In Person)</w:t>
      </w:r>
    </w:p>
    <w:p w14:paraId="73B19426" w14:textId="77777777" w:rsidR="002E5F92" w:rsidRDefault="002E5F92" w:rsidP="002B4F8D">
      <w:pPr>
        <w:spacing w:after="0" w:line="240" w:lineRule="auto"/>
        <w:ind w:left="1134" w:hanging="1156"/>
        <w:rPr>
          <w:rFonts w:eastAsia="Times New Roman" w:cs="Arial"/>
          <w:color w:val="000000"/>
          <w:szCs w:val="24"/>
        </w:rPr>
      </w:pPr>
    </w:p>
    <w:p w14:paraId="7E8D6751" w14:textId="77777777" w:rsidR="002E5F92" w:rsidRDefault="002E5F92" w:rsidP="002B4F8D">
      <w:pPr>
        <w:spacing w:after="0" w:line="240" w:lineRule="auto"/>
        <w:ind w:left="1134" w:hanging="1156"/>
        <w:rPr>
          <w:rFonts w:eastAsia="Times New Roman" w:cs="Arial"/>
          <w:color w:val="000000"/>
          <w:szCs w:val="24"/>
        </w:rPr>
      </w:pPr>
    </w:p>
    <w:p w14:paraId="11C195D3" w14:textId="77777777" w:rsidR="003A6C67" w:rsidRDefault="003A6C67" w:rsidP="002B4F8D">
      <w:pPr>
        <w:spacing w:after="0" w:line="240" w:lineRule="auto"/>
        <w:ind w:left="1134" w:hanging="1156"/>
        <w:rPr>
          <w:rFonts w:eastAsia="Times New Roman" w:cs="Arial"/>
          <w:color w:val="000000"/>
          <w:szCs w:val="24"/>
        </w:rPr>
      </w:pPr>
    </w:p>
    <w:p w14:paraId="4A9D7BD2" w14:textId="77777777" w:rsidR="003A6C67" w:rsidRPr="00077206" w:rsidRDefault="003A6C67" w:rsidP="002B4F8D">
      <w:pPr>
        <w:spacing w:after="0" w:line="240" w:lineRule="auto"/>
        <w:ind w:left="1134" w:hanging="1156"/>
        <w:rPr>
          <w:rFonts w:eastAsia="Times New Roman" w:cs="Arial"/>
          <w:color w:val="000000"/>
          <w:szCs w:val="24"/>
        </w:rPr>
      </w:pPr>
    </w:p>
    <w:p w14:paraId="16A3FBA9" w14:textId="77777777" w:rsidR="00B86C39" w:rsidRDefault="000E0644"/>
    <w:p w14:paraId="2BFA4A1A" w14:textId="77777777" w:rsidR="002B4F8D" w:rsidRDefault="002B4F8D"/>
    <w:sectPr w:rsidR="002B4F8D" w:rsidSect="00282F4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1455B" w14:textId="77777777" w:rsidR="000E0644" w:rsidRDefault="000E0644" w:rsidP="00B94CC5">
      <w:pPr>
        <w:spacing w:after="0" w:line="240" w:lineRule="auto"/>
      </w:pPr>
      <w:r>
        <w:separator/>
      </w:r>
    </w:p>
  </w:endnote>
  <w:endnote w:type="continuationSeparator" w:id="0">
    <w:p w14:paraId="2C812E50" w14:textId="77777777" w:rsidR="000E0644" w:rsidRDefault="000E0644" w:rsidP="00B9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A106A" w14:textId="77777777" w:rsidR="000E0644" w:rsidRDefault="000E0644" w:rsidP="00B94CC5">
      <w:pPr>
        <w:spacing w:after="0" w:line="240" w:lineRule="auto"/>
      </w:pPr>
      <w:r>
        <w:separator/>
      </w:r>
    </w:p>
  </w:footnote>
  <w:footnote w:type="continuationSeparator" w:id="0">
    <w:p w14:paraId="4D7C55DA" w14:textId="77777777" w:rsidR="000E0644" w:rsidRDefault="000E0644" w:rsidP="00B94CC5">
      <w:pPr>
        <w:spacing w:after="0" w:line="240" w:lineRule="auto"/>
      </w:pPr>
      <w:r>
        <w:continuationSeparator/>
      </w:r>
    </w:p>
  </w:footnote>
  <w:footnote w:id="1">
    <w:p w14:paraId="6B664639" w14:textId="77777777" w:rsidR="00B94CC5" w:rsidRPr="00B94CC5" w:rsidRDefault="00B94CC5">
      <w:pPr>
        <w:pStyle w:val="FootnoteText"/>
        <w:rPr>
          <w:lang w:val="en-US"/>
        </w:rPr>
      </w:pPr>
      <w:r>
        <w:rPr>
          <w:rStyle w:val="FootnoteReference"/>
        </w:rPr>
        <w:footnoteRef/>
      </w:r>
      <w:r>
        <w:t xml:space="preserve"> </w:t>
      </w:r>
      <w:r>
        <w:rPr>
          <w:lang w:val="en-US"/>
        </w:rPr>
        <w:t>Case lines 0002-4</w:t>
      </w:r>
    </w:p>
  </w:footnote>
  <w:footnote w:id="2">
    <w:p w14:paraId="4DA0E2E1" w14:textId="77777777" w:rsidR="00DC7AF2" w:rsidRPr="00DC7AF2" w:rsidRDefault="00DC7AF2">
      <w:pPr>
        <w:pStyle w:val="FootnoteText"/>
        <w:rPr>
          <w:lang w:val="en-US"/>
        </w:rPr>
      </w:pPr>
      <w:r>
        <w:rPr>
          <w:rStyle w:val="FootnoteReference"/>
        </w:rPr>
        <w:footnoteRef/>
      </w:r>
      <w:r>
        <w:t xml:space="preserve"> </w:t>
      </w:r>
      <w:r>
        <w:rPr>
          <w:lang w:val="en-US"/>
        </w:rPr>
        <w:t>Case lines 015-1</w:t>
      </w:r>
    </w:p>
  </w:footnote>
  <w:footnote w:id="3">
    <w:p w14:paraId="302CBA6A" w14:textId="77777777" w:rsidR="002B4AE3" w:rsidRPr="002B4AE3" w:rsidRDefault="002B4AE3">
      <w:pPr>
        <w:pStyle w:val="FootnoteText"/>
        <w:rPr>
          <w:lang w:val="en-US"/>
        </w:rPr>
      </w:pPr>
      <w:r>
        <w:rPr>
          <w:rStyle w:val="FootnoteReference"/>
        </w:rPr>
        <w:footnoteRef/>
      </w:r>
      <w:r>
        <w:t xml:space="preserve"> </w:t>
      </w:r>
      <w:r>
        <w:rPr>
          <w:i/>
          <w:lang w:val="en-US"/>
        </w:rPr>
        <w:t xml:space="preserve">Business Partners Ltd v World Focus 754 CC </w:t>
      </w:r>
      <w:r>
        <w:rPr>
          <w:lang w:val="en-US"/>
        </w:rPr>
        <w:t>2015 (5) SA 525 (KZD);</w:t>
      </w:r>
      <w:r>
        <w:rPr>
          <w:i/>
          <w:lang w:val="en-US"/>
        </w:rPr>
        <w:t>Shepherd v Tuckers Land and Development Corporation (Pty) Ltd</w:t>
      </w:r>
      <w:r w:rsidRPr="002B4AE3">
        <w:rPr>
          <w:lang w:val="en-US"/>
        </w:rPr>
        <w:t xml:space="preserve"> 1978</w:t>
      </w:r>
      <w:r>
        <w:rPr>
          <w:lang w:val="en-US"/>
        </w:rPr>
        <w:t xml:space="preserve"> (1) </w:t>
      </w:r>
      <w:r w:rsidR="008B4AB2">
        <w:rPr>
          <w:lang w:val="en-US"/>
        </w:rPr>
        <w:t>SA 173 (W) at 177H – 178 A. “</w:t>
      </w:r>
      <w:r w:rsidR="008B4AB2" w:rsidRPr="008B4AB2">
        <w:rPr>
          <w:i/>
          <w:lang w:val="en-US"/>
        </w:rPr>
        <w:t>This is not how</w:t>
      </w:r>
      <w:r w:rsidR="008B4AB2">
        <w:rPr>
          <w:i/>
          <w:lang w:val="en-US"/>
        </w:rPr>
        <w:t>ever an absolute rule. It is not a law of Medes and Persians. The court has a discretion to allow new matter to remain in a replying affidavit … This indulgence, however, will only be allowed in special or exceptional circumstances.”</w:t>
      </w:r>
    </w:p>
  </w:footnote>
  <w:footnote w:id="4">
    <w:p w14:paraId="3EF844D5" w14:textId="77777777" w:rsidR="00A60DB3" w:rsidRPr="00A60DB3" w:rsidRDefault="00A60DB3">
      <w:pPr>
        <w:pStyle w:val="FootnoteText"/>
        <w:rPr>
          <w:lang w:val="en-US"/>
        </w:rPr>
      </w:pPr>
      <w:r>
        <w:rPr>
          <w:rStyle w:val="FootnoteReference"/>
        </w:rPr>
        <w:footnoteRef/>
      </w:r>
      <w:r>
        <w:t xml:space="preserve"> </w:t>
      </w:r>
      <w:r>
        <w:rPr>
          <w:lang w:val="en-US"/>
        </w:rPr>
        <w:t>Case lines 015 -2 para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8D"/>
    <w:rsid w:val="00077206"/>
    <w:rsid w:val="000B62E0"/>
    <w:rsid w:val="000E0644"/>
    <w:rsid w:val="000F61B4"/>
    <w:rsid w:val="001459A0"/>
    <w:rsid w:val="00222A3B"/>
    <w:rsid w:val="00235B44"/>
    <w:rsid w:val="002740F8"/>
    <w:rsid w:val="00282F4A"/>
    <w:rsid w:val="002B4AE3"/>
    <w:rsid w:val="002B4F8D"/>
    <w:rsid w:val="002E5F92"/>
    <w:rsid w:val="00306571"/>
    <w:rsid w:val="003A6C67"/>
    <w:rsid w:val="004118BB"/>
    <w:rsid w:val="004E49D3"/>
    <w:rsid w:val="00523C07"/>
    <w:rsid w:val="00575590"/>
    <w:rsid w:val="005C668F"/>
    <w:rsid w:val="006910A0"/>
    <w:rsid w:val="00761C1A"/>
    <w:rsid w:val="007C462F"/>
    <w:rsid w:val="007D14E6"/>
    <w:rsid w:val="00802909"/>
    <w:rsid w:val="008B4AB2"/>
    <w:rsid w:val="00917322"/>
    <w:rsid w:val="00A60DB3"/>
    <w:rsid w:val="00A64D3D"/>
    <w:rsid w:val="00AA2439"/>
    <w:rsid w:val="00B43D11"/>
    <w:rsid w:val="00B94CC5"/>
    <w:rsid w:val="00BA3028"/>
    <w:rsid w:val="00C332F4"/>
    <w:rsid w:val="00C4291B"/>
    <w:rsid w:val="00DC7AF2"/>
    <w:rsid w:val="00ED46E2"/>
    <w:rsid w:val="00F9601F"/>
    <w:rsid w:val="00FC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E822"/>
  <w14:defaultImageDpi w14:val="32767"/>
  <w15:chartTrackingRefBased/>
  <w15:docId w15:val="{DD0C33B3-FBB6-E041-BDBA-65024318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qFormat/>
    <w:rsid w:val="002B4F8D"/>
    <w:pPr>
      <w:spacing w:after="240" w:line="360" w:lineRule="auto"/>
      <w:ind w:left="567"/>
      <w:jc w:val="both"/>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2B4F8D"/>
    <w:pPr>
      <w:numPr>
        <w:numId w:val="1"/>
      </w:numPr>
    </w:pPr>
    <w:rPr>
      <w:rFonts w:cs="Arial"/>
    </w:rPr>
  </w:style>
  <w:style w:type="character" w:customStyle="1" w:styleId="JudgmentNumberedChar">
    <w:name w:val="Judgment Numbered Char"/>
    <w:basedOn w:val="DefaultParagraphFont"/>
    <w:link w:val="JudgmentNumbered"/>
    <w:rsid w:val="002B4F8D"/>
    <w:rPr>
      <w:rFonts w:ascii="Arial" w:hAnsi="Arial" w:cs="Arial"/>
      <w:szCs w:val="22"/>
    </w:rPr>
  </w:style>
  <w:style w:type="paragraph" w:styleId="FootnoteText">
    <w:name w:val="footnote text"/>
    <w:basedOn w:val="Normal"/>
    <w:link w:val="FootnoteTextChar"/>
    <w:uiPriority w:val="99"/>
    <w:semiHidden/>
    <w:unhideWhenUsed/>
    <w:rsid w:val="00B94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CC5"/>
    <w:rPr>
      <w:rFonts w:ascii="Arial" w:hAnsi="Arial"/>
      <w:sz w:val="20"/>
      <w:szCs w:val="20"/>
    </w:rPr>
  </w:style>
  <w:style w:type="character" w:styleId="FootnoteReference">
    <w:name w:val="footnote reference"/>
    <w:basedOn w:val="DefaultParagraphFont"/>
    <w:uiPriority w:val="99"/>
    <w:semiHidden/>
    <w:unhideWhenUsed/>
    <w:rsid w:val="00B94CC5"/>
    <w:rPr>
      <w:vertAlign w:val="superscript"/>
    </w:rPr>
  </w:style>
  <w:style w:type="paragraph" w:styleId="BalloonText">
    <w:name w:val="Balloon Text"/>
    <w:basedOn w:val="Normal"/>
    <w:link w:val="BalloonTextChar"/>
    <w:uiPriority w:val="99"/>
    <w:semiHidden/>
    <w:unhideWhenUsed/>
    <w:rsid w:val="00274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7B7B823-461C-4F17-B11F-6C8C4535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Mokone</cp:lastModifiedBy>
  <cp:revision>2</cp:revision>
  <dcterms:created xsi:type="dcterms:W3CDTF">2023-05-18T10:10:00Z</dcterms:created>
  <dcterms:modified xsi:type="dcterms:W3CDTF">2023-05-18T10:10:00Z</dcterms:modified>
</cp:coreProperties>
</file>