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C74E9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C74E97" w:rsidRDefault="006C43D7" w:rsidP="00C74E97">
      <w:pPr>
        <w:spacing w:line="360" w:lineRule="auto"/>
        <w:jc w:val="center"/>
        <w:rPr>
          <w:b/>
          <w:szCs w:val="22"/>
        </w:rPr>
      </w:pPr>
      <w:r w:rsidRPr="006C43D7">
        <w:rPr>
          <w:b/>
        </w:rPr>
        <w:t>I</w:t>
      </w:r>
      <w:r w:rsidRPr="00C74E97">
        <w:rPr>
          <w:b/>
          <w:szCs w:val="22"/>
        </w:rPr>
        <w:t xml:space="preserve">N THE HIGH COURT OF SOUTH AFRICA, </w:t>
      </w:r>
    </w:p>
    <w:p w14:paraId="566C4D1B" w14:textId="77777777" w:rsidR="006C43D7" w:rsidRPr="00C74E97" w:rsidRDefault="006C43D7" w:rsidP="00C74E97">
      <w:pPr>
        <w:spacing w:line="360" w:lineRule="auto"/>
        <w:jc w:val="center"/>
        <w:rPr>
          <w:b/>
          <w:szCs w:val="22"/>
        </w:rPr>
      </w:pPr>
      <w:r w:rsidRPr="00C74E97">
        <w:rPr>
          <w:b/>
          <w:szCs w:val="22"/>
        </w:rPr>
        <w:t>GAUTENG DIVISION, JOHANNESBURG</w:t>
      </w:r>
    </w:p>
    <w:p w14:paraId="13D6E83E" w14:textId="77777777" w:rsidR="006C43D7" w:rsidRPr="00C74E97" w:rsidRDefault="006C43D7" w:rsidP="00C74E97">
      <w:pPr>
        <w:spacing w:line="360" w:lineRule="auto"/>
        <w:jc w:val="both"/>
        <w:rPr>
          <w:b/>
          <w:szCs w:val="22"/>
        </w:rPr>
      </w:pPr>
    </w:p>
    <w:p w14:paraId="3698476C" w14:textId="6D2A4F1A" w:rsidR="006C43D7" w:rsidRPr="00C74E97" w:rsidRDefault="006C43D7" w:rsidP="00C74E97">
      <w:pPr>
        <w:spacing w:line="360" w:lineRule="auto"/>
        <w:jc w:val="right"/>
        <w:rPr>
          <w:b/>
          <w:szCs w:val="22"/>
        </w:rPr>
      </w:pPr>
      <w:r w:rsidRPr="00C74E97">
        <w:rPr>
          <w:b/>
          <w:szCs w:val="22"/>
        </w:rPr>
        <w:t xml:space="preserve">CASE NO: </w:t>
      </w:r>
      <w:r w:rsidR="008C7019">
        <w:rPr>
          <w:b/>
          <w:szCs w:val="22"/>
        </w:rPr>
        <w:t>2023/</w:t>
      </w:r>
      <w:r w:rsidR="00C1108E">
        <w:rPr>
          <w:b/>
          <w:szCs w:val="22"/>
        </w:rPr>
        <w:t>00</w:t>
      </w:r>
      <w:r w:rsidR="008C7019">
        <w:rPr>
          <w:b/>
          <w:szCs w:val="22"/>
        </w:rPr>
        <w:t>1585</w:t>
      </w:r>
    </w:p>
    <w:p w14:paraId="0AF8DD38" w14:textId="77777777" w:rsidR="006C43D7" w:rsidRPr="00C74E97" w:rsidRDefault="006C43D7" w:rsidP="00C74E97">
      <w:pPr>
        <w:spacing w:line="360" w:lineRule="auto"/>
        <w:jc w:val="right"/>
        <w:rPr>
          <w:szCs w:val="22"/>
        </w:rPr>
      </w:pPr>
      <w:r w:rsidRPr="00C74E97">
        <w:rPr>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049994FF" w:rsidR="00D645C6" w:rsidRDefault="00CE6537" w:rsidP="00CE653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537126">
                              <w:rPr>
                                <w:rFonts w:ascii="Century Gothic" w:hAnsi="Century Gothic"/>
                                <w:sz w:val="20"/>
                                <w:szCs w:val="20"/>
                              </w:rPr>
                              <w:t>YES</w:t>
                            </w:r>
                          </w:p>
                          <w:p w14:paraId="3A4C7296" w14:textId="6C794D5B" w:rsidR="00D645C6" w:rsidRPr="001D3CC2" w:rsidRDefault="00CE6537" w:rsidP="00CE653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537126">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049994FF" w:rsidR="00D645C6" w:rsidRDefault="00CE6537" w:rsidP="00CE653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537126">
                        <w:rPr>
                          <w:rFonts w:ascii="Century Gothic" w:hAnsi="Century Gothic"/>
                          <w:sz w:val="20"/>
                          <w:szCs w:val="20"/>
                        </w:rPr>
                        <w:t>YES</w:t>
                      </w:r>
                    </w:p>
                    <w:p w14:paraId="3A4C7296" w14:textId="6C794D5B" w:rsidR="00D645C6" w:rsidRPr="001D3CC2" w:rsidRDefault="00CE6537" w:rsidP="00CE653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537126">
                        <w:rPr>
                          <w:rFonts w:ascii="Century Gothic" w:hAnsi="Century Gothic"/>
                          <w:sz w:val="20"/>
                          <w:szCs w:val="20"/>
                        </w:rPr>
                        <w:t>YES</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C74E97" w:rsidRDefault="006C43D7" w:rsidP="00C74E97">
      <w:pPr>
        <w:spacing w:line="360" w:lineRule="auto"/>
        <w:jc w:val="both"/>
        <w:rPr>
          <w:szCs w:val="22"/>
        </w:rPr>
      </w:pPr>
    </w:p>
    <w:p w14:paraId="4E808D74" w14:textId="77777777" w:rsidR="006C43D7" w:rsidRPr="00C74E97" w:rsidRDefault="006C43D7" w:rsidP="00C74E97">
      <w:pPr>
        <w:spacing w:line="360" w:lineRule="auto"/>
        <w:jc w:val="both"/>
        <w:rPr>
          <w:szCs w:val="22"/>
        </w:rPr>
      </w:pPr>
    </w:p>
    <w:p w14:paraId="34BF70B6" w14:textId="77777777" w:rsidR="006C43D7" w:rsidRPr="00C74E97" w:rsidRDefault="006C43D7" w:rsidP="00C74E97">
      <w:pPr>
        <w:spacing w:line="360" w:lineRule="auto"/>
        <w:jc w:val="both"/>
        <w:rPr>
          <w:szCs w:val="22"/>
        </w:rPr>
      </w:pPr>
    </w:p>
    <w:p w14:paraId="2F53BA3A" w14:textId="77777777" w:rsidR="006C43D7" w:rsidRPr="00C74E97" w:rsidRDefault="006C43D7" w:rsidP="00C74E97">
      <w:pPr>
        <w:spacing w:line="360" w:lineRule="auto"/>
        <w:jc w:val="both"/>
        <w:rPr>
          <w:szCs w:val="22"/>
        </w:rPr>
      </w:pPr>
    </w:p>
    <w:p w14:paraId="3A1C212E" w14:textId="77777777" w:rsidR="006C43D7" w:rsidRPr="00C74E97" w:rsidRDefault="006C43D7" w:rsidP="00C74E97">
      <w:pPr>
        <w:spacing w:line="360" w:lineRule="auto"/>
        <w:jc w:val="both"/>
        <w:rPr>
          <w:szCs w:val="22"/>
        </w:rPr>
      </w:pPr>
    </w:p>
    <w:p w14:paraId="04919B1B" w14:textId="77777777" w:rsidR="001D3CC2" w:rsidRPr="00C74E97" w:rsidRDefault="001D3CC2" w:rsidP="00C74E97">
      <w:pPr>
        <w:spacing w:line="360" w:lineRule="auto"/>
        <w:jc w:val="both"/>
        <w:rPr>
          <w:rFonts w:cs="Arial"/>
          <w:szCs w:val="22"/>
        </w:rPr>
      </w:pPr>
    </w:p>
    <w:p w14:paraId="65EE98C6" w14:textId="1CE21322" w:rsidR="00AA7A76" w:rsidRDefault="00AA7A76" w:rsidP="00C74E97">
      <w:pPr>
        <w:spacing w:line="360" w:lineRule="auto"/>
        <w:jc w:val="both"/>
        <w:rPr>
          <w:rFonts w:cs="Arial"/>
          <w:szCs w:val="22"/>
        </w:rPr>
      </w:pPr>
      <w:r w:rsidRPr="00C74E97">
        <w:rPr>
          <w:rFonts w:cs="Arial"/>
          <w:szCs w:val="22"/>
        </w:rPr>
        <w:t>In the matter between:</w:t>
      </w:r>
    </w:p>
    <w:p w14:paraId="045D3852" w14:textId="77777777" w:rsidR="00E57446" w:rsidRDefault="00E57446" w:rsidP="00C74E97">
      <w:pPr>
        <w:spacing w:line="360" w:lineRule="auto"/>
        <w:jc w:val="both"/>
        <w:rPr>
          <w:rFonts w:cs="Arial"/>
          <w:szCs w:val="22"/>
        </w:rPr>
      </w:pPr>
    </w:p>
    <w:p w14:paraId="2804C32A" w14:textId="6C8D50AF" w:rsidR="00E57446" w:rsidRDefault="00E57446" w:rsidP="00C74E97">
      <w:pPr>
        <w:spacing w:line="360" w:lineRule="auto"/>
        <w:jc w:val="both"/>
        <w:rPr>
          <w:rFonts w:cs="Arial"/>
          <w:szCs w:val="22"/>
        </w:rPr>
      </w:pPr>
      <w:r>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C74E97" w14:paraId="4CBFF906" w14:textId="77777777" w:rsidTr="00F013A6">
        <w:tc>
          <w:tcPr>
            <w:tcW w:w="6305" w:type="dxa"/>
          </w:tcPr>
          <w:p w14:paraId="07466740" w14:textId="76EE1C0F" w:rsidR="00E57446" w:rsidRPr="00C74E97" w:rsidRDefault="008C7019" w:rsidP="00F013A6">
            <w:pPr>
              <w:spacing w:line="360" w:lineRule="auto"/>
              <w:jc w:val="both"/>
              <w:rPr>
                <w:rFonts w:cs="Arial"/>
                <w:b/>
                <w:szCs w:val="22"/>
              </w:rPr>
            </w:pPr>
            <w:r>
              <w:rPr>
                <w:rFonts w:cs="Arial"/>
                <w:b/>
                <w:szCs w:val="22"/>
              </w:rPr>
              <w:t>ALTECH RADIO HOLDINGS (PTY) LTD</w:t>
            </w:r>
          </w:p>
        </w:tc>
        <w:tc>
          <w:tcPr>
            <w:tcW w:w="2246" w:type="dxa"/>
          </w:tcPr>
          <w:p w14:paraId="32F3C456" w14:textId="4542077E" w:rsidR="00E57446" w:rsidRPr="00C74E97" w:rsidRDefault="00E57446" w:rsidP="00F013A6">
            <w:pPr>
              <w:spacing w:line="360" w:lineRule="auto"/>
              <w:rPr>
                <w:rFonts w:cs="Arial"/>
                <w:szCs w:val="22"/>
              </w:rPr>
            </w:pPr>
            <w:r>
              <w:rPr>
                <w:rFonts w:cs="Arial"/>
                <w:szCs w:val="22"/>
              </w:rPr>
              <w:t>Applicant</w:t>
            </w:r>
          </w:p>
        </w:tc>
      </w:tr>
      <w:tr w:rsidR="00E57446" w:rsidRPr="00C74E97" w14:paraId="582D8E94" w14:textId="77777777" w:rsidTr="00F013A6">
        <w:tc>
          <w:tcPr>
            <w:tcW w:w="6305" w:type="dxa"/>
          </w:tcPr>
          <w:p w14:paraId="7BC13697" w14:textId="77777777" w:rsidR="00E57446" w:rsidRPr="00C74E97" w:rsidRDefault="00E57446" w:rsidP="00F013A6">
            <w:pPr>
              <w:spacing w:line="360" w:lineRule="auto"/>
              <w:jc w:val="both"/>
              <w:rPr>
                <w:szCs w:val="22"/>
              </w:rPr>
            </w:pPr>
            <w:r w:rsidRPr="00C74E97">
              <w:rPr>
                <w:szCs w:val="22"/>
              </w:rPr>
              <w:t xml:space="preserve">and  </w:t>
            </w:r>
          </w:p>
        </w:tc>
        <w:tc>
          <w:tcPr>
            <w:tcW w:w="2246" w:type="dxa"/>
          </w:tcPr>
          <w:p w14:paraId="3E582FC6" w14:textId="77777777" w:rsidR="00E57446" w:rsidRPr="00C74E97" w:rsidRDefault="00E57446" w:rsidP="00F013A6">
            <w:pPr>
              <w:spacing w:line="360" w:lineRule="auto"/>
              <w:jc w:val="right"/>
              <w:rPr>
                <w:rFonts w:cs="Arial"/>
                <w:szCs w:val="22"/>
              </w:rPr>
            </w:pPr>
          </w:p>
        </w:tc>
      </w:tr>
      <w:tr w:rsidR="00E57446" w:rsidRPr="00C74E97" w14:paraId="143F83E0" w14:textId="77777777" w:rsidTr="00F013A6">
        <w:tc>
          <w:tcPr>
            <w:tcW w:w="6305" w:type="dxa"/>
          </w:tcPr>
          <w:p w14:paraId="66C3A0D3" w14:textId="2A3A4B72" w:rsidR="00E57446" w:rsidRPr="00C74E97" w:rsidRDefault="008C7019" w:rsidP="00F013A6">
            <w:pPr>
              <w:spacing w:line="360" w:lineRule="auto"/>
              <w:jc w:val="both"/>
              <w:rPr>
                <w:b/>
                <w:szCs w:val="22"/>
              </w:rPr>
            </w:pPr>
            <w:r>
              <w:rPr>
                <w:b/>
                <w:szCs w:val="22"/>
              </w:rPr>
              <w:t>AEONOVA360 MANAGEMENT SERVICES (PTY) LTD</w:t>
            </w:r>
          </w:p>
        </w:tc>
        <w:tc>
          <w:tcPr>
            <w:tcW w:w="2246" w:type="dxa"/>
          </w:tcPr>
          <w:p w14:paraId="79FDAF6B" w14:textId="155244AA" w:rsidR="00E57446" w:rsidRPr="00C74E97" w:rsidRDefault="008C7019" w:rsidP="00F013A6">
            <w:pPr>
              <w:spacing w:line="360" w:lineRule="auto"/>
              <w:rPr>
                <w:rFonts w:cs="Arial"/>
                <w:szCs w:val="22"/>
              </w:rPr>
            </w:pPr>
            <w:r>
              <w:rPr>
                <w:rFonts w:cs="Arial"/>
                <w:szCs w:val="22"/>
              </w:rPr>
              <w:t xml:space="preserve">First </w:t>
            </w:r>
            <w:r w:rsidR="00E57446">
              <w:rPr>
                <w:rFonts w:cs="Arial"/>
                <w:szCs w:val="22"/>
              </w:rPr>
              <w:t>Respondent</w:t>
            </w:r>
          </w:p>
        </w:tc>
      </w:tr>
      <w:tr w:rsidR="008C7019" w:rsidRPr="00C74E97" w14:paraId="77CF61B5" w14:textId="77777777" w:rsidTr="00F013A6">
        <w:tc>
          <w:tcPr>
            <w:tcW w:w="6305" w:type="dxa"/>
          </w:tcPr>
          <w:p w14:paraId="7D5559A9" w14:textId="6ADDAA9B" w:rsidR="008C7019" w:rsidRDefault="008C7019" w:rsidP="00F013A6">
            <w:pPr>
              <w:spacing w:line="360" w:lineRule="auto"/>
              <w:jc w:val="both"/>
              <w:rPr>
                <w:b/>
                <w:szCs w:val="22"/>
              </w:rPr>
            </w:pPr>
            <w:r>
              <w:rPr>
                <w:b/>
                <w:szCs w:val="22"/>
              </w:rPr>
              <w:t>RETIRED JUSTICE BR SOUTHWOOD</w:t>
            </w:r>
          </w:p>
        </w:tc>
        <w:tc>
          <w:tcPr>
            <w:tcW w:w="2246" w:type="dxa"/>
          </w:tcPr>
          <w:p w14:paraId="4E5D9950" w14:textId="537AFF21" w:rsidR="008C7019" w:rsidRDefault="008C7019" w:rsidP="00F013A6">
            <w:pPr>
              <w:spacing w:line="360" w:lineRule="auto"/>
              <w:rPr>
                <w:rFonts w:cs="Arial"/>
                <w:szCs w:val="22"/>
              </w:rPr>
            </w:pPr>
            <w:r>
              <w:rPr>
                <w:rFonts w:cs="Arial"/>
                <w:szCs w:val="22"/>
              </w:rPr>
              <w:t>Second Respondent</w:t>
            </w:r>
          </w:p>
        </w:tc>
      </w:tr>
    </w:tbl>
    <w:p w14:paraId="25A9B909" w14:textId="77777777" w:rsidR="00C1108E" w:rsidRDefault="00C1108E" w:rsidP="00C1108E">
      <w:pPr>
        <w:spacing w:line="360" w:lineRule="auto"/>
        <w:jc w:val="both"/>
        <w:rPr>
          <w:b/>
        </w:rPr>
      </w:pPr>
    </w:p>
    <w:p w14:paraId="0AA360E1" w14:textId="247C7B44" w:rsidR="00C1108E" w:rsidRPr="0009745A" w:rsidRDefault="00C1108E" w:rsidP="00C1108E">
      <w:pPr>
        <w:spacing w:line="360" w:lineRule="auto"/>
        <w:jc w:val="both"/>
        <w:rPr>
          <w:rFonts w:cs="Arial"/>
          <w:szCs w:val="22"/>
        </w:rPr>
      </w:pPr>
      <w:r w:rsidRPr="003A0BED">
        <w:rPr>
          <w:b/>
        </w:rPr>
        <w:t>Neutral Citation</w:t>
      </w:r>
      <w:r>
        <w:t xml:space="preserve">: </w:t>
      </w:r>
      <w:r w:rsidRPr="00C1108E">
        <w:rPr>
          <w:rFonts w:cs="Arial"/>
          <w:bCs/>
          <w:i/>
          <w:iCs/>
          <w:szCs w:val="22"/>
        </w:rPr>
        <w:t>Altech Radio Holdings (Pty) Ltd</w:t>
      </w:r>
      <w:r w:rsidRPr="00C1108E">
        <w:rPr>
          <w:bCs/>
          <w:i/>
          <w:iCs/>
        </w:rPr>
        <w:t xml:space="preserve"> </w:t>
      </w:r>
      <w:r>
        <w:rPr>
          <w:i/>
        </w:rPr>
        <w:t xml:space="preserve">v </w:t>
      </w:r>
      <w:r w:rsidRPr="00C1108E">
        <w:rPr>
          <w:bCs/>
          <w:i/>
          <w:iCs/>
          <w:szCs w:val="22"/>
        </w:rPr>
        <w:t>Aeonova360 Management Services (Pty) Ltd</w:t>
      </w:r>
      <w:r w:rsidRPr="00C1108E">
        <w:rPr>
          <w:bCs/>
          <w:i/>
          <w:iCs/>
        </w:rPr>
        <w:t xml:space="preserve"> </w:t>
      </w:r>
      <w:r>
        <w:rPr>
          <w:bCs/>
          <w:i/>
          <w:iCs/>
          <w:szCs w:val="22"/>
        </w:rPr>
        <w:t>and Another</w:t>
      </w:r>
      <w:r>
        <w:t xml:space="preserve"> (Case No. </w:t>
      </w:r>
      <w:r w:rsidRPr="00C1108E">
        <w:rPr>
          <w:bCs/>
          <w:szCs w:val="22"/>
        </w:rPr>
        <w:t>2023/001585</w:t>
      </w:r>
      <w:r>
        <w:t xml:space="preserve">) [2023] ZAGPJHC </w:t>
      </w:r>
      <w:r w:rsidR="008570B8">
        <w:t>475</w:t>
      </w:r>
      <w:r>
        <w:t xml:space="preserve"> (15 May 2023)</w:t>
      </w:r>
    </w:p>
    <w:p w14:paraId="73A7E259" w14:textId="77777777" w:rsidR="00C1108E" w:rsidRPr="00C74E97" w:rsidRDefault="00C1108E" w:rsidP="00C74E97">
      <w:pPr>
        <w:pBdr>
          <w:bottom w:val="single" w:sz="4" w:space="1" w:color="auto"/>
        </w:pBdr>
        <w:spacing w:line="360" w:lineRule="auto"/>
        <w:jc w:val="both"/>
        <w:rPr>
          <w:rFonts w:cs="Arial"/>
          <w:szCs w:val="22"/>
        </w:rPr>
      </w:pPr>
    </w:p>
    <w:p w14:paraId="58DE5549" w14:textId="77777777" w:rsidR="006C43D7" w:rsidRPr="00C74E97" w:rsidRDefault="006C43D7" w:rsidP="00C74E97">
      <w:pPr>
        <w:spacing w:line="360" w:lineRule="auto"/>
        <w:jc w:val="both"/>
        <w:rPr>
          <w:rFonts w:cs="Arial"/>
          <w:szCs w:val="22"/>
        </w:rPr>
      </w:pPr>
    </w:p>
    <w:p w14:paraId="647AB70C" w14:textId="77777777" w:rsidR="006C43D7" w:rsidRPr="00C74E97" w:rsidRDefault="006C43D7" w:rsidP="00C74E97">
      <w:pPr>
        <w:keepNext/>
        <w:spacing w:line="360" w:lineRule="auto"/>
        <w:jc w:val="center"/>
        <w:outlineLvl w:val="1"/>
        <w:rPr>
          <w:rFonts w:cs="Arial"/>
          <w:b/>
          <w:bCs/>
          <w:szCs w:val="22"/>
        </w:rPr>
      </w:pPr>
      <w:r w:rsidRPr="00C74E97">
        <w:rPr>
          <w:rFonts w:cs="Arial"/>
          <w:b/>
          <w:bCs/>
          <w:szCs w:val="22"/>
        </w:rPr>
        <w:t>JUDGMENT</w:t>
      </w:r>
    </w:p>
    <w:p w14:paraId="52CD25EB" w14:textId="77777777" w:rsidR="006C43D7" w:rsidRPr="00C74E97" w:rsidRDefault="006C43D7" w:rsidP="00C74E97">
      <w:pPr>
        <w:pBdr>
          <w:bottom w:val="single" w:sz="4" w:space="1" w:color="auto"/>
        </w:pBdr>
        <w:spacing w:line="360" w:lineRule="auto"/>
        <w:jc w:val="both"/>
        <w:rPr>
          <w:rFonts w:cs="Arial"/>
          <w:szCs w:val="22"/>
        </w:rPr>
      </w:pPr>
    </w:p>
    <w:p w14:paraId="0CA76DA1" w14:textId="77777777" w:rsidR="00DC621D" w:rsidRPr="00C74E97" w:rsidRDefault="00DC621D" w:rsidP="00C74E97">
      <w:pPr>
        <w:spacing w:line="360" w:lineRule="auto"/>
        <w:jc w:val="both"/>
        <w:rPr>
          <w:rFonts w:cs="Arial"/>
          <w:b/>
          <w:szCs w:val="22"/>
        </w:rPr>
      </w:pPr>
    </w:p>
    <w:p w14:paraId="5BD82EFE" w14:textId="0F8FBF70" w:rsidR="00BE6AB8" w:rsidRPr="00C74E97" w:rsidRDefault="00C676F3" w:rsidP="00C74E97">
      <w:pPr>
        <w:spacing w:after="480" w:line="360" w:lineRule="auto"/>
        <w:jc w:val="both"/>
        <w:rPr>
          <w:rFonts w:cs="Arial"/>
          <w:b/>
          <w:szCs w:val="22"/>
        </w:rPr>
      </w:pPr>
      <w:r w:rsidRPr="00C74E97">
        <w:rPr>
          <w:rFonts w:cs="Arial"/>
          <w:b/>
          <w:szCs w:val="22"/>
        </w:rPr>
        <w:t>MOORCROFT</w:t>
      </w:r>
      <w:r w:rsidR="006C43D7" w:rsidRPr="00C74E97">
        <w:rPr>
          <w:rFonts w:cs="Arial"/>
          <w:b/>
          <w:szCs w:val="22"/>
        </w:rPr>
        <w:t xml:space="preserve"> AJ:</w:t>
      </w:r>
    </w:p>
    <w:p w14:paraId="09239A78" w14:textId="202EF25D" w:rsidR="00C460A0" w:rsidRPr="00C74E97" w:rsidRDefault="00C460A0" w:rsidP="00C74E97">
      <w:pPr>
        <w:keepNext/>
        <w:spacing w:after="480" w:line="360" w:lineRule="auto"/>
        <w:jc w:val="both"/>
        <w:rPr>
          <w:rFonts w:cs="Arial"/>
          <w:bCs/>
          <w:i/>
          <w:iCs/>
          <w:szCs w:val="22"/>
          <w:u w:val="single"/>
        </w:rPr>
      </w:pPr>
      <w:r w:rsidRPr="00C74E97">
        <w:rPr>
          <w:rFonts w:cs="Arial"/>
          <w:bCs/>
          <w:i/>
          <w:iCs/>
          <w:szCs w:val="22"/>
          <w:u w:val="single"/>
        </w:rPr>
        <w:lastRenderedPageBreak/>
        <w:t>Summary</w:t>
      </w:r>
    </w:p>
    <w:p w14:paraId="4B3C4919" w14:textId="462A1B6F" w:rsidR="00B61484" w:rsidRDefault="008C4AE0" w:rsidP="00C74E97">
      <w:pPr>
        <w:spacing w:after="480" w:line="360" w:lineRule="auto"/>
        <w:jc w:val="both"/>
        <w:rPr>
          <w:rFonts w:cs="Arial"/>
          <w:bCs/>
          <w:i/>
          <w:iCs/>
          <w:szCs w:val="22"/>
        </w:rPr>
      </w:pPr>
      <w:r>
        <w:rPr>
          <w:rFonts w:cs="Arial"/>
          <w:bCs/>
          <w:i/>
          <w:iCs/>
          <w:szCs w:val="22"/>
        </w:rPr>
        <w:t xml:space="preserve">Review – application to set aside arbitration award – section 33 of Arbitration Act, </w:t>
      </w:r>
      <w:r w:rsidR="00B61484">
        <w:rPr>
          <w:rFonts w:cs="Arial"/>
          <w:bCs/>
          <w:i/>
          <w:iCs/>
          <w:szCs w:val="22"/>
        </w:rPr>
        <w:t>42</w:t>
      </w:r>
      <w:r>
        <w:rPr>
          <w:rFonts w:cs="Arial"/>
          <w:bCs/>
          <w:i/>
          <w:iCs/>
          <w:szCs w:val="22"/>
        </w:rPr>
        <w:t xml:space="preserve"> of </w:t>
      </w:r>
      <w:r w:rsidR="00B61484">
        <w:rPr>
          <w:rFonts w:cs="Arial"/>
          <w:bCs/>
          <w:i/>
          <w:iCs/>
          <w:szCs w:val="22"/>
        </w:rPr>
        <w:t>1965</w:t>
      </w:r>
      <w:r w:rsidR="00537126">
        <w:rPr>
          <w:rFonts w:cs="Arial"/>
          <w:bCs/>
          <w:i/>
          <w:iCs/>
          <w:szCs w:val="22"/>
        </w:rPr>
        <w:t xml:space="preserve"> – relates to conduct and not outcome</w:t>
      </w:r>
    </w:p>
    <w:p w14:paraId="36FBE3D4" w14:textId="6F591EF3" w:rsidR="00537126" w:rsidRPr="00C74E97" w:rsidRDefault="00537126" w:rsidP="00537126">
      <w:pPr>
        <w:spacing w:after="480" w:line="360" w:lineRule="auto"/>
        <w:jc w:val="both"/>
        <w:rPr>
          <w:rFonts w:cs="Arial"/>
          <w:bCs/>
          <w:i/>
          <w:iCs/>
          <w:szCs w:val="22"/>
        </w:rPr>
      </w:pPr>
      <w:r>
        <w:rPr>
          <w:rFonts w:cs="Arial"/>
          <w:bCs/>
          <w:i/>
          <w:iCs/>
          <w:szCs w:val="22"/>
        </w:rPr>
        <w:t xml:space="preserve">Gross irregularity – audi alteram partem principle – </w:t>
      </w:r>
      <w:r w:rsidR="00F322F5">
        <w:rPr>
          <w:rFonts w:cs="Arial"/>
          <w:bCs/>
          <w:i/>
          <w:iCs/>
          <w:szCs w:val="22"/>
        </w:rPr>
        <w:t xml:space="preserve">when </w:t>
      </w:r>
      <w:r>
        <w:rPr>
          <w:rFonts w:cs="Arial"/>
          <w:bCs/>
          <w:i/>
          <w:iCs/>
          <w:szCs w:val="22"/>
        </w:rPr>
        <w:t>party deprived a hearing</w:t>
      </w:r>
    </w:p>
    <w:p w14:paraId="452C028C" w14:textId="35CF6DBA" w:rsidR="00F80C1E" w:rsidRDefault="008C4AE0" w:rsidP="00C74E97">
      <w:pPr>
        <w:spacing w:after="480" w:line="360" w:lineRule="auto"/>
        <w:jc w:val="both"/>
        <w:rPr>
          <w:rFonts w:cs="Arial"/>
          <w:bCs/>
          <w:i/>
          <w:iCs/>
          <w:szCs w:val="22"/>
        </w:rPr>
      </w:pPr>
      <w:r>
        <w:rPr>
          <w:rFonts w:cs="Arial"/>
          <w:bCs/>
          <w:i/>
          <w:iCs/>
          <w:szCs w:val="22"/>
        </w:rPr>
        <w:t xml:space="preserve">Arbitration Foundation of Southern Africa – </w:t>
      </w:r>
      <w:r w:rsidR="00B61484">
        <w:rPr>
          <w:rFonts w:cs="Arial"/>
          <w:bCs/>
          <w:i/>
          <w:iCs/>
          <w:szCs w:val="22"/>
        </w:rPr>
        <w:t>Commercial</w:t>
      </w:r>
      <w:r>
        <w:rPr>
          <w:rFonts w:cs="Arial"/>
          <w:bCs/>
          <w:i/>
          <w:iCs/>
          <w:szCs w:val="22"/>
        </w:rPr>
        <w:t xml:space="preserve"> Rules – </w:t>
      </w:r>
      <w:r w:rsidR="00E10D04">
        <w:rPr>
          <w:rFonts w:cs="Arial"/>
          <w:bCs/>
          <w:i/>
          <w:iCs/>
          <w:szCs w:val="22"/>
        </w:rPr>
        <w:t>Article</w:t>
      </w:r>
      <w:r>
        <w:rPr>
          <w:rFonts w:cs="Arial"/>
          <w:bCs/>
          <w:i/>
          <w:iCs/>
          <w:szCs w:val="22"/>
        </w:rPr>
        <w:t xml:space="preserve"> 11</w:t>
      </w:r>
      <w:r w:rsidR="00D57976">
        <w:rPr>
          <w:rFonts w:cs="Arial"/>
          <w:bCs/>
          <w:i/>
          <w:iCs/>
          <w:szCs w:val="22"/>
        </w:rPr>
        <w:t xml:space="preserve"> – gives effect to aim of arbitration as a confidential, speedy, effective and final alternative to litigation </w:t>
      </w:r>
      <w:r w:rsidR="00537126">
        <w:rPr>
          <w:rFonts w:cs="Arial"/>
          <w:bCs/>
          <w:i/>
          <w:iCs/>
          <w:szCs w:val="22"/>
        </w:rPr>
        <w:t>before</w:t>
      </w:r>
      <w:r w:rsidR="00D57976">
        <w:rPr>
          <w:rFonts w:cs="Arial"/>
          <w:bCs/>
          <w:i/>
          <w:iCs/>
          <w:szCs w:val="22"/>
        </w:rPr>
        <w:t xml:space="preserve"> Court</w:t>
      </w:r>
    </w:p>
    <w:p w14:paraId="18AFD427" w14:textId="35E99A54" w:rsidR="00BE6AB8" w:rsidRPr="00C74E97" w:rsidRDefault="00BE6AB8" w:rsidP="00C74E97">
      <w:pPr>
        <w:keepNext/>
        <w:spacing w:after="480" w:line="360" w:lineRule="auto"/>
        <w:jc w:val="both"/>
        <w:rPr>
          <w:rFonts w:cs="Arial"/>
          <w:bCs/>
          <w:szCs w:val="22"/>
          <w:u w:val="single"/>
        </w:rPr>
      </w:pPr>
      <w:r w:rsidRPr="00C74E97">
        <w:rPr>
          <w:rFonts w:cs="Arial"/>
          <w:bCs/>
          <w:szCs w:val="22"/>
          <w:u w:val="single"/>
        </w:rPr>
        <w:t>Order</w:t>
      </w:r>
    </w:p>
    <w:p w14:paraId="25A66E53" w14:textId="5960AA7C" w:rsidR="00DC6EF8" w:rsidRPr="00C74E97" w:rsidRDefault="00CE6537" w:rsidP="00CE6537">
      <w:pPr>
        <w:tabs>
          <w:tab w:val="left" w:pos="567"/>
        </w:tabs>
        <w:spacing w:after="480" w:line="360" w:lineRule="auto"/>
        <w:jc w:val="both"/>
        <w:rPr>
          <w:rFonts w:cs="Arial"/>
          <w:bCs/>
          <w:szCs w:val="22"/>
        </w:rPr>
      </w:pPr>
      <w:r w:rsidRPr="00C74E97">
        <w:rPr>
          <w:rFonts w:cs="Arial"/>
          <w:bCs/>
          <w:szCs w:val="22"/>
        </w:rPr>
        <w:t>[1]</w:t>
      </w:r>
      <w:r w:rsidRPr="00C74E97">
        <w:rPr>
          <w:rFonts w:cs="Arial"/>
          <w:bCs/>
          <w:szCs w:val="22"/>
        </w:rPr>
        <w:tab/>
      </w:r>
      <w:r w:rsidR="003B4100" w:rsidRPr="00C74E97">
        <w:rPr>
          <w:rFonts w:cs="Arial"/>
          <w:bCs/>
          <w:szCs w:val="22"/>
        </w:rPr>
        <w:t xml:space="preserve">In this </w:t>
      </w:r>
      <w:r w:rsidR="00B56906" w:rsidRPr="00C74E97">
        <w:rPr>
          <w:rFonts w:cs="Arial"/>
          <w:bCs/>
          <w:szCs w:val="22"/>
        </w:rPr>
        <w:t xml:space="preserve">matter </w:t>
      </w:r>
      <w:r w:rsidR="00C460A0" w:rsidRPr="00C74E97">
        <w:rPr>
          <w:rFonts w:cs="Arial"/>
          <w:bCs/>
          <w:szCs w:val="22"/>
        </w:rPr>
        <w:t>I ma</w:t>
      </w:r>
      <w:r w:rsidR="00C1108E">
        <w:rPr>
          <w:rFonts w:cs="Arial"/>
          <w:bCs/>
          <w:szCs w:val="22"/>
        </w:rPr>
        <w:t>d</w:t>
      </w:r>
      <w:r w:rsidR="00DC6EF8" w:rsidRPr="00C74E97">
        <w:rPr>
          <w:rFonts w:cs="Arial"/>
          <w:bCs/>
          <w:szCs w:val="22"/>
        </w:rPr>
        <w:t>e</w:t>
      </w:r>
      <w:r w:rsidR="00C460A0" w:rsidRPr="00C74E97">
        <w:rPr>
          <w:rFonts w:cs="Arial"/>
          <w:bCs/>
          <w:szCs w:val="22"/>
        </w:rPr>
        <w:t xml:space="preserve"> the following order</w:t>
      </w:r>
      <w:r w:rsidR="00F322F5">
        <w:rPr>
          <w:rFonts w:cs="Arial"/>
          <w:bCs/>
          <w:szCs w:val="22"/>
        </w:rPr>
        <w:t xml:space="preserve"> on 11 May 2023</w:t>
      </w:r>
      <w:r w:rsidR="00C460A0" w:rsidRPr="00C74E97">
        <w:rPr>
          <w:rFonts w:cs="Arial"/>
          <w:bCs/>
          <w:szCs w:val="22"/>
        </w:rPr>
        <w:t>:</w:t>
      </w:r>
    </w:p>
    <w:p w14:paraId="65B7630C" w14:textId="0C775766" w:rsidR="000264AE" w:rsidRPr="00CE6537" w:rsidRDefault="00CE6537" w:rsidP="00CE6537">
      <w:pPr>
        <w:spacing w:before="120" w:after="120" w:line="360" w:lineRule="auto"/>
        <w:ind w:left="360" w:hanging="360"/>
        <w:rPr>
          <w:i/>
          <w:iCs/>
          <w:szCs w:val="22"/>
        </w:rPr>
      </w:pPr>
      <w:r>
        <w:rPr>
          <w:i/>
          <w:iCs/>
          <w:szCs w:val="22"/>
        </w:rPr>
        <w:t>1.</w:t>
      </w:r>
      <w:r>
        <w:rPr>
          <w:i/>
          <w:iCs/>
          <w:szCs w:val="22"/>
        </w:rPr>
        <w:tab/>
      </w:r>
      <w:r w:rsidR="000264AE" w:rsidRPr="00CE6537">
        <w:rPr>
          <w:i/>
          <w:iCs/>
          <w:szCs w:val="22"/>
        </w:rPr>
        <w:t>The application is dismissed;</w:t>
      </w:r>
    </w:p>
    <w:p w14:paraId="475FA2D1" w14:textId="6EC8E313" w:rsidR="000264AE" w:rsidRPr="00CE6537" w:rsidRDefault="00CE6537" w:rsidP="00CE6537">
      <w:pPr>
        <w:spacing w:before="120" w:after="120" w:line="360" w:lineRule="auto"/>
        <w:ind w:left="360" w:hanging="360"/>
        <w:rPr>
          <w:i/>
          <w:iCs/>
          <w:szCs w:val="22"/>
        </w:rPr>
      </w:pPr>
      <w:r>
        <w:rPr>
          <w:i/>
          <w:iCs/>
          <w:szCs w:val="22"/>
        </w:rPr>
        <w:t>2.</w:t>
      </w:r>
      <w:r>
        <w:rPr>
          <w:i/>
          <w:iCs/>
          <w:szCs w:val="22"/>
        </w:rPr>
        <w:tab/>
      </w:r>
      <w:r w:rsidR="000264AE" w:rsidRPr="00CE6537">
        <w:rPr>
          <w:i/>
          <w:iCs/>
          <w:szCs w:val="22"/>
        </w:rPr>
        <w:t>The applica</w:t>
      </w:r>
      <w:r w:rsidR="007B2DF7" w:rsidRPr="00CE6537">
        <w:rPr>
          <w:i/>
          <w:iCs/>
          <w:szCs w:val="22"/>
        </w:rPr>
        <w:t>nt</w:t>
      </w:r>
      <w:r w:rsidR="000264AE" w:rsidRPr="00CE6537">
        <w:rPr>
          <w:i/>
          <w:iCs/>
          <w:szCs w:val="22"/>
        </w:rPr>
        <w:t xml:space="preserve"> is ordered to pay the costs.</w:t>
      </w:r>
    </w:p>
    <w:p w14:paraId="3AF61580" w14:textId="77777777" w:rsidR="000264AE" w:rsidRDefault="000264AE" w:rsidP="000264AE">
      <w:pPr>
        <w:spacing w:before="120" w:after="120" w:line="360" w:lineRule="auto"/>
        <w:rPr>
          <w:i/>
          <w:iCs/>
          <w:szCs w:val="22"/>
        </w:rPr>
      </w:pPr>
    </w:p>
    <w:p w14:paraId="08540072" w14:textId="6026C5CB" w:rsidR="00C9310B" w:rsidRPr="00CE6537" w:rsidRDefault="00CE6537" w:rsidP="00CE6537">
      <w:pPr>
        <w:widowControl w:val="0"/>
        <w:tabs>
          <w:tab w:val="left" w:pos="567"/>
        </w:tabs>
        <w:spacing w:before="480" w:after="480" w:line="360" w:lineRule="auto"/>
        <w:jc w:val="both"/>
        <w:rPr>
          <w:rFonts w:cs="Arial"/>
          <w:bCs/>
          <w:szCs w:val="22"/>
          <w:u w:val="single"/>
        </w:rPr>
      </w:pPr>
      <w:r w:rsidRPr="00C74E97">
        <w:rPr>
          <w:rFonts w:cs="Arial"/>
          <w:bCs/>
          <w:szCs w:val="22"/>
        </w:rPr>
        <w:t>[2]</w:t>
      </w:r>
      <w:r w:rsidRPr="00C74E97">
        <w:rPr>
          <w:rFonts w:cs="Arial"/>
          <w:bCs/>
          <w:szCs w:val="22"/>
        </w:rPr>
        <w:tab/>
      </w:r>
      <w:r w:rsidR="00573FF9" w:rsidRPr="00CE6537">
        <w:rPr>
          <w:rFonts w:cs="Arial"/>
          <w:bCs/>
          <w:szCs w:val="22"/>
        </w:rPr>
        <w:t xml:space="preserve">The reasons for the order </w:t>
      </w:r>
      <w:r w:rsidR="00A63709" w:rsidRPr="00CE6537">
        <w:rPr>
          <w:rFonts w:cs="Arial"/>
          <w:bCs/>
          <w:szCs w:val="22"/>
        </w:rPr>
        <w:t>follow</w:t>
      </w:r>
      <w:r w:rsidR="00573FF9" w:rsidRPr="00CE6537">
        <w:rPr>
          <w:rFonts w:cs="Arial"/>
          <w:bCs/>
          <w:szCs w:val="22"/>
        </w:rPr>
        <w:t xml:space="preserve"> below.</w:t>
      </w:r>
    </w:p>
    <w:p w14:paraId="3658C913" w14:textId="73DC7682" w:rsidR="00573FF9" w:rsidRPr="00C74E97" w:rsidRDefault="00D9086C" w:rsidP="00C74E97">
      <w:pPr>
        <w:keepNext/>
        <w:widowControl w:val="0"/>
        <w:spacing w:before="480" w:after="480" w:line="360" w:lineRule="auto"/>
        <w:jc w:val="both"/>
        <w:rPr>
          <w:rFonts w:cs="Arial"/>
          <w:bCs/>
          <w:szCs w:val="22"/>
          <w:u w:val="single"/>
        </w:rPr>
      </w:pPr>
      <w:r w:rsidRPr="00C74E97">
        <w:rPr>
          <w:rFonts w:cs="Arial"/>
          <w:bCs/>
          <w:szCs w:val="22"/>
          <w:u w:val="single"/>
        </w:rPr>
        <w:t>Introduction</w:t>
      </w:r>
    </w:p>
    <w:p w14:paraId="489A9C4C" w14:textId="14DA0E41" w:rsidR="00807DC2" w:rsidRDefault="00CE6537" w:rsidP="00CE6537">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F80C1E">
        <w:rPr>
          <w:rFonts w:cs="Arial"/>
          <w:bCs/>
          <w:szCs w:val="22"/>
        </w:rPr>
        <w:t>The applicant (“Altech”) and the first respondent (“Aeonova”) are engaged in a domestic</w:t>
      </w:r>
      <w:r w:rsidR="00537126">
        <w:rPr>
          <w:rStyle w:val="FootnoteReference"/>
          <w:rFonts w:cs="Arial"/>
          <w:bCs/>
          <w:szCs w:val="22"/>
        </w:rPr>
        <w:footnoteReference w:id="1"/>
      </w:r>
      <w:r w:rsidR="00F80C1E">
        <w:rPr>
          <w:rFonts w:cs="Arial"/>
          <w:bCs/>
          <w:szCs w:val="22"/>
        </w:rPr>
        <w:t xml:space="preserve"> arbitration before the second respondent (“the arbitrator”)</w:t>
      </w:r>
      <w:r w:rsidR="006D193A">
        <w:rPr>
          <w:rStyle w:val="FootnoteReference"/>
          <w:rFonts w:cs="Arial"/>
          <w:bCs/>
          <w:szCs w:val="22"/>
        </w:rPr>
        <w:footnoteReference w:id="2"/>
      </w:r>
      <w:r w:rsidR="00F80C1E">
        <w:rPr>
          <w:rFonts w:cs="Arial"/>
          <w:bCs/>
          <w:szCs w:val="22"/>
        </w:rPr>
        <w:t xml:space="preserve"> in terms of the </w:t>
      </w:r>
      <w:r w:rsidR="00BB17D2">
        <w:rPr>
          <w:rFonts w:cs="Arial"/>
          <w:bCs/>
          <w:szCs w:val="22"/>
        </w:rPr>
        <w:t xml:space="preserve">Commercial </w:t>
      </w:r>
      <w:r w:rsidR="00F80C1E">
        <w:rPr>
          <w:rFonts w:cs="Arial"/>
          <w:bCs/>
          <w:szCs w:val="22"/>
        </w:rPr>
        <w:t>Rules of th</w:t>
      </w:r>
      <w:r w:rsidR="00F80C1E" w:rsidRPr="00F80C1E">
        <w:rPr>
          <w:rFonts w:cs="Arial"/>
          <w:bCs/>
          <w:szCs w:val="22"/>
        </w:rPr>
        <w:t>e Arbitration Foundation of Southern Africa</w:t>
      </w:r>
      <w:r w:rsidR="00F80C1E">
        <w:rPr>
          <w:rFonts w:cs="Arial"/>
          <w:bCs/>
          <w:szCs w:val="22"/>
        </w:rPr>
        <w:t xml:space="preserve"> (“AFSA”)</w:t>
      </w:r>
      <w:r w:rsidR="00807DC2">
        <w:rPr>
          <w:rFonts w:cs="Arial"/>
          <w:bCs/>
          <w:szCs w:val="22"/>
        </w:rPr>
        <w:t>.</w:t>
      </w:r>
    </w:p>
    <w:p w14:paraId="50EE95B9" w14:textId="690F8E7C" w:rsidR="00C14A51" w:rsidRDefault="00CE6537" w:rsidP="00CE6537">
      <w:pPr>
        <w:widowControl w:val="0"/>
        <w:tabs>
          <w:tab w:val="left" w:pos="567"/>
        </w:tabs>
        <w:spacing w:before="480" w:after="480" w:line="360" w:lineRule="auto"/>
        <w:jc w:val="both"/>
        <w:rPr>
          <w:rFonts w:cs="Arial"/>
          <w:bCs/>
          <w:szCs w:val="22"/>
        </w:rPr>
      </w:pPr>
      <w:r>
        <w:rPr>
          <w:rFonts w:cs="Arial"/>
          <w:bCs/>
          <w:szCs w:val="22"/>
        </w:rPr>
        <w:lastRenderedPageBreak/>
        <w:t>[4]</w:t>
      </w:r>
      <w:r>
        <w:rPr>
          <w:rFonts w:cs="Arial"/>
          <w:bCs/>
          <w:szCs w:val="22"/>
        </w:rPr>
        <w:tab/>
      </w:r>
      <w:r w:rsidR="008019A7">
        <w:rPr>
          <w:rFonts w:cs="Arial"/>
          <w:bCs/>
          <w:szCs w:val="22"/>
        </w:rPr>
        <w:t>Arbitration offers a</w:t>
      </w:r>
      <w:r w:rsidR="00B75CDA">
        <w:rPr>
          <w:rFonts w:cs="Arial"/>
          <w:bCs/>
          <w:szCs w:val="22"/>
        </w:rPr>
        <w:t xml:space="preserve"> contract-based,</w:t>
      </w:r>
      <w:r w:rsidR="008019A7">
        <w:rPr>
          <w:rFonts w:cs="Arial"/>
          <w:bCs/>
          <w:szCs w:val="22"/>
        </w:rPr>
        <w:t xml:space="preserve"> viable</w:t>
      </w:r>
      <w:r w:rsidR="006F489F">
        <w:rPr>
          <w:rFonts w:cs="Arial"/>
          <w:bCs/>
          <w:szCs w:val="22"/>
        </w:rPr>
        <w:t xml:space="preserve"> and flexible</w:t>
      </w:r>
      <w:r w:rsidR="008019A7">
        <w:rPr>
          <w:rFonts w:cs="Arial"/>
          <w:bCs/>
          <w:szCs w:val="22"/>
        </w:rPr>
        <w:t xml:space="preserve"> alternative to litigation </w:t>
      </w:r>
      <w:r w:rsidR="00C1108E">
        <w:rPr>
          <w:rFonts w:cs="Arial"/>
          <w:bCs/>
          <w:szCs w:val="22"/>
        </w:rPr>
        <w:t>before</w:t>
      </w:r>
      <w:r w:rsidR="008019A7">
        <w:rPr>
          <w:rFonts w:cs="Arial"/>
          <w:bCs/>
          <w:szCs w:val="22"/>
        </w:rPr>
        <w:t xml:space="preserve"> the Court. It enables warring parties</w:t>
      </w:r>
      <w:r w:rsidR="00B75CDA">
        <w:rPr>
          <w:rFonts w:cs="Arial"/>
          <w:bCs/>
          <w:szCs w:val="22"/>
        </w:rPr>
        <w:t xml:space="preserve"> to </w:t>
      </w:r>
      <w:r w:rsidR="008019A7">
        <w:rPr>
          <w:rFonts w:cs="Arial"/>
          <w:bCs/>
          <w:szCs w:val="22"/>
        </w:rPr>
        <w:t xml:space="preserve">settle their disputes in a confidential setting rather than a courtroom open to the public, to tailor the rules of engagement to suit the characteristics of their dispute, to choose </w:t>
      </w:r>
      <w:r w:rsidR="009A2613">
        <w:rPr>
          <w:rFonts w:cs="Arial"/>
          <w:bCs/>
          <w:szCs w:val="22"/>
        </w:rPr>
        <w:t>one or more</w:t>
      </w:r>
      <w:r w:rsidR="008019A7">
        <w:rPr>
          <w:rFonts w:cs="Arial"/>
          <w:bCs/>
          <w:szCs w:val="22"/>
        </w:rPr>
        <w:t xml:space="preserve"> arbitrator</w:t>
      </w:r>
      <w:r w:rsidR="009A2613">
        <w:rPr>
          <w:rFonts w:cs="Arial"/>
          <w:bCs/>
          <w:szCs w:val="22"/>
        </w:rPr>
        <w:t>s</w:t>
      </w:r>
      <w:r w:rsidR="008019A7">
        <w:rPr>
          <w:rFonts w:cs="Arial"/>
          <w:bCs/>
          <w:szCs w:val="22"/>
        </w:rPr>
        <w:t>,</w:t>
      </w:r>
      <w:r w:rsidR="008019A7">
        <w:rPr>
          <w:rStyle w:val="FootnoteReference"/>
          <w:rFonts w:cs="Arial"/>
          <w:bCs/>
          <w:szCs w:val="22"/>
        </w:rPr>
        <w:footnoteReference w:id="3"/>
      </w:r>
      <w:r w:rsidR="008019A7">
        <w:rPr>
          <w:rFonts w:cs="Arial"/>
          <w:bCs/>
          <w:szCs w:val="22"/>
        </w:rPr>
        <w:t xml:space="preserve"> to choose appropriate </w:t>
      </w:r>
      <w:r w:rsidR="009A2613">
        <w:rPr>
          <w:rFonts w:cs="Arial"/>
          <w:bCs/>
          <w:szCs w:val="22"/>
        </w:rPr>
        <w:t xml:space="preserve">procedural </w:t>
      </w:r>
      <w:r w:rsidR="008019A7">
        <w:rPr>
          <w:rFonts w:cs="Arial"/>
          <w:bCs/>
          <w:szCs w:val="22"/>
        </w:rPr>
        <w:t>rules</w:t>
      </w:r>
      <w:r w:rsidR="00C14A51">
        <w:rPr>
          <w:rFonts w:cs="Arial"/>
          <w:bCs/>
          <w:szCs w:val="22"/>
        </w:rPr>
        <w:t>,</w:t>
      </w:r>
      <w:r w:rsidR="00C14A51">
        <w:rPr>
          <w:rStyle w:val="FootnoteReference"/>
          <w:rFonts w:cs="Arial"/>
          <w:bCs/>
          <w:szCs w:val="22"/>
        </w:rPr>
        <w:footnoteReference w:id="4"/>
      </w:r>
      <w:r w:rsidR="008019A7">
        <w:rPr>
          <w:rFonts w:cs="Arial"/>
          <w:bCs/>
          <w:szCs w:val="22"/>
        </w:rPr>
        <w:t xml:space="preserve"> to agree that the decision of the arbitrator would be final or that there would be an appeal procedure</w:t>
      </w:r>
      <w:r w:rsidR="00B75CDA">
        <w:rPr>
          <w:rStyle w:val="FootnoteReference"/>
          <w:rFonts w:cs="Arial"/>
          <w:bCs/>
          <w:szCs w:val="22"/>
        </w:rPr>
        <w:footnoteReference w:id="5"/>
      </w:r>
      <w:r w:rsidR="008019A7">
        <w:rPr>
          <w:rFonts w:cs="Arial"/>
          <w:bCs/>
          <w:szCs w:val="22"/>
        </w:rPr>
        <w:t>, to agree on a timeline that suits the parties rather than busy court rolls, and to decide on the venue</w:t>
      </w:r>
      <w:r w:rsidR="00807DC2" w:rsidRPr="00C14A51">
        <w:rPr>
          <w:rFonts w:cs="Arial"/>
          <w:bCs/>
          <w:szCs w:val="22"/>
        </w:rPr>
        <w:t>.</w:t>
      </w:r>
    </w:p>
    <w:p w14:paraId="5F5D4FCF" w14:textId="66E48D59" w:rsidR="00E57446" w:rsidRPr="00C14A51" w:rsidRDefault="00CE6537" w:rsidP="00CE6537">
      <w:pPr>
        <w:widowControl w:val="0"/>
        <w:tabs>
          <w:tab w:val="left" w:pos="567"/>
        </w:tabs>
        <w:spacing w:before="480" w:after="480" w:line="360" w:lineRule="auto"/>
        <w:jc w:val="both"/>
        <w:rPr>
          <w:rFonts w:cs="Arial"/>
          <w:bCs/>
          <w:szCs w:val="22"/>
        </w:rPr>
      </w:pPr>
      <w:r w:rsidRPr="00C14A51">
        <w:rPr>
          <w:rFonts w:cs="Arial"/>
          <w:bCs/>
          <w:szCs w:val="22"/>
        </w:rPr>
        <w:t>[5]</w:t>
      </w:r>
      <w:r w:rsidRPr="00C14A51">
        <w:rPr>
          <w:rFonts w:cs="Arial"/>
          <w:bCs/>
          <w:szCs w:val="22"/>
        </w:rPr>
        <w:tab/>
      </w:r>
      <w:r w:rsidR="00C14A51">
        <w:rPr>
          <w:rFonts w:cs="Arial"/>
          <w:bCs/>
          <w:szCs w:val="22"/>
        </w:rPr>
        <w:t xml:space="preserve">Arbitration takes places subject to the law and this arbitration is governed by the law of South Africa. </w:t>
      </w:r>
    </w:p>
    <w:p w14:paraId="5531FE2D" w14:textId="77777777" w:rsidR="00466A30" w:rsidRDefault="00466A30" w:rsidP="00466A30">
      <w:pPr>
        <w:widowControl w:val="0"/>
        <w:spacing w:before="480" w:after="480" w:line="360" w:lineRule="auto"/>
        <w:jc w:val="both"/>
        <w:rPr>
          <w:rFonts w:cs="Arial"/>
          <w:bCs/>
          <w:szCs w:val="22"/>
          <w:u w:val="single"/>
        </w:rPr>
      </w:pPr>
    </w:p>
    <w:p w14:paraId="43726C35" w14:textId="73B3D652" w:rsidR="00466A30" w:rsidRPr="00466A30" w:rsidRDefault="00466A30" w:rsidP="00466A30">
      <w:pPr>
        <w:widowControl w:val="0"/>
        <w:spacing w:before="480" w:after="480" w:line="360" w:lineRule="auto"/>
        <w:jc w:val="both"/>
        <w:rPr>
          <w:rFonts w:cs="Arial"/>
          <w:bCs/>
          <w:szCs w:val="22"/>
          <w:u w:val="single"/>
        </w:rPr>
      </w:pPr>
      <w:r w:rsidRPr="00466A30">
        <w:rPr>
          <w:rFonts w:cs="Arial"/>
          <w:bCs/>
          <w:szCs w:val="22"/>
          <w:u w:val="single"/>
        </w:rPr>
        <w:t>The contract</w:t>
      </w:r>
    </w:p>
    <w:p w14:paraId="06A779AF" w14:textId="171A4C0F" w:rsidR="00D15C79" w:rsidRDefault="00CE6537" w:rsidP="00CE6537">
      <w:pPr>
        <w:widowControl w:val="0"/>
        <w:tabs>
          <w:tab w:val="left" w:pos="567"/>
        </w:tabs>
        <w:spacing w:before="480" w:after="480" w:line="360" w:lineRule="auto"/>
        <w:jc w:val="both"/>
        <w:rPr>
          <w:rFonts w:cs="Arial"/>
          <w:bCs/>
          <w:szCs w:val="22"/>
        </w:rPr>
      </w:pPr>
      <w:r>
        <w:rPr>
          <w:rFonts w:cs="Arial"/>
          <w:bCs/>
          <w:szCs w:val="22"/>
        </w:rPr>
        <w:t>[6]</w:t>
      </w:r>
      <w:r>
        <w:rPr>
          <w:rFonts w:cs="Arial"/>
          <w:bCs/>
          <w:szCs w:val="22"/>
        </w:rPr>
        <w:tab/>
      </w:r>
      <w:r w:rsidR="00D15C79">
        <w:rPr>
          <w:rFonts w:cs="Arial"/>
          <w:bCs/>
          <w:szCs w:val="22"/>
        </w:rPr>
        <w:t xml:space="preserve">The contractual relationship between parties that led to the </w:t>
      </w:r>
      <w:r w:rsidR="00466A30">
        <w:rPr>
          <w:rFonts w:cs="Arial"/>
          <w:bCs/>
          <w:szCs w:val="22"/>
        </w:rPr>
        <w:t xml:space="preserve">arbitral </w:t>
      </w:r>
      <w:r w:rsidR="00D15C79">
        <w:rPr>
          <w:rFonts w:cs="Arial"/>
          <w:bCs/>
          <w:szCs w:val="22"/>
        </w:rPr>
        <w:t xml:space="preserve">dispute is governed by three </w:t>
      </w:r>
      <w:r w:rsidR="00F322F5">
        <w:rPr>
          <w:rFonts w:cs="Arial"/>
          <w:bCs/>
          <w:szCs w:val="22"/>
        </w:rPr>
        <w:t>common-cause</w:t>
      </w:r>
      <w:r w:rsidR="00F322F5">
        <w:rPr>
          <w:rStyle w:val="FootnoteReference"/>
          <w:rFonts w:cs="Arial"/>
          <w:bCs/>
          <w:szCs w:val="22"/>
        </w:rPr>
        <w:footnoteReference w:id="6"/>
      </w:r>
      <w:r w:rsidR="00F322F5">
        <w:rPr>
          <w:rFonts w:cs="Arial"/>
          <w:bCs/>
          <w:szCs w:val="22"/>
        </w:rPr>
        <w:t xml:space="preserve"> </w:t>
      </w:r>
      <w:r w:rsidR="00D15C79">
        <w:rPr>
          <w:rFonts w:cs="Arial"/>
          <w:bCs/>
          <w:szCs w:val="22"/>
        </w:rPr>
        <w:t>documents, the Term Sheet,</w:t>
      </w:r>
      <w:r w:rsidR="00D15C79">
        <w:rPr>
          <w:rStyle w:val="FootnoteReference"/>
          <w:rFonts w:cs="Arial"/>
          <w:bCs/>
          <w:szCs w:val="22"/>
        </w:rPr>
        <w:footnoteReference w:id="7"/>
      </w:r>
      <w:r w:rsidR="00D15C79">
        <w:rPr>
          <w:rFonts w:cs="Arial"/>
          <w:bCs/>
          <w:szCs w:val="22"/>
        </w:rPr>
        <w:t xml:space="preserve"> the Sub-Contract,</w:t>
      </w:r>
      <w:r w:rsidR="00D15C79">
        <w:rPr>
          <w:rStyle w:val="FootnoteReference"/>
          <w:rFonts w:cs="Arial"/>
          <w:bCs/>
          <w:szCs w:val="22"/>
        </w:rPr>
        <w:footnoteReference w:id="8"/>
      </w:r>
      <w:r w:rsidR="00D15C79">
        <w:rPr>
          <w:rFonts w:cs="Arial"/>
          <w:bCs/>
          <w:szCs w:val="22"/>
        </w:rPr>
        <w:t xml:space="preserve"> and the Addendum</w:t>
      </w:r>
      <w:r w:rsidR="00D15C79">
        <w:rPr>
          <w:rStyle w:val="FootnoteReference"/>
          <w:rFonts w:cs="Arial"/>
          <w:bCs/>
          <w:szCs w:val="22"/>
        </w:rPr>
        <w:footnoteReference w:id="9"/>
      </w:r>
      <w:r w:rsidR="00D15C79">
        <w:rPr>
          <w:rFonts w:cs="Arial"/>
          <w:bCs/>
          <w:szCs w:val="22"/>
        </w:rPr>
        <w:t xml:space="preserve"> to the Term Sheet.</w:t>
      </w:r>
      <w:r w:rsidR="00B75CDA">
        <w:rPr>
          <w:rFonts w:cs="Arial"/>
          <w:bCs/>
          <w:szCs w:val="22"/>
        </w:rPr>
        <w:t xml:space="preserve"> These documents are collectively referred to as ‘the contract.</w:t>
      </w:r>
      <w:r w:rsidR="00B9692A">
        <w:rPr>
          <w:rStyle w:val="FootnoteReference"/>
          <w:rFonts w:cs="Arial"/>
          <w:bCs/>
          <w:szCs w:val="22"/>
        </w:rPr>
        <w:footnoteReference w:id="10"/>
      </w:r>
      <w:r w:rsidR="00537126">
        <w:rPr>
          <w:rFonts w:cs="Arial"/>
          <w:bCs/>
          <w:szCs w:val="22"/>
        </w:rPr>
        <w:t xml:space="preserve"> </w:t>
      </w:r>
    </w:p>
    <w:p w14:paraId="24D8FDAA" w14:textId="22399BCA" w:rsidR="00BA33AF" w:rsidRDefault="00CE6537" w:rsidP="00CE6537">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BA33AF">
        <w:rPr>
          <w:rFonts w:cs="Arial"/>
          <w:bCs/>
          <w:szCs w:val="22"/>
        </w:rPr>
        <w:t>In the statement of claim</w:t>
      </w:r>
      <w:r w:rsidR="00BA33AF">
        <w:rPr>
          <w:rStyle w:val="FootnoteReference"/>
          <w:rFonts w:cs="Arial"/>
          <w:bCs/>
          <w:szCs w:val="22"/>
        </w:rPr>
        <w:footnoteReference w:id="11"/>
      </w:r>
      <w:r w:rsidR="00BA33AF">
        <w:rPr>
          <w:rFonts w:cs="Arial"/>
          <w:bCs/>
          <w:szCs w:val="22"/>
        </w:rPr>
        <w:t xml:space="preserve"> Aeonova </w:t>
      </w:r>
      <w:r w:rsidR="00537126">
        <w:rPr>
          <w:rFonts w:cs="Arial"/>
          <w:bCs/>
          <w:szCs w:val="22"/>
        </w:rPr>
        <w:t>brought</w:t>
      </w:r>
      <w:r w:rsidR="00BA33AF">
        <w:rPr>
          <w:rFonts w:cs="Arial"/>
          <w:bCs/>
          <w:szCs w:val="22"/>
        </w:rPr>
        <w:t xml:space="preserve"> seven claims against Altech, together with claims for interest and costs</w:t>
      </w:r>
      <w:r w:rsidR="00A91332">
        <w:rPr>
          <w:rFonts w:cs="Arial"/>
          <w:bCs/>
          <w:szCs w:val="22"/>
        </w:rPr>
        <w:t>. The first six claims</w:t>
      </w:r>
      <w:r w:rsidR="00A91332">
        <w:rPr>
          <w:rStyle w:val="FootnoteReference"/>
          <w:rFonts w:cs="Arial"/>
          <w:bCs/>
          <w:szCs w:val="22"/>
        </w:rPr>
        <w:footnoteReference w:id="12"/>
      </w:r>
      <w:r w:rsidR="00A91332">
        <w:rPr>
          <w:rFonts w:cs="Arial"/>
          <w:bCs/>
          <w:szCs w:val="22"/>
        </w:rPr>
        <w:t xml:space="preserve"> aris</w:t>
      </w:r>
      <w:r w:rsidR="00537126">
        <w:rPr>
          <w:rFonts w:cs="Arial"/>
          <w:bCs/>
          <w:szCs w:val="22"/>
        </w:rPr>
        <w:t>e</w:t>
      </w:r>
      <w:r w:rsidR="00A91332">
        <w:rPr>
          <w:rFonts w:cs="Arial"/>
          <w:bCs/>
          <w:szCs w:val="22"/>
        </w:rPr>
        <w:t xml:space="preserve"> out of alleged breaches of contract and the seventh is a claim</w:t>
      </w:r>
      <w:r w:rsidR="00A91332">
        <w:rPr>
          <w:rStyle w:val="FootnoteReference"/>
          <w:rFonts w:cs="Arial"/>
          <w:bCs/>
          <w:szCs w:val="22"/>
        </w:rPr>
        <w:footnoteReference w:id="13"/>
      </w:r>
      <w:r w:rsidR="00A91332">
        <w:rPr>
          <w:rFonts w:cs="Arial"/>
          <w:bCs/>
          <w:szCs w:val="22"/>
        </w:rPr>
        <w:t xml:space="preserve"> for information and a statement and debatement of account.</w:t>
      </w:r>
      <w:r w:rsidR="00D15C79">
        <w:rPr>
          <w:rFonts w:cs="Arial"/>
          <w:bCs/>
          <w:szCs w:val="22"/>
        </w:rPr>
        <w:t xml:space="preserve"> In all but one of the remaining six claims Aeonova claims information from Altech </w:t>
      </w:r>
      <w:r w:rsidR="00D15C79">
        <w:rPr>
          <w:rFonts w:cs="Arial"/>
          <w:bCs/>
          <w:szCs w:val="22"/>
        </w:rPr>
        <w:lastRenderedPageBreak/>
        <w:t>to enable it to properly calculate damages.</w:t>
      </w:r>
      <w:r w:rsidR="00F322F5">
        <w:rPr>
          <w:rFonts w:cs="Arial"/>
          <w:bCs/>
          <w:szCs w:val="22"/>
        </w:rPr>
        <w:t xml:space="preserve"> In the statement of defence</w:t>
      </w:r>
      <w:r w:rsidR="00F322F5">
        <w:rPr>
          <w:rStyle w:val="FootnoteReference"/>
          <w:rFonts w:cs="Arial"/>
          <w:bCs/>
          <w:szCs w:val="22"/>
        </w:rPr>
        <w:footnoteReference w:id="14"/>
      </w:r>
      <w:r w:rsidR="00F322F5">
        <w:rPr>
          <w:rFonts w:cs="Arial"/>
          <w:bCs/>
          <w:szCs w:val="22"/>
        </w:rPr>
        <w:t xml:space="preserve"> Altech in essence deny that Aeonova complied with its contractual obligations.</w:t>
      </w:r>
    </w:p>
    <w:p w14:paraId="1CFFE8B8" w14:textId="73D3DFB2" w:rsidR="00807DC2" w:rsidRPr="00F80C1E" w:rsidRDefault="00CE6537" w:rsidP="00CE6537">
      <w:pPr>
        <w:widowControl w:val="0"/>
        <w:tabs>
          <w:tab w:val="left" w:pos="567"/>
        </w:tabs>
        <w:spacing w:before="480" w:after="480" w:line="360" w:lineRule="auto"/>
        <w:jc w:val="both"/>
        <w:rPr>
          <w:rFonts w:cs="Arial"/>
          <w:bCs/>
          <w:szCs w:val="22"/>
        </w:rPr>
      </w:pPr>
      <w:r w:rsidRPr="00F80C1E">
        <w:rPr>
          <w:rFonts w:cs="Arial"/>
          <w:bCs/>
          <w:szCs w:val="22"/>
        </w:rPr>
        <w:t>[8]</w:t>
      </w:r>
      <w:r w:rsidRPr="00F80C1E">
        <w:rPr>
          <w:rFonts w:cs="Arial"/>
          <w:bCs/>
          <w:szCs w:val="22"/>
        </w:rPr>
        <w:tab/>
      </w:r>
      <w:r w:rsidR="00807DC2">
        <w:rPr>
          <w:rFonts w:cs="Arial"/>
          <w:bCs/>
          <w:szCs w:val="22"/>
        </w:rPr>
        <w:t>It was agreed at a pre-arbitration meeting that merits and quantum be dealt with separately.</w:t>
      </w:r>
      <w:r w:rsidR="00563355">
        <w:rPr>
          <w:rFonts w:cs="Arial"/>
          <w:bCs/>
          <w:szCs w:val="22"/>
        </w:rPr>
        <w:t xml:space="preserve"> The accounting and debatement claim forms part of the merits.</w:t>
      </w:r>
      <w:r w:rsidR="00B9692A">
        <w:rPr>
          <w:rFonts w:cs="Arial"/>
          <w:bCs/>
          <w:szCs w:val="22"/>
        </w:rPr>
        <w:t xml:space="preserve"> It was also agreed that witness statements be exchanged subject to </w:t>
      </w:r>
      <w:r w:rsidR="00B9692A" w:rsidRPr="002302E3">
        <w:rPr>
          <w:rFonts w:cs="Arial"/>
          <w:bCs/>
          <w:i/>
          <w:iCs/>
          <w:szCs w:val="22"/>
        </w:rPr>
        <w:t>viva voce</w:t>
      </w:r>
      <w:r w:rsidR="00B9692A">
        <w:rPr>
          <w:rFonts w:cs="Arial"/>
          <w:bCs/>
          <w:szCs w:val="22"/>
        </w:rPr>
        <w:t xml:space="preserve"> clarification and cross-examination.</w:t>
      </w:r>
    </w:p>
    <w:p w14:paraId="53C26418" w14:textId="139A711C" w:rsidR="00466A30" w:rsidRPr="00466A30" w:rsidRDefault="00466A30" w:rsidP="00466A30">
      <w:pPr>
        <w:widowControl w:val="0"/>
        <w:spacing w:before="480" w:after="480" w:line="360" w:lineRule="auto"/>
        <w:jc w:val="both"/>
        <w:rPr>
          <w:rFonts w:cs="Arial"/>
          <w:bCs/>
          <w:szCs w:val="22"/>
          <w:u w:val="single"/>
        </w:rPr>
      </w:pPr>
      <w:r w:rsidRPr="00466A30">
        <w:rPr>
          <w:rFonts w:cs="Arial"/>
          <w:bCs/>
          <w:szCs w:val="22"/>
          <w:u w:val="single"/>
        </w:rPr>
        <w:t>The arbitrator’s memorandum</w:t>
      </w:r>
    </w:p>
    <w:p w14:paraId="365EC58A" w14:textId="69D6E31E" w:rsidR="00F80C1E" w:rsidRDefault="00CE6537" w:rsidP="00CE6537">
      <w:pPr>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6D193A">
        <w:rPr>
          <w:rFonts w:cs="Arial"/>
          <w:bCs/>
          <w:szCs w:val="22"/>
        </w:rPr>
        <w:t>On 23 October 2022 the arbitrator issued a memorandum</w:t>
      </w:r>
      <w:r w:rsidR="006D193A">
        <w:rPr>
          <w:rStyle w:val="FootnoteReference"/>
          <w:rFonts w:cs="Arial"/>
          <w:bCs/>
          <w:szCs w:val="22"/>
        </w:rPr>
        <w:footnoteReference w:id="15"/>
      </w:r>
      <w:r w:rsidR="006D193A">
        <w:rPr>
          <w:rFonts w:cs="Arial"/>
          <w:bCs/>
          <w:szCs w:val="22"/>
        </w:rPr>
        <w:t xml:space="preserve"> to the parties and stated that</w:t>
      </w:r>
      <w:r w:rsidR="00AB404E">
        <w:rPr>
          <w:rFonts w:cs="Arial"/>
          <w:bCs/>
          <w:szCs w:val="22"/>
        </w:rPr>
        <w:t xml:space="preserve"> it</w:t>
      </w:r>
      <w:r w:rsidR="006D193A">
        <w:rPr>
          <w:rFonts w:cs="Arial"/>
          <w:bCs/>
          <w:szCs w:val="22"/>
        </w:rPr>
        <w:t xml:space="preserve"> </w:t>
      </w:r>
      <w:r w:rsidR="006D193A" w:rsidRPr="006D193A">
        <w:rPr>
          <w:rFonts w:cs="Arial"/>
          <w:bCs/>
          <w:i/>
          <w:iCs/>
          <w:szCs w:val="22"/>
        </w:rPr>
        <w:t>“</w:t>
      </w:r>
      <w:r w:rsidR="00AB404E">
        <w:rPr>
          <w:rFonts w:cs="Arial"/>
          <w:bCs/>
          <w:i/>
          <w:iCs/>
          <w:szCs w:val="22"/>
        </w:rPr>
        <w:t xml:space="preserve">appears that </w:t>
      </w:r>
      <w:r w:rsidR="006D193A" w:rsidRPr="006D193A">
        <w:rPr>
          <w:rFonts w:cs="Arial"/>
          <w:bCs/>
          <w:i/>
          <w:iCs/>
          <w:szCs w:val="22"/>
        </w:rPr>
        <w:t>the appropriate time for dealing with the question of an account, if it must be rendered, when it should be rendered and what it should consist of, i</w:t>
      </w:r>
      <w:r w:rsidR="00B75CDA">
        <w:rPr>
          <w:rFonts w:cs="Arial"/>
          <w:bCs/>
          <w:i/>
          <w:iCs/>
          <w:szCs w:val="22"/>
        </w:rPr>
        <w:t>s</w:t>
      </w:r>
      <w:r w:rsidR="006D193A" w:rsidRPr="006D193A">
        <w:rPr>
          <w:rFonts w:cs="Arial"/>
          <w:bCs/>
          <w:i/>
          <w:iCs/>
          <w:szCs w:val="22"/>
        </w:rPr>
        <w:t xml:space="preserve"> at the beginning of the next hearing.”</w:t>
      </w:r>
      <w:r w:rsidR="006D193A">
        <w:rPr>
          <w:rFonts w:cs="Arial"/>
          <w:bCs/>
          <w:i/>
          <w:iCs/>
          <w:szCs w:val="22"/>
        </w:rPr>
        <w:t xml:space="preserve">  </w:t>
      </w:r>
      <w:r w:rsidR="006D193A">
        <w:rPr>
          <w:rFonts w:cs="Arial"/>
          <w:bCs/>
          <w:szCs w:val="22"/>
        </w:rPr>
        <w:t>He requested heads of argument</w:t>
      </w:r>
      <w:r w:rsidR="001F09D1">
        <w:rPr>
          <w:rStyle w:val="FootnoteReference"/>
          <w:rFonts w:cs="Arial"/>
          <w:bCs/>
          <w:szCs w:val="22"/>
        </w:rPr>
        <w:footnoteReference w:id="16"/>
      </w:r>
      <w:r w:rsidR="006D193A">
        <w:rPr>
          <w:rFonts w:cs="Arial"/>
          <w:bCs/>
          <w:szCs w:val="22"/>
        </w:rPr>
        <w:t xml:space="preserve"> dealing with specific questions, namely -</w:t>
      </w:r>
    </w:p>
    <w:p w14:paraId="137D578C" w14:textId="3885388A" w:rsidR="00F80C1E"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9.1</w:t>
      </w:r>
      <w:r>
        <w:rPr>
          <w:rFonts w:cs="Arial"/>
          <w:bCs/>
          <w:szCs w:val="22"/>
        </w:rPr>
        <w:tab/>
      </w:r>
      <w:r w:rsidR="001F09D1">
        <w:rPr>
          <w:rFonts w:cs="Arial"/>
          <w:bCs/>
          <w:szCs w:val="22"/>
        </w:rPr>
        <w:t xml:space="preserve">whether </w:t>
      </w:r>
      <w:r w:rsidR="006D193A">
        <w:rPr>
          <w:rFonts w:cs="Arial"/>
          <w:bCs/>
          <w:szCs w:val="22"/>
        </w:rPr>
        <w:t>Aeonova was entitled to an account,</w:t>
      </w:r>
    </w:p>
    <w:p w14:paraId="21FCC4FE" w14:textId="20034545" w:rsidR="006D193A"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9.2</w:t>
      </w:r>
      <w:r>
        <w:rPr>
          <w:rFonts w:cs="Arial"/>
          <w:bCs/>
          <w:szCs w:val="22"/>
        </w:rPr>
        <w:tab/>
      </w:r>
      <w:r w:rsidR="001F09D1">
        <w:rPr>
          <w:rFonts w:cs="Arial"/>
          <w:bCs/>
          <w:szCs w:val="22"/>
        </w:rPr>
        <w:t xml:space="preserve">if </w:t>
      </w:r>
      <w:r w:rsidR="006D193A">
        <w:rPr>
          <w:rFonts w:cs="Arial"/>
          <w:bCs/>
          <w:szCs w:val="22"/>
        </w:rPr>
        <w:t>so, the nature and extent of the account and whether it should be supported by vouchers,</w:t>
      </w:r>
    </w:p>
    <w:p w14:paraId="1A772F83" w14:textId="5DA1B756" w:rsidR="006D193A"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9.3</w:t>
      </w:r>
      <w:r>
        <w:rPr>
          <w:rFonts w:cs="Arial"/>
          <w:bCs/>
          <w:szCs w:val="22"/>
        </w:rPr>
        <w:tab/>
      </w:r>
      <w:r w:rsidR="001F09D1">
        <w:rPr>
          <w:rFonts w:cs="Arial"/>
          <w:bCs/>
          <w:szCs w:val="22"/>
        </w:rPr>
        <w:t xml:space="preserve">when </w:t>
      </w:r>
      <w:r w:rsidR="006D193A">
        <w:rPr>
          <w:rFonts w:cs="Arial"/>
          <w:bCs/>
          <w:szCs w:val="22"/>
        </w:rPr>
        <w:t>the account must be rendered</w:t>
      </w:r>
      <w:r w:rsidR="001F09D1">
        <w:rPr>
          <w:rFonts w:cs="Arial"/>
          <w:bCs/>
          <w:szCs w:val="22"/>
        </w:rPr>
        <w:t>,</w:t>
      </w:r>
    </w:p>
    <w:p w14:paraId="4A692BB3" w14:textId="74AAF5B9" w:rsidR="006D193A"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9.4</w:t>
      </w:r>
      <w:r>
        <w:rPr>
          <w:rFonts w:cs="Arial"/>
          <w:bCs/>
          <w:szCs w:val="22"/>
        </w:rPr>
        <w:tab/>
      </w:r>
      <w:r w:rsidR="001F09D1">
        <w:rPr>
          <w:rFonts w:cs="Arial"/>
          <w:bCs/>
          <w:szCs w:val="22"/>
        </w:rPr>
        <w:t xml:space="preserve">the </w:t>
      </w:r>
      <w:r w:rsidR="006D193A">
        <w:rPr>
          <w:rFonts w:cs="Arial"/>
          <w:bCs/>
          <w:szCs w:val="22"/>
        </w:rPr>
        <w:t xml:space="preserve">procedure to be followed to rectify any </w:t>
      </w:r>
      <w:r w:rsidR="001F09D1">
        <w:rPr>
          <w:rFonts w:cs="Arial"/>
          <w:bCs/>
          <w:szCs w:val="22"/>
        </w:rPr>
        <w:t>non-compliance,</w:t>
      </w:r>
    </w:p>
    <w:p w14:paraId="078C5B26" w14:textId="350AA6BA" w:rsidR="001F09D1"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9.5</w:t>
      </w:r>
      <w:r>
        <w:rPr>
          <w:rFonts w:cs="Arial"/>
          <w:bCs/>
          <w:szCs w:val="22"/>
        </w:rPr>
        <w:tab/>
      </w:r>
      <w:r w:rsidR="001F09D1">
        <w:rPr>
          <w:rFonts w:cs="Arial"/>
          <w:bCs/>
          <w:szCs w:val="22"/>
        </w:rPr>
        <w:t>the procedure to be followed to determine the reliability and accuracy of the account and if a hearing must take place, when that was to happen,</w:t>
      </w:r>
    </w:p>
    <w:p w14:paraId="7713EF3D" w14:textId="6E25A3D2" w:rsidR="001F09D1"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9.6</w:t>
      </w:r>
      <w:r>
        <w:rPr>
          <w:rFonts w:cs="Arial"/>
          <w:bCs/>
          <w:szCs w:val="22"/>
        </w:rPr>
        <w:tab/>
      </w:r>
      <w:r w:rsidR="001F09D1">
        <w:rPr>
          <w:rFonts w:cs="Arial"/>
          <w:bCs/>
          <w:szCs w:val="22"/>
        </w:rPr>
        <w:t xml:space="preserve">when the account must be debated if it </w:t>
      </w:r>
      <w:r w:rsidR="005207B2">
        <w:rPr>
          <w:rFonts w:cs="Arial"/>
          <w:bCs/>
          <w:szCs w:val="22"/>
        </w:rPr>
        <w:t>were</w:t>
      </w:r>
      <w:r w:rsidR="001F09D1">
        <w:rPr>
          <w:rFonts w:cs="Arial"/>
          <w:bCs/>
          <w:szCs w:val="22"/>
        </w:rPr>
        <w:t xml:space="preserve"> not reliable and accurate.</w:t>
      </w:r>
    </w:p>
    <w:p w14:paraId="111E44CB" w14:textId="0E4452B5" w:rsidR="00AB404E" w:rsidRDefault="00CE6537" w:rsidP="00CE6537">
      <w:pPr>
        <w:widowControl w:val="0"/>
        <w:tabs>
          <w:tab w:val="left" w:pos="567"/>
        </w:tabs>
        <w:spacing w:before="480" w:after="480" w:line="360" w:lineRule="auto"/>
        <w:jc w:val="both"/>
        <w:rPr>
          <w:rFonts w:cs="Arial"/>
          <w:bCs/>
          <w:szCs w:val="22"/>
        </w:rPr>
      </w:pPr>
      <w:r>
        <w:rPr>
          <w:rFonts w:cs="Arial"/>
          <w:bCs/>
          <w:szCs w:val="22"/>
        </w:rPr>
        <w:lastRenderedPageBreak/>
        <w:t>[10]</w:t>
      </w:r>
      <w:r>
        <w:rPr>
          <w:rFonts w:cs="Arial"/>
          <w:bCs/>
          <w:szCs w:val="22"/>
        </w:rPr>
        <w:tab/>
      </w:r>
      <w:r w:rsidR="00AB404E">
        <w:rPr>
          <w:rFonts w:cs="Arial"/>
          <w:bCs/>
          <w:szCs w:val="22"/>
        </w:rPr>
        <w:t>He wrote</w:t>
      </w:r>
      <w:r w:rsidR="00AB404E">
        <w:rPr>
          <w:rStyle w:val="FootnoteReference"/>
          <w:rFonts w:cs="Arial"/>
          <w:bCs/>
          <w:szCs w:val="22"/>
        </w:rPr>
        <w:footnoteReference w:id="17"/>
      </w:r>
      <w:r w:rsidR="00AB404E">
        <w:rPr>
          <w:rFonts w:cs="Arial"/>
          <w:bCs/>
          <w:szCs w:val="22"/>
        </w:rPr>
        <w:t xml:space="preserve"> that </w:t>
      </w:r>
      <w:r w:rsidR="00AB404E" w:rsidRPr="00AB404E">
        <w:rPr>
          <w:rFonts w:cs="Arial"/>
          <w:bCs/>
          <w:i/>
          <w:iCs/>
          <w:szCs w:val="22"/>
        </w:rPr>
        <w:t>“it may be possible to determine on the documents in the pleadings and the pleadings themselves whether Aeonova is entitled to an account from Altech and what form that account must take.”</w:t>
      </w:r>
    </w:p>
    <w:p w14:paraId="67818A29" w14:textId="17F0DC68" w:rsidR="00AB404E" w:rsidRDefault="00CE6537" w:rsidP="00CE6537">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AD662C">
        <w:rPr>
          <w:rFonts w:cs="Arial"/>
          <w:bCs/>
          <w:szCs w:val="22"/>
        </w:rPr>
        <w:t xml:space="preserve">The arbitrator envisaged that the claims for information in the first six claims </w:t>
      </w:r>
      <w:r w:rsidR="00AD662C" w:rsidRPr="00D15C79">
        <w:rPr>
          <w:rFonts w:cs="Arial"/>
          <w:bCs/>
          <w:i/>
          <w:iCs/>
          <w:szCs w:val="22"/>
        </w:rPr>
        <w:t xml:space="preserve"> </w:t>
      </w:r>
      <w:r w:rsidR="00AD662C">
        <w:rPr>
          <w:rFonts w:cs="Arial"/>
          <w:bCs/>
          <w:i/>
          <w:iCs/>
          <w:szCs w:val="22"/>
        </w:rPr>
        <w:t>“</w:t>
      </w:r>
      <w:r w:rsidR="00AD662C" w:rsidRPr="00D15C79">
        <w:rPr>
          <w:rFonts w:cs="Arial"/>
          <w:bCs/>
          <w:i/>
          <w:iCs/>
          <w:szCs w:val="22"/>
        </w:rPr>
        <w:t>may be dependent on the main claim for the rendering and abatement</w:t>
      </w:r>
      <w:r w:rsidR="00AD662C">
        <w:rPr>
          <w:rFonts w:cs="Arial"/>
          <w:bCs/>
          <w:i/>
          <w:iCs/>
          <w:szCs w:val="22"/>
        </w:rPr>
        <w:t>’,</w:t>
      </w:r>
      <w:r w:rsidR="00AD662C" w:rsidRPr="00AD662C">
        <w:rPr>
          <w:rFonts w:cs="Arial"/>
          <w:bCs/>
          <w:szCs w:val="22"/>
        </w:rPr>
        <w:t xml:space="preserve"> </w:t>
      </w:r>
      <w:r w:rsidR="006C1EA3" w:rsidRPr="00AD662C">
        <w:rPr>
          <w:rFonts w:cs="Arial"/>
          <w:bCs/>
          <w:szCs w:val="22"/>
        </w:rPr>
        <w:t>i.e.</w:t>
      </w:r>
      <w:r w:rsidR="00AD662C" w:rsidRPr="00AD662C">
        <w:rPr>
          <w:rFonts w:cs="Arial"/>
          <w:bCs/>
          <w:szCs w:val="22"/>
        </w:rPr>
        <w:t xml:space="preserve"> claim 7.</w:t>
      </w:r>
    </w:p>
    <w:p w14:paraId="6273CC08" w14:textId="77777777" w:rsidR="00466A30" w:rsidRDefault="00466A30" w:rsidP="00466A30">
      <w:pPr>
        <w:widowControl w:val="0"/>
        <w:spacing w:before="480" w:after="480" w:line="360" w:lineRule="auto"/>
        <w:jc w:val="both"/>
        <w:rPr>
          <w:u w:val="single"/>
        </w:rPr>
      </w:pPr>
    </w:p>
    <w:p w14:paraId="2D2CE280" w14:textId="013B7E95" w:rsidR="00466A30" w:rsidRPr="00466A30" w:rsidRDefault="00466A30" w:rsidP="00466A30">
      <w:pPr>
        <w:widowControl w:val="0"/>
        <w:spacing w:before="480" w:after="480" w:line="360" w:lineRule="auto"/>
        <w:jc w:val="both"/>
        <w:rPr>
          <w:u w:val="single"/>
        </w:rPr>
      </w:pPr>
      <w:r w:rsidRPr="00466A30">
        <w:rPr>
          <w:u w:val="single"/>
        </w:rPr>
        <w:t>The AFSA Rules</w:t>
      </w:r>
    </w:p>
    <w:p w14:paraId="48E31FE7" w14:textId="413B386F" w:rsidR="000264AE" w:rsidRPr="000264AE" w:rsidRDefault="00CE6537" w:rsidP="00CE6537">
      <w:pPr>
        <w:widowControl w:val="0"/>
        <w:tabs>
          <w:tab w:val="left" w:pos="567"/>
        </w:tabs>
        <w:spacing w:before="480" w:after="480" w:line="360" w:lineRule="auto"/>
        <w:jc w:val="both"/>
      </w:pPr>
      <w:r w:rsidRPr="000264AE">
        <w:t>[12]</w:t>
      </w:r>
      <w:r w:rsidRPr="000264AE">
        <w:tab/>
      </w:r>
      <w:r w:rsidR="00BA33AF" w:rsidRPr="000264AE">
        <w:rPr>
          <w:rFonts w:cs="Arial"/>
          <w:bCs/>
          <w:szCs w:val="22"/>
        </w:rPr>
        <w:t xml:space="preserve">The arbitrator acted in terms of article 11 of the AFSA Commercial Rules and he did so </w:t>
      </w:r>
      <w:r w:rsidR="00BA33AF" w:rsidRPr="000264AE">
        <w:rPr>
          <w:rFonts w:cs="Arial"/>
          <w:bCs/>
          <w:i/>
          <w:iCs/>
          <w:szCs w:val="22"/>
        </w:rPr>
        <w:t>‘with a view to resolving one of the principal issues and thereby expediting these proceedings and reducing costs.”</w:t>
      </w:r>
    </w:p>
    <w:p w14:paraId="78EF4427" w14:textId="1282DBE9" w:rsidR="00096A67" w:rsidRDefault="00CE6537" w:rsidP="00CE6537">
      <w:pPr>
        <w:widowControl w:val="0"/>
        <w:tabs>
          <w:tab w:val="left" w:pos="567"/>
        </w:tabs>
        <w:spacing w:before="480" w:after="480" w:line="360" w:lineRule="auto"/>
        <w:jc w:val="both"/>
        <w:rPr>
          <w:rFonts w:cs="Arial"/>
          <w:szCs w:val="22"/>
        </w:rPr>
      </w:pPr>
      <w:r>
        <w:rPr>
          <w:rFonts w:cs="Arial"/>
          <w:szCs w:val="22"/>
        </w:rPr>
        <w:t>[13]</w:t>
      </w:r>
      <w:r>
        <w:rPr>
          <w:rFonts w:cs="Arial"/>
          <w:szCs w:val="22"/>
        </w:rPr>
        <w:tab/>
      </w:r>
      <w:r w:rsidR="00E10D04" w:rsidRPr="000264AE">
        <w:rPr>
          <w:rFonts w:cs="Arial"/>
          <w:bCs/>
          <w:szCs w:val="22"/>
        </w:rPr>
        <w:t>Article 11.1 provides that the</w:t>
      </w:r>
      <w:r w:rsidR="00E10D04" w:rsidRPr="000264AE">
        <w:rPr>
          <w:rFonts w:ascii="Roboto" w:hAnsi="Roboto"/>
          <w:color w:val="000000"/>
          <w:sz w:val="21"/>
          <w:szCs w:val="21"/>
          <w:lang w:eastAsia="en-ZA"/>
        </w:rPr>
        <w:t xml:space="preserve"> </w:t>
      </w:r>
      <w:r w:rsidR="00E10D04" w:rsidRPr="003D1202">
        <w:rPr>
          <w:rFonts w:cs="Arial"/>
          <w:color w:val="000000"/>
          <w:szCs w:val="22"/>
          <w:lang w:eastAsia="en-ZA"/>
        </w:rPr>
        <w:t xml:space="preserve">arbitrator </w:t>
      </w:r>
      <w:r w:rsidR="00E10D04" w:rsidRPr="003D1202">
        <w:rPr>
          <w:rFonts w:cs="Arial"/>
          <w:i/>
          <w:iCs/>
          <w:color w:val="000000"/>
          <w:szCs w:val="22"/>
          <w:lang w:eastAsia="en-ZA"/>
        </w:rPr>
        <w:t xml:space="preserve">“shall have the widest discretion and powers allowed by law to ensure the just, expeditious, economical, and final determination of all the disputes raised in the proceedings, including the matter of costs.” </w:t>
      </w:r>
      <w:r w:rsidR="00E10D04" w:rsidRPr="003D1202">
        <w:rPr>
          <w:rFonts w:cs="Arial"/>
          <w:color w:val="000000"/>
          <w:szCs w:val="22"/>
          <w:lang w:eastAsia="en-ZA"/>
        </w:rPr>
        <w:t>Without derogating from the generality of article 11.1, article 11.2.5 provides that the arbitrator has the power to make any ruling or give any direction mentioned in these Rules or as he otherwise considers necessary or advisable for the just, expeditious, economical and final determination of all the disputes raised in the pleadings, including the matter of costs</w:t>
      </w:r>
      <w:r w:rsidR="000264AE" w:rsidRPr="003D1202">
        <w:rPr>
          <w:rFonts w:cs="Arial"/>
          <w:color w:val="000000"/>
          <w:szCs w:val="22"/>
          <w:lang w:eastAsia="en-ZA"/>
        </w:rPr>
        <w:t xml:space="preserve">, and article 11.3.7 permits the arbitrator to direct that </w:t>
      </w:r>
      <w:r w:rsidR="000264AE" w:rsidRPr="003D1202">
        <w:rPr>
          <w:rFonts w:cs="Arial"/>
          <w:szCs w:val="22"/>
        </w:rPr>
        <w:t>hearing should proceed on documents (including written</w:t>
      </w:r>
      <w:r w:rsidR="00AD662C" w:rsidRPr="003D1202">
        <w:rPr>
          <w:rFonts w:cs="Arial"/>
          <w:szCs w:val="22"/>
        </w:rPr>
        <w:t xml:space="preserve"> submissions) only, without the presentation of other evidence. </w:t>
      </w:r>
      <w:r w:rsidR="00F5169E">
        <w:rPr>
          <w:rFonts w:cs="Arial"/>
          <w:szCs w:val="22"/>
        </w:rPr>
        <w:t xml:space="preserve">These Rules give effect to the </w:t>
      </w:r>
      <w:r w:rsidR="00EB0C6A">
        <w:rPr>
          <w:rFonts w:cs="Arial"/>
          <w:szCs w:val="22"/>
        </w:rPr>
        <w:t xml:space="preserve">potential </w:t>
      </w:r>
      <w:r w:rsidR="00F5169E">
        <w:rPr>
          <w:rFonts w:cs="Arial"/>
          <w:szCs w:val="22"/>
        </w:rPr>
        <w:t>advantages of arbitration set out earlier in this judgment.</w:t>
      </w:r>
    </w:p>
    <w:p w14:paraId="1D4508BC" w14:textId="3E4259FC" w:rsidR="000264AE" w:rsidRPr="003D1202" w:rsidRDefault="00CE6537" w:rsidP="00CE6537">
      <w:pPr>
        <w:widowControl w:val="0"/>
        <w:tabs>
          <w:tab w:val="left" w:pos="567"/>
        </w:tabs>
        <w:spacing w:before="480" w:after="480" w:line="360" w:lineRule="auto"/>
        <w:jc w:val="both"/>
        <w:rPr>
          <w:rFonts w:cs="Arial"/>
          <w:szCs w:val="22"/>
        </w:rPr>
      </w:pPr>
      <w:r w:rsidRPr="003D1202">
        <w:rPr>
          <w:rFonts w:cs="Arial"/>
          <w:szCs w:val="22"/>
        </w:rPr>
        <w:t>[14]</w:t>
      </w:r>
      <w:r w:rsidRPr="003D1202">
        <w:rPr>
          <w:rFonts w:cs="Arial"/>
          <w:szCs w:val="22"/>
        </w:rPr>
        <w:tab/>
      </w:r>
      <w:r w:rsidR="00AD662C" w:rsidRPr="003D1202">
        <w:rPr>
          <w:rFonts w:cs="Arial"/>
          <w:szCs w:val="22"/>
        </w:rPr>
        <w:t>Th</w:t>
      </w:r>
      <w:r w:rsidR="00096A67">
        <w:rPr>
          <w:rFonts w:cs="Arial"/>
          <w:szCs w:val="22"/>
        </w:rPr>
        <w:t>e</w:t>
      </w:r>
      <w:r w:rsidR="00AD662C" w:rsidRPr="003D1202">
        <w:rPr>
          <w:rFonts w:cs="Arial"/>
          <w:szCs w:val="22"/>
        </w:rPr>
        <w:t xml:space="preserve"> decision</w:t>
      </w:r>
      <w:r w:rsidR="00096A67">
        <w:rPr>
          <w:rFonts w:cs="Arial"/>
          <w:szCs w:val="22"/>
        </w:rPr>
        <w:t xml:space="preserve"> to direct that the arbitration proceed on documents only</w:t>
      </w:r>
      <w:r w:rsidR="00AD662C" w:rsidRPr="003D1202">
        <w:rPr>
          <w:rFonts w:cs="Arial"/>
          <w:szCs w:val="22"/>
        </w:rPr>
        <w:t xml:space="preserve"> is not dependent on agreement by the parties, but the right to present argument is entrenched and can only be waived by consent. Reading this article it is apparent that the right to submit written submissions may </w:t>
      </w:r>
      <w:r w:rsidR="002302E3">
        <w:rPr>
          <w:rFonts w:cs="Arial"/>
          <w:szCs w:val="22"/>
        </w:rPr>
        <w:t xml:space="preserve">in appropriate circumstances </w:t>
      </w:r>
      <w:r w:rsidR="00AD662C" w:rsidRPr="003D1202">
        <w:rPr>
          <w:rFonts w:cs="Arial"/>
          <w:szCs w:val="22"/>
        </w:rPr>
        <w:t>be adequate compliance with the</w:t>
      </w:r>
      <w:r w:rsidR="00AD662C" w:rsidRPr="003D1202">
        <w:rPr>
          <w:rFonts w:cs="Arial"/>
          <w:i/>
          <w:iCs/>
          <w:szCs w:val="22"/>
        </w:rPr>
        <w:t xml:space="preserve"> audi alteram partem</w:t>
      </w:r>
      <w:r w:rsidR="00B75CDA">
        <w:rPr>
          <w:rStyle w:val="FootnoteReference"/>
          <w:rFonts w:cs="Arial"/>
          <w:i/>
          <w:iCs/>
          <w:szCs w:val="22"/>
        </w:rPr>
        <w:footnoteReference w:id="18"/>
      </w:r>
      <w:r w:rsidR="00AD662C" w:rsidRPr="003D1202">
        <w:rPr>
          <w:rFonts w:cs="Arial"/>
          <w:i/>
          <w:iCs/>
          <w:szCs w:val="22"/>
        </w:rPr>
        <w:t xml:space="preserve"> </w:t>
      </w:r>
      <w:r w:rsidR="00AD662C" w:rsidRPr="003D1202">
        <w:rPr>
          <w:rFonts w:cs="Arial"/>
          <w:szCs w:val="22"/>
        </w:rPr>
        <w:t>rule</w:t>
      </w:r>
      <w:r w:rsidR="002302E3">
        <w:rPr>
          <w:rFonts w:cs="Arial"/>
          <w:szCs w:val="22"/>
        </w:rPr>
        <w:t xml:space="preserve">, but that no party may be deprived of the right to </w:t>
      </w:r>
      <w:r w:rsidR="002302E3">
        <w:rPr>
          <w:rFonts w:cs="Arial"/>
          <w:szCs w:val="22"/>
        </w:rPr>
        <w:lastRenderedPageBreak/>
        <w:t>present argument.</w:t>
      </w:r>
    </w:p>
    <w:p w14:paraId="42664B64" w14:textId="7EB9F03D" w:rsidR="003C5536" w:rsidRPr="003D1202" w:rsidRDefault="00CE6537" w:rsidP="00CE6537">
      <w:pPr>
        <w:widowControl w:val="0"/>
        <w:tabs>
          <w:tab w:val="left" w:pos="567"/>
        </w:tabs>
        <w:spacing w:before="480" w:after="480" w:line="360" w:lineRule="auto"/>
        <w:jc w:val="both"/>
        <w:rPr>
          <w:rFonts w:cs="Arial"/>
          <w:bCs/>
          <w:szCs w:val="22"/>
        </w:rPr>
      </w:pPr>
      <w:r w:rsidRPr="003D1202">
        <w:rPr>
          <w:rFonts w:cs="Arial"/>
          <w:bCs/>
          <w:szCs w:val="22"/>
        </w:rPr>
        <w:t>[15]</w:t>
      </w:r>
      <w:r w:rsidRPr="003D1202">
        <w:rPr>
          <w:rFonts w:cs="Arial"/>
          <w:bCs/>
          <w:szCs w:val="22"/>
        </w:rPr>
        <w:tab/>
      </w:r>
      <w:r w:rsidR="00CC32A0" w:rsidRPr="003D1202">
        <w:rPr>
          <w:rFonts w:cs="Arial"/>
          <w:bCs/>
          <w:szCs w:val="22"/>
        </w:rPr>
        <w:t xml:space="preserve">The Rules therefore </w:t>
      </w:r>
      <w:r w:rsidR="002302E3">
        <w:rPr>
          <w:rFonts w:cs="Arial"/>
          <w:bCs/>
          <w:szCs w:val="22"/>
        </w:rPr>
        <w:t>arm</w:t>
      </w:r>
      <w:r w:rsidR="00CC32A0" w:rsidRPr="003D1202">
        <w:rPr>
          <w:rFonts w:cs="Arial"/>
          <w:bCs/>
          <w:szCs w:val="22"/>
        </w:rPr>
        <w:t xml:space="preserve"> the arbitrator with wide</w:t>
      </w:r>
      <w:r w:rsidR="002302E3">
        <w:rPr>
          <w:rFonts w:cs="Arial"/>
          <w:bCs/>
          <w:szCs w:val="22"/>
        </w:rPr>
        <w:t>-</w:t>
      </w:r>
      <w:r w:rsidR="00CC32A0" w:rsidRPr="003D1202">
        <w:rPr>
          <w:rFonts w:cs="Arial"/>
          <w:bCs/>
          <w:szCs w:val="22"/>
        </w:rPr>
        <w:t xml:space="preserve">ranging powers. With great power comes great responsibility, and the </w:t>
      </w:r>
      <w:r w:rsidR="00AD662C" w:rsidRPr="003D1202">
        <w:rPr>
          <w:rFonts w:cs="Arial"/>
          <w:bCs/>
          <w:szCs w:val="22"/>
        </w:rPr>
        <w:t>Rules</w:t>
      </w:r>
      <w:r w:rsidR="00CC32A0" w:rsidRPr="003D1202">
        <w:rPr>
          <w:rFonts w:cs="Arial"/>
          <w:bCs/>
          <w:szCs w:val="22"/>
        </w:rPr>
        <w:t xml:space="preserve"> must not be interpreted as a licence for capricious and arbitrary decisions. To the contrary, the arbitrator must perform his duties with a view to arriving at</w:t>
      </w:r>
      <w:r w:rsidR="002302E3">
        <w:rPr>
          <w:rFonts w:cs="Arial"/>
          <w:bCs/>
          <w:szCs w:val="22"/>
        </w:rPr>
        <w:t xml:space="preserve"> a</w:t>
      </w:r>
      <w:r w:rsidR="00CC32A0" w:rsidRPr="003D1202">
        <w:rPr>
          <w:rFonts w:cs="Arial"/>
          <w:bCs/>
          <w:szCs w:val="22"/>
        </w:rPr>
        <w:t xml:space="preserve"> </w:t>
      </w:r>
      <w:r w:rsidR="00CC32A0" w:rsidRPr="003D1202">
        <w:rPr>
          <w:rFonts w:cs="Arial"/>
          <w:szCs w:val="22"/>
        </w:rPr>
        <w:t>just, economical, expeditious and final determination</w:t>
      </w:r>
      <w:r w:rsidR="00804B15" w:rsidRPr="003D1202">
        <w:rPr>
          <w:rFonts w:cs="Arial"/>
          <w:szCs w:val="22"/>
        </w:rPr>
        <w:t xml:space="preserve"> of the dispute</w:t>
      </w:r>
      <w:r w:rsidR="00CC32A0" w:rsidRPr="003D1202">
        <w:rPr>
          <w:rFonts w:cs="Arial"/>
          <w:szCs w:val="22"/>
        </w:rPr>
        <w:t>.</w:t>
      </w:r>
    </w:p>
    <w:p w14:paraId="011DF497" w14:textId="77777777" w:rsidR="00466A30" w:rsidRDefault="00466A30" w:rsidP="00466A30">
      <w:pPr>
        <w:widowControl w:val="0"/>
        <w:spacing w:before="480" w:after="480" w:line="360" w:lineRule="auto"/>
        <w:jc w:val="both"/>
        <w:rPr>
          <w:rFonts w:cs="Arial"/>
          <w:bCs/>
          <w:szCs w:val="22"/>
          <w:u w:val="single"/>
        </w:rPr>
      </w:pPr>
    </w:p>
    <w:p w14:paraId="036AC656" w14:textId="191E8332" w:rsidR="00466A30" w:rsidRPr="00466A30" w:rsidRDefault="00466A30" w:rsidP="00466A30">
      <w:pPr>
        <w:widowControl w:val="0"/>
        <w:spacing w:before="480" w:after="480" w:line="360" w:lineRule="auto"/>
        <w:jc w:val="both"/>
        <w:rPr>
          <w:rFonts w:cs="Arial"/>
          <w:bCs/>
          <w:szCs w:val="22"/>
          <w:u w:val="single"/>
        </w:rPr>
      </w:pPr>
      <w:r w:rsidRPr="00466A30">
        <w:rPr>
          <w:rFonts w:cs="Arial"/>
          <w:bCs/>
          <w:szCs w:val="22"/>
          <w:u w:val="single"/>
        </w:rPr>
        <w:t>The Arbitration Act</w:t>
      </w:r>
      <w:r>
        <w:rPr>
          <w:rFonts w:cs="Arial"/>
          <w:bCs/>
          <w:szCs w:val="22"/>
          <w:u w:val="single"/>
        </w:rPr>
        <w:t>, 42 of 1965</w:t>
      </w:r>
    </w:p>
    <w:p w14:paraId="0E75F0BC" w14:textId="2CA98757" w:rsidR="003C5536" w:rsidRPr="003D1202" w:rsidRDefault="00CE6537" w:rsidP="00CE6537">
      <w:pPr>
        <w:widowControl w:val="0"/>
        <w:tabs>
          <w:tab w:val="left" w:pos="567"/>
        </w:tabs>
        <w:spacing w:before="480" w:after="480" w:line="360" w:lineRule="auto"/>
        <w:jc w:val="both"/>
        <w:rPr>
          <w:rFonts w:cs="Arial"/>
          <w:bCs/>
          <w:szCs w:val="22"/>
        </w:rPr>
      </w:pPr>
      <w:r w:rsidRPr="003D1202">
        <w:rPr>
          <w:rFonts w:cs="Arial"/>
          <w:bCs/>
          <w:szCs w:val="22"/>
        </w:rPr>
        <w:t>[16]</w:t>
      </w:r>
      <w:r w:rsidRPr="003D1202">
        <w:rPr>
          <w:rFonts w:cs="Arial"/>
          <w:bCs/>
          <w:szCs w:val="22"/>
        </w:rPr>
        <w:tab/>
      </w:r>
      <w:r w:rsidR="003C5536" w:rsidRPr="003D1202">
        <w:rPr>
          <w:rFonts w:cs="Arial"/>
          <w:bCs/>
          <w:szCs w:val="22"/>
        </w:rPr>
        <w:t>Section 33 of the Arbitration Act contains statutory review provisions. The common law</w:t>
      </w:r>
      <w:r w:rsidR="00804B15" w:rsidRPr="003D1202">
        <w:rPr>
          <w:rFonts w:cs="Arial"/>
          <w:bCs/>
          <w:szCs w:val="22"/>
        </w:rPr>
        <w:t xml:space="preserve"> grounds of review</w:t>
      </w:r>
      <w:r w:rsidR="003C5536" w:rsidRPr="003D1202">
        <w:rPr>
          <w:rFonts w:cs="Arial"/>
          <w:bCs/>
          <w:szCs w:val="22"/>
        </w:rPr>
        <w:t xml:space="preserve"> do not apply and nor do the </w:t>
      </w:r>
      <w:r w:rsidR="00EB0C6A">
        <w:rPr>
          <w:rFonts w:cs="Arial"/>
          <w:bCs/>
          <w:szCs w:val="22"/>
        </w:rPr>
        <w:t xml:space="preserve">grounds listed in the </w:t>
      </w:r>
      <w:r w:rsidR="003C5536" w:rsidRPr="003D1202">
        <w:rPr>
          <w:rFonts w:cs="Arial"/>
          <w:bCs/>
          <w:szCs w:val="22"/>
        </w:rPr>
        <w:t>Promotion of Administrative Justice Act, 3 of 2000.</w:t>
      </w:r>
      <w:r w:rsidR="003C5536" w:rsidRPr="003D1202">
        <w:rPr>
          <w:rStyle w:val="FootnoteReference"/>
          <w:rFonts w:cs="Arial"/>
          <w:bCs/>
          <w:szCs w:val="22"/>
        </w:rPr>
        <w:footnoteReference w:id="19"/>
      </w:r>
      <w:r w:rsidR="003C5536" w:rsidRPr="003D1202">
        <w:rPr>
          <w:rFonts w:cs="Arial"/>
          <w:bCs/>
          <w:szCs w:val="22"/>
        </w:rPr>
        <w:t xml:space="preserve"> The applicant relies on section 33(1)(b):</w:t>
      </w:r>
    </w:p>
    <w:p w14:paraId="5DA11B3C" w14:textId="77777777" w:rsidR="003C5536" w:rsidRPr="00D23D75" w:rsidRDefault="003C5536" w:rsidP="003C5536">
      <w:pPr>
        <w:ind w:left="1440"/>
        <w:rPr>
          <w:b/>
          <w:bCs/>
          <w:i/>
          <w:iCs/>
          <w:lang w:eastAsia="en-ZA"/>
        </w:rPr>
      </w:pPr>
      <w:r w:rsidRPr="00D23D75">
        <w:rPr>
          <w:b/>
          <w:bCs/>
          <w:i/>
          <w:iCs/>
          <w:lang w:eastAsia="en-ZA"/>
        </w:rPr>
        <w:t>33  Setting aside of award</w:t>
      </w:r>
    </w:p>
    <w:p w14:paraId="089EBCD2" w14:textId="77777777" w:rsidR="003C5536" w:rsidRPr="008535CA" w:rsidRDefault="003C5536" w:rsidP="003C5536">
      <w:pPr>
        <w:ind w:left="1440"/>
        <w:rPr>
          <w:i/>
          <w:iCs/>
          <w:lang w:eastAsia="en-ZA"/>
        </w:rPr>
      </w:pPr>
      <w:r w:rsidRPr="008535CA">
        <w:rPr>
          <w:i/>
          <w:iCs/>
          <w:lang w:eastAsia="en-ZA"/>
        </w:rPr>
        <w:t>(1) Where-</w:t>
      </w:r>
    </w:p>
    <w:p w14:paraId="4CBE669B" w14:textId="77777777" w:rsidR="003C5536" w:rsidRDefault="003C5536" w:rsidP="003C5536">
      <w:pPr>
        <w:ind w:left="1440"/>
        <w:rPr>
          <w:i/>
          <w:iCs/>
          <w:lang w:eastAsia="en-ZA"/>
        </w:rPr>
      </w:pPr>
      <w:r>
        <w:rPr>
          <w:i/>
          <w:iCs/>
          <w:lang w:eastAsia="en-ZA"/>
        </w:rPr>
        <w:t>…</w:t>
      </w:r>
    </w:p>
    <w:p w14:paraId="3F73297E" w14:textId="77777777" w:rsidR="003C5536" w:rsidRPr="008535CA" w:rsidRDefault="003C5536" w:rsidP="003C5536">
      <w:pPr>
        <w:ind w:left="1440"/>
        <w:rPr>
          <w:i/>
          <w:iCs/>
          <w:lang w:eastAsia="en-ZA"/>
        </w:rPr>
      </w:pPr>
      <w:r w:rsidRPr="008535CA">
        <w:rPr>
          <w:i/>
          <w:iCs/>
          <w:lang w:eastAsia="en-ZA"/>
        </w:rPr>
        <w:t>   (b)   an arbitration tribunal has committed any gross irregularity in the conduct of the arbitration proceedings or has exceeded its powers; or</w:t>
      </w:r>
    </w:p>
    <w:p w14:paraId="400B90CE" w14:textId="77777777" w:rsidR="003C5536" w:rsidRDefault="003C5536" w:rsidP="003C5536">
      <w:pPr>
        <w:ind w:left="1440"/>
        <w:rPr>
          <w:i/>
          <w:iCs/>
          <w:lang w:eastAsia="en-ZA"/>
        </w:rPr>
      </w:pPr>
      <w:r>
        <w:rPr>
          <w:i/>
          <w:iCs/>
          <w:lang w:eastAsia="en-ZA"/>
        </w:rPr>
        <w:t>…</w:t>
      </w:r>
    </w:p>
    <w:p w14:paraId="16BEF3FF" w14:textId="77777777" w:rsidR="003C5536" w:rsidRPr="008535CA" w:rsidRDefault="003C5536" w:rsidP="003C5536">
      <w:pPr>
        <w:ind w:left="1440"/>
        <w:rPr>
          <w:i/>
          <w:iCs/>
          <w:lang w:eastAsia="en-ZA"/>
        </w:rPr>
      </w:pPr>
      <w:r w:rsidRPr="008535CA">
        <w:rPr>
          <w:i/>
          <w:iCs/>
          <w:lang w:eastAsia="en-ZA"/>
        </w:rPr>
        <w:t>the court may, on the application of any party to the reference after due notice to the other party or parties, make an order setting the award aside.</w:t>
      </w:r>
    </w:p>
    <w:p w14:paraId="5363FAED" w14:textId="5F03B7A8" w:rsidR="00E72629" w:rsidRDefault="00CE6537" w:rsidP="00CE6537">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3C5536">
        <w:rPr>
          <w:rFonts w:cs="Arial"/>
          <w:bCs/>
          <w:szCs w:val="22"/>
        </w:rPr>
        <w:t>The grounds of review in section 33 are closely linked to the rules of natural justice</w:t>
      </w:r>
      <w:r w:rsidR="00AB404E">
        <w:rPr>
          <w:rFonts w:cs="Arial"/>
          <w:bCs/>
          <w:szCs w:val="22"/>
        </w:rPr>
        <w:t>.</w:t>
      </w:r>
      <w:r w:rsidR="003C5536">
        <w:rPr>
          <w:rStyle w:val="FootnoteReference"/>
          <w:rFonts w:cs="Arial"/>
          <w:bCs/>
          <w:szCs w:val="22"/>
        </w:rPr>
        <w:footnoteReference w:id="20"/>
      </w:r>
      <w:r w:rsidR="00AB404E">
        <w:rPr>
          <w:rFonts w:cs="Arial"/>
          <w:bCs/>
          <w:szCs w:val="22"/>
        </w:rPr>
        <w:t xml:space="preserve"> The concept of </w:t>
      </w:r>
      <w:r w:rsidR="00AB404E" w:rsidRPr="00B9165A">
        <w:rPr>
          <w:rFonts w:cs="Arial"/>
          <w:bCs/>
          <w:i/>
          <w:iCs/>
          <w:szCs w:val="22"/>
        </w:rPr>
        <w:t>audi alteram partem</w:t>
      </w:r>
      <w:r w:rsidR="00AB404E">
        <w:rPr>
          <w:rFonts w:cs="Arial"/>
          <w:bCs/>
          <w:szCs w:val="22"/>
        </w:rPr>
        <w:t xml:space="preserve"> </w:t>
      </w:r>
      <w:r w:rsidR="00B9165A">
        <w:rPr>
          <w:rFonts w:cs="Arial"/>
          <w:bCs/>
          <w:szCs w:val="22"/>
        </w:rPr>
        <w:t>is of particular importance in this matter.</w:t>
      </w:r>
      <w:r w:rsidR="00AB404E">
        <w:rPr>
          <w:rFonts w:cs="Arial"/>
          <w:bCs/>
          <w:szCs w:val="22"/>
        </w:rPr>
        <w:t xml:space="preserve"> When the applicant argues that the arbitrator committed a gross irregularity, it does so on the basis that</w:t>
      </w:r>
      <w:r w:rsidR="00B9165A">
        <w:rPr>
          <w:rFonts w:cs="Arial"/>
          <w:bCs/>
          <w:szCs w:val="22"/>
        </w:rPr>
        <w:t xml:space="preserve"> the arbitrator prejudged the issues and that</w:t>
      </w:r>
      <w:r w:rsidR="00AB404E">
        <w:rPr>
          <w:rFonts w:cs="Arial"/>
          <w:bCs/>
          <w:szCs w:val="22"/>
        </w:rPr>
        <w:t xml:space="preserve"> it did not have </w:t>
      </w:r>
      <w:r w:rsidR="00B9165A">
        <w:rPr>
          <w:rFonts w:cs="Arial"/>
          <w:bCs/>
          <w:szCs w:val="22"/>
        </w:rPr>
        <w:t xml:space="preserve">an opportunity </w:t>
      </w:r>
      <w:r w:rsidR="00AB404E">
        <w:rPr>
          <w:rFonts w:cs="Arial"/>
          <w:bCs/>
          <w:szCs w:val="22"/>
        </w:rPr>
        <w:t>to put its case and lead its witnesses on the separated issue.</w:t>
      </w:r>
      <w:r w:rsidR="00E72629">
        <w:rPr>
          <w:rFonts w:cs="Arial"/>
          <w:bCs/>
          <w:szCs w:val="22"/>
        </w:rPr>
        <w:t xml:space="preserve"> </w:t>
      </w:r>
    </w:p>
    <w:p w14:paraId="30D7F8FC" w14:textId="6041FFEB" w:rsidR="003C5536" w:rsidRDefault="00CE6537" w:rsidP="00CE6537">
      <w:pPr>
        <w:widowControl w:val="0"/>
        <w:tabs>
          <w:tab w:val="left" w:pos="567"/>
        </w:tabs>
        <w:spacing w:before="480" w:after="480" w:line="360" w:lineRule="auto"/>
        <w:jc w:val="both"/>
        <w:rPr>
          <w:rFonts w:cs="Arial"/>
          <w:bCs/>
          <w:szCs w:val="22"/>
        </w:rPr>
      </w:pPr>
      <w:r>
        <w:rPr>
          <w:rFonts w:cs="Arial"/>
          <w:bCs/>
          <w:szCs w:val="22"/>
        </w:rPr>
        <w:lastRenderedPageBreak/>
        <w:t>[18]</w:t>
      </w:r>
      <w:r>
        <w:rPr>
          <w:rFonts w:cs="Arial"/>
          <w:bCs/>
          <w:szCs w:val="22"/>
        </w:rPr>
        <w:tab/>
      </w:r>
      <w:r w:rsidR="00CC32A0">
        <w:rPr>
          <w:rFonts w:cs="Arial"/>
          <w:bCs/>
          <w:szCs w:val="22"/>
        </w:rPr>
        <w:t>Dishonesty or moral turpitude is not</w:t>
      </w:r>
      <w:r w:rsidR="00F35033">
        <w:rPr>
          <w:rStyle w:val="FootnoteReference"/>
          <w:rFonts w:cs="Arial"/>
          <w:bCs/>
          <w:szCs w:val="22"/>
        </w:rPr>
        <w:footnoteReference w:id="21"/>
      </w:r>
      <w:r w:rsidR="00CC32A0">
        <w:rPr>
          <w:rFonts w:cs="Arial"/>
          <w:bCs/>
          <w:szCs w:val="22"/>
        </w:rPr>
        <w:t xml:space="preserve"> a requirement for a finding that an arbitrator committed a gross irregularity. A gross irregularity may be committed with the best of intentions.</w:t>
      </w:r>
      <w:r w:rsidR="00F5169E">
        <w:rPr>
          <w:rFonts w:cs="Arial"/>
          <w:bCs/>
          <w:szCs w:val="22"/>
        </w:rPr>
        <w:t xml:space="preserve"> An error of law</w:t>
      </w:r>
      <w:r w:rsidR="00E37B1B">
        <w:rPr>
          <w:rStyle w:val="FootnoteReference"/>
          <w:rFonts w:cs="Arial"/>
          <w:bCs/>
          <w:szCs w:val="22"/>
        </w:rPr>
        <w:footnoteReference w:id="22"/>
      </w:r>
      <w:r w:rsidR="00F5169E">
        <w:rPr>
          <w:rFonts w:cs="Arial"/>
          <w:bCs/>
          <w:szCs w:val="22"/>
        </w:rPr>
        <w:t xml:space="preserve"> can constitute a gross irregularity and it seems to me that the true question is not whether the arbitrator made an error of law, but whether the dissatisfied party was prevented from presenting its case.</w:t>
      </w:r>
    </w:p>
    <w:p w14:paraId="54791CFF" w14:textId="5BB595D5" w:rsidR="003C5536" w:rsidRPr="005971D5" w:rsidRDefault="00CE6537" w:rsidP="00CE6537">
      <w:pPr>
        <w:widowControl w:val="0"/>
        <w:tabs>
          <w:tab w:val="left" w:pos="567"/>
        </w:tabs>
        <w:spacing w:before="480" w:after="480" w:line="360" w:lineRule="auto"/>
        <w:jc w:val="both"/>
        <w:rPr>
          <w:rFonts w:cs="Arial"/>
          <w:bCs/>
          <w:szCs w:val="22"/>
        </w:rPr>
      </w:pPr>
      <w:r w:rsidRPr="005971D5">
        <w:rPr>
          <w:rFonts w:cs="Arial"/>
          <w:bCs/>
          <w:szCs w:val="22"/>
        </w:rPr>
        <w:t>[19]</w:t>
      </w:r>
      <w:r w:rsidRPr="005971D5">
        <w:rPr>
          <w:rFonts w:cs="Arial"/>
          <w:bCs/>
          <w:szCs w:val="22"/>
        </w:rPr>
        <w:tab/>
      </w:r>
      <w:r w:rsidR="005612A1">
        <w:rPr>
          <w:rFonts w:cs="Arial"/>
          <w:bCs/>
          <w:szCs w:val="22"/>
        </w:rPr>
        <w:t>The Courts should not be over-keen to intervene in arbitration awards. The parties chose to arbitrate and the principles of party autonomy dictate that the powers of review should be used sparingly.</w:t>
      </w:r>
      <w:r w:rsidR="005612A1">
        <w:rPr>
          <w:rStyle w:val="FootnoteReference"/>
          <w:rFonts w:cs="Arial"/>
          <w:bCs/>
          <w:szCs w:val="22"/>
        </w:rPr>
        <w:footnoteReference w:id="23"/>
      </w:r>
      <w:r w:rsidR="005612A1">
        <w:rPr>
          <w:rFonts w:cs="Arial"/>
          <w:bCs/>
          <w:szCs w:val="22"/>
        </w:rPr>
        <w:t xml:space="preserve"> </w:t>
      </w:r>
      <w:r w:rsidR="00447235">
        <w:rPr>
          <w:rFonts w:cs="Arial"/>
          <w:bCs/>
          <w:szCs w:val="22"/>
        </w:rPr>
        <w:t xml:space="preserve">For an award to be set aside on the ground of a gross irregularity, the arbitrator must have committed an irregularity of a nature so serious that the applicant was precluded from having </w:t>
      </w:r>
      <w:r w:rsidR="008E1B11">
        <w:rPr>
          <w:rFonts w:cs="Arial"/>
          <w:bCs/>
          <w:szCs w:val="22"/>
        </w:rPr>
        <w:t>its</w:t>
      </w:r>
      <w:r w:rsidR="00447235">
        <w:rPr>
          <w:rFonts w:cs="Arial"/>
          <w:bCs/>
          <w:szCs w:val="22"/>
        </w:rPr>
        <w:t xml:space="preserve"> case fully and fairly determined.</w:t>
      </w:r>
      <w:r w:rsidR="00447235">
        <w:rPr>
          <w:rStyle w:val="FootnoteReference"/>
          <w:rFonts w:cs="Arial"/>
          <w:bCs/>
          <w:szCs w:val="22"/>
        </w:rPr>
        <w:footnoteReference w:id="24"/>
      </w:r>
      <w:r w:rsidR="00447235">
        <w:rPr>
          <w:rFonts w:cs="Arial"/>
          <w:bCs/>
          <w:szCs w:val="22"/>
        </w:rPr>
        <w:t xml:space="preserve"> </w:t>
      </w:r>
      <w:r w:rsidR="00025815">
        <w:rPr>
          <w:rFonts w:cs="Arial"/>
          <w:bCs/>
          <w:szCs w:val="22"/>
        </w:rPr>
        <w:t>The enquiry is focused on the conduct of the proceedings (</w:t>
      </w:r>
      <w:r w:rsidR="006C1EA3">
        <w:rPr>
          <w:rFonts w:cs="Arial"/>
          <w:bCs/>
          <w:szCs w:val="22"/>
        </w:rPr>
        <w:t>i.e.</w:t>
      </w:r>
      <w:r w:rsidR="00025815">
        <w:rPr>
          <w:rFonts w:cs="Arial"/>
          <w:bCs/>
          <w:szCs w:val="22"/>
        </w:rPr>
        <w:t xml:space="preserve"> the process) rather than the result (</w:t>
      </w:r>
      <w:r w:rsidR="006C1EA3">
        <w:rPr>
          <w:rFonts w:cs="Arial"/>
          <w:bCs/>
          <w:szCs w:val="22"/>
        </w:rPr>
        <w:t>i.e.</w:t>
      </w:r>
      <w:r w:rsidR="00025815">
        <w:rPr>
          <w:rFonts w:cs="Arial"/>
          <w:bCs/>
          <w:szCs w:val="22"/>
        </w:rPr>
        <w:t xml:space="preserve"> the outcome.) </w:t>
      </w:r>
      <w:r w:rsidR="00447235">
        <w:rPr>
          <w:rFonts w:cs="Arial"/>
          <w:bCs/>
          <w:szCs w:val="22"/>
        </w:rPr>
        <w:t xml:space="preserve">In </w:t>
      </w:r>
      <w:r w:rsidR="008E1B11" w:rsidRPr="008E1B11">
        <w:rPr>
          <w:i/>
          <w:iCs/>
        </w:rPr>
        <w:t>Bester v Easigas (Pty) Ltd and Another</w:t>
      </w:r>
      <w:r w:rsidR="005971D5">
        <w:rPr>
          <w:i/>
          <w:iCs/>
        </w:rPr>
        <w:t>:</w:t>
      </w:r>
      <w:r w:rsidR="008E1B11">
        <w:rPr>
          <w:rStyle w:val="FootnoteReference"/>
          <w:i/>
          <w:iCs/>
        </w:rPr>
        <w:footnoteReference w:id="25"/>
      </w:r>
      <w:r w:rsidR="008E1B11">
        <w:t xml:space="preserve"> </w:t>
      </w:r>
      <w:r w:rsidR="005971D5">
        <w:t>Brand AJ (as he was then) said</w:t>
      </w:r>
      <w:r w:rsidR="00025815">
        <w:t xml:space="preserve"> that</w:t>
      </w:r>
      <w:r w:rsidR="005971D5">
        <w:t>:</w:t>
      </w:r>
    </w:p>
    <w:p w14:paraId="7065D4A9" w14:textId="790ACD84" w:rsidR="005971D5" w:rsidRPr="005971D5" w:rsidRDefault="005971D5" w:rsidP="00025815">
      <w:pPr>
        <w:spacing w:before="120" w:after="120" w:line="360" w:lineRule="auto"/>
        <w:ind w:left="720"/>
        <w:jc w:val="both"/>
        <w:rPr>
          <w:i/>
          <w:iCs/>
        </w:rPr>
      </w:pPr>
      <w:r w:rsidRPr="005971D5">
        <w:rPr>
          <w:i/>
          <w:iCs/>
        </w:rPr>
        <w:t>“…. the ground of review envisaged by the use of this phrase relates to the conduct of the proceedings and not the result thereof. This appears clearly from the following dictum of Mason J in Ellis v Morgan; Ellis v Dessai 1909 TS 576</w:t>
      </w:r>
      <w:r w:rsidR="00B9165A" w:rsidRPr="005971D5">
        <w:rPr>
          <w:i/>
          <w:iCs/>
        </w:rPr>
        <w:t xml:space="preserve"> </w:t>
      </w:r>
      <w:r w:rsidRPr="005971D5">
        <w:rPr>
          <w:i/>
          <w:iCs/>
        </w:rPr>
        <w:t xml:space="preserve">at 581: </w:t>
      </w:r>
    </w:p>
    <w:p w14:paraId="0D9C4B2A" w14:textId="77777777" w:rsidR="005971D5" w:rsidRPr="005971D5" w:rsidRDefault="005971D5" w:rsidP="00025815">
      <w:pPr>
        <w:spacing w:before="120" w:after="120" w:line="360" w:lineRule="auto"/>
        <w:ind w:left="1440"/>
        <w:jc w:val="both"/>
        <w:rPr>
          <w:i/>
          <w:iCs/>
        </w:rPr>
      </w:pPr>
      <w:r w:rsidRPr="005971D5">
        <w:rPr>
          <w:i/>
          <w:iCs/>
        </w:rPr>
        <w:t> ‘But an irregularity in proceedings does not mean an incorrect judgment; it refers not to the result but to the method of a trial, such as, for example, some high-handed or mistaken action which has prevented the aggrieved party from having his case fully and fairly determined.'</w:t>
      </w:r>
    </w:p>
    <w:p w14:paraId="3FFC2FCC" w14:textId="77777777" w:rsidR="005971D5" w:rsidRPr="005971D5" w:rsidRDefault="005971D5" w:rsidP="00025815">
      <w:pPr>
        <w:spacing w:before="120" w:after="120" w:line="360" w:lineRule="auto"/>
        <w:ind w:left="720"/>
        <w:jc w:val="both"/>
        <w:rPr>
          <w:i/>
          <w:iCs/>
          <w:color w:val="000000" w:themeColor="text1"/>
        </w:rPr>
      </w:pPr>
      <w:r w:rsidRPr="005971D5">
        <w:rPr>
          <w:i/>
          <w:iCs/>
          <w:color w:val="000000" w:themeColor="text1"/>
        </w:rPr>
        <w:t>(See also, for example, R v Zackey </w:t>
      </w:r>
      <w:hyperlink r:id="rId9" w:history="1">
        <w:r w:rsidRPr="005971D5">
          <w:rPr>
            <w:rStyle w:val="Hyperlink"/>
            <w:i/>
            <w:iCs/>
            <w:color w:val="000000" w:themeColor="text1"/>
            <w:u w:val="none"/>
          </w:rPr>
          <w:t>1945 AD 505</w:t>
        </w:r>
      </w:hyperlink>
      <w:r w:rsidRPr="005971D5">
        <w:rPr>
          <w:i/>
          <w:iCs/>
          <w:color w:val="000000" w:themeColor="text1"/>
        </w:rPr>
        <w:t> at 509.)</w:t>
      </w:r>
    </w:p>
    <w:p w14:paraId="48C27F06" w14:textId="35C9DB6A" w:rsidR="005971D5" w:rsidRPr="005971D5" w:rsidRDefault="005971D5" w:rsidP="00025815">
      <w:pPr>
        <w:spacing w:before="120" w:after="120" w:line="360" w:lineRule="auto"/>
        <w:ind w:left="720"/>
        <w:jc w:val="both"/>
        <w:rPr>
          <w:i/>
          <w:iCs/>
          <w:color w:val="000000" w:themeColor="text1"/>
        </w:rPr>
      </w:pPr>
      <w:r w:rsidRPr="005971D5">
        <w:rPr>
          <w:i/>
          <w:iCs/>
        </w:rPr>
        <w:t xml:space="preserve">Secondly it appears from these authorities that every irregularity in the proceedings will not constitute a ground for review on the basis under </w:t>
      </w:r>
      <w:r w:rsidRPr="005971D5">
        <w:rPr>
          <w:i/>
          <w:iCs/>
        </w:rPr>
        <w:lastRenderedPageBreak/>
        <w:t xml:space="preserve">consideration. In order to justify a review on this basis, the irregularity must have been of such a serious nature that it resulted in the aggrieved party not having his case fully and fairly determined. (See, for example, Ellis v Morgan (supra); Coetser v Henning and Ente NO 1926 TPD 401 at 404; Goldfields Investment Ltd and Another v City Council </w:t>
      </w:r>
      <w:r w:rsidRPr="005971D5">
        <w:rPr>
          <w:i/>
          <w:iCs/>
          <w:color w:val="000000" w:themeColor="text1"/>
        </w:rPr>
        <w:t>of Johannesburg and Another 1938 TPD 551; and cf also S v Moodie </w:t>
      </w:r>
      <w:hyperlink r:id="rId10" w:history="1">
        <w:r w:rsidRPr="005971D5">
          <w:rPr>
            <w:rStyle w:val="Hyperlink"/>
            <w:i/>
            <w:iCs/>
            <w:color w:val="000000" w:themeColor="text1"/>
            <w:u w:val="none"/>
          </w:rPr>
          <w:t>1961 (4) SA 752 (A)</w:t>
        </w:r>
      </w:hyperlink>
      <w:r w:rsidRPr="005971D5">
        <w:rPr>
          <w:i/>
          <w:iCs/>
          <w:color w:val="000000" w:themeColor="text1"/>
        </w:rPr>
        <w:t>.)</w:t>
      </w:r>
      <w:r w:rsidR="00025815">
        <w:rPr>
          <w:i/>
          <w:iCs/>
          <w:color w:val="000000" w:themeColor="text1"/>
        </w:rPr>
        <w:t>”</w:t>
      </w:r>
    </w:p>
    <w:p w14:paraId="4C83B11C" w14:textId="36119609" w:rsidR="00F5169E" w:rsidRPr="00F5169E" w:rsidRDefault="00CE6537" w:rsidP="00CE6537">
      <w:pPr>
        <w:widowControl w:val="0"/>
        <w:tabs>
          <w:tab w:val="left" w:pos="567"/>
        </w:tabs>
        <w:spacing w:before="480" w:after="480" w:line="360" w:lineRule="auto"/>
        <w:jc w:val="both"/>
        <w:rPr>
          <w:rFonts w:cs="Arial"/>
          <w:bCs/>
          <w:szCs w:val="22"/>
        </w:rPr>
      </w:pPr>
      <w:r w:rsidRPr="00F5169E">
        <w:rPr>
          <w:rFonts w:cs="Arial"/>
          <w:bCs/>
          <w:szCs w:val="22"/>
        </w:rPr>
        <w:t>[20]</w:t>
      </w:r>
      <w:r w:rsidRPr="00F5169E">
        <w:rPr>
          <w:rFonts w:cs="Arial"/>
          <w:bCs/>
          <w:szCs w:val="22"/>
        </w:rPr>
        <w:tab/>
      </w:r>
      <w:r w:rsidR="00F5169E">
        <w:rPr>
          <w:rFonts w:cs="Arial"/>
          <w:bCs/>
          <w:szCs w:val="22"/>
        </w:rPr>
        <w:t>In its founding affidavit</w:t>
      </w:r>
      <w:r w:rsidR="00F5169E">
        <w:rPr>
          <w:rStyle w:val="FootnoteReference"/>
          <w:rFonts w:cs="Arial"/>
          <w:bCs/>
          <w:szCs w:val="22"/>
        </w:rPr>
        <w:footnoteReference w:id="26"/>
      </w:r>
      <w:r w:rsidR="00F5169E">
        <w:rPr>
          <w:rFonts w:cs="Arial"/>
          <w:bCs/>
          <w:szCs w:val="22"/>
        </w:rPr>
        <w:t xml:space="preserve"> Altech argues that the arbitrator’s award prejudges or  determines crucial issues between the parties before Altech </w:t>
      </w:r>
      <w:r w:rsidR="00EB0C6A">
        <w:rPr>
          <w:rFonts w:cs="Arial"/>
          <w:bCs/>
          <w:szCs w:val="22"/>
        </w:rPr>
        <w:t xml:space="preserve">has </w:t>
      </w:r>
      <w:r w:rsidR="00F5169E">
        <w:rPr>
          <w:rFonts w:cs="Arial"/>
          <w:bCs/>
          <w:szCs w:val="22"/>
        </w:rPr>
        <w:t>had an opportunity to present evidence and argument on those issues</w:t>
      </w:r>
      <w:r w:rsidR="00E37B1B">
        <w:rPr>
          <w:rFonts w:cs="Arial"/>
          <w:bCs/>
          <w:szCs w:val="22"/>
        </w:rPr>
        <w:t>. In order to make the award he did make, the arbitrator had to decide merits issues without giving an opportunity to Altech to present its evidence.</w:t>
      </w:r>
    </w:p>
    <w:p w14:paraId="06CC8DBA" w14:textId="092A47CF" w:rsidR="005971D5" w:rsidRDefault="00CE6537" w:rsidP="00CE6537">
      <w:pPr>
        <w:widowControl w:val="0"/>
        <w:tabs>
          <w:tab w:val="left" w:pos="567"/>
        </w:tabs>
        <w:spacing w:before="480" w:after="480" w:line="360" w:lineRule="auto"/>
        <w:jc w:val="both"/>
        <w:rPr>
          <w:rFonts w:cs="Arial"/>
          <w:bCs/>
          <w:szCs w:val="22"/>
        </w:rPr>
      </w:pPr>
      <w:r>
        <w:rPr>
          <w:rFonts w:cs="Arial"/>
          <w:bCs/>
          <w:szCs w:val="22"/>
        </w:rPr>
        <w:t>[21]</w:t>
      </w:r>
      <w:r>
        <w:rPr>
          <w:rFonts w:cs="Arial"/>
          <w:bCs/>
          <w:szCs w:val="22"/>
        </w:rPr>
        <w:tab/>
      </w:r>
      <w:r w:rsidR="003D1202">
        <w:t xml:space="preserve">Aeonova argues that the application is an appeal wearing the clothes of a review; that it </w:t>
      </w:r>
      <w:r w:rsidR="00563355">
        <w:t>attacks</w:t>
      </w:r>
      <w:r w:rsidR="005971D5" w:rsidRPr="00B44228">
        <w:t xml:space="preserve"> the </w:t>
      </w:r>
      <w:r w:rsidR="00A643AB">
        <w:t>outcome</w:t>
      </w:r>
      <w:r w:rsidR="005971D5" w:rsidRPr="00B44228">
        <w:t> and not to the </w:t>
      </w:r>
      <w:r w:rsidR="00A643AB">
        <w:t>process.</w:t>
      </w:r>
      <w:r w:rsidR="005971D5" w:rsidRPr="00B44228">
        <w:t xml:space="preserve"> </w:t>
      </w:r>
    </w:p>
    <w:p w14:paraId="49FE7299" w14:textId="77777777" w:rsidR="009D37BD" w:rsidRDefault="009D37BD" w:rsidP="009D37BD">
      <w:pPr>
        <w:widowControl w:val="0"/>
        <w:spacing w:before="480" w:after="480" w:line="360" w:lineRule="auto"/>
        <w:jc w:val="both"/>
        <w:rPr>
          <w:rFonts w:cs="Arial"/>
          <w:bCs/>
          <w:szCs w:val="22"/>
          <w:u w:val="single"/>
        </w:rPr>
      </w:pPr>
    </w:p>
    <w:p w14:paraId="364361D7" w14:textId="0072AA5D" w:rsidR="009D37BD" w:rsidRPr="009D37BD" w:rsidRDefault="009D37BD" w:rsidP="009D37BD">
      <w:pPr>
        <w:widowControl w:val="0"/>
        <w:spacing w:before="480" w:after="480" w:line="360" w:lineRule="auto"/>
        <w:jc w:val="both"/>
        <w:rPr>
          <w:rFonts w:cs="Arial"/>
          <w:bCs/>
          <w:szCs w:val="22"/>
          <w:u w:val="single"/>
        </w:rPr>
      </w:pPr>
      <w:r w:rsidRPr="009D37BD">
        <w:rPr>
          <w:rFonts w:cs="Arial"/>
          <w:bCs/>
          <w:szCs w:val="22"/>
          <w:u w:val="single"/>
        </w:rPr>
        <w:t>Proceedings before the arbitrator</w:t>
      </w:r>
    </w:p>
    <w:p w14:paraId="03875489" w14:textId="252EA2DA" w:rsidR="00375E93" w:rsidRPr="00375E93" w:rsidRDefault="00CE6537" w:rsidP="00CE6537">
      <w:pPr>
        <w:widowControl w:val="0"/>
        <w:tabs>
          <w:tab w:val="left" w:pos="567"/>
        </w:tabs>
        <w:spacing w:before="480" w:after="480" w:line="360" w:lineRule="auto"/>
        <w:jc w:val="both"/>
        <w:rPr>
          <w:rFonts w:cs="Arial"/>
          <w:bCs/>
          <w:szCs w:val="22"/>
        </w:rPr>
      </w:pPr>
      <w:r w:rsidRPr="00375E93">
        <w:rPr>
          <w:rFonts w:cs="Arial"/>
          <w:bCs/>
          <w:szCs w:val="22"/>
        </w:rPr>
        <w:t>[22]</w:t>
      </w:r>
      <w:r w:rsidRPr="00375E93">
        <w:rPr>
          <w:rFonts w:cs="Arial"/>
          <w:bCs/>
          <w:szCs w:val="22"/>
        </w:rPr>
        <w:tab/>
      </w:r>
      <w:r w:rsidR="001F09D1" w:rsidRPr="008578F4">
        <w:rPr>
          <w:rFonts w:cs="Arial"/>
          <w:bCs/>
          <w:szCs w:val="22"/>
        </w:rPr>
        <w:t>Both parties filed comprehensive heads of argument</w:t>
      </w:r>
      <w:r w:rsidR="009A2613">
        <w:rPr>
          <w:rFonts w:cs="Arial"/>
          <w:bCs/>
          <w:szCs w:val="22"/>
        </w:rPr>
        <w:t xml:space="preserve"> before the arbitrator</w:t>
      </w:r>
      <w:r w:rsidR="001F09D1" w:rsidRPr="008578F4">
        <w:rPr>
          <w:rFonts w:cs="Arial"/>
          <w:bCs/>
          <w:szCs w:val="22"/>
        </w:rPr>
        <w:t>. Aeonova argued</w:t>
      </w:r>
      <w:r w:rsidR="008578F4">
        <w:rPr>
          <w:rStyle w:val="FootnoteReference"/>
          <w:rFonts w:cs="Arial"/>
          <w:bCs/>
          <w:szCs w:val="22"/>
        </w:rPr>
        <w:footnoteReference w:id="27"/>
      </w:r>
      <w:r w:rsidR="001F09D1" w:rsidRPr="008578F4">
        <w:rPr>
          <w:rFonts w:cs="Arial"/>
          <w:bCs/>
          <w:szCs w:val="22"/>
        </w:rPr>
        <w:t xml:space="preserve"> that it was possible to determine the right to an account</w:t>
      </w:r>
      <w:r w:rsidR="008578F4" w:rsidRPr="008578F4">
        <w:rPr>
          <w:rFonts w:cs="Arial"/>
          <w:bCs/>
          <w:szCs w:val="22"/>
        </w:rPr>
        <w:t xml:space="preserve"> on the papers</w:t>
      </w:r>
      <w:r w:rsidR="008578F4">
        <w:rPr>
          <w:rFonts w:cs="Arial"/>
          <w:bCs/>
          <w:szCs w:val="22"/>
        </w:rPr>
        <w:t xml:space="preserve">. </w:t>
      </w:r>
      <w:r w:rsidR="00375E93">
        <w:rPr>
          <w:rFonts w:cs="Arial"/>
          <w:bCs/>
          <w:szCs w:val="22"/>
        </w:rPr>
        <w:t>Altech’s primary position in its heads</w:t>
      </w:r>
      <w:r w:rsidR="00375E93">
        <w:rPr>
          <w:rStyle w:val="FootnoteReference"/>
          <w:rFonts w:cs="Arial"/>
          <w:bCs/>
          <w:szCs w:val="22"/>
        </w:rPr>
        <w:footnoteReference w:id="28"/>
      </w:r>
      <w:r w:rsidR="00375E93">
        <w:rPr>
          <w:rFonts w:cs="Arial"/>
          <w:bCs/>
          <w:szCs w:val="22"/>
        </w:rPr>
        <w:t xml:space="preserve"> was that </w:t>
      </w:r>
      <w:r w:rsidR="00375E93" w:rsidRPr="005D32A9">
        <w:rPr>
          <w:rFonts w:cs="Arial"/>
          <w:bCs/>
          <w:i/>
          <w:iCs/>
          <w:szCs w:val="22"/>
        </w:rPr>
        <w:t>“it does not concede that it has a duty to account to Aeonova, at this juncture, particularly at all, and in any event, the existence of such a duty and its nature, ambit and scope cannot be determined or directed at this juncture.”</w:t>
      </w:r>
      <w:r w:rsidR="00375E93">
        <w:rPr>
          <w:rStyle w:val="FootnoteReference"/>
          <w:rFonts w:cs="Arial"/>
          <w:bCs/>
          <w:i/>
          <w:iCs/>
          <w:szCs w:val="22"/>
        </w:rPr>
        <w:footnoteReference w:id="29"/>
      </w:r>
      <w:r w:rsidR="00375E93">
        <w:rPr>
          <w:rFonts w:cs="Arial"/>
          <w:bCs/>
          <w:i/>
          <w:iCs/>
          <w:szCs w:val="22"/>
        </w:rPr>
        <w:t xml:space="preserve"> </w:t>
      </w:r>
    </w:p>
    <w:p w14:paraId="38F09E80" w14:textId="6591CB3C" w:rsidR="00C1108E" w:rsidRDefault="00CE6537" w:rsidP="00CE6537">
      <w:pPr>
        <w:widowControl w:val="0"/>
        <w:tabs>
          <w:tab w:val="left" w:pos="567"/>
        </w:tabs>
        <w:spacing w:before="480" w:after="480" w:line="360" w:lineRule="auto"/>
        <w:jc w:val="both"/>
        <w:rPr>
          <w:rFonts w:cs="Arial"/>
          <w:bCs/>
          <w:szCs w:val="22"/>
        </w:rPr>
      </w:pPr>
      <w:r>
        <w:rPr>
          <w:rFonts w:cs="Arial"/>
          <w:bCs/>
          <w:szCs w:val="22"/>
        </w:rPr>
        <w:t>[23]</w:t>
      </w:r>
      <w:r>
        <w:rPr>
          <w:rFonts w:cs="Arial"/>
          <w:bCs/>
          <w:szCs w:val="22"/>
        </w:rPr>
        <w:tab/>
      </w:r>
      <w:r w:rsidR="00C1108E">
        <w:rPr>
          <w:rFonts w:cs="Arial"/>
          <w:bCs/>
          <w:szCs w:val="22"/>
        </w:rPr>
        <w:t>Altech accepted as a general proposition that it would have an accounting obligation to Aeonova if, and only if, Aeonova succeeded on the merits. It would therefore be premature to order an accounting before the merits have been determined, and then only insofar as Aeonova succeeded with its claims.</w:t>
      </w:r>
    </w:p>
    <w:p w14:paraId="325BDF92" w14:textId="5AF43493" w:rsidR="00375E93" w:rsidRDefault="00CE6537" w:rsidP="00CE6537">
      <w:pPr>
        <w:widowControl w:val="0"/>
        <w:tabs>
          <w:tab w:val="left" w:pos="567"/>
        </w:tabs>
        <w:spacing w:before="480" w:after="480" w:line="360" w:lineRule="auto"/>
        <w:jc w:val="both"/>
        <w:rPr>
          <w:rFonts w:cs="Arial"/>
          <w:bCs/>
          <w:szCs w:val="22"/>
        </w:rPr>
      </w:pPr>
      <w:r>
        <w:rPr>
          <w:rFonts w:cs="Arial"/>
          <w:bCs/>
          <w:szCs w:val="22"/>
        </w:rPr>
        <w:t>[24]</w:t>
      </w:r>
      <w:r>
        <w:rPr>
          <w:rFonts w:cs="Arial"/>
          <w:bCs/>
          <w:szCs w:val="22"/>
        </w:rPr>
        <w:tab/>
      </w:r>
      <w:r w:rsidR="00375E93">
        <w:rPr>
          <w:rFonts w:cs="Arial"/>
          <w:bCs/>
          <w:szCs w:val="22"/>
        </w:rPr>
        <w:t xml:space="preserve">It is not Altech’s case that is there is evidence that, if presented, would have </w:t>
      </w:r>
      <w:r w:rsidR="00375E93">
        <w:rPr>
          <w:rFonts w:cs="Arial"/>
          <w:bCs/>
          <w:szCs w:val="22"/>
        </w:rPr>
        <w:lastRenderedPageBreak/>
        <w:t>changed the arbitrator’s interpretation of the contractual documents. No such evidence was foreshadowed in the heads of argument. Rather, it was argued that on the pleadings and the common cause documents, the arbitrator committed a gross irregularity by making the award.</w:t>
      </w:r>
    </w:p>
    <w:p w14:paraId="604B7B9E" w14:textId="0AF1025C" w:rsidR="00C26FA6" w:rsidRPr="00375E93" w:rsidRDefault="00CE6537" w:rsidP="00CE6537">
      <w:pPr>
        <w:widowControl w:val="0"/>
        <w:tabs>
          <w:tab w:val="left" w:pos="567"/>
        </w:tabs>
        <w:spacing w:before="480" w:after="480" w:line="360" w:lineRule="auto"/>
        <w:jc w:val="both"/>
        <w:rPr>
          <w:rFonts w:cs="Arial"/>
          <w:bCs/>
          <w:szCs w:val="22"/>
        </w:rPr>
      </w:pPr>
      <w:r w:rsidRPr="00375E93">
        <w:rPr>
          <w:rFonts w:cs="Arial"/>
          <w:bCs/>
          <w:szCs w:val="22"/>
        </w:rPr>
        <w:t>[25]</w:t>
      </w:r>
      <w:r w:rsidRPr="00375E93">
        <w:rPr>
          <w:rFonts w:cs="Arial"/>
          <w:bCs/>
          <w:szCs w:val="22"/>
        </w:rPr>
        <w:tab/>
      </w:r>
      <w:r w:rsidR="008578F4">
        <w:rPr>
          <w:rFonts w:cs="Arial"/>
          <w:bCs/>
          <w:szCs w:val="22"/>
        </w:rPr>
        <w:t>The right to an account</w:t>
      </w:r>
      <w:r w:rsidR="00B9165A">
        <w:rPr>
          <w:rFonts w:cs="Arial"/>
          <w:bCs/>
          <w:szCs w:val="22"/>
        </w:rPr>
        <w:t xml:space="preserve"> may</w:t>
      </w:r>
      <w:r w:rsidR="008578F4">
        <w:rPr>
          <w:rFonts w:cs="Arial"/>
          <w:bCs/>
          <w:szCs w:val="22"/>
        </w:rPr>
        <w:t xml:space="preserve"> arise from contract or from a fiduciary relationship</w:t>
      </w:r>
      <w:r w:rsidR="00BD75F3">
        <w:rPr>
          <w:rFonts w:cs="Arial"/>
          <w:bCs/>
          <w:szCs w:val="22"/>
        </w:rPr>
        <w:t xml:space="preserve"> </w:t>
      </w:r>
      <w:r w:rsidR="00B9165A">
        <w:rPr>
          <w:rFonts w:cs="Arial"/>
          <w:bCs/>
          <w:szCs w:val="22"/>
        </w:rPr>
        <w:t>such as a partnership.</w:t>
      </w:r>
      <w:r w:rsidR="00C26FA6">
        <w:rPr>
          <w:rStyle w:val="FootnoteReference"/>
          <w:rFonts w:cs="Arial"/>
          <w:bCs/>
          <w:szCs w:val="22"/>
        </w:rPr>
        <w:footnoteReference w:id="30"/>
      </w:r>
      <w:r w:rsidR="00C26FA6">
        <w:rPr>
          <w:rFonts w:cs="Arial"/>
          <w:bCs/>
          <w:szCs w:val="22"/>
        </w:rPr>
        <w:t xml:space="preserve"> </w:t>
      </w:r>
      <w:r w:rsidR="00C26FA6" w:rsidRPr="00375E93">
        <w:rPr>
          <w:rFonts w:cs="Arial"/>
          <w:bCs/>
          <w:szCs w:val="22"/>
        </w:rPr>
        <w:t>Partners must account to one another and the duty to account is an implied term of a partnership contract.</w:t>
      </w:r>
      <w:r w:rsidR="00C26FA6" w:rsidRPr="00C26FA6">
        <w:rPr>
          <w:rFonts w:cs="Arial"/>
          <w:bCs/>
          <w:szCs w:val="22"/>
        </w:rPr>
        <w:t xml:space="preserve"> </w:t>
      </w:r>
    </w:p>
    <w:p w14:paraId="67C2127E" w14:textId="2B202325" w:rsidR="00375E93" w:rsidRDefault="00CE6537" w:rsidP="00CE6537">
      <w:pPr>
        <w:widowControl w:val="0"/>
        <w:tabs>
          <w:tab w:val="left" w:pos="567"/>
        </w:tabs>
        <w:spacing w:before="480" w:after="480" w:line="360" w:lineRule="auto"/>
        <w:jc w:val="both"/>
        <w:rPr>
          <w:rFonts w:cs="Arial"/>
          <w:bCs/>
          <w:szCs w:val="22"/>
        </w:rPr>
      </w:pPr>
      <w:r>
        <w:rPr>
          <w:rFonts w:cs="Arial"/>
          <w:bCs/>
          <w:szCs w:val="22"/>
        </w:rPr>
        <w:t>[26]</w:t>
      </w:r>
      <w:r>
        <w:rPr>
          <w:rFonts w:cs="Arial"/>
          <w:bCs/>
          <w:szCs w:val="22"/>
        </w:rPr>
        <w:tab/>
      </w:r>
      <w:r w:rsidR="00375E93">
        <w:rPr>
          <w:rFonts w:cs="Arial"/>
          <w:bCs/>
          <w:szCs w:val="22"/>
        </w:rPr>
        <w:t>A contractual duty to account must appear from the terms</w:t>
      </w:r>
      <w:r w:rsidR="00375E93">
        <w:rPr>
          <w:rStyle w:val="FootnoteReference"/>
          <w:rFonts w:cs="Arial"/>
          <w:bCs/>
          <w:szCs w:val="22"/>
        </w:rPr>
        <w:footnoteReference w:id="31"/>
      </w:r>
      <w:r w:rsidR="00375E93">
        <w:rPr>
          <w:rFonts w:cs="Arial"/>
          <w:bCs/>
          <w:szCs w:val="22"/>
        </w:rPr>
        <w:t xml:space="preserve"> of the contract. The mere existence of a debtor-creditor relationship is not sufficient.</w:t>
      </w:r>
      <w:r w:rsidR="00375E93">
        <w:rPr>
          <w:rStyle w:val="FootnoteReference"/>
          <w:rFonts w:cs="Arial"/>
          <w:bCs/>
          <w:szCs w:val="22"/>
        </w:rPr>
        <w:footnoteReference w:id="32"/>
      </w:r>
    </w:p>
    <w:p w14:paraId="289DA888" w14:textId="32777068" w:rsidR="00375E93" w:rsidRDefault="00CE6537" w:rsidP="00CE6537">
      <w:pPr>
        <w:widowControl w:val="0"/>
        <w:tabs>
          <w:tab w:val="left" w:pos="567"/>
        </w:tabs>
        <w:spacing w:before="480" w:after="480" w:line="360" w:lineRule="auto"/>
        <w:jc w:val="both"/>
        <w:rPr>
          <w:rFonts w:cs="Arial"/>
          <w:bCs/>
          <w:szCs w:val="22"/>
        </w:rPr>
      </w:pPr>
      <w:r>
        <w:rPr>
          <w:rFonts w:cs="Arial"/>
          <w:bCs/>
          <w:szCs w:val="22"/>
        </w:rPr>
        <w:t>[27]</w:t>
      </w:r>
      <w:r>
        <w:rPr>
          <w:rFonts w:cs="Arial"/>
          <w:bCs/>
          <w:szCs w:val="22"/>
        </w:rPr>
        <w:tab/>
      </w:r>
      <w:r w:rsidR="00375E93" w:rsidRPr="00375E93">
        <w:rPr>
          <w:rFonts w:cs="Arial"/>
          <w:bCs/>
          <w:szCs w:val="22"/>
        </w:rPr>
        <w:t xml:space="preserve">The contract before the Court (or arbitrator) must therefore be interpreted. This is an outcome based enquiry and not an enquiry into the process followed. </w:t>
      </w:r>
    </w:p>
    <w:p w14:paraId="022C99CB" w14:textId="32FD1766" w:rsidR="00375E93"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27.1</w:t>
      </w:r>
      <w:r>
        <w:rPr>
          <w:rFonts w:cs="Arial"/>
          <w:bCs/>
          <w:szCs w:val="22"/>
        </w:rPr>
        <w:tab/>
      </w:r>
      <w:r w:rsidR="00375E93" w:rsidRPr="00375E93">
        <w:rPr>
          <w:rFonts w:cs="Arial"/>
          <w:bCs/>
          <w:szCs w:val="22"/>
        </w:rPr>
        <w:t>In this case, the</w:t>
      </w:r>
      <w:r w:rsidR="00BD75F3" w:rsidRPr="00375E93">
        <w:rPr>
          <w:rFonts w:cs="Arial"/>
          <w:bCs/>
          <w:szCs w:val="22"/>
        </w:rPr>
        <w:t xml:space="preserve"> contractual obligation to account appears</w:t>
      </w:r>
      <w:r w:rsidR="00AD23BF" w:rsidRPr="00375E93">
        <w:rPr>
          <w:rFonts w:cs="Arial"/>
          <w:bCs/>
          <w:szCs w:val="22"/>
        </w:rPr>
        <w:t xml:space="preserve"> </w:t>
      </w:r>
      <w:r w:rsidR="00AD23BF" w:rsidRPr="00375E93">
        <w:rPr>
          <w:rFonts w:cs="Arial"/>
          <w:bCs/>
          <w:i/>
          <w:iCs/>
          <w:szCs w:val="22"/>
        </w:rPr>
        <w:t>inter alia</w:t>
      </w:r>
      <w:r w:rsidR="00BD75F3" w:rsidRPr="00375E93">
        <w:rPr>
          <w:rFonts w:cs="Arial"/>
          <w:bCs/>
          <w:szCs w:val="22"/>
        </w:rPr>
        <w:t xml:space="preserve"> from the obligation incorporated in </w:t>
      </w:r>
      <w:r w:rsidR="00A31837" w:rsidRPr="00375E93">
        <w:rPr>
          <w:rFonts w:cs="Arial"/>
          <w:bCs/>
          <w:szCs w:val="22"/>
        </w:rPr>
        <w:t xml:space="preserve">clause 2.3 of </w:t>
      </w:r>
      <w:r w:rsidR="00BD75F3" w:rsidRPr="00375E93">
        <w:rPr>
          <w:rFonts w:cs="Arial"/>
          <w:bCs/>
          <w:szCs w:val="22"/>
        </w:rPr>
        <w:t>the Addendum in terms of which Altech was obliged to disclose revenue receipts within three days of issue</w:t>
      </w:r>
      <w:r w:rsidR="00A31837" w:rsidRPr="00375E93">
        <w:rPr>
          <w:rFonts w:cs="Arial"/>
          <w:bCs/>
          <w:szCs w:val="22"/>
        </w:rPr>
        <w:t>,</w:t>
      </w:r>
      <w:r w:rsidR="00BD75F3">
        <w:rPr>
          <w:rStyle w:val="FootnoteReference"/>
          <w:rFonts w:cs="Arial"/>
          <w:bCs/>
          <w:szCs w:val="22"/>
        </w:rPr>
        <w:footnoteReference w:id="33"/>
      </w:r>
      <w:r w:rsidR="00A31837" w:rsidRPr="00375E93">
        <w:rPr>
          <w:rFonts w:cs="Arial"/>
          <w:bCs/>
          <w:szCs w:val="22"/>
        </w:rPr>
        <w:t xml:space="preserve"> and the obligation to provide access to records and the like in clause 2.9.</w:t>
      </w:r>
      <w:r w:rsidR="00A31837">
        <w:rPr>
          <w:rStyle w:val="FootnoteReference"/>
          <w:rFonts w:cs="Arial"/>
          <w:bCs/>
          <w:szCs w:val="22"/>
        </w:rPr>
        <w:footnoteReference w:id="34"/>
      </w:r>
    </w:p>
    <w:p w14:paraId="05A3A9A6" w14:textId="051C8A95" w:rsidR="003A7CA2" w:rsidRPr="00375E93" w:rsidRDefault="00CE6537" w:rsidP="00CE6537">
      <w:pPr>
        <w:widowControl w:val="0"/>
        <w:tabs>
          <w:tab w:val="left" w:pos="1418"/>
        </w:tabs>
        <w:spacing w:before="480" w:after="480" w:line="360" w:lineRule="auto"/>
        <w:ind w:left="1418" w:hanging="851"/>
        <w:jc w:val="both"/>
        <w:rPr>
          <w:rFonts w:cs="Arial"/>
          <w:bCs/>
          <w:szCs w:val="22"/>
        </w:rPr>
      </w:pPr>
      <w:r w:rsidRPr="00375E93">
        <w:rPr>
          <w:rFonts w:cs="Arial"/>
          <w:bCs/>
          <w:szCs w:val="22"/>
        </w:rPr>
        <w:t>27.2</w:t>
      </w:r>
      <w:r w:rsidRPr="00375E93">
        <w:rPr>
          <w:rFonts w:cs="Arial"/>
          <w:bCs/>
          <w:szCs w:val="22"/>
        </w:rPr>
        <w:tab/>
      </w:r>
      <w:r w:rsidR="00375E93">
        <w:rPr>
          <w:rFonts w:cs="Arial"/>
          <w:bCs/>
          <w:szCs w:val="22"/>
        </w:rPr>
        <w:t>The contract also established a</w:t>
      </w:r>
      <w:r w:rsidR="003A7CA2" w:rsidRPr="00375E93">
        <w:rPr>
          <w:rFonts w:cs="Arial"/>
          <w:bCs/>
          <w:szCs w:val="22"/>
        </w:rPr>
        <w:t xml:space="preserve"> fiduciary relationship</w:t>
      </w:r>
      <w:r w:rsidR="00375E93">
        <w:rPr>
          <w:rFonts w:cs="Arial"/>
          <w:bCs/>
          <w:szCs w:val="22"/>
        </w:rPr>
        <w:t>.</w:t>
      </w:r>
      <w:r w:rsidR="003A7CA2" w:rsidRPr="00375E93">
        <w:rPr>
          <w:rFonts w:cs="Arial"/>
          <w:bCs/>
          <w:szCs w:val="22"/>
        </w:rPr>
        <w:t xml:space="preserve"> The parties to the contract are described as </w:t>
      </w:r>
      <w:r w:rsidR="003A7CA2" w:rsidRPr="00375E93">
        <w:rPr>
          <w:rFonts w:cs="Arial"/>
          <w:bCs/>
          <w:i/>
          <w:iCs/>
          <w:szCs w:val="22"/>
        </w:rPr>
        <w:t>‘strategic partners</w:t>
      </w:r>
      <w:r w:rsidR="005207B2" w:rsidRPr="00375E93">
        <w:rPr>
          <w:rFonts w:cs="Arial"/>
          <w:bCs/>
          <w:i/>
          <w:iCs/>
          <w:szCs w:val="22"/>
        </w:rPr>
        <w:t xml:space="preserve">’ </w:t>
      </w:r>
      <w:r w:rsidR="005207B2" w:rsidRPr="00375E93">
        <w:rPr>
          <w:rFonts w:cs="Arial"/>
          <w:bCs/>
          <w:szCs w:val="22"/>
        </w:rPr>
        <w:t>in the Sub-Contract</w:t>
      </w:r>
      <w:r w:rsidR="003A7CA2" w:rsidRPr="001E0529">
        <w:rPr>
          <w:rStyle w:val="FootnoteReference"/>
          <w:rFonts w:cs="Arial"/>
          <w:bCs/>
          <w:szCs w:val="22"/>
        </w:rPr>
        <w:footnoteReference w:id="35"/>
      </w:r>
      <w:r w:rsidR="005207B2" w:rsidRPr="00375E93">
        <w:rPr>
          <w:rFonts w:cs="Arial"/>
          <w:bCs/>
          <w:szCs w:val="22"/>
        </w:rPr>
        <w:t xml:space="preserve"> </w:t>
      </w:r>
      <w:r w:rsidR="001E0529" w:rsidRPr="00375E93">
        <w:rPr>
          <w:rFonts w:cs="Arial"/>
          <w:bCs/>
          <w:szCs w:val="22"/>
        </w:rPr>
        <w:t>and the essentials of a partnership have been established.</w:t>
      </w:r>
      <w:r w:rsidR="001E0529">
        <w:rPr>
          <w:rStyle w:val="FootnoteReference"/>
          <w:rFonts w:cs="Arial"/>
          <w:bCs/>
          <w:szCs w:val="22"/>
        </w:rPr>
        <w:footnoteReference w:id="36"/>
      </w:r>
      <w:r w:rsidR="001E0529" w:rsidRPr="00375E93">
        <w:rPr>
          <w:rFonts w:cs="Arial"/>
          <w:bCs/>
          <w:szCs w:val="22"/>
        </w:rPr>
        <w:t xml:space="preserve"> </w:t>
      </w:r>
    </w:p>
    <w:p w14:paraId="251574E8" w14:textId="41C030CA" w:rsidR="009D37BD" w:rsidRDefault="00CE6537" w:rsidP="00CE6537">
      <w:pPr>
        <w:widowControl w:val="0"/>
        <w:tabs>
          <w:tab w:val="left" w:pos="567"/>
        </w:tabs>
        <w:spacing w:before="480" w:after="480" w:line="360" w:lineRule="auto"/>
        <w:jc w:val="both"/>
        <w:rPr>
          <w:rFonts w:cs="Arial"/>
          <w:bCs/>
          <w:szCs w:val="22"/>
        </w:rPr>
      </w:pPr>
      <w:r>
        <w:rPr>
          <w:rFonts w:cs="Arial"/>
          <w:bCs/>
          <w:szCs w:val="22"/>
        </w:rPr>
        <w:t>[28]</w:t>
      </w:r>
      <w:r>
        <w:rPr>
          <w:rFonts w:cs="Arial"/>
          <w:bCs/>
          <w:szCs w:val="22"/>
        </w:rPr>
        <w:tab/>
      </w:r>
      <w:r w:rsidR="009D37BD">
        <w:rPr>
          <w:rFonts w:cs="Arial"/>
          <w:bCs/>
          <w:szCs w:val="22"/>
        </w:rPr>
        <w:t xml:space="preserve">Both parties relied on the judgment of Holmes JA in </w:t>
      </w:r>
      <w:r w:rsidR="009D37BD" w:rsidRPr="008578F4">
        <w:rPr>
          <w:i/>
          <w:iCs/>
        </w:rPr>
        <w:t>Doyle</w:t>
      </w:r>
      <w:r w:rsidR="009D37BD">
        <w:rPr>
          <w:i/>
          <w:iCs/>
        </w:rPr>
        <w:t xml:space="preserve"> </w:t>
      </w:r>
      <w:r w:rsidR="009D37BD" w:rsidRPr="008578F4">
        <w:rPr>
          <w:i/>
          <w:iCs/>
        </w:rPr>
        <w:t>and</w:t>
      </w:r>
      <w:r w:rsidR="009D37BD">
        <w:rPr>
          <w:i/>
          <w:iCs/>
        </w:rPr>
        <w:t xml:space="preserve"> </w:t>
      </w:r>
      <w:r w:rsidR="009D37BD" w:rsidRPr="008578F4">
        <w:rPr>
          <w:i/>
          <w:iCs/>
        </w:rPr>
        <w:t>Another</w:t>
      </w:r>
      <w:r w:rsidR="009D37BD">
        <w:rPr>
          <w:i/>
          <w:iCs/>
        </w:rPr>
        <w:t xml:space="preserve"> </w:t>
      </w:r>
      <w:r w:rsidR="009D37BD" w:rsidRPr="008578F4">
        <w:rPr>
          <w:i/>
          <w:iCs/>
        </w:rPr>
        <w:t>v</w:t>
      </w:r>
      <w:r w:rsidR="009D37BD">
        <w:rPr>
          <w:i/>
          <w:iCs/>
        </w:rPr>
        <w:t xml:space="preserve"> </w:t>
      </w:r>
      <w:r w:rsidR="009D37BD" w:rsidRPr="008578F4">
        <w:rPr>
          <w:i/>
          <w:iCs/>
        </w:rPr>
        <w:t>Fleet</w:t>
      </w:r>
      <w:r w:rsidR="009D37BD">
        <w:rPr>
          <w:i/>
          <w:iCs/>
        </w:rPr>
        <w:t xml:space="preserve"> </w:t>
      </w:r>
      <w:r w:rsidR="009D37BD" w:rsidRPr="008578F4">
        <w:rPr>
          <w:i/>
          <w:iCs/>
        </w:rPr>
        <w:lastRenderedPageBreak/>
        <w:t>Motors PE (Pty) Ltd</w:t>
      </w:r>
      <w:r w:rsidR="009D37BD">
        <w:rPr>
          <w:rFonts w:cs="Arial"/>
          <w:bCs/>
          <w:szCs w:val="22"/>
        </w:rPr>
        <w:t>.</w:t>
      </w:r>
      <w:r w:rsidR="009D37BD">
        <w:rPr>
          <w:rStyle w:val="FootnoteReference"/>
          <w:rFonts w:cs="Arial"/>
          <w:bCs/>
          <w:szCs w:val="22"/>
        </w:rPr>
        <w:footnoteReference w:id="37"/>
      </w:r>
      <w:r w:rsidR="009D37BD">
        <w:rPr>
          <w:rFonts w:cs="Arial"/>
          <w:bCs/>
          <w:szCs w:val="22"/>
        </w:rPr>
        <w:t xml:space="preserve"> It is </w:t>
      </w:r>
      <w:r w:rsidR="001A2608">
        <w:rPr>
          <w:rFonts w:cs="Arial"/>
          <w:bCs/>
          <w:szCs w:val="22"/>
        </w:rPr>
        <w:t xml:space="preserve">necessary </w:t>
      </w:r>
      <w:r w:rsidR="009D37BD">
        <w:rPr>
          <w:rFonts w:cs="Arial"/>
          <w:bCs/>
          <w:szCs w:val="22"/>
        </w:rPr>
        <w:t xml:space="preserve"> therefore to look at this judgment in </w:t>
      </w:r>
      <w:r w:rsidR="001A2608">
        <w:rPr>
          <w:rFonts w:cs="Arial"/>
          <w:bCs/>
          <w:szCs w:val="22"/>
        </w:rPr>
        <w:t>more detail</w:t>
      </w:r>
      <w:r w:rsidR="009D37BD">
        <w:rPr>
          <w:rFonts w:cs="Arial"/>
          <w:bCs/>
          <w:szCs w:val="22"/>
        </w:rPr>
        <w:t>:</w:t>
      </w:r>
    </w:p>
    <w:p w14:paraId="2C191CA3" w14:textId="04F83970" w:rsidR="009D37BD"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28.1</w:t>
      </w:r>
      <w:r>
        <w:rPr>
          <w:rFonts w:cs="Arial"/>
          <w:bCs/>
          <w:szCs w:val="22"/>
        </w:rPr>
        <w:tab/>
      </w:r>
      <w:r w:rsidR="009D37BD">
        <w:rPr>
          <w:rFonts w:cs="Arial"/>
          <w:bCs/>
          <w:szCs w:val="22"/>
        </w:rPr>
        <w:t>The appellant alleged the existence of a partnership and sued the respondent for an account, the debate thereof, and payment of the amount found to be due.</w:t>
      </w:r>
    </w:p>
    <w:p w14:paraId="563B5E3B" w14:textId="256A958E" w:rsidR="009D37BD"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28.2</w:t>
      </w:r>
      <w:r>
        <w:rPr>
          <w:rFonts w:cs="Arial"/>
          <w:bCs/>
          <w:szCs w:val="22"/>
        </w:rPr>
        <w:tab/>
      </w:r>
      <w:r w:rsidR="009D37BD">
        <w:rPr>
          <w:rFonts w:cs="Arial"/>
          <w:bCs/>
          <w:szCs w:val="22"/>
        </w:rPr>
        <w:t xml:space="preserve">The respondent denied the existence of the partnership and alleged </w:t>
      </w:r>
      <w:r w:rsidR="00BC3C54">
        <w:rPr>
          <w:rFonts w:cs="Arial"/>
          <w:bCs/>
          <w:szCs w:val="22"/>
        </w:rPr>
        <w:t>a business relationship that included a master and servant relationship.</w:t>
      </w:r>
    </w:p>
    <w:p w14:paraId="423DF754" w14:textId="24CB46DF" w:rsidR="00263A96"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28.3</w:t>
      </w:r>
      <w:r>
        <w:rPr>
          <w:rFonts w:cs="Arial"/>
          <w:bCs/>
          <w:szCs w:val="22"/>
        </w:rPr>
        <w:tab/>
      </w:r>
      <w:r w:rsidR="00263A96">
        <w:rPr>
          <w:rFonts w:cs="Arial"/>
          <w:bCs/>
          <w:szCs w:val="22"/>
        </w:rPr>
        <w:t>At the commencement of the trial the respondent’s counsel intimated that the appellant had indeed been furnished with an account and that his remedy now was to sue for the amount alleged to be due.</w:t>
      </w:r>
    </w:p>
    <w:p w14:paraId="7C5B8895" w14:textId="6732D968" w:rsidR="00263A96"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28.4</w:t>
      </w:r>
      <w:r>
        <w:rPr>
          <w:rFonts w:cs="Arial"/>
          <w:bCs/>
          <w:szCs w:val="22"/>
        </w:rPr>
        <w:tab/>
      </w:r>
      <w:r w:rsidR="00263A96">
        <w:rPr>
          <w:rFonts w:cs="Arial"/>
          <w:bCs/>
          <w:szCs w:val="22"/>
        </w:rPr>
        <w:t>The trial Judge ruled on the pleadings that the question was whether the appellant had been furnished with an account and not the sufficiency of the account, and that evidence on sufficiency was irrelevant.</w:t>
      </w:r>
    </w:p>
    <w:p w14:paraId="6F61CF7B" w14:textId="67349486" w:rsidR="00263A96"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28.5</w:t>
      </w:r>
      <w:r>
        <w:rPr>
          <w:rFonts w:cs="Arial"/>
          <w:bCs/>
          <w:szCs w:val="22"/>
        </w:rPr>
        <w:tab/>
      </w:r>
      <w:r w:rsidR="00263A96">
        <w:rPr>
          <w:rFonts w:cs="Arial"/>
          <w:bCs/>
          <w:szCs w:val="22"/>
        </w:rPr>
        <w:t>The appellant called a witness to testify to the existence of a partnership</w:t>
      </w:r>
      <w:r w:rsidR="004D1A91">
        <w:rPr>
          <w:rFonts w:cs="Arial"/>
          <w:bCs/>
          <w:szCs w:val="22"/>
        </w:rPr>
        <w:t>.</w:t>
      </w:r>
    </w:p>
    <w:p w14:paraId="6E3027CD" w14:textId="41E0C6BA" w:rsidR="004D1A91"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28.6</w:t>
      </w:r>
      <w:r>
        <w:rPr>
          <w:rFonts w:cs="Arial"/>
          <w:bCs/>
          <w:szCs w:val="22"/>
        </w:rPr>
        <w:tab/>
      </w:r>
      <w:r w:rsidR="004D1A91">
        <w:rPr>
          <w:rFonts w:cs="Arial"/>
          <w:bCs/>
          <w:szCs w:val="22"/>
        </w:rPr>
        <w:t xml:space="preserve">When the witness was asked to deal with </w:t>
      </w:r>
      <w:r w:rsidR="001A2608">
        <w:rPr>
          <w:rFonts w:cs="Arial"/>
          <w:bCs/>
          <w:szCs w:val="22"/>
        </w:rPr>
        <w:t>the</w:t>
      </w:r>
      <w:r w:rsidR="004D1A91">
        <w:rPr>
          <w:rFonts w:cs="Arial"/>
          <w:bCs/>
          <w:szCs w:val="22"/>
        </w:rPr>
        <w:t xml:space="preserve"> account received and annexed to further particulars to the plea, respondent’s counsel asked the Court to decide the question whether the plaintiff, having admitted that he received a balance sheet and statement, is entitled to any relief on the pleadings as framed.</w:t>
      </w:r>
    </w:p>
    <w:p w14:paraId="709404CC" w14:textId="7E1334E2" w:rsidR="004D1A91"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28.7</w:t>
      </w:r>
      <w:r>
        <w:rPr>
          <w:rFonts w:cs="Arial"/>
          <w:bCs/>
          <w:szCs w:val="22"/>
        </w:rPr>
        <w:tab/>
      </w:r>
      <w:r w:rsidR="004D1A91">
        <w:rPr>
          <w:rFonts w:cs="Arial"/>
          <w:bCs/>
          <w:szCs w:val="22"/>
        </w:rPr>
        <w:t>The trial Judge held that Rule 33(4) was properly invoked, and held that the appellant was indeed not, as argued by the respondent, entitled to any relief</w:t>
      </w:r>
      <w:r w:rsidR="001A2608">
        <w:rPr>
          <w:rFonts w:cs="Arial"/>
          <w:bCs/>
          <w:szCs w:val="22"/>
        </w:rPr>
        <w:t>. He</w:t>
      </w:r>
      <w:r w:rsidR="004D1A91">
        <w:rPr>
          <w:rFonts w:cs="Arial"/>
          <w:bCs/>
          <w:szCs w:val="22"/>
        </w:rPr>
        <w:t xml:space="preserve"> dismissed the action.</w:t>
      </w:r>
      <w:r w:rsidR="00D21AA7">
        <w:rPr>
          <w:rFonts w:cs="Arial"/>
          <w:bCs/>
          <w:szCs w:val="22"/>
        </w:rPr>
        <w:t xml:space="preserve"> The appellant could sue for what he believed was due to him in a new action but the sufficiency of the account that was provided was not in issue.</w:t>
      </w:r>
    </w:p>
    <w:p w14:paraId="52149D5C" w14:textId="3EC09B50" w:rsidR="004D1A91"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28.8</w:t>
      </w:r>
      <w:r>
        <w:rPr>
          <w:rFonts w:cs="Arial"/>
          <w:bCs/>
          <w:szCs w:val="22"/>
        </w:rPr>
        <w:tab/>
      </w:r>
      <w:r w:rsidR="004D1A91">
        <w:rPr>
          <w:rFonts w:cs="Arial"/>
          <w:bCs/>
          <w:szCs w:val="22"/>
        </w:rPr>
        <w:t>The appellant appealed.</w:t>
      </w:r>
    </w:p>
    <w:p w14:paraId="5A58539E" w14:textId="6DDC7D52" w:rsidR="004D1A91"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lastRenderedPageBreak/>
        <w:t>28.9</w:t>
      </w:r>
      <w:r>
        <w:rPr>
          <w:rFonts w:cs="Arial"/>
          <w:bCs/>
          <w:szCs w:val="22"/>
        </w:rPr>
        <w:tab/>
      </w:r>
      <w:r w:rsidR="004D1A91">
        <w:rPr>
          <w:rFonts w:cs="Arial"/>
          <w:bCs/>
          <w:szCs w:val="22"/>
        </w:rPr>
        <w:t>Holmes JA stated</w:t>
      </w:r>
      <w:r w:rsidR="00D21AA7">
        <w:rPr>
          <w:rStyle w:val="FootnoteReference"/>
          <w:rFonts w:cs="Arial"/>
          <w:bCs/>
          <w:szCs w:val="22"/>
        </w:rPr>
        <w:footnoteReference w:id="38"/>
      </w:r>
      <w:r w:rsidR="004D1A91">
        <w:rPr>
          <w:rFonts w:cs="Arial"/>
          <w:bCs/>
          <w:szCs w:val="22"/>
        </w:rPr>
        <w:t xml:space="preserve"> as a general proposition that</w:t>
      </w:r>
      <w:r w:rsidR="00D21AA7">
        <w:rPr>
          <w:rFonts w:cs="Arial"/>
          <w:bCs/>
          <w:szCs w:val="22"/>
        </w:rPr>
        <w:t xml:space="preserve"> -</w:t>
      </w:r>
    </w:p>
    <w:p w14:paraId="799F803D" w14:textId="4FC2B88E" w:rsidR="00D21AA7" w:rsidRPr="003C27B3" w:rsidRDefault="00D21AA7" w:rsidP="00D21AA7">
      <w:pPr>
        <w:spacing w:before="120" w:after="120" w:line="360" w:lineRule="auto"/>
        <w:ind w:left="2160"/>
        <w:jc w:val="both"/>
        <w:rPr>
          <w:i/>
          <w:iCs/>
          <w:lang w:eastAsia="en-ZA"/>
        </w:rPr>
      </w:pPr>
      <w:r w:rsidRPr="00FE06D8">
        <w:rPr>
          <w:rFonts w:cs="Arial"/>
          <w:bCs/>
          <w:i/>
          <w:iCs/>
          <w:szCs w:val="22"/>
        </w:rPr>
        <w:t>“</w:t>
      </w:r>
      <w:r w:rsidRPr="00FE06D8">
        <w:rPr>
          <w:i/>
          <w:iCs/>
          <w:lang w:eastAsia="en-ZA"/>
        </w:rPr>
        <w:t>1</w:t>
      </w:r>
      <w:r w:rsidR="008B571D">
        <w:rPr>
          <w:i/>
          <w:iCs/>
          <w:lang w:eastAsia="en-ZA"/>
        </w:rPr>
        <w:t>.</w:t>
      </w:r>
      <w:r>
        <w:rPr>
          <w:i/>
          <w:iCs/>
          <w:lang w:eastAsia="en-ZA"/>
        </w:rPr>
        <w:t xml:space="preserve"> the plaintiff </w:t>
      </w:r>
      <w:r w:rsidRPr="008B571D">
        <w:rPr>
          <w:lang w:eastAsia="en-ZA"/>
        </w:rPr>
        <w:t xml:space="preserve">[seeking an accounting and debatement] </w:t>
      </w:r>
      <w:r w:rsidRPr="003C27B3">
        <w:rPr>
          <w:i/>
          <w:iCs/>
          <w:lang w:eastAsia="en-ZA"/>
        </w:rPr>
        <w:t>should aver -</w:t>
      </w:r>
    </w:p>
    <w:p w14:paraId="77079B4B" w14:textId="77777777" w:rsidR="00D21AA7" w:rsidRPr="003C27B3" w:rsidRDefault="00D21AA7" w:rsidP="00D21AA7">
      <w:pPr>
        <w:spacing w:before="120" w:after="120" w:line="360" w:lineRule="auto"/>
        <w:ind w:left="2880"/>
        <w:jc w:val="both"/>
        <w:rPr>
          <w:i/>
          <w:iCs/>
          <w:lang w:eastAsia="en-ZA"/>
        </w:rPr>
      </w:pPr>
      <w:r w:rsidRPr="00FE06D8">
        <w:rPr>
          <w:i/>
          <w:iCs/>
          <w:lang w:eastAsia="en-ZA"/>
        </w:rPr>
        <w:t xml:space="preserve">(a) </w:t>
      </w:r>
      <w:r w:rsidRPr="003C27B3">
        <w:rPr>
          <w:i/>
          <w:iCs/>
          <w:lang w:eastAsia="en-ZA"/>
        </w:rPr>
        <w:t>his right to receive an account, and the basis of such right, whether by contract or by fiduciary relationship or otherwise;</w:t>
      </w:r>
    </w:p>
    <w:p w14:paraId="79DD8541" w14:textId="77777777" w:rsidR="00D21AA7" w:rsidRPr="003C27B3" w:rsidRDefault="00D21AA7" w:rsidP="00D21AA7">
      <w:pPr>
        <w:spacing w:before="120" w:after="120" w:line="360" w:lineRule="auto"/>
        <w:ind w:left="2880"/>
        <w:jc w:val="both"/>
        <w:rPr>
          <w:i/>
          <w:iCs/>
          <w:lang w:eastAsia="en-ZA"/>
        </w:rPr>
      </w:pPr>
      <w:r w:rsidRPr="003C27B3">
        <w:rPr>
          <w:i/>
          <w:iCs/>
          <w:lang w:eastAsia="en-ZA"/>
        </w:rPr>
        <w:t>(b)</w:t>
      </w:r>
      <w:r w:rsidRPr="00FE06D8">
        <w:rPr>
          <w:i/>
          <w:iCs/>
          <w:lang w:eastAsia="en-ZA"/>
        </w:rPr>
        <w:t xml:space="preserve"> </w:t>
      </w:r>
      <w:r w:rsidRPr="003C27B3">
        <w:rPr>
          <w:i/>
          <w:iCs/>
          <w:lang w:eastAsia="en-ZA"/>
        </w:rPr>
        <w:t>any contractual terms or circumstances having a bearing on the account sought;</w:t>
      </w:r>
    </w:p>
    <w:p w14:paraId="424DF5F1" w14:textId="77777777" w:rsidR="00D21AA7" w:rsidRPr="003C27B3" w:rsidRDefault="00D21AA7" w:rsidP="00D21AA7">
      <w:pPr>
        <w:spacing w:before="120" w:after="120" w:line="360" w:lineRule="auto"/>
        <w:ind w:left="2880"/>
        <w:jc w:val="both"/>
        <w:rPr>
          <w:i/>
          <w:iCs/>
          <w:lang w:eastAsia="en-ZA"/>
        </w:rPr>
      </w:pPr>
      <w:r w:rsidRPr="003C27B3">
        <w:rPr>
          <w:i/>
          <w:iCs/>
          <w:lang w:eastAsia="en-ZA"/>
        </w:rPr>
        <w:t>(c)</w:t>
      </w:r>
      <w:r w:rsidRPr="00FE06D8">
        <w:rPr>
          <w:i/>
          <w:iCs/>
          <w:lang w:eastAsia="en-ZA"/>
        </w:rPr>
        <w:t xml:space="preserve"> </w:t>
      </w:r>
      <w:r w:rsidRPr="003C27B3">
        <w:rPr>
          <w:i/>
          <w:iCs/>
          <w:lang w:eastAsia="en-ZA"/>
        </w:rPr>
        <w:t>the defendant's failure to render an account.</w:t>
      </w:r>
    </w:p>
    <w:p w14:paraId="43E0E49C" w14:textId="77777777" w:rsidR="00D21AA7" w:rsidRPr="003C27B3" w:rsidRDefault="00D21AA7" w:rsidP="00D21AA7">
      <w:pPr>
        <w:spacing w:before="120" w:after="120" w:line="360" w:lineRule="auto"/>
        <w:ind w:left="2160"/>
        <w:jc w:val="both"/>
        <w:rPr>
          <w:i/>
          <w:iCs/>
          <w:lang w:eastAsia="en-ZA"/>
        </w:rPr>
      </w:pPr>
      <w:r w:rsidRPr="003C27B3">
        <w:rPr>
          <w:i/>
          <w:iCs/>
          <w:lang w:eastAsia="en-ZA"/>
        </w:rPr>
        <w:t>2.</w:t>
      </w:r>
      <w:r w:rsidRPr="00FE06D8">
        <w:rPr>
          <w:i/>
          <w:iCs/>
          <w:lang w:eastAsia="en-ZA"/>
        </w:rPr>
        <w:t xml:space="preserve"> </w:t>
      </w:r>
      <w:r w:rsidRPr="003C27B3">
        <w:rPr>
          <w:i/>
          <w:iCs/>
          <w:lang w:eastAsia="en-ZA"/>
        </w:rPr>
        <w:t>On proof of the foregoing, ordinarily the Court would in the first instance order only the rendering of an account within a specified time. The degree or amplitude of the account to be rendered would depend on the circumstances of each case</w:t>
      </w:r>
      <w:r w:rsidRPr="00FE06D8">
        <w:rPr>
          <w:i/>
          <w:iCs/>
          <w:lang w:eastAsia="en-ZA"/>
        </w:rPr>
        <w:t>….</w:t>
      </w:r>
    </w:p>
    <w:p w14:paraId="25AF0825" w14:textId="77777777" w:rsidR="00D21AA7" w:rsidRPr="003C27B3" w:rsidRDefault="00D21AA7" w:rsidP="00D21AA7">
      <w:pPr>
        <w:spacing w:before="120" w:after="120" w:line="360" w:lineRule="auto"/>
        <w:ind w:left="2160"/>
        <w:jc w:val="both"/>
        <w:rPr>
          <w:i/>
          <w:iCs/>
          <w:lang w:eastAsia="en-ZA"/>
        </w:rPr>
      </w:pPr>
      <w:r w:rsidRPr="003C27B3">
        <w:rPr>
          <w:i/>
          <w:iCs/>
          <w:lang w:eastAsia="en-ZA"/>
        </w:rPr>
        <w:t>3.</w:t>
      </w:r>
      <w:r w:rsidRPr="00FE06D8">
        <w:rPr>
          <w:i/>
          <w:iCs/>
          <w:lang w:eastAsia="en-ZA"/>
        </w:rPr>
        <w:t xml:space="preserve"> </w:t>
      </w:r>
      <w:r w:rsidRPr="003C27B3">
        <w:rPr>
          <w:i/>
          <w:iCs/>
          <w:lang w:eastAsia="en-ZA"/>
        </w:rPr>
        <w:t>The Court might find it convenient to prescribe the time and</w:t>
      </w:r>
      <w:r w:rsidRPr="00FE06D8">
        <w:rPr>
          <w:i/>
          <w:iCs/>
          <w:lang w:eastAsia="en-ZA"/>
        </w:rPr>
        <w:t xml:space="preserve"> </w:t>
      </w:r>
      <w:r w:rsidRPr="003C27B3">
        <w:rPr>
          <w:i/>
          <w:iCs/>
          <w:lang w:eastAsia="en-ZA"/>
        </w:rPr>
        <w:t>procedure of the debate, with leave to the parties to approach if for further directions if need be</w:t>
      </w:r>
      <w:r w:rsidRPr="00FE06D8">
        <w:rPr>
          <w:i/>
          <w:iCs/>
          <w:lang w:eastAsia="en-ZA"/>
        </w:rPr>
        <w:t>….</w:t>
      </w:r>
      <w:r w:rsidRPr="003C27B3">
        <w:rPr>
          <w:i/>
          <w:iCs/>
          <w:lang w:eastAsia="en-ZA"/>
        </w:rPr>
        <w:t>.</w:t>
      </w:r>
    </w:p>
    <w:p w14:paraId="46D83441" w14:textId="77777777" w:rsidR="00D21AA7" w:rsidRPr="003C27B3" w:rsidRDefault="00D21AA7" w:rsidP="00D21AA7">
      <w:pPr>
        <w:spacing w:before="120" w:after="120" w:line="360" w:lineRule="auto"/>
        <w:ind w:left="2160"/>
        <w:jc w:val="both"/>
        <w:rPr>
          <w:i/>
          <w:iCs/>
          <w:lang w:eastAsia="en-ZA"/>
        </w:rPr>
      </w:pPr>
      <w:r w:rsidRPr="003C27B3">
        <w:rPr>
          <w:i/>
          <w:iCs/>
          <w:lang w:eastAsia="en-ZA"/>
        </w:rPr>
        <w:t>4.</w:t>
      </w:r>
      <w:r w:rsidRPr="00FE06D8">
        <w:rPr>
          <w:i/>
          <w:iCs/>
          <w:lang w:eastAsia="en-ZA"/>
        </w:rPr>
        <w:t xml:space="preserve"> </w:t>
      </w:r>
      <w:r w:rsidRPr="003C27B3">
        <w:rPr>
          <w:i/>
          <w:iCs/>
          <w:lang w:eastAsia="en-ZA"/>
        </w:rPr>
        <w:t>The Court may, with the consent of both parties, refer the debate to a referee</w:t>
      </w:r>
      <w:r w:rsidRPr="00FE06D8">
        <w:rPr>
          <w:i/>
          <w:iCs/>
          <w:lang w:eastAsia="en-ZA"/>
        </w:rPr>
        <w:t xml:space="preserve"> …</w:t>
      </w:r>
    </w:p>
    <w:p w14:paraId="6F598005" w14:textId="77777777" w:rsidR="00D21AA7" w:rsidRPr="003C27B3" w:rsidRDefault="00D21AA7" w:rsidP="00D21AA7">
      <w:pPr>
        <w:spacing w:before="120" w:after="120" w:line="360" w:lineRule="auto"/>
        <w:ind w:left="2160"/>
        <w:jc w:val="both"/>
        <w:rPr>
          <w:i/>
          <w:iCs/>
          <w:lang w:eastAsia="en-ZA"/>
        </w:rPr>
      </w:pPr>
      <w:r w:rsidRPr="003C27B3">
        <w:rPr>
          <w:i/>
          <w:iCs/>
          <w:lang w:eastAsia="en-ZA"/>
        </w:rPr>
        <w:t>5.</w:t>
      </w:r>
      <w:r w:rsidRPr="00FE06D8">
        <w:rPr>
          <w:i/>
          <w:iCs/>
          <w:lang w:eastAsia="en-ZA"/>
        </w:rPr>
        <w:t xml:space="preserve"> </w:t>
      </w:r>
      <w:r w:rsidRPr="003C27B3">
        <w:rPr>
          <w:i/>
          <w:iCs/>
          <w:lang w:eastAsia="en-ZA"/>
        </w:rPr>
        <w:t>If it appears from the pleadings that the plaintiff has already received an account which he avers is insufficient, the Court may enquire into and determine the issue of sufficiency, in order to decide whether to order the rendering of a proper account.</w:t>
      </w:r>
    </w:p>
    <w:p w14:paraId="57913AEC" w14:textId="77777777" w:rsidR="00D21AA7" w:rsidRPr="003C27B3" w:rsidRDefault="00D21AA7" w:rsidP="00D21AA7">
      <w:pPr>
        <w:spacing w:before="120" w:after="120" w:line="360" w:lineRule="auto"/>
        <w:ind w:left="2160"/>
        <w:jc w:val="both"/>
        <w:rPr>
          <w:i/>
          <w:iCs/>
          <w:lang w:eastAsia="en-ZA"/>
        </w:rPr>
      </w:pPr>
      <w:r w:rsidRPr="003C27B3">
        <w:rPr>
          <w:i/>
          <w:iCs/>
          <w:lang w:eastAsia="en-ZA"/>
        </w:rPr>
        <w:t>6.</w:t>
      </w:r>
      <w:r w:rsidRPr="00FE06D8">
        <w:rPr>
          <w:i/>
          <w:iCs/>
          <w:lang w:eastAsia="en-ZA"/>
        </w:rPr>
        <w:t xml:space="preserve"> </w:t>
      </w:r>
      <w:r w:rsidRPr="003C27B3">
        <w:rPr>
          <w:i/>
          <w:iCs/>
          <w:lang w:eastAsia="en-ZA"/>
        </w:rPr>
        <w:t>Where the issue of sufficiency and the element of debate appear to be correlated, the Court might, in an appropriate case, find it convenient to undertake both enquiries at one hearing, and to order payment of the amount due (if any).</w:t>
      </w:r>
    </w:p>
    <w:p w14:paraId="798E5A5B" w14:textId="77777777" w:rsidR="00D21AA7" w:rsidRPr="00FE06D8" w:rsidRDefault="00D21AA7" w:rsidP="00D21AA7">
      <w:pPr>
        <w:widowControl w:val="0"/>
        <w:spacing w:before="120" w:after="120" w:line="360" w:lineRule="auto"/>
        <w:ind w:left="2160"/>
        <w:jc w:val="both"/>
        <w:rPr>
          <w:rFonts w:cs="Arial"/>
          <w:bCs/>
          <w:i/>
          <w:iCs/>
          <w:szCs w:val="22"/>
        </w:rPr>
      </w:pPr>
      <w:r w:rsidRPr="003C27B3">
        <w:rPr>
          <w:i/>
          <w:iCs/>
          <w:lang w:eastAsia="en-ZA"/>
        </w:rPr>
        <w:t>7.</w:t>
      </w:r>
      <w:r w:rsidRPr="00FE06D8">
        <w:rPr>
          <w:i/>
          <w:iCs/>
          <w:lang w:eastAsia="en-ZA"/>
        </w:rPr>
        <w:t xml:space="preserve"> </w:t>
      </w:r>
      <w:r w:rsidRPr="003C27B3">
        <w:rPr>
          <w:i/>
          <w:iCs/>
          <w:lang w:eastAsia="en-ZA"/>
        </w:rPr>
        <w:t>In general the Court should not be bound to a rigid procedure, but should enjoy such measure of flexibility as practical justice may require.</w:t>
      </w:r>
      <w:r w:rsidRPr="00FE06D8">
        <w:rPr>
          <w:i/>
          <w:iCs/>
          <w:lang w:eastAsia="en-ZA"/>
        </w:rPr>
        <w:t>”</w:t>
      </w:r>
      <w:r w:rsidRPr="00FE06D8">
        <w:rPr>
          <w:rFonts w:cs="Arial"/>
          <w:bCs/>
          <w:i/>
          <w:iCs/>
          <w:szCs w:val="22"/>
        </w:rPr>
        <w:t>”</w:t>
      </w:r>
    </w:p>
    <w:p w14:paraId="0A0C7923" w14:textId="75EBB06F" w:rsidR="00D21AA7"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lastRenderedPageBreak/>
        <w:t>28.10</w:t>
      </w:r>
      <w:r>
        <w:rPr>
          <w:rFonts w:cs="Arial"/>
          <w:bCs/>
          <w:szCs w:val="22"/>
        </w:rPr>
        <w:tab/>
      </w:r>
      <w:r w:rsidR="00D21AA7">
        <w:rPr>
          <w:rFonts w:cs="Arial"/>
          <w:bCs/>
          <w:szCs w:val="22"/>
        </w:rPr>
        <w:t>He analysed the pleadings and said</w:t>
      </w:r>
      <w:r w:rsidR="00D21AA7">
        <w:rPr>
          <w:rStyle w:val="FootnoteReference"/>
          <w:rFonts w:cs="Arial"/>
          <w:bCs/>
          <w:szCs w:val="22"/>
        </w:rPr>
        <w:footnoteReference w:id="39"/>
      </w:r>
      <w:r w:rsidR="001A2608">
        <w:rPr>
          <w:rFonts w:cs="Arial"/>
          <w:bCs/>
          <w:szCs w:val="22"/>
        </w:rPr>
        <w:t xml:space="preserve"> that the plaintiff was entitled to adjudication on the question whether there was a partnership relationship, the terms of partnership agreement, and whether the balance sheet provided was adequate.</w:t>
      </w:r>
    </w:p>
    <w:p w14:paraId="3E670FF5" w14:textId="277CB2FF" w:rsidR="004D1A91" w:rsidRDefault="00CE6537" w:rsidP="00CE6537">
      <w:pPr>
        <w:widowControl w:val="0"/>
        <w:tabs>
          <w:tab w:val="left" w:pos="1418"/>
        </w:tabs>
        <w:spacing w:before="480" w:after="480" w:line="360" w:lineRule="auto"/>
        <w:ind w:left="1418" w:hanging="851"/>
        <w:jc w:val="both"/>
        <w:rPr>
          <w:rFonts w:cs="Arial"/>
          <w:bCs/>
          <w:szCs w:val="22"/>
        </w:rPr>
      </w:pPr>
      <w:r>
        <w:rPr>
          <w:rFonts w:cs="Arial"/>
          <w:bCs/>
          <w:szCs w:val="22"/>
        </w:rPr>
        <w:t>28.11</w:t>
      </w:r>
      <w:r>
        <w:rPr>
          <w:rFonts w:cs="Arial"/>
          <w:bCs/>
          <w:szCs w:val="22"/>
        </w:rPr>
        <w:tab/>
      </w:r>
      <w:r w:rsidR="001A2608">
        <w:rPr>
          <w:rFonts w:cs="Arial"/>
          <w:bCs/>
          <w:szCs w:val="22"/>
        </w:rPr>
        <w:t xml:space="preserve">The Appeal Court upheld the appeal and remitted the matter to the Court </w:t>
      </w:r>
      <w:r w:rsidR="001A2608" w:rsidRPr="008B571D">
        <w:rPr>
          <w:rFonts w:cs="Arial"/>
          <w:bCs/>
          <w:i/>
          <w:iCs/>
          <w:szCs w:val="22"/>
        </w:rPr>
        <w:t>a quo</w:t>
      </w:r>
      <w:r w:rsidR="001A2608">
        <w:rPr>
          <w:rFonts w:cs="Arial"/>
          <w:bCs/>
          <w:szCs w:val="22"/>
        </w:rPr>
        <w:t>.</w:t>
      </w:r>
    </w:p>
    <w:p w14:paraId="194AF253" w14:textId="5A91D3F1" w:rsidR="00263A96" w:rsidRDefault="00CE6537" w:rsidP="00CE6537">
      <w:pPr>
        <w:widowControl w:val="0"/>
        <w:tabs>
          <w:tab w:val="left" w:pos="567"/>
        </w:tabs>
        <w:spacing w:before="480" w:after="480" w:line="360" w:lineRule="auto"/>
        <w:jc w:val="both"/>
        <w:rPr>
          <w:rFonts w:cs="Arial"/>
          <w:bCs/>
          <w:szCs w:val="22"/>
        </w:rPr>
      </w:pPr>
      <w:r>
        <w:rPr>
          <w:rFonts w:cs="Arial"/>
          <w:bCs/>
          <w:szCs w:val="22"/>
        </w:rPr>
        <w:t>[29]</w:t>
      </w:r>
      <w:r>
        <w:rPr>
          <w:rFonts w:cs="Arial"/>
          <w:bCs/>
          <w:szCs w:val="22"/>
        </w:rPr>
        <w:tab/>
      </w:r>
      <w:r w:rsidR="001A2608">
        <w:rPr>
          <w:rFonts w:cs="Arial"/>
          <w:bCs/>
          <w:szCs w:val="22"/>
        </w:rPr>
        <w:t xml:space="preserve">The judgment is not authority for the </w:t>
      </w:r>
      <w:r w:rsidR="00292E3E">
        <w:rPr>
          <w:rFonts w:cs="Arial"/>
          <w:bCs/>
          <w:szCs w:val="22"/>
        </w:rPr>
        <w:t xml:space="preserve">general </w:t>
      </w:r>
      <w:r w:rsidR="001A2608">
        <w:rPr>
          <w:rFonts w:cs="Arial"/>
          <w:bCs/>
          <w:szCs w:val="22"/>
        </w:rPr>
        <w:t xml:space="preserve">proposition that the existence of a duty to account </w:t>
      </w:r>
      <w:r w:rsidR="00292E3E">
        <w:rPr>
          <w:rFonts w:cs="Arial"/>
          <w:bCs/>
          <w:szCs w:val="22"/>
        </w:rPr>
        <w:t>is dependent on a prior determination of liability.</w:t>
      </w:r>
      <w:r w:rsidR="009E21DE">
        <w:rPr>
          <w:rStyle w:val="FootnoteReference"/>
          <w:rFonts w:cs="Arial"/>
          <w:bCs/>
          <w:szCs w:val="22"/>
        </w:rPr>
        <w:footnoteReference w:id="40"/>
      </w:r>
      <w:r w:rsidR="00005CDD">
        <w:rPr>
          <w:rFonts w:cs="Arial"/>
          <w:bCs/>
          <w:szCs w:val="22"/>
        </w:rPr>
        <w:t xml:space="preserve"> In each case of course the specific contract must be proved and must be interpreted to identify rights and obligations. The interpretation of the contract relates to outcome and not the conduct of proceedings</w:t>
      </w:r>
      <w:r w:rsidR="003D1A1C">
        <w:rPr>
          <w:rFonts w:cs="Arial"/>
          <w:bCs/>
          <w:szCs w:val="22"/>
        </w:rPr>
        <w:t>.</w:t>
      </w:r>
    </w:p>
    <w:p w14:paraId="633C44FD" w14:textId="77777777" w:rsidR="006E0B4D" w:rsidRDefault="006E0B4D" w:rsidP="00B9165A">
      <w:pPr>
        <w:keepNext/>
        <w:widowControl w:val="0"/>
        <w:spacing w:before="480" w:after="480" w:line="360" w:lineRule="auto"/>
        <w:jc w:val="both"/>
        <w:rPr>
          <w:rFonts w:cs="Arial"/>
          <w:bCs/>
          <w:szCs w:val="22"/>
          <w:u w:val="single"/>
        </w:rPr>
      </w:pPr>
    </w:p>
    <w:p w14:paraId="06AAE163" w14:textId="3B0C5597" w:rsidR="00F80C1E" w:rsidRPr="00563355" w:rsidRDefault="00B81526" w:rsidP="00B9165A">
      <w:pPr>
        <w:keepNext/>
        <w:widowControl w:val="0"/>
        <w:spacing w:before="480" w:after="480" w:line="360" w:lineRule="auto"/>
        <w:jc w:val="both"/>
        <w:rPr>
          <w:rFonts w:cs="Arial"/>
          <w:bCs/>
          <w:szCs w:val="22"/>
          <w:u w:val="single"/>
        </w:rPr>
      </w:pPr>
      <w:r w:rsidRPr="00563355">
        <w:rPr>
          <w:rFonts w:cs="Arial"/>
          <w:bCs/>
          <w:szCs w:val="22"/>
          <w:u w:val="single"/>
        </w:rPr>
        <w:t>Analysis of the award</w:t>
      </w:r>
      <w:r w:rsidR="00375E93">
        <w:rPr>
          <w:rFonts w:cs="Arial"/>
          <w:bCs/>
          <w:szCs w:val="22"/>
          <w:u w:val="single"/>
        </w:rPr>
        <w:t xml:space="preserve"> dated 2 December 2023</w:t>
      </w:r>
    </w:p>
    <w:p w14:paraId="192818CC" w14:textId="13EF335B" w:rsidR="00B9165A" w:rsidRDefault="00CE6537" w:rsidP="00CE6537">
      <w:pPr>
        <w:keepNext/>
        <w:widowControl w:val="0"/>
        <w:tabs>
          <w:tab w:val="left" w:pos="567"/>
        </w:tabs>
        <w:spacing w:before="480" w:after="480" w:line="360" w:lineRule="auto"/>
        <w:jc w:val="both"/>
        <w:rPr>
          <w:rFonts w:cs="Arial"/>
          <w:bCs/>
          <w:szCs w:val="22"/>
        </w:rPr>
      </w:pPr>
      <w:r>
        <w:rPr>
          <w:rFonts w:cs="Arial"/>
          <w:bCs/>
          <w:szCs w:val="22"/>
        </w:rPr>
        <w:t>[30]</w:t>
      </w:r>
      <w:r>
        <w:rPr>
          <w:rFonts w:cs="Arial"/>
          <w:bCs/>
          <w:szCs w:val="22"/>
        </w:rPr>
        <w:tab/>
      </w:r>
      <w:r w:rsidR="00B81526">
        <w:rPr>
          <w:rFonts w:cs="Arial"/>
          <w:bCs/>
          <w:szCs w:val="22"/>
        </w:rPr>
        <w:t>In paragraph 4 of the award</w:t>
      </w:r>
      <w:r w:rsidR="00375E93">
        <w:rPr>
          <w:rStyle w:val="FootnoteReference"/>
          <w:rFonts w:cs="Arial"/>
          <w:bCs/>
          <w:szCs w:val="22"/>
        </w:rPr>
        <w:footnoteReference w:id="41"/>
      </w:r>
      <w:r w:rsidR="00B81526">
        <w:rPr>
          <w:rFonts w:cs="Arial"/>
          <w:bCs/>
          <w:szCs w:val="22"/>
        </w:rPr>
        <w:t xml:space="preserve"> the arbitrator </w:t>
      </w:r>
      <w:r w:rsidR="0036253D">
        <w:rPr>
          <w:rFonts w:cs="Arial"/>
          <w:bCs/>
          <w:szCs w:val="22"/>
        </w:rPr>
        <w:t>postulates</w:t>
      </w:r>
      <w:r w:rsidR="00B81526">
        <w:rPr>
          <w:rFonts w:cs="Arial"/>
          <w:bCs/>
          <w:szCs w:val="22"/>
        </w:rPr>
        <w:t xml:space="preserve"> that it may be possible to determine</w:t>
      </w:r>
      <w:r w:rsidR="00563355">
        <w:rPr>
          <w:rFonts w:cs="Arial"/>
          <w:bCs/>
          <w:szCs w:val="22"/>
        </w:rPr>
        <w:t xml:space="preserve"> on the pleadings and the documents</w:t>
      </w:r>
      <w:r w:rsidR="00096A67">
        <w:rPr>
          <w:rFonts w:cs="Arial"/>
          <w:bCs/>
          <w:szCs w:val="22"/>
        </w:rPr>
        <w:t xml:space="preserve"> attached to the pleadings whether Aeonova is entitled to an account and what form the account must take. </w:t>
      </w:r>
    </w:p>
    <w:p w14:paraId="4467E477" w14:textId="20EBDFA3" w:rsidR="00B81526" w:rsidRDefault="00CE6537" w:rsidP="00CE6537">
      <w:pPr>
        <w:keepNext/>
        <w:widowControl w:val="0"/>
        <w:tabs>
          <w:tab w:val="left" w:pos="567"/>
        </w:tabs>
        <w:spacing w:before="480" w:after="480" w:line="360" w:lineRule="auto"/>
        <w:jc w:val="both"/>
        <w:rPr>
          <w:rFonts w:cs="Arial"/>
          <w:bCs/>
          <w:szCs w:val="22"/>
        </w:rPr>
      </w:pPr>
      <w:r>
        <w:rPr>
          <w:rFonts w:cs="Arial"/>
          <w:bCs/>
          <w:szCs w:val="22"/>
        </w:rPr>
        <w:t>[31]</w:t>
      </w:r>
      <w:r>
        <w:rPr>
          <w:rFonts w:cs="Arial"/>
          <w:bCs/>
          <w:szCs w:val="22"/>
        </w:rPr>
        <w:tab/>
      </w:r>
      <w:r w:rsidR="00096A67">
        <w:rPr>
          <w:rFonts w:cs="Arial"/>
          <w:bCs/>
          <w:szCs w:val="22"/>
        </w:rPr>
        <w:t xml:space="preserve">In paragraph 7 he analyses </w:t>
      </w:r>
      <w:r w:rsidR="00096A67" w:rsidRPr="00096A67">
        <w:rPr>
          <w:rFonts w:cs="Arial"/>
          <w:bCs/>
          <w:i/>
          <w:iCs/>
          <w:szCs w:val="22"/>
        </w:rPr>
        <w:t>Doyle v Fleet Motors</w:t>
      </w:r>
      <w:r w:rsidR="00096A67">
        <w:rPr>
          <w:rFonts w:cs="Arial"/>
          <w:bCs/>
          <w:szCs w:val="22"/>
        </w:rPr>
        <w:t>, the leading case relied on by both parties</w:t>
      </w:r>
      <w:r w:rsidR="00E45160">
        <w:rPr>
          <w:rFonts w:cs="Arial"/>
          <w:bCs/>
          <w:szCs w:val="22"/>
        </w:rPr>
        <w:t xml:space="preserve"> and referred to above</w:t>
      </w:r>
      <w:r w:rsidR="00096A67">
        <w:rPr>
          <w:rFonts w:cs="Arial"/>
          <w:bCs/>
          <w:szCs w:val="22"/>
        </w:rPr>
        <w:t xml:space="preserve">. The right to receive an account must be distinguished from questions of the adequacy of </w:t>
      </w:r>
      <w:r w:rsidR="00BA61FA">
        <w:rPr>
          <w:rFonts w:cs="Arial"/>
          <w:bCs/>
          <w:szCs w:val="22"/>
        </w:rPr>
        <w:t>the</w:t>
      </w:r>
      <w:r w:rsidR="00096A67">
        <w:rPr>
          <w:rFonts w:cs="Arial"/>
          <w:bCs/>
          <w:szCs w:val="22"/>
        </w:rPr>
        <w:t xml:space="preserve"> account</w:t>
      </w:r>
      <w:r w:rsidR="00096A67">
        <w:rPr>
          <w:rStyle w:val="FootnoteReference"/>
          <w:rFonts w:cs="Arial"/>
          <w:bCs/>
          <w:szCs w:val="22"/>
        </w:rPr>
        <w:footnoteReference w:id="42"/>
      </w:r>
      <w:r w:rsidR="00EF0CBA">
        <w:rPr>
          <w:rFonts w:cs="Arial"/>
          <w:bCs/>
          <w:szCs w:val="22"/>
        </w:rPr>
        <w:t xml:space="preserve"> and the accuracy</w:t>
      </w:r>
      <w:r w:rsidR="00EF0CBA">
        <w:rPr>
          <w:rStyle w:val="FootnoteReference"/>
          <w:rFonts w:cs="Arial"/>
          <w:bCs/>
          <w:szCs w:val="22"/>
        </w:rPr>
        <w:footnoteReference w:id="43"/>
      </w:r>
      <w:r w:rsidR="00EF0CBA">
        <w:rPr>
          <w:rFonts w:cs="Arial"/>
          <w:bCs/>
          <w:szCs w:val="22"/>
        </w:rPr>
        <w:t xml:space="preserve"> of the account. These questions can often be decided in stages, depending on the circumstances.</w:t>
      </w:r>
      <w:r w:rsidR="00BA61FA">
        <w:rPr>
          <w:rFonts w:cs="Arial"/>
          <w:bCs/>
          <w:szCs w:val="22"/>
        </w:rPr>
        <w:t xml:space="preserve"> The remedy of debatement arises when the account is not accurate, and it arises not from the duty to account but rather from the failure to ensure its accuracy.</w:t>
      </w:r>
    </w:p>
    <w:p w14:paraId="6E950111" w14:textId="3CF51322" w:rsidR="00BA61FA" w:rsidRDefault="00CE6537" w:rsidP="00CE6537">
      <w:pPr>
        <w:widowControl w:val="0"/>
        <w:tabs>
          <w:tab w:val="left" w:pos="567"/>
        </w:tabs>
        <w:spacing w:before="480" w:after="480" w:line="360" w:lineRule="auto"/>
        <w:jc w:val="both"/>
        <w:rPr>
          <w:rFonts w:cs="Arial"/>
          <w:bCs/>
          <w:szCs w:val="22"/>
        </w:rPr>
      </w:pPr>
      <w:r>
        <w:rPr>
          <w:rFonts w:cs="Arial"/>
          <w:bCs/>
          <w:szCs w:val="22"/>
        </w:rPr>
        <w:t>[32]</w:t>
      </w:r>
      <w:r>
        <w:rPr>
          <w:rFonts w:cs="Arial"/>
          <w:bCs/>
          <w:szCs w:val="22"/>
        </w:rPr>
        <w:tab/>
      </w:r>
      <w:r w:rsidR="00BA61FA">
        <w:rPr>
          <w:rFonts w:cs="Arial"/>
          <w:bCs/>
          <w:szCs w:val="22"/>
        </w:rPr>
        <w:t xml:space="preserve">The duty of account is a substantive legal duty and is fulfilled when the party obliged </w:t>
      </w:r>
      <w:r w:rsidR="00BA61FA">
        <w:rPr>
          <w:rFonts w:cs="Arial"/>
          <w:bCs/>
          <w:szCs w:val="22"/>
        </w:rPr>
        <w:lastRenderedPageBreak/>
        <w:t>to account explains his actions and justif</w:t>
      </w:r>
      <w:r w:rsidR="00B9165A">
        <w:rPr>
          <w:rFonts w:cs="Arial"/>
          <w:bCs/>
          <w:szCs w:val="22"/>
        </w:rPr>
        <w:t>ies</w:t>
      </w:r>
      <w:r w:rsidR="00BA61FA">
        <w:rPr>
          <w:rFonts w:cs="Arial"/>
          <w:bCs/>
          <w:szCs w:val="22"/>
        </w:rPr>
        <w:t xml:space="preserve"> his conduct.</w:t>
      </w:r>
      <w:r w:rsidR="00BA61FA">
        <w:rPr>
          <w:rStyle w:val="FootnoteReference"/>
          <w:rFonts w:cs="Arial"/>
          <w:bCs/>
          <w:szCs w:val="22"/>
        </w:rPr>
        <w:footnoteReference w:id="44"/>
      </w:r>
    </w:p>
    <w:p w14:paraId="10395039" w14:textId="619219CF" w:rsidR="00F51C0B" w:rsidRDefault="00CE6537" w:rsidP="00CE6537">
      <w:pPr>
        <w:widowControl w:val="0"/>
        <w:tabs>
          <w:tab w:val="left" w:pos="567"/>
        </w:tabs>
        <w:spacing w:before="480" w:after="480" w:line="360" w:lineRule="auto"/>
        <w:jc w:val="both"/>
        <w:rPr>
          <w:rFonts w:cs="Arial"/>
          <w:bCs/>
          <w:szCs w:val="22"/>
        </w:rPr>
      </w:pPr>
      <w:r>
        <w:rPr>
          <w:rFonts w:cs="Arial"/>
          <w:bCs/>
          <w:szCs w:val="22"/>
        </w:rPr>
        <w:t>[33]</w:t>
      </w:r>
      <w:r>
        <w:rPr>
          <w:rFonts w:cs="Arial"/>
          <w:bCs/>
          <w:szCs w:val="22"/>
        </w:rPr>
        <w:tab/>
      </w:r>
      <w:r w:rsidR="003E54E1">
        <w:rPr>
          <w:rFonts w:cs="Arial"/>
          <w:bCs/>
          <w:szCs w:val="22"/>
        </w:rPr>
        <w:t>The arbitrator stressed in paragraph 13 that the obligation to account in clauses 2.3 and 2.9 of the addendum are not conditional. He also stated that the limitation of liability clause can only become relevant at the quantum stage and is not an obstacle to the duty to account. He</w:t>
      </w:r>
      <w:r w:rsidR="004E1349">
        <w:rPr>
          <w:rFonts w:cs="Arial"/>
          <w:bCs/>
          <w:szCs w:val="22"/>
        </w:rPr>
        <w:t xml:space="preserve"> rejected the argument advanced on behalf of Altech that the rendering of an account is dependent upon prior determination of the liability of the party who is required to render an account. </w:t>
      </w:r>
      <w:r w:rsidR="00F51C0B">
        <w:rPr>
          <w:rFonts w:cs="Arial"/>
          <w:bCs/>
          <w:szCs w:val="22"/>
        </w:rPr>
        <w:t xml:space="preserve">He was not referred to any authority in support of the proposition and he did not interpret </w:t>
      </w:r>
      <w:r w:rsidR="00F51C0B" w:rsidRPr="00F51C0B">
        <w:rPr>
          <w:rFonts w:cs="Arial"/>
          <w:bCs/>
          <w:i/>
          <w:iCs/>
          <w:szCs w:val="22"/>
        </w:rPr>
        <w:t xml:space="preserve">Doyle v Fleet Street </w:t>
      </w:r>
      <w:r w:rsidR="00F51C0B">
        <w:rPr>
          <w:rFonts w:cs="Arial"/>
          <w:bCs/>
          <w:szCs w:val="22"/>
        </w:rPr>
        <w:t>to say that it did.</w:t>
      </w:r>
    </w:p>
    <w:p w14:paraId="3790C35E" w14:textId="20907981" w:rsidR="00F80C1E" w:rsidRDefault="00CE6537" w:rsidP="00CE6537">
      <w:pPr>
        <w:widowControl w:val="0"/>
        <w:tabs>
          <w:tab w:val="left" w:pos="567"/>
        </w:tabs>
        <w:spacing w:before="480" w:after="480" w:line="360" w:lineRule="auto"/>
        <w:jc w:val="both"/>
        <w:rPr>
          <w:rFonts w:cs="Arial"/>
          <w:bCs/>
          <w:szCs w:val="22"/>
        </w:rPr>
      </w:pPr>
      <w:r>
        <w:rPr>
          <w:rFonts w:cs="Arial"/>
          <w:bCs/>
          <w:szCs w:val="22"/>
        </w:rPr>
        <w:t>[34]</w:t>
      </w:r>
      <w:r>
        <w:rPr>
          <w:rFonts w:cs="Arial"/>
          <w:bCs/>
          <w:szCs w:val="22"/>
        </w:rPr>
        <w:tab/>
      </w:r>
      <w:r w:rsidR="004E1349">
        <w:rPr>
          <w:rFonts w:cs="Arial"/>
          <w:bCs/>
          <w:szCs w:val="22"/>
        </w:rPr>
        <w:t xml:space="preserve">It is this argument that underlies Altech’s position that while it does not contest the obligation to account </w:t>
      </w:r>
      <w:r w:rsidR="004E1349" w:rsidRPr="00B9165A">
        <w:rPr>
          <w:rFonts w:cs="Arial"/>
          <w:bCs/>
          <w:i/>
          <w:iCs/>
          <w:szCs w:val="22"/>
        </w:rPr>
        <w:t>‘in the abstract</w:t>
      </w:r>
      <w:r w:rsidR="003E54E1">
        <w:rPr>
          <w:rFonts w:cs="Arial"/>
          <w:bCs/>
          <w:i/>
          <w:iCs/>
          <w:szCs w:val="22"/>
        </w:rPr>
        <w:t>,</w:t>
      </w:r>
      <w:r w:rsidR="004E1349" w:rsidRPr="00B9165A">
        <w:rPr>
          <w:rFonts w:cs="Arial"/>
          <w:bCs/>
          <w:i/>
          <w:iCs/>
          <w:szCs w:val="22"/>
        </w:rPr>
        <w:t>’</w:t>
      </w:r>
      <w:r w:rsidR="004E1349">
        <w:rPr>
          <w:rFonts w:cs="Arial"/>
          <w:bCs/>
          <w:szCs w:val="22"/>
        </w:rPr>
        <w:t xml:space="preserve"> imposing the obligation before the merits have been determined would be premature. </w:t>
      </w:r>
    </w:p>
    <w:p w14:paraId="357FFF56" w14:textId="6B1F085B" w:rsidR="00B0366D" w:rsidRPr="00B0366D" w:rsidRDefault="00CE6537" w:rsidP="00CE6537">
      <w:pPr>
        <w:widowControl w:val="0"/>
        <w:tabs>
          <w:tab w:val="left" w:pos="567"/>
        </w:tabs>
        <w:spacing w:before="480" w:after="480" w:line="360" w:lineRule="auto"/>
        <w:jc w:val="both"/>
        <w:rPr>
          <w:rFonts w:cs="Arial"/>
          <w:bCs/>
          <w:szCs w:val="22"/>
        </w:rPr>
      </w:pPr>
      <w:r w:rsidRPr="00B0366D">
        <w:rPr>
          <w:rFonts w:cs="Arial"/>
          <w:bCs/>
          <w:szCs w:val="22"/>
        </w:rPr>
        <w:t>[35]</w:t>
      </w:r>
      <w:r w:rsidRPr="00B0366D">
        <w:rPr>
          <w:rFonts w:cs="Arial"/>
          <w:bCs/>
          <w:szCs w:val="22"/>
        </w:rPr>
        <w:tab/>
      </w:r>
      <w:r w:rsidR="00B0366D">
        <w:rPr>
          <w:rFonts w:cs="Arial"/>
          <w:bCs/>
          <w:szCs w:val="22"/>
        </w:rPr>
        <w:t xml:space="preserve">The arbitrator then examined the pleadings to see what Altech admitted and to apply the principles in </w:t>
      </w:r>
      <w:r w:rsidR="00B0366D" w:rsidRPr="00B0366D">
        <w:rPr>
          <w:rFonts w:cs="Arial"/>
          <w:bCs/>
          <w:i/>
          <w:iCs/>
          <w:szCs w:val="22"/>
        </w:rPr>
        <w:t>Doyle v Fleet Motors</w:t>
      </w:r>
      <w:r w:rsidR="00B0366D">
        <w:rPr>
          <w:rFonts w:cs="Arial"/>
          <w:bCs/>
          <w:szCs w:val="22"/>
        </w:rPr>
        <w:t xml:space="preserve">. He </w:t>
      </w:r>
      <w:r w:rsidR="003E54E1">
        <w:rPr>
          <w:rFonts w:cs="Arial"/>
          <w:bCs/>
          <w:szCs w:val="22"/>
        </w:rPr>
        <w:t>wrote</w:t>
      </w:r>
      <w:r w:rsidR="00B0366D">
        <w:rPr>
          <w:rFonts w:cs="Arial"/>
          <w:bCs/>
          <w:szCs w:val="22"/>
        </w:rPr>
        <w:t xml:space="preserve"> that the nature and extent of the account that must be rendered </w:t>
      </w:r>
      <w:r w:rsidR="003E54E1">
        <w:rPr>
          <w:rFonts w:cs="Arial"/>
          <w:bCs/>
          <w:szCs w:val="22"/>
        </w:rPr>
        <w:t>would</w:t>
      </w:r>
      <w:r w:rsidR="00B0366D">
        <w:rPr>
          <w:rFonts w:cs="Arial"/>
          <w:bCs/>
          <w:szCs w:val="22"/>
        </w:rPr>
        <w:t xml:space="preserve"> depend on the terms of the agreement and what Aeonova was required to do in order to be entitled to payment. </w:t>
      </w:r>
      <w:r w:rsidR="00B0366D" w:rsidRPr="00B0366D">
        <w:rPr>
          <w:rFonts w:cs="Arial"/>
          <w:bCs/>
          <w:i/>
          <w:iCs/>
          <w:szCs w:val="22"/>
        </w:rPr>
        <w:t>“Thereafter the procedure to be followed if the account was inadequate and/or inaccurate would depend on the</w:t>
      </w:r>
      <w:r w:rsidR="00B0366D">
        <w:rPr>
          <w:rFonts w:cs="Arial"/>
          <w:bCs/>
          <w:i/>
          <w:iCs/>
          <w:szCs w:val="22"/>
        </w:rPr>
        <w:t xml:space="preserve"> arbitrator’s view of what would be a reasonable process to remedy these problems.</w:t>
      </w:r>
      <w:r w:rsidR="00B0366D" w:rsidRPr="00B0366D">
        <w:rPr>
          <w:rFonts w:cs="Arial"/>
          <w:bCs/>
          <w:i/>
          <w:iCs/>
          <w:szCs w:val="22"/>
        </w:rPr>
        <w:t>“</w:t>
      </w:r>
      <w:r w:rsidR="00B0366D">
        <w:rPr>
          <w:rFonts w:cs="Arial"/>
          <w:bCs/>
          <w:i/>
          <w:iCs/>
          <w:szCs w:val="22"/>
        </w:rPr>
        <w:t xml:space="preserve"> </w:t>
      </w:r>
      <w:r w:rsidR="00841C01">
        <w:rPr>
          <w:rStyle w:val="FootnoteReference"/>
          <w:rFonts w:cs="Arial"/>
          <w:bCs/>
          <w:i/>
          <w:iCs/>
          <w:szCs w:val="22"/>
        </w:rPr>
        <w:footnoteReference w:id="45"/>
      </w:r>
    </w:p>
    <w:p w14:paraId="740FE7ED" w14:textId="407BDECC" w:rsidR="00B0366D" w:rsidRDefault="00CE6537" w:rsidP="00CE6537">
      <w:pPr>
        <w:widowControl w:val="0"/>
        <w:tabs>
          <w:tab w:val="left" w:pos="567"/>
        </w:tabs>
        <w:spacing w:before="480" w:after="480" w:line="360" w:lineRule="auto"/>
        <w:jc w:val="both"/>
        <w:rPr>
          <w:rFonts w:cs="Arial"/>
          <w:bCs/>
          <w:szCs w:val="22"/>
        </w:rPr>
      </w:pPr>
      <w:r>
        <w:rPr>
          <w:rFonts w:cs="Arial"/>
          <w:bCs/>
          <w:szCs w:val="22"/>
        </w:rPr>
        <w:t>[36]</w:t>
      </w:r>
      <w:r>
        <w:rPr>
          <w:rFonts w:cs="Arial"/>
          <w:bCs/>
          <w:szCs w:val="22"/>
        </w:rPr>
        <w:tab/>
      </w:r>
      <w:r w:rsidR="00983C64">
        <w:rPr>
          <w:rFonts w:cs="Arial"/>
          <w:bCs/>
          <w:szCs w:val="22"/>
        </w:rPr>
        <w:t>He found Aeonova’s arguments to be persuasive, supported by authority, the terms of the contract, and the admissions on the pleadings.</w:t>
      </w:r>
      <w:r w:rsidR="00976F39">
        <w:rPr>
          <w:rFonts w:cs="Arial"/>
          <w:bCs/>
          <w:szCs w:val="22"/>
        </w:rPr>
        <w:t xml:space="preserve"> He points </w:t>
      </w:r>
      <w:r w:rsidR="00F51C0B">
        <w:rPr>
          <w:rFonts w:cs="Arial"/>
          <w:bCs/>
          <w:szCs w:val="22"/>
        </w:rPr>
        <w:t xml:space="preserve">out </w:t>
      </w:r>
      <w:r w:rsidR="00976F39" w:rsidRPr="00F51C0B">
        <w:rPr>
          <w:rFonts w:cs="Arial"/>
          <w:bCs/>
          <w:i/>
          <w:iCs/>
          <w:szCs w:val="22"/>
        </w:rPr>
        <w:t>inter alia</w:t>
      </w:r>
      <w:r w:rsidR="00976F39">
        <w:rPr>
          <w:rFonts w:cs="Arial"/>
          <w:bCs/>
          <w:szCs w:val="22"/>
        </w:rPr>
        <w:t xml:space="preserve"> that Aeonova was entitled to the disclosure of all revenue receipts within </w:t>
      </w:r>
      <w:r w:rsidR="001E44D1">
        <w:rPr>
          <w:rFonts w:cs="Arial"/>
          <w:bCs/>
          <w:szCs w:val="22"/>
        </w:rPr>
        <w:t>three working</w:t>
      </w:r>
      <w:r w:rsidR="00976F39">
        <w:rPr>
          <w:rFonts w:cs="Arial"/>
          <w:bCs/>
          <w:szCs w:val="22"/>
        </w:rPr>
        <w:t xml:space="preserve"> days of issue</w:t>
      </w:r>
      <w:r w:rsidR="001E44D1">
        <w:rPr>
          <w:rFonts w:cs="Arial"/>
          <w:bCs/>
          <w:szCs w:val="22"/>
        </w:rPr>
        <w:t xml:space="preserve"> to the client.</w:t>
      </w:r>
      <w:r w:rsidR="001E44D1">
        <w:rPr>
          <w:rStyle w:val="FootnoteReference"/>
          <w:rFonts w:cs="Arial"/>
          <w:bCs/>
          <w:szCs w:val="22"/>
        </w:rPr>
        <w:footnoteReference w:id="46"/>
      </w:r>
      <w:r w:rsidR="001E44D1">
        <w:rPr>
          <w:rFonts w:cs="Arial"/>
          <w:bCs/>
          <w:szCs w:val="22"/>
        </w:rPr>
        <w:t xml:space="preserve"> The contract also required </w:t>
      </w:r>
      <w:r w:rsidR="0036253D">
        <w:rPr>
          <w:rFonts w:cs="Arial"/>
          <w:bCs/>
          <w:szCs w:val="22"/>
        </w:rPr>
        <w:t xml:space="preserve">Altech </w:t>
      </w:r>
      <w:r w:rsidR="001E44D1">
        <w:rPr>
          <w:rFonts w:cs="Arial"/>
          <w:bCs/>
          <w:szCs w:val="22"/>
        </w:rPr>
        <w:t>to provide certain information upon request.</w:t>
      </w:r>
      <w:r w:rsidR="001E44D1">
        <w:rPr>
          <w:rStyle w:val="FootnoteReference"/>
          <w:rFonts w:cs="Arial"/>
          <w:bCs/>
          <w:szCs w:val="22"/>
        </w:rPr>
        <w:footnoteReference w:id="47"/>
      </w:r>
    </w:p>
    <w:p w14:paraId="12FFBC99" w14:textId="58BF5DBC" w:rsidR="00175DDD" w:rsidRDefault="00CE6537" w:rsidP="00CE6537">
      <w:pPr>
        <w:widowControl w:val="0"/>
        <w:tabs>
          <w:tab w:val="left" w:pos="567"/>
        </w:tabs>
        <w:spacing w:before="480" w:after="480" w:line="360" w:lineRule="auto"/>
        <w:jc w:val="both"/>
        <w:rPr>
          <w:rFonts w:cs="Arial"/>
          <w:bCs/>
          <w:szCs w:val="22"/>
        </w:rPr>
      </w:pPr>
      <w:r>
        <w:rPr>
          <w:rFonts w:cs="Arial"/>
          <w:bCs/>
          <w:szCs w:val="22"/>
        </w:rPr>
        <w:t>[37]</w:t>
      </w:r>
      <w:r>
        <w:rPr>
          <w:rFonts w:cs="Arial"/>
          <w:bCs/>
          <w:szCs w:val="22"/>
        </w:rPr>
        <w:tab/>
      </w:r>
      <w:r w:rsidR="00F505CE">
        <w:rPr>
          <w:rFonts w:cs="Arial"/>
          <w:bCs/>
          <w:szCs w:val="22"/>
        </w:rPr>
        <w:t>The arbitrator then analysed the five</w:t>
      </w:r>
      <w:r w:rsidR="00F505CE">
        <w:rPr>
          <w:rStyle w:val="FootnoteReference"/>
          <w:rFonts w:cs="Arial"/>
          <w:bCs/>
          <w:szCs w:val="22"/>
        </w:rPr>
        <w:footnoteReference w:id="48"/>
      </w:r>
      <w:r w:rsidR="00F505CE">
        <w:rPr>
          <w:rFonts w:cs="Arial"/>
          <w:bCs/>
          <w:szCs w:val="22"/>
        </w:rPr>
        <w:t xml:space="preserve"> claims that call for an accounting with reference to the </w:t>
      </w:r>
      <w:r w:rsidR="00E45160">
        <w:rPr>
          <w:rFonts w:cs="Arial"/>
          <w:bCs/>
          <w:szCs w:val="22"/>
        </w:rPr>
        <w:t>pleadings</w:t>
      </w:r>
      <w:r w:rsidR="00F505CE">
        <w:rPr>
          <w:rFonts w:cs="Arial"/>
          <w:bCs/>
          <w:szCs w:val="22"/>
        </w:rPr>
        <w:t xml:space="preserve">, the common cause documents including the contract and correspondence. In respect of some of the claims, Aeonova’s averments are met by bald </w:t>
      </w:r>
      <w:r w:rsidR="00F505CE">
        <w:rPr>
          <w:rFonts w:cs="Arial"/>
          <w:bCs/>
          <w:szCs w:val="22"/>
        </w:rPr>
        <w:lastRenderedPageBreak/>
        <w:t>denials.</w:t>
      </w:r>
      <w:r w:rsidR="00F505CE">
        <w:rPr>
          <w:rStyle w:val="FootnoteReference"/>
          <w:rFonts w:cs="Arial"/>
          <w:bCs/>
          <w:szCs w:val="22"/>
        </w:rPr>
        <w:footnoteReference w:id="49"/>
      </w:r>
      <w:r w:rsidR="009B10F4">
        <w:rPr>
          <w:rFonts w:cs="Arial"/>
          <w:bCs/>
          <w:szCs w:val="22"/>
        </w:rPr>
        <w:t xml:space="preserve"> In respect of claim 7, the accounting claim, the arbitrator deals with Altech’s averment that Aeonova failed to comply with its duties, and held that this was irre</w:t>
      </w:r>
      <w:r w:rsidR="006C1EA3">
        <w:rPr>
          <w:rFonts w:cs="Arial"/>
          <w:bCs/>
          <w:szCs w:val="22"/>
        </w:rPr>
        <w:t>levant</w:t>
      </w:r>
      <w:r w:rsidR="009B10F4">
        <w:rPr>
          <w:rFonts w:cs="Arial"/>
          <w:bCs/>
          <w:szCs w:val="22"/>
        </w:rPr>
        <w:t xml:space="preserve"> to the question whether Altech must account.</w:t>
      </w:r>
    </w:p>
    <w:p w14:paraId="08CE3061" w14:textId="55C7456E" w:rsidR="00BD3D16" w:rsidRDefault="00CE6537" w:rsidP="00CE6537">
      <w:pPr>
        <w:widowControl w:val="0"/>
        <w:tabs>
          <w:tab w:val="left" w:pos="567"/>
        </w:tabs>
        <w:spacing w:before="480" w:after="480" w:line="360" w:lineRule="auto"/>
        <w:jc w:val="both"/>
        <w:rPr>
          <w:rFonts w:cs="Arial"/>
          <w:bCs/>
          <w:szCs w:val="22"/>
        </w:rPr>
      </w:pPr>
      <w:r>
        <w:rPr>
          <w:rFonts w:cs="Arial"/>
          <w:bCs/>
          <w:szCs w:val="22"/>
        </w:rPr>
        <w:t>[38]</w:t>
      </w:r>
      <w:r>
        <w:rPr>
          <w:rFonts w:cs="Arial"/>
          <w:bCs/>
          <w:szCs w:val="22"/>
        </w:rPr>
        <w:tab/>
      </w:r>
      <w:r w:rsidR="00BD3D16">
        <w:rPr>
          <w:rFonts w:cs="Arial"/>
          <w:bCs/>
          <w:szCs w:val="22"/>
        </w:rPr>
        <w:t xml:space="preserve">He concluded that the </w:t>
      </w:r>
      <w:r w:rsidR="00BD3D16" w:rsidRPr="00BD3D16">
        <w:rPr>
          <w:rFonts w:cs="Arial"/>
          <w:bCs/>
          <w:i/>
          <w:iCs/>
          <w:szCs w:val="22"/>
        </w:rPr>
        <w:t>“admitted terms and provisions … and the allegations in the SOC</w:t>
      </w:r>
      <w:r w:rsidR="00BD3D16" w:rsidRPr="00BD3D16">
        <w:rPr>
          <w:rStyle w:val="FootnoteReference"/>
          <w:rFonts w:cs="Arial"/>
          <w:bCs/>
          <w:i/>
          <w:iCs/>
          <w:szCs w:val="22"/>
        </w:rPr>
        <w:footnoteReference w:id="50"/>
      </w:r>
      <w:r w:rsidR="00BD3D16" w:rsidRPr="00BD3D16">
        <w:rPr>
          <w:rFonts w:cs="Arial"/>
          <w:bCs/>
          <w:i/>
          <w:iCs/>
          <w:szCs w:val="22"/>
        </w:rPr>
        <w:t xml:space="preserve"> that have been admitted by Altech justify a finding that Altech must account to the Ae</w:t>
      </w:r>
      <w:r w:rsidR="006C1EA3">
        <w:rPr>
          <w:rFonts w:cs="Arial"/>
          <w:bCs/>
          <w:i/>
          <w:iCs/>
          <w:szCs w:val="22"/>
        </w:rPr>
        <w:t>o</w:t>
      </w:r>
      <w:r w:rsidR="00BD3D16" w:rsidRPr="00BD3D16">
        <w:rPr>
          <w:rFonts w:cs="Arial"/>
          <w:bCs/>
          <w:i/>
          <w:iCs/>
          <w:szCs w:val="22"/>
        </w:rPr>
        <w:t>nova for all the matters that have been referred to in the SOC and considered in this award.</w:t>
      </w:r>
      <w:r w:rsidR="003E54E1">
        <w:rPr>
          <w:rFonts w:cs="Arial"/>
          <w:bCs/>
          <w:i/>
          <w:iCs/>
          <w:szCs w:val="22"/>
        </w:rPr>
        <w:t>”</w:t>
      </w:r>
    </w:p>
    <w:p w14:paraId="6D2D5696" w14:textId="020A0750" w:rsidR="00F80C1E" w:rsidRDefault="00CE6537" w:rsidP="00CE6537">
      <w:pPr>
        <w:widowControl w:val="0"/>
        <w:tabs>
          <w:tab w:val="left" w:pos="567"/>
        </w:tabs>
        <w:spacing w:before="480" w:after="480" w:line="360" w:lineRule="auto"/>
        <w:jc w:val="both"/>
        <w:rPr>
          <w:rFonts w:cs="Arial"/>
          <w:bCs/>
          <w:szCs w:val="22"/>
        </w:rPr>
      </w:pPr>
      <w:r>
        <w:rPr>
          <w:rFonts w:cs="Arial"/>
          <w:bCs/>
          <w:szCs w:val="22"/>
        </w:rPr>
        <w:t>[39]</w:t>
      </w:r>
      <w:r>
        <w:rPr>
          <w:rFonts w:cs="Arial"/>
          <w:bCs/>
          <w:szCs w:val="22"/>
        </w:rPr>
        <w:tab/>
      </w:r>
      <w:r w:rsidR="003E54E1">
        <w:rPr>
          <w:rFonts w:cs="Arial"/>
          <w:bCs/>
          <w:szCs w:val="22"/>
        </w:rPr>
        <w:t>T</w:t>
      </w:r>
      <w:r w:rsidR="00F47EFB">
        <w:rPr>
          <w:rFonts w:cs="Arial"/>
          <w:bCs/>
          <w:szCs w:val="22"/>
        </w:rPr>
        <w:t>he arbitrator ordered Altech to provide a full and proper account of the amounts of the statement of claim in respect of claims 1, 2, 4, 5, and 6, such account to include documents that would enable Aeonova to calculate and verify the account, and to include at least the documents described in the award under the headings of the claims as numbered. The award also provided for mechanism for dealing with disputes on the adequacy of the account, the debatement of the accuracy of the account, and a mechanism for resolving any dispute on the amount to be paid to Aeonova</w:t>
      </w:r>
      <w:r w:rsidR="000956E5">
        <w:rPr>
          <w:rFonts w:cs="Arial"/>
          <w:bCs/>
          <w:szCs w:val="22"/>
        </w:rPr>
        <w:t>. It was foreseen that in the event of a dispute, Aeonova would amend it statement of claim to claim the amount that it contends is due and payment in respect of the claim or claims concerned and the arbitrator would ten determine the correctness of the amount claimed.</w:t>
      </w:r>
    </w:p>
    <w:p w14:paraId="215DFFE6" w14:textId="7656FBE2" w:rsidR="006E0B4D" w:rsidRDefault="00CE6537" w:rsidP="00CE6537">
      <w:pPr>
        <w:widowControl w:val="0"/>
        <w:tabs>
          <w:tab w:val="left" w:pos="567"/>
        </w:tabs>
        <w:spacing w:before="480" w:after="480" w:line="360" w:lineRule="auto"/>
        <w:jc w:val="both"/>
        <w:rPr>
          <w:rFonts w:cs="Arial"/>
          <w:bCs/>
          <w:szCs w:val="22"/>
        </w:rPr>
      </w:pPr>
      <w:r>
        <w:rPr>
          <w:rFonts w:cs="Arial"/>
          <w:bCs/>
          <w:szCs w:val="22"/>
        </w:rPr>
        <w:t>[40]</w:t>
      </w:r>
      <w:r>
        <w:rPr>
          <w:rFonts w:cs="Arial"/>
          <w:bCs/>
          <w:szCs w:val="22"/>
        </w:rPr>
        <w:tab/>
      </w:r>
      <w:r w:rsidR="006E0B4D">
        <w:rPr>
          <w:rFonts w:cs="Arial"/>
          <w:bCs/>
          <w:szCs w:val="22"/>
        </w:rPr>
        <w:t>From a plain reading of the award it is clear that the accounting and debatement will likely take place in stages.</w:t>
      </w:r>
    </w:p>
    <w:p w14:paraId="2C88383D" w14:textId="29A33C8F" w:rsidR="003E54E1" w:rsidRDefault="00CE6537" w:rsidP="00CE6537">
      <w:pPr>
        <w:widowControl w:val="0"/>
        <w:tabs>
          <w:tab w:val="left" w:pos="567"/>
        </w:tabs>
        <w:spacing w:before="480" w:after="480" w:line="360" w:lineRule="auto"/>
        <w:jc w:val="both"/>
        <w:rPr>
          <w:rFonts w:cs="Arial"/>
          <w:bCs/>
          <w:szCs w:val="22"/>
        </w:rPr>
      </w:pPr>
      <w:r>
        <w:rPr>
          <w:rFonts w:cs="Arial"/>
          <w:bCs/>
          <w:szCs w:val="22"/>
        </w:rPr>
        <w:t>[41]</w:t>
      </w:r>
      <w:r>
        <w:rPr>
          <w:rFonts w:cs="Arial"/>
          <w:bCs/>
          <w:szCs w:val="22"/>
        </w:rPr>
        <w:tab/>
      </w:r>
      <w:r w:rsidR="00BD3D16">
        <w:rPr>
          <w:rFonts w:cs="Arial"/>
          <w:bCs/>
          <w:szCs w:val="22"/>
        </w:rPr>
        <w:t>I find that the arbitrator did not prejudge the merits and did</w:t>
      </w:r>
      <w:r w:rsidR="003E54E1">
        <w:rPr>
          <w:rFonts w:cs="Arial"/>
          <w:bCs/>
          <w:szCs w:val="22"/>
        </w:rPr>
        <w:t xml:space="preserve"> not</w:t>
      </w:r>
      <w:r w:rsidR="00BD3D16">
        <w:rPr>
          <w:rFonts w:cs="Arial"/>
          <w:bCs/>
          <w:szCs w:val="22"/>
        </w:rPr>
        <w:t xml:space="preserve"> determine the merits in his award. He makes it clear that his award is based solely on the pleadings and the documents annexed to the pleadings that are common cause documents. </w:t>
      </w:r>
      <w:r w:rsidR="003E54E1">
        <w:rPr>
          <w:rFonts w:cs="Arial"/>
          <w:bCs/>
          <w:szCs w:val="22"/>
        </w:rPr>
        <w:t>He made no finding as to whether Aeonova complied with its obligations.</w:t>
      </w:r>
    </w:p>
    <w:p w14:paraId="239C8840" w14:textId="5C75AE0E" w:rsidR="003E54E1" w:rsidRDefault="00CE6537" w:rsidP="00CE6537">
      <w:pPr>
        <w:widowControl w:val="0"/>
        <w:tabs>
          <w:tab w:val="left" w:pos="567"/>
        </w:tabs>
        <w:spacing w:before="480" w:after="480" w:line="360" w:lineRule="auto"/>
        <w:jc w:val="both"/>
        <w:rPr>
          <w:rFonts w:cs="Arial"/>
          <w:bCs/>
          <w:szCs w:val="22"/>
        </w:rPr>
      </w:pPr>
      <w:r>
        <w:rPr>
          <w:rFonts w:cs="Arial"/>
          <w:bCs/>
          <w:szCs w:val="22"/>
        </w:rPr>
        <w:t>[42]</w:t>
      </w:r>
      <w:r>
        <w:rPr>
          <w:rFonts w:cs="Arial"/>
          <w:bCs/>
          <w:szCs w:val="22"/>
        </w:rPr>
        <w:tab/>
      </w:r>
      <w:r w:rsidR="00BD3D16">
        <w:rPr>
          <w:rFonts w:cs="Arial"/>
          <w:bCs/>
          <w:szCs w:val="22"/>
        </w:rPr>
        <w:t xml:space="preserve">To summarise, upon studying the documentation he formed a view that what can be broadly termed the accounting issues </w:t>
      </w:r>
      <w:r w:rsidR="00F51C0B">
        <w:rPr>
          <w:rFonts w:cs="Arial"/>
          <w:bCs/>
          <w:szCs w:val="22"/>
        </w:rPr>
        <w:t>may perhaps</w:t>
      </w:r>
      <w:r w:rsidR="00BD3D16">
        <w:rPr>
          <w:rFonts w:cs="Arial"/>
          <w:bCs/>
          <w:szCs w:val="22"/>
        </w:rPr>
        <w:t xml:space="preserve"> be dealt with separately on common cause facts and documents. He called on the parties to submit heads of argument and they did so. They were given the opportunity to analyse the documents and make submissions of law. No evidence that would give a different interpretation to </w:t>
      </w:r>
      <w:r w:rsidR="00BD3D16">
        <w:rPr>
          <w:rFonts w:cs="Arial"/>
          <w:bCs/>
          <w:szCs w:val="22"/>
        </w:rPr>
        <w:lastRenderedPageBreak/>
        <w:t xml:space="preserve">the documents were foreshadowed in argument. </w:t>
      </w:r>
      <w:r w:rsidR="00843EFD">
        <w:rPr>
          <w:rFonts w:cs="Arial"/>
          <w:bCs/>
          <w:szCs w:val="22"/>
        </w:rPr>
        <w:t xml:space="preserve">The rules of natural justice were complied with, and in particular the applicant’s </w:t>
      </w:r>
      <w:r w:rsidR="00843EFD" w:rsidRPr="00F51C0B">
        <w:rPr>
          <w:rFonts w:cs="Arial"/>
          <w:bCs/>
          <w:i/>
          <w:iCs/>
          <w:szCs w:val="22"/>
        </w:rPr>
        <w:t>audi alteram partem</w:t>
      </w:r>
      <w:r w:rsidR="00843EFD">
        <w:rPr>
          <w:rFonts w:cs="Arial"/>
          <w:bCs/>
          <w:szCs w:val="22"/>
        </w:rPr>
        <w:t xml:space="preserve"> rights were not infringed. None of the merit issues have been decided, and the arbitrator held that as a matter of law the defence that Aeonova had failed to comply with its contractual duties does not impact on the accounting claim. Liability has </w:t>
      </w:r>
      <w:r w:rsidR="00E45160">
        <w:rPr>
          <w:rFonts w:cs="Arial"/>
          <w:bCs/>
          <w:szCs w:val="22"/>
        </w:rPr>
        <w:t xml:space="preserve">thus </w:t>
      </w:r>
      <w:r w:rsidR="00843EFD">
        <w:rPr>
          <w:rFonts w:cs="Arial"/>
          <w:bCs/>
          <w:szCs w:val="22"/>
        </w:rPr>
        <w:t>not been pre-determined.</w:t>
      </w:r>
      <w:r w:rsidR="00107D26">
        <w:rPr>
          <w:rFonts w:cs="Arial"/>
          <w:bCs/>
          <w:szCs w:val="22"/>
        </w:rPr>
        <w:t xml:space="preserve"> </w:t>
      </w:r>
    </w:p>
    <w:p w14:paraId="23138C4C" w14:textId="67A5BDF7" w:rsidR="00C60F27" w:rsidRDefault="00CE6537" w:rsidP="00CE6537">
      <w:pPr>
        <w:widowControl w:val="0"/>
        <w:tabs>
          <w:tab w:val="left" w:pos="567"/>
        </w:tabs>
        <w:spacing w:before="480" w:after="480" w:line="360" w:lineRule="auto"/>
        <w:jc w:val="both"/>
        <w:rPr>
          <w:rFonts w:cs="Arial"/>
          <w:bCs/>
          <w:szCs w:val="22"/>
        </w:rPr>
      </w:pPr>
      <w:r>
        <w:rPr>
          <w:rFonts w:cs="Arial"/>
          <w:bCs/>
          <w:szCs w:val="22"/>
        </w:rPr>
        <w:t>[43]</w:t>
      </w:r>
      <w:r>
        <w:rPr>
          <w:rFonts w:cs="Arial"/>
          <w:bCs/>
          <w:szCs w:val="22"/>
        </w:rPr>
        <w:tab/>
      </w:r>
      <w:r w:rsidR="005D2137">
        <w:rPr>
          <w:rFonts w:cs="Arial"/>
          <w:bCs/>
          <w:szCs w:val="22"/>
        </w:rPr>
        <w:t xml:space="preserve">Altech contends </w:t>
      </w:r>
      <w:r w:rsidR="00943484">
        <w:rPr>
          <w:rFonts w:cs="Arial"/>
          <w:bCs/>
          <w:szCs w:val="22"/>
        </w:rPr>
        <w:t xml:space="preserve">on review </w:t>
      </w:r>
      <w:r w:rsidR="005D2137">
        <w:rPr>
          <w:rFonts w:cs="Arial"/>
          <w:bCs/>
          <w:szCs w:val="22"/>
        </w:rPr>
        <w:t>that the process puts the cart before the horses</w:t>
      </w:r>
      <w:r w:rsidR="00CA2964">
        <w:rPr>
          <w:rFonts w:cs="Arial"/>
          <w:bCs/>
          <w:szCs w:val="22"/>
        </w:rPr>
        <w:t>, and that the arbitrator prejudged the matter by deciding, without evidence, that Altech was liable to make payment to Aeonova of amounts to be determined in the debatement.</w:t>
      </w:r>
      <w:r w:rsidR="00296DAF">
        <w:rPr>
          <w:rFonts w:cs="Arial"/>
          <w:bCs/>
          <w:szCs w:val="22"/>
        </w:rPr>
        <w:t xml:space="preserve"> Reading the award as a whole this is not so – </w:t>
      </w:r>
      <w:r w:rsidR="00943484">
        <w:rPr>
          <w:rFonts w:cs="Arial"/>
          <w:bCs/>
          <w:szCs w:val="22"/>
        </w:rPr>
        <w:t>t</w:t>
      </w:r>
      <w:r w:rsidR="00296DAF">
        <w:rPr>
          <w:rFonts w:cs="Arial"/>
          <w:bCs/>
          <w:szCs w:val="22"/>
        </w:rPr>
        <w:t>he</w:t>
      </w:r>
      <w:r w:rsidR="00943484">
        <w:rPr>
          <w:rFonts w:cs="Arial"/>
          <w:bCs/>
          <w:szCs w:val="22"/>
        </w:rPr>
        <w:t xml:space="preserve"> arbitrator</w:t>
      </w:r>
      <w:r w:rsidR="00296DAF">
        <w:rPr>
          <w:rFonts w:cs="Arial"/>
          <w:bCs/>
          <w:szCs w:val="22"/>
        </w:rPr>
        <w:t xml:space="preserve"> made it clear in the award that Altech’s defence that Aeonova failed to comply with its contractual obligations (and is therefore not entitled to any damages) stands apart from the accounting claim. It is possible therefore that Aeonova may have won the accounting battle but lose the war for damages.</w:t>
      </w:r>
    </w:p>
    <w:p w14:paraId="24F8D00E" w14:textId="07948457" w:rsidR="0036253D" w:rsidRDefault="00CE6537" w:rsidP="00CE6537">
      <w:pPr>
        <w:widowControl w:val="0"/>
        <w:tabs>
          <w:tab w:val="left" w:pos="567"/>
        </w:tabs>
        <w:spacing w:before="480" w:after="480" w:line="360" w:lineRule="auto"/>
        <w:jc w:val="both"/>
        <w:rPr>
          <w:rFonts w:cs="Arial"/>
          <w:bCs/>
          <w:szCs w:val="22"/>
        </w:rPr>
      </w:pPr>
      <w:r>
        <w:rPr>
          <w:rFonts w:cs="Arial"/>
          <w:bCs/>
          <w:szCs w:val="22"/>
        </w:rPr>
        <w:t>[44]</w:t>
      </w:r>
      <w:r>
        <w:rPr>
          <w:rFonts w:cs="Arial"/>
          <w:bCs/>
          <w:szCs w:val="22"/>
        </w:rPr>
        <w:tab/>
      </w:r>
      <w:r w:rsidR="0036253D">
        <w:rPr>
          <w:rFonts w:cs="Arial"/>
          <w:bCs/>
          <w:szCs w:val="22"/>
        </w:rPr>
        <w:t xml:space="preserve">I now turn to two other issues raised, namely peremption and the arbitrator’s perceived reliance on the </w:t>
      </w:r>
      <w:r w:rsidR="0036253D" w:rsidRPr="0036253D">
        <w:rPr>
          <w:rFonts w:cs="Arial"/>
          <w:bCs/>
          <w:i/>
          <w:iCs/>
          <w:szCs w:val="22"/>
        </w:rPr>
        <w:t>post facto</w:t>
      </w:r>
      <w:r w:rsidR="0036253D">
        <w:rPr>
          <w:rFonts w:cs="Arial"/>
          <w:bCs/>
          <w:szCs w:val="22"/>
        </w:rPr>
        <w:t xml:space="preserve"> concession by Altech that it had repudiated the contract.</w:t>
      </w:r>
    </w:p>
    <w:p w14:paraId="73F7D8C3" w14:textId="77777777" w:rsidR="00C60F27" w:rsidRDefault="00C60F27" w:rsidP="00107D26">
      <w:pPr>
        <w:widowControl w:val="0"/>
        <w:spacing w:before="480" w:after="480" w:line="360" w:lineRule="auto"/>
        <w:jc w:val="both"/>
        <w:rPr>
          <w:rFonts w:cs="Arial"/>
          <w:bCs/>
          <w:szCs w:val="22"/>
        </w:rPr>
      </w:pPr>
    </w:p>
    <w:p w14:paraId="6E86FDC2" w14:textId="486A2C94" w:rsidR="00C60F27" w:rsidRPr="00C60F27" w:rsidRDefault="00C60F27" w:rsidP="00C60F27">
      <w:pPr>
        <w:widowControl w:val="0"/>
        <w:spacing w:before="480" w:after="480" w:line="360" w:lineRule="auto"/>
        <w:jc w:val="both"/>
        <w:rPr>
          <w:rFonts w:cs="Arial"/>
          <w:bCs/>
          <w:szCs w:val="22"/>
          <w:u w:val="single"/>
        </w:rPr>
      </w:pPr>
      <w:r w:rsidRPr="00C60F27">
        <w:rPr>
          <w:rFonts w:cs="Arial"/>
          <w:bCs/>
          <w:szCs w:val="22"/>
          <w:u w:val="single"/>
        </w:rPr>
        <w:t xml:space="preserve">The </w:t>
      </w:r>
      <w:r w:rsidR="00C81F39">
        <w:rPr>
          <w:rFonts w:cs="Arial"/>
          <w:bCs/>
          <w:szCs w:val="22"/>
          <w:u w:val="single"/>
        </w:rPr>
        <w:t xml:space="preserve">doctrine of </w:t>
      </w:r>
      <w:r w:rsidRPr="00C60F27">
        <w:rPr>
          <w:rFonts w:cs="Arial"/>
          <w:bCs/>
          <w:szCs w:val="22"/>
          <w:u w:val="single"/>
        </w:rPr>
        <w:t>peremption</w:t>
      </w:r>
    </w:p>
    <w:p w14:paraId="5D7A3390" w14:textId="1BAE44DD" w:rsidR="00C81F39" w:rsidRPr="007A006B" w:rsidRDefault="00CE6537" w:rsidP="00CE6537">
      <w:pPr>
        <w:widowControl w:val="0"/>
        <w:tabs>
          <w:tab w:val="left" w:pos="567"/>
        </w:tabs>
        <w:spacing w:before="480" w:after="480" w:line="360" w:lineRule="auto"/>
        <w:jc w:val="both"/>
        <w:rPr>
          <w:rFonts w:cs="Arial"/>
          <w:bCs/>
          <w:szCs w:val="22"/>
        </w:rPr>
      </w:pPr>
      <w:r w:rsidRPr="007A006B">
        <w:rPr>
          <w:rFonts w:cs="Arial"/>
          <w:bCs/>
          <w:szCs w:val="22"/>
        </w:rPr>
        <w:t>[45]</w:t>
      </w:r>
      <w:r w:rsidRPr="007A006B">
        <w:rPr>
          <w:rFonts w:cs="Arial"/>
          <w:bCs/>
          <w:szCs w:val="22"/>
        </w:rPr>
        <w:tab/>
      </w:r>
      <w:r w:rsidR="00C81F39">
        <w:rPr>
          <w:rFonts w:cs="Arial"/>
          <w:bCs/>
          <w:szCs w:val="22"/>
        </w:rPr>
        <w:t xml:space="preserve">Aeonova argued that Altech </w:t>
      </w:r>
      <w:r w:rsidR="006C1EA3">
        <w:rPr>
          <w:rFonts w:cs="Arial"/>
          <w:bCs/>
          <w:szCs w:val="22"/>
        </w:rPr>
        <w:t>p</w:t>
      </w:r>
      <w:r w:rsidR="003E54E1">
        <w:rPr>
          <w:rFonts w:cs="Arial"/>
          <w:bCs/>
          <w:szCs w:val="22"/>
        </w:rPr>
        <w:t xml:space="preserve">erempted </w:t>
      </w:r>
      <w:r w:rsidR="00C81F39">
        <w:rPr>
          <w:rFonts w:cs="Arial"/>
          <w:bCs/>
          <w:szCs w:val="22"/>
        </w:rPr>
        <w:t xml:space="preserve">the review application in </w:t>
      </w:r>
      <w:r w:rsidR="00C60DD4">
        <w:rPr>
          <w:rFonts w:cs="Arial"/>
          <w:bCs/>
          <w:szCs w:val="22"/>
        </w:rPr>
        <w:t>two</w:t>
      </w:r>
      <w:r w:rsidR="00C81F39">
        <w:rPr>
          <w:rFonts w:cs="Arial"/>
          <w:bCs/>
          <w:szCs w:val="22"/>
        </w:rPr>
        <w:t xml:space="preserve"> emai</w:t>
      </w:r>
      <w:r w:rsidR="00C60DD4">
        <w:rPr>
          <w:rFonts w:cs="Arial"/>
          <w:bCs/>
          <w:szCs w:val="22"/>
        </w:rPr>
        <w:t>ls</w:t>
      </w:r>
      <w:r w:rsidR="00C60DD4">
        <w:rPr>
          <w:rStyle w:val="FootnoteReference"/>
          <w:rFonts w:cs="Arial"/>
          <w:bCs/>
          <w:szCs w:val="22"/>
        </w:rPr>
        <w:t xml:space="preserve"> </w:t>
      </w:r>
      <w:r w:rsidR="00C81F39">
        <w:rPr>
          <w:rStyle w:val="FootnoteReference"/>
          <w:rFonts w:cs="Arial"/>
          <w:bCs/>
          <w:szCs w:val="22"/>
        </w:rPr>
        <w:footnoteReference w:id="51"/>
      </w:r>
      <w:r w:rsidR="00C81F39">
        <w:rPr>
          <w:rFonts w:cs="Arial"/>
          <w:bCs/>
          <w:szCs w:val="22"/>
        </w:rPr>
        <w:t xml:space="preserve"> on 13 </w:t>
      </w:r>
      <w:r w:rsidR="00C60DD4">
        <w:rPr>
          <w:rFonts w:cs="Arial"/>
          <w:bCs/>
          <w:szCs w:val="22"/>
        </w:rPr>
        <w:t xml:space="preserve">and 15 </w:t>
      </w:r>
      <w:r w:rsidR="00C81F39">
        <w:rPr>
          <w:rFonts w:cs="Arial"/>
          <w:bCs/>
          <w:szCs w:val="22"/>
        </w:rPr>
        <w:t xml:space="preserve">December 2022 when it wrote that it was implementing the award. The </w:t>
      </w:r>
      <w:r w:rsidR="00E45160">
        <w:rPr>
          <w:rFonts w:cs="Arial"/>
          <w:bCs/>
          <w:szCs w:val="22"/>
        </w:rPr>
        <w:t>correspondence</w:t>
      </w:r>
      <w:r w:rsidR="00C81F39">
        <w:rPr>
          <w:rFonts w:cs="Arial"/>
          <w:bCs/>
          <w:szCs w:val="22"/>
        </w:rPr>
        <w:t xml:space="preserve"> also states that the award was premature and that Altech’s rights were reserve</w:t>
      </w:r>
      <w:r w:rsidR="00C60DD4">
        <w:rPr>
          <w:rFonts w:cs="Arial"/>
          <w:bCs/>
          <w:szCs w:val="22"/>
        </w:rPr>
        <w:t xml:space="preserve">d, and that it </w:t>
      </w:r>
      <w:r w:rsidR="00107D26">
        <w:rPr>
          <w:rFonts w:cs="Arial"/>
          <w:bCs/>
          <w:szCs w:val="22"/>
        </w:rPr>
        <w:t>had</w:t>
      </w:r>
      <w:r w:rsidR="00C60DD4">
        <w:rPr>
          <w:rFonts w:cs="Arial"/>
          <w:bCs/>
          <w:szCs w:val="22"/>
        </w:rPr>
        <w:t xml:space="preserve"> commenced the process of compliance </w:t>
      </w:r>
      <w:r w:rsidR="00C60DD4" w:rsidRPr="00C60DD4">
        <w:rPr>
          <w:rFonts w:cs="Arial"/>
          <w:bCs/>
          <w:i/>
          <w:iCs/>
          <w:szCs w:val="22"/>
        </w:rPr>
        <w:t>“without prejudice to its rights.”</w:t>
      </w:r>
      <w:r w:rsidR="00107D26">
        <w:rPr>
          <w:rFonts w:cs="Arial"/>
          <w:bCs/>
          <w:i/>
          <w:iCs/>
          <w:szCs w:val="22"/>
        </w:rPr>
        <w:t xml:space="preserve"> </w:t>
      </w:r>
    </w:p>
    <w:p w14:paraId="24976549" w14:textId="53B68236" w:rsidR="007A006B" w:rsidRDefault="00CE6537" w:rsidP="00CE6537">
      <w:pPr>
        <w:widowControl w:val="0"/>
        <w:tabs>
          <w:tab w:val="left" w:pos="567"/>
        </w:tabs>
        <w:spacing w:before="480" w:after="480" w:line="360" w:lineRule="auto"/>
        <w:jc w:val="both"/>
        <w:rPr>
          <w:rFonts w:cs="Arial"/>
          <w:bCs/>
          <w:szCs w:val="22"/>
        </w:rPr>
      </w:pPr>
      <w:r>
        <w:rPr>
          <w:rFonts w:cs="Arial"/>
          <w:bCs/>
          <w:szCs w:val="22"/>
        </w:rPr>
        <w:t>[46]</w:t>
      </w:r>
      <w:r>
        <w:rPr>
          <w:rFonts w:cs="Arial"/>
          <w:bCs/>
          <w:szCs w:val="22"/>
        </w:rPr>
        <w:tab/>
      </w:r>
      <w:r w:rsidR="007A006B">
        <w:rPr>
          <w:rFonts w:cs="Arial"/>
          <w:bCs/>
          <w:szCs w:val="22"/>
        </w:rPr>
        <w:t xml:space="preserve">When a litigant unequivocally indicates that it intends to acquiesce in an adverse judgment it can not subsequently change its mind and commence appeal or review </w:t>
      </w:r>
      <w:r w:rsidR="007A006B">
        <w:rPr>
          <w:rFonts w:cs="Arial"/>
          <w:bCs/>
          <w:szCs w:val="22"/>
        </w:rPr>
        <w:lastRenderedPageBreak/>
        <w:t>proceedings.</w:t>
      </w:r>
      <w:r w:rsidR="007A006B">
        <w:rPr>
          <w:rStyle w:val="FootnoteReference"/>
          <w:rFonts w:cs="Arial"/>
          <w:bCs/>
          <w:szCs w:val="22"/>
        </w:rPr>
        <w:footnoteReference w:id="52"/>
      </w:r>
      <w:r w:rsidR="007A006B">
        <w:rPr>
          <w:rFonts w:cs="Arial"/>
          <w:bCs/>
          <w:szCs w:val="22"/>
        </w:rPr>
        <w:t xml:space="preserve"> The doctrine applies to arbitration proceedings.</w:t>
      </w:r>
      <w:r w:rsidR="007A006B">
        <w:rPr>
          <w:rStyle w:val="FootnoteReference"/>
          <w:rFonts w:cs="Arial"/>
          <w:bCs/>
          <w:szCs w:val="22"/>
        </w:rPr>
        <w:footnoteReference w:id="53"/>
      </w:r>
    </w:p>
    <w:p w14:paraId="1B881E4D" w14:textId="029CC822" w:rsidR="00C60DD4" w:rsidRDefault="00CE6537" w:rsidP="00CE6537">
      <w:pPr>
        <w:widowControl w:val="0"/>
        <w:tabs>
          <w:tab w:val="left" w:pos="567"/>
        </w:tabs>
        <w:spacing w:before="480" w:after="480" w:line="360" w:lineRule="auto"/>
        <w:jc w:val="both"/>
        <w:rPr>
          <w:rFonts w:cs="Arial"/>
          <w:bCs/>
          <w:szCs w:val="22"/>
        </w:rPr>
      </w:pPr>
      <w:r>
        <w:rPr>
          <w:rFonts w:cs="Arial"/>
          <w:bCs/>
          <w:szCs w:val="22"/>
        </w:rPr>
        <w:t>[47]</w:t>
      </w:r>
      <w:r>
        <w:rPr>
          <w:rFonts w:cs="Arial"/>
          <w:bCs/>
          <w:szCs w:val="22"/>
        </w:rPr>
        <w:tab/>
      </w:r>
      <w:r w:rsidR="00C60DD4">
        <w:rPr>
          <w:rFonts w:cs="Arial"/>
          <w:bCs/>
          <w:szCs w:val="22"/>
        </w:rPr>
        <w:t xml:space="preserve">Aeonova has not acquitted itself of the burden of proof in this regard. The emails relied upon do not </w:t>
      </w:r>
      <w:r w:rsidR="003E54E1">
        <w:rPr>
          <w:rFonts w:cs="Arial"/>
          <w:bCs/>
          <w:szCs w:val="22"/>
        </w:rPr>
        <w:t>manifest</w:t>
      </w:r>
      <w:r w:rsidR="00C60DD4">
        <w:rPr>
          <w:rFonts w:cs="Arial"/>
          <w:bCs/>
          <w:szCs w:val="22"/>
        </w:rPr>
        <w:t xml:space="preserve"> </w:t>
      </w:r>
      <w:r w:rsidR="003D1A1C">
        <w:rPr>
          <w:rFonts w:cs="Arial"/>
          <w:bCs/>
          <w:szCs w:val="22"/>
        </w:rPr>
        <w:t>an</w:t>
      </w:r>
      <w:r w:rsidR="00C60DD4">
        <w:rPr>
          <w:rFonts w:cs="Arial"/>
          <w:bCs/>
          <w:szCs w:val="22"/>
        </w:rPr>
        <w:t xml:space="preserve"> unequivocal waiver of rights.</w:t>
      </w:r>
      <w:r w:rsidR="0036253D">
        <w:rPr>
          <w:rFonts w:cs="Arial"/>
          <w:bCs/>
          <w:szCs w:val="22"/>
        </w:rPr>
        <w:t xml:space="preserve"> They seems to have been written without much thought of possible consequences and there is nothing </w:t>
      </w:r>
      <w:r w:rsidR="003E54E1">
        <w:rPr>
          <w:rFonts w:cs="Arial"/>
          <w:bCs/>
          <w:szCs w:val="22"/>
        </w:rPr>
        <w:t>un</w:t>
      </w:r>
      <w:r w:rsidR="0036253D">
        <w:rPr>
          <w:rFonts w:cs="Arial"/>
          <w:bCs/>
          <w:szCs w:val="22"/>
        </w:rPr>
        <w:t>equivocal about them.</w:t>
      </w:r>
    </w:p>
    <w:p w14:paraId="4011F4DA" w14:textId="77777777" w:rsidR="004923A9" w:rsidRDefault="004923A9" w:rsidP="00C60F27">
      <w:pPr>
        <w:widowControl w:val="0"/>
        <w:spacing w:before="480" w:after="480" w:line="360" w:lineRule="auto"/>
        <w:jc w:val="both"/>
        <w:rPr>
          <w:rFonts w:cs="Arial"/>
          <w:bCs/>
          <w:szCs w:val="22"/>
          <w:u w:val="single"/>
        </w:rPr>
      </w:pPr>
    </w:p>
    <w:p w14:paraId="39123F47" w14:textId="43702395" w:rsidR="00C60F27" w:rsidRPr="00C60F27" w:rsidRDefault="00C60F27" w:rsidP="00C60F27">
      <w:pPr>
        <w:widowControl w:val="0"/>
        <w:spacing w:before="480" w:after="480" w:line="360" w:lineRule="auto"/>
        <w:jc w:val="both"/>
        <w:rPr>
          <w:rFonts w:cs="Arial"/>
          <w:bCs/>
          <w:szCs w:val="22"/>
          <w:u w:val="single"/>
        </w:rPr>
      </w:pPr>
      <w:r w:rsidRPr="00C60F27">
        <w:rPr>
          <w:rFonts w:cs="Arial"/>
          <w:bCs/>
          <w:szCs w:val="22"/>
          <w:u w:val="single"/>
        </w:rPr>
        <w:t>The subsequent correspondence by the arbitrator</w:t>
      </w:r>
    </w:p>
    <w:p w14:paraId="4939DAAE" w14:textId="22CF37CF" w:rsidR="00D15C79" w:rsidRDefault="00CE6537" w:rsidP="00CE6537">
      <w:pPr>
        <w:widowControl w:val="0"/>
        <w:tabs>
          <w:tab w:val="left" w:pos="567"/>
        </w:tabs>
        <w:spacing w:before="480" w:after="480" w:line="360" w:lineRule="auto"/>
        <w:jc w:val="both"/>
        <w:rPr>
          <w:rFonts w:cs="Arial"/>
          <w:bCs/>
          <w:szCs w:val="22"/>
        </w:rPr>
      </w:pPr>
      <w:r>
        <w:rPr>
          <w:rFonts w:cs="Arial"/>
          <w:bCs/>
          <w:szCs w:val="22"/>
        </w:rPr>
        <w:t>[48]</w:t>
      </w:r>
      <w:r>
        <w:rPr>
          <w:rFonts w:cs="Arial"/>
          <w:bCs/>
          <w:szCs w:val="22"/>
        </w:rPr>
        <w:tab/>
      </w:r>
      <w:r w:rsidR="00F00D0F">
        <w:rPr>
          <w:rFonts w:cs="Arial"/>
          <w:bCs/>
          <w:szCs w:val="22"/>
        </w:rPr>
        <w:t>On 24 November 2022, a week before the publication of the award on 2 December 2022</w:t>
      </w:r>
      <w:r w:rsidR="00243D2F">
        <w:rPr>
          <w:rFonts w:cs="Arial"/>
          <w:bCs/>
          <w:szCs w:val="22"/>
        </w:rPr>
        <w:t xml:space="preserve"> but after argument had been concluded</w:t>
      </w:r>
      <w:r w:rsidR="00DC2E38">
        <w:rPr>
          <w:rFonts w:cs="Arial"/>
          <w:bCs/>
          <w:szCs w:val="22"/>
        </w:rPr>
        <w:t xml:space="preserve"> on the 22</w:t>
      </w:r>
      <w:r w:rsidR="00DC2E38" w:rsidRPr="00DC2E38">
        <w:rPr>
          <w:rFonts w:cs="Arial"/>
          <w:bCs/>
          <w:szCs w:val="22"/>
          <w:vertAlign w:val="superscript"/>
        </w:rPr>
        <w:t>nd</w:t>
      </w:r>
      <w:r w:rsidR="00F00D0F">
        <w:rPr>
          <w:rFonts w:cs="Arial"/>
          <w:bCs/>
          <w:szCs w:val="22"/>
        </w:rPr>
        <w:t>, Altech conceded that it had repudiated the contract</w:t>
      </w:r>
      <w:r w:rsidR="00DC2E38">
        <w:rPr>
          <w:rFonts w:cs="Arial"/>
          <w:bCs/>
          <w:szCs w:val="22"/>
        </w:rPr>
        <w:t xml:space="preserve"> and that Aeonova had accepted the repudiation, thus terminating the contract</w:t>
      </w:r>
      <w:r w:rsidR="00243D2F">
        <w:rPr>
          <w:rFonts w:cs="Arial"/>
          <w:bCs/>
          <w:szCs w:val="22"/>
        </w:rPr>
        <w:t>. Altech argues that the arbitrator relied on the concession to justify his award even though this aspect was not argued before the Arbitrator</w:t>
      </w:r>
      <w:r w:rsidR="00BA67FC">
        <w:rPr>
          <w:rFonts w:cs="Arial"/>
          <w:bCs/>
          <w:szCs w:val="22"/>
        </w:rPr>
        <w:t xml:space="preserve"> and the award makes no reference to the concession.</w:t>
      </w:r>
    </w:p>
    <w:p w14:paraId="766F98D1" w14:textId="5BCEACFC" w:rsidR="003B6C02" w:rsidRDefault="00CE6537" w:rsidP="00CE6537">
      <w:pPr>
        <w:widowControl w:val="0"/>
        <w:tabs>
          <w:tab w:val="left" w:pos="567"/>
        </w:tabs>
        <w:spacing w:before="480" w:after="480" w:line="360" w:lineRule="auto"/>
        <w:jc w:val="both"/>
        <w:rPr>
          <w:rFonts w:cs="Arial"/>
          <w:bCs/>
          <w:szCs w:val="22"/>
        </w:rPr>
      </w:pPr>
      <w:r>
        <w:rPr>
          <w:rFonts w:cs="Arial"/>
          <w:bCs/>
          <w:szCs w:val="22"/>
        </w:rPr>
        <w:t>[49]</w:t>
      </w:r>
      <w:r>
        <w:rPr>
          <w:rFonts w:cs="Arial"/>
          <w:bCs/>
          <w:szCs w:val="22"/>
        </w:rPr>
        <w:tab/>
      </w:r>
      <w:r w:rsidR="00BA67FC">
        <w:rPr>
          <w:rFonts w:cs="Arial"/>
          <w:bCs/>
          <w:szCs w:val="22"/>
        </w:rPr>
        <w:t>The argument is based on letters written by the arbitrator on</w:t>
      </w:r>
      <w:r w:rsidR="003B6C02">
        <w:rPr>
          <w:rFonts w:cs="Arial"/>
          <w:bCs/>
          <w:szCs w:val="22"/>
        </w:rPr>
        <w:t xml:space="preserve"> 23 January 2023</w:t>
      </w:r>
      <w:r w:rsidR="00542EAE">
        <w:rPr>
          <w:rStyle w:val="FootnoteReference"/>
          <w:rFonts w:cs="Arial"/>
          <w:bCs/>
          <w:szCs w:val="22"/>
        </w:rPr>
        <w:footnoteReference w:id="54"/>
      </w:r>
      <w:r w:rsidR="003B6C02">
        <w:rPr>
          <w:rFonts w:cs="Arial"/>
          <w:bCs/>
          <w:szCs w:val="22"/>
        </w:rPr>
        <w:t xml:space="preserve"> and</w:t>
      </w:r>
      <w:r w:rsidR="00BA67FC">
        <w:rPr>
          <w:rFonts w:cs="Arial"/>
          <w:bCs/>
          <w:szCs w:val="22"/>
        </w:rPr>
        <w:t xml:space="preserve"> 13 February 2023</w:t>
      </w:r>
      <w:r w:rsidR="00DC2E38">
        <w:rPr>
          <w:rFonts w:cs="Arial"/>
          <w:bCs/>
          <w:szCs w:val="22"/>
        </w:rPr>
        <w:t>.</w:t>
      </w:r>
      <w:r w:rsidR="003B6C02">
        <w:rPr>
          <w:rStyle w:val="FootnoteReference"/>
          <w:rFonts w:cs="Arial"/>
          <w:bCs/>
          <w:szCs w:val="22"/>
        </w:rPr>
        <w:footnoteReference w:id="55"/>
      </w:r>
      <w:r w:rsidR="00DC2E38">
        <w:rPr>
          <w:rFonts w:cs="Arial"/>
          <w:bCs/>
          <w:szCs w:val="22"/>
        </w:rPr>
        <w:t xml:space="preserve"> </w:t>
      </w:r>
    </w:p>
    <w:p w14:paraId="188FF81F" w14:textId="7980C33B" w:rsidR="00542EAE" w:rsidRDefault="00CE6537" w:rsidP="00CE6537">
      <w:pPr>
        <w:widowControl w:val="0"/>
        <w:tabs>
          <w:tab w:val="left" w:pos="567"/>
        </w:tabs>
        <w:spacing w:before="480" w:after="480" w:line="360" w:lineRule="auto"/>
        <w:jc w:val="both"/>
        <w:rPr>
          <w:rFonts w:cs="Arial"/>
          <w:bCs/>
          <w:szCs w:val="22"/>
        </w:rPr>
      </w:pPr>
      <w:r>
        <w:rPr>
          <w:rFonts w:cs="Arial"/>
          <w:bCs/>
          <w:szCs w:val="22"/>
        </w:rPr>
        <w:t>[50]</w:t>
      </w:r>
      <w:r>
        <w:rPr>
          <w:rFonts w:cs="Arial"/>
          <w:bCs/>
          <w:szCs w:val="22"/>
        </w:rPr>
        <w:tab/>
      </w:r>
      <w:r w:rsidR="00542EAE">
        <w:rPr>
          <w:rFonts w:cs="Arial"/>
          <w:bCs/>
          <w:szCs w:val="22"/>
        </w:rPr>
        <w:t>On 23 January 2023 the arbitrator wrote to the Deputy Judge President</w:t>
      </w:r>
      <w:r w:rsidR="009015D3">
        <w:rPr>
          <w:rStyle w:val="FootnoteReference"/>
          <w:rFonts w:cs="Arial"/>
          <w:bCs/>
          <w:szCs w:val="22"/>
        </w:rPr>
        <w:footnoteReference w:id="56"/>
      </w:r>
      <w:r w:rsidR="00542EAE">
        <w:rPr>
          <w:rFonts w:cs="Arial"/>
          <w:bCs/>
          <w:szCs w:val="22"/>
        </w:rPr>
        <w:t xml:space="preserve"> with reference to </w:t>
      </w:r>
      <w:r w:rsidR="00AC022F">
        <w:rPr>
          <w:rFonts w:cs="Arial"/>
          <w:bCs/>
          <w:szCs w:val="22"/>
        </w:rPr>
        <w:t>an</w:t>
      </w:r>
      <w:r w:rsidR="00542EAE">
        <w:rPr>
          <w:rFonts w:cs="Arial"/>
          <w:bCs/>
          <w:szCs w:val="22"/>
        </w:rPr>
        <w:t xml:space="preserve"> application for the certification of the review application as a commercial court case. In paragraph 28 he states that the concession </w:t>
      </w:r>
      <w:r w:rsidR="00542EAE" w:rsidRPr="003023F9">
        <w:rPr>
          <w:rFonts w:cs="Arial"/>
          <w:bCs/>
          <w:i/>
          <w:iCs/>
          <w:szCs w:val="22"/>
        </w:rPr>
        <w:t>“related to a crucial allegation</w:t>
      </w:r>
      <w:r w:rsidR="003023F9" w:rsidRPr="003023F9">
        <w:rPr>
          <w:rFonts w:cs="Arial"/>
          <w:bCs/>
          <w:i/>
          <w:iCs/>
          <w:szCs w:val="22"/>
        </w:rPr>
        <w:t xml:space="preserve"> by Aeonova in this arbitration and which was the focus of most of the evidence filed and </w:t>
      </w:r>
      <w:r w:rsidR="003023F9" w:rsidRPr="003023F9">
        <w:rPr>
          <w:rFonts w:cs="Arial"/>
          <w:bCs/>
          <w:i/>
          <w:iCs/>
          <w:szCs w:val="22"/>
        </w:rPr>
        <w:lastRenderedPageBreak/>
        <w:t>the cross-examination of Aeonova’s three witnesses.”</w:t>
      </w:r>
      <w:r w:rsidR="00542EAE" w:rsidRPr="003023F9">
        <w:rPr>
          <w:rFonts w:cs="Arial"/>
          <w:bCs/>
          <w:i/>
          <w:iCs/>
          <w:szCs w:val="22"/>
        </w:rPr>
        <w:t xml:space="preserve"> </w:t>
      </w:r>
    </w:p>
    <w:p w14:paraId="7004EB6D" w14:textId="424980A9" w:rsidR="003B6C02" w:rsidRPr="003B6C02" w:rsidRDefault="00CE6537" w:rsidP="00CE6537">
      <w:pPr>
        <w:widowControl w:val="0"/>
        <w:tabs>
          <w:tab w:val="left" w:pos="567"/>
        </w:tabs>
        <w:spacing w:before="480" w:after="480" w:line="360" w:lineRule="auto"/>
        <w:jc w:val="both"/>
        <w:rPr>
          <w:rFonts w:cs="Arial"/>
          <w:bCs/>
          <w:szCs w:val="22"/>
        </w:rPr>
      </w:pPr>
      <w:r w:rsidRPr="003B6C02">
        <w:rPr>
          <w:rFonts w:cs="Arial"/>
          <w:bCs/>
          <w:szCs w:val="22"/>
        </w:rPr>
        <w:t>[51]</w:t>
      </w:r>
      <w:r w:rsidRPr="003B6C02">
        <w:rPr>
          <w:rFonts w:cs="Arial"/>
          <w:bCs/>
          <w:szCs w:val="22"/>
        </w:rPr>
        <w:tab/>
      </w:r>
      <w:r w:rsidR="00DC2E38">
        <w:rPr>
          <w:rFonts w:cs="Arial"/>
          <w:bCs/>
          <w:szCs w:val="22"/>
        </w:rPr>
        <w:t xml:space="preserve">In his letter of 13 February 2023 to the parties the arbitrator referred to the recent history including the dismissal of a </w:t>
      </w:r>
      <w:r w:rsidR="00DC2E38" w:rsidRPr="00AC022F">
        <w:rPr>
          <w:rFonts w:cs="Arial"/>
          <w:bCs/>
          <w:i/>
          <w:iCs/>
          <w:szCs w:val="22"/>
        </w:rPr>
        <w:t>“postponement/discovery”</w:t>
      </w:r>
      <w:r w:rsidR="00DC2E38">
        <w:rPr>
          <w:rFonts w:cs="Arial"/>
          <w:bCs/>
          <w:szCs w:val="22"/>
        </w:rPr>
        <w:t xml:space="preserve"> application by Altech. </w:t>
      </w:r>
      <w:r w:rsidR="00E83DA2">
        <w:rPr>
          <w:rFonts w:cs="Arial"/>
          <w:bCs/>
          <w:szCs w:val="22"/>
        </w:rPr>
        <w:t>He</w:t>
      </w:r>
      <w:r w:rsidR="00DC2E38">
        <w:rPr>
          <w:rFonts w:cs="Arial"/>
          <w:bCs/>
          <w:szCs w:val="22"/>
        </w:rPr>
        <w:t xml:space="preserve"> expressed the view that the concession had rendered redundant most of the witness statements and the evidence of the witnesses who had </w:t>
      </w:r>
      <w:r w:rsidR="00E83DA2">
        <w:rPr>
          <w:rFonts w:cs="Arial"/>
          <w:bCs/>
          <w:szCs w:val="22"/>
        </w:rPr>
        <w:t xml:space="preserve">already </w:t>
      </w:r>
      <w:r w:rsidR="00DC2E38">
        <w:rPr>
          <w:rFonts w:cs="Arial"/>
          <w:bCs/>
          <w:szCs w:val="22"/>
        </w:rPr>
        <w:t xml:space="preserve">testified on behalf of Aeonova. He added that Altech’s counsel </w:t>
      </w:r>
      <w:r w:rsidR="003E54E1">
        <w:rPr>
          <w:rFonts w:cs="Arial"/>
          <w:bCs/>
          <w:szCs w:val="22"/>
        </w:rPr>
        <w:t>was</w:t>
      </w:r>
      <w:r w:rsidR="00811776">
        <w:rPr>
          <w:rFonts w:cs="Arial"/>
          <w:bCs/>
          <w:szCs w:val="22"/>
        </w:rPr>
        <w:t xml:space="preserve"> unsure of the witnesses he would need to call </w:t>
      </w:r>
      <w:r w:rsidR="00811776" w:rsidRPr="00811776">
        <w:rPr>
          <w:rFonts w:cs="Arial"/>
          <w:bCs/>
          <w:i/>
          <w:iCs/>
          <w:szCs w:val="22"/>
        </w:rPr>
        <w:t>“and that there seemed to be an acceptance that the arbitrator would make an award that Altech must account.”</w:t>
      </w:r>
      <w:r w:rsidR="00811776">
        <w:rPr>
          <w:rFonts w:cs="Arial"/>
          <w:bCs/>
          <w:i/>
          <w:iCs/>
          <w:szCs w:val="22"/>
        </w:rPr>
        <w:t xml:space="preserve"> </w:t>
      </w:r>
      <w:r w:rsidR="00811776">
        <w:rPr>
          <w:rFonts w:cs="Arial"/>
          <w:bCs/>
          <w:szCs w:val="22"/>
        </w:rPr>
        <w:t xml:space="preserve">He added that once Altech’s counsel had considered the effect of the concession </w:t>
      </w:r>
      <w:r w:rsidR="00811776" w:rsidRPr="00811776">
        <w:rPr>
          <w:rFonts w:cs="Arial"/>
          <w:bCs/>
          <w:i/>
          <w:iCs/>
          <w:szCs w:val="22"/>
        </w:rPr>
        <w:t>“it may turn out that there is very little, if any, evidence that Altech wishes to present.”</w:t>
      </w:r>
      <w:r w:rsidR="003B6C02">
        <w:rPr>
          <w:rFonts w:cs="Arial"/>
          <w:bCs/>
          <w:i/>
          <w:iCs/>
          <w:szCs w:val="22"/>
        </w:rPr>
        <w:t xml:space="preserve"> </w:t>
      </w:r>
    </w:p>
    <w:p w14:paraId="09460F5C" w14:textId="683487C5" w:rsidR="00E83DA2" w:rsidRDefault="00CE6537" w:rsidP="00CE6537">
      <w:pPr>
        <w:widowControl w:val="0"/>
        <w:tabs>
          <w:tab w:val="left" w:pos="567"/>
        </w:tabs>
        <w:spacing w:before="480" w:after="480" w:line="360" w:lineRule="auto"/>
        <w:jc w:val="both"/>
        <w:rPr>
          <w:rFonts w:cs="Arial"/>
          <w:bCs/>
          <w:szCs w:val="22"/>
        </w:rPr>
      </w:pPr>
      <w:r>
        <w:rPr>
          <w:rFonts w:cs="Arial"/>
          <w:bCs/>
          <w:szCs w:val="22"/>
        </w:rPr>
        <w:t>[52]</w:t>
      </w:r>
      <w:r>
        <w:rPr>
          <w:rFonts w:cs="Arial"/>
          <w:bCs/>
          <w:szCs w:val="22"/>
        </w:rPr>
        <w:tab/>
      </w:r>
      <w:r w:rsidR="003B6C02">
        <w:rPr>
          <w:rFonts w:cs="Arial"/>
          <w:bCs/>
          <w:szCs w:val="22"/>
        </w:rPr>
        <w:t xml:space="preserve">Reading the letter as a whole and in context, it is a letter discussing the future conduct of the arbitration with both parties. An arbitrator should be encouraged, rather than discouraged to express </w:t>
      </w:r>
      <w:r w:rsidR="003B6C02" w:rsidRPr="003B6C02">
        <w:rPr>
          <w:rFonts w:cs="Arial"/>
          <w:bCs/>
          <w:i/>
          <w:iCs/>
          <w:szCs w:val="22"/>
        </w:rPr>
        <w:t>prima facie</w:t>
      </w:r>
      <w:r w:rsidR="003B6C02">
        <w:rPr>
          <w:rFonts w:cs="Arial"/>
          <w:bCs/>
          <w:szCs w:val="22"/>
        </w:rPr>
        <w:t xml:space="preserve"> </w:t>
      </w:r>
      <w:r w:rsidR="00AC022F">
        <w:rPr>
          <w:rFonts w:cs="Arial"/>
          <w:bCs/>
          <w:szCs w:val="22"/>
        </w:rPr>
        <w:t>views</w:t>
      </w:r>
      <w:r w:rsidR="003B6C02">
        <w:rPr>
          <w:rFonts w:cs="Arial"/>
          <w:bCs/>
          <w:szCs w:val="22"/>
        </w:rPr>
        <w:t xml:space="preserve"> to the parties so they can deal with th</w:t>
      </w:r>
      <w:r w:rsidR="00AC022F">
        <w:rPr>
          <w:rFonts w:cs="Arial"/>
          <w:bCs/>
          <w:szCs w:val="22"/>
        </w:rPr>
        <w:t>em</w:t>
      </w:r>
      <w:r w:rsidR="003B6C02">
        <w:rPr>
          <w:rFonts w:cs="Arial"/>
          <w:bCs/>
          <w:szCs w:val="22"/>
        </w:rPr>
        <w:t>.</w:t>
      </w:r>
      <w:r w:rsidR="00D6548A">
        <w:rPr>
          <w:rFonts w:cs="Arial"/>
          <w:bCs/>
          <w:szCs w:val="22"/>
        </w:rPr>
        <w:t xml:space="preserve"> After all,  </w:t>
      </w:r>
      <w:r w:rsidR="00D6548A" w:rsidRPr="00D6548A">
        <w:rPr>
          <w:rFonts w:cs="Arial"/>
          <w:bCs/>
          <w:i/>
          <w:iCs/>
          <w:szCs w:val="22"/>
        </w:rPr>
        <w:t>prima facie</w:t>
      </w:r>
      <w:r w:rsidR="00D6548A">
        <w:rPr>
          <w:rFonts w:cs="Arial"/>
          <w:bCs/>
          <w:szCs w:val="22"/>
        </w:rPr>
        <w:t xml:space="preserve"> view</w:t>
      </w:r>
      <w:r w:rsidR="00E83DA2">
        <w:rPr>
          <w:rFonts w:cs="Arial"/>
          <w:bCs/>
          <w:szCs w:val="22"/>
        </w:rPr>
        <w:t>s</w:t>
      </w:r>
      <w:r w:rsidR="00D6548A">
        <w:rPr>
          <w:rFonts w:cs="Arial"/>
          <w:bCs/>
          <w:szCs w:val="22"/>
        </w:rPr>
        <w:t xml:space="preserve"> may be wrong, </w:t>
      </w:r>
      <w:r w:rsidR="00AC022F">
        <w:rPr>
          <w:rFonts w:cs="Arial"/>
          <w:bCs/>
          <w:szCs w:val="22"/>
        </w:rPr>
        <w:t xml:space="preserve">forewarned is forearmed, </w:t>
      </w:r>
      <w:r w:rsidR="00D6548A">
        <w:rPr>
          <w:rFonts w:cs="Arial"/>
          <w:bCs/>
          <w:szCs w:val="22"/>
        </w:rPr>
        <w:t xml:space="preserve">and parties should be given the opportunity to grapple with those views. </w:t>
      </w:r>
      <w:r w:rsidR="009729BD">
        <w:rPr>
          <w:rFonts w:cs="Arial"/>
          <w:bCs/>
          <w:szCs w:val="22"/>
        </w:rPr>
        <w:t xml:space="preserve">Whether </w:t>
      </w:r>
      <w:r w:rsidR="009729BD" w:rsidRPr="009729BD">
        <w:rPr>
          <w:rFonts w:cs="Arial"/>
          <w:bCs/>
          <w:i/>
          <w:iCs/>
          <w:szCs w:val="22"/>
        </w:rPr>
        <w:t>“the arbitrator’s assumption of Altech’s counsels [sic] state of mind is manifestly incorrect”</w:t>
      </w:r>
      <w:r w:rsidR="009729BD">
        <w:rPr>
          <w:rFonts w:cs="Arial"/>
          <w:bCs/>
          <w:i/>
          <w:iCs/>
          <w:szCs w:val="22"/>
        </w:rPr>
        <w:t xml:space="preserve"> </w:t>
      </w:r>
      <w:r w:rsidR="009729BD">
        <w:rPr>
          <w:rFonts w:cs="Arial"/>
          <w:bCs/>
          <w:szCs w:val="22"/>
        </w:rPr>
        <w:t>as alleged by Altech’s deponent is really irrelevant to the submission that the arbitrator relied on the concession in his award without saying so.</w:t>
      </w:r>
      <w:r w:rsidR="009729BD" w:rsidRPr="009729BD">
        <w:rPr>
          <w:rFonts w:cs="Arial"/>
          <w:bCs/>
          <w:szCs w:val="22"/>
        </w:rPr>
        <w:t xml:space="preserve"> </w:t>
      </w:r>
      <w:r w:rsidR="00E83DA2">
        <w:rPr>
          <w:rFonts w:cs="Arial"/>
          <w:bCs/>
          <w:szCs w:val="22"/>
        </w:rPr>
        <w:t xml:space="preserve">The Altech legal team was at all times at liberty to point out to the arbitrator that his assumption regarding the state of mind of counsel was wrong. </w:t>
      </w:r>
    </w:p>
    <w:p w14:paraId="4A2DBA87" w14:textId="64D205C7" w:rsidR="00672E95" w:rsidRDefault="00CE6537" w:rsidP="00CE6537">
      <w:pPr>
        <w:widowControl w:val="0"/>
        <w:tabs>
          <w:tab w:val="left" w:pos="567"/>
        </w:tabs>
        <w:spacing w:before="480" w:after="480" w:line="360" w:lineRule="auto"/>
        <w:jc w:val="both"/>
        <w:rPr>
          <w:rFonts w:cs="Arial"/>
          <w:bCs/>
          <w:szCs w:val="22"/>
        </w:rPr>
      </w:pPr>
      <w:r>
        <w:rPr>
          <w:rFonts w:cs="Arial"/>
          <w:bCs/>
          <w:szCs w:val="22"/>
        </w:rPr>
        <w:t>[53]</w:t>
      </w:r>
      <w:r>
        <w:rPr>
          <w:rFonts w:cs="Arial"/>
          <w:bCs/>
          <w:szCs w:val="22"/>
        </w:rPr>
        <w:tab/>
      </w:r>
      <w:r w:rsidR="009729BD">
        <w:rPr>
          <w:rFonts w:cs="Arial"/>
          <w:bCs/>
          <w:szCs w:val="22"/>
        </w:rPr>
        <w:t xml:space="preserve">There is nothing in either of the letters to merit the inference that the arbitrator was </w:t>
      </w:r>
      <w:r w:rsidR="009729BD" w:rsidRPr="009729BD">
        <w:rPr>
          <w:rFonts w:cs="Arial"/>
          <w:bCs/>
          <w:i/>
          <w:iCs/>
          <w:szCs w:val="22"/>
        </w:rPr>
        <w:t>“strongly influenced”</w:t>
      </w:r>
      <w:r w:rsidR="009729BD">
        <w:rPr>
          <w:rFonts w:cs="Arial"/>
          <w:bCs/>
          <w:szCs w:val="22"/>
        </w:rPr>
        <w:t xml:space="preserve"> by Altech’s concession in writing his award.</w:t>
      </w:r>
    </w:p>
    <w:p w14:paraId="14BD2DA5" w14:textId="77777777" w:rsidR="00CD0D1D" w:rsidRDefault="00CD0D1D" w:rsidP="003E54E1">
      <w:pPr>
        <w:widowControl w:val="0"/>
        <w:spacing w:before="480" w:after="480" w:line="360" w:lineRule="auto"/>
        <w:jc w:val="both"/>
        <w:rPr>
          <w:rFonts w:cs="Arial"/>
          <w:bCs/>
          <w:szCs w:val="22"/>
          <w:u w:val="single"/>
        </w:rPr>
      </w:pPr>
    </w:p>
    <w:p w14:paraId="67FB0AB9" w14:textId="530C2A3C" w:rsidR="003E54E1" w:rsidRPr="003E54E1" w:rsidRDefault="003E54E1" w:rsidP="003E54E1">
      <w:pPr>
        <w:widowControl w:val="0"/>
        <w:spacing w:before="480" w:after="480" w:line="360" w:lineRule="auto"/>
        <w:jc w:val="both"/>
        <w:rPr>
          <w:rFonts w:cs="Arial"/>
          <w:bCs/>
          <w:szCs w:val="22"/>
          <w:u w:val="single"/>
        </w:rPr>
      </w:pPr>
      <w:r w:rsidRPr="003E54E1">
        <w:rPr>
          <w:rFonts w:cs="Arial"/>
          <w:bCs/>
          <w:szCs w:val="22"/>
          <w:u w:val="single"/>
        </w:rPr>
        <w:t>Conclusion</w:t>
      </w:r>
    </w:p>
    <w:p w14:paraId="49B1067F" w14:textId="38B07700" w:rsidR="003E54E1" w:rsidRDefault="00CE6537" w:rsidP="00CE6537">
      <w:pPr>
        <w:widowControl w:val="0"/>
        <w:tabs>
          <w:tab w:val="left" w:pos="567"/>
        </w:tabs>
        <w:spacing w:before="480" w:after="480" w:line="360" w:lineRule="auto"/>
        <w:jc w:val="both"/>
        <w:rPr>
          <w:rFonts w:cs="Arial"/>
          <w:bCs/>
          <w:szCs w:val="22"/>
        </w:rPr>
      </w:pPr>
      <w:r>
        <w:rPr>
          <w:rFonts w:cs="Arial"/>
          <w:bCs/>
          <w:szCs w:val="22"/>
        </w:rPr>
        <w:t>[5</w:t>
      </w:r>
      <w:bookmarkStart w:id="0" w:name="_GoBack"/>
      <w:bookmarkEnd w:id="0"/>
      <w:r>
        <w:rPr>
          <w:rFonts w:cs="Arial"/>
          <w:bCs/>
          <w:szCs w:val="22"/>
        </w:rPr>
        <w:t>4]</w:t>
      </w:r>
      <w:r>
        <w:rPr>
          <w:rFonts w:cs="Arial"/>
          <w:bCs/>
          <w:szCs w:val="22"/>
        </w:rPr>
        <w:tab/>
      </w:r>
      <w:r w:rsidR="003E54E1">
        <w:rPr>
          <w:rFonts w:cs="Arial"/>
          <w:bCs/>
          <w:szCs w:val="22"/>
        </w:rPr>
        <w:t>For the reasons set out above I make the order in paragraph 1.</w:t>
      </w:r>
    </w:p>
    <w:p w14:paraId="53CD27EE" w14:textId="672559CF" w:rsidR="00AE287F" w:rsidRPr="00C74E97" w:rsidRDefault="00A649E6" w:rsidP="006C43D7">
      <w:pPr>
        <w:tabs>
          <w:tab w:val="right" w:pos="0"/>
        </w:tabs>
        <w:spacing w:line="360" w:lineRule="auto"/>
        <w:contextualSpacing/>
        <w:jc w:val="right"/>
        <w:rPr>
          <w:rFonts w:cs="Arial"/>
          <w:b/>
          <w:szCs w:val="22"/>
        </w:rPr>
      </w:pPr>
      <w:r w:rsidRPr="00C74E97">
        <w:rPr>
          <w:rFonts w:cs="Arial"/>
          <w:b/>
          <w:szCs w:val="22"/>
        </w:rPr>
        <w:t>______________</w:t>
      </w:r>
    </w:p>
    <w:p w14:paraId="0CCB9BFE" w14:textId="7ABE564D" w:rsidR="006C43D7" w:rsidRPr="00C74E97" w:rsidRDefault="00C676F3" w:rsidP="006C43D7">
      <w:pPr>
        <w:tabs>
          <w:tab w:val="right" w:pos="0"/>
        </w:tabs>
        <w:spacing w:line="360" w:lineRule="auto"/>
        <w:contextualSpacing/>
        <w:jc w:val="right"/>
        <w:rPr>
          <w:rFonts w:cs="Arial"/>
          <w:b/>
          <w:szCs w:val="22"/>
        </w:rPr>
      </w:pPr>
      <w:r w:rsidRPr="00C74E97">
        <w:rPr>
          <w:rFonts w:cs="Arial"/>
          <w:b/>
          <w:szCs w:val="22"/>
        </w:rPr>
        <w:t>J MOORCROFT</w:t>
      </w:r>
    </w:p>
    <w:p w14:paraId="7A2C1059" w14:textId="77777777" w:rsidR="006C43D7" w:rsidRPr="00C74E97" w:rsidRDefault="006C43D7" w:rsidP="006C43D7">
      <w:pPr>
        <w:tabs>
          <w:tab w:val="right" w:pos="0"/>
        </w:tabs>
        <w:spacing w:line="360" w:lineRule="auto"/>
        <w:contextualSpacing/>
        <w:jc w:val="right"/>
        <w:rPr>
          <w:rFonts w:cs="Arial"/>
          <w:b/>
          <w:szCs w:val="22"/>
        </w:rPr>
      </w:pPr>
      <w:r w:rsidRPr="00C74E97">
        <w:rPr>
          <w:rFonts w:cs="Arial"/>
          <w:b/>
          <w:szCs w:val="22"/>
        </w:rPr>
        <w:t>ACTING JUDGE OF THE HIGH COURT OF SOUTH AFRICA</w:t>
      </w:r>
    </w:p>
    <w:p w14:paraId="077C2590" w14:textId="7452355B" w:rsidR="006C43D7" w:rsidRPr="00C74E97" w:rsidRDefault="006C43D7" w:rsidP="006C43D7">
      <w:pPr>
        <w:tabs>
          <w:tab w:val="right" w:pos="0"/>
          <w:tab w:val="left" w:pos="4253"/>
        </w:tabs>
        <w:spacing w:line="360" w:lineRule="auto"/>
        <w:contextualSpacing/>
        <w:jc w:val="right"/>
        <w:rPr>
          <w:rFonts w:cs="Arial"/>
          <w:b/>
          <w:szCs w:val="22"/>
        </w:rPr>
      </w:pPr>
      <w:r w:rsidRPr="00C74E97">
        <w:rPr>
          <w:rFonts w:cs="Arial"/>
          <w:b/>
          <w:szCs w:val="22"/>
        </w:rPr>
        <w:t>GAUTENG DIVISION</w:t>
      </w:r>
    </w:p>
    <w:p w14:paraId="40B9C946" w14:textId="77777777" w:rsidR="006C43D7" w:rsidRPr="00C74E97" w:rsidRDefault="006C43D7" w:rsidP="006C43D7">
      <w:pPr>
        <w:tabs>
          <w:tab w:val="right" w:pos="0"/>
          <w:tab w:val="left" w:pos="4253"/>
        </w:tabs>
        <w:spacing w:line="360" w:lineRule="auto"/>
        <w:contextualSpacing/>
        <w:jc w:val="right"/>
        <w:rPr>
          <w:rFonts w:cs="Arial"/>
          <w:b/>
          <w:szCs w:val="22"/>
        </w:rPr>
      </w:pPr>
      <w:r w:rsidRPr="00C74E97">
        <w:rPr>
          <w:rFonts w:cs="Arial"/>
          <w:b/>
          <w:szCs w:val="22"/>
        </w:rPr>
        <w:lastRenderedPageBreak/>
        <w:t>JOHANNESBURG</w:t>
      </w:r>
    </w:p>
    <w:p w14:paraId="326B529B" w14:textId="77777777" w:rsidR="006C43D7" w:rsidRPr="00C74E97" w:rsidRDefault="006C43D7" w:rsidP="006C43D7">
      <w:pPr>
        <w:tabs>
          <w:tab w:val="right" w:pos="0"/>
          <w:tab w:val="left" w:pos="4253"/>
        </w:tabs>
        <w:spacing w:line="360" w:lineRule="auto"/>
        <w:contextualSpacing/>
        <w:jc w:val="center"/>
        <w:rPr>
          <w:rFonts w:cs="Arial"/>
          <w:b/>
          <w:szCs w:val="22"/>
        </w:rPr>
      </w:pPr>
    </w:p>
    <w:p w14:paraId="5A4CC56C" w14:textId="051C4E22" w:rsidR="006C43D7" w:rsidRPr="00C74E97" w:rsidRDefault="006C43D7" w:rsidP="006C43D7">
      <w:pPr>
        <w:spacing w:after="200" w:line="480" w:lineRule="auto"/>
        <w:contextualSpacing/>
        <w:jc w:val="right"/>
        <w:rPr>
          <w:rFonts w:cs="Arial"/>
          <w:b/>
          <w:i/>
          <w:iCs/>
          <w:szCs w:val="22"/>
        </w:rPr>
      </w:pPr>
      <w:r w:rsidRPr="00C74E97">
        <w:rPr>
          <w:rFonts w:cs="Arial"/>
          <w:b/>
          <w:i/>
          <w:iCs/>
          <w:szCs w:val="22"/>
        </w:rPr>
        <w:t>Electronically submitted</w:t>
      </w:r>
    </w:p>
    <w:p w14:paraId="4E3E9427" w14:textId="77777777" w:rsidR="006C43D7" w:rsidRPr="00C74E97" w:rsidRDefault="006C43D7" w:rsidP="006C43D7">
      <w:pPr>
        <w:spacing w:after="200" w:line="360" w:lineRule="auto"/>
        <w:contextualSpacing/>
        <w:jc w:val="both"/>
        <w:rPr>
          <w:rFonts w:eastAsia="Arial Unicode MS" w:cs="Arial"/>
          <w:bCs/>
          <w:szCs w:val="22"/>
        </w:rPr>
      </w:pPr>
    </w:p>
    <w:p w14:paraId="51C686CA" w14:textId="1E35EF3F" w:rsidR="006C43D7" w:rsidRPr="00C74E97" w:rsidRDefault="006C43D7" w:rsidP="006C43D7">
      <w:pPr>
        <w:spacing w:after="200" w:line="360" w:lineRule="auto"/>
        <w:contextualSpacing/>
        <w:jc w:val="both"/>
        <w:rPr>
          <w:rFonts w:eastAsia="Arial Unicode MS" w:cs="Arial"/>
          <w:bCs/>
          <w:szCs w:val="22"/>
        </w:rPr>
      </w:pPr>
      <w:r w:rsidRPr="00C74E97">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C74E97">
        <w:rPr>
          <w:rFonts w:eastAsia="Arial Unicode MS" w:cs="Arial"/>
          <w:bCs/>
          <w:szCs w:val="22"/>
        </w:rPr>
        <w:t xml:space="preserve"> </w:t>
      </w:r>
      <w:r w:rsidR="00CD0D1D">
        <w:rPr>
          <w:rFonts w:eastAsia="Arial Unicode MS" w:cs="Arial"/>
          <w:b/>
          <w:szCs w:val="22"/>
        </w:rPr>
        <w:t>15 MAY</w:t>
      </w:r>
      <w:r w:rsidR="00DC6EF8" w:rsidRPr="00C74E97">
        <w:rPr>
          <w:rFonts w:eastAsia="Arial Unicode MS" w:cs="Arial"/>
          <w:b/>
          <w:szCs w:val="22"/>
        </w:rPr>
        <w:t xml:space="preserve"> </w:t>
      </w:r>
      <w:r w:rsidR="00237FF9" w:rsidRPr="00C74E97">
        <w:rPr>
          <w:rFonts w:eastAsia="Arial Unicode MS" w:cs="Arial"/>
          <w:b/>
          <w:bCs/>
          <w:szCs w:val="22"/>
        </w:rPr>
        <w:t>202</w:t>
      </w:r>
      <w:r w:rsidR="00051A2B" w:rsidRPr="00C74E97">
        <w:rPr>
          <w:rFonts w:eastAsia="Arial Unicode MS" w:cs="Arial"/>
          <w:b/>
          <w:bCs/>
          <w:szCs w:val="22"/>
        </w:rPr>
        <w:t>3</w:t>
      </w:r>
      <w:r w:rsidR="00051A2B" w:rsidRPr="00C74E97">
        <w:rPr>
          <w:rFonts w:eastAsia="Arial Unicode MS" w:cs="Arial"/>
          <w:bCs/>
          <w:szCs w:val="22"/>
        </w:rPr>
        <w:t>.</w:t>
      </w:r>
    </w:p>
    <w:p w14:paraId="482DDF6E" w14:textId="77777777" w:rsidR="006C43D7" w:rsidRPr="00C74E97" w:rsidRDefault="006C43D7" w:rsidP="006C43D7">
      <w:pPr>
        <w:tabs>
          <w:tab w:val="right" w:pos="0"/>
          <w:tab w:val="left" w:pos="4253"/>
        </w:tabs>
        <w:spacing w:line="360" w:lineRule="auto"/>
        <w:contextualSpacing/>
        <w:jc w:val="center"/>
        <w:rPr>
          <w:rFonts w:cs="Arial"/>
          <w:b/>
          <w:szCs w:val="22"/>
        </w:rPr>
      </w:pPr>
    </w:p>
    <w:tbl>
      <w:tblPr>
        <w:tblStyle w:val="TableGrid"/>
        <w:tblW w:w="80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402"/>
      </w:tblGrid>
      <w:tr w:rsidR="009D35B5" w:rsidRPr="00C74E97" w14:paraId="493AF0D7" w14:textId="77777777" w:rsidTr="00027D19">
        <w:tc>
          <w:tcPr>
            <w:tcW w:w="4678" w:type="dxa"/>
          </w:tcPr>
          <w:p w14:paraId="6A05541A" w14:textId="61334A5F" w:rsidR="009D35B5" w:rsidRPr="00C74E97" w:rsidRDefault="009D35B5" w:rsidP="00A25AB4">
            <w:pPr>
              <w:tabs>
                <w:tab w:val="right" w:pos="0"/>
                <w:tab w:val="left" w:pos="4253"/>
              </w:tabs>
              <w:spacing w:before="120" w:after="120"/>
              <w:rPr>
                <w:rFonts w:cs="Arial"/>
                <w:szCs w:val="22"/>
              </w:rPr>
            </w:pPr>
            <w:r w:rsidRPr="00C74E97">
              <w:rPr>
                <w:rFonts w:cs="Arial"/>
                <w:szCs w:val="22"/>
              </w:rPr>
              <w:t xml:space="preserve">COUNSEL FOR THE </w:t>
            </w:r>
            <w:r w:rsidR="00027D19">
              <w:rPr>
                <w:rFonts w:cs="Arial"/>
                <w:szCs w:val="22"/>
              </w:rPr>
              <w:t>APPLICANT</w:t>
            </w:r>
            <w:r w:rsidRPr="00C74E97">
              <w:rPr>
                <w:rFonts w:cs="Arial"/>
                <w:szCs w:val="22"/>
              </w:rPr>
              <w:t>:</w:t>
            </w:r>
          </w:p>
        </w:tc>
        <w:tc>
          <w:tcPr>
            <w:tcW w:w="3402" w:type="dxa"/>
          </w:tcPr>
          <w:p w14:paraId="5909952A" w14:textId="77777777" w:rsidR="00DC6EF8" w:rsidRDefault="00D15C79" w:rsidP="00A25AB4">
            <w:pPr>
              <w:tabs>
                <w:tab w:val="right" w:pos="0"/>
                <w:tab w:val="left" w:pos="567"/>
                <w:tab w:val="right" w:pos="2727"/>
                <w:tab w:val="left" w:pos="4253"/>
              </w:tabs>
              <w:spacing w:before="120" w:after="120"/>
              <w:jc w:val="right"/>
              <w:rPr>
                <w:rFonts w:cs="Arial"/>
                <w:szCs w:val="22"/>
              </w:rPr>
            </w:pPr>
            <w:r>
              <w:rPr>
                <w:rFonts w:cs="Arial"/>
                <w:szCs w:val="22"/>
              </w:rPr>
              <w:t>S BUDLENDER SC</w:t>
            </w:r>
          </w:p>
          <w:p w14:paraId="69785AA9" w14:textId="390D75C5" w:rsidR="00D15C79" w:rsidRPr="00C74E97" w:rsidRDefault="00D15C79" w:rsidP="00A25AB4">
            <w:pPr>
              <w:tabs>
                <w:tab w:val="right" w:pos="0"/>
                <w:tab w:val="left" w:pos="567"/>
                <w:tab w:val="right" w:pos="2727"/>
                <w:tab w:val="left" w:pos="4253"/>
              </w:tabs>
              <w:spacing w:before="120" w:after="120"/>
              <w:jc w:val="right"/>
              <w:rPr>
                <w:rFonts w:cs="Arial"/>
                <w:szCs w:val="22"/>
              </w:rPr>
            </w:pPr>
            <w:r>
              <w:rPr>
                <w:rFonts w:cs="Arial"/>
                <w:szCs w:val="22"/>
              </w:rPr>
              <w:t>L MINNÉ</w:t>
            </w:r>
          </w:p>
        </w:tc>
      </w:tr>
      <w:tr w:rsidR="009D35B5" w:rsidRPr="00C74E97" w14:paraId="183C176D" w14:textId="77777777" w:rsidTr="00027D19">
        <w:tc>
          <w:tcPr>
            <w:tcW w:w="4678" w:type="dxa"/>
          </w:tcPr>
          <w:p w14:paraId="75365413" w14:textId="481747BC" w:rsidR="009D35B5" w:rsidRPr="00C74E97" w:rsidRDefault="009D35B5" w:rsidP="00A25AB4">
            <w:pPr>
              <w:tabs>
                <w:tab w:val="right" w:pos="0"/>
                <w:tab w:val="left" w:pos="4253"/>
              </w:tabs>
              <w:spacing w:before="120" w:after="120"/>
              <w:rPr>
                <w:rFonts w:cs="Arial"/>
                <w:szCs w:val="22"/>
              </w:rPr>
            </w:pPr>
            <w:r w:rsidRPr="00C74E97">
              <w:rPr>
                <w:rFonts w:cs="Arial"/>
                <w:szCs w:val="22"/>
              </w:rPr>
              <w:t>INSTRUCTED BY:</w:t>
            </w:r>
          </w:p>
        </w:tc>
        <w:tc>
          <w:tcPr>
            <w:tcW w:w="3402" w:type="dxa"/>
          </w:tcPr>
          <w:p w14:paraId="4044534A" w14:textId="7B2479DA" w:rsidR="00E10D04" w:rsidRPr="00C74E97" w:rsidRDefault="00E10D04" w:rsidP="00A25AB4">
            <w:pPr>
              <w:tabs>
                <w:tab w:val="right" w:pos="0"/>
                <w:tab w:val="left" w:pos="4253"/>
              </w:tabs>
              <w:spacing w:before="120" w:after="120"/>
              <w:jc w:val="right"/>
              <w:rPr>
                <w:rFonts w:cs="Arial"/>
                <w:szCs w:val="22"/>
              </w:rPr>
            </w:pPr>
            <w:r>
              <w:rPr>
                <w:rFonts w:cs="Arial"/>
                <w:szCs w:val="22"/>
              </w:rPr>
              <w:t>THOMSON WILKS ATTORNEYS</w:t>
            </w:r>
          </w:p>
        </w:tc>
      </w:tr>
      <w:tr w:rsidR="009D35B5" w:rsidRPr="00C74E97" w14:paraId="6E2BF966" w14:textId="77777777" w:rsidTr="00027D19">
        <w:tc>
          <w:tcPr>
            <w:tcW w:w="4678" w:type="dxa"/>
          </w:tcPr>
          <w:p w14:paraId="545B6665" w14:textId="4512BE19" w:rsidR="009D35B5" w:rsidRPr="00C74E97" w:rsidRDefault="009D35B5" w:rsidP="00A25AB4">
            <w:pPr>
              <w:tabs>
                <w:tab w:val="right" w:pos="0"/>
                <w:tab w:val="left" w:pos="4253"/>
              </w:tabs>
              <w:spacing w:before="120" w:after="120"/>
              <w:rPr>
                <w:rFonts w:cs="Arial"/>
                <w:szCs w:val="22"/>
              </w:rPr>
            </w:pPr>
            <w:r w:rsidRPr="00C74E97">
              <w:rPr>
                <w:rFonts w:cs="Arial"/>
                <w:szCs w:val="22"/>
              </w:rPr>
              <w:t xml:space="preserve">COUNSEL FOR </w:t>
            </w:r>
            <w:r w:rsidR="00027D19">
              <w:rPr>
                <w:rFonts w:cs="Arial"/>
                <w:szCs w:val="22"/>
              </w:rPr>
              <w:t>RESPONDENT</w:t>
            </w:r>
            <w:r w:rsidRPr="00C74E97">
              <w:rPr>
                <w:rFonts w:cs="Arial"/>
                <w:szCs w:val="22"/>
              </w:rPr>
              <w:t>:</w:t>
            </w:r>
          </w:p>
        </w:tc>
        <w:tc>
          <w:tcPr>
            <w:tcW w:w="3402" w:type="dxa"/>
          </w:tcPr>
          <w:p w14:paraId="3E69AA48" w14:textId="77777777" w:rsidR="00E10D04" w:rsidRDefault="00E10D04" w:rsidP="00A25AB4">
            <w:pPr>
              <w:tabs>
                <w:tab w:val="right" w:pos="0"/>
                <w:tab w:val="left" w:pos="4253"/>
              </w:tabs>
              <w:spacing w:before="120" w:after="120"/>
              <w:jc w:val="right"/>
              <w:rPr>
                <w:rFonts w:cs="Arial"/>
                <w:szCs w:val="22"/>
              </w:rPr>
            </w:pPr>
            <w:r>
              <w:rPr>
                <w:rFonts w:cs="Arial"/>
                <w:szCs w:val="22"/>
              </w:rPr>
              <w:t>J CANE SC</w:t>
            </w:r>
          </w:p>
          <w:p w14:paraId="51741A90" w14:textId="0E8AEDDD" w:rsidR="009D35B5" w:rsidRPr="00C74E97" w:rsidRDefault="00E10D04" w:rsidP="00A25AB4">
            <w:pPr>
              <w:tabs>
                <w:tab w:val="right" w:pos="0"/>
                <w:tab w:val="left" w:pos="4253"/>
              </w:tabs>
              <w:spacing w:before="120" w:after="120"/>
              <w:jc w:val="right"/>
              <w:rPr>
                <w:rFonts w:cs="Arial"/>
                <w:szCs w:val="22"/>
              </w:rPr>
            </w:pPr>
            <w:r>
              <w:rPr>
                <w:rFonts w:cs="Arial"/>
                <w:szCs w:val="22"/>
              </w:rPr>
              <w:t>L SCHÄFER</w:t>
            </w:r>
          </w:p>
        </w:tc>
      </w:tr>
      <w:tr w:rsidR="009D35B5" w:rsidRPr="00C74E97" w14:paraId="1EC4105A" w14:textId="77777777" w:rsidTr="00027D19">
        <w:tc>
          <w:tcPr>
            <w:tcW w:w="4678" w:type="dxa"/>
          </w:tcPr>
          <w:p w14:paraId="184EC2ED" w14:textId="1E42F28A" w:rsidR="009D35B5" w:rsidRPr="00C74E97" w:rsidRDefault="009D35B5" w:rsidP="00A25AB4">
            <w:pPr>
              <w:tabs>
                <w:tab w:val="right" w:pos="0"/>
                <w:tab w:val="left" w:pos="4253"/>
              </w:tabs>
              <w:spacing w:before="120" w:after="120"/>
              <w:rPr>
                <w:rFonts w:cs="Arial"/>
                <w:szCs w:val="22"/>
              </w:rPr>
            </w:pPr>
            <w:r w:rsidRPr="00C74E97">
              <w:rPr>
                <w:rFonts w:cs="Arial"/>
                <w:szCs w:val="22"/>
              </w:rPr>
              <w:t>INSTRUCTED BY:</w:t>
            </w:r>
          </w:p>
        </w:tc>
        <w:tc>
          <w:tcPr>
            <w:tcW w:w="3402" w:type="dxa"/>
          </w:tcPr>
          <w:p w14:paraId="2098BE2A" w14:textId="02443AA8" w:rsidR="009D35B5" w:rsidRPr="00C74E97" w:rsidRDefault="00E10D04" w:rsidP="00A25AB4">
            <w:pPr>
              <w:tabs>
                <w:tab w:val="right" w:pos="0"/>
                <w:tab w:val="left" w:pos="4253"/>
              </w:tabs>
              <w:spacing w:before="120" w:after="120"/>
              <w:jc w:val="right"/>
              <w:rPr>
                <w:rFonts w:cs="Arial"/>
                <w:szCs w:val="22"/>
              </w:rPr>
            </w:pPr>
            <w:r>
              <w:rPr>
                <w:rFonts w:cs="Arial"/>
                <w:szCs w:val="22"/>
              </w:rPr>
              <w:t>A KATHRADA INC</w:t>
            </w:r>
          </w:p>
        </w:tc>
      </w:tr>
      <w:tr w:rsidR="009D35B5" w:rsidRPr="00C74E97" w14:paraId="2A3FE2B1" w14:textId="77777777" w:rsidTr="00027D19">
        <w:tc>
          <w:tcPr>
            <w:tcW w:w="4678" w:type="dxa"/>
          </w:tcPr>
          <w:p w14:paraId="0767D0FE" w14:textId="61925A22" w:rsidR="009D35B5" w:rsidRPr="00C74E97" w:rsidRDefault="009D35B5" w:rsidP="00A25AB4">
            <w:pPr>
              <w:tabs>
                <w:tab w:val="right" w:pos="0"/>
                <w:tab w:val="left" w:pos="4253"/>
              </w:tabs>
              <w:spacing w:before="120" w:after="120"/>
              <w:rPr>
                <w:rFonts w:cs="Arial"/>
                <w:szCs w:val="22"/>
              </w:rPr>
            </w:pPr>
            <w:r w:rsidRPr="00C74E97">
              <w:rPr>
                <w:rFonts w:cs="Arial"/>
                <w:szCs w:val="22"/>
              </w:rPr>
              <w:t xml:space="preserve">DATE </w:t>
            </w:r>
            <w:r w:rsidR="00E57446">
              <w:rPr>
                <w:rFonts w:cs="Arial"/>
                <w:szCs w:val="22"/>
              </w:rPr>
              <w:t>OF ARGUMENT</w:t>
            </w:r>
            <w:r w:rsidRPr="00C74E97">
              <w:rPr>
                <w:rFonts w:cs="Arial"/>
                <w:szCs w:val="22"/>
              </w:rPr>
              <w:t>:</w:t>
            </w:r>
          </w:p>
        </w:tc>
        <w:tc>
          <w:tcPr>
            <w:tcW w:w="3402" w:type="dxa"/>
          </w:tcPr>
          <w:p w14:paraId="34C95147" w14:textId="7DECB49F" w:rsidR="009D35B5" w:rsidRPr="00C74E97" w:rsidRDefault="00027D19" w:rsidP="00A25AB4">
            <w:pPr>
              <w:tabs>
                <w:tab w:val="right" w:pos="0"/>
                <w:tab w:val="left" w:pos="4253"/>
              </w:tabs>
              <w:spacing w:before="120" w:after="120"/>
              <w:jc w:val="right"/>
              <w:rPr>
                <w:rFonts w:cs="Arial"/>
                <w:szCs w:val="22"/>
              </w:rPr>
            </w:pPr>
            <w:r>
              <w:rPr>
                <w:rFonts w:cs="Arial"/>
                <w:szCs w:val="22"/>
              </w:rPr>
              <w:t>3 &amp; 4 MAY 2023</w:t>
            </w:r>
          </w:p>
        </w:tc>
      </w:tr>
      <w:tr w:rsidR="009D35B5" w:rsidRPr="00C74E97" w14:paraId="757AA656" w14:textId="77777777" w:rsidTr="00027D19">
        <w:tc>
          <w:tcPr>
            <w:tcW w:w="4678" w:type="dxa"/>
          </w:tcPr>
          <w:p w14:paraId="05387251" w14:textId="41DF7425" w:rsidR="009D35B5" w:rsidRPr="00C74E97" w:rsidRDefault="009D35B5" w:rsidP="00A25AB4">
            <w:pPr>
              <w:tabs>
                <w:tab w:val="right" w:pos="0"/>
                <w:tab w:val="left" w:pos="4253"/>
              </w:tabs>
              <w:spacing w:before="120" w:after="120"/>
              <w:rPr>
                <w:rFonts w:cs="Arial"/>
                <w:szCs w:val="22"/>
              </w:rPr>
            </w:pPr>
            <w:r w:rsidRPr="00C74E97">
              <w:rPr>
                <w:rFonts w:cs="Arial"/>
                <w:szCs w:val="22"/>
              </w:rPr>
              <w:t xml:space="preserve">DATE OF </w:t>
            </w:r>
            <w:r w:rsidR="00A25AB4">
              <w:rPr>
                <w:rFonts w:cs="Arial"/>
                <w:szCs w:val="22"/>
              </w:rPr>
              <w:t>ORDER</w:t>
            </w:r>
            <w:r w:rsidRPr="00C74E97">
              <w:rPr>
                <w:rFonts w:cs="Arial"/>
                <w:szCs w:val="22"/>
              </w:rPr>
              <w:t>:</w:t>
            </w:r>
          </w:p>
        </w:tc>
        <w:tc>
          <w:tcPr>
            <w:tcW w:w="3402" w:type="dxa"/>
          </w:tcPr>
          <w:p w14:paraId="61863A62" w14:textId="13243D49" w:rsidR="00E45160" w:rsidRPr="00C74E97" w:rsidRDefault="00A25AB4" w:rsidP="00A25AB4">
            <w:pPr>
              <w:tabs>
                <w:tab w:val="right" w:pos="0"/>
                <w:tab w:val="left" w:pos="4253"/>
              </w:tabs>
              <w:spacing w:before="120" w:after="120"/>
              <w:jc w:val="right"/>
              <w:rPr>
                <w:rFonts w:cs="Arial"/>
                <w:szCs w:val="22"/>
              </w:rPr>
            </w:pPr>
            <w:r>
              <w:rPr>
                <w:rFonts w:cs="Arial"/>
                <w:szCs w:val="22"/>
              </w:rPr>
              <w:t>11</w:t>
            </w:r>
            <w:r w:rsidR="00E10D04">
              <w:rPr>
                <w:rFonts w:cs="Arial"/>
                <w:szCs w:val="22"/>
              </w:rPr>
              <w:t xml:space="preserve"> MAY 2023</w:t>
            </w:r>
          </w:p>
        </w:tc>
      </w:tr>
      <w:tr w:rsidR="00A25AB4" w:rsidRPr="00C74E97" w14:paraId="5ECDFF3A" w14:textId="77777777" w:rsidTr="00027D19">
        <w:tc>
          <w:tcPr>
            <w:tcW w:w="4678" w:type="dxa"/>
          </w:tcPr>
          <w:p w14:paraId="1DF2AE9E" w14:textId="1FC539A4" w:rsidR="00A25AB4" w:rsidRPr="00C74E97" w:rsidRDefault="00A25AB4" w:rsidP="00A25AB4">
            <w:pPr>
              <w:tabs>
                <w:tab w:val="right" w:pos="0"/>
                <w:tab w:val="left" w:pos="4253"/>
              </w:tabs>
              <w:spacing w:before="120" w:after="120"/>
              <w:rPr>
                <w:rFonts w:cs="Arial"/>
                <w:szCs w:val="22"/>
              </w:rPr>
            </w:pPr>
            <w:r w:rsidRPr="00C74E97">
              <w:rPr>
                <w:rFonts w:cs="Arial"/>
                <w:szCs w:val="22"/>
              </w:rPr>
              <w:t>DATE OF JUDGMENT:</w:t>
            </w:r>
          </w:p>
        </w:tc>
        <w:tc>
          <w:tcPr>
            <w:tcW w:w="3402" w:type="dxa"/>
          </w:tcPr>
          <w:p w14:paraId="02219E99" w14:textId="704FD65C" w:rsidR="00A25AB4" w:rsidRDefault="00A25AB4" w:rsidP="00A25AB4">
            <w:pPr>
              <w:tabs>
                <w:tab w:val="right" w:pos="0"/>
                <w:tab w:val="left" w:pos="4253"/>
              </w:tabs>
              <w:spacing w:before="120" w:after="120"/>
              <w:jc w:val="right"/>
              <w:rPr>
                <w:rFonts w:cs="Arial"/>
                <w:szCs w:val="22"/>
              </w:rPr>
            </w:pPr>
            <w:r>
              <w:rPr>
                <w:rFonts w:cs="Arial"/>
                <w:szCs w:val="22"/>
              </w:rPr>
              <w:t>15 MAY 2023</w:t>
            </w:r>
          </w:p>
        </w:tc>
      </w:tr>
    </w:tbl>
    <w:p w14:paraId="1BD8F4EB" w14:textId="24205645" w:rsidR="00A402F6" w:rsidRPr="00C74E97" w:rsidRDefault="00A402F6" w:rsidP="00A402F6">
      <w:pPr>
        <w:tabs>
          <w:tab w:val="right" w:pos="8647"/>
        </w:tabs>
        <w:spacing w:line="360" w:lineRule="auto"/>
        <w:contextualSpacing/>
        <w:jc w:val="both"/>
        <w:rPr>
          <w:rFonts w:cs="Arial"/>
          <w:szCs w:val="22"/>
        </w:rPr>
      </w:pPr>
      <w:r w:rsidRPr="00C74E97">
        <w:rPr>
          <w:rFonts w:cs="Arial"/>
          <w:szCs w:val="22"/>
        </w:rPr>
        <w:tab/>
      </w:r>
    </w:p>
    <w:sectPr w:rsidR="00A402F6" w:rsidRPr="00C74E97" w:rsidSect="009869F2">
      <w:headerReference w:type="default" r:id="rId11"/>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1522" w14:textId="77777777" w:rsidR="00615CD1" w:rsidRDefault="00615CD1">
      <w:r>
        <w:separator/>
      </w:r>
    </w:p>
  </w:endnote>
  <w:endnote w:type="continuationSeparator" w:id="0">
    <w:p w14:paraId="1A74F915" w14:textId="77777777" w:rsidR="00615CD1" w:rsidRDefault="0061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E60C3" w14:textId="77777777" w:rsidR="00615CD1" w:rsidRDefault="00615CD1">
      <w:r>
        <w:separator/>
      </w:r>
    </w:p>
  </w:footnote>
  <w:footnote w:type="continuationSeparator" w:id="0">
    <w:p w14:paraId="5F80D54C" w14:textId="77777777" w:rsidR="00615CD1" w:rsidRDefault="00615CD1">
      <w:r>
        <w:continuationSeparator/>
      </w:r>
    </w:p>
  </w:footnote>
  <w:footnote w:id="1">
    <w:p w14:paraId="12252625" w14:textId="43067F88" w:rsidR="00537126" w:rsidRDefault="00537126" w:rsidP="00537126">
      <w:pPr>
        <w:pStyle w:val="FootnoteText"/>
      </w:pPr>
      <w:r>
        <w:rPr>
          <w:rStyle w:val="FootnoteReference"/>
        </w:rPr>
        <w:footnoteRef/>
      </w:r>
      <w:r>
        <w:t xml:space="preserve"> </w:t>
      </w:r>
      <w:r>
        <w:tab/>
      </w:r>
      <w:r>
        <w:rPr>
          <w:rFonts w:cs="Arial"/>
          <w:bCs/>
          <w:szCs w:val="22"/>
        </w:rPr>
        <w:t>The Arbitration Act, 42 of 1965, applies to domestic arbitrations</w:t>
      </w:r>
      <w:r w:rsidRPr="00C14A51">
        <w:rPr>
          <w:rFonts w:cs="Arial"/>
          <w:bCs/>
          <w:szCs w:val="22"/>
        </w:rPr>
        <w:t>.</w:t>
      </w:r>
      <w:r>
        <w:rPr>
          <w:rFonts w:cs="Arial"/>
          <w:bCs/>
          <w:szCs w:val="22"/>
        </w:rPr>
        <w:t xml:space="preserve"> </w:t>
      </w:r>
      <w:r>
        <w:t>The International Arbitration Act, 15 of 2017 governs international arbitrations.</w:t>
      </w:r>
    </w:p>
  </w:footnote>
  <w:footnote w:id="2">
    <w:p w14:paraId="2FD84435" w14:textId="618A0A7E" w:rsidR="006D193A" w:rsidRDefault="006D193A">
      <w:pPr>
        <w:pStyle w:val="FootnoteText"/>
      </w:pPr>
      <w:r>
        <w:rPr>
          <w:rStyle w:val="FootnoteReference"/>
        </w:rPr>
        <w:footnoteRef/>
      </w:r>
      <w:r>
        <w:t xml:space="preserve"> </w:t>
      </w:r>
      <w:r>
        <w:tab/>
        <w:t xml:space="preserve">The arbitrator is a </w:t>
      </w:r>
      <w:r w:rsidR="00A051FB">
        <w:t>substitute</w:t>
      </w:r>
      <w:r>
        <w:t xml:space="preserve"> arbitrator who was appointed by the </w:t>
      </w:r>
      <w:r w:rsidR="00A051FB">
        <w:t xml:space="preserve">Arbitration Foundation of Southern Africa (AFSA) </w:t>
      </w:r>
      <w:r w:rsidR="00DB049D">
        <w:t xml:space="preserve">in accordance with </w:t>
      </w:r>
      <w:r w:rsidR="00E10D04">
        <w:t>Article</w:t>
      </w:r>
      <w:r w:rsidR="00DB049D">
        <w:t xml:space="preserve"> 14.5 of AFSA’s Commercial Rules, </w:t>
      </w:r>
      <w:r w:rsidR="00A051FB">
        <w:t>after being nominated by the parties</w:t>
      </w:r>
      <w:r w:rsidR="00DB049D">
        <w:t>. The appointment became necessary when an initially unforeseen potential conflict of interest arose</w:t>
      </w:r>
      <w:r w:rsidR="00C14B1A">
        <w:t xml:space="preserve"> that the first arbitrator reported when he became aware of it and that then required, in the view of </w:t>
      </w:r>
      <w:r w:rsidR="007B2DF7">
        <w:t xml:space="preserve">an </w:t>
      </w:r>
      <w:r w:rsidR="00C14B1A">
        <w:t>AFSA panel, that a substitute arbitrator be appointed</w:t>
      </w:r>
      <w:r w:rsidR="00DB049D">
        <w:t>.</w:t>
      </w:r>
      <w:r w:rsidR="00A47150">
        <w:t xml:space="preserve"> Some evidence had already been led </w:t>
      </w:r>
      <w:r w:rsidR="00C14B1A">
        <w:t xml:space="preserve">by this state </w:t>
      </w:r>
      <w:r w:rsidR="00A47150">
        <w:t xml:space="preserve">and the arbitrator rejected a proposal that the hearing commence afresh and held that he would avail himself of the evidence already recorded, in terms of </w:t>
      </w:r>
      <w:r w:rsidR="00E10D04">
        <w:t>Article</w:t>
      </w:r>
      <w:r w:rsidR="00A47150">
        <w:t xml:space="preserve"> 14.5.2.</w:t>
      </w:r>
    </w:p>
  </w:footnote>
  <w:footnote w:id="3">
    <w:p w14:paraId="4A30CBCC" w14:textId="777D8AF0" w:rsidR="008019A7" w:rsidRDefault="008019A7">
      <w:pPr>
        <w:pStyle w:val="FootnoteText"/>
      </w:pPr>
      <w:r>
        <w:rPr>
          <w:rStyle w:val="FootnoteReference"/>
        </w:rPr>
        <w:footnoteRef/>
      </w:r>
      <w:r>
        <w:t xml:space="preserve"> </w:t>
      </w:r>
      <w:r>
        <w:tab/>
        <w:t xml:space="preserve">Voet </w:t>
      </w:r>
      <w:r w:rsidRPr="008019A7">
        <w:rPr>
          <w:i/>
          <w:iCs/>
        </w:rPr>
        <w:t>Commentary on the Pandects</w:t>
      </w:r>
      <w:r>
        <w:t xml:space="preserve"> 4.8.1 (translated by Gane).</w:t>
      </w:r>
    </w:p>
  </w:footnote>
  <w:footnote w:id="4">
    <w:p w14:paraId="201EA424" w14:textId="2D1D3AE2" w:rsidR="00C14A51" w:rsidRDefault="00C14A51" w:rsidP="00C14A51">
      <w:pPr>
        <w:pStyle w:val="FootnoteText"/>
      </w:pPr>
      <w:r>
        <w:rPr>
          <w:rStyle w:val="FootnoteReference"/>
        </w:rPr>
        <w:footnoteRef/>
      </w:r>
      <w:r>
        <w:t xml:space="preserve"> </w:t>
      </w:r>
      <w:r>
        <w:tab/>
        <w:t>Such as, in the present matter, the Commercial Rules of AFSA</w:t>
      </w:r>
      <w:r w:rsidR="007B2DF7">
        <w:t>.</w:t>
      </w:r>
    </w:p>
  </w:footnote>
  <w:footnote w:id="5">
    <w:p w14:paraId="5404E8F0" w14:textId="65762394" w:rsidR="00B75CDA" w:rsidRDefault="00B75CDA">
      <w:pPr>
        <w:pStyle w:val="FootnoteText"/>
      </w:pPr>
      <w:r>
        <w:rPr>
          <w:rStyle w:val="FootnoteReference"/>
        </w:rPr>
        <w:footnoteRef/>
      </w:r>
      <w:r>
        <w:t xml:space="preserve"> </w:t>
      </w:r>
      <w:r>
        <w:tab/>
        <w:t>The default position is that there shall be no appea</w:t>
      </w:r>
      <w:r w:rsidR="002302E3">
        <w:t>l</w:t>
      </w:r>
      <w:r>
        <w:t>. See section 28 of the Arbitration Act, 42 of 1965.</w:t>
      </w:r>
    </w:p>
  </w:footnote>
  <w:footnote w:id="6">
    <w:p w14:paraId="1C0BFEDE" w14:textId="49103369" w:rsidR="00F322F5" w:rsidRDefault="00F322F5" w:rsidP="00F322F5">
      <w:pPr>
        <w:pStyle w:val="FootnoteText"/>
      </w:pPr>
      <w:r>
        <w:rPr>
          <w:rStyle w:val="FootnoteReference"/>
        </w:rPr>
        <w:footnoteRef/>
      </w:r>
      <w:r>
        <w:t xml:space="preserve"> </w:t>
      </w:r>
      <w:r>
        <w:tab/>
      </w:r>
      <w:r>
        <w:rPr>
          <w:rFonts w:cs="Arial"/>
          <w:bCs/>
          <w:szCs w:val="22"/>
        </w:rPr>
        <w:t>Altech contended for additional tacit or implied terms that have no bearing on the present litigation.</w:t>
      </w:r>
    </w:p>
  </w:footnote>
  <w:footnote w:id="7">
    <w:p w14:paraId="61F3D9E2" w14:textId="77777777" w:rsidR="00D15C79" w:rsidRDefault="00D15C79" w:rsidP="00D15C79">
      <w:pPr>
        <w:pStyle w:val="FootnoteText"/>
      </w:pPr>
      <w:r>
        <w:rPr>
          <w:rStyle w:val="FootnoteReference"/>
        </w:rPr>
        <w:footnoteRef/>
      </w:r>
      <w:r>
        <w:t xml:space="preserve"> </w:t>
      </w:r>
      <w:r>
        <w:tab/>
        <w:t>CaseLines 07-24, concluded on 14 January 2013.</w:t>
      </w:r>
    </w:p>
  </w:footnote>
  <w:footnote w:id="8">
    <w:p w14:paraId="62FA8C7D" w14:textId="77777777" w:rsidR="00D15C79" w:rsidRDefault="00D15C79" w:rsidP="00D15C79">
      <w:pPr>
        <w:pStyle w:val="FootnoteText"/>
      </w:pPr>
      <w:r>
        <w:rPr>
          <w:rStyle w:val="FootnoteReference"/>
        </w:rPr>
        <w:footnoteRef/>
      </w:r>
      <w:r>
        <w:t xml:space="preserve"> </w:t>
      </w:r>
      <w:r>
        <w:tab/>
        <w:t>CaseLines 07-30, concluded on or around 2 October 2014.</w:t>
      </w:r>
    </w:p>
  </w:footnote>
  <w:footnote w:id="9">
    <w:p w14:paraId="40EC8C00" w14:textId="77777777" w:rsidR="00D15C79" w:rsidRDefault="00D15C79" w:rsidP="00D15C79">
      <w:pPr>
        <w:pStyle w:val="FootnoteText"/>
      </w:pPr>
      <w:r>
        <w:rPr>
          <w:rStyle w:val="FootnoteReference"/>
        </w:rPr>
        <w:footnoteRef/>
      </w:r>
      <w:r>
        <w:t xml:space="preserve"> </w:t>
      </w:r>
      <w:r>
        <w:tab/>
        <w:t>CaseLines 07-66. concluded on 10 October 2014.</w:t>
      </w:r>
    </w:p>
  </w:footnote>
  <w:footnote w:id="10">
    <w:p w14:paraId="65EB2EE4" w14:textId="559999FE" w:rsidR="00B9692A" w:rsidRDefault="00B9692A" w:rsidP="00B9692A">
      <w:pPr>
        <w:pStyle w:val="FootnoteText"/>
      </w:pPr>
      <w:r>
        <w:rPr>
          <w:rStyle w:val="FootnoteReference"/>
        </w:rPr>
        <w:footnoteRef/>
      </w:r>
      <w:r>
        <w:t xml:space="preserve"> </w:t>
      </w:r>
      <w:r>
        <w:tab/>
        <w:t xml:space="preserve">The subject matter of the contract </w:t>
      </w:r>
      <w:r w:rsidR="00EB0C6A">
        <w:t>is</w:t>
      </w:r>
      <w:r>
        <w:t xml:space="preserve"> not of importance for the purposes of this judgment. Altech was awarded a contract by the Gauteng Provincial document and Altech and Aeonova entered into a subcontracting relationship whereby Aeonova was to perform certain obligations and was given the right to perform additional obligations, and was awarded certain exclusive rights and pre-emptive rights.</w:t>
      </w:r>
    </w:p>
  </w:footnote>
  <w:footnote w:id="11">
    <w:p w14:paraId="14615D4A" w14:textId="4B50F950" w:rsidR="00BA33AF" w:rsidRDefault="00BA33AF">
      <w:pPr>
        <w:pStyle w:val="FootnoteText"/>
      </w:pPr>
      <w:r>
        <w:rPr>
          <w:rStyle w:val="FootnoteReference"/>
        </w:rPr>
        <w:footnoteRef/>
      </w:r>
      <w:r>
        <w:t xml:space="preserve"> </w:t>
      </w:r>
      <w:r>
        <w:tab/>
        <w:t>CaseLines 07-97.</w:t>
      </w:r>
    </w:p>
  </w:footnote>
  <w:footnote w:id="12">
    <w:p w14:paraId="48756625" w14:textId="70F7B0E5" w:rsidR="00A91332" w:rsidRDefault="00A91332">
      <w:pPr>
        <w:pStyle w:val="FootnoteText"/>
      </w:pPr>
      <w:r>
        <w:rPr>
          <w:rStyle w:val="FootnoteReference"/>
        </w:rPr>
        <w:footnoteRef/>
      </w:r>
      <w:r>
        <w:t xml:space="preserve"> </w:t>
      </w:r>
      <w:r>
        <w:tab/>
        <w:t>The claims are not numbered</w:t>
      </w:r>
      <w:r w:rsidR="00D15C79">
        <w:t xml:space="preserve"> in the statement of case</w:t>
      </w:r>
      <w:r>
        <w:t xml:space="preserve"> and I follow the numbering used by the arbitrator in para 30 of the award, CaseLines 07-287.</w:t>
      </w:r>
    </w:p>
  </w:footnote>
  <w:footnote w:id="13">
    <w:p w14:paraId="01F8AFA4" w14:textId="5D6FDE52" w:rsidR="00A91332" w:rsidRDefault="00A91332">
      <w:pPr>
        <w:pStyle w:val="FootnoteText"/>
      </w:pPr>
      <w:r>
        <w:rPr>
          <w:rStyle w:val="FootnoteReference"/>
        </w:rPr>
        <w:footnoteRef/>
      </w:r>
      <w:r>
        <w:t xml:space="preserve"> </w:t>
      </w:r>
      <w:r>
        <w:tab/>
        <w:t>Statement of case paras 67 to 72 and 75.1, CaseLines 07-127 to 129</w:t>
      </w:r>
    </w:p>
  </w:footnote>
  <w:footnote w:id="14">
    <w:p w14:paraId="26221EB4" w14:textId="68C58631" w:rsidR="00F322F5" w:rsidRDefault="00F322F5">
      <w:pPr>
        <w:pStyle w:val="FootnoteText"/>
      </w:pPr>
      <w:r>
        <w:rPr>
          <w:rStyle w:val="FootnoteReference"/>
        </w:rPr>
        <w:footnoteRef/>
      </w:r>
      <w:r>
        <w:t xml:space="preserve"> </w:t>
      </w:r>
      <w:r>
        <w:tab/>
        <w:t>CaseLines 07-137. Altech’s special plea of jurisdiction did not feature in the litigation or in the proceedings before the arbitrator.</w:t>
      </w:r>
    </w:p>
  </w:footnote>
  <w:footnote w:id="15">
    <w:p w14:paraId="221E6B08" w14:textId="1A6C54DD" w:rsidR="006D193A" w:rsidRDefault="006D193A">
      <w:pPr>
        <w:pStyle w:val="FootnoteText"/>
      </w:pPr>
      <w:r>
        <w:rPr>
          <w:rStyle w:val="FootnoteReference"/>
        </w:rPr>
        <w:footnoteRef/>
      </w:r>
      <w:r>
        <w:t xml:space="preserve"> </w:t>
      </w:r>
      <w:r>
        <w:tab/>
        <w:t>CaseLines 07-166.</w:t>
      </w:r>
      <w:r w:rsidR="004A70AB">
        <w:t xml:space="preserve"> The quotation is fr</w:t>
      </w:r>
      <w:r w:rsidR="002302E3">
        <w:t>o</w:t>
      </w:r>
      <w:r w:rsidR="004A70AB">
        <w:t>m para 5.</w:t>
      </w:r>
    </w:p>
  </w:footnote>
  <w:footnote w:id="16">
    <w:p w14:paraId="3DB0D380" w14:textId="6D0AFA74" w:rsidR="001F09D1" w:rsidRDefault="001F09D1">
      <w:pPr>
        <w:pStyle w:val="FootnoteText"/>
      </w:pPr>
      <w:r>
        <w:rPr>
          <w:rStyle w:val="FootnoteReference"/>
        </w:rPr>
        <w:footnoteRef/>
      </w:r>
      <w:r>
        <w:t xml:space="preserve"> </w:t>
      </w:r>
      <w:r>
        <w:tab/>
        <w:t>To be filed by 17 November 2022.</w:t>
      </w:r>
    </w:p>
  </w:footnote>
  <w:footnote w:id="17">
    <w:p w14:paraId="2989E2C8" w14:textId="1CA54D8C" w:rsidR="00AB404E" w:rsidRDefault="00AB404E">
      <w:pPr>
        <w:pStyle w:val="FootnoteText"/>
      </w:pPr>
      <w:r>
        <w:rPr>
          <w:rStyle w:val="FootnoteReference"/>
        </w:rPr>
        <w:footnoteRef/>
      </w:r>
      <w:r>
        <w:t xml:space="preserve"> </w:t>
      </w:r>
      <w:r>
        <w:tab/>
        <w:t xml:space="preserve">Para 4 of memorandum, CaseLines </w:t>
      </w:r>
      <w:r w:rsidR="004A70AB">
        <w:t>07-167.</w:t>
      </w:r>
    </w:p>
  </w:footnote>
  <w:footnote w:id="18">
    <w:p w14:paraId="417E247E" w14:textId="27219134" w:rsidR="00B75CDA" w:rsidRDefault="00B75CDA">
      <w:pPr>
        <w:pStyle w:val="FootnoteText"/>
      </w:pPr>
      <w:r>
        <w:rPr>
          <w:rStyle w:val="FootnoteReference"/>
        </w:rPr>
        <w:footnoteRef/>
      </w:r>
      <w:r>
        <w:t xml:space="preserve"> </w:t>
      </w:r>
      <w:r>
        <w:tab/>
        <w:t>‘Hear the other side.’</w:t>
      </w:r>
    </w:p>
  </w:footnote>
  <w:footnote w:id="19">
    <w:p w14:paraId="3162EBE2" w14:textId="375B1B2E" w:rsidR="003C5536" w:rsidRDefault="003C5536" w:rsidP="003C5536">
      <w:pPr>
        <w:pStyle w:val="FootnoteText"/>
      </w:pPr>
      <w:r>
        <w:rPr>
          <w:rStyle w:val="FootnoteReference"/>
        </w:rPr>
        <w:footnoteRef/>
      </w:r>
      <w:r>
        <w:t xml:space="preserve"> </w:t>
      </w:r>
      <w:r>
        <w:tab/>
        <w:t xml:space="preserve">See </w:t>
      </w:r>
      <w:r w:rsidRPr="00DB473D">
        <w:rPr>
          <w:i/>
          <w:iCs/>
        </w:rPr>
        <w:t>Benjamin v Sobac South African Building and Construction (Pty) Ltd</w:t>
      </w:r>
      <w:r>
        <w:t xml:space="preserve"> </w:t>
      </w:r>
      <w:r w:rsidRPr="002B10C4">
        <w:t>1989 (4) SA 940 (C)</w:t>
      </w:r>
      <w:r>
        <w:t xml:space="preserve"> 959 I, referring to </w:t>
      </w:r>
      <w:r w:rsidRPr="002B10C4">
        <w:rPr>
          <w:i/>
          <w:iCs/>
          <w:color w:val="000000" w:themeColor="text1"/>
          <w:lang w:eastAsia="en-ZA"/>
        </w:rPr>
        <w:t>Dickenson &amp; Brown v Fisher's Executors</w:t>
      </w:r>
      <w:r w:rsidRPr="002B10C4">
        <w:rPr>
          <w:color w:val="000000" w:themeColor="text1"/>
          <w:lang w:eastAsia="en-ZA"/>
        </w:rPr>
        <w:t> </w:t>
      </w:r>
      <w:hyperlink r:id="rId1" w:history="1">
        <w:r w:rsidRPr="002B10C4">
          <w:rPr>
            <w:rStyle w:val="Hyperlink"/>
            <w:color w:val="000000" w:themeColor="text1"/>
            <w:u w:val="none"/>
            <w:lang w:eastAsia="en-ZA"/>
          </w:rPr>
          <w:t>1915 AD 166</w:t>
        </w:r>
      </w:hyperlink>
      <w:r>
        <w:t>.</w:t>
      </w:r>
      <w:r w:rsidR="00466A30">
        <w:t xml:space="preserve"> See also </w:t>
      </w:r>
      <w:r w:rsidR="006D25DD" w:rsidRPr="006B7A6B">
        <w:rPr>
          <w:i/>
          <w:iCs/>
        </w:rPr>
        <w:t>Telcordia Technologies Inc v Telkom SA Ltd</w:t>
      </w:r>
      <w:r w:rsidR="006D25DD">
        <w:t xml:space="preserve"> </w:t>
      </w:r>
      <w:r w:rsidR="006D25DD" w:rsidRPr="006B7A6B">
        <w:t>2007 (3) SA 266 (SCA)</w:t>
      </w:r>
    </w:p>
  </w:footnote>
  <w:footnote w:id="20">
    <w:p w14:paraId="5B1F3D0C" w14:textId="653F1C77" w:rsidR="003C5536" w:rsidRDefault="003C5536">
      <w:pPr>
        <w:pStyle w:val="FootnoteText"/>
      </w:pPr>
      <w:r>
        <w:rPr>
          <w:rStyle w:val="FootnoteReference"/>
        </w:rPr>
        <w:footnoteRef/>
      </w:r>
      <w:r>
        <w:t xml:space="preserve"> </w:t>
      </w:r>
      <w:r>
        <w:tab/>
      </w:r>
      <w:r w:rsidRPr="00AB404E">
        <w:rPr>
          <w:i/>
          <w:iCs/>
        </w:rPr>
        <w:t>Nemo iudex in sua causa, audi alteram partem</w:t>
      </w:r>
      <w:r>
        <w:t xml:space="preserve">, and the rule that justice must be seen to be done. See </w:t>
      </w:r>
      <w:r w:rsidR="00EB0C6A">
        <w:t xml:space="preserve">Butler &amp; Finsen </w:t>
      </w:r>
      <w:r w:rsidR="00EB0C6A" w:rsidRPr="00025815">
        <w:rPr>
          <w:i/>
          <w:iCs/>
        </w:rPr>
        <w:t>Arbitration in South Africa – Law and Practice</w:t>
      </w:r>
      <w:r w:rsidR="00EB0C6A">
        <w:t xml:space="preserve"> </w:t>
      </w:r>
      <w:r w:rsidR="00804B15">
        <w:t>2</w:t>
      </w:r>
      <w:r w:rsidR="00B7473A">
        <w:t>65</w:t>
      </w:r>
      <w:r w:rsidR="00AB404E">
        <w:t>.</w:t>
      </w:r>
      <w:r w:rsidR="00EB0C6A" w:rsidRPr="00EB0C6A">
        <w:t xml:space="preserve"> </w:t>
      </w:r>
      <w:r w:rsidR="00EB0C6A">
        <w:t>(“Butler”)</w:t>
      </w:r>
    </w:p>
  </w:footnote>
  <w:footnote w:id="21">
    <w:p w14:paraId="6400ADCF" w14:textId="6743CFD0" w:rsidR="00F35033" w:rsidRDefault="00F35033" w:rsidP="00F35033">
      <w:pPr>
        <w:pStyle w:val="FootnoteText"/>
      </w:pPr>
      <w:r>
        <w:rPr>
          <w:rStyle w:val="FootnoteReference"/>
        </w:rPr>
        <w:footnoteRef/>
      </w:r>
      <w:r>
        <w:t xml:space="preserve"> </w:t>
      </w:r>
      <w:r>
        <w:tab/>
        <w:t>Section 33(1)(a) of the Act provides for the setting aside of an award on the basis of misconduct. Dishonesty and moral turpitude a</w:t>
      </w:r>
      <w:r w:rsidR="00EB0C6A">
        <w:t>re</w:t>
      </w:r>
      <w:r>
        <w:t xml:space="preserve"> relevant consideration</w:t>
      </w:r>
      <w:r w:rsidR="00EB0C6A">
        <w:t>s</w:t>
      </w:r>
      <w:r>
        <w:t>.</w:t>
      </w:r>
      <w:r w:rsidR="00EB0C6A">
        <w:t xml:space="preserve"> See </w:t>
      </w:r>
      <w:r w:rsidR="00EB0C6A" w:rsidRPr="00932559">
        <w:rPr>
          <w:rFonts w:cs="Arial"/>
          <w:i/>
          <w:iCs/>
        </w:rPr>
        <w:t>Bester v Easigas (Pty) Ltd and Another</w:t>
      </w:r>
      <w:r w:rsidR="00EB0C6A" w:rsidRPr="00932559">
        <w:rPr>
          <w:rFonts w:cs="Arial"/>
        </w:rPr>
        <w:t xml:space="preserve"> 1993 (1) SA 30 (C)</w:t>
      </w:r>
    </w:p>
  </w:footnote>
  <w:footnote w:id="22">
    <w:p w14:paraId="3BFF4A46" w14:textId="737A5D27" w:rsidR="00E37B1B" w:rsidRDefault="00E37B1B">
      <w:pPr>
        <w:pStyle w:val="FootnoteText"/>
      </w:pPr>
      <w:r>
        <w:rPr>
          <w:rStyle w:val="FootnoteReference"/>
        </w:rPr>
        <w:footnoteRef/>
      </w:r>
      <w:r>
        <w:t xml:space="preserve"> </w:t>
      </w:r>
      <w:r>
        <w:tab/>
      </w:r>
      <w:r w:rsidR="006D25DD" w:rsidRPr="005E1E21">
        <w:rPr>
          <w:i/>
          <w:iCs/>
        </w:rPr>
        <w:t>Goldfields Investments Ltd v City Council of Johannesburg and Another</w:t>
      </w:r>
      <w:r w:rsidR="006D25DD" w:rsidRPr="005E1E21">
        <w:t xml:space="preserve"> 1938 TPD. 551</w:t>
      </w:r>
      <w:r w:rsidR="00FE43C6">
        <w:t xml:space="preserve"> at 560</w:t>
      </w:r>
      <w:r w:rsidR="003A62CC">
        <w:t xml:space="preserve">, referring to </w:t>
      </w:r>
      <w:r w:rsidR="003A62CC" w:rsidRPr="003A62CC">
        <w:rPr>
          <w:i/>
          <w:iCs/>
        </w:rPr>
        <w:t>Ellis v Morgan</w:t>
      </w:r>
      <w:r w:rsidR="0036253D">
        <w:rPr>
          <w:i/>
          <w:iCs/>
        </w:rPr>
        <w:t>; Ellis v Dessai</w:t>
      </w:r>
      <w:r w:rsidR="003A62CC" w:rsidRPr="00631977">
        <w:t xml:space="preserve"> 1909 TS 576 at 581</w:t>
      </w:r>
      <w:r w:rsidR="00EB0C6A">
        <w:t>.</w:t>
      </w:r>
    </w:p>
  </w:footnote>
  <w:footnote w:id="23">
    <w:p w14:paraId="27EAD76D" w14:textId="030A338E" w:rsidR="005612A1" w:rsidRPr="00E72629" w:rsidRDefault="005612A1" w:rsidP="005612A1">
      <w:pPr>
        <w:pStyle w:val="FootnoteText"/>
      </w:pPr>
      <w:r>
        <w:rPr>
          <w:rStyle w:val="FootnoteReference"/>
        </w:rPr>
        <w:footnoteRef/>
      </w:r>
      <w:r>
        <w:t xml:space="preserve"> </w:t>
      </w:r>
      <w:r>
        <w:tab/>
        <w:t>See.</w:t>
      </w:r>
    </w:p>
  </w:footnote>
  <w:footnote w:id="24">
    <w:p w14:paraId="0383DDA0" w14:textId="2B86F539" w:rsidR="00447235" w:rsidRDefault="00447235">
      <w:pPr>
        <w:pStyle w:val="FootnoteText"/>
      </w:pPr>
      <w:r>
        <w:rPr>
          <w:rStyle w:val="FootnoteReference"/>
        </w:rPr>
        <w:footnoteRef/>
      </w:r>
      <w:r>
        <w:t xml:space="preserve"> </w:t>
      </w:r>
      <w:r>
        <w:tab/>
        <w:t>Butler</w:t>
      </w:r>
      <w:r w:rsidR="00025815">
        <w:t xml:space="preserve"> </w:t>
      </w:r>
      <w:r>
        <w:t>294</w:t>
      </w:r>
      <w:r w:rsidR="00EB0C6A">
        <w:t>.</w:t>
      </w:r>
    </w:p>
  </w:footnote>
  <w:footnote w:id="25">
    <w:p w14:paraId="70652F45" w14:textId="7F954F46" w:rsidR="008E1B11" w:rsidRPr="00932559" w:rsidRDefault="008E1B11">
      <w:pPr>
        <w:pStyle w:val="FootnoteText"/>
        <w:rPr>
          <w:rFonts w:cs="Arial"/>
        </w:rPr>
      </w:pPr>
      <w:r>
        <w:rPr>
          <w:rStyle w:val="FootnoteReference"/>
        </w:rPr>
        <w:footnoteRef/>
      </w:r>
      <w:r>
        <w:t xml:space="preserve"> </w:t>
      </w:r>
      <w:r>
        <w:tab/>
      </w:r>
      <w:r w:rsidRPr="00932559">
        <w:rPr>
          <w:rFonts w:cs="Arial"/>
          <w:i/>
          <w:iCs/>
        </w:rPr>
        <w:t>Bester v Easigas (Pty) Ltd and Another</w:t>
      </w:r>
      <w:r w:rsidRPr="00932559">
        <w:rPr>
          <w:rFonts w:cs="Arial"/>
        </w:rPr>
        <w:t xml:space="preserve"> 1993 (1) SA 30 (C)</w:t>
      </w:r>
      <w:r w:rsidR="00DE3369" w:rsidRPr="00932559">
        <w:rPr>
          <w:rFonts w:cs="Arial"/>
        </w:rPr>
        <w:t xml:space="preserve"> 42E to 43</w:t>
      </w:r>
      <w:r w:rsidR="00932559" w:rsidRPr="00932559">
        <w:rPr>
          <w:rFonts w:cs="Arial"/>
        </w:rPr>
        <w:t>. See also</w:t>
      </w:r>
      <w:r w:rsidR="005612A1">
        <w:rPr>
          <w:rFonts w:cs="Arial"/>
        </w:rPr>
        <w:t xml:space="preserve"> </w:t>
      </w:r>
      <w:r w:rsidR="005612A1">
        <w:t xml:space="preserve">Brand </w:t>
      </w:r>
      <w:r w:rsidR="005612A1" w:rsidRPr="00E72629">
        <w:rPr>
          <w:i/>
          <w:iCs/>
        </w:rPr>
        <w:t xml:space="preserve">Judicial Review of Arbitration Awards </w:t>
      </w:r>
      <w:r w:rsidR="005612A1">
        <w:t>Stell LR 2014 2 p 247</w:t>
      </w:r>
      <w:r w:rsidR="005612A1">
        <w:rPr>
          <w:rFonts w:cs="Arial"/>
        </w:rPr>
        <w:t xml:space="preserve"> and, </w:t>
      </w:r>
      <w:r w:rsidR="00932559" w:rsidRPr="00932559">
        <w:rPr>
          <w:rFonts w:cs="Arial"/>
        </w:rPr>
        <w:t>albeit in the context of Ordinance 24 of 1904 , the following dictum by Ward J</w:t>
      </w:r>
      <w:r w:rsidR="00AD23BF">
        <w:rPr>
          <w:rFonts w:cs="Arial"/>
        </w:rPr>
        <w:t xml:space="preserve"> in </w:t>
      </w:r>
      <w:r w:rsidR="00AD23BF" w:rsidRPr="00B35A09">
        <w:rPr>
          <w:i/>
          <w:iCs/>
        </w:rPr>
        <w:t>Anshell v Horwitz and Another</w:t>
      </w:r>
      <w:r w:rsidR="00AD23BF">
        <w:t xml:space="preserve"> </w:t>
      </w:r>
      <w:r w:rsidR="00AD23BF" w:rsidRPr="00B35A09">
        <w:t>1916 WLD 65</w:t>
      </w:r>
      <w:r w:rsidR="00AD23BF">
        <w:t xml:space="preserve"> at 67</w:t>
      </w:r>
      <w:r w:rsidR="00932559" w:rsidRPr="00932559">
        <w:rPr>
          <w:rFonts w:cs="Arial"/>
          <w:i/>
          <w:iCs/>
        </w:rPr>
        <w:t>: “…</w:t>
      </w:r>
      <w:r w:rsidR="00932559" w:rsidRPr="00932559">
        <w:rPr>
          <w:rFonts w:cs="Arial"/>
          <w:i/>
          <w:iCs/>
          <w:color w:val="000000"/>
          <w:shd w:val="clear" w:color="auto" w:fill="FFFFFF"/>
        </w:rPr>
        <w:t>it seems to me that the arbitrator has the control of the proceedings before himself, and unless his conduct of the proceedings is grossly irregular or contrary to natural justice the Court cannot interfere.</w:t>
      </w:r>
      <w:r w:rsidR="00932559" w:rsidRPr="00932559">
        <w:rPr>
          <w:rFonts w:cs="Arial"/>
          <w:i/>
          <w:iCs/>
        </w:rPr>
        <w:t>”</w:t>
      </w:r>
    </w:p>
  </w:footnote>
  <w:footnote w:id="26">
    <w:p w14:paraId="46650120" w14:textId="5FF0E5D6" w:rsidR="00F5169E" w:rsidRDefault="00F5169E">
      <w:pPr>
        <w:pStyle w:val="FootnoteText"/>
      </w:pPr>
      <w:r>
        <w:rPr>
          <w:rStyle w:val="FootnoteReference"/>
        </w:rPr>
        <w:footnoteRef/>
      </w:r>
      <w:r>
        <w:t xml:space="preserve"> </w:t>
      </w:r>
      <w:r>
        <w:tab/>
        <w:t>CaseLines 07-5.</w:t>
      </w:r>
    </w:p>
  </w:footnote>
  <w:footnote w:id="27">
    <w:p w14:paraId="334056DD" w14:textId="26E9A67E" w:rsidR="008578F4" w:rsidRDefault="008578F4">
      <w:pPr>
        <w:pStyle w:val="FootnoteText"/>
      </w:pPr>
      <w:r>
        <w:rPr>
          <w:rStyle w:val="FootnoteReference"/>
        </w:rPr>
        <w:footnoteRef/>
      </w:r>
      <w:r>
        <w:t xml:space="preserve"> </w:t>
      </w:r>
      <w:r>
        <w:tab/>
        <w:t>CaseLines 07-169.</w:t>
      </w:r>
    </w:p>
  </w:footnote>
  <w:footnote w:id="28">
    <w:p w14:paraId="79889442" w14:textId="77777777" w:rsidR="00375E93" w:rsidRDefault="00375E93" w:rsidP="00375E93">
      <w:pPr>
        <w:pStyle w:val="FootnoteText"/>
      </w:pPr>
      <w:r>
        <w:rPr>
          <w:rStyle w:val="FootnoteReference"/>
        </w:rPr>
        <w:footnoteRef/>
      </w:r>
      <w:r>
        <w:t xml:space="preserve"> </w:t>
      </w:r>
      <w:r>
        <w:tab/>
        <w:t>CaseLines 07-197.</w:t>
      </w:r>
    </w:p>
  </w:footnote>
  <w:footnote w:id="29">
    <w:p w14:paraId="07ACADCD" w14:textId="1D0E64F1" w:rsidR="00375E93" w:rsidRDefault="00375E93" w:rsidP="00375E93">
      <w:pPr>
        <w:pStyle w:val="FootnoteText"/>
      </w:pPr>
      <w:r>
        <w:rPr>
          <w:rStyle w:val="FootnoteReference"/>
        </w:rPr>
        <w:footnoteRef/>
      </w:r>
      <w:r>
        <w:t xml:space="preserve"> </w:t>
      </w:r>
      <w:r>
        <w:tab/>
        <w:t>Par</w:t>
      </w:r>
      <w:r w:rsidR="00355BEB">
        <w:t>a</w:t>
      </w:r>
      <w:r>
        <w:t xml:space="preserve"> 1.4, CaseLines 07-198.</w:t>
      </w:r>
    </w:p>
  </w:footnote>
  <w:footnote w:id="30">
    <w:p w14:paraId="2A13FCCE" w14:textId="77777777" w:rsidR="00C26FA6" w:rsidRDefault="00C26FA6" w:rsidP="00C26FA6">
      <w:pPr>
        <w:pStyle w:val="FootnoteText"/>
      </w:pPr>
      <w:r>
        <w:rPr>
          <w:rStyle w:val="FootnoteReference"/>
        </w:rPr>
        <w:footnoteRef/>
      </w:r>
      <w:r>
        <w:t xml:space="preserve"> </w:t>
      </w:r>
      <w:r>
        <w:tab/>
      </w:r>
      <w:r w:rsidRPr="000D53F5">
        <w:rPr>
          <w:i/>
          <w:iCs/>
        </w:rPr>
        <w:t>De Jager  v Olifants Tin "B" Syndicate</w:t>
      </w:r>
      <w:r>
        <w:t xml:space="preserve"> 1912 AD 505.</w:t>
      </w:r>
    </w:p>
  </w:footnote>
  <w:footnote w:id="31">
    <w:p w14:paraId="5D24EF82" w14:textId="77777777" w:rsidR="00375E93" w:rsidRDefault="00375E93" w:rsidP="00375E93">
      <w:pPr>
        <w:pStyle w:val="FootnoteText"/>
      </w:pPr>
      <w:r>
        <w:rPr>
          <w:rStyle w:val="FootnoteReference"/>
        </w:rPr>
        <w:footnoteRef/>
      </w:r>
      <w:r>
        <w:t xml:space="preserve"> </w:t>
      </w:r>
      <w:r>
        <w:tab/>
      </w:r>
      <w:r w:rsidRPr="00DD1ED6">
        <w:rPr>
          <w:i/>
          <w:iCs/>
        </w:rPr>
        <w:t>BBT Electrical &amp; Plumbling Construction &amp; Maintenance CC v Retmil Financial Services (Pty) Ltd</w:t>
      </w:r>
      <w:r>
        <w:t xml:space="preserve"> </w:t>
      </w:r>
      <w:r w:rsidRPr="009B631D">
        <w:t>2020 JDR 0484 (FB)</w:t>
      </w:r>
      <w:r>
        <w:t xml:space="preserve"> para 7.</w:t>
      </w:r>
    </w:p>
  </w:footnote>
  <w:footnote w:id="32">
    <w:p w14:paraId="6D0540F0" w14:textId="77777777" w:rsidR="00375E93" w:rsidRDefault="00375E93" w:rsidP="00375E93">
      <w:pPr>
        <w:pStyle w:val="FootnoteText"/>
      </w:pPr>
      <w:r>
        <w:rPr>
          <w:rStyle w:val="FootnoteReference"/>
        </w:rPr>
        <w:footnoteRef/>
      </w:r>
      <w:r>
        <w:t xml:space="preserve"> </w:t>
      </w:r>
      <w:r>
        <w:tab/>
      </w:r>
      <w:r w:rsidRPr="009B631D">
        <w:rPr>
          <w:i/>
          <w:iCs/>
        </w:rPr>
        <w:t>Victor Products (SA) (Pty) Ltd v Lateulere Manufacturing (Pty) Ltd</w:t>
      </w:r>
      <w:r>
        <w:t xml:space="preserve"> </w:t>
      </w:r>
      <w:r w:rsidRPr="009B631D">
        <w:t>1975 (1) SA 961 (W)</w:t>
      </w:r>
      <w:r>
        <w:t>.</w:t>
      </w:r>
    </w:p>
  </w:footnote>
  <w:footnote w:id="33">
    <w:p w14:paraId="63028889" w14:textId="3E995D00" w:rsidR="00BD75F3" w:rsidRDefault="00BD75F3" w:rsidP="00BD75F3">
      <w:pPr>
        <w:pStyle w:val="FootnoteText"/>
      </w:pPr>
      <w:r>
        <w:rPr>
          <w:rStyle w:val="FootnoteReference"/>
        </w:rPr>
        <w:footnoteRef/>
      </w:r>
      <w:r>
        <w:t xml:space="preserve"> </w:t>
      </w:r>
      <w:r>
        <w:tab/>
        <w:t>CaseLines 07-</w:t>
      </w:r>
      <w:r w:rsidR="00A31837">
        <w:t xml:space="preserve">69 and </w:t>
      </w:r>
      <w:r>
        <w:t>70.</w:t>
      </w:r>
    </w:p>
  </w:footnote>
  <w:footnote w:id="34">
    <w:p w14:paraId="76C86C90" w14:textId="6B5F57F6" w:rsidR="00A31837" w:rsidRDefault="00A31837">
      <w:pPr>
        <w:pStyle w:val="FootnoteText"/>
      </w:pPr>
      <w:r>
        <w:rPr>
          <w:rStyle w:val="FootnoteReference"/>
        </w:rPr>
        <w:footnoteRef/>
      </w:r>
      <w:r>
        <w:t xml:space="preserve"> </w:t>
      </w:r>
      <w:r>
        <w:tab/>
        <w:t>CaseLines 07-72.</w:t>
      </w:r>
    </w:p>
  </w:footnote>
  <w:footnote w:id="35">
    <w:p w14:paraId="24B6058E" w14:textId="48F81D05" w:rsidR="003A7CA2" w:rsidRDefault="003A7CA2">
      <w:pPr>
        <w:pStyle w:val="FootnoteText"/>
      </w:pPr>
      <w:r>
        <w:rPr>
          <w:rStyle w:val="FootnoteReference"/>
        </w:rPr>
        <w:footnoteRef/>
      </w:r>
      <w:r>
        <w:t xml:space="preserve"> </w:t>
      </w:r>
      <w:r>
        <w:tab/>
        <w:t>CaseLines 07-31.</w:t>
      </w:r>
      <w:r w:rsidR="005207B2">
        <w:t xml:space="preserve"> See also recital B and recital C of the Contract, the stated purpose of the Term Sheet, the profit sharing provisions, and various other provisions in the written of argument to the arbitrator.</w:t>
      </w:r>
    </w:p>
  </w:footnote>
  <w:footnote w:id="36">
    <w:p w14:paraId="1727B74B" w14:textId="3CAB4846" w:rsidR="001E0529" w:rsidRDefault="001E0529">
      <w:pPr>
        <w:pStyle w:val="FootnoteText"/>
      </w:pPr>
      <w:r>
        <w:rPr>
          <w:rStyle w:val="FootnoteReference"/>
        </w:rPr>
        <w:footnoteRef/>
      </w:r>
      <w:r>
        <w:t xml:space="preserve"> </w:t>
      </w:r>
      <w:r>
        <w:tab/>
      </w:r>
      <w:r w:rsidRPr="001E0529">
        <w:rPr>
          <w:i/>
          <w:iCs/>
        </w:rPr>
        <w:t>Pezzutto v Dreyer and Others</w:t>
      </w:r>
      <w:r>
        <w:t xml:space="preserve"> </w:t>
      </w:r>
      <w:r w:rsidRPr="009E35FE">
        <w:t>1992 (3) SA 379 (A)</w:t>
      </w:r>
      <w:r>
        <w:t xml:space="preserve"> 390A-F; </w:t>
      </w:r>
      <w:r w:rsidRPr="001E0529">
        <w:rPr>
          <w:i/>
          <w:iCs/>
        </w:rPr>
        <w:t>Joubert v Tarry &amp; Co</w:t>
      </w:r>
      <w:r w:rsidRPr="009E35FE">
        <w:t> 1915 TPD 277 at 280</w:t>
      </w:r>
      <w:r w:rsidR="000D53F5">
        <w:t xml:space="preserve"> to 28</w:t>
      </w:r>
      <w:r w:rsidRPr="009E35FE">
        <w:t>1</w:t>
      </w:r>
      <w:r>
        <w:t>.</w:t>
      </w:r>
    </w:p>
  </w:footnote>
  <w:footnote w:id="37">
    <w:p w14:paraId="00D8DBF2" w14:textId="713752B8" w:rsidR="009D37BD" w:rsidRDefault="009D37BD" w:rsidP="009D37BD">
      <w:pPr>
        <w:pStyle w:val="FootnoteText"/>
      </w:pPr>
      <w:r>
        <w:rPr>
          <w:rStyle w:val="FootnoteReference"/>
        </w:rPr>
        <w:footnoteRef/>
      </w:r>
      <w:r>
        <w:t xml:space="preserve"> </w:t>
      </w:r>
      <w:r>
        <w:tab/>
      </w:r>
      <w:r w:rsidRPr="008578F4">
        <w:rPr>
          <w:i/>
          <w:iCs/>
        </w:rPr>
        <w:t>Doyle and Another v Fleet Motors PE (Pty) Ltd</w:t>
      </w:r>
      <w:r>
        <w:t xml:space="preserve"> </w:t>
      </w:r>
      <w:r w:rsidRPr="006215A4">
        <w:t>1971 (3) SA 760 (A)</w:t>
      </w:r>
      <w:r w:rsidR="00D21AA7">
        <w:t>.</w:t>
      </w:r>
      <w:r>
        <w:t xml:space="preserve"> </w:t>
      </w:r>
    </w:p>
  </w:footnote>
  <w:footnote w:id="38">
    <w:p w14:paraId="42A0C880" w14:textId="2846CD52" w:rsidR="00D21AA7" w:rsidRDefault="00D21AA7">
      <w:pPr>
        <w:pStyle w:val="FootnoteText"/>
      </w:pPr>
      <w:r>
        <w:rPr>
          <w:rStyle w:val="FootnoteReference"/>
        </w:rPr>
        <w:footnoteRef/>
      </w:r>
      <w:r>
        <w:t xml:space="preserve"> </w:t>
      </w:r>
      <w:r>
        <w:tab/>
      </w:r>
      <w:r w:rsidRPr="009E21DE">
        <w:rPr>
          <w:i/>
          <w:iCs/>
        </w:rPr>
        <w:t>Ibid</w:t>
      </w:r>
      <w:r>
        <w:t xml:space="preserve">  762E-763D.</w:t>
      </w:r>
    </w:p>
  </w:footnote>
  <w:footnote w:id="39">
    <w:p w14:paraId="336C733A" w14:textId="2250FE97" w:rsidR="00D21AA7" w:rsidRDefault="00D21AA7">
      <w:pPr>
        <w:pStyle w:val="FootnoteText"/>
      </w:pPr>
      <w:r>
        <w:rPr>
          <w:rStyle w:val="FootnoteReference"/>
        </w:rPr>
        <w:footnoteRef/>
      </w:r>
      <w:r>
        <w:t xml:space="preserve"> </w:t>
      </w:r>
      <w:r>
        <w:tab/>
      </w:r>
      <w:r w:rsidR="001A2608" w:rsidRPr="009E21DE">
        <w:rPr>
          <w:i/>
          <w:iCs/>
        </w:rPr>
        <w:t>Ibid</w:t>
      </w:r>
      <w:r w:rsidR="001A2608">
        <w:t xml:space="preserve"> 767E.</w:t>
      </w:r>
    </w:p>
  </w:footnote>
  <w:footnote w:id="40">
    <w:p w14:paraId="44472A72" w14:textId="17C7B173" w:rsidR="009E21DE" w:rsidRDefault="009E21DE">
      <w:pPr>
        <w:pStyle w:val="FootnoteText"/>
      </w:pPr>
      <w:r>
        <w:rPr>
          <w:rStyle w:val="FootnoteReference"/>
        </w:rPr>
        <w:footnoteRef/>
      </w:r>
      <w:r>
        <w:t xml:space="preserve"> </w:t>
      </w:r>
      <w:r>
        <w:tab/>
        <w:t xml:space="preserve">The judgment of </w:t>
      </w:r>
      <w:r w:rsidRPr="00397487">
        <w:t>Ettlinger AJ</w:t>
      </w:r>
      <w:r>
        <w:t xml:space="preserve"> in </w:t>
      </w:r>
      <w:r w:rsidRPr="009E21DE">
        <w:rPr>
          <w:i/>
          <w:iCs/>
        </w:rPr>
        <w:t>Afrimeric Distributors (Pty) Ltd v E I Rogoff (Pty) Ltd</w:t>
      </w:r>
      <w:r>
        <w:t xml:space="preserve"> </w:t>
      </w:r>
      <w:r w:rsidRPr="00397487">
        <w:t>[1948] 1 All SA 203 (W)</w:t>
      </w:r>
      <w:r>
        <w:t xml:space="preserve"> 208 is likewise not authority for the proposition.</w:t>
      </w:r>
    </w:p>
  </w:footnote>
  <w:footnote w:id="41">
    <w:p w14:paraId="373332BF" w14:textId="7BA93C0E" w:rsidR="00375E93" w:rsidRDefault="00375E93">
      <w:pPr>
        <w:pStyle w:val="FootnoteText"/>
      </w:pPr>
      <w:r>
        <w:rPr>
          <w:rStyle w:val="FootnoteReference"/>
        </w:rPr>
        <w:footnoteRef/>
      </w:r>
      <w:r>
        <w:t xml:space="preserve"> </w:t>
      </w:r>
      <w:r>
        <w:tab/>
        <w:t>CaseLines 07-264.</w:t>
      </w:r>
    </w:p>
  </w:footnote>
  <w:footnote w:id="42">
    <w:p w14:paraId="1D4B7776" w14:textId="6E8BBA05" w:rsidR="00096A67" w:rsidRDefault="00096A67">
      <w:pPr>
        <w:pStyle w:val="FootnoteText"/>
      </w:pPr>
      <w:r>
        <w:rPr>
          <w:rStyle w:val="FootnoteReference"/>
        </w:rPr>
        <w:footnoteRef/>
      </w:r>
      <w:r>
        <w:t xml:space="preserve"> </w:t>
      </w:r>
      <w:r>
        <w:tab/>
      </w:r>
      <w:r w:rsidR="005A747A" w:rsidRPr="00420703">
        <w:rPr>
          <w:i/>
          <w:iCs/>
        </w:rPr>
        <w:t>Video Parktown North (Pty) Ltd v Paramount Pictures Corporation; Video Parktown North (Pty) Ltd v Shelburne Associates and Others; Video Parktown North (Pty) Ltd v Century Associates and Others</w:t>
      </w:r>
      <w:r w:rsidR="005A747A">
        <w:rPr>
          <w:i/>
          <w:iCs/>
        </w:rPr>
        <w:t xml:space="preserve"> </w:t>
      </w:r>
      <w:r w:rsidR="005A747A" w:rsidRPr="00420703">
        <w:t>1986</w:t>
      </w:r>
      <w:r w:rsidR="005A747A">
        <w:t xml:space="preserve"> </w:t>
      </w:r>
      <w:r w:rsidR="005A747A" w:rsidRPr="00420703">
        <w:t>(2)</w:t>
      </w:r>
      <w:r w:rsidR="005A747A">
        <w:t xml:space="preserve"> </w:t>
      </w:r>
      <w:r w:rsidR="005A747A" w:rsidRPr="00420703">
        <w:t>SA</w:t>
      </w:r>
      <w:r w:rsidR="005A747A">
        <w:t xml:space="preserve"> </w:t>
      </w:r>
      <w:r w:rsidR="005A747A" w:rsidRPr="00420703">
        <w:t>623</w:t>
      </w:r>
      <w:r w:rsidR="005A747A">
        <w:t xml:space="preserve"> (T) 638E.</w:t>
      </w:r>
    </w:p>
  </w:footnote>
  <w:footnote w:id="43">
    <w:p w14:paraId="43920C37" w14:textId="4D280473" w:rsidR="00EF0CBA" w:rsidRDefault="00EF0CBA">
      <w:pPr>
        <w:pStyle w:val="FootnoteText"/>
      </w:pPr>
      <w:r>
        <w:rPr>
          <w:rStyle w:val="FootnoteReference"/>
        </w:rPr>
        <w:footnoteRef/>
      </w:r>
      <w:r>
        <w:t xml:space="preserve"> </w:t>
      </w:r>
      <w:r>
        <w:tab/>
      </w:r>
      <w:r w:rsidRPr="00BA61FA">
        <w:rPr>
          <w:i/>
          <w:iCs/>
        </w:rPr>
        <w:t>Grancy Property Ltd and another v Seena Marena Investment (Pty) Ltd and others</w:t>
      </w:r>
      <w:r>
        <w:t xml:space="preserve"> [2014] 3 All SA 123 (SCA),</w:t>
      </w:r>
      <w:r w:rsidRPr="00EF0CBA">
        <w:t xml:space="preserve"> [2014] ZASCA 50</w:t>
      </w:r>
      <w:r>
        <w:t>.</w:t>
      </w:r>
    </w:p>
  </w:footnote>
  <w:footnote w:id="44">
    <w:p w14:paraId="12F92FA5" w14:textId="10DEBFEC" w:rsidR="00BA61FA" w:rsidRDefault="00BA61FA">
      <w:pPr>
        <w:pStyle w:val="FootnoteText"/>
      </w:pPr>
      <w:r>
        <w:rPr>
          <w:rStyle w:val="FootnoteReference"/>
        </w:rPr>
        <w:footnoteRef/>
      </w:r>
      <w:r>
        <w:t xml:space="preserve"> </w:t>
      </w:r>
      <w:r>
        <w:tab/>
      </w:r>
      <w:r w:rsidRPr="009E6174">
        <w:rPr>
          <w:i/>
          <w:iCs/>
        </w:rPr>
        <w:t>Doyle v Board of Executors</w:t>
      </w:r>
      <w:r>
        <w:t xml:space="preserve"> 1999 (2) SA 805 (C)</w:t>
      </w:r>
      <w:r w:rsidR="009E6174">
        <w:t xml:space="preserve"> 813G.</w:t>
      </w:r>
    </w:p>
  </w:footnote>
  <w:footnote w:id="45">
    <w:p w14:paraId="2E1A54C7" w14:textId="14B4F9B8" w:rsidR="00841C01" w:rsidRDefault="00841C01">
      <w:pPr>
        <w:pStyle w:val="FootnoteText"/>
      </w:pPr>
      <w:r>
        <w:rPr>
          <w:rStyle w:val="FootnoteReference"/>
        </w:rPr>
        <w:footnoteRef/>
      </w:r>
      <w:r>
        <w:t xml:space="preserve"> </w:t>
      </w:r>
      <w:r>
        <w:tab/>
        <w:t>Para 14 of award.</w:t>
      </w:r>
    </w:p>
  </w:footnote>
  <w:footnote w:id="46">
    <w:p w14:paraId="379339B3" w14:textId="037AC926" w:rsidR="001E44D1" w:rsidRDefault="001E44D1">
      <w:pPr>
        <w:pStyle w:val="FootnoteText"/>
      </w:pPr>
      <w:r>
        <w:rPr>
          <w:rStyle w:val="FootnoteReference"/>
        </w:rPr>
        <w:footnoteRef/>
      </w:r>
      <w:r>
        <w:t xml:space="preserve"> </w:t>
      </w:r>
      <w:r>
        <w:tab/>
        <w:t>Para 22 of award.</w:t>
      </w:r>
    </w:p>
  </w:footnote>
  <w:footnote w:id="47">
    <w:p w14:paraId="4EF14A4B" w14:textId="784683AE" w:rsidR="001E44D1" w:rsidRDefault="001E44D1">
      <w:pPr>
        <w:pStyle w:val="FootnoteText"/>
      </w:pPr>
      <w:r>
        <w:rPr>
          <w:rStyle w:val="FootnoteReference"/>
        </w:rPr>
        <w:footnoteRef/>
      </w:r>
      <w:r>
        <w:t xml:space="preserve"> </w:t>
      </w:r>
      <w:r>
        <w:tab/>
        <w:t>Para 27 of award.</w:t>
      </w:r>
    </w:p>
  </w:footnote>
  <w:footnote w:id="48">
    <w:p w14:paraId="031387A5" w14:textId="2AEA468D" w:rsidR="00F505CE" w:rsidRDefault="00F505CE">
      <w:pPr>
        <w:pStyle w:val="FootnoteText"/>
      </w:pPr>
      <w:r>
        <w:rPr>
          <w:rStyle w:val="FootnoteReference"/>
        </w:rPr>
        <w:footnoteRef/>
      </w:r>
      <w:r>
        <w:t xml:space="preserve"> </w:t>
      </w:r>
      <w:r>
        <w:tab/>
        <w:t>Numbered claims 1, 2, 4</w:t>
      </w:r>
      <w:r w:rsidR="009B10F4">
        <w:t>(a) and (b)</w:t>
      </w:r>
      <w:r>
        <w:t>, 5, and 6.</w:t>
      </w:r>
    </w:p>
  </w:footnote>
  <w:footnote w:id="49">
    <w:p w14:paraId="04076049" w14:textId="2BBD25AF" w:rsidR="00F505CE" w:rsidRPr="009B10F4" w:rsidRDefault="00F505CE">
      <w:pPr>
        <w:pStyle w:val="FootnoteText"/>
        <w:rPr>
          <w:color w:val="000000" w:themeColor="text1"/>
        </w:rPr>
      </w:pPr>
      <w:r>
        <w:rPr>
          <w:rStyle w:val="FootnoteReference"/>
        </w:rPr>
        <w:footnoteRef/>
      </w:r>
      <w:r>
        <w:t xml:space="preserve"> </w:t>
      </w:r>
      <w:r>
        <w:tab/>
        <w:t xml:space="preserve">Article 6.1.5.1 of the AFSA Rules require a </w:t>
      </w:r>
      <w:r w:rsidR="009B10F4">
        <w:t>defendant to file a statement of defen</w:t>
      </w:r>
      <w:r w:rsidR="009B10F4" w:rsidRPr="009B10F4">
        <w:rPr>
          <w:color w:val="000000" w:themeColor="text1"/>
        </w:rPr>
        <w:t>ce setting out material facts and contentions relied upon by him</w:t>
      </w:r>
      <w:r w:rsidR="009B10F4">
        <w:rPr>
          <w:color w:val="000000" w:themeColor="text1"/>
        </w:rPr>
        <w:t>.</w:t>
      </w:r>
    </w:p>
  </w:footnote>
  <w:footnote w:id="50">
    <w:p w14:paraId="7FABBA57" w14:textId="31880F69" w:rsidR="00BD3D16" w:rsidRDefault="00BD3D16">
      <w:pPr>
        <w:pStyle w:val="FootnoteText"/>
      </w:pPr>
      <w:r>
        <w:rPr>
          <w:rStyle w:val="FootnoteReference"/>
        </w:rPr>
        <w:footnoteRef/>
      </w:r>
      <w:r>
        <w:t xml:space="preserve"> </w:t>
      </w:r>
      <w:r>
        <w:tab/>
        <w:t>Statement of case.</w:t>
      </w:r>
    </w:p>
  </w:footnote>
  <w:footnote w:id="51">
    <w:p w14:paraId="3C208AD2" w14:textId="5CB15A23" w:rsidR="00C81F39" w:rsidRDefault="00C81F39">
      <w:pPr>
        <w:pStyle w:val="FootnoteText"/>
      </w:pPr>
      <w:r>
        <w:rPr>
          <w:rStyle w:val="FootnoteReference"/>
        </w:rPr>
        <w:footnoteRef/>
      </w:r>
      <w:r>
        <w:t xml:space="preserve"> </w:t>
      </w:r>
      <w:r>
        <w:tab/>
        <w:t>CaseLines 09-4</w:t>
      </w:r>
      <w:r w:rsidR="00542EAE">
        <w:t>7</w:t>
      </w:r>
      <w:r>
        <w:t>.</w:t>
      </w:r>
    </w:p>
  </w:footnote>
  <w:footnote w:id="52">
    <w:p w14:paraId="5F1571B2" w14:textId="77777777" w:rsidR="007A006B" w:rsidRDefault="007A006B" w:rsidP="007A006B">
      <w:pPr>
        <w:pStyle w:val="FootnoteText"/>
      </w:pPr>
      <w:r>
        <w:rPr>
          <w:rStyle w:val="FootnoteReference"/>
        </w:rPr>
        <w:footnoteRef/>
      </w:r>
      <w:r>
        <w:t xml:space="preserve"> </w:t>
      </w:r>
      <w:r>
        <w:tab/>
      </w:r>
      <w:r w:rsidRPr="00C60F27">
        <w:rPr>
          <w:i/>
          <w:iCs/>
        </w:rPr>
        <w:t>Dabner v South African Railways &amp; Harbours</w:t>
      </w:r>
      <w:r>
        <w:t xml:space="preserve"> 1920 AD 583 at 594; </w:t>
      </w:r>
      <w:r w:rsidRPr="00F65168">
        <w:rPr>
          <w:i/>
          <w:iCs/>
        </w:rPr>
        <w:t>Gentiruco AG v Firestone SA (Pty) Ltd</w:t>
      </w:r>
      <w:r>
        <w:t xml:space="preserve"> </w:t>
      </w:r>
      <w:r w:rsidRPr="00F65168">
        <w:t>1972 (1) SA 589 (A)</w:t>
      </w:r>
      <w:r>
        <w:t xml:space="preserve">; </w:t>
      </w:r>
      <w:r w:rsidRPr="00F65168">
        <w:rPr>
          <w:i/>
          <w:iCs/>
        </w:rPr>
        <w:t>Qoboshiyane NO and Others v Avusa Publishing Eastern Cape (Pty) Ltd and Others</w:t>
      </w:r>
      <w:r>
        <w:rPr>
          <w:i/>
          <w:iCs/>
        </w:rPr>
        <w:t xml:space="preserve"> </w:t>
      </w:r>
      <w:r w:rsidRPr="00F65168">
        <w:t>2013</w:t>
      </w:r>
      <w:r>
        <w:t xml:space="preserve"> </w:t>
      </w:r>
      <w:r w:rsidRPr="00F65168">
        <w:t>(3)</w:t>
      </w:r>
      <w:r>
        <w:t xml:space="preserve"> </w:t>
      </w:r>
      <w:r w:rsidRPr="00F65168">
        <w:t>SA</w:t>
      </w:r>
      <w:r>
        <w:t xml:space="preserve"> </w:t>
      </w:r>
      <w:r w:rsidRPr="00F65168">
        <w:t>315</w:t>
      </w:r>
      <w:r>
        <w:t xml:space="preserve"> </w:t>
      </w:r>
      <w:r w:rsidRPr="00F65168">
        <w:t>(SCA)</w:t>
      </w:r>
      <w:r>
        <w:t xml:space="preserve">; </w:t>
      </w:r>
      <w:r w:rsidRPr="00F95D51">
        <w:rPr>
          <w:i/>
          <w:iCs/>
        </w:rPr>
        <w:t>South African Revenue Service v Commission for Conciliation, Mediation and Arbitration and Others</w:t>
      </w:r>
      <w:r>
        <w:rPr>
          <w:i/>
          <w:iCs/>
        </w:rPr>
        <w:t xml:space="preserve"> </w:t>
      </w:r>
      <w:r w:rsidRPr="00834A4B">
        <w:t>2017 (1) SA 549 (CC)</w:t>
      </w:r>
      <w:r>
        <w:t xml:space="preserve"> para 26.</w:t>
      </w:r>
    </w:p>
  </w:footnote>
  <w:footnote w:id="53">
    <w:p w14:paraId="54B791C7" w14:textId="77777777" w:rsidR="007A006B" w:rsidRDefault="007A006B" w:rsidP="007A006B">
      <w:pPr>
        <w:pStyle w:val="FootnoteText"/>
      </w:pPr>
      <w:r>
        <w:rPr>
          <w:rStyle w:val="FootnoteReference"/>
        </w:rPr>
        <w:footnoteRef/>
      </w:r>
      <w:r>
        <w:t xml:space="preserve"> </w:t>
      </w:r>
      <w:r>
        <w:tab/>
      </w:r>
      <w:r w:rsidRPr="00F65168">
        <w:rPr>
          <w:i/>
          <w:iCs/>
        </w:rPr>
        <w:t>Venmop 275 (Pty) Ltd and Another v Cleverlad Projects (Pty) Ltd and Another</w:t>
      </w:r>
      <w:r>
        <w:t xml:space="preserve"> </w:t>
      </w:r>
      <w:r w:rsidRPr="00F65168">
        <w:t>2016 (1) SA 78 (GJ)</w:t>
      </w:r>
      <w:r>
        <w:t xml:space="preserve"> para 26.</w:t>
      </w:r>
    </w:p>
  </w:footnote>
  <w:footnote w:id="54">
    <w:p w14:paraId="594FC191" w14:textId="75CEF090" w:rsidR="00542EAE" w:rsidRDefault="00542EAE">
      <w:pPr>
        <w:pStyle w:val="FootnoteText"/>
      </w:pPr>
      <w:r>
        <w:rPr>
          <w:rStyle w:val="FootnoteReference"/>
        </w:rPr>
        <w:footnoteRef/>
      </w:r>
      <w:r>
        <w:t xml:space="preserve"> </w:t>
      </w:r>
      <w:r>
        <w:tab/>
        <w:t>CaseLines 10-50.</w:t>
      </w:r>
      <w:r w:rsidR="00434796">
        <w:t xml:space="preserve"> Reference is also made to a letter dated 25 </w:t>
      </w:r>
      <w:r w:rsidR="00214877">
        <w:t>January 2023 (CaseLines 10-48) but this annexure does not correspond with what is stated in the replying affidavit.</w:t>
      </w:r>
    </w:p>
  </w:footnote>
  <w:footnote w:id="55">
    <w:p w14:paraId="259F1BBB" w14:textId="6C17C779" w:rsidR="003B6C02" w:rsidRDefault="003B6C02" w:rsidP="003B6C02">
      <w:pPr>
        <w:pStyle w:val="FootnoteText"/>
      </w:pPr>
      <w:r>
        <w:rPr>
          <w:rStyle w:val="FootnoteReference"/>
        </w:rPr>
        <w:footnoteRef/>
      </w:r>
      <w:r>
        <w:t xml:space="preserve"> </w:t>
      </w:r>
      <w:r>
        <w:tab/>
        <w:t>CaseLines 09-208. Reference is also made in the replying affidavit to a letter of 15 February 2023.</w:t>
      </w:r>
    </w:p>
  </w:footnote>
  <w:footnote w:id="56">
    <w:p w14:paraId="2028BD9A" w14:textId="015FE8C5" w:rsidR="009015D3" w:rsidRDefault="009015D3">
      <w:pPr>
        <w:pStyle w:val="FootnoteText"/>
      </w:pPr>
      <w:r>
        <w:rPr>
          <w:rStyle w:val="FootnoteReference"/>
        </w:rPr>
        <w:footnoteRef/>
      </w:r>
      <w:r>
        <w:t xml:space="preserve"> </w:t>
      </w:r>
      <w:r>
        <w:tab/>
        <w:t xml:space="preserve">The statement in the answering affidavit that it was unfortunate and regrettable that the arbitrator wrote to the Deputy Judge President is </w:t>
      </w:r>
      <w:r w:rsidR="004D4E89">
        <w:t xml:space="preserve">not </w:t>
      </w:r>
      <w:r>
        <w:t xml:space="preserve">justified. </w:t>
      </w:r>
      <w:r w:rsidR="004D4E89">
        <w:t>The letter</w:t>
      </w:r>
      <w:r>
        <w:t xml:space="preserve"> was written in attempt to expedite an allocation (it is after all the duty of the arbitrator to expedite matters) and was never intended to form part of the court papers until it was included as an annexure to the </w:t>
      </w:r>
      <w:r w:rsidR="00434796">
        <w:t xml:space="preserve">applicant’s </w:t>
      </w:r>
      <w:r>
        <w:t>replying affidavit.</w:t>
      </w:r>
      <w:r w:rsidR="0043479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6CB6D7BA"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E6537">
      <w:rPr>
        <w:rFonts w:cs="Arial"/>
        <w:noProof/>
        <w:sz w:val="20"/>
        <w:szCs w:val="20"/>
        <w:lang w:val="en-GB"/>
      </w:rPr>
      <w:t>18</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2"/>
  </w:num>
  <w:num w:numId="4">
    <w:abstractNumId w:val="5"/>
  </w:num>
  <w:num w:numId="5">
    <w:abstractNumId w:val="11"/>
  </w:num>
  <w:num w:numId="6">
    <w:abstractNumId w:val="9"/>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3"/>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25E2"/>
    <w:rsid w:val="00036508"/>
    <w:rsid w:val="00040CD3"/>
    <w:rsid w:val="00047F26"/>
    <w:rsid w:val="00050086"/>
    <w:rsid w:val="000504F1"/>
    <w:rsid w:val="00051A2B"/>
    <w:rsid w:val="000550EB"/>
    <w:rsid w:val="00063F7B"/>
    <w:rsid w:val="00066971"/>
    <w:rsid w:val="000737E1"/>
    <w:rsid w:val="00073E30"/>
    <w:rsid w:val="00081716"/>
    <w:rsid w:val="00082EDC"/>
    <w:rsid w:val="000833BB"/>
    <w:rsid w:val="00087AE6"/>
    <w:rsid w:val="000906B5"/>
    <w:rsid w:val="00092591"/>
    <w:rsid w:val="0009429D"/>
    <w:rsid w:val="0009488C"/>
    <w:rsid w:val="0009540B"/>
    <w:rsid w:val="000956E5"/>
    <w:rsid w:val="00096A67"/>
    <w:rsid w:val="00097968"/>
    <w:rsid w:val="000A6AD8"/>
    <w:rsid w:val="000B21DA"/>
    <w:rsid w:val="000C7A3D"/>
    <w:rsid w:val="000D01E0"/>
    <w:rsid w:val="000D415C"/>
    <w:rsid w:val="000D4E84"/>
    <w:rsid w:val="000D53F5"/>
    <w:rsid w:val="000D5760"/>
    <w:rsid w:val="000D71C5"/>
    <w:rsid w:val="000D7D6A"/>
    <w:rsid w:val="000E1EC8"/>
    <w:rsid w:val="000E3EE8"/>
    <w:rsid w:val="000E5343"/>
    <w:rsid w:val="000F59F8"/>
    <w:rsid w:val="001025B5"/>
    <w:rsid w:val="00104142"/>
    <w:rsid w:val="00105F97"/>
    <w:rsid w:val="00107D26"/>
    <w:rsid w:val="00107D90"/>
    <w:rsid w:val="001142D1"/>
    <w:rsid w:val="00120C79"/>
    <w:rsid w:val="00120FB1"/>
    <w:rsid w:val="00130253"/>
    <w:rsid w:val="00133E81"/>
    <w:rsid w:val="00140CED"/>
    <w:rsid w:val="00147FF5"/>
    <w:rsid w:val="00151DA9"/>
    <w:rsid w:val="00152899"/>
    <w:rsid w:val="00154961"/>
    <w:rsid w:val="00155A21"/>
    <w:rsid w:val="00161057"/>
    <w:rsid w:val="001671C1"/>
    <w:rsid w:val="00171182"/>
    <w:rsid w:val="0017124B"/>
    <w:rsid w:val="00171D7F"/>
    <w:rsid w:val="00172DDF"/>
    <w:rsid w:val="00175DDD"/>
    <w:rsid w:val="00180CB6"/>
    <w:rsid w:val="001838CC"/>
    <w:rsid w:val="00183EB6"/>
    <w:rsid w:val="00185ACF"/>
    <w:rsid w:val="00190579"/>
    <w:rsid w:val="001916C4"/>
    <w:rsid w:val="00192F78"/>
    <w:rsid w:val="00195810"/>
    <w:rsid w:val="00196E14"/>
    <w:rsid w:val="001A2608"/>
    <w:rsid w:val="001A5145"/>
    <w:rsid w:val="001A522A"/>
    <w:rsid w:val="001A7904"/>
    <w:rsid w:val="001B1D39"/>
    <w:rsid w:val="001B4217"/>
    <w:rsid w:val="001B4893"/>
    <w:rsid w:val="001B5D3E"/>
    <w:rsid w:val="001B606B"/>
    <w:rsid w:val="001C0755"/>
    <w:rsid w:val="001C2371"/>
    <w:rsid w:val="001C33E6"/>
    <w:rsid w:val="001C7048"/>
    <w:rsid w:val="001D3CC2"/>
    <w:rsid w:val="001E0529"/>
    <w:rsid w:val="001E2EED"/>
    <w:rsid w:val="001E44D1"/>
    <w:rsid w:val="001E4691"/>
    <w:rsid w:val="001E518E"/>
    <w:rsid w:val="001F09D1"/>
    <w:rsid w:val="001F0A29"/>
    <w:rsid w:val="001F0CE5"/>
    <w:rsid w:val="001F3DBD"/>
    <w:rsid w:val="001F648A"/>
    <w:rsid w:val="001F6F43"/>
    <w:rsid w:val="00201620"/>
    <w:rsid w:val="0020474A"/>
    <w:rsid w:val="00205392"/>
    <w:rsid w:val="00206919"/>
    <w:rsid w:val="002104BF"/>
    <w:rsid w:val="002108B6"/>
    <w:rsid w:val="00214877"/>
    <w:rsid w:val="00215824"/>
    <w:rsid w:val="00216BC8"/>
    <w:rsid w:val="002175BA"/>
    <w:rsid w:val="0022218D"/>
    <w:rsid w:val="00226926"/>
    <w:rsid w:val="002302E3"/>
    <w:rsid w:val="00232528"/>
    <w:rsid w:val="00235D20"/>
    <w:rsid w:val="00237806"/>
    <w:rsid w:val="00237FF9"/>
    <w:rsid w:val="0024012B"/>
    <w:rsid w:val="00243D2F"/>
    <w:rsid w:val="00250164"/>
    <w:rsid w:val="00251668"/>
    <w:rsid w:val="00253F38"/>
    <w:rsid w:val="00253F72"/>
    <w:rsid w:val="002625C5"/>
    <w:rsid w:val="00262819"/>
    <w:rsid w:val="00263A96"/>
    <w:rsid w:val="00285040"/>
    <w:rsid w:val="00285062"/>
    <w:rsid w:val="00292E3E"/>
    <w:rsid w:val="0029369B"/>
    <w:rsid w:val="00296DAF"/>
    <w:rsid w:val="002976B8"/>
    <w:rsid w:val="002A030C"/>
    <w:rsid w:val="002A4B7B"/>
    <w:rsid w:val="002B05EA"/>
    <w:rsid w:val="002B5323"/>
    <w:rsid w:val="002C15AC"/>
    <w:rsid w:val="002C2E80"/>
    <w:rsid w:val="002C4687"/>
    <w:rsid w:val="002D2842"/>
    <w:rsid w:val="002D47B3"/>
    <w:rsid w:val="002E5B57"/>
    <w:rsid w:val="002E6CD7"/>
    <w:rsid w:val="002F1C4D"/>
    <w:rsid w:val="002F2881"/>
    <w:rsid w:val="002F508A"/>
    <w:rsid w:val="002F72D3"/>
    <w:rsid w:val="00302290"/>
    <w:rsid w:val="003023F9"/>
    <w:rsid w:val="00302C31"/>
    <w:rsid w:val="00303919"/>
    <w:rsid w:val="003047C2"/>
    <w:rsid w:val="0030653F"/>
    <w:rsid w:val="003102C8"/>
    <w:rsid w:val="0031117B"/>
    <w:rsid w:val="00312EBC"/>
    <w:rsid w:val="00313056"/>
    <w:rsid w:val="003312BF"/>
    <w:rsid w:val="003313A2"/>
    <w:rsid w:val="00337135"/>
    <w:rsid w:val="0034147B"/>
    <w:rsid w:val="00342E02"/>
    <w:rsid w:val="003463D6"/>
    <w:rsid w:val="00346D31"/>
    <w:rsid w:val="00346DE6"/>
    <w:rsid w:val="00347E19"/>
    <w:rsid w:val="0035170A"/>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2A48"/>
    <w:rsid w:val="00373181"/>
    <w:rsid w:val="00375E93"/>
    <w:rsid w:val="00377123"/>
    <w:rsid w:val="00381213"/>
    <w:rsid w:val="003832F7"/>
    <w:rsid w:val="003840EC"/>
    <w:rsid w:val="00385DBA"/>
    <w:rsid w:val="0038715A"/>
    <w:rsid w:val="00390C3F"/>
    <w:rsid w:val="00393127"/>
    <w:rsid w:val="00395873"/>
    <w:rsid w:val="003A62CC"/>
    <w:rsid w:val="003A7864"/>
    <w:rsid w:val="003A7CA2"/>
    <w:rsid w:val="003B4100"/>
    <w:rsid w:val="003B6C02"/>
    <w:rsid w:val="003C1488"/>
    <w:rsid w:val="003C1A16"/>
    <w:rsid w:val="003C1E91"/>
    <w:rsid w:val="003C5536"/>
    <w:rsid w:val="003C7FCC"/>
    <w:rsid w:val="003D1202"/>
    <w:rsid w:val="003D19C3"/>
    <w:rsid w:val="003D1A1C"/>
    <w:rsid w:val="003D36F9"/>
    <w:rsid w:val="003D77F1"/>
    <w:rsid w:val="003D7970"/>
    <w:rsid w:val="003E449A"/>
    <w:rsid w:val="003E4A33"/>
    <w:rsid w:val="003E54E1"/>
    <w:rsid w:val="003E724B"/>
    <w:rsid w:val="003E7A60"/>
    <w:rsid w:val="003F1F49"/>
    <w:rsid w:val="003F4801"/>
    <w:rsid w:val="003F7448"/>
    <w:rsid w:val="00407F28"/>
    <w:rsid w:val="0041100A"/>
    <w:rsid w:val="004131C5"/>
    <w:rsid w:val="00413D9B"/>
    <w:rsid w:val="0042423E"/>
    <w:rsid w:val="00424BA6"/>
    <w:rsid w:val="004339E6"/>
    <w:rsid w:val="00434796"/>
    <w:rsid w:val="0043683A"/>
    <w:rsid w:val="00437EB1"/>
    <w:rsid w:val="00441422"/>
    <w:rsid w:val="00444ED6"/>
    <w:rsid w:val="00445DCB"/>
    <w:rsid w:val="00447235"/>
    <w:rsid w:val="0045044C"/>
    <w:rsid w:val="00460495"/>
    <w:rsid w:val="00460EEA"/>
    <w:rsid w:val="004630B6"/>
    <w:rsid w:val="00463106"/>
    <w:rsid w:val="00466A30"/>
    <w:rsid w:val="00474607"/>
    <w:rsid w:val="00474910"/>
    <w:rsid w:val="004749AF"/>
    <w:rsid w:val="00475410"/>
    <w:rsid w:val="004774FF"/>
    <w:rsid w:val="00484116"/>
    <w:rsid w:val="0048424E"/>
    <w:rsid w:val="00486F42"/>
    <w:rsid w:val="00487D14"/>
    <w:rsid w:val="004923A9"/>
    <w:rsid w:val="00495F7C"/>
    <w:rsid w:val="004A1E3F"/>
    <w:rsid w:val="004A2C7E"/>
    <w:rsid w:val="004A6625"/>
    <w:rsid w:val="004A69D6"/>
    <w:rsid w:val="004A70AB"/>
    <w:rsid w:val="004A7DFE"/>
    <w:rsid w:val="004B0DBA"/>
    <w:rsid w:val="004B21D9"/>
    <w:rsid w:val="004C0CE3"/>
    <w:rsid w:val="004C368B"/>
    <w:rsid w:val="004D1A31"/>
    <w:rsid w:val="004D1A91"/>
    <w:rsid w:val="004D262A"/>
    <w:rsid w:val="004D2C6F"/>
    <w:rsid w:val="004D2E01"/>
    <w:rsid w:val="004D3237"/>
    <w:rsid w:val="004D4E89"/>
    <w:rsid w:val="004E0F3F"/>
    <w:rsid w:val="004E1349"/>
    <w:rsid w:val="004E3305"/>
    <w:rsid w:val="004E568C"/>
    <w:rsid w:val="004E5AD8"/>
    <w:rsid w:val="004F0806"/>
    <w:rsid w:val="004F12D8"/>
    <w:rsid w:val="004F22A6"/>
    <w:rsid w:val="004F4A37"/>
    <w:rsid w:val="00504B53"/>
    <w:rsid w:val="00505FF7"/>
    <w:rsid w:val="0051015D"/>
    <w:rsid w:val="0051292D"/>
    <w:rsid w:val="0051442D"/>
    <w:rsid w:val="0051622D"/>
    <w:rsid w:val="005207B2"/>
    <w:rsid w:val="005219EB"/>
    <w:rsid w:val="005262C2"/>
    <w:rsid w:val="0052705A"/>
    <w:rsid w:val="00537126"/>
    <w:rsid w:val="00537A72"/>
    <w:rsid w:val="005405F8"/>
    <w:rsid w:val="00542EAE"/>
    <w:rsid w:val="00546878"/>
    <w:rsid w:val="005509BE"/>
    <w:rsid w:val="00560E18"/>
    <w:rsid w:val="005612A1"/>
    <w:rsid w:val="005621E7"/>
    <w:rsid w:val="00563355"/>
    <w:rsid w:val="00571E81"/>
    <w:rsid w:val="00573FF9"/>
    <w:rsid w:val="00576B16"/>
    <w:rsid w:val="005949BC"/>
    <w:rsid w:val="005971D5"/>
    <w:rsid w:val="005A313A"/>
    <w:rsid w:val="005A35EB"/>
    <w:rsid w:val="005A680F"/>
    <w:rsid w:val="005A70F0"/>
    <w:rsid w:val="005A747A"/>
    <w:rsid w:val="005B07CB"/>
    <w:rsid w:val="005B2FF9"/>
    <w:rsid w:val="005B696E"/>
    <w:rsid w:val="005B6D81"/>
    <w:rsid w:val="005B7767"/>
    <w:rsid w:val="005B7DD3"/>
    <w:rsid w:val="005C7FC2"/>
    <w:rsid w:val="005D1F92"/>
    <w:rsid w:val="005D2137"/>
    <w:rsid w:val="005D2408"/>
    <w:rsid w:val="005D32A9"/>
    <w:rsid w:val="005D6122"/>
    <w:rsid w:val="005D6E80"/>
    <w:rsid w:val="005E0B20"/>
    <w:rsid w:val="005E2936"/>
    <w:rsid w:val="005E2F7B"/>
    <w:rsid w:val="005E3C94"/>
    <w:rsid w:val="005E5C01"/>
    <w:rsid w:val="005E7118"/>
    <w:rsid w:val="005E7E9F"/>
    <w:rsid w:val="005F1CDA"/>
    <w:rsid w:val="005F35C5"/>
    <w:rsid w:val="005F37A4"/>
    <w:rsid w:val="00602403"/>
    <w:rsid w:val="006041A4"/>
    <w:rsid w:val="006109EC"/>
    <w:rsid w:val="00610F53"/>
    <w:rsid w:val="00611D8A"/>
    <w:rsid w:val="0061430D"/>
    <w:rsid w:val="006150CE"/>
    <w:rsid w:val="00615CD1"/>
    <w:rsid w:val="006165F4"/>
    <w:rsid w:val="006245EC"/>
    <w:rsid w:val="006309D5"/>
    <w:rsid w:val="00642664"/>
    <w:rsid w:val="00644BBE"/>
    <w:rsid w:val="006466DA"/>
    <w:rsid w:val="00646711"/>
    <w:rsid w:val="006479F9"/>
    <w:rsid w:val="00647DDD"/>
    <w:rsid w:val="00653BA4"/>
    <w:rsid w:val="00657478"/>
    <w:rsid w:val="00657EDA"/>
    <w:rsid w:val="006609A2"/>
    <w:rsid w:val="00660C84"/>
    <w:rsid w:val="0066132D"/>
    <w:rsid w:val="0066194B"/>
    <w:rsid w:val="00661FC4"/>
    <w:rsid w:val="00666D4D"/>
    <w:rsid w:val="00672205"/>
    <w:rsid w:val="00672E95"/>
    <w:rsid w:val="0067508C"/>
    <w:rsid w:val="00677059"/>
    <w:rsid w:val="00680072"/>
    <w:rsid w:val="00680421"/>
    <w:rsid w:val="006858DA"/>
    <w:rsid w:val="006902F1"/>
    <w:rsid w:val="006918E9"/>
    <w:rsid w:val="006951CE"/>
    <w:rsid w:val="00695B2C"/>
    <w:rsid w:val="006A1F2C"/>
    <w:rsid w:val="006A3B6B"/>
    <w:rsid w:val="006A438B"/>
    <w:rsid w:val="006A4F20"/>
    <w:rsid w:val="006A6039"/>
    <w:rsid w:val="006B1E87"/>
    <w:rsid w:val="006B514A"/>
    <w:rsid w:val="006C1EA3"/>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E57"/>
    <w:rsid w:val="006E0B4D"/>
    <w:rsid w:val="006E2083"/>
    <w:rsid w:val="006E2725"/>
    <w:rsid w:val="006E3064"/>
    <w:rsid w:val="006E68E6"/>
    <w:rsid w:val="006F042A"/>
    <w:rsid w:val="006F0C74"/>
    <w:rsid w:val="006F1875"/>
    <w:rsid w:val="006F2187"/>
    <w:rsid w:val="006F25E5"/>
    <w:rsid w:val="006F2FCE"/>
    <w:rsid w:val="006F36B9"/>
    <w:rsid w:val="006F415C"/>
    <w:rsid w:val="006F489F"/>
    <w:rsid w:val="0070560F"/>
    <w:rsid w:val="007112CA"/>
    <w:rsid w:val="007202BD"/>
    <w:rsid w:val="007205BF"/>
    <w:rsid w:val="00721AE9"/>
    <w:rsid w:val="007237D1"/>
    <w:rsid w:val="007241D4"/>
    <w:rsid w:val="00724D82"/>
    <w:rsid w:val="00730BF2"/>
    <w:rsid w:val="00732A6F"/>
    <w:rsid w:val="0074214D"/>
    <w:rsid w:val="00742764"/>
    <w:rsid w:val="00745456"/>
    <w:rsid w:val="00751452"/>
    <w:rsid w:val="0075156A"/>
    <w:rsid w:val="00751F90"/>
    <w:rsid w:val="007619C5"/>
    <w:rsid w:val="00761C35"/>
    <w:rsid w:val="00762178"/>
    <w:rsid w:val="00765F62"/>
    <w:rsid w:val="00766026"/>
    <w:rsid w:val="00772025"/>
    <w:rsid w:val="007726C0"/>
    <w:rsid w:val="00781088"/>
    <w:rsid w:val="00781AA0"/>
    <w:rsid w:val="00781CF7"/>
    <w:rsid w:val="00781D24"/>
    <w:rsid w:val="00782DE8"/>
    <w:rsid w:val="00792E10"/>
    <w:rsid w:val="0079383D"/>
    <w:rsid w:val="007A006B"/>
    <w:rsid w:val="007A1D60"/>
    <w:rsid w:val="007B165A"/>
    <w:rsid w:val="007B2DAD"/>
    <w:rsid w:val="007B2DF7"/>
    <w:rsid w:val="007B7246"/>
    <w:rsid w:val="007B78C2"/>
    <w:rsid w:val="007C23FF"/>
    <w:rsid w:val="007C416B"/>
    <w:rsid w:val="007C4CB7"/>
    <w:rsid w:val="007C5008"/>
    <w:rsid w:val="007C658B"/>
    <w:rsid w:val="007D1E79"/>
    <w:rsid w:val="007D27CF"/>
    <w:rsid w:val="007D4DAF"/>
    <w:rsid w:val="007E1175"/>
    <w:rsid w:val="007E220A"/>
    <w:rsid w:val="007E468A"/>
    <w:rsid w:val="007E58FC"/>
    <w:rsid w:val="007F07D4"/>
    <w:rsid w:val="007F1517"/>
    <w:rsid w:val="007F207F"/>
    <w:rsid w:val="007F5B91"/>
    <w:rsid w:val="008019A7"/>
    <w:rsid w:val="00803CEC"/>
    <w:rsid w:val="00804B15"/>
    <w:rsid w:val="008076A4"/>
    <w:rsid w:val="00807DC2"/>
    <w:rsid w:val="00810CA3"/>
    <w:rsid w:val="00811776"/>
    <w:rsid w:val="008200A7"/>
    <w:rsid w:val="00822050"/>
    <w:rsid w:val="008304EC"/>
    <w:rsid w:val="00830952"/>
    <w:rsid w:val="00830F84"/>
    <w:rsid w:val="00841C01"/>
    <w:rsid w:val="00843EFD"/>
    <w:rsid w:val="008443A9"/>
    <w:rsid w:val="008469B3"/>
    <w:rsid w:val="008535CA"/>
    <w:rsid w:val="008570B8"/>
    <w:rsid w:val="008578F4"/>
    <w:rsid w:val="00860576"/>
    <w:rsid w:val="0086688C"/>
    <w:rsid w:val="008674AA"/>
    <w:rsid w:val="008675CC"/>
    <w:rsid w:val="0087609B"/>
    <w:rsid w:val="0088094C"/>
    <w:rsid w:val="00881004"/>
    <w:rsid w:val="00882C40"/>
    <w:rsid w:val="00885973"/>
    <w:rsid w:val="00892908"/>
    <w:rsid w:val="00893CBE"/>
    <w:rsid w:val="008942FC"/>
    <w:rsid w:val="0089562F"/>
    <w:rsid w:val="008957BF"/>
    <w:rsid w:val="008A082A"/>
    <w:rsid w:val="008A4DF4"/>
    <w:rsid w:val="008B0950"/>
    <w:rsid w:val="008B1DA9"/>
    <w:rsid w:val="008B571D"/>
    <w:rsid w:val="008B6162"/>
    <w:rsid w:val="008C3EBC"/>
    <w:rsid w:val="008C4AE0"/>
    <w:rsid w:val="008C57F6"/>
    <w:rsid w:val="008C7019"/>
    <w:rsid w:val="008D33A3"/>
    <w:rsid w:val="008D4715"/>
    <w:rsid w:val="008D5B23"/>
    <w:rsid w:val="008D6F1D"/>
    <w:rsid w:val="008E1B11"/>
    <w:rsid w:val="008E2ACD"/>
    <w:rsid w:val="008E7F87"/>
    <w:rsid w:val="008F0CC7"/>
    <w:rsid w:val="008F11CF"/>
    <w:rsid w:val="008F189C"/>
    <w:rsid w:val="008F1FE1"/>
    <w:rsid w:val="008F32FF"/>
    <w:rsid w:val="008F4486"/>
    <w:rsid w:val="008F4FC6"/>
    <w:rsid w:val="008F72CD"/>
    <w:rsid w:val="009015D3"/>
    <w:rsid w:val="00902179"/>
    <w:rsid w:val="00903877"/>
    <w:rsid w:val="0091544C"/>
    <w:rsid w:val="00921D03"/>
    <w:rsid w:val="00925CD2"/>
    <w:rsid w:val="00932559"/>
    <w:rsid w:val="00933065"/>
    <w:rsid w:val="00933569"/>
    <w:rsid w:val="009365B1"/>
    <w:rsid w:val="0093799C"/>
    <w:rsid w:val="009422A1"/>
    <w:rsid w:val="00943484"/>
    <w:rsid w:val="00944804"/>
    <w:rsid w:val="009449FB"/>
    <w:rsid w:val="0094634F"/>
    <w:rsid w:val="009473D8"/>
    <w:rsid w:val="00960ADF"/>
    <w:rsid w:val="00963A0C"/>
    <w:rsid w:val="009661B5"/>
    <w:rsid w:val="009725C0"/>
    <w:rsid w:val="009729BD"/>
    <w:rsid w:val="00974A92"/>
    <w:rsid w:val="00975270"/>
    <w:rsid w:val="00975BA1"/>
    <w:rsid w:val="00976F39"/>
    <w:rsid w:val="009809DD"/>
    <w:rsid w:val="009835E3"/>
    <w:rsid w:val="009837A6"/>
    <w:rsid w:val="00983C64"/>
    <w:rsid w:val="009869F2"/>
    <w:rsid w:val="00987CDB"/>
    <w:rsid w:val="009A2613"/>
    <w:rsid w:val="009A2726"/>
    <w:rsid w:val="009A30E0"/>
    <w:rsid w:val="009A3619"/>
    <w:rsid w:val="009A66D0"/>
    <w:rsid w:val="009B08AF"/>
    <w:rsid w:val="009B10F4"/>
    <w:rsid w:val="009B3DFC"/>
    <w:rsid w:val="009B793E"/>
    <w:rsid w:val="009C1EA6"/>
    <w:rsid w:val="009C37B9"/>
    <w:rsid w:val="009C38E7"/>
    <w:rsid w:val="009D31FA"/>
    <w:rsid w:val="009D32BD"/>
    <w:rsid w:val="009D33F1"/>
    <w:rsid w:val="009D35B5"/>
    <w:rsid w:val="009D37BD"/>
    <w:rsid w:val="009D4486"/>
    <w:rsid w:val="009D7128"/>
    <w:rsid w:val="009E21DE"/>
    <w:rsid w:val="009E280A"/>
    <w:rsid w:val="009E6174"/>
    <w:rsid w:val="009F211E"/>
    <w:rsid w:val="009F2572"/>
    <w:rsid w:val="009F294E"/>
    <w:rsid w:val="009F30F1"/>
    <w:rsid w:val="009F37C7"/>
    <w:rsid w:val="009F50AB"/>
    <w:rsid w:val="00A005F6"/>
    <w:rsid w:val="00A0424F"/>
    <w:rsid w:val="00A051FB"/>
    <w:rsid w:val="00A103FF"/>
    <w:rsid w:val="00A121B5"/>
    <w:rsid w:val="00A16C6E"/>
    <w:rsid w:val="00A17DB2"/>
    <w:rsid w:val="00A22A14"/>
    <w:rsid w:val="00A23A49"/>
    <w:rsid w:val="00A25AB4"/>
    <w:rsid w:val="00A26214"/>
    <w:rsid w:val="00A26566"/>
    <w:rsid w:val="00A27A51"/>
    <w:rsid w:val="00A31837"/>
    <w:rsid w:val="00A3310D"/>
    <w:rsid w:val="00A37BA4"/>
    <w:rsid w:val="00A402F6"/>
    <w:rsid w:val="00A42167"/>
    <w:rsid w:val="00A43739"/>
    <w:rsid w:val="00A47150"/>
    <w:rsid w:val="00A47466"/>
    <w:rsid w:val="00A47815"/>
    <w:rsid w:val="00A47A18"/>
    <w:rsid w:val="00A539CB"/>
    <w:rsid w:val="00A63709"/>
    <w:rsid w:val="00A643AB"/>
    <w:rsid w:val="00A649E6"/>
    <w:rsid w:val="00A660AF"/>
    <w:rsid w:val="00A70A95"/>
    <w:rsid w:val="00A70BDA"/>
    <w:rsid w:val="00A740B6"/>
    <w:rsid w:val="00A7621E"/>
    <w:rsid w:val="00A817D5"/>
    <w:rsid w:val="00A84F01"/>
    <w:rsid w:val="00A91332"/>
    <w:rsid w:val="00A93351"/>
    <w:rsid w:val="00A95538"/>
    <w:rsid w:val="00AA0013"/>
    <w:rsid w:val="00AA26FF"/>
    <w:rsid w:val="00AA6E8C"/>
    <w:rsid w:val="00AA6F19"/>
    <w:rsid w:val="00AA75E6"/>
    <w:rsid w:val="00AA79A8"/>
    <w:rsid w:val="00AA7A76"/>
    <w:rsid w:val="00AA7C2E"/>
    <w:rsid w:val="00AB0286"/>
    <w:rsid w:val="00AB404E"/>
    <w:rsid w:val="00AB4C6D"/>
    <w:rsid w:val="00AB53F2"/>
    <w:rsid w:val="00AB55F7"/>
    <w:rsid w:val="00AC022F"/>
    <w:rsid w:val="00AC2995"/>
    <w:rsid w:val="00AC4165"/>
    <w:rsid w:val="00AC556A"/>
    <w:rsid w:val="00AC76EA"/>
    <w:rsid w:val="00AC7FB7"/>
    <w:rsid w:val="00AD23BF"/>
    <w:rsid w:val="00AD25B6"/>
    <w:rsid w:val="00AD2631"/>
    <w:rsid w:val="00AD662C"/>
    <w:rsid w:val="00AE1220"/>
    <w:rsid w:val="00AE287F"/>
    <w:rsid w:val="00AE39F3"/>
    <w:rsid w:val="00AE4006"/>
    <w:rsid w:val="00AE5118"/>
    <w:rsid w:val="00AE63BD"/>
    <w:rsid w:val="00AF0B2B"/>
    <w:rsid w:val="00AF2914"/>
    <w:rsid w:val="00AF363F"/>
    <w:rsid w:val="00AF3E4F"/>
    <w:rsid w:val="00AF71E5"/>
    <w:rsid w:val="00B0366D"/>
    <w:rsid w:val="00B071FF"/>
    <w:rsid w:val="00B11505"/>
    <w:rsid w:val="00B11DC2"/>
    <w:rsid w:val="00B15142"/>
    <w:rsid w:val="00B16F69"/>
    <w:rsid w:val="00B1789D"/>
    <w:rsid w:val="00B223FE"/>
    <w:rsid w:val="00B256C3"/>
    <w:rsid w:val="00B3208F"/>
    <w:rsid w:val="00B3260E"/>
    <w:rsid w:val="00B42807"/>
    <w:rsid w:val="00B428A6"/>
    <w:rsid w:val="00B43340"/>
    <w:rsid w:val="00B4461C"/>
    <w:rsid w:val="00B53913"/>
    <w:rsid w:val="00B554D4"/>
    <w:rsid w:val="00B55F3A"/>
    <w:rsid w:val="00B56906"/>
    <w:rsid w:val="00B61484"/>
    <w:rsid w:val="00B71CB5"/>
    <w:rsid w:val="00B71F16"/>
    <w:rsid w:val="00B72922"/>
    <w:rsid w:val="00B72A13"/>
    <w:rsid w:val="00B72ADA"/>
    <w:rsid w:val="00B7473A"/>
    <w:rsid w:val="00B75819"/>
    <w:rsid w:val="00B75CDA"/>
    <w:rsid w:val="00B81526"/>
    <w:rsid w:val="00B819E4"/>
    <w:rsid w:val="00B84042"/>
    <w:rsid w:val="00B84DD5"/>
    <w:rsid w:val="00B9165A"/>
    <w:rsid w:val="00B924B4"/>
    <w:rsid w:val="00B9487E"/>
    <w:rsid w:val="00B95910"/>
    <w:rsid w:val="00B9692A"/>
    <w:rsid w:val="00BA29E7"/>
    <w:rsid w:val="00BA33AF"/>
    <w:rsid w:val="00BA3A4C"/>
    <w:rsid w:val="00BA61FA"/>
    <w:rsid w:val="00BA67FC"/>
    <w:rsid w:val="00BB0F20"/>
    <w:rsid w:val="00BB17D2"/>
    <w:rsid w:val="00BB50D7"/>
    <w:rsid w:val="00BB7F08"/>
    <w:rsid w:val="00BC0623"/>
    <w:rsid w:val="00BC2110"/>
    <w:rsid w:val="00BC35CD"/>
    <w:rsid w:val="00BC3C54"/>
    <w:rsid w:val="00BC415B"/>
    <w:rsid w:val="00BD2C66"/>
    <w:rsid w:val="00BD2CDE"/>
    <w:rsid w:val="00BD3D16"/>
    <w:rsid w:val="00BD41CF"/>
    <w:rsid w:val="00BD75F3"/>
    <w:rsid w:val="00BE0164"/>
    <w:rsid w:val="00BE12BD"/>
    <w:rsid w:val="00BE2ED7"/>
    <w:rsid w:val="00BE3498"/>
    <w:rsid w:val="00BE6AB8"/>
    <w:rsid w:val="00BF040B"/>
    <w:rsid w:val="00BF086D"/>
    <w:rsid w:val="00BF2167"/>
    <w:rsid w:val="00BF43BC"/>
    <w:rsid w:val="00BF4DDA"/>
    <w:rsid w:val="00BF55C7"/>
    <w:rsid w:val="00BF7ED8"/>
    <w:rsid w:val="00C0222C"/>
    <w:rsid w:val="00C04139"/>
    <w:rsid w:val="00C0572E"/>
    <w:rsid w:val="00C1108E"/>
    <w:rsid w:val="00C14A51"/>
    <w:rsid w:val="00C14B1A"/>
    <w:rsid w:val="00C15C65"/>
    <w:rsid w:val="00C21B3D"/>
    <w:rsid w:val="00C24267"/>
    <w:rsid w:val="00C243E6"/>
    <w:rsid w:val="00C26FA6"/>
    <w:rsid w:val="00C2788D"/>
    <w:rsid w:val="00C31D37"/>
    <w:rsid w:val="00C33398"/>
    <w:rsid w:val="00C361F6"/>
    <w:rsid w:val="00C3669A"/>
    <w:rsid w:val="00C371D5"/>
    <w:rsid w:val="00C423E3"/>
    <w:rsid w:val="00C44BAC"/>
    <w:rsid w:val="00C45626"/>
    <w:rsid w:val="00C458AF"/>
    <w:rsid w:val="00C460A0"/>
    <w:rsid w:val="00C4720D"/>
    <w:rsid w:val="00C50068"/>
    <w:rsid w:val="00C549F4"/>
    <w:rsid w:val="00C60DD4"/>
    <w:rsid w:val="00C60F27"/>
    <w:rsid w:val="00C610F2"/>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6AEA"/>
    <w:rsid w:val="00C875AE"/>
    <w:rsid w:val="00C9310B"/>
    <w:rsid w:val="00C937FB"/>
    <w:rsid w:val="00CA2964"/>
    <w:rsid w:val="00CA696D"/>
    <w:rsid w:val="00CA6B5A"/>
    <w:rsid w:val="00CB1536"/>
    <w:rsid w:val="00CB3907"/>
    <w:rsid w:val="00CB6167"/>
    <w:rsid w:val="00CC0C54"/>
    <w:rsid w:val="00CC1016"/>
    <w:rsid w:val="00CC32A0"/>
    <w:rsid w:val="00CD0D1D"/>
    <w:rsid w:val="00CD1673"/>
    <w:rsid w:val="00CD1721"/>
    <w:rsid w:val="00CD4DDC"/>
    <w:rsid w:val="00CE6301"/>
    <w:rsid w:val="00CE6537"/>
    <w:rsid w:val="00CF2008"/>
    <w:rsid w:val="00CF3649"/>
    <w:rsid w:val="00CF4188"/>
    <w:rsid w:val="00CF4E9E"/>
    <w:rsid w:val="00CF7848"/>
    <w:rsid w:val="00D058FC"/>
    <w:rsid w:val="00D06213"/>
    <w:rsid w:val="00D10010"/>
    <w:rsid w:val="00D11510"/>
    <w:rsid w:val="00D12BB7"/>
    <w:rsid w:val="00D159D4"/>
    <w:rsid w:val="00D15C79"/>
    <w:rsid w:val="00D21601"/>
    <w:rsid w:val="00D21AA7"/>
    <w:rsid w:val="00D22F1C"/>
    <w:rsid w:val="00D23D75"/>
    <w:rsid w:val="00D31882"/>
    <w:rsid w:val="00D31BAB"/>
    <w:rsid w:val="00D31D27"/>
    <w:rsid w:val="00D32109"/>
    <w:rsid w:val="00D336A4"/>
    <w:rsid w:val="00D34AFB"/>
    <w:rsid w:val="00D35A03"/>
    <w:rsid w:val="00D37377"/>
    <w:rsid w:val="00D41830"/>
    <w:rsid w:val="00D45B8C"/>
    <w:rsid w:val="00D56058"/>
    <w:rsid w:val="00D567E0"/>
    <w:rsid w:val="00D56A09"/>
    <w:rsid w:val="00D57976"/>
    <w:rsid w:val="00D61F2D"/>
    <w:rsid w:val="00D630DE"/>
    <w:rsid w:val="00D645C6"/>
    <w:rsid w:val="00D6548A"/>
    <w:rsid w:val="00D65905"/>
    <w:rsid w:val="00D7327A"/>
    <w:rsid w:val="00D74EC8"/>
    <w:rsid w:val="00D81AC9"/>
    <w:rsid w:val="00D858CC"/>
    <w:rsid w:val="00D9086C"/>
    <w:rsid w:val="00D93AAA"/>
    <w:rsid w:val="00D94745"/>
    <w:rsid w:val="00D95026"/>
    <w:rsid w:val="00D95DFF"/>
    <w:rsid w:val="00D963D5"/>
    <w:rsid w:val="00DA41B2"/>
    <w:rsid w:val="00DA5D06"/>
    <w:rsid w:val="00DA7B20"/>
    <w:rsid w:val="00DB049D"/>
    <w:rsid w:val="00DB473D"/>
    <w:rsid w:val="00DB5727"/>
    <w:rsid w:val="00DC2E38"/>
    <w:rsid w:val="00DC2FBF"/>
    <w:rsid w:val="00DC52BC"/>
    <w:rsid w:val="00DC621D"/>
    <w:rsid w:val="00DC6A98"/>
    <w:rsid w:val="00DC6EF8"/>
    <w:rsid w:val="00DC7245"/>
    <w:rsid w:val="00DC730A"/>
    <w:rsid w:val="00DD12FC"/>
    <w:rsid w:val="00DD1ED6"/>
    <w:rsid w:val="00DD2B0D"/>
    <w:rsid w:val="00DE130A"/>
    <w:rsid w:val="00DE1F21"/>
    <w:rsid w:val="00DE3369"/>
    <w:rsid w:val="00DE33DB"/>
    <w:rsid w:val="00DE38B2"/>
    <w:rsid w:val="00DF2C9A"/>
    <w:rsid w:val="00DF5291"/>
    <w:rsid w:val="00DF6AC1"/>
    <w:rsid w:val="00E010C4"/>
    <w:rsid w:val="00E05572"/>
    <w:rsid w:val="00E10D04"/>
    <w:rsid w:val="00E16292"/>
    <w:rsid w:val="00E166FD"/>
    <w:rsid w:val="00E20294"/>
    <w:rsid w:val="00E25706"/>
    <w:rsid w:val="00E264BB"/>
    <w:rsid w:val="00E276DF"/>
    <w:rsid w:val="00E30596"/>
    <w:rsid w:val="00E31FF9"/>
    <w:rsid w:val="00E33434"/>
    <w:rsid w:val="00E33B23"/>
    <w:rsid w:val="00E37B1B"/>
    <w:rsid w:val="00E43C23"/>
    <w:rsid w:val="00E45160"/>
    <w:rsid w:val="00E45E6A"/>
    <w:rsid w:val="00E50A42"/>
    <w:rsid w:val="00E54FA5"/>
    <w:rsid w:val="00E56D64"/>
    <w:rsid w:val="00E57446"/>
    <w:rsid w:val="00E61081"/>
    <w:rsid w:val="00E65B18"/>
    <w:rsid w:val="00E65B9D"/>
    <w:rsid w:val="00E71CE6"/>
    <w:rsid w:val="00E71E16"/>
    <w:rsid w:val="00E72629"/>
    <w:rsid w:val="00E728C6"/>
    <w:rsid w:val="00E76641"/>
    <w:rsid w:val="00E77AC7"/>
    <w:rsid w:val="00E83DA2"/>
    <w:rsid w:val="00E851E8"/>
    <w:rsid w:val="00E862E7"/>
    <w:rsid w:val="00E86DF2"/>
    <w:rsid w:val="00E879EC"/>
    <w:rsid w:val="00E95703"/>
    <w:rsid w:val="00EA0297"/>
    <w:rsid w:val="00EA2C29"/>
    <w:rsid w:val="00EA3F05"/>
    <w:rsid w:val="00EA5E85"/>
    <w:rsid w:val="00EB0B07"/>
    <w:rsid w:val="00EB0C6A"/>
    <w:rsid w:val="00EB144E"/>
    <w:rsid w:val="00EB1B82"/>
    <w:rsid w:val="00EB2F49"/>
    <w:rsid w:val="00EB462A"/>
    <w:rsid w:val="00EB635D"/>
    <w:rsid w:val="00EB6AA6"/>
    <w:rsid w:val="00EC0354"/>
    <w:rsid w:val="00EC5A70"/>
    <w:rsid w:val="00EC70BC"/>
    <w:rsid w:val="00ED018E"/>
    <w:rsid w:val="00ED044F"/>
    <w:rsid w:val="00ED07AD"/>
    <w:rsid w:val="00ED39D5"/>
    <w:rsid w:val="00ED3B36"/>
    <w:rsid w:val="00EE55F9"/>
    <w:rsid w:val="00EE62A5"/>
    <w:rsid w:val="00EE63DE"/>
    <w:rsid w:val="00EF00EA"/>
    <w:rsid w:val="00EF0CBA"/>
    <w:rsid w:val="00EF34E1"/>
    <w:rsid w:val="00EF36A0"/>
    <w:rsid w:val="00F00D0F"/>
    <w:rsid w:val="00F0109E"/>
    <w:rsid w:val="00F11454"/>
    <w:rsid w:val="00F12E5A"/>
    <w:rsid w:val="00F221FC"/>
    <w:rsid w:val="00F24025"/>
    <w:rsid w:val="00F322F5"/>
    <w:rsid w:val="00F35033"/>
    <w:rsid w:val="00F35CAE"/>
    <w:rsid w:val="00F36EE7"/>
    <w:rsid w:val="00F41D9D"/>
    <w:rsid w:val="00F4468A"/>
    <w:rsid w:val="00F47EFB"/>
    <w:rsid w:val="00F505CE"/>
    <w:rsid w:val="00F5169E"/>
    <w:rsid w:val="00F51C0B"/>
    <w:rsid w:val="00F57AFC"/>
    <w:rsid w:val="00F627E4"/>
    <w:rsid w:val="00F65DBD"/>
    <w:rsid w:val="00F669B9"/>
    <w:rsid w:val="00F773E6"/>
    <w:rsid w:val="00F80A07"/>
    <w:rsid w:val="00F80C1E"/>
    <w:rsid w:val="00F80CEE"/>
    <w:rsid w:val="00F81C18"/>
    <w:rsid w:val="00F81F36"/>
    <w:rsid w:val="00F8493C"/>
    <w:rsid w:val="00F85468"/>
    <w:rsid w:val="00F86A45"/>
    <w:rsid w:val="00F86BC7"/>
    <w:rsid w:val="00F907D4"/>
    <w:rsid w:val="00F9202F"/>
    <w:rsid w:val="00F92AA4"/>
    <w:rsid w:val="00FA2519"/>
    <w:rsid w:val="00FA6B1E"/>
    <w:rsid w:val="00FB4165"/>
    <w:rsid w:val="00FB59A0"/>
    <w:rsid w:val="00FC1792"/>
    <w:rsid w:val="00FC42BD"/>
    <w:rsid w:val="00FD2E9B"/>
    <w:rsid w:val="00FE065B"/>
    <w:rsid w:val="00FE06D8"/>
    <w:rsid w:val="00FE17D2"/>
    <w:rsid w:val="00FE43C6"/>
    <w:rsid w:val="00FE7835"/>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y1961v4SApg752" TargetMode="External"/><Relationship Id="rId4" Type="http://schemas.openxmlformats.org/officeDocument/2006/relationships/settings" Target="settings.xml"/><Relationship Id="rId9" Type="http://schemas.openxmlformats.org/officeDocument/2006/relationships/hyperlink" Target="https://app.jutastatevolve.co.za/y1945ADpg5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1915ADpg1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899B-5684-4714-8D95-090A0E97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18</Pages>
  <Words>4026</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26922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2023-05-15T07:52:00Z</cp:lastPrinted>
  <dcterms:created xsi:type="dcterms:W3CDTF">2023-05-15T12:40:00Z</dcterms:created>
  <dcterms:modified xsi:type="dcterms:W3CDTF">2023-05-15T12:41:00Z</dcterms:modified>
</cp:coreProperties>
</file>