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77777777" w:rsidR="006C43D7" w:rsidRPr="0009745A" w:rsidRDefault="006C43D7" w:rsidP="006C43D7">
      <w:pPr>
        <w:spacing w:after="120" w:line="360" w:lineRule="auto"/>
        <w:jc w:val="center"/>
        <w:rPr>
          <w:rFonts w:cs="Arial"/>
          <w:b/>
          <w:bCs/>
          <w:szCs w:val="22"/>
        </w:rPr>
      </w:pPr>
      <w:r w:rsidRPr="0009745A">
        <w:rPr>
          <w:rFonts w:cs="Arial"/>
          <w:b/>
          <w:bCs/>
          <w:noProof/>
          <w:szCs w:val="22"/>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09745A" w:rsidRDefault="006C43D7" w:rsidP="006C43D7">
      <w:pPr>
        <w:jc w:val="center"/>
        <w:rPr>
          <w:rFonts w:cs="Arial"/>
          <w:b/>
          <w:szCs w:val="22"/>
        </w:rPr>
      </w:pPr>
      <w:r w:rsidRPr="0009745A">
        <w:rPr>
          <w:rFonts w:cs="Arial"/>
          <w:b/>
          <w:szCs w:val="22"/>
        </w:rPr>
        <w:t xml:space="preserve">IN THE HIGH COURT OF SOUTH AFRICA, </w:t>
      </w:r>
    </w:p>
    <w:p w14:paraId="13D6E83E" w14:textId="70018BD8" w:rsidR="006C43D7" w:rsidRPr="0009745A" w:rsidRDefault="006C43D7" w:rsidP="00652C04">
      <w:pPr>
        <w:jc w:val="center"/>
        <w:rPr>
          <w:rFonts w:cs="Arial"/>
          <w:b/>
          <w:szCs w:val="22"/>
        </w:rPr>
      </w:pPr>
      <w:r w:rsidRPr="0009745A">
        <w:rPr>
          <w:rFonts w:cs="Arial"/>
          <w:b/>
          <w:szCs w:val="22"/>
        </w:rPr>
        <w:t>GAUTENG DIVISION, JOHANNESBURG</w:t>
      </w:r>
      <w:r w:rsidR="00652C04">
        <w:rPr>
          <w:rFonts w:cs="Arial"/>
          <w:b/>
          <w:szCs w:val="22"/>
        </w:rPr>
        <w:t>2</w:t>
      </w:r>
    </w:p>
    <w:p w14:paraId="3698476C" w14:textId="58DAEE56" w:rsidR="006C43D7" w:rsidRDefault="006C43D7" w:rsidP="006C43D7">
      <w:pPr>
        <w:spacing w:line="360" w:lineRule="auto"/>
        <w:jc w:val="right"/>
        <w:rPr>
          <w:rFonts w:cs="Arial"/>
          <w:b/>
          <w:szCs w:val="22"/>
        </w:rPr>
      </w:pPr>
      <w:r w:rsidRPr="0009745A">
        <w:rPr>
          <w:rFonts w:cs="Arial"/>
          <w:b/>
          <w:szCs w:val="22"/>
        </w:rPr>
        <w:t xml:space="preserve">CASE NO: </w:t>
      </w:r>
      <w:r w:rsidR="00652C04">
        <w:rPr>
          <w:rFonts w:cs="Arial"/>
          <w:b/>
          <w:szCs w:val="22"/>
        </w:rPr>
        <w:t>A02</w:t>
      </w:r>
      <w:r w:rsidR="006D4E6D">
        <w:rPr>
          <w:rFonts w:cs="Arial"/>
          <w:b/>
          <w:szCs w:val="22"/>
        </w:rPr>
        <w:t>6585</w:t>
      </w:r>
      <w:r w:rsidR="00652C04">
        <w:rPr>
          <w:rFonts w:cs="Arial"/>
          <w:b/>
          <w:szCs w:val="22"/>
        </w:rPr>
        <w:t xml:space="preserve">- </w:t>
      </w:r>
      <w:r w:rsidR="003518A3" w:rsidRPr="0009745A">
        <w:rPr>
          <w:rFonts w:cs="Arial"/>
          <w:b/>
          <w:szCs w:val="22"/>
        </w:rPr>
        <w:t>202</w:t>
      </w:r>
      <w:r w:rsidR="006D4E6D">
        <w:rPr>
          <w:rFonts w:cs="Arial"/>
          <w:b/>
          <w:szCs w:val="22"/>
        </w:rPr>
        <w:t>1</w:t>
      </w:r>
    </w:p>
    <w:p w14:paraId="61F632DB" w14:textId="507307D7" w:rsidR="00392DB9" w:rsidRPr="00392DB9" w:rsidRDefault="00392DB9" w:rsidP="006C43D7">
      <w:pPr>
        <w:spacing w:line="360" w:lineRule="auto"/>
        <w:jc w:val="right"/>
        <w:rPr>
          <w:rFonts w:cs="Arial"/>
          <w:b/>
          <w:szCs w:val="22"/>
        </w:rPr>
      </w:pPr>
      <w:r w:rsidRPr="00392DB9">
        <w:rPr>
          <w:rFonts w:cs="Arial"/>
          <w:b/>
          <w:bCs/>
          <w:szCs w:val="22"/>
          <w:lang w:eastAsia="en-ZA"/>
        </w:rPr>
        <w:t xml:space="preserve">COURT </w:t>
      </w:r>
      <w:r w:rsidRPr="00392DB9">
        <w:rPr>
          <w:rFonts w:cs="Arial"/>
          <w:b/>
          <w:bCs/>
          <w:i/>
          <w:iCs/>
          <w:szCs w:val="22"/>
          <w:lang w:eastAsia="en-ZA"/>
        </w:rPr>
        <w:t xml:space="preserve">A QUO </w:t>
      </w:r>
      <w:r w:rsidRPr="00392DB9">
        <w:rPr>
          <w:rFonts w:cs="Arial"/>
          <w:b/>
          <w:bCs/>
          <w:szCs w:val="22"/>
          <w:lang w:eastAsia="en-ZA"/>
        </w:rPr>
        <w:t>CASE NO: 0112020MAI1000781</w:t>
      </w:r>
    </w:p>
    <w:p w14:paraId="0AF8DD38" w14:textId="0F9033BE" w:rsidR="006C43D7" w:rsidRPr="0009745A" w:rsidRDefault="00007CC6" w:rsidP="006C43D7">
      <w:pPr>
        <w:spacing w:line="360" w:lineRule="auto"/>
        <w:jc w:val="right"/>
        <w:rPr>
          <w:rFonts w:cs="Arial"/>
          <w:szCs w:val="22"/>
        </w:rPr>
      </w:pPr>
      <w:r w:rsidRPr="0009745A">
        <w:rPr>
          <w:rFonts w:cs="Arial"/>
          <w:noProof/>
          <w:szCs w:val="22"/>
          <w:lang w:val="en-US"/>
        </w:rPr>
        <mc:AlternateContent>
          <mc:Choice Requires="wps">
            <w:drawing>
              <wp:anchor distT="0" distB="0" distL="114300" distR="114300" simplePos="0" relativeHeight="251659264" behindDoc="0" locked="0" layoutInCell="1" allowOverlap="1" wp14:anchorId="66068A6B" wp14:editId="71561C7F">
                <wp:simplePos x="0" y="0"/>
                <wp:positionH relativeFrom="margin">
                  <wp:align>left</wp:align>
                </wp:positionH>
                <wp:positionV relativeFrom="paragraph">
                  <wp:posOffset>49530</wp:posOffset>
                </wp:positionV>
                <wp:extent cx="3314700" cy="15925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9165D0" w:rsidRPr="00913F95" w:rsidRDefault="009165D0" w:rsidP="006C43D7">
                            <w:pPr>
                              <w:jc w:val="center"/>
                              <w:rPr>
                                <w:rFonts w:ascii="Century Gothic" w:hAnsi="Century Gothic"/>
                                <w:b/>
                                <w:sz w:val="20"/>
                                <w:szCs w:val="20"/>
                              </w:rPr>
                            </w:pPr>
                          </w:p>
                          <w:p w14:paraId="01FDAE28" w14:textId="7D50A5E4" w:rsidR="009165D0" w:rsidRDefault="00A83F29" w:rsidP="00A83F29">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165D0" w:rsidRPr="001D3CC2">
                              <w:rPr>
                                <w:rFonts w:ascii="Century Gothic" w:hAnsi="Century Gothic"/>
                                <w:sz w:val="20"/>
                                <w:szCs w:val="20"/>
                              </w:rPr>
                              <w:t xml:space="preserve">REPORTABLE: </w:t>
                            </w:r>
                            <w:r w:rsidR="0099709D">
                              <w:rPr>
                                <w:rFonts w:ascii="Century Gothic" w:hAnsi="Century Gothic"/>
                                <w:sz w:val="20"/>
                                <w:szCs w:val="20"/>
                              </w:rPr>
                              <w:t>NO</w:t>
                            </w:r>
                          </w:p>
                          <w:p w14:paraId="3A4C7296" w14:textId="1A6705A7" w:rsidR="009165D0" w:rsidRPr="001D3CC2" w:rsidRDefault="00A83F29" w:rsidP="00A83F29">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9165D0" w:rsidRPr="001D3CC2">
                              <w:rPr>
                                <w:rFonts w:ascii="Century Gothic" w:hAnsi="Century Gothic"/>
                                <w:sz w:val="20"/>
                                <w:szCs w:val="20"/>
                              </w:rPr>
                              <w:t>OF INTEREST TO OTHER JUDGES</w:t>
                            </w:r>
                            <w:r w:rsidR="009165D0">
                              <w:rPr>
                                <w:rFonts w:ascii="Century Gothic" w:hAnsi="Century Gothic"/>
                                <w:sz w:val="20"/>
                                <w:szCs w:val="20"/>
                              </w:rPr>
                              <w:t xml:space="preserve">: </w:t>
                            </w:r>
                            <w:r w:rsidR="0099709D">
                              <w:rPr>
                                <w:rFonts w:ascii="Century Gothic" w:hAnsi="Century Gothic"/>
                                <w:sz w:val="20"/>
                                <w:szCs w:val="20"/>
                              </w:rPr>
                              <w:t>NO</w:t>
                            </w:r>
                          </w:p>
                          <w:p w14:paraId="21D4A71B" w14:textId="5B58BFC8" w:rsidR="009165D0" w:rsidRPr="00913F95" w:rsidRDefault="009165D0" w:rsidP="001D3CC2">
                            <w:pPr>
                              <w:ind w:left="180"/>
                              <w:rPr>
                                <w:rFonts w:ascii="Century Gothic" w:hAnsi="Century Gothic"/>
                                <w:sz w:val="20"/>
                                <w:szCs w:val="20"/>
                              </w:rPr>
                            </w:pPr>
                          </w:p>
                          <w:p w14:paraId="761B7CA4" w14:textId="77777777" w:rsidR="009165D0" w:rsidRDefault="009165D0" w:rsidP="006C43D7">
                            <w:pPr>
                              <w:rPr>
                                <w:rFonts w:ascii="Century Gothic" w:hAnsi="Century Gothic"/>
                                <w:b/>
                                <w:sz w:val="18"/>
                                <w:szCs w:val="18"/>
                              </w:rPr>
                            </w:pPr>
                          </w:p>
                          <w:p w14:paraId="0EC4BA5C" w14:textId="61945B0D" w:rsidR="009165D0" w:rsidRPr="001D3CC2" w:rsidRDefault="009165D0"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9165D0" w:rsidRPr="00084341" w:rsidRDefault="009165D0"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68A6B"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">
                <v:textbox>
                  <w:txbxContent>
                    <w:p w14:paraId="0EA4B470" w14:textId="77777777" w:rsidR="009165D0" w:rsidRPr="00913F95" w:rsidRDefault="009165D0" w:rsidP="006C43D7">
                      <w:pPr>
                        <w:jc w:val="center"/>
                        <w:rPr>
                          <w:rFonts w:ascii="Century Gothic" w:hAnsi="Century Gothic"/>
                          <w:b/>
                          <w:sz w:val="20"/>
                          <w:szCs w:val="20"/>
                        </w:rPr>
                      </w:pPr>
                    </w:p>
                    <w:p w14:paraId="01FDAE28" w14:textId="7D50A5E4" w:rsidR="009165D0" w:rsidRDefault="00A83F29" w:rsidP="00A83F29">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165D0" w:rsidRPr="001D3CC2">
                        <w:rPr>
                          <w:rFonts w:ascii="Century Gothic" w:hAnsi="Century Gothic"/>
                          <w:sz w:val="20"/>
                          <w:szCs w:val="20"/>
                        </w:rPr>
                        <w:t xml:space="preserve">REPORTABLE: </w:t>
                      </w:r>
                      <w:r w:rsidR="0099709D">
                        <w:rPr>
                          <w:rFonts w:ascii="Century Gothic" w:hAnsi="Century Gothic"/>
                          <w:sz w:val="20"/>
                          <w:szCs w:val="20"/>
                        </w:rPr>
                        <w:t>NO</w:t>
                      </w:r>
                    </w:p>
                    <w:p w14:paraId="3A4C7296" w14:textId="1A6705A7" w:rsidR="009165D0" w:rsidRPr="001D3CC2" w:rsidRDefault="00A83F29" w:rsidP="00A83F29">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9165D0" w:rsidRPr="001D3CC2">
                        <w:rPr>
                          <w:rFonts w:ascii="Century Gothic" w:hAnsi="Century Gothic"/>
                          <w:sz w:val="20"/>
                          <w:szCs w:val="20"/>
                        </w:rPr>
                        <w:t>OF INTEREST TO OTHER JUDGES</w:t>
                      </w:r>
                      <w:r w:rsidR="009165D0">
                        <w:rPr>
                          <w:rFonts w:ascii="Century Gothic" w:hAnsi="Century Gothic"/>
                          <w:sz w:val="20"/>
                          <w:szCs w:val="20"/>
                        </w:rPr>
                        <w:t xml:space="preserve">: </w:t>
                      </w:r>
                      <w:r w:rsidR="0099709D">
                        <w:rPr>
                          <w:rFonts w:ascii="Century Gothic" w:hAnsi="Century Gothic"/>
                          <w:sz w:val="20"/>
                          <w:szCs w:val="20"/>
                        </w:rPr>
                        <w:t>NO</w:t>
                      </w:r>
                    </w:p>
                    <w:p w14:paraId="21D4A71B" w14:textId="5B58BFC8" w:rsidR="009165D0" w:rsidRPr="00913F95" w:rsidRDefault="009165D0" w:rsidP="001D3CC2">
                      <w:pPr>
                        <w:ind w:left="180"/>
                        <w:rPr>
                          <w:rFonts w:ascii="Century Gothic" w:hAnsi="Century Gothic"/>
                          <w:sz w:val="20"/>
                          <w:szCs w:val="20"/>
                        </w:rPr>
                      </w:pPr>
                    </w:p>
                    <w:p w14:paraId="761B7CA4" w14:textId="77777777" w:rsidR="009165D0" w:rsidRDefault="009165D0" w:rsidP="006C43D7">
                      <w:pPr>
                        <w:rPr>
                          <w:rFonts w:ascii="Century Gothic" w:hAnsi="Century Gothic"/>
                          <w:b/>
                          <w:sz w:val="18"/>
                          <w:szCs w:val="18"/>
                        </w:rPr>
                      </w:pPr>
                    </w:p>
                    <w:p w14:paraId="0EC4BA5C" w14:textId="61945B0D" w:rsidR="009165D0" w:rsidRPr="001D3CC2" w:rsidRDefault="009165D0"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9165D0" w:rsidRPr="00084341" w:rsidRDefault="009165D0"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09745A" w:rsidRDefault="006C43D7" w:rsidP="006C43D7">
      <w:pPr>
        <w:spacing w:line="360" w:lineRule="auto"/>
        <w:jc w:val="both"/>
        <w:rPr>
          <w:rFonts w:cs="Arial"/>
          <w:szCs w:val="22"/>
        </w:rPr>
      </w:pPr>
    </w:p>
    <w:p w14:paraId="4E808D74" w14:textId="77777777" w:rsidR="006C43D7" w:rsidRPr="0009745A" w:rsidRDefault="006C43D7" w:rsidP="006C43D7">
      <w:pPr>
        <w:spacing w:line="360" w:lineRule="auto"/>
        <w:jc w:val="both"/>
        <w:rPr>
          <w:rFonts w:cs="Arial"/>
          <w:szCs w:val="22"/>
        </w:rPr>
      </w:pPr>
    </w:p>
    <w:p w14:paraId="34BF70B6" w14:textId="77777777" w:rsidR="006C43D7" w:rsidRPr="0009745A" w:rsidRDefault="006C43D7" w:rsidP="006C43D7">
      <w:pPr>
        <w:spacing w:line="360" w:lineRule="auto"/>
        <w:jc w:val="both"/>
        <w:rPr>
          <w:rFonts w:cs="Arial"/>
          <w:szCs w:val="22"/>
        </w:rPr>
      </w:pPr>
    </w:p>
    <w:p w14:paraId="2F53BA3A" w14:textId="77777777" w:rsidR="006C43D7" w:rsidRPr="0009745A" w:rsidRDefault="006C43D7" w:rsidP="006C43D7">
      <w:pPr>
        <w:spacing w:line="480" w:lineRule="auto"/>
        <w:jc w:val="both"/>
        <w:rPr>
          <w:rFonts w:cs="Arial"/>
          <w:szCs w:val="22"/>
        </w:rPr>
      </w:pPr>
    </w:p>
    <w:p w14:paraId="3A1C212E" w14:textId="77777777" w:rsidR="006C43D7" w:rsidRPr="0009745A" w:rsidRDefault="006C43D7" w:rsidP="006C43D7">
      <w:pPr>
        <w:spacing w:line="480" w:lineRule="auto"/>
        <w:jc w:val="both"/>
        <w:rPr>
          <w:rFonts w:cs="Arial"/>
          <w:szCs w:val="22"/>
        </w:rPr>
      </w:pPr>
    </w:p>
    <w:p w14:paraId="04919B1B" w14:textId="18AF742C" w:rsidR="001D3CC2" w:rsidRDefault="001D3CC2" w:rsidP="006C43D7">
      <w:pPr>
        <w:spacing w:line="480" w:lineRule="auto"/>
        <w:jc w:val="both"/>
        <w:rPr>
          <w:rFonts w:cs="Arial"/>
          <w:szCs w:val="22"/>
        </w:rPr>
      </w:pPr>
    </w:p>
    <w:p w14:paraId="2A3E8EC7" w14:textId="35BFF3B1" w:rsidR="00CC48E3" w:rsidRPr="0009745A" w:rsidRDefault="00CC48E3" w:rsidP="00CC48E3">
      <w:pPr>
        <w:rPr>
          <w:rFonts w:cs="Arial"/>
          <w:szCs w:val="22"/>
        </w:rPr>
      </w:pPr>
    </w:p>
    <w:p w14:paraId="3CF828F5" w14:textId="3E94AA10" w:rsidR="00CC48E3" w:rsidRDefault="00CC48E3" w:rsidP="00CC48E3">
      <w:pPr>
        <w:rPr>
          <w:rFonts w:cs="Arial"/>
          <w:szCs w:val="22"/>
        </w:rPr>
      </w:pPr>
      <w:r w:rsidRPr="0009745A">
        <w:rPr>
          <w:rFonts w:cs="Arial"/>
          <w:szCs w:val="22"/>
        </w:rPr>
        <w:t>In the matter between –</w:t>
      </w:r>
    </w:p>
    <w:p w14:paraId="684CF908" w14:textId="6BFAA436" w:rsidR="002369D8" w:rsidRDefault="002369D8" w:rsidP="00CC48E3">
      <w:pPr>
        <w:rPr>
          <w:rFonts w:cs="Arial"/>
          <w:szCs w:val="22"/>
        </w:rPr>
      </w:pPr>
    </w:p>
    <w:p w14:paraId="5CA8F57B" w14:textId="3FEFB015" w:rsidR="006C43D7" w:rsidRDefault="006C43D7" w:rsidP="00016C5A">
      <w:pPr>
        <w:spacing w:line="360" w:lineRule="auto"/>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786"/>
      </w:tblGrid>
      <w:tr w:rsidR="003F0B24" w14:paraId="0A795638" w14:textId="77777777" w:rsidTr="00232EB3">
        <w:tc>
          <w:tcPr>
            <w:tcW w:w="7230" w:type="dxa"/>
          </w:tcPr>
          <w:p w14:paraId="4771A0C1" w14:textId="6F5FB1F4" w:rsidR="003F0B24" w:rsidRDefault="003F0B24" w:rsidP="00016C5A">
            <w:pPr>
              <w:spacing w:line="360" w:lineRule="auto"/>
              <w:jc w:val="both"/>
              <w:rPr>
                <w:rFonts w:cs="Arial"/>
                <w:szCs w:val="22"/>
              </w:rPr>
            </w:pPr>
            <w:r w:rsidRPr="003F0B24">
              <w:rPr>
                <w:rFonts w:cs="Arial"/>
                <w:b/>
                <w:bCs/>
                <w:szCs w:val="22"/>
                <w:lang w:eastAsia="en-ZA"/>
              </w:rPr>
              <w:t>LYONS, STEVEN ROBERT</w:t>
            </w:r>
          </w:p>
        </w:tc>
        <w:tc>
          <w:tcPr>
            <w:tcW w:w="1786" w:type="dxa"/>
          </w:tcPr>
          <w:p w14:paraId="6D30F6CF" w14:textId="26A2F640" w:rsidR="003F0B24" w:rsidRDefault="003F0B24" w:rsidP="00016C5A">
            <w:pPr>
              <w:spacing w:line="360" w:lineRule="auto"/>
              <w:jc w:val="both"/>
              <w:rPr>
                <w:rFonts w:cs="Arial"/>
                <w:szCs w:val="22"/>
              </w:rPr>
            </w:pPr>
            <w:r w:rsidRPr="003F0B24">
              <w:rPr>
                <w:rFonts w:cs="Arial"/>
                <w:szCs w:val="22"/>
              </w:rPr>
              <w:t>APPELLANT</w:t>
            </w:r>
          </w:p>
        </w:tc>
      </w:tr>
      <w:tr w:rsidR="003F0B24" w14:paraId="4BE8EAF7" w14:textId="77777777" w:rsidTr="00232EB3">
        <w:tc>
          <w:tcPr>
            <w:tcW w:w="7230" w:type="dxa"/>
          </w:tcPr>
          <w:p w14:paraId="6BED4EEC" w14:textId="3BC58D46" w:rsidR="003F0B24" w:rsidRDefault="003F0B24" w:rsidP="00016C5A">
            <w:pPr>
              <w:spacing w:line="360" w:lineRule="auto"/>
              <w:jc w:val="both"/>
              <w:rPr>
                <w:rFonts w:cs="Arial"/>
                <w:szCs w:val="22"/>
              </w:rPr>
            </w:pPr>
            <w:r>
              <w:rPr>
                <w:rFonts w:cs="Arial"/>
                <w:szCs w:val="22"/>
              </w:rPr>
              <w:t>and</w:t>
            </w:r>
          </w:p>
        </w:tc>
        <w:tc>
          <w:tcPr>
            <w:tcW w:w="1786" w:type="dxa"/>
          </w:tcPr>
          <w:p w14:paraId="09F9B6DD" w14:textId="77777777" w:rsidR="003F0B24" w:rsidRDefault="003F0B24" w:rsidP="00016C5A">
            <w:pPr>
              <w:spacing w:line="360" w:lineRule="auto"/>
              <w:jc w:val="both"/>
              <w:rPr>
                <w:rFonts w:cs="Arial"/>
                <w:szCs w:val="22"/>
              </w:rPr>
            </w:pPr>
          </w:p>
        </w:tc>
      </w:tr>
      <w:tr w:rsidR="003F0B24" w14:paraId="3BAF356F" w14:textId="77777777" w:rsidTr="00232EB3">
        <w:tc>
          <w:tcPr>
            <w:tcW w:w="7230" w:type="dxa"/>
          </w:tcPr>
          <w:p w14:paraId="418AE5CA" w14:textId="347B0F60" w:rsidR="003F0B24" w:rsidRDefault="003F0B24" w:rsidP="00016C5A">
            <w:pPr>
              <w:spacing w:line="360" w:lineRule="auto"/>
              <w:jc w:val="both"/>
              <w:rPr>
                <w:rFonts w:cs="Arial"/>
                <w:szCs w:val="22"/>
              </w:rPr>
            </w:pPr>
            <w:r w:rsidRPr="003F0B24">
              <w:rPr>
                <w:rFonts w:cs="Arial"/>
                <w:b/>
                <w:bCs/>
                <w:szCs w:val="22"/>
                <w:lang w:eastAsia="en-ZA"/>
              </w:rPr>
              <w:t>LIPSCHITZ</w:t>
            </w:r>
            <w:r>
              <w:rPr>
                <w:rFonts w:cs="Arial"/>
                <w:b/>
                <w:bCs/>
                <w:szCs w:val="22"/>
                <w:lang w:eastAsia="en-ZA"/>
              </w:rPr>
              <w:t>,</w:t>
            </w:r>
            <w:r w:rsidRPr="003F0B24">
              <w:rPr>
                <w:rFonts w:cs="Arial"/>
                <w:b/>
                <w:bCs/>
                <w:szCs w:val="22"/>
                <w:lang w:eastAsia="en-ZA"/>
              </w:rPr>
              <w:t xml:space="preserve"> ELISE MARTIN</w:t>
            </w:r>
          </w:p>
        </w:tc>
        <w:tc>
          <w:tcPr>
            <w:tcW w:w="1786" w:type="dxa"/>
          </w:tcPr>
          <w:p w14:paraId="089E4AFB" w14:textId="077FCE37" w:rsidR="003F0B24" w:rsidRDefault="003F0B24" w:rsidP="00016C5A">
            <w:pPr>
              <w:spacing w:line="360" w:lineRule="auto"/>
              <w:jc w:val="both"/>
              <w:rPr>
                <w:rFonts w:cs="Arial"/>
                <w:szCs w:val="22"/>
              </w:rPr>
            </w:pPr>
            <w:r>
              <w:rPr>
                <w:rFonts w:cs="Arial"/>
                <w:szCs w:val="22"/>
              </w:rPr>
              <w:t>RESPONDENT</w:t>
            </w:r>
          </w:p>
        </w:tc>
      </w:tr>
    </w:tbl>
    <w:p w14:paraId="0B6912D7" w14:textId="77777777" w:rsidR="00232EB3" w:rsidRDefault="00232EB3" w:rsidP="00016C5A">
      <w:pPr>
        <w:spacing w:line="360" w:lineRule="auto"/>
        <w:jc w:val="both"/>
        <w:rPr>
          <w:b/>
        </w:rPr>
      </w:pPr>
    </w:p>
    <w:p w14:paraId="6942DD68" w14:textId="1D98398E" w:rsidR="003F0B24" w:rsidRPr="0009745A" w:rsidRDefault="00232EB3" w:rsidP="00016C5A">
      <w:pPr>
        <w:spacing w:line="360" w:lineRule="auto"/>
        <w:jc w:val="both"/>
        <w:rPr>
          <w:rFonts w:cs="Arial"/>
          <w:szCs w:val="22"/>
        </w:rPr>
      </w:pPr>
      <w:r w:rsidRPr="003A0BED">
        <w:rPr>
          <w:b/>
        </w:rPr>
        <w:t>Neutral Citation</w:t>
      </w:r>
      <w:r>
        <w:t xml:space="preserve">: </w:t>
      </w:r>
      <w:r>
        <w:rPr>
          <w:i/>
        </w:rPr>
        <w:t>Lyons</w:t>
      </w:r>
      <w:r w:rsidRPr="003A0BED">
        <w:rPr>
          <w:i/>
        </w:rPr>
        <w:t xml:space="preserve"> v </w:t>
      </w:r>
      <w:r>
        <w:rPr>
          <w:i/>
        </w:rPr>
        <w:t>Lipschitz</w:t>
      </w:r>
      <w:r w:rsidRPr="003A0BED">
        <w:rPr>
          <w:i/>
        </w:rPr>
        <w:t xml:space="preserve"> </w:t>
      </w:r>
      <w:r>
        <w:t xml:space="preserve">(Case No. </w:t>
      </w:r>
      <w:r w:rsidR="00964278" w:rsidRPr="001F0EF3">
        <w:rPr>
          <w:rFonts w:cs="Arial"/>
          <w:bCs/>
          <w:szCs w:val="22"/>
        </w:rPr>
        <w:t>A026585- 2021</w:t>
      </w:r>
      <w:r>
        <w:t xml:space="preserve">) [2023] ZAGPJHC </w:t>
      </w:r>
      <w:r w:rsidR="00166B26">
        <w:t xml:space="preserve">476 </w:t>
      </w:r>
      <w:r>
        <w:t>(</w:t>
      </w:r>
      <w:r w:rsidR="00166B26">
        <w:t xml:space="preserve">16 </w:t>
      </w:r>
      <w:r>
        <w:t>May 2023)</w:t>
      </w:r>
    </w:p>
    <w:p w14:paraId="58DE5549" w14:textId="4D16D757" w:rsidR="006C43D7" w:rsidRDefault="006C43D7" w:rsidP="006C43D7">
      <w:pPr>
        <w:pBdr>
          <w:bottom w:val="single" w:sz="12" w:space="1" w:color="auto"/>
        </w:pBdr>
        <w:spacing w:line="276" w:lineRule="auto"/>
        <w:jc w:val="both"/>
        <w:rPr>
          <w:rFonts w:cs="Arial"/>
          <w:szCs w:val="22"/>
        </w:rPr>
      </w:pPr>
    </w:p>
    <w:p w14:paraId="080BBA54" w14:textId="77777777" w:rsidR="003F0B24" w:rsidRPr="0009745A" w:rsidRDefault="003F0B24" w:rsidP="006C43D7">
      <w:pPr>
        <w:spacing w:line="276" w:lineRule="auto"/>
        <w:jc w:val="both"/>
        <w:rPr>
          <w:rFonts w:cs="Arial"/>
          <w:szCs w:val="22"/>
        </w:rPr>
      </w:pPr>
    </w:p>
    <w:p w14:paraId="647AB70C" w14:textId="44F7CC68" w:rsidR="006C43D7" w:rsidRDefault="006C43D7" w:rsidP="006C43D7">
      <w:pPr>
        <w:keepNext/>
        <w:pBdr>
          <w:bottom w:val="single" w:sz="12" w:space="1" w:color="auto"/>
        </w:pBdr>
        <w:spacing w:line="276" w:lineRule="auto"/>
        <w:jc w:val="center"/>
        <w:outlineLvl w:val="1"/>
        <w:rPr>
          <w:rFonts w:cs="Arial"/>
          <w:b/>
          <w:bCs/>
          <w:szCs w:val="22"/>
        </w:rPr>
      </w:pPr>
      <w:r w:rsidRPr="0009745A">
        <w:rPr>
          <w:rFonts w:cs="Arial"/>
          <w:b/>
          <w:bCs/>
          <w:szCs w:val="22"/>
        </w:rPr>
        <w:t>JUDGMENT</w:t>
      </w:r>
    </w:p>
    <w:p w14:paraId="3FD80A8E" w14:textId="77777777" w:rsidR="003F0B24" w:rsidRPr="0009745A" w:rsidRDefault="003F0B24" w:rsidP="006C43D7">
      <w:pPr>
        <w:keepNext/>
        <w:spacing w:line="276" w:lineRule="auto"/>
        <w:jc w:val="center"/>
        <w:outlineLvl w:val="1"/>
        <w:rPr>
          <w:rFonts w:cs="Arial"/>
          <w:b/>
          <w:bCs/>
          <w:szCs w:val="22"/>
        </w:rPr>
      </w:pPr>
    </w:p>
    <w:p w14:paraId="1C675DCC" w14:textId="4486104F" w:rsidR="003F0B24" w:rsidRPr="003F0B24" w:rsidRDefault="003F0B24" w:rsidP="00250A46">
      <w:pPr>
        <w:widowControl w:val="0"/>
        <w:spacing w:after="480" w:line="480" w:lineRule="auto"/>
        <w:jc w:val="both"/>
        <w:rPr>
          <w:rFonts w:cs="Arial"/>
          <w:bCs/>
          <w:szCs w:val="22"/>
          <w:u w:val="single"/>
        </w:rPr>
      </w:pPr>
      <w:r w:rsidRPr="0009745A">
        <w:rPr>
          <w:rFonts w:cs="Arial"/>
          <w:b/>
          <w:szCs w:val="22"/>
        </w:rPr>
        <w:t>MOORCROFT AJ</w:t>
      </w:r>
      <w:r>
        <w:rPr>
          <w:rFonts w:cs="Arial"/>
          <w:b/>
          <w:szCs w:val="22"/>
        </w:rPr>
        <w:t xml:space="preserve"> [COPPIN J CONCURRING]:</w:t>
      </w:r>
    </w:p>
    <w:p w14:paraId="10D6BD31" w14:textId="269E27BE" w:rsidR="00131957" w:rsidRDefault="00131957" w:rsidP="00250A46">
      <w:pPr>
        <w:widowControl w:val="0"/>
        <w:spacing w:after="480" w:line="480" w:lineRule="auto"/>
        <w:jc w:val="both"/>
        <w:rPr>
          <w:rFonts w:cs="Arial"/>
          <w:bCs/>
          <w:i/>
          <w:iCs/>
          <w:szCs w:val="22"/>
          <w:u w:val="single"/>
        </w:rPr>
      </w:pPr>
      <w:r w:rsidRPr="0009745A">
        <w:rPr>
          <w:rFonts w:cs="Arial"/>
          <w:bCs/>
          <w:i/>
          <w:iCs/>
          <w:szCs w:val="22"/>
          <w:u w:val="single"/>
        </w:rPr>
        <w:t>Summary</w:t>
      </w:r>
    </w:p>
    <w:p w14:paraId="6DEEE791" w14:textId="253E5DAA" w:rsidR="007E69D8" w:rsidRPr="007E69D8" w:rsidRDefault="006D4E6D" w:rsidP="00250A46">
      <w:pPr>
        <w:widowControl w:val="0"/>
        <w:spacing w:after="480" w:line="480" w:lineRule="auto"/>
        <w:jc w:val="both"/>
        <w:rPr>
          <w:rFonts w:cs="Arial"/>
          <w:bCs/>
          <w:i/>
          <w:iCs/>
          <w:szCs w:val="22"/>
        </w:rPr>
      </w:pPr>
      <w:r>
        <w:rPr>
          <w:rFonts w:cs="Arial"/>
          <w:bCs/>
          <w:i/>
          <w:iCs/>
          <w:szCs w:val="22"/>
        </w:rPr>
        <w:t>Appeal – against order granted ex parte</w:t>
      </w:r>
      <w:r w:rsidR="00392DB9">
        <w:rPr>
          <w:rFonts w:cs="Arial"/>
          <w:bCs/>
          <w:i/>
          <w:iCs/>
          <w:szCs w:val="22"/>
        </w:rPr>
        <w:t xml:space="preserve"> </w:t>
      </w:r>
      <w:r w:rsidR="00191783">
        <w:rPr>
          <w:rFonts w:cs="Arial"/>
          <w:bCs/>
          <w:i/>
          <w:iCs/>
          <w:szCs w:val="22"/>
        </w:rPr>
        <w:t>–</w:t>
      </w:r>
      <w:r>
        <w:rPr>
          <w:rFonts w:cs="Arial"/>
          <w:bCs/>
          <w:i/>
          <w:iCs/>
          <w:szCs w:val="22"/>
        </w:rPr>
        <w:t xml:space="preserve"> </w:t>
      </w:r>
      <w:r w:rsidR="00191783">
        <w:rPr>
          <w:rFonts w:cs="Arial"/>
          <w:bCs/>
          <w:i/>
          <w:iCs/>
          <w:szCs w:val="22"/>
        </w:rPr>
        <w:t xml:space="preserve">application in terms of section 26 and 27 of </w:t>
      </w:r>
      <w:r w:rsidR="00191783">
        <w:rPr>
          <w:rFonts w:cs="Arial"/>
          <w:bCs/>
          <w:i/>
          <w:iCs/>
          <w:szCs w:val="22"/>
        </w:rPr>
        <w:lastRenderedPageBreak/>
        <w:t xml:space="preserve">Maintenance Act, 99 of 1998, read with regulations – service on respondent a prerequisite for warrant of execution to be </w:t>
      </w:r>
      <w:r w:rsidR="000A6B07">
        <w:rPr>
          <w:rFonts w:cs="Arial"/>
          <w:bCs/>
          <w:i/>
          <w:iCs/>
          <w:szCs w:val="22"/>
        </w:rPr>
        <w:t>authorised</w:t>
      </w:r>
    </w:p>
    <w:p w14:paraId="4C8D7BAB" w14:textId="10182B1A" w:rsidR="003A6F23" w:rsidRPr="0009745A" w:rsidRDefault="003A6F23" w:rsidP="008C724C">
      <w:pPr>
        <w:keepNext/>
        <w:widowControl w:val="0"/>
        <w:spacing w:before="480" w:after="480" w:line="480" w:lineRule="auto"/>
        <w:jc w:val="both"/>
        <w:rPr>
          <w:rFonts w:cs="Arial"/>
          <w:bCs/>
          <w:szCs w:val="22"/>
          <w:u w:val="single"/>
        </w:rPr>
      </w:pPr>
      <w:r w:rsidRPr="0009745A">
        <w:rPr>
          <w:rFonts w:cs="Arial"/>
          <w:bCs/>
          <w:szCs w:val="22"/>
          <w:u w:val="single"/>
        </w:rPr>
        <w:t>Introduction</w:t>
      </w:r>
    </w:p>
    <w:p w14:paraId="714B900E" w14:textId="5965331F" w:rsidR="00584A03" w:rsidRPr="00507DD6" w:rsidRDefault="00A83F29" w:rsidP="00A83F29">
      <w:pPr>
        <w:keepNext/>
        <w:widowControl w:val="0"/>
        <w:tabs>
          <w:tab w:val="left" w:pos="567"/>
        </w:tabs>
        <w:spacing w:before="480" w:after="480" w:line="480" w:lineRule="auto"/>
        <w:jc w:val="both"/>
        <w:rPr>
          <w:rFonts w:cs="Arial"/>
          <w:bCs/>
          <w:szCs w:val="22"/>
        </w:rPr>
      </w:pPr>
      <w:r w:rsidRPr="00507DD6">
        <w:rPr>
          <w:rFonts w:cs="Arial"/>
          <w:bCs/>
          <w:szCs w:val="22"/>
        </w:rPr>
        <w:t>[1</w:t>
      </w:r>
      <w:bookmarkStart w:id="0" w:name="_GoBack"/>
      <w:bookmarkEnd w:id="0"/>
      <w:r w:rsidRPr="00507DD6">
        <w:rPr>
          <w:rFonts w:cs="Arial"/>
          <w:bCs/>
          <w:szCs w:val="22"/>
        </w:rPr>
        <w:t>]</w:t>
      </w:r>
      <w:r w:rsidRPr="00507DD6">
        <w:rPr>
          <w:rFonts w:cs="Arial"/>
          <w:bCs/>
          <w:szCs w:val="22"/>
        </w:rPr>
        <w:tab/>
      </w:r>
      <w:r w:rsidR="00D61ABA">
        <w:rPr>
          <w:rFonts w:cs="Arial"/>
          <w:bCs/>
          <w:szCs w:val="22"/>
        </w:rPr>
        <w:t>This is an appeal</w:t>
      </w:r>
      <w:r w:rsidR="000C3755" w:rsidRPr="00B00B6D">
        <w:t xml:space="preserve"> against </w:t>
      </w:r>
      <w:r w:rsidR="000224D5">
        <w:t>a</w:t>
      </w:r>
      <w:r w:rsidR="000C3755" w:rsidRPr="00B00B6D">
        <w:t xml:space="preserve"> judgment granted by</w:t>
      </w:r>
      <w:r w:rsidR="000C3755">
        <w:t xml:space="preserve"> </w:t>
      </w:r>
      <w:r w:rsidR="000C3755" w:rsidRPr="00B00B6D">
        <w:t>the Additional Magistrate Nkabinde, in the Magistrate’s Court for the District of</w:t>
      </w:r>
      <w:r w:rsidR="000C3755">
        <w:t xml:space="preserve"> </w:t>
      </w:r>
      <w:r w:rsidR="000C3755" w:rsidRPr="00B00B6D">
        <w:t>Johannesburg on</w:t>
      </w:r>
      <w:r w:rsidR="000C3755">
        <w:t xml:space="preserve"> </w:t>
      </w:r>
      <w:r w:rsidR="000C3755" w:rsidRPr="00B00B6D">
        <w:t>15 July 2022</w:t>
      </w:r>
      <w:r w:rsidR="000C3755">
        <w:t>.</w:t>
      </w:r>
      <w:r w:rsidR="00392DB9">
        <w:t xml:space="preserve"> In terms of the </w:t>
      </w:r>
      <w:r w:rsidR="000A6B07">
        <w:t>judgment</w:t>
      </w:r>
      <w:r w:rsidR="00392DB9">
        <w:t xml:space="preserve"> the </w:t>
      </w:r>
      <w:r w:rsidR="005E4ED3">
        <w:t xml:space="preserve">Magistrate’s </w:t>
      </w:r>
      <w:r w:rsidR="00392DB9">
        <w:t xml:space="preserve">Court dismissed an application </w:t>
      </w:r>
      <w:r w:rsidR="000224D5">
        <w:t>in terms of section 27(3) of t</w:t>
      </w:r>
      <w:r w:rsidR="000224D5" w:rsidRPr="000224D5">
        <w:t xml:space="preserve">he </w:t>
      </w:r>
      <w:r w:rsidR="000224D5" w:rsidRPr="000224D5">
        <w:rPr>
          <w:rFonts w:cs="Arial"/>
          <w:szCs w:val="22"/>
          <w:lang w:eastAsia="en-ZA"/>
        </w:rPr>
        <w:t>Maintenance Act, 99 of 1998</w:t>
      </w:r>
      <w:r w:rsidR="000224D5">
        <w:rPr>
          <w:rFonts w:cs="Arial"/>
          <w:szCs w:val="22"/>
          <w:lang w:eastAsia="en-ZA"/>
        </w:rPr>
        <w:t xml:space="preserve">, </w:t>
      </w:r>
      <w:r w:rsidR="00705076">
        <w:rPr>
          <w:rFonts w:cs="Arial"/>
          <w:szCs w:val="22"/>
          <w:lang w:eastAsia="en-ZA"/>
        </w:rPr>
        <w:t xml:space="preserve">(“the Act”) </w:t>
      </w:r>
      <w:r w:rsidR="000224D5">
        <w:rPr>
          <w:rFonts w:cs="Arial"/>
          <w:szCs w:val="22"/>
          <w:lang w:eastAsia="en-ZA"/>
        </w:rPr>
        <w:t>for the setting aside of a warrant of execution dated 22 April 2021, and reinstated the warrant.</w:t>
      </w:r>
    </w:p>
    <w:p w14:paraId="2F2366AD" w14:textId="65C88A0E" w:rsidR="00507DD6" w:rsidRPr="000224D5" w:rsidRDefault="00A83F29" w:rsidP="00A83F29">
      <w:pPr>
        <w:keepNext/>
        <w:widowControl w:val="0"/>
        <w:tabs>
          <w:tab w:val="left" w:pos="567"/>
        </w:tabs>
        <w:spacing w:before="480" w:after="480" w:line="480" w:lineRule="auto"/>
        <w:jc w:val="both"/>
        <w:rPr>
          <w:rFonts w:cs="Arial"/>
          <w:bCs/>
          <w:szCs w:val="22"/>
        </w:rPr>
      </w:pPr>
      <w:r w:rsidRPr="000224D5">
        <w:rPr>
          <w:rFonts w:cs="Arial"/>
          <w:bCs/>
          <w:szCs w:val="22"/>
        </w:rPr>
        <w:t>[2]</w:t>
      </w:r>
      <w:r w:rsidRPr="000224D5">
        <w:rPr>
          <w:rFonts w:cs="Arial"/>
          <w:bCs/>
          <w:szCs w:val="22"/>
        </w:rPr>
        <w:tab/>
      </w:r>
      <w:r w:rsidR="00507DD6">
        <w:rPr>
          <w:rFonts w:cs="Arial"/>
          <w:szCs w:val="22"/>
          <w:lang w:eastAsia="en-ZA"/>
        </w:rPr>
        <w:t>The respondent abides the outcome of the appeal.</w:t>
      </w:r>
    </w:p>
    <w:p w14:paraId="7003EEE3" w14:textId="15F7FD99" w:rsidR="00705076" w:rsidRPr="008B0245" w:rsidRDefault="00A83F29" w:rsidP="00A83F29">
      <w:pPr>
        <w:keepNext/>
        <w:widowControl w:val="0"/>
        <w:tabs>
          <w:tab w:val="left" w:pos="567"/>
        </w:tabs>
        <w:spacing w:before="480" w:after="480" w:line="480" w:lineRule="auto"/>
        <w:jc w:val="both"/>
        <w:rPr>
          <w:rFonts w:cs="Arial"/>
          <w:bCs/>
          <w:szCs w:val="22"/>
        </w:rPr>
      </w:pPr>
      <w:r w:rsidRPr="008B0245">
        <w:rPr>
          <w:rFonts w:cs="Arial"/>
          <w:bCs/>
          <w:szCs w:val="22"/>
        </w:rPr>
        <w:t>[3]</w:t>
      </w:r>
      <w:r w:rsidRPr="008B0245">
        <w:rPr>
          <w:rFonts w:cs="Arial"/>
          <w:bCs/>
          <w:szCs w:val="22"/>
        </w:rPr>
        <w:tab/>
      </w:r>
      <w:r w:rsidR="00705076" w:rsidRPr="008B0245">
        <w:rPr>
          <w:rFonts w:cs="Arial"/>
          <w:bCs/>
          <w:szCs w:val="22"/>
        </w:rPr>
        <w:t xml:space="preserve">The warrant was issued pursuant to an </w:t>
      </w:r>
      <w:r w:rsidR="00777920" w:rsidRPr="002D2317">
        <w:rPr>
          <w:rFonts w:cs="Arial"/>
          <w:bCs/>
          <w:i/>
          <w:iCs/>
          <w:szCs w:val="22"/>
        </w:rPr>
        <w:t>ex parte</w:t>
      </w:r>
      <w:r w:rsidR="00777920" w:rsidRPr="008B0245">
        <w:rPr>
          <w:rFonts w:cs="Arial"/>
          <w:bCs/>
          <w:szCs w:val="22"/>
        </w:rPr>
        <w:t xml:space="preserve"> </w:t>
      </w:r>
      <w:r w:rsidR="00705076" w:rsidRPr="008B0245">
        <w:rPr>
          <w:rFonts w:cs="Arial"/>
          <w:bCs/>
          <w:szCs w:val="22"/>
        </w:rPr>
        <w:t>application by the respondent for the enforcement of a maintenance order</w:t>
      </w:r>
      <w:r w:rsidR="00777920" w:rsidRPr="008B0245">
        <w:rPr>
          <w:rFonts w:cs="Arial"/>
          <w:bCs/>
          <w:szCs w:val="22"/>
        </w:rPr>
        <w:t xml:space="preserve">. </w:t>
      </w:r>
    </w:p>
    <w:p w14:paraId="5DF2CE15" w14:textId="76397986" w:rsidR="00705076" w:rsidRDefault="00A83F29" w:rsidP="00A83F29">
      <w:pPr>
        <w:keepNext/>
        <w:widowControl w:val="0"/>
        <w:tabs>
          <w:tab w:val="left" w:pos="567"/>
        </w:tabs>
        <w:spacing w:before="480" w:after="480" w:line="480" w:lineRule="auto"/>
        <w:jc w:val="both"/>
        <w:rPr>
          <w:rFonts w:cs="Arial"/>
          <w:bCs/>
          <w:szCs w:val="22"/>
        </w:rPr>
      </w:pPr>
      <w:r>
        <w:rPr>
          <w:rFonts w:cs="Arial"/>
          <w:bCs/>
          <w:szCs w:val="22"/>
        </w:rPr>
        <w:t>[4]</w:t>
      </w:r>
      <w:r>
        <w:rPr>
          <w:rFonts w:cs="Arial"/>
          <w:bCs/>
          <w:szCs w:val="22"/>
        </w:rPr>
        <w:tab/>
      </w:r>
      <w:r w:rsidR="008B0245">
        <w:rPr>
          <w:rFonts w:cs="Arial"/>
          <w:bCs/>
          <w:szCs w:val="22"/>
        </w:rPr>
        <w:t xml:space="preserve">The appellant applied for the setting aside of the warrant and alleged that the respondent’s attorney had failed to advise the Court of </w:t>
      </w:r>
      <w:r w:rsidR="005E4ED3">
        <w:rPr>
          <w:rFonts w:cs="Arial"/>
          <w:bCs/>
          <w:szCs w:val="22"/>
        </w:rPr>
        <w:t xml:space="preserve">the </w:t>
      </w:r>
      <w:r w:rsidR="008B0245">
        <w:rPr>
          <w:rFonts w:cs="Arial"/>
          <w:bCs/>
          <w:szCs w:val="22"/>
        </w:rPr>
        <w:t>variation agreement</w:t>
      </w:r>
      <w:r w:rsidR="005E4ED3">
        <w:rPr>
          <w:rFonts w:cs="Arial"/>
          <w:bCs/>
          <w:szCs w:val="22"/>
        </w:rPr>
        <w:t>s</w:t>
      </w:r>
      <w:r w:rsidR="008B0245">
        <w:rPr>
          <w:rFonts w:cs="Arial"/>
          <w:bCs/>
          <w:szCs w:val="22"/>
        </w:rPr>
        <w:t xml:space="preserve"> entered into by the parties</w:t>
      </w:r>
      <w:r w:rsidR="002D2317">
        <w:rPr>
          <w:rFonts w:cs="Arial"/>
          <w:bCs/>
          <w:szCs w:val="22"/>
        </w:rPr>
        <w:t>, and failed to place other essential facts before the Court</w:t>
      </w:r>
      <w:r w:rsidR="008B0245">
        <w:rPr>
          <w:rFonts w:cs="Arial"/>
          <w:bCs/>
          <w:szCs w:val="22"/>
        </w:rPr>
        <w:t xml:space="preserve">. </w:t>
      </w:r>
      <w:r w:rsidR="002F7515">
        <w:rPr>
          <w:rFonts w:cs="Arial"/>
          <w:bCs/>
          <w:szCs w:val="22"/>
        </w:rPr>
        <w:t xml:space="preserve">The second of these agreements </w:t>
      </w:r>
      <w:r w:rsidR="005E4ED3">
        <w:rPr>
          <w:rFonts w:cs="Arial"/>
          <w:bCs/>
          <w:szCs w:val="22"/>
        </w:rPr>
        <w:t>was</w:t>
      </w:r>
      <w:r w:rsidR="002F7515">
        <w:rPr>
          <w:rFonts w:cs="Arial"/>
          <w:bCs/>
          <w:szCs w:val="22"/>
        </w:rPr>
        <w:t xml:space="preserve"> made an order of court in March 2021.</w:t>
      </w:r>
    </w:p>
    <w:p w14:paraId="569B21A7" w14:textId="233D0019" w:rsidR="00C23F0C" w:rsidRPr="00C23F0C" w:rsidRDefault="00A83F29" w:rsidP="00A83F29">
      <w:pPr>
        <w:keepNext/>
        <w:widowControl w:val="0"/>
        <w:tabs>
          <w:tab w:val="left" w:pos="567"/>
        </w:tabs>
        <w:spacing w:before="480" w:after="480" w:line="480" w:lineRule="auto"/>
        <w:jc w:val="both"/>
        <w:rPr>
          <w:rFonts w:cs="Arial"/>
          <w:bCs/>
          <w:szCs w:val="22"/>
        </w:rPr>
      </w:pPr>
      <w:r w:rsidRPr="00C23F0C">
        <w:rPr>
          <w:rFonts w:cs="Arial"/>
          <w:bCs/>
          <w:szCs w:val="22"/>
        </w:rPr>
        <w:t>[5]</w:t>
      </w:r>
      <w:r w:rsidRPr="00C23F0C">
        <w:rPr>
          <w:rFonts w:cs="Arial"/>
          <w:bCs/>
          <w:szCs w:val="22"/>
        </w:rPr>
        <w:tab/>
      </w:r>
      <w:r w:rsidR="00C23F0C">
        <w:rPr>
          <w:rFonts w:cs="Arial"/>
          <w:bCs/>
          <w:szCs w:val="22"/>
        </w:rPr>
        <w:t xml:space="preserve">In </w:t>
      </w:r>
      <w:r w:rsidR="00C23F0C" w:rsidRPr="00D25289">
        <w:rPr>
          <w:i/>
          <w:iCs/>
        </w:rPr>
        <w:t>Schlesinger v Schlesinger</w:t>
      </w:r>
      <w:r w:rsidR="00C23F0C">
        <w:rPr>
          <w:rStyle w:val="FootnoteReference"/>
          <w:i/>
          <w:iCs/>
        </w:rPr>
        <w:footnoteReference w:id="1"/>
      </w:r>
      <w:r w:rsidR="00C23F0C">
        <w:t xml:space="preserve"> Le Roux J said with reference the duty to disclose all relevant facts in an ex parte application:</w:t>
      </w:r>
    </w:p>
    <w:p w14:paraId="16C8D38F" w14:textId="57B00D36" w:rsidR="00C23F0C" w:rsidRPr="00C23F0C" w:rsidRDefault="00C23F0C" w:rsidP="00C23F0C">
      <w:pPr>
        <w:spacing w:before="120" w:after="120" w:line="360" w:lineRule="auto"/>
        <w:ind w:left="1440"/>
        <w:jc w:val="both"/>
        <w:rPr>
          <w:i/>
          <w:iCs/>
          <w:lang w:eastAsia="en-ZA"/>
        </w:rPr>
      </w:pPr>
      <w:r w:rsidRPr="00C23F0C">
        <w:rPr>
          <w:i/>
          <w:iCs/>
          <w:lang w:eastAsia="en-ZA"/>
        </w:rPr>
        <w:t>“(1) in ex</w:t>
      </w:r>
      <w:r w:rsidR="002D2317">
        <w:rPr>
          <w:i/>
          <w:iCs/>
          <w:lang w:eastAsia="en-ZA"/>
        </w:rPr>
        <w:t xml:space="preserve"> </w:t>
      </w:r>
      <w:r w:rsidRPr="00C23F0C">
        <w:rPr>
          <w:i/>
          <w:iCs/>
          <w:lang w:eastAsia="en-ZA"/>
        </w:rPr>
        <w:t>parte applications all material facts must be disclosed which might influence a Court in coming to a decision;</w:t>
      </w:r>
    </w:p>
    <w:p w14:paraId="3168C62E" w14:textId="77777777" w:rsidR="00C23F0C" w:rsidRPr="00C23F0C" w:rsidRDefault="00C23F0C" w:rsidP="00C23F0C">
      <w:pPr>
        <w:spacing w:before="120" w:after="120" w:line="360" w:lineRule="auto"/>
        <w:ind w:left="1440"/>
        <w:jc w:val="both"/>
        <w:rPr>
          <w:i/>
          <w:iCs/>
          <w:lang w:eastAsia="en-ZA"/>
        </w:rPr>
      </w:pPr>
      <w:r w:rsidRPr="00C23F0C">
        <w:rPr>
          <w:i/>
          <w:iCs/>
          <w:lang w:eastAsia="en-ZA"/>
        </w:rPr>
        <w:lastRenderedPageBreak/>
        <w:t>(2) the non-disclosure or suppression of facts need not be wilful or mala fide to incur the penalty of rescission; and</w:t>
      </w:r>
    </w:p>
    <w:p w14:paraId="1B879327" w14:textId="77777777" w:rsidR="00C23F0C" w:rsidRPr="00C23F0C" w:rsidRDefault="00C23F0C" w:rsidP="00C23F0C">
      <w:pPr>
        <w:spacing w:before="120" w:after="120" w:line="360" w:lineRule="auto"/>
        <w:ind w:left="1440"/>
        <w:jc w:val="both"/>
        <w:rPr>
          <w:i/>
          <w:iCs/>
          <w:lang w:eastAsia="en-ZA"/>
        </w:rPr>
      </w:pPr>
      <w:r w:rsidRPr="00C23F0C">
        <w:rPr>
          <w:i/>
          <w:iCs/>
          <w:lang w:eastAsia="en-ZA"/>
        </w:rPr>
        <w:t>(3) the Court, apprised of the true facts, has a discretion to set  aside the former order or to preserve it.</w:t>
      </w:r>
    </w:p>
    <w:p w14:paraId="3F0A21DA" w14:textId="3B24FABD" w:rsidR="00C23F0C" w:rsidRPr="00C23F0C" w:rsidRDefault="00C23F0C" w:rsidP="00C23F0C">
      <w:pPr>
        <w:keepNext/>
        <w:widowControl w:val="0"/>
        <w:spacing w:before="120" w:after="120" w:line="360" w:lineRule="auto"/>
        <w:ind w:left="1440"/>
        <w:jc w:val="both"/>
        <w:rPr>
          <w:rFonts w:cs="Arial"/>
          <w:bCs/>
          <w:i/>
          <w:iCs/>
          <w:szCs w:val="22"/>
        </w:rPr>
      </w:pPr>
      <w:r w:rsidRPr="00236B35">
        <w:rPr>
          <w:i/>
          <w:iCs/>
          <w:lang w:eastAsia="en-ZA"/>
        </w:rPr>
        <w:t>Although these broad principles appear well-settled, I have not come across an authoritative statement as to when a Court will exercise its discretion in favour of a party who has been remiss in its duty to disclose, rather than to set aside the order obtained by it on incomplete </w:t>
      </w:r>
      <w:r w:rsidRPr="00C23F0C">
        <w:rPr>
          <w:i/>
          <w:iCs/>
          <w:lang w:eastAsia="en-ZA"/>
        </w:rPr>
        <w:t xml:space="preserve"> </w:t>
      </w:r>
      <w:r w:rsidRPr="00236B35">
        <w:rPr>
          <w:i/>
          <w:iCs/>
          <w:lang w:eastAsia="en-ZA"/>
        </w:rPr>
        <w:t>facts.</w:t>
      </w:r>
      <w:r w:rsidRPr="00C23F0C">
        <w:rPr>
          <w:i/>
          <w:iCs/>
          <w:lang w:eastAsia="en-ZA"/>
        </w:rPr>
        <w:t>”</w:t>
      </w:r>
    </w:p>
    <w:p w14:paraId="474748C7" w14:textId="5853D5C6" w:rsidR="002F7515" w:rsidRPr="002F7515" w:rsidRDefault="00A83F29" w:rsidP="00A83F29">
      <w:pPr>
        <w:keepNext/>
        <w:widowControl w:val="0"/>
        <w:tabs>
          <w:tab w:val="left" w:pos="567"/>
        </w:tabs>
        <w:spacing w:before="480" w:after="480" w:line="480" w:lineRule="auto"/>
        <w:jc w:val="both"/>
        <w:rPr>
          <w:i/>
          <w:iCs/>
        </w:rPr>
      </w:pPr>
      <w:r w:rsidRPr="002F7515">
        <w:rPr>
          <w:iCs/>
        </w:rPr>
        <w:t>[6]</w:t>
      </w:r>
      <w:r w:rsidRPr="002F7515">
        <w:rPr>
          <w:iCs/>
        </w:rPr>
        <w:tab/>
      </w:r>
      <w:r w:rsidR="00750713">
        <w:rPr>
          <w:rFonts w:cs="Arial"/>
          <w:bCs/>
          <w:szCs w:val="22"/>
        </w:rPr>
        <w:t>Regulation 16 of the Regulations</w:t>
      </w:r>
      <w:r w:rsidR="008839D8">
        <w:rPr>
          <w:rStyle w:val="FootnoteReference"/>
          <w:rFonts w:cs="Arial"/>
          <w:bCs/>
          <w:szCs w:val="22"/>
        </w:rPr>
        <w:footnoteReference w:id="2"/>
      </w:r>
      <w:r w:rsidR="007453DD">
        <w:rPr>
          <w:rFonts w:cs="Arial"/>
          <w:bCs/>
          <w:szCs w:val="22"/>
        </w:rPr>
        <w:t xml:space="preserve"> made under the Act provide </w:t>
      </w:r>
      <w:r w:rsidR="002D2317">
        <w:rPr>
          <w:rFonts w:cs="Arial"/>
          <w:bCs/>
          <w:szCs w:val="22"/>
        </w:rPr>
        <w:t>for the authorisation of a warrant of execution on application. Application must be made using a prescribed form, identified as Form K.</w:t>
      </w:r>
      <w:r w:rsidR="002F7515" w:rsidRPr="002F7515">
        <w:rPr>
          <w:i/>
          <w:iCs/>
        </w:rPr>
        <w:t xml:space="preserve"> </w:t>
      </w:r>
      <w:r w:rsidR="005E4ED3">
        <w:t>The form itself envisages that notice must be given to the respondent.</w:t>
      </w:r>
    </w:p>
    <w:p w14:paraId="24104906" w14:textId="3CB72003" w:rsidR="00750713" w:rsidRDefault="00A83F29" w:rsidP="00A83F29">
      <w:pPr>
        <w:keepNext/>
        <w:widowControl w:val="0"/>
        <w:tabs>
          <w:tab w:val="left" w:pos="567"/>
        </w:tabs>
        <w:spacing w:before="480" w:after="480" w:line="480" w:lineRule="auto"/>
        <w:jc w:val="both"/>
        <w:rPr>
          <w:rFonts w:cs="Arial"/>
          <w:bCs/>
          <w:szCs w:val="22"/>
        </w:rPr>
      </w:pPr>
      <w:r>
        <w:rPr>
          <w:rFonts w:cs="Arial"/>
          <w:bCs/>
          <w:szCs w:val="22"/>
        </w:rPr>
        <w:t>[7]</w:t>
      </w:r>
      <w:r>
        <w:rPr>
          <w:rFonts w:cs="Arial"/>
          <w:bCs/>
          <w:szCs w:val="22"/>
        </w:rPr>
        <w:tab/>
      </w:r>
      <w:r w:rsidR="007453DD">
        <w:rPr>
          <w:rFonts w:cs="Arial"/>
          <w:bCs/>
          <w:szCs w:val="22"/>
        </w:rPr>
        <w:t>In</w:t>
      </w:r>
      <w:r w:rsidR="005E4ED3">
        <w:rPr>
          <w:rFonts w:cs="Arial"/>
          <w:bCs/>
          <w:szCs w:val="22"/>
        </w:rPr>
        <w:t xml:space="preserve"> any event, in</w:t>
      </w:r>
      <w:r w:rsidR="007453DD">
        <w:rPr>
          <w:rFonts w:cs="Arial"/>
          <w:bCs/>
          <w:szCs w:val="22"/>
        </w:rPr>
        <w:t xml:space="preserve"> </w:t>
      </w:r>
      <w:r w:rsidR="007453DD" w:rsidRPr="00D703A3">
        <w:rPr>
          <w:i/>
          <w:iCs/>
          <w:lang w:eastAsia="en-ZA"/>
        </w:rPr>
        <w:t>Louw v Louw</w:t>
      </w:r>
      <w:r w:rsidR="007453DD">
        <w:rPr>
          <w:rStyle w:val="FootnoteReference"/>
          <w:lang w:eastAsia="en-ZA"/>
        </w:rPr>
        <w:footnoteReference w:id="3"/>
      </w:r>
      <w:r w:rsidR="007453DD">
        <w:rPr>
          <w:lang w:eastAsia="en-ZA"/>
        </w:rPr>
        <w:t xml:space="preserve"> the Supreme Court of Appeal </w:t>
      </w:r>
      <w:r w:rsidR="00F62BF0">
        <w:rPr>
          <w:lang w:eastAsia="en-ZA"/>
        </w:rPr>
        <w:t>was seized with an application in terms of sections 26 and 30 of the Act.</w:t>
      </w:r>
      <w:r w:rsidR="00F62BF0" w:rsidRPr="00F62BF0">
        <w:t xml:space="preserve"> </w:t>
      </w:r>
      <w:r w:rsidR="00F62BF0">
        <w:t>Section 30 provides for the attachment of a debt owing to a person against whom a maintenance order was made (the respondent), by the person in whose favour the order was made (the applicant). The application for attachment of the debt was not served on the respondent and Olivier JA</w:t>
      </w:r>
      <w:r w:rsidR="00F62BF0">
        <w:rPr>
          <w:rStyle w:val="FootnoteReference"/>
        </w:rPr>
        <w:footnoteReference w:id="4"/>
      </w:r>
      <w:r w:rsidR="0014680B">
        <w:t xml:space="preserve"> said that while neither the Act nor the Regulations contain any provision regarding notice, the common law right to be heard is not negated by the legislation. The </w:t>
      </w:r>
      <w:r w:rsidR="0014680B" w:rsidRPr="0014680B">
        <w:rPr>
          <w:i/>
          <w:iCs/>
        </w:rPr>
        <w:t xml:space="preserve">audi alteram partem </w:t>
      </w:r>
      <w:r w:rsidR="0014680B">
        <w:t xml:space="preserve">rule </w:t>
      </w:r>
      <w:r w:rsidR="00756E1B">
        <w:t xml:space="preserve">imposes a duty on officials to </w:t>
      </w:r>
      <w:r w:rsidR="00756E1B" w:rsidRPr="00D703A3">
        <w:rPr>
          <w:lang w:eastAsia="en-ZA"/>
        </w:rPr>
        <w:t xml:space="preserve">a duty </w:t>
      </w:r>
      <w:r w:rsidR="00756E1B">
        <w:rPr>
          <w:lang w:eastAsia="en-ZA"/>
        </w:rPr>
        <w:t>to hear a party affected by a decision.</w:t>
      </w:r>
      <w:r w:rsidR="00756E1B">
        <w:rPr>
          <w:rStyle w:val="FootnoteReference"/>
          <w:lang w:eastAsia="en-ZA"/>
        </w:rPr>
        <w:footnoteReference w:id="5"/>
      </w:r>
    </w:p>
    <w:p w14:paraId="1CECFC16" w14:textId="50453BB7" w:rsidR="00507DD6" w:rsidRPr="00507DD6" w:rsidRDefault="00A83F29" w:rsidP="00A83F29">
      <w:pPr>
        <w:keepNext/>
        <w:widowControl w:val="0"/>
        <w:tabs>
          <w:tab w:val="left" w:pos="567"/>
        </w:tabs>
        <w:spacing w:before="480" w:after="480" w:line="480" w:lineRule="auto"/>
        <w:jc w:val="both"/>
        <w:rPr>
          <w:rFonts w:cs="Arial"/>
          <w:bCs/>
          <w:i/>
          <w:iCs/>
          <w:szCs w:val="22"/>
        </w:rPr>
      </w:pPr>
      <w:r w:rsidRPr="00507DD6">
        <w:rPr>
          <w:rFonts w:cs="Arial"/>
          <w:bCs/>
          <w:iCs/>
          <w:szCs w:val="22"/>
        </w:rPr>
        <w:t>[8]</w:t>
      </w:r>
      <w:r w:rsidRPr="00507DD6">
        <w:rPr>
          <w:rFonts w:cs="Arial"/>
          <w:bCs/>
          <w:iCs/>
          <w:szCs w:val="22"/>
        </w:rPr>
        <w:tab/>
      </w:r>
      <w:r w:rsidR="00756E1B" w:rsidRPr="00756E1B">
        <w:rPr>
          <w:rFonts w:cs="Arial"/>
          <w:bCs/>
          <w:szCs w:val="22"/>
        </w:rPr>
        <w:t xml:space="preserve">With reference to </w:t>
      </w:r>
      <w:r w:rsidR="008839D8">
        <w:rPr>
          <w:rFonts w:cs="Arial"/>
          <w:bCs/>
          <w:szCs w:val="22"/>
        </w:rPr>
        <w:t>R</w:t>
      </w:r>
      <w:r w:rsidR="00756E1B" w:rsidRPr="00756E1B">
        <w:rPr>
          <w:rFonts w:cs="Arial"/>
          <w:bCs/>
          <w:szCs w:val="22"/>
        </w:rPr>
        <w:t xml:space="preserve">egulation 16 and Form K referred to above, the Learned Justice of Appeal said that </w:t>
      </w:r>
      <w:r w:rsidR="00507DD6">
        <w:rPr>
          <w:rFonts w:cs="Arial"/>
          <w:bCs/>
          <w:szCs w:val="22"/>
        </w:rPr>
        <w:t>-</w:t>
      </w:r>
    </w:p>
    <w:p w14:paraId="1ED19BCC" w14:textId="045D6BAE" w:rsidR="00507DD6" w:rsidRDefault="00507DD6" w:rsidP="00507DD6">
      <w:pPr>
        <w:keepNext/>
        <w:widowControl w:val="0"/>
        <w:spacing w:before="480" w:after="480" w:line="480" w:lineRule="auto"/>
        <w:ind w:left="1440"/>
        <w:jc w:val="both"/>
        <w:rPr>
          <w:i/>
          <w:iCs/>
          <w:lang w:eastAsia="en-ZA"/>
        </w:rPr>
      </w:pPr>
      <w:r w:rsidRPr="00756E1B">
        <w:rPr>
          <w:rFonts w:cs="Arial"/>
          <w:bCs/>
          <w:i/>
          <w:iCs/>
          <w:szCs w:val="22"/>
        </w:rPr>
        <w:t>“…</w:t>
      </w:r>
      <w:r w:rsidRPr="00D703A3">
        <w:rPr>
          <w:i/>
          <w:iCs/>
          <w:lang w:eastAsia="en-ZA"/>
        </w:rPr>
        <w:t xml:space="preserve">form K obliges the applicant to supply the maintenance court with </w:t>
      </w:r>
      <w:r w:rsidRPr="00D703A3">
        <w:rPr>
          <w:i/>
          <w:iCs/>
          <w:lang w:eastAsia="en-ZA"/>
        </w:rPr>
        <w:lastRenderedPageBreak/>
        <w:t xml:space="preserve">information regarding the </w:t>
      </w:r>
      <w:r w:rsidRPr="00756E1B">
        <w:rPr>
          <w:i/>
          <w:iCs/>
          <w:lang w:eastAsia="en-ZA"/>
        </w:rPr>
        <w:t>‘</w:t>
      </w:r>
      <w:r w:rsidRPr="00D703A3">
        <w:rPr>
          <w:i/>
          <w:iCs/>
          <w:lang w:eastAsia="en-ZA"/>
        </w:rPr>
        <w:t>whereabouts of the</w:t>
      </w:r>
      <w:r w:rsidRPr="00756E1B">
        <w:rPr>
          <w:i/>
          <w:iCs/>
          <w:lang w:eastAsia="en-ZA"/>
        </w:rPr>
        <w:t xml:space="preserve"> </w:t>
      </w:r>
      <w:r w:rsidRPr="00D703A3">
        <w:rPr>
          <w:i/>
          <w:iCs/>
          <w:lang w:eastAsia="en-ZA"/>
        </w:rPr>
        <w:t>person against whom the order was made</w:t>
      </w:r>
      <w:r w:rsidRPr="00756E1B">
        <w:rPr>
          <w:i/>
          <w:iCs/>
          <w:lang w:eastAsia="en-ZA"/>
        </w:rPr>
        <w:t>’</w:t>
      </w:r>
      <w:r w:rsidRPr="00D703A3">
        <w:rPr>
          <w:i/>
          <w:iCs/>
          <w:lang w:eastAsia="en-ZA"/>
        </w:rPr>
        <w:t xml:space="preserve">. What other purpose could such information possibly serve than to enable the maintenance court to cause a subpoena to be served upon the person (and therefore in effect notice to such person) against whom the </w:t>
      </w:r>
      <w:r w:rsidRPr="00D703A3">
        <w:rPr>
          <w:i/>
          <w:iCs/>
          <w:lang w:eastAsia="en-ZA"/>
        </w:rPr>
        <w:lastRenderedPageBreak/>
        <w:t>maintenance order was made?</w:t>
      </w:r>
      <w:r w:rsidRPr="00756E1B">
        <w:rPr>
          <w:i/>
          <w:iCs/>
          <w:lang w:eastAsia="en-ZA"/>
        </w:rPr>
        <w:t>”</w:t>
      </w:r>
    </w:p>
    <w:p w14:paraId="6D982577" w14:textId="31DEED60" w:rsidR="00756E1B" w:rsidRPr="00507DD6" w:rsidRDefault="00A83F29" w:rsidP="00A83F29">
      <w:pPr>
        <w:keepNext/>
        <w:widowControl w:val="0"/>
        <w:tabs>
          <w:tab w:val="left" w:pos="567"/>
        </w:tabs>
        <w:spacing w:before="480" w:after="480" w:line="480" w:lineRule="auto"/>
        <w:jc w:val="both"/>
        <w:rPr>
          <w:rFonts w:cs="Arial"/>
          <w:bCs/>
          <w:i/>
          <w:iCs/>
          <w:szCs w:val="22"/>
        </w:rPr>
      </w:pPr>
      <w:r w:rsidRPr="00507DD6">
        <w:rPr>
          <w:rFonts w:cs="Arial"/>
          <w:bCs/>
          <w:iCs/>
          <w:szCs w:val="22"/>
        </w:rPr>
        <w:t>[9]</w:t>
      </w:r>
      <w:r w:rsidRPr="00507DD6">
        <w:rPr>
          <w:rFonts w:cs="Arial"/>
          <w:bCs/>
          <w:iCs/>
          <w:szCs w:val="22"/>
        </w:rPr>
        <w:tab/>
      </w:r>
      <w:r w:rsidR="00507DD6">
        <w:rPr>
          <w:rFonts w:cs="Arial"/>
          <w:bCs/>
          <w:szCs w:val="22"/>
        </w:rPr>
        <w:t>The comments made by the Supreme Court of Appeal are equally applicable to the present matter and to section 27 of the Act.</w:t>
      </w:r>
    </w:p>
    <w:p w14:paraId="364AD8FF" w14:textId="1754F8F1" w:rsidR="00191783" w:rsidRPr="00191783" w:rsidRDefault="00A83F29" w:rsidP="00A83F29">
      <w:pPr>
        <w:keepNext/>
        <w:widowControl w:val="0"/>
        <w:tabs>
          <w:tab w:val="left" w:pos="567"/>
        </w:tabs>
        <w:spacing w:before="480" w:after="480" w:line="480" w:lineRule="auto"/>
        <w:jc w:val="both"/>
        <w:rPr>
          <w:rFonts w:cs="Arial"/>
          <w:bCs/>
          <w:i/>
          <w:iCs/>
          <w:szCs w:val="22"/>
        </w:rPr>
      </w:pPr>
      <w:r w:rsidRPr="00191783">
        <w:rPr>
          <w:rFonts w:cs="Arial"/>
          <w:bCs/>
          <w:iCs/>
          <w:szCs w:val="22"/>
        </w:rPr>
        <w:t>[10]</w:t>
      </w:r>
      <w:r w:rsidRPr="00191783">
        <w:rPr>
          <w:rFonts w:cs="Arial"/>
          <w:bCs/>
          <w:iCs/>
          <w:szCs w:val="22"/>
        </w:rPr>
        <w:tab/>
      </w:r>
      <w:r w:rsidR="00507DD6">
        <w:rPr>
          <w:rFonts w:cs="Arial"/>
          <w:bCs/>
          <w:szCs w:val="22"/>
        </w:rPr>
        <w:t xml:space="preserve">As stated above, the respondent abides the outcome of the appeal. It is regrettable that there is no indication by the respondent’s attorneys who represented her when the warrant was sought on an </w:t>
      </w:r>
      <w:r w:rsidR="00507DD6" w:rsidRPr="00507DD6">
        <w:rPr>
          <w:rFonts w:cs="Arial"/>
          <w:bCs/>
          <w:i/>
          <w:iCs/>
          <w:szCs w:val="22"/>
        </w:rPr>
        <w:t>ex parte</w:t>
      </w:r>
      <w:r w:rsidR="00507DD6">
        <w:rPr>
          <w:rFonts w:cs="Arial"/>
          <w:bCs/>
          <w:szCs w:val="22"/>
        </w:rPr>
        <w:t xml:space="preserve"> basis as to </w:t>
      </w:r>
      <w:r w:rsidR="004913E6">
        <w:rPr>
          <w:rFonts w:cs="Arial"/>
          <w:bCs/>
          <w:szCs w:val="22"/>
        </w:rPr>
        <w:t>whether, and if not, why</w:t>
      </w:r>
      <w:r w:rsidR="00507DD6">
        <w:rPr>
          <w:rFonts w:cs="Arial"/>
          <w:bCs/>
          <w:szCs w:val="22"/>
        </w:rPr>
        <w:t xml:space="preserve"> the presiding Magistrate was not informed of the Supreme Court of Appeal authority referred to above. </w:t>
      </w:r>
      <w:r w:rsidR="00D032C2">
        <w:rPr>
          <w:rFonts w:cs="Arial"/>
          <w:bCs/>
          <w:szCs w:val="22"/>
        </w:rPr>
        <w:t xml:space="preserve">The fact that the warrant was subsequently suspended by agreement does not, as the </w:t>
      </w:r>
      <w:r w:rsidR="004913E6">
        <w:rPr>
          <w:rFonts w:cs="Arial"/>
          <w:bCs/>
          <w:szCs w:val="22"/>
        </w:rPr>
        <w:t xml:space="preserve">Magistrate </w:t>
      </w:r>
      <w:r w:rsidR="00D032C2">
        <w:rPr>
          <w:rFonts w:cs="Arial"/>
          <w:bCs/>
          <w:szCs w:val="22"/>
        </w:rPr>
        <w:t>states in paragraph 26 of the application, remedy the failure to give notice of the application before the warrant was sought.</w:t>
      </w:r>
    </w:p>
    <w:p w14:paraId="1BF5E24F" w14:textId="143383D3" w:rsidR="00507DD6" w:rsidRPr="003F0B24" w:rsidRDefault="00A83F29" w:rsidP="00A83F29">
      <w:pPr>
        <w:keepNext/>
        <w:widowControl w:val="0"/>
        <w:tabs>
          <w:tab w:val="left" w:pos="567"/>
        </w:tabs>
        <w:spacing w:before="480" w:after="480" w:line="480" w:lineRule="auto"/>
        <w:jc w:val="both"/>
        <w:rPr>
          <w:rFonts w:cs="Arial"/>
          <w:bCs/>
          <w:i/>
          <w:iCs/>
          <w:szCs w:val="22"/>
        </w:rPr>
      </w:pPr>
      <w:r w:rsidRPr="003F0B24">
        <w:rPr>
          <w:rFonts w:cs="Arial"/>
          <w:bCs/>
          <w:iCs/>
          <w:szCs w:val="22"/>
        </w:rPr>
        <w:t>[11]</w:t>
      </w:r>
      <w:r w:rsidRPr="003F0B24">
        <w:rPr>
          <w:rFonts w:cs="Arial"/>
          <w:bCs/>
          <w:iCs/>
          <w:szCs w:val="22"/>
        </w:rPr>
        <w:tab/>
      </w:r>
      <w:r w:rsidR="00507DD6">
        <w:rPr>
          <w:rFonts w:cs="Arial"/>
          <w:bCs/>
          <w:szCs w:val="22"/>
        </w:rPr>
        <w:t xml:space="preserve">The warrant should not have been sought or granted on an </w:t>
      </w:r>
      <w:r w:rsidR="00507DD6" w:rsidRPr="00507DD6">
        <w:rPr>
          <w:rFonts w:cs="Arial"/>
          <w:bCs/>
          <w:i/>
          <w:iCs/>
          <w:szCs w:val="22"/>
        </w:rPr>
        <w:t>ex parte</w:t>
      </w:r>
      <w:r w:rsidR="00507DD6">
        <w:rPr>
          <w:rFonts w:cs="Arial"/>
          <w:bCs/>
          <w:szCs w:val="22"/>
        </w:rPr>
        <w:t xml:space="preserve"> basis.</w:t>
      </w:r>
      <w:r w:rsidR="00191783">
        <w:rPr>
          <w:rFonts w:cs="Arial"/>
          <w:bCs/>
          <w:szCs w:val="22"/>
        </w:rPr>
        <w:t xml:space="preserve"> </w:t>
      </w:r>
      <w:r w:rsidR="00D032C2">
        <w:rPr>
          <w:rFonts w:cs="Arial"/>
          <w:bCs/>
          <w:szCs w:val="22"/>
        </w:rPr>
        <w:t xml:space="preserve">The appeal is upheld. </w:t>
      </w:r>
      <w:r w:rsidR="00191783">
        <w:rPr>
          <w:rFonts w:cs="Arial"/>
          <w:bCs/>
          <w:szCs w:val="22"/>
        </w:rPr>
        <w:t>In the absence of an explanation by the respondent’s attorney there shall be no cost order in the appeal.</w:t>
      </w:r>
    </w:p>
    <w:p w14:paraId="05E35518" w14:textId="77777777" w:rsidR="003F0B24" w:rsidRPr="0009745A" w:rsidRDefault="003F0B24" w:rsidP="003F0B24">
      <w:pPr>
        <w:keepNext/>
        <w:widowControl w:val="0"/>
        <w:spacing w:after="480" w:line="480" w:lineRule="auto"/>
        <w:jc w:val="both"/>
        <w:rPr>
          <w:rFonts w:cs="Arial"/>
          <w:bCs/>
          <w:szCs w:val="22"/>
          <w:u w:val="single"/>
        </w:rPr>
      </w:pPr>
      <w:r w:rsidRPr="0009745A">
        <w:rPr>
          <w:rFonts w:cs="Arial"/>
          <w:bCs/>
          <w:szCs w:val="22"/>
          <w:u w:val="single"/>
        </w:rPr>
        <w:t>Order</w:t>
      </w:r>
    </w:p>
    <w:p w14:paraId="7D441FDB" w14:textId="0DC686F1" w:rsidR="003F0B24" w:rsidRDefault="00A83F29" w:rsidP="00A83F29">
      <w:pPr>
        <w:keepNext/>
        <w:widowControl w:val="0"/>
        <w:tabs>
          <w:tab w:val="left" w:pos="567"/>
        </w:tabs>
        <w:spacing w:after="480" w:line="480" w:lineRule="auto"/>
        <w:jc w:val="both"/>
        <w:rPr>
          <w:rFonts w:cs="Arial"/>
          <w:bCs/>
          <w:szCs w:val="22"/>
        </w:rPr>
      </w:pPr>
      <w:r>
        <w:rPr>
          <w:rFonts w:cs="Arial"/>
          <w:bCs/>
          <w:szCs w:val="22"/>
        </w:rPr>
        <w:t>[12]</w:t>
      </w:r>
      <w:r>
        <w:rPr>
          <w:rFonts w:cs="Arial"/>
          <w:bCs/>
          <w:szCs w:val="22"/>
        </w:rPr>
        <w:tab/>
      </w:r>
      <w:r w:rsidR="003F0B24" w:rsidRPr="0009745A">
        <w:rPr>
          <w:rFonts w:cs="Arial"/>
          <w:bCs/>
          <w:szCs w:val="22"/>
        </w:rPr>
        <w:t>I make the following order:</w:t>
      </w:r>
    </w:p>
    <w:p w14:paraId="39870B5A" w14:textId="17720F6D" w:rsidR="003F0B24" w:rsidRPr="00A83F29" w:rsidRDefault="00A83F29" w:rsidP="00A83F29">
      <w:pPr>
        <w:widowControl w:val="0"/>
        <w:spacing w:after="480" w:line="480" w:lineRule="auto"/>
        <w:ind w:left="720" w:hanging="720"/>
        <w:jc w:val="both"/>
        <w:rPr>
          <w:rFonts w:cs="Arial"/>
          <w:bCs/>
          <w:i/>
          <w:iCs/>
          <w:szCs w:val="22"/>
        </w:rPr>
      </w:pPr>
      <w:r w:rsidRPr="00B10CCF">
        <w:rPr>
          <w:rFonts w:cs="Arial"/>
          <w:bCs/>
          <w:i/>
          <w:iCs/>
          <w:szCs w:val="22"/>
        </w:rPr>
        <w:t>1.</w:t>
      </w:r>
      <w:r w:rsidRPr="00B10CCF">
        <w:rPr>
          <w:rFonts w:cs="Arial"/>
          <w:bCs/>
          <w:i/>
          <w:iCs/>
          <w:szCs w:val="22"/>
        </w:rPr>
        <w:tab/>
      </w:r>
      <w:r w:rsidR="003F0B24" w:rsidRPr="00A83F29">
        <w:rPr>
          <w:rFonts w:cs="Arial"/>
          <w:bCs/>
          <w:i/>
          <w:iCs/>
          <w:szCs w:val="22"/>
        </w:rPr>
        <w:t>The appeal is upheld;</w:t>
      </w:r>
    </w:p>
    <w:p w14:paraId="0CCB60C7" w14:textId="59490C73" w:rsidR="003F0B24" w:rsidRPr="00A83F29" w:rsidRDefault="00A83F29" w:rsidP="00A83F29">
      <w:pPr>
        <w:widowControl w:val="0"/>
        <w:autoSpaceDE w:val="0"/>
        <w:autoSpaceDN w:val="0"/>
        <w:adjustRightInd w:val="0"/>
        <w:spacing w:after="480" w:line="480" w:lineRule="auto"/>
        <w:ind w:left="720" w:hanging="720"/>
        <w:jc w:val="both"/>
        <w:rPr>
          <w:rFonts w:ascii="ArialMT" w:hAnsi="ArialMT" w:cs="ArialMT"/>
          <w:sz w:val="24"/>
          <w:lang w:eastAsia="en-ZA"/>
        </w:rPr>
      </w:pPr>
      <w:r w:rsidRPr="00392DB9">
        <w:rPr>
          <w:rFonts w:ascii="ArialMT" w:hAnsi="ArialMT" w:cs="ArialMT"/>
          <w:sz w:val="24"/>
          <w:lang w:eastAsia="en-ZA"/>
        </w:rPr>
        <w:t>2.</w:t>
      </w:r>
      <w:r w:rsidRPr="00392DB9">
        <w:rPr>
          <w:rFonts w:ascii="ArialMT" w:hAnsi="ArialMT" w:cs="ArialMT"/>
          <w:sz w:val="24"/>
          <w:lang w:eastAsia="en-ZA"/>
        </w:rPr>
        <w:tab/>
      </w:r>
      <w:r w:rsidR="003F0B24" w:rsidRPr="00A83F29">
        <w:rPr>
          <w:rFonts w:cs="Arial"/>
          <w:bCs/>
          <w:i/>
          <w:iCs/>
          <w:szCs w:val="22"/>
        </w:rPr>
        <w:t xml:space="preserve">The following order is substituted for the order of the </w:t>
      </w:r>
      <w:r w:rsidR="003F0B24" w:rsidRPr="00A83F29">
        <w:rPr>
          <w:rFonts w:cs="Arial"/>
          <w:i/>
          <w:iCs/>
          <w:szCs w:val="22"/>
        </w:rPr>
        <w:t>Additional Magistrate handed down in the Magistrate’s Court for the District of Johannesburg, Held in Johannesburg, on 15 July 2022 under case number 0112020MAI000781:</w:t>
      </w:r>
      <w:r w:rsidR="003F0B24" w:rsidRPr="00A83F29">
        <w:rPr>
          <w:rFonts w:cs="Arial"/>
          <w:bCs/>
          <w:i/>
          <w:iCs/>
          <w:szCs w:val="22"/>
        </w:rPr>
        <w:t xml:space="preserve"> </w:t>
      </w:r>
    </w:p>
    <w:p w14:paraId="714C670A" w14:textId="41B34994" w:rsidR="003F0B24" w:rsidRPr="00A83F29" w:rsidRDefault="00A83F29" w:rsidP="00A83F29">
      <w:pPr>
        <w:widowControl w:val="0"/>
        <w:autoSpaceDE w:val="0"/>
        <w:autoSpaceDN w:val="0"/>
        <w:adjustRightInd w:val="0"/>
        <w:spacing w:after="480" w:line="480" w:lineRule="auto"/>
        <w:ind w:left="1440" w:hanging="1080"/>
        <w:jc w:val="both"/>
        <w:rPr>
          <w:rFonts w:cs="Arial"/>
          <w:bCs/>
          <w:i/>
          <w:iCs/>
          <w:szCs w:val="22"/>
        </w:rPr>
      </w:pPr>
      <w:r w:rsidRPr="00705076">
        <w:rPr>
          <w:rFonts w:cs="Arial"/>
          <w:bCs/>
          <w:i/>
          <w:iCs/>
          <w:szCs w:val="22"/>
        </w:rPr>
        <w:t>2.1.</w:t>
      </w:r>
      <w:r w:rsidRPr="00705076">
        <w:rPr>
          <w:rFonts w:cs="Arial"/>
          <w:bCs/>
          <w:i/>
          <w:iCs/>
          <w:szCs w:val="22"/>
        </w:rPr>
        <w:tab/>
      </w:r>
      <w:r w:rsidR="003F0B24" w:rsidRPr="00A83F29">
        <w:rPr>
          <w:rFonts w:cs="Arial"/>
          <w:i/>
          <w:iCs/>
          <w:szCs w:val="22"/>
          <w:lang w:eastAsia="en-ZA"/>
        </w:rPr>
        <w:t xml:space="preserve">The warrant of execution issued in terms of section 27(3) of the Maintenance </w:t>
      </w:r>
      <w:r w:rsidR="003F0B24" w:rsidRPr="00A83F29">
        <w:rPr>
          <w:rFonts w:cs="Arial"/>
          <w:i/>
          <w:iCs/>
          <w:szCs w:val="22"/>
          <w:lang w:eastAsia="en-ZA"/>
        </w:rPr>
        <w:lastRenderedPageBreak/>
        <w:t>Act, 99 of 1998, issued on 22 April 2021 is set aside;</w:t>
      </w:r>
    </w:p>
    <w:p w14:paraId="1B19E60B" w14:textId="0DDA030C" w:rsidR="003F0B24" w:rsidRPr="00A83F29" w:rsidRDefault="00A83F29" w:rsidP="00A83F29">
      <w:pPr>
        <w:widowControl w:val="0"/>
        <w:autoSpaceDE w:val="0"/>
        <w:autoSpaceDN w:val="0"/>
        <w:adjustRightInd w:val="0"/>
        <w:spacing w:after="480" w:line="480" w:lineRule="auto"/>
        <w:ind w:left="1440" w:hanging="1080"/>
        <w:jc w:val="both"/>
        <w:rPr>
          <w:rFonts w:cs="Arial"/>
          <w:bCs/>
          <w:i/>
          <w:iCs/>
          <w:szCs w:val="22"/>
        </w:rPr>
      </w:pPr>
      <w:r w:rsidRPr="00392DB9">
        <w:rPr>
          <w:rFonts w:cs="Arial"/>
          <w:bCs/>
          <w:i/>
          <w:iCs/>
          <w:szCs w:val="22"/>
        </w:rPr>
        <w:t>2.2.</w:t>
      </w:r>
      <w:r w:rsidRPr="00392DB9">
        <w:rPr>
          <w:rFonts w:cs="Arial"/>
          <w:bCs/>
          <w:i/>
          <w:iCs/>
          <w:szCs w:val="22"/>
        </w:rPr>
        <w:tab/>
      </w:r>
      <w:r w:rsidR="003F0B24" w:rsidRPr="00A83F29">
        <w:rPr>
          <w:rFonts w:cs="Arial"/>
          <w:bCs/>
          <w:i/>
          <w:iCs/>
          <w:szCs w:val="22"/>
        </w:rPr>
        <w:t>The respondent is ordered to pay the costs of the application.</w:t>
      </w:r>
    </w:p>
    <w:p w14:paraId="4B9AEDC4" w14:textId="19227231" w:rsidR="003F0B24" w:rsidRPr="00A83F29" w:rsidRDefault="00A83F29" w:rsidP="00A83F29">
      <w:pPr>
        <w:widowControl w:val="0"/>
        <w:spacing w:after="480" w:line="480" w:lineRule="auto"/>
        <w:ind w:left="360" w:hanging="360"/>
        <w:jc w:val="both"/>
        <w:rPr>
          <w:rFonts w:cs="Arial"/>
          <w:bCs/>
          <w:i/>
          <w:iCs/>
          <w:szCs w:val="22"/>
        </w:rPr>
      </w:pPr>
      <w:r w:rsidRPr="00B10CCF">
        <w:rPr>
          <w:rFonts w:cs="Arial"/>
          <w:bCs/>
          <w:i/>
          <w:iCs/>
          <w:szCs w:val="22"/>
        </w:rPr>
        <w:t>3.</w:t>
      </w:r>
      <w:r w:rsidRPr="00B10CCF">
        <w:rPr>
          <w:rFonts w:cs="Arial"/>
          <w:bCs/>
          <w:i/>
          <w:iCs/>
          <w:szCs w:val="22"/>
        </w:rPr>
        <w:tab/>
      </w:r>
      <w:r w:rsidR="003F0B24" w:rsidRPr="00A83F29">
        <w:rPr>
          <w:rFonts w:cs="Arial"/>
          <w:bCs/>
          <w:i/>
          <w:iCs/>
          <w:szCs w:val="22"/>
        </w:rPr>
        <w:t>No order is made as to costs of the appeal.</w:t>
      </w:r>
    </w:p>
    <w:p w14:paraId="162481B2" w14:textId="1907BAC7" w:rsidR="00581C59" w:rsidRPr="0009745A" w:rsidRDefault="00581C59" w:rsidP="009E0C10">
      <w:pPr>
        <w:keepNext/>
        <w:widowControl w:val="0"/>
        <w:tabs>
          <w:tab w:val="right" w:pos="0"/>
        </w:tabs>
        <w:spacing w:line="360" w:lineRule="auto"/>
        <w:contextualSpacing/>
        <w:jc w:val="right"/>
        <w:rPr>
          <w:rFonts w:cs="Arial"/>
          <w:b/>
          <w:szCs w:val="22"/>
        </w:rPr>
      </w:pPr>
      <w:bookmarkStart w:id="1" w:name="_Hlk133312695"/>
      <w:r w:rsidRPr="0009745A">
        <w:rPr>
          <w:rFonts w:cs="Arial"/>
          <w:b/>
          <w:szCs w:val="22"/>
        </w:rPr>
        <w:t>____________</w:t>
      </w:r>
    </w:p>
    <w:p w14:paraId="0CCB9BFE" w14:textId="2B9BE171" w:rsidR="006C43D7" w:rsidRPr="0009745A" w:rsidRDefault="00C676F3" w:rsidP="009E0C10">
      <w:pPr>
        <w:keepNext/>
        <w:widowControl w:val="0"/>
        <w:tabs>
          <w:tab w:val="right" w:pos="0"/>
        </w:tabs>
        <w:spacing w:line="360" w:lineRule="auto"/>
        <w:contextualSpacing/>
        <w:jc w:val="right"/>
        <w:rPr>
          <w:rFonts w:cs="Arial"/>
          <w:b/>
          <w:szCs w:val="22"/>
        </w:rPr>
      </w:pPr>
      <w:r w:rsidRPr="0009745A">
        <w:rPr>
          <w:rFonts w:cs="Arial"/>
          <w:b/>
          <w:szCs w:val="22"/>
        </w:rPr>
        <w:t>J MOORCROFT</w:t>
      </w:r>
    </w:p>
    <w:p w14:paraId="7A2C1059" w14:textId="77777777" w:rsidR="006C43D7" w:rsidRPr="0009745A" w:rsidRDefault="006C43D7" w:rsidP="009E0C10">
      <w:pPr>
        <w:keepNext/>
        <w:widowControl w:val="0"/>
        <w:tabs>
          <w:tab w:val="right" w:pos="0"/>
        </w:tabs>
        <w:spacing w:line="360" w:lineRule="auto"/>
        <w:contextualSpacing/>
        <w:jc w:val="right"/>
        <w:rPr>
          <w:rFonts w:cs="Arial"/>
          <w:b/>
          <w:szCs w:val="22"/>
        </w:rPr>
      </w:pPr>
      <w:r w:rsidRPr="0009745A">
        <w:rPr>
          <w:rFonts w:cs="Arial"/>
          <w:b/>
          <w:szCs w:val="22"/>
        </w:rPr>
        <w:t>ACTING JUDGE OF THE HIGH COURT OF SOUTH AFRICA</w:t>
      </w:r>
    </w:p>
    <w:bookmarkEnd w:id="1"/>
    <w:p w14:paraId="077C2590" w14:textId="7C2C605F" w:rsidR="006C43D7" w:rsidRPr="0009745A" w:rsidRDefault="006C43D7" w:rsidP="009E0C10">
      <w:pPr>
        <w:keepNext/>
        <w:widowControl w:val="0"/>
        <w:tabs>
          <w:tab w:val="right" w:pos="0"/>
          <w:tab w:val="left" w:pos="4253"/>
        </w:tabs>
        <w:spacing w:line="360" w:lineRule="auto"/>
        <w:contextualSpacing/>
        <w:jc w:val="right"/>
        <w:rPr>
          <w:rFonts w:cs="Arial"/>
          <w:b/>
          <w:szCs w:val="22"/>
        </w:rPr>
      </w:pPr>
      <w:r w:rsidRPr="0009745A">
        <w:rPr>
          <w:rFonts w:cs="Arial"/>
          <w:b/>
          <w:szCs w:val="22"/>
        </w:rPr>
        <w:t>GAUTENG DIVISION</w:t>
      </w:r>
    </w:p>
    <w:p w14:paraId="40B9C946" w14:textId="29CE1DDB" w:rsidR="006C43D7" w:rsidRDefault="006C43D7" w:rsidP="009E0C10">
      <w:pPr>
        <w:keepNext/>
        <w:widowControl w:val="0"/>
        <w:tabs>
          <w:tab w:val="right" w:pos="0"/>
          <w:tab w:val="left" w:pos="4253"/>
        </w:tabs>
        <w:spacing w:line="360" w:lineRule="auto"/>
        <w:contextualSpacing/>
        <w:jc w:val="right"/>
        <w:rPr>
          <w:rFonts w:cs="Arial"/>
          <w:b/>
          <w:szCs w:val="22"/>
        </w:rPr>
      </w:pPr>
      <w:r w:rsidRPr="0009745A">
        <w:rPr>
          <w:rFonts w:cs="Arial"/>
          <w:b/>
          <w:szCs w:val="22"/>
        </w:rPr>
        <w:t>JOHANNESBURG</w:t>
      </w:r>
    </w:p>
    <w:p w14:paraId="1779E7CA" w14:textId="6AA3B50C" w:rsidR="009E0C10" w:rsidRPr="009E0C10" w:rsidRDefault="00D032C2" w:rsidP="009E0C10">
      <w:pPr>
        <w:keepNext/>
        <w:widowControl w:val="0"/>
        <w:spacing w:before="480" w:after="480" w:line="480" w:lineRule="auto"/>
        <w:jc w:val="both"/>
        <w:rPr>
          <w:rFonts w:cs="Arial"/>
          <w:bCs/>
          <w:i/>
          <w:iCs/>
          <w:szCs w:val="22"/>
        </w:rPr>
      </w:pPr>
      <w:r>
        <w:rPr>
          <w:rFonts w:cs="Arial"/>
          <w:bCs/>
          <w:i/>
          <w:iCs/>
          <w:szCs w:val="22"/>
        </w:rPr>
        <w:t xml:space="preserve">I </w:t>
      </w:r>
      <w:r w:rsidR="009E0C10" w:rsidRPr="009E0C10">
        <w:rPr>
          <w:rFonts w:cs="Arial"/>
          <w:bCs/>
          <w:i/>
          <w:iCs/>
          <w:szCs w:val="22"/>
        </w:rPr>
        <w:t>agree and it is so ordered</w:t>
      </w:r>
    </w:p>
    <w:p w14:paraId="3ABDE5A8" w14:textId="77777777" w:rsidR="009E0C10" w:rsidRPr="00473024" w:rsidRDefault="009E0C10" w:rsidP="009E0C10">
      <w:pPr>
        <w:widowControl w:val="0"/>
        <w:tabs>
          <w:tab w:val="right" w:pos="0"/>
        </w:tabs>
        <w:spacing w:line="360" w:lineRule="auto"/>
        <w:jc w:val="right"/>
        <w:rPr>
          <w:rFonts w:cs="Arial"/>
          <w:b/>
          <w:szCs w:val="22"/>
        </w:rPr>
      </w:pPr>
      <w:r w:rsidRPr="00473024">
        <w:rPr>
          <w:rFonts w:cs="Arial"/>
          <w:b/>
          <w:szCs w:val="22"/>
        </w:rPr>
        <w:t>_____________</w:t>
      </w:r>
    </w:p>
    <w:p w14:paraId="22203D7E" w14:textId="3AB01209" w:rsidR="009E0C10" w:rsidRPr="00473024" w:rsidRDefault="000C3755" w:rsidP="009E0C10">
      <w:pPr>
        <w:widowControl w:val="0"/>
        <w:tabs>
          <w:tab w:val="right" w:pos="0"/>
        </w:tabs>
        <w:spacing w:line="360" w:lineRule="auto"/>
        <w:jc w:val="right"/>
        <w:rPr>
          <w:rFonts w:cs="Arial"/>
          <w:b/>
          <w:szCs w:val="22"/>
        </w:rPr>
      </w:pPr>
      <w:r>
        <w:rPr>
          <w:rFonts w:cs="Arial"/>
          <w:b/>
          <w:szCs w:val="22"/>
        </w:rPr>
        <w:t>P COPPIN</w:t>
      </w:r>
    </w:p>
    <w:p w14:paraId="49E3CDFC" w14:textId="379BBD6F" w:rsidR="009E0C10" w:rsidRDefault="009E0C10" w:rsidP="009E0C10">
      <w:pPr>
        <w:widowControl w:val="0"/>
        <w:tabs>
          <w:tab w:val="right" w:pos="0"/>
        </w:tabs>
        <w:spacing w:line="360" w:lineRule="auto"/>
        <w:jc w:val="right"/>
        <w:rPr>
          <w:rFonts w:cs="Arial"/>
          <w:b/>
          <w:szCs w:val="22"/>
        </w:rPr>
      </w:pPr>
      <w:r w:rsidRPr="00473024">
        <w:rPr>
          <w:rFonts w:cs="Arial"/>
          <w:b/>
          <w:szCs w:val="22"/>
        </w:rPr>
        <w:t>JUDGE OF THE HIGH COURT OF SOUTH AFRICA</w:t>
      </w:r>
    </w:p>
    <w:p w14:paraId="784CF89B" w14:textId="77777777" w:rsidR="009E0C10" w:rsidRPr="0009745A" w:rsidRDefault="009E0C10" w:rsidP="009E0C10">
      <w:pPr>
        <w:keepNext/>
        <w:widowControl w:val="0"/>
        <w:tabs>
          <w:tab w:val="right" w:pos="0"/>
          <w:tab w:val="left" w:pos="4253"/>
        </w:tabs>
        <w:spacing w:line="360" w:lineRule="auto"/>
        <w:contextualSpacing/>
        <w:jc w:val="right"/>
        <w:rPr>
          <w:rFonts w:cs="Arial"/>
          <w:b/>
          <w:szCs w:val="22"/>
        </w:rPr>
      </w:pPr>
      <w:r w:rsidRPr="0009745A">
        <w:rPr>
          <w:rFonts w:cs="Arial"/>
          <w:b/>
          <w:szCs w:val="22"/>
        </w:rPr>
        <w:t>GAUTENG DIVISION</w:t>
      </w:r>
    </w:p>
    <w:p w14:paraId="3BEA3CEF" w14:textId="77777777" w:rsidR="009E0C10" w:rsidRDefault="009E0C10" w:rsidP="009E0C10">
      <w:pPr>
        <w:keepNext/>
        <w:widowControl w:val="0"/>
        <w:tabs>
          <w:tab w:val="right" w:pos="0"/>
          <w:tab w:val="left" w:pos="4253"/>
        </w:tabs>
        <w:spacing w:line="360" w:lineRule="auto"/>
        <w:contextualSpacing/>
        <w:jc w:val="right"/>
        <w:rPr>
          <w:rFonts w:cs="Arial"/>
          <w:b/>
          <w:szCs w:val="22"/>
        </w:rPr>
      </w:pPr>
      <w:r w:rsidRPr="0009745A">
        <w:rPr>
          <w:rFonts w:cs="Arial"/>
          <w:b/>
          <w:szCs w:val="22"/>
        </w:rPr>
        <w:t>JOHANNESBURG</w:t>
      </w:r>
    </w:p>
    <w:p w14:paraId="125A2A9B" w14:textId="28212FF0" w:rsidR="00B03DA5" w:rsidRDefault="006C43D7" w:rsidP="00B03DA5">
      <w:pPr>
        <w:widowControl w:val="0"/>
        <w:spacing w:after="200" w:line="480" w:lineRule="auto"/>
        <w:contextualSpacing/>
        <w:jc w:val="right"/>
        <w:rPr>
          <w:rFonts w:cs="Arial"/>
          <w:b/>
          <w:i/>
          <w:iCs/>
          <w:szCs w:val="22"/>
        </w:rPr>
      </w:pPr>
      <w:r w:rsidRPr="0009745A">
        <w:rPr>
          <w:rFonts w:cs="Arial"/>
          <w:b/>
          <w:i/>
          <w:iCs/>
          <w:szCs w:val="22"/>
        </w:rPr>
        <w:t>Electronically submitted</w:t>
      </w:r>
      <w:r w:rsidR="00B03DA5">
        <w:rPr>
          <w:rFonts w:cs="Arial"/>
          <w:b/>
          <w:i/>
          <w:iCs/>
          <w:szCs w:val="22"/>
        </w:rPr>
        <w:br w:type="page"/>
      </w:r>
    </w:p>
    <w:p w14:paraId="5880C66D" w14:textId="77777777" w:rsidR="00B03DA5" w:rsidRPr="0009745A" w:rsidRDefault="00B03DA5" w:rsidP="00B03DA5">
      <w:pPr>
        <w:widowControl w:val="0"/>
        <w:spacing w:after="200" w:line="480" w:lineRule="auto"/>
        <w:contextualSpacing/>
        <w:jc w:val="right"/>
        <w:rPr>
          <w:rFonts w:eastAsia="Arial Unicode MS" w:cs="Arial"/>
          <w:bCs/>
          <w:szCs w:val="22"/>
        </w:rPr>
      </w:pPr>
    </w:p>
    <w:p w14:paraId="51C686CA" w14:textId="49F26052" w:rsidR="006C43D7" w:rsidRPr="0009745A" w:rsidRDefault="00B03DA5" w:rsidP="00250A46">
      <w:pPr>
        <w:widowControl w:val="0"/>
        <w:spacing w:after="200" w:line="360" w:lineRule="auto"/>
        <w:contextualSpacing/>
        <w:jc w:val="both"/>
        <w:rPr>
          <w:rFonts w:eastAsia="Arial Unicode MS" w:cs="Arial"/>
          <w:bCs/>
          <w:szCs w:val="22"/>
        </w:rPr>
      </w:pPr>
      <w:r w:rsidRPr="00C74E97">
        <w:rPr>
          <w:rFonts w:eastAsia="Arial Unicode MS" w:cs="Arial"/>
          <w:bCs/>
          <w:szCs w:val="22"/>
        </w:rPr>
        <w:t>Delivered: This judgement was prepared and authored by the Judge</w:t>
      </w:r>
      <w:r>
        <w:rPr>
          <w:rFonts w:eastAsia="Arial Unicode MS" w:cs="Arial"/>
          <w:bCs/>
          <w:szCs w:val="22"/>
        </w:rPr>
        <w:t>s</w:t>
      </w:r>
      <w:r w:rsidRPr="00C74E97">
        <w:rPr>
          <w:rFonts w:eastAsia="Arial Unicode MS" w:cs="Arial"/>
          <w:bCs/>
          <w:szCs w:val="22"/>
        </w:rPr>
        <w:t xml:space="preserve"> whose name</w:t>
      </w:r>
      <w:r>
        <w:rPr>
          <w:rFonts w:eastAsia="Arial Unicode MS" w:cs="Arial"/>
          <w:bCs/>
          <w:szCs w:val="22"/>
        </w:rPr>
        <w:t>s</w:t>
      </w:r>
      <w:r w:rsidRPr="00C74E97">
        <w:rPr>
          <w:rFonts w:eastAsia="Arial Unicode MS" w:cs="Arial"/>
          <w:bCs/>
          <w:szCs w:val="22"/>
        </w:rPr>
        <w:t xml:space="preserve"> </w:t>
      </w:r>
      <w:r>
        <w:rPr>
          <w:rFonts w:eastAsia="Arial Unicode MS" w:cs="Arial"/>
          <w:bCs/>
          <w:szCs w:val="22"/>
        </w:rPr>
        <w:t>are</w:t>
      </w:r>
      <w:r w:rsidRPr="00C74E97">
        <w:rPr>
          <w:rFonts w:eastAsia="Arial Unicode MS" w:cs="Arial"/>
          <w:bCs/>
          <w:szCs w:val="22"/>
        </w:rPr>
        <w:t xml:space="preserve"> reflected</w:t>
      </w:r>
      <w:r w:rsidR="006C43D7" w:rsidRPr="0009745A">
        <w:rPr>
          <w:rFonts w:eastAsia="Arial Unicode MS" w:cs="Arial"/>
          <w:bCs/>
          <w:szCs w:val="22"/>
        </w:rPr>
        <w:t xml:space="preserve"> reflected and is handed down electronically by circulation to the Parties / their legal representatives by email and by uploading it to the electronic file of this matter on Case</w:t>
      </w:r>
      <w:r w:rsidR="000C1421" w:rsidRPr="0009745A">
        <w:rPr>
          <w:rFonts w:eastAsia="Arial Unicode MS" w:cs="Arial"/>
          <w:bCs/>
          <w:szCs w:val="22"/>
        </w:rPr>
        <w:t>L</w:t>
      </w:r>
      <w:r w:rsidR="006C43D7" w:rsidRPr="0009745A">
        <w:rPr>
          <w:rFonts w:eastAsia="Arial Unicode MS" w:cs="Arial"/>
          <w:bCs/>
          <w:szCs w:val="22"/>
        </w:rPr>
        <w:t>ines. The date of the judgment is deemed to be</w:t>
      </w:r>
      <w:r w:rsidR="00357D35" w:rsidRPr="0009745A">
        <w:rPr>
          <w:rFonts w:eastAsia="Arial Unicode MS" w:cs="Arial"/>
          <w:bCs/>
          <w:szCs w:val="22"/>
        </w:rPr>
        <w:t xml:space="preserve"> </w:t>
      </w:r>
      <w:r w:rsidR="00D032C2">
        <w:rPr>
          <w:rFonts w:eastAsia="Arial Unicode MS" w:cs="Arial"/>
          <w:b/>
          <w:bCs/>
          <w:szCs w:val="22"/>
        </w:rPr>
        <w:t>___________</w:t>
      </w:r>
      <w:r w:rsidR="008A42E5">
        <w:rPr>
          <w:rFonts w:eastAsia="Arial Unicode MS" w:cs="Arial"/>
          <w:b/>
          <w:bCs/>
          <w:szCs w:val="22"/>
        </w:rPr>
        <w:t xml:space="preserve"> MAY</w:t>
      </w:r>
      <w:r w:rsidR="00991B1A" w:rsidRPr="0009745A">
        <w:rPr>
          <w:rFonts w:eastAsia="Arial Unicode MS" w:cs="Arial"/>
          <w:b/>
          <w:bCs/>
          <w:szCs w:val="22"/>
        </w:rPr>
        <w:t xml:space="preserve"> 2023</w:t>
      </w:r>
      <w:r w:rsidR="00FE0E9D" w:rsidRPr="0009745A">
        <w:rPr>
          <w:rFonts w:eastAsia="Arial Unicode MS" w:cs="Arial"/>
          <w:bCs/>
          <w:szCs w:val="22"/>
        </w:rPr>
        <w:t>.</w:t>
      </w:r>
    </w:p>
    <w:p w14:paraId="6A7E1A15" w14:textId="02BB845B" w:rsidR="009B62F7" w:rsidRPr="0009745A" w:rsidRDefault="009B62F7" w:rsidP="00250A46">
      <w:pPr>
        <w:widowControl w:val="0"/>
        <w:spacing w:after="200" w:line="360" w:lineRule="auto"/>
        <w:contextualSpacing/>
        <w:jc w:val="both"/>
        <w:rPr>
          <w:rFonts w:eastAsia="Arial Unicode MS" w:cs="Arial"/>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B62F7" w:rsidRPr="0009745A" w14:paraId="6CDD4926" w14:textId="77777777" w:rsidTr="0098739F">
        <w:tc>
          <w:tcPr>
            <w:tcW w:w="4508" w:type="dxa"/>
          </w:tcPr>
          <w:p w14:paraId="0F4C5124" w14:textId="4DE074BB" w:rsidR="009B62F7" w:rsidRPr="0009745A" w:rsidRDefault="00245819" w:rsidP="0098739F">
            <w:pPr>
              <w:widowControl w:val="0"/>
              <w:spacing w:before="120" w:after="120"/>
              <w:jc w:val="both"/>
              <w:rPr>
                <w:rFonts w:eastAsia="Arial Unicode MS" w:cs="Arial"/>
                <w:b/>
                <w:bCs/>
                <w:szCs w:val="22"/>
              </w:rPr>
            </w:pPr>
            <w:r>
              <w:rPr>
                <w:rFonts w:cs="Arial"/>
                <w:szCs w:val="22"/>
              </w:rPr>
              <w:t>APPEARANCE</w:t>
            </w:r>
            <w:r w:rsidR="009B62F7" w:rsidRPr="0009745A">
              <w:rPr>
                <w:rFonts w:cs="Arial"/>
                <w:szCs w:val="22"/>
              </w:rPr>
              <w:t xml:space="preserve"> FOR THE </w:t>
            </w:r>
            <w:r w:rsidR="00F51F27">
              <w:rPr>
                <w:rFonts w:cs="Arial"/>
                <w:szCs w:val="22"/>
              </w:rPr>
              <w:t>APPELLANT</w:t>
            </w:r>
            <w:r w:rsidR="009B62F7" w:rsidRPr="0009745A">
              <w:rPr>
                <w:rFonts w:cs="Arial"/>
                <w:szCs w:val="22"/>
              </w:rPr>
              <w:t>:</w:t>
            </w:r>
          </w:p>
        </w:tc>
        <w:tc>
          <w:tcPr>
            <w:tcW w:w="4508" w:type="dxa"/>
          </w:tcPr>
          <w:p w14:paraId="7DD198BB" w14:textId="18B36309" w:rsidR="009B62F7" w:rsidRPr="00C905EB" w:rsidRDefault="000C3755" w:rsidP="0098739F">
            <w:pPr>
              <w:widowControl w:val="0"/>
              <w:spacing w:before="120" w:after="120"/>
              <w:jc w:val="right"/>
              <w:rPr>
                <w:rFonts w:eastAsia="Arial Unicode MS" w:cs="Arial"/>
                <w:szCs w:val="22"/>
              </w:rPr>
            </w:pPr>
            <w:r>
              <w:rPr>
                <w:rFonts w:eastAsia="Arial Unicode MS" w:cs="Arial"/>
                <w:szCs w:val="22"/>
              </w:rPr>
              <w:t>N RILEY</w:t>
            </w:r>
          </w:p>
        </w:tc>
      </w:tr>
      <w:tr w:rsidR="009B62F7" w:rsidRPr="0009745A" w14:paraId="6B458BBE" w14:textId="77777777" w:rsidTr="0098739F">
        <w:tc>
          <w:tcPr>
            <w:tcW w:w="4508" w:type="dxa"/>
          </w:tcPr>
          <w:p w14:paraId="004C2388" w14:textId="4D252395" w:rsidR="009B62F7" w:rsidRPr="0009745A" w:rsidRDefault="009B62F7" w:rsidP="0098739F">
            <w:pPr>
              <w:widowControl w:val="0"/>
              <w:spacing w:before="120" w:after="120"/>
              <w:jc w:val="both"/>
              <w:rPr>
                <w:rFonts w:eastAsia="Arial Unicode MS" w:cs="Arial"/>
                <w:b/>
                <w:bCs/>
                <w:szCs w:val="22"/>
              </w:rPr>
            </w:pPr>
            <w:r w:rsidRPr="0009745A">
              <w:rPr>
                <w:rFonts w:cs="Arial"/>
                <w:szCs w:val="22"/>
              </w:rPr>
              <w:t xml:space="preserve">INSTRUCTED BY: </w:t>
            </w:r>
          </w:p>
        </w:tc>
        <w:tc>
          <w:tcPr>
            <w:tcW w:w="4508" w:type="dxa"/>
          </w:tcPr>
          <w:p w14:paraId="03FBBB1A" w14:textId="46356B04" w:rsidR="009B62F7" w:rsidRPr="00C905EB" w:rsidRDefault="000C3755" w:rsidP="0098739F">
            <w:pPr>
              <w:widowControl w:val="0"/>
              <w:spacing w:before="120" w:after="120"/>
              <w:jc w:val="right"/>
              <w:rPr>
                <w:rFonts w:eastAsia="Arial Unicode MS" w:cs="Arial"/>
                <w:szCs w:val="22"/>
              </w:rPr>
            </w:pPr>
            <w:r>
              <w:rPr>
                <w:rFonts w:eastAsia="Arial Unicode MS" w:cs="Arial"/>
                <w:szCs w:val="22"/>
              </w:rPr>
              <w:t>CRAIG BAILIE</w:t>
            </w:r>
            <w:r w:rsidR="00245819">
              <w:rPr>
                <w:rFonts w:eastAsia="Arial Unicode MS" w:cs="Arial"/>
                <w:szCs w:val="22"/>
              </w:rPr>
              <w:t xml:space="preserve"> ATTORNEYS</w:t>
            </w:r>
          </w:p>
        </w:tc>
      </w:tr>
      <w:tr w:rsidR="009B62F7" w:rsidRPr="0009745A" w14:paraId="2094B6A6" w14:textId="77777777" w:rsidTr="0098739F">
        <w:tc>
          <w:tcPr>
            <w:tcW w:w="4508" w:type="dxa"/>
          </w:tcPr>
          <w:p w14:paraId="660EE22E" w14:textId="02F34240" w:rsidR="009B62F7" w:rsidRPr="0009745A" w:rsidRDefault="009B62F7" w:rsidP="0098739F">
            <w:pPr>
              <w:widowControl w:val="0"/>
              <w:spacing w:before="120" w:after="120"/>
              <w:jc w:val="both"/>
              <w:rPr>
                <w:rFonts w:eastAsia="Arial Unicode MS" w:cs="Arial"/>
                <w:b/>
                <w:bCs/>
                <w:szCs w:val="22"/>
              </w:rPr>
            </w:pPr>
            <w:r w:rsidRPr="0009745A">
              <w:rPr>
                <w:rFonts w:cs="Arial"/>
                <w:szCs w:val="22"/>
              </w:rPr>
              <w:t>COUNSEL FOR TH</w:t>
            </w:r>
            <w:r w:rsidR="00F51F27">
              <w:rPr>
                <w:rFonts w:cs="Arial"/>
                <w:szCs w:val="22"/>
              </w:rPr>
              <w:t>E RESPONDENT</w:t>
            </w:r>
            <w:r w:rsidR="00502CBC" w:rsidRPr="00502CBC">
              <w:rPr>
                <w:rFonts w:eastAsia="Arial Unicode MS" w:cs="Arial"/>
                <w:szCs w:val="22"/>
              </w:rPr>
              <w:t>:</w:t>
            </w:r>
          </w:p>
        </w:tc>
        <w:tc>
          <w:tcPr>
            <w:tcW w:w="4508" w:type="dxa"/>
          </w:tcPr>
          <w:p w14:paraId="6407F6D2" w14:textId="40DE27FA" w:rsidR="009B62F7" w:rsidRPr="00C905EB" w:rsidRDefault="00245819" w:rsidP="0098739F">
            <w:pPr>
              <w:autoSpaceDE w:val="0"/>
              <w:autoSpaceDN w:val="0"/>
              <w:adjustRightInd w:val="0"/>
              <w:spacing w:before="120" w:after="120"/>
              <w:jc w:val="right"/>
              <w:rPr>
                <w:rFonts w:eastAsia="Arial Unicode MS" w:cs="Arial"/>
                <w:szCs w:val="22"/>
              </w:rPr>
            </w:pPr>
            <w:r>
              <w:rPr>
                <w:rFonts w:eastAsia="Arial Unicode MS" w:cs="Arial"/>
                <w:szCs w:val="22"/>
              </w:rPr>
              <w:t>NO APPEARANCE</w:t>
            </w:r>
          </w:p>
        </w:tc>
      </w:tr>
      <w:tr w:rsidR="009B62F7" w:rsidRPr="0009745A" w14:paraId="78D0B5E2" w14:textId="77777777" w:rsidTr="0098739F">
        <w:tc>
          <w:tcPr>
            <w:tcW w:w="4508" w:type="dxa"/>
          </w:tcPr>
          <w:p w14:paraId="042FC86A" w14:textId="24C629D6" w:rsidR="009B62F7" w:rsidRPr="0009745A" w:rsidRDefault="009B62F7" w:rsidP="0098739F">
            <w:pPr>
              <w:widowControl w:val="0"/>
              <w:spacing w:before="120" w:after="120"/>
              <w:jc w:val="both"/>
              <w:rPr>
                <w:rFonts w:eastAsia="Arial Unicode MS" w:cs="Arial"/>
                <w:b/>
                <w:bCs/>
                <w:szCs w:val="22"/>
              </w:rPr>
            </w:pPr>
            <w:r w:rsidRPr="0009745A">
              <w:rPr>
                <w:rFonts w:cs="Arial"/>
                <w:szCs w:val="22"/>
              </w:rPr>
              <w:t>INSTRUCTED BY:</w:t>
            </w:r>
          </w:p>
        </w:tc>
        <w:tc>
          <w:tcPr>
            <w:tcW w:w="4508" w:type="dxa"/>
          </w:tcPr>
          <w:p w14:paraId="38283046" w14:textId="25B082B4" w:rsidR="009B62F7" w:rsidRPr="00C905EB" w:rsidRDefault="00245819" w:rsidP="0098739F">
            <w:pPr>
              <w:widowControl w:val="0"/>
              <w:spacing w:before="120" w:after="120"/>
              <w:jc w:val="right"/>
              <w:rPr>
                <w:rFonts w:eastAsia="Arial Unicode MS" w:cs="Arial"/>
                <w:szCs w:val="22"/>
              </w:rPr>
            </w:pPr>
            <w:r>
              <w:rPr>
                <w:rFonts w:eastAsia="Arial Unicode MS" w:cs="Arial"/>
                <w:szCs w:val="22"/>
              </w:rPr>
              <w:t>-</w:t>
            </w:r>
          </w:p>
        </w:tc>
      </w:tr>
      <w:tr w:rsidR="009B62F7" w:rsidRPr="0009745A" w14:paraId="4AAB18B9" w14:textId="77777777" w:rsidTr="0098739F">
        <w:tc>
          <w:tcPr>
            <w:tcW w:w="4508" w:type="dxa"/>
          </w:tcPr>
          <w:p w14:paraId="79DE91BD" w14:textId="2E42E4A5" w:rsidR="009B62F7" w:rsidRPr="0009745A" w:rsidRDefault="0098739F" w:rsidP="0098739F">
            <w:pPr>
              <w:widowControl w:val="0"/>
              <w:spacing w:before="120" w:after="120"/>
              <w:jc w:val="both"/>
              <w:rPr>
                <w:rFonts w:eastAsia="Arial Unicode MS" w:cs="Arial"/>
                <w:b/>
                <w:bCs/>
                <w:szCs w:val="22"/>
              </w:rPr>
            </w:pPr>
            <w:r w:rsidRPr="0009745A">
              <w:rPr>
                <w:rFonts w:cs="Arial"/>
                <w:szCs w:val="22"/>
              </w:rPr>
              <w:t>DATE OF THE HEARING:</w:t>
            </w:r>
          </w:p>
        </w:tc>
        <w:tc>
          <w:tcPr>
            <w:tcW w:w="4508" w:type="dxa"/>
          </w:tcPr>
          <w:p w14:paraId="6A89FC90" w14:textId="1689A98C" w:rsidR="009B62F7" w:rsidRPr="00C905EB" w:rsidRDefault="00056223" w:rsidP="0098739F">
            <w:pPr>
              <w:widowControl w:val="0"/>
              <w:spacing w:before="120" w:after="120"/>
              <w:jc w:val="right"/>
              <w:rPr>
                <w:rFonts w:eastAsia="Arial Unicode MS" w:cs="Arial"/>
                <w:szCs w:val="22"/>
              </w:rPr>
            </w:pPr>
            <w:r>
              <w:rPr>
                <w:rFonts w:eastAsia="Arial Unicode MS" w:cs="Arial"/>
                <w:szCs w:val="22"/>
              </w:rPr>
              <w:t>9 MAY</w:t>
            </w:r>
            <w:r w:rsidR="000C3755">
              <w:rPr>
                <w:rFonts w:eastAsia="Arial Unicode MS" w:cs="Arial"/>
                <w:szCs w:val="22"/>
              </w:rPr>
              <w:t xml:space="preserve"> 2022</w:t>
            </w:r>
          </w:p>
        </w:tc>
      </w:tr>
      <w:tr w:rsidR="0098739F" w:rsidRPr="0009745A" w14:paraId="32221BF2" w14:textId="77777777" w:rsidTr="0098739F">
        <w:tc>
          <w:tcPr>
            <w:tcW w:w="4508" w:type="dxa"/>
          </w:tcPr>
          <w:p w14:paraId="0EFD4A3E" w14:textId="0FD2ACFD" w:rsidR="0098739F" w:rsidRPr="0009745A" w:rsidRDefault="0098739F" w:rsidP="0098739F">
            <w:pPr>
              <w:widowControl w:val="0"/>
              <w:spacing w:before="120" w:after="120"/>
              <w:jc w:val="both"/>
              <w:rPr>
                <w:rFonts w:cs="Arial"/>
                <w:szCs w:val="22"/>
              </w:rPr>
            </w:pPr>
            <w:r w:rsidRPr="0009745A">
              <w:rPr>
                <w:rFonts w:cs="Arial"/>
                <w:szCs w:val="22"/>
              </w:rPr>
              <w:t>DATE OF JUDGMENT:</w:t>
            </w:r>
          </w:p>
        </w:tc>
        <w:tc>
          <w:tcPr>
            <w:tcW w:w="4508" w:type="dxa"/>
          </w:tcPr>
          <w:p w14:paraId="2615EC97" w14:textId="76C74BF7" w:rsidR="0098739F" w:rsidRPr="00C905EB" w:rsidRDefault="00056223" w:rsidP="0098739F">
            <w:pPr>
              <w:widowControl w:val="0"/>
              <w:spacing w:before="120" w:after="120"/>
              <w:jc w:val="right"/>
              <w:rPr>
                <w:rFonts w:cs="Arial"/>
                <w:szCs w:val="22"/>
              </w:rPr>
            </w:pPr>
            <w:r>
              <w:rPr>
                <w:rFonts w:cs="Arial"/>
                <w:szCs w:val="22"/>
              </w:rPr>
              <w:t>16</w:t>
            </w:r>
            <w:r w:rsidR="008A42E5">
              <w:rPr>
                <w:rFonts w:cs="Arial"/>
                <w:szCs w:val="22"/>
              </w:rPr>
              <w:t xml:space="preserve"> MAY</w:t>
            </w:r>
            <w:r w:rsidR="00C905EB" w:rsidRPr="00C905EB">
              <w:rPr>
                <w:rFonts w:cs="Arial"/>
                <w:szCs w:val="22"/>
              </w:rPr>
              <w:t xml:space="preserve"> </w:t>
            </w:r>
            <w:r w:rsidR="0098739F" w:rsidRPr="00C905EB">
              <w:rPr>
                <w:rFonts w:cs="Arial"/>
                <w:szCs w:val="22"/>
              </w:rPr>
              <w:t>2023</w:t>
            </w:r>
          </w:p>
        </w:tc>
      </w:tr>
    </w:tbl>
    <w:p w14:paraId="6D7F3969" w14:textId="76A86C9F" w:rsidR="00A675FB" w:rsidRPr="0009745A" w:rsidRDefault="00A675FB" w:rsidP="0098739F">
      <w:pPr>
        <w:widowControl w:val="0"/>
        <w:spacing w:after="200" w:line="360" w:lineRule="auto"/>
        <w:contextualSpacing/>
        <w:jc w:val="both"/>
        <w:rPr>
          <w:rFonts w:cs="Arial"/>
          <w:szCs w:val="22"/>
        </w:rPr>
      </w:pPr>
    </w:p>
    <w:sectPr w:rsidR="00A675FB" w:rsidRPr="0009745A" w:rsidSect="00A675F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B5B23" w14:textId="77777777" w:rsidR="00284DFA" w:rsidRDefault="00284DFA">
      <w:r>
        <w:separator/>
      </w:r>
    </w:p>
  </w:endnote>
  <w:endnote w:type="continuationSeparator" w:id="0">
    <w:p w14:paraId="2093AEE2" w14:textId="77777777" w:rsidR="00284DFA" w:rsidRDefault="0028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1108B" w14:textId="77777777" w:rsidR="004F28EE" w:rsidRDefault="004F2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D00CC" w14:textId="77777777" w:rsidR="004F28EE" w:rsidRDefault="004F2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285E4" w14:textId="77777777" w:rsidR="004F28EE" w:rsidRDefault="004F2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24747" w14:textId="77777777" w:rsidR="00284DFA" w:rsidRDefault="00284DFA">
      <w:r>
        <w:separator/>
      </w:r>
    </w:p>
  </w:footnote>
  <w:footnote w:type="continuationSeparator" w:id="0">
    <w:p w14:paraId="757010C2" w14:textId="77777777" w:rsidR="00284DFA" w:rsidRDefault="00284DFA">
      <w:r>
        <w:continuationSeparator/>
      </w:r>
    </w:p>
  </w:footnote>
  <w:footnote w:id="1">
    <w:p w14:paraId="3C2A2849" w14:textId="4B7E3BC0" w:rsidR="00C23F0C" w:rsidRDefault="00C23F0C">
      <w:pPr>
        <w:pStyle w:val="FootnoteText"/>
      </w:pPr>
      <w:r>
        <w:rPr>
          <w:rStyle w:val="FootnoteReference"/>
        </w:rPr>
        <w:footnoteRef/>
      </w:r>
      <w:r>
        <w:t xml:space="preserve"> </w:t>
      </w:r>
      <w:r>
        <w:tab/>
      </w:r>
      <w:r w:rsidRPr="00D25289">
        <w:rPr>
          <w:i/>
          <w:iCs/>
        </w:rPr>
        <w:t>Schlesinger v Schlesinger</w:t>
      </w:r>
      <w:r>
        <w:t xml:space="preserve"> </w:t>
      </w:r>
      <w:r w:rsidRPr="00D25289">
        <w:t>1979 (4) SA 342 (W)</w:t>
      </w:r>
      <w:r>
        <w:t xml:space="preserve"> 349A-B.</w:t>
      </w:r>
    </w:p>
  </w:footnote>
  <w:footnote w:id="2">
    <w:p w14:paraId="30AFDC19" w14:textId="164D9131" w:rsidR="008839D8" w:rsidRPr="0014680B" w:rsidRDefault="008839D8" w:rsidP="008839D8">
      <w:pPr>
        <w:pStyle w:val="FootnoteText"/>
        <w:rPr>
          <w:rFonts w:cs="Arial"/>
          <w:color w:val="000000" w:themeColor="text1"/>
        </w:rPr>
      </w:pPr>
      <w:r w:rsidRPr="0014680B">
        <w:rPr>
          <w:rStyle w:val="FootnoteReference"/>
          <w:rFonts w:cs="Arial"/>
          <w:color w:val="000000" w:themeColor="text1"/>
        </w:rPr>
        <w:footnoteRef/>
      </w:r>
      <w:r w:rsidRPr="0014680B">
        <w:rPr>
          <w:rFonts w:cs="Arial"/>
          <w:color w:val="000000" w:themeColor="text1"/>
        </w:rPr>
        <w:t xml:space="preserve"> </w:t>
      </w:r>
      <w:r w:rsidRPr="0014680B">
        <w:rPr>
          <w:rFonts w:cs="Arial"/>
          <w:color w:val="000000" w:themeColor="text1"/>
        </w:rPr>
        <w:tab/>
      </w:r>
      <w:r>
        <w:rPr>
          <w:rFonts w:cs="Arial"/>
          <w:color w:val="000000" w:themeColor="text1"/>
        </w:rPr>
        <w:t>G</w:t>
      </w:r>
      <w:r w:rsidRPr="00D703A3">
        <w:rPr>
          <w:rFonts w:cs="Arial"/>
          <w:color w:val="000000" w:themeColor="text1"/>
          <w:lang w:eastAsia="en-ZA"/>
        </w:rPr>
        <w:t>overnment notice R1361 of 15 November 1999</w:t>
      </w:r>
      <w:r>
        <w:rPr>
          <w:rFonts w:cs="Arial"/>
          <w:color w:val="000000" w:themeColor="text1"/>
          <w:lang w:eastAsia="en-ZA"/>
        </w:rPr>
        <w:t>.</w:t>
      </w:r>
    </w:p>
  </w:footnote>
  <w:footnote w:id="3">
    <w:p w14:paraId="6BCDBF43" w14:textId="2CF38321" w:rsidR="007453DD" w:rsidRDefault="007453DD">
      <w:pPr>
        <w:pStyle w:val="FootnoteText"/>
      </w:pPr>
      <w:r>
        <w:rPr>
          <w:rStyle w:val="FootnoteReference"/>
        </w:rPr>
        <w:footnoteRef/>
      </w:r>
      <w:r>
        <w:t xml:space="preserve"> </w:t>
      </w:r>
      <w:r>
        <w:tab/>
      </w:r>
      <w:r w:rsidRPr="00D703A3">
        <w:rPr>
          <w:i/>
          <w:iCs/>
          <w:lang w:eastAsia="en-ZA"/>
        </w:rPr>
        <w:t>Louw v Louw</w:t>
      </w:r>
      <w:r>
        <w:rPr>
          <w:lang w:eastAsia="en-ZA"/>
        </w:rPr>
        <w:t xml:space="preserve"> </w:t>
      </w:r>
      <w:r w:rsidRPr="00D703A3">
        <w:rPr>
          <w:lang w:eastAsia="en-ZA"/>
        </w:rPr>
        <w:t>2006 JDR 0474 (SCA)</w:t>
      </w:r>
      <w:r>
        <w:rPr>
          <w:lang w:eastAsia="en-ZA"/>
        </w:rPr>
        <w:t>.</w:t>
      </w:r>
    </w:p>
  </w:footnote>
  <w:footnote w:id="4">
    <w:p w14:paraId="0974B512" w14:textId="6F8A68FA" w:rsidR="00F62BF0" w:rsidRPr="0014680B" w:rsidRDefault="00F62BF0">
      <w:pPr>
        <w:pStyle w:val="FootnoteText"/>
        <w:rPr>
          <w:rFonts w:cs="Arial"/>
        </w:rPr>
      </w:pPr>
      <w:r w:rsidRPr="0014680B">
        <w:rPr>
          <w:rStyle w:val="FootnoteReference"/>
          <w:rFonts w:cs="Arial"/>
          <w:color w:val="000000" w:themeColor="text1"/>
        </w:rPr>
        <w:footnoteRef/>
      </w:r>
      <w:r w:rsidRPr="0014680B">
        <w:rPr>
          <w:rFonts w:cs="Arial"/>
          <w:color w:val="000000" w:themeColor="text1"/>
        </w:rPr>
        <w:t xml:space="preserve"> </w:t>
      </w:r>
      <w:r w:rsidR="0014680B" w:rsidRPr="0014680B">
        <w:rPr>
          <w:rFonts w:cs="Arial"/>
          <w:color w:val="000000" w:themeColor="text1"/>
        </w:rPr>
        <w:tab/>
      </w:r>
      <w:r w:rsidR="0014680B" w:rsidRPr="00D703A3">
        <w:rPr>
          <w:rFonts w:cs="Arial"/>
          <w:color w:val="000000" w:themeColor="text1"/>
          <w:lang w:eastAsia="en-ZA"/>
        </w:rPr>
        <w:t>Majiedt J</w:t>
      </w:r>
      <w:r w:rsidR="0014680B">
        <w:rPr>
          <w:rFonts w:cs="Arial"/>
          <w:color w:val="000000" w:themeColor="text1"/>
          <w:lang w:eastAsia="en-ZA"/>
        </w:rPr>
        <w:t>A concurring.</w:t>
      </w:r>
    </w:p>
  </w:footnote>
  <w:footnote w:id="5">
    <w:p w14:paraId="64E0B899" w14:textId="2B9E96DB" w:rsidR="00756E1B" w:rsidRDefault="00756E1B">
      <w:pPr>
        <w:pStyle w:val="FootnoteText"/>
      </w:pPr>
      <w:r>
        <w:rPr>
          <w:rStyle w:val="FootnoteReference"/>
        </w:rPr>
        <w:footnoteRef/>
      </w:r>
      <w:r>
        <w:t xml:space="preserve"> </w:t>
      </w:r>
      <w:r>
        <w:tab/>
      </w:r>
      <w:r w:rsidRPr="00D703A3">
        <w:rPr>
          <w:i/>
          <w:iCs/>
          <w:color w:val="000000" w:themeColor="text1"/>
          <w:lang w:eastAsia="en-ZA"/>
        </w:rPr>
        <w:t>Johannesburg Municipality v African Realty Trust Ltd</w:t>
      </w:r>
      <w:r w:rsidRPr="00D703A3">
        <w:rPr>
          <w:color w:val="000000" w:themeColor="text1"/>
          <w:lang w:eastAsia="en-ZA"/>
        </w:rPr>
        <w:t> </w:t>
      </w:r>
      <w:hyperlink r:id="rId1" w:history="1">
        <w:r w:rsidRPr="00D703A3">
          <w:rPr>
            <w:rStyle w:val="Hyperlink"/>
            <w:color w:val="000000" w:themeColor="text1"/>
            <w:u w:val="none"/>
            <w:lang w:eastAsia="en-ZA"/>
          </w:rPr>
          <w:t>1927 AD 1</w:t>
        </w:r>
      </w:hyperlink>
      <w:r w:rsidRPr="00D703A3">
        <w:rPr>
          <w:color w:val="000000" w:themeColor="text1"/>
          <w:lang w:eastAsia="en-ZA"/>
        </w:rPr>
        <w:t>56 at 172-173</w:t>
      </w:r>
      <w:r w:rsidRPr="00756E1B">
        <w:rPr>
          <w:color w:val="000000" w:themeColor="text1"/>
          <w:lang w:eastAsia="en-ZA"/>
        </w:rPr>
        <w:t xml:space="preserve">; </w:t>
      </w:r>
      <w:r w:rsidRPr="00D703A3">
        <w:rPr>
          <w:i/>
          <w:iCs/>
          <w:color w:val="000000" w:themeColor="text1"/>
          <w:lang w:eastAsia="en-ZA"/>
        </w:rPr>
        <w:t>Sachs v Minister of Justice; Diamond v Minister of Justice</w:t>
      </w:r>
      <w:r w:rsidRPr="00D703A3">
        <w:rPr>
          <w:color w:val="000000" w:themeColor="text1"/>
          <w:lang w:eastAsia="en-ZA"/>
        </w:rPr>
        <w:t> </w:t>
      </w:r>
      <w:hyperlink r:id="rId2" w:history="1">
        <w:r w:rsidRPr="00D703A3">
          <w:rPr>
            <w:rStyle w:val="Hyperlink"/>
            <w:color w:val="000000" w:themeColor="text1"/>
            <w:u w:val="none"/>
            <w:lang w:eastAsia="en-ZA"/>
          </w:rPr>
          <w:t>1934 AD 11</w:t>
        </w:r>
      </w:hyperlink>
      <w:r w:rsidRPr="00D703A3">
        <w:rPr>
          <w:color w:val="000000" w:themeColor="text1"/>
          <w:lang w:eastAsia="en-ZA"/>
        </w:rPr>
        <w:t> at 38</w:t>
      </w:r>
      <w:r w:rsidRPr="00756E1B">
        <w:rPr>
          <w:color w:val="000000" w:themeColor="text1"/>
          <w:lang w:eastAsia="en-ZA"/>
        </w:rPr>
        <w:t>;</w:t>
      </w:r>
      <w:r w:rsidRPr="00D703A3">
        <w:rPr>
          <w:color w:val="000000" w:themeColor="text1"/>
          <w:lang w:eastAsia="en-ZA"/>
        </w:rPr>
        <w:t> </w:t>
      </w:r>
      <w:r w:rsidRPr="00D703A3">
        <w:rPr>
          <w:i/>
          <w:iCs/>
          <w:color w:val="000000" w:themeColor="text1"/>
          <w:lang w:eastAsia="en-ZA"/>
        </w:rPr>
        <w:t>Diepsloot Residents' and Landowners' Association and Another v Administrator, Transvaal </w:t>
      </w:r>
      <w:hyperlink r:id="rId3" w:history="1">
        <w:r w:rsidRPr="00D703A3">
          <w:rPr>
            <w:rStyle w:val="Hyperlink"/>
            <w:color w:val="000000" w:themeColor="text1"/>
            <w:u w:val="none"/>
            <w:lang w:eastAsia="en-ZA"/>
          </w:rPr>
          <w:t>1994 (3) SA 336 (A)</w:t>
        </w:r>
      </w:hyperlink>
      <w:r w:rsidRPr="00D703A3">
        <w:rPr>
          <w:color w:val="000000" w:themeColor="text1"/>
          <w:lang w:eastAsia="en-ZA"/>
        </w:rPr>
        <w:t>  345 I - 346 B</w:t>
      </w:r>
      <w:r w:rsidRPr="00756E1B">
        <w:rPr>
          <w:i/>
          <w:iCs/>
          <w:color w:val="000000" w:themeColor="text1"/>
          <w:lang w:eastAsia="en-ZA"/>
        </w:rPr>
        <w:t xml:space="preserve"> </w:t>
      </w:r>
      <w:r w:rsidRPr="00D703A3">
        <w:rPr>
          <w:i/>
          <w:iCs/>
          <w:color w:val="000000" w:themeColor="text1"/>
          <w:lang w:eastAsia="en-ZA"/>
        </w:rPr>
        <w:t>National Director of Public Prosecutions and Another v Mohamed NO and Others</w:t>
      </w:r>
      <w:r w:rsidRPr="00D703A3">
        <w:rPr>
          <w:color w:val="000000" w:themeColor="text1"/>
          <w:lang w:eastAsia="en-ZA"/>
        </w:rPr>
        <w:t> </w:t>
      </w:r>
      <w:hyperlink r:id="rId4" w:history="1">
        <w:r w:rsidRPr="00D703A3">
          <w:rPr>
            <w:rStyle w:val="Hyperlink"/>
            <w:color w:val="000000" w:themeColor="text1"/>
            <w:u w:val="none"/>
            <w:lang w:eastAsia="en-ZA"/>
          </w:rPr>
          <w:t>2003 (4) SA 1 (CC)</w:t>
        </w:r>
      </w:hyperlink>
      <w:r w:rsidR="005C6E34">
        <w:rPr>
          <w:color w:val="000000" w:themeColor="text1"/>
          <w:lang w:eastAsia="en-ZA"/>
        </w:rPr>
        <w:t xml:space="preserve">; </w:t>
      </w:r>
      <w:r w:rsidRPr="00D703A3">
        <w:rPr>
          <w:i/>
          <w:iCs/>
          <w:color w:val="000000" w:themeColor="text1"/>
          <w:lang w:eastAsia="en-ZA"/>
        </w:rPr>
        <w:t>Buffalo City Municipality v Gauss and Another</w:t>
      </w:r>
      <w:r w:rsidRPr="00D703A3">
        <w:rPr>
          <w:color w:val="000000" w:themeColor="text1"/>
          <w:lang w:eastAsia="en-ZA"/>
        </w:rPr>
        <w:t> </w:t>
      </w:r>
      <w:hyperlink r:id="rId5" w:history="1">
        <w:r w:rsidRPr="00D703A3">
          <w:rPr>
            <w:rStyle w:val="Hyperlink"/>
            <w:color w:val="000000" w:themeColor="text1"/>
            <w:u w:val="none"/>
            <w:lang w:eastAsia="en-ZA"/>
          </w:rPr>
          <w:t>2005 (4) SA 498 (SCA)</w:t>
        </w:r>
      </w:hyperlink>
      <w:r>
        <w:rPr>
          <w:lang w:eastAsia="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F3041" w14:textId="3180FBE8" w:rsidR="004F28EE" w:rsidRDefault="004F2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1A7E7B48" w:rsidR="009165D0" w:rsidRPr="006C43D7" w:rsidRDefault="009165D0"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A83F29">
      <w:rPr>
        <w:rFonts w:cs="Arial"/>
        <w:noProof/>
        <w:sz w:val="20"/>
        <w:szCs w:val="20"/>
        <w:lang w:val="en-GB"/>
      </w:rPr>
      <w:t>2</w:t>
    </w:r>
    <w:r w:rsidRPr="006C43D7">
      <w:rPr>
        <w:rFonts w:cs="Arial"/>
        <w:sz w:val="20"/>
        <w:szCs w:val="20"/>
        <w:lang w:val="en-GB"/>
      </w:rPr>
      <w:fldChar w:fldCharType="end"/>
    </w:r>
  </w:p>
  <w:p w14:paraId="08C008E5" w14:textId="77777777" w:rsidR="009165D0" w:rsidRPr="006C43D7" w:rsidRDefault="009165D0" w:rsidP="006C43D7">
    <w:pPr>
      <w:tabs>
        <w:tab w:val="center" w:pos="4153"/>
        <w:tab w:val="right" w:pos="8306"/>
      </w:tabs>
      <w:spacing w:line="276" w:lineRule="auto"/>
      <w:jc w:val="right"/>
      <w:rPr>
        <w:rFonts w:cs="Arial"/>
        <w:lang w:val="en-US"/>
      </w:rPr>
    </w:pPr>
  </w:p>
  <w:p w14:paraId="4A21EF97" w14:textId="77777777" w:rsidR="009165D0" w:rsidRPr="006C43D7" w:rsidRDefault="009165D0" w:rsidP="006C43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4486B" w14:textId="6123B26D" w:rsidR="004F28EE" w:rsidRDefault="004F2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6A85151"/>
    <w:multiLevelType w:val="multilevel"/>
    <w:tmpl w:val="09C07210"/>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880"/>
        </w:tabs>
        <w:ind w:left="2880" w:hanging="1152"/>
      </w:pPr>
      <w:rPr>
        <w:rFonts w:hint="default"/>
      </w:rPr>
    </w:lvl>
    <w:lvl w:ilvl="3">
      <w:start w:val="1"/>
      <w:numFmt w:val="decimal"/>
      <w:lvlText w:val="%1.%2.%3.%4."/>
      <w:lvlJc w:val="left"/>
      <w:pPr>
        <w:tabs>
          <w:tab w:val="num" w:pos="3600"/>
        </w:tabs>
        <w:ind w:left="3600" w:hanging="1008"/>
      </w:pPr>
      <w:rPr>
        <w:rFonts w:hint="default"/>
      </w:rPr>
    </w:lvl>
    <w:lvl w:ilvl="4">
      <w:start w:val="1"/>
      <w:numFmt w:val="decimal"/>
      <w:lvlText w:val="%1.%2.%3.%4.%5."/>
      <w:lvlJc w:val="left"/>
      <w:pPr>
        <w:tabs>
          <w:tab w:val="num" w:pos="4752"/>
        </w:tabs>
        <w:ind w:left="4752" w:hanging="1152"/>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E640CDB"/>
    <w:multiLevelType w:val="hybridMultilevel"/>
    <w:tmpl w:val="A3A6AB5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24FA360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086EE0"/>
    <w:multiLevelType w:val="hybridMultilevel"/>
    <w:tmpl w:val="CF6AB424"/>
    <w:lvl w:ilvl="0" w:tplc="1A5ECB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9">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9CD5976"/>
    <w:multiLevelType w:val="hybridMultilevel"/>
    <w:tmpl w:val="4E58F39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5E425838"/>
    <w:multiLevelType w:val="hybridMultilevel"/>
    <w:tmpl w:val="EBEAFE8C"/>
    <w:lvl w:ilvl="0" w:tplc="77BE15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6"/>
  </w:num>
  <w:num w:numId="2">
    <w:abstractNumId w:val="1"/>
  </w:num>
  <w:num w:numId="3">
    <w:abstractNumId w:val="13"/>
  </w:num>
  <w:num w:numId="4">
    <w:abstractNumId w:val="7"/>
  </w:num>
  <w:num w:numId="5">
    <w:abstractNumId w:val="12"/>
  </w:num>
  <w:num w:numId="6">
    <w:abstractNumId w:val="9"/>
  </w:num>
  <w:num w:numId="7">
    <w:abstractNumId w:val="0"/>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10"/>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6113"/>
    <w:rsid w:val="00007CC6"/>
    <w:rsid w:val="0001111B"/>
    <w:rsid w:val="0001140A"/>
    <w:rsid w:val="00013B7F"/>
    <w:rsid w:val="000153E9"/>
    <w:rsid w:val="00015C47"/>
    <w:rsid w:val="00016C5A"/>
    <w:rsid w:val="000207F6"/>
    <w:rsid w:val="000224D5"/>
    <w:rsid w:val="000226ED"/>
    <w:rsid w:val="000248F1"/>
    <w:rsid w:val="00024A29"/>
    <w:rsid w:val="00034AE8"/>
    <w:rsid w:val="00040E18"/>
    <w:rsid w:val="00047055"/>
    <w:rsid w:val="00047AA2"/>
    <w:rsid w:val="00050086"/>
    <w:rsid w:val="000504F1"/>
    <w:rsid w:val="0005465E"/>
    <w:rsid w:val="00054804"/>
    <w:rsid w:val="00056223"/>
    <w:rsid w:val="00063F7B"/>
    <w:rsid w:val="00072E89"/>
    <w:rsid w:val="000737E1"/>
    <w:rsid w:val="00073D6B"/>
    <w:rsid w:val="00073E30"/>
    <w:rsid w:val="00075AA1"/>
    <w:rsid w:val="00080688"/>
    <w:rsid w:val="00083242"/>
    <w:rsid w:val="000833BB"/>
    <w:rsid w:val="0008526A"/>
    <w:rsid w:val="00085A94"/>
    <w:rsid w:val="00091FAD"/>
    <w:rsid w:val="00093F79"/>
    <w:rsid w:val="0009488C"/>
    <w:rsid w:val="0009745A"/>
    <w:rsid w:val="0009787A"/>
    <w:rsid w:val="00097968"/>
    <w:rsid w:val="00097AD1"/>
    <w:rsid w:val="000A1CEC"/>
    <w:rsid w:val="000A2D03"/>
    <w:rsid w:val="000A6AD8"/>
    <w:rsid w:val="000A6B07"/>
    <w:rsid w:val="000B03EB"/>
    <w:rsid w:val="000B580F"/>
    <w:rsid w:val="000C1421"/>
    <w:rsid w:val="000C3755"/>
    <w:rsid w:val="000D10C0"/>
    <w:rsid w:val="000D1B7A"/>
    <w:rsid w:val="000D1E55"/>
    <w:rsid w:val="000D45F0"/>
    <w:rsid w:val="000D7D6A"/>
    <w:rsid w:val="000E1813"/>
    <w:rsid w:val="000E254E"/>
    <w:rsid w:val="000F0BBE"/>
    <w:rsid w:val="000F23B3"/>
    <w:rsid w:val="000F39F6"/>
    <w:rsid w:val="000F59F8"/>
    <w:rsid w:val="000F6007"/>
    <w:rsid w:val="000F71C2"/>
    <w:rsid w:val="00101EE2"/>
    <w:rsid w:val="0010288A"/>
    <w:rsid w:val="00104142"/>
    <w:rsid w:val="00111EFC"/>
    <w:rsid w:val="00112301"/>
    <w:rsid w:val="001135E7"/>
    <w:rsid w:val="00114E52"/>
    <w:rsid w:val="00120FB1"/>
    <w:rsid w:val="0012741F"/>
    <w:rsid w:val="00131957"/>
    <w:rsid w:val="001330D2"/>
    <w:rsid w:val="001410DC"/>
    <w:rsid w:val="0014680B"/>
    <w:rsid w:val="00147BD7"/>
    <w:rsid w:val="00147FF5"/>
    <w:rsid w:val="0015003D"/>
    <w:rsid w:val="0015788C"/>
    <w:rsid w:val="00162F4F"/>
    <w:rsid w:val="00166B26"/>
    <w:rsid w:val="00170A22"/>
    <w:rsid w:val="00177D8F"/>
    <w:rsid w:val="00185ACF"/>
    <w:rsid w:val="00190579"/>
    <w:rsid w:val="00191783"/>
    <w:rsid w:val="00194057"/>
    <w:rsid w:val="00196E14"/>
    <w:rsid w:val="001A1819"/>
    <w:rsid w:val="001A1A55"/>
    <w:rsid w:val="001A3E64"/>
    <w:rsid w:val="001A464D"/>
    <w:rsid w:val="001A522A"/>
    <w:rsid w:val="001B1D39"/>
    <w:rsid w:val="001B4217"/>
    <w:rsid w:val="001B5D3E"/>
    <w:rsid w:val="001B606B"/>
    <w:rsid w:val="001B62D3"/>
    <w:rsid w:val="001B6FFC"/>
    <w:rsid w:val="001C01DF"/>
    <w:rsid w:val="001D12D9"/>
    <w:rsid w:val="001D3CC2"/>
    <w:rsid w:val="001D68D9"/>
    <w:rsid w:val="001E2EED"/>
    <w:rsid w:val="001F0A29"/>
    <w:rsid w:val="001F0EF3"/>
    <w:rsid w:val="001F11EA"/>
    <w:rsid w:val="001F2072"/>
    <w:rsid w:val="001F2C31"/>
    <w:rsid w:val="001F3DBD"/>
    <w:rsid w:val="001F45CB"/>
    <w:rsid w:val="001F648A"/>
    <w:rsid w:val="001F6E8E"/>
    <w:rsid w:val="002014D0"/>
    <w:rsid w:val="00201620"/>
    <w:rsid w:val="00203CE8"/>
    <w:rsid w:val="0020571A"/>
    <w:rsid w:val="00210971"/>
    <w:rsid w:val="002133DC"/>
    <w:rsid w:val="00215824"/>
    <w:rsid w:val="00216BC8"/>
    <w:rsid w:val="0022218D"/>
    <w:rsid w:val="00224EF0"/>
    <w:rsid w:val="00226926"/>
    <w:rsid w:val="00232528"/>
    <w:rsid w:val="00232EB3"/>
    <w:rsid w:val="002369D8"/>
    <w:rsid w:val="00237FF9"/>
    <w:rsid w:val="00245819"/>
    <w:rsid w:val="00250A46"/>
    <w:rsid w:val="00262819"/>
    <w:rsid w:val="002778A1"/>
    <w:rsid w:val="00281213"/>
    <w:rsid w:val="00284DFA"/>
    <w:rsid w:val="00285040"/>
    <w:rsid w:val="00285062"/>
    <w:rsid w:val="00285DE9"/>
    <w:rsid w:val="00290B89"/>
    <w:rsid w:val="00294B84"/>
    <w:rsid w:val="00294ED8"/>
    <w:rsid w:val="0029606F"/>
    <w:rsid w:val="002A0160"/>
    <w:rsid w:val="002A2AE7"/>
    <w:rsid w:val="002A47CD"/>
    <w:rsid w:val="002A5EEA"/>
    <w:rsid w:val="002A7485"/>
    <w:rsid w:val="002B7824"/>
    <w:rsid w:val="002C05F2"/>
    <w:rsid w:val="002C115B"/>
    <w:rsid w:val="002C15AC"/>
    <w:rsid w:val="002C2597"/>
    <w:rsid w:val="002C2AC0"/>
    <w:rsid w:val="002C3500"/>
    <w:rsid w:val="002C364B"/>
    <w:rsid w:val="002C4638"/>
    <w:rsid w:val="002C4687"/>
    <w:rsid w:val="002C481E"/>
    <w:rsid w:val="002D10E4"/>
    <w:rsid w:val="002D2317"/>
    <w:rsid w:val="002D5C85"/>
    <w:rsid w:val="002D77CC"/>
    <w:rsid w:val="002E1342"/>
    <w:rsid w:val="002E4B98"/>
    <w:rsid w:val="002E5B57"/>
    <w:rsid w:val="002E6CD7"/>
    <w:rsid w:val="002E77C4"/>
    <w:rsid w:val="002F3010"/>
    <w:rsid w:val="002F465B"/>
    <w:rsid w:val="002F4CCC"/>
    <w:rsid w:val="002F6D39"/>
    <w:rsid w:val="002F7515"/>
    <w:rsid w:val="003005DF"/>
    <w:rsid w:val="003016BE"/>
    <w:rsid w:val="00302290"/>
    <w:rsid w:val="00302C31"/>
    <w:rsid w:val="00303A63"/>
    <w:rsid w:val="0030653F"/>
    <w:rsid w:val="00307471"/>
    <w:rsid w:val="0031024B"/>
    <w:rsid w:val="00310A3B"/>
    <w:rsid w:val="0031117B"/>
    <w:rsid w:val="0031170D"/>
    <w:rsid w:val="00311B1E"/>
    <w:rsid w:val="00312EBC"/>
    <w:rsid w:val="00313056"/>
    <w:rsid w:val="00320DD8"/>
    <w:rsid w:val="00321F7F"/>
    <w:rsid w:val="00323DD7"/>
    <w:rsid w:val="0033376C"/>
    <w:rsid w:val="00337135"/>
    <w:rsid w:val="003408B0"/>
    <w:rsid w:val="00341086"/>
    <w:rsid w:val="0034147B"/>
    <w:rsid w:val="00345211"/>
    <w:rsid w:val="003463D6"/>
    <w:rsid w:val="003469B6"/>
    <w:rsid w:val="00346D31"/>
    <w:rsid w:val="00346DE6"/>
    <w:rsid w:val="00351809"/>
    <w:rsid w:val="003518A3"/>
    <w:rsid w:val="00351ABE"/>
    <w:rsid w:val="003543C5"/>
    <w:rsid w:val="00354EF2"/>
    <w:rsid w:val="00357081"/>
    <w:rsid w:val="00357D35"/>
    <w:rsid w:val="00357E01"/>
    <w:rsid w:val="00357F9E"/>
    <w:rsid w:val="003605A3"/>
    <w:rsid w:val="00363FCD"/>
    <w:rsid w:val="00364C43"/>
    <w:rsid w:val="00367720"/>
    <w:rsid w:val="0037029D"/>
    <w:rsid w:val="0037153E"/>
    <w:rsid w:val="00381213"/>
    <w:rsid w:val="003840EC"/>
    <w:rsid w:val="00387F78"/>
    <w:rsid w:val="00390C3F"/>
    <w:rsid w:val="00392DB9"/>
    <w:rsid w:val="003A6F23"/>
    <w:rsid w:val="003A7864"/>
    <w:rsid w:val="003B080A"/>
    <w:rsid w:val="003B142D"/>
    <w:rsid w:val="003B323E"/>
    <w:rsid w:val="003B4100"/>
    <w:rsid w:val="003B78E3"/>
    <w:rsid w:val="003C1A16"/>
    <w:rsid w:val="003C1E91"/>
    <w:rsid w:val="003C3AC6"/>
    <w:rsid w:val="003D5739"/>
    <w:rsid w:val="003E0BF4"/>
    <w:rsid w:val="003E1423"/>
    <w:rsid w:val="003E1436"/>
    <w:rsid w:val="003E3B27"/>
    <w:rsid w:val="003F0B24"/>
    <w:rsid w:val="003F5560"/>
    <w:rsid w:val="004026CF"/>
    <w:rsid w:val="0040795A"/>
    <w:rsid w:val="00407F28"/>
    <w:rsid w:val="004131C5"/>
    <w:rsid w:val="00417D72"/>
    <w:rsid w:val="00422DDD"/>
    <w:rsid w:val="004239DA"/>
    <w:rsid w:val="0042423E"/>
    <w:rsid w:val="00431DD4"/>
    <w:rsid w:val="0043256C"/>
    <w:rsid w:val="004339E6"/>
    <w:rsid w:val="0043683A"/>
    <w:rsid w:val="0044085B"/>
    <w:rsid w:val="00441422"/>
    <w:rsid w:val="004450BD"/>
    <w:rsid w:val="004459CF"/>
    <w:rsid w:val="00445DCB"/>
    <w:rsid w:val="004460B9"/>
    <w:rsid w:val="00456542"/>
    <w:rsid w:val="00460EF7"/>
    <w:rsid w:val="004630B6"/>
    <w:rsid w:val="00467D30"/>
    <w:rsid w:val="00471FAC"/>
    <w:rsid w:val="00473024"/>
    <w:rsid w:val="00474607"/>
    <w:rsid w:val="00474910"/>
    <w:rsid w:val="004749AF"/>
    <w:rsid w:val="004766B3"/>
    <w:rsid w:val="00476754"/>
    <w:rsid w:val="00483E40"/>
    <w:rsid w:val="00484116"/>
    <w:rsid w:val="0048424E"/>
    <w:rsid w:val="0048507B"/>
    <w:rsid w:val="00486F42"/>
    <w:rsid w:val="00487D14"/>
    <w:rsid w:val="00487FAD"/>
    <w:rsid w:val="004913E6"/>
    <w:rsid w:val="00497938"/>
    <w:rsid w:val="00497D8E"/>
    <w:rsid w:val="00497FF4"/>
    <w:rsid w:val="004A2C7E"/>
    <w:rsid w:val="004A33EC"/>
    <w:rsid w:val="004A7DFE"/>
    <w:rsid w:val="004B21D9"/>
    <w:rsid w:val="004B4621"/>
    <w:rsid w:val="004C368B"/>
    <w:rsid w:val="004C6492"/>
    <w:rsid w:val="004D262A"/>
    <w:rsid w:val="004D2C6F"/>
    <w:rsid w:val="004D2E01"/>
    <w:rsid w:val="004D7AE9"/>
    <w:rsid w:val="004E173B"/>
    <w:rsid w:val="004E4275"/>
    <w:rsid w:val="004E568C"/>
    <w:rsid w:val="004E5AD8"/>
    <w:rsid w:val="004F12D8"/>
    <w:rsid w:val="004F22A6"/>
    <w:rsid w:val="004F2682"/>
    <w:rsid w:val="004F28EE"/>
    <w:rsid w:val="004F5E43"/>
    <w:rsid w:val="004F7E8C"/>
    <w:rsid w:val="00502CBC"/>
    <w:rsid w:val="00503FE7"/>
    <w:rsid w:val="00504B53"/>
    <w:rsid w:val="00506B31"/>
    <w:rsid w:val="00507D49"/>
    <w:rsid w:val="00507DD6"/>
    <w:rsid w:val="0051015D"/>
    <w:rsid w:val="00510323"/>
    <w:rsid w:val="0051292D"/>
    <w:rsid w:val="0051622D"/>
    <w:rsid w:val="00516C44"/>
    <w:rsid w:val="00516CF0"/>
    <w:rsid w:val="0052179E"/>
    <w:rsid w:val="005262C2"/>
    <w:rsid w:val="0052705A"/>
    <w:rsid w:val="005363ED"/>
    <w:rsid w:val="00537A72"/>
    <w:rsid w:val="005434F6"/>
    <w:rsid w:val="00545A74"/>
    <w:rsid w:val="00545B01"/>
    <w:rsid w:val="00546A0D"/>
    <w:rsid w:val="005503A8"/>
    <w:rsid w:val="005503CC"/>
    <w:rsid w:val="00551687"/>
    <w:rsid w:val="00553AC4"/>
    <w:rsid w:val="0055729D"/>
    <w:rsid w:val="00573759"/>
    <w:rsid w:val="005802B7"/>
    <w:rsid w:val="00581C59"/>
    <w:rsid w:val="00584A03"/>
    <w:rsid w:val="0059024D"/>
    <w:rsid w:val="00596509"/>
    <w:rsid w:val="00597E64"/>
    <w:rsid w:val="005A27EF"/>
    <w:rsid w:val="005A313A"/>
    <w:rsid w:val="005A637B"/>
    <w:rsid w:val="005A680F"/>
    <w:rsid w:val="005A75D7"/>
    <w:rsid w:val="005B53B0"/>
    <w:rsid w:val="005B62A6"/>
    <w:rsid w:val="005B6D81"/>
    <w:rsid w:val="005B7DD3"/>
    <w:rsid w:val="005C657D"/>
    <w:rsid w:val="005C6E34"/>
    <w:rsid w:val="005C7FC2"/>
    <w:rsid w:val="005D2408"/>
    <w:rsid w:val="005D36AF"/>
    <w:rsid w:val="005D4FE0"/>
    <w:rsid w:val="005D6122"/>
    <w:rsid w:val="005D6E80"/>
    <w:rsid w:val="005E004E"/>
    <w:rsid w:val="005E0323"/>
    <w:rsid w:val="005E035E"/>
    <w:rsid w:val="005E09BA"/>
    <w:rsid w:val="005E2F7B"/>
    <w:rsid w:val="005E40A0"/>
    <w:rsid w:val="005E4ED3"/>
    <w:rsid w:val="005E5C01"/>
    <w:rsid w:val="005E7118"/>
    <w:rsid w:val="005F03F7"/>
    <w:rsid w:val="005F2B59"/>
    <w:rsid w:val="005F2C91"/>
    <w:rsid w:val="005F37A4"/>
    <w:rsid w:val="005F62CB"/>
    <w:rsid w:val="006000D8"/>
    <w:rsid w:val="0060139C"/>
    <w:rsid w:val="00603CD1"/>
    <w:rsid w:val="006041A4"/>
    <w:rsid w:val="0061089B"/>
    <w:rsid w:val="00613721"/>
    <w:rsid w:val="006145CE"/>
    <w:rsid w:val="00616BCF"/>
    <w:rsid w:val="00617F98"/>
    <w:rsid w:val="00623C9B"/>
    <w:rsid w:val="00623D75"/>
    <w:rsid w:val="00626F12"/>
    <w:rsid w:val="0062754A"/>
    <w:rsid w:val="006275B4"/>
    <w:rsid w:val="00630BF2"/>
    <w:rsid w:val="00630DD5"/>
    <w:rsid w:val="00647DDD"/>
    <w:rsid w:val="00652C04"/>
    <w:rsid w:val="00653BA4"/>
    <w:rsid w:val="00654654"/>
    <w:rsid w:val="00654D4B"/>
    <w:rsid w:val="00657EDA"/>
    <w:rsid w:val="00660C84"/>
    <w:rsid w:val="0066194B"/>
    <w:rsid w:val="006621F8"/>
    <w:rsid w:val="00664516"/>
    <w:rsid w:val="00666D4D"/>
    <w:rsid w:val="00671C76"/>
    <w:rsid w:val="006858DA"/>
    <w:rsid w:val="0068621A"/>
    <w:rsid w:val="00686840"/>
    <w:rsid w:val="006902F1"/>
    <w:rsid w:val="006918E9"/>
    <w:rsid w:val="00694C71"/>
    <w:rsid w:val="006951CE"/>
    <w:rsid w:val="006A0C2E"/>
    <w:rsid w:val="006A1756"/>
    <w:rsid w:val="006C3A24"/>
    <w:rsid w:val="006C4213"/>
    <w:rsid w:val="006C43D7"/>
    <w:rsid w:val="006C5694"/>
    <w:rsid w:val="006D4E6D"/>
    <w:rsid w:val="006D797F"/>
    <w:rsid w:val="006D7CD4"/>
    <w:rsid w:val="006E2346"/>
    <w:rsid w:val="006E323B"/>
    <w:rsid w:val="006E32B4"/>
    <w:rsid w:val="006E38D7"/>
    <w:rsid w:val="006E68E6"/>
    <w:rsid w:val="006F0BB6"/>
    <w:rsid w:val="006F25E5"/>
    <w:rsid w:val="006F2FCE"/>
    <w:rsid w:val="006F415C"/>
    <w:rsid w:val="006F72F0"/>
    <w:rsid w:val="00701BBE"/>
    <w:rsid w:val="007046F8"/>
    <w:rsid w:val="00705076"/>
    <w:rsid w:val="00706D06"/>
    <w:rsid w:val="00710D76"/>
    <w:rsid w:val="0071137C"/>
    <w:rsid w:val="0071253E"/>
    <w:rsid w:val="007148A5"/>
    <w:rsid w:val="0071630B"/>
    <w:rsid w:val="00720436"/>
    <w:rsid w:val="007241D4"/>
    <w:rsid w:val="0073191E"/>
    <w:rsid w:val="00732130"/>
    <w:rsid w:val="00732A6F"/>
    <w:rsid w:val="007349CA"/>
    <w:rsid w:val="007404AE"/>
    <w:rsid w:val="007407CE"/>
    <w:rsid w:val="00742764"/>
    <w:rsid w:val="007453DD"/>
    <w:rsid w:val="00750713"/>
    <w:rsid w:val="0075156A"/>
    <w:rsid w:val="00751F90"/>
    <w:rsid w:val="00752759"/>
    <w:rsid w:val="00756E1B"/>
    <w:rsid w:val="00756E65"/>
    <w:rsid w:val="00761C35"/>
    <w:rsid w:val="00762FCF"/>
    <w:rsid w:val="00764B50"/>
    <w:rsid w:val="007659FB"/>
    <w:rsid w:val="00766026"/>
    <w:rsid w:val="00772B54"/>
    <w:rsid w:val="00777920"/>
    <w:rsid w:val="00781AA0"/>
    <w:rsid w:val="00783072"/>
    <w:rsid w:val="007844CD"/>
    <w:rsid w:val="00785746"/>
    <w:rsid w:val="00792386"/>
    <w:rsid w:val="007A3A09"/>
    <w:rsid w:val="007B0648"/>
    <w:rsid w:val="007B0FB8"/>
    <w:rsid w:val="007B13BB"/>
    <w:rsid w:val="007B165A"/>
    <w:rsid w:val="007B3410"/>
    <w:rsid w:val="007B6964"/>
    <w:rsid w:val="007B78C2"/>
    <w:rsid w:val="007C5008"/>
    <w:rsid w:val="007C5673"/>
    <w:rsid w:val="007C6DF0"/>
    <w:rsid w:val="007D1E79"/>
    <w:rsid w:val="007D27CF"/>
    <w:rsid w:val="007D31A3"/>
    <w:rsid w:val="007D710C"/>
    <w:rsid w:val="007D7528"/>
    <w:rsid w:val="007E1D3C"/>
    <w:rsid w:val="007E3AB4"/>
    <w:rsid w:val="007E468A"/>
    <w:rsid w:val="007E58FC"/>
    <w:rsid w:val="007E69D8"/>
    <w:rsid w:val="007E6D02"/>
    <w:rsid w:val="007F207F"/>
    <w:rsid w:val="0080156E"/>
    <w:rsid w:val="00802357"/>
    <w:rsid w:val="00803CEC"/>
    <w:rsid w:val="00805AB6"/>
    <w:rsid w:val="00807ECB"/>
    <w:rsid w:val="00812F92"/>
    <w:rsid w:val="008135EC"/>
    <w:rsid w:val="0081475E"/>
    <w:rsid w:val="00815C5A"/>
    <w:rsid w:val="00822050"/>
    <w:rsid w:val="008246E5"/>
    <w:rsid w:val="00825F6C"/>
    <w:rsid w:val="00830952"/>
    <w:rsid w:val="00831234"/>
    <w:rsid w:val="0083447F"/>
    <w:rsid w:val="008443A9"/>
    <w:rsid w:val="00846EF4"/>
    <w:rsid w:val="00853C22"/>
    <w:rsid w:val="0085548F"/>
    <w:rsid w:val="00856289"/>
    <w:rsid w:val="00860576"/>
    <w:rsid w:val="00861FA9"/>
    <w:rsid w:val="00862564"/>
    <w:rsid w:val="0086345E"/>
    <w:rsid w:val="0086462D"/>
    <w:rsid w:val="008674AA"/>
    <w:rsid w:val="00867E6F"/>
    <w:rsid w:val="008761FC"/>
    <w:rsid w:val="0088094C"/>
    <w:rsid w:val="00881004"/>
    <w:rsid w:val="00882C40"/>
    <w:rsid w:val="008839D8"/>
    <w:rsid w:val="008972E2"/>
    <w:rsid w:val="0089779E"/>
    <w:rsid w:val="008A082A"/>
    <w:rsid w:val="008A4152"/>
    <w:rsid w:val="008A42E5"/>
    <w:rsid w:val="008A4DF4"/>
    <w:rsid w:val="008A6783"/>
    <w:rsid w:val="008A7E58"/>
    <w:rsid w:val="008B0245"/>
    <w:rsid w:val="008B0DB3"/>
    <w:rsid w:val="008B1BB7"/>
    <w:rsid w:val="008B1DA9"/>
    <w:rsid w:val="008B21EB"/>
    <w:rsid w:val="008B235C"/>
    <w:rsid w:val="008B526B"/>
    <w:rsid w:val="008B7FFC"/>
    <w:rsid w:val="008C4854"/>
    <w:rsid w:val="008C62B2"/>
    <w:rsid w:val="008C724C"/>
    <w:rsid w:val="008D33A3"/>
    <w:rsid w:val="008D4715"/>
    <w:rsid w:val="008D4D2A"/>
    <w:rsid w:val="008E03F7"/>
    <w:rsid w:val="008E0638"/>
    <w:rsid w:val="008F189C"/>
    <w:rsid w:val="008F1BBC"/>
    <w:rsid w:val="008F1FE1"/>
    <w:rsid w:val="008F4486"/>
    <w:rsid w:val="008F4FC6"/>
    <w:rsid w:val="008F5A82"/>
    <w:rsid w:val="008F63DB"/>
    <w:rsid w:val="009003C2"/>
    <w:rsid w:val="00903492"/>
    <w:rsid w:val="00903F5D"/>
    <w:rsid w:val="009055B0"/>
    <w:rsid w:val="009108D0"/>
    <w:rsid w:val="00913160"/>
    <w:rsid w:val="0091544C"/>
    <w:rsid w:val="009165D0"/>
    <w:rsid w:val="00920D43"/>
    <w:rsid w:val="009251F6"/>
    <w:rsid w:val="00927FD9"/>
    <w:rsid w:val="00933065"/>
    <w:rsid w:val="00933569"/>
    <w:rsid w:val="0093799C"/>
    <w:rsid w:val="00940652"/>
    <w:rsid w:val="00942835"/>
    <w:rsid w:val="00943B83"/>
    <w:rsid w:val="00944003"/>
    <w:rsid w:val="00944804"/>
    <w:rsid w:val="009473D8"/>
    <w:rsid w:val="0095427F"/>
    <w:rsid w:val="00960ADF"/>
    <w:rsid w:val="00962B21"/>
    <w:rsid w:val="00963A0C"/>
    <w:rsid w:val="00964278"/>
    <w:rsid w:val="00964367"/>
    <w:rsid w:val="00964A4A"/>
    <w:rsid w:val="009653C0"/>
    <w:rsid w:val="00974A92"/>
    <w:rsid w:val="00974AB5"/>
    <w:rsid w:val="00976BB2"/>
    <w:rsid w:val="0097721C"/>
    <w:rsid w:val="009773E8"/>
    <w:rsid w:val="00980CE6"/>
    <w:rsid w:val="009835E3"/>
    <w:rsid w:val="00986050"/>
    <w:rsid w:val="00986455"/>
    <w:rsid w:val="0098739F"/>
    <w:rsid w:val="00987CDB"/>
    <w:rsid w:val="00991B1A"/>
    <w:rsid w:val="00992269"/>
    <w:rsid w:val="00994C5C"/>
    <w:rsid w:val="00994D8A"/>
    <w:rsid w:val="0099709D"/>
    <w:rsid w:val="009A1034"/>
    <w:rsid w:val="009A30E0"/>
    <w:rsid w:val="009A3619"/>
    <w:rsid w:val="009A524B"/>
    <w:rsid w:val="009A6493"/>
    <w:rsid w:val="009B08AF"/>
    <w:rsid w:val="009B241C"/>
    <w:rsid w:val="009B2FB6"/>
    <w:rsid w:val="009B3DFC"/>
    <w:rsid w:val="009B62F7"/>
    <w:rsid w:val="009B7A7B"/>
    <w:rsid w:val="009C28AC"/>
    <w:rsid w:val="009C37B9"/>
    <w:rsid w:val="009C38E7"/>
    <w:rsid w:val="009C4484"/>
    <w:rsid w:val="009C5BEF"/>
    <w:rsid w:val="009D32BD"/>
    <w:rsid w:val="009D4486"/>
    <w:rsid w:val="009D5DAE"/>
    <w:rsid w:val="009E0C10"/>
    <w:rsid w:val="009E140F"/>
    <w:rsid w:val="009F1A7F"/>
    <w:rsid w:val="009F211E"/>
    <w:rsid w:val="009F294E"/>
    <w:rsid w:val="009F30F1"/>
    <w:rsid w:val="009F37C7"/>
    <w:rsid w:val="009F50AB"/>
    <w:rsid w:val="009F5FBB"/>
    <w:rsid w:val="00A000A9"/>
    <w:rsid w:val="00A005F6"/>
    <w:rsid w:val="00A010F7"/>
    <w:rsid w:val="00A022C3"/>
    <w:rsid w:val="00A0424F"/>
    <w:rsid w:val="00A048C6"/>
    <w:rsid w:val="00A06D09"/>
    <w:rsid w:val="00A11958"/>
    <w:rsid w:val="00A130D6"/>
    <w:rsid w:val="00A1488A"/>
    <w:rsid w:val="00A17A3E"/>
    <w:rsid w:val="00A2193F"/>
    <w:rsid w:val="00A225EE"/>
    <w:rsid w:val="00A3693F"/>
    <w:rsid w:val="00A37BA4"/>
    <w:rsid w:val="00A40357"/>
    <w:rsid w:val="00A43739"/>
    <w:rsid w:val="00A533E3"/>
    <w:rsid w:val="00A539CB"/>
    <w:rsid w:val="00A63078"/>
    <w:rsid w:val="00A649AA"/>
    <w:rsid w:val="00A65124"/>
    <w:rsid w:val="00A660AF"/>
    <w:rsid w:val="00A675FB"/>
    <w:rsid w:val="00A70A95"/>
    <w:rsid w:val="00A72651"/>
    <w:rsid w:val="00A73821"/>
    <w:rsid w:val="00A74C37"/>
    <w:rsid w:val="00A77EE7"/>
    <w:rsid w:val="00A809F0"/>
    <w:rsid w:val="00A81C8D"/>
    <w:rsid w:val="00A83F29"/>
    <w:rsid w:val="00A85602"/>
    <w:rsid w:val="00A93351"/>
    <w:rsid w:val="00A93A39"/>
    <w:rsid w:val="00A97CE6"/>
    <w:rsid w:val="00AA36D1"/>
    <w:rsid w:val="00AA6E8C"/>
    <w:rsid w:val="00AA6F19"/>
    <w:rsid w:val="00AA7A76"/>
    <w:rsid w:val="00AB03EF"/>
    <w:rsid w:val="00AB50EE"/>
    <w:rsid w:val="00AD2631"/>
    <w:rsid w:val="00AD58C5"/>
    <w:rsid w:val="00AE3320"/>
    <w:rsid w:val="00AE4618"/>
    <w:rsid w:val="00AE63BD"/>
    <w:rsid w:val="00AE70A9"/>
    <w:rsid w:val="00AE7682"/>
    <w:rsid w:val="00AF0711"/>
    <w:rsid w:val="00AF0B2B"/>
    <w:rsid w:val="00AF0FA7"/>
    <w:rsid w:val="00AF2914"/>
    <w:rsid w:val="00AF3136"/>
    <w:rsid w:val="00AF363F"/>
    <w:rsid w:val="00AF3A71"/>
    <w:rsid w:val="00AF3E4F"/>
    <w:rsid w:val="00B03DA5"/>
    <w:rsid w:val="00B071FF"/>
    <w:rsid w:val="00B10CCF"/>
    <w:rsid w:val="00B11505"/>
    <w:rsid w:val="00B11DC2"/>
    <w:rsid w:val="00B121D2"/>
    <w:rsid w:val="00B15CAA"/>
    <w:rsid w:val="00B1673B"/>
    <w:rsid w:val="00B17897"/>
    <w:rsid w:val="00B201A8"/>
    <w:rsid w:val="00B20ABA"/>
    <w:rsid w:val="00B20C42"/>
    <w:rsid w:val="00B22CE8"/>
    <w:rsid w:val="00B27C5D"/>
    <w:rsid w:val="00B3585E"/>
    <w:rsid w:val="00B37BB0"/>
    <w:rsid w:val="00B40CD3"/>
    <w:rsid w:val="00B41247"/>
    <w:rsid w:val="00B42807"/>
    <w:rsid w:val="00B428A6"/>
    <w:rsid w:val="00B53913"/>
    <w:rsid w:val="00B56906"/>
    <w:rsid w:val="00B57FCC"/>
    <w:rsid w:val="00B61782"/>
    <w:rsid w:val="00B63D44"/>
    <w:rsid w:val="00B65AF6"/>
    <w:rsid w:val="00B661F0"/>
    <w:rsid w:val="00B7031E"/>
    <w:rsid w:val="00B72922"/>
    <w:rsid w:val="00B72A13"/>
    <w:rsid w:val="00B75196"/>
    <w:rsid w:val="00B824C4"/>
    <w:rsid w:val="00B84DD5"/>
    <w:rsid w:val="00B87538"/>
    <w:rsid w:val="00B87B26"/>
    <w:rsid w:val="00B91EA6"/>
    <w:rsid w:val="00B94CAA"/>
    <w:rsid w:val="00B95910"/>
    <w:rsid w:val="00B97F7D"/>
    <w:rsid w:val="00BA24FC"/>
    <w:rsid w:val="00BA394B"/>
    <w:rsid w:val="00BA3A4C"/>
    <w:rsid w:val="00BA78C0"/>
    <w:rsid w:val="00BB0F20"/>
    <w:rsid w:val="00BB29BA"/>
    <w:rsid w:val="00BC3B5C"/>
    <w:rsid w:val="00BD2CDE"/>
    <w:rsid w:val="00BD41CF"/>
    <w:rsid w:val="00BD7CC1"/>
    <w:rsid w:val="00BE0164"/>
    <w:rsid w:val="00BE0251"/>
    <w:rsid w:val="00BE12BD"/>
    <w:rsid w:val="00BE2554"/>
    <w:rsid w:val="00BE2ED7"/>
    <w:rsid w:val="00BE464D"/>
    <w:rsid w:val="00BE6AB8"/>
    <w:rsid w:val="00BF086D"/>
    <w:rsid w:val="00BF2167"/>
    <w:rsid w:val="00BF2774"/>
    <w:rsid w:val="00BF4013"/>
    <w:rsid w:val="00C02D96"/>
    <w:rsid w:val="00C0551D"/>
    <w:rsid w:val="00C12767"/>
    <w:rsid w:val="00C12883"/>
    <w:rsid w:val="00C20A22"/>
    <w:rsid w:val="00C21632"/>
    <w:rsid w:val="00C221AE"/>
    <w:rsid w:val="00C23F0C"/>
    <w:rsid w:val="00C25581"/>
    <w:rsid w:val="00C264E3"/>
    <w:rsid w:val="00C2788D"/>
    <w:rsid w:val="00C34803"/>
    <w:rsid w:val="00C35C76"/>
    <w:rsid w:val="00C361F6"/>
    <w:rsid w:val="00C3669A"/>
    <w:rsid w:val="00C423E3"/>
    <w:rsid w:val="00C44428"/>
    <w:rsid w:val="00C458AF"/>
    <w:rsid w:val="00C50A80"/>
    <w:rsid w:val="00C52D48"/>
    <w:rsid w:val="00C54642"/>
    <w:rsid w:val="00C64A12"/>
    <w:rsid w:val="00C676F3"/>
    <w:rsid w:val="00C72A4C"/>
    <w:rsid w:val="00C72C0C"/>
    <w:rsid w:val="00C731BF"/>
    <w:rsid w:val="00C77EFD"/>
    <w:rsid w:val="00C8009F"/>
    <w:rsid w:val="00C82759"/>
    <w:rsid w:val="00C829DF"/>
    <w:rsid w:val="00C82E44"/>
    <w:rsid w:val="00C84021"/>
    <w:rsid w:val="00C84EB7"/>
    <w:rsid w:val="00C86C26"/>
    <w:rsid w:val="00C875AE"/>
    <w:rsid w:val="00C905EB"/>
    <w:rsid w:val="00C91188"/>
    <w:rsid w:val="00C9208E"/>
    <w:rsid w:val="00C92700"/>
    <w:rsid w:val="00C92A2F"/>
    <w:rsid w:val="00C9634D"/>
    <w:rsid w:val="00CA1FB7"/>
    <w:rsid w:val="00CA28E0"/>
    <w:rsid w:val="00CA46CF"/>
    <w:rsid w:val="00CA7B11"/>
    <w:rsid w:val="00CB4F4C"/>
    <w:rsid w:val="00CB5DEF"/>
    <w:rsid w:val="00CB5E49"/>
    <w:rsid w:val="00CC0C54"/>
    <w:rsid w:val="00CC1016"/>
    <w:rsid w:val="00CC48E3"/>
    <w:rsid w:val="00CD0E32"/>
    <w:rsid w:val="00CD4424"/>
    <w:rsid w:val="00CE1966"/>
    <w:rsid w:val="00CE2983"/>
    <w:rsid w:val="00CE3780"/>
    <w:rsid w:val="00CF171D"/>
    <w:rsid w:val="00CF2008"/>
    <w:rsid w:val="00CF40D1"/>
    <w:rsid w:val="00CF4188"/>
    <w:rsid w:val="00CF42BA"/>
    <w:rsid w:val="00D032C2"/>
    <w:rsid w:val="00D06213"/>
    <w:rsid w:val="00D07D6A"/>
    <w:rsid w:val="00D24425"/>
    <w:rsid w:val="00D2585F"/>
    <w:rsid w:val="00D277A3"/>
    <w:rsid w:val="00D277C2"/>
    <w:rsid w:val="00D31882"/>
    <w:rsid w:val="00D31BAB"/>
    <w:rsid w:val="00D327FF"/>
    <w:rsid w:val="00D34F24"/>
    <w:rsid w:val="00D35A03"/>
    <w:rsid w:val="00D37377"/>
    <w:rsid w:val="00D41CD7"/>
    <w:rsid w:val="00D457F9"/>
    <w:rsid w:val="00D45B09"/>
    <w:rsid w:val="00D45B8C"/>
    <w:rsid w:val="00D51538"/>
    <w:rsid w:val="00D532F2"/>
    <w:rsid w:val="00D5375D"/>
    <w:rsid w:val="00D567E0"/>
    <w:rsid w:val="00D5756F"/>
    <w:rsid w:val="00D578D9"/>
    <w:rsid w:val="00D61ABA"/>
    <w:rsid w:val="00D630DE"/>
    <w:rsid w:val="00D64AC3"/>
    <w:rsid w:val="00D65C4C"/>
    <w:rsid w:val="00D664AD"/>
    <w:rsid w:val="00D71B57"/>
    <w:rsid w:val="00D72C82"/>
    <w:rsid w:val="00D7327A"/>
    <w:rsid w:val="00D74D08"/>
    <w:rsid w:val="00D87625"/>
    <w:rsid w:val="00D92504"/>
    <w:rsid w:val="00D94745"/>
    <w:rsid w:val="00DA41B2"/>
    <w:rsid w:val="00DA4EE5"/>
    <w:rsid w:val="00DA508B"/>
    <w:rsid w:val="00DA5D06"/>
    <w:rsid w:val="00DA7B20"/>
    <w:rsid w:val="00DB0D4D"/>
    <w:rsid w:val="00DB2CE4"/>
    <w:rsid w:val="00DB2E02"/>
    <w:rsid w:val="00DB37CF"/>
    <w:rsid w:val="00DB407F"/>
    <w:rsid w:val="00DC2409"/>
    <w:rsid w:val="00DC6A98"/>
    <w:rsid w:val="00DC7016"/>
    <w:rsid w:val="00DC7245"/>
    <w:rsid w:val="00DC730A"/>
    <w:rsid w:val="00DD12FC"/>
    <w:rsid w:val="00DD296E"/>
    <w:rsid w:val="00DE130A"/>
    <w:rsid w:val="00DE38B2"/>
    <w:rsid w:val="00DE4148"/>
    <w:rsid w:val="00DE44F5"/>
    <w:rsid w:val="00DF1080"/>
    <w:rsid w:val="00DF4B88"/>
    <w:rsid w:val="00E00F46"/>
    <w:rsid w:val="00E12D6B"/>
    <w:rsid w:val="00E1303E"/>
    <w:rsid w:val="00E145ED"/>
    <w:rsid w:val="00E15596"/>
    <w:rsid w:val="00E166FD"/>
    <w:rsid w:val="00E17247"/>
    <w:rsid w:val="00E17EC3"/>
    <w:rsid w:val="00E24560"/>
    <w:rsid w:val="00E264BB"/>
    <w:rsid w:val="00E26CE0"/>
    <w:rsid w:val="00E276DF"/>
    <w:rsid w:val="00E37870"/>
    <w:rsid w:val="00E4050D"/>
    <w:rsid w:val="00E420BE"/>
    <w:rsid w:val="00E427C7"/>
    <w:rsid w:val="00E45E6A"/>
    <w:rsid w:val="00E50A42"/>
    <w:rsid w:val="00E537FA"/>
    <w:rsid w:val="00E549A2"/>
    <w:rsid w:val="00E55311"/>
    <w:rsid w:val="00E5663F"/>
    <w:rsid w:val="00E56D64"/>
    <w:rsid w:val="00E611CC"/>
    <w:rsid w:val="00E65F64"/>
    <w:rsid w:val="00E66A30"/>
    <w:rsid w:val="00E712B1"/>
    <w:rsid w:val="00E75DDF"/>
    <w:rsid w:val="00E76641"/>
    <w:rsid w:val="00E77F48"/>
    <w:rsid w:val="00E80193"/>
    <w:rsid w:val="00E809F7"/>
    <w:rsid w:val="00E81B17"/>
    <w:rsid w:val="00E82722"/>
    <w:rsid w:val="00E842CE"/>
    <w:rsid w:val="00E85BF7"/>
    <w:rsid w:val="00E87A28"/>
    <w:rsid w:val="00E941E6"/>
    <w:rsid w:val="00E95AB3"/>
    <w:rsid w:val="00EA2187"/>
    <w:rsid w:val="00EA3035"/>
    <w:rsid w:val="00EA5E85"/>
    <w:rsid w:val="00EB5058"/>
    <w:rsid w:val="00EB7EB6"/>
    <w:rsid w:val="00EC194E"/>
    <w:rsid w:val="00EC496C"/>
    <w:rsid w:val="00EC5057"/>
    <w:rsid w:val="00EC70BC"/>
    <w:rsid w:val="00ED018E"/>
    <w:rsid w:val="00ED1A67"/>
    <w:rsid w:val="00ED3283"/>
    <w:rsid w:val="00ED6314"/>
    <w:rsid w:val="00EE16FB"/>
    <w:rsid w:val="00EE2E8C"/>
    <w:rsid w:val="00EE55F9"/>
    <w:rsid w:val="00EE62A5"/>
    <w:rsid w:val="00EF0734"/>
    <w:rsid w:val="00EF32C4"/>
    <w:rsid w:val="00EF39AD"/>
    <w:rsid w:val="00EF5F63"/>
    <w:rsid w:val="00F05C27"/>
    <w:rsid w:val="00F05FD3"/>
    <w:rsid w:val="00F11454"/>
    <w:rsid w:val="00F125DA"/>
    <w:rsid w:val="00F15575"/>
    <w:rsid w:val="00F1765E"/>
    <w:rsid w:val="00F1782F"/>
    <w:rsid w:val="00F221FC"/>
    <w:rsid w:val="00F33859"/>
    <w:rsid w:val="00F43BDB"/>
    <w:rsid w:val="00F51F27"/>
    <w:rsid w:val="00F53254"/>
    <w:rsid w:val="00F627E4"/>
    <w:rsid w:val="00F62BF0"/>
    <w:rsid w:val="00F6377B"/>
    <w:rsid w:val="00F65D8E"/>
    <w:rsid w:val="00F665A8"/>
    <w:rsid w:val="00F669B9"/>
    <w:rsid w:val="00F72573"/>
    <w:rsid w:val="00F827D5"/>
    <w:rsid w:val="00F84B1C"/>
    <w:rsid w:val="00F853F2"/>
    <w:rsid w:val="00F86BC7"/>
    <w:rsid w:val="00F87DD4"/>
    <w:rsid w:val="00F94337"/>
    <w:rsid w:val="00FA0D89"/>
    <w:rsid w:val="00FA2987"/>
    <w:rsid w:val="00FA584E"/>
    <w:rsid w:val="00FA6D24"/>
    <w:rsid w:val="00FB3ABD"/>
    <w:rsid w:val="00FB59A0"/>
    <w:rsid w:val="00FB6596"/>
    <w:rsid w:val="00FC42BD"/>
    <w:rsid w:val="00FC62D7"/>
    <w:rsid w:val="00FD2E9B"/>
    <w:rsid w:val="00FD3552"/>
    <w:rsid w:val="00FD3D6E"/>
    <w:rsid w:val="00FE008D"/>
    <w:rsid w:val="00FE03CE"/>
    <w:rsid w:val="00FE065B"/>
    <w:rsid w:val="00FE090E"/>
    <w:rsid w:val="00FE0E9D"/>
    <w:rsid w:val="00FE2BBF"/>
    <w:rsid w:val="00FE703A"/>
    <w:rsid w:val="00FE7A4D"/>
    <w:rsid w:val="00FF1F53"/>
    <w:rsid w:val="00FF59F3"/>
    <w:rsid w:val="00FF6D2A"/>
    <w:rsid w:val="00FF7E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57696"/>
  <w15:docId w15:val="{D542374B-B11F-4280-8EF6-916DD263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C3669A"/>
    <w:pPr>
      <w:ind w:left="340" w:hanging="340"/>
    </w:pPr>
    <w:rPr>
      <w:sz w:val="20"/>
      <w:szCs w:val="20"/>
    </w:rPr>
  </w:style>
  <w:style w:type="character" w:customStyle="1" w:styleId="FootnoteTextChar">
    <w:name w:val="Footnote Text Char"/>
    <w:basedOn w:val="DefaultParagraphFont"/>
    <w:link w:val="FootnoteText"/>
    <w:uiPriority w:val="99"/>
    <w:semiHidden/>
    <w:rsid w:val="00C3669A"/>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Normal1">
    <w:name w:val="Normal1"/>
    <w:basedOn w:val="Normal"/>
    <w:rsid w:val="00DB2CE4"/>
    <w:pPr>
      <w:spacing w:before="100" w:beforeAutospacing="1" w:after="100" w:afterAutospacing="1"/>
    </w:pPr>
    <w:rPr>
      <w:rFonts w:ascii="Times New Roman" w:hAnsi="Times New Roman"/>
      <w:sz w:val="24"/>
      <w:lang w:eastAsia="en-ZA"/>
    </w:rPr>
  </w:style>
  <w:style w:type="paragraph" w:customStyle="1" w:styleId="arunninghead">
    <w:name w:val="arunninghead"/>
    <w:basedOn w:val="Normal"/>
    <w:rsid w:val="00DB2CE4"/>
    <w:pPr>
      <w:spacing w:before="100" w:beforeAutospacing="1" w:after="100" w:afterAutospacing="1"/>
    </w:pPr>
    <w:rPr>
      <w:rFonts w:ascii="Times New Roman" w:hAnsi="Times New Roman"/>
      <w:sz w:val="24"/>
      <w:lang w:eastAsia="en-ZA"/>
    </w:rPr>
  </w:style>
  <w:style w:type="paragraph" w:customStyle="1" w:styleId="para-10">
    <w:name w:val="para-10"/>
    <w:basedOn w:val="Normal"/>
    <w:rsid w:val="00054804"/>
    <w:pPr>
      <w:spacing w:before="100" w:beforeAutospacing="1" w:after="100" w:afterAutospacing="1"/>
    </w:pPr>
    <w:rPr>
      <w:rFonts w:ascii="Times New Roman" w:hAnsi="Times New Roman"/>
      <w:sz w:val="24"/>
      <w:lang w:eastAsia="en-ZA"/>
    </w:rPr>
  </w:style>
  <w:style w:type="character" w:customStyle="1" w:styleId="popup-link">
    <w:name w:val="popup-link"/>
    <w:basedOn w:val="DefaultParagraphFont"/>
    <w:rsid w:val="00054804"/>
  </w:style>
  <w:style w:type="character" w:customStyle="1" w:styleId="footnote-link">
    <w:name w:val="footnote-link"/>
    <w:basedOn w:val="DefaultParagraphFont"/>
    <w:rsid w:val="00054804"/>
  </w:style>
  <w:style w:type="character" w:styleId="Hyperlink">
    <w:name w:val="Hyperlink"/>
    <w:basedOn w:val="DefaultParagraphFont"/>
    <w:uiPriority w:val="99"/>
    <w:unhideWhenUsed/>
    <w:rsid w:val="00701BBE"/>
    <w:rPr>
      <w:color w:val="0000FF"/>
      <w:u w:val="single"/>
    </w:rPr>
  </w:style>
  <w:style w:type="table" w:styleId="TableGrid">
    <w:name w:val="Table Grid"/>
    <w:basedOn w:val="TableNormal"/>
    <w:uiPriority w:val="39"/>
    <w:rsid w:val="00CC48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
    <w:name w:val="mc"/>
    <w:basedOn w:val="DefaultParagraphFont"/>
    <w:rsid w:val="00E12D6B"/>
  </w:style>
  <w:style w:type="paragraph" w:customStyle="1" w:styleId="lrpara">
    <w:name w:val="lrpara"/>
    <w:basedOn w:val="Normal"/>
    <w:rsid w:val="003B142D"/>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3B142D"/>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3B142D"/>
    <w:pPr>
      <w:spacing w:before="100" w:beforeAutospacing="1" w:after="100" w:afterAutospacing="1"/>
    </w:pPr>
    <w:rPr>
      <w:rFonts w:ascii="Times New Roman" w:hAnsi="Times New Roman"/>
      <w:sz w:val="24"/>
      <w:lang w:eastAsia="en-ZA"/>
    </w:rPr>
  </w:style>
  <w:style w:type="paragraph" w:styleId="Revision">
    <w:name w:val="Revision"/>
    <w:hidden/>
    <w:uiPriority w:val="99"/>
    <w:semiHidden/>
    <w:rsid w:val="00FA2987"/>
    <w:rPr>
      <w:rFonts w:ascii="Arial" w:hAnsi="Arial"/>
      <w:sz w:val="22"/>
      <w:szCs w:val="24"/>
      <w:lang w:eastAsia="en-US"/>
    </w:rPr>
  </w:style>
  <w:style w:type="character" w:customStyle="1" w:styleId="footnoteanchor">
    <w:name w:val="footnoteanchor"/>
    <w:basedOn w:val="DefaultParagraphFont"/>
    <w:rsid w:val="00597E64"/>
  </w:style>
  <w:style w:type="paragraph" w:styleId="NormalWeb">
    <w:name w:val="Normal (Web)"/>
    <w:basedOn w:val="Normal"/>
    <w:uiPriority w:val="99"/>
    <w:unhideWhenUsed/>
    <w:rsid w:val="00913160"/>
    <w:pPr>
      <w:spacing w:before="100" w:beforeAutospacing="1" w:after="100" w:afterAutospacing="1"/>
    </w:pPr>
    <w:rPr>
      <w:rFonts w:ascii="Times New Roman" w:hAnsi="Times New Roman"/>
      <w:sz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07940296">
      <w:bodyDiv w:val="1"/>
      <w:marLeft w:val="0"/>
      <w:marRight w:val="0"/>
      <w:marTop w:val="0"/>
      <w:marBottom w:val="0"/>
      <w:divBdr>
        <w:top w:val="none" w:sz="0" w:space="0" w:color="auto"/>
        <w:left w:val="none" w:sz="0" w:space="0" w:color="auto"/>
        <w:bottom w:val="none" w:sz="0" w:space="0" w:color="auto"/>
        <w:right w:val="none" w:sz="0" w:space="0" w:color="auto"/>
      </w:divBdr>
    </w:div>
    <w:div w:id="178859699">
      <w:bodyDiv w:val="1"/>
      <w:marLeft w:val="0"/>
      <w:marRight w:val="0"/>
      <w:marTop w:val="0"/>
      <w:marBottom w:val="0"/>
      <w:divBdr>
        <w:top w:val="none" w:sz="0" w:space="0" w:color="auto"/>
        <w:left w:val="none" w:sz="0" w:space="0" w:color="auto"/>
        <w:bottom w:val="none" w:sz="0" w:space="0" w:color="auto"/>
        <w:right w:val="none" w:sz="0" w:space="0" w:color="auto"/>
      </w:divBdr>
    </w:div>
    <w:div w:id="218054404">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466508592">
      <w:bodyDiv w:val="1"/>
      <w:marLeft w:val="0"/>
      <w:marRight w:val="0"/>
      <w:marTop w:val="0"/>
      <w:marBottom w:val="0"/>
      <w:divBdr>
        <w:top w:val="none" w:sz="0" w:space="0" w:color="auto"/>
        <w:left w:val="none" w:sz="0" w:space="0" w:color="auto"/>
        <w:bottom w:val="none" w:sz="0" w:space="0" w:color="auto"/>
        <w:right w:val="none" w:sz="0" w:space="0" w:color="auto"/>
      </w:divBdr>
    </w:div>
    <w:div w:id="508057950">
      <w:bodyDiv w:val="1"/>
      <w:marLeft w:val="0"/>
      <w:marRight w:val="0"/>
      <w:marTop w:val="0"/>
      <w:marBottom w:val="0"/>
      <w:divBdr>
        <w:top w:val="none" w:sz="0" w:space="0" w:color="auto"/>
        <w:left w:val="none" w:sz="0" w:space="0" w:color="auto"/>
        <w:bottom w:val="none" w:sz="0" w:space="0" w:color="auto"/>
        <w:right w:val="none" w:sz="0" w:space="0" w:color="auto"/>
      </w:divBdr>
    </w:div>
    <w:div w:id="730809466">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909652370">
      <w:bodyDiv w:val="1"/>
      <w:marLeft w:val="0"/>
      <w:marRight w:val="0"/>
      <w:marTop w:val="0"/>
      <w:marBottom w:val="0"/>
      <w:divBdr>
        <w:top w:val="none" w:sz="0" w:space="0" w:color="auto"/>
        <w:left w:val="none" w:sz="0" w:space="0" w:color="auto"/>
        <w:bottom w:val="none" w:sz="0" w:space="0" w:color="auto"/>
        <w:right w:val="none" w:sz="0" w:space="0" w:color="auto"/>
      </w:divBdr>
    </w:div>
    <w:div w:id="1004824098">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272517094">
      <w:bodyDiv w:val="1"/>
      <w:marLeft w:val="0"/>
      <w:marRight w:val="0"/>
      <w:marTop w:val="0"/>
      <w:marBottom w:val="0"/>
      <w:divBdr>
        <w:top w:val="none" w:sz="0" w:space="0" w:color="auto"/>
        <w:left w:val="none" w:sz="0" w:space="0" w:color="auto"/>
        <w:bottom w:val="none" w:sz="0" w:space="0" w:color="auto"/>
        <w:right w:val="none" w:sz="0" w:space="0" w:color="auto"/>
      </w:divBdr>
      <w:divsChild>
        <w:div w:id="621888388">
          <w:marLeft w:val="0"/>
          <w:marRight w:val="0"/>
          <w:marTop w:val="120"/>
          <w:marBottom w:val="0"/>
          <w:divBdr>
            <w:top w:val="none" w:sz="0" w:space="0" w:color="auto"/>
            <w:left w:val="none" w:sz="0" w:space="0" w:color="auto"/>
            <w:bottom w:val="none" w:sz="0" w:space="0" w:color="auto"/>
            <w:right w:val="none" w:sz="0" w:space="0" w:color="auto"/>
          </w:divBdr>
        </w:div>
      </w:divsChild>
    </w:div>
    <w:div w:id="1311442725">
      <w:bodyDiv w:val="1"/>
      <w:marLeft w:val="0"/>
      <w:marRight w:val="0"/>
      <w:marTop w:val="0"/>
      <w:marBottom w:val="0"/>
      <w:divBdr>
        <w:top w:val="none" w:sz="0" w:space="0" w:color="auto"/>
        <w:left w:val="none" w:sz="0" w:space="0" w:color="auto"/>
        <w:bottom w:val="none" w:sz="0" w:space="0" w:color="auto"/>
        <w:right w:val="none" w:sz="0" w:space="0" w:color="auto"/>
      </w:divBdr>
    </w:div>
    <w:div w:id="1439563795">
      <w:bodyDiv w:val="1"/>
      <w:marLeft w:val="0"/>
      <w:marRight w:val="0"/>
      <w:marTop w:val="0"/>
      <w:marBottom w:val="0"/>
      <w:divBdr>
        <w:top w:val="none" w:sz="0" w:space="0" w:color="auto"/>
        <w:left w:val="none" w:sz="0" w:space="0" w:color="auto"/>
        <w:bottom w:val="none" w:sz="0" w:space="0" w:color="auto"/>
        <w:right w:val="none" w:sz="0" w:space="0" w:color="auto"/>
      </w:divBdr>
    </w:div>
    <w:div w:id="1440948415">
      <w:bodyDiv w:val="1"/>
      <w:marLeft w:val="0"/>
      <w:marRight w:val="0"/>
      <w:marTop w:val="0"/>
      <w:marBottom w:val="0"/>
      <w:divBdr>
        <w:top w:val="none" w:sz="0" w:space="0" w:color="auto"/>
        <w:left w:val="none" w:sz="0" w:space="0" w:color="auto"/>
        <w:bottom w:val="none" w:sz="0" w:space="0" w:color="auto"/>
        <w:right w:val="none" w:sz="0" w:space="0" w:color="auto"/>
      </w:divBdr>
      <w:divsChild>
        <w:div w:id="229080418">
          <w:marLeft w:val="1985"/>
          <w:marRight w:val="0"/>
          <w:marTop w:val="60"/>
          <w:marBottom w:val="0"/>
          <w:divBdr>
            <w:top w:val="none" w:sz="0" w:space="0" w:color="auto"/>
            <w:left w:val="none" w:sz="0" w:space="0" w:color="auto"/>
            <w:bottom w:val="none" w:sz="0" w:space="0" w:color="auto"/>
            <w:right w:val="none" w:sz="0" w:space="0" w:color="auto"/>
          </w:divBdr>
        </w:div>
        <w:div w:id="275718915">
          <w:marLeft w:val="0"/>
          <w:marRight w:val="0"/>
          <w:marTop w:val="120"/>
          <w:marBottom w:val="0"/>
          <w:divBdr>
            <w:top w:val="none" w:sz="0" w:space="0" w:color="auto"/>
            <w:left w:val="none" w:sz="0" w:space="0" w:color="auto"/>
            <w:bottom w:val="none" w:sz="0" w:space="0" w:color="auto"/>
            <w:right w:val="none" w:sz="0" w:space="0" w:color="auto"/>
          </w:divBdr>
        </w:div>
        <w:div w:id="838615442">
          <w:marLeft w:val="1985"/>
          <w:marRight w:val="0"/>
          <w:marTop w:val="60"/>
          <w:marBottom w:val="0"/>
          <w:divBdr>
            <w:top w:val="none" w:sz="0" w:space="0" w:color="auto"/>
            <w:left w:val="none" w:sz="0" w:space="0" w:color="auto"/>
            <w:bottom w:val="none" w:sz="0" w:space="0" w:color="auto"/>
            <w:right w:val="none" w:sz="0" w:space="0" w:color="auto"/>
          </w:divBdr>
        </w:div>
        <w:div w:id="1278102533">
          <w:marLeft w:val="1134"/>
          <w:marRight w:val="0"/>
          <w:marTop w:val="60"/>
          <w:marBottom w:val="0"/>
          <w:divBdr>
            <w:top w:val="none" w:sz="0" w:space="0" w:color="auto"/>
            <w:left w:val="none" w:sz="0" w:space="0" w:color="auto"/>
            <w:bottom w:val="none" w:sz="0" w:space="0" w:color="auto"/>
            <w:right w:val="none" w:sz="0" w:space="0" w:color="auto"/>
          </w:divBdr>
        </w:div>
        <w:div w:id="1386904079">
          <w:marLeft w:val="1134"/>
          <w:marRight w:val="0"/>
          <w:marTop w:val="60"/>
          <w:marBottom w:val="0"/>
          <w:divBdr>
            <w:top w:val="none" w:sz="0" w:space="0" w:color="auto"/>
            <w:left w:val="none" w:sz="0" w:space="0" w:color="auto"/>
            <w:bottom w:val="none" w:sz="0" w:space="0" w:color="auto"/>
            <w:right w:val="none" w:sz="0" w:space="0" w:color="auto"/>
          </w:divBdr>
        </w:div>
        <w:div w:id="2041277253">
          <w:marLeft w:val="1134"/>
          <w:marRight w:val="0"/>
          <w:marTop w:val="60"/>
          <w:marBottom w:val="0"/>
          <w:divBdr>
            <w:top w:val="none" w:sz="0" w:space="0" w:color="auto"/>
            <w:left w:val="none" w:sz="0" w:space="0" w:color="auto"/>
            <w:bottom w:val="none" w:sz="0" w:space="0" w:color="auto"/>
            <w:right w:val="none" w:sz="0" w:space="0" w:color="auto"/>
          </w:divBdr>
        </w:div>
      </w:divsChild>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26761566">
      <w:bodyDiv w:val="1"/>
      <w:marLeft w:val="0"/>
      <w:marRight w:val="0"/>
      <w:marTop w:val="0"/>
      <w:marBottom w:val="0"/>
      <w:divBdr>
        <w:top w:val="none" w:sz="0" w:space="0" w:color="auto"/>
        <w:left w:val="none" w:sz="0" w:space="0" w:color="auto"/>
        <w:bottom w:val="none" w:sz="0" w:space="0" w:color="auto"/>
        <w:right w:val="none" w:sz="0" w:space="0" w:color="auto"/>
      </w:divBdr>
      <w:divsChild>
        <w:div w:id="1316491851">
          <w:marLeft w:val="0"/>
          <w:marRight w:val="0"/>
          <w:marTop w:val="120"/>
          <w:marBottom w:val="0"/>
          <w:divBdr>
            <w:top w:val="none" w:sz="0" w:space="0" w:color="auto"/>
            <w:left w:val="none" w:sz="0" w:space="0" w:color="auto"/>
            <w:bottom w:val="none" w:sz="0" w:space="0" w:color="auto"/>
            <w:right w:val="none" w:sz="0" w:space="0" w:color="auto"/>
          </w:divBdr>
        </w:div>
        <w:div w:id="1588494043">
          <w:marLeft w:val="0"/>
          <w:marRight w:val="0"/>
          <w:marTop w:val="240"/>
          <w:marBottom w:val="0"/>
          <w:divBdr>
            <w:top w:val="none" w:sz="0" w:space="0" w:color="auto"/>
            <w:left w:val="none" w:sz="0" w:space="0" w:color="auto"/>
            <w:bottom w:val="none" w:sz="0" w:space="0" w:color="auto"/>
            <w:right w:val="none" w:sz="0" w:space="0" w:color="auto"/>
          </w:divBdr>
        </w:div>
      </w:divsChild>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13198971">
      <w:bodyDiv w:val="1"/>
      <w:marLeft w:val="0"/>
      <w:marRight w:val="0"/>
      <w:marTop w:val="0"/>
      <w:marBottom w:val="0"/>
      <w:divBdr>
        <w:top w:val="none" w:sz="0" w:space="0" w:color="auto"/>
        <w:left w:val="none" w:sz="0" w:space="0" w:color="auto"/>
        <w:bottom w:val="none" w:sz="0" w:space="0" w:color="auto"/>
        <w:right w:val="none" w:sz="0" w:space="0" w:color="auto"/>
      </w:divBdr>
    </w:div>
    <w:div w:id="2061900314">
      <w:bodyDiv w:val="1"/>
      <w:marLeft w:val="0"/>
      <w:marRight w:val="0"/>
      <w:marTop w:val="0"/>
      <w:marBottom w:val="0"/>
      <w:divBdr>
        <w:top w:val="none" w:sz="0" w:space="0" w:color="auto"/>
        <w:left w:val="none" w:sz="0" w:space="0" w:color="auto"/>
        <w:bottom w:val="none" w:sz="0" w:space="0" w:color="auto"/>
        <w:right w:val="none" w:sz="0" w:space="0" w:color="auto"/>
      </w:divBdr>
      <w:divsChild>
        <w:div w:id="314454383">
          <w:marLeft w:val="0"/>
          <w:marRight w:val="0"/>
          <w:marTop w:val="240"/>
          <w:marBottom w:val="0"/>
          <w:divBdr>
            <w:top w:val="none" w:sz="0" w:space="0" w:color="auto"/>
            <w:left w:val="none" w:sz="0" w:space="0" w:color="auto"/>
            <w:bottom w:val="none" w:sz="0" w:space="0" w:color="auto"/>
            <w:right w:val="none" w:sz="0" w:space="0" w:color="auto"/>
          </w:divBdr>
        </w:div>
        <w:div w:id="344787395">
          <w:marLeft w:val="0"/>
          <w:marRight w:val="0"/>
          <w:marTop w:val="120"/>
          <w:marBottom w:val="0"/>
          <w:divBdr>
            <w:top w:val="none" w:sz="0" w:space="0" w:color="auto"/>
            <w:left w:val="none" w:sz="0" w:space="0" w:color="auto"/>
            <w:bottom w:val="none" w:sz="0" w:space="0" w:color="auto"/>
            <w:right w:val="none" w:sz="0" w:space="0" w:color="auto"/>
          </w:divBdr>
        </w:div>
      </w:divsChild>
    </w:div>
    <w:div w:id="2117746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y1994v3SApg336" TargetMode="External"/><Relationship Id="rId2" Type="http://schemas.openxmlformats.org/officeDocument/2006/relationships/hyperlink" Target="https://app.jutastatevolve.co.za/y1934ADpg11" TargetMode="External"/><Relationship Id="rId1" Type="http://schemas.openxmlformats.org/officeDocument/2006/relationships/hyperlink" Target="https://app.jutastatevolve.co.za/y1927ADpg1" TargetMode="External"/><Relationship Id="rId5" Type="http://schemas.openxmlformats.org/officeDocument/2006/relationships/hyperlink" Target="https://app.jutastatevolve.co.za/y2005v4SApg498" TargetMode="External"/><Relationship Id="rId4" Type="http://schemas.openxmlformats.org/officeDocument/2006/relationships/hyperlink" Target="https://app.jutastatevolve.co.za/y2003v4SApg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22CC9-91F5-4907-BE4B-99C4AB63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1</TotalTime>
  <Pages>7</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Mokone</cp:lastModifiedBy>
  <cp:revision>3</cp:revision>
  <cp:lastPrinted>2022-05-23T06:22:00Z</cp:lastPrinted>
  <dcterms:created xsi:type="dcterms:W3CDTF">2023-05-18T09:38:00Z</dcterms:created>
  <dcterms:modified xsi:type="dcterms:W3CDTF">2023-05-18T09:39:00Z</dcterms:modified>
</cp:coreProperties>
</file>