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6A" w:rsidRDefault="00E16981">
      <w:pPr>
        <w:pStyle w:val="NormalWeb"/>
        <w:shd w:val="clear" w:color="auto" w:fill="FFFFFF"/>
        <w:spacing w:line="360" w:lineRule="auto"/>
        <w:jc w:val="center"/>
        <w:rPr>
          <w:rFonts w:ascii="Arial" w:hAnsi="Arial" w:cs="Arial"/>
          <w:color w:val="33383D"/>
        </w:rPr>
      </w:pPr>
      <w:r>
        <w:rPr>
          <w:noProof/>
          <w:color w:val="1F497D"/>
          <w:lang w:val="en-US" w:eastAsia="en-US"/>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24000" cy="1524000"/>
                    </a:xfrm>
                    <a:prstGeom prst="rect">
                      <a:avLst/>
                    </a:prstGeom>
                    <a:noFill/>
                    <a:ln>
                      <a:noFill/>
                    </a:ln>
                  </pic:spPr>
                </pic:pic>
              </a:graphicData>
            </a:graphic>
          </wp:inline>
        </w:drawing>
      </w:r>
    </w:p>
    <w:p w:rsidR="00B3216A" w:rsidRDefault="00E16981">
      <w:pPr>
        <w:pStyle w:val="NormalWeb"/>
        <w:spacing w:line="360" w:lineRule="auto"/>
        <w:jc w:val="center"/>
        <w:rPr>
          <w:rFonts w:ascii="Arial" w:hAnsi="Arial" w:cs="Arial"/>
        </w:rPr>
      </w:pPr>
      <w:r>
        <w:rPr>
          <w:rFonts w:ascii="Arial" w:hAnsi="Arial" w:cs="Arial"/>
          <w:b/>
          <w:bCs/>
          <w:color w:val="000000"/>
        </w:rPr>
        <w:t>IN THE HIGH COURT OF SOUTH AFRICA</w:t>
      </w:r>
    </w:p>
    <w:p w:rsidR="00B3216A" w:rsidRDefault="00E16981">
      <w:pPr>
        <w:pStyle w:val="NormalWeb"/>
        <w:spacing w:line="360" w:lineRule="auto"/>
        <w:jc w:val="center"/>
        <w:rPr>
          <w:rFonts w:ascii="Arial" w:hAnsi="Arial" w:cs="Arial"/>
        </w:rPr>
      </w:pPr>
      <w:r>
        <w:rPr>
          <w:rFonts w:ascii="Arial" w:hAnsi="Arial" w:cs="Arial"/>
          <w:b/>
          <w:bCs/>
          <w:color w:val="000000"/>
        </w:rPr>
        <w:t>GAUTENG LOCAL DIVISION, JOHANNESBURG</w:t>
      </w:r>
    </w:p>
    <w:p w:rsidR="00B3216A" w:rsidRDefault="00E16981">
      <w:pPr>
        <w:pStyle w:val="NormalWeb"/>
        <w:spacing w:line="360" w:lineRule="auto"/>
        <w:jc w:val="right"/>
        <w:rPr>
          <w:rFonts w:ascii="Arial" w:hAnsi="Arial" w:cs="Arial"/>
          <w:b/>
          <w:bCs/>
          <w:color w:val="000000"/>
        </w:rPr>
      </w:pPr>
      <w:r>
        <w:rPr>
          <w:rFonts w:ascii="Arial" w:hAnsi="Arial" w:cs="Arial"/>
          <w:b/>
          <w:bCs/>
          <w:color w:val="000000"/>
        </w:rPr>
        <w:t xml:space="preserve">Case NO: 15017/2017 </w:t>
      </w:r>
    </w:p>
    <w:tbl>
      <w:tblPr>
        <w:tblStyle w:val="TableGrid"/>
        <w:tblW w:w="0" w:type="auto"/>
        <w:tblLook w:val="04A0" w:firstRow="1" w:lastRow="0" w:firstColumn="1" w:lastColumn="0" w:noHBand="0" w:noVBand="1"/>
      </w:tblPr>
      <w:tblGrid>
        <w:gridCol w:w="4367"/>
      </w:tblGrid>
      <w:tr w:rsidR="00B3216A">
        <w:trPr>
          <w:trHeight w:val="1755"/>
        </w:trPr>
        <w:tc>
          <w:tcPr>
            <w:tcW w:w="4367" w:type="dxa"/>
          </w:tcPr>
          <w:p w:rsidR="00B3216A" w:rsidRDefault="00E16981">
            <w:pPr>
              <w:suppressAutoHyphens/>
              <w:spacing w:after="0" w:line="240" w:lineRule="auto"/>
              <w:ind w:left="180"/>
              <w:rPr>
                <w:rFonts w:ascii="Arial Narrow" w:eastAsia="Times New Roman" w:hAnsi="Arial Narrow" w:cs="Arial Narrow"/>
                <w:sz w:val="16"/>
                <w:szCs w:val="16"/>
                <w:lang w:val="en-GB" w:eastAsia="en-GB"/>
              </w:rPr>
            </w:pPr>
            <w:r>
              <w:rPr>
                <w:rFonts w:ascii="Arial Narrow" w:eastAsia="Times New Roman" w:hAnsi="Arial Narrow" w:cs="Arial Narrow"/>
                <w:b/>
                <w:caps/>
                <w:sz w:val="16"/>
                <w:szCs w:val="16"/>
                <w:lang w:val="en-US" w:eastAsia="en-GB"/>
              </w:rPr>
              <w:t xml:space="preserve"> </w:t>
            </w:r>
            <w:r>
              <w:rPr>
                <w:rFonts w:ascii="Arial Narrow" w:eastAsia="Times New Roman" w:hAnsi="Arial Narrow" w:cs="Arial Narrow"/>
                <w:b/>
                <w:caps/>
                <w:sz w:val="16"/>
                <w:szCs w:val="16"/>
                <w:lang w:val="en-GB" w:eastAsia="en-GB"/>
              </w:rPr>
              <w:t>REPORTABLE: No</w:t>
            </w:r>
          </w:p>
          <w:p w:rsidR="00B3216A" w:rsidRDefault="00B3216A">
            <w:pPr>
              <w:spacing w:after="0" w:line="240" w:lineRule="auto"/>
              <w:rPr>
                <w:rFonts w:ascii="Arial Narrow" w:eastAsia="Times New Roman" w:hAnsi="Arial Narrow" w:cs="Arial Narrow"/>
                <w:sz w:val="16"/>
                <w:szCs w:val="16"/>
                <w:lang w:val="en-GB" w:eastAsia="en-GB"/>
              </w:rPr>
            </w:pPr>
          </w:p>
          <w:p w:rsidR="00B3216A" w:rsidRDefault="00E16981">
            <w:pPr>
              <w:suppressAutoHyphens/>
              <w:spacing w:after="0" w:line="240" w:lineRule="auto"/>
              <w:ind w:left="180"/>
              <w:rPr>
                <w:rFonts w:ascii="Arial Narrow" w:eastAsia="Times New Roman" w:hAnsi="Arial Narrow" w:cs="Arial Narrow"/>
                <w:sz w:val="16"/>
                <w:szCs w:val="16"/>
                <w:lang w:val="en-US" w:eastAsia="en-GB"/>
              </w:rPr>
            </w:pPr>
            <w:r>
              <w:rPr>
                <w:rFonts w:ascii="Arial Narrow" w:eastAsia="Times New Roman" w:hAnsi="Arial Narrow" w:cs="Arial Narrow"/>
                <w:sz w:val="16"/>
                <w:szCs w:val="16"/>
                <w:lang w:val="en-US" w:eastAsia="en-GB"/>
              </w:rPr>
              <w:t xml:space="preserve"> </w:t>
            </w:r>
            <w:r>
              <w:rPr>
                <w:rFonts w:ascii="Arial Narrow" w:eastAsia="Times New Roman" w:hAnsi="Arial Narrow" w:cs="Arial Narrow"/>
                <w:sz w:val="16"/>
                <w:szCs w:val="16"/>
                <w:lang w:val="en-GB" w:eastAsia="en-GB"/>
              </w:rPr>
              <w:t xml:space="preserve">OF INTEREST TO OTHER JUDGES: </w:t>
            </w:r>
            <w:r>
              <w:rPr>
                <w:rFonts w:ascii="Arial Narrow" w:eastAsia="Times New Roman" w:hAnsi="Arial Narrow" w:cs="Arial Narrow"/>
                <w:sz w:val="16"/>
                <w:szCs w:val="16"/>
                <w:lang w:val="en-US" w:eastAsia="en-GB"/>
              </w:rPr>
              <w:t>No</w:t>
            </w:r>
          </w:p>
          <w:p w:rsidR="00B3216A" w:rsidRDefault="00B3216A">
            <w:pPr>
              <w:spacing w:after="0" w:line="240" w:lineRule="auto"/>
              <w:rPr>
                <w:rFonts w:ascii="Arial Narrow" w:eastAsia="Times New Roman" w:hAnsi="Arial Narrow" w:cs="Arial Narrow"/>
                <w:sz w:val="16"/>
                <w:szCs w:val="16"/>
                <w:lang w:val="en-GB" w:eastAsia="en-GB"/>
              </w:rPr>
            </w:pPr>
          </w:p>
          <w:p w:rsidR="00B3216A" w:rsidRDefault="00E16981">
            <w:pPr>
              <w:suppressAutoHyphens/>
              <w:spacing w:after="120" w:line="240" w:lineRule="auto"/>
              <w:ind w:left="180"/>
              <w:rPr>
                <w:rFonts w:ascii="Arial Narrow" w:eastAsia="Times New Roman" w:hAnsi="Arial Narrow" w:cs="Arial Narrow"/>
                <w:sz w:val="16"/>
                <w:szCs w:val="16"/>
                <w:lang w:val="en-GB" w:eastAsia="en-GB"/>
              </w:rPr>
            </w:pPr>
            <w:r>
              <w:rPr>
                <w:rFonts w:ascii="Arial Narrow" w:eastAsia="Times New Roman" w:hAnsi="Arial Narrow" w:cs="Arial Narrow"/>
                <w:sz w:val="16"/>
                <w:szCs w:val="16"/>
                <w:lang w:val="en-US" w:eastAsia="en-GB"/>
              </w:rPr>
              <w:t xml:space="preserve"> </w:t>
            </w:r>
            <w:r>
              <w:rPr>
                <w:rFonts w:ascii="Arial Narrow" w:eastAsia="Times New Roman" w:hAnsi="Arial Narrow" w:cs="Arial Narrow"/>
                <w:sz w:val="16"/>
                <w:szCs w:val="16"/>
                <w:lang w:val="en-GB" w:eastAsia="en-GB"/>
              </w:rPr>
              <w:t>REVISED:</w:t>
            </w:r>
            <w:r>
              <w:rPr>
                <w:rFonts w:ascii="Arial Narrow" w:eastAsia="Times New Roman" w:hAnsi="Arial Narrow" w:cs="Arial Narrow"/>
                <w:sz w:val="16"/>
                <w:szCs w:val="16"/>
                <w:lang w:val="en-US" w:eastAsia="en-GB"/>
              </w:rPr>
              <w:t xml:space="preserve"> </w:t>
            </w:r>
          </w:p>
          <w:p w:rsidR="00B3216A" w:rsidRDefault="00E16981">
            <w:pPr>
              <w:suppressAutoHyphens/>
              <w:spacing w:after="0" w:line="240" w:lineRule="auto"/>
              <w:rPr>
                <w:u w:val="single"/>
                <w:lang w:val="en-GB"/>
              </w:rPr>
            </w:pPr>
            <w:r>
              <w:rPr>
                <w:u w:val="single"/>
                <w:lang w:val="en-GB"/>
              </w:rPr>
              <w:t xml:space="preserve">      17 May 2023 </w:t>
            </w:r>
          </w:p>
          <w:p w:rsidR="00B3216A" w:rsidRDefault="00E16981">
            <w:pPr>
              <w:suppressAutoHyphens/>
              <w:spacing w:after="0" w:line="240" w:lineRule="auto"/>
              <w:rPr>
                <w:rFonts w:ascii="Century Gothic" w:eastAsia="Times New Roman" w:hAnsi="Century Gothic" w:cs="Times New Roman"/>
                <w:sz w:val="20"/>
                <w:szCs w:val="20"/>
                <w:lang w:val="en-GB" w:eastAsia="en-GB"/>
              </w:rPr>
            </w:pPr>
            <w:r>
              <w:rPr>
                <w:rFonts w:ascii="Arial Narrow" w:eastAsia="Times New Roman" w:hAnsi="Arial Narrow" w:cs="Arial Narrow"/>
                <w:sz w:val="16"/>
                <w:szCs w:val="16"/>
                <w:lang w:val="en-US" w:eastAsia="en-GB"/>
              </w:rPr>
              <w:t xml:space="preserve"> </w:t>
            </w:r>
            <w:r>
              <w:rPr>
                <w:rFonts w:ascii="Arial Narrow" w:eastAsia="Times New Roman" w:hAnsi="Arial Narrow" w:cs="Arial Narrow"/>
                <w:sz w:val="16"/>
                <w:szCs w:val="16"/>
                <w:lang w:val="en-GB" w:eastAsia="en-GB"/>
              </w:rPr>
              <w:t xml:space="preserve">Signature: __________ </w:t>
            </w:r>
            <w:r>
              <w:rPr>
                <w:rFonts w:ascii="Arial Narrow" w:eastAsia="Times New Roman" w:hAnsi="Arial Narrow" w:cs="Arial Narrow"/>
                <w:sz w:val="16"/>
                <w:szCs w:val="16"/>
                <w:lang w:val="en-US" w:eastAsia="en-GB"/>
              </w:rPr>
              <w:t xml:space="preserve">                      </w:t>
            </w:r>
            <w:r>
              <w:rPr>
                <w:rFonts w:ascii="Arial Narrow" w:eastAsia="Times New Roman" w:hAnsi="Arial Narrow" w:cs="Arial Narrow"/>
                <w:sz w:val="16"/>
                <w:szCs w:val="16"/>
                <w:lang w:val="en-GB" w:eastAsia="en-GB"/>
              </w:rPr>
              <w:t>Date: __________</w:t>
            </w:r>
          </w:p>
        </w:tc>
      </w:tr>
    </w:tbl>
    <w:p w:rsidR="00B3216A" w:rsidRDefault="00E16981">
      <w:pPr>
        <w:pStyle w:val="NormalWeb"/>
        <w:spacing w:line="360" w:lineRule="auto"/>
        <w:rPr>
          <w:rFonts w:ascii="Arial" w:hAnsi="Arial" w:cs="Arial"/>
        </w:rPr>
      </w:pPr>
      <w:r>
        <w:rPr>
          <w:rFonts w:ascii="Arial" w:hAnsi="Arial" w:cs="Arial"/>
          <w:color w:val="000000"/>
        </w:rPr>
        <w:t xml:space="preserve">In the matter between: </w:t>
      </w:r>
    </w:p>
    <w:p w:rsidR="00B3216A" w:rsidRDefault="00E16981">
      <w:pPr>
        <w:pStyle w:val="NormalWeb"/>
        <w:spacing w:line="360" w:lineRule="auto"/>
        <w:rPr>
          <w:rFonts w:ascii="Arial" w:hAnsi="Arial" w:cs="Arial"/>
          <w:b/>
          <w:bCs/>
          <w:color w:val="000000"/>
        </w:rPr>
      </w:pPr>
      <w:r>
        <w:rPr>
          <w:rFonts w:ascii="Arial" w:hAnsi="Arial" w:cs="Arial"/>
          <w:b/>
          <w:bCs/>
          <w:color w:val="000000"/>
        </w:rPr>
        <w:t xml:space="preserve">CHAUKE TINYIKO JOSEPH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1</w:t>
      </w:r>
      <w:r>
        <w:rPr>
          <w:rFonts w:ascii="Arial" w:hAnsi="Arial" w:cs="Arial"/>
          <w:b/>
          <w:bCs/>
          <w:color w:val="000000"/>
          <w:vertAlign w:val="superscript"/>
        </w:rPr>
        <w:t xml:space="preserve">ST </w:t>
      </w:r>
      <w:r>
        <w:rPr>
          <w:rFonts w:ascii="Arial" w:hAnsi="Arial" w:cs="Arial"/>
          <w:b/>
          <w:bCs/>
          <w:color w:val="000000"/>
        </w:rPr>
        <w:t xml:space="preserve">PLAINTIFF </w:t>
      </w:r>
    </w:p>
    <w:p w:rsidR="00B3216A" w:rsidRDefault="00E16981">
      <w:pPr>
        <w:pStyle w:val="NormalWeb"/>
        <w:spacing w:line="360" w:lineRule="auto"/>
        <w:rPr>
          <w:rFonts w:ascii="Arial" w:hAnsi="Arial" w:cs="Arial"/>
          <w:b/>
          <w:bCs/>
          <w:color w:val="000000"/>
        </w:rPr>
      </w:pPr>
      <w:r>
        <w:rPr>
          <w:rFonts w:ascii="Arial" w:hAnsi="Arial" w:cs="Arial"/>
          <w:b/>
          <w:bCs/>
          <w:color w:val="000000"/>
        </w:rPr>
        <w:t xml:space="preserve">RAOLANE TEBATSO EUGINE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2</w:t>
      </w:r>
      <w:r>
        <w:rPr>
          <w:rFonts w:ascii="Arial" w:hAnsi="Arial" w:cs="Arial"/>
          <w:b/>
          <w:bCs/>
          <w:color w:val="000000"/>
          <w:vertAlign w:val="superscript"/>
        </w:rPr>
        <w:t xml:space="preserve">ND </w:t>
      </w:r>
      <w:r>
        <w:rPr>
          <w:rFonts w:ascii="Arial" w:hAnsi="Arial" w:cs="Arial"/>
          <w:b/>
          <w:bCs/>
          <w:color w:val="000000"/>
        </w:rPr>
        <w:t>PLAINTIFF</w:t>
      </w:r>
    </w:p>
    <w:p w:rsidR="00B3216A" w:rsidRDefault="00E16981">
      <w:pPr>
        <w:pStyle w:val="NormalWeb"/>
        <w:spacing w:line="360" w:lineRule="auto"/>
        <w:rPr>
          <w:rFonts w:ascii="Arial" w:hAnsi="Arial" w:cs="Arial"/>
          <w:b/>
          <w:bCs/>
          <w:color w:val="000000"/>
        </w:rPr>
      </w:pPr>
      <w:r>
        <w:rPr>
          <w:rFonts w:ascii="Arial" w:hAnsi="Arial" w:cs="Arial"/>
          <w:b/>
          <w:bCs/>
          <w:color w:val="000000"/>
        </w:rPr>
        <w:t xml:space="preserve"> MOFOMME SOLOMON TSHEGOFATSO </w:t>
      </w:r>
      <w:r>
        <w:rPr>
          <w:rFonts w:ascii="Arial" w:hAnsi="Arial" w:cs="Arial"/>
          <w:b/>
          <w:bCs/>
          <w:color w:val="000000"/>
        </w:rPr>
        <w:tab/>
      </w:r>
      <w:r>
        <w:rPr>
          <w:rFonts w:ascii="Arial" w:hAnsi="Arial" w:cs="Arial"/>
          <w:b/>
          <w:bCs/>
          <w:color w:val="000000"/>
        </w:rPr>
        <w:tab/>
      </w:r>
      <w:r>
        <w:rPr>
          <w:rFonts w:ascii="Arial" w:hAnsi="Arial" w:cs="Arial"/>
          <w:b/>
          <w:bCs/>
          <w:color w:val="000000"/>
        </w:rPr>
        <w:tab/>
        <w:t>3</w:t>
      </w:r>
      <w:r>
        <w:rPr>
          <w:rFonts w:ascii="Arial" w:hAnsi="Arial" w:cs="Arial"/>
          <w:b/>
          <w:bCs/>
          <w:color w:val="000000"/>
          <w:vertAlign w:val="superscript"/>
        </w:rPr>
        <w:t xml:space="preserve">RD </w:t>
      </w:r>
      <w:r>
        <w:rPr>
          <w:rFonts w:ascii="Arial" w:hAnsi="Arial" w:cs="Arial"/>
          <w:b/>
          <w:bCs/>
          <w:color w:val="000000"/>
        </w:rPr>
        <w:t xml:space="preserve">PLAINTIFF MASEKOAMENG JOHANNES LESETJA </w:t>
      </w:r>
      <w:r>
        <w:rPr>
          <w:rFonts w:ascii="Arial" w:hAnsi="Arial" w:cs="Arial"/>
          <w:b/>
          <w:bCs/>
          <w:color w:val="000000"/>
        </w:rPr>
        <w:tab/>
      </w:r>
      <w:r>
        <w:rPr>
          <w:rFonts w:ascii="Arial" w:hAnsi="Arial" w:cs="Arial"/>
          <w:b/>
          <w:bCs/>
          <w:color w:val="000000"/>
        </w:rPr>
        <w:tab/>
      </w:r>
      <w:r>
        <w:rPr>
          <w:rFonts w:ascii="Arial" w:hAnsi="Arial" w:cs="Arial"/>
          <w:b/>
          <w:bCs/>
          <w:color w:val="000000"/>
        </w:rPr>
        <w:tab/>
        <w:t>4</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b/>
          <w:bCs/>
          <w:color w:val="000000"/>
        </w:rPr>
      </w:pPr>
      <w:r>
        <w:rPr>
          <w:rFonts w:ascii="Arial" w:hAnsi="Arial" w:cs="Arial"/>
          <w:b/>
          <w:bCs/>
          <w:color w:val="000000"/>
        </w:rPr>
        <w:t xml:space="preserve">MATHOTHO HEDGES HOPANE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5</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b/>
          <w:bCs/>
          <w:color w:val="000000"/>
        </w:rPr>
      </w:pPr>
      <w:r>
        <w:rPr>
          <w:rFonts w:ascii="Arial" w:hAnsi="Arial" w:cs="Arial"/>
          <w:b/>
          <w:bCs/>
          <w:color w:val="000000"/>
        </w:rPr>
        <w:t>KEKANA MAKGOBA CHARLIE</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6</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b/>
          <w:bCs/>
          <w:color w:val="000000"/>
        </w:rPr>
      </w:pPr>
      <w:r>
        <w:rPr>
          <w:rFonts w:ascii="Arial" w:hAnsi="Arial" w:cs="Arial"/>
          <w:b/>
          <w:bCs/>
          <w:color w:val="000000"/>
        </w:rPr>
        <w:t>MANYAMALALA KAYA BETHEL</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r>
        <w:rPr>
          <w:rFonts w:ascii="Arial" w:hAnsi="Arial" w:cs="Arial"/>
          <w:b/>
          <w:bCs/>
          <w:color w:val="000000"/>
        </w:rPr>
        <w:tab/>
        <w:t>7</w:t>
      </w:r>
      <w:r>
        <w:rPr>
          <w:rFonts w:ascii="Arial" w:hAnsi="Arial" w:cs="Arial"/>
          <w:b/>
          <w:bCs/>
          <w:color w:val="000000"/>
          <w:vertAlign w:val="superscript"/>
        </w:rPr>
        <w:t xml:space="preserve">TH </w:t>
      </w:r>
      <w:r>
        <w:rPr>
          <w:rFonts w:ascii="Arial" w:hAnsi="Arial" w:cs="Arial"/>
          <w:b/>
          <w:bCs/>
          <w:color w:val="000000"/>
        </w:rPr>
        <w:t xml:space="preserve">PLAINTIFF </w:t>
      </w:r>
      <w:r>
        <w:rPr>
          <w:rFonts w:ascii="Arial" w:hAnsi="Arial" w:cs="Arial"/>
          <w:b/>
          <w:bCs/>
          <w:color w:val="000000"/>
        </w:rPr>
        <w:tab/>
      </w:r>
    </w:p>
    <w:p w:rsidR="00B3216A" w:rsidRDefault="00E16981">
      <w:pPr>
        <w:pStyle w:val="NormalWeb"/>
        <w:spacing w:line="360" w:lineRule="auto"/>
        <w:rPr>
          <w:rFonts w:ascii="Arial" w:hAnsi="Arial" w:cs="Arial"/>
          <w:b/>
          <w:bCs/>
          <w:color w:val="000000"/>
        </w:rPr>
      </w:pPr>
      <w:r>
        <w:rPr>
          <w:rFonts w:ascii="Arial" w:hAnsi="Arial" w:cs="Arial"/>
          <w:b/>
          <w:bCs/>
          <w:color w:val="000000"/>
        </w:rPr>
        <w:t xml:space="preserve">MAILA KGABO ISAAC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8</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rPr>
      </w:pPr>
      <w:r>
        <w:rPr>
          <w:rFonts w:ascii="Arial" w:hAnsi="Arial" w:cs="Arial"/>
          <w:b/>
          <w:bCs/>
          <w:color w:val="000000"/>
        </w:rPr>
        <w:t xml:space="preserve">MASHOAKWA DYROSE MANAKA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9</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rPr>
      </w:pPr>
      <w:r>
        <w:rPr>
          <w:rFonts w:ascii="Arial" w:hAnsi="Arial" w:cs="Arial"/>
          <w:b/>
          <w:bCs/>
          <w:color w:val="000000"/>
        </w:rPr>
        <w:t xml:space="preserve">MOKOBODI KOENA STANFORD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10</w:t>
      </w:r>
      <w:r>
        <w:rPr>
          <w:rFonts w:ascii="Arial" w:hAnsi="Arial" w:cs="Arial"/>
          <w:b/>
          <w:bCs/>
          <w:color w:val="000000"/>
          <w:vertAlign w:val="superscript"/>
        </w:rPr>
        <w:t xml:space="preserve">TH </w:t>
      </w:r>
      <w:r>
        <w:rPr>
          <w:rFonts w:ascii="Arial" w:hAnsi="Arial" w:cs="Arial"/>
          <w:b/>
          <w:bCs/>
          <w:color w:val="000000"/>
        </w:rPr>
        <w:t xml:space="preserve">PLAINTIFF   </w:t>
      </w:r>
    </w:p>
    <w:p w:rsidR="00B3216A" w:rsidRDefault="00E16981">
      <w:pPr>
        <w:pStyle w:val="NormalWeb"/>
        <w:spacing w:line="360" w:lineRule="auto"/>
        <w:rPr>
          <w:rFonts w:ascii="Arial" w:hAnsi="Arial" w:cs="Arial"/>
        </w:rPr>
      </w:pPr>
      <w:r>
        <w:rPr>
          <w:rFonts w:ascii="Arial" w:hAnsi="Arial" w:cs="Arial"/>
          <w:color w:val="000000"/>
        </w:rPr>
        <w:lastRenderedPageBreak/>
        <w:t xml:space="preserve">And </w:t>
      </w:r>
    </w:p>
    <w:p w:rsidR="00B3216A" w:rsidRDefault="00E16981">
      <w:pPr>
        <w:pStyle w:val="NormalWeb"/>
        <w:spacing w:line="360" w:lineRule="auto"/>
        <w:rPr>
          <w:rFonts w:ascii="Arial" w:hAnsi="Arial" w:cs="Arial"/>
        </w:rPr>
      </w:pPr>
      <w:r>
        <w:rPr>
          <w:rFonts w:ascii="Arial" w:hAnsi="Arial" w:cs="Arial"/>
          <w:b/>
          <w:bCs/>
          <w:color w:val="000000"/>
        </w:rPr>
        <w:t xml:space="preserve">MINISTER OF POLICE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1</w:t>
      </w:r>
      <w:r>
        <w:rPr>
          <w:rFonts w:ascii="Arial" w:hAnsi="Arial" w:cs="Arial"/>
          <w:b/>
          <w:bCs/>
          <w:color w:val="000000"/>
          <w:vertAlign w:val="superscript"/>
        </w:rPr>
        <w:t xml:space="preserve">ST </w:t>
      </w:r>
      <w:r>
        <w:rPr>
          <w:rFonts w:ascii="Arial" w:hAnsi="Arial" w:cs="Arial"/>
          <w:b/>
          <w:bCs/>
          <w:color w:val="000000"/>
        </w:rPr>
        <w:t xml:space="preserve">DEFENDANT </w:t>
      </w:r>
    </w:p>
    <w:p w:rsidR="00B3216A" w:rsidRDefault="00E16981">
      <w:pPr>
        <w:pStyle w:val="NormalWeb"/>
        <w:spacing w:line="360" w:lineRule="auto"/>
        <w:rPr>
          <w:rFonts w:ascii="Arial" w:hAnsi="Arial" w:cs="Arial"/>
        </w:rPr>
      </w:pPr>
      <w:r>
        <w:rPr>
          <w:rFonts w:ascii="Arial" w:hAnsi="Arial" w:cs="Arial"/>
          <w:b/>
          <w:bCs/>
          <w:color w:val="000000"/>
        </w:rPr>
        <w:t xml:space="preserve">INDEPENDENT POLICE INVESTIGATIVE </w:t>
      </w:r>
      <w:r>
        <w:rPr>
          <w:rFonts w:ascii="Arial" w:hAnsi="Arial" w:cs="Arial"/>
          <w:b/>
          <w:bCs/>
          <w:color w:val="000000"/>
        </w:rPr>
        <w:tab/>
      </w:r>
      <w:r>
        <w:rPr>
          <w:rFonts w:ascii="Arial" w:hAnsi="Arial" w:cs="Arial"/>
          <w:b/>
          <w:bCs/>
          <w:color w:val="000000"/>
        </w:rPr>
        <w:tab/>
      </w:r>
      <w:r>
        <w:rPr>
          <w:rFonts w:ascii="Arial" w:hAnsi="Arial" w:cs="Arial"/>
          <w:b/>
          <w:bCs/>
          <w:color w:val="000000"/>
        </w:rPr>
        <w:tab/>
        <w:t>2</w:t>
      </w:r>
      <w:r>
        <w:rPr>
          <w:rFonts w:ascii="Arial" w:hAnsi="Arial" w:cs="Arial"/>
          <w:b/>
          <w:bCs/>
          <w:color w:val="000000"/>
          <w:vertAlign w:val="superscript"/>
        </w:rPr>
        <w:t xml:space="preserve">ND </w:t>
      </w:r>
      <w:r>
        <w:rPr>
          <w:rFonts w:ascii="Arial" w:hAnsi="Arial" w:cs="Arial"/>
          <w:b/>
          <w:bCs/>
          <w:color w:val="000000"/>
        </w:rPr>
        <w:t xml:space="preserve">DEFENDANT  </w:t>
      </w:r>
    </w:p>
    <w:p w:rsidR="00B3216A" w:rsidRDefault="00E16981">
      <w:pPr>
        <w:spacing w:line="360" w:lineRule="auto"/>
        <w:rPr>
          <w:rFonts w:ascii="Arial" w:eastAsia="Calibri" w:hAnsi="Arial" w:cs="Arial"/>
          <w:b/>
          <w:bCs/>
          <w:color w:val="000000"/>
          <w:sz w:val="24"/>
          <w:szCs w:val="24"/>
        </w:rPr>
      </w:pPr>
      <w:r>
        <w:rPr>
          <w:rFonts w:ascii="Arial" w:eastAsia="Calibri" w:hAnsi="Arial" w:cs="Arial"/>
          <w:b/>
          <w:bCs/>
          <w:color w:val="000000"/>
          <w:sz w:val="24"/>
          <w:szCs w:val="24"/>
        </w:rPr>
        <w:t xml:space="preserve">NATIONAL PROSECUTING AUTHORITY </w:t>
      </w:r>
      <w:r>
        <w:rPr>
          <w:rFonts w:ascii="Arial" w:eastAsia="Calibri" w:hAnsi="Arial" w:cs="Arial"/>
          <w:b/>
          <w:bCs/>
          <w:color w:val="000000"/>
          <w:sz w:val="24"/>
          <w:szCs w:val="24"/>
        </w:rPr>
        <w:tab/>
      </w:r>
      <w:r>
        <w:rPr>
          <w:rFonts w:ascii="Arial" w:eastAsia="Calibri" w:hAnsi="Arial" w:cs="Arial"/>
          <w:b/>
          <w:bCs/>
          <w:color w:val="000000"/>
          <w:sz w:val="24"/>
          <w:szCs w:val="24"/>
        </w:rPr>
        <w:tab/>
      </w:r>
      <w:r>
        <w:rPr>
          <w:rFonts w:ascii="Arial" w:eastAsia="Calibri" w:hAnsi="Arial" w:cs="Arial"/>
          <w:b/>
          <w:bCs/>
          <w:color w:val="000000"/>
          <w:sz w:val="24"/>
          <w:szCs w:val="24"/>
        </w:rPr>
        <w:tab/>
        <w:t>3</w:t>
      </w:r>
      <w:r>
        <w:rPr>
          <w:rFonts w:ascii="Arial" w:eastAsia="Calibri" w:hAnsi="Arial" w:cs="Arial"/>
          <w:b/>
          <w:bCs/>
          <w:color w:val="000000"/>
          <w:sz w:val="24"/>
          <w:szCs w:val="24"/>
          <w:vertAlign w:val="superscript"/>
        </w:rPr>
        <w:t xml:space="preserve">RD </w:t>
      </w:r>
      <w:r>
        <w:rPr>
          <w:rFonts w:ascii="Arial" w:eastAsia="Calibri" w:hAnsi="Arial" w:cs="Arial"/>
          <w:b/>
          <w:bCs/>
          <w:color w:val="000000"/>
          <w:sz w:val="24"/>
          <w:szCs w:val="24"/>
        </w:rPr>
        <w:t xml:space="preserve">DEFENDANT </w:t>
      </w:r>
    </w:p>
    <w:p w:rsidR="00D77009" w:rsidRDefault="00D77009" w:rsidP="00D77009">
      <w:pPr>
        <w:spacing w:line="360" w:lineRule="auto"/>
        <w:rPr>
          <w:rFonts w:ascii="Arial" w:eastAsia="Calibri" w:hAnsi="Arial" w:cs="Arial"/>
          <w:bCs/>
          <w:color w:val="000000"/>
          <w:lang w:val="en-GB"/>
        </w:rPr>
      </w:pPr>
      <w:r>
        <w:rPr>
          <w:rFonts w:ascii="Arial" w:eastAsia="Calibri" w:hAnsi="Arial" w:cs="Arial"/>
          <w:b/>
          <w:bCs/>
          <w:color w:val="000000"/>
        </w:rPr>
        <w:t>NE</w:t>
      </w:r>
      <w:r>
        <w:rPr>
          <w:rFonts w:ascii="Arial" w:eastAsia="Calibri" w:hAnsi="Arial" w:cs="Arial"/>
          <w:b/>
          <w:bCs/>
          <w:color w:val="000000"/>
          <w:lang w:val="en-GB"/>
        </w:rPr>
        <w:t>U</w:t>
      </w:r>
      <w:r>
        <w:rPr>
          <w:rFonts w:ascii="Arial" w:eastAsia="Calibri" w:hAnsi="Arial" w:cs="Arial"/>
          <w:b/>
          <w:bCs/>
          <w:color w:val="000000"/>
        </w:rPr>
        <w:t>TRAL CITATION:</w:t>
      </w:r>
      <w:r>
        <w:rPr>
          <w:rFonts w:ascii="Arial" w:eastAsia="Calibri" w:hAnsi="Arial" w:cs="Arial"/>
          <w:b/>
          <w:bCs/>
          <w:color w:val="000000"/>
          <w:lang w:val="en-GB"/>
        </w:rPr>
        <w:t xml:space="preserve"> </w:t>
      </w:r>
      <w:r w:rsidRPr="00D77009">
        <w:rPr>
          <w:rFonts w:ascii="Arial" w:eastAsia="Calibri" w:hAnsi="Arial" w:cs="Arial"/>
          <w:bCs/>
          <w:i/>
          <w:color w:val="000000"/>
        </w:rPr>
        <w:t>Chauke Tinyiko Joseph &amp; Others vs Minister of Police</w:t>
      </w:r>
      <w:r>
        <w:rPr>
          <w:rFonts w:ascii="Arial" w:eastAsia="Calibri" w:hAnsi="Arial" w:cs="Arial"/>
          <w:bCs/>
          <w:color w:val="000000"/>
        </w:rPr>
        <w:t xml:space="preserve"> (Case Number: 15017/2017) [2023] ZAGPJHC</w:t>
      </w:r>
      <w:r w:rsidR="00E22DF0">
        <w:rPr>
          <w:rFonts w:ascii="Arial" w:eastAsia="Calibri" w:hAnsi="Arial" w:cs="Arial"/>
          <w:bCs/>
          <w:color w:val="000000"/>
          <w:lang w:val="en-GB"/>
        </w:rPr>
        <w:t xml:space="preserve"> 488 (17 May 2023)</w:t>
      </w:r>
    </w:p>
    <w:p w:rsidR="00B3216A" w:rsidRDefault="00E16981">
      <w:pPr>
        <w:spacing w:line="360" w:lineRule="auto"/>
        <w:rPr>
          <w:rFonts w:ascii="Arial" w:eastAsia="Calibri" w:hAnsi="Arial" w:cs="Arial"/>
          <w:b/>
          <w:bCs/>
          <w:color w:val="000000"/>
          <w:lang w:val="en-GB"/>
        </w:rPr>
      </w:pPr>
      <w:r>
        <w:rPr>
          <w:rFonts w:ascii="Arial" w:eastAsia="Calibri" w:hAnsi="Arial" w:cs="Arial"/>
          <w:b/>
          <w:bCs/>
          <w:color w:val="000000"/>
          <w:lang w:val="en-GB"/>
        </w:rPr>
        <w:t xml:space="preserve">Delivered: </w:t>
      </w:r>
      <w:r>
        <w:rPr>
          <w:rFonts w:ascii="Arial" w:eastAsia="Calibri" w:hAnsi="Arial" w:cs="Arial"/>
          <w:b/>
          <w:bCs/>
          <w:color w:val="000000"/>
          <w:lang w:val="en-GB"/>
        </w:rPr>
        <w:tab/>
      </w:r>
      <w:r>
        <w:rPr>
          <w:rFonts w:ascii="Arial" w:eastAsia="Calibri" w:hAnsi="Arial" w:cs="Arial"/>
          <w:color w:val="000000"/>
          <w:lang w:val="en-GB"/>
        </w:rPr>
        <w:t>This judgment is delivered electronic</w:t>
      </w:r>
      <w:r w:rsidR="00D77009">
        <w:rPr>
          <w:rFonts w:ascii="Arial" w:eastAsia="Calibri" w:hAnsi="Arial" w:cs="Arial"/>
          <w:color w:val="000000"/>
          <w:lang w:val="en-GB"/>
        </w:rPr>
        <w:t xml:space="preserve">ally by being emailed to the </w:t>
      </w:r>
      <w:r>
        <w:rPr>
          <w:rFonts w:ascii="Arial" w:eastAsia="Calibri" w:hAnsi="Arial" w:cs="Arial"/>
          <w:color w:val="000000"/>
          <w:lang w:val="en-GB"/>
        </w:rPr>
        <w:t>parties’ legal representatives and up</w:t>
      </w:r>
      <w:r w:rsidR="00D77009">
        <w:rPr>
          <w:rFonts w:ascii="Arial" w:eastAsia="Calibri" w:hAnsi="Arial" w:cs="Arial"/>
          <w:color w:val="000000"/>
          <w:lang w:val="en-GB"/>
        </w:rPr>
        <w:t xml:space="preserve">loaded to the caselines. The </w:t>
      </w:r>
      <w:r>
        <w:rPr>
          <w:rFonts w:ascii="Arial" w:eastAsia="Calibri" w:hAnsi="Arial" w:cs="Arial"/>
          <w:color w:val="000000"/>
          <w:lang w:val="en-GB"/>
        </w:rPr>
        <w:t>judgment is deemed to be delivered on 17 May 2023</w:t>
      </w:r>
    </w:p>
    <w:p w:rsidR="00B3216A" w:rsidRDefault="00E16981">
      <w:pPr>
        <w:spacing w:line="360" w:lineRule="auto"/>
        <w:rPr>
          <w:rFonts w:ascii="Arial" w:eastAsia="Calibri" w:hAnsi="Arial" w:cs="Arial"/>
          <w:b/>
          <w:bCs/>
          <w:color w:val="000000"/>
          <w:sz w:val="24"/>
          <w:szCs w:val="24"/>
          <w:u w:val="single"/>
        </w:rPr>
      </w:pP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p>
    <w:p w:rsidR="00B3216A" w:rsidRDefault="00E16981">
      <w:pPr>
        <w:spacing w:line="360" w:lineRule="auto"/>
        <w:rPr>
          <w:rFonts w:ascii="Arial" w:eastAsia="Calibri" w:hAnsi="Arial" w:cs="Arial"/>
          <w:b/>
          <w:bCs/>
          <w:color w:val="000000"/>
          <w:sz w:val="24"/>
          <w:szCs w:val="24"/>
        </w:rPr>
      </w:pPr>
      <w:r>
        <w:rPr>
          <w:rFonts w:ascii="Arial" w:eastAsia="Calibri" w:hAnsi="Arial" w:cs="Arial"/>
          <w:b/>
          <w:bCs/>
          <w:color w:val="000000"/>
          <w:sz w:val="24"/>
          <w:szCs w:val="24"/>
        </w:rPr>
        <w:tab/>
      </w:r>
      <w:r>
        <w:rPr>
          <w:rFonts w:ascii="Arial" w:eastAsia="Calibri" w:hAnsi="Arial" w:cs="Arial"/>
          <w:b/>
          <w:bCs/>
          <w:color w:val="000000"/>
          <w:sz w:val="24"/>
          <w:szCs w:val="24"/>
        </w:rPr>
        <w:tab/>
      </w:r>
      <w:r>
        <w:rPr>
          <w:rFonts w:ascii="Arial" w:eastAsia="Calibri" w:hAnsi="Arial" w:cs="Arial"/>
          <w:b/>
          <w:bCs/>
          <w:color w:val="000000"/>
          <w:sz w:val="24"/>
          <w:szCs w:val="24"/>
        </w:rPr>
        <w:tab/>
      </w:r>
      <w:r>
        <w:rPr>
          <w:rFonts w:ascii="Arial" w:eastAsia="Calibri" w:hAnsi="Arial" w:cs="Arial"/>
          <w:b/>
          <w:bCs/>
          <w:color w:val="000000"/>
          <w:sz w:val="24"/>
          <w:szCs w:val="24"/>
        </w:rPr>
        <w:tab/>
      </w:r>
      <w:r>
        <w:rPr>
          <w:rFonts w:ascii="Arial" w:eastAsia="Calibri" w:hAnsi="Arial" w:cs="Arial"/>
          <w:b/>
          <w:bCs/>
          <w:color w:val="000000"/>
          <w:sz w:val="24"/>
          <w:szCs w:val="24"/>
        </w:rPr>
        <w:tab/>
        <w:t>JUDGMENT</w:t>
      </w:r>
    </w:p>
    <w:p w:rsidR="00B3216A" w:rsidRDefault="00E16981">
      <w:pPr>
        <w:spacing w:line="360" w:lineRule="auto"/>
        <w:rPr>
          <w:rFonts w:ascii="Arial" w:hAnsi="Arial" w:cs="Arial"/>
          <w:sz w:val="24"/>
          <w:szCs w:val="24"/>
        </w:rPr>
      </w:pP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u w:val="single"/>
        </w:rPr>
        <w:tab/>
      </w:r>
      <w:r>
        <w:rPr>
          <w:rFonts w:ascii="Arial" w:eastAsia="Calibri" w:hAnsi="Arial" w:cs="Arial"/>
          <w:b/>
          <w:bCs/>
          <w:color w:val="000000"/>
          <w:sz w:val="24"/>
          <w:szCs w:val="24"/>
        </w:rPr>
        <w:t xml:space="preserve"> </w:t>
      </w:r>
    </w:p>
    <w:p w:rsidR="00B3216A" w:rsidRDefault="00E16981">
      <w:pPr>
        <w:widowControl w:val="0"/>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 xml:space="preserve">Molahlehi J </w:t>
      </w: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[1]</w:t>
      </w:r>
      <w:r>
        <w:rPr>
          <w:rFonts w:ascii="Arial" w:hAnsi="Arial" w:cs="Arial"/>
          <w:color w:val="0E101A"/>
        </w:rPr>
        <w:tab/>
      </w:r>
      <w:r w:rsidR="00E16981">
        <w:rPr>
          <w:rFonts w:ascii="Arial" w:hAnsi="Arial" w:cs="Arial"/>
          <w:color w:val="0E101A"/>
        </w:rPr>
        <w:t>This is an application for leave to appeal against both the order and the judgment providing the reasons for the order dated 13 April 2022 and 29 August 2022, respectively. In terms of the order, this court dismissed the applicant's application for condonation for the late issuing of the notice in terms of section 3 (1) of the Institution of Legal Proceedings Against Certain Organs of the State Act 40 of 2000 (the Act).</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[2]</w:t>
      </w:r>
      <w:r>
        <w:rPr>
          <w:rFonts w:ascii="Arial" w:hAnsi="Arial" w:cs="Arial"/>
          <w:color w:val="0E101A"/>
        </w:rPr>
        <w:tab/>
      </w:r>
      <w:r w:rsidR="00E16981">
        <w:rPr>
          <w:rFonts w:ascii="Arial" w:hAnsi="Arial" w:cs="Arial"/>
          <w:color w:val="0E101A"/>
        </w:rPr>
        <w:t>The first, second and fifth respondents oppose th</w:t>
      </w:r>
      <w:r w:rsidR="00E16981">
        <w:rPr>
          <w:rFonts w:ascii="Arial" w:hAnsi="Arial" w:cs="Arial"/>
          <w:color w:val="0E101A"/>
          <w:lang w:val="en-GB"/>
        </w:rPr>
        <w:t xml:space="preserve">is </w:t>
      </w:r>
      <w:r w:rsidR="00E16981">
        <w:rPr>
          <w:rFonts w:ascii="Arial" w:hAnsi="Arial" w:cs="Arial"/>
          <w:color w:val="0E101A"/>
        </w:rPr>
        <w:t>application</w:t>
      </w:r>
      <w:r w:rsidR="00E16981">
        <w:rPr>
          <w:rFonts w:ascii="Arial" w:hAnsi="Arial" w:cs="Arial"/>
          <w:color w:val="0E101A"/>
          <w:lang w:val="en-GB"/>
        </w:rPr>
        <w:t xml:space="preserve">.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[3]</w:t>
      </w:r>
      <w:r>
        <w:rPr>
          <w:rFonts w:ascii="Arial" w:hAnsi="Arial" w:cs="Arial"/>
          <w:color w:val="0E101A"/>
        </w:rPr>
        <w:tab/>
      </w:r>
      <w:r w:rsidR="00E16981">
        <w:rPr>
          <w:rFonts w:ascii="Arial" w:hAnsi="Arial" w:cs="Arial"/>
          <w:color w:val="0E101A"/>
        </w:rPr>
        <w:t xml:space="preserve">In opposing the application, the first and third respondents have raised two points </w:t>
      </w:r>
      <w:r w:rsidR="00E16981">
        <w:rPr>
          <w:rFonts w:ascii="Arial" w:hAnsi="Arial" w:cs="Arial"/>
          <w:i/>
          <w:iCs/>
          <w:color w:val="0E101A"/>
        </w:rPr>
        <w:t>i</w:t>
      </w:r>
      <w:r w:rsidR="00E16981">
        <w:rPr>
          <w:rStyle w:val="Emphasis"/>
          <w:rFonts w:ascii="Arial" w:hAnsi="Arial" w:cs="Arial"/>
          <w:color w:val="0E101A"/>
        </w:rPr>
        <w:t>n limine</w:t>
      </w:r>
      <w:r w:rsidR="00E16981">
        <w:rPr>
          <w:rFonts w:ascii="Arial" w:hAnsi="Arial" w:cs="Arial"/>
          <w:color w:val="0E101A"/>
        </w:rPr>
        <w:t>. The first complaint is that the applicant</w:t>
      </w:r>
      <w:r w:rsidR="00E16981">
        <w:rPr>
          <w:rFonts w:ascii="Arial" w:hAnsi="Arial" w:cs="Arial"/>
          <w:color w:val="0E101A"/>
          <w:lang w:val="en-GB"/>
        </w:rPr>
        <w:t>s</w:t>
      </w:r>
      <w:r w:rsidR="00E16981">
        <w:rPr>
          <w:rFonts w:ascii="Arial" w:hAnsi="Arial" w:cs="Arial"/>
          <w:color w:val="0E101A"/>
        </w:rPr>
        <w:t xml:space="preserve"> failed to comply with the time frame within which they had to file their written submission, as prescribed by the directive issued by the court on 15 March 2023.</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[4]</w:t>
      </w:r>
      <w:r>
        <w:rPr>
          <w:rFonts w:ascii="Arial" w:hAnsi="Arial" w:cs="Arial"/>
          <w:color w:val="0E101A"/>
        </w:rPr>
        <w:tab/>
      </w:r>
      <w:r w:rsidR="00E16981">
        <w:rPr>
          <w:rFonts w:ascii="Arial" w:hAnsi="Arial" w:cs="Arial"/>
          <w:color w:val="0E101A"/>
        </w:rPr>
        <w:t xml:space="preserve"> In the circumstances of this case, it would not serve the interest of justice to deny the applicants the opportunity to ventilate their complaint against the judgment simply because they failed to file their written submission on time. This matter involves </w:t>
      </w:r>
      <w:r w:rsidR="00E16981">
        <w:rPr>
          <w:rFonts w:ascii="Arial" w:hAnsi="Arial" w:cs="Arial"/>
          <w:color w:val="0E101A"/>
        </w:rPr>
        <w:lastRenderedPageBreak/>
        <w:t>the fundamental rights of the applicants</w:t>
      </w:r>
      <w:r w:rsidR="00E16981">
        <w:rPr>
          <w:rFonts w:ascii="Arial" w:hAnsi="Arial" w:cs="Arial"/>
          <w:color w:val="0E101A"/>
          <w:lang w:val="en-GB"/>
        </w:rPr>
        <w:t>, a factor that weighs in favour of ignoring the non-complience with the directive</w:t>
      </w:r>
      <w:r w:rsidR="00E16981">
        <w:rPr>
          <w:rFonts w:ascii="Arial" w:hAnsi="Arial" w:cs="Arial"/>
          <w:color w:val="0E101A"/>
        </w:rPr>
        <w:t>.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[5</w:t>
      </w:r>
      <w:bookmarkStart w:id="0" w:name="_GoBack"/>
      <w:bookmarkEnd w:id="0"/>
      <w:r>
        <w:rPr>
          <w:rFonts w:ascii="Arial" w:hAnsi="Arial" w:cs="Arial"/>
          <w:color w:val="0E101A"/>
        </w:rPr>
        <w:t>]</w:t>
      </w:r>
      <w:r>
        <w:rPr>
          <w:rFonts w:ascii="Arial" w:hAnsi="Arial" w:cs="Arial"/>
          <w:color w:val="0E101A"/>
        </w:rPr>
        <w:tab/>
      </w:r>
      <w:r w:rsidR="00E16981">
        <w:rPr>
          <w:rFonts w:ascii="Arial" w:hAnsi="Arial" w:cs="Arial"/>
          <w:color w:val="0E101A"/>
        </w:rPr>
        <w:t>The second point raised by the first and second respondents is that the time for serving the notice in terms of section 3 (1) of the Act on the first respondent is unsustainable because it is raised for the first time in th</w:t>
      </w:r>
      <w:r w:rsidR="00E16981">
        <w:rPr>
          <w:rFonts w:ascii="Arial" w:hAnsi="Arial" w:cs="Arial"/>
          <w:color w:val="0E101A"/>
          <w:lang w:val="en-GB"/>
        </w:rPr>
        <w:t>is</w:t>
      </w:r>
      <w:r w:rsidR="00E16981">
        <w:rPr>
          <w:rFonts w:ascii="Arial" w:hAnsi="Arial" w:cs="Arial"/>
          <w:color w:val="0E101A"/>
        </w:rPr>
        <w:t xml:space="preserve"> application</w:t>
      </w:r>
      <w:r w:rsidR="00E16981">
        <w:rPr>
          <w:rFonts w:ascii="Arial" w:hAnsi="Arial" w:cs="Arial"/>
          <w:color w:val="0E101A"/>
          <w:lang w:val="en-GB"/>
        </w:rPr>
        <w:t xml:space="preserve">. </w:t>
      </w:r>
      <w:r w:rsidR="00E16981">
        <w:rPr>
          <w:rFonts w:ascii="Arial" w:hAnsi="Arial" w:cs="Arial"/>
          <w:color w:val="0E101A"/>
        </w:rPr>
        <w:t>The related sup-point to this is the contention of the applicants that the first respondent did not, in its plea, raise the issue of noncompliance with the Act.</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[6]</w:t>
      </w:r>
      <w:r>
        <w:rPr>
          <w:rFonts w:ascii="Arial" w:hAnsi="Arial" w:cs="Arial"/>
          <w:color w:val="0E101A"/>
        </w:rPr>
        <w:tab/>
      </w:r>
      <w:r w:rsidR="00E16981">
        <w:rPr>
          <w:rFonts w:ascii="Arial" w:hAnsi="Arial" w:cs="Arial"/>
          <w:color w:val="0E101A"/>
        </w:rPr>
        <w:t xml:space="preserve">The point raised by the respondents is highly technical </w:t>
      </w:r>
      <w:r w:rsidR="00E16981">
        <w:rPr>
          <w:rFonts w:ascii="Arial" w:hAnsi="Arial" w:cs="Arial"/>
          <w:color w:val="0E101A"/>
          <w:lang w:val="en-GB"/>
        </w:rPr>
        <w:t>and thus</w:t>
      </w:r>
      <w:r w:rsidR="00E16981">
        <w:rPr>
          <w:rFonts w:ascii="Arial" w:hAnsi="Arial" w:cs="Arial"/>
          <w:color w:val="0E101A"/>
        </w:rPr>
        <w:t xml:space="preserve"> places form over substance. From the reading of the judgment, the court did not distinguish between the delay in serving the notice on the first respondent and the other respondents. Thus, it would not serve the interest of justice to have the applicants unsuited for the relief they seek</w:t>
      </w:r>
      <w:r w:rsidR="00E16981">
        <w:rPr>
          <w:rFonts w:ascii="Arial" w:hAnsi="Arial" w:cs="Arial"/>
          <w:color w:val="0E101A"/>
          <w:lang w:val="en-GB"/>
        </w:rPr>
        <w:t xml:space="preserve"> simply because they did not raise this point in their plea</w:t>
      </w:r>
      <w:r w:rsidR="00E16981">
        <w:rPr>
          <w:rFonts w:ascii="Arial" w:hAnsi="Arial" w:cs="Arial"/>
          <w:color w:val="0E101A"/>
        </w:rPr>
        <w:t>.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[7]</w:t>
      </w:r>
      <w:r>
        <w:rPr>
          <w:rFonts w:ascii="Arial" w:hAnsi="Arial" w:cs="Arial"/>
          <w:color w:val="0E101A"/>
        </w:rPr>
        <w:tab/>
      </w:r>
      <w:r w:rsidR="00E16981">
        <w:rPr>
          <w:rFonts w:ascii="Arial" w:hAnsi="Arial" w:cs="Arial"/>
          <w:color w:val="0E101A"/>
        </w:rPr>
        <w:t>In opposition to the application, the second respondent raised a point </w:t>
      </w:r>
      <w:r w:rsidR="00E16981">
        <w:rPr>
          <w:rStyle w:val="Emphasis"/>
          <w:rFonts w:ascii="Arial" w:hAnsi="Arial" w:cs="Arial"/>
          <w:color w:val="0E101A"/>
        </w:rPr>
        <w:t>in limine</w:t>
      </w:r>
      <w:r w:rsidR="00E16981">
        <w:rPr>
          <w:rFonts w:ascii="Arial" w:hAnsi="Arial" w:cs="Arial"/>
          <w:color w:val="0E101A"/>
        </w:rPr>
        <w:t> concerning the late filing of this application. The time</w:t>
      </w:r>
      <w:r w:rsidR="00E16981">
        <w:rPr>
          <w:rFonts w:ascii="Arial" w:hAnsi="Arial" w:cs="Arial"/>
          <w:color w:val="0E101A"/>
          <w:lang w:val="en-GB"/>
        </w:rPr>
        <w:t xml:space="preserve"> </w:t>
      </w:r>
      <w:r w:rsidR="00E16981">
        <w:rPr>
          <w:rFonts w:ascii="Arial" w:hAnsi="Arial" w:cs="Arial"/>
          <w:color w:val="0E101A"/>
        </w:rPr>
        <w:t>frames for applying for leave to appeal are governed by rule 49 (1) (b) of the Uniform Rules of the High Court (the Rules), which provides as follows:  </w:t>
      </w:r>
    </w:p>
    <w:p w:rsidR="00B3216A" w:rsidRDefault="00E16981">
      <w:pPr>
        <w:pStyle w:val="NormalWeb"/>
        <w:spacing w:before="0" w:beforeAutospacing="0" w:after="0" w:afterAutospacing="0" w:line="360" w:lineRule="auto"/>
        <w:ind w:left="360"/>
        <w:jc w:val="both"/>
        <w:rPr>
          <w:rFonts w:ascii="Arial" w:hAnsi="Arial" w:cs="Arial"/>
          <w:color w:val="0E101A"/>
          <w:sz w:val="22"/>
          <w:szCs w:val="22"/>
        </w:rPr>
      </w:pPr>
      <w:r>
        <w:rPr>
          <w:rFonts w:ascii="Arial" w:hAnsi="Arial" w:cs="Arial"/>
          <w:color w:val="0E101A"/>
          <w:lang w:val="en-GB"/>
        </w:rPr>
        <w:t xml:space="preserve"> </w:t>
      </w:r>
      <w:r>
        <w:rPr>
          <w:rFonts w:ascii="Arial" w:hAnsi="Arial" w:cs="Arial"/>
          <w:color w:val="0E101A"/>
        </w:rPr>
        <w:t>"</w:t>
      </w:r>
      <w:r>
        <w:rPr>
          <w:rFonts w:ascii="Arial" w:hAnsi="Arial" w:cs="Arial"/>
          <w:color w:val="0E101A"/>
          <w:sz w:val="22"/>
          <w:szCs w:val="22"/>
        </w:rPr>
        <w:t>49 Civil Appeals from the High Court</w:t>
      </w:r>
    </w:p>
    <w:p w:rsidR="00B3216A" w:rsidRDefault="00E16981">
      <w:pPr>
        <w:pStyle w:val="NormalWeb"/>
        <w:spacing w:before="0" w:beforeAutospacing="0" w:after="0" w:afterAutospacing="0" w:line="360" w:lineRule="auto"/>
        <w:ind w:left="360" w:firstLine="716"/>
        <w:jc w:val="both"/>
        <w:rPr>
          <w:rFonts w:ascii="Arial" w:hAnsi="Arial" w:cs="Arial"/>
          <w:color w:val="0E101A"/>
          <w:sz w:val="22"/>
          <w:szCs w:val="22"/>
        </w:rPr>
      </w:pPr>
      <w:r>
        <w:rPr>
          <w:rFonts w:ascii="Arial" w:hAnsi="Arial" w:cs="Arial"/>
          <w:color w:val="0E101A"/>
          <w:sz w:val="22"/>
          <w:szCs w:val="22"/>
        </w:rPr>
        <w:t xml:space="preserve">(b) </w:t>
      </w:r>
      <w:r>
        <w:rPr>
          <w:rFonts w:ascii="Arial" w:hAnsi="Arial" w:cs="Arial"/>
          <w:color w:val="0E101A"/>
          <w:sz w:val="22"/>
          <w:szCs w:val="22"/>
          <w:lang w:val="en-GB"/>
        </w:rPr>
        <w:tab/>
      </w:r>
      <w:r>
        <w:rPr>
          <w:rFonts w:ascii="Arial" w:hAnsi="Arial" w:cs="Arial"/>
          <w:color w:val="0E101A"/>
          <w:sz w:val="22"/>
          <w:szCs w:val="22"/>
        </w:rPr>
        <w:t xml:space="preserve">When leave to appeal is required and it has not been requested at the time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the judgment or order, application for such leave shall be made and the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grounds that they of shall be furnished within fifteen days after the date of the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order appealed against; provided that when the reasons or the full reasons for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the court's order are given on a later date than the date of the order, such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application may be made within 15 days after such later date: provided further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 xml:space="preserve">that the court may upon good cause extend the aforementioned periods of </w:t>
      </w:r>
      <w:r>
        <w:rPr>
          <w:rFonts w:ascii="Arial" w:hAnsi="Arial" w:cs="Arial"/>
          <w:color w:val="0E101A"/>
          <w:sz w:val="22"/>
          <w:szCs w:val="22"/>
          <w:lang w:val="en-GB"/>
        </w:rPr>
        <w:tab/>
      </w:r>
      <w:r>
        <w:rPr>
          <w:rFonts w:ascii="Arial" w:hAnsi="Arial" w:cs="Arial"/>
          <w:color w:val="0E101A"/>
          <w:sz w:val="22"/>
          <w:szCs w:val="22"/>
          <w:lang w:val="en-GB"/>
        </w:rPr>
        <w:tab/>
      </w:r>
      <w:r>
        <w:rPr>
          <w:rFonts w:ascii="Arial" w:hAnsi="Arial" w:cs="Arial"/>
          <w:color w:val="0E101A"/>
          <w:sz w:val="22"/>
          <w:szCs w:val="22"/>
        </w:rPr>
        <w:t>fifteen days."</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[8]</w:t>
      </w:r>
      <w:r>
        <w:rPr>
          <w:rFonts w:ascii="Arial" w:hAnsi="Arial" w:cs="Arial"/>
          <w:color w:val="0E101A"/>
        </w:rPr>
        <w:tab/>
      </w:r>
      <w:r w:rsidR="00E16981">
        <w:rPr>
          <w:rFonts w:ascii="Arial" w:hAnsi="Arial" w:cs="Arial"/>
          <w:color w:val="0E101A"/>
        </w:rPr>
        <w:t xml:space="preserve">The preliminary point raised by the second respondent, </w:t>
      </w:r>
      <w:r w:rsidR="00E16981">
        <w:rPr>
          <w:rFonts w:ascii="Arial" w:hAnsi="Arial" w:cs="Arial"/>
          <w:color w:val="0E101A"/>
          <w:lang w:val="en-GB"/>
        </w:rPr>
        <w:t xml:space="preserve">which is based on </w:t>
      </w:r>
      <w:r w:rsidR="00E16981">
        <w:rPr>
          <w:rFonts w:ascii="Arial" w:hAnsi="Arial" w:cs="Arial"/>
          <w:color w:val="0E101A"/>
        </w:rPr>
        <w:t>calculating</w:t>
      </w:r>
      <w:r w:rsidR="00E16981">
        <w:rPr>
          <w:rFonts w:ascii="Arial" w:hAnsi="Arial" w:cs="Arial"/>
          <w:color w:val="0E101A"/>
          <w:lang w:val="en-GB"/>
        </w:rPr>
        <w:t xml:space="preserve"> </w:t>
      </w:r>
      <w:r w:rsidR="00E16981">
        <w:rPr>
          <w:rFonts w:ascii="Arial" w:hAnsi="Arial" w:cs="Arial"/>
          <w:color w:val="0E101A"/>
        </w:rPr>
        <w:t xml:space="preserve"> the fifteen days when the leave to appeal ought to have been filed </w:t>
      </w:r>
      <w:r w:rsidR="00E16981">
        <w:rPr>
          <w:rFonts w:ascii="Arial" w:hAnsi="Arial" w:cs="Arial"/>
          <w:color w:val="0E101A"/>
          <w:lang w:val="en-GB"/>
        </w:rPr>
        <w:t xml:space="preserve">to be </w:t>
      </w:r>
      <w:r w:rsidR="00E16981">
        <w:rPr>
          <w:rFonts w:ascii="Arial" w:hAnsi="Arial" w:cs="Arial"/>
          <w:color w:val="0E101A"/>
        </w:rPr>
        <w:t xml:space="preserve">from 15 April 2023, is incorrect. The fifteen days for this leave to appeal has to be determined from 29 August 2022, when the reasons for the order were made. This is </w:t>
      </w:r>
      <w:r w:rsidR="00E16981">
        <w:rPr>
          <w:rFonts w:ascii="Arial" w:hAnsi="Arial" w:cs="Arial"/>
          <w:color w:val="0E101A"/>
        </w:rPr>
        <w:lastRenderedPageBreak/>
        <w:t>a later period envisaged in rule 49 of the Rules. As it appears from the record, the full reason</w:t>
      </w:r>
      <w:r w:rsidR="00E16981">
        <w:rPr>
          <w:rFonts w:ascii="Arial" w:hAnsi="Arial" w:cs="Arial"/>
          <w:color w:val="0E101A"/>
          <w:lang w:val="en-GB"/>
        </w:rPr>
        <w:t>s</w:t>
      </w:r>
      <w:r w:rsidR="00E16981">
        <w:rPr>
          <w:rFonts w:ascii="Arial" w:hAnsi="Arial" w:cs="Arial"/>
          <w:color w:val="0E101A"/>
        </w:rPr>
        <w:t xml:space="preserve"> for the order was made on 29 August 2022. The application for leave to appeal was filed on 19 September 2022. </w:t>
      </w:r>
      <w:r w:rsidR="00E16981">
        <w:rPr>
          <w:rFonts w:ascii="Arial" w:hAnsi="Arial" w:cs="Arial"/>
          <w:color w:val="0E101A"/>
          <w:lang w:val="en-GB"/>
        </w:rPr>
        <w:t>Having r</w:t>
      </w:r>
      <w:r w:rsidR="00E16981">
        <w:rPr>
          <w:rFonts w:ascii="Arial" w:hAnsi="Arial" w:cs="Arial"/>
          <w:color w:val="0E101A"/>
        </w:rPr>
        <w:t>egard</w:t>
      </w:r>
      <w:r w:rsidR="00E16981">
        <w:rPr>
          <w:rFonts w:ascii="Arial" w:hAnsi="Arial" w:cs="Arial"/>
          <w:color w:val="0E101A"/>
          <w:lang w:val="en-GB"/>
        </w:rPr>
        <w:t xml:space="preserve"> to</w:t>
      </w:r>
      <w:r w:rsidR="00E16981">
        <w:rPr>
          <w:rFonts w:ascii="Arial" w:hAnsi="Arial" w:cs="Arial"/>
          <w:color w:val="0E101A"/>
        </w:rPr>
        <w:t xml:space="preserve"> the number of court days between 29 August 2022 and 19 September 2022, there is no doubt that the applicants filed their leave to appeal within the period envisaged in rule 49 of the Rules. Thus the respondents' point </w:t>
      </w:r>
      <w:r w:rsidR="00E16981">
        <w:rPr>
          <w:rStyle w:val="Emphasis"/>
          <w:rFonts w:ascii="Arial" w:hAnsi="Arial" w:cs="Arial"/>
          <w:color w:val="0E101A"/>
        </w:rPr>
        <w:t>in limine</w:t>
      </w:r>
      <w:r w:rsidR="00E16981">
        <w:rPr>
          <w:rFonts w:ascii="Arial" w:hAnsi="Arial" w:cs="Arial"/>
          <w:color w:val="0E101A"/>
        </w:rPr>
        <w:t> stands to fail.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[9]</w:t>
      </w:r>
      <w:r>
        <w:rPr>
          <w:rFonts w:ascii="Arial" w:hAnsi="Arial" w:cs="Arial"/>
          <w:color w:val="0E101A"/>
        </w:rPr>
        <w:tab/>
      </w:r>
      <w:r w:rsidR="00E16981">
        <w:rPr>
          <w:rFonts w:ascii="Arial" w:hAnsi="Arial" w:cs="Arial"/>
          <w:color w:val="0E101A"/>
        </w:rPr>
        <w:t>I now turn to dealing with the grounds of leave to appeal. The main ground of appeal upon which this application turns is whether the section 3 notice issued by the applicants was served on the first respondent timeously. Th</w:t>
      </w:r>
      <w:r w:rsidR="00E16981">
        <w:rPr>
          <w:rFonts w:ascii="Arial" w:hAnsi="Arial" w:cs="Arial"/>
          <w:color w:val="0E101A"/>
          <w:lang w:val="en-GB"/>
        </w:rPr>
        <w:t>erefore</w:t>
      </w:r>
      <w:r w:rsidR="00E16981">
        <w:rPr>
          <w:rFonts w:ascii="Arial" w:hAnsi="Arial" w:cs="Arial"/>
          <w:color w:val="0E101A"/>
        </w:rPr>
        <w:t xml:space="preserve"> condonation by the applicants was</w:t>
      </w:r>
      <w:r w:rsidR="00E16981">
        <w:rPr>
          <w:rFonts w:ascii="Arial" w:hAnsi="Arial" w:cs="Arial"/>
          <w:color w:val="0E101A"/>
          <w:lang w:val="en-GB"/>
        </w:rPr>
        <w:t xml:space="preserve"> not</w:t>
      </w:r>
      <w:r w:rsidR="00E16981">
        <w:rPr>
          <w:rFonts w:ascii="Arial" w:hAnsi="Arial" w:cs="Arial"/>
          <w:color w:val="0E101A"/>
        </w:rPr>
        <w:t xml:space="preserve"> required. The applicants contend that the notice was served timeously on the first respondent, and therefore there was no need to file an application for condonation as far as the section 3 notice on the first respondent was concerned</w:t>
      </w:r>
      <w:r w:rsidR="00E16981">
        <w:rPr>
          <w:rFonts w:ascii="Arial" w:hAnsi="Arial" w:cs="Arial"/>
          <w:color w:val="0E101A"/>
          <w:lang w:val="en-GB"/>
        </w:rPr>
        <w:t>.</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[10]</w:t>
      </w:r>
      <w:r>
        <w:rPr>
          <w:rFonts w:ascii="Arial" w:hAnsi="Arial" w:cs="Arial"/>
          <w:color w:val="0E101A"/>
        </w:rPr>
        <w:tab/>
      </w:r>
      <w:r w:rsidR="00E16981">
        <w:rPr>
          <w:rFonts w:ascii="Arial" w:hAnsi="Arial" w:cs="Arial"/>
          <w:color w:val="0E101A"/>
          <w:lang w:val="en-GB"/>
        </w:rPr>
        <w:t>The criminal trial of the plaintiffs conclude on 9 September 2023 and the section 3 notice was served on the first respondent on 20 February 2017.</w:t>
      </w:r>
    </w:p>
    <w:p w:rsidR="00B3216A" w:rsidRDefault="00E16981">
      <w:pPr>
        <w:pStyle w:val="NormalWeb"/>
        <w:spacing w:before="0" w:beforeAutospacing="0" w:after="0" w:afterAutospacing="0" w:line="360" w:lineRule="auto"/>
        <w:jc w:val="both"/>
        <w:rPr>
          <w:rFonts w:ascii="Arial" w:hAnsi="Arial" w:cs="Arial"/>
          <w:color w:val="0E101A"/>
          <w:lang w:val="en-GB"/>
        </w:rPr>
      </w:pPr>
      <w:r>
        <w:rPr>
          <w:rStyle w:val="Strong"/>
          <w:rFonts w:ascii="Arial" w:hAnsi="Arial" w:cs="Arial"/>
          <w:color w:val="0E101A"/>
          <w:lang w:val="en-GB"/>
        </w:rPr>
        <w:t xml:space="preserve"> </w:t>
      </w: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[11]</w:t>
      </w:r>
      <w:r>
        <w:rPr>
          <w:rFonts w:ascii="Arial" w:hAnsi="Arial" w:cs="Arial"/>
          <w:color w:val="0E101A"/>
        </w:rPr>
        <w:tab/>
      </w:r>
      <w:r w:rsidR="00E16981">
        <w:rPr>
          <w:rFonts w:ascii="Arial" w:hAnsi="Arial" w:cs="Arial"/>
          <w:color w:val="0E101A"/>
        </w:rPr>
        <w:t>The test for determining whether leave to appeal should be granted is governed by section 17 of the Superior Courts Act</w:t>
      </w:r>
      <w:r w:rsidR="00E16981">
        <w:rPr>
          <w:rFonts w:ascii="Arial" w:hAnsi="Arial" w:cs="Arial"/>
          <w:color w:val="0E101A"/>
          <w:lang w:val="en-GB"/>
        </w:rPr>
        <w:t xml:space="preserve"> which sets out the test to apply when considering an application for leave to appeal</w:t>
      </w:r>
      <w:r w:rsidR="00E16981">
        <w:rPr>
          <w:rFonts w:ascii="Arial" w:hAnsi="Arial" w:cs="Arial"/>
          <w:color w:val="0E101A"/>
        </w:rPr>
        <w:t>. This test is well known and need no repeat in this judgment.</w:t>
      </w:r>
      <w:r w:rsidR="00E16981">
        <w:rPr>
          <w:rFonts w:ascii="Arial" w:hAnsi="Arial" w:cs="Arial"/>
          <w:color w:val="0E101A"/>
          <w:lang w:val="en-GB"/>
        </w:rPr>
        <w:t xml:space="preserve">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216F5C" w:rsidP="00216F5C">
      <w:pPr>
        <w:pStyle w:val="NormalWeb"/>
        <w:spacing w:before="0" w:beforeAutospacing="0" w:after="0" w:afterAutospacing="0" w:line="360" w:lineRule="auto"/>
        <w:jc w:val="both"/>
        <w:rPr>
          <w:rFonts w:ascii="Arial" w:hAnsi="Arial" w:cs="Arial"/>
          <w:color w:val="0E101A"/>
        </w:rPr>
      </w:pPr>
      <w:r>
        <w:rPr>
          <w:rFonts w:ascii="Arial" w:hAnsi="Arial" w:cs="Arial"/>
          <w:color w:val="0E101A"/>
        </w:rPr>
        <w:t>[12]</w:t>
      </w:r>
      <w:r>
        <w:rPr>
          <w:rFonts w:ascii="Arial" w:hAnsi="Arial" w:cs="Arial"/>
          <w:color w:val="0E101A"/>
        </w:rPr>
        <w:tab/>
      </w:r>
      <w:r w:rsidR="00E16981">
        <w:rPr>
          <w:rFonts w:ascii="Arial" w:hAnsi="Arial" w:cs="Arial"/>
          <w:color w:val="0E101A"/>
        </w:rPr>
        <w:t xml:space="preserve">In my </w:t>
      </w:r>
      <w:r w:rsidR="00E16981">
        <w:rPr>
          <w:rFonts w:ascii="Arial" w:hAnsi="Arial" w:cs="Arial"/>
          <w:color w:val="0E101A"/>
          <w:lang w:val="en-GB"/>
        </w:rPr>
        <w:t>view</w:t>
      </w:r>
      <w:r w:rsidR="00E16981">
        <w:rPr>
          <w:rFonts w:ascii="Arial" w:hAnsi="Arial" w:cs="Arial"/>
          <w:color w:val="0E101A"/>
        </w:rPr>
        <w:t>,</w:t>
      </w:r>
      <w:r w:rsidR="00E16981">
        <w:rPr>
          <w:rFonts w:ascii="Arial" w:hAnsi="Arial" w:cs="Arial"/>
          <w:color w:val="0E101A"/>
          <w:lang w:val="en-GB"/>
        </w:rPr>
        <w:t xml:space="preserve"> the circumstances in this mater accords with those </w:t>
      </w:r>
      <w:r w:rsidR="00E16981">
        <w:rPr>
          <w:rFonts w:ascii="Arial" w:hAnsi="Arial" w:cs="Arial"/>
          <w:color w:val="0E101A"/>
        </w:rPr>
        <w:t xml:space="preserve"> </w:t>
      </w:r>
      <w:r w:rsidR="00E16981">
        <w:rPr>
          <w:rFonts w:ascii="Arial" w:hAnsi="Arial" w:cs="Arial"/>
          <w:color w:val="0E101A"/>
          <w:lang w:val="en-GB"/>
        </w:rPr>
        <w:t xml:space="preserve">envisaged in section 17 of the Superior Courts Act and therefore the applicants deserve the relief they are seeking in this application. Put in another way the applicants have  convinced this court that there are prospects of success on appeal which are realistic. </w:t>
      </w:r>
    </w:p>
    <w:p w:rsidR="00B3216A" w:rsidRDefault="00B3216A">
      <w:pPr>
        <w:pStyle w:val="NormalWeb"/>
        <w:spacing w:before="0" w:beforeAutospacing="0" w:after="0" w:afterAutospacing="0" w:line="360" w:lineRule="auto"/>
        <w:jc w:val="both"/>
        <w:rPr>
          <w:rFonts w:ascii="Arial" w:hAnsi="Arial" w:cs="Arial"/>
          <w:color w:val="0E101A"/>
        </w:rPr>
      </w:pPr>
    </w:p>
    <w:p w:rsidR="00B3216A" w:rsidRDefault="00E16981">
      <w:pPr>
        <w:pStyle w:val="ListParagraph"/>
        <w:spacing w:line="360" w:lineRule="auto"/>
        <w:ind w:left="0"/>
        <w:jc w:val="both"/>
        <w:rPr>
          <w:rFonts w:ascii="Arial" w:hAnsi="Arial" w:cs="Arial"/>
          <w:b/>
          <w:sz w:val="24"/>
          <w:szCs w:val="24"/>
        </w:rPr>
      </w:pPr>
      <w:r>
        <w:rPr>
          <w:rFonts w:ascii="Arial" w:hAnsi="Arial" w:cs="Arial"/>
          <w:color w:val="0E101A"/>
          <w:lang w:val="en-GB"/>
        </w:rPr>
        <w:t xml:space="preserve"> </w:t>
      </w:r>
      <w:r>
        <w:rPr>
          <w:rFonts w:ascii="Arial" w:hAnsi="Arial" w:cs="Arial"/>
          <w:b/>
          <w:sz w:val="24"/>
          <w:szCs w:val="24"/>
        </w:rPr>
        <w:t xml:space="preserve">Order </w:t>
      </w:r>
    </w:p>
    <w:p w:rsidR="00B3216A" w:rsidRPr="00216F5C" w:rsidRDefault="00216F5C" w:rsidP="00216F5C">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16981" w:rsidRPr="00216F5C">
        <w:rPr>
          <w:rFonts w:ascii="Arial" w:hAnsi="Arial" w:cs="Arial"/>
          <w:sz w:val="24"/>
          <w:szCs w:val="24"/>
        </w:rPr>
        <w:t>In the circumstances leave to appeal to the full bench of this Division is granted with costs to be in the appeal.</w:t>
      </w:r>
    </w:p>
    <w:p w:rsidR="00B3216A" w:rsidRDefault="00E16981">
      <w:pPr>
        <w:pStyle w:val="ListParagraph"/>
        <w:spacing w:line="360" w:lineRule="auto"/>
        <w:ind w:left="0"/>
        <w:jc w:val="both"/>
        <w:rPr>
          <w:rFonts w:ascii="Arial" w:hAnsi="Arial" w:cs="Arial"/>
          <w:sz w:val="24"/>
          <w:szCs w:val="24"/>
          <w:lang w:val="en-GB"/>
        </w:rPr>
      </w:pPr>
      <w:r>
        <w:rPr>
          <w:rFonts w:ascii="Arial" w:hAnsi="Arial" w:cs="Arial"/>
          <w:sz w:val="24"/>
          <w:szCs w:val="24"/>
          <w:lang w:val="en-GB"/>
        </w:rPr>
        <w:t xml:space="preserve"> </w:t>
      </w:r>
    </w:p>
    <w:p w:rsidR="00B3216A" w:rsidRDefault="00E16981">
      <w:pPr>
        <w:pStyle w:val="ListParagraph"/>
        <w:spacing w:line="360" w:lineRule="auto"/>
        <w:ind w:left="0"/>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Segoe UI" w:eastAsia="Segoe UI" w:hAnsi="Segoe UI" w:cs="Segoe UI"/>
          <w:color w:val="000000"/>
          <w:sz w:val="27"/>
          <w:szCs w:val="27"/>
        </w:rPr>
        <w:t xml:space="preserve">E MOLAHLEHI J </w:t>
      </w:r>
    </w:p>
    <w:p w:rsidR="00B3216A" w:rsidRDefault="00E16981">
      <w:pPr>
        <w:pStyle w:val="ListParagraph"/>
        <w:spacing w:line="360" w:lineRule="auto"/>
        <w:ind w:left="5040" w:firstLine="720"/>
        <w:jc w:val="both"/>
        <w:rPr>
          <w:rFonts w:ascii="Segoe UI" w:eastAsia="Segoe UI" w:hAnsi="Segoe UI" w:cs="Segoe UI"/>
          <w:color w:val="000000"/>
          <w:sz w:val="27"/>
          <w:szCs w:val="27"/>
        </w:rPr>
      </w:pPr>
      <w:r>
        <w:rPr>
          <w:rFonts w:ascii="Segoe UI" w:eastAsia="Segoe UI" w:hAnsi="Segoe UI" w:cs="Segoe UI"/>
          <w:color w:val="000000"/>
          <w:sz w:val="27"/>
          <w:szCs w:val="27"/>
        </w:rPr>
        <w:lastRenderedPageBreak/>
        <w:t xml:space="preserve">Judge of the High Court </w:t>
      </w:r>
      <w:r>
        <w:rPr>
          <w:rFonts w:ascii="Segoe UI" w:eastAsia="Segoe UI" w:hAnsi="Segoe UI" w:cs="Segoe UI"/>
          <w:color w:val="000000"/>
          <w:sz w:val="27"/>
          <w:szCs w:val="27"/>
          <w:lang w:val="en-GB"/>
        </w:rPr>
        <w:tab/>
      </w:r>
      <w:r>
        <w:rPr>
          <w:rFonts w:ascii="Segoe UI" w:eastAsia="Segoe UI" w:hAnsi="Segoe UI" w:cs="Segoe UI"/>
          <w:color w:val="000000"/>
          <w:sz w:val="27"/>
          <w:szCs w:val="27"/>
        </w:rPr>
        <w:t xml:space="preserve">Gauteng Local Division, </w:t>
      </w:r>
      <w:r>
        <w:rPr>
          <w:rFonts w:ascii="Segoe UI" w:eastAsia="Segoe UI" w:hAnsi="Segoe UI" w:cs="Segoe UI"/>
          <w:color w:val="000000"/>
          <w:sz w:val="27"/>
          <w:szCs w:val="27"/>
          <w:lang w:val="en-GB"/>
        </w:rPr>
        <w:tab/>
      </w:r>
      <w:r>
        <w:rPr>
          <w:rFonts w:ascii="Segoe UI" w:eastAsia="Segoe UI" w:hAnsi="Segoe UI" w:cs="Segoe UI"/>
          <w:color w:val="000000"/>
          <w:sz w:val="27"/>
          <w:szCs w:val="27"/>
        </w:rPr>
        <w:t xml:space="preserve">Johannesburg </w:t>
      </w: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E22DF0" w:rsidRDefault="00E22DF0">
      <w:pPr>
        <w:pStyle w:val="ListParagraph"/>
        <w:spacing w:line="360" w:lineRule="auto"/>
        <w:ind w:left="0"/>
        <w:jc w:val="both"/>
        <w:rPr>
          <w:rFonts w:ascii="Segoe UI" w:eastAsia="Segoe UI" w:hAnsi="Segoe UI" w:cs="Segoe UI"/>
          <w:color w:val="000000"/>
          <w:sz w:val="27"/>
          <w:szCs w:val="27"/>
        </w:rPr>
      </w:pPr>
    </w:p>
    <w:p w:rsidR="00B3216A" w:rsidRDefault="00E16981">
      <w:pPr>
        <w:pStyle w:val="ListParagraph"/>
        <w:spacing w:line="360" w:lineRule="auto"/>
        <w:ind w:left="0"/>
        <w:jc w:val="both"/>
        <w:rPr>
          <w:rFonts w:ascii="Segoe UI" w:eastAsia="Segoe UI" w:hAnsi="Segoe UI" w:cs="Segoe UI"/>
          <w:color w:val="000000"/>
          <w:sz w:val="27"/>
          <w:szCs w:val="27"/>
          <w:lang w:val="en-GB"/>
        </w:rPr>
      </w:pPr>
      <w:r>
        <w:rPr>
          <w:rFonts w:ascii="Segoe UI" w:eastAsia="Segoe UI" w:hAnsi="Segoe UI" w:cs="Segoe UI"/>
          <w:color w:val="000000"/>
          <w:sz w:val="27"/>
          <w:szCs w:val="27"/>
        </w:rPr>
        <w:t>Representations</w:t>
      </w:r>
      <w:r>
        <w:rPr>
          <w:rFonts w:ascii="Segoe UI" w:eastAsia="Segoe UI" w:hAnsi="Segoe UI" w:cs="Segoe UI"/>
          <w:color w:val="000000"/>
          <w:sz w:val="27"/>
          <w:szCs w:val="27"/>
          <w:lang w:val="en-GB"/>
        </w:rPr>
        <w:t xml:space="preserve">: </w:t>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Segoe UI" w:eastAsia="Segoe UI" w:hAnsi="Segoe UI" w:cs="Segoe UI"/>
          <w:color w:val="000000"/>
          <w:sz w:val="27"/>
          <w:szCs w:val="27"/>
        </w:rPr>
        <w:t xml:space="preserve"> For the Plaintiffs: Adv J Vilakazi </w:t>
      </w:r>
    </w:p>
    <w:p w:rsidR="00B3216A" w:rsidRDefault="00E16981">
      <w:pPr>
        <w:pStyle w:val="ListParagraph"/>
        <w:spacing w:line="360" w:lineRule="auto"/>
        <w:ind w:left="0"/>
        <w:jc w:val="both"/>
        <w:rPr>
          <w:rFonts w:ascii="Segoe UI" w:eastAsia="Segoe UI" w:hAnsi="Segoe UI" w:cs="Segoe UI"/>
          <w:color w:val="000000"/>
          <w:sz w:val="27"/>
          <w:szCs w:val="27"/>
          <w:lang w:val="en-GB"/>
        </w:rPr>
      </w:pPr>
      <w:r>
        <w:rPr>
          <w:rFonts w:ascii="Segoe UI" w:eastAsia="Segoe UI" w:hAnsi="Segoe UI" w:cs="Segoe UI"/>
          <w:color w:val="000000"/>
          <w:sz w:val="27"/>
          <w:szCs w:val="27"/>
        </w:rPr>
        <w:t xml:space="preserve">Instructed by: Mangxola Attorneys </w:t>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Segoe UI" w:eastAsia="Segoe UI" w:hAnsi="Segoe UI" w:cs="Segoe UI"/>
          <w:color w:val="000000"/>
          <w:sz w:val="27"/>
          <w:szCs w:val="27"/>
        </w:rPr>
        <w:lastRenderedPageBreak/>
        <w:t xml:space="preserve">For the </w:t>
      </w:r>
      <w:r>
        <w:rPr>
          <w:rFonts w:ascii="Segoe UI" w:eastAsia="Segoe UI" w:hAnsi="Segoe UI" w:cs="Segoe UI"/>
          <w:color w:val="000000"/>
          <w:sz w:val="27"/>
          <w:szCs w:val="27"/>
          <w:lang w:val="en-GB"/>
        </w:rPr>
        <w:t>first and third d</w:t>
      </w:r>
      <w:r>
        <w:rPr>
          <w:rFonts w:ascii="Segoe UI" w:eastAsia="Segoe UI" w:hAnsi="Segoe UI" w:cs="Segoe UI"/>
          <w:color w:val="000000"/>
          <w:sz w:val="27"/>
          <w:szCs w:val="27"/>
        </w:rPr>
        <w:t xml:space="preserve">efendants: Adv. Z.R Nxumalo </w:t>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Segoe UI" w:eastAsia="Segoe UI" w:hAnsi="Segoe UI" w:cs="Segoe UI"/>
          <w:color w:val="000000"/>
          <w:sz w:val="27"/>
          <w:szCs w:val="27"/>
        </w:rPr>
        <w:t xml:space="preserve">Instructed by: The State Attorney </w:t>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Segoe UI" w:eastAsia="Segoe UI" w:hAnsi="Segoe UI" w:cs="Segoe UI"/>
          <w:color w:val="000000"/>
          <w:sz w:val="27"/>
          <w:szCs w:val="27"/>
        </w:rPr>
        <w:t>For the</w:t>
      </w:r>
      <w:r>
        <w:rPr>
          <w:rFonts w:ascii="Segoe UI" w:eastAsia="Segoe UI" w:hAnsi="Segoe UI" w:cs="Segoe UI"/>
          <w:color w:val="000000"/>
          <w:sz w:val="27"/>
          <w:szCs w:val="27"/>
          <w:lang w:val="en-GB"/>
        </w:rPr>
        <w:t xml:space="preserve"> second d</w:t>
      </w:r>
      <w:r>
        <w:rPr>
          <w:rFonts w:ascii="Segoe UI" w:eastAsia="Segoe UI" w:hAnsi="Segoe UI" w:cs="Segoe UI"/>
          <w:color w:val="000000"/>
          <w:sz w:val="27"/>
          <w:szCs w:val="27"/>
        </w:rPr>
        <w:t xml:space="preserve">efendant: Adv T. Mlambo </w:t>
      </w:r>
    </w:p>
    <w:p w:rsidR="00B3216A" w:rsidRDefault="00E16981">
      <w:pPr>
        <w:pStyle w:val="ListParagraph"/>
        <w:spacing w:line="360" w:lineRule="auto"/>
        <w:ind w:left="0"/>
        <w:jc w:val="both"/>
        <w:rPr>
          <w:rFonts w:ascii="Segoe UI" w:eastAsia="Segoe UI" w:hAnsi="Segoe UI" w:cs="Segoe UI"/>
          <w:color w:val="000000"/>
          <w:sz w:val="27"/>
          <w:szCs w:val="27"/>
        </w:rPr>
      </w:pPr>
      <w:r>
        <w:rPr>
          <w:rFonts w:ascii="Segoe UI" w:eastAsia="Segoe UI" w:hAnsi="Segoe UI" w:cs="Segoe UI"/>
          <w:color w:val="000000"/>
          <w:sz w:val="27"/>
          <w:szCs w:val="27"/>
        </w:rPr>
        <w:t>Instructed by: The State Attorney</w:t>
      </w:r>
    </w:p>
    <w:p w:rsidR="00B3216A" w:rsidRDefault="00E16981">
      <w:pPr>
        <w:pStyle w:val="ListParagraph"/>
        <w:spacing w:line="360" w:lineRule="auto"/>
        <w:ind w:left="0"/>
        <w:jc w:val="both"/>
        <w:rPr>
          <w:rFonts w:ascii="Arial" w:hAnsi="Arial" w:cs="Arial"/>
          <w:sz w:val="24"/>
          <w:szCs w:val="24"/>
          <w:lang w:val="en-GB"/>
        </w:rPr>
      </w:pPr>
      <w:r>
        <w:rPr>
          <w:rFonts w:ascii="Arial" w:hAnsi="Arial" w:cs="Arial"/>
          <w:sz w:val="24"/>
          <w:szCs w:val="24"/>
          <w:lang w:val="en-GB"/>
        </w:rPr>
        <w:t xml:space="preserve">Judgment delivered: </w:t>
      </w:r>
      <w:r>
        <w:rPr>
          <w:rFonts w:ascii="Arial" w:hAnsi="Arial" w:cs="Arial"/>
          <w:sz w:val="24"/>
          <w:szCs w:val="24"/>
        </w:rPr>
        <w:t xml:space="preserve"> </w:t>
      </w:r>
      <w:r>
        <w:rPr>
          <w:rFonts w:ascii="Arial" w:hAnsi="Arial" w:cs="Arial"/>
          <w:sz w:val="24"/>
          <w:szCs w:val="24"/>
          <w:lang w:val="en-GB"/>
        </w:rPr>
        <w:t xml:space="preserve">17 May 2023. </w:t>
      </w:r>
    </w:p>
    <w:sectPr w:rsidR="00B321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67" w:rsidRDefault="00367167">
      <w:pPr>
        <w:spacing w:line="240" w:lineRule="auto"/>
      </w:pPr>
      <w:r>
        <w:separator/>
      </w:r>
    </w:p>
  </w:endnote>
  <w:endnote w:type="continuationSeparator" w:id="0">
    <w:p w:rsidR="00367167" w:rsidRDefault="00367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67" w:rsidRDefault="00367167">
      <w:pPr>
        <w:spacing w:after="0"/>
      </w:pPr>
      <w:r>
        <w:separator/>
      </w:r>
    </w:p>
  </w:footnote>
  <w:footnote w:type="continuationSeparator" w:id="0">
    <w:p w:rsidR="00367167" w:rsidRDefault="003671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480"/>
    <w:multiLevelType w:val="multilevel"/>
    <w:tmpl w:val="05332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378F00-342B-41B9-BA4A-5C59F3B9AF39}"/>
    <w:docVar w:name="dgnword-eventsink" w:val="1588168079056"/>
  </w:docVars>
  <w:rsids>
    <w:rsidRoot w:val="009925BB"/>
    <w:rsid w:val="00214B41"/>
    <w:rsid w:val="00216F5C"/>
    <w:rsid w:val="00367167"/>
    <w:rsid w:val="0044520A"/>
    <w:rsid w:val="00482BE7"/>
    <w:rsid w:val="00506F41"/>
    <w:rsid w:val="005E7016"/>
    <w:rsid w:val="00695F7C"/>
    <w:rsid w:val="00774FEE"/>
    <w:rsid w:val="00885FBE"/>
    <w:rsid w:val="008E6565"/>
    <w:rsid w:val="009925BB"/>
    <w:rsid w:val="00B3216A"/>
    <w:rsid w:val="00BA0698"/>
    <w:rsid w:val="00CF4CBB"/>
    <w:rsid w:val="00D77009"/>
    <w:rsid w:val="00E16981"/>
    <w:rsid w:val="00E22DF0"/>
    <w:rsid w:val="00E85630"/>
    <w:rsid w:val="00EF3DD3"/>
    <w:rsid w:val="00F52C13"/>
    <w:rsid w:val="0EA77F1E"/>
    <w:rsid w:val="206D65F2"/>
    <w:rsid w:val="2D0715CE"/>
    <w:rsid w:val="76E00E2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61E5B-53A0-4CFD-B321-ADE2649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Edwin Molahlehi</dc:creator>
  <cp:lastModifiedBy>Mokone</cp:lastModifiedBy>
  <cp:revision>3</cp:revision>
  <cp:lastPrinted>2023-05-17T12:04:00Z</cp:lastPrinted>
  <dcterms:created xsi:type="dcterms:W3CDTF">2023-05-18T11:10:00Z</dcterms:created>
  <dcterms:modified xsi:type="dcterms:W3CDTF">2023-05-18T11:11:00Z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712A11CF3BA84989A6F859BCBC300406</vt:lpwstr>
  </property>
</Properties>
</file>